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trPr>
          <w:cantSplit/>
        </w:trPr>
        <w:tc>
          <w:tcPr>
            <w:tcW w:w="4795" w:type="dxa"/>
          </w:tcPr>
          <w:p w:rsidR="008A7FD1" w:rsidRPr="00B00A86" w:rsidRDefault="00B00A86" w:rsidP="00B00A86">
            <w:pPr>
              <w:pStyle w:val="zSoquijdatRepertorie"/>
              <w:rPr>
                <w:rFonts w:cs="Arial"/>
              </w:rPr>
            </w:pPr>
            <w:bookmarkStart w:id="0" w:name="_GoBack"/>
            <w:bookmarkEnd w:id="0"/>
            <w:r>
              <w:rPr>
                <w:rFonts w:cs="Arial"/>
              </w:rPr>
              <w:t>Benoît et Bombardier Produits récréatifs inc.</w:t>
            </w:r>
          </w:p>
        </w:tc>
        <w:tc>
          <w:tcPr>
            <w:tcW w:w="2477" w:type="dxa"/>
          </w:tcPr>
          <w:p w:rsidR="008A7FD1" w:rsidRPr="002B7C94" w:rsidRDefault="002B7C94" w:rsidP="002B7C94">
            <w:pPr>
              <w:pStyle w:val="zSoquijdatRefNeutre"/>
              <w:rPr>
                <w:rFonts w:cs="Arial"/>
              </w:rPr>
            </w:pPr>
            <w:r w:rsidRPr="002B7C94">
              <w:rPr>
                <w:rFonts w:cs="Arial"/>
              </w:rPr>
              <w:t>2015 QCCLP 4622</w:t>
            </w:r>
          </w:p>
        </w:tc>
      </w:tr>
    </w:tbl>
    <w:p w:rsidR="008A7FD1" w:rsidRDefault="008A7FD1"/>
    <w:tbl>
      <w:tblPr>
        <w:tblW w:w="9590" w:type="dxa"/>
        <w:tblLayout w:type="fixed"/>
        <w:tblCellMar>
          <w:left w:w="70" w:type="dxa"/>
          <w:right w:w="70" w:type="dxa"/>
        </w:tblCellMar>
        <w:tblLook w:val="0000" w:firstRow="0" w:lastRow="0" w:firstColumn="0" w:lastColumn="0" w:noHBand="0" w:noVBand="0"/>
      </w:tblPr>
      <w:tblGrid>
        <w:gridCol w:w="2880"/>
        <w:gridCol w:w="1915"/>
        <w:gridCol w:w="4795"/>
      </w:tblGrid>
      <w:tr w:rsidR="00C74B6F">
        <w:trPr>
          <w:cantSplit/>
        </w:trPr>
        <w:tc>
          <w:tcPr>
            <w:tcW w:w="9590" w:type="dxa"/>
            <w:gridSpan w:val="3"/>
          </w:tcPr>
          <w:p w:rsidR="00C74B6F" w:rsidRDefault="00C74B6F"/>
        </w:tc>
      </w:tr>
      <w:tr w:rsidR="00C74B6F">
        <w:trPr>
          <w:cantSplit/>
        </w:trPr>
        <w:tc>
          <w:tcPr>
            <w:tcW w:w="9590" w:type="dxa"/>
            <w:gridSpan w:val="3"/>
            <w:vAlign w:val="center"/>
          </w:tcPr>
          <w:p w:rsidR="00C74B6F" w:rsidRDefault="00C74B6F">
            <w:pPr>
              <w:jc w:val="center"/>
            </w:pPr>
            <w:r>
              <w:rPr>
                <w:b/>
                <w:sz w:val="28"/>
              </w:rPr>
              <w:t>COMMISSION DES LÉSIONS PROFESSIONNELLES</w:t>
            </w:r>
          </w:p>
        </w:tc>
      </w:tr>
      <w:tr w:rsidR="00C74B6F">
        <w:trPr>
          <w:cantSplit/>
        </w:trPr>
        <w:tc>
          <w:tcPr>
            <w:tcW w:w="9590" w:type="dxa"/>
            <w:gridSpan w:val="3"/>
          </w:tcPr>
          <w:p w:rsidR="00C74B6F" w:rsidRDefault="00C74B6F"/>
        </w:tc>
      </w:tr>
      <w:tr w:rsidR="00C74B6F">
        <w:trPr>
          <w:cantSplit/>
        </w:trPr>
        <w:tc>
          <w:tcPr>
            <w:tcW w:w="9590" w:type="dxa"/>
            <w:gridSpan w:val="3"/>
          </w:tcPr>
          <w:p w:rsidR="00C74B6F" w:rsidRDefault="00C74B6F"/>
        </w:tc>
      </w:tr>
      <w:tr w:rsidR="00C74B6F">
        <w:tc>
          <w:tcPr>
            <w:tcW w:w="2880" w:type="dxa"/>
          </w:tcPr>
          <w:p w:rsidR="00C74B6F" w:rsidRDefault="00B30B32">
            <w:r>
              <w:t>Sherbrooke</w:t>
            </w:r>
          </w:p>
        </w:tc>
        <w:tc>
          <w:tcPr>
            <w:tcW w:w="6710" w:type="dxa"/>
            <w:gridSpan w:val="2"/>
          </w:tcPr>
          <w:p w:rsidR="00C74B6F" w:rsidRDefault="00C640EA">
            <w:pPr>
              <w:pStyle w:val="zSoquijdatDateJugement"/>
            </w:pPr>
            <w:r>
              <w:t>27 août 2015</w:t>
            </w:r>
          </w:p>
        </w:tc>
      </w:tr>
      <w:tr w:rsidR="00C74B6F">
        <w:trPr>
          <w:cantSplit/>
        </w:trPr>
        <w:tc>
          <w:tcPr>
            <w:tcW w:w="9590" w:type="dxa"/>
            <w:gridSpan w:val="3"/>
          </w:tcPr>
          <w:p w:rsidR="00C74B6F" w:rsidRDefault="00C74B6F"/>
        </w:tc>
      </w:tr>
      <w:tr w:rsidR="00C74B6F">
        <w:tc>
          <w:tcPr>
            <w:tcW w:w="2880" w:type="dxa"/>
          </w:tcPr>
          <w:p w:rsidR="00C74B6F" w:rsidRDefault="00C74B6F">
            <w:r>
              <w:t>Région :</w:t>
            </w:r>
          </w:p>
        </w:tc>
        <w:tc>
          <w:tcPr>
            <w:tcW w:w="6710" w:type="dxa"/>
            <w:gridSpan w:val="2"/>
          </w:tcPr>
          <w:p w:rsidR="00C74B6F" w:rsidRDefault="00B30B32">
            <w:pPr>
              <w:pStyle w:val="zSoquijdatGreffe"/>
            </w:pPr>
            <w:r>
              <w:t>Estrie</w:t>
            </w:r>
          </w:p>
        </w:tc>
      </w:tr>
      <w:tr w:rsidR="00C74B6F">
        <w:trPr>
          <w:cantSplit/>
        </w:trPr>
        <w:tc>
          <w:tcPr>
            <w:tcW w:w="9590" w:type="dxa"/>
            <w:gridSpan w:val="3"/>
          </w:tcPr>
          <w:p w:rsidR="00C74B6F" w:rsidRDefault="00C74B6F"/>
        </w:tc>
      </w:tr>
      <w:tr w:rsidR="00C74B6F">
        <w:tc>
          <w:tcPr>
            <w:tcW w:w="2880" w:type="dxa"/>
          </w:tcPr>
          <w:p w:rsidR="00C74B6F" w:rsidRDefault="00C74B6F">
            <w:bookmarkStart w:id="1" w:name="ref_dossier" w:colFirst="1" w:colLast="1"/>
            <w:r>
              <w:t>Dossier</w:t>
            </w:r>
            <w:bookmarkStart w:id="2" w:name="dossiers"/>
            <w:bookmarkEnd w:id="2"/>
            <w:r>
              <w:t xml:space="preserve"> :</w:t>
            </w:r>
          </w:p>
        </w:tc>
        <w:tc>
          <w:tcPr>
            <w:tcW w:w="6710" w:type="dxa"/>
            <w:gridSpan w:val="2"/>
          </w:tcPr>
          <w:p w:rsidR="00C74B6F" w:rsidRDefault="00B30B32">
            <w:pPr>
              <w:pStyle w:val="zSoquijdatNoDossier"/>
            </w:pPr>
            <w:r>
              <w:t>566824-05-1503</w:t>
            </w:r>
          </w:p>
        </w:tc>
      </w:tr>
      <w:bookmarkEnd w:id="1"/>
      <w:tr w:rsidR="00C74B6F">
        <w:trPr>
          <w:cantSplit/>
        </w:trPr>
        <w:tc>
          <w:tcPr>
            <w:tcW w:w="9590" w:type="dxa"/>
            <w:gridSpan w:val="3"/>
          </w:tcPr>
          <w:p w:rsidR="00C74B6F" w:rsidRDefault="00C74B6F"/>
        </w:tc>
      </w:tr>
      <w:tr w:rsidR="00C74B6F">
        <w:tc>
          <w:tcPr>
            <w:tcW w:w="2880" w:type="dxa"/>
          </w:tcPr>
          <w:p w:rsidR="00C74B6F" w:rsidRDefault="00C74B6F">
            <w:r>
              <w:t>Dossier CSST :</w:t>
            </w:r>
          </w:p>
        </w:tc>
        <w:tc>
          <w:tcPr>
            <w:tcW w:w="6710" w:type="dxa"/>
            <w:gridSpan w:val="2"/>
          </w:tcPr>
          <w:p w:rsidR="00C74B6F" w:rsidRDefault="00B30B32">
            <w:pPr>
              <w:pStyle w:val="zSoquijdatNCSST"/>
            </w:pPr>
            <w:r>
              <w:t>143240125</w:t>
            </w:r>
          </w:p>
        </w:tc>
      </w:tr>
      <w:tr w:rsidR="00C74B6F">
        <w:trPr>
          <w:cantSplit/>
        </w:trPr>
        <w:tc>
          <w:tcPr>
            <w:tcW w:w="9590" w:type="dxa"/>
            <w:gridSpan w:val="3"/>
          </w:tcPr>
          <w:p w:rsidR="00C74B6F" w:rsidRDefault="00C74B6F"/>
        </w:tc>
      </w:tr>
      <w:tr w:rsidR="00C74B6F">
        <w:tc>
          <w:tcPr>
            <w:tcW w:w="2880" w:type="dxa"/>
          </w:tcPr>
          <w:p w:rsidR="00C74B6F" w:rsidRDefault="00C74B6F">
            <w:r>
              <w:t>Commissaire :</w:t>
            </w:r>
          </w:p>
        </w:tc>
        <w:tc>
          <w:tcPr>
            <w:tcW w:w="6710" w:type="dxa"/>
            <w:gridSpan w:val="2"/>
          </w:tcPr>
          <w:p w:rsidR="00C74B6F" w:rsidRDefault="00B30B32">
            <w:pPr>
              <w:pStyle w:val="zSoquijdatJuge"/>
            </w:pPr>
            <w:r>
              <w:t>Annie Beaudin</w:t>
            </w:r>
            <w:r w:rsidR="00C74B6F">
              <w:t>, juge administratif</w:t>
            </w:r>
          </w:p>
        </w:tc>
      </w:tr>
      <w:tr w:rsidR="00C74B6F">
        <w:trPr>
          <w:cantSplit/>
        </w:trPr>
        <w:tc>
          <w:tcPr>
            <w:tcW w:w="9590" w:type="dxa"/>
            <w:gridSpan w:val="3"/>
          </w:tcPr>
          <w:p w:rsidR="00C74B6F" w:rsidRDefault="00C74B6F"/>
        </w:tc>
      </w:tr>
      <w:tr w:rsidR="00C74B6F">
        <w:tc>
          <w:tcPr>
            <w:tcW w:w="2880" w:type="dxa"/>
          </w:tcPr>
          <w:p w:rsidR="00C74B6F" w:rsidRDefault="00C74B6F">
            <w:r>
              <w:t>Membres :</w:t>
            </w:r>
          </w:p>
        </w:tc>
        <w:tc>
          <w:tcPr>
            <w:tcW w:w="6710" w:type="dxa"/>
            <w:gridSpan w:val="2"/>
          </w:tcPr>
          <w:p w:rsidR="00C74B6F" w:rsidRDefault="00B30B32">
            <w:pPr>
              <w:pStyle w:val="zSoquijdatMembreE"/>
            </w:pPr>
            <w:r>
              <w:t>Jacques Leduc</w:t>
            </w:r>
            <w:r w:rsidR="00C74B6F">
              <w:t>, associations d’employeurs</w:t>
            </w:r>
          </w:p>
        </w:tc>
      </w:tr>
      <w:tr w:rsidR="00C74B6F">
        <w:tc>
          <w:tcPr>
            <w:tcW w:w="2880" w:type="dxa"/>
          </w:tcPr>
          <w:p w:rsidR="00C74B6F" w:rsidRDefault="00C74B6F"/>
        </w:tc>
        <w:tc>
          <w:tcPr>
            <w:tcW w:w="6710" w:type="dxa"/>
            <w:gridSpan w:val="2"/>
          </w:tcPr>
          <w:p w:rsidR="00C74B6F" w:rsidRDefault="00B30B32">
            <w:pPr>
              <w:pStyle w:val="zSoquijdatMembreS"/>
            </w:pPr>
            <w:r>
              <w:t>Guy Rocheleau</w:t>
            </w:r>
            <w:r w:rsidR="00C74B6F">
              <w:t>, associations syndicales</w:t>
            </w:r>
          </w:p>
        </w:tc>
      </w:tr>
      <w:tr w:rsidR="00C74B6F">
        <w:trPr>
          <w:cantSplit/>
        </w:trPr>
        <w:tc>
          <w:tcPr>
            <w:tcW w:w="9590" w:type="dxa"/>
            <w:gridSpan w:val="3"/>
          </w:tcPr>
          <w:p w:rsidR="00C74B6F" w:rsidRDefault="00C74B6F">
            <w:r>
              <w:t>______________________________________________________________________</w:t>
            </w:r>
          </w:p>
        </w:tc>
      </w:tr>
      <w:tr w:rsidR="00C74B6F">
        <w:trPr>
          <w:cantSplit/>
        </w:trPr>
        <w:tc>
          <w:tcPr>
            <w:tcW w:w="9590" w:type="dxa"/>
            <w:gridSpan w:val="3"/>
          </w:tcPr>
          <w:p w:rsidR="00C74B6F" w:rsidRDefault="00C74B6F"/>
        </w:tc>
      </w:tr>
      <w:tr w:rsidR="00C74B6F">
        <w:tc>
          <w:tcPr>
            <w:tcW w:w="4795" w:type="dxa"/>
            <w:gridSpan w:val="2"/>
          </w:tcPr>
          <w:p w:rsidR="00C74B6F" w:rsidRDefault="00C74B6F">
            <w:bookmarkStart w:id="3" w:name="bloc_parties_gauche"/>
            <w:bookmarkEnd w:id="3"/>
          </w:p>
        </w:tc>
        <w:tc>
          <w:tcPr>
            <w:tcW w:w="4795" w:type="dxa"/>
          </w:tcPr>
          <w:p w:rsidR="00C74B6F" w:rsidRDefault="00C74B6F"/>
        </w:tc>
      </w:tr>
      <w:tr w:rsidR="00C74B6F">
        <w:tc>
          <w:tcPr>
            <w:tcW w:w="4795" w:type="dxa"/>
            <w:gridSpan w:val="2"/>
          </w:tcPr>
          <w:p w:rsidR="00C74B6F" w:rsidRDefault="00B30B32">
            <w:pPr>
              <w:pStyle w:val="zSoquijdatNomPartieDem"/>
              <w:rPr>
                <w:b/>
              </w:rPr>
            </w:pPr>
            <w:r>
              <w:rPr>
                <w:b/>
              </w:rPr>
              <w:t>Louise Benoît</w:t>
            </w:r>
          </w:p>
        </w:tc>
        <w:tc>
          <w:tcPr>
            <w:tcW w:w="4795" w:type="dxa"/>
          </w:tcPr>
          <w:p w:rsidR="00C74B6F" w:rsidRDefault="00C74B6F"/>
        </w:tc>
      </w:tr>
      <w:tr w:rsidR="00C74B6F">
        <w:tc>
          <w:tcPr>
            <w:tcW w:w="4795" w:type="dxa"/>
            <w:gridSpan w:val="2"/>
          </w:tcPr>
          <w:p w:rsidR="00C74B6F" w:rsidRDefault="00C74B6F">
            <w:pPr>
              <w:pStyle w:val="zSoquijdatQtePartieDem"/>
              <w:ind w:left="708"/>
            </w:pPr>
            <w:r>
              <w:t>Partie requérante</w:t>
            </w:r>
          </w:p>
        </w:tc>
        <w:tc>
          <w:tcPr>
            <w:tcW w:w="4795" w:type="dxa"/>
          </w:tcPr>
          <w:p w:rsidR="00C74B6F" w:rsidRDefault="00C74B6F"/>
        </w:tc>
      </w:tr>
      <w:tr w:rsidR="00C74B6F">
        <w:tc>
          <w:tcPr>
            <w:tcW w:w="4795" w:type="dxa"/>
            <w:gridSpan w:val="2"/>
          </w:tcPr>
          <w:p w:rsidR="00C74B6F" w:rsidRDefault="00C74B6F"/>
        </w:tc>
        <w:tc>
          <w:tcPr>
            <w:tcW w:w="4795" w:type="dxa"/>
          </w:tcPr>
          <w:p w:rsidR="00C74B6F" w:rsidRDefault="00C74B6F"/>
        </w:tc>
      </w:tr>
      <w:tr w:rsidR="00C74B6F">
        <w:tc>
          <w:tcPr>
            <w:tcW w:w="4795" w:type="dxa"/>
            <w:gridSpan w:val="2"/>
          </w:tcPr>
          <w:p w:rsidR="00C74B6F" w:rsidRDefault="00C74B6F">
            <w:r>
              <w:t>et</w:t>
            </w:r>
          </w:p>
        </w:tc>
        <w:tc>
          <w:tcPr>
            <w:tcW w:w="4795" w:type="dxa"/>
          </w:tcPr>
          <w:p w:rsidR="00C74B6F" w:rsidRDefault="00C74B6F"/>
        </w:tc>
      </w:tr>
      <w:tr w:rsidR="00C74B6F">
        <w:tc>
          <w:tcPr>
            <w:tcW w:w="4795" w:type="dxa"/>
            <w:gridSpan w:val="2"/>
          </w:tcPr>
          <w:p w:rsidR="00C74B6F" w:rsidRDefault="00C74B6F"/>
        </w:tc>
        <w:tc>
          <w:tcPr>
            <w:tcW w:w="4795" w:type="dxa"/>
          </w:tcPr>
          <w:p w:rsidR="00C74B6F" w:rsidRDefault="00C74B6F"/>
        </w:tc>
      </w:tr>
      <w:tr w:rsidR="00C74B6F">
        <w:tc>
          <w:tcPr>
            <w:tcW w:w="4795" w:type="dxa"/>
            <w:gridSpan w:val="2"/>
          </w:tcPr>
          <w:p w:rsidR="00C74B6F" w:rsidRDefault="00B30B32">
            <w:pPr>
              <w:pStyle w:val="zSoquijdatNomPartieDef"/>
              <w:rPr>
                <w:b/>
              </w:rPr>
            </w:pPr>
            <w:r>
              <w:rPr>
                <w:b/>
              </w:rPr>
              <w:t>Bombardier Produits récréatifs inc.</w:t>
            </w:r>
          </w:p>
        </w:tc>
        <w:tc>
          <w:tcPr>
            <w:tcW w:w="4795" w:type="dxa"/>
          </w:tcPr>
          <w:p w:rsidR="00C74B6F" w:rsidRDefault="00C74B6F"/>
        </w:tc>
      </w:tr>
      <w:tr w:rsidR="00C74B6F">
        <w:tc>
          <w:tcPr>
            <w:tcW w:w="4795" w:type="dxa"/>
            <w:gridSpan w:val="2"/>
          </w:tcPr>
          <w:p w:rsidR="00C74B6F" w:rsidRDefault="00C74B6F">
            <w:pPr>
              <w:pStyle w:val="zSoquijdatQtePartieDef"/>
              <w:ind w:left="708"/>
            </w:pPr>
            <w:r>
              <w:t>Partie intéressée</w:t>
            </w:r>
          </w:p>
        </w:tc>
        <w:tc>
          <w:tcPr>
            <w:tcW w:w="4795" w:type="dxa"/>
          </w:tcPr>
          <w:p w:rsidR="00C74B6F" w:rsidRDefault="00C74B6F"/>
        </w:tc>
      </w:tr>
      <w:tr w:rsidR="00C74B6F">
        <w:tc>
          <w:tcPr>
            <w:tcW w:w="4795" w:type="dxa"/>
            <w:gridSpan w:val="2"/>
          </w:tcPr>
          <w:p w:rsidR="00C74B6F" w:rsidRDefault="00C74B6F"/>
        </w:tc>
        <w:tc>
          <w:tcPr>
            <w:tcW w:w="4795" w:type="dxa"/>
          </w:tcPr>
          <w:p w:rsidR="00C74B6F" w:rsidRDefault="00C74B6F"/>
        </w:tc>
      </w:tr>
      <w:tr w:rsidR="00C74B6F">
        <w:tc>
          <w:tcPr>
            <w:tcW w:w="4795" w:type="dxa"/>
            <w:gridSpan w:val="2"/>
          </w:tcPr>
          <w:p w:rsidR="00C74B6F" w:rsidRDefault="00C74B6F"/>
        </w:tc>
        <w:tc>
          <w:tcPr>
            <w:tcW w:w="4795" w:type="dxa"/>
          </w:tcPr>
          <w:p w:rsidR="00C74B6F" w:rsidRDefault="00C74B6F"/>
        </w:tc>
      </w:tr>
    </w:tbl>
    <w:p w:rsidR="00C74B6F" w:rsidRDefault="00C74B6F">
      <w:r>
        <w:t>______________________________________________________________________</w:t>
      </w:r>
    </w:p>
    <w:p w:rsidR="00C74B6F" w:rsidRDefault="00C74B6F"/>
    <w:p w:rsidR="00C74B6F" w:rsidRDefault="00C74B6F">
      <w:pPr>
        <w:jc w:val="center"/>
      </w:pPr>
      <w:bookmarkStart w:id="4" w:name="decision"/>
      <w:r>
        <w:t>DÉCISION</w:t>
      </w:r>
      <w:bookmarkEnd w:id="4"/>
    </w:p>
    <w:p w:rsidR="00C74B6F" w:rsidRDefault="00C74B6F">
      <w:pPr>
        <w:jc w:val="center"/>
      </w:pPr>
      <w:r>
        <w:t>______________________________________________________________________</w:t>
      </w:r>
    </w:p>
    <w:p w:rsidR="00C74B6F" w:rsidRDefault="00C74B6F"/>
    <w:p w:rsidR="00C74B6F" w:rsidRDefault="00C74B6F"/>
    <w:p w:rsidR="00C74B6F" w:rsidRPr="003C1D81" w:rsidRDefault="00B30B32" w:rsidP="00951FF1">
      <w:pPr>
        <w:pStyle w:val="corpsdedcision"/>
        <w:tabs>
          <w:tab w:val="clear" w:pos="360"/>
        </w:tabs>
      </w:pPr>
      <w:r>
        <w:t>Le 6</w:t>
      </w:r>
      <w:r w:rsidR="00951FF1">
        <w:t> mars </w:t>
      </w:r>
      <w:r>
        <w:t xml:space="preserve">2015, madame Louise Benoît (la travailleuse) dépose à la Commission des lésions professionnelles une requête par laquelle elle conteste une décision rendue par la </w:t>
      </w:r>
      <w:r>
        <w:rPr>
          <w:rFonts w:cs="Arial"/>
          <w:szCs w:val="24"/>
        </w:rPr>
        <w:t xml:space="preserve">Commission de la santé et de la sécurité du travail (la CSST) le </w:t>
      </w:r>
      <w:r w:rsidR="00951FF1">
        <w:rPr>
          <w:rFonts w:cs="Arial"/>
          <w:szCs w:val="24"/>
        </w:rPr>
        <w:t>25 février </w:t>
      </w:r>
      <w:r w:rsidR="003C1D81">
        <w:rPr>
          <w:rFonts w:cs="Arial"/>
          <w:szCs w:val="24"/>
        </w:rPr>
        <w:t>2015 à la suite d’une révision administrative.</w:t>
      </w:r>
    </w:p>
    <w:p w:rsidR="003C1D81" w:rsidRPr="003C1D81" w:rsidRDefault="003C1D81" w:rsidP="00951FF1">
      <w:pPr>
        <w:pStyle w:val="corpsdedcision"/>
        <w:tabs>
          <w:tab w:val="clear" w:pos="360"/>
        </w:tabs>
      </w:pPr>
      <w:r>
        <w:rPr>
          <w:rFonts w:cs="Arial"/>
          <w:szCs w:val="24"/>
        </w:rPr>
        <w:t>Par cette décisi</w:t>
      </w:r>
      <w:r w:rsidR="00951FF1">
        <w:rPr>
          <w:rFonts w:cs="Arial"/>
          <w:szCs w:val="24"/>
        </w:rPr>
        <w:t>on, la CSST confirme celle du 4 février </w:t>
      </w:r>
      <w:r>
        <w:rPr>
          <w:rFonts w:cs="Arial"/>
          <w:szCs w:val="24"/>
        </w:rPr>
        <w:t xml:space="preserve">2015 et déclare que la travailleuse n’a pas subi </w:t>
      </w:r>
      <w:r w:rsidR="00951FF1">
        <w:rPr>
          <w:rFonts w:cs="Arial"/>
          <w:szCs w:val="24"/>
        </w:rPr>
        <w:t>de lésion professionnelle le 13 janvier 2015.</w:t>
      </w:r>
    </w:p>
    <w:p w:rsidR="003C1D81" w:rsidRPr="003E658B" w:rsidRDefault="003C1D81" w:rsidP="00951FF1">
      <w:pPr>
        <w:pStyle w:val="corpsdedcision"/>
        <w:tabs>
          <w:tab w:val="clear" w:pos="360"/>
        </w:tabs>
      </w:pPr>
      <w:r>
        <w:rPr>
          <w:rFonts w:cs="Arial"/>
          <w:szCs w:val="24"/>
        </w:rPr>
        <w:t>L’audien</w:t>
      </w:r>
      <w:r w:rsidR="00951FF1">
        <w:rPr>
          <w:rFonts w:cs="Arial"/>
          <w:szCs w:val="24"/>
        </w:rPr>
        <w:t>ce a eu lieu à Sherbrooke le 18 août </w:t>
      </w:r>
      <w:r>
        <w:rPr>
          <w:rFonts w:cs="Arial"/>
          <w:szCs w:val="24"/>
        </w:rPr>
        <w:t xml:space="preserve">2015 en présence de la travailleuse et de son représentant. </w:t>
      </w:r>
      <w:r w:rsidR="003E658B">
        <w:rPr>
          <w:rFonts w:cs="Arial"/>
          <w:szCs w:val="24"/>
        </w:rPr>
        <w:t xml:space="preserve">Bombardier Produits Récréatifs inc. (l’employeur) a fait savoir </w:t>
      </w:r>
      <w:r w:rsidR="003E658B">
        <w:rPr>
          <w:rFonts w:cs="Arial"/>
          <w:szCs w:val="24"/>
        </w:rPr>
        <w:lastRenderedPageBreak/>
        <w:t xml:space="preserve">par lettre qu’il ne serait pas présent à l’audience. Le dossier a été mis en délibéré à cette date. </w:t>
      </w:r>
    </w:p>
    <w:p w:rsidR="003E658B" w:rsidRDefault="003E658B">
      <w:pPr>
        <w:pStyle w:val="corpsdedcision"/>
        <w:numPr>
          <w:ilvl w:val="0"/>
          <w:numId w:val="0"/>
        </w:numPr>
      </w:pPr>
      <w:r>
        <w:rPr>
          <w:b/>
        </w:rPr>
        <w:t>L’OBJET DE LA CONTESTATION</w:t>
      </w:r>
    </w:p>
    <w:p w:rsidR="003E658B" w:rsidRDefault="003E658B" w:rsidP="00951FF1">
      <w:pPr>
        <w:pStyle w:val="corpsdedcision"/>
        <w:tabs>
          <w:tab w:val="clear" w:pos="360"/>
        </w:tabs>
      </w:pPr>
      <w:r>
        <w:t>La travailleuse demande de reconnaître qu’elle a subi u</w:t>
      </w:r>
      <w:r w:rsidR="00951FF1">
        <w:t>ne lésion professionnelle le 13 janvier </w:t>
      </w:r>
      <w:r>
        <w:t>2015 sous forme d’accident à l</w:t>
      </w:r>
      <w:r w:rsidR="003404AB">
        <w:t>’occasion du travail.</w:t>
      </w:r>
    </w:p>
    <w:p w:rsidR="003404AB" w:rsidRDefault="003404AB" w:rsidP="003404AB">
      <w:pPr>
        <w:pStyle w:val="corpsdedcision"/>
        <w:numPr>
          <w:ilvl w:val="0"/>
          <w:numId w:val="0"/>
        </w:numPr>
      </w:pPr>
    </w:p>
    <w:p w:rsidR="003E658B" w:rsidRDefault="003E658B">
      <w:pPr>
        <w:pStyle w:val="corpsdedcision"/>
        <w:numPr>
          <w:ilvl w:val="0"/>
          <w:numId w:val="0"/>
        </w:numPr>
      </w:pPr>
      <w:r>
        <w:rPr>
          <w:b/>
        </w:rPr>
        <w:t>LA PREUVE</w:t>
      </w:r>
    </w:p>
    <w:p w:rsidR="00CD7458" w:rsidRDefault="00CD7458" w:rsidP="00951FF1">
      <w:pPr>
        <w:pStyle w:val="corpsdedcision"/>
        <w:tabs>
          <w:tab w:val="clear" w:pos="360"/>
        </w:tabs>
      </w:pPr>
      <w:r>
        <w:t xml:space="preserve">La travailleuse est conseillère en communication et elle détient un poste </w:t>
      </w:r>
      <w:r w:rsidR="00951FF1">
        <w:t>chez l’employeur depuis janvier </w:t>
      </w:r>
      <w:r>
        <w:t>2001.</w:t>
      </w:r>
    </w:p>
    <w:p w:rsidR="00CD7458" w:rsidRDefault="00951FF1" w:rsidP="00951FF1">
      <w:pPr>
        <w:pStyle w:val="corpsdedcision"/>
        <w:tabs>
          <w:tab w:val="clear" w:pos="360"/>
        </w:tabs>
      </w:pPr>
      <w:r>
        <w:t>Le 13 </w:t>
      </w:r>
      <w:r w:rsidR="00CD7458">
        <w:t>janvi</w:t>
      </w:r>
      <w:r>
        <w:t>er </w:t>
      </w:r>
      <w:r w:rsidR="00B62F36">
        <w:t>2015, après avoir stationné</w:t>
      </w:r>
      <w:r w:rsidR="00CD7458">
        <w:t xml:space="preserve"> son véhicule</w:t>
      </w:r>
      <w:r w:rsidR="00C640EA">
        <w:t xml:space="preserve"> dans le stationnement de l’employeur </w:t>
      </w:r>
      <w:r w:rsidR="00CD7458">
        <w:t>en arrivant au travail, elle fait le tour de celui-ci pour enlever les amas de glace</w:t>
      </w:r>
      <w:r w:rsidR="00B62F36">
        <w:t xml:space="preserve"> autour des roues</w:t>
      </w:r>
      <w:r w:rsidR="00CD7458">
        <w:t>. Elle glisse, alors, sur de la neige tapée durement, tombe et ressent une vive douleur au poignet gauche.</w:t>
      </w:r>
      <w:r w:rsidR="00B62F36">
        <w:t xml:space="preserve"> Elle précise à l’audience qu’elle parcourt environ 40</w:t>
      </w:r>
      <w:r>
        <w:t> </w:t>
      </w:r>
      <w:r w:rsidR="00B62F36">
        <w:t>kilomètres de chez elle pour se rendre au travail</w:t>
      </w:r>
      <w:r>
        <w:t xml:space="preserve"> et arrive environ 15 à 20 </w:t>
      </w:r>
      <w:r w:rsidR="00B62F36">
        <w:t xml:space="preserve">minutes à l’avance. </w:t>
      </w:r>
    </w:p>
    <w:p w:rsidR="00B62F36" w:rsidRDefault="00B62F36" w:rsidP="00B62F36">
      <w:pPr>
        <w:pStyle w:val="corpsdedcision"/>
        <w:tabs>
          <w:tab w:val="clear" w:pos="360"/>
        </w:tabs>
      </w:pPr>
      <w:r>
        <w:t xml:space="preserve">La travailleuse explique </w:t>
      </w:r>
      <w:r w:rsidR="00951FF1">
        <w:t>qu’il faisait environ -25 </w:t>
      </w:r>
      <w:r>
        <w:t>degrés Celsius, que le ciel était bleu et qu’elle voulait prévenir que les amas de</w:t>
      </w:r>
      <w:r w:rsidR="00C640EA">
        <w:t xml:space="preserve"> neige autour des roues</w:t>
      </w:r>
      <w:r>
        <w:t xml:space="preserve"> gèlent</w:t>
      </w:r>
      <w:r w:rsidR="00E969D4">
        <w:t xml:space="preserve"> </w:t>
      </w:r>
      <w:r>
        <w:t>d</w:t>
      </w:r>
      <w:r w:rsidR="00E969D4">
        <w:t>urant</w:t>
      </w:r>
      <w:r>
        <w:t xml:space="preserve"> la journée et qu’il soit plus difficile de les enlever au moment de quitter le travail. </w:t>
      </w:r>
      <w:r w:rsidR="002F4001">
        <w:t xml:space="preserve">Elle débute le déglaçage par la roue </w:t>
      </w:r>
      <w:r w:rsidR="002F4001" w:rsidRPr="00C640EA">
        <w:t xml:space="preserve">près </w:t>
      </w:r>
      <w:r w:rsidR="00E969D4" w:rsidRPr="00C640EA">
        <w:t>de la place</w:t>
      </w:r>
      <w:r w:rsidR="00E969D4">
        <w:t xml:space="preserve"> </w:t>
      </w:r>
      <w:r w:rsidR="002F4001">
        <w:t>du chauffeur, va ensuite vers l’arrière et c’est au moment de se rendre à la 3</w:t>
      </w:r>
      <w:r w:rsidR="002F4001" w:rsidRPr="002F4001">
        <w:rPr>
          <w:vertAlign w:val="superscript"/>
        </w:rPr>
        <w:t>e</w:t>
      </w:r>
      <w:r w:rsidR="00951FF1">
        <w:t> </w:t>
      </w:r>
      <w:r w:rsidR="002F4001">
        <w:t xml:space="preserve">roue, en tournant le coin de son véhicule qu’elle glisse et tombe sur son poignet gauche. </w:t>
      </w:r>
      <w:r w:rsidR="00E969D4" w:rsidRPr="00C640EA">
        <w:t>La travailleuse</w:t>
      </w:r>
      <w:r w:rsidR="00C640EA">
        <w:t xml:space="preserve"> </w:t>
      </w:r>
      <w:r w:rsidR="002F4001">
        <w:t xml:space="preserve">ressent sur le coup une douleur importante à la jonction du pouce et du poignet. </w:t>
      </w:r>
    </w:p>
    <w:p w:rsidR="00CD7458" w:rsidRDefault="00CD7458" w:rsidP="00951FF1">
      <w:pPr>
        <w:pStyle w:val="corpsdedcision"/>
        <w:tabs>
          <w:tab w:val="clear" w:pos="360"/>
        </w:tabs>
      </w:pPr>
      <w:r>
        <w:t xml:space="preserve">Le lendemain, elle cesse de travailler et consulte un médecin qui suspecte une fracture du poignet au </w:t>
      </w:r>
      <w:r w:rsidR="006D117F">
        <w:t xml:space="preserve">niveau du radius ou une entorse et demande des tests supplémentaires. </w:t>
      </w:r>
    </w:p>
    <w:p w:rsidR="006D117F" w:rsidRDefault="006D117F" w:rsidP="00C640EA">
      <w:pPr>
        <w:pStyle w:val="corpsdedcision"/>
        <w:tabs>
          <w:tab w:val="clear" w:pos="360"/>
        </w:tabs>
      </w:pPr>
      <w:r>
        <w:t>Le 16</w:t>
      </w:r>
      <w:r w:rsidR="00951FF1">
        <w:t> </w:t>
      </w:r>
      <w:r>
        <w:t>janvier</w:t>
      </w:r>
      <w:r w:rsidR="00951FF1">
        <w:t> </w:t>
      </w:r>
      <w:r>
        <w:t>2015, la travailleuse rédige une réclamation à la CSST. Elle y décrit l’événement :</w:t>
      </w:r>
    </w:p>
    <w:p w:rsidR="006D117F" w:rsidRDefault="006D117F" w:rsidP="006D117F">
      <w:pPr>
        <w:pStyle w:val="citation"/>
      </w:pPr>
      <w:r>
        <w:t xml:space="preserve">Mardi 13 janvier, une fois l’auto garée, j’ai fait le tour pour enlever amas de glace. J’ai glissé sur la neige tapée dure (presque glace) et tout le poids arrêté par la main gauche. Vive douleur au poignet. </w:t>
      </w:r>
    </w:p>
    <w:p w:rsidR="006D117F" w:rsidRDefault="006D117F" w:rsidP="006D117F">
      <w:pPr>
        <w:pStyle w:val="citation"/>
      </w:pPr>
    </w:p>
    <w:p w:rsidR="003404AB" w:rsidRDefault="003404AB" w:rsidP="006D117F">
      <w:pPr>
        <w:pStyle w:val="citation"/>
      </w:pPr>
    </w:p>
    <w:p w:rsidR="00053219" w:rsidRDefault="00053219" w:rsidP="00CD7458">
      <w:pPr>
        <w:pStyle w:val="corpsdedcision"/>
      </w:pPr>
      <w:r>
        <w:lastRenderedPageBreak/>
        <w:t>D’après le rapport d’enquête et analyse de l’accident et de risques santé et sécurité au travail, l’enquête de l’employeur début</w:t>
      </w:r>
      <w:r w:rsidR="00C640EA">
        <w:t>e</w:t>
      </w:r>
      <w:r>
        <w:t xml:space="preserve"> le 15</w:t>
      </w:r>
      <w:r w:rsidR="00951FF1">
        <w:t> </w:t>
      </w:r>
      <w:r>
        <w:t>janvier</w:t>
      </w:r>
      <w:r w:rsidR="00951FF1">
        <w:t> </w:t>
      </w:r>
      <w:r>
        <w:t>2015. La description de l’accident qu’on y trouve est :</w:t>
      </w:r>
    </w:p>
    <w:p w:rsidR="00053219" w:rsidRDefault="00053219" w:rsidP="00053219">
      <w:pPr>
        <w:pStyle w:val="citation"/>
      </w:pPr>
      <w:r>
        <w:t>Mardi 13 janvier une fois l’auto garée, j’ai fais</w:t>
      </w:r>
      <w:r w:rsidR="003B53B9">
        <w:t xml:space="preserve"> </w:t>
      </w:r>
      <w:r w:rsidR="003B53B9">
        <w:rPr>
          <w:rFonts w:cs="Arial"/>
        </w:rPr>
        <w:t>[sic]</w:t>
      </w:r>
      <w:r>
        <w:t xml:space="preserve"> le tour pour enlever amas de glace. J’ai glissé sur la neige tapée dure (presque glace)  et tout le poids </w:t>
      </w:r>
      <w:r w:rsidR="003B53B9">
        <w:t xml:space="preserve">arrêté par la main gauche. Vive douleur au poignet. </w:t>
      </w:r>
    </w:p>
    <w:p w:rsidR="003B53B9" w:rsidRDefault="003B53B9" w:rsidP="00053219">
      <w:pPr>
        <w:pStyle w:val="citation"/>
      </w:pPr>
    </w:p>
    <w:p w:rsidR="00951FF1" w:rsidRDefault="00951FF1" w:rsidP="00053219">
      <w:pPr>
        <w:pStyle w:val="citation"/>
      </w:pPr>
    </w:p>
    <w:p w:rsidR="006D56EC" w:rsidRDefault="006D56EC" w:rsidP="00CD7458">
      <w:pPr>
        <w:pStyle w:val="corpsdedcision"/>
      </w:pPr>
      <w:r>
        <w:t xml:space="preserve">Dans la section portant sur la recherche des faits reliés à l’événement, on lit que la travailleuse était bien chaussée, que le sol était « très glissant, neige tapée presque glace, aucun abrasif » </w:t>
      </w:r>
    </w:p>
    <w:p w:rsidR="006D56EC" w:rsidRDefault="009C3B1F" w:rsidP="00CD7458">
      <w:pPr>
        <w:pStyle w:val="corpsdedcision"/>
      </w:pPr>
      <w:r>
        <w:t xml:space="preserve">Le </w:t>
      </w:r>
      <w:r w:rsidR="006D56EC">
        <w:t>manuel des employés chez l’employeur</w:t>
      </w:r>
      <w:r>
        <w:t xml:space="preserve"> prévoit</w:t>
      </w:r>
      <w:r w:rsidR="006D56EC">
        <w:t>:</w:t>
      </w:r>
    </w:p>
    <w:p w:rsidR="00E733AF" w:rsidRDefault="00E733AF" w:rsidP="00E733AF">
      <w:pPr>
        <w:pStyle w:val="citation"/>
      </w:pPr>
      <w:r>
        <w:t>STATIONNEMENT ET CIRCULATION</w:t>
      </w:r>
    </w:p>
    <w:p w:rsidR="00E733AF" w:rsidRDefault="00E733AF" w:rsidP="00E733AF">
      <w:pPr>
        <w:pStyle w:val="citation"/>
      </w:pPr>
      <w:r>
        <w:t>De vastes terrains de stationnement sont à votre disposition pour garer votre voiture durant vos heures de travail.</w:t>
      </w:r>
    </w:p>
    <w:p w:rsidR="006D56EC" w:rsidRDefault="00E733AF" w:rsidP="00E733AF">
      <w:pPr>
        <w:pStyle w:val="citation"/>
      </w:pPr>
      <w:r>
        <w:t>Nous vous demandons, pour votre sécurité et celle des autres, de respecter les panneaux de signalisation, les stationnements réservés aux handicapés et aux visiteurs et les limites de vitesse lorsque vous circulez en automobile sur les terrains de Bombardier.</w:t>
      </w:r>
    </w:p>
    <w:p w:rsidR="007202FA" w:rsidRDefault="007202FA" w:rsidP="006D56EC">
      <w:pPr>
        <w:pStyle w:val="citation"/>
      </w:pPr>
    </w:p>
    <w:p w:rsidR="00951FF1" w:rsidRDefault="00951FF1" w:rsidP="006D56EC">
      <w:pPr>
        <w:pStyle w:val="citation"/>
      </w:pPr>
    </w:p>
    <w:p w:rsidR="003E658B" w:rsidRDefault="00951FF1" w:rsidP="00CD7458">
      <w:pPr>
        <w:pStyle w:val="corpsdedcision"/>
      </w:pPr>
      <w:r>
        <w:t>Le 18 </w:t>
      </w:r>
      <w:r w:rsidR="00CD7458">
        <w:t>janvier</w:t>
      </w:r>
      <w:r>
        <w:t> </w:t>
      </w:r>
      <w:r w:rsidR="00CD7458">
        <w:t>2015, elle consulte à nouveau un médecin qui diagnostique une entorse du poignet gauche et qui suspecte une fracture du scaphoïde. Le diagnostic d’entorse du poignet gauche sera maintenu lors des visites médicales subséquentes.</w:t>
      </w:r>
    </w:p>
    <w:p w:rsidR="006D117F" w:rsidRDefault="006D117F" w:rsidP="00CD7458">
      <w:pPr>
        <w:pStyle w:val="corpsdedcision"/>
      </w:pPr>
      <w:r>
        <w:t>Le 2</w:t>
      </w:r>
      <w:r w:rsidR="00951FF1">
        <w:t> </w:t>
      </w:r>
      <w:r>
        <w:t>février</w:t>
      </w:r>
      <w:r w:rsidR="00951FF1">
        <w:t> </w:t>
      </w:r>
      <w:r>
        <w:t>2015, l’agent d’indemnisation note en discutant avec la travailleuse que « </w:t>
      </w:r>
      <w:r>
        <w:rPr>
          <w:rFonts w:cs="Arial"/>
        </w:rPr>
        <w:t>[c]</w:t>
      </w:r>
      <w:r>
        <w:t xml:space="preserve">’est en se déplaçant d’une roue à l’autre qu’elle a glissé et fait une chute au sol. Il n’y avait pas de glace, </w:t>
      </w:r>
      <w:r w:rsidR="00E969D4">
        <w:t>plutôt</w:t>
      </w:r>
      <w:r>
        <w:t xml:space="preserve"> de la neige très lisse probablement à cause de la déneigeuse ». </w:t>
      </w:r>
    </w:p>
    <w:p w:rsidR="00CD7458" w:rsidRDefault="00CD7458" w:rsidP="00CD7458">
      <w:pPr>
        <w:pStyle w:val="corpsdedcision"/>
      </w:pPr>
      <w:r>
        <w:t xml:space="preserve"> Le 4</w:t>
      </w:r>
      <w:r w:rsidR="00951FF1">
        <w:t> </w:t>
      </w:r>
      <w:r>
        <w:t>février</w:t>
      </w:r>
      <w:r w:rsidR="00951FF1">
        <w:t> </w:t>
      </w:r>
      <w:r>
        <w:t>2015</w:t>
      </w:r>
      <w:r w:rsidR="00C640EA">
        <w:t>,</w:t>
      </w:r>
      <w:r>
        <w:t xml:space="preserve"> la CSST rend une décision par laquelle elle refuse la réclamation de la travailleuse. Elle considère qu’il ne s’agit pas d’un accident du travail ni d’une autre catégorie de lésion professionnelle. </w:t>
      </w:r>
    </w:p>
    <w:p w:rsidR="00CD7458" w:rsidRDefault="00CD7458" w:rsidP="00CD7458">
      <w:pPr>
        <w:pStyle w:val="corpsdedcision"/>
      </w:pPr>
      <w:r w:rsidRPr="00CD7458">
        <w:t>L</w:t>
      </w:r>
      <w:r>
        <w:t>ors de la révision administrative, l</w:t>
      </w:r>
      <w:r w:rsidRPr="00CD7458">
        <w:t>a tra</w:t>
      </w:r>
      <w:r>
        <w:t xml:space="preserve">vailleuse soumet à la CSST </w:t>
      </w:r>
      <w:r w:rsidRPr="00CD7458">
        <w:t>qu’elle s’est blessée en effectuant son travail. Elle déclare avoir glissé dans le stationnement de son employeur alors qu’elle se déplaçait d’une roue à l’autre de son véhicule pour retirer les amas de neige accumulés entre les roues et la charpente de son véhicule.</w:t>
      </w:r>
    </w:p>
    <w:p w:rsidR="00CD7458" w:rsidRDefault="00951FF1" w:rsidP="00CD7458">
      <w:pPr>
        <w:pStyle w:val="corpsdedcision"/>
      </w:pPr>
      <w:r>
        <w:t>Le 25 février </w:t>
      </w:r>
      <w:r w:rsidR="00CD7458">
        <w:t>2015, la</w:t>
      </w:r>
      <w:r>
        <w:t xml:space="preserve"> CSST confirme sa décision du 4 février </w:t>
      </w:r>
      <w:r w:rsidR="00CD7458">
        <w:t>2015</w:t>
      </w:r>
      <w:r w:rsidR="00E969D4">
        <w:t xml:space="preserve"> </w:t>
      </w:r>
      <w:r>
        <w:t xml:space="preserve">à la </w:t>
      </w:r>
      <w:r w:rsidR="00CD7458">
        <w:t xml:space="preserve">suite </w:t>
      </w:r>
      <w:r>
        <w:t>de</w:t>
      </w:r>
      <w:r w:rsidR="00CD7458">
        <w:t xml:space="preserve"> la révision administrative et déclare que la travailleuse n’a pas subi de lésion professionnelle le 13</w:t>
      </w:r>
      <w:r>
        <w:t> </w:t>
      </w:r>
      <w:r w:rsidR="00CD7458">
        <w:t>janvier</w:t>
      </w:r>
      <w:r>
        <w:t> </w:t>
      </w:r>
      <w:r w:rsidR="00CD7458">
        <w:t>2015, d’où la présente contestation.</w:t>
      </w:r>
    </w:p>
    <w:p w:rsidR="003404AB" w:rsidRDefault="006D117F" w:rsidP="00B42CB6">
      <w:pPr>
        <w:pStyle w:val="corpsdedcision"/>
        <w:numPr>
          <w:ilvl w:val="0"/>
          <w:numId w:val="0"/>
        </w:numPr>
      </w:pPr>
      <w:r>
        <w:lastRenderedPageBreak/>
        <w:t>Le représentant de la travailleuse soumet une décision</w:t>
      </w:r>
      <w:r>
        <w:rPr>
          <w:rStyle w:val="Appelnotedebasdep"/>
        </w:rPr>
        <w:footnoteReference w:id="1"/>
      </w:r>
      <w:r>
        <w:t xml:space="preserve"> au soutien de ses prétentions.</w:t>
      </w:r>
    </w:p>
    <w:p w:rsidR="003404AB" w:rsidRDefault="003404AB" w:rsidP="00B42CB6">
      <w:pPr>
        <w:pStyle w:val="corpsdedcision"/>
        <w:numPr>
          <w:ilvl w:val="0"/>
          <w:numId w:val="0"/>
        </w:numPr>
      </w:pPr>
    </w:p>
    <w:p w:rsidR="003E658B" w:rsidRDefault="003E658B" w:rsidP="00B42CB6">
      <w:pPr>
        <w:pStyle w:val="corpsdedcision"/>
        <w:numPr>
          <w:ilvl w:val="0"/>
          <w:numId w:val="0"/>
        </w:numPr>
      </w:pPr>
      <w:r w:rsidRPr="003404AB">
        <w:rPr>
          <w:b/>
        </w:rPr>
        <w:t>L’AVIS DES MEMBRES</w:t>
      </w:r>
    </w:p>
    <w:p w:rsidR="003E658B" w:rsidRDefault="003E658B">
      <w:pPr>
        <w:pStyle w:val="corpsdedcision"/>
      </w:pPr>
      <w:r>
        <w:t xml:space="preserve"> </w:t>
      </w:r>
      <w:r w:rsidR="00395494">
        <w:t xml:space="preserve">Les membres issus des associations syndicales et des associations d’employeurs sont unanimement d’avis d’accueillir la requête de la travailleuse. Ils considèrent que l’accident survient au moment où </w:t>
      </w:r>
      <w:r w:rsidR="004D13B0">
        <w:t>elle arrive au travail, ce qui n’a pas été interrompu par une</w:t>
      </w:r>
      <w:r w:rsidR="003404AB">
        <w:t xml:space="preserve"> activité purement personnelle.</w:t>
      </w:r>
    </w:p>
    <w:p w:rsidR="003404AB" w:rsidRDefault="003404AB" w:rsidP="003404AB">
      <w:pPr>
        <w:pStyle w:val="corpsdedcision"/>
        <w:numPr>
          <w:ilvl w:val="0"/>
          <w:numId w:val="0"/>
        </w:numPr>
      </w:pPr>
    </w:p>
    <w:p w:rsidR="003E658B" w:rsidRDefault="003E658B">
      <w:pPr>
        <w:pStyle w:val="corpsdedcision"/>
        <w:numPr>
          <w:ilvl w:val="0"/>
          <w:numId w:val="0"/>
        </w:numPr>
      </w:pPr>
      <w:r>
        <w:rPr>
          <w:b/>
        </w:rPr>
        <w:t>LES MOTIFS DE LA DÉCISION</w:t>
      </w:r>
    </w:p>
    <w:p w:rsidR="00A27A8B" w:rsidRDefault="00A27A8B" w:rsidP="00A27A8B">
      <w:pPr>
        <w:pStyle w:val="corpsdedcision"/>
      </w:pPr>
      <w:r>
        <w:t xml:space="preserve">Le tribunal doit décider si la travailleuse a subi une lésion professionnelle, plus particulièrement un accident à l’occasion du travail puisqu’il est admis qu’il ne s’agit pas d’un événement survenu par le fait du travail. </w:t>
      </w:r>
    </w:p>
    <w:p w:rsidR="00A27A8B" w:rsidRDefault="00A27A8B" w:rsidP="00A27A8B">
      <w:pPr>
        <w:pStyle w:val="corpsdedcision"/>
      </w:pPr>
      <w:r>
        <w:t>Rappelons d’abord la définition de l’accident du travail </w:t>
      </w:r>
      <w:r w:rsidR="00907FDF">
        <w:t xml:space="preserve">prévue à la </w:t>
      </w:r>
      <w:r w:rsidR="00907FDF" w:rsidRPr="007C5049">
        <w:rPr>
          <w:rFonts w:cs="Arial"/>
          <w:i/>
          <w:szCs w:val="24"/>
        </w:rPr>
        <w:t>Loi sur les accidents du travail et les maladies professionnelles</w:t>
      </w:r>
      <w:r w:rsidR="00907FDF">
        <w:rPr>
          <w:rStyle w:val="Appelnotedebasdep"/>
          <w:rFonts w:cs="Arial"/>
          <w:i/>
          <w:szCs w:val="24"/>
        </w:rPr>
        <w:footnoteReference w:id="2"/>
      </w:r>
      <w:r w:rsidR="00907FDF">
        <w:rPr>
          <w:rFonts w:cs="Arial"/>
          <w:i/>
          <w:szCs w:val="24"/>
        </w:rPr>
        <w:t xml:space="preserve"> </w:t>
      </w:r>
      <w:r w:rsidR="00907FDF">
        <w:rPr>
          <w:rFonts w:cs="Arial"/>
          <w:szCs w:val="24"/>
        </w:rPr>
        <w:t>(la loi)</w:t>
      </w:r>
      <w:r w:rsidR="00E969D4">
        <w:rPr>
          <w:rFonts w:cs="Arial"/>
          <w:szCs w:val="24"/>
        </w:rPr>
        <w:t> </w:t>
      </w:r>
      <w:r>
        <w:t>:</w:t>
      </w:r>
    </w:p>
    <w:p w:rsidR="00A27A8B" w:rsidRDefault="00A27A8B">
      <w:pPr>
        <w:pStyle w:val="Dfinitions"/>
      </w:pPr>
      <w:r>
        <w:rPr>
          <w:b/>
        </w:rPr>
        <w:t xml:space="preserve">2. </w:t>
      </w:r>
      <w:r>
        <w:t>Dans la présente loi, à moins que le contexte n'indique un sens différent, on entend par</w:t>
      </w:r>
      <w:r w:rsidR="00420133">
        <w:t> </w:t>
      </w:r>
      <w:r>
        <w:t>:</w:t>
      </w:r>
    </w:p>
    <w:p w:rsidR="00A27A8B" w:rsidRDefault="00A27A8B">
      <w:pPr>
        <w:pStyle w:val="Dfinitions"/>
      </w:pPr>
    </w:p>
    <w:p w:rsidR="00A27A8B" w:rsidRDefault="00A27A8B">
      <w:pPr>
        <w:pStyle w:val="Dfinitions"/>
      </w:pPr>
      <w:r>
        <w:rPr>
          <w:b/>
        </w:rPr>
        <w:t xml:space="preserve">« accident du travail » </w:t>
      </w:r>
      <w:r>
        <w:t>: un événement imprévu et soudain attribuable à toute cause, survenant à une personne par le fait ou à l'occasion de son travail et qui entraîne pour elle une lésion professionnelle;</w:t>
      </w:r>
    </w:p>
    <w:p w:rsidR="00A27A8B" w:rsidRDefault="00A27A8B">
      <w:pPr>
        <w:pStyle w:val="Dfinitions"/>
      </w:pPr>
      <w:r>
        <w:t>__________</w:t>
      </w:r>
    </w:p>
    <w:p w:rsidR="00A27A8B" w:rsidRDefault="00A27A8B">
      <w:pPr>
        <w:pStyle w:val="articlesdelaLATMP"/>
      </w:pPr>
      <w:r>
        <w:t>1985, c. 6, a. 2; 1997, c. 27, a. 1; 1999, c. 14, a. 2; 1999, c. 40, a. 4; 1999, c. 89, a. 53; 2002, c. 6, a. 76; 2002, c. 76, a. 27; 2006, c. 53, a. 1; 2009, c. 24, a. 72.</w:t>
      </w:r>
    </w:p>
    <w:p w:rsidR="00A27A8B" w:rsidRDefault="00A27A8B">
      <w:pPr>
        <w:pStyle w:val="Dfinitions"/>
      </w:pPr>
    </w:p>
    <w:p w:rsidR="00A27A8B" w:rsidRDefault="00A27A8B">
      <w:pPr>
        <w:pStyle w:val="Dfinitions"/>
      </w:pPr>
    </w:p>
    <w:p w:rsidR="00A27A8B" w:rsidRDefault="00A27A8B" w:rsidP="00A27A8B">
      <w:pPr>
        <w:pStyle w:val="corpsdedcision"/>
      </w:pPr>
      <w:r>
        <w:t>Ainsi, pour réussir dans le présent dossier, la travailleuse doit démontrer que survient un événement imprévu et soudain attribuable à toute cause, à l’occasion du travail, et la relation causale avec le diagnostic posé, en l’occurrence « entorse du poignet gauche ».</w:t>
      </w:r>
    </w:p>
    <w:p w:rsidR="00907FDF" w:rsidRDefault="00907FDF" w:rsidP="00907FDF">
      <w:pPr>
        <w:pStyle w:val="corpsdedcision"/>
      </w:pPr>
      <w:r>
        <w:t>Le diagnostic n’a pas fait l’objet d’une procédure d’évaluation médicale de sorte que la Commission des lésions professionnelles tout comme la CSST est liée par le diagnostic du médecin qui a charge en vertu de l’article</w:t>
      </w:r>
      <w:r w:rsidR="00951FF1">
        <w:t> </w:t>
      </w:r>
      <w:r>
        <w:t>224 de la</w:t>
      </w:r>
      <w:r>
        <w:rPr>
          <w:iCs/>
        </w:rPr>
        <w:t xml:space="preserve"> loi</w:t>
      </w:r>
      <w:r>
        <w:t> :</w:t>
      </w:r>
    </w:p>
    <w:p w:rsidR="00907FDF" w:rsidRDefault="00907FDF" w:rsidP="00907FDF">
      <w:pPr>
        <w:pStyle w:val="articlesdelaLATMP"/>
      </w:pPr>
      <w:r w:rsidRPr="00873C39">
        <w:rPr>
          <w:b/>
        </w:rPr>
        <w:t>224.</w:t>
      </w:r>
      <w:r>
        <w:t xml:space="preserve">  Aux fins de rendre une décision en vertu de la présente loi, et sous réserve de l'article 224.1, </w:t>
      </w:r>
      <w:smartTag w:uri="urn:schemas-microsoft-com:office:smarttags" w:element="PersonName">
        <w:smartTagPr>
          <w:attr w:name="ProductID" w:val="la Commission"/>
        </w:smartTagPr>
        <w:r>
          <w:t>la Commission</w:t>
        </w:r>
      </w:smartTag>
      <w:r>
        <w:t xml:space="preserve"> est liée par le diagnostic et les autres conclusions établis par le médecin qui a charge du travailleur relativement aux sujets mentionnés aux paragraphes 1° à 5° du premier alinéa de l'article 212.</w:t>
      </w:r>
    </w:p>
    <w:p w:rsidR="00907FDF" w:rsidRDefault="00907FDF" w:rsidP="00907FDF">
      <w:pPr>
        <w:pStyle w:val="articlesdelaLATMP"/>
      </w:pPr>
      <w:r>
        <w:t>__________</w:t>
      </w:r>
    </w:p>
    <w:p w:rsidR="00907FDF" w:rsidRDefault="00907FDF" w:rsidP="00907FDF">
      <w:pPr>
        <w:pStyle w:val="articlesdelaLATMP"/>
      </w:pPr>
      <w:r>
        <w:t xml:space="preserve">1985, c. </w:t>
      </w:r>
      <w:smartTag w:uri="urn:schemas-microsoft-com:office:smarttags" w:element="metricconverter">
        <w:smartTagPr>
          <w:attr w:name="ProductID" w:val="6, a"/>
        </w:smartTagPr>
        <w:r>
          <w:t>6, a</w:t>
        </w:r>
      </w:smartTag>
      <w:r>
        <w:t xml:space="preserve">. 224; 1992, c. </w:t>
      </w:r>
      <w:smartTag w:uri="urn:schemas-microsoft-com:office:smarttags" w:element="metricconverter">
        <w:smartTagPr>
          <w:attr w:name="ProductID" w:val="11, a"/>
        </w:smartTagPr>
        <w:r>
          <w:t>11, a</w:t>
        </w:r>
      </w:smartTag>
      <w:r>
        <w:t>. 26.</w:t>
      </w:r>
    </w:p>
    <w:p w:rsidR="00907FDF" w:rsidRDefault="00907FDF" w:rsidP="00907FDF">
      <w:pPr>
        <w:pStyle w:val="articlesdelaLATMP"/>
      </w:pPr>
    </w:p>
    <w:p w:rsidR="00907FDF" w:rsidRDefault="00907FDF" w:rsidP="00907FDF">
      <w:pPr>
        <w:pStyle w:val="articlesdelaLATMP"/>
      </w:pPr>
    </w:p>
    <w:p w:rsidR="00907FDF" w:rsidRPr="00907FDF" w:rsidRDefault="00907FDF" w:rsidP="00907FDF">
      <w:pPr>
        <w:numPr>
          <w:ilvl w:val="0"/>
          <w:numId w:val="1"/>
        </w:numPr>
        <w:tabs>
          <w:tab w:val="left" w:pos="720"/>
        </w:tabs>
        <w:spacing w:after="360"/>
        <w:jc w:val="both"/>
      </w:pPr>
      <w:r>
        <w:t xml:space="preserve">Le tribunal reconnaît que la chute de la travailleuse dans le stationnement constitue un événement imprévu et soudain et qu’il y a une relation causale entre cet événement et le diagnostic d’entorse du poignet gauche. La question qui se pose est plutôt de savoir si cet événement survient « à l’occasion du travail ». </w:t>
      </w:r>
      <w:r w:rsidRPr="00907FDF">
        <w:t>Cette notion n’est pas définie dans la loi, mais a fait l’objet de plusieurs décisions</w:t>
      </w:r>
      <w:r w:rsidRPr="00907FDF">
        <w:rPr>
          <w:vertAlign w:val="superscript"/>
        </w:rPr>
        <w:footnoteReference w:id="3"/>
      </w:r>
      <w:r w:rsidRPr="00907FDF">
        <w:t>.</w:t>
      </w:r>
    </w:p>
    <w:p w:rsidR="00907FDF" w:rsidRPr="00907FDF" w:rsidRDefault="00907FDF" w:rsidP="00907FDF">
      <w:pPr>
        <w:numPr>
          <w:ilvl w:val="0"/>
          <w:numId w:val="1"/>
        </w:numPr>
        <w:tabs>
          <w:tab w:val="left" w:pos="720"/>
        </w:tabs>
        <w:spacing w:after="360"/>
        <w:jc w:val="both"/>
        <w:rPr>
          <w:szCs w:val="24"/>
        </w:rPr>
      </w:pPr>
      <w:r w:rsidRPr="00907FDF">
        <w:t>Selon la jurisprudence</w:t>
      </w:r>
      <w:r>
        <w:t xml:space="preserve"> de la Commission des lésions professionnelles</w:t>
      </w:r>
      <w:r w:rsidRPr="00907FDF">
        <w:t>, les éléments qui doivent être appréciés pour</w:t>
      </w:r>
      <w:r w:rsidR="00951FF1">
        <w:t xml:space="preserve"> répondre à cette question sont </w:t>
      </w:r>
      <w:r w:rsidRPr="00907FDF">
        <w:t xml:space="preserve">: </w:t>
      </w:r>
    </w:p>
    <w:p w:rsidR="00907FDF" w:rsidRPr="00907FDF" w:rsidRDefault="00951FF1" w:rsidP="00907FDF">
      <w:pPr>
        <w:numPr>
          <w:ilvl w:val="0"/>
          <w:numId w:val="2"/>
        </w:numPr>
        <w:ind w:right="720"/>
        <w:jc w:val="both"/>
        <w:rPr>
          <w:szCs w:val="24"/>
        </w:rPr>
      </w:pPr>
      <w:r>
        <w:rPr>
          <w:szCs w:val="24"/>
        </w:rPr>
        <w:t>le lieu de l</w:t>
      </w:r>
      <w:r w:rsidR="00E969D4">
        <w:rPr>
          <w:szCs w:val="24"/>
        </w:rPr>
        <w:t>’</w:t>
      </w:r>
      <w:r>
        <w:rPr>
          <w:szCs w:val="24"/>
        </w:rPr>
        <w:t>événement;</w:t>
      </w:r>
    </w:p>
    <w:p w:rsidR="00907FDF" w:rsidRPr="00907FDF" w:rsidRDefault="00907FDF" w:rsidP="00907FDF">
      <w:pPr>
        <w:ind w:left="720" w:right="720"/>
        <w:jc w:val="both"/>
        <w:rPr>
          <w:szCs w:val="24"/>
        </w:rPr>
      </w:pPr>
    </w:p>
    <w:p w:rsidR="00907FDF" w:rsidRPr="00907FDF" w:rsidRDefault="00907FDF" w:rsidP="00907FDF">
      <w:pPr>
        <w:numPr>
          <w:ilvl w:val="0"/>
          <w:numId w:val="2"/>
        </w:numPr>
        <w:ind w:right="720"/>
        <w:jc w:val="both"/>
        <w:rPr>
          <w:szCs w:val="24"/>
        </w:rPr>
      </w:pPr>
      <w:r w:rsidRPr="00907FDF">
        <w:rPr>
          <w:szCs w:val="24"/>
        </w:rPr>
        <w:t>le moment de l</w:t>
      </w:r>
      <w:r w:rsidR="00E969D4">
        <w:rPr>
          <w:szCs w:val="24"/>
        </w:rPr>
        <w:t>’</w:t>
      </w:r>
      <w:r w:rsidRPr="00907FDF">
        <w:rPr>
          <w:szCs w:val="24"/>
        </w:rPr>
        <w:t>événement;</w:t>
      </w:r>
    </w:p>
    <w:p w:rsidR="00907FDF" w:rsidRPr="00907FDF" w:rsidRDefault="00907FDF" w:rsidP="00907FDF">
      <w:pPr>
        <w:ind w:left="720" w:right="720"/>
        <w:jc w:val="both"/>
        <w:rPr>
          <w:szCs w:val="24"/>
        </w:rPr>
      </w:pPr>
    </w:p>
    <w:p w:rsidR="00907FDF" w:rsidRPr="00907FDF" w:rsidRDefault="00907FDF" w:rsidP="00907FDF">
      <w:pPr>
        <w:numPr>
          <w:ilvl w:val="0"/>
          <w:numId w:val="2"/>
        </w:numPr>
        <w:ind w:right="720"/>
        <w:jc w:val="both"/>
        <w:rPr>
          <w:szCs w:val="24"/>
        </w:rPr>
      </w:pPr>
      <w:r w:rsidRPr="00907FDF">
        <w:rPr>
          <w:szCs w:val="24"/>
        </w:rPr>
        <w:t>la rémunération de l</w:t>
      </w:r>
      <w:r w:rsidR="00E969D4">
        <w:rPr>
          <w:szCs w:val="24"/>
        </w:rPr>
        <w:t>’</w:t>
      </w:r>
      <w:r w:rsidRPr="00907FDF">
        <w:rPr>
          <w:szCs w:val="24"/>
        </w:rPr>
        <w:t>activité exercée par le travailleur au moment de l</w:t>
      </w:r>
      <w:r w:rsidR="00E969D4">
        <w:rPr>
          <w:szCs w:val="24"/>
        </w:rPr>
        <w:t>’</w:t>
      </w:r>
      <w:r w:rsidRPr="00907FDF">
        <w:rPr>
          <w:szCs w:val="24"/>
        </w:rPr>
        <w:t>événement;</w:t>
      </w:r>
    </w:p>
    <w:p w:rsidR="00907FDF" w:rsidRPr="00907FDF" w:rsidRDefault="00907FDF" w:rsidP="00907FDF">
      <w:pPr>
        <w:ind w:left="720"/>
        <w:contextualSpacing/>
        <w:rPr>
          <w:szCs w:val="24"/>
        </w:rPr>
      </w:pPr>
    </w:p>
    <w:p w:rsidR="00907FDF" w:rsidRPr="00907FDF" w:rsidRDefault="00907FDF" w:rsidP="00907FDF">
      <w:pPr>
        <w:numPr>
          <w:ilvl w:val="0"/>
          <w:numId w:val="2"/>
        </w:numPr>
        <w:ind w:right="720"/>
        <w:jc w:val="both"/>
        <w:rPr>
          <w:szCs w:val="24"/>
        </w:rPr>
      </w:pPr>
      <w:r w:rsidRPr="00907FDF">
        <w:rPr>
          <w:szCs w:val="24"/>
        </w:rPr>
        <w:t>l</w:t>
      </w:r>
      <w:r w:rsidR="00E969D4">
        <w:rPr>
          <w:szCs w:val="24"/>
        </w:rPr>
        <w:t>’</w:t>
      </w:r>
      <w:r w:rsidRPr="00907FDF">
        <w:rPr>
          <w:szCs w:val="24"/>
        </w:rPr>
        <w:t>existence et le degré d</w:t>
      </w:r>
      <w:r w:rsidR="00E969D4">
        <w:rPr>
          <w:szCs w:val="24"/>
        </w:rPr>
        <w:t>’</w:t>
      </w:r>
      <w:r w:rsidRPr="00907FDF">
        <w:rPr>
          <w:szCs w:val="24"/>
        </w:rPr>
        <w:t>autorité ou de subordination de l</w:t>
      </w:r>
      <w:r w:rsidR="00E969D4">
        <w:rPr>
          <w:szCs w:val="24"/>
        </w:rPr>
        <w:t>’</w:t>
      </w:r>
      <w:r w:rsidRPr="00907FDF">
        <w:rPr>
          <w:szCs w:val="24"/>
        </w:rPr>
        <w:t>employeur lorsque l</w:t>
      </w:r>
      <w:r w:rsidR="00E969D4">
        <w:rPr>
          <w:szCs w:val="24"/>
        </w:rPr>
        <w:t>’</w:t>
      </w:r>
      <w:r w:rsidRPr="00907FDF">
        <w:rPr>
          <w:szCs w:val="24"/>
        </w:rPr>
        <w:t>événement ne survient ni sur les lieux n</w:t>
      </w:r>
      <w:r w:rsidR="00951FF1">
        <w:rPr>
          <w:szCs w:val="24"/>
        </w:rPr>
        <w:t>i durant les heures de travail;</w:t>
      </w:r>
    </w:p>
    <w:p w:rsidR="00907FDF" w:rsidRPr="00907FDF" w:rsidRDefault="00907FDF" w:rsidP="00907FDF">
      <w:pPr>
        <w:ind w:left="1410" w:right="720"/>
        <w:jc w:val="both"/>
        <w:rPr>
          <w:szCs w:val="24"/>
        </w:rPr>
      </w:pPr>
    </w:p>
    <w:p w:rsidR="00907FDF" w:rsidRPr="00907FDF" w:rsidRDefault="00907FDF" w:rsidP="00907FDF">
      <w:pPr>
        <w:numPr>
          <w:ilvl w:val="0"/>
          <w:numId w:val="2"/>
        </w:numPr>
        <w:ind w:right="720"/>
        <w:jc w:val="both"/>
        <w:rPr>
          <w:szCs w:val="24"/>
        </w:rPr>
      </w:pPr>
      <w:r w:rsidRPr="00907FDF">
        <w:rPr>
          <w:szCs w:val="24"/>
        </w:rPr>
        <w:t>la finalité de l</w:t>
      </w:r>
      <w:r w:rsidR="00E969D4">
        <w:rPr>
          <w:szCs w:val="24"/>
        </w:rPr>
        <w:t>’</w:t>
      </w:r>
      <w:r w:rsidRPr="00907FDF">
        <w:rPr>
          <w:szCs w:val="24"/>
        </w:rPr>
        <w:t>activité exercée au moment de l</w:t>
      </w:r>
      <w:r w:rsidR="00E969D4">
        <w:rPr>
          <w:szCs w:val="24"/>
        </w:rPr>
        <w:t>’</w:t>
      </w:r>
      <w:r w:rsidRPr="00907FDF">
        <w:rPr>
          <w:szCs w:val="24"/>
        </w:rPr>
        <w:t>événement qu</w:t>
      </w:r>
      <w:r w:rsidR="00E969D4">
        <w:rPr>
          <w:szCs w:val="24"/>
        </w:rPr>
        <w:t>’</w:t>
      </w:r>
      <w:r w:rsidRPr="00907FDF">
        <w:rPr>
          <w:szCs w:val="24"/>
        </w:rPr>
        <w:t>elle soit incidente, accessoire ou facultati</w:t>
      </w:r>
      <w:r w:rsidR="00951FF1">
        <w:rPr>
          <w:szCs w:val="24"/>
        </w:rPr>
        <w:t>ve à ses conditions de travail;</w:t>
      </w:r>
    </w:p>
    <w:p w:rsidR="00907FDF" w:rsidRPr="00907FDF" w:rsidRDefault="00907FDF" w:rsidP="00907FDF">
      <w:pPr>
        <w:ind w:left="1410" w:right="720"/>
        <w:jc w:val="both"/>
        <w:rPr>
          <w:szCs w:val="24"/>
        </w:rPr>
      </w:pPr>
    </w:p>
    <w:p w:rsidR="00907FDF" w:rsidRPr="00420133" w:rsidRDefault="00907FDF" w:rsidP="00907FDF">
      <w:pPr>
        <w:numPr>
          <w:ilvl w:val="0"/>
          <w:numId w:val="2"/>
        </w:numPr>
        <w:ind w:right="720"/>
        <w:jc w:val="both"/>
        <w:rPr>
          <w:sz w:val="20"/>
          <w:szCs w:val="24"/>
        </w:rPr>
      </w:pPr>
      <w:r w:rsidRPr="00907FDF">
        <w:rPr>
          <w:szCs w:val="24"/>
        </w:rPr>
        <w:t>le caractère de connexité ou d</w:t>
      </w:r>
      <w:r w:rsidR="00E969D4">
        <w:rPr>
          <w:szCs w:val="24"/>
        </w:rPr>
        <w:t>’</w:t>
      </w:r>
      <w:r w:rsidRPr="00907FDF">
        <w:rPr>
          <w:szCs w:val="24"/>
        </w:rPr>
        <w:t>utilité relative de l</w:t>
      </w:r>
      <w:r w:rsidR="00E969D4">
        <w:rPr>
          <w:szCs w:val="24"/>
        </w:rPr>
        <w:t>’</w:t>
      </w:r>
      <w:r w:rsidRPr="00907FDF">
        <w:rPr>
          <w:szCs w:val="24"/>
        </w:rPr>
        <w:t>activité du travailleur en regard de l</w:t>
      </w:r>
      <w:r w:rsidR="00E969D4">
        <w:rPr>
          <w:szCs w:val="24"/>
        </w:rPr>
        <w:t>’</w:t>
      </w:r>
      <w:r w:rsidRPr="00907FDF">
        <w:rPr>
          <w:szCs w:val="24"/>
        </w:rPr>
        <w:t>accomplissement du trava</w:t>
      </w:r>
      <w:r w:rsidR="00951FF1">
        <w:rPr>
          <w:szCs w:val="24"/>
        </w:rPr>
        <w:t>il.</w:t>
      </w:r>
    </w:p>
    <w:p w:rsidR="00420133" w:rsidRDefault="00420133" w:rsidP="00420133">
      <w:pPr>
        <w:pStyle w:val="Paragraphedeliste"/>
        <w:rPr>
          <w:sz w:val="20"/>
          <w:szCs w:val="24"/>
        </w:rPr>
      </w:pPr>
    </w:p>
    <w:p w:rsidR="00420133" w:rsidRPr="00907FDF" w:rsidRDefault="00420133" w:rsidP="00420133">
      <w:pPr>
        <w:ind w:right="720"/>
        <w:jc w:val="both"/>
        <w:rPr>
          <w:sz w:val="20"/>
          <w:szCs w:val="24"/>
        </w:rPr>
      </w:pPr>
    </w:p>
    <w:p w:rsidR="00A27A8B" w:rsidRDefault="00907FDF" w:rsidP="006042A2">
      <w:pPr>
        <w:numPr>
          <w:ilvl w:val="0"/>
          <w:numId w:val="1"/>
        </w:numPr>
        <w:tabs>
          <w:tab w:val="left" w:pos="720"/>
        </w:tabs>
        <w:spacing w:after="360"/>
        <w:jc w:val="both"/>
      </w:pPr>
      <w:r>
        <w:t xml:space="preserve">Une </w:t>
      </w:r>
      <w:r w:rsidRPr="00907FDF">
        <w:t>décision de la Cour d’appel</w:t>
      </w:r>
      <w:r w:rsidRPr="00907FDF">
        <w:rPr>
          <w:vertAlign w:val="superscript"/>
        </w:rPr>
        <w:footnoteReference w:id="4"/>
      </w:r>
      <w:r w:rsidRPr="00907FDF">
        <w:t xml:space="preserve"> reprend les mêmes critères. L’appréciation se fait en tenant compte de l’ensemble des circonstances propres à chaque cas et aucun facteur n’est seul décisif</w:t>
      </w:r>
      <w:r w:rsidRPr="00907FDF">
        <w:rPr>
          <w:vertAlign w:val="superscript"/>
        </w:rPr>
        <w:footnoteReference w:id="5"/>
      </w:r>
      <w:r w:rsidR="00951FF1">
        <w:t>.</w:t>
      </w:r>
    </w:p>
    <w:p w:rsidR="00B62F36" w:rsidRDefault="006042A2" w:rsidP="006042A2">
      <w:pPr>
        <w:numPr>
          <w:ilvl w:val="0"/>
          <w:numId w:val="1"/>
        </w:numPr>
        <w:tabs>
          <w:tab w:val="left" w:pos="720"/>
        </w:tabs>
        <w:spacing w:after="360"/>
        <w:jc w:val="both"/>
      </w:pPr>
      <w:r>
        <w:t>L’événement survient dans le stationnement</w:t>
      </w:r>
      <w:r w:rsidR="0013132D">
        <w:t>,</w:t>
      </w:r>
      <w:r>
        <w:t xml:space="preserve"> propriété de l’employeur et mis à la disposition des employés. </w:t>
      </w:r>
      <w:r w:rsidR="00B62F36">
        <w:t>L’usage d’un stationnement que l’employeur met à la disposition des travailleurs fait partie des conditions de travail. A priori, l’accident qui y survient est reconnu comme étant en relation avec le travail</w:t>
      </w:r>
      <w:r w:rsidR="00B62F36">
        <w:rPr>
          <w:rStyle w:val="Appelnotedebasdep"/>
        </w:rPr>
        <w:footnoteReference w:id="6"/>
      </w:r>
      <w:r w:rsidR="00951FF1">
        <w:t>.</w:t>
      </w:r>
    </w:p>
    <w:p w:rsidR="006042A2" w:rsidRDefault="00B62F36" w:rsidP="006042A2">
      <w:pPr>
        <w:numPr>
          <w:ilvl w:val="0"/>
          <w:numId w:val="1"/>
        </w:numPr>
        <w:tabs>
          <w:tab w:val="left" w:pos="720"/>
        </w:tabs>
        <w:spacing w:after="360"/>
        <w:jc w:val="both"/>
      </w:pPr>
      <w:r>
        <w:t xml:space="preserve">L’accident survient environ une quinzaine de minutes avant le début du quart de travail de la travailleuse. </w:t>
      </w:r>
      <w:r w:rsidR="006042A2">
        <w:t xml:space="preserve">La preuve ne révèle pas qu’elle est rémunérée durant cette période ni qu’il existe à ce moment un lien de subordination ou d’autorité. </w:t>
      </w:r>
    </w:p>
    <w:p w:rsidR="006042A2" w:rsidRDefault="0032362C" w:rsidP="006042A2">
      <w:pPr>
        <w:pStyle w:val="corpsdedcision"/>
      </w:pPr>
      <w:r>
        <w:t>Le tribunal estime</w:t>
      </w:r>
      <w:r w:rsidR="006042A2">
        <w:t xml:space="preserve"> que le</w:t>
      </w:r>
      <w:r w:rsidR="008C64C6">
        <w:t>s principaux</w:t>
      </w:r>
      <w:r w:rsidR="006042A2">
        <w:t xml:space="preserve"> critère</w:t>
      </w:r>
      <w:r w:rsidR="008C64C6">
        <w:t>s</w:t>
      </w:r>
      <w:r w:rsidR="006042A2">
        <w:t xml:space="preserve"> à examiner </w:t>
      </w:r>
      <w:r w:rsidR="008C64C6">
        <w:t>sont</w:t>
      </w:r>
      <w:r w:rsidR="006042A2">
        <w:t xml:space="preserve"> </w:t>
      </w:r>
      <w:r w:rsidR="008C64C6">
        <w:t>ceux</w:t>
      </w:r>
      <w:r w:rsidR="006042A2">
        <w:t xml:space="preserve"> de la connexité</w:t>
      </w:r>
      <w:r w:rsidR="008C64C6">
        <w:t xml:space="preserve"> avec le travail</w:t>
      </w:r>
      <w:r w:rsidR="006042A2">
        <w:t xml:space="preserve">, soit le lien plus ou moins étroit qui existe entre le travail et l’activité </w:t>
      </w:r>
      <w:r w:rsidR="008C64C6">
        <w:t>par laquelle survient la lésion, et ceux de l’utilité pour l’employeur.</w:t>
      </w:r>
    </w:p>
    <w:p w:rsidR="006042A2" w:rsidRDefault="00517747" w:rsidP="006042A2">
      <w:pPr>
        <w:numPr>
          <w:ilvl w:val="0"/>
          <w:numId w:val="1"/>
        </w:numPr>
        <w:tabs>
          <w:tab w:val="left" w:pos="720"/>
        </w:tabs>
        <w:spacing w:after="360"/>
        <w:jc w:val="both"/>
      </w:pPr>
      <w:r>
        <w:t xml:space="preserve">Lorsque l’événement survient, la travailleuse a déjà garé sa voiture, en est sortie et s’affaire à faire le tour de celle-ci pour déglacer les roues en prévision de son départ après la fin de son quart de travail. </w:t>
      </w:r>
      <w:r w:rsidR="0032362C">
        <w:t xml:space="preserve">Le tribunal remarque qu’elle chute en se déplaçant d’une roue à l’autre et non au moment de déglacer comme tel. </w:t>
      </w:r>
    </w:p>
    <w:p w:rsidR="00BC42EC" w:rsidRDefault="00517747" w:rsidP="004342A9">
      <w:pPr>
        <w:numPr>
          <w:ilvl w:val="0"/>
          <w:numId w:val="1"/>
        </w:numPr>
        <w:tabs>
          <w:tab w:val="left" w:pos="720"/>
        </w:tabs>
        <w:spacing w:after="360"/>
        <w:jc w:val="both"/>
      </w:pPr>
      <w:r>
        <w:t xml:space="preserve">Quelques décisions de la Commission des lésions professionnelles </w:t>
      </w:r>
      <w:r w:rsidR="0032362C">
        <w:t xml:space="preserve">qui </w:t>
      </w:r>
      <w:r>
        <w:t xml:space="preserve">portent </w:t>
      </w:r>
      <w:r w:rsidR="00AB7CFB">
        <w:t>sur des situations similaires</w:t>
      </w:r>
      <w:r w:rsidR="0032362C">
        <w:t xml:space="preserve"> sont susceptibles d’éclairer le tribunal</w:t>
      </w:r>
      <w:r w:rsidR="00AB7CFB">
        <w:t xml:space="preserve">. </w:t>
      </w:r>
      <w:r w:rsidR="0013132D">
        <w:t xml:space="preserve">Résumant les principes </w:t>
      </w:r>
      <w:r w:rsidR="00BC42EC">
        <w:t xml:space="preserve">dans </w:t>
      </w:r>
      <w:r w:rsidR="00BC42EC" w:rsidRPr="0013132D">
        <w:rPr>
          <w:i/>
        </w:rPr>
        <w:t>Burton</w:t>
      </w:r>
      <w:r w:rsidR="00BC42EC">
        <w:t xml:space="preserve"> et </w:t>
      </w:r>
      <w:r w:rsidR="00BC42EC" w:rsidRPr="0013132D">
        <w:rPr>
          <w:i/>
        </w:rPr>
        <w:t>Tim Horton</w:t>
      </w:r>
      <w:r w:rsidR="00BC42EC">
        <w:rPr>
          <w:rStyle w:val="Appelnotedebasdep"/>
        </w:rPr>
        <w:footnoteReference w:id="7"/>
      </w:r>
      <w:r w:rsidR="00BC42EC">
        <w:t>, la Commission des lésions professionnelles écrit :</w:t>
      </w:r>
    </w:p>
    <w:p w:rsidR="00BC42EC" w:rsidRDefault="00BC42EC" w:rsidP="00BC42EC">
      <w:pPr>
        <w:pStyle w:val="citation"/>
      </w:pPr>
      <w:r>
        <w:t>[27]</w:t>
      </w:r>
      <w:r>
        <w:tab/>
        <w:t xml:space="preserve">La jurisprudence reconnaît ainsi qu’un événement accidentel qui se produit alors que le </w:t>
      </w:r>
      <w:r w:rsidRPr="003A5FD0">
        <w:t>travailleur arrive à son lieu de travail ou en repart, en utilisant les voies d’accès usuelles mises à sa disposition par son employeur, constitue un accident survenu à l’occasion du travail. Cette activité doit toutefois prendre place à l’intérieur d’un délai raisonnable précédant ou suivant le début ou la fin du quart de travail et elle ne doit pas être interrompue par une autre activité strictement personnelle.</w:t>
      </w:r>
    </w:p>
    <w:p w:rsidR="00E969D4" w:rsidRPr="003A5FD0" w:rsidRDefault="00E969D4" w:rsidP="00BC42EC">
      <w:pPr>
        <w:pStyle w:val="citation"/>
      </w:pPr>
    </w:p>
    <w:p w:rsidR="00BC42EC" w:rsidRDefault="00BC42EC" w:rsidP="00BC42EC">
      <w:pPr>
        <w:pStyle w:val="citation"/>
      </w:pPr>
      <w:r w:rsidRPr="003A5FD0">
        <w:t>[28]</w:t>
      </w:r>
      <w:r w:rsidRPr="003A5FD0">
        <w:tab/>
        <w:t>De plus, l’analyse de l’ensemble des décisions rendues sur ce sujet permet de constater qu’est considéré comme voie d’accès, au travail, le stationnement qu’utilise le</w:t>
      </w:r>
      <w:r>
        <w:t xml:space="preserve"> travailleur pour garer son automobile, lorsque celui-ci est mis à sa disposition par l’employeur</w:t>
      </w:r>
      <w:r w:rsidR="00806718" w:rsidRPr="00806718">
        <w:rPr>
          <w:vertAlign w:val="superscript"/>
        </w:rPr>
        <w:t>5</w:t>
      </w:r>
      <w:r>
        <w:t>. Ainsi, le stationnement de l’employeur demeure une voie d’accès, au travail, lorsque le travailleur l’utilise pour y circuler afin de se rendre à l’entrée de l’établissement.</w:t>
      </w:r>
    </w:p>
    <w:p w:rsidR="00806718" w:rsidRDefault="00806718" w:rsidP="00BC42EC">
      <w:pPr>
        <w:pStyle w:val="citation"/>
      </w:pPr>
      <w:r>
        <w:t xml:space="preserve">_____________________________ </w:t>
      </w:r>
    </w:p>
    <w:p w:rsidR="00806718" w:rsidRDefault="00806718" w:rsidP="00806718">
      <w:pPr>
        <w:pStyle w:val="Notedebasdepage"/>
        <w:tabs>
          <w:tab w:val="left" w:pos="709"/>
        </w:tabs>
        <w:ind w:left="709" w:hanging="709"/>
        <w:jc w:val="both"/>
        <w:rPr>
          <w:sz w:val="20"/>
        </w:rPr>
      </w:pPr>
      <w:r>
        <w:tab/>
      </w:r>
      <w:r w:rsidRPr="00806718">
        <w:rPr>
          <w:sz w:val="20"/>
        </w:rPr>
        <w:t xml:space="preserve">5 </w:t>
      </w:r>
      <w:r>
        <w:rPr>
          <w:i/>
          <w:sz w:val="20"/>
        </w:rPr>
        <w:t>Steinberg inc</w:t>
      </w:r>
      <w:r>
        <w:rPr>
          <w:sz w:val="20"/>
        </w:rPr>
        <w:t xml:space="preserve">. et </w:t>
      </w:r>
      <w:r>
        <w:rPr>
          <w:i/>
          <w:sz w:val="20"/>
        </w:rPr>
        <w:t>Brissette</w:t>
      </w:r>
      <w:r>
        <w:rPr>
          <w:sz w:val="20"/>
        </w:rPr>
        <w:t xml:space="preserve">, [1986] C.A.L.P. 120, requête en révision judiciaire rejetée, [1987] C.A.L.P. 394 (C.S.); </w:t>
      </w:r>
      <w:r>
        <w:rPr>
          <w:i/>
          <w:sz w:val="20"/>
        </w:rPr>
        <w:t>Pratt &amp; Whitney Canada inc.</w:t>
      </w:r>
      <w:r>
        <w:rPr>
          <w:sz w:val="20"/>
        </w:rPr>
        <w:t xml:space="preserve"> et </w:t>
      </w:r>
      <w:r>
        <w:rPr>
          <w:i/>
          <w:sz w:val="20"/>
        </w:rPr>
        <w:t>Grothé</w:t>
      </w:r>
      <w:r>
        <w:rPr>
          <w:sz w:val="20"/>
        </w:rPr>
        <w:t xml:space="preserve">, [1988] C.A.L.P. 157, requête en révision judiciaire rejetée, [1988] C.A.L.P. 245 (C.S.); </w:t>
      </w:r>
      <w:r>
        <w:rPr>
          <w:i/>
          <w:sz w:val="20"/>
        </w:rPr>
        <w:t>Partagec inc.</w:t>
      </w:r>
      <w:r>
        <w:rPr>
          <w:sz w:val="20"/>
        </w:rPr>
        <w:t xml:space="preserve"> et </w:t>
      </w:r>
      <w:r>
        <w:rPr>
          <w:i/>
          <w:sz w:val="20"/>
        </w:rPr>
        <w:t>Chavanel</w:t>
      </w:r>
      <w:r>
        <w:rPr>
          <w:sz w:val="20"/>
        </w:rPr>
        <w:t>, C.A.L.P. 71067</w:t>
      </w:r>
      <w:r>
        <w:rPr>
          <w:sz w:val="20"/>
        </w:rPr>
        <w:noBreakHyphen/>
        <w:t xml:space="preserve">03-9507, 5 novembre </w:t>
      </w:r>
      <w:smartTag w:uri="urn:schemas-microsoft-com:office:smarttags" w:element="metricconverter">
        <w:smartTagPr>
          <w:attr w:name="ProductID" w:val="1996, G"/>
        </w:smartTagPr>
        <w:r>
          <w:rPr>
            <w:sz w:val="20"/>
          </w:rPr>
          <w:t>1996, G</w:t>
        </w:r>
      </w:smartTag>
      <w:r>
        <w:rPr>
          <w:sz w:val="20"/>
        </w:rPr>
        <w:t xml:space="preserve">. Godin; </w:t>
      </w:r>
      <w:r>
        <w:rPr>
          <w:i/>
          <w:sz w:val="20"/>
        </w:rPr>
        <w:t>Richard Veilleux Imprimerie Lithographie inc</w:t>
      </w:r>
      <w:r>
        <w:rPr>
          <w:sz w:val="20"/>
        </w:rPr>
        <w:t xml:space="preserve">. et </w:t>
      </w:r>
      <w:r>
        <w:rPr>
          <w:i/>
          <w:sz w:val="20"/>
        </w:rPr>
        <w:t>Dubord</w:t>
      </w:r>
      <w:r>
        <w:rPr>
          <w:sz w:val="20"/>
        </w:rPr>
        <w:t xml:space="preserve">, C.A.L.P. 91097-63-9709, 13 mars </w:t>
      </w:r>
      <w:smartTag w:uri="urn:schemas-microsoft-com:office:smarttags" w:element="metricconverter">
        <w:smartTagPr>
          <w:attr w:name="ProductID" w:val="1998, G"/>
        </w:smartTagPr>
        <w:r>
          <w:rPr>
            <w:sz w:val="20"/>
          </w:rPr>
          <w:t>1998, G</w:t>
        </w:r>
      </w:smartTag>
      <w:r>
        <w:rPr>
          <w:sz w:val="20"/>
        </w:rPr>
        <w:t xml:space="preserve">. Robichaud; </w:t>
      </w:r>
      <w:r>
        <w:rPr>
          <w:i/>
          <w:sz w:val="20"/>
        </w:rPr>
        <w:t>St-Aubin</w:t>
      </w:r>
      <w:r>
        <w:rPr>
          <w:sz w:val="20"/>
        </w:rPr>
        <w:t xml:space="preserve"> et </w:t>
      </w:r>
      <w:r>
        <w:rPr>
          <w:i/>
          <w:sz w:val="20"/>
        </w:rPr>
        <w:t>Dominion Bridge inc</w:t>
      </w:r>
      <w:r>
        <w:rPr>
          <w:sz w:val="20"/>
        </w:rPr>
        <w:t xml:space="preserve">. et </w:t>
      </w:r>
      <w:r>
        <w:rPr>
          <w:i/>
          <w:sz w:val="20"/>
        </w:rPr>
        <w:t>CSST</w:t>
      </w:r>
      <w:r>
        <w:rPr>
          <w:sz w:val="20"/>
        </w:rPr>
        <w:t xml:space="preserve">, C.L.P. 109115-72-9901, 26 mai </w:t>
      </w:r>
      <w:smartTag w:uri="urn:schemas-microsoft-com:office:smarttags" w:element="metricconverter">
        <w:smartTagPr>
          <w:attr w:name="ProductID" w:val="1999, L"/>
        </w:smartTagPr>
        <w:r>
          <w:rPr>
            <w:sz w:val="20"/>
          </w:rPr>
          <w:t>1999, L</w:t>
        </w:r>
      </w:smartTag>
      <w:r>
        <w:rPr>
          <w:sz w:val="20"/>
        </w:rPr>
        <w:t xml:space="preserve">. Boudreault; </w:t>
      </w:r>
      <w:r>
        <w:rPr>
          <w:i/>
          <w:sz w:val="20"/>
        </w:rPr>
        <w:t>Q.I.T. Fer et Titane inc</w:t>
      </w:r>
      <w:r>
        <w:rPr>
          <w:sz w:val="20"/>
        </w:rPr>
        <w:t xml:space="preserve">. et </w:t>
      </w:r>
      <w:r>
        <w:rPr>
          <w:i/>
          <w:sz w:val="20"/>
        </w:rPr>
        <w:t>Laporte</w:t>
      </w:r>
      <w:r>
        <w:rPr>
          <w:sz w:val="20"/>
        </w:rPr>
        <w:t>, C.L.P. 111551</w:t>
      </w:r>
      <w:r>
        <w:rPr>
          <w:sz w:val="20"/>
        </w:rPr>
        <w:noBreakHyphen/>
        <w:t xml:space="preserve">62-9902, 19 octobre </w:t>
      </w:r>
      <w:smartTag w:uri="urn:schemas-microsoft-com:office:smarttags" w:element="metricconverter">
        <w:smartTagPr>
          <w:attr w:name="ProductID" w:val="1999, L"/>
        </w:smartTagPr>
        <w:r>
          <w:rPr>
            <w:sz w:val="20"/>
          </w:rPr>
          <w:t>1999, L</w:t>
        </w:r>
      </w:smartTag>
      <w:r>
        <w:rPr>
          <w:sz w:val="20"/>
        </w:rPr>
        <w:t xml:space="preserve">. Vallières; </w:t>
      </w:r>
      <w:r>
        <w:rPr>
          <w:i/>
          <w:sz w:val="20"/>
        </w:rPr>
        <w:t>Coulombe</w:t>
      </w:r>
      <w:r>
        <w:rPr>
          <w:sz w:val="20"/>
        </w:rPr>
        <w:t xml:space="preserve"> et </w:t>
      </w:r>
      <w:r>
        <w:rPr>
          <w:i/>
          <w:sz w:val="20"/>
        </w:rPr>
        <w:t>Les Promotions sociales</w:t>
      </w:r>
      <w:r w:rsidRPr="00806718">
        <w:rPr>
          <w:i/>
          <w:sz w:val="20"/>
        </w:rPr>
        <w:t xml:space="preserve"> </w:t>
      </w:r>
      <w:r>
        <w:rPr>
          <w:i/>
          <w:sz w:val="20"/>
        </w:rPr>
        <w:t>Taylor-Thibodeau</w:t>
      </w:r>
      <w:r>
        <w:rPr>
          <w:sz w:val="20"/>
        </w:rPr>
        <w:t xml:space="preserve">, C.L.P. 113122-71-9903, 20 décembre </w:t>
      </w:r>
      <w:smartTag w:uri="urn:schemas-microsoft-com:office:smarttags" w:element="metricconverter">
        <w:smartTagPr>
          <w:attr w:name="ProductID" w:val="1999, A"/>
        </w:smartTagPr>
        <w:r>
          <w:rPr>
            <w:sz w:val="20"/>
          </w:rPr>
          <w:t>1999, A</w:t>
        </w:r>
      </w:smartTag>
      <w:r>
        <w:rPr>
          <w:sz w:val="20"/>
        </w:rPr>
        <w:t xml:space="preserve">. Vaillancourt; </w:t>
      </w:r>
      <w:r>
        <w:rPr>
          <w:i/>
          <w:sz w:val="20"/>
        </w:rPr>
        <w:t>M’Bemba Meka</w:t>
      </w:r>
      <w:r>
        <w:rPr>
          <w:sz w:val="20"/>
        </w:rPr>
        <w:t xml:space="preserve"> et </w:t>
      </w:r>
      <w:r>
        <w:rPr>
          <w:i/>
          <w:sz w:val="20"/>
        </w:rPr>
        <w:t>C.H. Maisonneuve-Rosemont</w:t>
      </w:r>
      <w:r>
        <w:rPr>
          <w:sz w:val="20"/>
        </w:rPr>
        <w:t xml:space="preserve">, C.L.P. 137011-71-0004, 28 février 2001, D. Gruffy; </w:t>
      </w:r>
      <w:r>
        <w:rPr>
          <w:i/>
          <w:sz w:val="20"/>
        </w:rPr>
        <w:t>Centre hospitalier affilié universitaire de</w:t>
      </w:r>
      <w:r>
        <w:rPr>
          <w:sz w:val="20"/>
        </w:rPr>
        <w:t xml:space="preserve"> </w:t>
      </w:r>
      <w:r>
        <w:rPr>
          <w:i/>
          <w:sz w:val="20"/>
        </w:rPr>
        <w:t>Québec (Pavillon St-Sacrement)</w:t>
      </w:r>
      <w:r>
        <w:rPr>
          <w:sz w:val="20"/>
        </w:rPr>
        <w:t xml:space="preserve"> et </w:t>
      </w:r>
      <w:r>
        <w:rPr>
          <w:i/>
          <w:sz w:val="20"/>
        </w:rPr>
        <w:t>Vandal</w:t>
      </w:r>
      <w:r>
        <w:rPr>
          <w:sz w:val="20"/>
        </w:rPr>
        <w:t>, C.L.P. 151089</w:t>
      </w:r>
      <w:r>
        <w:rPr>
          <w:sz w:val="20"/>
        </w:rPr>
        <w:noBreakHyphen/>
        <w:t>03B</w:t>
      </w:r>
      <w:r>
        <w:rPr>
          <w:sz w:val="20"/>
        </w:rPr>
        <w:noBreakHyphen/>
        <w:t xml:space="preserve">0011, 15 mars </w:t>
      </w:r>
      <w:smartTag w:uri="urn:schemas-microsoft-com:office:smarttags" w:element="metricconverter">
        <w:smartTagPr>
          <w:attr w:name="ProductID" w:val="2001, G"/>
        </w:smartTagPr>
        <w:r>
          <w:rPr>
            <w:sz w:val="20"/>
          </w:rPr>
          <w:t>2001, G</w:t>
        </w:r>
      </w:smartTag>
      <w:r>
        <w:rPr>
          <w:sz w:val="20"/>
        </w:rPr>
        <w:t xml:space="preserve">. Marquis; </w:t>
      </w:r>
      <w:r>
        <w:rPr>
          <w:i/>
          <w:sz w:val="20"/>
        </w:rPr>
        <w:t>McOnie</w:t>
      </w:r>
      <w:r>
        <w:rPr>
          <w:sz w:val="20"/>
        </w:rPr>
        <w:t xml:space="preserve"> et </w:t>
      </w:r>
      <w:r>
        <w:rPr>
          <w:i/>
          <w:sz w:val="20"/>
        </w:rPr>
        <w:t>Ville de Pointe-Claire</w:t>
      </w:r>
      <w:r>
        <w:rPr>
          <w:sz w:val="20"/>
        </w:rPr>
        <w:t>, C.L.P. 148129</w:t>
      </w:r>
      <w:r>
        <w:rPr>
          <w:sz w:val="20"/>
        </w:rPr>
        <w:noBreakHyphen/>
        <w:t xml:space="preserve">71-0010, 10 avril </w:t>
      </w:r>
      <w:smartTag w:uri="urn:schemas-microsoft-com:office:smarttags" w:element="metricconverter">
        <w:smartTagPr>
          <w:attr w:name="ProductID" w:val="2001, A"/>
        </w:smartTagPr>
        <w:r>
          <w:rPr>
            <w:sz w:val="20"/>
          </w:rPr>
          <w:t>2001, A</w:t>
        </w:r>
      </w:smartTag>
      <w:r>
        <w:rPr>
          <w:sz w:val="20"/>
        </w:rPr>
        <w:t xml:space="preserve">. Vaillancourt; </w:t>
      </w:r>
      <w:r>
        <w:rPr>
          <w:i/>
          <w:sz w:val="20"/>
        </w:rPr>
        <w:t>Paradis</w:t>
      </w:r>
      <w:r>
        <w:rPr>
          <w:sz w:val="20"/>
        </w:rPr>
        <w:t xml:space="preserve"> et </w:t>
      </w:r>
      <w:r>
        <w:rPr>
          <w:i/>
          <w:sz w:val="20"/>
        </w:rPr>
        <w:t>Multi</w:t>
      </w:r>
      <w:r>
        <w:rPr>
          <w:i/>
          <w:sz w:val="20"/>
        </w:rPr>
        <w:noBreakHyphen/>
        <w:t>Marques inc</w:t>
      </w:r>
      <w:r>
        <w:rPr>
          <w:sz w:val="20"/>
        </w:rPr>
        <w:t>., C.L.P. 127898</w:t>
      </w:r>
      <w:r>
        <w:rPr>
          <w:sz w:val="20"/>
        </w:rPr>
        <w:noBreakHyphen/>
        <w:t>32</w:t>
      </w:r>
      <w:r>
        <w:rPr>
          <w:sz w:val="20"/>
        </w:rPr>
        <w:noBreakHyphen/>
        <w:t xml:space="preserve">9912, 11 avril </w:t>
      </w:r>
      <w:smartTag w:uri="urn:schemas-microsoft-com:office:smarttags" w:element="metricconverter">
        <w:smartTagPr>
          <w:attr w:name="ProductID" w:val="2001, C"/>
        </w:smartTagPr>
        <w:r>
          <w:rPr>
            <w:sz w:val="20"/>
          </w:rPr>
          <w:t>2001, C</w:t>
        </w:r>
      </w:smartTag>
      <w:r>
        <w:rPr>
          <w:sz w:val="20"/>
        </w:rPr>
        <w:t xml:space="preserve">. Lessard; </w:t>
      </w:r>
      <w:r>
        <w:rPr>
          <w:i/>
          <w:sz w:val="20"/>
        </w:rPr>
        <w:t>Hôtel-Dieu de Roberval</w:t>
      </w:r>
      <w:r>
        <w:rPr>
          <w:sz w:val="20"/>
        </w:rPr>
        <w:t xml:space="preserve"> et </w:t>
      </w:r>
      <w:r>
        <w:rPr>
          <w:i/>
          <w:sz w:val="20"/>
        </w:rPr>
        <w:t>Bonneau</w:t>
      </w:r>
      <w:r>
        <w:rPr>
          <w:sz w:val="20"/>
        </w:rPr>
        <w:t>, C.L.P. 161005</w:t>
      </w:r>
      <w:r>
        <w:rPr>
          <w:sz w:val="20"/>
        </w:rPr>
        <w:noBreakHyphen/>
        <w:t xml:space="preserve">02-0105, 12 novembre 2001, R. Deraiche; </w:t>
      </w:r>
      <w:r>
        <w:rPr>
          <w:i/>
          <w:sz w:val="20"/>
        </w:rPr>
        <w:t xml:space="preserve">Lemay </w:t>
      </w:r>
      <w:r>
        <w:rPr>
          <w:sz w:val="20"/>
        </w:rPr>
        <w:t xml:space="preserve">et </w:t>
      </w:r>
      <w:r>
        <w:rPr>
          <w:i/>
          <w:sz w:val="20"/>
        </w:rPr>
        <w:t>Sico inc</w:t>
      </w:r>
      <w:r>
        <w:rPr>
          <w:sz w:val="20"/>
        </w:rPr>
        <w:t xml:space="preserve">., C.L.P. 170051-62-0110, 25 janvier 2002, R. L. Beaudoin; </w:t>
      </w:r>
      <w:r>
        <w:rPr>
          <w:i/>
          <w:sz w:val="20"/>
        </w:rPr>
        <w:t>Proteau</w:t>
      </w:r>
      <w:r>
        <w:rPr>
          <w:sz w:val="20"/>
        </w:rPr>
        <w:t xml:space="preserve"> et </w:t>
      </w:r>
      <w:r>
        <w:rPr>
          <w:i/>
          <w:sz w:val="20"/>
        </w:rPr>
        <w:t>Broderie MP inc</w:t>
      </w:r>
      <w:r>
        <w:rPr>
          <w:sz w:val="20"/>
        </w:rPr>
        <w:t xml:space="preserve">., C.L.P. 184205-62A-0205, 18 février </w:t>
      </w:r>
      <w:smartTag w:uri="urn:schemas-microsoft-com:office:smarttags" w:element="metricconverter">
        <w:smartTagPr>
          <w:attr w:name="ProductID" w:val="2003, C"/>
        </w:smartTagPr>
        <w:r>
          <w:rPr>
            <w:sz w:val="20"/>
          </w:rPr>
          <w:t>2003, C</w:t>
        </w:r>
      </w:smartTag>
      <w:r>
        <w:rPr>
          <w:sz w:val="20"/>
        </w:rPr>
        <w:t xml:space="preserve">. Demers; </w:t>
      </w:r>
      <w:r>
        <w:rPr>
          <w:i/>
          <w:sz w:val="20"/>
        </w:rPr>
        <w:t>Dupuis</w:t>
      </w:r>
      <w:r>
        <w:rPr>
          <w:sz w:val="20"/>
        </w:rPr>
        <w:t xml:space="preserve"> et </w:t>
      </w:r>
      <w:r>
        <w:rPr>
          <w:i/>
          <w:sz w:val="20"/>
        </w:rPr>
        <w:t>Collins &amp; Aikman Canada inc</w:t>
      </w:r>
      <w:r>
        <w:rPr>
          <w:sz w:val="20"/>
        </w:rPr>
        <w:t>., C.L.P. 217129-62A-0309, 11 février 2004, D. Rivard.</w:t>
      </w:r>
    </w:p>
    <w:p w:rsidR="00806718" w:rsidRDefault="00806718" w:rsidP="00BC42EC">
      <w:pPr>
        <w:pStyle w:val="citation"/>
      </w:pPr>
    </w:p>
    <w:p w:rsidR="00806718" w:rsidRDefault="00806718" w:rsidP="00BC42EC">
      <w:pPr>
        <w:pStyle w:val="citation"/>
      </w:pPr>
    </w:p>
    <w:p w:rsidR="0013132D" w:rsidRDefault="003D7110" w:rsidP="004342A9">
      <w:pPr>
        <w:numPr>
          <w:ilvl w:val="0"/>
          <w:numId w:val="1"/>
        </w:numPr>
        <w:tabs>
          <w:tab w:val="left" w:pos="720"/>
        </w:tabs>
        <w:spacing w:after="360"/>
        <w:jc w:val="both"/>
      </w:pPr>
      <w:r>
        <w:t>Ainsi, l</w:t>
      </w:r>
      <w:r w:rsidR="0013132D">
        <w:t xml:space="preserve">’accident qui survient au moment où un travailleur arrive ou repart des lieux du travail, dans un délai raisonnable avant ou après son quart de travail, qui se trouve sur des voies d’accès au travail incluant le stationnement sera considéré comme un accident du travail. Toutefois, le fait d’arriver ou de repartir du travail ne doit pas avoir été </w:t>
      </w:r>
      <w:r w:rsidR="0013132D" w:rsidRPr="0013132D">
        <w:t>interrompu par une autre activité strictement personnelle.</w:t>
      </w:r>
    </w:p>
    <w:p w:rsidR="00AB7CFB" w:rsidRPr="00AB7CFB" w:rsidRDefault="00AB7CFB" w:rsidP="004342A9">
      <w:pPr>
        <w:numPr>
          <w:ilvl w:val="0"/>
          <w:numId w:val="1"/>
        </w:numPr>
        <w:tabs>
          <w:tab w:val="left" w:pos="720"/>
        </w:tabs>
        <w:spacing w:after="360"/>
        <w:jc w:val="both"/>
      </w:pPr>
      <w:r>
        <w:t xml:space="preserve">Le représentant de la travailleuse a soumis la décision </w:t>
      </w:r>
      <w:r w:rsidRPr="00AB7CFB">
        <w:rPr>
          <w:rFonts w:cs="Arial"/>
          <w:i/>
          <w:szCs w:val="24"/>
        </w:rPr>
        <w:t>Natrel inc.</w:t>
      </w:r>
      <w:r w:rsidRPr="00AB7CFB">
        <w:rPr>
          <w:rFonts w:cs="Arial"/>
          <w:szCs w:val="24"/>
        </w:rPr>
        <w:t xml:space="preserve"> et </w:t>
      </w:r>
      <w:r w:rsidRPr="00AB7CFB">
        <w:rPr>
          <w:rFonts w:cs="Arial"/>
          <w:i/>
          <w:szCs w:val="24"/>
        </w:rPr>
        <w:t>Pauzé</w:t>
      </w:r>
      <w:r>
        <w:rPr>
          <w:rStyle w:val="Appelnotedebasdep"/>
          <w:rFonts w:cs="Arial"/>
          <w:i/>
          <w:szCs w:val="24"/>
        </w:rPr>
        <w:footnoteReference w:id="8"/>
      </w:r>
      <w:r w:rsidRPr="00AB7CFB">
        <w:rPr>
          <w:rFonts w:cs="Arial"/>
          <w:szCs w:val="24"/>
        </w:rPr>
        <w:t xml:space="preserve"> concernant le cas d’une travailleuse qui se blesse à la cheville gauche </w:t>
      </w:r>
      <w:r w:rsidR="007D61C3">
        <w:rPr>
          <w:rFonts w:cs="Arial"/>
          <w:szCs w:val="24"/>
        </w:rPr>
        <w:t xml:space="preserve">après son quart de travail </w:t>
      </w:r>
      <w:r w:rsidRPr="00AB7CFB">
        <w:rPr>
          <w:rFonts w:cs="Arial"/>
          <w:szCs w:val="24"/>
        </w:rPr>
        <w:t xml:space="preserve">dans le stationnement fourni par l’employeur en glissant sur la glace en contournant sa voiture qu’elle déneige après l’avoir démarrée. </w:t>
      </w:r>
      <w:r>
        <w:rPr>
          <w:rFonts w:cs="Arial"/>
          <w:szCs w:val="24"/>
        </w:rPr>
        <w:t xml:space="preserve">La </w:t>
      </w:r>
      <w:r w:rsidRPr="00AB7CFB">
        <w:rPr>
          <w:rFonts w:cs="Arial"/>
          <w:szCs w:val="24"/>
        </w:rPr>
        <w:t>Commission des lésions professionnelles</w:t>
      </w:r>
      <w:r>
        <w:rPr>
          <w:rFonts w:cs="Arial"/>
          <w:szCs w:val="24"/>
        </w:rPr>
        <w:t xml:space="preserve"> écrit :</w:t>
      </w:r>
    </w:p>
    <w:p w:rsidR="00AB7CFB" w:rsidRDefault="00AB7CFB" w:rsidP="00AB7CFB">
      <w:pPr>
        <w:pStyle w:val="citation"/>
      </w:pPr>
      <w:r w:rsidRPr="00AB7CFB">
        <w:t>Dans le présent cas, le fait de déneiger ou de déglacer la voiture dans le stationnement, n'interrompt pas le lien avec l'employeur.  Cette activité de la travailleuse est reliée au fait d'y stationner son auto et de lui permettre de quitter les lieux de travail; contrairement à l'argumentation et à la jurisprudence déposées par l'employeur, cela ne constitue pas une activité purement personnelle.</w:t>
      </w:r>
    </w:p>
    <w:p w:rsidR="00AB7CFB" w:rsidRDefault="00AB7CFB" w:rsidP="00AB7CFB">
      <w:pPr>
        <w:pStyle w:val="citation"/>
      </w:pPr>
    </w:p>
    <w:p w:rsidR="00951FF1" w:rsidRDefault="00951FF1" w:rsidP="00AB7CFB">
      <w:pPr>
        <w:pStyle w:val="citation"/>
      </w:pPr>
    </w:p>
    <w:p w:rsidR="0032362C" w:rsidRDefault="0032362C" w:rsidP="0032362C">
      <w:pPr>
        <w:pStyle w:val="corpsdedcision"/>
      </w:pPr>
      <w:r>
        <w:t xml:space="preserve">Amenée à se prononcer dans le cas d’un travailleur ayant glissé dans le stationnement de l’employeur alors qu’il déglaçait son véhicule à la fin de sa journée de travail, la Commission des lésions professionnelles a aussi estimé dans </w:t>
      </w:r>
      <w:r w:rsidRPr="003361A5">
        <w:rPr>
          <w:i/>
        </w:rPr>
        <w:t>Lemay</w:t>
      </w:r>
      <w:r>
        <w:t xml:space="preserve"> et </w:t>
      </w:r>
      <w:r w:rsidRPr="003361A5">
        <w:rPr>
          <w:i/>
        </w:rPr>
        <w:t>Sico inc.</w:t>
      </w:r>
      <w:r>
        <w:rPr>
          <w:rStyle w:val="Appelnotedebasdep"/>
        </w:rPr>
        <w:footnoteReference w:id="9"/>
      </w:r>
      <w:r>
        <w:t xml:space="preserve"> : </w:t>
      </w:r>
    </w:p>
    <w:p w:rsidR="0032362C" w:rsidRDefault="0032362C" w:rsidP="0032362C">
      <w:pPr>
        <w:pStyle w:val="citation"/>
      </w:pPr>
      <w:r w:rsidRPr="005E0F0D">
        <w:t>[14]</w:t>
      </w:r>
      <w:r w:rsidRPr="005E0F0D">
        <w:tab/>
        <w:t>La Commission des lésions professionnelles est d’avis que la connexité de l’activité avec le travail est suffisante pour conclure que le travailleur agit encore dans le cadre de ses activités reliées au travail. Il doit tout de même entrer et sortir du travail et la loi, de l’avis de la Commission des lésions professionnelles, lorsqu’elle inclut les événements survenant à l’occasion du travail, a pour objet d’indemniser le travailleur lorsqu’il exerce une telle activité d’entrer ou de sortir des lieux du travail. Le travailleur n’est pas encore entré dans une sphère d’activité qui est uniquement personnelle. La connexité avec le travail et l’utilité pour l’employeur sont encore présentes.</w:t>
      </w:r>
      <w:r>
        <w:t xml:space="preserve"> </w:t>
      </w:r>
    </w:p>
    <w:p w:rsidR="0032362C" w:rsidRDefault="0032362C" w:rsidP="0032362C">
      <w:pPr>
        <w:pStyle w:val="citation"/>
      </w:pPr>
    </w:p>
    <w:p w:rsidR="00951FF1" w:rsidRDefault="00951FF1" w:rsidP="0032362C">
      <w:pPr>
        <w:pStyle w:val="citation"/>
      </w:pPr>
    </w:p>
    <w:p w:rsidR="00BC42EC" w:rsidRDefault="0032362C" w:rsidP="00BC42EC">
      <w:pPr>
        <w:pStyle w:val="corpsdedcision"/>
      </w:pPr>
      <w:r>
        <w:t xml:space="preserve">Le tribunal retient de ces deux décisions que le fait de déneiger </w:t>
      </w:r>
      <w:r w:rsidR="000520CD">
        <w:t xml:space="preserve">ou déglacer la voiture qui se trouve dans le stationnement fourni par l’employeur à la fin d’un quart de travail n’amène pas un travailleur dans une sphère d’activité qui est uniquement personnelle. </w:t>
      </w:r>
      <w:r w:rsidR="00C640EA">
        <w:t>Dans ces circonstances, l</w:t>
      </w:r>
      <w:r w:rsidR="000520CD">
        <w:t xml:space="preserve">a connexité </w:t>
      </w:r>
      <w:r w:rsidR="008C64C6">
        <w:t xml:space="preserve">avec le travail </w:t>
      </w:r>
      <w:r w:rsidR="000520CD">
        <w:t>et l’utilité</w:t>
      </w:r>
      <w:r w:rsidR="008C64C6">
        <w:t xml:space="preserve"> pour l’employeur</w:t>
      </w:r>
      <w:r w:rsidR="00BC42EC">
        <w:t xml:space="preserve"> sont encore présentes. </w:t>
      </w:r>
    </w:p>
    <w:p w:rsidR="00E62E4C" w:rsidRDefault="00E62E4C" w:rsidP="00D72109">
      <w:pPr>
        <w:pStyle w:val="corpsdedcision"/>
        <w:tabs>
          <w:tab w:val="clear" w:pos="360"/>
          <w:tab w:val="num" w:pos="720"/>
        </w:tabs>
      </w:pPr>
      <w:r>
        <w:t>Par contre, dans une autre décision</w:t>
      </w:r>
      <w:r>
        <w:rPr>
          <w:rStyle w:val="Appelnotedebasdep"/>
        </w:rPr>
        <w:footnoteReference w:id="10"/>
      </w:r>
      <w:r>
        <w:t>, une travailleuse arrivant au travail et voyant la neige tombée, après avoir stationné sa voiture dans le stationnement de l’employeur</w:t>
      </w:r>
      <w:r w:rsidR="00C251F2">
        <w:t xml:space="preserve"> et s’être dirigée vers les lieux du travail</w:t>
      </w:r>
      <w:r>
        <w:t xml:space="preserve"> avait décidé de retourner à sa voiture dans le but de </w:t>
      </w:r>
      <w:r w:rsidR="00C251F2">
        <w:t xml:space="preserve">la </w:t>
      </w:r>
      <w:r>
        <w:t xml:space="preserve">déplacer </w:t>
      </w:r>
      <w:r w:rsidR="00C251F2">
        <w:t xml:space="preserve">pour </w:t>
      </w:r>
      <w:r>
        <w:t>la stationner dans la rue. La travailleuse chute alors près de sa voiture toujours dans le stationnement de l’employeur. La Commission des lésions professionnelles arrive à la conclusion qu’en décidant de retourner sur ses pas pour déplacer sa voiture, la travailleuse a exercé un choix strictement personnel. Elle retient qu’initialement, en sortant de sa voiture pour se diriger vers l’entrée, la travailleuse était dans sa sphère d’activité professionnelle</w:t>
      </w:r>
      <w:r w:rsidR="00420133">
        <w:t>,</w:t>
      </w:r>
      <w:r>
        <w:t xml:space="preserve"> mais que sa décision de retourner à sa voiture dans le but de la déplacer l’a fait entrer dans une sphère d’activité personnelle.</w:t>
      </w:r>
    </w:p>
    <w:p w:rsidR="00E62E4C" w:rsidRDefault="00C251F2" w:rsidP="00E62E4C">
      <w:pPr>
        <w:pStyle w:val="corpsdedcision"/>
      </w:pPr>
      <w:r>
        <w:t>D</w:t>
      </w:r>
      <w:r w:rsidR="00E62E4C">
        <w:t xml:space="preserve">ans </w:t>
      </w:r>
      <w:r w:rsidR="00E62E4C" w:rsidRPr="00DD445C">
        <w:rPr>
          <w:i/>
        </w:rPr>
        <w:t xml:space="preserve">Kane </w:t>
      </w:r>
      <w:r w:rsidR="00E62E4C">
        <w:t xml:space="preserve">et </w:t>
      </w:r>
      <w:r w:rsidR="00E62E4C" w:rsidRPr="00DD445C">
        <w:rPr>
          <w:i/>
        </w:rPr>
        <w:t>Agence de Revenu du Canada</w:t>
      </w:r>
      <w:r w:rsidR="00E62E4C">
        <w:rPr>
          <w:rStyle w:val="Appelnotedebasdep"/>
        </w:rPr>
        <w:footnoteReference w:id="11"/>
      </w:r>
      <w:r w:rsidR="00E62E4C">
        <w:t>, la Commission des lésions professionnelles devait décider si le travailleur s’étant blessé dans le stationnement de l’employeur sur le chemin menant à sa voiture alors qu’il allait déneiger son automobile durant sa pause avait subi une lésion professionnelle. Elle résume l’analyse comme suit :</w:t>
      </w:r>
    </w:p>
    <w:p w:rsidR="00E62E4C" w:rsidRDefault="00E62E4C" w:rsidP="00E62E4C">
      <w:pPr>
        <w:pStyle w:val="citation"/>
      </w:pPr>
      <w:r>
        <w:t>[40]</w:t>
      </w:r>
      <w:r>
        <w:tab/>
        <w:t xml:space="preserve">En résumé, la Commission des lésions professionnelles conclut que l’accident est survenu au moment où le travailleur quitte son poste de travail, activité connexe et nécessaire à son travail pour se diriger vers une activité personnelle (déneigement). </w:t>
      </w:r>
    </w:p>
    <w:p w:rsidR="00E969D4" w:rsidRDefault="00E969D4" w:rsidP="00E62E4C">
      <w:pPr>
        <w:pStyle w:val="citation"/>
      </w:pPr>
    </w:p>
    <w:p w:rsidR="00E62E4C" w:rsidRDefault="00E62E4C" w:rsidP="00E62E4C">
      <w:pPr>
        <w:pStyle w:val="citation"/>
      </w:pPr>
      <w:r>
        <w:t>[41]</w:t>
      </w:r>
      <w:r>
        <w:tab/>
        <w:t>Pour ce faire, le travailleur emprunte le stationnement fourni par l’employeur et faisant partie de ses conditions de travail et constituant une extension du lieu de travail. Dans ce contexte, la Commission des lésions professionnelles considère qu’au moment où survient l’accident, le lien professionnel n’a pas été rompu et que, par conséquent, l’accident est survenu à l’occasion du travail.</w:t>
      </w:r>
    </w:p>
    <w:p w:rsidR="00C640EA" w:rsidRDefault="00C640EA" w:rsidP="00E62E4C">
      <w:pPr>
        <w:pStyle w:val="citation"/>
      </w:pPr>
    </w:p>
    <w:p w:rsidR="00C640EA" w:rsidRDefault="00C640EA" w:rsidP="00E62E4C">
      <w:pPr>
        <w:pStyle w:val="citation"/>
      </w:pPr>
    </w:p>
    <w:p w:rsidR="00E62E4C" w:rsidRDefault="00E62E4C" w:rsidP="00C251F2">
      <w:pPr>
        <w:pStyle w:val="corpsdedcision"/>
      </w:pPr>
      <w:r>
        <w:t>Ainsi, dans cette affaire, la Commission des lésions professionnelles a qualifié le déneigement de la voiture comme une activité personnelle</w:t>
      </w:r>
      <w:r w:rsidR="000C7339">
        <w:t>,</w:t>
      </w:r>
      <w:r>
        <w:t xml:space="preserve"> mais a jugé que le travailleur qui chute en se dirigeant vers sa voiture n’avait toujours pas quitté la sphère professionnelle. </w:t>
      </w:r>
    </w:p>
    <w:p w:rsidR="00C251F2" w:rsidRDefault="003D7110" w:rsidP="00DA7862">
      <w:pPr>
        <w:pStyle w:val="corpsdedcision"/>
      </w:pPr>
      <w:r>
        <w:t xml:space="preserve">Doit-on en conclure que la travailleuse qui effectue le déglaçage des roues de sa voiture, dans le stationnement de l’employeur, avant d’entrer au travail faisait une activité </w:t>
      </w:r>
      <w:r w:rsidR="008C64C6">
        <w:t xml:space="preserve">uniquement </w:t>
      </w:r>
      <w:r>
        <w:t>personnelle? Le tribunal ne le croit pas. La travailleuse se situait toujours dans cette phase d’arriv</w:t>
      </w:r>
      <w:r w:rsidR="00420133">
        <w:t>ée</w:t>
      </w:r>
      <w:r>
        <w:t xml:space="preserve"> pour son quart de travail, étant déjà dans le stationnement de l’employeur. </w:t>
      </w:r>
      <w:r w:rsidR="00C251F2">
        <w:t>Ce qu’elle fait à ce moment constitue en quelque sorte une préparation de son véhicule pour lui permettre de repartir plus aisément à la fin de son quart de travail. Le tribunal estime que la connexité</w:t>
      </w:r>
      <w:r w:rsidR="008C64C6">
        <w:t xml:space="preserve"> avec le travail</w:t>
      </w:r>
      <w:r w:rsidR="00C251F2">
        <w:t xml:space="preserve"> et l’utilité </w:t>
      </w:r>
      <w:r w:rsidR="008C64C6">
        <w:t>pour l’employeur</w:t>
      </w:r>
      <w:r w:rsidR="00C251F2">
        <w:t xml:space="preserve"> existent au moment où la travailleuse se déplace autour de sa voiture puisque c’est bien en circulant qu’elle glisse et chute.</w:t>
      </w:r>
      <w:r w:rsidR="00DA7862" w:rsidRPr="00DA7862">
        <w:t xml:space="preserve"> </w:t>
      </w:r>
      <w:r w:rsidR="00DA7862">
        <w:t>Si l’accident était survenu en raison de la méthode utilisée pour déglacer les roues, le résultat aurait pu être différent</w:t>
      </w:r>
      <w:r w:rsidR="000C7339">
        <w:t>,</w:t>
      </w:r>
      <w:r w:rsidR="00DA7862">
        <w:t xml:space="preserve"> mais là n’est pas la situation factuelle dont le tribunal est saisi.</w:t>
      </w:r>
    </w:p>
    <w:p w:rsidR="00DA7862" w:rsidRPr="009C55AC" w:rsidRDefault="00DA7862" w:rsidP="009C55AC">
      <w:pPr>
        <w:pStyle w:val="corpsdedcision"/>
        <w:rPr>
          <w:i/>
        </w:rPr>
      </w:pPr>
      <w:r>
        <w:t>Selon le tribunal, la situation de la travailleuse n’est pas différente de celles des travailleurs se blessant en déneigeant ou déglaçant leur voiture dans le stationnement de l’employeur avant de repart</w:t>
      </w:r>
      <w:r w:rsidR="009C55AC">
        <w:t>ir après leur quart de travail</w:t>
      </w:r>
      <w:r w:rsidR="008C64C6">
        <w:t xml:space="preserve"> décrites</w:t>
      </w:r>
      <w:r w:rsidR="009C55AC">
        <w:t xml:space="preserve"> dans les décisions </w:t>
      </w:r>
      <w:r w:rsidR="009C55AC" w:rsidRPr="00AB7CFB">
        <w:rPr>
          <w:rFonts w:cs="Arial"/>
          <w:i/>
          <w:szCs w:val="24"/>
        </w:rPr>
        <w:t>Natrel inc.</w:t>
      </w:r>
      <w:r w:rsidR="009C55AC" w:rsidRPr="00AB7CFB">
        <w:rPr>
          <w:rFonts w:cs="Arial"/>
          <w:szCs w:val="24"/>
        </w:rPr>
        <w:t xml:space="preserve"> et </w:t>
      </w:r>
      <w:r w:rsidR="009C55AC" w:rsidRPr="00AB7CFB">
        <w:rPr>
          <w:rFonts w:cs="Arial"/>
          <w:i/>
          <w:szCs w:val="24"/>
        </w:rPr>
        <w:t>Pauzé</w:t>
      </w:r>
      <w:r w:rsidR="009C55AC">
        <w:rPr>
          <w:rStyle w:val="Appelnotedebasdep"/>
          <w:rFonts w:cs="Arial"/>
          <w:i/>
          <w:szCs w:val="24"/>
        </w:rPr>
        <w:footnoteReference w:id="12"/>
      </w:r>
      <w:r w:rsidR="009C55AC" w:rsidRPr="00AB7CFB">
        <w:rPr>
          <w:rFonts w:cs="Arial"/>
          <w:szCs w:val="24"/>
        </w:rPr>
        <w:t xml:space="preserve"> </w:t>
      </w:r>
      <w:r w:rsidR="009C55AC">
        <w:rPr>
          <w:rFonts w:cs="Arial"/>
          <w:szCs w:val="24"/>
        </w:rPr>
        <w:t>et</w:t>
      </w:r>
      <w:r w:rsidR="009C55AC">
        <w:rPr>
          <w:i/>
        </w:rPr>
        <w:t xml:space="preserve"> </w:t>
      </w:r>
      <w:r w:rsidR="009C55AC" w:rsidRPr="009C55AC">
        <w:rPr>
          <w:i/>
        </w:rPr>
        <w:t>Lemay</w:t>
      </w:r>
      <w:r w:rsidR="009C55AC">
        <w:t xml:space="preserve"> et </w:t>
      </w:r>
      <w:r w:rsidR="009C55AC" w:rsidRPr="009C55AC">
        <w:rPr>
          <w:i/>
        </w:rPr>
        <w:t>Sico inc.</w:t>
      </w:r>
      <w:r w:rsidR="009C55AC">
        <w:rPr>
          <w:rStyle w:val="Appelnotedebasdep"/>
        </w:rPr>
        <w:footnoteReference w:id="13"/>
      </w:r>
      <w:r w:rsidR="008C64C6">
        <w:t xml:space="preserve"> où la Commission des lésions professionnelles conclut à une lésion professionnelle.</w:t>
      </w:r>
    </w:p>
    <w:p w:rsidR="00395494" w:rsidRDefault="00395494" w:rsidP="005E0F0D">
      <w:pPr>
        <w:pStyle w:val="corpsdedcision"/>
      </w:pPr>
      <w:r>
        <w:t>En conséquence, le tribunal est d’avis d’accueillir la requête de la travailleuse et de déclarer qu’elle a subi une lésion professionnelle le 13</w:t>
      </w:r>
      <w:r w:rsidR="000C7339">
        <w:t> </w:t>
      </w:r>
      <w:r>
        <w:t>janvier</w:t>
      </w:r>
      <w:r w:rsidR="000C7339">
        <w:t> </w:t>
      </w:r>
      <w:r>
        <w:t>2015.</w:t>
      </w:r>
    </w:p>
    <w:p w:rsidR="003404AB" w:rsidRDefault="003404AB" w:rsidP="003404AB">
      <w:pPr>
        <w:pStyle w:val="corpsdedcision"/>
        <w:numPr>
          <w:ilvl w:val="0"/>
          <w:numId w:val="0"/>
        </w:numPr>
      </w:pPr>
    </w:p>
    <w:p w:rsidR="00C74B6F" w:rsidRDefault="00C74B6F" w:rsidP="00AB7CFB">
      <w:pPr>
        <w:tabs>
          <w:tab w:val="left" w:pos="720"/>
        </w:tabs>
        <w:spacing w:after="360"/>
        <w:jc w:val="both"/>
        <w:rPr>
          <w:b/>
        </w:rPr>
      </w:pPr>
      <w:r w:rsidRPr="00AB7CFB">
        <w:rPr>
          <w:b/>
        </w:rPr>
        <w:t>PAR CES MOTIFS, LA COMMISSION DES LÉSIONS PROFESSIONNELLES :</w:t>
      </w:r>
    </w:p>
    <w:p w:rsidR="003404AB" w:rsidRDefault="003404AB" w:rsidP="00AB7CFB">
      <w:pPr>
        <w:tabs>
          <w:tab w:val="left" w:pos="720"/>
        </w:tabs>
        <w:spacing w:after="360"/>
        <w:jc w:val="both"/>
      </w:pPr>
    </w:p>
    <w:p w:rsidR="003404AB" w:rsidRDefault="00212CD9">
      <w:pPr>
        <w:pStyle w:val="Dispositif"/>
      </w:pPr>
      <w:r>
        <w:rPr>
          <w:b/>
        </w:rPr>
        <w:t>ACCUEILLE</w:t>
      </w:r>
      <w:r>
        <w:t xml:space="preserve"> la requête de madame Louise Benoît, la travailleuse;</w:t>
      </w:r>
    </w:p>
    <w:p w:rsidR="003404AB" w:rsidRDefault="003404AB">
      <w:pPr>
        <w:pStyle w:val="Dispositif"/>
      </w:pPr>
    </w:p>
    <w:p w:rsidR="003404AB" w:rsidRDefault="00212CD9">
      <w:pPr>
        <w:pStyle w:val="Dispositif"/>
        <w:rPr>
          <w:rFonts w:cs="Arial"/>
          <w:szCs w:val="24"/>
        </w:rPr>
      </w:pPr>
      <w:r>
        <w:rPr>
          <w:b/>
        </w:rPr>
        <w:t>INFIRME</w:t>
      </w:r>
      <w:r>
        <w:t xml:space="preserve"> la décision rendue par la </w:t>
      </w:r>
      <w:r>
        <w:rPr>
          <w:rFonts w:cs="Arial"/>
          <w:szCs w:val="24"/>
        </w:rPr>
        <w:t>Commission de la santé et de la sécurité du travail le 25</w:t>
      </w:r>
      <w:r w:rsidR="000C7339">
        <w:rPr>
          <w:rFonts w:cs="Arial"/>
          <w:szCs w:val="24"/>
        </w:rPr>
        <w:t> </w:t>
      </w:r>
      <w:r>
        <w:rPr>
          <w:rFonts w:cs="Arial"/>
          <w:szCs w:val="24"/>
        </w:rPr>
        <w:t>février</w:t>
      </w:r>
      <w:r w:rsidR="000C7339">
        <w:rPr>
          <w:rFonts w:cs="Arial"/>
          <w:szCs w:val="24"/>
        </w:rPr>
        <w:t> </w:t>
      </w:r>
      <w:r>
        <w:rPr>
          <w:rFonts w:cs="Arial"/>
          <w:szCs w:val="24"/>
        </w:rPr>
        <w:t>2015 à la suite d’une révision administrative;</w:t>
      </w:r>
    </w:p>
    <w:p w:rsidR="00C640EA" w:rsidRDefault="00C640EA">
      <w:pPr>
        <w:pStyle w:val="Dispositif"/>
        <w:rPr>
          <w:rFonts w:cs="Arial"/>
          <w:szCs w:val="24"/>
        </w:rPr>
      </w:pPr>
    </w:p>
    <w:p w:rsidR="00212CD9" w:rsidRDefault="00212CD9">
      <w:pPr>
        <w:pStyle w:val="Dispositif"/>
      </w:pPr>
      <w:r w:rsidRPr="00212CD9">
        <w:rPr>
          <w:rFonts w:cs="Arial"/>
          <w:b/>
          <w:szCs w:val="24"/>
        </w:rPr>
        <w:t>DÉCLARE</w:t>
      </w:r>
      <w:r>
        <w:rPr>
          <w:rFonts w:cs="Arial"/>
          <w:szCs w:val="24"/>
        </w:rPr>
        <w:t xml:space="preserve"> que la travailleuse a subi une lésion professionnelle le 13</w:t>
      </w:r>
      <w:r w:rsidR="000C7339">
        <w:rPr>
          <w:rFonts w:cs="Arial"/>
          <w:szCs w:val="24"/>
        </w:rPr>
        <w:t> </w:t>
      </w:r>
      <w:r>
        <w:rPr>
          <w:rFonts w:cs="Arial"/>
          <w:szCs w:val="24"/>
        </w:rPr>
        <w:t>janvier</w:t>
      </w:r>
      <w:r w:rsidR="000C7339">
        <w:rPr>
          <w:rFonts w:cs="Arial"/>
          <w:szCs w:val="24"/>
        </w:rPr>
        <w:t> </w:t>
      </w:r>
      <w:r>
        <w:rPr>
          <w:rFonts w:cs="Arial"/>
          <w:szCs w:val="24"/>
        </w:rPr>
        <w:t>2015.</w:t>
      </w:r>
    </w:p>
    <w:p w:rsidR="00C74B6F" w:rsidRDefault="00C74B6F">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tc>
          <w:tcPr>
            <w:tcW w:w="4795" w:type="dxa"/>
          </w:tcPr>
          <w:p w:rsidR="00C74B6F" w:rsidRDefault="00C74B6F"/>
        </w:tc>
        <w:tc>
          <w:tcPr>
            <w:tcW w:w="4795" w:type="dxa"/>
          </w:tcPr>
          <w:p w:rsidR="00C74B6F" w:rsidRDefault="00C74B6F">
            <w:bookmarkStart w:id="5" w:name="signature"/>
            <w:bookmarkEnd w:id="5"/>
            <w:r>
              <w:t>__________________________________</w:t>
            </w:r>
          </w:p>
        </w:tc>
      </w:tr>
      <w:tr w:rsidR="00C74B6F">
        <w:tc>
          <w:tcPr>
            <w:tcW w:w="4795" w:type="dxa"/>
          </w:tcPr>
          <w:p w:rsidR="00C74B6F" w:rsidRDefault="00C74B6F"/>
        </w:tc>
        <w:tc>
          <w:tcPr>
            <w:tcW w:w="4795" w:type="dxa"/>
          </w:tcPr>
          <w:p w:rsidR="00C74B6F" w:rsidRDefault="00212CD9">
            <w:r>
              <w:t xml:space="preserve">Annie Beaudin </w:t>
            </w: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212CD9">
            <w:pPr>
              <w:pStyle w:val="zSoquijdatNomProcureurDem"/>
            </w:pPr>
            <w:r>
              <w:t>Monsieur Serge Turcotte</w:t>
            </w:r>
          </w:p>
          <w:p w:rsidR="00212CD9" w:rsidRDefault="00212CD9">
            <w:pPr>
              <w:pStyle w:val="zSoquijdatNomProcureurDem"/>
            </w:pPr>
            <w:r>
              <w:t xml:space="preserve">Représentant S.S.T. </w:t>
            </w:r>
          </w:p>
        </w:tc>
      </w:tr>
      <w:tr w:rsidR="00C74B6F">
        <w:trPr>
          <w:cantSplit/>
        </w:trPr>
        <w:tc>
          <w:tcPr>
            <w:tcW w:w="9590" w:type="dxa"/>
            <w:gridSpan w:val="2"/>
          </w:tcPr>
          <w:p w:rsidR="00C74B6F" w:rsidRDefault="00C74B6F">
            <w:pPr>
              <w:pStyle w:val="zSoquijlblProcureurDem"/>
            </w:pPr>
            <w:r>
              <w:t>Représentant de la partie requérante</w:t>
            </w: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74B6F"/>
        </w:tc>
      </w:tr>
    </w:tbl>
    <w:p w:rsidR="00C74B6F" w:rsidRDefault="00C74B6F"/>
    <w:sectPr w:rsidR="00C74B6F" w:rsidSect="00E13A16">
      <w:headerReference w:type="default" r:id="rId9"/>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43A" w:rsidRDefault="003F543A">
      <w:r>
        <w:separator/>
      </w:r>
    </w:p>
  </w:endnote>
  <w:endnote w:type="continuationSeparator" w:id="0">
    <w:p w:rsidR="003F543A" w:rsidRDefault="003F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43A" w:rsidRDefault="003F543A">
      <w:r>
        <w:separator/>
      </w:r>
    </w:p>
  </w:footnote>
  <w:footnote w:type="continuationSeparator" w:id="0">
    <w:p w:rsidR="003F543A" w:rsidRDefault="003F543A">
      <w:r>
        <w:continuationSeparator/>
      </w:r>
    </w:p>
  </w:footnote>
  <w:footnote w:id="1">
    <w:p w:rsidR="006D117F" w:rsidRPr="006D117F" w:rsidRDefault="006D117F" w:rsidP="006D117F">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6D117F">
        <w:rPr>
          <w:rFonts w:cs="Arial"/>
          <w:i/>
          <w:sz w:val="20"/>
        </w:rPr>
        <w:t>Natrel inc.</w:t>
      </w:r>
      <w:r>
        <w:rPr>
          <w:rFonts w:cs="Arial"/>
          <w:sz w:val="20"/>
        </w:rPr>
        <w:t xml:space="preserve"> et </w:t>
      </w:r>
      <w:r w:rsidRPr="006D117F">
        <w:rPr>
          <w:rFonts w:cs="Arial"/>
          <w:i/>
          <w:sz w:val="20"/>
        </w:rPr>
        <w:t>Pauzé</w:t>
      </w:r>
      <w:r>
        <w:rPr>
          <w:rFonts w:cs="Arial"/>
          <w:sz w:val="20"/>
        </w:rPr>
        <w:t>, C.L.P. 102297-64-9806, 15 octobre 1998, A.</w:t>
      </w:r>
      <w:r w:rsidR="000C7339">
        <w:rPr>
          <w:rFonts w:cs="Arial"/>
          <w:sz w:val="20"/>
        </w:rPr>
        <w:t xml:space="preserve"> </w:t>
      </w:r>
      <w:r>
        <w:rPr>
          <w:rFonts w:cs="Arial"/>
          <w:sz w:val="20"/>
        </w:rPr>
        <w:t>Suicco.</w:t>
      </w:r>
    </w:p>
  </w:footnote>
  <w:footnote w:id="2">
    <w:p w:rsidR="00907FDF" w:rsidRPr="00907FDF" w:rsidRDefault="00907FDF" w:rsidP="00907FDF">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 xml:space="preserve">RLRQ, c. A-3.001. </w:t>
      </w:r>
    </w:p>
  </w:footnote>
  <w:footnote w:id="3">
    <w:p w:rsidR="00907FDF" w:rsidRDefault="00907FDF" w:rsidP="00907FDF">
      <w:pPr>
        <w:pStyle w:val="Notedebasdepage"/>
        <w:tabs>
          <w:tab w:val="left" w:pos="720"/>
        </w:tabs>
        <w:ind w:left="720" w:hanging="720"/>
        <w:jc w:val="both"/>
        <w:rPr>
          <w:sz w:val="20"/>
        </w:rPr>
      </w:pPr>
      <w:r>
        <w:rPr>
          <w:rStyle w:val="Appelnotedebasdep"/>
        </w:rPr>
        <w:footnoteRef/>
      </w:r>
      <w:r>
        <w:t xml:space="preserve"> </w:t>
      </w:r>
      <w:r>
        <w:tab/>
      </w:r>
      <w:r>
        <w:rPr>
          <w:i/>
          <w:sz w:val="20"/>
        </w:rPr>
        <w:t>Plomberie &amp; C</w:t>
      </w:r>
      <w:r w:rsidRPr="000B018E">
        <w:rPr>
          <w:i/>
          <w:sz w:val="20"/>
        </w:rPr>
        <w:t xml:space="preserve">hauffage Plombec inc. </w:t>
      </w:r>
      <w:r w:rsidRPr="000B018E">
        <w:rPr>
          <w:sz w:val="20"/>
        </w:rPr>
        <w:t xml:space="preserve">et </w:t>
      </w:r>
      <w:r w:rsidRPr="000B018E">
        <w:rPr>
          <w:i/>
          <w:sz w:val="20"/>
        </w:rPr>
        <w:t>Deslongchamps</w:t>
      </w:r>
      <w:r w:rsidRPr="000B018E">
        <w:rPr>
          <w:sz w:val="20"/>
        </w:rPr>
        <w:t xml:space="preserve">, C.A.L.P. 51232-64-9305, 17 janvier 1995, B. Lemay, (J7-02-10); </w:t>
      </w:r>
      <w:r w:rsidRPr="000B018E">
        <w:rPr>
          <w:i/>
          <w:sz w:val="20"/>
        </w:rPr>
        <w:t xml:space="preserve">Commission scolaire catholique Sherbrooke </w:t>
      </w:r>
      <w:r w:rsidRPr="000B018E">
        <w:rPr>
          <w:sz w:val="20"/>
        </w:rPr>
        <w:t xml:space="preserve">et </w:t>
      </w:r>
      <w:r w:rsidRPr="000B018E">
        <w:rPr>
          <w:i/>
          <w:sz w:val="20"/>
        </w:rPr>
        <w:t>Binette</w:t>
      </w:r>
      <w:r w:rsidRPr="000B018E">
        <w:rPr>
          <w:sz w:val="20"/>
        </w:rPr>
        <w:t xml:space="preserve">, [1998] C.L.P. 700; </w:t>
      </w:r>
      <w:r w:rsidRPr="000B018E">
        <w:rPr>
          <w:i/>
          <w:sz w:val="20"/>
        </w:rPr>
        <w:t xml:space="preserve">S.T.C.U.M. </w:t>
      </w:r>
      <w:r w:rsidRPr="000B018E">
        <w:rPr>
          <w:sz w:val="20"/>
        </w:rPr>
        <w:t xml:space="preserve">et </w:t>
      </w:r>
      <w:r w:rsidRPr="000B018E">
        <w:rPr>
          <w:i/>
          <w:sz w:val="20"/>
        </w:rPr>
        <w:t>Beauchemin</w:t>
      </w:r>
      <w:r w:rsidRPr="000B018E">
        <w:rPr>
          <w:sz w:val="20"/>
        </w:rPr>
        <w:t xml:space="preserve">, C.L.P. 109613-71-9901, 23 juillet </w:t>
      </w:r>
      <w:smartTag w:uri="urn:schemas-microsoft-com:office:smarttags" w:element="metricconverter">
        <w:smartTagPr>
          <w:attr w:name="ProductID" w:val="1999, C"/>
        </w:smartTagPr>
        <w:r w:rsidRPr="000B018E">
          <w:rPr>
            <w:sz w:val="20"/>
          </w:rPr>
          <w:t>1999, C</w:t>
        </w:r>
      </w:smartTag>
      <w:r w:rsidRPr="000B018E">
        <w:rPr>
          <w:sz w:val="20"/>
        </w:rPr>
        <w:t>.</w:t>
      </w:r>
      <w:r>
        <w:rPr>
          <w:sz w:val="20"/>
        </w:rPr>
        <w:t xml:space="preserve"> </w:t>
      </w:r>
      <w:r w:rsidRPr="000B018E">
        <w:rPr>
          <w:sz w:val="20"/>
        </w:rPr>
        <w:t xml:space="preserve">Racine; </w:t>
      </w:r>
      <w:r w:rsidRPr="000B018E">
        <w:rPr>
          <w:i/>
          <w:sz w:val="20"/>
        </w:rPr>
        <w:t xml:space="preserve">Vermette </w:t>
      </w:r>
      <w:r w:rsidRPr="000B018E">
        <w:rPr>
          <w:sz w:val="20"/>
        </w:rPr>
        <w:t xml:space="preserve">et </w:t>
      </w:r>
      <w:r w:rsidRPr="000B018E">
        <w:rPr>
          <w:i/>
          <w:sz w:val="20"/>
        </w:rPr>
        <w:t>Autobus S. Rompré ltée</w:t>
      </w:r>
      <w:r w:rsidRPr="000B018E">
        <w:rPr>
          <w:sz w:val="20"/>
        </w:rPr>
        <w:t xml:space="preserve">, C.L.P. 113743-04-9904, 27 septembre </w:t>
      </w:r>
      <w:smartTag w:uri="urn:schemas-microsoft-com:office:smarttags" w:element="metricconverter">
        <w:smartTagPr>
          <w:attr w:name="ProductID" w:val="1999, G"/>
        </w:smartTagPr>
        <w:r w:rsidRPr="000B018E">
          <w:rPr>
            <w:sz w:val="20"/>
          </w:rPr>
          <w:t>1999, G</w:t>
        </w:r>
      </w:smartTag>
      <w:r w:rsidRPr="000B018E">
        <w:rPr>
          <w:sz w:val="20"/>
        </w:rPr>
        <w:t xml:space="preserve">. Marquis, (99LP-118); </w:t>
      </w:r>
      <w:r w:rsidRPr="000B018E">
        <w:rPr>
          <w:i/>
          <w:sz w:val="20"/>
        </w:rPr>
        <w:t xml:space="preserve">Laberge </w:t>
      </w:r>
      <w:r w:rsidRPr="000B018E">
        <w:rPr>
          <w:sz w:val="20"/>
        </w:rPr>
        <w:t xml:space="preserve">et </w:t>
      </w:r>
      <w:r w:rsidRPr="000B018E">
        <w:rPr>
          <w:i/>
          <w:sz w:val="20"/>
        </w:rPr>
        <w:t>Corporation d'Urgences-Santé</w:t>
      </w:r>
      <w:r>
        <w:rPr>
          <w:i/>
          <w:sz w:val="20"/>
        </w:rPr>
        <w:t xml:space="preserve"> de la région de Montréal-Métropolitain</w:t>
      </w:r>
      <w:r w:rsidRPr="000B018E">
        <w:rPr>
          <w:sz w:val="20"/>
        </w:rPr>
        <w:t xml:space="preserve">, C.L.P. 111088-71-9902, 5 octobre </w:t>
      </w:r>
      <w:smartTag w:uri="urn:schemas-microsoft-com:office:smarttags" w:element="metricconverter">
        <w:smartTagPr>
          <w:attr w:name="ProductID" w:val="1999, M"/>
        </w:smartTagPr>
        <w:r w:rsidRPr="000B018E">
          <w:rPr>
            <w:sz w:val="20"/>
          </w:rPr>
          <w:t>1999, M</w:t>
        </w:r>
      </w:smartTag>
      <w:r w:rsidRPr="000B018E">
        <w:rPr>
          <w:sz w:val="20"/>
        </w:rPr>
        <w:t xml:space="preserve">. Zigby, (99-LP-119); </w:t>
      </w:r>
      <w:r w:rsidRPr="000B018E">
        <w:rPr>
          <w:rFonts w:cs="Arial"/>
          <w:i/>
          <w:sz w:val="20"/>
        </w:rPr>
        <w:t>Chouinard et Ville de Montréal</w:t>
      </w:r>
      <w:r w:rsidRPr="000B018E">
        <w:rPr>
          <w:rFonts w:cs="Arial"/>
          <w:sz w:val="20"/>
        </w:rPr>
        <w:t xml:space="preserve">, </w:t>
      </w:r>
      <w:r>
        <w:rPr>
          <w:rFonts w:cs="Arial"/>
          <w:sz w:val="20"/>
        </w:rPr>
        <w:t xml:space="preserve">C.L.P. </w:t>
      </w:r>
      <w:r w:rsidRPr="000B018E">
        <w:rPr>
          <w:rFonts w:cs="Arial"/>
          <w:sz w:val="20"/>
        </w:rPr>
        <w:t xml:space="preserve">113745-72-9903, 22 mars </w:t>
      </w:r>
      <w:smartTag w:uri="urn:schemas-microsoft-com:office:smarttags" w:element="metricconverter">
        <w:smartTagPr>
          <w:attr w:name="ProductID" w:val="2000, G"/>
        </w:smartTagPr>
        <w:r w:rsidRPr="000B018E">
          <w:rPr>
            <w:rFonts w:cs="Arial"/>
            <w:sz w:val="20"/>
          </w:rPr>
          <w:t>2000, G</w:t>
        </w:r>
      </w:smartTag>
      <w:r w:rsidRPr="000B018E">
        <w:rPr>
          <w:rFonts w:cs="Arial"/>
          <w:sz w:val="20"/>
        </w:rPr>
        <w:t>. Robichaud;</w:t>
      </w:r>
      <w:r w:rsidRPr="000B018E">
        <w:rPr>
          <w:sz w:val="20"/>
        </w:rPr>
        <w:t xml:space="preserve"> </w:t>
      </w:r>
      <w:r w:rsidRPr="003D470A">
        <w:rPr>
          <w:i/>
          <w:iCs/>
          <w:sz w:val="20"/>
        </w:rPr>
        <w:t>S</w:t>
      </w:r>
      <w:r>
        <w:rPr>
          <w:i/>
          <w:iCs/>
          <w:sz w:val="20"/>
        </w:rPr>
        <w:t>e</w:t>
      </w:r>
      <w:r w:rsidRPr="003D470A">
        <w:rPr>
          <w:i/>
          <w:iCs/>
          <w:sz w:val="20"/>
        </w:rPr>
        <w:t>oane</w:t>
      </w:r>
      <w:r w:rsidRPr="000B018E">
        <w:rPr>
          <w:sz w:val="20"/>
        </w:rPr>
        <w:t xml:space="preserve"> et </w:t>
      </w:r>
      <w:r w:rsidRPr="000B018E">
        <w:rPr>
          <w:i/>
          <w:sz w:val="20"/>
        </w:rPr>
        <w:t>Université Laval</w:t>
      </w:r>
      <w:r>
        <w:rPr>
          <w:sz w:val="20"/>
        </w:rPr>
        <w:t>, C.L.P. 157196-31-0103, 19 </w:t>
      </w:r>
      <w:r w:rsidRPr="000B018E">
        <w:rPr>
          <w:sz w:val="20"/>
        </w:rPr>
        <w:t xml:space="preserve">décembre 2001, H. Thériaut, (01LP-154); </w:t>
      </w:r>
      <w:r w:rsidRPr="000B018E">
        <w:rPr>
          <w:i/>
          <w:sz w:val="20"/>
        </w:rPr>
        <w:t>Marcil</w:t>
      </w:r>
      <w:r w:rsidRPr="000B018E">
        <w:rPr>
          <w:sz w:val="20"/>
        </w:rPr>
        <w:t xml:space="preserve"> et </w:t>
      </w:r>
      <w:r w:rsidRPr="000B018E">
        <w:rPr>
          <w:i/>
          <w:sz w:val="20"/>
        </w:rPr>
        <w:t>Cité de la Santé de Laval</w:t>
      </w:r>
      <w:r w:rsidRPr="000B018E">
        <w:rPr>
          <w:sz w:val="20"/>
        </w:rPr>
        <w:t>, C.L.P. 215332-63-0309, 8 avril 2004, D. Beauregard</w:t>
      </w:r>
      <w:r>
        <w:rPr>
          <w:sz w:val="20"/>
        </w:rPr>
        <w:t xml:space="preserve">; </w:t>
      </w:r>
      <w:r w:rsidRPr="002C416F">
        <w:rPr>
          <w:i/>
          <w:sz w:val="20"/>
        </w:rPr>
        <w:t xml:space="preserve">Rouleau </w:t>
      </w:r>
      <w:r>
        <w:rPr>
          <w:sz w:val="20"/>
        </w:rPr>
        <w:t xml:space="preserve">et </w:t>
      </w:r>
      <w:r w:rsidRPr="002C416F">
        <w:rPr>
          <w:i/>
          <w:sz w:val="20"/>
        </w:rPr>
        <w:t>Ville de Magog</w:t>
      </w:r>
      <w:r>
        <w:rPr>
          <w:sz w:val="20"/>
        </w:rPr>
        <w:t xml:space="preserve">, 2013 QCCLP 6570. </w:t>
      </w:r>
    </w:p>
  </w:footnote>
  <w:footnote w:id="4">
    <w:p w:rsidR="00907FDF" w:rsidRPr="006A7359" w:rsidRDefault="00907FDF" w:rsidP="00907FDF">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6A7359">
        <w:rPr>
          <w:rFonts w:cs="Arial"/>
          <w:i/>
          <w:sz w:val="20"/>
        </w:rPr>
        <w:t xml:space="preserve">Lajoie </w:t>
      </w:r>
      <w:r>
        <w:rPr>
          <w:rFonts w:cs="Arial"/>
          <w:sz w:val="20"/>
        </w:rPr>
        <w:t xml:space="preserve">et </w:t>
      </w:r>
      <w:r w:rsidRPr="006A7359">
        <w:rPr>
          <w:rFonts w:cs="Arial"/>
          <w:i/>
          <w:sz w:val="20"/>
        </w:rPr>
        <w:t>Commission des lésions professionnelles</w:t>
      </w:r>
      <w:r>
        <w:rPr>
          <w:rFonts w:cs="Arial"/>
          <w:sz w:val="20"/>
        </w:rPr>
        <w:t xml:space="preserve"> et </w:t>
      </w:r>
      <w:r w:rsidRPr="006A7359">
        <w:rPr>
          <w:rFonts w:cs="Arial"/>
          <w:i/>
          <w:sz w:val="20"/>
        </w:rPr>
        <w:t>Dynamitage Lac St-Jean inc.</w:t>
      </w:r>
      <w:r>
        <w:rPr>
          <w:rFonts w:cs="Arial"/>
          <w:sz w:val="20"/>
        </w:rPr>
        <w:t xml:space="preserve">, </w:t>
      </w:r>
      <w:r w:rsidR="00C640EA">
        <w:rPr>
          <w:rFonts w:cs="Arial"/>
          <w:sz w:val="20"/>
        </w:rPr>
        <w:t>C.A. 15 octobre 2012, 200-09-003395.008</w:t>
      </w:r>
      <w:r>
        <w:rPr>
          <w:rFonts w:cs="Arial"/>
          <w:sz w:val="20"/>
        </w:rPr>
        <w:t>.</w:t>
      </w:r>
    </w:p>
  </w:footnote>
  <w:footnote w:id="5">
    <w:p w:rsidR="00907FDF" w:rsidRPr="009B2843" w:rsidRDefault="00907FDF" w:rsidP="00907FDF">
      <w:pPr>
        <w:pStyle w:val="Notedebasdepage"/>
        <w:tabs>
          <w:tab w:val="left" w:pos="720"/>
        </w:tabs>
        <w:ind w:left="720" w:hanging="720"/>
        <w:jc w:val="both"/>
        <w:rPr>
          <w:sz w:val="20"/>
        </w:rPr>
      </w:pPr>
      <w:r>
        <w:rPr>
          <w:rStyle w:val="Appelnotedebasdep"/>
        </w:rPr>
        <w:footnoteRef/>
      </w:r>
      <w:r>
        <w:t xml:space="preserve"> </w:t>
      </w:r>
      <w:r>
        <w:rPr>
          <w:rFonts w:cs="Arial"/>
          <w:sz w:val="20"/>
        </w:rPr>
        <w:tab/>
      </w:r>
      <w:r w:rsidRPr="007A2853">
        <w:rPr>
          <w:i/>
          <w:sz w:val="20"/>
        </w:rPr>
        <w:t>Centre hospitalier Fleury</w:t>
      </w:r>
      <w:r w:rsidRPr="007A2853">
        <w:rPr>
          <w:sz w:val="20"/>
        </w:rPr>
        <w:t xml:space="preserve"> et </w:t>
      </w:r>
      <w:r w:rsidRPr="007A2853">
        <w:rPr>
          <w:i/>
          <w:sz w:val="20"/>
        </w:rPr>
        <w:t>Laberge</w:t>
      </w:r>
      <w:r w:rsidRPr="007A2853">
        <w:rPr>
          <w:sz w:val="20"/>
        </w:rPr>
        <w:t>,</w:t>
      </w:r>
      <w:r w:rsidRPr="007A2853">
        <w:rPr>
          <w:rFonts w:cs="Arial"/>
          <w:sz w:val="20"/>
        </w:rPr>
        <w:t xml:space="preserve"> C.L.P. </w:t>
      </w:r>
      <w:r w:rsidRPr="007A2853">
        <w:rPr>
          <w:sz w:val="20"/>
        </w:rPr>
        <w:t xml:space="preserve">293881-61-0607, 6 juin </w:t>
      </w:r>
      <w:smartTag w:uri="urn:schemas-microsoft-com:office:smarttags" w:element="metricconverter">
        <w:smartTagPr>
          <w:attr w:name="ProductID" w:val="2007, L"/>
        </w:smartTagPr>
        <w:r w:rsidRPr="007A2853">
          <w:rPr>
            <w:sz w:val="20"/>
          </w:rPr>
          <w:t>2007, L</w:t>
        </w:r>
      </w:smartTag>
      <w:r w:rsidRPr="007A2853">
        <w:rPr>
          <w:sz w:val="20"/>
        </w:rPr>
        <w:t xml:space="preserve">. </w:t>
      </w:r>
      <w:r>
        <w:rPr>
          <w:sz w:val="20"/>
        </w:rPr>
        <w:t xml:space="preserve">Nadeau; </w:t>
      </w:r>
      <w:r w:rsidRPr="00C61330">
        <w:rPr>
          <w:i/>
          <w:iCs/>
          <w:sz w:val="20"/>
        </w:rPr>
        <w:t xml:space="preserve">Bouffard </w:t>
      </w:r>
      <w:r>
        <w:rPr>
          <w:sz w:val="20"/>
        </w:rPr>
        <w:t xml:space="preserve">et </w:t>
      </w:r>
      <w:r w:rsidR="0043249D">
        <w:rPr>
          <w:i/>
          <w:iCs/>
          <w:sz w:val="20"/>
        </w:rPr>
        <w:t>Municipalité des Î</w:t>
      </w:r>
      <w:r w:rsidRPr="00C61330">
        <w:rPr>
          <w:i/>
          <w:iCs/>
          <w:sz w:val="20"/>
        </w:rPr>
        <w:t>les-de-la-Madeleine</w:t>
      </w:r>
      <w:r>
        <w:rPr>
          <w:sz w:val="20"/>
        </w:rPr>
        <w:t xml:space="preserve">, 2012 QCCLP 6077. </w:t>
      </w:r>
    </w:p>
  </w:footnote>
  <w:footnote w:id="6">
    <w:p w:rsidR="00B62F36" w:rsidRPr="00896488" w:rsidRDefault="00B62F36" w:rsidP="00B62F36">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i/>
          <w:sz w:val="20"/>
        </w:rPr>
        <w:t xml:space="preserve">Shurgain </w:t>
      </w:r>
      <w:r>
        <w:rPr>
          <w:rFonts w:cs="Arial"/>
          <w:sz w:val="20"/>
        </w:rPr>
        <w:t xml:space="preserve">et </w:t>
      </w:r>
      <w:r>
        <w:rPr>
          <w:rFonts w:cs="Arial"/>
          <w:i/>
          <w:sz w:val="20"/>
        </w:rPr>
        <w:t>Gemma</w:t>
      </w:r>
      <w:r>
        <w:rPr>
          <w:rFonts w:cs="Arial"/>
          <w:sz w:val="20"/>
        </w:rPr>
        <w:t xml:space="preserve"> [1993] C.A.L.P. 117; </w:t>
      </w:r>
      <w:r>
        <w:rPr>
          <w:rFonts w:cs="Arial"/>
          <w:i/>
          <w:sz w:val="20"/>
        </w:rPr>
        <w:t>Laliberté &amp; associés inc.</w:t>
      </w:r>
      <w:r>
        <w:rPr>
          <w:rFonts w:cs="Arial"/>
          <w:sz w:val="20"/>
        </w:rPr>
        <w:t xml:space="preserve"> et </w:t>
      </w:r>
      <w:r>
        <w:rPr>
          <w:rFonts w:cs="Arial"/>
          <w:i/>
          <w:sz w:val="20"/>
        </w:rPr>
        <w:t>Lemire</w:t>
      </w:r>
      <w:r>
        <w:rPr>
          <w:rFonts w:cs="Arial"/>
          <w:sz w:val="20"/>
        </w:rPr>
        <w:t>, C.L.P. 34201</w:t>
      </w:r>
      <w:r>
        <w:rPr>
          <w:rFonts w:cs="Arial"/>
          <w:sz w:val="20"/>
        </w:rPr>
        <w:noBreakHyphen/>
        <w:t>02</w:t>
      </w:r>
      <w:r>
        <w:rPr>
          <w:rFonts w:cs="Arial"/>
          <w:sz w:val="20"/>
        </w:rPr>
        <w:noBreakHyphen/>
        <w:t xml:space="preserve">9111, 16 juin 1993, P. Brazeau; </w:t>
      </w:r>
      <w:r>
        <w:rPr>
          <w:rFonts w:cs="Arial"/>
          <w:i/>
          <w:sz w:val="20"/>
        </w:rPr>
        <w:t xml:space="preserve">Prégent </w:t>
      </w:r>
      <w:r>
        <w:rPr>
          <w:rFonts w:cs="Arial"/>
          <w:sz w:val="20"/>
        </w:rPr>
        <w:t xml:space="preserve">et </w:t>
      </w:r>
      <w:r>
        <w:rPr>
          <w:rFonts w:cs="Arial"/>
          <w:i/>
          <w:sz w:val="20"/>
        </w:rPr>
        <w:t>Air Canada</w:t>
      </w:r>
      <w:r>
        <w:rPr>
          <w:rFonts w:cs="Arial"/>
          <w:sz w:val="20"/>
        </w:rPr>
        <w:t xml:space="preserve"> [1993] C.A.L.P. 1191; </w:t>
      </w:r>
      <w:r>
        <w:rPr>
          <w:rFonts w:cs="Arial"/>
          <w:i/>
          <w:sz w:val="20"/>
        </w:rPr>
        <w:t>Richard Veilleux</w:t>
      </w:r>
      <w:r>
        <w:rPr>
          <w:rFonts w:cs="Arial"/>
          <w:sz w:val="20"/>
        </w:rPr>
        <w:t xml:space="preserve"> </w:t>
      </w:r>
      <w:r>
        <w:rPr>
          <w:rFonts w:cs="Arial"/>
          <w:i/>
          <w:sz w:val="20"/>
        </w:rPr>
        <w:t>Imprimerie lithographie inc.</w:t>
      </w:r>
      <w:r>
        <w:rPr>
          <w:rFonts w:cs="Arial"/>
          <w:sz w:val="20"/>
        </w:rPr>
        <w:t xml:space="preserve"> et </w:t>
      </w:r>
      <w:r>
        <w:rPr>
          <w:rFonts w:cs="Arial"/>
          <w:i/>
          <w:sz w:val="20"/>
        </w:rPr>
        <w:t>Dubord</w:t>
      </w:r>
      <w:r>
        <w:rPr>
          <w:rFonts w:cs="Arial"/>
          <w:sz w:val="20"/>
        </w:rPr>
        <w:t xml:space="preserve">, C.A.L.P. 91097-63-9709, 13 mars </w:t>
      </w:r>
      <w:smartTag w:uri="urn:schemas-microsoft-com:office:smarttags" w:element="metricconverter">
        <w:smartTagPr>
          <w:attr w:name="ProductID" w:val="1998, G"/>
        </w:smartTagPr>
        <w:r>
          <w:rPr>
            <w:rFonts w:cs="Arial"/>
            <w:sz w:val="20"/>
          </w:rPr>
          <w:t>1998, G</w:t>
        </w:r>
      </w:smartTag>
      <w:r>
        <w:rPr>
          <w:rFonts w:cs="Arial"/>
          <w:sz w:val="20"/>
        </w:rPr>
        <w:t xml:space="preserve">. Robichaud; </w:t>
      </w:r>
      <w:r>
        <w:rPr>
          <w:rFonts w:cs="Arial"/>
          <w:i/>
          <w:sz w:val="20"/>
        </w:rPr>
        <w:t xml:space="preserve">Labrie </w:t>
      </w:r>
      <w:r>
        <w:rPr>
          <w:rFonts w:cs="Arial"/>
          <w:sz w:val="20"/>
        </w:rPr>
        <w:t xml:space="preserve">et </w:t>
      </w:r>
      <w:r>
        <w:rPr>
          <w:rFonts w:cs="Arial"/>
          <w:i/>
          <w:sz w:val="20"/>
        </w:rPr>
        <w:t>Foyer Sacré-</w:t>
      </w:r>
      <w:r w:rsidRPr="006B0016">
        <w:rPr>
          <w:rFonts w:cs="Arial"/>
          <w:i/>
          <w:sz w:val="20"/>
        </w:rPr>
        <w:t>Cœur</w:t>
      </w:r>
      <w:r>
        <w:rPr>
          <w:rFonts w:cs="Arial"/>
          <w:sz w:val="20"/>
        </w:rPr>
        <w:t xml:space="preserve">, C.L.P. 114828-05-9904, 27 octobre </w:t>
      </w:r>
      <w:smartTag w:uri="urn:schemas-microsoft-com:office:smarttags" w:element="metricconverter">
        <w:smartTagPr>
          <w:attr w:name="ProductID" w:val="1999, M"/>
        </w:smartTagPr>
        <w:r>
          <w:rPr>
            <w:rFonts w:cs="Arial"/>
            <w:sz w:val="20"/>
          </w:rPr>
          <w:t>1999, M</w:t>
        </w:r>
      </w:smartTag>
      <w:r>
        <w:rPr>
          <w:rFonts w:cs="Arial"/>
          <w:sz w:val="20"/>
        </w:rPr>
        <w:t>.</w:t>
      </w:r>
      <w:r>
        <w:rPr>
          <w:rFonts w:cs="Arial"/>
          <w:sz w:val="20"/>
        </w:rPr>
        <w:noBreakHyphen/>
        <w:t>C. Gagnon.</w:t>
      </w:r>
    </w:p>
  </w:footnote>
  <w:footnote w:id="7">
    <w:p w:rsidR="00BC42EC" w:rsidRPr="00BC42EC" w:rsidRDefault="00BC42EC" w:rsidP="00BC42E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2013 QCCLP 2186.</w:t>
      </w:r>
    </w:p>
  </w:footnote>
  <w:footnote w:id="8">
    <w:p w:rsidR="00AB7CFB" w:rsidRPr="00AB7CFB" w:rsidRDefault="00AB7CFB" w:rsidP="00AB7CF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Précitée</w:t>
      </w:r>
      <w:r w:rsidR="00951FF1">
        <w:rPr>
          <w:rFonts w:cs="Arial"/>
          <w:sz w:val="20"/>
        </w:rPr>
        <w:t>,</w:t>
      </w:r>
      <w:r>
        <w:rPr>
          <w:rFonts w:cs="Arial"/>
          <w:sz w:val="20"/>
        </w:rPr>
        <w:t xml:space="preserve"> note 1. </w:t>
      </w:r>
    </w:p>
  </w:footnote>
  <w:footnote w:id="9">
    <w:p w:rsidR="0032362C" w:rsidRPr="005E0F0D" w:rsidRDefault="0032362C" w:rsidP="0032362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 xml:space="preserve">C.L.P. 170051-62-0110, </w:t>
      </w:r>
      <w:r w:rsidR="00420133">
        <w:rPr>
          <w:rFonts w:cs="Arial"/>
          <w:sz w:val="20"/>
        </w:rPr>
        <w:t>25 janvier 2002, R.L. Beaudoin.</w:t>
      </w:r>
    </w:p>
  </w:footnote>
  <w:footnote w:id="10">
    <w:p w:rsidR="00E62E4C" w:rsidRPr="00E62E4C" w:rsidRDefault="00E62E4C" w:rsidP="00E62E4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E62E4C">
        <w:rPr>
          <w:rFonts w:cs="Arial"/>
          <w:i/>
          <w:sz w:val="20"/>
        </w:rPr>
        <w:t xml:space="preserve">Medvedtchenko </w:t>
      </w:r>
      <w:r w:rsidRPr="00E62E4C">
        <w:rPr>
          <w:rFonts w:cs="Arial"/>
          <w:sz w:val="20"/>
        </w:rPr>
        <w:t xml:space="preserve">et </w:t>
      </w:r>
      <w:r w:rsidRPr="00E62E4C">
        <w:rPr>
          <w:rFonts w:cs="Arial"/>
          <w:i/>
          <w:sz w:val="20"/>
        </w:rPr>
        <w:t>Systèmes Weighpack inc.</w:t>
      </w:r>
      <w:r w:rsidR="00420133">
        <w:rPr>
          <w:rFonts w:cs="Arial"/>
          <w:sz w:val="20"/>
        </w:rPr>
        <w:t>, 2013 QCCLP 6768.</w:t>
      </w:r>
    </w:p>
  </w:footnote>
  <w:footnote w:id="11">
    <w:p w:rsidR="00E62E4C" w:rsidRPr="00DD445C" w:rsidRDefault="00E62E4C" w:rsidP="00E62E4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2014 QCCLP 506.</w:t>
      </w:r>
    </w:p>
  </w:footnote>
  <w:footnote w:id="12">
    <w:p w:rsidR="009C55AC" w:rsidRPr="00AB7CFB" w:rsidRDefault="009C55AC" w:rsidP="009C55A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Précitée</w:t>
      </w:r>
      <w:r w:rsidR="00420133">
        <w:rPr>
          <w:rFonts w:cs="Arial"/>
          <w:sz w:val="20"/>
        </w:rPr>
        <w:t xml:space="preserve">, </w:t>
      </w:r>
      <w:r>
        <w:rPr>
          <w:rFonts w:cs="Arial"/>
          <w:sz w:val="20"/>
        </w:rPr>
        <w:t>note 1.</w:t>
      </w:r>
    </w:p>
  </w:footnote>
  <w:footnote w:id="13">
    <w:p w:rsidR="009C55AC" w:rsidRPr="005E0F0D" w:rsidRDefault="009C55AC" w:rsidP="009C55A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Précitée</w:t>
      </w:r>
      <w:r w:rsidR="00420133">
        <w:rPr>
          <w:rFonts w:cs="Arial"/>
          <w:sz w:val="20"/>
        </w:rPr>
        <w:t>,</w:t>
      </w:r>
      <w:r>
        <w:rPr>
          <w:rFonts w:cs="Arial"/>
          <w:sz w:val="20"/>
        </w:rPr>
        <w:t xml:space="preserve"> note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A435C7" w:rsidTr="003E658B">
      <w:tc>
        <w:tcPr>
          <w:tcW w:w="8730" w:type="dxa"/>
        </w:tcPr>
        <w:p w:rsidR="00A435C7" w:rsidRDefault="00A435C7">
          <w:pPr>
            <w:pStyle w:val="En-tte"/>
            <w:ind w:left="-90"/>
          </w:pPr>
        </w:p>
      </w:tc>
      <w:tc>
        <w:tcPr>
          <w:tcW w:w="860" w:type="dxa"/>
        </w:tcPr>
        <w:p w:rsidR="00A435C7" w:rsidRDefault="00A435C7">
          <w:pPr>
            <w:pStyle w:val="En-tte"/>
            <w:ind w:left="-90"/>
          </w:pPr>
        </w:p>
      </w:tc>
    </w:tr>
    <w:tr w:rsidR="003E658B" w:rsidTr="003E658B">
      <w:tc>
        <w:tcPr>
          <w:tcW w:w="8730" w:type="dxa"/>
        </w:tcPr>
        <w:p w:rsidR="003E658B" w:rsidRDefault="003E658B" w:rsidP="003E658B">
          <w:pPr>
            <w:pStyle w:val="zSoquijdatNoDossier"/>
          </w:pPr>
          <w:r>
            <w:t>566824-05-1503</w:t>
          </w:r>
        </w:p>
      </w:tc>
      <w:tc>
        <w:tcPr>
          <w:tcW w:w="860" w:type="dxa"/>
        </w:tcPr>
        <w:p w:rsidR="003E658B" w:rsidRDefault="00E13A16" w:rsidP="003E658B">
          <w:pPr>
            <w:pStyle w:val="En-tte"/>
            <w:ind w:left="-90"/>
            <w:jc w:val="right"/>
            <w:rPr>
              <w:rStyle w:val="Numrodepage"/>
            </w:rPr>
          </w:pPr>
          <w:r>
            <w:rPr>
              <w:rStyle w:val="Numrodepage"/>
            </w:rPr>
            <w:fldChar w:fldCharType="begin"/>
          </w:r>
          <w:r w:rsidR="003E658B">
            <w:rPr>
              <w:rStyle w:val="Numrodepage"/>
            </w:rPr>
            <w:instrText xml:space="preserve"> PAGE </w:instrText>
          </w:r>
          <w:r>
            <w:rPr>
              <w:rStyle w:val="Numrodepage"/>
            </w:rPr>
            <w:fldChar w:fldCharType="separate"/>
          </w:r>
          <w:r w:rsidR="00813961">
            <w:rPr>
              <w:rStyle w:val="Numrodepage"/>
              <w:noProof/>
            </w:rPr>
            <w:t>3</w:t>
          </w:r>
          <w:r>
            <w:rPr>
              <w:rStyle w:val="Numrodepage"/>
            </w:rPr>
            <w:fldChar w:fldCharType="end"/>
          </w:r>
        </w:p>
      </w:tc>
    </w:tr>
    <w:tr w:rsidR="003E658B" w:rsidTr="003E658B">
      <w:tc>
        <w:tcPr>
          <w:tcW w:w="8730" w:type="dxa"/>
        </w:tcPr>
        <w:p w:rsidR="003E658B" w:rsidRDefault="003E658B" w:rsidP="003E658B"/>
      </w:tc>
      <w:tc>
        <w:tcPr>
          <w:tcW w:w="860" w:type="dxa"/>
        </w:tcPr>
        <w:p w:rsidR="003E658B" w:rsidRDefault="003E658B" w:rsidP="003E658B">
          <w:pPr>
            <w:pStyle w:val="En-tte"/>
            <w:ind w:left="-90"/>
            <w:jc w:val="right"/>
          </w:pPr>
        </w:p>
      </w:tc>
    </w:tr>
  </w:tbl>
  <w:p w:rsidR="00A435C7" w:rsidRDefault="00A435C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34BE8"/>
    <w:multiLevelType w:val="hybridMultilevel"/>
    <w:tmpl w:val="A498F37A"/>
    <w:lvl w:ilvl="0" w:tplc="3FFE79C2">
      <w:numFmt w:val="bullet"/>
      <w:lvlText w:val="-"/>
      <w:lvlJc w:val="left"/>
      <w:pPr>
        <w:ind w:left="1770" w:hanging="360"/>
      </w:pPr>
      <w:rPr>
        <w:rFonts w:ascii="Arial" w:eastAsia="Times New Roman" w:hAnsi="Arial" w:cs="Arial" w:hint="default"/>
      </w:rPr>
    </w:lvl>
    <w:lvl w:ilvl="1" w:tplc="0C0C0003" w:tentative="1">
      <w:start w:val="1"/>
      <w:numFmt w:val="bullet"/>
      <w:lvlText w:val="o"/>
      <w:lvlJc w:val="left"/>
      <w:pPr>
        <w:ind w:left="2490" w:hanging="360"/>
      </w:pPr>
      <w:rPr>
        <w:rFonts w:ascii="Courier New" w:hAnsi="Courier New" w:cs="Courier New" w:hint="default"/>
      </w:rPr>
    </w:lvl>
    <w:lvl w:ilvl="2" w:tplc="0C0C0005" w:tentative="1">
      <w:start w:val="1"/>
      <w:numFmt w:val="bullet"/>
      <w:lvlText w:val=""/>
      <w:lvlJc w:val="left"/>
      <w:pPr>
        <w:ind w:left="3210" w:hanging="360"/>
      </w:pPr>
      <w:rPr>
        <w:rFonts w:ascii="Wingdings" w:hAnsi="Wingdings" w:hint="default"/>
      </w:rPr>
    </w:lvl>
    <w:lvl w:ilvl="3" w:tplc="0C0C0001" w:tentative="1">
      <w:start w:val="1"/>
      <w:numFmt w:val="bullet"/>
      <w:lvlText w:val=""/>
      <w:lvlJc w:val="left"/>
      <w:pPr>
        <w:ind w:left="3930" w:hanging="360"/>
      </w:pPr>
      <w:rPr>
        <w:rFonts w:ascii="Symbol" w:hAnsi="Symbol" w:hint="default"/>
      </w:rPr>
    </w:lvl>
    <w:lvl w:ilvl="4" w:tplc="0C0C0003" w:tentative="1">
      <w:start w:val="1"/>
      <w:numFmt w:val="bullet"/>
      <w:lvlText w:val="o"/>
      <w:lvlJc w:val="left"/>
      <w:pPr>
        <w:ind w:left="4650" w:hanging="360"/>
      </w:pPr>
      <w:rPr>
        <w:rFonts w:ascii="Courier New" w:hAnsi="Courier New" w:cs="Courier New" w:hint="default"/>
      </w:rPr>
    </w:lvl>
    <w:lvl w:ilvl="5" w:tplc="0C0C0005" w:tentative="1">
      <w:start w:val="1"/>
      <w:numFmt w:val="bullet"/>
      <w:lvlText w:val=""/>
      <w:lvlJc w:val="left"/>
      <w:pPr>
        <w:ind w:left="5370" w:hanging="360"/>
      </w:pPr>
      <w:rPr>
        <w:rFonts w:ascii="Wingdings" w:hAnsi="Wingdings" w:hint="default"/>
      </w:rPr>
    </w:lvl>
    <w:lvl w:ilvl="6" w:tplc="0C0C0001" w:tentative="1">
      <w:start w:val="1"/>
      <w:numFmt w:val="bullet"/>
      <w:lvlText w:val=""/>
      <w:lvlJc w:val="left"/>
      <w:pPr>
        <w:ind w:left="6090" w:hanging="360"/>
      </w:pPr>
      <w:rPr>
        <w:rFonts w:ascii="Symbol" w:hAnsi="Symbol" w:hint="default"/>
      </w:rPr>
    </w:lvl>
    <w:lvl w:ilvl="7" w:tplc="0C0C0003" w:tentative="1">
      <w:start w:val="1"/>
      <w:numFmt w:val="bullet"/>
      <w:lvlText w:val="o"/>
      <w:lvlJc w:val="left"/>
      <w:pPr>
        <w:ind w:left="6810" w:hanging="360"/>
      </w:pPr>
      <w:rPr>
        <w:rFonts w:ascii="Courier New" w:hAnsi="Courier New" w:cs="Courier New" w:hint="default"/>
      </w:rPr>
    </w:lvl>
    <w:lvl w:ilvl="8" w:tplc="0C0C0005" w:tentative="1">
      <w:start w:val="1"/>
      <w:numFmt w:val="bullet"/>
      <w:lvlText w:val=""/>
      <w:lvlJc w:val="left"/>
      <w:pPr>
        <w:ind w:left="7530" w:hanging="360"/>
      </w:pPr>
      <w:rPr>
        <w:rFonts w:ascii="Wingdings" w:hAnsi="Wingdings" w:hint="default"/>
      </w:rPr>
    </w:lvl>
  </w:abstractNum>
  <w:abstractNum w:abstractNumId="1">
    <w:nsid w:val="76556088"/>
    <w:multiLevelType w:val="multilevel"/>
    <w:tmpl w:val="2C9E0B1A"/>
    <w:lvl w:ilvl="0">
      <w:start w:val="1"/>
      <w:numFmt w:val="decimal"/>
      <w:pStyle w:val="corpsdedcision"/>
      <w:lvlText w:val="[%1]"/>
      <w:lvlJc w:val="left"/>
      <w:pPr>
        <w:tabs>
          <w:tab w:val="num" w:pos="360"/>
        </w:tabs>
        <w:ind w:left="0" w:firstLine="0"/>
      </w:pPr>
      <w:rPr>
        <w:i w:val="0"/>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30B32"/>
    <w:rsid w:val="000041A1"/>
    <w:rsid w:val="000210DA"/>
    <w:rsid w:val="00021E4C"/>
    <w:rsid w:val="000366EC"/>
    <w:rsid w:val="000520CD"/>
    <w:rsid w:val="00053219"/>
    <w:rsid w:val="00057696"/>
    <w:rsid w:val="0007225E"/>
    <w:rsid w:val="0008378A"/>
    <w:rsid w:val="00090018"/>
    <w:rsid w:val="000A77C5"/>
    <w:rsid w:val="000B7F1B"/>
    <w:rsid w:val="000C7339"/>
    <w:rsid w:val="000E2119"/>
    <w:rsid w:val="001050B4"/>
    <w:rsid w:val="0012326A"/>
    <w:rsid w:val="0013132D"/>
    <w:rsid w:val="00147B8B"/>
    <w:rsid w:val="0015125A"/>
    <w:rsid w:val="0015539F"/>
    <w:rsid w:val="001664C8"/>
    <w:rsid w:val="001A067E"/>
    <w:rsid w:val="001A2900"/>
    <w:rsid w:val="001A4081"/>
    <w:rsid w:val="001C2B0B"/>
    <w:rsid w:val="00212CD9"/>
    <w:rsid w:val="0022062F"/>
    <w:rsid w:val="00231C1D"/>
    <w:rsid w:val="00241CED"/>
    <w:rsid w:val="002563F0"/>
    <w:rsid w:val="00266064"/>
    <w:rsid w:val="00281319"/>
    <w:rsid w:val="00286149"/>
    <w:rsid w:val="00296A4B"/>
    <w:rsid w:val="00296D9F"/>
    <w:rsid w:val="002B7C94"/>
    <w:rsid w:val="002C3748"/>
    <w:rsid w:val="002F4001"/>
    <w:rsid w:val="00303274"/>
    <w:rsid w:val="003057FC"/>
    <w:rsid w:val="00312983"/>
    <w:rsid w:val="00313370"/>
    <w:rsid w:val="0032362C"/>
    <w:rsid w:val="00331EA7"/>
    <w:rsid w:val="003361A5"/>
    <w:rsid w:val="003404AB"/>
    <w:rsid w:val="003664E9"/>
    <w:rsid w:val="00373EE5"/>
    <w:rsid w:val="00395494"/>
    <w:rsid w:val="003A5FD0"/>
    <w:rsid w:val="003B1735"/>
    <w:rsid w:val="003B53B9"/>
    <w:rsid w:val="003B6CBF"/>
    <w:rsid w:val="003C1D81"/>
    <w:rsid w:val="003C657B"/>
    <w:rsid w:val="003D7110"/>
    <w:rsid w:val="003E00D5"/>
    <w:rsid w:val="003E658B"/>
    <w:rsid w:val="003F543A"/>
    <w:rsid w:val="003F7F38"/>
    <w:rsid w:val="00406F0C"/>
    <w:rsid w:val="00415D5D"/>
    <w:rsid w:val="00420133"/>
    <w:rsid w:val="0043249D"/>
    <w:rsid w:val="00437137"/>
    <w:rsid w:val="0044627E"/>
    <w:rsid w:val="004A679B"/>
    <w:rsid w:val="004D13B0"/>
    <w:rsid w:val="00517747"/>
    <w:rsid w:val="00517EB0"/>
    <w:rsid w:val="005205CB"/>
    <w:rsid w:val="005662E9"/>
    <w:rsid w:val="005801AE"/>
    <w:rsid w:val="00582ECC"/>
    <w:rsid w:val="0058399B"/>
    <w:rsid w:val="0058692F"/>
    <w:rsid w:val="005974B7"/>
    <w:rsid w:val="005B2301"/>
    <w:rsid w:val="005B30F6"/>
    <w:rsid w:val="005E0F0D"/>
    <w:rsid w:val="006042A2"/>
    <w:rsid w:val="0061488E"/>
    <w:rsid w:val="00634E6E"/>
    <w:rsid w:val="00661454"/>
    <w:rsid w:val="0066642D"/>
    <w:rsid w:val="00675E85"/>
    <w:rsid w:val="0067750F"/>
    <w:rsid w:val="006841A4"/>
    <w:rsid w:val="00692150"/>
    <w:rsid w:val="006C7B7F"/>
    <w:rsid w:val="006D117F"/>
    <w:rsid w:val="006D19E8"/>
    <w:rsid w:val="006D56EC"/>
    <w:rsid w:val="006E793F"/>
    <w:rsid w:val="006F7944"/>
    <w:rsid w:val="00704121"/>
    <w:rsid w:val="007202FA"/>
    <w:rsid w:val="00745AA8"/>
    <w:rsid w:val="007510EC"/>
    <w:rsid w:val="007A6E2F"/>
    <w:rsid w:val="007B3BC5"/>
    <w:rsid w:val="007D61C3"/>
    <w:rsid w:val="007F0F8A"/>
    <w:rsid w:val="00806718"/>
    <w:rsid w:val="0081130F"/>
    <w:rsid w:val="00813961"/>
    <w:rsid w:val="008175F3"/>
    <w:rsid w:val="00825B1F"/>
    <w:rsid w:val="00827636"/>
    <w:rsid w:val="008748C7"/>
    <w:rsid w:val="0087521A"/>
    <w:rsid w:val="008962E7"/>
    <w:rsid w:val="008A7FD1"/>
    <w:rsid w:val="008B211E"/>
    <w:rsid w:val="008C64C6"/>
    <w:rsid w:val="008F3D1B"/>
    <w:rsid w:val="00907FDF"/>
    <w:rsid w:val="0092684A"/>
    <w:rsid w:val="00951FF1"/>
    <w:rsid w:val="00952C99"/>
    <w:rsid w:val="009712EF"/>
    <w:rsid w:val="009824F2"/>
    <w:rsid w:val="00993B24"/>
    <w:rsid w:val="0099611F"/>
    <w:rsid w:val="009C3B1F"/>
    <w:rsid w:val="009C55AC"/>
    <w:rsid w:val="009D68FA"/>
    <w:rsid w:val="009E4FC2"/>
    <w:rsid w:val="00A02EF2"/>
    <w:rsid w:val="00A04D5E"/>
    <w:rsid w:val="00A27A8B"/>
    <w:rsid w:val="00A30C43"/>
    <w:rsid w:val="00A40AC7"/>
    <w:rsid w:val="00A435C7"/>
    <w:rsid w:val="00A72703"/>
    <w:rsid w:val="00A81F94"/>
    <w:rsid w:val="00AA1D3E"/>
    <w:rsid w:val="00AB5C9B"/>
    <w:rsid w:val="00AB7CFB"/>
    <w:rsid w:val="00AC0449"/>
    <w:rsid w:val="00AD2497"/>
    <w:rsid w:val="00AF2979"/>
    <w:rsid w:val="00B00A86"/>
    <w:rsid w:val="00B0375C"/>
    <w:rsid w:val="00B156C3"/>
    <w:rsid w:val="00B224C5"/>
    <w:rsid w:val="00B30B32"/>
    <w:rsid w:val="00B62F36"/>
    <w:rsid w:val="00B7000C"/>
    <w:rsid w:val="00BA6E22"/>
    <w:rsid w:val="00BB606B"/>
    <w:rsid w:val="00BC42EC"/>
    <w:rsid w:val="00C009B7"/>
    <w:rsid w:val="00C250E1"/>
    <w:rsid w:val="00C251F2"/>
    <w:rsid w:val="00C30416"/>
    <w:rsid w:val="00C32020"/>
    <w:rsid w:val="00C3408C"/>
    <w:rsid w:val="00C43CDF"/>
    <w:rsid w:val="00C512B2"/>
    <w:rsid w:val="00C640EA"/>
    <w:rsid w:val="00C74B6F"/>
    <w:rsid w:val="00C9241B"/>
    <w:rsid w:val="00C97569"/>
    <w:rsid w:val="00CB325B"/>
    <w:rsid w:val="00CD0F93"/>
    <w:rsid w:val="00CD6F23"/>
    <w:rsid w:val="00CD7458"/>
    <w:rsid w:val="00D027AF"/>
    <w:rsid w:val="00D17D57"/>
    <w:rsid w:val="00D3672F"/>
    <w:rsid w:val="00D440FA"/>
    <w:rsid w:val="00D46E73"/>
    <w:rsid w:val="00D63951"/>
    <w:rsid w:val="00D86F2C"/>
    <w:rsid w:val="00DA7862"/>
    <w:rsid w:val="00DD445C"/>
    <w:rsid w:val="00E05651"/>
    <w:rsid w:val="00E13A16"/>
    <w:rsid w:val="00E20425"/>
    <w:rsid w:val="00E62E4C"/>
    <w:rsid w:val="00E65C0E"/>
    <w:rsid w:val="00E733AF"/>
    <w:rsid w:val="00E746F0"/>
    <w:rsid w:val="00E87589"/>
    <w:rsid w:val="00E938FF"/>
    <w:rsid w:val="00E969D4"/>
    <w:rsid w:val="00EA5017"/>
    <w:rsid w:val="00EB14F0"/>
    <w:rsid w:val="00EB3844"/>
    <w:rsid w:val="00EC22DD"/>
    <w:rsid w:val="00ED2D34"/>
    <w:rsid w:val="00ED6C51"/>
    <w:rsid w:val="00F02237"/>
    <w:rsid w:val="00F348B2"/>
    <w:rsid w:val="00F34BF0"/>
    <w:rsid w:val="00F54044"/>
    <w:rsid w:val="00F8245F"/>
    <w:rsid w:val="00F91E2A"/>
    <w:rsid w:val="00FA1D78"/>
    <w:rsid w:val="00FA1F7E"/>
    <w:rsid w:val="00FD6206"/>
    <w:rsid w:val="00FF32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A16"/>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rsid w:val="00E13A16"/>
  </w:style>
  <w:style w:type="paragraph" w:customStyle="1" w:styleId="zSoquijdatCabinetProcureurDef">
    <w:name w:val="zSoquij_datCabinetProcureurDef"/>
    <w:basedOn w:val="Normal"/>
    <w:rsid w:val="00E13A16"/>
  </w:style>
  <w:style w:type="paragraph" w:customStyle="1" w:styleId="zSoquijdatCabinetProcureurDem">
    <w:name w:val="zSoquij_datCabinetProcureurDem"/>
    <w:basedOn w:val="Normal"/>
    <w:rsid w:val="00E13A16"/>
  </w:style>
  <w:style w:type="paragraph" w:customStyle="1" w:styleId="zSoquijdatDateJugement">
    <w:name w:val="zSoquij_datDateJugement"/>
    <w:basedOn w:val="Normal"/>
    <w:rsid w:val="00E13A16"/>
  </w:style>
  <w:style w:type="paragraph" w:customStyle="1" w:styleId="zSoquijdatGreffe">
    <w:name w:val="zSoquij_datGreffe"/>
    <w:basedOn w:val="Normal"/>
    <w:rsid w:val="00E13A16"/>
  </w:style>
  <w:style w:type="paragraph" w:customStyle="1" w:styleId="zSoquijdatJuge">
    <w:name w:val="zSoquij_datJuge"/>
    <w:basedOn w:val="Normal"/>
    <w:rsid w:val="00E13A16"/>
  </w:style>
  <w:style w:type="paragraph" w:customStyle="1" w:styleId="zSoquijdatMembreE">
    <w:name w:val="zSoquij_datMembreE"/>
    <w:basedOn w:val="Normal"/>
    <w:rsid w:val="00E13A16"/>
  </w:style>
  <w:style w:type="paragraph" w:customStyle="1" w:styleId="zSoquijdatMembreS">
    <w:name w:val="zSoquij_datMembreS"/>
    <w:basedOn w:val="Normal"/>
    <w:rsid w:val="00E13A16"/>
  </w:style>
  <w:style w:type="paragraph" w:customStyle="1" w:styleId="articlesdelaLSST">
    <w:name w:val="articles de la LSST"/>
    <w:basedOn w:val="Normal"/>
    <w:rsid w:val="00E13A16"/>
    <w:pPr>
      <w:ind w:left="720" w:right="720"/>
      <w:jc w:val="both"/>
    </w:pPr>
    <w:rPr>
      <w:sz w:val="20"/>
    </w:rPr>
  </w:style>
  <w:style w:type="paragraph" w:customStyle="1" w:styleId="zSoquijdatNCSST">
    <w:name w:val="zSoquij_datNCSST"/>
    <w:basedOn w:val="Normal"/>
    <w:rsid w:val="00E13A16"/>
  </w:style>
  <w:style w:type="paragraph" w:customStyle="1" w:styleId="zSoquijdatNoDossier">
    <w:name w:val="zSoquij_datNoDossier"/>
    <w:basedOn w:val="Normal"/>
    <w:rsid w:val="00E13A16"/>
  </w:style>
  <w:style w:type="paragraph" w:customStyle="1" w:styleId="zSoquijdatNomPartieDef">
    <w:name w:val="zSoquij_datNomPartieDef"/>
    <w:basedOn w:val="Normal"/>
    <w:rsid w:val="00E13A16"/>
  </w:style>
  <w:style w:type="paragraph" w:customStyle="1" w:styleId="zSoquijdatNomPartieDem">
    <w:name w:val="zSoquij_datNomPartieDem"/>
    <w:basedOn w:val="Normal"/>
    <w:rsid w:val="00E13A16"/>
  </w:style>
  <w:style w:type="paragraph" w:customStyle="1" w:styleId="zSoquijdatNomPartieInt">
    <w:name w:val="zSoquij_datNomPartieInt"/>
    <w:basedOn w:val="Normal"/>
    <w:rsid w:val="00E13A16"/>
  </w:style>
  <w:style w:type="paragraph" w:customStyle="1" w:styleId="zSoquijdatNomProcureurDef">
    <w:name w:val="zSoquij_datNomProcureurDef"/>
    <w:basedOn w:val="Normal"/>
    <w:rsid w:val="00E13A16"/>
  </w:style>
  <w:style w:type="paragraph" w:customStyle="1" w:styleId="zSoquijdatNomProcureurDem">
    <w:name w:val="zSoquij_datNomProcureurDem"/>
    <w:basedOn w:val="Normal"/>
    <w:rsid w:val="00E13A16"/>
  </w:style>
  <w:style w:type="paragraph" w:customStyle="1" w:styleId="zSoquijdatQtePartieDef">
    <w:name w:val="zSoquij_datQtePartieDef"/>
    <w:basedOn w:val="Normal"/>
    <w:rsid w:val="00E13A16"/>
  </w:style>
  <w:style w:type="paragraph" w:customStyle="1" w:styleId="zSoquijdatQtePartieDem">
    <w:name w:val="zSoquij_datQtePartieDem"/>
    <w:basedOn w:val="Normal"/>
    <w:rsid w:val="00E13A16"/>
  </w:style>
  <w:style w:type="paragraph" w:customStyle="1" w:styleId="zSoquijdatQtePartieInt">
    <w:name w:val="zSoquij_datQtePartieInt"/>
    <w:basedOn w:val="Normal"/>
    <w:rsid w:val="00E13A16"/>
  </w:style>
  <w:style w:type="paragraph" w:customStyle="1" w:styleId="zSoquijlblProcureurDef">
    <w:name w:val="zSoquij_lblProcureurDef"/>
    <w:basedOn w:val="Normal"/>
    <w:rsid w:val="00E13A16"/>
  </w:style>
  <w:style w:type="paragraph" w:customStyle="1" w:styleId="zSoquijlblProcureurDem">
    <w:name w:val="zSoquij_lblProcureurDem"/>
    <w:basedOn w:val="Normal"/>
    <w:rsid w:val="00E13A16"/>
  </w:style>
  <w:style w:type="character" w:styleId="Appelnotedebasdep">
    <w:name w:val="footnote reference"/>
    <w:semiHidden/>
    <w:rsid w:val="00E13A16"/>
    <w:rPr>
      <w:rFonts w:ascii="Arial" w:hAnsi="Arial"/>
      <w:vertAlign w:val="superscript"/>
    </w:rPr>
  </w:style>
  <w:style w:type="paragraph" w:customStyle="1" w:styleId="citation">
    <w:name w:val="citation"/>
    <w:basedOn w:val="Normal"/>
    <w:rsid w:val="00E13A16"/>
    <w:pPr>
      <w:ind w:left="720" w:right="720"/>
      <w:jc w:val="both"/>
    </w:pPr>
    <w:rPr>
      <w:sz w:val="20"/>
    </w:rPr>
  </w:style>
  <w:style w:type="paragraph" w:customStyle="1" w:styleId="corpsdedcision">
    <w:name w:val="corps de décision"/>
    <w:basedOn w:val="Normal"/>
    <w:link w:val="corpsdedcisionCar"/>
    <w:rsid w:val="00E13A16"/>
    <w:pPr>
      <w:numPr>
        <w:numId w:val="1"/>
      </w:numPr>
      <w:tabs>
        <w:tab w:val="left" w:pos="720"/>
      </w:tabs>
      <w:spacing w:after="360"/>
      <w:jc w:val="both"/>
    </w:pPr>
  </w:style>
  <w:style w:type="paragraph" w:customStyle="1" w:styleId="Dfinitions">
    <w:name w:val="Définitions"/>
    <w:basedOn w:val="citation"/>
    <w:rsid w:val="00E13A16"/>
  </w:style>
  <w:style w:type="paragraph" w:customStyle="1" w:styleId="Dispositif">
    <w:name w:val="Dispositif"/>
    <w:basedOn w:val="Normal"/>
    <w:rsid w:val="00E13A16"/>
    <w:pPr>
      <w:spacing w:after="360"/>
      <w:jc w:val="both"/>
    </w:pPr>
  </w:style>
  <w:style w:type="paragraph" w:styleId="Notedebasdepage">
    <w:name w:val="footnote text"/>
    <w:aliases w:val="Note de bas de page art 65"/>
    <w:basedOn w:val="Normal"/>
    <w:link w:val="NotedebasdepageCar"/>
    <w:semiHidden/>
    <w:rsid w:val="00E13A16"/>
  </w:style>
  <w:style w:type="paragraph" w:styleId="En-tte">
    <w:name w:val="header"/>
    <w:basedOn w:val="Normal"/>
    <w:rsid w:val="00E13A16"/>
    <w:pPr>
      <w:tabs>
        <w:tab w:val="center" w:pos="4320"/>
        <w:tab w:val="right" w:pos="8640"/>
      </w:tabs>
    </w:pPr>
  </w:style>
  <w:style w:type="character" w:styleId="Numrodepage">
    <w:name w:val="page number"/>
    <w:rsid w:val="00E13A16"/>
    <w:rPr>
      <w:rFonts w:ascii="Arial" w:hAnsi="Arial"/>
      <w:sz w:val="24"/>
    </w:rPr>
  </w:style>
  <w:style w:type="paragraph" w:styleId="Pieddepage">
    <w:name w:val="footer"/>
    <w:basedOn w:val="Normal"/>
    <w:rsid w:val="00E13A16"/>
    <w:pPr>
      <w:tabs>
        <w:tab w:val="center" w:pos="4320"/>
        <w:tab w:val="right" w:pos="8640"/>
      </w:tabs>
    </w:pPr>
  </w:style>
  <w:style w:type="paragraph" w:customStyle="1" w:styleId="zSoquijlblProcureurInt">
    <w:name w:val="zSoquij_lblProcureurInt"/>
    <w:basedOn w:val="Normal"/>
    <w:rsid w:val="00E13A16"/>
  </w:style>
  <w:style w:type="paragraph" w:customStyle="1" w:styleId="articlesdelaLATMP">
    <w:name w:val="articles de la LATMP"/>
    <w:basedOn w:val="Normal"/>
    <w:rsid w:val="00E13A16"/>
    <w:pPr>
      <w:ind w:left="720" w:right="720"/>
      <w:jc w:val="both"/>
    </w:pPr>
    <w:rPr>
      <w:sz w:val="20"/>
    </w:rPr>
  </w:style>
  <w:style w:type="paragraph" w:customStyle="1" w:styleId="Annexes">
    <w:name w:val="Annexes"/>
    <w:basedOn w:val="citation"/>
    <w:rsid w:val="00E13A16"/>
  </w:style>
  <w:style w:type="paragraph" w:customStyle="1" w:styleId="zSoquijdatNomProcureurInt">
    <w:name w:val="zSoquij_datNomProcureurInt"/>
    <w:basedOn w:val="Normal"/>
    <w:rsid w:val="00E13A16"/>
  </w:style>
  <w:style w:type="paragraph" w:customStyle="1" w:styleId="zSoquijdatCabinetProcureurInt">
    <w:name w:val="zSoquij_datCabinetProcureurInt"/>
    <w:basedOn w:val="Normal"/>
    <w:rsid w:val="00E13A16"/>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character" w:customStyle="1" w:styleId="corpsdedcisionCar">
    <w:name w:val="corps de décision Car"/>
    <w:link w:val="corpsdedcision"/>
    <w:rsid w:val="00907FDF"/>
    <w:rPr>
      <w:rFonts w:ascii="Arial" w:hAnsi="Arial"/>
      <w:sz w:val="24"/>
    </w:rPr>
  </w:style>
  <w:style w:type="character" w:customStyle="1" w:styleId="NotedebasdepageCar">
    <w:name w:val="Note de bas de page Car"/>
    <w:aliases w:val="Note de bas de page art 65 Car"/>
    <w:link w:val="Notedebasdepage"/>
    <w:semiHidden/>
    <w:rsid w:val="00B62F36"/>
    <w:rPr>
      <w:rFonts w:ascii="Arial" w:hAnsi="Arial"/>
      <w:sz w:val="24"/>
    </w:rPr>
  </w:style>
  <w:style w:type="paragraph" w:styleId="Textedebulles">
    <w:name w:val="Balloon Text"/>
    <w:basedOn w:val="Normal"/>
    <w:link w:val="TextedebullesCar"/>
    <w:rsid w:val="00C250E1"/>
    <w:rPr>
      <w:rFonts w:ascii="Segoe UI" w:hAnsi="Segoe UI" w:cs="Segoe UI"/>
      <w:sz w:val="18"/>
      <w:szCs w:val="18"/>
    </w:rPr>
  </w:style>
  <w:style w:type="character" w:customStyle="1" w:styleId="TextedebullesCar">
    <w:name w:val="Texte de bulles Car"/>
    <w:basedOn w:val="Policepardfaut"/>
    <w:link w:val="Textedebulles"/>
    <w:rsid w:val="00C250E1"/>
    <w:rPr>
      <w:rFonts w:ascii="Segoe UI" w:hAnsi="Segoe UI" w:cs="Segoe UI"/>
      <w:sz w:val="18"/>
      <w:szCs w:val="18"/>
    </w:rPr>
  </w:style>
  <w:style w:type="paragraph" w:styleId="Paragraphedeliste">
    <w:name w:val="List Paragraph"/>
    <w:basedOn w:val="Normal"/>
    <w:uiPriority w:val="34"/>
    <w:qFormat/>
    <w:rsid w:val="004201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660539">
      <w:bodyDiv w:val="1"/>
      <w:marLeft w:val="0"/>
      <w:marRight w:val="0"/>
      <w:marTop w:val="0"/>
      <w:marBottom w:val="0"/>
      <w:divBdr>
        <w:top w:val="none" w:sz="0" w:space="0" w:color="auto"/>
        <w:left w:val="none" w:sz="0" w:space="0" w:color="auto"/>
        <w:bottom w:val="none" w:sz="0" w:space="0" w:color="auto"/>
        <w:right w:val="none" w:sz="0" w:space="0" w:color="auto"/>
      </w:divBdr>
      <w:divsChild>
        <w:div w:id="1994603404">
          <w:marLeft w:val="0"/>
          <w:marRight w:val="0"/>
          <w:marTop w:val="0"/>
          <w:marBottom w:val="0"/>
          <w:divBdr>
            <w:top w:val="none" w:sz="0" w:space="0" w:color="auto"/>
            <w:left w:val="none" w:sz="0" w:space="0" w:color="auto"/>
            <w:bottom w:val="none" w:sz="0" w:space="0" w:color="auto"/>
            <w:right w:val="none" w:sz="0" w:space="0" w:color="auto"/>
          </w:divBdr>
          <w:divsChild>
            <w:div w:id="834421160">
              <w:marLeft w:val="0"/>
              <w:marRight w:val="0"/>
              <w:marTop w:val="0"/>
              <w:marBottom w:val="0"/>
              <w:divBdr>
                <w:top w:val="none" w:sz="0" w:space="0" w:color="auto"/>
                <w:left w:val="none" w:sz="0" w:space="0" w:color="auto"/>
                <w:bottom w:val="none" w:sz="0" w:space="0" w:color="auto"/>
                <w:right w:val="none" w:sz="0" w:space="0" w:color="auto"/>
              </w:divBdr>
              <w:divsChild>
                <w:div w:id="1931547183">
                  <w:marLeft w:val="0"/>
                  <w:marRight w:val="0"/>
                  <w:marTop w:val="0"/>
                  <w:marBottom w:val="0"/>
                  <w:divBdr>
                    <w:top w:val="none" w:sz="0" w:space="0" w:color="auto"/>
                    <w:left w:val="none" w:sz="0" w:space="0" w:color="auto"/>
                    <w:bottom w:val="none" w:sz="0" w:space="0" w:color="auto"/>
                    <w:right w:val="none" w:sz="0" w:space="0" w:color="auto"/>
                  </w:divBdr>
                  <w:divsChild>
                    <w:div w:id="554243150">
                      <w:marLeft w:val="0"/>
                      <w:marRight w:val="75"/>
                      <w:marTop w:val="0"/>
                      <w:marBottom w:val="0"/>
                      <w:divBdr>
                        <w:top w:val="none" w:sz="0" w:space="0" w:color="auto"/>
                        <w:left w:val="none" w:sz="0" w:space="0" w:color="auto"/>
                        <w:bottom w:val="none" w:sz="0" w:space="0" w:color="auto"/>
                        <w:right w:val="none" w:sz="0" w:space="0" w:color="auto"/>
                      </w:divBdr>
                      <w:divsChild>
                        <w:div w:id="2011524344">
                          <w:marLeft w:val="0"/>
                          <w:marRight w:val="0"/>
                          <w:marTop w:val="0"/>
                          <w:marBottom w:val="0"/>
                          <w:divBdr>
                            <w:top w:val="none" w:sz="0" w:space="0" w:color="auto"/>
                            <w:left w:val="none" w:sz="0" w:space="0" w:color="auto"/>
                            <w:bottom w:val="none" w:sz="0" w:space="0" w:color="auto"/>
                            <w:right w:val="none" w:sz="0" w:space="0" w:color="auto"/>
                          </w:divBdr>
                          <w:divsChild>
                            <w:div w:id="31464493">
                              <w:marLeft w:val="0"/>
                              <w:marRight w:val="0"/>
                              <w:marTop w:val="0"/>
                              <w:marBottom w:val="0"/>
                              <w:divBdr>
                                <w:top w:val="none" w:sz="0" w:space="0" w:color="auto"/>
                                <w:left w:val="none" w:sz="0" w:space="0" w:color="auto"/>
                                <w:bottom w:val="none" w:sz="0" w:space="0" w:color="auto"/>
                                <w:right w:val="none" w:sz="0" w:space="0" w:color="auto"/>
                              </w:divBdr>
                              <w:divsChild>
                                <w:div w:id="146650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3A063-83C7-4F9C-AAA0-09E39402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3010</Words>
  <Characters>16561</Characters>
  <Application>Microsoft Office Word</Application>
  <DocSecurity>0</DocSecurity>
  <Lines>138</Lines>
  <Paragraphs>39</Paragraphs>
  <ScaleCrop>false</ScaleCrop>
  <Company/>
  <LinksUpToDate>false</LinksUpToDate>
  <CharactersWithSpaces>19532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2015-09-02T14:28:00Z</dcterms:created>
  <dcterms:modified xsi:type="dcterms:W3CDTF">2015-09-02T14:28:00Z</dcterms:modified>
</cp:coreProperties>
</file>