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90" w:type="dxa"/>
        <w:tblLayout w:type="fixed"/>
        <w:tblCellMar>
          <w:left w:w="70" w:type="dxa"/>
          <w:right w:w="70" w:type="dxa"/>
        </w:tblCellMar>
        <w:tblLook w:val="0000" w:firstRow="0" w:lastRow="0" w:firstColumn="0" w:lastColumn="0" w:noHBand="0" w:noVBand="0"/>
      </w:tblPr>
      <w:tblGrid>
        <w:gridCol w:w="6323"/>
        <w:gridCol w:w="3267"/>
      </w:tblGrid>
      <w:tr w:rsidR="00AA250B" w:rsidRPr="00E7138F" w:rsidTr="00AA250B">
        <w:trPr>
          <w:cantSplit/>
        </w:trPr>
        <w:tc>
          <w:tcPr>
            <w:tcW w:w="6323" w:type="dxa"/>
          </w:tcPr>
          <w:p w:rsidR="00AA250B" w:rsidRPr="0022484B" w:rsidRDefault="00AA250B" w:rsidP="00434B5B">
            <w:pPr>
              <w:pStyle w:val="zSoquijdatRepertorie"/>
              <w:rPr>
                <w:rFonts w:cs="Arial"/>
              </w:rPr>
            </w:pPr>
            <w:r>
              <w:rPr>
                <w:rFonts w:cs="Arial"/>
              </w:rPr>
              <w:t>Gatineau (Ville de) et Lavoie</w:t>
            </w:r>
          </w:p>
        </w:tc>
        <w:tc>
          <w:tcPr>
            <w:tcW w:w="3267" w:type="dxa"/>
          </w:tcPr>
          <w:p w:rsidR="00AA250B" w:rsidRPr="004279B8" w:rsidRDefault="00AA250B" w:rsidP="00434B5B">
            <w:pPr>
              <w:pStyle w:val="zSoquijdatRefNeutre"/>
              <w:rPr>
                <w:rFonts w:cs="Arial"/>
              </w:rPr>
            </w:pPr>
            <w:r w:rsidRPr="004279B8">
              <w:rPr>
                <w:rFonts w:cs="Arial"/>
              </w:rPr>
              <w:t>2015 QCCLP 3428</w:t>
            </w:r>
          </w:p>
        </w:tc>
      </w:tr>
    </w:tbl>
    <w:p w:rsidR="00E7138F" w:rsidRDefault="00E7138F"/>
    <w:tbl>
      <w:tblPr>
        <w:tblW w:w="9590" w:type="dxa"/>
        <w:tblLayout w:type="fixed"/>
        <w:tblCellMar>
          <w:left w:w="70" w:type="dxa"/>
          <w:right w:w="70" w:type="dxa"/>
        </w:tblCellMar>
        <w:tblLook w:val="0000" w:firstRow="0" w:lastRow="0" w:firstColumn="0" w:lastColumn="0" w:noHBand="0" w:noVBand="0"/>
      </w:tblPr>
      <w:tblGrid>
        <w:gridCol w:w="2880"/>
        <w:gridCol w:w="1915"/>
        <w:gridCol w:w="4795"/>
      </w:tblGrid>
      <w:tr w:rsidR="00814D85">
        <w:trPr>
          <w:cantSplit/>
        </w:trPr>
        <w:tc>
          <w:tcPr>
            <w:tcW w:w="9590" w:type="dxa"/>
            <w:gridSpan w:val="3"/>
          </w:tcPr>
          <w:p w:rsidR="00814D85" w:rsidRDefault="00814D85"/>
        </w:tc>
      </w:tr>
      <w:tr w:rsidR="00814D85">
        <w:trPr>
          <w:cantSplit/>
        </w:trPr>
        <w:tc>
          <w:tcPr>
            <w:tcW w:w="9590" w:type="dxa"/>
            <w:gridSpan w:val="3"/>
            <w:vAlign w:val="center"/>
          </w:tcPr>
          <w:p w:rsidR="00814D85" w:rsidRDefault="00814D85">
            <w:pPr>
              <w:jc w:val="center"/>
            </w:pPr>
            <w:r>
              <w:rPr>
                <w:b/>
                <w:sz w:val="28"/>
              </w:rPr>
              <w:t>COMMISSION DES LÉSIONS PROFESSIONNELLES</w:t>
            </w:r>
          </w:p>
        </w:tc>
      </w:tr>
      <w:tr w:rsidR="00814D85">
        <w:trPr>
          <w:cantSplit/>
        </w:trPr>
        <w:tc>
          <w:tcPr>
            <w:tcW w:w="9590" w:type="dxa"/>
            <w:gridSpan w:val="3"/>
          </w:tcPr>
          <w:p w:rsidR="00814D85" w:rsidRDefault="00814D85"/>
        </w:tc>
      </w:tr>
      <w:tr w:rsidR="00814D85">
        <w:trPr>
          <w:cantSplit/>
        </w:trPr>
        <w:tc>
          <w:tcPr>
            <w:tcW w:w="9590" w:type="dxa"/>
            <w:gridSpan w:val="3"/>
          </w:tcPr>
          <w:p w:rsidR="00814D85" w:rsidRDefault="00814D85"/>
        </w:tc>
      </w:tr>
      <w:tr w:rsidR="00814D85">
        <w:trPr>
          <w:cantSplit/>
        </w:trPr>
        <w:tc>
          <w:tcPr>
            <w:tcW w:w="2880" w:type="dxa"/>
          </w:tcPr>
          <w:p w:rsidR="00814D85" w:rsidRDefault="00DC439C">
            <w:r>
              <w:t>Gatineau</w:t>
            </w:r>
          </w:p>
        </w:tc>
        <w:tc>
          <w:tcPr>
            <w:tcW w:w="6710" w:type="dxa"/>
            <w:gridSpan w:val="2"/>
          </w:tcPr>
          <w:p w:rsidR="00814D85" w:rsidRDefault="00DC439C">
            <w:pPr>
              <w:pStyle w:val="zSoquijdatDateJugement"/>
            </w:pPr>
            <w:r>
              <w:t>23 juin 2015</w:t>
            </w:r>
          </w:p>
        </w:tc>
      </w:tr>
      <w:tr w:rsidR="00814D85">
        <w:trPr>
          <w:cantSplit/>
        </w:trPr>
        <w:tc>
          <w:tcPr>
            <w:tcW w:w="9590" w:type="dxa"/>
            <w:gridSpan w:val="3"/>
          </w:tcPr>
          <w:p w:rsidR="00814D85" w:rsidRDefault="00814D85"/>
        </w:tc>
      </w:tr>
      <w:tr w:rsidR="00814D85">
        <w:tc>
          <w:tcPr>
            <w:tcW w:w="2880" w:type="dxa"/>
          </w:tcPr>
          <w:p w:rsidR="00814D85" w:rsidRDefault="00814D85">
            <w:r>
              <w:t>Région :</w:t>
            </w:r>
          </w:p>
        </w:tc>
        <w:tc>
          <w:tcPr>
            <w:tcW w:w="6710" w:type="dxa"/>
            <w:gridSpan w:val="2"/>
          </w:tcPr>
          <w:p w:rsidR="00814D85" w:rsidRDefault="00DC439C">
            <w:pPr>
              <w:pStyle w:val="zSoquijdatGreffe"/>
            </w:pPr>
            <w:r>
              <w:t>Outaouais</w:t>
            </w:r>
          </w:p>
        </w:tc>
      </w:tr>
      <w:tr w:rsidR="00814D85">
        <w:trPr>
          <w:cantSplit/>
        </w:trPr>
        <w:tc>
          <w:tcPr>
            <w:tcW w:w="9590" w:type="dxa"/>
            <w:gridSpan w:val="3"/>
          </w:tcPr>
          <w:p w:rsidR="00814D85" w:rsidRDefault="00814D85"/>
        </w:tc>
      </w:tr>
      <w:tr w:rsidR="00814D85">
        <w:tc>
          <w:tcPr>
            <w:tcW w:w="2880" w:type="dxa"/>
          </w:tcPr>
          <w:p w:rsidR="00814D85" w:rsidRDefault="00814D85">
            <w:bookmarkStart w:id="0" w:name="ref_dossier" w:colFirst="1" w:colLast="1"/>
            <w:r>
              <w:t>Dossier</w:t>
            </w:r>
            <w:bookmarkStart w:id="1" w:name="dossiers"/>
            <w:bookmarkEnd w:id="1"/>
            <w:r>
              <w:t xml:space="preserve"> :</w:t>
            </w:r>
          </w:p>
        </w:tc>
        <w:tc>
          <w:tcPr>
            <w:tcW w:w="6710" w:type="dxa"/>
            <w:gridSpan w:val="2"/>
          </w:tcPr>
          <w:p w:rsidR="00814D85" w:rsidRDefault="00DC439C">
            <w:pPr>
              <w:pStyle w:val="zSoquijdatNoDossier"/>
            </w:pPr>
            <w:r>
              <w:t>558201-07-1411</w:t>
            </w:r>
          </w:p>
        </w:tc>
      </w:tr>
      <w:bookmarkEnd w:id="0"/>
      <w:tr w:rsidR="00814D85">
        <w:trPr>
          <w:cantSplit/>
        </w:trPr>
        <w:tc>
          <w:tcPr>
            <w:tcW w:w="9590" w:type="dxa"/>
            <w:gridSpan w:val="3"/>
          </w:tcPr>
          <w:p w:rsidR="00814D85" w:rsidRDefault="00814D85"/>
        </w:tc>
      </w:tr>
      <w:tr w:rsidR="00814D85">
        <w:tc>
          <w:tcPr>
            <w:tcW w:w="2880" w:type="dxa"/>
          </w:tcPr>
          <w:p w:rsidR="00814D85" w:rsidRDefault="00814D85">
            <w:r>
              <w:t>Dossier CSST :</w:t>
            </w:r>
          </w:p>
        </w:tc>
        <w:tc>
          <w:tcPr>
            <w:tcW w:w="6710" w:type="dxa"/>
            <w:gridSpan w:val="2"/>
          </w:tcPr>
          <w:p w:rsidR="00814D85" w:rsidRDefault="00DC439C">
            <w:pPr>
              <w:pStyle w:val="zSoquijdatNCSST"/>
            </w:pPr>
            <w:r>
              <w:t>142241808</w:t>
            </w:r>
          </w:p>
        </w:tc>
      </w:tr>
      <w:tr w:rsidR="00814D85">
        <w:trPr>
          <w:cantSplit/>
        </w:trPr>
        <w:tc>
          <w:tcPr>
            <w:tcW w:w="9590" w:type="dxa"/>
            <w:gridSpan w:val="3"/>
          </w:tcPr>
          <w:p w:rsidR="00814D85" w:rsidRDefault="00814D85"/>
        </w:tc>
      </w:tr>
      <w:tr w:rsidR="00814D85">
        <w:tc>
          <w:tcPr>
            <w:tcW w:w="2880" w:type="dxa"/>
          </w:tcPr>
          <w:p w:rsidR="00814D85" w:rsidRDefault="00814D85">
            <w:r>
              <w:t>Commissaire :</w:t>
            </w:r>
          </w:p>
        </w:tc>
        <w:tc>
          <w:tcPr>
            <w:tcW w:w="6710" w:type="dxa"/>
            <w:gridSpan w:val="2"/>
          </w:tcPr>
          <w:p w:rsidR="00814D85" w:rsidRDefault="00DC439C">
            <w:pPr>
              <w:pStyle w:val="zSoquijdatJuge"/>
            </w:pPr>
            <w:r>
              <w:t>Catherine A. Bergeron, juge administrative</w:t>
            </w:r>
          </w:p>
        </w:tc>
      </w:tr>
      <w:tr w:rsidR="00814D85">
        <w:trPr>
          <w:cantSplit/>
        </w:trPr>
        <w:tc>
          <w:tcPr>
            <w:tcW w:w="9590" w:type="dxa"/>
            <w:gridSpan w:val="3"/>
          </w:tcPr>
          <w:p w:rsidR="00814D85" w:rsidRDefault="00814D85"/>
        </w:tc>
      </w:tr>
      <w:tr w:rsidR="00814D85">
        <w:trPr>
          <w:cantSplit/>
        </w:trPr>
        <w:tc>
          <w:tcPr>
            <w:tcW w:w="9590" w:type="dxa"/>
            <w:gridSpan w:val="3"/>
          </w:tcPr>
          <w:p w:rsidR="00814D85" w:rsidRDefault="00814D85">
            <w:r>
              <w:t>______________________________________________________________________</w:t>
            </w:r>
          </w:p>
        </w:tc>
      </w:tr>
      <w:tr w:rsidR="00814D85">
        <w:trPr>
          <w:cantSplit/>
        </w:trPr>
        <w:tc>
          <w:tcPr>
            <w:tcW w:w="9590" w:type="dxa"/>
            <w:gridSpan w:val="3"/>
          </w:tcPr>
          <w:p w:rsidR="00814D85" w:rsidRDefault="00814D85">
            <w:pPr>
              <w:jc w:val="both"/>
            </w:pPr>
          </w:p>
        </w:tc>
      </w:tr>
      <w:tr w:rsidR="00814D85">
        <w:trPr>
          <w:cantSplit/>
        </w:trPr>
        <w:tc>
          <w:tcPr>
            <w:tcW w:w="4795" w:type="dxa"/>
            <w:gridSpan w:val="2"/>
          </w:tcPr>
          <w:p w:rsidR="00814D85" w:rsidRDefault="00814D85">
            <w:pPr>
              <w:jc w:val="both"/>
            </w:pPr>
            <w:bookmarkStart w:id="2" w:name="bloc_parties_gauche"/>
            <w:bookmarkEnd w:id="2"/>
          </w:p>
        </w:tc>
        <w:tc>
          <w:tcPr>
            <w:tcW w:w="4795" w:type="dxa"/>
          </w:tcPr>
          <w:p w:rsidR="00814D85" w:rsidRDefault="00814D85">
            <w:pPr>
              <w:jc w:val="both"/>
            </w:pPr>
          </w:p>
        </w:tc>
      </w:tr>
      <w:tr w:rsidR="00814D85">
        <w:tc>
          <w:tcPr>
            <w:tcW w:w="4795" w:type="dxa"/>
            <w:gridSpan w:val="2"/>
          </w:tcPr>
          <w:p w:rsidR="00814D85" w:rsidRDefault="00DC439C">
            <w:pPr>
              <w:pStyle w:val="zSoquijdatNomPartieDem"/>
              <w:rPr>
                <w:b/>
              </w:rPr>
            </w:pPr>
            <w:r>
              <w:rPr>
                <w:b/>
              </w:rPr>
              <w:t>Ville de Gatineau</w:t>
            </w:r>
          </w:p>
        </w:tc>
        <w:tc>
          <w:tcPr>
            <w:tcW w:w="4795" w:type="dxa"/>
          </w:tcPr>
          <w:p w:rsidR="00814D85" w:rsidRDefault="00814D85"/>
        </w:tc>
      </w:tr>
      <w:tr w:rsidR="00814D85">
        <w:tc>
          <w:tcPr>
            <w:tcW w:w="4795" w:type="dxa"/>
            <w:gridSpan w:val="2"/>
          </w:tcPr>
          <w:p w:rsidR="00814D85" w:rsidRDefault="00814D85">
            <w:pPr>
              <w:pStyle w:val="zSoquijdatQtePartieDem"/>
              <w:ind w:left="708"/>
            </w:pPr>
            <w:r>
              <w:t>Partie requérante</w:t>
            </w:r>
          </w:p>
        </w:tc>
        <w:tc>
          <w:tcPr>
            <w:tcW w:w="4795" w:type="dxa"/>
          </w:tcPr>
          <w:p w:rsidR="00814D85" w:rsidRDefault="00814D85"/>
        </w:tc>
      </w:tr>
      <w:tr w:rsidR="00814D85">
        <w:tc>
          <w:tcPr>
            <w:tcW w:w="4795" w:type="dxa"/>
            <w:gridSpan w:val="2"/>
          </w:tcPr>
          <w:p w:rsidR="00814D85" w:rsidRDefault="00814D85"/>
        </w:tc>
        <w:tc>
          <w:tcPr>
            <w:tcW w:w="4795" w:type="dxa"/>
          </w:tcPr>
          <w:p w:rsidR="00814D85" w:rsidRDefault="00814D85"/>
        </w:tc>
      </w:tr>
      <w:tr w:rsidR="00814D85">
        <w:tc>
          <w:tcPr>
            <w:tcW w:w="4795" w:type="dxa"/>
            <w:gridSpan w:val="2"/>
          </w:tcPr>
          <w:p w:rsidR="00814D85" w:rsidRDefault="00814D85">
            <w:r>
              <w:t>et</w:t>
            </w:r>
          </w:p>
        </w:tc>
        <w:tc>
          <w:tcPr>
            <w:tcW w:w="4795" w:type="dxa"/>
          </w:tcPr>
          <w:p w:rsidR="00814D85" w:rsidRDefault="00814D85"/>
        </w:tc>
      </w:tr>
      <w:tr w:rsidR="00814D85">
        <w:tc>
          <w:tcPr>
            <w:tcW w:w="4795" w:type="dxa"/>
            <w:gridSpan w:val="2"/>
          </w:tcPr>
          <w:p w:rsidR="00814D85" w:rsidRDefault="00814D85"/>
        </w:tc>
        <w:tc>
          <w:tcPr>
            <w:tcW w:w="4795" w:type="dxa"/>
          </w:tcPr>
          <w:p w:rsidR="00814D85" w:rsidRDefault="00814D85"/>
        </w:tc>
      </w:tr>
      <w:tr w:rsidR="00814D85">
        <w:tc>
          <w:tcPr>
            <w:tcW w:w="4795" w:type="dxa"/>
            <w:gridSpan w:val="2"/>
          </w:tcPr>
          <w:p w:rsidR="00814D85" w:rsidRDefault="00DC439C">
            <w:pPr>
              <w:pStyle w:val="zSoquijdatNomPartieDef"/>
              <w:rPr>
                <w:b/>
              </w:rPr>
            </w:pPr>
            <w:r>
              <w:rPr>
                <w:b/>
              </w:rPr>
              <w:t>Jacques Lavoie</w:t>
            </w:r>
          </w:p>
        </w:tc>
        <w:tc>
          <w:tcPr>
            <w:tcW w:w="4795" w:type="dxa"/>
          </w:tcPr>
          <w:p w:rsidR="00814D85" w:rsidRDefault="00814D85"/>
        </w:tc>
      </w:tr>
      <w:tr w:rsidR="00814D85">
        <w:tc>
          <w:tcPr>
            <w:tcW w:w="4795" w:type="dxa"/>
            <w:gridSpan w:val="2"/>
          </w:tcPr>
          <w:p w:rsidR="00814D85" w:rsidRDefault="00814D85">
            <w:pPr>
              <w:pStyle w:val="zSoquijdatQtePartieDef"/>
              <w:ind w:left="708"/>
            </w:pPr>
            <w:r>
              <w:t>Partie intéressée</w:t>
            </w:r>
          </w:p>
        </w:tc>
        <w:tc>
          <w:tcPr>
            <w:tcW w:w="4795" w:type="dxa"/>
          </w:tcPr>
          <w:p w:rsidR="00814D85" w:rsidRDefault="00814D85"/>
        </w:tc>
      </w:tr>
      <w:tr w:rsidR="00814D85">
        <w:tc>
          <w:tcPr>
            <w:tcW w:w="4795" w:type="dxa"/>
            <w:gridSpan w:val="2"/>
          </w:tcPr>
          <w:p w:rsidR="00814D85" w:rsidRDefault="00814D85"/>
        </w:tc>
        <w:tc>
          <w:tcPr>
            <w:tcW w:w="4795" w:type="dxa"/>
          </w:tcPr>
          <w:p w:rsidR="00814D85" w:rsidRDefault="00814D85"/>
        </w:tc>
      </w:tr>
    </w:tbl>
    <w:p w:rsidR="00814D85" w:rsidRDefault="00814D85">
      <w:bookmarkStart w:id="3" w:name="fin_tableau1"/>
      <w:bookmarkEnd w:id="3"/>
      <w:r>
        <w:t>______________________________________________________________________</w:t>
      </w:r>
    </w:p>
    <w:p w:rsidR="00814D85" w:rsidRDefault="00814D85">
      <w:pPr>
        <w:jc w:val="both"/>
      </w:pPr>
    </w:p>
    <w:p w:rsidR="00814D85" w:rsidRDefault="00814D85">
      <w:pPr>
        <w:jc w:val="center"/>
      </w:pPr>
      <w:r>
        <w:t>RECTIFICATION D’UNE DÉCISION</w:t>
      </w:r>
    </w:p>
    <w:p w:rsidR="00814D85" w:rsidRDefault="00814D85">
      <w:pPr>
        <w:jc w:val="center"/>
      </w:pPr>
      <w:r>
        <w:t>______________________________________________________________________</w:t>
      </w:r>
    </w:p>
    <w:p w:rsidR="00814D85" w:rsidRDefault="00814D85"/>
    <w:p w:rsidR="00814D85" w:rsidRDefault="00814D85"/>
    <w:p w:rsidR="00814D85" w:rsidRDefault="00814D85">
      <w:pPr>
        <w:pStyle w:val="corpsdedcision"/>
      </w:pPr>
      <w:smartTag w:uri="urn:schemas-microsoft-com:office:smarttags" w:element="PersonName">
        <w:smartTagPr>
          <w:attr w:name="ProductID" w:val="La Commission"/>
        </w:smartTagPr>
        <w:r>
          <w:t>La Commission</w:t>
        </w:r>
      </w:smartTag>
      <w:r>
        <w:t xml:space="preserve"> des lésions professionnelles a rendu le </w:t>
      </w:r>
      <w:r w:rsidR="00DC439C">
        <w:t>18 juin 2015</w:t>
      </w:r>
      <w:r>
        <w:t>, une décision dans le présent dossier;</w:t>
      </w:r>
    </w:p>
    <w:p w:rsidR="00814D85" w:rsidRDefault="00814D85" w:rsidP="00AC079F">
      <w:pPr>
        <w:pStyle w:val="corpsdedcision"/>
      </w:pPr>
      <w:r>
        <w:t xml:space="preserve">Cette décision contient </w:t>
      </w:r>
      <w:r w:rsidR="00324D8B">
        <w:t>deux</w:t>
      </w:r>
      <w:r w:rsidR="00DC439C">
        <w:t xml:space="preserve"> erreur</w:t>
      </w:r>
      <w:r w:rsidR="00324D8B">
        <w:t>s</w:t>
      </w:r>
      <w:r w:rsidR="00DC439C">
        <w:t xml:space="preserve"> </w:t>
      </w:r>
      <w:r>
        <w:t xml:space="preserve">qu’il y a lieu de rectifier en vertu de l’article 429.55 de la </w:t>
      </w:r>
      <w:r>
        <w:rPr>
          <w:i/>
        </w:rPr>
        <w:t>Loi sur les accidents du travail et les maladies professionnelles</w:t>
      </w:r>
      <w:r>
        <w:t xml:space="preserve">, </w:t>
      </w:r>
      <w:r w:rsidR="00AC079F">
        <w:t>R</w:t>
      </w:r>
      <w:r>
        <w:t>LRQ, c. A-3.001;</w:t>
      </w:r>
    </w:p>
    <w:p w:rsidR="00814D85" w:rsidRDefault="00691812">
      <w:pPr>
        <w:pStyle w:val="corpsdedcision"/>
      </w:pPr>
      <w:r>
        <w:t>Après le paragraphe 2, un paragraphe a été omis. Nous aurions dû lire :</w:t>
      </w:r>
    </w:p>
    <w:p w:rsidR="00691812" w:rsidRDefault="00691812" w:rsidP="00324D8B">
      <w:pPr>
        <w:pStyle w:val="citation"/>
      </w:pPr>
      <w:r>
        <w:t>[3]</w:t>
      </w:r>
      <w:r>
        <w:tab/>
      </w:r>
      <w:r w:rsidRPr="00324D8B">
        <w:rPr>
          <w:u w:val="single"/>
        </w:rPr>
        <w:t>Une audience s’est tenue à Gatineau le 8 mai 2015</w:t>
      </w:r>
      <w:r w:rsidR="00D011C1" w:rsidRPr="00324D8B">
        <w:rPr>
          <w:u w:val="single"/>
        </w:rPr>
        <w:t>,</w:t>
      </w:r>
      <w:r w:rsidRPr="00324D8B">
        <w:rPr>
          <w:u w:val="single"/>
        </w:rPr>
        <w:t xml:space="preserve"> en présence </w:t>
      </w:r>
      <w:r w:rsidR="00D011C1" w:rsidRPr="00324D8B">
        <w:rPr>
          <w:u w:val="single"/>
        </w:rPr>
        <w:t>des parties</w:t>
      </w:r>
      <w:r w:rsidRPr="00324D8B">
        <w:rPr>
          <w:u w:val="single"/>
        </w:rPr>
        <w:t xml:space="preserve"> et de leur</w:t>
      </w:r>
      <w:r w:rsidR="002C61A8" w:rsidRPr="00324D8B">
        <w:rPr>
          <w:u w:val="single"/>
        </w:rPr>
        <w:t>s</w:t>
      </w:r>
      <w:r w:rsidRPr="00324D8B">
        <w:rPr>
          <w:u w:val="single"/>
        </w:rPr>
        <w:t xml:space="preserve"> représentant</w:t>
      </w:r>
      <w:r w:rsidR="002C61A8" w:rsidRPr="00324D8B">
        <w:rPr>
          <w:u w:val="single"/>
        </w:rPr>
        <w:t>s</w:t>
      </w:r>
      <w:r w:rsidRPr="00324D8B">
        <w:rPr>
          <w:u w:val="single"/>
        </w:rPr>
        <w:t xml:space="preserve"> respectif</w:t>
      </w:r>
      <w:r w:rsidR="002C61A8" w:rsidRPr="00324D8B">
        <w:rPr>
          <w:u w:val="single"/>
        </w:rPr>
        <w:t>s</w:t>
      </w:r>
      <w:r w:rsidRPr="00324D8B">
        <w:t>.</w:t>
      </w:r>
      <w:r w:rsidR="00D011C1" w:rsidRPr="00324D8B">
        <w:t xml:space="preserve"> </w:t>
      </w:r>
      <w:r w:rsidR="00D011C1" w:rsidRPr="00324D8B">
        <w:rPr>
          <w:u w:val="single"/>
        </w:rPr>
        <w:t>Un délai a été accordé aux parties afin que des documents additionnels soient déposés de même que des argumentations écrites. Les derniers documents sont reçus le 27 mai 2015</w:t>
      </w:r>
      <w:r w:rsidR="00D011C1" w:rsidRPr="00324D8B">
        <w:t xml:space="preserve">. </w:t>
      </w:r>
      <w:r w:rsidR="00D011C1" w:rsidRPr="00324D8B">
        <w:rPr>
          <w:u w:val="single"/>
        </w:rPr>
        <w:t>Le dossier est mis en délibéré le 1</w:t>
      </w:r>
      <w:r w:rsidR="00D011C1" w:rsidRPr="00324D8B">
        <w:rPr>
          <w:u w:val="single"/>
          <w:vertAlign w:val="superscript"/>
        </w:rPr>
        <w:t>er</w:t>
      </w:r>
      <w:r w:rsidR="00D011C1" w:rsidRPr="00324D8B">
        <w:rPr>
          <w:u w:val="single"/>
        </w:rPr>
        <w:t xml:space="preserve"> juin 2015, date à laquelle le représentant de l’employeur pouvait transmettre une réplique à l’argumentation écrite de la représentante du travailleur</w:t>
      </w:r>
      <w:r w:rsidR="00D011C1" w:rsidRPr="00324D8B">
        <w:t>.</w:t>
      </w:r>
    </w:p>
    <w:p w:rsidR="006070A4" w:rsidRDefault="00BD7A86" w:rsidP="006070A4">
      <w:pPr>
        <w:pStyle w:val="corpsdedcision"/>
      </w:pPr>
      <w:r>
        <w:lastRenderedPageBreak/>
        <w:t>Au paragraphe</w:t>
      </w:r>
      <w:r w:rsidR="006070A4">
        <w:t xml:space="preserve"> 70 </w:t>
      </w:r>
      <w:r>
        <w:t>nous lisons</w:t>
      </w:r>
      <w:r w:rsidR="006070A4">
        <w:t> :</w:t>
      </w:r>
    </w:p>
    <w:p w:rsidR="006070A4" w:rsidRDefault="006070A4" w:rsidP="006070A4">
      <w:pPr>
        <w:pStyle w:val="citation"/>
      </w:pPr>
      <w:r>
        <w:t>[70]</w:t>
      </w:r>
      <w:r>
        <w:tab/>
        <w:t>Le travailleur est d’ailleurs parfaitement au courant des attentes de l’employeur. La preuve révèle en effet que ce dernier est intervenu de manière inappropriée dans le passé (notamment une attitude arrogante, des propos déplacés, mais aussi l’interception de véhicules n’ayant pas, selon lui, respecté le Code de la route). À la suite de plaintes, ces comportements ont entraîné plusieurs rencontres afin d’expliquer au travailleur les limites de son mandat de même que des avis disciplinaires. De même, il semble que le travailleur ait de la difficulté à suivre les consignes de l’employeur.</w:t>
      </w:r>
    </w:p>
    <w:p w:rsidR="006070A4" w:rsidRDefault="006070A4" w:rsidP="006070A4">
      <w:pPr>
        <w:pStyle w:val="citation"/>
      </w:pPr>
    </w:p>
    <w:p w:rsidR="006070A4" w:rsidRDefault="006070A4" w:rsidP="006070A4">
      <w:pPr>
        <w:pStyle w:val="citation"/>
      </w:pPr>
    </w:p>
    <w:p w:rsidR="006070A4" w:rsidRDefault="00BD7A86" w:rsidP="006070A4">
      <w:pPr>
        <w:pStyle w:val="corpsdedcision"/>
      </w:pPr>
      <w:r>
        <w:t>Alors que nous aurions dû lire</w:t>
      </w:r>
      <w:r w:rsidR="006070A4">
        <w:t> :</w:t>
      </w:r>
    </w:p>
    <w:p w:rsidR="006070A4" w:rsidRDefault="006070A4" w:rsidP="006070A4">
      <w:pPr>
        <w:pStyle w:val="citation"/>
      </w:pPr>
      <w:r>
        <w:t>[71]</w:t>
      </w:r>
      <w:r>
        <w:tab/>
        <w:t xml:space="preserve">Le travailleur est d’ailleurs parfaitement au courant des attentes de l’employeur. La preuve révèle en effet que ce dernier est intervenu de manière inappropriée dans le passé (notamment une attitude arrogante, des propos déplacés, mais aussi l’interception de véhicules n’ayant pas, selon lui, respecté le </w:t>
      </w:r>
      <w:r w:rsidRPr="006070A4">
        <w:rPr>
          <w:u w:val="single"/>
        </w:rPr>
        <w:t xml:space="preserve">Code de </w:t>
      </w:r>
      <w:r>
        <w:rPr>
          <w:u w:val="single"/>
        </w:rPr>
        <w:t>la sécurité routièr</w:t>
      </w:r>
      <w:r w:rsidRPr="006070A4">
        <w:rPr>
          <w:u w:val="single"/>
        </w:rPr>
        <w:t>e</w:t>
      </w:r>
      <w:r>
        <w:t>). À la suite de plaintes, ces comportements ont entraîné plusieurs rencontres afin d’expliquer au travailleur les limites de son mandat de même que des avis disciplinaires. De même, il semble que le travailleur ait de la difficulté à suivre les consignes de l’employeur.</w:t>
      </w:r>
    </w:p>
    <w:p w:rsidR="006070A4" w:rsidRDefault="006070A4" w:rsidP="006070A4">
      <w:pPr>
        <w:pStyle w:val="citation"/>
      </w:pPr>
    </w:p>
    <w:p w:rsidR="006070A4" w:rsidRDefault="006070A4" w:rsidP="006070A4">
      <w:pPr>
        <w:pStyle w:val="citation"/>
      </w:pPr>
    </w:p>
    <w:p w:rsidR="00324D8B" w:rsidRDefault="00324D8B" w:rsidP="00324D8B">
      <w:pPr>
        <w:pStyle w:val="corpsdedcision"/>
        <w:numPr>
          <w:ilvl w:val="0"/>
          <w:numId w:val="0"/>
        </w:numPr>
      </w:pPr>
    </w:p>
    <w:tbl>
      <w:tblPr>
        <w:tblW w:w="9590" w:type="dxa"/>
        <w:tblLayout w:type="fixed"/>
        <w:tblCellMar>
          <w:left w:w="70" w:type="dxa"/>
          <w:right w:w="70" w:type="dxa"/>
        </w:tblCellMar>
        <w:tblLook w:val="0000" w:firstRow="0" w:lastRow="0" w:firstColumn="0" w:lastColumn="0" w:noHBand="0" w:noVBand="0"/>
      </w:tblPr>
      <w:tblGrid>
        <w:gridCol w:w="4795"/>
        <w:gridCol w:w="4795"/>
      </w:tblGrid>
      <w:tr w:rsidR="00814D85">
        <w:tc>
          <w:tcPr>
            <w:tcW w:w="4795" w:type="dxa"/>
          </w:tcPr>
          <w:p w:rsidR="00814D85" w:rsidRDefault="00814D85"/>
        </w:tc>
        <w:tc>
          <w:tcPr>
            <w:tcW w:w="4795" w:type="dxa"/>
          </w:tcPr>
          <w:p w:rsidR="00814D85" w:rsidRDefault="00814D85">
            <w:bookmarkStart w:id="4" w:name="signature"/>
            <w:bookmarkEnd w:id="4"/>
            <w:r>
              <w:t>__________________________________</w:t>
            </w:r>
          </w:p>
        </w:tc>
      </w:tr>
      <w:tr w:rsidR="00814D85">
        <w:tc>
          <w:tcPr>
            <w:tcW w:w="4795" w:type="dxa"/>
          </w:tcPr>
          <w:p w:rsidR="00814D85" w:rsidRDefault="00814D85"/>
        </w:tc>
        <w:tc>
          <w:tcPr>
            <w:tcW w:w="4795" w:type="dxa"/>
          </w:tcPr>
          <w:p w:rsidR="00814D85" w:rsidRDefault="001461D7">
            <w:r>
              <w:t>Catherine A. Bergeron</w:t>
            </w:r>
          </w:p>
        </w:tc>
      </w:tr>
      <w:tr w:rsidR="00814D85">
        <w:trPr>
          <w:cantSplit/>
        </w:trPr>
        <w:tc>
          <w:tcPr>
            <w:tcW w:w="9590" w:type="dxa"/>
            <w:gridSpan w:val="2"/>
          </w:tcPr>
          <w:p w:rsidR="00814D85" w:rsidRDefault="00814D85"/>
        </w:tc>
      </w:tr>
      <w:tr w:rsidR="00814D85">
        <w:trPr>
          <w:cantSplit/>
        </w:trPr>
        <w:tc>
          <w:tcPr>
            <w:tcW w:w="9590" w:type="dxa"/>
            <w:gridSpan w:val="2"/>
          </w:tcPr>
          <w:p w:rsidR="00814D85" w:rsidRDefault="00814D85"/>
        </w:tc>
      </w:tr>
      <w:tr w:rsidR="00814D85">
        <w:trPr>
          <w:cantSplit/>
        </w:trPr>
        <w:tc>
          <w:tcPr>
            <w:tcW w:w="9590" w:type="dxa"/>
            <w:gridSpan w:val="2"/>
          </w:tcPr>
          <w:p w:rsidR="00814D85" w:rsidRDefault="00814D85"/>
        </w:tc>
      </w:tr>
      <w:tr w:rsidR="00814D85">
        <w:trPr>
          <w:cantSplit/>
        </w:trPr>
        <w:tc>
          <w:tcPr>
            <w:tcW w:w="9590" w:type="dxa"/>
            <w:gridSpan w:val="2"/>
          </w:tcPr>
          <w:p w:rsidR="00814D85" w:rsidRDefault="00814D85"/>
        </w:tc>
      </w:tr>
      <w:tr w:rsidR="00814D85">
        <w:trPr>
          <w:cantSplit/>
        </w:trPr>
        <w:tc>
          <w:tcPr>
            <w:tcW w:w="9590" w:type="dxa"/>
            <w:gridSpan w:val="2"/>
          </w:tcPr>
          <w:p w:rsidR="00814D85" w:rsidRDefault="001461D7">
            <w:pPr>
              <w:pStyle w:val="zSoquijdatNomProcureurDem"/>
            </w:pPr>
            <w:r>
              <w:t>Me Frédéric Poirier</w:t>
            </w:r>
          </w:p>
        </w:tc>
      </w:tr>
      <w:tr w:rsidR="00814D85">
        <w:trPr>
          <w:cantSplit/>
        </w:trPr>
        <w:tc>
          <w:tcPr>
            <w:tcW w:w="9590" w:type="dxa"/>
            <w:gridSpan w:val="2"/>
          </w:tcPr>
          <w:p w:rsidR="00814D85" w:rsidRDefault="001461D7">
            <w:pPr>
              <w:pStyle w:val="zSoquijdatCabinetProcureurDem"/>
            </w:pPr>
            <w:r>
              <w:t>BÉLANGER SAUVÉ</w:t>
            </w:r>
          </w:p>
        </w:tc>
      </w:tr>
      <w:tr w:rsidR="00814D85">
        <w:trPr>
          <w:cantSplit/>
        </w:trPr>
        <w:tc>
          <w:tcPr>
            <w:tcW w:w="9590" w:type="dxa"/>
            <w:gridSpan w:val="2"/>
          </w:tcPr>
          <w:p w:rsidR="00814D85" w:rsidRDefault="00814D85">
            <w:pPr>
              <w:pStyle w:val="zSoquijlblProcureurDem"/>
            </w:pPr>
            <w:r>
              <w:t>Représentant de la partie requérante</w:t>
            </w:r>
          </w:p>
        </w:tc>
      </w:tr>
      <w:tr w:rsidR="00814D85">
        <w:trPr>
          <w:cantSplit/>
        </w:trPr>
        <w:tc>
          <w:tcPr>
            <w:tcW w:w="9590" w:type="dxa"/>
            <w:gridSpan w:val="2"/>
          </w:tcPr>
          <w:p w:rsidR="00814D85" w:rsidRDefault="00814D85"/>
        </w:tc>
      </w:tr>
      <w:tr w:rsidR="00814D85">
        <w:trPr>
          <w:cantSplit/>
        </w:trPr>
        <w:tc>
          <w:tcPr>
            <w:tcW w:w="9590" w:type="dxa"/>
            <w:gridSpan w:val="2"/>
          </w:tcPr>
          <w:p w:rsidR="00814D85" w:rsidRDefault="00814D85"/>
        </w:tc>
      </w:tr>
      <w:tr w:rsidR="00814D85">
        <w:trPr>
          <w:cantSplit/>
        </w:trPr>
        <w:tc>
          <w:tcPr>
            <w:tcW w:w="9590" w:type="dxa"/>
            <w:gridSpan w:val="2"/>
          </w:tcPr>
          <w:p w:rsidR="00814D85" w:rsidRDefault="001461D7">
            <w:pPr>
              <w:pStyle w:val="zSoquijdatNomProcureurDef"/>
            </w:pPr>
            <w:r>
              <w:t>Me Maryse Lepage</w:t>
            </w:r>
          </w:p>
        </w:tc>
      </w:tr>
      <w:tr w:rsidR="00814D85">
        <w:trPr>
          <w:cantSplit/>
        </w:trPr>
        <w:tc>
          <w:tcPr>
            <w:tcW w:w="9590" w:type="dxa"/>
            <w:gridSpan w:val="2"/>
          </w:tcPr>
          <w:p w:rsidR="00814D85" w:rsidRDefault="001461D7">
            <w:pPr>
              <w:pStyle w:val="zSoquijdatCabinetProcureurDef"/>
            </w:pPr>
            <w:r>
              <w:t>BASTIEN, MOREAU, AVOCATS</w:t>
            </w:r>
          </w:p>
        </w:tc>
      </w:tr>
      <w:tr w:rsidR="00814D85">
        <w:trPr>
          <w:cantSplit/>
        </w:trPr>
        <w:tc>
          <w:tcPr>
            <w:tcW w:w="9590" w:type="dxa"/>
            <w:gridSpan w:val="2"/>
          </w:tcPr>
          <w:p w:rsidR="00814D85" w:rsidRDefault="00814D85">
            <w:pPr>
              <w:pStyle w:val="zSoquijlblProcureurDef"/>
            </w:pPr>
            <w:r>
              <w:t>Représentant</w:t>
            </w:r>
            <w:r w:rsidR="001461D7">
              <w:t>e</w:t>
            </w:r>
            <w:r>
              <w:t xml:space="preserve"> de la partie intéressée</w:t>
            </w:r>
          </w:p>
        </w:tc>
      </w:tr>
      <w:tr w:rsidR="00814D85">
        <w:trPr>
          <w:cantSplit/>
        </w:trPr>
        <w:tc>
          <w:tcPr>
            <w:tcW w:w="9590" w:type="dxa"/>
            <w:gridSpan w:val="2"/>
          </w:tcPr>
          <w:p w:rsidR="00814D85" w:rsidRDefault="00814D85"/>
        </w:tc>
      </w:tr>
    </w:tbl>
    <w:p w:rsidR="00AA250B" w:rsidRDefault="00AA250B">
      <w:pPr>
        <w:sectPr w:rsidR="00AA250B" w:rsidSect="005319ED">
          <w:headerReference w:type="default" r:id="rId7"/>
          <w:pgSz w:w="12240" w:h="15840" w:code="1"/>
          <w:pgMar w:top="1152" w:right="1440" w:bottom="1440" w:left="1440" w:header="706" w:footer="706" w:gutter="0"/>
          <w:cols w:space="720"/>
          <w:titlePg/>
        </w:sectPr>
      </w:pPr>
    </w:p>
    <w:tbl>
      <w:tblPr>
        <w:tblW w:w="9590" w:type="dxa"/>
        <w:tblLayout w:type="fixed"/>
        <w:tblCellMar>
          <w:left w:w="70" w:type="dxa"/>
          <w:right w:w="70" w:type="dxa"/>
        </w:tblCellMar>
        <w:tblLook w:val="0000" w:firstRow="0" w:lastRow="0" w:firstColumn="0" w:lastColumn="0" w:noHBand="0" w:noVBand="0"/>
      </w:tblPr>
      <w:tblGrid>
        <w:gridCol w:w="6323"/>
        <w:gridCol w:w="3267"/>
      </w:tblGrid>
      <w:tr w:rsidR="00AA250B" w:rsidRPr="008A7FD1">
        <w:trPr>
          <w:cantSplit/>
        </w:trPr>
        <w:tc>
          <w:tcPr>
            <w:tcW w:w="4795" w:type="dxa"/>
          </w:tcPr>
          <w:p w:rsidR="00AA250B" w:rsidRPr="0022484B" w:rsidRDefault="00AA250B" w:rsidP="0022484B">
            <w:pPr>
              <w:pStyle w:val="zSoquijdatRepertorie"/>
              <w:rPr>
                <w:rFonts w:cs="Arial"/>
              </w:rPr>
            </w:pPr>
            <w:r>
              <w:rPr>
                <w:rFonts w:cs="Arial"/>
              </w:rPr>
              <w:lastRenderedPageBreak/>
              <w:t>Gatineau (Ville de) et Lavoie</w:t>
            </w:r>
          </w:p>
        </w:tc>
        <w:tc>
          <w:tcPr>
            <w:tcW w:w="2477" w:type="dxa"/>
          </w:tcPr>
          <w:p w:rsidR="00AA250B" w:rsidRPr="004279B8" w:rsidRDefault="00AA250B" w:rsidP="004279B8">
            <w:pPr>
              <w:pStyle w:val="zSoquijdatRefNeutre"/>
              <w:rPr>
                <w:rFonts w:cs="Arial"/>
              </w:rPr>
            </w:pPr>
            <w:r w:rsidRPr="004279B8">
              <w:rPr>
                <w:rFonts w:cs="Arial"/>
              </w:rPr>
              <w:t>2015 QCCLP 3428</w:t>
            </w:r>
          </w:p>
        </w:tc>
      </w:tr>
    </w:tbl>
    <w:p w:rsidR="00AA250B" w:rsidRDefault="00AA250B"/>
    <w:tbl>
      <w:tblPr>
        <w:tblW w:w="9590" w:type="dxa"/>
        <w:tblLayout w:type="fixed"/>
        <w:tblCellMar>
          <w:left w:w="70" w:type="dxa"/>
          <w:right w:w="70" w:type="dxa"/>
        </w:tblCellMar>
        <w:tblLook w:val="0000" w:firstRow="0" w:lastRow="0" w:firstColumn="0" w:lastColumn="0" w:noHBand="0" w:noVBand="0"/>
      </w:tblPr>
      <w:tblGrid>
        <w:gridCol w:w="2880"/>
        <w:gridCol w:w="1915"/>
        <w:gridCol w:w="4795"/>
      </w:tblGrid>
      <w:tr w:rsidR="00AA250B">
        <w:trPr>
          <w:cantSplit/>
        </w:trPr>
        <w:tc>
          <w:tcPr>
            <w:tcW w:w="9590" w:type="dxa"/>
            <w:gridSpan w:val="3"/>
          </w:tcPr>
          <w:p w:rsidR="00AA250B" w:rsidRDefault="00AA250B"/>
        </w:tc>
      </w:tr>
      <w:tr w:rsidR="00AA250B">
        <w:trPr>
          <w:cantSplit/>
        </w:trPr>
        <w:tc>
          <w:tcPr>
            <w:tcW w:w="9590" w:type="dxa"/>
            <w:gridSpan w:val="3"/>
            <w:vAlign w:val="center"/>
          </w:tcPr>
          <w:p w:rsidR="00AA250B" w:rsidRDefault="00AA250B">
            <w:pPr>
              <w:jc w:val="center"/>
            </w:pPr>
            <w:r>
              <w:rPr>
                <w:b/>
                <w:sz w:val="28"/>
              </w:rPr>
              <w:t>COMMISSION DES LÉSIONS PROFESSIONNELLES</w:t>
            </w:r>
          </w:p>
        </w:tc>
      </w:tr>
      <w:tr w:rsidR="00AA250B">
        <w:trPr>
          <w:cantSplit/>
        </w:trPr>
        <w:tc>
          <w:tcPr>
            <w:tcW w:w="9590" w:type="dxa"/>
            <w:gridSpan w:val="3"/>
          </w:tcPr>
          <w:p w:rsidR="00AA250B" w:rsidRDefault="00AA250B"/>
        </w:tc>
      </w:tr>
      <w:tr w:rsidR="00AA250B">
        <w:trPr>
          <w:cantSplit/>
        </w:trPr>
        <w:tc>
          <w:tcPr>
            <w:tcW w:w="9590" w:type="dxa"/>
            <w:gridSpan w:val="3"/>
          </w:tcPr>
          <w:p w:rsidR="00AA250B" w:rsidRDefault="00AA250B"/>
        </w:tc>
      </w:tr>
      <w:tr w:rsidR="00AA250B">
        <w:tc>
          <w:tcPr>
            <w:tcW w:w="2880" w:type="dxa"/>
          </w:tcPr>
          <w:p w:rsidR="00AA250B" w:rsidRDefault="00AA250B">
            <w:r>
              <w:t>Gatineau</w:t>
            </w:r>
          </w:p>
        </w:tc>
        <w:tc>
          <w:tcPr>
            <w:tcW w:w="6710" w:type="dxa"/>
            <w:gridSpan w:val="2"/>
          </w:tcPr>
          <w:p w:rsidR="00AA250B" w:rsidRDefault="00AA250B">
            <w:pPr>
              <w:pStyle w:val="zSoquijdatDateJugement"/>
            </w:pPr>
            <w:r>
              <w:t>18 juin 2015</w:t>
            </w:r>
          </w:p>
        </w:tc>
      </w:tr>
      <w:tr w:rsidR="00AA250B">
        <w:trPr>
          <w:cantSplit/>
        </w:trPr>
        <w:tc>
          <w:tcPr>
            <w:tcW w:w="9590" w:type="dxa"/>
            <w:gridSpan w:val="3"/>
          </w:tcPr>
          <w:p w:rsidR="00AA250B" w:rsidRDefault="00AA250B"/>
        </w:tc>
      </w:tr>
      <w:tr w:rsidR="00AA250B">
        <w:tc>
          <w:tcPr>
            <w:tcW w:w="2880" w:type="dxa"/>
          </w:tcPr>
          <w:p w:rsidR="00AA250B" w:rsidRDefault="00AA250B">
            <w:r>
              <w:t>Région :</w:t>
            </w:r>
          </w:p>
        </w:tc>
        <w:tc>
          <w:tcPr>
            <w:tcW w:w="6710" w:type="dxa"/>
            <w:gridSpan w:val="2"/>
          </w:tcPr>
          <w:p w:rsidR="00AA250B" w:rsidRDefault="00AA250B">
            <w:pPr>
              <w:pStyle w:val="zSoquijdatGreffe"/>
            </w:pPr>
            <w:r>
              <w:t>Outaouais</w:t>
            </w:r>
          </w:p>
        </w:tc>
      </w:tr>
      <w:tr w:rsidR="00AA250B">
        <w:trPr>
          <w:cantSplit/>
        </w:trPr>
        <w:tc>
          <w:tcPr>
            <w:tcW w:w="9590" w:type="dxa"/>
            <w:gridSpan w:val="3"/>
          </w:tcPr>
          <w:p w:rsidR="00AA250B" w:rsidRDefault="00AA250B"/>
        </w:tc>
      </w:tr>
      <w:tr w:rsidR="00AA250B">
        <w:tc>
          <w:tcPr>
            <w:tcW w:w="2880" w:type="dxa"/>
          </w:tcPr>
          <w:p w:rsidR="00AA250B" w:rsidRDefault="00AA250B">
            <w:r>
              <w:t>Dossier :</w:t>
            </w:r>
          </w:p>
        </w:tc>
        <w:tc>
          <w:tcPr>
            <w:tcW w:w="6710" w:type="dxa"/>
            <w:gridSpan w:val="2"/>
          </w:tcPr>
          <w:p w:rsidR="00AA250B" w:rsidRDefault="00AA250B" w:rsidP="00F50551">
            <w:pPr>
              <w:pStyle w:val="zSoquijdatNoDossier"/>
            </w:pPr>
            <w:r>
              <w:t>558201-07-1411</w:t>
            </w:r>
          </w:p>
        </w:tc>
      </w:tr>
      <w:tr w:rsidR="00AA250B">
        <w:trPr>
          <w:cantSplit/>
        </w:trPr>
        <w:tc>
          <w:tcPr>
            <w:tcW w:w="9590" w:type="dxa"/>
            <w:gridSpan w:val="3"/>
          </w:tcPr>
          <w:p w:rsidR="00AA250B" w:rsidRDefault="00AA250B"/>
        </w:tc>
      </w:tr>
      <w:tr w:rsidR="00AA250B">
        <w:tc>
          <w:tcPr>
            <w:tcW w:w="2880" w:type="dxa"/>
          </w:tcPr>
          <w:p w:rsidR="00AA250B" w:rsidRDefault="00AA250B">
            <w:r>
              <w:t>Dossier CSST :</w:t>
            </w:r>
          </w:p>
        </w:tc>
        <w:tc>
          <w:tcPr>
            <w:tcW w:w="6710" w:type="dxa"/>
            <w:gridSpan w:val="2"/>
          </w:tcPr>
          <w:p w:rsidR="00AA250B" w:rsidRDefault="00AA250B">
            <w:pPr>
              <w:pStyle w:val="zSoquijdatNCSST"/>
            </w:pPr>
            <w:r>
              <w:t>142241808</w:t>
            </w:r>
          </w:p>
        </w:tc>
      </w:tr>
      <w:tr w:rsidR="00AA250B">
        <w:trPr>
          <w:cantSplit/>
        </w:trPr>
        <w:tc>
          <w:tcPr>
            <w:tcW w:w="9590" w:type="dxa"/>
            <w:gridSpan w:val="3"/>
          </w:tcPr>
          <w:p w:rsidR="00AA250B" w:rsidRDefault="00AA250B"/>
        </w:tc>
      </w:tr>
      <w:tr w:rsidR="00AA250B">
        <w:tc>
          <w:tcPr>
            <w:tcW w:w="2880" w:type="dxa"/>
          </w:tcPr>
          <w:p w:rsidR="00AA250B" w:rsidRDefault="00AA250B">
            <w:r>
              <w:t>Commissaire :</w:t>
            </w:r>
          </w:p>
        </w:tc>
        <w:tc>
          <w:tcPr>
            <w:tcW w:w="6710" w:type="dxa"/>
            <w:gridSpan w:val="2"/>
          </w:tcPr>
          <w:p w:rsidR="00AA250B" w:rsidRDefault="00AA250B">
            <w:pPr>
              <w:pStyle w:val="zSoquijdatJuge"/>
            </w:pPr>
            <w:r>
              <w:t>Catherine A. Bergeron, juge administrative</w:t>
            </w:r>
          </w:p>
        </w:tc>
      </w:tr>
      <w:tr w:rsidR="00AA250B">
        <w:trPr>
          <w:cantSplit/>
        </w:trPr>
        <w:tc>
          <w:tcPr>
            <w:tcW w:w="9590" w:type="dxa"/>
            <w:gridSpan w:val="3"/>
          </w:tcPr>
          <w:p w:rsidR="00AA250B" w:rsidRDefault="00AA250B"/>
        </w:tc>
      </w:tr>
      <w:tr w:rsidR="00AA250B">
        <w:tc>
          <w:tcPr>
            <w:tcW w:w="2880" w:type="dxa"/>
          </w:tcPr>
          <w:p w:rsidR="00AA250B" w:rsidRDefault="00AA250B">
            <w:r>
              <w:t>Membres :</w:t>
            </w:r>
          </w:p>
        </w:tc>
        <w:tc>
          <w:tcPr>
            <w:tcW w:w="6710" w:type="dxa"/>
            <w:gridSpan w:val="2"/>
          </w:tcPr>
          <w:p w:rsidR="00AA250B" w:rsidRDefault="00AA250B">
            <w:pPr>
              <w:pStyle w:val="zSoquijdatMembreE"/>
            </w:pPr>
            <w:r>
              <w:t>Philippe Châteauvert, associations d’employeurs</w:t>
            </w:r>
          </w:p>
        </w:tc>
      </w:tr>
      <w:tr w:rsidR="00AA250B">
        <w:tc>
          <w:tcPr>
            <w:tcW w:w="2880" w:type="dxa"/>
          </w:tcPr>
          <w:p w:rsidR="00AA250B" w:rsidRDefault="00AA250B"/>
        </w:tc>
        <w:tc>
          <w:tcPr>
            <w:tcW w:w="6710" w:type="dxa"/>
            <w:gridSpan w:val="2"/>
          </w:tcPr>
          <w:p w:rsidR="00AA250B" w:rsidRDefault="00AA250B">
            <w:pPr>
              <w:pStyle w:val="zSoquijdatMembreS"/>
            </w:pPr>
            <w:r>
              <w:t>Daniel Riportella, associations syndicales</w:t>
            </w:r>
          </w:p>
        </w:tc>
      </w:tr>
      <w:tr w:rsidR="00AA250B">
        <w:trPr>
          <w:cantSplit/>
        </w:trPr>
        <w:tc>
          <w:tcPr>
            <w:tcW w:w="9590" w:type="dxa"/>
            <w:gridSpan w:val="3"/>
          </w:tcPr>
          <w:p w:rsidR="00AA250B" w:rsidRDefault="00AA250B">
            <w:r>
              <w:t>______________________________________________________________________</w:t>
            </w:r>
          </w:p>
        </w:tc>
      </w:tr>
      <w:tr w:rsidR="00AA250B">
        <w:trPr>
          <w:cantSplit/>
        </w:trPr>
        <w:tc>
          <w:tcPr>
            <w:tcW w:w="9590" w:type="dxa"/>
            <w:gridSpan w:val="3"/>
          </w:tcPr>
          <w:p w:rsidR="00AA250B" w:rsidRDefault="00AA250B"/>
        </w:tc>
      </w:tr>
      <w:tr w:rsidR="00AA250B">
        <w:tc>
          <w:tcPr>
            <w:tcW w:w="4795" w:type="dxa"/>
            <w:gridSpan w:val="2"/>
          </w:tcPr>
          <w:p w:rsidR="00AA250B" w:rsidRDefault="00AA250B"/>
        </w:tc>
        <w:tc>
          <w:tcPr>
            <w:tcW w:w="4795" w:type="dxa"/>
          </w:tcPr>
          <w:p w:rsidR="00AA250B" w:rsidRDefault="00AA250B"/>
        </w:tc>
      </w:tr>
      <w:tr w:rsidR="00AA250B">
        <w:tc>
          <w:tcPr>
            <w:tcW w:w="4795" w:type="dxa"/>
            <w:gridSpan w:val="2"/>
          </w:tcPr>
          <w:p w:rsidR="00AA250B" w:rsidRDefault="00AA250B" w:rsidP="00F51FF4">
            <w:pPr>
              <w:pStyle w:val="zSoquijdatNomPartieDem"/>
              <w:rPr>
                <w:b/>
              </w:rPr>
            </w:pPr>
            <w:r>
              <w:rPr>
                <w:b/>
              </w:rPr>
              <w:t>Ville de Gatineau</w:t>
            </w:r>
          </w:p>
        </w:tc>
        <w:tc>
          <w:tcPr>
            <w:tcW w:w="4795" w:type="dxa"/>
          </w:tcPr>
          <w:p w:rsidR="00AA250B" w:rsidRDefault="00AA250B"/>
        </w:tc>
      </w:tr>
      <w:tr w:rsidR="00AA250B">
        <w:tc>
          <w:tcPr>
            <w:tcW w:w="4795" w:type="dxa"/>
            <w:gridSpan w:val="2"/>
          </w:tcPr>
          <w:p w:rsidR="00AA250B" w:rsidRDefault="00AA250B">
            <w:pPr>
              <w:pStyle w:val="zSoquijdatQtePartieDem"/>
              <w:ind w:left="708"/>
            </w:pPr>
            <w:r>
              <w:t>Partie requérante</w:t>
            </w:r>
          </w:p>
        </w:tc>
        <w:tc>
          <w:tcPr>
            <w:tcW w:w="4795" w:type="dxa"/>
          </w:tcPr>
          <w:p w:rsidR="00AA250B" w:rsidRDefault="00AA250B"/>
        </w:tc>
      </w:tr>
      <w:tr w:rsidR="00AA250B">
        <w:tc>
          <w:tcPr>
            <w:tcW w:w="4795" w:type="dxa"/>
            <w:gridSpan w:val="2"/>
          </w:tcPr>
          <w:p w:rsidR="00AA250B" w:rsidRDefault="00AA250B"/>
        </w:tc>
        <w:tc>
          <w:tcPr>
            <w:tcW w:w="4795" w:type="dxa"/>
          </w:tcPr>
          <w:p w:rsidR="00AA250B" w:rsidRDefault="00AA250B"/>
        </w:tc>
      </w:tr>
      <w:tr w:rsidR="00AA250B">
        <w:tc>
          <w:tcPr>
            <w:tcW w:w="4795" w:type="dxa"/>
            <w:gridSpan w:val="2"/>
          </w:tcPr>
          <w:p w:rsidR="00AA250B" w:rsidRDefault="00AA250B">
            <w:r>
              <w:t>et</w:t>
            </w:r>
          </w:p>
        </w:tc>
        <w:tc>
          <w:tcPr>
            <w:tcW w:w="4795" w:type="dxa"/>
          </w:tcPr>
          <w:p w:rsidR="00AA250B" w:rsidRDefault="00AA250B"/>
        </w:tc>
      </w:tr>
      <w:tr w:rsidR="00AA250B">
        <w:tc>
          <w:tcPr>
            <w:tcW w:w="4795" w:type="dxa"/>
            <w:gridSpan w:val="2"/>
          </w:tcPr>
          <w:p w:rsidR="00AA250B" w:rsidRDefault="00AA250B"/>
        </w:tc>
        <w:tc>
          <w:tcPr>
            <w:tcW w:w="4795" w:type="dxa"/>
          </w:tcPr>
          <w:p w:rsidR="00AA250B" w:rsidRDefault="00AA250B"/>
        </w:tc>
      </w:tr>
      <w:tr w:rsidR="00AA250B">
        <w:tc>
          <w:tcPr>
            <w:tcW w:w="4795" w:type="dxa"/>
            <w:gridSpan w:val="2"/>
          </w:tcPr>
          <w:p w:rsidR="00AA250B" w:rsidRDefault="00AA250B">
            <w:pPr>
              <w:pStyle w:val="zSoquijdatNomPartieDef"/>
              <w:rPr>
                <w:b/>
              </w:rPr>
            </w:pPr>
            <w:r>
              <w:rPr>
                <w:b/>
              </w:rPr>
              <w:t>Jacques Lavoie</w:t>
            </w:r>
          </w:p>
        </w:tc>
        <w:tc>
          <w:tcPr>
            <w:tcW w:w="4795" w:type="dxa"/>
          </w:tcPr>
          <w:p w:rsidR="00AA250B" w:rsidRDefault="00AA250B"/>
        </w:tc>
      </w:tr>
      <w:tr w:rsidR="00AA250B">
        <w:tc>
          <w:tcPr>
            <w:tcW w:w="4795" w:type="dxa"/>
            <w:gridSpan w:val="2"/>
          </w:tcPr>
          <w:p w:rsidR="00AA250B" w:rsidRDefault="00AA250B">
            <w:pPr>
              <w:pStyle w:val="zSoquijdatQtePartieDef"/>
              <w:ind w:left="708"/>
            </w:pPr>
            <w:r>
              <w:t>Partie intéressée</w:t>
            </w:r>
          </w:p>
        </w:tc>
        <w:tc>
          <w:tcPr>
            <w:tcW w:w="4795" w:type="dxa"/>
          </w:tcPr>
          <w:p w:rsidR="00AA250B" w:rsidRDefault="00AA250B"/>
        </w:tc>
      </w:tr>
      <w:tr w:rsidR="00AA250B">
        <w:tc>
          <w:tcPr>
            <w:tcW w:w="4795" w:type="dxa"/>
            <w:gridSpan w:val="2"/>
          </w:tcPr>
          <w:p w:rsidR="00AA250B" w:rsidRDefault="00AA250B"/>
        </w:tc>
        <w:tc>
          <w:tcPr>
            <w:tcW w:w="4795" w:type="dxa"/>
          </w:tcPr>
          <w:p w:rsidR="00AA250B" w:rsidRDefault="00AA250B"/>
        </w:tc>
      </w:tr>
    </w:tbl>
    <w:p w:rsidR="00AA250B" w:rsidRDefault="00AA250B">
      <w:r>
        <w:t>______________________________________________________________________</w:t>
      </w:r>
    </w:p>
    <w:p w:rsidR="00AA250B" w:rsidRDefault="00AA250B"/>
    <w:p w:rsidR="00AA250B" w:rsidRDefault="00AA250B">
      <w:pPr>
        <w:jc w:val="center"/>
      </w:pPr>
      <w:bookmarkStart w:id="5" w:name="decision"/>
      <w:r>
        <w:t>DÉCISION</w:t>
      </w:r>
      <w:bookmarkEnd w:id="5"/>
    </w:p>
    <w:p w:rsidR="00AA250B" w:rsidRDefault="00AA250B">
      <w:pPr>
        <w:jc w:val="center"/>
      </w:pPr>
      <w:r>
        <w:t>______________________________________________________________________</w:t>
      </w:r>
    </w:p>
    <w:p w:rsidR="00AA250B" w:rsidRDefault="00AA250B"/>
    <w:p w:rsidR="00AA250B" w:rsidRDefault="00AA250B"/>
    <w:p w:rsidR="00AA250B" w:rsidRDefault="00AA250B" w:rsidP="00A7475D">
      <w:pPr>
        <w:pStyle w:val="corpsdedcision"/>
        <w:numPr>
          <w:ilvl w:val="0"/>
          <w:numId w:val="0"/>
        </w:numPr>
      </w:pPr>
      <w:r>
        <w:t>Dossier 558201-07-1411</w:t>
      </w:r>
    </w:p>
    <w:p w:rsidR="00AA250B" w:rsidRDefault="00AA250B" w:rsidP="00AA250B">
      <w:pPr>
        <w:pStyle w:val="corpsdedcision"/>
        <w:numPr>
          <w:ilvl w:val="0"/>
          <w:numId w:val="3"/>
        </w:numPr>
      </w:pPr>
      <w:r>
        <w:t>Le 25 novembre 2014, Ville de Gatineau, l’employeur, dépose à la Commission des lésions professionnelles une requête par laquelle il conteste une décision rendue par la Commission de la santé et de la sécurité du travail (la CSST) le 18 novembre 2014, à la suite d’une révision administrative.</w:t>
      </w:r>
    </w:p>
    <w:p w:rsidR="00AA250B" w:rsidRDefault="00AA250B" w:rsidP="00A7475D">
      <w:pPr>
        <w:pStyle w:val="corpsdedcision"/>
      </w:pPr>
      <w:r>
        <w:t xml:space="preserve">Par cette décision, la CSST confirme celle qu’elle a initialement rendue le 12 juin 2014 et déclare que monsieur Jacques Lavoie (le travailleur) a subi une lésion </w:t>
      </w:r>
      <w:r>
        <w:lastRenderedPageBreak/>
        <w:t xml:space="preserve">professionnelle le 24 avril 2014 et qu’il a droit aux prestations prévues à la </w:t>
      </w:r>
      <w:r w:rsidRPr="000A0C02">
        <w:rPr>
          <w:bCs/>
          <w:i/>
          <w:iCs/>
        </w:rPr>
        <w:t>Loi sur les accidents du travail et les maladies professionnelles</w:t>
      </w:r>
      <w:r w:rsidRPr="000A0C02">
        <w:rPr>
          <w:rStyle w:val="Appelnotedebasdep"/>
          <w:bCs/>
        </w:rPr>
        <w:footnoteReference w:id="1"/>
      </w:r>
      <w:r w:rsidRPr="000A0C02">
        <w:rPr>
          <w:bCs/>
          <w:i/>
          <w:iCs/>
        </w:rPr>
        <w:t xml:space="preserve"> </w:t>
      </w:r>
      <w:r w:rsidRPr="000A0C02">
        <w:rPr>
          <w:bCs/>
        </w:rPr>
        <w:t>(la loi)</w:t>
      </w:r>
      <w:r>
        <w:t>.</w:t>
      </w:r>
    </w:p>
    <w:p w:rsidR="00AA250B" w:rsidRDefault="00AA250B">
      <w:pPr>
        <w:pStyle w:val="corpsdedcision"/>
        <w:numPr>
          <w:ilvl w:val="0"/>
          <w:numId w:val="0"/>
        </w:numPr>
      </w:pPr>
      <w:r>
        <w:rPr>
          <w:b/>
        </w:rPr>
        <w:t>L’OBJET DE LA CONTESTATION</w:t>
      </w:r>
    </w:p>
    <w:p w:rsidR="00AA250B" w:rsidRDefault="00AA250B" w:rsidP="00130C05">
      <w:pPr>
        <w:pStyle w:val="corpsdedcision"/>
      </w:pPr>
      <w:r>
        <w:t>L’employeur demande à la Commission des lésions professionnelles de déclarer que le travailleur n’a pas subi de lésion professionnelle le 24 avril 2014, puisque l’événement n’est pas survenu à l’occasion du travail.</w:t>
      </w:r>
    </w:p>
    <w:p w:rsidR="00AA250B" w:rsidRDefault="00AA250B">
      <w:pPr>
        <w:pStyle w:val="corpsdedcision"/>
        <w:numPr>
          <w:ilvl w:val="0"/>
          <w:numId w:val="0"/>
        </w:numPr>
      </w:pPr>
      <w:r>
        <w:rPr>
          <w:b/>
        </w:rPr>
        <w:t>LA PREUVE</w:t>
      </w:r>
    </w:p>
    <w:p w:rsidR="00AA250B" w:rsidRDefault="00AA250B" w:rsidP="00130C05">
      <w:pPr>
        <w:pStyle w:val="corpsdedcision"/>
      </w:pPr>
      <w:r>
        <w:t>Le tribunal a eu l’occasion d’entendre le témoignage du travailleur, de monsieur Marc Demers, superviseur chez l’employeur, et de madame Valérie Charbonneau-Charlevoix, policière à la Ville de Gatineau. De la preuve présentée à l’audience et du dossier constitué, le tribunal retient les éléments pertinents suivants.</w:t>
      </w:r>
    </w:p>
    <w:p w:rsidR="00AA250B" w:rsidRDefault="00AA250B" w:rsidP="00130C05">
      <w:pPr>
        <w:pStyle w:val="corpsdedcision"/>
      </w:pPr>
      <w:r>
        <w:t>Le travailleur occupe le poste de préposé au stationnement chez l’employeur.</w:t>
      </w:r>
    </w:p>
    <w:p w:rsidR="00AA250B" w:rsidRDefault="00AA250B" w:rsidP="002C0C6C">
      <w:pPr>
        <w:pStyle w:val="corpsdedcision"/>
      </w:pPr>
      <w:r>
        <w:t xml:space="preserve">Le 24 avril 2014, vers 12 h 45, juste avant son heure de dîner, il discute avec un citoyen qui est en situation de stationnement illégal. Pendant cette intervention, il remarque de l’autre côté </w:t>
      </w:r>
      <w:r w:rsidRPr="00A41832">
        <w:t>de la</w:t>
      </w:r>
      <w:r>
        <w:t xml:space="preserve"> rue une personne qui tourne autour d’une table à pique-nique de manière erratique. Cette table est située sur le terrain privé d’un commerce de restauration rapide. À un certain moment, la personne se couche sur la table.</w:t>
      </w:r>
    </w:p>
    <w:p w:rsidR="00AA250B" w:rsidRDefault="00AA250B" w:rsidP="00130C05">
      <w:pPr>
        <w:pStyle w:val="corpsdedcision"/>
      </w:pPr>
      <w:r>
        <w:t xml:space="preserve">Le travailleur se dirige, avec son véhicule, vers cette personne qu’il croit être en difficulté. Comme elle s’est couchée sur la table en position du fœtus, il pense qu’elle a peut-être un malaise. Il entre dans le stationnement du commerce et se place à côté de la personne toujours couchée sur la table. Il aperçoit ses yeux qui sont injectés de sang et elle n’a pas l’air bien. Il lui demande si elle « est correcte ». Le travailleur est alors </w:t>
      </w:r>
      <w:r w:rsidRPr="00A41832">
        <w:t>toujours</w:t>
      </w:r>
      <w:r>
        <w:t xml:space="preserve"> dans son véhicule.</w:t>
      </w:r>
    </w:p>
    <w:p w:rsidR="00AA250B" w:rsidRDefault="00AA250B" w:rsidP="00130C05">
      <w:pPr>
        <w:pStyle w:val="corpsdedcision"/>
      </w:pPr>
      <w:r>
        <w:t xml:space="preserve">À ce moment, la personne réagit en criant après le travailleur, jure et tient des propos menaçants. Le travailleur demande à la personne de se calmer. Celle-ci se lève et s’approche du travailleur, </w:t>
      </w:r>
      <w:r w:rsidRPr="00FE6D49">
        <w:t>côté passager</w:t>
      </w:r>
      <w:r>
        <w:t xml:space="preserve">. Elle crache en direction du travailleur et tente de l’agripper alors qu’il est </w:t>
      </w:r>
      <w:r w:rsidRPr="00A41832">
        <w:t>toujours</w:t>
      </w:r>
      <w:r>
        <w:t xml:space="preserve"> dans son véhicule. Le travailleur réussit à la repousser.</w:t>
      </w:r>
    </w:p>
    <w:p w:rsidR="00AA250B" w:rsidRDefault="00AA250B" w:rsidP="00130C05">
      <w:pPr>
        <w:pStyle w:val="corpsdedcision"/>
      </w:pPr>
      <w:r>
        <w:t xml:space="preserve">Toutefois, la personne décide de contourner la voiture par devant. Le travailleur tente de quitter les lieux durant ce temps. Il pense qu’il va reculer, mais dans l’énervement, son véhicule avance plutôt, accrochant ainsi la personne qui est à </w:t>
      </w:r>
      <w:r>
        <w:lastRenderedPageBreak/>
        <w:t xml:space="preserve">contourner la voiture. Celle-ci donne des coups de pied sur le pare-chocs avant de la voiture puis se dirige vers le travailleur, l’agrippe par sa veste et lui donne quatre à cinq coups de poing alors qu’il est toujours dans son véhicule. Le travailleur tente de se protéger des coups. Après quelque temps, il réussit à repousser la personne avec son pied. Il en profite pour faire reculer son véhicule et appelle à l’aide grâce à un bouton prévu à cet effet dans sa voiture. Un confrère de travail communique alors avec les policiers. Le rapport de police montre que d’autres personnes ont également appelé le 911 pour signaler la situation. </w:t>
      </w:r>
    </w:p>
    <w:p w:rsidR="00AA250B" w:rsidRDefault="00AA250B" w:rsidP="00130C05">
      <w:pPr>
        <w:pStyle w:val="corpsdedcision"/>
      </w:pPr>
      <w:r>
        <w:t>Toute cette séquence dure environ 60 secondes.</w:t>
      </w:r>
    </w:p>
    <w:p w:rsidR="00AA250B" w:rsidRDefault="00AA250B" w:rsidP="00130C05">
      <w:pPr>
        <w:pStyle w:val="corpsdedcision"/>
      </w:pPr>
      <w:r>
        <w:t>Des policiers arrivent rapidement sur les lieux et procèdent à l’arrestation de la personne ayant agressé le travailleur. Ce dernier discute notamment avec l’agente Charbonneau-Charlevoix pour expliquer les circonstances de l’événement. Il tient un linge sur son visage qui saigne. La personne ayant agressé le travailleur est connue des policiers qui interviennent auprès d’elle régulièrement, celle-ci présentant des problèmes de santé mentale. Elle n’est toutefois pas connue des préposés au stationnement, dont le travailleur. Des accusations de voie de fait, menaces et méfaits sont portées contre elle par la suite.</w:t>
      </w:r>
    </w:p>
    <w:p w:rsidR="00AA250B" w:rsidRDefault="00AA250B" w:rsidP="00063B11">
      <w:pPr>
        <w:pStyle w:val="corpsdedcision"/>
      </w:pPr>
      <w:r>
        <w:t xml:space="preserve">Le travailleur est amené à l’hôpital. L’agente Charbonneau-Charlevoix qui a déjà parlé au travailleur sur les lieux de l’événement, se rend sur place afin de prendre sa déposition écrite. Cette déclaration est au dossier. La policière rédige également un rapport de son intervention par lequel elle reprend la déclaration du travailleur et celle d’un témoin de l’événement. Dans son rapport, elle note que le travailleur n’a pas mentionné dans sa déclaration qu’il avait demandé à la personne de quitter la table où elle était couchée en lui disant qu’il s’agissait d’un endroit où les gens vont pour manger. C’est après cette intervention que la personne s’est mise à crier sur le travailleur, selon le rapport de la policière. </w:t>
      </w:r>
    </w:p>
    <w:p w:rsidR="00AA250B" w:rsidRDefault="00AA250B" w:rsidP="00863B9B">
      <w:pPr>
        <w:pStyle w:val="corpsdedcision"/>
      </w:pPr>
      <w:r>
        <w:t>Questionné sur ce point à l’audience, le travailleur nie avoir demandé à la personne de quitter les lieux. Il réitère qu’il croyait qu’elle avait besoin d’aide. Il voulait d’abord voir sa situation avant d’appeler des secours, au besoin.</w:t>
      </w:r>
    </w:p>
    <w:p w:rsidR="00AA250B" w:rsidRDefault="00AA250B" w:rsidP="00126DCC">
      <w:pPr>
        <w:pStyle w:val="corpsdedcision"/>
      </w:pPr>
      <w:r>
        <w:t>Il explique de plus que, selon la procédure établie par l’employeur, il doit communiquer immédiatement avec la police s’il subit des menaces ou pour toute situation particulière qui déborde de son travail de préposé au stationnement. Toutefois, le jour de l’événement, il n’a pu faire cet appel avant d’avoir réussi à repousser la personne qui l’agressait. Le tout s’est passé très vite et il a « figé ».</w:t>
      </w:r>
    </w:p>
    <w:p w:rsidR="00AA250B" w:rsidRDefault="00AA250B" w:rsidP="00126DCC">
      <w:pPr>
        <w:pStyle w:val="corpsdedcision"/>
      </w:pPr>
      <w:r>
        <w:t xml:space="preserve">De même, le travailleur convient que de porter secours à une personne ne fait pas partie de ses tâches de préposé au stationnement. De même, l’employeur demande à ses préposés de s’éloigner sans réagir si un citoyen devient agressif à leur </w:t>
      </w:r>
      <w:r>
        <w:lastRenderedPageBreak/>
        <w:t>endroit. Une formation sur la manière d’agir auprès de la clientèle difficile a d’ailleurs été octroyée à tous les employés. C’est pour cette raison qu’il n’est pas sorti de son véhicule quand il a été agressé. Il s’agit d’une directive claire de l’employeur : il ne faut pas sortir du véhicule dans un tel cas.</w:t>
      </w:r>
    </w:p>
    <w:p w:rsidR="00AA250B" w:rsidRDefault="00AA250B" w:rsidP="00863B9B">
      <w:pPr>
        <w:pStyle w:val="corpsdedcision"/>
      </w:pPr>
      <w:r>
        <w:t xml:space="preserve">Toujours le 24 avril 2014, une fois à l’hôpital, la docteure </w:t>
      </w:r>
      <w:r w:rsidRPr="00D8476C">
        <w:t>C</w:t>
      </w:r>
      <w:r w:rsidRPr="00D8476C">
        <w:rPr>
          <w:bCs/>
        </w:rPr>
        <w:t>hristal Candace</w:t>
      </w:r>
      <w:r>
        <w:t xml:space="preserve"> Dionne examine le travailleur. Elle mentionne les diagnostics d’abrasion superficielle au visage et de traumatisme à la main gauche. Elle prévoit un arrêt de travail de moins de 14 jours.</w:t>
      </w:r>
    </w:p>
    <w:p w:rsidR="00AA250B" w:rsidRPr="00883869" w:rsidRDefault="00AA250B" w:rsidP="00883869">
      <w:pPr>
        <w:pStyle w:val="corpsdedcision"/>
      </w:pPr>
      <w:r>
        <w:t>Le</w:t>
      </w:r>
      <w:r w:rsidRPr="00883869">
        <w:t xml:space="preserve"> travailleur </w:t>
      </w:r>
      <w:r>
        <w:t>consulte</w:t>
      </w:r>
      <w:r w:rsidRPr="00883869">
        <w:t xml:space="preserve"> un médecin le 28 avril 2014 pour des douleurs cervicale</w:t>
      </w:r>
      <w:r>
        <w:t>s</w:t>
      </w:r>
      <w:r w:rsidRPr="00883869">
        <w:t xml:space="preserve"> et aux épaules. À ce moment, il</w:t>
      </w:r>
      <w:r>
        <w:t xml:space="preserve"> ne fait aucune mention de l’évé</w:t>
      </w:r>
      <w:r w:rsidRPr="00883869">
        <w:t>nement</w:t>
      </w:r>
      <w:r>
        <w:t xml:space="preserve"> survenu le 24 avril précédent et de symptômes d’anxiété.</w:t>
      </w:r>
    </w:p>
    <w:p w:rsidR="00AA250B" w:rsidRPr="00063B11" w:rsidRDefault="00AA250B" w:rsidP="002C0C6C">
      <w:pPr>
        <w:pStyle w:val="corpsdedcision"/>
      </w:pPr>
      <w:r w:rsidRPr="00063B11">
        <w:t>Le 3 mai 2014, l’état du travailleur s’est amélioré. Il s’apprête à retourner à son travail de préposé au stationnement. Le travailleur, qui occupe à l’occasion un emploi à temps partiel de chauffeur de taxi, décide</w:t>
      </w:r>
      <w:r>
        <w:t>,</w:t>
      </w:r>
      <w:r w:rsidRPr="00063B11">
        <w:t xml:space="preserve"> ce jour-là</w:t>
      </w:r>
      <w:r>
        <w:t>,</w:t>
      </w:r>
      <w:r w:rsidRPr="00063B11">
        <w:t xml:space="preserve"> de faire une journée de travail à ce titre. Au cours de l’avant-midi, il se sent nerveux, angoissé et oppressé lorsqu’il conduit sa voiture. Il peut tout de même faire des voyages avec des clients. À la fin de l’avant-midi, il subit les foudres d’un automobiliste irrité. Ce dernier le suit même jusque dans un stationnement, alors qu’il voyage une cliente et ses deux enfants. Dans le stationnement, une altercation</w:t>
      </w:r>
      <w:r>
        <w:t xml:space="preserve"> physique</w:t>
      </w:r>
      <w:r w:rsidRPr="00063B11">
        <w:t xml:space="preserve"> entre le travailleur et le conducteur a lieu. Les deux ont finalement appelé </w:t>
      </w:r>
      <w:r>
        <w:t>la police</w:t>
      </w:r>
      <w:r w:rsidRPr="00063B11">
        <w:t xml:space="preserve">. Or, cet événement ravive ses symptômes. </w:t>
      </w:r>
      <w:r>
        <w:t>Il</w:t>
      </w:r>
      <w:r w:rsidRPr="00063B11">
        <w:t xml:space="preserve"> réalise</w:t>
      </w:r>
      <w:r>
        <w:t>,</w:t>
      </w:r>
      <w:r w:rsidRPr="00063B11">
        <w:t xml:space="preserve"> à ce moment</w:t>
      </w:r>
      <w:r>
        <w:t>,</w:t>
      </w:r>
      <w:r w:rsidRPr="00063B11">
        <w:t xml:space="preserve"> que l’événement du 24 avril précédent l’a vraiment ébranlé.</w:t>
      </w:r>
    </w:p>
    <w:p w:rsidR="00AA250B" w:rsidRDefault="00AA250B" w:rsidP="00863B9B">
      <w:pPr>
        <w:pStyle w:val="corpsdedcision"/>
      </w:pPr>
      <w:r>
        <w:t xml:space="preserve">Le 6 mai 2014, le travailleur est examiné par le docteur Louis-M. Grondin. Ce dernier retient le diagnostic d’anxiété aiguë, traumatisme à la joue droite et à la main gauche. Il prolonge l’arrêt de travail et prescrit une psychothérapie. </w:t>
      </w:r>
    </w:p>
    <w:p w:rsidR="00AA250B" w:rsidRDefault="00AA250B" w:rsidP="00863B9B">
      <w:pPr>
        <w:pStyle w:val="corpsdedcision"/>
      </w:pPr>
      <w:r>
        <w:t>Le 20 mai 2014, le travailleur est examiné, à la demande de l’employeur, par le docteur Marc Couturier. Ce dernier retient les diagnostics d’éraflure au visage et de contusion à la main gauche. Il mentionne que le travailleur allègue être anxieux depuis l’événement. Il consolide les lésions de nature physique le jour même, sans séquelles. En ce qui concerne une possible lésion de nature psychologique, il conclut qu’il y a trop de discordances dans les comportements du travailleur pour accepter une telle possibilité.</w:t>
      </w:r>
    </w:p>
    <w:p w:rsidR="00AA250B" w:rsidRDefault="00AA250B" w:rsidP="00863B9B">
      <w:pPr>
        <w:pStyle w:val="corpsdedcision"/>
      </w:pPr>
      <w:r>
        <w:t>Le 12 juin 2014, la CSST accepte la réclamation du travailleur et reconnaît, à titre de lésion professionnelle, un état de stress post-traumatique et un étirement du tendon du cinquième doigt de la main gauche. C’est cette décision qui fait l’objet du présent litige.</w:t>
      </w:r>
    </w:p>
    <w:p w:rsidR="00AA250B" w:rsidRDefault="00AA250B" w:rsidP="00543564">
      <w:pPr>
        <w:pStyle w:val="corpsdedcision"/>
      </w:pPr>
      <w:r>
        <w:lastRenderedPageBreak/>
        <w:t xml:space="preserve">À partir du 23 août 2014, le travailleur est pris en charge par le docteur Louis </w:t>
      </w:r>
      <w:r w:rsidRPr="00D8476C">
        <w:t>Roger</w:t>
      </w:r>
      <w:r>
        <w:t xml:space="preserve"> </w:t>
      </w:r>
      <w:r w:rsidRPr="00064A1D">
        <w:t>Nitcheu Ngodjoum</w:t>
      </w:r>
      <w:r>
        <w:t>, tant pour la lésion à la main gauche que pour la condition psychologique. Ce dernier retient le diagnostic de syndrome post-traumatique et d’étirement du tendon extenseur du cinquième doigt.</w:t>
      </w:r>
    </w:p>
    <w:p w:rsidR="00AA250B" w:rsidRDefault="00AA250B" w:rsidP="00863B9B">
      <w:pPr>
        <w:pStyle w:val="corpsdedcision"/>
      </w:pPr>
      <w:r>
        <w:t>Le 10 septembre 2014, le travailleur est examiné par la docteure Johanne Pelletier, chirurgienne-plasticienne, membre du Bureau d’évaluation médicale. Celle-ci se prononce sur la lésion à la main gauche exclusivement. Elle consolide la contusion à la main gauche et considère qu’il y a possibilité que le travailleur présente une déchirure ligamentaire ou capsulaire du cinquième doigt de la main gauche. Les traitements sont suffisants et il n’y a pas de limitations fonctionnelles ni d’atteinte permanente.</w:t>
      </w:r>
    </w:p>
    <w:p w:rsidR="00AA250B" w:rsidRDefault="00AA250B" w:rsidP="00863B9B">
      <w:pPr>
        <w:pStyle w:val="corpsdedcision"/>
      </w:pPr>
      <w:r>
        <w:t xml:space="preserve">La psychologue ayant </w:t>
      </w:r>
      <w:r w:rsidRPr="00064A1D">
        <w:t>pris</w:t>
      </w:r>
      <w:r>
        <w:t xml:space="preserve"> charge du travailleur rédige un rapport adressé à la CSST le 31 juillet 2014. Elle fait mention de symptômes d’état de stress post-traumatique avec souvenirs répétitifs et envahissants, de la crainte, de l’évitement, un sentiment de détachement, des difficultés de sommeil, de l’irritabilité, de l’impatience, des difficultés de concentration et d’hypervigilance. Elle juge l’état du travailleur chronique et moyennement sévère. Elle recommande une approche comportementale de désensibilisation, car le travailleur présente beaucoup de difficulté à être dans une voiture et à conduire dans la circulation. Il éprouve des sensations d’étouffement et de l’anxiété.</w:t>
      </w:r>
    </w:p>
    <w:p w:rsidR="00AA250B" w:rsidRDefault="00AA250B" w:rsidP="002C0C6C">
      <w:pPr>
        <w:pStyle w:val="corpsdedcision"/>
      </w:pPr>
      <w:r>
        <w:t xml:space="preserve">Le 2 octobre 2014, le travailleur est examiné à la demande de l’employeur par le docteur Paul-André Lafleur, psychiatre. </w:t>
      </w:r>
    </w:p>
    <w:p w:rsidR="00AA250B" w:rsidRDefault="00AA250B" w:rsidP="00863B9B">
      <w:pPr>
        <w:pStyle w:val="corpsdedcision"/>
      </w:pPr>
      <w:r>
        <w:t>Le médecin retient le diagnostic d’état de stress post-traumatique en rémission partielle à la suite de l’événement du 24 avril 2014, lequel s’était atténué, mais s’est ravivé à la suite d’un deuxième événement le 3 mai 2014. Il prévoit que l’état du travailleur sera consolidé dans 12 semaines et suggère de modifier le traitement pharmacologique tout en continuant la psychothérapie.</w:t>
      </w:r>
    </w:p>
    <w:p w:rsidR="00AA250B" w:rsidRDefault="00AA250B" w:rsidP="00605E25">
      <w:pPr>
        <w:pStyle w:val="corpsdedcision"/>
      </w:pPr>
      <w:r>
        <w:t xml:space="preserve">Au mois de novembre 2014, un retour au travail progressif est autorisé par le docteur Nitcheu </w:t>
      </w:r>
      <w:r w:rsidRPr="00064A1D">
        <w:t>Ngodjoum</w:t>
      </w:r>
      <w:r>
        <w:t xml:space="preserve">. Un plan détaillé de désensibilisation est établi en décembre 2014 de concert avec la psychologue. L’objectif de ce plan est de permettre au travailleur de reprendre son travail progressivement et de pouvoir circuler en voiture sans ressentir de symptômes d’anxiété importants liés à la conduite et à la circulation automobile. </w:t>
      </w:r>
    </w:p>
    <w:p w:rsidR="00AA250B" w:rsidRDefault="00AA250B" w:rsidP="00863B9B">
      <w:pPr>
        <w:pStyle w:val="corpsdedcision"/>
      </w:pPr>
      <w:r>
        <w:t xml:space="preserve">Ce retour progressif est entamé au mois de décembre 2014 avec la collaboration de l’employeur qui s’assure que le travailleur soit accompagné par son superviseur dans ce cadre. Toutefois, ce retour est cessé après environ quatre semaines en raison de la conduite agressive et dangereuse du travailleur, tel que rapporté par son </w:t>
      </w:r>
      <w:r>
        <w:lastRenderedPageBreak/>
        <w:t>superviseur. Le travailleur ajoute à l’audience que cette agressivité découlait de son sentiment de panique quand il était sur la route.</w:t>
      </w:r>
    </w:p>
    <w:p w:rsidR="00AA250B" w:rsidRDefault="00AA250B" w:rsidP="004023B1">
      <w:pPr>
        <w:pStyle w:val="corpsdedcision"/>
      </w:pPr>
      <w:r>
        <w:t xml:space="preserve">Le 14 janvier 2015, le travailleur est examiné par la docteure Suzanne Benoit, psychiatre, membre du Bureau d’évaluation médicale. Le médecin mentionne que la tentative de retour au travail progressif a cessé en raison de la difficulté du travailleur à composer avec le stress que la circulation provoque chez lui. Le travailleur nie tout antécédent lorsque questionné par la docteure Benoit. </w:t>
      </w:r>
    </w:p>
    <w:p w:rsidR="00AA250B" w:rsidRPr="00951554" w:rsidRDefault="00AA250B" w:rsidP="004023B1">
      <w:pPr>
        <w:pStyle w:val="corpsdedcision"/>
      </w:pPr>
      <w:r w:rsidRPr="00951554">
        <w:t>Le travailleur explique à la</w:t>
      </w:r>
      <w:r>
        <w:t xml:space="preserve"> docteure Benoi</w:t>
      </w:r>
      <w:r w:rsidRPr="00951554">
        <w:t>t qu’après l’événement du 24 avril 2014, il se sentait habité par la rage. Il était frustré et en colère. Il s’est senti violenté mais s’est retenu de se défendre</w:t>
      </w:r>
      <w:r>
        <w:t>,</w:t>
      </w:r>
      <w:r w:rsidRPr="00951554">
        <w:t xml:space="preserve"> car il ne voulait pas perdre son emploi. Il s’est senti humilié de ne pas avoir pu se défendre. Le travailleur a réitéré cet aspect à l’audience.</w:t>
      </w:r>
    </w:p>
    <w:p w:rsidR="00AA250B" w:rsidRDefault="00AA250B" w:rsidP="00863B9B">
      <w:pPr>
        <w:pStyle w:val="corpsdedcision"/>
      </w:pPr>
      <w:r>
        <w:t xml:space="preserve">Par la suite, il a développé certains comportements d’évitement. Il craignait de rester pris dans son véhicule aux intersections et d’être attaqué de nouveau. Il se sentait étouffé lorsqu’il était dans un véhicule. Il revivait constamment l’événement, tentant de voir comment il aurait pu agir autrement et avait tendance à ruminer. </w:t>
      </w:r>
    </w:p>
    <w:p w:rsidR="00AA250B" w:rsidRDefault="00AA250B" w:rsidP="00746AAA">
      <w:pPr>
        <w:pStyle w:val="corpsdedcision"/>
      </w:pPr>
      <w:r>
        <w:t>À la suite de son examen, la docteure Benoit retient le diagnostic d’état de stress post-traumatique</w:t>
      </w:r>
      <w:r>
        <w:rPr>
          <w:rStyle w:val="Appelnotedebasdep"/>
        </w:rPr>
        <w:footnoteReference w:id="2"/>
      </w:r>
      <w:r>
        <w:t xml:space="preserve"> en voie de rémission. Elle est d’avis que cet état est non consolidé et suggère une médication antidépressive ou antipsychotique atypique, tout en continuant la thérapie cognitivo-comportementale et de désensibilisation.</w:t>
      </w:r>
    </w:p>
    <w:p w:rsidR="00AA250B" w:rsidRPr="000C06C2" w:rsidRDefault="00AA250B" w:rsidP="00863B9B">
      <w:pPr>
        <w:pStyle w:val="corpsdedcision"/>
      </w:pPr>
      <w:r w:rsidRPr="000C06C2">
        <w:t>Au chapitre des antécédents, le travailleur a été en arrêt de travail au début de l’anné</w:t>
      </w:r>
      <w:r>
        <w:t>e 2009 en raison de problèmes</w:t>
      </w:r>
      <w:r w:rsidRPr="000C06C2">
        <w:t xml:space="preserve"> d’anxiété. À cet égard, le dossier constitué comporte une décision rendue par le présent tribunal le 19 mars 2012</w:t>
      </w:r>
      <w:r w:rsidRPr="000C06C2">
        <w:rPr>
          <w:rStyle w:val="Appelnotedebasdep"/>
        </w:rPr>
        <w:footnoteReference w:id="3"/>
      </w:r>
      <w:r w:rsidRPr="000C06C2">
        <w:t>. Sans reprendre les détails de cette décision, il appert que le travailleur a présenté un état d’anxiété situationnel à la suite d’un conflit avec d’autres employés ayant débuté en octobre 2008. Le tribunal n’avait pas reconnu cette lésion à titre de lésion professionnelle. L’extrait suivant de cette décision apparait pertinent à l’analyse du présent dossier :</w:t>
      </w:r>
    </w:p>
    <w:p w:rsidR="00AA250B" w:rsidRDefault="00AA250B" w:rsidP="00380DB7">
      <w:pPr>
        <w:pStyle w:val="citation"/>
      </w:pPr>
      <w:r w:rsidRPr="00380DB7">
        <w:t>[139]</w:t>
      </w:r>
      <w:r w:rsidRPr="00380DB7">
        <w:tab/>
        <w:t>La preuve démontre que le travailleur estime que les autres ont toujours tort et qu’il fait mieux son travail que les autres; qu’il ne respecte pas les consensus établis entre ses collègues et la direction appliquant le règlement à la lettre, ce qui suscite des plaintes des citoyens; qu’il a des difficultés interpersonnelles avec la majorité de ses collègues de travail; qu’il ne respecte pas les règles comme celle d’être disponible durant l’heure du souper payé par l’employeur ou de ne pas prendre de vacances s’il accepte un poste de remplacement.</w:t>
      </w:r>
    </w:p>
    <w:p w:rsidR="00AA250B" w:rsidRDefault="00AA250B" w:rsidP="00380DB7">
      <w:pPr>
        <w:pStyle w:val="citation"/>
      </w:pPr>
    </w:p>
    <w:p w:rsidR="00AA250B" w:rsidRPr="00746AAA" w:rsidRDefault="00AA250B" w:rsidP="00380DB7">
      <w:pPr>
        <w:pStyle w:val="citation"/>
        <w:rPr>
          <w:highlight w:val="yellow"/>
        </w:rPr>
      </w:pPr>
    </w:p>
    <w:p w:rsidR="00AA250B" w:rsidRDefault="00AA250B" w:rsidP="00863B9B">
      <w:pPr>
        <w:pStyle w:val="corpsdedcision"/>
      </w:pPr>
      <w:r>
        <w:lastRenderedPageBreak/>
        <w:t>Préalablement à l’événement du 24 avril 2014, la preuve révèle que le travailleur a été rencontré à plusieurs reprises au cours des dernières années par son supérieur, monsieur Demers, afin d’être avisé de limiter ses interventions auprès des citoyens à son travail de préposé au stationnement. Lors de ces rencontres, le rôle du préposé au stationnement et ses limites étaient discutés et expliqués au travailleur. Monsieur Demers rappelait au travailleur qu’il ne devait pas argumenter avec les citoyens. À cela s’ajoutent des rencontres régulières avec tous les préposés afin de discuter de méthode d’intervention et de l’application des règlements et politiques en matière de stationnement. De même, deux formations en novembre 2011 ont été données au sujet de la clientèle agressive et la manière de réagir.</w:t>
      </w:r>
    </w:p>
    <w:p w:rsidR="00AA250B" w:rsidRDefault="00AA250B" w:rsidP="00E40172">
      <w:pPr>
        <w:pStyle w:val="corpsdedcision"/>
      </w:pPr>
      <w:r>
        <w:t xml:space="preserve">Le travailleur a fait l’objet d’au moins cinq plaintes de citoyens au cours des années 2011, 2012 et 2013. Ces plaintes concernaient des allégations de comportements inappropriés de la part du travailleur (propos et comportement déplacés, très autoritaires et attitude arrogante). Le travailleur prévenait même son superviseur qu’il aurait probablement une plainte de citoyen. De même, le travailleur aurait outrepassé son mandat en procédant à des interceptions de véhicules ou de personnes qui ne respectaient pas le Code de la route. Il aurait aussi procédé à une vérification d’identité d’un chauffeur de taxi auprès d’une compagnie de taxi avant de donner une contravention. Enfin, le travailleur aurait manqué de respect à l’égard d’un collègue de travail. </w:t>
      </w:r>
    </w:p>
    <w:p w:rsidR="00AA250B" w:rsidRDefault="00AA250B" w:rsidP="00E40172">
      <w:pPr>
        <w:pStyle w:val="corpsdedcision"/>
      </w:pPr>
      <w:r>
        <w:t>Ces plaintes ont fait l’objet d’enquêtes par monsieur Demers et ont entraîné des rencontres et des mesures disciplinaires pour le travailleur. Entre le mois de mars 2012 et le mois de décembre 2013, le travailleur a fait l’objet de mesures disciplinaires, dont la dernière a entraîné une suspension de 30 jours. Les lettres adressées au travailleur font référence au Code d’éthique des employés de la nouvelle Ville de Gatineau</w:t>
      </w:r>
      <w:r>
        <w:rPr>
          <w:rStyle w:val="Appelnotedebasdep"/>
        </w:rPr>
        <w:footnoteReference w:id="4"/>
      </w:r>
      <w:r>
        <w:t>, et au Code d’éthique et de déontologie de la ville de Gatineau</w:t>
      </w:r>
      <w:r>
        <w:rPr>
          <w:rStyle w:val="Appelnotedebasdep"/>
        </w:rPr>
        <w:footnoteReference w:id="5"/>
      </w:r>
      <w:r>
        <w:t>. Ces Codes spécifient, notamment, que les employés doivent présenter une attitude appropriée et être courtois envers la clientèle, accomplir leurs tâches avec loyauté, désintéressement et impartialité, ne pas critiquer publiquement le travail d’un autre employé et veiller au maintien de rapports harmonieux avec leurs confrères ou consœurs de travail.</w:t>
      </w:r>
    </w:p>
    <w:p w:rsidR="00AA250B" w:rsidRDefault="00AA250B" w:rsidP="00E40172">
      <w:pPr>
        <w:pStyle w:val="corpsdedcision"/>
      </w:pPr>
      <w:r>
        <w:t>Il est à noter que des griefs ont été déposés afin de contester les mesures disciplinaires dont le travailleur a fait l’objet. Aucune décision n’a été rendue par un arbitre à ce jour.</w:t>
      </w:r>
    </w:p>
    <w:p w:rsidR="00AA250B" w:rsidRDefault="00AA250B" w:rsidP="00863B9B">
      <w:pPr>
        <w:pStyle w:val="corpsdedcision"/>
      </w:pPr>
      <w:r>
        <w:t xml:space="preserve">Par ailleurs, il appert du témoignage de monsieur Demers que, selon la procédure établie par l’employeur, lorsque se présentent des situations problématiques, </w:t>
      </w:r>
      <w:r>
        <w:lastRenderedPageBreak/>
        <w:t>comme un individu louche ou en état d’ébriété ou un véhicule qui est conduit de manière dangereuse, les préposés doivent se retirer ou ne pas intervenir et communiquer avec la police. Ils doivent demeurer polis en tout temps. Toutefois, ceux-ci peuvent exercer leur jugement et intervenir directement auprès des gens à l’occasion, comme lorsqu’une personne tombe sur la chaussée, et ce, afin de s’assurer de sa sécurité avant d’appeler les secours. Il peut donc être normal de s’enquérir de la situation auprès d’une personne qui semble ne pas se porter bien, tout dépend des cas.</w:t>
      </w:r>
    </w:p>
    <w:p w:rsidR="00AA250B" w:rsidRDefault="00AA250B" w:rsidP="00863B9B">
      <w:pPr>
        <w:pStyle w:val="corpsdedcision"/>
      </w:pPr>
      <w:r>
        <w:t>Dans le cas spécifique de la situation survenue le 24 avril 2014, monsieur Demers estime que le travailleur n’aurait pas dû intervenir auprès de la personne et appeler la police directement.</w:t>
      </w:r>
    </w:p>
    <w:p w:rsidR="00AA250B" w:rsidRDefault="00AA250B" w:rsidP="00863B9B">
      <w:pPr>
        <w:pStyle w:val="corpsdedcision"/>
      </w:pPr>
      <w:r>
        <w:t xml:space="preserve">Selon la description d’emploi de préposé au stationnement, les travailleurs peuvent avoir à renseigner le public à l’intérieur de leurs attributions et lui porter assistance à l’occasion. </w:t>
      </w:r>
      <w:r w:rsidRPr="00797305">
        <w:t xml:space="preserve">La majeure partie du travail concerne l’application des lois et </w:t>
      </w:r>
      <w:r w:rsidRPr="00064A1D">
        <w:t>règlements relatifs au stationnement, dont la rédaction et la distribution de</w:t>
      </w:r>
      <w:r w:rsidRPr="00797305">
        <w:t xml:space="preserve"> contraventions</w:t>
      </w:r>
      <w:r>
        <w:t>, le déplacement de véhicules qui nuisent à des travaux ou au déneigement, la vérification des zones de stationnement qui nécessitent un permis.</w:t>
      </w:r>
    </w:p>
    <w:p w:rsidR="00AA250B" w:rsidRDefault="00AA250B" w:rsidP="00064A1D">
      <w:pPr>
        <w:pStyle w:val="corpsdedcision"/>
        <w:numPr>
          <w:ilvl w:val="0"/>
          <w:numId w:val="0"/>
        </w:numPr>
      </w:pPr>
      <w:r>
        <w:rPr>
          <w:b/>
        </w:rPr>
        <w:t>L’AVIS DES MEMBRES</w:t>
      </w:r>
    </w:p>
    <w:p w:rsidR="00AA250B" w:rsidRDefault="00AA250B" w:rsidP="00064A1D">
      <w:pPr>
        <w:pStyle w:val="corpsdedcision"/>
      </w:pPr>
      <w:r>
        <w:t>Le membre issu des associations d’employeurs est d’avis qu’il faut accueillir la requête de l’employeur. En effet, l’agression dont a été victime le travailleur n’est pas survenue à l’occasion du travail. Le travailleur a décidé d’intervenir auprès d’une personne couchée sur une table à pique-nique, alors qu’il n’a pas à le faire dans le cadre de son travail de préposé au stationnement. À ce moment, le travailleur est sorti de la sphère professionnelle. Son action n’est d’aucune utilité pour l’employeur, d’autant plus qu’il intervenait sur un terrain privé et non sur le terrain de l’employeur. De même, il estime que la déclaration du travailleur n’est pas crédible lorsqu’il affirme être intervenu seulement pour demander si la personne avait besoin d’aide, alors que la police note dans son rapport que le travailleur lui a demandé de quitter les lieux.</w:t>
      </w:r>
    </w:p>
    <w:p w:rsidR="00AA250B" w:rsidRDefault="00AA250B" w:rsidP="00064A1D">
      <w:pPr>
        <w:pStyle w:val="corpsdedcision"/>
      </w:pPr>
      <w:r>
        <w:t>Le membre issu des associations syndicales est d’avis de rejeter la requête. La preuve ne permet pas de conclure que le travailleur a outrepassé son mandat le 24 avril 2014 lorsqu’il a été agressé. Au contraire, les tâches de préposés au stationnement incluent de porter assistance aux citoyens à l’occasion. L’employeur tolère d’ailleurs certaines interventions. Rien ne permettait au travailleur de prévoir que la personne deviendrait agressive. En outre, il est resté dans son véhicule durant toute la séquence de l’événement, se conformant ainsi aux directives de l’employeur.</w:t>
      </w:r>
    </w:p>
    <w:p w:rsidR="00AA250B" w:rsidRDefault="00AA250B">
      <w:pPr>
        <w:pStyle w:val="corpsdedcision"/>
        <w:numPr>
          <w:ilvl w:val="0"/>
          <w:numId w:val="0"/>
        </w:numPr>
      </w:pPr>
      <w:r>
        <w:rPr>
          <w:b/>
        </w:rPr>
        <w:t>LES MOTIFS DE LA DÉCISION</w:t>
      </w:r>
    </w:p>
    <w:p w:rsidR="00AA250B" w:rsidRDefault="00AA250B" w:rsidP="00863B9B">
      <w:pPr>
        <w:pStyle w:val="corpsdedcision"/>
      </w:pPr>
      <w:r>
        <w:lastRenderedPageBreak/>
        <w:t>Le tribunal doit déterminer si le travailleur a subi une lésion professionnelle le 24 avril 2014.</w:t>
      </w:r>
    </w:p>
    <w:p w:rsidR="00AA250B" w:rsidRDefault="00AA250B" w:rsidP="00863B9B">
      <w:pPr>
        <w:pStyle w:val="corpsdedcision"/>
      </w:pPr>
      <w:r>
        <w:t>La notion de lésion professionnelle est ainsi définie à l’article 2 de la loi :</w:t>
      </w:r>
    </w:p>
    <w:p w:rsidR="00AA250B" w:rsidRDefault="00AA250B" w:rsidP="00447535">
      <w:pPr>
        <w:pStyle w:val="articlesdelaLATMP"/>
        <w:ind w:right="429"/>
      </w:pPr>
      <w:r w:rsidRPr="00004515">
        <w:rPr>
          <w:b/>
        </w:rPr>
        <w:t>2.</w:t>
      </w:r>
      <w:r>
        <w:t xml:space="preserve"> Dans la présente loi, à moins que le contexte n'indique un sens différent, on entend par :</w:t>
      </w:r>
    </w:p>
    <w:p w:rsidR="00AA250B" w:rsidRDefault="00AA250B">
      <w:pPr>
        <w:pStyle w:val="articlesdelaLATMP"/>
        <w:rPr>
          <w:b/>
        </w:rPr>
      </w:pPr>
    </w:p>
    <w:p w:rsidR="00AA250B" w:rsidRDefault="00AA250B">
      <w:pPr>
        <w:pStyle w:val="articlesdelaLATMP"/>
      </w:pPr>
      <w:r w:rsidRPr="00DB47E5">
        <w:rPr>
          <w:b/>
        </w:rPr>
        <w:t>« lésion professionnelle »</w:t>
      </w:r>
      <w:r>
        <w:rPr>
          <w:rFonts w:cs="Arial"/>
          <w:b/>
        </w:rPr>
        <w:t> </w:t>
      </w:r>
      <w:r>
        <w:t>: une blessure ou une maladie qui survient par le fait ou à l'occasion d'un accident du travail, ou une maladie professionnelle, y compris la récidive, la rechute ou l'aggravation;</w:t>
      </w:r>
    </w:p>
    <w:p w:rsidR="00AA250B" w:rsidRDefault="00AA250B">
      <w:pPr>
        <w:pStyle w:val="articlesdelaLATMP"/>
      </w:pPr>
      <w:r>
        <w:t>__________</w:t>
      </w:r>
    </w:p>
    <w:p w:rsidR="00AA250B" w:rsidRDefault="00AA250B">
      <w:pPr>
        <w:pStyle w:val="articlesdelaLATMP"/>
      </w:pPr>
      <w:r>
        <w:t>1985, c. 6, a. 2; 1997, c. 27, a. 1; 1999, c. 14, a. 2; 1999, c. 40, a. 4; 1999, c. 89, a. 53; 2002, c. 6, a. 76; 2002, c. 76, a. 27; 2006, c. 53, a. 1; 2009, c. 24, a. 72.</w:t>
      </w:r>
    </w:p>
    <w:p w:rsidR="00AA250B" w:rsidRDefault="00AA250B">
      <w:pPr>
        <w:pStyle w:val="articlesdelaLATMP"/>
      </w:pPr>
    </w:p>
    <w:p w:rsidR="00AA250B" w:rsidRDefault="00AA250B">
      <w:pPr>
        <w:pStyle w:val="articlesdelaLATMP"/>
      </w:pPr>
    </w:p>
    <w:p w:rsidR="00AA250B" w:rsidRDefault="00AA250B" w:rsidP="002C0C6C">
      <w:pPr>
        <w:pStyle w:val="corpsdedcision"/>
      </w:pPr>
      <w:r>
        <w:t xml:space="preserve">En l’instance, le travailleur prétend avoir été victime d’un accident du travail. Il n’allègue pas avoir été victime d’une maladie professionnelle ou d’une récidive, rechute ou aggravation. D’ailleurs, rien dans la preuve ne permet de conclure en ce sens. </w:t>
      </w:r>
    </w:p>
    <w:p w:rsidR="00AA250B" w:rsidRDefault="00AA250B" w:rsidP="009F2D77">
      <w:pPr>
        <w:pStyle w:val="corpsdedcision"/>
      </w:pPr>
      <w:r>
        <w:t>Également, il n’est pas soutenu, et ce, à bon droit, que le travailleur doit bénéficier de la présomption de lésion professionnelle prévue à l’article 28 de la loi. En effet, bien que l’un des diagnostics retenus fasse référence à une blessure, le contexte d’apparition de celle-ci ne permet pas de conclure qu’elle est survenue au travail alors que le travailleur exécutait ses tâches de préposé au stationnement.</w:t>
      </w:r>
    </w:p>
    <w:p w:rsidR="00AA250B" w:rsidRDefault="00AA250B" w:rsidP="002C0C6C">
      <w:pPr>
        <w:pStyle w:val="corpsdedcision"/>
      </w:pPr>
      <w:r>
        <w:t>C’est donc sous l’angle de l’accident du travail que sera analysé le présent dossier :</w:t>
      </w:r>
    </w:p>
    <w:p w:rsidR="00AA250B" w:rsidRPr="00E62EE0" w:rsidRDefault="00AA250B" w:rsidP="00447535">
      <w:pPr>
        <w:pStyle w:val="articlesdelaLATMP"/>
        <w:ind w:right="429"/>
        <w:rPr>
          <w:b/>
        </w:rPr>
      </w:pPr>
      <w:r w:rsidRPr="00E62EE0">
        <w:rPr>
          <w:b/>
        </w:rPr>
        <w:t xml:space="preserve">2. </w:t>
      </w:r>
      <w:r w:rsidRPr="00E62EE0">
        <w:t>Dans la présente loi, à moins que le contexte n'indique un sens différent, on entend par :</w:t>
      </w:r>
    </w:p>
    <w:p w:rsidR="00AA250B" w:rsidRDefault="00AA250B" w:rsidP="00E62EE0">
      <w:pPr>
        <w:pStyle w:val="articlesdelaLATMP"/>
        <w:rPr>
          <w:b/>
        </w:rPr>
      </w:pPr>
    </w:p>
    <w:p w:rsidR="00AA250B" w:rsidRDefault="00AA250B" w:rsidP="00E62EE0">
      <w:pPr>
        <w:pStyle w:val="articlesdelaLATMP"/>
      </w:pPr>
      <w:r w:rsidRPr="00DB47E5">
        <w:rPr>
          <w:b/>
        </w:rPr>
        <w:t>« accident du travail »</w:t>
      </w:r>
      <w:r>
        <w:rPr>
          <w:b/>
        </w:rPr>
        <w:t> </w:t>
      </w:r>
      <w:r>
        <w:t>: un événement imprévu et soudain attribuable à toute cause, survenant à une personne par le fait ou à l'occasion de son travail et qui entraîne pour elle une lésion professionnelle;</w:t>
      </w:r>
    </w:p>
    <w:p w:rsidR="00AA250B" w:rsidRDefault="00AA250B" w:rsidP="00E62EE0">
      <w:pPr>
        <w:pStyle w:val="articlesdelaLATMP"/>
      </w:pPr>
      <w:r>
        <w:t>__________</w:t>
      </w:r>
    </w:p>
    <w:p w:rsidR="00AA250B" w:rsidRDefault="00AA250B" w:rsidP="00E62EE0">
      <w:pPr>
        <w:pStyle w:val="articlesdelaLATMP"/>
      </w:pPr>
      <w:r>
        <w:t>1985, c. 6, a. 2; 1997, c. 27, a. 1; 1999, c. 14, a. 2; 1999, c. 40, a. 4; 1999, c. 89, a. 53; 2002, c. 6, a. 76; 2002, c. 76, a. 27; 2006, c. 53, a. 1; 2009, c. 24, a. 72.</w:t>
      </w:r>
    </w:p>
    <w:p w:rsidR="00AA250B" w:rsidRDefault="00AA250B" w:rsidP="00E62EE0">
      <w:pPr>
        <w:pStyle w:val="articlesdelaLATMP"/>
      </w:pPr>
    </w:p>
    <w:p w:rsidR="00AA250B" w:rsidRDefault="00AA250B" w:rsidP="00E62EE0">
      <w:pPr>
        <w:pStyle w:val="articlesdelaLATMP"/>
      </w:pPr>
    </w:p>
    <w:p w:rsidR="00AA250B" w:rsidRDefault="00AA250B" w:rsidP="00863B9B">
      <w:pPr>
        <w:pStyle w:val="corpsdedcision"/>
      </w:pPr>
      <w:r>
        <w:t>Le travailleur doit donc démontrer, par une preuve prépondérante, l’existence d’un événement imprévu et soudain, attribuable à toute cause, qui survient par le fait ou à l’occasion du travail et qui entraîne une lésion professionnelle.</w:t>
      </w:r>
    </w:p>
    <w:p w:rsidR="00AA250B" w:rsidRDefault="00AA250B" w:rsidP="00863B9B">
      <w:pPr>
        <w:pStyle w:val="corpsdedcision"/>
      </w:pPr>
      <w:r>
        <w:t xml:space="preserve">En l’instance, la preuve prépondérante démontre qu’un événement imprévu et soudain, attribuable à toute cause, est survenu le 24 avril 2014. Il </w:t>
      </w:r>
      <w:r w:rsidRPr="00A01C95">
        <w:t>appert ég</w:t>
      </w:r>
      <w:r>
        <w:t>alement de la preuve que cet évé</w:t>
      </w:r>
      <w:r w:rsidRPr="00A01C95">
        <w:t>nement a entraîné les lésions diagnostiquées.</w:t>
      </w:r>
    </w:p>
    <w:p w:rsidR="00AA250B" w:rsidRPr="00A01C95" w:rsidRDefault="00AA250B" w:rsidP="00863B9B">
      <w:pPr>
        <w:pStyle w:val="corpsdedcision"/>
      </w:pPr>
      <w:r>
        <w:lastRenderedPageBreak/>
        <w:t>Les diagnostics retenus par le médecin qui a charge du travailleur sont ceux de</w:t>
      </w:r>
      <w:r w:rsidRPr="00224910">
        <w:t xml:space="preserve"> </w:t>
      </w:r>
      <w:r>
        <w:t>syndrome post-traumatique et d’étirement du tendon extenseur du cinquième doigt de la main gauche.</w:t>
      </w:r>
    </w:p>
    <w:p w:rsidR="00AA250B" w:rsidRDefault="00AA250B" w:rsidP="00863B9B">
      <w:pPr>
        <w:pStyle w:val="corpsdedcision"/>
      </w:pPr>
      <w:r>
        <w:t>L’employeur ne remet pas en cause la survenance de l’agression dont a été victime le travailleur le 24 avril 2014. La preuve, incluant les rapports de police, est éloquente à cet égard. De même, les médecins ayant examiné le travailleur retiennent que cet événement a entraîné une contusion à la main gauche et un état de stress post-traumatique, incluant le docteur Lafleur, psychiatre, désigné par l’employeur et la docteure Benoit, membre du Bureau d’évaluation médicale. Cette lésion est à l’origine de l’arrêt de travail.</w:t>
      </w:r>
    </w:p>
    <w:p w:rsidR="00AA250B" w:rsidRDefault="00AA250B" w:rsidP="004C2257">
      <w:pPr>
        <w:pStyle w:val="corpsdedcision"/>
      </w:pPr>
      <w:r>
        <w:t>La principale question en l’instance est donc de déterminer si cet événement est survenu à l’occasion du travail.</w:t>
      </w:r>
    </w:p>
    <w:p w:rsidR="00AA250B" w:rsidRDefault="00AA250B" w:rsidP="004C2257">
      <w:pPr>
        <w:pStyle w:val="corpsdedcision"/>
      </w:pPr>
      <w:r>
        <w:t>La notion de « à l’occasion du travail » n’est pas définie à la loi. Il se dégage de la jurisprudence</w:t>
      </w:r>
      <w:r>
        <w:rPr>
          <w:rStyle w:val="Appelnotedebasdep"/>
        </w:rPr>
        <w:footnoteReference w:id="6"/>
      </w:r>
      <w:r>
        <w:t xml:space="preserve"> du présent tribunal que cette notion exige l’existence d’un lien plus ou moins direct entre l’accident et le travail. Il s’agit donc de déterminer s’il y a une certaine connexité entre le travail et l’activité qui a entraîné la lésion. À cet égard, certains paramètres ont été retenus afin d’établir ce lien de connexité. Ces critères, non exhaustifs, sont les suivants : </w:t>
      </w:r>
    </w:p>
    <w:p w:rsidR="00AA250B" w:rsidRDefault="00AA250B" w:rsidP="00AA250B">
      <w:pPr>
        <w:pStyle w:val="citation1"/>
        <w:numPr>
          <w:ilvl w:val="0"/>
          <w:numId w:val="2"/>
        </w:numPr>
        <w:shd w:val="clear" w:color="auto" w:fill="FFFFFF"/>
        <w:spacing w:after="240"/>
        <w:ind w:left="1145" w:hanging="425"/>
      </w:pPr>
      <w:r>
        <w:rPr>
          <w:sz w:val="24"/>
          <w:szCs w:val="24"/>
        </w:rPr>
        <w:t>le lieu de l’événement;</w:t>
      </w:r>
    </w:p>
    <w:p w:rsidR="00AA250B" w:rsidRDefault="00AA250B" w:rsidP="00AA250B">
      <w:pPr>
        <w:pStyle w:val="citation1"/>
        <w:numPr>
          <w:ilvl w:val="0"/>
          <w:numId w:val="2"/>
        </w:numPr>
        <w:shd w:val="clear" w:color="auto" w:fill="FFFFFF"/>
        <w:spacing w:after="240"/>
        <w:ind w:left="1145" w:hanging="425"/>
      </w:pPr>
      <w:r>
        <w:rPr>
          <w:sz w:val="24"/>
          <w:szCs w:val="24"/>
        </w:rPr>
        <w:t>le moment de l’événement;</w:t>
      </w:r>
    </w:p>
    <w:p w:rsidR="00AA250B" w:rsidRDefault="00AA250B" w:rsidP="00AA250B">
      <w:pPr>
        <w:pStyle w:val="citation1"/>
        <w:numPr>
          <w:ilvl w:val="0"/>
          <w:numId w:val="2"/>
        </w:numPr>
        <w:shd w:val="clear" w:color="auto" w:fill="FFFFFF"/>
        <w:spacing w:after="240"/>
        <w:ind w:left="1145" w:hanging="425"/>
      </w:pPr>
      <w:r>
        <w:rPr>
          <w:sz w:val="24"/>
          <w:szCs w:val="24"/>
        </w:rPr>
        <w:t>la rémunération de l’activité exercée par le travailleur au moment de l’événement;</w:t>
      </w:r>
    </w:p>
    <w:p w:rsidR="00AA250B" w:rsidRDefault="00AA250B" w:rsidP="00AA250B">
      <w:pPr>
        <w:pStyle w:val="citation1"/>
        <w:numPr>
          <w:ilvl w:val="0"/>
          <w:numId w:val="2"/>
        </w:numPr>
        <w:shd w:val="clear" w:color="auto" w:fill="FFFFFF"/>
        <w:spacing w:after="240"/>
        <w:ind w:left="1145" w:hanging="425"/>
      </w:pPr>
      <w:r>
        <w:rPr>
          <w:sz w:val="24"/>
          <w:szCs w:val="24"/>
        </w:rPr>
        <w:t>l’existence et le degré d’autorité ou de subordination de l’employeur lorsque l’événement ne survient ni sur les lieux du travail ni durant les heures de travail;</w:t>
      </w:r>
    </w:p>
    <w:p w:rsidR="00AA250B" w:rsidRDefault="00AA250B" w:rsidP="00AA250B">
      <w:pPr>
        <w:pStyle w:val="citation1"/>
        <w:numPr>
          <w:ilvl w:val="0"/>
          <w:numId w:val="2"/>
        </w:numPr>
        <w:shd w:val="clear" w:color="auto" w:fill="FFFFFF"/>
        <w:spacing w:after="240"/>
        <w:ind w:left="1145" w:hanging="425"/>
      </w:pPr>
      <w:r>
        <w:rPr>
          <w:sz w:val="24"/>
          <w:szCs w:val="24"/>
        </w:rPr>
        <w:t>la finalité de l’activité exercée au moment de l’événement, qu’elle soit incidente, accessoire ou facultative aux conditions de travail du travailleur;</w:t>
      </w:r>
    </w:p>
    <w:p w:rsidR="00AA250B" w:rsidRDefault="00AA250B" w:rsidP="00AA250B">
      <w:pPr>
        <w:pStyle w:val="citation1"/>
        <w:numPr>
          <w:ilvl w:val="0"/>
          <w:numId w:val="2"/>
        </w:numPr>
        <w:shd w:val="clear" w:color="auto" w:fill="FFFFFF"/>
        <w:spacing w:after="360"/>
        <w:ind w:left="1145" w:hanging="425"/>
        <w:rPr>
          <w:sz w:val="24"/>
          <w:szCs w:val="24"/>
        </w:rPr>
      </w:pPr>
      <w:r>
        <w:rPr>
          <w:sz w:val="24"/>
          <w:szCs w:val="24"/>
        </w:rPr>
        <w:t>l’utilité relative de l’activité exercée par le travailleur en regard de l’accomplissement de son travail.</w:t>
      </w:r>
    </w:p>
    <w:p w:rsidR="00AA250B" w:rsidRPr="00820D0C" w:rsidRDefault="00AA250B" w:rsidP="00863B9B">
      <w:pPr>
        <w:pStyle w:val="corpsdedcision"/>
        <w:rPr>
          <w:highlight w:val="yellow"/>
        </w:rPr>
      </w:pPr>
      <w:r w:rsidRPr="00820D0C">
        <w:rPr>
          <w:highlight w:val="yellow"/>
        </w:rPr>
        <w:lastRenderedPageBreak/>
        <w:t>Dans le présent dossier, le tribunal conclut que l’événement décrit par le travailleur est survenu à l’occasion du travail.</w:t>
      </w:r>
    </w:p>
    <w:p w:rsidR="00AA250B" w:rsidRDefault="00AA250B" w:rsidP="00863B9B">
      <w:pPr>
        <w:pStyle w:val="corpsdedcision"/>
      </w:pPr>
      <w:r>
        <w:t xml:space="preserve">Tout d’abord, il appert de la preuve prépondérante qu’au moment de cet événement, le travailleur est dans le territoire où il exerce son travail de préposé au stationnement et dans sa voiture de fonction. Il s’apprête à aller dîner et il termine une intervention auprès d’un citoyen. </w:t>
      </w:r>
      <w:bookmarkStart w:id="6" w:name="_GoBack"/>
      <w:bookmarkEnd w:id="6"/>
    </w:p>
    <w:p w:rsidR="00AA250B" w:rsidRDefault="00AA250B" w:rsidP="00863B9B">
      <w:pPr>
        <w:pStyle w:val="corpsdedcision"/>
      </w:pPr>
      <w:r>
        <w:t xml:space="preserve">Au cours de cette intervention, il aperçoit de l’autre côté de la rue, sur un terrain privé appartenant à un commerce de restauration rapide, une personne avec une démarche erratique qui tourne plusieurs fois autour d’une table à pique-nique. Cette personne se couche en position du </w:t>
      </w:r>
      <w:r w:rsidRPr="00A41832">
        <w:t>fœtus</w:t>
      </w:r>
      <w:r>
        <w:t xml:space="preserve"> sur la table en question.</w:t>
      </w:r>
    </w:p>
    <w:p w:rsidR="00AA250B" w:rsidRDefault="00AA250B" w:rsidP="00863B9B">
      <w:pPr>
        <w:pStyle w:val="corpsdedcision"/>
      </w:pPr>
      <w:r>
        <w:t>C’est dans ce contexte qu’il décide d’intervenir et qu’il se rend dans son véhicule de fonction sur le terrain privé afin d’adresser la parole à cette personne. Celle-ci réagit de manière inattendue. Elle tient des propos menaçants à l’égard du travailleur et tente de l’agresser par la fenêtre du côté passager.</w:t>
      </w:r>
    </w:p>
    <w:p w:rsidR="00AA250B" w:rsidRDefault="00AA250B" w:rsidP="00863B9B">
      <w:pPr>
        <w:pStyle w:val="corpsdedcision"/>
      </w:pPr>
      <w:r>
        <w:t xml:space="preserve">Il tente de se retirer en reculant sa voiture, mais il fait une fausse </w:t>
      </w:r>
      <w:r w:rsidRPr="00A41832">
        <w:t>manœuvre</w:t>
      </w:r>
      <w:r>
        <w:t xml:space="preserve"> et accroche la personne alors qu’elle contourne le véhicule. Arrivée à la hauteur de la fenêtre du conducteur, elle réussit à agripper le travailleur et lui donne plusieurs coups de poing. Ce dernier finit par se dégager en repoussant la personne avec son pied. Il peut enfin se retirer et fait marche arrière avec sa voiture. Il appelle à l’aide à ce moment seulement. </w:t>
      </w:r>
    </w:p>
    <w:p w:rsidR="00AA250B" w:rsidRDefault="00AA250B" w:rsidP="00790725">
      <w:pPr>
        <w:pStyle w:val="corpsdedcision"/>
      </w:pPr>
      <w:r>
        <w:t>La preuve n’est pas contredite sur cet aspect.</w:t>
      </w:r>
    </w:p>
    <w:p w:rsidR="00AA250B" w:rsidRDefault="00AA250B" w:rsidP="00863B9B">
      <w:pPr>
        <w:pStyle w:val="corpsdedcision"/>
      </w:pPr>
      <w:r w:rsidRPr="00052B50">
        <w:t>Or, p</w:t>
      </w:r>
      <w:r>
        <w:t>endant toute cette séquence,</w:t>
      </w:r>
      <w:r w:rsidRPr="00052B50">
        <w:t xml:space="preserve"> qui dure environ 60 secondes selon le travailleur,</w:t>
      </w:r>
      <w:r>
        <w:t xml:space="preserve"> le tribunal ne peut que constater que ce dernier a suivi la procédure établie par l’employeur dans les cas où un préposé au stationnement est confronté à un individu agressif. En effet, le travailleur n’est pas sorti de son véhicule. Il s’est retiré et a appelé des secours </w:t>
      </w:r>
      <w:r w:rsidRPr="00D96AAA">
        <w:t>dès qu’il en a eu la chance</w:t>
      </w:r>
      <w:r>
        <w:t>, car il devait d’abord se protéger des coups de son agresseur. En outre, en l’absence de témoin ayant entendu les propos tenus par le travailleur ou de tout autre élément, rien dans la preuve ne permet de conclure que ce dernier a été impoli ou arrogant durant son intervention.</w:t>
      </w:r>
    </w:p>
    <w:p w:rsidR="00AA250B" w:rsidRDefault="00AA250B" w:rsidP="00863B9B">
      <w:pPr>
        <w:pStyle w:val="corpsdedcision"/>
      </w:pPr>
      <w:r>
        <w:t>Toutefois, la preuve est contradictoire sur les raisons qui ont poussé le travailleur à intervenir et la teneur des propos qu’il a tenus à la personne avant qu’elle ne l’agresse.</w:t>
      </w:r>
    </w:p>
    <w:p w:rsidR="00AA250B" w:rsidRDefault="00AA250B" w:rsidP="00863B9B">
      <w:pPr>
        <w:pStyle w:val="corpsdedcision"/>
      </w:pPr>
      <w:r>
        <w:t xml:space="preserve">Le travailleur affirme qu’il croyait cette personne en difficulté vu sa démarche et son comportement. Il ne pensait pas qu’il s’agissait d’un itinérant et ne connaissait pas </w:t>
      </w:r>
      <w:r>
        <w:lastRenderedPageBreak/>
        <w:t>cette personne. Il voulait s’assurer qu’elle allait bien. Il s’est rendu à ses côtés afin de lui demander si elle était « correcte ».</w:t>
      </w:r>
    </w:p>
    <w:p w:rsidR="00AA250B" w:rsidRDefault="00AA250B" w:rsidP="00863B9B">
      <w:pPr>
        <w:pStyle w:val="corpsdedcision"/>
      </w:pPr>
      <w:r>
        <w:t>L’employeur fait valoir que le travailleur est plutôt intervenu afin de demander à la personne de quitter les lieux, ce qui déborde de son travail de préposé au stationnement. Or, le travailleur a fait l’objet de plusieurs mesures disciplinaires antérieurement à l’événement parce qu’il débordait du cadre de son travail et adoptait une attitude arrogante avec les citoyens. De même, l’employeur fait valoir que le travailleur connaissait les propriétaires de l’endroit.</w:t>
      </w:r>
    </w:p>
    <w:p w:rsidR="00AA250B" w:rsidRDefault="00AA250B" w:rsidP="002C75CC">
      <w:pPr>
        <w:pStyle w:val="corpsdedcision"/>
      </w:pPr>
      <w:r>
        <w:t xml:space="preserve">L’employeur fonde son argument sur le rapport et le témoignage de la policière qui a rencontré le travailleur à l’hôpital. Celle-ci mentionne dans son rapport que ce dernier n’a pas mentionné dans sa déposition écrite le fait qu’il avait demandé à la personne de quitter la table où elle était couchée, en lui disant qu’il s’agissait d’un endroit où les gens vont pour manger. C’est après cette intervention que la personne s’est mise à crier sur le travailleur, selon le rapport de la policière. </w:t>
      </w:r>
    </w:p>
    <w:p w:rsidR="00AA250B" w:rsidRDefault="00AA250B" w:rsidP="003C3D1D">
      <w:pPr>
        <w:pStyle w:val="corpsdedcision"/>
      </w:pPr>
      <w:r>
        <w:t xml:space="preserve">Or, le tribunal retient la version du travailleur sur cet élément. En effet, dans son témoignage, la policière n’a pu dire à l’audience pourquoi elle avait inscrit cette information sur son rapport ni d’où elle venait. Elle n’a pas questionné le travailleur </w:t>
      </w:r>
      <w:r w:rsidRPr="00597212">
        <w:t>plus avant</w:t>
      </w:r>
      <w:r>
        <w:t xml:space="preserve"> sur ce sujet ni fait d’enquête, même succincte. Cette information provenait-elle du travailleur? Si oui, à quel moment en aurait-il fait mention? Était-ce une information obtenue d’un tiers? Le tribunal l’ignore. Dans ce contexte, cette information n’est pas fiable. Le témoignage du travailleur doit donc être retenu sur ce point. Le tribunal considère que ce dernier est intervenu afin de s’assurer de l’état de la personne qui était couchée sur la table. En outre, il ne pouvait prévoir sa réaction.</w:t>
      </w:r>
    </w:p>
    <w:p w:rsidR="00AA250B" w:rsidRDefault="00AA250B" w:rsidP="002C75CC">
      <w:pPr>
        <w:pStyle w:val="corpsdedcision"/>
      </w:pPr>
      <w:r>
        <w:t xml:space="preserve">Dans ce contexte, la preuve ne permet pas de retenir que le travailleur est intervenu pour demander à la personne de quitter les lieux. </w:t>
      </w:r>
    </w:p>
    <w:p w:rsidR="00AA250B" w:rsidRDefault="00AA250B" w:rsidP="00B07277">
      <w:pPr>
        <w:pStyle w:val="corpsdedcision"/>
      </w:pPr>
      <w:r>
        <w:t xml:space="preserve">Dans un tel contexte, le tribunal estime que l’intervention du travailleur et les conséquences qui s’en suivent sont survenues à l’occasion du travail. La preuve permet de retenir qu’il s’agit d’une situation qui peut se présenter dans le cadre du travail de préposé au stationnement. La description de tâches de préposé au stationnement précise que ce dernier peut avoir à « porter assistance » au public. De même, l’employeur s’attend à ce que les préposés portent assistance, à l’occasion, à une personne qui a peut-être besoin d’aide, et ce, avant même d’appeler les secours. Dans cette hypothèse, l’employeur laisse une certaine marge de </w:t>
      </w:r>
      <w:r w:rsidRPr="00A41832">
        <w:t>manœuvre</w:t>
      </w:r>
      <w:r>
        <w:t xml:space="preserve"> aux travailleurs, lesquels doivent utiliser leur jugement afin de déterminer s’il est nécessaire d’appeler les secours ou non. </w:t>
      </w:r>
    </w:p>
    <w:p w:rsidR="00AA250B" w:rsidRDefault="00AA250B" w:rsidP="008016C3">
      <w:pPr>
        <w:pStyle w:val="corpsdedcision"/>
      </w:pPr>
      <w:r>
        <w:t xml:space="preserve">Il s’agit donc d’une activité incidente aux conditions de travail du travailleur. En outre, cette activité est utile à l’employeur, en ce qu’il existe une forme de coopération </w:t>
      </w:r>
      <w:r>
        <w:lastRenderedPageBreak/>
        <w:t>entre les proposés au stationnement et le service de police de la même municipalité, l’employeur en l’occurrence. À cet égard, la preuve révèle que les policiers donnent des formations aux employés municipaux sur les manières d’agir dans certaines situations problématiques et leur donne comme consigne de les appeler dès que la situation le commande. Ils peuvent communiquer entre eux par radio d’ailleurs. Cette collaboration ne peut qu’être bénéfique à l’employeur. Il y a là un lien, bien qu’étroit.</w:t>
      </w:r>
    </w:p>
    <w:p w:rsidR="00AA250B" w:rsidRDefault="00AA250B" w:rsidP="002C75CC">
      <w:pPr>
        <w:pStyle w:val="corpsdedcision"/>
      </w:pPr>
      <w:r>
        <w:t xml:space="preserve">Le tribunal convient toutefois que si la preuve avait démontré que le travailleur est intervenu le 24 avril 2014 afin de demander à la personne de quitter les lieux, cette situation aurait donné lieu à une </w:t>
      </w:r>
      <w:r w:rsidRPr="00625996">
        <w:t>tout autre décision</w:t>
      </w:r>
      <w:r>
        <w:t xml:space="preserve">. Dans un tel cas, cette intervention aurait été considérée comme une initiative personnelle, faisant sortir le travailleur de la sphère professionnelle. En outre, dans cette hypothèse, l’intervention aurait eu pour but d’assurer l’ordre, pouvoir qui est dévolu à la police. L’employeur a toujours donné des directives claires à cet égard : la procédure prévoit qu’il faut communiquer rapidement avec la police dans un tel cas. Il ne s’agit pas de laisser la situation au jugement du préposé. </w:t>
      </w:r>
    </w:p>
    <w:p w:rsidR="00AA250B" w:rsidRDefault="00AA250B" w:rsidP="00535E84">
      <w:pPr>
        <w:pStyle w:val="corpsdedcision"/>
      </w:pPr>
      <w:r>
        <w:t>Le travailleur est d’ailleurs parfaitement au courant des attentes de l’employeur. La preuve révèle en effet que ce dernier est intervenu de manière inappropriée dans le passé (notamment une attitude arrogante, des propos déplacés, mais aussi l’interception de véhicules n’ayant pas, selon lui, respecté le Code de la route). À la suite de plaintes, ces comportements ont entraîné plusieurs rencontres afin d’expliquer au travailleur les limites de son mandat de même que des avis disciplinaires. De même, il semble que le travailleur ait de la difficulté à suivre les consignes de l’employeur.</w:t>
      </w:r>
    </w:p>
    <w:p w:rsidR="00AA250B" w:rsidRDefault="00AA250B" w:rsidP="00535E84">
      <w:pPr>
        <w:pStyle w:val="corpsdedcision"/>
      </w:pPr>
      <w:r>
        <w:t>Toutefois, dans le contexte particulier du présent dossier, ces éléments survenus antérieurement ne permettent pas d’écarter la preuve prépondérante qui amène à conclure que l’agression, dont a été victime le travailleur le 24 avril 2014, est survenue à l’occasion du travail.</w:t>
      </w:r>
    </w:p>
    <w:p w:rsidR="00AA250B" w:rsidRDefault="00AA250B">
      <w:pPr>
        <w:pStyle w:val="Dispositif"/>
      </w:pPr>
      <w:r>
        <w:rPr>
          <w:b/>
        </w:rPr>
        <w:t>PAR CES MOTIFS, LA COMMISSION DES LÉSIONS PROFESSIONNELLES :</w:t>
      </w:r>
    </w:p>
    <w:p w:rsidR="00AA250B" w:rsidRDefault="00AA250B">
      <w:pPr>
        <w:pStyle w:val="Dispositif"/>
      </w:pPr>
      <w:r>
        <w:rPr>
          <w:b/>
        </w:rPr>
        <w:t>REJETTE</w:t>
      </w:r>
      <w:r>
        <w:t xml:space="preserve"> la requête de la Ville de Gatineau, l’employeur;</w:t>
      </w:r>
    </w:p>
    <w:p w:rsidR="00AA250B" w:rsidRDefault="00AA250B">
      <w:pPr>
        <w:pStyle w:val="Dispositif"/>
      </w:pPr>
      <w:r>
        <w:rPr>
          <w:b/>
        </w:rPr>
        <w:t>CONFIRME</w:t>
      </w:r>
      <w:r>
        <w:t xml:space="preserve"> la décision rendue par la </w:t>
      </w:r>
      <w:r>
        <w:rPr>
          <w:bCs/>
        </w:rPr>
        <w:t xml:space="preserve">Commission de la santé et de la sécurité du travail le </w:t>
      </w:r>
      <w:r>
        <w:t>12 juin 2014;</w:t>
      </w:r>
    </w:p>
    <w:p w:rsidR="00AA250B" w:rsidRDefault="00AA250B">
      <w:pPr>
        <w:pStyle w:val="Dispositif"/>
      </w:pPr>
      <w:r>
        <w:rPr>
          <w:b/>
        </w:rPr>
        <w:t>DÉCLARE</w:t>
      </w:r>
      <w:r>
        <w:t xml:space="preserve"> que le travailleur a subi une lésion professionnelle le 24 avril 2014 et qu’il a droit aux prestations prévues à la </w:t>
      </w:r>
      <w:r w:rsidRPr="000A0C02">
        <w:rPr>
          <w:bCs/>
          <w:i/>
          <w:iCs/>
        </w:rPr>
        <w:t>Loi sur les accidents du travail et les maladies professionnelles</w:t>
      </w:r>
      <w:r w:rsidRPr="00B4588F">
        <w:rPr>
          <w:bCs/>
          <w:iCs/>
        </w:rPr>
        <w:t>.</w:t>
      </w:r>
    </w:p>
    <w:p w:rsidR="00AA250B" w:rsidRDefault="00AA250B">
      <w:pPr>
        <w:pStyle w:val="Dispositif"/>
      </w:pPr>
    </w:p>
    <w:tbl>
      <w:tblPr>
        <w:tblW w:w="9590" w:type="dxa"/>
        <w:tblLayout w:type="fixed"/>
        <w:tblCellMar>
          <w:left w:w="70" w:type="dxa"/>
          <w:right w:w="70" w:type="dxa"/>
        </w:tblCellMar>
        <w:tblLook w:val="0000" w:firstRow="0" w:lastRow="0" w:firstColumn="0" w:lastColumn="0" w:noHBand="0" w:noVBand="0"/>
      </w:tblPr>
      <w:tblGrid>
        <w:gridCol w:w="4795"/>
        <w:gridCol w:w="4795"/>
      </w:tblGrid>
      <w:tr w:rsidR="00AA250B">
        <w:tc>
          <w:tcPr>
            <w:tcW w:w="4795" w:type="dxa"/>
          </w:tcPr>
          <w:p w:rsidR="00AA250B" w:rsidRDefault="00AA250B"/>
        </w:tc>
        <w:tc>
          <w:tcPr>
            <w:tcW w:w="4795" w:type="dxa"/>
          </w:tcPr>
          <w:p w:rsidR="00AA250B" w:rsidRDefault="00AA250B">
            <w:r>
              <w:t>__________________________________</w:t>
            </w:r>
          </w:p>
        </w:tc>
      </w:tr>
      <w:tr w:rsidR="00AA250B">
        <w:tc>
          <w:tcPr>
            <w:tcW w:w="4795" w:type="dxa"/>
          </w:tcPr>
          <w:p w:rsidR="00AA250B" w:rsidRDefault="00AA250B"/>
        </w:tc>
        <w:tc>
          <w:tcPr>
            <w:tcW w:w="4795" w:type="dxa"/>
          </w:tcPr>
          <w:p w:rsidR="00AA250B" w:rsidRDefault="00AA250B">
            <w:r>
              <w:t>Catherine A. Bergeron</w:t>
            </w:r>
          </w:p>
        </w:tc>
      </w:tr>
      <w:tr w:rsidR="00AA250B">
        <w:trPr>
          <w:cantSplit/>
        </w:trPr>
        <w:tc>
          <w:tcPr>
            <w:tcW w:w="9590" w:type="dxa"/>
            <w:gridSpan w:val="2"/>
          </w:tcPr>
          <w:p w:rsidR="00AA250B" w:rsidRDefault="00AA250B"/>
        </w:tc>
      </w:tr>
      <w:tr w:rsidR="00AA250B">
        <w:trPr>
          <w:cantSplit/>
        </w:trPr>
        <w:tc>
          <w:tcPr>
            <w:tcW w:w="9590" w:type="dxa"/>
            <w:gridSpan w:val="2"/>
          </w:tcPr>
          <w:p w:rsidR="00AA250B" w:rsidRDefault="00AA250B"/>
        </w:tc>
      </w:tr>
      <w:tr w:rsidR="00AA250B">
        <w:trPr>
          <w:cantSplit/>
        </w:trPr>
        <w:tc>
          <w:tcPr>
            <w:tcW w:w="9590" w:type="dxa"/>
            <w:gridSpan w:val="2"/>
          </w:tcPr>
          <w:p w:rsidR="00AA250B" w:rsidRDefault="00AA250B"/>
        </w:tc>
      </w:tr>
      <w:tr w:rsidR="00AA250B">
        <w:trPr>
          <w:cantSplit/>
        </w:trPr>
        <w:tc>
          <w:tcPr>
            <w:tcW w:w="9590" w:type="dxa"/>
            <w:gridSpan w:val="2"/>
          </w:tcPr>
          <w:p w:rsidR="00AA250B" w:rsidRDefault="00AA250B"/>
        </w:tc>
      </w:tr>
      <w:tr w:rsidR="00AA250B">
        <w:trPr>
          <w:cantSplit/>
        </w:trPr>
        <w:tc>
          <w:tcPr>
            <w:tcW w:w="9590" w:type="dxa"/>
            <w:gridSpan w:val="2"/>
          </w:tcPr>
          <w:p w:rsidR="00AA250B" w:rsidRDefault="00AA250B"/>
        </w:tc>
      </w:tr>
      <w:tr w:rsidR="00AA250B">
        <w:trPr>
          <w:cantSplit/>
        </w:trPr>
        <w:tc>
          <w:tcPr>
            <w:tcW w:w="9590" w:type="dxa"/>
            <w:gridSpan w:val="2"/>
          </w:tcPr>
          <w:p w:rsidR="00AA250B" w:rsidRDefault="00AA250B">
            <w:pPr>
              <w:pStyle w:val="zSoquijdatNomProcureurDem"/>
            </w:pPr>
            <w:r>
              <w:t>Me Frédéric Poirier</w:t>
            </w:r>
          </w:p>
        </w:tc>
      </w:tr>
      <w:tr w:rsidR="00AA250B">
        <w:trPr>
          <w:cantSplit/>
        </w:trPr>
        <w:tc>
          <w:tcPr>
            <w:tcW w:w="9590" w:type="dxa"/>
            <w:gridSpan w:val="2"/>
          </w:tcPr>
          <w:p w:rsidR="00AA250B" w:rsidRDefault="00AA250B">
            <w:pPr>
              <w:pStyle w:val="zSoquijdatCabinetProcureurDem"/>
            </w:pPr>
            <w:r>
              <w:t>BÉLANGER SAUVÉ</w:t>
            </w:r>
          </w:p>
        </w:tc>
      </w:tr>
      <w:tr w:rsidR="00AA250B">
        <w:trPr>
          <w:cantSplit/>
        </w:trPr>
        <w:tc>
          <w:tcPr>
            <w:tcW w:w="9590" w:type="dxa"/>
            <w:gridSpan w:val="2"/>
          </w:tcPr>
          <w:p w:rsidR="00AA250B" w:rsidRDefault="00AA250B">
            <w:pPr>
              <w:pStyle w:val="zSoquijlblProcureurDem"/>
            </w:pPr>
            <w:r>
              <w:t>Représentant de la partie requérante</w:t>
            </w:r>
          </w:p>
        </w:tc>
      </w:tr>
      <w:tr w:rsidR="00AA250B">
        <w:trPr>
          <w:cantSplit/>
        </w:trPr>
        <w:tc>
          <w:tcPr>
            <w:tcW w:w="9590" w:type="dxa"/>
            <w:gridSpan w:val="2"/>
          </w:tcPr>
          <w:p w:rsidR="00AA250B" w:rsidRDefault="00AA250B"/>
        </w:tc>
      </w:tr>
      <w:tr w:rsidR="00AA250B">
        <w:trPr>
          <w:cantSplit/>
        </w:trPr>
        <w:tc>
          <w:tcPr>
            <w:tcW w:w="9590" w:type="dxa"/>
            <w:gridSpan w:val="2"/>
          </w:tcPr>
          <w:p w:rsidR="00AA250B" w:rsidRDefault="00AA250B"/>
        </w:tc>
      </w:tr>
      <w:tr w:rsidR="00AA250B">
        <w:trPr>
          <w:cantSplit/>
        </w:trPr>
        <w:tc>
          <w:tcPr>
            <w:tcW w:w="9590" w:type="dxa"/>
            <w:gridSpan w:val="2"/>
          </w:tcPr>
          <w:p w:rsidR="00AA250B" w:rsidRDefault="00AA250B">
            <w:pPr>
              <w:pStyle w:val="zSoquijdatNomProcureurDef"/>
            </w:pPr>
            <w:r>
              <w:t>Me Maryse Lepage</w:t>
            </w:r>
          </w:p>
        </w:tc>
      </w:tr>
      <w:tr w:rsidR="00AA250B">
        <w:trPr>
          <w:cantSplit/>
        </w:trPr>
        <w:tc>
          <w:tcPr>
            <w:tcW w:w="9590" w:type="dxa"/>
            <w:gridSpan w:val="2"/>
          </w:tcPr>
          <w:p w:rsidR="00AA250B" w:rsidRDefault="00AA250B">
            <w:pPr>
              <w:pStyle w:val="zSoquijdatCabinetProcureurDef"/>
            </w:pPr>
            <w:r>
              <w:t>BASTIEN, MOREAU, AVOCATS</w:t>
            </w:r>
          </w:p>
        </w:tc>
      </w:tr>
      <w:tr w:rsidR="00AA250B">
        <w:trPr>
          <w:cantSplit/>
        </w:trPr>
        <w:tc>
          <w:tcPr>
            <w:tcW w:w="9590" w:type="dxa"/>
            <w:gridSpan w:val="2"/>
          </w:tcPr>
          <w:p w:rsidR="00AA250B" w:rsidRDefault="00AA250B">
            <w:pPr>
              <w:pStyle w:val="zSoquijlblProcureurDef"/>
            </w:pPr>
            <w:r>
              <w:t>Représentante de la partie intéressée</w:t>
            </w:r>
          </w:p>
        </w:tc>
      </w:tr>
      <w:tr w:rsidR="00AA250B">
        <w:trPr>
          <w:cantSplit/>
        </w:trPr>
        <w:tc>
          <w:tcPr>
            <w:tcW w:w="9590" w:type="dxa"/>
            <w:gridSpan w:val="2"/>
          </w:tcPr>
          <w:p w:rsidR="00AA250B" w:rsidRDefault="00AA250B"/>
        </w:tc>
      </w:tr>
    </w:tbl>
    <w:p w:rsidR="00AA250B" w:rsidRDefault="00AA250B"/>
    <w:p w:rsidR="00814D85" w:rsidRDefault="00814D85"/>
    <w:sectPr w:rsidR="00814D85" w:rsidSect="00AA250B">
      <w:headerReference w:type="even" r:id="rId8"/>
      <w:headerReference w:type="default" r:id="rId9"/>
      <w:footerReference w:type="even" r:id="rId10"/>
      <w:footerReference w:type="default" r:id="rId11"/>
      <w:headerReference w:type="first" r:id="rId12"/>
      <w:footerReference w:type="first" r:id="rId13"/>
      <w:pgSz w:w="12240" w:h="15840" w:code="1"/>
      <w:pgMar w:top="1152" w:right="1440" w:bottom="1440" w:left="1440" w:header="706" w:footer="70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1A0" w:rsidRDefault="00D801A0">
      <w:r>
        <w:separator/>
      </w:r>
    </w:p>
  </w:endnote>
  <w:endnote w:type="continuationSeparator" w:id="0">
    <w:p w:rsidR="00D801A0" w:rsidRDefault="00D80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BC9" w:rsidRDefault="00820D0C">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BC9" w:rsidRDefault="00820D0C">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BC9" w:rsidRDefault="00820D0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1A0" w:rsidRDefault="00D801A0">
      <w:r>
        <w:separator/>
      </w:r>
    </w:p>
  </w:footnote>
  <w:footnote w:type="continuationSeparator" w:id="0">
    <w:p w:rsidR="00D801A0" w:rsidRDefault="00D801A0">
      <w:r>
        <w:continuationSeparator/>
      </w:r>
    </w:p>
  </w:footnote>
  <w:footnote w:id="1">
    <w:p w:rsidR="00AA250B" w:rsidRPr="00D46058" w:rsidRDefault="00AA250B" w:rsidP="002C0C6C">
      <w:pPr>
        <w:rPr>
          <w:rFonts w:cs="Arial"/>
          <w:sz w:val="20"/>
        </w:rPr>
      </w:pPr>
      <w:r>
        <w:rPr>
          <w:rStyle w:val="Appelnotedebasdep"/>
        </w:rPr>
        <w:footnoteRef/>
      </w:r>
      <w:r>
        <w:t xml:space="preserve"> </w:t>
      </w:r>
      <w:r>
        <w:rPr>
          <w:rFonts w:cs="Arial"/>
          <w:sz w:val="20"/>
        </w:rPr>
        <w:tab/>
        <w:t>RLRQ, c. A-3.001.</w:t>
      </w:r>
    </w:p>
  </w:footnote>
  <w:footnote w:id="2">
    <w:p w:rsidR="00AA250B" w:rsidRPr="008D2AFD" w:rsidRDefault="00AA250B" w:rsidP="008D2AFD">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Selon le DSM-V.</w:t>
      </w:r>
    </w:p>
  </w:footnote>
  <w:footnote w:id="3">
    <w:p w:rsidR="00AA250B" w:rsidRPr="00746AAA" w:rsidRDefault="00AA250B" w:rsidP="00746AAA">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2012 QCCLP 2057.</w:t>
      </w:r>
    </w:p>
  </w:footnote>
  <w:footnote w:id="4">
    <w:p w:rsidR="00AA250B" w:rsidRPr="006A002D" w:rsidRDefault="00AA250B" w:rsidP="00E40172">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Règlement numéro 3-2001 adopté lors de la séance du conseil de la ville de Gatineau tenue le 21 novembre 2001.</w:t>
      </w:r>
    </w:p>
  </w:footnote>
  <w:footnote w:id="5">
    <w:p w:rsidR="00AA250B" w:rsidRPr="006A002D" w:rsidRDefault="00AA250B" w:rsidP="00E40172">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Règlement numéro 717-2012 adopté lors de la séance du conseil de la ville de Gatineau tenue le 30 octobre 2012.</w:t>
      </w:r>
    </w:p>
  </w:footnote>
  <w:footnote w:id="6">
    <w:p w:rsidR="00AA250B" w:rsidRPr="004C2257" w:rsidRDefault="00AA250B" w:rsidP="004C2257">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Pr>
          <w:rFonts w:cs="Arial"/>
          <w:i/>
          <w:iCs/>
          <w:sz w:val="20"/>
        </w:rPr>
        <w:t xml:space="preserve">Poitras </w:t>
      </w:r>
      <w:r>
        <w:rPr>
          <w:rFonts w:cs="Arial"/>
          <w:sz w:val="20"/>
        </w:rPr>
        <w:t xml:space="preserve">et </w:t>
      </w:r>
      <w:r>
        <w:rPr>
          <w:rFonts w:cs="Arial"/>
          <w:i/>
          <w:iCs/>
          <w:sz w:val="20"/>
        </w:rPr>
        <w:t>Clinique dentaire Caroline Bennett</w:t>
      </w:r>
      <w:r>
        <w:rPr>
          <w:rFonts w:cs="Arial"/>
          <w:sz w:val="20"/>
        </w:rPr>
        <w:t xml:space="preserve">, </w:t>
      </w:r>
      <w:hyperlink r:id="rId1" w:history="1">
        <w:r w:rsidRPr="004C2257">
          <w:rPr>
            <w:rStyle w:val="reflex3-alt"/>
            <w:rFonts w:cs="Arial"/>
            <w:sz w:val="20"/>
          </w:rPr>
          <w:t>2011 QCCLP 5281</w:t>
        </w:r>
      </w:hyperlink>
      <w:r>
        <w:rPr>
          <w:rStyle w:val="reflex3-block"/>
          <w:rFonts w:cs="Arial"/>
          <w:sz w:val="20"/>
        </w:rPr>
        <w:t xml:space="preserve">; </w:t>
      </w:r>
      <w:r w:rsidRPr="004C2257">
        <w:rPr>
          <w:rFonts w:cs="Arial"/>
          <w:i/>
          <w:iCs/>
          <w:sz w:val="20"/>
        </w:rPr>
        <w:t>Dery</w:t>
      </w:r>
      <w:r>
        <w:rPr>
          <w:rFonts w:cs="Arial"/>
          <w:i/>
          <w:iCs/>
          <w:sz w:val="20"/>
        </w:rPr>
        <w:t xml:space="preserve"> </w:t>
      </w:r>
      <w:r w:rsidRPr="004C2257">
        <w:rPr>
          <w:rFonts w:cs="Arial"/>
          <w:sz w:val="20"/>
        </w:rPr>
        <w:t xml:space="preserve">et </w:t>
      </w:r>
      <w:r w:rsidRPr="004C2257">
        <w:rPr>
          <w:rFonts w:cs="Arial"/>
          <w:i/>
          <w:iCs/>
          <w:sz w:val="20"/>
        </w:rPr>
        <w:t>Transformation B.F.L.</w:t>
      </w:r>
      <w:r w:rsidRPr="004C2257">
        <w:rPr>
          <w:rFonts w:cs="Arial"/>
          <w:sz w:val="20"/>
        </w:rPr>
        <w:t xml:space="preserve">, </w:t>
      </w:r>
      <w:hyperlink r:id="rId2" w:history="1">
        <w:r w:rsidRPr="004C2257">
          <w:rPr>
            <w:rStyle w:val="Lienhypertexte"/>
            <w:rFonts w:cs="Arial"/>
            <w:sz w:val="20"/>
          </w:rPr>
          <w:t>2011 QCCLP 754</w:t>
        </w:r>
      </w:hyperlink>
      <w:r>
        <w:rPr>
          <w:rFonts w:cs="Arial"/>
          <w:sz w:val="20"/>
        </w:rPr>
        <w:t xml:space="preserve">; </w:t>
      </w:r>
      <w:r>
        <w:rPr>
          <w:rFonts w:cs="Arial"/>
          <w:i/>
          <w:iCs/>
          <w:sz w:val="20"/>
        </w:rPr>
        <w:t>Hoang</w:t>
      </w:r>
      <w:r>
        <w:rPr>
          <w:rFonts w:cs="Arial"/>
          <w:sz w:val="20"/>
        </w:rPr>
        <w:t xml:space="preserve"> et </w:t>
      </w:r>
      <w:r>
        <w:rPr>
          <w:rFonts w:cs="Arial"/>
          <w:i/>
          <w:iCs/>
          <w:sz w:val="20"/>
        </w:rPr>
        <w:t>CSSS du Cœur-de-l’île</w:t>
      </w:r>
      <w:r>
        <w:rPr>
          <w:rFonts w:cs="Arial"/>
          <w:sz w:val="20"/>
        </w:rPr>
        <w:t xml:space="preserve">, C.L.P. 295273-61-0607, 6 décembre 2006, G. Morin; </w:t>
      </w:r>
      <w:r w:rsidRPr="004C2257">
        <w:rPr>
          <w:rFonts w:cs="Arial"/>
          <w:i/>
          <w:iCs/>
          <w:sz w:val="20"/>
        </w:rPr>
        <w:t>Lajoie</w:t>
      </w:r>
      <w:r w:rsidRPr="004C2257">
        <w:rPr>
          <w:rFonts w:cs="Arial"/>
          <w:sz w:val="20"/>
        </w:rPr>
        <w:t xml:space="preserve"> c. </w:t>
      </w:r>
      <w:r w:rsidRPr="004C2257">
        <w:rPr>
          <w:rFonts w:cs="Arial"/>
          <w:i/>
          <w:iCs/>
          <w:sz w:val="20"/>
        </w:rPr>
        <w:t>Commission des lésions professionnelles</w:t>
      </w:r>
      <w:r w:rsidRPr="004C2257">
        <w:rPr>
          <w:rFonts w:cs="Arial"/>
          <w:sz w:val="20"/>
        </w:rPr>
        <w:t>, [2002] C.L.P. 476 (C.A.)</w:t>
      </w:r>
      <w:r>
        <w:rPr>
          <w:rFonts w:cs="Arial"/>
          <w:sz w:val="20"/>
        </w:rPr>
        <w:t xml:space="preserve">; </w:t>
      </w:r>
      <w:r>
        <w:rPr>
          <w:rFonts w:cs="Arial"/>
          <w:i/>
          <w:sz w:val="20"/>
        </w:rPr>
        <w:t xml:space="preserve">Plomberie </w:t>
      </w:r>
      <w:r w:rsidRPr="00C0453A">
        <w:rPr>
          <w:rFonts w:cs="Arial"/>
          <w:i/>
          <w:sz w:val="20"/>
        </w:rPr>
        <w:t xml:space="preserve">et Chauffage Plombec inc. </w:t>
      </w:r>
      <w:r w:rsidRPr="00C0453A">
        <w:rPr>
          <w:rFonts w:cs="Arial"/>
          <w:sz w:val="20"/>
        </w:rPr>
        <w:t>et</w:t>
      </w:r>
      <w:r w:rsidRPr="00C0453A">
        <w:rPr>
          <w:rFonts w:cs="Arial"/>
          <w:i/>
          <w:sz w:val="20"/>
        </w:rPr>
        <w:t xml:space="preserve"> Deslongchamps</w:t>
      </w:r>
      <w:r>
        <w:rPr>
          <w:rFonts w:cs="Arial"/>
          <w:sz w:val="20"/>
        </w:rPr>
        <w:t>, C.A.L.P. 51232-64-9305, 17 janvier 1995, B. Lemay.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90" w:type="dxa"/>
      <w:tblInd w:w="-20" w:type="dxa"/>
      <w:tblLayout w:type="fixed"/>
      <w:tblCellMar>
        <w:left w:w="70" w:type="dxa"/>
        <w:right w:w="70" w:type="dxa"/>
      </w:tblCellMar>
      <w:tblLook w:val="0000" w:firstRow="0" w:lastRow="0" w:firstColumn="0" w:lastColumn="0" w:noHBand="0" w:noVBand="0"/>
    </w:tblPr>
    <w:tblGrid>
      <w:gridCol w:w="8730"/>
      <w:gridCol w:w="860"/>
    </w:tblGrid>
    <w:tr w:rsidR="00555BAC" w:rsidTr="001461D7">
      <w:tc>
        <w:tcPr>
          <w:tcW w:w="8730" w:type="dxa"/>
        </w:tcPr>
        <w:p w:rsidR="00555BAC" w:rsidRDefault="00555BAC">
          <w:pPr>
            <w:pStyle w:val="En-tte"/>
            <w:ind w:left="-90"/>
          </w:pPr>
        </w:p>
      </w:tc>
      <w:tc>
        <w:tcPr>
          <w:tcW w:w="860" w:type="dxa"/>
        </w:tcPr>
        <w:p w:rsidR="00555BAC" w:rsidRDefault="00555BAC">
          <w:pPr>
            <w:pStyle w:val="En-tte"/>
            <w:ind w:left="-90"/>
          </w:pPr>
        </w:p>
      </w:tc>
    </w:tr>
    <w:tr w:rsidR="001461D7" w:rsidTr="001461D7">
      <w:tc>
        <w:tcPr>
          <w:tcW w:w="8730" w:type="dxa"/>
        </w:tcPr>
        <w:p w:rsidR="001461D7" w:rsidRDefault="001461D7" w:rsidP="001461D7">
          <w:pPr>
            <w:pStyle w:val="zSoquijdatNoDossier"/>
          </w:pPr>
          <w:r>
            <w:t>558201-07-1411</w:t>
          </w:r>
        </w:p>
      </w:tc>
      <w:tc>
        <w:tcPr>
          <w:tcW w:w="860" w:type="dxa"/>
        </w:tcPr>
        <w:p w:rsidR="001461D7" w:rsidRDefault="005319ED" w:rsidP="001461D7">
          <w:pPr>
            <w:pStyle w:val="En-tte"/>
            <w:ind w:left="-90"/>
            <w:jc w:val="right"/>
            <w:rPr>
              <w:rStyle w:val="Numrodepage"/>
            </w:rPr>
          </w:pPr>
          <w:r>
            <w:rPr>
              <w:rStyle w:val="Numrodepage"/>
            </w:rPr>
            <w:fldChar w:fldCharType="begin"/>
          </w:r>
          <w:r w:rsidR="001461D7">
            <w:rPr>
              <w:rStyle w:val="Numrodepage"/>
            </w:rPr>
            <w:instrText xml:space="preserve"> PAGE </w:instrText>
          </w:r>
          <w:r>
            <w:rPr>
              <w:rStyle w:val="Numrodepage"/>
            </w:rPr>
            <w:fldChar w:fldCharType="separate"/>
          </w:r>
          <w:r w:rsidR="00820D0C">
            <w:rPr>
              <w:rStyle w:val="Numrodepage"/>
              <w:noProof/>
            </w:rPr>
            <w:t>2</w:t>
          </w:r>
          <w:r>
            <w:rPr>
              <w:rStyle w:val="Numrodepage"/>
            </w:rPr>
            <w:fldChar w:fldCharType="end"/>
          </w:r>
        </w:p>
      </w:tc>
    </w:tr>
    <w:tr w:rsidR="001461D7" w:rsidTr="001461D7">
      <w:tc>
        <w:tcPr>
          <w:tcW w:w="8730" w:type="dxa"/>
        </w:tcPr>
        <w:p w:rsidR="001461D7" w:rsidRDefault="001461D7" w:rsidP="001461D7"/>
      </w:tc>
      <w:tc>
        <w:tcPr>
          <w:tcW w:w="860" w:type="dxa"/>
        </w:tcPr>
        <w:p w:rsidR="001461D7" w:rsidRDefault="001461D7" w:rsidP="001461D7">
          <w:pPr>
            <w:pStyle w:val="En-tte"/>
            <w:ind w:left="-90"/>
            <w:jc w:val="right"/>
          </w:pPr>
        </w:p>
      </w:tc>
    </w:tr>
  </w:tbl>
  <w:p w:rsidR="00555BAC" w:rsidRDefault="00555BAC">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BC9" w:rsidRDefault="00820D0C">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90" w:type="dxa"/>
      <w:tblInd w:w="-20" w:type="dxa"/>
      <w:tblLayout w:type="fixed"/>
      <w:tblCellMar>
        <w:left w:w="70" w:type="dxa"/>
        <w:right w:w="70" w:type="dxa"/>
      </w:tblCellMar>
      <w:tblLook w:val="0000" w:firstRow="0" w:lastRow="0" w:firstColumn="0" w:lastColumn="0" w:noHBand="0" w:noVBand="0"/>
    </w:tblPr>
    <w:tblGrid>
      <w:gridCol w:w="8730"/>
      <w:gridCol w:w="860"/>
    </w:tblGrid>
    <w:tr w:rsidR="002C0C6C" w:rsidTr="009331B1">
      <w:tc>
        <w:tcPr>
          <w:tcW w:w="8730" w:type="dxa"/>
        </w:tcPr>
        <w:p w:rsidR="002C0C6C" w:rsidRDefault="00820D0C">
          <w:pPr>
            <w:pStyle w:val="En-tte"/>
            <w:ind w:left="-90"/>
          </w:pPr>
        </w:p>
      </w:tc>
      <w:tc>
        <w:tcPr>
          <w:tcW w:w="860" w:type="dxa"/>
        </w:tcPr>
        <w:p w:rsidR="002C0C6C" w:rsidRDefault="00820D0C">
          <w:pPr>
            <w:pStyle w:val="En-tte"/>
            <w:ind w:left="-90"/>
          </w:pPr>
        </w:p>
      </w:tc>
    </w:tr>
    <w:tr w:rsidR="002C0C6C" w:rsidTr="009331B1">
      <w:tc>
        <w:tcPr>
          <w:tcW w:w="8730" w:type="dxa"/>
        </w:tcPr>
        <w:p w:rsidR="002C0C6C" w:rsidRDefault="00AA250B" w:rsidP="009331B1">
          <w:pPr>
            <w:pStyle w:val="zSoquijdatNoDossier"/>
          </w:pPr>
          <w:r>
            <w:t>558201-07-1411</w:t>
          </w:r>
        </w:p>
      </w:tc>
      <w:tc>
        <w:tcPr>
          <w:tcW w:w="860" w:type="dxa"/>
        </w:tcPr>
        <w:p w:rsidR="002C0C6C" w:rsidRDefault="00AA250B" w:rsidP="009331B1">
          <w:pPr>
            <w:pStyle w:val="En-tte"/>
            <w:ind w:left="-90"/>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sidR="00820D0C">
            <w:rPr>
              <w:rStyle w:val="Numrodepage"/>
              <w:noProof/>
            </w:rPr>
            <w:t>11</w:t>
          </w:r>
          <w:r>
            <w:rPr>
              <w:rStyle w:val="Numrodepage"/>
            </w:rPr>
            <w:fldChar w:fldCharType="end"/>
          </w:r>
        </w:p>
      </w:tc>
    </w:tr>
    <w:tr w:rsidR="002C0C6C" w:rsidTr="009331B1">
      <w:tc>
        <w:tcPr>
          <w:tcW w:w="8730" w:type="dxa"/>
        </w:tcPr>
        <w:p w:rsidR="002C0C6C" w:rsidRDefault="00820D0C" w:rsidP="009331B1"/>
      </w:tc>
      <w:tc>
        <w:tcPr>
          <w:tcW w:w="860" w:type="dxa"/>
        </w:tcPr>
        <w:p w:rsidR="002C0C6C" w:rsidRDefault="00820D0C" w:rsidP="009331B1">
          <w:pPr>
            <w:pStyle w:val="En-tte"/>
            <w:ind w:left="-90"/>
            <w:jc w:val="right"/>
          </w:pPr>
        </w:p>
      </w:tc>
    </w:tr>
  </w:tbl>
  <w:p w:rsidR="002C0C6C" w:rsidRDefault="00820D0C">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BC9" w:rsidRDefault="00820D0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E51924"/>
    <w:multiLevelType w:val="hybridMultilevel"/>
    <w:tmpl w:val="D654D0E0"/>
    <w:lvl w:ilvl="0" w:tplc="9806C07C">
      <w:start w:val="1"/>
      <w:numFmt w:val="bullet"/>
      <w:lvlText w:val=""/>
      <w:lvlJc w:val="left"/>
      <w:pPr>
        <w:ind w:left="1440" w:hanging="360"/>
      </w:pPr>
      <w:rPr>
        <w:rFonts w:ascii="Symbol" w:hAnsi="Symbol" w:hint="default"/>
        <w:sz w:val="20"/>
        <w:szCs w:val="20"/>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76556088"/>
    <w:multiLevelType w:val="multilevel"/>
    <w:tmpl w:val="74FA30DC"/>
    <w:lvl w:ilvl="0">
      <w:start w:val="1"/>
      <w:numFmt w:val="decimal"/>
      <w:pStyle w:val="corpsdedcision"/>
      <w:lvlText w:val="[%1]"/>
      <w:lvlJc w:val="left"/>
      <w:pPr>
        <w:tabs>
          <w:tab w:val="num" w:pos="360"/>
        </w:tabs>
        <w:ind w:left="0" w:firstLine="0"/>
      </w:pPr>
    </w:lvl>
    <w:lvl w:ilvl="1">
      <w:start w:val="1"/>
      <w:numFmt w:val="decimal"/>
      <w:lvlRestart w:val="0"/>
      <w:lvlText w:val="[%1.%2]"/>
      <w:lvlJc w:val="left"/>
      <w:pPr>
        <w:tabs>
          <w:tab w:val="num" w:pos="1080"/>
        </w:tabs>
        <w:ind w:left="360" w:firstLine="0"/>
      </w:pPr>
    </w:lvl>
    <w:lvl w:ilvl="2">
      <w:start w:val="1"/>
      <w:numFmt w:val="decimal"/>
      <w:lvlRestart w:val="0"/>
      <w:lvlText w:val="[%1.%2.%3]"/>
      <w:lvlJc w:val="left"/>
      <w:pPr>
        <w:tabs>
          <w:tab w:val="num" w:pos="1440"/>
        </w:tabs>
        <w:ind w:left="720" w:firstLine="0"/>
      </w:pPr>
    </w:lvl>
    <w:lvl w:ilvl="3">
      <w:start w:val="1"/>
      <w:numFmt w:val="decimal"/>
      <w:lvlRestart w:val="0"/>
      <w:lvlText w:val="[%1.%2.%3.%4]"/>
      <w:lvlJc w:val="left"/>
      <w:pPr>
        <w:tabs>
          <w:tab w:val="num" w:pos="2160"/>
        </w:tabs>
        <w:ind w:left="1080" w:firstLine="0"/>
      </w:pPr>
    </w:lvl>
    <w:lvl w:ilvl="4">
      <w:start w:val="1"/>
      <w:numFmt w:val="decimal"/>
      <w:lvlRestart w:val="0"/>
      <w:lvlText w:val="[%1.%2.%3.%4.%5]"/>
      <w:lvlJc w:val="left"/>
      <w:pPr>
        <w:tabs>
          <w:tab w:val="num" w:pos="2520"/>
        </w:tabs>
        <w:ind w:left="2232" w:hanging="792"/>
      </w:pPr>
    </w:lvl>
    <w:lvl w:ilvl="5">
      <w:start w:val="1"/>
      <w:numFmt w:val="decimal"/>
      <w:lvlRestart w:val="0"/>
      <w:lvlText w:val="[%1.%2.%3.%4.%5.%6]"/>
      <w:lvlJc w:val="left"/>
      <w:pPr>
        <w:tabs>
          <w:tab w:val="num" w:pos="3240"/>
        </w:tabs>
        <w:ind w:left="2736" w:hanging="936"/>
      </w:pPr>
    </w:lvl>
    <w:lvl w:ilvl="6">
      <w:start w:val="1"/>
      <w:numFmt w:val="decimal"/>
      <w:lvlRestart w:val="0"/>
      <w:lvlText w:val="[%1.%2.%3.%4.%5.%6.%7]"/>
      <w:lvlJc w:val="left"/>
      <w:pPr>
        <w:tabs>
          <w:tab w:val="num" w:pos="3600"/>
        </w:tabs>
        <w:ind w:left="3240" w:hanging="1080"/>
      </w:pPr>
    </w:lvl>
    <w:lvl w:ilvl="7">
      <w:start w:val="1"/>
      <w:numFmt w:val="decimal"/>
      <w:lvlRestart w:val="0"/>
      <w:lvlText w:val="[%1.%2.%3.%4.%5.%6.%7.%8]"/>
      <w:lvlJc w:val="left"/>
      <w:pPr>
        <w:tabs>
          <w:tab w:val="num" w:pos="4320"/>
        </w:tabs>
        <w:ind w:left="3744" w:hanging="1224"/>
      </w:pPr>
    </w:lvl>
    <w:lvl w:ilvl="8">
      <w:start w:val="1"/>
      <w:numFmt w:val="decimal"/>
      <w:lvlRestart w:val="0"/>
      <w:lvlText w:val="[%1.%2.%3.%4.%5.%6.%7.%8.%9]"/>
      <w:lvlJc w:val="left"/>
      <w:pPr>
        <w:tabs>
          <w:tab w:val="num" w:pos="4680"/>
        </w:tabs>
        <w:ind w:left="4320" w:hanging="144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C439C"/>
    <w:rsid w:val="00047E06"/>
    <w:rsid w:val="000845B3"/>
    <w:rsid w:val="00114889"/>
    <w:rsid w:val="001461D7"/>
    <w:rsid w:val="002C61A8"/>
    <w:rsid w:val="00310238"/>
    <w:rsid w:val="00324D8B"/>
    <w:rsid w:val="00505D8D"/>
    <w:rsid w:val="005319ED"/>
    <w:rsid w:val="00555BAC"/>
    <w:rsid w:val="006070A4"/>
    <w:rsid w:val="00691812"/>
    <w:rsid w:val="00695F15"/>
    <w:rsid w:val="006C280E"/>
    <w:rsid w:val="006C6DB4"/>
    <w:rsid w:val="00814D85"/>
    <w:rsid w:val="00820D0C"/>
    <w:rsid w:val="00A63EAB"/>
    <w:rsid w:val="00A73DE4"/>
    <w:rsid w:val="00AA250B"/>
    <w:rsid w:val="00AC079F"/>
    <w:rsid w:val="00AE7B4E"/>
    <w:rsid w:val="00B71CDE"/>
    <w:rsid w:val="00BD7A86"/>
    <w:rsid w:val="00D011C1"/>
    <w:rsid w:val="00D16166"/>
    <w:rsid w:val="00D801A0"/>
    <w:rsid w:val="00DC439C"/>
    <w:rsid w:val="00E331DD"/>
    <w:rsid w:val="00E7138F"/>
    <w:rsid w:val="00EF5B8C"/>
    <w:rsid w:val="00F1723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9ED"/>
    <w:rPr>
      <w:rFonts w:ascii="Arial" w:hAnsi="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SoquijdatAssesseurs">
    <w:name w:val="zSoquij_datAssesseurs"/>
    <w:basedOn w:val="Normal"/>
    <w:rsid w:val="005319ED"/>
  </w:style>
  <w:style w:type="paragraph" w:customStyle="1" w:styleId="zSoquijdatCabinetProcureurDef">
    <w:name w:val="zSoquij_datCabinetProcureurDef"/>
    <w:basedOn w:val="Normal"/>
    <w:rsid w:val="005319ED"/>
  </w:style>
  <w:style w:type="paragraph" w:customStyle="1" w:styleId="zSoquijdatCabinetProcureurDem">
    <w:name w:val="zSoquij_datCabinetProcureurDem"/>
    <w:basedOn w:val="Normal"/>
    <w:rsid w:val="005319ED"/>
  </w:style>
  <w:style w:type="paragraph" w:customStyle="1" w:styleId="zSoquijdatDateJugement">
    <w:name w:val="zSoquij_datDateJugement"/>
    <w:basedOn w:val="Normal"/>
    <w:rsid w:val="005319ED"/>
  </w:style>
  <w:style w:type="paragraph" w:customStyle="1" w:styleId="zSoquijdatGreffe">
    <w:name w:val="zSoquij_datGreffe"/>
    <w:basedOn w:val="Normal"/>
    <w:rsid w:val="005319ED"/>
  </w:style>
  <w:style w:type="paragraph" w:customStyle="1" w:styleId="zSoquijdatJuge">
    <w:name w:val="zSoquij_datJuge"/>
    <w:basedOn w:val="Normal"/>
    <w:rsid w:val="005319ED"/>
  </w:style>
  <w:style w:type="paragraph" w:customStyle="1" w:styleId="zSoquijdatMembreE">
    <w:name w:val="zSoquij_datMembreE"/>
    <w:basedOn w:val="Normal"/>
    <w:rsid w:val="005319ED"/>
  </w:style>
  <w:style w:type="paragraph" w:customStyle="1" w:styleId="zSoquijdatMembreS">
    <w:name w:val="zSoquij_datMembreS"/>
    <w:basedOn w:val="Normal"/>
    <w:rsid w:val="005319ED"/>
  </w:style>
  <w:style w:type="paragraph" w:customStyle="1" w:styleId="zSoquijdatRefNeutre">
    <w:name w:val="zSoquij_datRefNeutre"/>
    <w:basedOn w:val="Normal"/>
    <w:rsid w:val="00E331DD"/>
    <w:pPr>
      <w:jc w:val="right"/>
    </w:pPr>
    <w:rPr>
      <w:b/>
      <w:sz w:val="22"/>
      <w:szCs w:val="22"/>
    </w:rPr>
  </w:style>
  <w:style w:type="paragraph" w:customStyle="1" w:styleId="zSoquijdatNCSST">
    <w:name w:val="zSoquij_datNCSST"/>
    <w:basedOn w:val="Normal"/>
    <w:rsid w:val="005319ED"/>
  </w:style>
  <w:style w:type="paragraph" w:customStyle="1" w:styleId="zSoquijdatNoDossier">
    <w:name w:val="zSoquij_datNoDossier"/>
    <w:basedOn w:val="Normal"/>
    <w:rsid w:val="005319ED"/>
  </w:style>
  <w:style w:type="paragraph" w:customStyle="1" w:styleId="zSoquijdatNomPartieDef">
    <w:name w:val="zSoquij_datNomPartieDef"/>
    <w:basedOn w:val="Normal"/>
    <w:rsid w:val="005319ED"/>
  </w:style>
  <w:style w:type="paragraph" w:customStyle="1" w:styleId="zSoquijdatNomPartieDem">
    <w:name w:val="zSoquij_datNomPartieDem"/>
    <w:basedOn w:val="Normal"/>
    <w:rsid w:val="005319ED"/>
  </w:style>
  <w:style w:type="paragraph" w:customStyle="1" w:styleId="zSoquijdatNomPartieInt">
    <w:name w:val="zSoquij_datNomPartieInt"/>
    <w:basedOn w:val="Normal"/>
    <w:rsid w:val="005319ED"/>
  </w:style>
  <w:style w:type="paragraph" w:customStyle="1" w:styleId="zSoquijdatNomProcureurDef">
    <w:name w:val="zSoquij_datNomProcureurDef"/>
    <w:basedOn w:val="Normal"/>
    <w:rsid w:val="005319ED"/>
  </w:style>
  <w:style w:type="paragraph" w:customStyle="1" w:styleId="zSoquijdatNomProcureurDem">
    <w:name w:val="zSoquij_datNomProcureurDem"/>
    <w:basedOn w:val="Normal"/>
    <w:rsid w:val="005319ED"/>
  </w:style>
  <w:style w:type="paragraph" w:customStyle="1" w:styleId="zSoquijdatQtePartieDef">
    <w:name w:val="zSoquij_datQtePartieDef"/>
    <w:basedOn w:val="Normal"/>
    <w:rsid w:val="005319ED"/>
  </w:style>
  <w:style w:type="paragraph" w:customStyle="1" w:styleId="zSoquijdatQtePartieDem">
    <w:name w:val="zSoquij_datQtePartieDem"/>
    <w:basedOn w:val="Normal"/>
    <w:rsid w:val="005319ED"/>
  </w:style>
  <w:style w:type="paragraph" w:customStyle="1" w:styleId="zSoquijdatQtePartieInt">
    <w:name w:val="zSoquij_datQtePartieInt"/>
    <w:basedOn w:val="Normal"/>
    <w:rsid w:val="005319ED"/>
  </w:style>
  <w:style w:type="paragraph" w:customStyle="1" w:styleId="zSoquijlblProcureurDef">
    <w:name w:val="zSoquij_lblProcureurDef"/>
    <w:basedOn w:val="Normal"/>
    <w:rsid w:val="005319ED"/>
  </w:style>
  <w:style w:type="paragraph" w:customStyle="1" w:styleId="zSoquijlblProcureurDem">
    <w:name w:val="zSoquij_lblProcureurDem"/>
    <w:basedOn w:val="Normal"/>
    <w:rsid w:val="005319ED"/>
  </w:style>
  <w:style w:type="character" w:styleId="Appelnotedebasdep">
    <w:name w:val="footnote reference"/>
    <w:basedOn w:val="Policepardfaut"/>
    <w:semiHidden/>
    <w:rsid w:val="005319ED"/>
    <w:rPr>
      <w:rFonts w:ascii="Arial" w:hAnsi="Arial"/>
      <w:vertAlign w:val="superscript"/>
    </w:rPr>
  </w:style>
  <w:style w:type="paragraph" w:customStyle="1" w:styleId="citation">
    <w:name w:val="citation"/>
    <w:basedOn w:val="Normal"/>
    <w:rsid w:val="005319ED"/>
    <w:pPr>
      <w:ind w:left="720" w:right="720"/>
      <w:jc w:val="both"/>
    </w:pPr>
    <w:rPr>
      <w:sz w:val="20"/>
    </w:rPr>
  </w:style>
  <w:style w:type="paragraph" w:customStyle="1" w:styleId="corpsdedcision">
    <w:name w:val="corps de décision"/>
    <w:basedOn w:val="Normal"/>
    <w:rsid w:val="005319ED"/>
    <w:pPr>
      <w:numPr>
        <w:numId w:val="1"/>
      </w:numPr>
      <w:tabs>
        <w:tab w:val="clear" w:pos="360"/>
        <w:tab w:val="left" w:pos="720"/>
      </w:tabs>
      <w:spacing w:after="360"/>
      <w:jc w:val="both"/>
    </w:pPr>
  </w:style>
  <w:style w:type="paragraph" w:customStyle="1" w:styleId="Dfinitions">
    <w:name w:val="Définitions"/>
    <w:basedOn w:val="citation"/>
    <w:rsid w:val="005319ED"/>
  </w:style>
  <w:style w:type="paragraph" w:customStyle="1" w:styleId="zSoquijlblProcureurInt">
    <w:name w:val="zSoquij_lblProcureurInt"/>
    <w:basedOn w:val="Normal"/>
    <w:rsid w:val="005319ED"/>
  </w:style>
  <w:style w:type="paragraph" w:styleId="Notedebasdepage">
    <w:name w:val="footnote text"/>
    <w:basedOn w:val="Normal"/>
    <w:semiHidden/>
    <w:rsid w:val="005319ED"/>
  </w:style>
  <w:style w:type="paragraph" w:styleId="En-tte">
    <w:name w:val="header"/>
    <w:basedOn w:val="Normal"/>
    <w:rsid w:val="005319ED"/>
    <w:pPr>
      <w:tabs>
        <w:tab w:val="center" w:pos="4320"/>
        <w:tab w:val="right" w:pos="8640"/>
      </w:tabs>
    </w:pPr>
  </w:style>
  <w:style w:type="character" w:styleId="Numrodepage">
    <w:name w:val="page number"/>
    <w:basedOn w:val="Policepardfaut"/>
    <w:rsid w:val="005319ED"/>
    <w:rPr>
      <w:rFonts w:ascii="Arial" w:hAnsi="Arial"/>
      <w:sz w:val="24"/>
    </w:rPr>
  </w:style>
  <w:style w:type="paragraph" w:styleId="Pieddepage">
    <w:name w:val="footer"/>
    <w:basedOn w:val="Normal"/>
    <w:rsid w:val="005319ED"/>
    <w:pPr>
      <w:tabs>
        <w:tab w:val="center" w:pos="4320"/>
        <w:tab w:val="right" w:pos="8640"/>
      </w:tabs>
    </w:pPr>
  </w:style>
  <w:style w:type="paragraph" w:customStyle="1" w:styleId="rectification">
    <w:name w:val="rectification"/>
    <w:basedOn w:val="Normal"/>
    <w:rsid w:val="005319ED"/>
    <w:pPr>
      <w:spacing w:after="360"/>
      <w:ind w:left="706"/>
    </w:pPr>
  </w:style>
  <w:style w:type="paragraph" w:customStyle="1" w:styleId="zSoquijdatNomProcureurInt">
    <w:name w:val="zSoquij_datNomProcureurInt"/>
    <w:basedOn w:val="Normal"/>
    <w:rsid w:val="005319ED"/>
  </w:style>
  <w:style w:type="paragraph" w:customStyle="1" w:styleId="zSoquijdatCabinetProcureurInt">
    <w:name w:val="zSoquij_datCabinetProcureurInt"/>
    <w:basedOn w:val="Normal"/>
    <w:rsid w:val="005319ED"/>
  </w:style>
  <w:style w:type="paragraph" w:customStyle="1" w:styleId="zSoquijdatRepertorie">
    <w:name w:val="zSoquij_datRepertorie"/>
    <w:basedOn w:val="Normal"/>
    <w:rsid w:val="00E331DD"/>
    <w:rPr>
      <w:b/>
      <w:sz w:val="22"/>
      <w:szCs w:val="22"/>
    </w:rPr>
  </w:style>
  <w:style w:type="paragraph" w:customStyle="1" w:styleId="Annexes">
    <w:name w:val="Annexes"/>
    <w:basedOn w:val="citation"/>
    <w:rsid w:val="005319ED"/>
  </w:style>
  <w:style w:type="paragraph" w:customStyle="1" w:styleId="Dispositif">
    <w:name w:val="Dispositif"/>
    <w:basedOn w:val="Normal"/>
    <w:rsid w:val="00AA250B"/>
    <w:pPr>
      <w:spacing w:after="360"/>
      <w:jc w:val="both"/>
    </w:pPr>
  </w:style>
  <w:style w:type="paragraph" w:customStyle="1" w:styleId="articlesdelaLATMP">
    <w:name w:val="articles de la LATMP"/>
    <w:basedOn w:val="Normal"/>
    <w:rsid w:val="00AA250B"/>
    <w:pPr>
      <w:ind w:left="720" w:right="720"/>
      <w:jc w:val="both"/>
    </w:pPr>
    <w:rPr>
      <w:sz w:val="20"/>
    </w:rPr>
  </w:style>
  <w:style w:type="paragraph" w:customStyle="1" w:styleId="citation1">
    <w:name w:val="citation1"/>
    <w:basedOn w:val="Normal"/>
    <w:rsid w:val="00AA250B"/>
    <w:pPr>
      <w:ind w:left="720" w:right="720"/>
      <w:jc w:val="both"/>
    </w:pPr>
    <w:rPr>
      <w:rFonts w:cs="Arial"/>
      <w:sz w:val="20"/>
    </w:rPr>
  </w:style>
  <w:style w:type="character" w:styleId="Lienhypertexte">
    <w:name w:val="Hyperlink"/>
    <w:basedOn w:val="Policepardfaut"/>
    <w:rsid w:val="00AA250B"/>
    <w:rPr>
      <w:color w:val="0563C1" w:themeColor="hyperlink"/>
      <w:u w:val="single"/>
    </w:rPr>
  </w:style>
  <w:style w:type="character" w:customStyle="1" w:styleId="reflex3-block">
    <w:name w:val="reflex3-block"/>
    <w:basedOn w:val="Policepardfaut"/>
    <w:rsid w:val="00AA250B"/>
  </w:style>
  <w:style w:type="character" w:customStyle="1" w:styleId="reflex3-alt">
    <w:name w:val="reflex3-alt"/>
    <w:basedOn w:val="Policepardfaut"/>
    <w:rsid w:val="00AA2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anlii.org/fr/qc/qcclp/doc/2011/2011qcclp754/2011qcclp754.html" TargetMode="External"/><Relationship Id="rId1" Type="http://schemas.openxmlformats.org/officeDocument/2006/relationships/hyperlink" Target="http://www.canlii.org/fr/qc/qcclp/doc/2011/2011qcclp5281/2011qcclp5281.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5464</Words>
  <Characters>30052</Characters>
  <Application>Microsoft Office Word</Application>
  <DocSecurity>0</DocSecurity>
  <Lines>250</Lines>
  <Paragraphs>70</Paragraphs>
  <ScaleCrop>false</ScaleCrop>
  <Company/>
  <LinksUpToDate>false</LinksUpToDate>
  <CharactersWithSpaces>35446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2015-06-29T13:09:00Z</dcterms:created>
  <dcterms:modified xsi:type="dcterms:W3CDTF">2016-03-30T02:53:00Z</dcterms:modified>
</cp:coreProperties>
</file>