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20BC9B03" w14:textId="77777777">
        <w:trPr>
          <w:cantSplit/>
        </w:trPr>
        <w:tc>
          <w:tcPr>
            <w:tcW w:w="4795" w:type="dxa"/>
          </w:tcPr>
          <w:p w14:paraId="11EA7526" w14:textId="1A78E00B" w:rsidR="008A7FD1" w:rsidRPr="00D1583B" w:rsidRDefault="00D1583B" w:rsidP="00D1583B">
            <w:pPr>
              <w:pStyle w:val="zSoquijdatRepertorie"/>
              <w:rPr>
                <w:rFonts w:cs="Arial"/>
              </w:rPr>
            </w:pPr>
            <w:bookmarkStart w:id="0" w:name="_GoBack"/>
            <w:bookmarkEnd w:id="0"/>
            <w:r>
              <w:rPr>
                <w:rFonts w:cs="Arial"/>
              </w:rPr>
              <w:t>Gosselin et Chemins de fer nationaux du Canada</w:t>
            </w:r>
          </w:p>
        </w:tc>
        <w:tc>
          <w:tcPr>
            <w:tcW w:w="2477" w:type="dxa"/>
          </w:tcPr>
          <w:p w14:paraId="6A9CE9A7" w14:textId="6A123277" w:rsidR="008A7FD1" w:rsidRPr="00F211B1" w:rsidRDefault="00F211B1" w:rsidP="00F211B1">
            <w:pPr>
              <w:pStyle w:val="zSoquijdatRefNeutre"/>
              <w:rPr>
                <w:rFonts w:cs="Arial"/>
              </w:rPr>
            </w:pPr>
            <w:r w:rsidRPr="00F211B1">
              <w:rPr>
                <w:rFonts w:cs="Arial"/>
              </w:rPr>
              <w:t>2024 QCTAT 707</w:t>
            </w:r>
          </w:p>
        </w:tc>
      </w:tr>
    </w:tbl>
    <w:p w14:paraId="7E9398C7"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331"/>
        <w:gridCol w:w="1559"/>
        <w:gridCol w:w="993"/>
        <w:gridCol w:w="3685"/>
      </w:tblGrid>
      <w:tr w:rsidR="00C74B6F" w14:paraId="16DD5156" w14:textId="77777777" w:rsidTr="00036794">
        <w:trPr>
          <w:cantSplit/>
        </w:trPr>
        <w:tc>
          <w:tcPr>
            <w:tcW w:w="9568" w:type="dxa"/>
            <w:gridSpan w:val="4"/>
          </w:tcPr>
          <w:p w14:paraId="7F591090" w14:textId="77777777" w:rsidR="00C74B6F" w:rsidRPr="00BE1981" w:rsidRDefault="00C74B6F">
            <w:pPr>
              <w:rPr>
                <w:szCs w:val="24"/>
              </w:rPr>
            </w:pPr>
          </w:p>
        </w:tc>
      </w:tr>
      <w:tr w:rsidR="00C74B6F" w14:paraId="08F2E861" w14:textId="77777777" w:rsidTr="00036794">
        <w:trPr>
          <w:cantSplit/>
        </w:trPr>
        <w:tc>
          <w:tcPr>
            <w:tcW w:w="9568" w:type="dxa"/>
            <w:gridSpan w:val="4"/>
            <w:vAlign w:val="center"/>
          </w:tcPr>
          <w:p w14:paraId="43860ECF" w14:textId="77777777" w:rsidR="00C74B6F" w:rsidRPr="000E1320" w:rsidRDefault="000E1320">
            <w:pPr>
              <w:jc w:val="center"/>
              <w:rPr>
                <w:sz w:val="36"/>
                <w:szCs w:val="36"/>
              </w:rPr>
            </w:pPr>
            <w:r w:rsidRPr="000E1320">
              <w:rPr>
                <w:b/>
                <w:sz w:val="36"/>
                <w:szCs w:val="36"/>
              </w:rPr>
              <w:t>TRIBUNAL ADMINISTRATIF DU TRAVAIL</w:t>
            </w:r>
          </w:p>
        </w:tc>
      </w:tr>
      <w:tr w:rsidR="00C74B6F" w14:paraId="73796C33" w14:textId="77777777" w:rsidTr="00036794">
        <w:trPr>
          <w:cantSplit/>
        </w:trPr>
        <w:tc>
          <w:tcPr>
            <w:tcW w:w="9568" w:type="dxa"/>
            <w:gridSpan w:val="4"/>
          </w:tcPr>
          <w:p w14:paraId="69C98829" w14:textId="7A6C6424" w:rsidR="00C74B6F" w:rsidRPr="00BE7014" w:rsidRDefault="006F0154" w:rsidP="009A67E7">
            <w:pPr>
              <w:pStyle w:val="zSoquijdatDivision"/>
            </w:pPr>
            <w:r w:rsidRPr="00BE7014">
              <w:t>(</w:t>
            </w:r>
            <w:r w:rsidR="000E4F6D" w:rsidRPr="00441ADA">
              <w:t>Division de la santé et de la sécurité du travail</w:t>
            </w:r>
            <w:r w:rsidRPr="00BE7014">
              <w:t>)</w:t>
            </w:r>
          </w:p>
        </w:tc>
      </w:tr>
      <w:tr w:rsidR="00C74B6F" w14:paraId="65573493" w14:textId="77777777" w:rsidTr="00036794">
        <w:trPr>
          <w:cantSplit/>
        </w:trPr>
        <w:tc>
          <w:tcPr>
            <w:tcW w:w="9568" w:type="dxa"/>
            <w:gridSpan w:val="4"/>
          </w:tcPr>
          <w:p w14:paraId="1438E288" w14:textId="77777777" w:rsidR="002B2FC3" w:rsidRDefault="002B2FC3" w:rsidP="002B2FC3"/>
        </w:tc>
      </w:tr>
      <w:tr w:rsidR="00A84FC6" w14:paraId="666AA602" w14:textId="77777777" w:rsidTr="00036794">
        <w:trPr>
          <w:cantSplit/>
        </w:trPr>
        <w:tc>
          <w:tcPr>
            <w:tcW w:w="9568" w:type="dxa"/>
            <w:gridSpan w:val="4"/>
          </w:tcPr>
          <w:p w14:paraId="5D88DBF1" w14:textId="77777777" w:rsidR="00A84FC6" w:rsidRDefault="00A84FC6" w:rsidP="002B2FC3"/>
        </w:tc>
      </w:tr>
      <w:tr w:rsidR="00C74B6F" w14:paraId="7378311E" w14:textId="77777777" w:rsidTr="00036794">
        <w:tc>
          <w:tcPr>
            <w:tcW w:w="3331" w:type="dxa"/>
          </w:tcPr>
          <w:p w14:paraId="246F856D" w14:textId="77777777" w:rsidR="00C74B6F" w:rsidRDefault="0084255F">
            <w:bookmarkStart w:id="1" w:name="region" w:colFirst="1" w:colLast="1"/>
            <w:r>
              <w:t>Région :</w:t>
            </w:r>
          </w:p>
        </w:tc>
        <w:tc>
          <w:tcPr>
            <w:tcW w:w="6237" w:type="dxa"/>
            <w:gridSpan w:val="3"/>
          </w:tcPr>
          <w:p w14:paraId="655E733F" w14:textId="6E11811F" w:rsidR="00C74B6F" w:rsidRDefault="000E4F6D" w:rsidP="00F4095A">
            <w:pPr>
              <w:pStyle w:val="zSoquijdatGreffe"/>
            </w:pPr>
            <w:r>
              <w:t>Richelieu-Salaberry</w:t>
            </w:r>
          </w:p>
        </w:tc>
      </w:tr>
      <w:bookmarkEnd w:id="1"/>
      <w:tr w:rsidR="00C74B6F" w14:paraId="7D361A2C" w14:textId="77777777" w:rsidTr="00036794">
        <w:trPr>
          <w:cantSplit/>
        </w:trPr>
        <w:tc>
          <w:tcPr>
            <w:tcW w:w="9568" w:type="dxa"/>
            <w:gridSpan w:val="4"/>
          </w:tcPr>
          <w:p w14:paraId="6501480D" w14:textId="77777777" w:rsidR="00C74B6F" w:rsidRDefault="00C74B6F"/>
        </w:tc>
      </w:tr>
      <w:tr w:rsidR="00C74B6F" w14:paraId="39A0C834" w14:textId="77777777" w:rsidTr="00036794">
        <w:tc>
          <w:tcPr>
            <w:tcW w:w="3331" w:type="dxa"/>
          </w:tcPr>
          <w:p w14:paraId="1F970911" w14:textId="58A1CF05" w:rsidR="00C74B6F" w:rsidRDefault="0084255F">
            <w:bookmarkStart w:id="2" w:name="ref_dossier" w:colFirst="1" w:colLast="1"/>
            <w:r>
              <w:t>Dossier</w:t>
            </w:r>
            <w:bookmarkStart w:id="3" w:name="dossiers"/>
            <w:bookmarkEnd w:id="3"/>
            <w:r>
              <w:t> :</w:t>
            </w:r>
          </w:p>
        </w:tc>
        <w:tc>
          <w:tcPr>
            <w:tcW w:w="6237" w:type="dxa"/>
            <w:gridSpan w:val="3"/>
          </w:tcPr>
          <w:p w14:paraId="0043870E" w14:textId="60D5ED3D" w:rsidR="00C74B6F" w:rsidRDefault="000E4F6D" w:rsidP="00F4095A">
            <w:pPr>
              <w:pStyle w:val="zSoquijdatNoDossier"/>
            </w:pPr>
            <w:r w:rsidRPr="000E4F6D">
              <w:t>1232448-62C-2106</w:t>
            </w:r>
          </w:p>
        </w:tc>
      </w:tr>
      <w:bookmarkEnd w:id="2"/>
      <w:tr w:rsidR="00C74B6F" w14:paraId="2A505FBD" w14:textId="77777777" w:rsidTr="00036794">
        <w:trPr>
          <w:cantSplit/>
        </w:trPr>
        <w:tc>
          <w:tcPr>
            <w:tcW w:w="9568" w:type="dxa"/>
            <w:gridSpan w:val="4"/>
          </w:tcPr>
          <w:p w14:paraId="682D3B7F" w14:textId="77777777" w:rsidR="00C74B6F" w:rsidRDefault="00D44BCF">
            <w:r>
              <w:fldChar w:fldCharType="begin"/>
            </w:r>
            <w:r>
              <w:instrText xml:space="preserve"> AUTOTEXTLIST  \* Upper  \* MERGEFORMAT </w:instrText>
            </w:r>
            <w:r>
              <w:fldChar w:fldCharType="end"/>
            </w:r>
          </w:p>
        </w:tc>
      </w:tr>
      <w:tr w:rsidR="00C74B6F" w14:paraId="68C9D86D" w14:textId="77777777" w:rsidTr="00036794">
        <w:tc>
          <w:tcPr>
            <w:tcW w:w="3331" w:type="dxa"/>
          </w:tcPr>
          <w:p w14:paraId="68759F03" w14:textId="58DC9233" w:rsidR="00C74B6F" w:rsidRDefault="008C79A7" w:rsidP="0045114F">
            <w:pPr>
              <w:ind w:right="46"/>
            </w:pPr>
            <w:r>
              <w:t xml:space="preserve">Dossier </w:t>
            </w:r>
            <w:r w:rsidR="000E4F6D">
              <w:rPr>
                <w:szCs w:val="24"/>
              </w:rPr>
              <w:t>CNESST</w:t>
            </w:r>
            <w:r w:rsidRPr="008C79A7">
              <w:rPr>
                <w:szCs w:val="24"/>
              </w:rPr>
              <w:t xml:space="preserve"> :</w:t>
            </w:r>
          </w:p>
        </w:tc>
        <w:tc>
          <w:tcPr>
            <w:tcW w:w="6237" w:type="dxa"/>
            <w:gridSpan w:val="3"/>
          </w:tcPr>
          <w:p w14:paraId="03622FA1" w14:textId="0E4E0C79" w:rsidR="00C74B6F" w:rsidRDefault="000E4F6D" w:rsidP="004D6CEA">
            <w:pPr>
              <w:pStyle w:val="zSoquijdatNCSST"/>
            </w:pPr>
            <w:r w:rsidRPr="000E4F6D">
              <w:t>509616298</w:t>
            </w:r>
          </w:p>
        </w:tc>
      </w:tr>
      <w:tr w:rsidR="00C74B6F" w14:paraId="3FCC0105" w14:textId="77777777" w:rsidTr="00036794">
        <w:trPr>
          <w:cantSplit/>
        </w:trPr>
        <w:tc>
          <w:tcPr>
            <w:tcW w:w="9568" w:type="dxa"/>
            <w:gridSpan w:val="4"/>
          </w:tcPr>
          <w:p w14:paraId="2280BC7E" w14:textId="77777777" w:rsidR="00C74B6F" w:rsidRDefault="00C74B6F"/>
        </w:tc>
      </w:tr>
      <w:tr w:rsidR="00C74B6F" w14:paraId="206C18D1" w14:textId="77777777" w:rsidTr="00036794">
        <w:trPr>
          <w:cantSplit/>
        </w:trPr>
        <w:tc>
          <w:tcPr>
            <w:tcW w:w="9568" w:type="dxa"/>
            <w:gridSpan w:val="4"/>
          </w:tcPr>
          <w:p w14:paraId="6E6128EE" w14:textId="77777777" w:rsidR="00C74B6F" w:rsidRDefault="00C74B6F"/>
        </w:tc>
      </w:tr>
      <w:tr w:rsidR="006E3DD8" w14:paraId="24B1C6E6" w14:textId="77777777" w:rsidTr="00036794">
        <w:trPr>
          <w:cantSplit/>
        </w:trPr>
        <w:tc>
          <w:tcPr>
            <w:tcW w:w="3331" w:type="dxa"/>
          </w:tcPr>
          <w:p w14:paraId="6E00C232" w14:textId="512488C7" w:rsidR="006E3DD8" w:rsidRDefault="00861697" w:rsidP="0076350E">
            <w:pPr>
              <w:ind w:right="-70"/>
            </w:pPr>
            <w:r>
              <w:t>Salaberry-de-Valleyfield</w:t>
            </w:r>
            <w:r w:rsidR="00C04E32">
              <w:t>,</w:t>
            </w:r>
          </w:p>
        </w:tc>
        <w:tc>
          <w:tcPr>
            <w:tcW w:w="6237" w:type="dxa"/>
            <w:gridSpan w:val="3"/>
          </w:tcPr>
          <w:p w14:paraId="2E26E1D0" w14:textId="55DD39E0" w:rsidR="006E3DD8" w:rsidRDefault="00C04E32" w:rsidP="005B5689">
            <w:pPr>
              <w:pStyle w:val="zSoquijdatDateJugement"/>
            </w:pPr>
            <w:r>
              <w:t xml:space="preserve">le </w:t>
            </w:r>
            <w:r w:rsidR="005F3AAB">
              <w:t>27 février 2024</w:t>
            </w:r>
          </w:p>
        </w:tc>
      </w:tr>
      <w:tr w:rsidR="00942AB8" w14:paraId="48460C2F" w14:textId="77777777" w:rsidTr="00036794">
        <w:trPr>
          <w:cantSplit/>
        </w:trPr>
        <w:tc>
          <w:tcPr>
            <w:tcW w:w="9568" w:type="dxa"/>
            <w:gridSpan w:val="4"/>
          </w:tcPr>
          <w:p w14:paraId="53283354" w14:textId="77777777" w:rsidR="00942AB8" w:rsidRDefault="00942AB8" w:rsidP="00FA153F">
            <w:r>
              <w:t>______________________________________________________________________</w:t>
            </w:r>
          </w:p>
        </w:tc>
      </w:tr>
      <w:tr w:rsidR="00942AB8" w14:paraId="50BDEFED" w14:textId="77777777" w:rsidTr="00036794">
        <w:trPr>
          <w:cantSplit/>
          <w:trHeight w:val="148"/>
        </w:trPr>
        <w:tc>
          <w:tcPr>
            <w:tcW w:w="9568" w:type="dxa"/>
            <w:gridSpan w:val="4"/>
          </w:tcPr>
          <w:p w14:paraId="424E4BC7" w14:textId="77777777" w:rsidR="00942AB8" w:rsidRDefault="00942AB8" w:rsidP="00FA153F"/>
        </w:tc>
      </w:tr>
      <w:tr w:rsidR="0035375B" w14:paraId="01AF703F" w14:textId="77777777" w:rsidTr="00036794">
        <w:trPr>
          <w:cantSplit/>
          <w:trHeight w:val="148"/>
        </w:trPr>
        <w:tc>
          <w:tcPr>
            <w:tcW w:w="5883" w:type="dxa"/>
            <w:gridSpan w:val="3"/>
          </w:tcPr>
          <w:p w14:paraId="21AA40C0" w14:textId="0428DCB5" w:rsidR="0035375B" w:rsidRPr="00942AB8" w:rsidRDefault="0035375B">
            <w:pPr>
              <w:rPr>
                <w:b/>
                <w:bCs/>
              </w:rPr>
            </w:pPr>
            <w:bookmarkStart w:id="4" w:name="ref_commissaire" w:colFirst="1" w:colLast="1"/>
            <w:r w:rsidRPr="00942AB8">
              <w:rPr>
                <w:b/>
                <w:bCs/>
              </w:rPr>
              <w:t>DEVANT L</w:t>
            </w:r>
            <w:r w:rsidR="00861697">
              <w:rPr>
                <w:b/>
                <w:bCs/>
              </w:rPr>
              <w:t>A</w:t>
            </w:r>
            <w:r w:rsidRPr="00942AB8">
              <w:rPr>
                <w:b/>
                <w:bCs/>
              </w:rPr>
              <w:t xml:space="preserve"> JUGE ADMINISTRATI</w:t>
            </w:r>
            <w:r w:rsidR="00861697">
              <w:rPr>
                <w:b/>
                <w:bCs/>
              </w:rPr>
              <w:t>VE</w:t>
            </w:r>
            <w:r w:rsidRPr="00942AB8">
              <w:rPr>
                <w:b/>
                <w:bCs/>
              </w:rPr>
              <w:t> :</w:t>
            </w:r>
          </w:p>
        </w:tc>
        <w:tc>
          <w:tcPr>
            <w:tcW w:w="3685" w:type="dxa"/>
          </w:tcPr>
          <w:p w14:paraId="1B82BD93" w14:textId="0E6B8060" w:rsidR="0035375B" w:rsidRPr="00942AB8" w:rsidRDefault="00861697" w:rsidP="005B5689">
            <w:pPr>
              <w:pStyle w:val="zSoquijdatJuge"/>
              <w:rPr>
                <w:bCs/>
              </w:rPr>
            </w:pPr>
            <w:r>
              <w:t>Marie-Claude Poirier</w:t>
            </w:r>
          </w:p>
        </w:tc>
      </w:tr>
      <w:bookmarkEnd w:id="4"/>
      <w:tr w:rsidR="00942AB8" w14:paraId="2288557F" w14:textId="77777777" w:rsidTr="00036794">
        <w:trPr>
          <w:cantSplit/>
          <w:trHeight w:val="148"/>
        </w:trPr>
        <w:tc>
          <w:tcPr>
            <w:tcW w:w="9568" w:type="dxa"/>
            <w:gridSpan w:val="4"/>
          </w:tcPr>
          <w:p w14:paraId="4271CB12" w14:textId="77777777" w:rsidR="00942AB8" w:rsidRDefault="00942AB8" w:rsidP="00FA153F">
            <w:r>
              <w:t>______________________________________________________________________</w:t>
            </w:r>
          </w:p>
        </w:tc>
      </w:tr>
      <w:tr w:rsidR="00942AB8" w14:paraId="5F71A892" w14:textId="77777777" w:rsidTr="00036794">
        <w:tc>
          <w:tcPr>
            <w:tcW w:w="9568" w:type="dxa"/>
            <w:gridSpan w:val="4"/>
          </w:tcPr>
          <w:p w14:paraId="6344BF74" w14:textId="77777777" w:rsidR="00942AB8" w:rsidRDefault="00942AB8"/>
        </w:tc>
      </w:tr>
      <w:tr w:rsidR="00942AB8" w14:paraId="6AA28874" w14:textId="77777777" w:rsidTr="00E21768">
        <w:tc>
          <w:tcPr>
            <w:tcW w:w="4890" w:type="dxa"/>
            <w:gridSpan w:val="2"/>
          </w:tcPr>
          <w:p w14:paraId="265CC44E" w14:textId="77777777" w:rsidR="00942AB8" w:rsidRDefault="00942AB8">
            <w:bookmarkStart w:id="5" w:name="bloc_parties_gauche"/>
            <w:bookmarkEnd w:id="5"/>
          </w:p>
        </w:tc>
        <w:tc>
          <w:tcPr>
            <w:tcW w:w="4678" w:type="dxa"/>
            <w:gridSpan w:val="2"/>
          </w:tcPr>
          <w:p w14:paraId="4FE3A0F4" w14:textId="77777777" w:rsidR="00942AB8" w:rsidRDefault="00942AB8"/>
        </w:tc>
      </w:tr>
      <w:tr w:rsidR="00942AB8" w14:paraId="75DE92AD" w14:textId="77777777" w:rsidTr="00E21768">
        <w:tc>
          <w:tcPr>
            <w:tcW w:w="4890" w:type="dxa"/>
            <w:gridSpan w:val="2"/>
          </w:tcPr>
          <w:p w14:paraId="7859C5D8" w14:textId="3DC54B33" w:rsidR="00942AB8" w:rsidRDefault="0089458C">
            <w:pPr>
              <w:pStyle w:val="zSoquijdatNomPartieDem"/>
              <w:rPr>
                <w:b/>
              </w:rPr>
            </w:pPr>
            <w:r>
              <w:rPr>
                <w:b/>
              </w:rPr>
              <w:t>Simon Gosselin</w:t>
            </w:r>
          </w:p>
        </w:tc>
        <w:tc>
          <w:tcPr>
            <w:tcW w:w="4678" w:type="dxa"/>
            <w:gridSpan w:val="2"/>
          </w:tcPr>
          <w:p w14:paraId="2707EB67" w14:textId="77777777" w:rsidR="00942AB8" w:rsidRDefault="00942AB8"/>
        </w:tc>
      </w:tr>
      <w:tr w:rsidR="00942AB8" w14:paraId="278B9A50" w14:textId="77777777" w:rsidTr="00E21768">
        <w:tc>
          <w:tcPr>
            <w:tcW w:w="4890" w:type="dxa"/>
            <w:gridSpan w:val="2"/>
          </w:tcPr>
          <w:p w14:paraId="76ADE2E4" w14:textId="299B46AE" w:rsidR="00942AB8" w:rsidRDefault="00861697" w:rsidP="007B0DF2">
            <w:pPr>
              <w:pStyle w:val="zSoquijdatQtePartieDem"/>
              <w:tabs>
                <w:tab w:val="left" w:pos="3539"/>
              </w:tabs>
              <w:ind w:left="708"/>
            </w:pPr>
            <w:bookmarkStart w:id="6" w:name="partie_demanderesse"/>
            <w:bookmarkEnd w:id="6"/>
            <w:r>
              <w:t>Partie demanderesse</w:t>
            </w:r>
          </w:p>
        </w:tc>
        <w:tc>
          <w:tcPr>
            <w:tcW w:w="4678" w:type="dxa"/>
            <w:gridSpan w:val="2"/>
          </w:tcPr>
          <w:p w14:paraId="07E64256" w14:textId="77777777" w:rsidR="00942AB8" w:rsidRDefault="00942AB8"/>
        </w:tc>
      </w:tr>
      <w:tr w:rsidR="00942AB8" w14:paraId="32C6E926" w14:textId="77777777" w:rsidTr="00E21768">
        <w:tc>
          <w:tcPr>
            <w:tcW w:w="4890" w:type="dxa"/>
            <w:gridSpan w:val="2"/>
          </w:tcPr>
          <w:p w14:paraId="31ABA3F7" w14:textId="77777777" w:rsidR="00942AB8" w:rsidRDefault="00942AB8" w:rsidP="00E6363B"/>
        </w:tc>
        <w:tc>
          <w:tcPr>
            <w:tcW w:w="4678" w:type="dxa"/>
            <w:gridSpan w:val="2"/>
          </w:tcPr>
          <w:p w14:paraId="20BDF75A" w14:textId="77777777" w:rsidR="00942AB8" w:rsidRDefault="00942AB8"/>
        </w:tc>
      </w:tr>
      <w:tr w:rsidR="00942AB8" w14:paraId="4801BDFC" w14:textId="77777777" w:rsidTr="00E21768">
        <w:tc>
          <w:tcPr>
            <w:tcW w:w="4890" w:type="dxa"/>
            <w:gridSpan w:val="2"/>
          </w:tcPr>
          <w:p w14:paraId="13EB2C27" w14:textId="7EDA4868" w:rsidR="00942AB8" w:rsidRDefault="00861697" w:rsidP="00D06652">
            <w:pPr>
              <w:pStyle w:val="zSoquijlblLienParties"/>
            </w:pPr>
            <w:r>
              <w:t>et</w:t>
            </w:r>
          </w:p>
        </w:tc>
        <w:tc>
          <w:tcPr>
            <w:tcW w:w="4678" w:type="dxa"/>
            <w:gridSpan w:val="2"/>
          </w:tcPr>
          <w:p w14:paraId="40098360" w14:textId="77777777" w:rsidR="00942AB8" w:rsidRDefault="00942AB8"/>
        </w:tc>
      </w:tr>
      <w:tr w:rsidR="00942AB8" w14:paraId="02FF7B60" w14:textId="77777777" w:rsidTr="00E21768">
        <w:tc>
          <w:tcPr>
            <w:tcW w:w="4890" w:type="dxa"/>
            <w:gridSpan w:val="2"/>
          </w:tcPr>
          <w:p w14:paraId="05E24AA9" w14:textId="77777777" w:rsidR="00942AB8" w:rsidRDefault="00942AB8"/>
        </w:tc>
        <w:tc>
          <w:tcPr>
            <w:tcW w:w="4678" w:type="dxa"/>
            <w:gridSpan w:val="2"/>
          </w:tcPr>
          <w:p w14:paraId="5556EE44" w14:textId="77777777" w:rsidR="00942AB8" w:rsidRDefault="00942AB8"/>
        </w:tc>
      </w:tr>
      <w:tr w:rsidR="00942AB8" w14:paraId="1496CF54" w14:textId="77777777" w:rsidTr="00E21768">
        <w:tc>
          <w:tcPr>
            <w:tcW w:w="4890" w:type="dxa"/>
            <w:gridSpan w:val="2"/>
          </w:tcPr>
          <w:p w14:paraId="1E2CCF18" w14:textId="61AEBD86" w:rsidR="00942AB8" w:rsidRDefault="00861697">
            <w:pPr>
              <w:pStyle w:val="zSoquijdatNomPartieDef"/>
              <w:rPr>
                <w:b/>
              </w:rPr>
            </w:pPr>
            <w:r w:rsidRPr="00861697">
              <w:rPr>
                <w:b/>
              </w:rPr>
              <w:t>Chemins de fer nationaux du Canada</w:t>
            </w:r>
          </w:p>
        </w:tc>
        <w:tc>
          <w:tcPr>
            <w:tcW w:w="4678" w:type="dxa"/>
            <w:gridSpan w:val="2"/>
          </w:tcPr>
          <w:p w14:paraId="38118E8F" w14:textId="77777777" w:rsidR="00942AB8" w:rsidRDefault="00942AB8"/>
        </w:tc>
      </w:tr>
      <w:tr w:rsidR="00942AB8" w14:paraId="635AE969" w14:textId="77777777" w:rsidTr="00E21768">
        <w:tc>
          <w:tcPr>
            <w:tcW w:w="4890" w:type="dxa"/>
            <w:gridSpan w:val="2"/>
          </w:tcPr>
          <w:p w14:paraId="789C9903" w14:textId="13C1517A" w:rsidR="00942AB8" w:rsidRDefault="00861697">
            <w:pPr>
              <w:pStyle w:val="zSoquijdatQtePartieDef"/>
              <w:ind w:left="708"/>
            </w:pPr>
            <w:r>
              <w:t>Partie mise en cause</w:t>
            </w:r>
          </w:p>
        </w:tc>
        <w:tc>
          <w:tcPr>
            <w:tcW w:w="4678" w:type="dxa"/>
            <w:gridSpan w:val="2"/>
          </w:tcPr>
          <w:p w14:paraId="2AA6FD94" w14:textId="77777777" w:rsidR="00942AB8" w:rsidRDefault="00942AB8"/>
        </w:tc>
      </w:tr>
      <w:tr w:rsidR="0065093D" w14:paraId="2A0FF32A" w14:textId="77777777" w:rsidTr="00E21768">
        <w:tc>
          <w:tcPr>
            <w:tcW w:w="4890" w:type="dxa"/>
            <w:gridSpan w:val="2"/>
          </w:tcPr>
          <w:p w14:paraId="31B94866" w14:textId="77777777" w:rsidR="0065093D" w:rsidRDefault="0065093D"/>
        </w:tc>
        <w:tc>
          <w:tcPr>
            <w:tcW w:w="4678" w:type="dxa"/>
            <w:gridSpan w:val="2"/>
          </w:tcPr>
          <w:p w14:paraId="2C1B3012" w14:textId="77777777" w:rsidR="0065093D" w:rsidRDefault="0065093D"/>
        </w:tc>
      </w:tr>
    </w:tbl>
    <w:p w14:paraId="2B46BE46" w14:textId="77777777" w:rsidR="00C74B6F" w:rsidRDefault="00C74B6F">
      <w:r>
        <w:t>______________________________________________________________________</w:t>
      </w:r>
    </w:p>
    <w:p w14:paraId="53FE4D15" w14:textId="77777777" w:rsidR="00C74B6F" w:rsidRDefault="00C74B6F"/>
    <w:p w14:paraId="5DE00DAC" w14:textId="77777777" w:rsidR="00C74B6F" w:rsidRPr="005B0612" w:rsidRDefault="00C74B6F" w:rsidP="008B042E">
      <w:pPr>
        <w:jc w:val="center"/>
        <w:rPr>
          <w:b/>
          <w:bCs/>
        </w:rPr>
      </w:pPr>
      <w:bookmarkStart w:id="7" w:name="decision"/>
      <w:r w:rsidRPr="005B0612">
        <w:rPr>
          <w:b/>
          <w:bCs/>
        </w:rPr>
        <w:t>DÉCISION</w:t>
      </w:r>
      <w:bookmarkEnd w:id="7"/>
    </w:p>
    <w:p w14:paraId="777960AA" w14:textId="77777777" w:rsidR="008F20EA" w:rsidRDefault="008F20EA" w:rsidP="008F20EA">
      <w:bookmarkStart w:id="8" w:name="separation"/>
      <w:bookmarkStart w:id="9" w:name="parag_1"/>
      <w:r>
        <w:t>______________________________________________________________________</w:t>
      </w:r>
    </w:p>
    <w:p w14:paraId="067E4A27" w14:textId="77777777" w:rsidR="008F20EA" w:rsidRDefault="008F20EA" w:rsidP="008F20EA">
      <w:pPr>
        <w:pStyle w:val="corpsdedcision"/>
        <w:numPr>
          <w:ilvl w:val="0"/>
          <w:numId w:val="0"/>
        </w:numPr>
        <w:spacing w:before="360"/>
      </w:pPr>
      <w:bookmarkStart w:id="10" w:name="supprimer_apercu"/>
      <w:bookmarkEnd w:id="8"/>
      <w:r>
        <w:rPr>
          <w:b/>
          <w:bCs/>
          <w:u w:val="single"/>
        </w:rPr>
        <w:t>L’APERÇU</w:t>
      </w:r>
    </w:p>
    <w:bookmarkEnd w:id="10"/>
    <w:bookmarkEnd w:id="9"/>
    <w:p w14:paraId="3E7F285C" w14:textId="4B3622C6" w:rsidR="003E197C" w:rsidRDefault="00FF229F" w:rsidP="00452DE2">
      <w:pPr>
        <w:pStyle w:val="corpsdedcision"/>
        <w:tabs>
          <w:tab w:val="clear" w:pos="360"/>
        </w:tabs>
      </w:pPr>
      <w:r>
        <w:t xml:space="preserve">Monsieur Simon Gosselin occupe un poste de chef de train pour les Chemins de fer nationaux du Canada. </w:t>
      </w:r>
      <w:r w:rsidR="003E197C">
        <w:t xml:space="preserve">Le 6 janvier 2021, le train </w:t>
      </w:r>
      <w:r w:rsidR="00E11D23">
        <w:t xml:space="preserve">à </w:t>
      </w:r>
      <w:r w:rsidR="003E197C">
        <w:t>bord duquel se trouve le travailleur passe près de la gare de triage de Pointe-S</w:t>
      </w:r>
      <w:r w:rsidR="00ED1B31">
        <w:t>ain</w:t>
      </w:r>
      <w:r w:rsidR="003E197C">
        <w:t xml:space="preserve">t-Charles. Lui et ses collègues aperçoivent une scène d’accident à la gare ainsi que la présence de véhicules d’urgence. Ils ignorent la nature de l’incident n’ayant pas de visuel direct sur l’événement. Arrivé à destination, le travailleur discute avec son superviseur </w:t>
      </w:r>
      <w:r w:rsidR="00B4646F">
        <w:t>et</w:t>
      </w:r>
      <w:r w:rsidR="003E197C">
        <w:t xml:space="preserve"> apprend qu’un collègue a eu un accident au travail à la gare de triage et en est décédé. Le 15 janvier 2021, le travailleur consulte un médecin</w:t>
      </w:r>
      <w:r w:rsidR="00ED1B31">
        <w:t>,</w:t>
      </w:r>
      <w:r w:rsidR="003E197C">
        <w:t xml:space="preserve"> qui pose un diagnostic de stress post-traumatique et prescrit un arrêt de travail.</w:t>
      </w:r>
    </w:p>
    <w:p w14:paraId="1BB87F32" w14:textId="1C746F8E" w:rsidR="003E197C" w:rsidRDefault="003E197C" w:rsidP="00452DE2">
      <w:pPr>
        <w:pStyle w:val="corpsdedcision"/>
        <w:tabs>
          <w:tab w:val="clear" w:pos="360"/>
        </w:tabs>
      </w:pPr>
      <w:r>
        <w:t xml:space="preserve">Le 21 mai 2021, la Commission des normes, de l’équité, de la santé et de la sécurité du travail rend une décision à la suite d’une révision administrative par laquelle elle confirme qu’elle refuse </w:t>
      </w:r>
      <w:r w:rsidR="0025456D">
        <w:t xml:space="preserve">la réclamation du travailleur en lien avec le diagnostic de stress post-traumatique que le travailleur attribut à l’événement </w:t>
      </w:r>
      <w:r w:rsidR="00AA459C">
        <w:t>survenu au travail le</w:t>
      </w:r>
      <w:r w:rsidR="0025456D">
        <w:t xml:space="preserve"> 6</w:t>
      </w:r>
      <w:r w:rsidR="00ED1B31">
        <w:t> </w:t>
      </w:r>
      <w:r w:rsidR="0025456D">
        <w:t>janvier 2021.</w:t>
      </w:r>
    </w:p>
    <w:p w14:paraId="21E2DD8F" w14:textId="0B49EC09" w:rsidR="004B7AE6" w:rsidRDefault="00360350" w:rsidP="00452DE2">
      <w:pPr>
        <w:pStyle w:val="corpsdedcision"/>
        <w:tabs>
          <w:tab w:val="clear" w:pos="360"/>
        </w:tabs>
      </w:pPr>
      <w:r>
        <w:t>Le travailleur soutient qu’avant l’événement</w:t>
      </w:r>
      <w:r w:rsidR="000019A8">
        <w:t>,</w:t>
      </w:r>
      <w:r>
        <w:t xml:space="preserve"> il présentait déjà une condition d’anxiété avec des attaques de panique </w:t>
      </w:r>
      <w:r w:rsidR="00BA0251">
        <w:t>et que l’événement du 6 janvier 2021 a aggravé cette condition et surajout</w:t>
      </w:r>
      <w:r w:rsidR="00E11D23">
        <w:t>é</w:t>
      </w:r>
      <w:r w:rsidR="00BA0251">
        <w:t xml:space="preserve"> un diagnostic de stress post-traumatique. Il estime que l’événement survenu au travail est imprévu et soudain. De même, il allègue que le dia</w:t>
      </w:r>
      <w:r w:rsidR="004B7AE6">
        <w:t>gnostic de stress post-traumatique, qui n’est pas contesté, découle de cet événement.</w:t>
      </w:r>
    </w:p>
    <w:p w14:paraId="25F7691C" w14:textId="6C6F92EE" w:rsidR="0025456D" w:rsidRDefault="00424C3C" w:rsidP="00452DE2">
      <w:pPr>
        <w:pStyle w:val="corpsdedcision"/>
        <w:tabs>
          <w:tab w:val="clear" w:pos="360"/>
        </w:tabs>
      </w:pPr>
      <w:r>
        <w:t>L’employeur estime pour sa part que la preuve démontre que le travailleur n’est pas témoin de l’accident mortel ni de la vue du corps après le décès. Tout ce dont il est témoin est la présence de véhicules d’urgence et des secours sur les lieux de l’accident.</w:t>
      </w:r>
      <w:r w:rsidR="002C7D88">
        <w:t xml:space="preserve"> Pour lui, il ne s’agit pas d’un événement imprévu et soudain</w:t>
      </w:r>
      <w:r w:rsidR="00B4646F">
        <w:t xml:space="preserve"> survenu par le fait ou </w:t>
      </w:r>
      <w:r w:rsidR="00ED1B31">
        <w:t xml:space="preserve">à </w:t>
      </w:r>
      <w:r w:rsidR="00B4646F">
        <w:t>l’occasion du travail</w:t>
      </w:r>
      <w:r w:rsidR="002C7D88">
        <w:t>.</w:t>
      </w:r>
    </w:p>
    <w:p w14:paraId="2750C203" w14:textId="25A9BC16" w:rsidR="002C7D88" w:rsidRDefault="002C7D88" w:rsidP="00452DE2">
      <w:pPr>
        <w:pStyle w:val="corpsdedcision"/>
        <w:tabs>
          <w:tab w:val="clear" w:pos="360"/>
        </w:tabs>
      </w:pPr>
      <w:r>
        <w:t xml:space="preserve">Ensuite, l’employeur </w:t>
      </w:r>
      <w:r w:rsidR="00D13A91">
        <w:t>allègue</w:t>
      </w:r>
      <w:r>
        <w:t xml:space="preserve"> que les faits analysés par le professionnel de la santé en charge du travailleur lorsqu’il pose le diagnostic de stress post-traumatique ne correspondent pas à ce dont le travailleur est témoin le 6 janvier 2021. Conséquemment, il soutient que ceci justifie</w:t>
      </w:r>
      <w:r w:rsidR="00376F2D">
        <w:t xml:space="preserve"> que</w:t>
      </w:r>
      <w:r>
        <w:t xml:space="preserve"> le Tribunal analyse si les critère</w:t>
      </w:r>
      <w:r w:rsidR="00C00D4D">
        <w:t>s</w:t>
      </w:r>
      <w:r>
        <w:t xml:space="preserve"> de la cinquième édition du </w:t>
      </w:r>
      <w:r w:rsidRPr="00F47F9B">
        <w:rPr>
          <w:i/>
          <w:iCs/>
        </w:rPr>
        <w:t>Manuel diagnostique et statistique des troubles mentaux</w:t>
      </w:r>
      <w:r>
        <w:t xml:space="preserve"> (DSM-5)</w:t>
      </w:r>
      <w:r w:rsidR="00376007">
        <w:rPr>
          <w:rStyle w:val="Appelnotedebasdep"/>
        </w:rPr>
        <w:footnoteReference w:id="1"/>
      </w:r>
      <w:r>
        <w:t xml:space="preserve"> </w:t>
      </w:r>
      <w:r w:rsidR="00B4646F">
        <w:t xml:space="preserve">sont remplis </w:t>
      </w:r>
      <w:r>
        <w:t>en matière de syndrome de stress post-traumatique.</w:t>
      </w:r>
    </w:p>
    <w:p w14:paraId="7567A1AC" w14:textId="7B845288" w:rsidR="002C7D88" w:rsidRDefault="00C00D4D" w:rsidP="00452DE2">
      <w:pPr>
        <w:pStyle w:val="corpsdedcision"/>
        <w:tabs>
          <w:tab w:val="clear" w:pos="360"/>
        </w:tabs>
      </w:pPr>
      <w:r>
        <w:t xml:space="preserve">En définitive, les questions auxquelles le Tribunal doit répondre sont les suivantes : </w:t>
      </w:r>
    </w:p>
    <w:p w14:paraId="4294C2CE" w14:textId="2E5053C3" w:rsidR="00C00D4D" w:rsidRDefault="00C00D4D" w:rsidP="00F47F9B">
      <w:pPr>
        <w:pStyle w:val="corpsdedcision"/>
        <w:numPr>
          <w:ilvl w:val="0"/>
          <w:numId w:val="12"/>
        </w:numPr>
        <w:spacing w:after="240"/>
        <w:ind w:left="788" w:hanging="357"/>
      </w:pPr>
      <w:r>
        <w:t>Existe-t-il un événement imprévu et soudain qui survient au travailleur par le fait ou à l’occasion de son travail?</w:t>
      </w:r>
    </w:p>
    <w:p w14:paraId="4B37EAA3" w14:textId="28F0833A" w:rsidR="00C00D4D" w:rsidRDefault="00C00D4D" w:rsidP="00C00D4D">
      <w:pPr>
        <w:pStyle w:val="corpsdedcision"/>
        <w:numPr>
          <w:ilvl w:val="0"/>
          <w:numId w:val="12"/>
        </w:numPr>
      </w:pPr>
      <w:r>
        <w:t>Est-ce que cet événement entra</w:t>
      </w:r>
      <w:r w:rsidR="00376007">
        <w:t>î</w:t>
      </w:r>
      <w:r>
        <w:t>ne pour le travail</w:t>
      </w:r>
      <w:r w:rsidR="00B4646F">
        <w:t>leur</w:t>
      </w:r>
      <w:r>
        <w:t xml:space="preserve"> le diagnostic de stress post-traumatique</w:t>
      </w:r>
      <w:r w:rsidR="008D1FDF">
        <w:t>,</w:t>
      </w:r>
      <w:r>
        <w:t xml:space="preserve"> lequel n’est pas contesté?</w:t>
      </w:r>
    </w:p>
    <w:p w14:paraId="19411A3F" w14:textId="3C9D96F1" w:rsidR="00C00D4D" w:rsidRDefault="00D64B34" w:rsidP="00452DE2">
      <w:pPr>
        <w:pStyle w:val="corpsdedcision"/>
        <w:tabs>
          <w:tab w:val="clear" w:pos="360"/>
        </w:tabs>
      </w:pPr>
      <w:r>
        <w:t xml:space="preserve">Pour les motifs qui suivent, </w:t>
      </w:r>
      <w:r w:rsidR="00B4646F">
        <w:t>le Tribunal conclut à l’existence d’un événement imprévu et soudain survenu par le fait ou à l’occasion du travail. De même, cet événement entra</w:t>
      </w:r>
      <w:r w:rsidR="00376007">
        <w:t>î</w:t>
      </w:r>
      <w:r w:rsidR="00B4646F">
        <w:t>ne pour le travailleur une lésion de stress post-traumatique.</w:t>
      </w:r>
    </w:p>
    <w:p w14:paraId="3FF48618" w14:textId="77777777" w:rsidR="00082A97" w:rsidRDefault="00082A97" w:rsidP="00F47F9B">
      <w:pPr>
        <w:pStyle w:val="corpsdedcision"/>
        <w:keepNext/>
        <w:numPr>
          <w:ilvl w:val="0"/>
          <w:numId w:val="0"/>
        </w:numPr>
        <w:rPr>
          <w:b/>
          <w:bCs/>
          <w:u w:val="single"/>
        </w:rPr>
      </w:pPr>
      <w:bookmarkStart w:id="11" w:name="supprimer_analyse"/>
      <w:r w:rsidRPr="00B51F99">
        <w:rPr>
          <w:b/>
          <w:bCs/>
          <w:u w:val="single"/>
        </w:rPr>
        <w:t>L</w:t>
      </w:r>
      <w:r>
        <w:rPr>
          <w:b/>
          <w:bCs/>
          <w:u w:val="single"/>
        </w:rPr>
        <w:t>’ANALYSE</w:t>
      </w:r>
    </w:p>
    <w:p w14:paraId="49460133" w14:textId="77777777" w:rsidR="00D64B34" w:rsidRPr="00D64B34" w:rsidRDefault="00D64B34" w:rsidP="00F47F9B">
      <w:pPr>
        <w:pStyle w:val="Titre3"/>
      </w:pPr>
      <w:r w:rsidRPr="00D64B34">
        <w:t>Existe-t-il un événement imprévu et soudain qui survient au travailleur par le fait ou à l’occasion de son travail?</w:t>
      </w:r>
    </w:p>
    <w:bookmarkEnd w:id="11"/>
    <w:p w14:paraId="03512F32" w14:textId="77777777" w:rsidR="002466D2" w:rsidRPr="002466D2" w:rsidRDefault="002466D2" w:rsidP="00F47F9B">
      <w:pPr>
        <w:pStyle w:val="corpsdedcision"/>
        <w:keepNext/>
        <w:tabs>
          <w:tab w:val="clear" w:pos="360"/>
        </w:tabs>
      </w:pPr>
      <w:r w:rsidRPr="002466D2">
        <w:t xml:space="preserve">En matière de lésion de nature psychologique, la jurisprudence s’accorde pour affirmer qu’il ne s’agit pas d’un diagnostic s’apparentant à une blessure. En l’absence d’une blessure, la présomption prévue à l’article 28 de la </w:t>
      </w:r>
      <w:r w:rsidRPr="002466D2">
        <w:rPr>
          <w:i/>
          <w:iCs/>
        </w:rPr>
        <w:t>Loi sur les accidents du travail et les maladies professionnelles</w:t>
      </w:r>
      <w:r w:rsidRPr="002466D2">
        <w:rPr>
          <w:vertAlign w:val="superscript"/>
        </w:rPr>
        <w:footnoteReference w:id="2"/>
      </w:r>
      <w:r w:rsidRPr="002466D2">
        <w:rPr>
          <w:iCs/>
        </w:rPr>
        <w:t>,</w:t>
      </w:r>
      <w:r w:rsidRPr="002466D2">
        <w:rPr>
          <w:i/>
          <w:iCs/>
        </w:rPr>
        <w:t xml:space="preserve"> </w:t>
      </w:r>
      <w:r w:rsidRPr="002466D2">
        <w:rPr>
          <w:iCs/>
        </w:rPr>
        <w:t>la Loi,</w:t>
      </w:r>
      <w:r w:rsidRPr="002466D2">
        <w:t xml:space="preserve"> est inapplicable</w:t>
      </w:r>
      <w:r w:rsidRPr="002466D2">
        <w:rPr>
          <w:vertAlign w:val="superscript"/>
        </w:rPr>
        <w:footnoteReference w:id="3"/>
      </w:r>
      <w:r w:rsidRPr="002466D2">
        <w:t>.</w:t>
      </w:r>
    </w:p>
    <w:p w14:paraId="5C8C3EB8" w14:textId="77777777" w:rsidR="002466D2" w:rsidRPr="002466D2" w:rsidRDefault="002466D2" w:rsidP="00452DE2">
      <w:pPr>
        <w:pStyle w:val="corpsdedcision"/>
        <w:tabs>
          <w:tab w:val="clear" w:pos="360"/>
        </w:tabs>
      </w:pPr>
      <w:r w:rsidRPr="002466D2">
        <w:t>C’est donc vers l’article 2 de la Loi qu’il faut se tourner, lequel définit ce qui constitue un accident du travail, soit :</w:t>
      </w:r>
    </w:p>
    <w:p w14:paraId="0B4F0379" w14:textId="77777777" w:rsidR="002466D2" w:rsidRPr="002466D2" w:rsidRDefault="002466D2" w:rsidP="00F47F9B">
      <w:pPr>
        <w:pStyle w:val="corpsdedcision"/>
        <w:numPr>
          <w:ilvl w:val="0"/>
          <w:numId w:val="14"/>
        </w:numPr>
        <w:spacing w:after="240"/>
        <w:ind w:left="714" w:hanging="357"/>
      </w:pPr>
      <w:r w:rsidRPr="002466D2">
        <w:t>un événement imprévu et soudain attribuable à toute cause;</w:t>
      </w:r>
    </w:p>
    <w:p w14:paraId="7144EF47" w14:textId="77777777" w:rsidR="002466D2" w:rsidRPr="002466D2" w:rsidRDefault="002466D2" w:rsidP="00F47F9B">
      <w:pPr>
        <w:pStyle w:val="corpsdedcision"/>
        <w:numPr>
          <w:ilvl w:val="0"/>
          <w:numId w:val="14"/>
        </w:numPr>
        <w:spacing w:after="240"/>
        <w:ind w:left="714" w:hanging="357"/>
      </w:pPr>
      <w:r w:rsidRPr="002466D2">
        <w:t>qui survient à une personne par le fait ou à l’occasion du travail;</w:t>
      </w:r>
    </w:p>
    <w:p w14:paraId="7C9C6B14" w14:textId="4601B042" w:rsidR="002466D2" w:rsidRPr="002466D2" w:rsidRDefault="002466D2" w:rsidP="002466D2">
      <w:pPr>
        <w:pStyle w:val="corpsdedcision"/>
        <w:numPr>
          <w:ilvl w:val="0"/>
          <w:numId w:val="14"/>
        </w:numPr>
      </w:pPr>
      <w:r w:rsidRPr="002466D2">
        <w:t xml:space="preserve">qui </w:t>
      </w:r>
      <w:r w:rsidR="008D1FDF">
        <w:t>entra</w:t>
      </w:r>
      <w:r w:rsidR="00376007">
        <w:t>î</w:t>
      </w:r>
      <w:r w:rsidR="008D1FDF">
        <w:t>ne</w:t>
      </w:r>
      <w:r w:rsidRPr="002466D2">
        <w:t xml:space="preserve"> pour elle une lésion professionnelle.</w:t>
      </w:r>
    </w:p>
    <w:p w14:paraId="17C4DAE0" w14:textId="77777777" w:rsidR="002466D2" w:rsidRDefault="002466D2" w:rsidP="002466D2">
      <w:pPr>
        <w:pStyle w:val="corpsdedcision"/>
      </w:pPr>
      <w:r w:rsidRPr="002466D2">
        <w:t xml:space="preserve">Le caractère imprévisible et soudain d’un événement peut cependant être difficile à cerner lorsqu’il s’agit d’une lésion de nature psychique. En effet, ce type de lésion ne résulte souvent pas d’un événement unique bien défini. La situation à l’origine d’une lésion psychologique est généralement beaucoup plus subtile qu’une lésion de nature physique. Dans l’affaire </w:t>
      </w:r>
      <w:r w:rsidRPr="002466D2">
        <w:rPr>
          <w:i/>
        </w:rPr>
        <w:t xml:space="preserve">Larivée </w:t>
      </w:r>
      <w:r w:rsidRPr="002466D2">
        <w:t>et</w:t>
      </w:r>
      <w:r w:rsidRPr="002466D2">
        <w:rPr>
          <w:i/>
        </w:rPr>
        <w:t xml:space="preserve"> Maison Dalauze inc.</w:t>
      </w:r>
      <w:r w:rsidRPr="002466D2">
        <w:rPr>
          <w:vertAlign w:val="superscript"/>
        </w:rPr>
        <w:footnoteReference w:id="4"/>
      </w:r>
      <w:r w:rsidRPr="002466D2">
        <w:t>, la Commission d’appel en matière de lésions professionnelles énonce ce qui peut correspondre à un événement imprévu et soudain en matière de lésion psychologique :</w:t>
      </w:r>
    </w:p>
    <w:p w14:paraId="1B5C7244" w14:textId="187E1D31" w:rsidR="00C411DD" w:rsidRDefault="00C411DD" w:rsidP="00C411DD">
      <w:pPr>
        <w:pStyle w:val="citation"/>
      </w:pPr>
      <w:r w:rsidRPr="00361A0C">
        <w:t>Plusieurs décisions de la Commission d’appel reconnaissent que certains événements survenus par le fait ou à l’occasion du travail et qui, considérés isolément, paraissent bénins et banals peuvent toutefois, par leur juxtaposition, leur superposition ou leur conjonction, devenir significatifs lorsqu’ils sont considérés dans leur ensemble et ainsi présenter le caractère d’imprévisibilité et de soudaineté requis par la loi.</w:t>
      </w:r>
    </w:p>
    <w:p w14:paraId="265F584E" w14:textId="77777777" w:rsidR="00001756" w:rsidRDefault="00001756" w:rsidP="00C411DD">
      <w:pPr>
        <w:pStyle w:val="citation"/>
      </w:pPr>
    </w:p>
    <w:p w14:paraId="52C41E19" w14:textId="77777777" w:rsidR="00001756" w:rsidRDefault="00001756" w:rsidP="00C411DD">
      <w:pPr>
        <w:pStyle w:val="citation"/>
      </w:pPr>
    </w:p>
    <w:p w14:paraId="4DB9E4F9" w14:textId="79502DA4" w:rsidR="002466D2" w:rsidRPr="002466D2" w:rsidRDefault="002466D2" w:rsidP="002466D2">
      <w:pPr>
        <w:pStyle w:val="corpsdedcision"/>
      </w:pPr>
      <w:r w:rsidRPr="002466D2">
        <w:t xml:space="preserve">Par ailleurs, quant au caractère imprévu et soudain d’un événement, </w:t>
      </w:r>
      <w:r w:rsidR="00C411DD">
        <w:t xml:space="preserve">certaines décisions récentes procèdent </w:t>
      </w:r>
      <w:r w:rsidRPr="002466D2">
        <w:t>à un remodelage de nature plutôt sémantique du cadre d’analyse. Alors qu’auparavant, la jurisprudence</w:t>
      </w:r>
      <w:r w:rsidRPr="002466D2">
        <w:rPr>
          <w:vertAlign w:val="superscript"/>
        </w:rPr>
        <w:footnoteReference w:id="5"/>
      </w:r>
      <w:r w:rsidRPr="002466D2">
        <w:t xml:space="preserve"> recherchait l’existence d’un événement « objectivement traumatisant », certaines décisions</w:t>
      </w:r>
      <w:r w:rsidRPr="002466D2">
        <w:rPr>
          <w:vertAlign w:val="superscript"/>
        </w:rPr>
        <w:footnoteReference w:id="6"/>
      </w:r>
      <w:r w:rsidRPr="002466D2">
        <w:t xml:space="preserve"> parlent </w:t>
      </w:r>
      <w:r w:rsidR="003B7D03">
        <w:t>maintenant</w:t>
      </w:r>
      <w:r w:rsidRPr="002466D2">
        <w:t xml:space="preserve"> d’un événement qui « sort du cadre normal et habituel de travail » ou encore d’un événement « singulier, anormal ou inhabituel ».</w:t>
      </w:r>
    </w:p>
    <w:p w14:paraId="6F92099C" w14:textId="0584E090" w:rsidR="002466D2" w:rsidRPr="002466D2" w:rsidRDefault="002466D2" w:rsidP="002466D2">
      <w:pPr>
        <w:pStyle w:val="corpsdedcision"/>
      </w:pPr>
      <w:r w:rsidRPr="002466D2">
        <w:t>À l’instar d’autres décideurs</w:t>
      </w:r>
      <w:r w:rsidRPr="002466D2">
        <w:rPr>
          <w:vertAlign w:val="superscript"/>
        </w:rPr>
        <w:footnoteReference w:id="7"/>
      </w:r>
      <w:r w:rsidRPr="002466D2">
        <w:t xml:space="preserve">, la soussignée estime que cette reformulation des critères n’a pas de véritable </w:t>
      </w:r>
      <w:r w:rsidR="00C411DD">
        <w:t>incidence</w:t>
      </w:r>
      <w:r w:rsidRPr="002466D2">
        <w:t xml:space="preserve"> sur le cadre d’analyse à effectuer. En effet, le caractère objectif de l’événement n’est pas écarté de l’équation. L’idée de rechercher un événement qui sort du cadre normal du travail et qui n’est pas le résultat de la seule perception subjective d’un travailleur demeure les caractéristiques recherchées afin de conclure à l’existence d’un événement imprévu et soudain.</w:t>
      </w:r>
    </w:p>
    <w:p w14:paraId="2D5CC193" w14:textId="659A2C03" w:rsidR="00224E84" w:rsidRPr="002466D2" w:rsidRDefault="002466D2" w:rsidP="00224E84">
      <w:pPr>
        <w:pStyle w:val="corpsdedcision"/>
      </w:pPr>
      <w:r w:rsidRPr="002466D2">
        <w:t xml:space="preserve">Finalement, </w:t>
      </w:r>
      <w:r w:rsidR="008D1FDF">
        <w:t xml:space="preserve">comme </w:t>
      </w:r>
      <w:r w:rsidR="00224E84">
        <w:t>énoncé dans une décision précédente</w:t>
      </w:r>
      <w:r w:rsidR="00224E84">
        <w:rPr>
          <w:rStyle w:val="Appelnotedebasdep"/>
        </w:rPr>
        <w:footnoteReference w:id="8"/>
      </w:r>
      <w:r w:rsidR="00224E84">
        <w:t xml:space="preserve">, la soussignée n’adhère pas au cadre d’analyse proposé </w:t>
      </w:r>
      <w:r w:rsidRPr="002466D2">
        <w:t xml:space="preserve">dans l’affaire </w:t>
      </w:r>
      <w:r w:rsidRPr="002466D2">
        <w:rPr>
          <w:i/>
        </w:rPr>
        <w:t>Patenaude</w:t>
      </w:r>
      <w:r w:rsidRPr="002466D2">
        <w:t xml:space="preserve"> et </w:t>
      </w:r>
      <w:r w:rsidRPr="002466D2">
        <w:rPr>
          <w:i/>
        </w:rPr>
        <w:t>Centre de services scolaire des Hautes</w:t>
      </w:r>
      <w:r w:rsidRPr="002466D2">
        <w:rPr>
          <w:i/>
        </w:rPr>
        <w:noBreakHyphen/>
        <w:t>Rivières</w:t>
      </w:r>
      <w:r w:rsidRPr="002466D2">
        <w:rPr>
          <w:vertAlign w:val="superscript"/>
        </w:rPr>
        <w:footnoteReference w:id="9"/>
      </w:r>
      <w:r w:rsidR="00224E84">
        <w:rPr>
          <w:i/>
        </w:rPr>
        <w:t xml:space="preserve"> </w:t>
      </w:r>
      <w:r w:rsidR="00224E84">
        <w:rPr>
          <w:iCs/>
        </w:rPr>
        <w:t>qui suggère une approche qui se dissocie</w:t>
      </w:r>
      <w:r w:rsidR="00C411DD">
        <w:rPr>
          <w:iCs/>
        </w:rPr>
        <w:t xml:space="preserve"> considérablement</w:t>
      </w:r>
      <w:r w:rsidR="00224E84">
        <w:rPr>
          <w:iCs/>
        </w:rPr>
        <w:t xml:space="preserve"> d’une jurisprudence pourtant bien établie.</w:t>
      </w:r>
    </w:p>
    <w:p w14:paraId="3BD1A18F" w14:textId="3D89D227" w:rsidR="002466D2" w:rsidRDefault="00F32AA1" w:rsidP="004C2944">
      <w:pPr>
        <w:pStyle w:val="corpsdedcision"/>
      </w:pPr>
      <w:r>
        <w:t>Le 6 janvier 2021, le travailleur commence sa journée de travail vers 11</w:t>
      </w:r>
      <w:r w:rsidR="00563E5C">
        <w:t> </w:t>
      </w:r>
      <w:r>
        <w:t xml:space="preserve">h. Il occupe la fonction de chef de train </w:t>
      </w:r>
      <w:r w:rsidR="00134794">
        <w:t xml:space="preserve">et se trouve </w:t>
      </w:r>
      <w:r>
        <w:t>à bord d</w:t>
      </w:r>
      <w:r w:rsidR="00134794">
        <w:t>’une</w:t>
      </w:r>
      <w:r>
        <w:t xml:space="preserve"> locomotive</w:t>
      </w:r>
      <w:r w:rsidR="00401491">
        <w:t xml:space="preserve"> qui part de la Ville de S</w:t>
      </w:r>
      <w:r w:rsidR="008D1FDF">
        <w:t>ain</w:t>
      </w:r>
      <w:r w:rsidR="00401491">
        <w:t xml:space="preserve">t-Lambert pour se rendre </w:t>
      </w:r>
      <w:r w:rsidR="00D13A91">
        <w:t>dans</w:t>
      </w:r>
      <w:r w:rsidR="008D1FDF">
        <w:t xml:space="preserve"> </w:t>
      </w:r>
      <w:r w:rsidR="00563E5C">
        <w:t>l’arrondissement</w:t>
      </w:r>
      <w:r w:rsidR="00401491">
        <w:t xml:space="preserve"> </w:t>
      </w:r>
      <w:r w:rsidR="008D1FDF">
        <w:t>Sain</w:t>
      </w:r>
      <w:r w:rsidR="00401491">
        <w:t>t-Laurent. En sortant du pont Victoria, le train qui roule à environ 15 miles à l’heure traverse la gare de triage de Pointe-S</w:t>
      </w:r>
      <w:r w:rsidR="00563E5C">
        <w:t>ain</w:t>
      </w:r>
      <w:r w:rsidR="00401491">
        <w:t>t-Charles.</w:t>
      </w:r>
    </w:p>
    <w:p w14:paraId="7A27699C" w14:textId="71A2FC3E" w:rsidR="008035BD" w:rsidRDefault="008035BD" w:rsidP="004C2944">
      <w:pPr>
        <w:pStyle w:val="corpsdedcision"/>
      </w:pPr>
      <w:r>
        <w:t xml:space="preserve">Les occupants de la locomotive aperçoivent </w:t>
      </w:r>
      <w:r w:rsidR="00134794">
        <w:t xml:space="preserve">alors </w:t>
      </w:r>
      <w:r>
        <w:t xml:space="preserve">des véhicules d’urgence </w:t>
      </w:r>
      <w:r w:rsidR="00E65FA9">
        <w:t>ainsi que</w:t>
      </w:r>
      <w:r w:rsidR="00DC70E4">
        <w:t xml:space="preserve"> des banderoles jaunes </w:t>
      </w:r>
      <w:r w:rsidR="00E65FA9">
        <w:t>délimitant un périmètre sur leur</w:t>
      </w:r>
      <w:r>
        <w:t xml:space="preserve"> droite</w:t>
      </w:r>
      <w:r w:rsidR="00E65FA9">
        <w:t>. I</w:t>
      </w:r>
      <w:r>
        <w:t>ls se déplace</w:t>
      </w:r>
      <w:r w:rsidR="00E65FA9">
        <w:t>nt</w:t>
      </w:r>
      <w:r>
        <w:t xml:space="preserve"> pr</w:t>
      </w:r>
      <w:r w:rsidR="005F24D0">
        <w:t>ès</w:t>
      </w:r>
      <w:r>
        <w:t xml:space="preserve"> des fenêtres </w:t>
      </w:r>
      <w:r w:rsidR="00E65FA9">
        <w:t xml:space="preserve">de droite </w:t>
      </w:r>
      <w:r>
        <w:t>afin de voir ce qui se passe. Le travailleur décrit distinguer une scène à environ 500 pieds de la locomotive dans laquelle il prend place.</w:t>
      </w:r>
      <w:r w:rsidR="00DC70E4">
        <w:t xml:space="preserve"> Il est trop loin pour voir de quoi il s’agit, mais selon lui</w:t>
      </w:r>
      <w:r w:rsidR="00563E5C">
        <w:t>,</w:t>
      </w:r>
      <w:r w:rsidR="00DC70E4">
        <w:t xml:space="preserve"> ce genre de tableau n’est jamais bon signe. Le train traverse ainsi la gare de triage et poursuit sa route sans que les occupants ne découvrent la nature de l’incident survenu.</w:t>
      </w:r>
    </w:p>
    <w:p w14:paraId="672E2880" w14:textId="098DBBFF" w:rsidR="00DC70E4" w:rsidRDefault="00DC70E4" w:rsidP="004C2944">
      <w:pPr>
        <w:pStyle w:val="corpsdedcision"/>
      </w:pPr>
      <w:r>
        <w:t>Arrivé à destination, le superviseur du travailleur l’informe qu’un chef de train qu’il conna</w:t>
      </w:r>
      <w:r w:rsidR="00563E5C">
        <w:t>î</w:t>
      </w:r>
      <w:r>
        <w:t>t est décédé dans l’exercice de ses fonctions à la gare de triage</w:t>
      </w:r>
      <w:r w:rsidR="00E65FA9">
        <w:t xml:space="preserve"> de Pointe-S</w:t>
      </w:r>
      <w:r w:rsidR="00563E5C">
        <w:t>ain</w:t>
      </w:r>
      <w:r w:rsidR="00E65FA9">
        <w:t>t-Charles</w:t>
      </w:r>
      <w:r>
        <w:t xml:space="preserve">. Le travailleur demande à son superviseur si ses collègues et lui-même sont autorisés à terminer leur journée sur le champ étant ébranlés par la nouvelle. Le superviseur leur appelle un taxi qui les reconduit à </w:t>
      </w:r>
      <w:r w:rsidR="00563E5C">
        <w:t xml:space="preserve">la Ville de </w:t>
      </w:r>
      <w:r>
        <w:t>S</w:t>
      </w:r>
      <w:r w:rsidR="008D1FDF">
        <w:t>ain</w:t>
      </w:r>
      <w:r>
        <w:t>t-Lambert où ils sont pris en charge par le Programme d’aide aux employés et les représentants syndicaux.</w:t>
      </w:r>
    </w:p>
    <w:p w14:paraId="74D48DF7" w14:textId="55B740E3" w:rsidR="008B7B99" w:rsidRDefault="00637A2A" w:rsidP="00370022">
      <w:pPr>
        <w:pStyle w:val="corpsdedcision"/>
      </w:pPr>
      <w:r>
        <w:t xml:space="preserve">Le travailleur est informé </w:t>
      </w:r>
      <w:r w:rsidR="00E65FA9">
        <w:t>qu’il a</w:t>
      </w:r>
      <w:r>
        <w:t xml:space="preserve"> droit à trois jours de congé et il </w:t>
      </w:r>
      <w:r w:rsidR="005F24D0">
        <w:t>souhaite</w:t>
      </w:r>
      <w:r>
        <w:t xml:space="preserve"> </w:t>
      </w:r>
      <w:r w:rsidR="005F24D0">
        <w:t>en bénéficier</w:t>
      </w:r>
      <w:r>
        <w:t xml:space="preserve">. </w:t>
      </w:r>
      <w:r w:rsidR="008B7B99">
        <w:t xml:space="preserve">Le lendemain, il appelle le psychologue qui l’a traité pour </w:t>
      </w:r>
      <w:r w:rsidR="005F24D0">
        <w:t>une condition antérieure</w:t>
      </w:r>
      <w:r w:rsidR="008B7B99">
        <w:t xml:space="preserve"> </w:t>
      </w:r>
      <w:r w:rsidR="005F24D0">
        <w:t>d’</w:t>
      </w:r>
      <w:r w:rsidR="008B7B99">
        <w:t>anxiété</w:t>
      </w:r>
      <w:r w:rsidR="00E65FA9">
        <w:t xml:space="preserve"> et i</w:t>
      </w:r>
      <w:r w:rsidR="008B7B99">
        <w:t xml:space="preserve">l obtient un rendez-vous </w:t>
      </w:r>
      <w:r w:rsidR="00E65FA9">
        <w:t xml:space="preserve">avec lui </w:t>
      </w:r>
      <w:r w:rsidR="008B7B99">
        <w:t xml:space="preserve">le lundi 11 janvier 2021. L’accident survient un mercredi et sa semaine de travail </w:t>
      </w:r>
      <w:r w:rsidR="00E65FA9">
        <w:t>se déroule</w:t>
      </w:r>
      <w:r w:rsidR="008B7B99">
        <w:t xml:space="preserve"> du mercredi au dimanche. Il prend donc deux jours de congé additionnels en attendant sa consultation</w:t>
      </w:r>
      <w:r w:rsidR="00E65FA9">
        <w:t xml:space="preserve"> avec le psychologue</w:t>
      </w:r>
      <w:r w:rsidR="005F24D0">
        <w:t>. Cette visite l’apaise un peu</w:t>
      </w:r>
      <w:r w:rsidR="008B7B99">
        <w:t>.</w:t>
      </w:r>
    </w:p>
    <w:p w14:paraId="0AE2169C" w14:textId="2A2C0860" w:rsidR="00000823" w:rsidRDefault="00000823" w:rsidP="00370022">
      <w:pPr>
        <w:pStyle w:val="corpsdedcision"/>
      </w:pPr>
      <w:r>
        <w:t xml:space="preserve">Le travailleur convient qu’il connaissait peu le chef de train décédé. Cela faisait longtemps qu’il n’avait pas travaillé avec lui. Il relate lui avoir donné de la formation lorsque le défunt </w:t>
      </w:r>
      <w:r w:rsidR="00563E5C">
        <w:t xml:space="preserve">a été </w:t>
      </w:r>
      <w:r>
        <w:t>embauché vers 2015. Il l’a aussi accompagné à titre de témoin pour une enquête réalisée par l’employeur. Il le croisait à l’occasion, mais il déclare que cela faisait peut-être un an ou deux qu’il ne l’avait pas vu</w:t>
      </w:r>
      <w:r w:rsidR="005F24D0">
        <w:t xml:space="preserve"> au moment de l’accident</w:t>
      </w:r>
      <w:r>
        <w:t>.</w:t>
      </w:r>
    </w:p>
    <w:p w14:paraId="5513507F" w14:textId="302323C0" w:rsidR="00337811" w:rsidRDefault="00314FF0" w:rsidP="00370022">
      <w:pPr>
        <w:pStyle w:val="corpsdedcision"/>
      </w:pPr>
      <w:r>
        <w:t xml:space="preserve">Le mardi 12 janvier 2021, le travailleur reprend son poste de chef de train. Le mécanicien </w:t>
      </w:r>
      <w:r w:rsidR="00312250">
        <w:t>à bord de la</w:t>
      </w:r>
      <w:r>
        <w:t xml:space="preserve"> locomotive cette </w:t>
      </w:r>
      <w:r w:rsidR="00E65FA9">
        <w:t>journée-là</w:t>
      </w:r>
      <w:r>
        <w:t xml:space="preserve"> a participé </w:t>
      </w:r>
      <w:r w:rsidR="00312250">
        <w:t xml:space="preserve">avec l’employeur </w:t>
      </w:r>
      <w:r>
        <w:t xml:space="preserve">à l’enquête de reconstitution </w:t>
      </w:r>
      <w:r w:rsidR="00337811">
        <w:t xml:space="preserve">de l’accident survenu le 6 janvier 2021. </w:t>
      </w:r>
      <w:r w:rsidR="00E65FA9">
        <w:t xml:space="preserve">Dans une discussion avec le travailleur, il lui </w:t>
      </w:r>
      <w:r w:rsidR="00337811">
        <w:t>expose les circonstances de l’événement</w:t>
      </w:r>
      <w:r w:rsidR="00E65FA9">
        <w:t xml:space="preserve"> dont il a pris connaissance durant l’enquête.</w:t>
      </w:r>
    </w:p>
    <w:p w14:paraId="01A73D0A" w14:textId="0BB66924" w:rsidR="00E67BA4" w:rsidRDefault="00337811" w:rsidP="00370022">
      <w:pPr>
        <w:pStyle w:val="corpsdedcision"/>
      </w:pPr>
      <w:r>
        <w:t>Un chef de train doit parfois aller faire des manœuvres sur les wagons après quoi</w:t>
      </w:r>
      <w:r w:rsidR="00E65FA9">
        <w:t>,</w:t>
      </w:r>
      <w:r>
        <w:t xml:space="preserve"> il monte sur l’échelle du wagon de queue et s’y accroche pendant que le train se déplace à basse vitesse.</w:t>
      </w:r>
      <w:r w:rsidR="00E65FA9">
        <w:t xml:space="preserve"> Il redescend ensuite compléter ses manœuvres.</w:t>
      </w:r>
      <w:r>
        <w:t xml:space="preserve"> Selon le récit de l’accident </w:t>
      </w:r>
      <w:r w:rsidR="00E65FA9">
        <w:t>que le mécanicien expose au</w:t>
      </w:r>
      <w:r>
        <w:t xml:space="preserve"> travailleur, le chef de train décédé faisait ce</w:t>
      </w:r>
      <w:r w:rsidR="00E65FA9">
        <w:t xml:space="preserve"> type de</w:t>
      </w:r>
      <w:r>
        <w:t xml:space="preserve"> manœuvre</w:t>
      </w:r>
      <w:r w:rsidR="00E65FA9">
        <w:t>s</w:t>
      </w:r>
      <w:r>
        <w:t xml:space="preserve"> lorsqu’il chute sur les rails et son corps aurait été coupé en deux</w:t>
      </w:r>
      <w:r w:rsidR="009C1412">
        <w:t xml:space="preserve"> par le train en mouvement</w:t>
      </w:r>
      <w:r>
        <w:t xml:space="preserve">. L’exactitude de ce récit </w:t>
      </w:r>
      <w:r w:rsidR="009C1412">
        <w:t>quant à l’état du corp</w:t>
      </w:r>
      <w:r w:rsidR="006C506C">
        <w:t>s</w:t>
      </w:r>
      <w:r w:rsidR="009C1412">
        <w:t xml:space="preserve"> de la victime </w:t>
      </w:r>
      <w:r>
        <w:t xml:space="preserve">est </w:t>
      </w:r>
      <w:r w:rsidR="00E67BA4">
        <w:t>démentie</w:t>
      </w:r>
      <w:r>
        <w:t xml:space="preserve"> par un témoin de l’employeur, mais le travailleur </w:t>
      </w:r>
      <w:r w:rsidR="00E67BA4">
        <w:t>rapporte tout de même qu’il s’agit de la description qu’il a entendu</w:t>
      </w:r>
      <w:r w:rsidR="00563E5C">
        <w:t>e,</w:t>
      </w:r>
      <w:r w:rsidR="00E67BA4">
        <w:t xml:space="preserve"> qu’elle soit véridique ou non.</w:t>
      </w:r>
    </w:p>
    <w:p w14:paraId="4B13123B" w14:textId="50E7F2EF" w:rsidR="008B7B99" w:rsidRDefault="00E67BA4" w:rsidP="00370022">
      <w:pPr>
        <w:pStyle w:val="corpsdedcision"/>
      </w:pPr>
      <w:r>
        <w:t xml:space="preserve">Lorsque le travailleur entend ces détails de l’accident, il demande </w:t>
      </w:r>
      <w:r w:rsidR="006C506C">
        <w:t xml:space="preserve">au mécanicien </w:t>
      </w:r>
      <w:r>
        <w:t>d’arrêter son récit, car il ne veut pas en entendre davantage.</w:t>
      </w:r>
      <w:r w:rsidR="00E51815">
        <w:t xml:space="preserve"> </w:t>
      </w:r>
      <w:r w:rsidR="00312250">
        <w:t xml:space="preserve">Il dit être fortement ébranlé. </w:t>
      </w:r>
      <w:r w:rsidR="00E51815">
        <w:t xml:space="preserve">Par la suite, le travailleur doit se rendre à l’arrière du train afin d’y effectuer une manœuvre et s’accrocher sur l’échelle du dernier wagon. Lorsque vient le moment d’informer le mécanicien à la radio qu’il peut </w:t>
      </w:r>
      <w:r w:rsidR="008D1FDF">
        <w:t>déplacer</w:t>
      </w:r>
      <w:r w:rsidR="00E51815">
        <w:t xml:space="preserve"> le train, il est incapable de donner l’ordre. Il s’imagine</w:t>
      </w:r>
      <w:r w:rsidR="006C506C">
        <w:t xml:space="preserve"> </w:t>
      </w:r>
      <w:r w:rsidR="00E51815">
        <w:t xml:space="preserve">la scène de l’accident dans sa tête et </w:t>
      </w:r>
      <w:r w:rsidR="006C506C">
        <w:t>i</w:t>
      </w:r>
      <w:r w:rsidR="00E51815">
        <w:t xml:space="preserve">l se met à avoir peur. Il descend, il marche la distance où doit se rendre le train et alors seulement, il donne la directive de </w:t>
      </w:r>
      <w:r w:rsidR="008D1FDF">
        <w:t>déplacer</w:t>
      </w:r>
      <w:r w:rsidR="00E51815">
        <w:t xml:space="preserve"> le train</w:t>
      </w:r>
      <w:r w:rsidR="00312250">
        <w:t xml:space="preserve"> alors que lui-même est en sécurité au sol</w:t>
      </w:r>
      <w:r w:rsidR="00E51815">
        <w:t>.</w:t>
      </w:r>
    </w:p>
    <w:p w14:paraId="3E1DBD9C" w14:textId="6EA874AB" w:rsidR="00E51815" w:rsidRDefault="00E51815" w:rsidP="00370022">
      <w:pPr>
        <w:pStyle w:val="corpsdedcision"/>
      </w:pPr>
      <w:r>
        <w:t xml:space="preserve">Ensuite, le travailleur retourne dans la locomotive et informe ses collègues qu’il se sent incapable de faire </w:t>
      </w:r>
      <w:r w:rsidR="006C506C">
        <w:t>d’autres</w:t>
      </w:r>
      <w:r>
        <w:t xml:space="preserve"> manœuvres et s’agripper à l’échelle. Un collègue propose de le faire à sa place et ils terminent ainsi la journée de travail. Le lendemain, il avise l’employeur de son absence et fait des démarches afin de consulter un médecin</w:t>
      </w:r>
      <w:r w:rsidR="00822FAE">
        <w:t>,</w:t>
      </w:r>
      <w:r w:rsidR="006C506C">
        <w:t xml:space="preserve"> qu’il voit</w:t>
      </w:r>
      <w:r>
        <w:t xml:space="preserve"> le 15 janvier 2021</w:t>
      </w:r>
      <w:r w:rsidR="00312250">
        <w:t xml:space="preserve"> et qui pose le diagnostic de stress post-traumatique</w:t>
      </w:r>
      <w:r>
        <w:t>.</w:t>
      </w:r>
    </w:p>
    <w:p w14:paraId="7591FFE4" w14:textId="33D52908" w:rsidR="00E51815" w:rsidRDefault="00C01E10" w:rsidP="00370022">
      <w:pPr>
        <w:pStyle w:val="corpsdedcision"/>
      </w:pPr>
      <w:r>
        <w:t>La question ici</w:t>
      </w:r>
      <w:r w:rsidR="006D35AD">
        <w:t xml:space="preserve"> est</w:t>
      </w:r>
      <w:r>
        <w:t xml:space="preserve"> de déterminer si l’incident du 6 janvier 2021 correspond à un événement imprévu et soudain au sens de la Loi.</w:t>
      </w:r>
      <w:r w:rsidR="006D35AD">
        <w:t xml:space="preserve"> L’employeur plaide que le travailleur n’est pas témoin de l’accident et qu’il ne survient pas à l’occasion de son travail de chef du train qui part de </w:t>
      </w:r>
      <w:r w:rsidR="00822FAE">
        <w:t xml:space="preserve">la Ville de </w:t>
      </w:r>
      <w:r w:rsidR="006D35AD">
        <w:t>S</w:t>
      </w:r>
      <w:r w:rsidR="008D1FDF">
        <w:t>ain</w:t>
      </w:r>
      <w:r w:rsidR="006D35AD">
        <w:t xml:space="preserve">t-Lambert pour se rendre à </w:t>
      </w:r>
      <w:r w:rsidR="008D1FDF">
        <w:t>Sain</w:t>
      </w:r>
      <w:r w:rsidR="006D35AD">
        <w:t xml:space="preserve">t-Laurent. Tout ce dont le travailleur est témoin est l’existence d’une scène d’urgence alors qu’il ignore de quoi il s’agit. Qui plus est, lorsqu’il observe cette scène, il est dans sa sphère personnelle, puisqu’il regarde par curiosité </w:t>
      </w:r>
      <w:r w:rsidR="00911BCA">
        <w:t xml:space="preserve">ce qui se passe à droite du train </w:t>
      </w:r>
      <w:r w:rsidR="006D35AD">
        <w:t>sans que ceci ne soit utile à son travail.</w:t>
      </w:r>
    </w:p>
    <w:p w14:paraId="238D0C2F" w14:textId="0D6F5F5C" w:rsidR="003B7D03" w:rsidRDefault="003B7D03" w:rsidP="00370022">
      <w:pPr>
        <w:pStyle w:val="corpsdedcision"/>
      </w:pPr>
      <w:r>
        <w:t>Le Tribunal ne partage pas la position de l’employeur et estime qu’il s’agit d’un événement imprévu et soudain. D’une part, un accident au cours duquel un travailleur perd la vie dans le cadre de ses fonctions est en soi un événement qui sort du cadre normal et habituel du travail. Qui plus est, objectivement parlant, il y a lieu de co</w:t>
      </w:r>
      <w:r w:rsidR="00560697">
        <w:t>nvenir</w:t>
      </w:r>
      <w:r>
        <w:t xml:space="preserve"> que toute personne </w:t>
      </w:r>
      <w:r w:rsidR="00A756F1">
        <w:t xml:space="preserve">raisonnable </w:t>
      </w:r>
      <w:r>
        <w:t xml:space="preserve">en viendrait à cette conclusion. </w:t>
      </w:r>
    </w:p>
    <w:p w14:paraId="26943DAF" w14:textId="50DF23FB" w:rsidR="003B7D03" w:rsidRDefault="003B7D03" w:rsidP="00370022">
      <w:pPr>
        <w:pStyle w:val="corpsdedcision"/>
      </w:pPr>
      <w:r>
        <w:t>Maintenant, doit-on considérer que comme le travailleur n’est pas un témoin direct de l’événement</w:t>
      </w:r>
      <w:r w:rsidR="008D1FDF">
        <w:t>,</w:t>
      </w:r>
      <w:r>
        <w:t xml:space="preserve"> ceci ferait en sorte</w:t>
      </w:r>
      <w:r w:rsidR="008D1FDF">
        <w:t xml:space="preserve"> que</w:t>
      </w:r>
      <w:r>
        <w:t xml:space="preserve"> </w:t>
      </w:r>
      <w:r w:rsidR="00560697">
        <w:t>l’accident</w:t>
      </w:r>
      <w:r>
        <w:t xml:space="preserve"> ne revêt pas un caractère imprévu et soudain à son égard</w:t>
      </w:r>
      <w:r w:rsidR="00560697">
        <w:t xml:space="preserve">. De même, devrait-on conclure que l’événement n’est pas </w:t>
      </w:r>
      <w:r>
        <w:t>survenu à l’occasion d</w:t>
      </w:r>
      <w:r w:rsidR="00560697">
        <w:t>u</w:t>
      </w:r>
      <w:r>
        <w:t xml:space="preserve"> travail</w:t>
      </w:r>
      <w:r w:rsidR="00560697">
        <w:t xml:space="preserve"> en ce qui concerne le travailleur</w:t>
      </w:r>
      <w:r>
        <w:t xml:space="preserve">? Le Tribunal </w:t>
      </w:r>
      <w:r w:rsidR="00560697">
        <w:t xml:space="preserve">répond par la négative à ces deux questions </w:t>
      </w:r>
      <w:r>
        <w:t>considérant les faits particuliers de ce dossier.</w:t>
      </w:r>
    </w:p>
    <w:p w14:paraId="1797DC24" w14:textId="52FC8F04" w:rsidR="003B7D03" w:rsidRDefault="003B7D03" w:rsidP="00370022">
      <w:pPr>
        <w:pStyle w:val="corpsdedcision"/>
      </w:pPr>
      <w:r>
        <w:t xml:space="preserve">En effet, </w:t>
      </w:r>
      <w:r w:rsidR="000520EF">
        <w:t>la particularité de ce dossier est le fait que le travailleur exerce exactement les mêmes fonctions que le chef de train décédé. D’ailleurs, son trouble se manifeste au moment</w:t>
      </w:r>
      <w:r w:rsidR="00D50596">
        <w:t xml:space="preserve"> précis</w:t>
      </w:r>
      <w:r w:rsidR="000520EF">
        <w:t xml:space="preserve"> où il s’apprêt</w:t>
      </w:r>
      <w:r w:rsidR="00D50596">
        <w:t>e</w:t>
      </w:r>
      <w:r w:rsidR="000520EF">
        <w:t xml:space="preserve"> à faire la man</w:t>
      </w:r>
      <w:r w:rsidR="008D1FDF">
        <w:t>œ</w:t>
      </w:r>
      <w:r w:rsidR="000520EF">
        <w:t>uvre au cours de laquelle le travailleur croit que son collègue est décédé</w:t>
      </w:r>
      <w:r w:rsidR="00560697">
        <w:t>, selon la description du mécanicien</w:t>
      </w:r>
      <w:r w:rsidR="000520EF">
        <w:t xml:space="preserve">. Il craint alors pour sa sécurité. Il trouve que son travail est dangereux. Même sans l’avoir vu, il s’imagine la scène de l’accident de son collègue et pense que cela pourrait </w:t>
      </w:r>
      <w:r w:rsidR="00560697">
        <w:t xml:space="preserve">aussi </w:t>
      </w:r>
      <w:r w:rsidR="000520EF">
        <w:t>lui arriver.</w:t>
      </w:r>
    </w:p>
    <w:p w14:paraId="282442C7" w14:textId="388A7072" w:rsidR="000520EF" w:rsidRDefault="000520EF" w:rsidP="00370022">
      <w:pPr>
        <w:pStyle w:val="corpsdedcision"/>
      </w:pPr>
      <w:r>
        <w:t xml:space="preserve">Le Tribunal estime que le présent dossier comporte beaucoup de similitudes avec la décision rendue dans l’affaire </w:t>
      </w:r>
      <w:r w:rsidRPr="000520EF">
        <w:rPr>
          <w:i/>
          <w:iCs/>
        </w:rPr>
        <w:t>Mendez</w:t>
      </w:r>
      <w:r>
        <w:rPr>
          <w:rStyle w:val="Appelnotedebasdep"/>
        </w:rPr>
        <w:footnoteReference w:id="10"/>
      </w:r>
      <w:r>
        <w:t>.</w:t>
      </w:r>
      <w:r w:rsidR="001E4EE5">
        <w:t xml:space="preserve"> Dans cette affaire, il s’agissait d’une agente correctionnelle dont une collègue est prise en otage par un détenu au passé violent dont elle a également la charge. La travailleuse n’est pas sur les lieux lors de la prise d’otage toutefois, elle en apprend les détails lors de son retour. Le Tribunal considère </w:t>
      </w:r>
      <w:r w:rsidR="00021572">
        <w:t xml:space="preserve">alors </w:t>
      </w:r>
      <w:r w:rsidR="001E4EE5">
        <w:t>que comme la gestion de ce détenu fait partie de ses fonctions, elle est une victime indirecte de l’événement qui survient également par le fait et à l’occasion de ses fonctions d’agente correctionnelle.</w:t>
      </w:r>
    </w:p>
    <w:p w14:paraId="2633FB21" w14:textId="2A95115F" w:rsidR="0042682D" w:rsidRDefault="007E4A99" w:rsidP="00370022">
      <w:pPr>
        <w:pStyle w:val="corpsdedcision"/>
      </w:pPr>
      <w:r>
        <w:t xml:space="preserve">De même, dans l’affaire </w:t>
      </w:r>
      <w:r w:rsidRPr="007E4A99">
        <w:rPr>
          <w:i/>
          <w:iCs/>
        </w:rPr>
        <w:t>Compagnie A</w:t>
      </w:r>
      <w:r>
        <w:t xml:space="preserve"> et </w:t>
      </w:r>
      <w:r w:rsidRPr="007E4A99">
        <w:rPr>
          <w:i/>
          <w:iCs/>
        </w:rPr>
        <w:t>S.B</w:t>
      </w:r>
      <w:r>
        <w:t>.</w:t>
      </w:r>
      <w:r>
        <w:rPr>
          <w:rStyle w:val="Appelnotedebasdep"/>
        </w:rPr>
        <w:footnoteReference w:id="11"/>
      </w:r>
      <w:r>
        <w:t>, il est question d’un électricien dont un autre collègue électricien se fait décapiter par un déflecteur. Le travailleur n’est pas témoin de l’événement, mais il est celui qui a installé le déflecteur à l’origine du décès de son collègue. Qui plus est, quelques années auparavant, il est témoin d’un autre accident du travail au cours duquel un collègue perd la vie et le nouveau décès ravive cette expérience. Le Tribunal conclut encore une fois qu’il s’agit d’un événement imprévu et soudain.</w:t>
      </w:r>
    </w:p>
    <w:p w14:paraId="22965ED9" w14:textId="380843EB" w:rsidR="007E4A99" w:rsidRDefault="007E4A99" w:rsidP="00370022">
      <w:pPr>
        <w:pStyle w:val="corpsdedcision"/>
      </w:pPr>
      <w:r>
        <w:t>À l’instar de ces décision</w:t>
      </w:r>
      <w:r w:rsidR="00D50596">
        <w:t>s, le Tribunal estime ici que comme le travailleur exerce le même poste que son collègue décédé, il est une victime indirecte de l’événement du 6</w:t>
      </w:r>
      <w:r w:rsidR="00822FAE">
        <w:t> </w:t>
      </w:r>
      <w:r w:rsidR="00D50596">
        <w:t xml:space="preserve">janvier 2021. De même, puisque c’est </w:t>
      </w:r>
      <w:r w:rsidR="00021572">
        <w:t xml:space="preserve">en </w:t>
      </w:r>
      <w:r w:rsidR="00D50596">
        <w:t>raison de l’emploi qu’il occupe que l’incident l’affecte de cette manière, il y a également lieu de conclure que l’événement imprévu et soudain survient par le fait et à l’occasion de son travail.</w:t>
      </w:r>
    </w:p>
    <w:p w14:paraId="4D1C8E1E" w14:textId="71EBF354" w:rsidR="00DC66A3" w:rsidRPr="00DC66A3" w:rsidRDefault="00DC66A3" w:rsidP="00F47F9B">
      <w:pPr>
        <w:pStyle w:val="Titre3"/>
      </w:pPr>
      <w:r w:rsidRPr="00DC66A3">
        <w:t>Est-ce que cet événement entra</w:t>
      </w:r>
      <w:r w:rsidR="00822FAE">
        <w:t>î</w:t>
      </w:r>
      <w:r w:rsidRPr="00DC66A3">
        <w:t>ne pour le travail</w:t>
      </w:r>
      <w:r w:rsidR="004617F7">
        <w:t>leur</w:t>
      </w:r>
      <w:r w:rsidRPr="00DC66A3">
        <w:t xml:space="preserve"> le diagnostic de stress post-traumatique</w:t>
      </w:r>
      <w:r w:rsidR="008D1FDF">
        <w:t>,</w:t>
      </w:r>
      <w:r w:rsidRPr="00DC66A3">
        <w:t xml:space="preserve"> lequel n’est pas contesté?</w:t>
      </w:r>
    </w:p>
    <w:p w14:paraId="7CB52A16" w14:textId="2B44D098" w:rsidR="00DC66A3" w:rsidRDefault="008E4420" w:rsidP="00370022">
      <w:pPr>
        <w:pStyle w:val="corpsdedcision"/>
      </w:pPr>
      <w:r>
        <w:t xml:space="preserve">L’employeur soutient que l’événement du 6 janvier 2021 ne </w:t>
      </w:r>
      <w:r w:rsidR="008D1FDF">
        <w:t>remplit</w:t>
      </w:r>
      <w:r>
        <w:t xml:space="preserve"> pas les critères diagnostiques du DSM-5 pour entra</w:t>
      </w:r>
      <w:r w:rsidR="00822FAE">
        <w:t>î</w:t>
      </w:r>
      <w:r>
        <w:t>ner un trouble de stress post-traumatique. Bien qu’il ne conteste pas le diagnostic, il demande au Tribunal de conclure que le stress post-traumatique ne peut pas découler de l’événement du 6 janvier 2021 selon les critères du DSM-5. Cette lésion serait donc due à une autre cause dont l’origine n’est pas mise en preuve à l’audience.</w:t>
      </w:r>
    </w:p>
    <w:p w14:paraId="37BFCDE4" w14:textId="460282E5" w:rsidR="008E4420" w:rsidRDefault="008E4420" w:rsidP="00370022">
      <w:pPr>
        <w:pStyle w:val="corpsdedcision"/>
      </w:pPr>
      <w:r>
        <w:t>Il existe deux courants jurisprudentiels sur la possibilité pour le Tribunal d</w:t>
      </w:r>
      <w:r w:rsidR="00A6702F">
        <w:t>’analyser la relation causale à l’aide des critères diagnosti</w:t>
      </w:r>
      <w:r w:rsidR="008D1FDF">
        <w:t>que</w:t>
      </w:r>
      <w:r w:rsidR="00A6702F">
        <w:t>s du DSM-5. Selon le courant minoritaire</w:t>
      </w:r>
      <w:r w:rsidR="00A6702F">
        <w:rPr>
          <w:rStyle w:val="Appelnotedebasdep"/>
        </w:rPr>
        <w:footnoteReference w:id="12"/>
      </w:r>
      <w:r w:rsidR="00A6702F">
        <w:t>, le Tribunal doit déterminer si l’événement survenu au travail remplit les critères du DSM-5 pour entra</w:t>
      </w:r>
      <w:r w:rsidR="00822FAE">
        <w:t>î</w:t>
      </w:r>
      <w:r w:rsidR="00A6702F">
        <w:t>ner un trouble de stress post-traumatique.</w:t>
      </w:r>
    </w:p>
    <w:p w14:paraId="078CC0D5" w14:textId="1DE0B3DD" w:rsidR="00A6702F" w:rsidRDefault="00A6702F" w:rsidP="00370022">
      <w:pPr>
        <w:pStyle w:val="corpsdedcision"/>
      </w:pPr>
      <w:r>
        <w:t>Selon l’autre courant fortement majoritaire</w:t>
      </w:r>
      <w:r w:rsidR="00BC774A">
        <w:rPr>
          <w:rStyle w:val="Appelnotedebasdep"/>
        </w:rPr>
        <w:footnoteReference w:id="13"/>
      </w:r>
      <w:r>
        <w:t xml:space="preserve"> auquel adhère la soussignée, en présence d’un diagnostic non contesté de trouble de stress post-traumatique, lorsque le professionnel de la santé en charge du travailleur pose ce diagnostic sur la base de l’événement survenu au travail, procéder à l’analyse des critères diagnostiques </w:t>
      </w:r>
      <w:r w:rsidR="00BC774A">
        <w:t>équivaut à remettre à cause le diagnostic alors qu’il lie le Tribunal.</w:t>
      </w:r>
      <w:r w:rsidR="00027752">
        <w:t xml:space="preserve"> Celui-ci ne doit donc pas s’immiscer dans la portion diagnostic </w:t>
      </w:r>
      <w:r w:rsidR="004F3359">
        <w:t xml:space="preserve">en </w:t>
      </w:r>
      <w:r w:rsidR="00027752">
        <w:t>procédant à une analyse de façon à vérifier si les critères du DSM-5 sont remplis.</w:t>
      </w:r>
    </w:p>
    <w:p w14:paraId="7FDEB33F" w14:textId="67206334" w:rsidR="00BC774A" w:rsidRDefault="00BC774A" w:rsidP="008D278E">
      <w:pPr>
        <w:pStyle w:val="corpsdedcision"/>
      </w:pPr>
      <w:r>
        <w:t xml:space="preserve">Ainsi, à l’étape de l’analyse de la relation causale, le rôle du Tribunal est limité comme il l’énonçait dans l’affaire </w:t>
      </w:r>
      <w:r w:rsidRPr="00C607DD">
        <w:rPr>
          <w:i/>
          <w:iCs/>
        </w:rPr>
        <w:t xml:space="preserve">Chouloute </w:t>
      </w:r>
      <w:r>
        <w:t xml:space="preserve">et </w:t>
      </w:r>
      <w:r w:rsidRPr="00C607DD">
        <w:rPr>
          <w:i/>
          <w:iCs/>
        </w:rPr>
        <w:t>Commission scolaire de Montréal</w:t>
      </w:r>
      <w:r>
        <w:t> </w:t>
      </w:r>
      <w:r w:rsidR="00C607DD">
        <w:rPr>
          <w:rStyle w:val="Appelnotedebasdep"/>
        </w:rPr>
        <w:footnoteReference w:id="14"/>
      </w:r>
      <w:r>
        <w:t xml:space="preserve">: </w:t>
      </w:r>
      <w:r w:rsidR="00C607DD">
        <w:t xml:space="preserve"> </w:t>
      </w:r>
    </w:p>
    <w:p w14:paraId="76C87254" w14:textId="0DD608E8" w:rsidR="00C607DD" w:rsidRDefault="00C607DD" w:rsidP="00C607DD">
      <w:pPr>
        <w:pStyle w:val="citation"/>
      </w:pPr>
      <w:r>
        <w:t xml:space="preserve">[139] Dans ce contexte, ils semblent d’avis que la Commission des lésions professionnelles, lorsqu’uniquement saisie de la question du caractère professionnel de cette lésion, n’a pas les mains liées, mais ils se limitent à déterminer, selon la preuve et les arguments soulevés, </w:t>
      </w:r>
      <w:r w:rsidRPr="004F3359">
        <w:rPr>
          <w:u w:val="single"/>
        </w:rPr>
        <w:t>si l’événement analysé par le médecin est bel et bien survenu, s’il correspond à celui en preuve devant le tribunal</w:t>
      </w:r>
      <w:r>
        <w:t>, s’il peut être qualifié d'événement imprévu et soudain au sens où cette expression a été définie dans la jurisprudence, si cet événement est survenu par le fait ou à l'occasion du travail et si la preuve est prépondérante quant à une relation entre le diagnostic de syndrome de stress post-traumatique et cet événement, la preuve pouvant notamment révéler la survenance d'un autre événement personnel contemporain et potentiellement traumatique ignoré du médecin.</w:t>
      </w:r>
    </w:p>
    <w:p w14:paraId="093D28E4" w14:textId="77777777" w:rsidR="00C607DD" w:rsidRDefault="00C607DD" w:rsidP="00C607DD">
      <w:pPr>
        <w:pStyle w:val="citation"/>
      </w:pPr>
    </w:p>
    <w:p w14:paraId="3F71C00B" w14:textId="42EB230C" w:rsidR="004F3359" w:rsidRPr="00F47F9B" w:rsidRDefault="0084765B" w:rsidP="00C607DD">
      <w:pPr>
        <w:pStyle w:val="citation"/>
        <w:rPr>
          <w:sz w:val="24"/>
          <w:szCs w:val="24"/>
        </w:rPr>
      </w:pPr>
      <w:r w:rsidRPr="00F47F9B">
        <w:rPr>
          <w:sz w:val="24"/>
          <w:szCs w:val="24"/>
        </w:rPr>
        <w:t>[</w:t>
      </w:r>
      <w:r w:rsidR="004F3359" w:rsidRPr="00F47F9B">
        <w:rPr>
          <w:sz w:val="24"/>
          <w:szCs w:val="24"/>
        </w:rPr>
        <w:t>No</w:t>
      </w:r>
      <w:r w:rsidR="00DA7637">
        <w:rPr>
          <w:sz w:val="24"/>
          <w:szCs w:val="24"/>
        </w:rPr>
        <w:t>tre</w:t>
      </w:r>
      <w:r w:rsidR="004F3359" w:rsidRPr="00F47F9B">
        <w:rPr>
          <w:sz w:val="24"/>
          <w:szCs w:val="24"/>
        </w:rPr>
        <w:t xml:space="preserve"> soulignement</w:t>
      </w:r>
      <w:r w:rsidRPr="00F47F9B">
        <w:rPr>
          <w:sz w:val="24"/>
          <w:szCs w:val="24"/>
        </w:rPr>
        <w:t>]</w:t>
      </w:r>
    </w:p>
    <w:p w14:paraId="21076A2B" w14:textId="77777777" w:rsidR="004F3359" w:rsidRDefault="004F3359" w:rsidP="00C607DD">
      <w:pPr>
        <w:pStyle w:val="citation"/>
      </w:pPr>
    </w:p>
    <w:p w14:paraId="1E8999A4" w14:textId="77777777" w:rsidR="0084765B" w:rsidRDefault="0084765B" w:rsidP="00C607DD">
      <w:pPr>
        <w:pStyle w:val="citation"/>
      </w:pPr>
    </w:p>
    <w:p w14:paraId="19404055" w14:textId="47F79DD9" w:rsidR="00C607DD" w:rsidRDefault="0089720C" w:rsidP="008D278E">
      <w:pPr>
        <w:pStyle w:val="corpsdedcision"/>
      </w:pPr>
      <w:r>
        <w:t>Même en considérant le courant majoritaire, l’employeur soulève ici que le Tribunal doit analyser les critères du DSM-5 parce que le professionnel de la santé écrit sur l’attestation médicale du 15 janvier 2021 : « </w:t>
      </w:r>
      <w:r w:rsidRPr="0089720C">
        <w:rPr>
          <w:rStyle w:val="Citationintgre"/>
        </w:rPr>
        <w:t>Stress post-traumatique en développement après avoir été témoin d’un accident de travail mortel</w:t>
      </w:r>
      <w:r>
        <w:rPr>
          <w:rStyle w:val="Citationintgre"/>
        </w:rPr>
        <w:t> </w:t>
      </w:r>
      <w:r w:rsidRPr="00F47F9B">
        <w:rPr>
          <w:rStyle w:val="Citationintgre"/>
          <w:i w:val="0"/>
          <w:iCs/>
          <w:sz w:val="24"/>
          <w:szCs w:val="24"/>
        </w:rPr>
        <w:t>»</w:t>
      </w:r>
      <w:r>
        <w:t>. Les rapport</w:t>
      </w:r>
      <w:r w:rsidR="00DE4D07">
        <w:t>s</w:t>
      </w:r>
      <w:r>
        <w:t xml:space="preserve"> médicaux subséquent</w:t>
      </w:r>
      <w:r w:rsidR="008D1FDF">
        <w:t>s</w:t>
      </w:r>
      <w:r>
        <w:t xml:space="preserve"> reprennent exactement la même description.</w:t>
      </w:r>
      <w:r w:rsidR="00DE4D07">
        <w:t xml:space="preserve"> Les notes cliniques contemporaines mentionnent également que le travailleur est témoin d’un accident du travail mortel, sans contenir de plus amples détails.</w:t>
      </w:r>
    </w:p>
    <w:p w14:paraId="3BD59121" w14:textId="75E51DBA" w:rsidR="00DE4D07" w:rsidRDefault="00DE4D07" w:rsidP="008D278E">
      <w:pPr>
        <w:pStyle w:val="corpsdedcision"/>
      </w:pPr>
      <w:r>
        <w:t>Or, l’employeur souligne que</w:t>
      </w:r>
      <w:r w:rsidR="00027752">
        <w:t xml:space="preserve"> le professionnel de la santé en charge du travailleur n’analyse pas le bon événement puisque</w:t>
      </w:r>
      <w:r>
        <w:t xml:space="preserve"> </w:t>
      </w:r>
      <w:r w:rsidR="00027752">
        <w:t xml:space="preserve">ce dernier </w:t>
      </w:r>
      <w:r>
        <w:t>n’</w:t>
      </w:r>
      <w:r w:rsidR="00027752">
        <w:t>est</w:t>
      </w:r>
      <w:r>
        <w:t xml:space="preserve"> pas témoin de l’accident mortel. Il a tout au plus aperçu les véhicules d’urgence au loin et le périmètre d’une scène d’accident délimité par des banderoles, alors qu’il ignorait la nature de l’incident. De plus, le travailleur ne peut expliquer à l’audience ce qu’il a donné comme détails de l’événement au médecin lors de ses consultations. Il ne se rappelle pas les termes qu’il a utilisé</w:t>
      </w:r>
      <w:r w:rsidR="008D1FDF">
        <w:t>s</w:t>
      </w:r>
      <w:r>
        <w:t xml:space="preserve"> ni pourquoi le médecin écrit qu’il est témoin de l’accident alors qu’il convient qu’il n’était pas présent quand l’événement est survenu.</w:t>
      </w:r>
    </w:p>
    <w:p w14:paraId="45479AFA" w14:textId="02E2E0F8" w:rsidR="00027752" w:rsidRDefault="00027752" w:rsidP="008D278E">
      <w:pPr>
        <w:pStyle w:val="corpsdedcision"/>
      </w:pPr>
      <w:r>
        <w:t>Le Tribunal donne raison à l’employeur sur ce point. Il appert effectivement que l’événement en cause considéré par le professionnel de la santé en charge du travailleur ne correspond pas à l’événement mis en preuve à l’audience. Il y a donc lieu ici d’apprécier si le trouble de stress post-traumatique en l’instance peut découler de l’événement mis en preuve en vertu des critères du DSM-5.</w:t>
      </w:r>
    </w:p>
    <w:p w14:paraId="0E718443" w14:textId="72FFF297" w:rsidR="003563F9" w:rsidRDefault="0057063F" w:rsidP="008D278E">
      <w:pPr>
        <w:pStyle w:val="corpsdedcision"/>
      </w:pPr>
      <w:r>
        <w:t xml:space="preserve">L’employeur remet en question </w:t>
      </w:r>
      <w:r w:rsidR="00027752">
        <w:t>l’appréciation du</w:t>
      </w:r>
      <w:r>
        <w:t xml:space="preserve"> critère A </w:t>
      </w:r>
      <w:r w:rsidR="00027752">
        <w:t>prévu au</w:t>
      </w:r>
      <w:r>
        <w:t xml:space="preserve"> DSM-5 en précisant que le travailleur n’est pas exposé ou témoin direct d’un événement traumatique et qu’un tel événement n’est pas arrivé à l’un de ses proches. En effet, selon l’extrait du DSM-5 déposé en preuve</w:t>
      </w:r>
      <w:r w:rsidR="008D1FDF">
        <w:t>,</w:t>
      </w:r>
      <w:r>
        <w:t xml:space="preserve"> le critère A se lit comme suit : </w:t>
      </w:r>
    </w:p>
    <w:p w14:paraId="269F23AC" w14:textId="2315F6E0" w:rsidR="0057063F" w:rsidRDefault="0057063F" w:rsidP="005F3AAB">
      <w:pPr>
        <w:pStyle w:val="citation"/>
        <w:tabs>
          <w:tab w:val="left" w:pos="993"/>
        </w:tabs>
        <w:ind w:left="993" w:hanging="273"/>
      </w:pPr>
      <w:r>
        <w:t>A.</w:t>
      </w:r>
      <w:r w:rsidR="00405CEA">
        <w:tab/>
      </w:r>
      <w:r>
        <w:t>Exposition à la mort effective ou à une menace de mort, à une blessure grave ou à des violences sexuelles d’une (ou de plusieurs) des façons suivantes :</w:t>
      </w:r>
    </w:p>
    <w:p w14:paraId="42284D22" w14:textId="10D52F48" w:rsidR="0057063F" w:rsidRDefault="0057063F" w:rsidP="00F47F9B">
      <w:pPr>
        <w:pStyle w:val="citation"/>
        <w:tabs>
          <w:tab w:val="left" w:pos="993"/>
          <w:tab w:val="left" w:pos="1276"/>
        </w:tabs>
        <w:ind w:firstLine="273"/>
      </w:pPr>
      <w:r>
        <w:t>1.</w:t>
      </w:r>
      <w:r w:rsidR="00405CEA">
        <w:tab/>
      </w:r>
      <w:r>
        <w:t>En étant directement exposé à un ou à plusieurs événements traumatiques.</w:t>
      </w:r>
    </w:p>
    <w:p w14:paraId="407E22E9" w14:textId="005D21CC" w:rsidR="0057063F" w:rsidRDefault="00405CEA" w:rsidP="00F47F9B">
      <w:pPr>
        <w:pStyle w:val="citation"/>
        <w:tabs>
          <w:tab w:val="left" w:pos="993"/>
          <w:tab w:val="left" w:pos="1276"/>
        </w:tabs>
        <w:ind w:left="1276" w:hanging="556"/>
      </w:pPr>
      <w:r>
        <w:tab/>
      </w:r>
      <w:r w:rsidR="0057063F">
        <w:t>2.</w:t>
      </w:r>
      <w:r>
        <w:tab/>
      </w:r>
      <w:r w:rsidR="0057063F">
        <w:t>En étant témoin direct d’un ou de plusieurs événements traumatiques survenus à d’autres personnes.</w:t>
      </w:r>
    </w:p>
    <w:p w14:paraId="07CFEA59" w14:textId="156EFD79" w:rsidR="0057063F" w:rsidRDefault="00405CEA" w:rsidP="00F47F9B">
      <w:pPr>
        <w:pStyle w:val="citation"/>
        <w:tabs>
          <w:tab w:val="left" w:pos="993"/>
          <w:tab w:val="left" w:pos="1276"/>
        </w:tabs>
        <w:ind w:left="1276" w:hanging="556"/>
      </w:pPr>
      <w:r>
        <w:tab/>
      </w:r>
      <w:r w:rsidR="0057063F">
        <w:t>3.</w:t>
      </w:r>
      <w:r>
        <w:tab/>
      </w:r>
      <w:r w:rsidR="0057063F">
        <w:t>En apprenant qu’un ou plusieurs événements traumatiques sont arrivés à un membre de la famille proche ou à un ami proche. Dans les cas de mort effective ou de menace de mort d’un membre de la famille ou d’un ami, le ou les événements doivent avoir été violents ou accidentels.</w:t>
      </w:r>
    </w:p>
    <w:p w14:paraId="25139C0C" w14:textId="62D44139" w:rsidR="0057063F" w:rsidRDefault="00405CEA" w:rsidP="00F47F9B">
      <w:pPr>
        <w:pStyle w:val="citation"/>
        <w:tabs>
          <w:tab w:val="left" w:pos="993"/>
          <w:tab w:val="left" w:pos="1276"/>
        </w:tabs>
        <w:ind w:left="1276" w:hanging="556"/>
      </w:pPr>
      <w:r>
        <w:tab/>
      </w:r>
      <w:r w:rsidR="0057063F">
        <w:t>4.</w:t>
      </w:r>
      <w:r>
        <w:tab/>
      </w:r>
      <w:r w:rsidR="0057063F">
        <w:t>En étant exposé de manière répétée ou extrême aux caractéristiques aversives du ou des événements traumatiques (p. ex. intervenants de première ligne rassemblant des restes humains, policiers exposés à plusieurs reprises à des faits explicites d’abus sexuels d’enfants).</w:t>
      </w:r>
    </w:p>
    <w:p w14:paraId="50D23487" w14:textId="686DCB6B" w:rsidR="0057063F" w:rsidRDefault="0057063F" w:rsidP="00F47F9B">
      <w:pPr>
        <w:pStyle w:val="citation"/>
        <w:ind w:left="1276"/>
      </w:pPr>
      <w:r w:rsidRPr="00F47F9B">
        <w:rPr>
          <w:b/>
          <w:bCs/>
        </w:rPr>
        <w:t>N.B.</w:t>
      </w:r>
      <w:r>
        <w:t xml:space="preserve"> : Le critère A4 ne s’applique pas à des expositions par l’intermédiaire de médias é</w:t>
      </w:r>
      <w:r w:rsidR="00FF4F94">
        <w:t>l</w:t>
      </w:r>
      <w:r>
        <w:t>ectroniques, télévision, films ou images, sauf quand elles surviennent dans le contexte d’une activité professionnelle.</w:t>
      </w:r>
    </w:p>
    <w:p w14:paraId="34FE4CFA" w14:textId="77777777" w:rsidR="00016BB0" w:rsidRDefault="00016BB0" w:rsidP="0057063F">
      <w:pPr>
        <w:pStyle w:val="citation"/>
      </w:pPr>
    </w:p>
    <w:p w14:paraId="708EF79A" w14:textId="77777777" w:rsidR="00405CEA" w:rsidRDefault="00405CEA" w:rsidP="0057063F">
      <w:pPr>
        <w:pStyle w:val="citation"/>
      </w:pPr>
    </w:p>
    <w:p w14:paraId="383A7A2C" w14:textId="64725604" w:rsidR="0057063F" w:rsidRDefault="00016BB0" w:rsidP="008D278E">
      <w:pPr>
        <w:pStyle w:val="corpsdedcision"/>
      </w:pPr>
      <w:r>
        <w:t>Au soutien de ses arguments, l’employeur fait témoigner le docteur Martin Tremblay, psychiatre.</w:t>
      </w:r>
      <w:r w:rsidR="003D6B8B">
        <w:t xml:space="preserve"> </w:t>
      </w:r>
      <w:r w:rsidR="009D73EF">
        <w:t>Ce dernier</w:t>
      </w:r>
      <w:r w:rsidR="003D6B8B">
        <w:t xml:space="preserve"> explique que le diagnostic</w:t>
      </w:r>
      <w:r w:rsidR="009D73EF">
        <w:t xml:space="preserve"> de</w:t>
      </w:r>
      <w:r w:rsidR="003D6B8B">
        <w:t xml:space="preserve"> trouble de stress post-traumatique remonte aux deux guerres mondiales et fut peaufiné après la guerre du Vietnam. Il est question d’une exposition directe à la mort, d’un danger de mort ou d’intervenir auprès d’une personne en danger avec qui il existe un lien affectif.</w:t>
      </w:r>
      <w:r w:rsidR="009D73EF">
        <w:t xml:space="preserve"> Il est question d’événement</w:t>
      </w:r>
      <w:r w:rsidR="008D1FDF">
        <w:t>s</w:t>
      </w:r>
      <w:r w:rsidR="009D73EF">
        <w:t xml:space="preserve"> sévères et sérieux.</w:t>
      </w:r>
    </w:p>
    <w:p w14:paraId="4A59ECF6" w14:textId="53C96581" w:rsidR="009D73EF" w:rsidRDefault="009D73EF" w:rsidP="008D278E">
      <w:pPr>
        <w:pStyle w:val="corpsdedcision"/>
      </w:pPr>
      <w:r>
        <w:t>De même, des gens qui sont exposés de manière répétée à des traumatismes peuvent développer un trouble de stress post-traumatique. L’expert cite en exemple les ambulanciers ou des gens qui doivent visionner des scènes de crime fréquemment dans un contexte professionnel.</w:t>
      </w:r>
    </w:p>
    <w:p w14:paraId="13602B68" w14:textId="7DAA1F4C" w:rsidR="009D73EF" w:rsidRDefault="009D73EF" w:rsidP="008D278E">
      <w:pPr>
        <w:pStyle w:val="corpsdedcision"/>
      </w:pPr>
      <w:r>
        <w:t>Les personnes exposées à ces traumatismes développent des symptômes envahissants lorsqu’ils ne possèdent pas de mécanisme de défense approprié. Environ 9</w:t>
      </w:r>
      <w:r w:rsidR="003D2E08">
        <w:t> </w:t>
      </w:r>
      <w:r>
        <w:t xml:space="preserve">% des personnes exposées vont développer un trouble de stress post-traumatique et les symptômes durent environ </w:t>
      </w:r>
      <w:r w:rsidR="003D2E08">
        <w:t>trois</w:t>
      </w:r>
      <w:r>
        <w:t xml:space="preserve"> mois.</w:t>
      </w:r>
    </w:p>
    <w:p w14:paraId="4E83078F" w14:textId="115ABC16" w:rsidR="004F3FD6" w:rsidRDefault="009D73EF" w:rsidP="006A36A5">
      <w:pPr>
        <w:pStyle w:val="corpsdedcision"/>
      </w:pPr>
      <w:r>
        <w:t>Le docteur Tremblay explique également que la présence d’une condition préexistante personnelle chez un individu comme un trouble de l’anxiété grave, un trouble d’adaptation ou une dépression peut favoriser l’apparition d’un trouble de stress post-traumatique.</w:t>
      </w:r>
      <w:r w:rsidR="004F3FD6">
        <w:t xml:space="preserve"> Il</w:t>
      </w:r>
      <w:r w:rsidR="008422D9">
        <w:t xml:space="preserve"> indique qu’en fonction de la preuve entendu</w:t>
      </w:r>
      <w:r w:rsidR="008D1FDF">
        <w:t>e</w:t>
      </w:r>
      <w:r w:rsidR="008422D9">
        <w:t>, il ne retrouve pas une exposition directe à un traumatisme, le travailleur n’est pas témoin d’événements répétés et aucun incident ne survient à un proche du travailleur.</w:t>
      </w:r>
      <w:r w:rsidR="004F3FD6">
        <w:t xml:space="preserve"> </w:t>
      </w:r>
    </w:p>
    <w:p w14:paraId="72D8B65D" w14:textId="60EE494B" w:rsidR="008422D9" w:rsidRDefault="004F3FD6" w:rsidP="008D278E">
      <w:pPr>
        <w:pStyle w:val="corpsdedcision"/>
      </w:pPr>
      <w:r>
        <w:t>Le docteur Tremblay note de la preuve qu’en juillet 2020, le travailleur décrit qu’il est victime d’une attaque de panique alors qu’il s’apprête à signer l’acte d’achat d’une maison avec sa conjointe. Effectivement, le travailleur explique qu’il pense avoir réagi ainsi en raison de la concrétisation d’un engagement important qu’il s’apprêtait à prendre tant financièrement qu’envers sa conjointe. Sur le coup, il a des sueurs, il urine fréquemment, il a le teint pâle, il ne se sent pas bien. Il passe une batterie d’examens qui s’avèrent négatifs. Le médecin le réfère finalement à un psychologue.</w:t>
      </w:r>
    </w:p>
    <w:p w14:paraId="04464724" w14:textId="7ADE6592" w:rsidR="004F3FD6" w:rsidRDefault="004F3FD6" w:rsidP="008D278E">
      <w:pPr>
        <w:pStyle w:val="corpsdedcision"/>
      </w:pPr>
      <w:r>
        <w:t>Le travailleur voit quelque</w:t>
      </w:r>
      <w:r w:rsidR="00FB1633">
        <w:t>s</w:t>
      </w:r>
      <w:r>
        <w:t xml:space="preserve"> psychologues avant de trouver celui en qui il place sa confiance et ensemble ils réalisent que le travailleur souffre d’anxiété et qu’en juillet 2020 il a fait une crise de panique.</w:t>
      </w:r>
      <w:r w:rsidR="00FB1633">
        <w:t xml:space="preserve"> Il est en arrêt de travail de la fin juillet au début </w:t>
      </w:r>
      <w:r w:rsidR="00A756F1">
        <w:t xml:space="preserve">du mois de </w:t>
      </w:r>
      <w:r w:rsidR="00FB1633">
        <w:t>novembre 2020 pour cette condition. Il indique toutefois que lorsqu’il a su d’où venaient ses symptômes, il applique les bonnes techniques afin de recouvrer la santé.</w:t>
      </w:r>
    </w:p>
    <w:p w14:paraId="24B8D956" w14:textId="04AAFB5D" w:rsidR="00FB1633" w:rsidRDefault="00FB1633" w:rsidP="008D278E">
      <w:pPr>
        <w:pStyle w:val="corpsdedcision"/>
      </w:pPr>
      <w:r>
        <w:t xml:space="preserve">Dans une lettre datée du 14 mars 2021, le psychologue du travailleur, le docteur Martin Bourque, indique avoir rencontré le travailleur depuis le 21 décembre 2020 (selon le travailleur c’était avant cette date). Après son évaluation, il conclut à une anxiété généralisée. Les notes cliniques du professionnel de la santé en charge du travailleur en janvier </w:t>
      </w:r>
      <w:r w:rsidR="00F9136E">
        <w:t xml:space="preserve">2020 </w:t>
      </w:r>
      <w:r>
        <w:t>mentionne</w:t>
      </w:r>
      <w:r w:rsidR="00F9136E">
        <w:t>nt</w:t>
      </w:r>
      <w:r>
        <w:t xml:space="preserve"> également de l’anxiété et le 25 mars 2021</w:t>
      </w:r>
      <w:r w:rsidR="003D2E08">
        <w:t>,</w:t>
      </w:r>
      <w:r>
        <w:t xml:space="preserve"> il est question d’un suivi pour un trouble d’anxiété généralisé</w:t>
      </w:r>
      <w:r w:rsidR="00442699">
        <w:t>e</w:t>
      </w:r>
      <w:r>
        <w:t xml:space="preserve"> et dépression.</w:t>
      </w:r>
    </w:p>
    <w:p w14:paraId="29FEFD79" w14:textId="5A0D5F10" w:rsidR="009D1F91" w:rsidRDefault="009D1F91" w:rsidP="008D278E">
      <w:pPr>
        <w:pStyle w:val="corpsdedcision"/>
      </w:pPr>
      <w:r>
        <w:t xml:space="preserve">Le docteur Tremblay souligne que cette condition d’anxiété n’est pas à négliger dans le tableau présenté par le travailleur. Il note que ce dernier ne réagit pas quand il aperçoit la scène d’urgence ni lorsqu’il apprend la nature de l’événement ou qui est </w:t>
      </w:r>
      <w:r w:rsidR="00F9136E">
        <w:t>la personne décédée</w:t>
      </w:r>
      <w:r>
        <w:t>. L’événement déclencheur pour lui arrive lorsque son collègue</w:t>
      </w:r>
      <w:r w:rsidR="00F9136E">
        <w:t xml:space="preserve"> mécanicien</w:t>
      </w:r>
      <w:r>
        <w:t xml:space="preserve"> lui décrit </w:t>
      </w:r>
      <w:r w:rsidR="00F27979">
        <w:t>la séquence des événements et l’état du corp</w:t>
      </w:r>
      <w:r w:rsidR="008D1FDF">
        <w:t>s</w:t>
      </w:r>
      <w:r w:rsidR="00F27979">
        <w:t>. C’est à ce moment qu’il se dit qu</w:t>
      </w:r>
      <w:r w:rsidR="00F9136E">
        <w:t>’il</w:t>
      </w:r>
      <w:r w:rsidR="00F27979">
        <w:t xml:space="preserve"> pourrait </w:t>
      </w:r>
      <w:r w:rsidR="00F9136E">
        <w:t xml:space="preserve">lui aussi </w:t>
      </w:r>
      <w:r w:rsidR="00F27979">
        <w:t>mourir ainsi.</w:t>
      </w:r>
    </w:p>
    <w:p w14:paraId="0B4B957F" w14:textId="295E5ED0" w:rsidR="00F27979" w:rsidRDefault="00F27979" w:rsidP="008D278E">
      <w:pPr>
        <w:pStyle w:val="corpsdedcision"/>
      </w:pPr>
      <w:r>
        <w:t xml:space="preserve">L’expert explique que l’anxiété agit sur la perception et amène le cerveau à faire des amalgames. Les faits que le travailleur décrit lorsqu’il est dans l’échelle et qu’il n’arrive pas à donner le signal d’avancer en raison des images qui défilent dans sa tête </w:t>
      </w:r>
      <w:r w:rsidR="008D1FDF">
        <w:t>constituent</w:t>
      </w:r>
      <w:r>
        <w:t xml:space="preserve"> le début d’une crise de panique, et ce, même si les symptômes ne sont pas les mêmes qu’en juillet 2020. Une crise de panique débute par une peur intense de la nature que le travailleur éprouve à ce </w:t>
      </w:r>
      <w:r w:rsidR="00297337">
        <w:t>moment-là</w:t>
      </w:r>
      <w:r>
        <w:t>.</w:t>
      </w:r>
      <w:r w:rsidR="00297337">
        <w:t xml:space="preserve"> Cela dure environ cinq minutes, mais c’est appelé à se répéter.</w:t>
      </w:r>
    </w:p>
    <w:p w14:paraId="79D82255" w14:textId="17A85598" w:rsidR="00297337" w:rsidRDefault="00297337" w:rsidP="008D278E">
      <w:pPr>
        <w:pStyle w:val="corpsdedcision"/>
      </w:pPr>
      <w:r>
        <w:t xml:space="preserve">Selon le docteur Tremblay, les personnes qui ont </w:t>
      </w:r>
      <w:r w:rsidR="00474CD1">
        <w:t>assisté</w:t>
      </w:r>
      <w:r>
        <w:t xml:space="preserve"> à l’événement du 6</w:t>
      </w:r>
      <w:r w:rsidR="003D2E08">
        <w:t> </w:t>
      </w:r>
      <w:r>
        <w:t>janvier 2021 avaient 9</w:t>
      </w:r>
      <w:r w:rsidR="003D2E08">
        <w:t> </w:t>
      </w:r>
      <w:r>
        <w:t xml:space="preserve">% de chances de développer un trouble de stress post-traumatique. Toutefois, chez les personnes n’ayant pas </w:t>
      </w:r>
      <w:r w:rsidR="008D1FDF">
        <w:t xml:space="preserve">un </w:t>
      </w:r>
      <w:r>
        <w:t>lien direct avec l’événement,</w:t>
      </w:r>
      <w:r w:rsidR="00FC2297">
        <w:t xml:space="preserve"> comme pour le travailleur, </w:t>
      </w:r>
      <w:r>
        <w:t>il faut rechercher l’existence d’une autre condition personnelle</w:t>
      </w:r>
      <w:r w:rsidR="00FC2297">
        <w:t xml:space="preserve"> qui pourrait ici être l’anxiété généralisé</w:t>
      </w:r>
      <w:r w:rsidR="008D1FDF">
        <w:t>e</w:t>
      </w:r>
      <w:r>
        <w:t>.</w:t>
      </w:r>
    </w:p>
    <w:p w14:paraId="42B8664A" w14:textId="23F557EF" w:rsidR="001B6C32" w:rsidRDefault="001B6C32" w:rsidP="008D278E">
      <w:pPr>
        <w:pStyle w:val="corpsdedcision"/>
      </w:pPr>
      <w:r>
        <w:t>Dans sa lettre du 14 mars 2021, le psychologue du travailleur relate que le 6 janvier 202</w:t>
      </w:r>
      <w:r w:rsidR="00152CDE">
        <w:t>1</w:t>
      </w:r>
      <w:r>
        <w:t xml:space="preserve">, </w:t>
      </w:r>
      <w:r w:rsidR="00152CDE">
        <w:t>ce dernier</w:t>
      </w:r>
      <w:r>
        <w:t xml:space="preserve"> </w:t>
      </w:r>
      <w:r w:rsidR="00152CDE">
        <w:t>circule près du lieu de l’accident seulement</w:t>
      </w:r>
      <w:r>
        <w:t xml:space="preserve"> quelques minutes après</w:t>
      </w:r>
      <w:r w:rsidR="00087A8E">
        <w:t xml:space="preserve"> sa survenance </w:t>
      </w:r>
      <w:r>
        <w:t>alors que les intervenants viennent de recouvrir le corps. Ces faits ne sont pas exacts puisque la preuve ne démontre pas que le travailleur voit la scène quelques minutes après l’événement et le travailleur convient qu’il ne voit pas les intervenant</w:t>
      </w:r>
      <w:r w:rsidR="008D1FDF">
        <w:t>s</w:t>
      </w:r>
      <w:r>
        <w:t xml:space="preserve"> recouvrir le corps avec une couverture. </w:t>
      </w:r>
    </w:p>
    <w:p w14:paraId="58CEF7C8" w14:textId="3F8BD533" w:rsidR="001B6C32" w:rsidRDefault="001B6C32" w:rsidP="008D278E">
      <w:pPr>
        <w:pStyle w:val="corpsdedcision"/>
      </w:pPr>
      <w:r>
        <w:t xml:space="preserve">Le docteur Bourque écrit également que le travailleur était fragile en raison de son anxiété et que l’événement au travail </w:t>
      </w:r>
      <w:r w:rsidR="00FF4F94">
        <w:t>a</w:t>
      </w:r>
      <w:r>
        <w:t xml:space="preserve"> ajouté à la charge émotionnelle qu’il vivait. Un mois plus tard</w:t>
      </w:r>
      <w:r w:rsidR="00087A8E">
        <w:t>,</w:t>
      </w:r>
      <w:r>
        <w:t xml:space="preserve"> le diagnostic serait devenu stress post-traumatique.</w:t>
      </w:r>
      <w:r w:rsidR="00932EC4">
        <w:t xml:space="preserve"> Il mentionne que la mort d’un autre collègue en 2014 l’avait affecté et que maintenant il revoit la scène de décès du 6 janvier 2021</w:t>
      </w:r>
      <w:r w:rsidR="00FF4F94">
        <w:t>,</w:t>
      </w:r>
      <w:r w:rsidR="00932EC4">
        <w:t xml:space="preserve"> dont le corps recouvert d’un tissu. Il conclut qu’en raison du niveau d’anxiété et les symptômes de stress post-traumatique, le travailleur n’est pas en mesure d’accomplir son travail.</w:t>
      </w:r>
    </w:p>
    <w:p w14:paraId="37D237D2" w14:textId="727EE090" w:rsidR="00F731D7" w:rsidRDefault="00F731D7" w:rsidP="008D278E">
      <w:pPr>
        <w:pStyle w:val="corpsdedcision"/>
      </w:pPr>
      <w:r>
        <w:t>Le Tribunal est lié par le diagnostic de stress post-traumatique. Toutefois</w:t>
      </w:r>
      <w:r w:rsidR="00FF4F94">
        <w:t>,</w:t>
      </w:r>
      <w:r>
        <w:t xml:space="preserve"> comme les faits sur lesquels le professionnel de la santé en charge du travailleur se base pour poser un tel diagnostic ne sont pas conformes à la preuve présentée devant le Tribunal, il y a lieu de déterminer si le critère A du DSM-5 est rempli. En effet, l’employeur allègue que l’événement du 6 janvier 2021</w:t>
      </w:r>
      <w:r w:rsidR="00132D17">
        <w:t xml:space="preserve"> </w:t>
      </w:r>
      <w:r>
        <w:t>ne correspond à aucun des type</w:t>
      </w:r>
      <w:r w:rsidR="00132D17">
        <w:t>s</w:t>
      </w:r>
      <w:r>
        <w:t xml:space="preserve"> d’exposition mentionnés au critère A.</w:t>
      </w:r>
    </w:p>
    <w:p w14:paraId="44070EFA" w14:textId="553C019B" w:rsidR="00F731D7" w:rsidRDefault="00F731D7" w:rsidP="008D278E">
      <w:pPr>
        <w:pStyle w:val="corpsdedcision"/>
      </w:pPr>
      <w:r>
        <w:t>Par ailleurs, le Tribunal ne peut écarter, comme le plaide le travailleur, qu’il présentait avant l’événement une condition préexistante</w:t>
      </w:r>
      <w:r w:rsidR="001542DF">
        <w:t xml:space="preserve"> d’anxiété</w:t>
      </w:r>
      <w:r>
        <w:t xml:space="preserve"> qui a pu le rendre plus fragile pour développer un stress post-traumatique. En effet, par l’application de la théorie du crâne fragile, à l’étape de l’analyse de la relation </w:t>
      </w:r>
      <w:r w:rsidR="00911736">
        <w:t>causale</w:t>
      </w:r>
      <w:r w:rsidR="00132D17">
        <w:t>,</w:t>
      </w:r>
      <w:r w:rsidR="00911736">
        <w:t xml:space="preserve"> lorsque</w:t>
      </w:r>
      <w:r>
        <w:t xml:space="preserve"> l’existence </w:t>
      </w:r>
      <w:r w:rsidR="00911736">
        <w:t>d’un événement imprévu et soudain survenu à l’occasion du travail est déjà reconnu</w:t>
      </w:r>
      <w:r w:rsidR="00FF4F94">
        <w:t>e</w:t>
      </w:r>
      <w:r w:rsidR="00911736">
        <w:t>, le Tribunal peut tenir compte de cette fragilité du travailleur.</w:t>
      </w:r>
    </w:p>
    <w:p w14:paraId="5494406A" w14:textId="77777777" w:rsidR="00911736" w:rsidRPr="00F47F9B" w:rsidRDefault="00911736" w:rsidP="00715215">
      <w:pPr>
        <w:pStyle w:val="corpsdedcision"/>
        <w:rPr>
          <w:sz w:val="22"/>
        </w:rPr>
      </w:pPr>
      <w:r w:rsidRPr="003D2E08">
        <w:t xml:space="preserve">Le Tribunal estime que le cas du travailleur peut correspondre au critère 4A du DSM-5 concernant le trouble de stress post-traumatique. Il est permis de conclure que le travailleur a été exposé de manière extrême aux caractéristiques aversives de l’événement traumatique. </w:t>
      </w:r>
    </w:p>
    <w:p w14:paraId="0E22F3D2" w14:textId="45BA95F0" w:rsidR="00911736" w:rsidRPr="00F47F9B" w:rsidRDefault="00911736" w:rsidP="00715215">
      <w:pPr>
        <w:pStyle w:val="corpsdedcision"/>
        <w:rPr>
          <w:rStyle w:val="Citationintgre"/>
          <w:i w:val="0"/>
          <w:sz w:val="24"/>
          <w:szCs w:val="24"/>
        </w:rPr>
      </w:pPr>
      <w:r w:rsidRPr="003D2E08">
        <w:t xml:space="preserve">Dans la section </w:t>
      </w:r>
      <w:r w:rsidRPr="005F3AAB">
        <w:rPr>
          <w:i/>
          <w:iCs/>
        </w:rPr>
        <w:t>nota bene</w:t>
      </w:r>
      <w:r w:rsidRPr="003D2E08">
        <w:t>, il est indiqué que : « </w:t>
      </w:r>
      <w:r w:rsidRPr="003D2E08">
        <w:rPr>
          <w:rStyle w:val="Citationintgre"/>
        </w:rPr>
        <w:t>Le critère A4 ne s’applique pas à des expositions par l’intermédiaire de médias é</w:t>
      </w:r>
      <w:r w:rsidR="00FF4F94" w:rsidRPr="003D2E08">
        <w:rPr>
          <w:rStyle w:val="Citationintgre"/>
        </w:rPr>
        <w:t>l</w:t>
      </w:r>
      <w:r w:rsidRPr="003D2E08">
        <w:rPr>
          <w:rStyle w:val="Citationintgre"/>
        </w:rPr>
        <w:t>ectroniques, télévision, films ou images, sauf quand elles surviennent dans le contexte d’une activité professionnelle.</w:t>
      </w:r>
      <w:r w:rsidRPr="00F47F9B">
        <w:rPr>
          <w:rStyle w:val="Citationintgre"/>
          <w:i w:val="0"/>
        </w:rPr>
        <w:t> </w:t>
      </w:r>
      <w:r w:rsidRPr="00F47F9B">
        <w:rPr>
          <w:rStyle w:val="Citationintgre"/>
          <w:i w:val="0"/>
          <w:sz w:val="24"/>
          <w:szCs w:val="24"/>
        </w:rPr>
        <w:t xml:space="preserve">». </w:t>
      </w:r>
      <w:r w:rsidRPr="003D2E08">
        <w:rPr>
          <w:rStyle w:val="Citationintgre"/>
          <w:i w:val="0"/>
          <w:sz w:val="24"/>
          <w:szCs w:val="24"/>
        </w:rPr>
        <w:t xml:space="preserve">Ici, il n’est pas question d’images, mais d’une description détaillée faite par un collègue qui peut s’assimiler à une image, laquelle est faite dans le contexte d’une activité professionnelle. </w:t>
      </w:r>
    </w:p>
    <w:p w14:paraId="61C9093D" w14:textId="75D85004" w:rsidR="00911736" w:rsidRPr="00132D17" w:rsidRDefault="00911736" w:rsidP="00715215">
      <w:pPr>
        <w:pStyle w:val="corpsdedcision"/>
        <w:rPr>
          <w:rStyle w:val="Citationintgre"/>
          <w:i w:val="0"/>
          <w:iCs/>
          <w:sz w:val="24"/>
          <w:szCs w:val="24"/>
        </w:rPr>
      </w:pPr>
      <w:r w:rsidRPr="00132D17">
        <w:rPr>
          <w:rStyle w:val="Citationintgre"/>
          <w:i w:val="0"/>
          <w:iCs/>
          <w:sz w:val="24"/>
          <w:szCs w:val="24"/>
        </w:rPr>
        <w:t xml:space="preserve">Le Tribunal ne peut ignorer que le docteur Tremblay identifie qu’une personne qui présente un trouble d’anxiété généralisé est plus susceptible de souffrir d’un trouble de stress post-traumatique lors d’une exposition. Or, ce diagnostic est posé dans le cas du travailleur. Même si les faits considérés par le professionnel de la santé en charge diffèrent quelque peu de ceux mis en preuve, le Tribunal </w:t>
      </w:r>
      <w:r w:rsidR="007E0F3D" w:rsidRPr="00132D17">
        <w:rPr>
          <w:rStyle w:val="Citationintgre"/>
          <w:i w:val="0"/>
          <w:iCs/>
          <w:sz w:val="24"/>
          <w:szCs w:val="24"/>
        </w:rPr>
        <w:t>considère que les fait</w:t>
      </w:r>
      <w:r w:rsidR="00132D17">
        <w:rPr>
          <w:rStyle w:val="Citationintgre"/>
          <w:i w:val="0"/>
          <w:iCs/>
          <w:sz w:val="24"/>
          <w:szCs w:val="24"/>
        </w:rPr>
        <w:t>s</w:t>
      </w:r>
      <w:r w:rsidR="007E0F3D" w:rsidRPr="00132D17">
        <w:rPr>
          <w:rStyle w:val="Citationintgre"/>
          <w:i w:val="0"/>
          <w:iCs/>
          <w:sz w:val="24"/>
          <w:szCs w:val="24"/>
        </w:rPr>
        <w:t xml:space="preserve"> </w:t>
      </w:r>
      <w:r w:rsidR="00132D17">
        <w:rPr>
          <w:rStyle w:val="Citationintgre"/>
          <w:i w:val="0"/>
          <w:iCs/>
          <w:sz w:val="24"/>
          <w:szCs w:val="24"/>
        </w:rPr>
        <w:t xml:space="preserve">correspondent </w:t>
      </w:r>
      <w:r w:rsidR="001542DF">
        <w:rPr>
          <w:rStyle w:val="Citationintgre"/>
          <w:i w:val="0"/>
          <w:iCs/>
          <w:sz w:val="24"/>
          <w:szCs w:val="24"/>
        </w:rPr>
        <w:t>au</w:t>
      </w:r>
      <w:r w:rsidR="007E0F3D" w:rsidRPr="00132D17">
        <w:rPr>
          <w:rStyle w:val="Citationintgre"/>
          <w:i w:val="0"/>
          <w:iCs/>
          <w:sz w:val="24"/>
          <w:szCs w:val="24"/>
        </w:rPr>
        <w:t xml:space="preserve"> critère A4 du DSM-5.</w:t>
      </w:r>
    </w:p>
    <w:p w14:paraId="11355475" w14:textId="6B9DE1A1" w:rsidR="007E0F3D" w:rsidRPr="00132D17" w:rsidRDefault="007E0F3D" w:rsidP="00715215">
      <w:pPr>
        <w:pStyle w:val="corpsdedcision"/>
        <w:rPr>
          <w:rStyle w:val="Citationintgre"/>
          <w:i w:val="0"/>
          <w:iCs/>
          <w:sz w:val="24"/>
          <w:szCs w:val="24"/>
        </w:rPr>
      </w:pPr>
      <w:r w:rsidRPr="00132D17">
        <w:rPr>
          <w:rStyle w:val="Citationintgre"/>
          <w:i w:val="0"/>
          <w:iCs/>
          <w:sz w:val="24"/>
          <w:szCs w:val="24"/>
        </w:rPr>
        <w:t xml:space="preserve">Le traumatisme survient dans un contexte de travail et le travailleur est d’autant plus affecté qu’il exerce les mêmes fonctions que le défunt. De ce fait, il craint pour sa vie et sa propension à l’anxiété crée un terrain fertile pour développer un trouble de stress post-traumatique. Par ailleurs, aucun autre événement survenu dans la vie du travailleur ne peut expliquer la survenance de cette lésion psychologique. L’incident du 6 janvier 2021 ainsi que les circonstances subséquentes sont les causes </w:t>
      </w:r>
      <w:r w:rsidR="00132D17">
        <w:rPr>
          <w:rStyle w:val="Citationintgre"/>
          <w:i w:val="0"/>
          <w:iCs/>
          <w:sz w:val="24"/>
          <w:szCs w:val="24"/>
        </w:rPr>
        <w:t xml:space="preserve">les plus probables </w:t>
      </w:r>
      <w:r w:rsidRPr="00132D17">
        <w:rPr>
          <w:rStyle w:val="Citationintgre"/>
          <w:i w:val="0"/>
          <w:iCs/>
          <w:sz w:val="24"/>
          <w:szCs w:val="24"/>
        </w:rPr>
        <w:t>permettant d’expliquer l’état du travailleur.</w:t>
      </w:r>
      <w:r w:rsidR="00037C9F" w:rsidRPr="00132D17">
        <w:rPr>
          <w:rStyle w:val="Citationintgre"/>
          <w:i w:val="0"/>
          <w:iCs/>
          <w:sz w:val="24"/>
          <w:szCs w:val="24"/>
        </w:rPr>
        <w:t xml:space="preserve"> </w:t>
      </w:r>
    </w:p>
    <w:p w14:paraId="3C0FA5D8" w14:textId="023542CA" w:rsidR="007E0F3D" w:rsidRPr="00132D17" w:rsidRDefault="00037C9F" w:rsidP="00715215">
      <w:pPr>
        <w:pStyle w:val="corpsdedcision"/>
        <w:rPr>
          <w:rStyle w:val="Citationintgre"/>
          <w:i w:val="0"/>
          <w:iCs/>
          <w:sz w:val="24"/>
          <w:szCs w:val="24"/>
        </w:rPr>
      </w:pPr>
      <w:r w:rsidRPr="00132D17">
        <w:rPr>
          <w:rStyle w:val="Citationintgre"/>
          <w:i w:val="0"/>
          <w:iCs/>
          <w:sz w:val="24"/>
          <w:szCs w:val="24"/>
        </w:rPr>
        <w:t>Les autres critères du DSM-5 ne sont pas remis en question par l’employeur et de fait, le Tribunal ne voit pas de difficulté à leur application. Il</w:t>
      </w:r>
      <w:r w:rsidR="007E0F3D" w:rsidRPr="00132D17">
        <w:rPr>
          <w:rStyle w:val="Citationintgre"/>
          <w:i w:val="0"/>
          <w:iCs/>
          <w:sz w:val="24"/>
          <w:szCs w:val="24"/>
        </w:rPr>
        <w:t xml:space="preserve"> conclut donc qu’il existe une relation causale entre l’événement survenu au travail et la lésion.</w:t>
      </w:r>
    </w:p>
    <w:p w14:paraId="16DC37AE" w14:textId="3F9ED30B" w:rsidR="00C74B6F" w:rsidRDefault="00C74B6F" w:rsidP="008B7B99">
      <w:pPr>
        <w:pStyle w:val="corpsdedcision"/>
        <w:numPr>
          <w:ilvl w:val="0"/>
          <w:numId w:val="0"/>
        </w:numPr>
      </w:pPr>
      <w:r w:rsidRPr="008B7B99">
        <w:rPr>
          <w:b/>
        </w:rPr>
        <w:t>P</w:t>
      </w:r>
      <w:r w:rsidR="00401325" w:rsidRPr="008B7B99">
        <w:rPr>
          <w:b/>
        </w:rPr>
        <w:t>AR</w:t>
      </w:r>
      <w:r w:rsidR="00D07FA6" w:rsidRPr="008B7B99">
        <w:rPr>
          <w:b/>
        </w:rPr>
        <w:t xml:space="preserve"> CES MOTIFS, LE TRIBUNAL ADMINISTRATIF DU TRAVAIL</w:t>
      </w:r>
      <w:r w:rsidRPr="008B7B99">
        <w:rPr>
          <w:b/>
        </w:rPr>
        <w:t> :</w:t>
      </w:r>
    </w:p>
    <w:p w14:paraId="5C266705" w14:textId="51737307" w:rsidR="00037C9F" w:rsidRPr="00965638" w:rsidRDefault="00037C9F" w:rsidP="00037C9F">
      <w:pPr>
        <w:pStyle w:val="Dispositif"/>
        <w:spacing w:after="400"/>
      </w:pPr>
      <w:r>
        <w:rPr>
          <w:b/>
        </w:rPr>
        <w:t>ACCUEILLE</w:t>
      </w:r>
      <w:r>
        <w:t xml:space="preserve"> </w:t>
      </w:r>
      <w:r w:rsidRPr="00965638">
        <w:t xml:space="preserve">la contestation déposée par </w:t>
      </w:r>
      <w:r w:rsidR="006E3C14">
        <w:t>monsieur Simon Gosselin,</w:t>
      </w:r>
      <w:r w:rsidRPr="00965638">
        <w:t xml:space="preserve"> </w:t>
      </w:r>
      <w:r w:rsidR="006E3C14">
        <w:t xml:space="preserve">le </w:t>
      </w:r>
      <w:r w:rsidRPr="00965638">
        <w:t>travailleu</w:t>
      </w:r>
      <w:r w:rsidR="006E3C14">
        <w:t>r</w:t>
      </w:r>
      <w:r w:rsidRPr="00965638">
        <w:t>;</w:t>
      </w:r>
    </w:p>
    <w:p w14:paraId="484B05C7" w14:textId="4BDDDC19" w:rsidR="00037C9F" w:rsidRPr="00965638" w:rsidRDefault="00313C65" w:rsidP="00037C9F">
      <w:pPr>
        <w:pStyle w:val="Dispositif"/>
        <w:spacing w:after="400"/>
      </w:pPr>
      <w:r w:rsidRPr="00313C65">
        <w:rPr>
          <w:b/>
        </w:rPr>
        <w:t>INFIRME</w:t>
      </w:r>
      <w:r>
        <w:rPr>
          <w:b/>
        </w:rPr>
        <w:t xml:space="preserve"> </w:t>
      </w:r>
      <w:r w:rsidR="00037C9F" w:rsidRPr="00965638">
        <w:t>la décision de la Commission des normes, de l’équité, de la santé et de la sécurité du travail rendue le</w:t>
      </w:r>
      <w:r>
        <w:t xml:space="preserve"> 21 mai 2021</w:t>
      </w:r>
      <w:r w:rsidR="00037C9F" w:rsidRPr="00965638">
        <w:t>, à la suite d’une révision administrative;</w:t>
      </w:r>
    </w:p>
    <w:p w14:paraId="012990C4" w14:textId="17ADA3A1" w:rsidR="00037C9F" w:rsidRPr="00965638" w:rsidRDefault="00037C9F" w:rsidP="00037C9F">
      <w:pPr>
        <w:pStyle w:val="Dispositif"/>
      </w:pPr>
      <w:r w:rsidRPr="00965638">
        <w:rPr>
          <w:b/>
        </w:rPr>
        <w:t>DÉCLARE</w:t>
      </w:r>
      <w:r w:rsidRPr="00965638">
        <w:t xml:space="preserve"> que </w:t>
      </w:r>
      <w:r w:rsidR="00313C65">
        <w:t xml:space="preserve">le travailleur </w:t>
      </w:r>
      <w:r w:rsidRPr="00965638">
        <w:t xml:space="preserve">a subi </w:t>
      </w:r>
      <w:r w:rsidR="00313C65">
        <w:t>une lésion professionnelle</w:t>
      </w:r>
      <w:r w:rsidRPr="00965638">
        <w:t xml:space="preserve"> le </w:t>
      </w:r>
      <w:r w:rsidR="00313C65">
        <w:t xml:space="preserve">6 janvier 2021 dont le diagnostic est un stress post-traumatique </w:t>
      </w:r>
      <w:r w:rsidRPr="00965638">
        <w:t>et qu’</w:t>
      </w:r>
      <w:r w:rsidR="00313C65">
        <w:t>il</w:t>
      </w:r>
      <w:r w:rsidRPr="00965638">
        <w:t xml:space="preserve"> a droit aux prestations prévues par la </w:t>
      </w:r>
      <w:r w:rsidRPr="00965638">
        <w:rPr>
          <w:i/>
          <w:iCs/>
        </w:rPr>
        <w:t>Loi sur les accidents du travail et les maladies professionnelles</w:t>
      </w:r>
      <w:r w:rsidRPr="00965638">
        <w:rPr>
          <w:iCs/>
        </w:rPr>
        <w:t>.</w:t>
      </w:r>
    </w:p>
    <w:p w14:paraId="49F550AE" w14:textId="77777777" w:rsidR="00C74B6F" w:rsidRDefault="00C74B6F">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6D22C97B" w14:textId="77777777">
        <w:tc>
          <w:tcPr>
            <w:tcW w:w="4795" w:type="dxa"/>
          </w:tcPr>
          <w:p w14:paraId="6324F1CF" w14:textId="77777777" w:rsidR="00C74B6F" w:rsidRDefault="00C74B6F"/>
        </w:tc>
        <w:tc>
          <w:tcPr>
            <w:tcW w:w="4795" w:type="dxa"/>
          </w:tcPr>
          <w:p w14:paraId="1B5D80CC" w14:textId="0CEF2AB1" w:rsidR="00C74B6F" w:rsidRDefault="00C74B6F">
            <w:bookmarkStart w:id="13" w:name="signature"/>
            <w:bookmarkEnd w:id="13"/>
            <w:r>
              <w:t>__________________________________</w:t>
            </w:r>
          </w:p>
        </w:tc>
      </w:tr>
      <w:tr w:rsidR="00C74B6F" w14:paraId="306051D1" w14:textId="77777777">
        <w:tc>
          <w:tcPr>
            <w:tcW w:w="4795" w:type="dxa"/>
          </w:tcPr>
          <w:p w14:paraId="6A985670" w14:textId="77777777" w:rsidR="00C74B6F" w:rsidRDefault="00C74B6F"/>
        </w:tc>
        <w:tc>
          <w:tcPr>
            <w:tcW w:w="4795" w:type="dxa"/>
          </w:tcPr>
          <w:p w14:paraId="7138F01C" w14:textId="2EE077A4" w:rsidR="00C74B6F" w:rsidRDefault="00001756">
            <w:r>
              <w:t>Marie-Claude Poirier</w:t>
            </w:r>
          </w:p>
        </w:tc>
      </w:tr>
      <w:tr w:rsidR="00C74B6F" w14:paraId="0CFF0028" w14:textId="77777777">
        <w:trPr>
          <w:cantSplit/>
        </w:trPr>
        <w:tc>
          <w:tcPr>
            <w:tcW w:w="9590" w:type="dxa"/>
            <w:gridSpan w:val="2"/>
          </w:tcPr>
          <w:p w14:paraId="7A2F8B46" w14:textId="43A95C4B" w:rsidR="00C74B6F" w:rsidRDefault="00C74B6F"/>
        </w:tc>
      </w:tr>
      <w:tr w:rsidR="00C74B6F" w14:paraId="305DB2AC" w14:textId="77777777">
        <w:trPr>
          <w:cantSplit/>
        </w:trPr>
        <w:tc>
          <w:tcPr>
            <w:tcW w:w="9590" w:type="dxa"/>
            <w:gridSpan w:val="2"/>
          </w:tcPr>
          <w:p w14:paraId="2DB5BE99" w14:textId="77777777" w:rsidR="00C74B6F" w:rsidRPr="00C912F9" w:rsidRDefault="00C74B6F" w:rsidP="00EC5C8D">
            <w:pPr>
              <w:tabs>
                <w:tab w:val="left" w:pos="1592"/>
              </w:tabs>
            </w:pPr>
          </w:p>
        </w:tc>
      </w:tr>
      <w:tr w:rsidR="00C74B6F" w14:paraId="2785E7B5" w14:textId="77777777">
        <w:trPr>
          <w:cantSplit/>
        </w:trPr>
        <w:tc>
          <w:tcPr>
            <w:tcW w:w="9590" w:type="dxa"/>
            <w:gridSpan w:val="2"/>
          </w:tcPr>
          <w:p w14:paraId="159C4814" w14:textId="77777777" w:rsidR="00C74B6F" w:rsidRDefault="00C74B6F"/>
        </w:tc>
      </w:tr>
      <w:tr w:rsidR="00C74B6F" w14:paraId="035B9F86" w14:textId="77777777">
        <w:trPr>
          <w:cantSplit/>
        </w:trPr>
        <w:tc>
          <w:tcPr>
            <w:tcW w:w="9590" w:type="dxa"/>
            <w:gridSpan w:val="2"/>
          </w:tcPr>
          <w:p w14:paraId="192A35B8" w14:textId="77777777" w:rsidR="00C74B6F" w:rsidRDefault="00C74B6F"/>
        </w:tc>
      </w:tr>
      <w:tr w:rsidR="00C74B6F" w14:paraId="3E9EF0F1" w14:textId="77777777">
        <w:trPr>
          <w:cantSplit/>
        </w:trPr>
        <w:tc>
          <w:tcPr>
            <w:tcW w:w="9590" w:type="dxa"/>
            <w:gridSpan w:val="2"/>
          </w:tcPr>
          <w:p w14:paraId="6D039CB0" w14:textId="5BEFB26B" w:rsidR="00C74B6F" w:rsidRDefault="00001756">
            <w:pPr>
              <w:pStyle w:val="zSoquijdatNomProcureurDem"/>
            </w:pPr>
            <w:r w:rsidRPr="007E5237">
              <w:t>M</w:t>
            </w:r>
            <w:r w:rsidRPr="007E5237">
              <w:rPr>
                <w:vertAlign w:val="superscript"/>
              </w:rPr>
              <w:t>e</w:t>
            </w:r>
            <w:r>
              <w:t xml:space="preserve"> </w:t>
            </w:r>
            <w:r w:rsidRPr="00001756">
              <w:t>Sylvain B. Gingras</w:t>
            </w:r>
          </w:p>
        </w:tc>
      </w:tr>
      <w:tr w:rsidR="00C74B6F" w14:paraId="51AF82D4" w14:textId="77777777">
        <w:trPr>
          <w:cantSplit/>
        </w:trPr>
        <w:tc>
          <w:tcPr>
            <w:tcW w:w="9590" w:type="dxa"/>
            <w:gridSpan w:val="2"/>
          </w:tcPr>
          <w:p w14:paraId="728E21B1" w14:textId="77CE759C" w:rsidR="00C74B6F" w:rsidRDefault="00001756">
            <w:pPr>
              <w:pStyle w:val="zSoquijdatCabinetProcureurDem"/>
            </w:pPr>
            <w:r w:rsidRPr="00001756">
              <w:t>GINGRAS AVOCATS</w:t>
            </w:r>
          </w:p>
        </w:tc>
      </w:tr>
      <w:tr w:rsidR="00C74B6F" w14:paraId="4E8410E2" w14:textId="77777777">
        <w:trPr>
          <w:cantSplit/>
        </w:trPr>
        <w:tc>
          <w:tcPr>
            <w:tcW w:w="9590" w:type="dxa"/>
            <w:gridSpan w:val="2"/>
          </w:tcPr>
          <w:p w14:paraId="553ADED9" w14:textId="77777777" w:rsidR="00C74B6F" w:rsidRDefault="00CB05A7">
            <w:pPr>
              <w:pStyle w:val="zSoquijlblProcureurDem"/>
            </w:pPr>
            <w:r>
              <w:t>Pour la partie demanderesse</w:t>
            </w:r>
          </w:p>
        </w:tc>
      </w:tr>
      <w:tr w:rsidR="00C74B6F" w14:paraId="0218A01A" w14:textId="77777777">
        <w:trPr>
          <w:cantSplit/>
        </w:trPr>
        <w:tc>
          <w:tcPr>
            <w:tcW w:w="9590" w:type="dxa"/>
            <w:gridSpan w:val="2"/>
          </w:tcPr>
          <w:p w14:paraId="3B889714" w14:textId="77777777" w:rsidR="00C74B6F" w:rsidRDefault="00C74B6F"/>
        </w:tc>
      </w:tr>
      <w:tr w:rsidR="00C74B6F" w14:paraId="1BE67445" w14:textId="77777777">
        <w:trPr>
          <w:cantSplit/>
        </w:trPr>
        <w:tc>
          <w:tcPr>
            <w:tcW w:w="9590" w:type="dxa"/>
            <w:gridSpan w:val="2"/>
          </w:tcPr>
          <w:p w14:paraId="05C2C404" w14:textId="2E044FF6" w:rsidR="00C74B6F" w:rsidRDefault="00001756" w:rsidP="00F47F9B">
            <w:pPr>
              <w:pStyle w:val="zSoquijdatNomProcureurDef"/>
              <w:keepNext/>
            </w:pPr>
            <w:r w:rsidRPr="007E5237">
              <w:t>M</w:t>
            </w:r>
            <w:r w:rsidRPr="007E5237">
              <w:rPr>
                <w:vertAlign w:val="superscript"/>
              </w:rPr>
              <w:t>e</w:t>
            </w:r>
            <w:r>
              <w:t xml:space="preserve"> </w:t>
            </w:r>
            <w:r w:rsidRPr="00001756">
              <w:t>Sarah-Émilie Dubois</w:t>
            </w:r>
          </w:p>
        </w:tc>
      </w:tr>
      <w:tr w:rsidR="00C74B6F" w14:paraId="7987B28A" w14:textId="77777777">
        <w:trPr>
          <w:cantSplit/>
        </w:trPr>
        <w:tc>
          <w:tcPr>
            <w:tcW w:w="9590" w:type="dxa"/>
            <w:gridSpan w:val="2"/>
          </w:tcPr>
          <w:p w14:paraId="730748FB" w14:textId="7ACD1E39" w:rsidR="00C74B6F" w:rsidRDefault="00001756" w:rsidP="00F47F9B">
            <w:pPr>
              <w:pStyle w:val="zSoquijdatCabinetProcureurDef"/>
              <w:keepNext/>
            </w:pPr>
            <w:r w:rsidRPr="00001756">
              <w:t>DENTONS CANADA S.E.N.C.R.L.</w:t>
            </w:r>
          </w:p>
        </w:tc>
      </w:tr>
      <w:tr w:rsidR="00C74B6F" w14:paraId="5BDA071D" w14:textId="77777777">
        <w:trPr>
          <w:cantSplit/>
        </w:trPr>
        <w:tc>
          <w:tcPr>
            <w:tcW w:w="9590" w:type="dxa"/>
            <w:gridSpan w:val="2"/>
          </w:tcPr>
          <w:p w14:paraId="65D94933" w14:textId="5406F257" w:rsidR="00C74B6F" w:rsidRDefault="00CB05A7" w:rsidP="00F47F9B">
            <w:pPr>
              <w:pStyle w:val="zSoquijlblProcureurDef"/>
              <w:keepNext/>
            </w:pPr>
            <w:r>
              <w:t xml:space="preserve">Pour la partie </w:t>
            </w:r>
            <w:r w:rsidR="00001756">
              <w:t>mise en cause</w:t>
            </w:r>
          </w:p>
        </w:tc>
      </w:tr>
      <w:tr w:rsidR="007569DE" w14:paraId="4B604636" w14:textId="77777777">
        <w:trPr>
          <w:cantSplit/>
        </w:trPr>
        <w:tc>
          <w:tcPr>
            <w:tcW w:w="9590" w:type="dxa"/>
            <w:gridSpan w:val="2"/>
          </w:tcPr>
          <w:p w14:paraId="564FB85A" w14:textId="77777777" w:rsidR="007569DE" w:rsidRDefault="007569DE" w:rsidP="00F47F9B">
            <w:pPr>
              <w:keepNext/>
            </w:pPr>
          </w:p>
        </w:tc>
      </w:tr>
      <w:tr w:rsidR="00C15A3F" w14:paraId="70CACC7C" w14:textId="77777777">
        <w:trPr>
          <w:cantSplit/>
        </w:trPr>
        <w:tc>
          <w:tcPr>
            <w:tcW w:w="9590" w:type="dxa"/>
            <w:gridSpan w:val="2"/>
          </w:tcPr>
          <w:p w14:paraId="49482BF2" w14:textId="5FC86566" w:rsidR="00C15A3F" w:rsidRDefault="00C15A3F" w:rsidP="00F47F9B">
            <w:pPr>
              <w:pStyle w:val="zSoquijdatDateAudience"/>
              <w:keepNext/>
            </w:pPr>
            <w:bookmarkStart w:id="14" w:name="Date_derniere_audience"/>
            <w:bookmarkEnd w:id="14"/>
            <w:r>
              <w:t xml:space="preserve">Date de la </w:t>
            </w:r>
            <w:r w:rsidR="00CC6338">
              <w:t>mise en délibéré</w:t>
            </w:r>
            <w:r>
              <w:t> :</w:t>
            </w:r>
            <w:r w:rsidR="00597016">
              <w:tab/>
            </w:r>
            <w:r w:rsidR="00001756">
              <w:t>30 janvier 2024</w:t>
            </w:r>
          </w:p>
        </w:tc>
      </w:tr>
    </w:tbl>
    <w:p w14:paraId="211F1A73" w14:textId="77777777" w:rsidR="002542E0" w:rsidRDefault="002542E0" w:rsidP="002542E0">
      <w:pPr>
        <w:pStyle w:val="corpsdedcision"/>
        <w:numPr>
          <w:ilvl w:val="0"/>
          <w:numId w:val="0"/>
        </w:numPr>
        <w:tabs>
          <w:tab w:val="clear" w:pos="720"/>
        </w:tabs>
      </w:pPr>
    </w:p>
    <w:sectPr w:rsidR="002542E0">
      <w:headerReference w:type="default" r:id="rId8"/>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BD358" w14:textId="77777777" w:rsidR="0089458C" w:rsidRDefault="0089458C">
      <w:r>
        <w:separator/>
      </w:r>
    </w:p>
  </w:endnote>
  <w:endnote w:type="continuationSeparator" w:id="0">
    <w:p w14:paraId="42ACEC49" w14:textId="77777777" w:rsidR="0089458C" w:rsidRDefault="0089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ABAC1" w14:textId="77777777" w:rsidR="0089458C" w:rsidRDefault="0089458C">
      <w:r>
        <w:separator/>
      </w:r>
    </w:p>
  </w:footnote>
  <w:footnote w:type="continuationSeparator" w:id="0">
    <w:p w14:paraId="3C46E788" w14:textId="77777777" w:rsidR="0089458C" w:rsidRDefault="0089458C">
      <w:r>
        <w:continuationSeparator/>
      </w:r>
    </w:p>
  </w:footnote>
  <w:footnote w:id="1">
    <w:p w14:paraId="3BF5D295" w14:textId="7225BD93" w:rsidR="00376007" w:rsidRPr="00F47F9B" w:rsidRDefault="00376007" w:rsidP="005F3AAB">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376007">
        <w:rPr>
          <w:rFonts w:cs="Arial"/>
          <w:sz w:val="20"/>
        </w:rPr>
        <w:t xml:space="preserve">AMERICAN PSYCHIATRIC ASSOCIATION, </w:t>
      </w:r>
      <w:r w:rsidRPr="00376007">
        <w:rPr>
          <w:rFonts w:cs="Arial"/>
          <w:i/>
          <w:iCs/>
          <w:sz w:val="20"/>
        </w:rPr>
        <w:t>DSM-5 : manuel diagnostique et statistique des troubles mentaux,</w:t>
      </w:r>
      <w:r w:rsidRPr="00376007">
        <w:rPr>
          <w:rFonts w:cs="Arial"/>
          <w:sz w:val="20"/>
        </w:rPr>
        <w:t>5</w:t>
      </w:r>
      <w:r w:rsidRPr="00376007">
        <w:rPr>
          <w:rFonts w:cs="Arial"/>
          <w:sz w:val="20"/>
          <w:vertAlign w:val="superscript"/>
        </w:rPr>
        <w:t>e</w:t>
      </w:r>
      <w:r w:rsidRPr="00376007">
        <w:rPr>
          <w:rFonts w:cs="Arial"/>
          <w:sz w:val="20"/>
        </w:rPr>
        <w:t xml:space="preserve"> éd., Issy-les-Moulineaux, Elsevier Masson, 2015.</w:t>
      </w:r>
    </w:p>
  </w:footnote>
  <w:footnote w:id="2">
    <w:p w14:paraId="3989F871" w14:textId="77777777" w:rsidR="002466D2" w:rsidRPr="00E93F37" w:rsidRDefault="002466D2" w:rsidP="002466D2">
      <w:pPr>
        <w:pStyle w:val="Notedebasdepage"/>
        <w:tabs>
          <w:tab w:val="left" w:pos="720"/>
        </w:tabs>
        <w:ind w:left="720" w:hanging="720"/>
        <w:jc w:val="both"/>
        <w:rPr>
          <w:rFonts w:cs="Arial"/>
          <w:sz w:val="20"/>
        </w:rPr>
      </w:pPr>
      <w:r w:rsidRPr="00233D3C">
        <w:rPr>
          <w:rStyle w:val="Appelnotedebasdep"/>
          <w:szCs w:val="24"/>
        </w:rPr>
        <w:footnoteRef/>
      </w:r>
      <w:r w:rsidRPr="00E93F37">
        <w:rPr>
          <w:sz w:val="20"/>
        </w:rPr>
        <w:t xml:space="preserve"> </w:t>
      </w:r>
      <w:r w:rsidRPr="00E93F37">
        <w:rPr>
          <w:rFonts w:cs="Arial"/>
          <w:sz w:val="20"/>
        </w:rPr>
        <w:tab/>
        <w:t>RLRQ, c. A-3.001.</w:t>
      </w:r>
    </w:p>
  </w:footnote>
  <w:footnote w:id="3">
    <w:p w14:paraId="7D0CCC5B" w14:textId="77777777" w:rsidR="002466D2" w:rsidRPr="00E93F37" w:rsidRDefault="002466D2" w:rsidP="002466D2">
      <w:pPr>
        <w:pStyle w:val="Notedebasdepage"/>
        <w:tabs>
          <w:tab w:val="left" w:pos="720"/>
        </w:tabs>
        <w:ind w:left="720" w:hanging="720"/>
        <w:jc w:val="both"/>
        <w:rPr>
          <w:rFonts w:cs="Arial"/>
          <w:sz w:val="20"/>
        </w:rPr>
      </w:pPr>
      <w:r w:rsidRPr="00233D3C">
        <w:rPr>
          <w:rStyle w:val="Appelnotedebasdep"/>
          <w:szCs w:val="24"/>
        </w:rPr>
        <w:footnoteRef/>
      </w:r>
      <w:r w:rsidRPr="00E93F37">
        <w:rPr>
          <w:sz w:val="20"/>
        </w:rPr>
        <w:t xml:space="preserve"> </w:t>
      </w:r>
      <w:r w:rsidRPr="00E93F37">
        <w:rPr>
          <w:rFonts w:cs="Arial"/>
          <w:sz w:val="20"/>
        </w:rPr>
        <w:tab/>
      </w:r>
      <w:r w:rsidRPr="00B57616">
        <w:rPr>
          <w:rFonts w:cs="Arial"/>
          <w:i/>
          <w:sz w:val="20"/>
        </w:rPr>
        <w:t>Cormier</w:t>
      </w:r>
      <w:r w:rsidRPr="00B57616">
        <w:rPr>
          <w:rFonts w:cs="Arial"/>
          <w:sz w:val="20"/>
        </w:rPr>
        <w:t xml:space="preserve"> et </w:t>
      </w:r>
      <w:r w:rsidRPr="00B57616">
        <w:rPr>
          <w:rFonts w:cs="Arial"/>
          <w:i/>
          <w:sz w:val="20"/>
        </w:rPr>
        <w:t>CTR Défi Intel Mauricie Centre Québec</w:t>
      </w:r>
      <w:r w:rsidRPr="00B57616">
        <w:rPr>
          <w:rFonts w:cs="Arial"/>
          <w:sz w:val="20"/>
        </w:rPr>
        <w:t>, C.L.P. 229704-04-0403, 19 avril 2005, J.</w:t>
      </w:r>
      <w:r w:rsidRPr="00B57616">
        <w:rPr>
          <w:rFonts w:cs="Arial"/>
          <w:sz w:val="20"/>
        </w:rPr>
        <w:noBreakHyphen/>
        <w:t>F. Clément</w:t>
      </w:r>
      <w:r w:rsidRPr="00E93F37">
        <w:rPr>
          <w:rFonts w:cs="Arial"/>
          <w:sz w:val="20"/>
        </w:rPr>
        <w:t>;</w:t>
      </w:r>
      <w:r w:rsidRPr="00E93F37">
        <w:rPr>
          <w:sz w:val="20"/>
        </w:rPr>
        <w:t xml:space="preserve"> </w:t>
      </w:r>
      <w:r w:rsidRPr="00B57616">
        <w:rPr>
          <w:rFonts w:cs="Arial"/>
          <w:i/>
          <w:sz w:val="20"/>
        </w:rPr>
        <w:t>Roberson</w:t>
      </w:r>
      <w:r w:rsidRPr="00B57616">
        <w:rPr>
          <w:rFonts w:cs="Arial"/>
          <w:sz w:val="20"/>
        </w:rPr>
        <w:t xml:space="preserve"> et </w:t>
      </w:r>
      <w:r w:rsidRPr="00B57616">
        <w:rPr>
          <w:rFonts w:cs="Arial"/>
          <w:i/>
          <w:sz w:val="20"/>
        </w:rPr>
        <w:t>Commission scolaire Eastern Townships</w:t>
      </w:r>
      <w:r w:rsidRPr="00B57616">
        <w:rPr>
          <w:rFonts w:cs="Arial"/>
          <w:sz w:val="20"/>
        </w:rPr>
        <w:t>, 2015 QCCLP 6329</w:t>
      </w:r>
      <w:r w:rsidRPr="004B6F20">
        <w:rPr>
          <w:rFonts w:cs="Arial"/>
          <w:sz w:val="20"/>
        </w:rPr>
        <w:t xml:space="preserve">; </w:t>
      </w:r>
      <w:r w:rsidRPr="001F458A">
        <w:rPr>
          <w:rFonts w:cs="Arial"/>
          <w:i/>
          <w:sz w:val="20"/>
        </w:rPr>
        <w:t>St</w:t>
      </w:r>
      <w:r w:rsidRPr="001F458A">
        <w:rPr>
          <w:rFonts w:cs="Arial"/>
          <w:i/>
          <w:sz w:val="20"/>
        </w:rPr>
        <w:noBreakHyphen/>
        <w:t>Pierre</w:t>
      </w:r>
      <w:r w:rsidRPr="001F458A">
        <w:rPr>
          <w:rFonts w:cs="Arial"/>
          <w:sz w:val="20"/>
        </w:rPr>
        <w:t xml:space="preserve"> </w:t>
      </w:r>
      <w:r w:rsidRPr="00B57616">
        <w:rPr>
          <w:rFonts w:cs="Arial"/>
          <w:sz w:val="20"/>
        </w:rPr>
        <w:t xml:space="preserve">et </w:t>
      </w:r>
      <w:r w:rsidRPr="00B57616">
        <w:rPr>
          <w:rFonts w:cs="Arial"/>
          <w:i/>
          <w:sz w:val="20"/>
        </w:rPr>
        <w:t>Transport Matte ltée</w:t>
      </w:r>
      <w:r w:rsidRPr="00B57616">
        <w:rPr>
          <w:rFonts w:cs="Arial"/>
          <w:sz w:val="20"/>
        </w:rPr>
        <w:t>, 2015 QCCLP 6418</w:t>
      </w:r>
      <w:r w:rsidRPr="004B6F20">
        <w:rPr>
          <w:rFonts w:cs="Arial"/>
          <w:sz w:val="20"/>
        </w:rPr>
        <w:t xml:space="preserve">; </w:t>
      </w:r>
      <w:r w:rsidRPr="00B57616">
        <w:rPr>
          <w:rFonts w:cs="Arial"/>
          <w:i/>
          <w:sz w:val="20"/>
        </w:rPr>
        <w:t>F.C.</w:t>
      </w:r>
      <w:r w:rsidRPr="00B57616">
        <w:rPr>
          <w:rFonts w:cs="Arial"/>
          <w:sz w:val="20"/>
        </w:rPr>
        <w:t xml:space="preserve"> et </w:t>
      </w:r>
      <w:r w:rsidRPr="00B57616">
        <w:rPr>
          <w:rFonts w:cs="Arial"/>
          <w:i/>
          <w:sz w:val="20"/>
        </w:rPr>
        <w:t>Compagnie A</w:t>
      </w:r>
      <w:r w:rsidRPr="00B57616">
        <w:rPr>
          <w:rFonts w:cs="Arial"/>
          <w:sz w:val="20"/>
        </w:rPr>
        <w:t>, 2016 QCTAT 1268</w:t>
      </w:r>
      <w:r w:rsidRPr="00E93F37">
        <w:rPr>
          <w:rFonts w:cs="Arial"/>
          <w:sz w:val="20"/>
        </w:rPr>
        <w:t xml:space="preserve">; </w:t>
      </w:r>
      <w:r w:rsidRPr="00B57616">
        <w:rPr>
          <w:rFonts w:cs="Arial"/>
          <w:i/>
          <w:sz w:val="20"/>
        </w:rPr>
        <w:t>K.C.</w:t>
      </w:r>
      <w:r w:rsidRPr="00B57616">
        <w:rPr>
          <w:rFonts w:cs="Arial"/>
          <w:sz w:val="20"/>
        </w:rPr>
        <w:t xml:space="preserve"> et </w:t>
      </w:r>
      <w:r w:rsidRPr="00B57616">
        <w:rPr>
          <w:rFonts w:cs="Arial"/>
          <w:i/>
          <w:sz w:val="20"/>
        </w:rPr>
        <w:t>Compagnie A</w:t>
      </w:r>
      <w:r w:rsidRPr="00B57616">
        <w:rPr>
          <w:rFonts w:cs="Arial"/>
          <w:sz w:val="20"/>
        </w:rPr>
        <w:t>, 2020 QCTAT 1735</w:t>
      </w:r>
      <w:r w:rsidRPr="001F458A">
        <w:rPr>
          <w:rFonts w:cs="Arial"/>
          <w:sz w:val="20"/>
        </w:rPr>
        <w:t>.</w:t>
      </w:r>
    </w:p>
  </w:footnote>
  <w:footnote w:id="4">
    <w:p w14:paraId="6F08BFEF" w14:textId="5DC0C345" w:rsidR="002466D2" w:rsidRPr="00E93F37" w:rsidRDefault="002466D2" w:rsidP="002466D2">
      <w:pPr>
        <w:pStyle w:val="Notedebasdepage"/>
        <w:tabs>
          <w:tab w:val="left" w:pos="720"/>
        </w:tabs>
        <w:ind w:left="720" w:hanging="720"/>
        <w:jc w:val="both"/>
        <w:rPr>
          <w:rFonts w:cs="Arial"/>
          <w:sz w:val="20"/>
        </w:rPr>
      </w:pPr>
      <w:r w:rsidRPr="00233D3C">
        <w:rPr>
          <w:rStyle w:val="Appelnotedebasdep"/>
          <w:szCs w:val="24"/>
        </w:rPr>
        <w:footnoteRef/>
      </w:r>
      <w:r w:rsidRPr="00E93F37">
        <w:rPr>
          <w:sz w:val="20"/>
        </w:rPr>
        <w:t xml:space="preserve"> </w:t>
      </w:r>
      <w:r w:rsidRPr="00E93F37">
        <w:rPr>
          <w:rFonts w:cs="Arial"/>
          <w:sz w:val="20"/>
        </w:rPr>
        <w:tab/>
      </w:r>
      <w:r w:rsidRPr="00B57616">
        <w:rPr>
          <w:rFonts w:cs="Arial"/>
          <w:sz w:val="20"/>
        </w:rPr>
        <w:t>C.A.L.P. 77375-60-9602, 5 février 1997, B. Lemay</w:t>
      </w:r>
      <w:r w:rsidRPr="00E93F37">
        <w:rPr>
          <w:rFonts w:cs="Arial"/>
          <w:sz w:val="20"/>
        </w:rPr>
        <w:t xml:space="preserve">. Voir également : </w:t>
      </w:r>
      <w:r w:rsidRPr="00B57616">
        <w:rPr>
          <w:rFonts w:cs="Arial"/>
          <w:i/>
          <w:sz w:val="20"/>
        </w:rPr>
        <w:t xml:space="preserve">Commission scolaire de Montréal </w:t>
      </w:r>
      <w:r w:rsidRPr="00B57616">
        <w:rPr>
          <w:rFonts w:cs="Arial"/>
          <w:sz w:val="20"/>
        </w:rPr>
        <w:t xml:space="preserve">et </w:t>
      </w:r>
      <w:r w:rsidRPr="00B57616">
        <w:rPr>
          <w:rFonts w:cs="Arial"/>
          <w:i/>
          <w:sz w:val="20"/>
        </w:rPr>
        <w:t>Fantinato</w:t>
      </w:r>
      <w:r w:rsidRPr="00B57616">
        <w:rPr>
          <w:rFonts w:cs="Arial"/>
          <w:sz w:val="20"/>
        </w:rPr>
        <w:t>, C.L.P. 279841-61-0601, 23 novembre 2006, G. Morin</w:t>
      </w:r>
      <w:r w:rsidRPr="00E93F37">
        <w:rPr>
          <w:rFonts w:cs="Arial"/>
          <w:sz w:val="20"/>
        </w:rPr>
        <w:t xml:space="preserve">; </w:t>
      </w:r>
      <w:r w:rsidRPr="00B57616">
        <w:rPr>
          <w:rFonts w:cs="Arial"/>
          <w:i/>
          <w:sz w:val="20"/>
        </w:rPr>
        <w:t>J.L.</w:t>
      </w:r>
      <w:r w:rsidRPr="00B57616">
        <w:rPr>
          <w:rFonts w:cs="Arial"/>
          <w:sz w:val="20"/>
        </w:rPr>
        <w:t xml:space="preserve"> et </w:t>
      </w:r>
      <w:r w:rsidRPr="00B57616">
        <w:rPr>
          <w:rFonts w:cs="Arial"/>
          <w:i/>
          <w:sz w:val="20"/>
        </w:rPr>
        <w:t>Compagnie A</w:t>
      </w:r>
      <w:r w:rsidRPr="00B57616">
        <w:rPr>
          <w:rFonts w:cs="Arial"/>
          <w:sz w:val="20"/>
        </w:rPr>
        <w:t>, 2015 QCCLP 4278</w:t>
      </w:r>
      <w:r>
        <w:rPr>
          <w:rFonts w:cs="Arial"/>
          <w:sz w:val="20"/>
        </w:rPr>
        <w:t>;</w:t>
      </w:r>
      <w:r w:rsidRPr="00E93F37">
        <w:rPr>
          <w:rFonts w:cs="Arial"/>
          <w:sz w:val="20"/>
        </w:rPr>
        <w:t xml:space="preserve"> </w:t>
      </w:r>
      <w:r w:rsidRPr="00B57616">
        <w:rPr>
          <w:rFonts w:cs="Arial"/>
          <w:i/>
          <w:sz w:val="20"/>
        </w:rPr>
        <w:t>Roberson</w:t>
      </w:r>
      <w:r w:rsidRPr="00B57616">
        <w:rPr>
          <w:rFonts w:cs="Arial"/>
          <w:sz w:val="20"/>
        </w:rPr>
        <w:t xml:space="preserve"> et </w:t>
      </w:r>
      <w:r w:rsidRPr="00B57616">
        <w:rPr>
          <w:rFonts w:cs="Arial"/>
          <w:i/>
          <w:sz w:val="20"/>
        </w:rPr>
        <w:t>Commission scolaire Eastern Townships</w:t>
      </w:r>
      <w:r w:rsidRPr="00B57616">
        <w:rPr>
          <w:rFonts w:cs="Arial"/>
          <w:sz w:val="20"/>
        </w:rPr>
        <w:t>,</w:t>
      </w:r>
      <w:r w:rsidRPr="00B57616">
        <w:rPr>
          <w:rFonts w:cs="Arial"/>
          <w:i/>
          <w:sz w:val="20"/>
        </w:rPr>
        <w:t xml:space="preserve"> </w:t>
      </w:r>
      <w:r w:rsidRPr="00B57616">
        <w:rPr>
          <w:rFonts w:cs="Arial"/>
          <w:sz w:val="20"/>
        </w:rPr>
        <w:t>précitée, note </w:t>
      </w:r>
      <w:r w:rsidR="00533126">
        <w:rPr>
          <w:rFonts w:cs="Arial"/>
          <w:sz w:val="20"/>
        </w:rPr>
        <w:t>3</w:t>
      </w:r>
      <w:r w:rsidRPr="00B57616">
        <w:rPr>
          <w:rFonts w:cs="Arial"/>
          <w:sz w:val="20"/>
        </w:rPr>
        <w:t>.</w:t>
      </w:r>
    </w:p>
  </w:footnote>
  <w:footnote w:id="5">
    <w:p w14:paraId="3DB81DD9" w14:textId="60727ADD" w:rsidR="002466D2" w:rsidRPr="00803857" w:rsidRDefault="002466D2" w:rsidP="002466D2">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186B65">
        <w:rPr>
          <w:rFonts w:cs="Arial"/>
          <w:i/>
          <w:sz w:val="20"/>
        </w:rPr>
        <w:t>Franc</w:t>
      </w:r>
      <w:r w:rsidRPr="00186B65">
        <w:rPr>
          <w:rFonts w:cs="Arial"/>
          <w:sz w:val="20"/>
        </w:rPr>
        <w:t xml:space="preserve"> et </w:t>
      </w:r>
      <w:r w:rsidRPr="00186B65">
        <w:rPr>
          <w:rFonts w:cs="Arial"/>
          <w:i/>
          <w:sz w:val="20"/>
        </w:rPr>
        <w:t>C.H. Saint-Eustache</w:t>
      </w:r>
      <w:r w:rsidRPr="00186B65">
        <w:rPr>
          <w:rFonts w:cs="Arial"/>
          <w:sz w:val="20"/>
        </w:rPr>
        <w:t>, C.L.P. 261776-64-0505, 23 octobre 2007, T. Demers</w:t>
      </w:r>
      <w:r w:rsidRPr="00EE4B7E">
        <w:rPr>
          <w:rFonts w:cs="Arial"/>
          <w:sz w:val="20"/>
        </w:rPr>
        <w:t xml:space="preserve">; </w:t>
      </w:r>
      <w:r w:rsidRPr="00186B65">
        <w:rPr>
          <w:rFonts w:cs="Arial"/>
          <w:i/>
          <w:sz w:val="20"/>
        </w:rPr>
        <w:t>Arnold</w:t>
      </w:r>
      <w:r w:rsidRPr="00186B65">
        <w:rPr>
          <w:rFonts w:cs="Arial"/>
          <w:sz w:val="20"/>
        </w:rPr>
        <w:t xml:space="preserve"> et </w:t>
      </w:r>
      <w:r w:rsidRPr="00186B65">
        <w:rPr>
          <w:rFonts w:cs="Arial"/>
          <w:i/>
          <w:sz w:val="20"/>
        </w:rPr>
        <w:t>Mission Old Brewery inc</w:t>
      </w:r>
      <w:r w:rsidRPr="00186B65">
        <w:rPr>
          <w:rFonts w:cs="Arial"/>
          <w:sz w:val="20"/>
        </w:rPr>
        <w:t>., 2015 QCCLP 6208</w:t>
      </w:r>
      <w:r w:rsidRPr="00EE4B7E">
        <w:rPr>
          <w:rFonts w:cs="Arial"/>
          <w:sz w:val="20"/>
        </w:rPr>
        <w:t xml:space="preserve">; </w:t>
      </w:r>
      <w:r w:rsidRPr="00186B65">
        <w:rPr>
          <w:rFonts w:cs="Arial"/>
          <w:i/>
          <w:sz w:val="20"/>
        </w:rPr>
        <w:t>Lahouaz</w:t>
      </w:r>
      <w:r w:rsidRPr="00186B65">
        <w:rPr>
          <w:rFonts w:cs="Arial"/>
          <w:sz w:val="20"/>
        </w:rPr>
        <w:t xml:space="preserve"> et </w:t>
      </w:r>
      <w:r w:rsidRPr="00186B65">
        <w:rPr>
          <w:rFonts w:cs="Arial"/>
          <w:i/>
          <w:sz w:val="20"/>
        </w:rPr>
        <w:t>Société de transport de Montréal</w:t>
      </w:r>
      <w:r w:rsidRPr="00186B65">
        <w:rPr>
          <w:rFonts w:cs="Arial"/>
          <w:sz w:val="20"/>
        </w:rPr>
        <w:t>, 2016 QCTAT 623</w:t>
      </w:r>
      <w:r w:rsidRPr="00EE4B7E">
        <w:rPr>
          <w:rFonts w:cs="Arial"/>
          <w:sz w:val="20"/>
        </w:rPr>
        <w:t xml:space="preserve">; </w:t>
      </w:r>
      <w:r w:rsidRPr="00186B65">
        <w:rPr>
          <w:rFonts w:cs="Arial"/>
          <w:i/>
          <w:sz w:val="20"/>
        </w:rPr>
        <w:t>Gagné</w:t>
      </w:r>
      <w:r w:rsidRPr="00186B65">
        <w:rPr>
          <w:rFonts w:cs="Arial"/>
          <w:sz w:val="20"/>
        </w:rPr>
        <w:t xml:space="preserve"> et </w:t>
      </w:r>
      <w:r w:rsidRPr="00186B65">
        <w:rPr>
          <w:rFonts w:cs="Arial"/>
          <w:i/>
          <w:sz w:val="20"/>
        </w:rPr>
        <w:t>Centre d'hébergement Harricana</w:t>
      </w:r>
      <w:r w:rsidRPr="00186B65">
        <w:rPr>
          <w:rFonts w:cs="Arial"/>
          <w:sz w:val="20"/>
        </w:rPr>
        <w:t>, 2016 QCTAT 3698</w:t>
      </w:r>
      <w:r w:rsidRPr="00EE4B7E">
        <w:rPr>
          <w:rFonts w:cs="Arial"/>
          <w:sz w:val="20"/>
        </w:rPr>
        <w:t xml:space="preserve">; </w:t>
      </w:r>
      <w:r w:rsidRPr="00186B65">
        <w:rPr>
          <w:rFonts w:cs="Arial"/>
          <w:i/>
          <w:sz w:val="20"/>
        </w:rPr>
        <w:t>K.C</w:t>
      </w:r>
      <w:r w:rsidRPr="00186B65">
        <w:rPr>
          <w:rFonts w:cs="Arial"/>
          <w:sz w:val="20"/>
        </w:rPr>
        <w:t>. et </w:t>
      </w:r>
      <w:r w:rsidRPr="00186B65">
        <w:rPr>
          <w:rFonts w:cs="Arial"/>
          <w:i/>
          <w:sz w:val="20"/>
        </w:rPr>
        <w:t>Compagnie A</w:t>
      </w:r>
      <w:r w:rsidRPr="00186B65">
        <w:rPr>
          <w:rFonts w:cs="Arial"/>
          <w:sz w:val="20"/>
        </w:rPr>
        <w:t>, précitée, note </w:t>
      </w:r>
      <w:r w:rsidR="00563E5C">
        <w:rPr>
          <w:rFonts w:cs="Arial"/>
          <w:sz w:val="20"/>
        </w:rPr>
        <w:t>3</w:t>
      </w:r>
      <w:r w:rsidRPr="00186B65">
        <w:rPr>
          <w:rFonts w:cs="Arial"/>
          <w:sz w:val="20"/>
        </w:rPr>
        <w:t>.</w:t>
      </w:r>
    </w:p>
  </w:footnote>
  <w:footnote w:id="6">
    <w:p w14:paraId="5B5DE892" w14:textId="77777777" w:rsidR="002466D2" w:rsidRPr="00803857" w:rsidRDefault="002466D2" w:rsidP="002466D2">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bookmarkStart w:id="12" w:name="_Hlk151729986"/>
      <w:r w:rsidRPr="00470189">
        <w:rPr>
          <w:rFonts w:cs="Arial"/>
          <w:i/>
          <w:iCs/>
          <w:sz w:val="20"/>
        </w:rPr>
        <w:t xml:space="preserve">Preure </w:t>
      </w:r>
      <w:r w:rsidRPr="00470189">
        <w:rPr>
          <w:rFonts w:cs="Arial"/>
          <w:sz w:val="20"/>
        </w:rPr>
        <w:t>et</w:t>
      </w:r>
      <w:r w:rsidRPr="00470189">
        <w:rPr>
          <w:rFonts w:cs="Arial"/>
          <w:i/>
          <w:iCs/>
          <w:sz w:val="20"/>
        </w:rPr>
        <w:t xml:space="preserve"> Centre de services scolaire de Montréal</w:t>
      </w:r>
      <w:r w:rsidRPr="00470189">
        <w:rPr>
          <w:rFonts w:cs="Arial"/>
          <w:sz w:val="20"/>
        </w:rPr>
        <w:t xml:space="preserve">, </w:t>
      </w:r>
      <w:bookmarkEnd w:id="12"/>
      <w:r w:rsidRPr="00470189">
        <w:rPr>
          <w:rFonts w:cs="Arial"/>
          <w:sz w:val="20"/>
        </w:rPr>
        <w:t>2022 QCTAT 253</w:t>
      </w:r>
      <w:r>
        <w:rPr>
          <w:rFonts w:cs="Arial"/>
          <w:sz w:val="20"/>
        </w:rPr>
        <w:t xml:space="preserve">; </w:t>
      </w:r>
      <w:r w:rsidRPr="00470189">
        <w:rPr>
          <w:rFonts w:cs="Arial"/>
          <w:i/>
          <w:iCs/>
          <w:sz w:val="20"/>
        </w:rPr>
        <w:t xml:space="preserve">Hénault </w:t>
      </w:r>
      <w:r w:rsidRPr="00470189">
        <w:rPr>
          <w:rFonts w:cs="Arial"/>
          <w:sz w:val="20"/>
        </w:rPr>
        <w:t>et</w:t>
      </w:r>
      <w:r w:rsidRPr="00470189">
        <w:rPr>
          <w:rFonts w:cs="Arial"/>
          <w:i/>
          <w:iCs/>
          <w:sz w:val="20"/>
        </w:rPr>
        <w:t xml:space="preserve"> Institut de cardiologie de Montréal</w:t>
      </w:r>
      <w:r w:rsidRPr="00470189">
        <w:rPr>
          <w:rFonts w:cs="Arial"/>
          <w:sz w:val="20"/>
        </w:rPr>
        <w:t>, 2022 QCTAT 5193</w:t>
      </w:r>
      <w:r>
        <w:rPr>
          <w:rFonts w:cs="Arial"/>
          <w:sz w:val="20"/>
        </w:rPr>
        <w:t xml:space="preserve">; </w:t>
      </w:r>
      <w:r w:rsidRPr="00470189">
        <w:rPr>
          <w:rFonts w:cs="Arial"/>
          <w:i/>
          <w:iCs/>
          <w:sz w:val="20"/>
        </w:rPr>
        <w:t>Davidson</w:t>
      </w:r>
      <w:r w:rsidRPr="00470189">
        <w:rPr>
          <w:rFonts w:cs="Arial"/>
          <w:sz w:val="20"/>
        </w:rPr>
        <w:t xml:space="preserve"> et </w:t>
      </w:r>
      <w:r w:rsidRPr="00470189">
        <w:rPr>
          <w:rFonts w:cs="Arial"/>
          <w:i/>
          <w:iCs/>
          <w:sz w:val="20"/>
        </w:rPr>
        <w:t>Institut de cardiologie de Montréal</w:t>
      </w:r>
      <w:r w:rsidRPr="00470189">
        <w:rPr>
          <w:rFonts w:cs="Arial"/>
          <w:sz w:val="20"/>
        </w:rPr>
        <w:t>, 2023</w:t>
      </w:r>
      <w:r>
        <w:rPr>
          <w:rFonts w:cs="Arial"/>
          <w:sz w:val="20"/>
        </w:rPr>
        <w:t> </w:t>
      </w:r>
      <w:r w:rsidRPr="00470189">
        <w:rPr>
          <w:rFonts w:cs="Arial"/>
          <w:sz w:val="20"/>
        </w:rPr>
        <w:t>QCTAT 3845</w:t>
      </w:r>
      <w:r>
        <w:rPr>
          <w:rFonts w:cs="Arial"/>
          <w:sz w:val="20"/>
        </w:rPr>
        <w:t>.</w:t>
      </w:r>
    </w:p>
  </w:footnote>
  <w:footnote w:id="7">
    <w:p w14:paraId="3CB0019B" w14:textId="77777777" w:rsidR="002466D2" w:rsidRPr="001B6233" w:rsidRDefault="002466D2" w:rsidP="002466D2">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470189">
        <w:rPr>
          <w:rFonts w:cs="Arial"/>
          <w:i/>
          <w:iCs/>
          <w:sz w:val="20"/>
        </w:rPr>
        <w:t>Sauvé</w:t>
      </w:r>
      <w:r w:rsidRPr="00470189">
        <w:rPr>
          <w:rFonts w:cs="Arial"/>
          <w:sz w:val="20"/>
        </w:rPr>
        <w:t xml:space="preserve"> et </w:t>
      </w:r>
      <w:r w:rsidRPr="00470189">
        <w:rPr>
          <w:rFonts w:cs="Arial"/>
          <w:i/>
          <w:iCs/>
          <w:sz w:val="20"/>
        </w:rPr>
        <w:t>Général Dynamics produits de défense et systèmes tactiques - Canada Valleyfield inc</w:t>
      </w:r>
      <w:r w:rsidRPr="00470189">
        <w:rPr>
          <w:rFonts w:cs="Arial"/>
          <w:sz w:val="20"/>
        </w:rPr>
        <w:t>., 2023 QCTAT 5052</w:t>
      </w:r>
      <w:r>
        <w:rPr>
          <w:rFonts w:cs="Arial"/>
          <w:sz w:val="20"/>
        </w:rPr>
        <w:t xml:space="preserve">; </w:t>
      </w:r>
      <w:r w:rsidRPr="00470189">
        <w:rPr>
          <w:rFonts w:cs="Arial"/>
          <w:i/>
          <w:iCs/>
          <w:sz w:val="20"/>
        </w:rPr>
        <w:t>Julien</w:t>
      </w:r>
      <w:r w:rsidRPr="00470189">
        <w:rPr>
          <w:rFonts w:cs="Arial"/>
          <w:sz w:val="20"/>
        </w:rPr>
        <w:t xml:space="preserve"> et </w:t>
      </w:r>
      <w:r w:rsidRPr="00470189">
        <w:rPr>
          <w:rFonts w:cs="Arial"/>
          <w:i/>
          <w:iCs/>
          <w:sz w:val="20"/>
        </w:rPr>
        <w:t xml:space="preserve">Corporation d'Urgences-Santé, </w:t>
      </w:r>
      <w:r w:rsidRPr="00470189">
        <w:rPr>
          <w:rFonts w:cs="Arial"/>
          <w:sz w:val="20"/>
        </w:rPr>
        <w:t>2024 QCTAT 11</w:t>
      </w:r>
      <w:r>
        <w:rPr>
          <w:rFonts w:cs="Arial"/>
          <w:sz w:val="20"/>
        </w:rPr>
        <w:t>.</w:t>
      </w:r>
    </w:p>
  </w:footnote>
  <w:footnote w:id="8">
    <w:p w14:paraId="1D52CE38" w14:textId="38A798E2" w:rsidR="00224E84" w:rsidRPr="00224E84" w:rsidRDefault="00224E84" w:rsidP="00224E84">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224E84">
        <w:rPr>
          <w:rFonts w:cs="Arial"/>
          <w:i/>
          <w:iCs/>
          <w:sz w:val="20"/>
        </w:rPr>
        <w:t>Résidence Charles Gabriel inc.</w:t>
      </w:r>
      <w:r w:rsidRPr="00224E84">
        <w:rPr>
          <w:rFonts w:cs="Arial"/>
          <w:sz w:val="20"/>
        </w:rPr>
        <w:t xml:space="preserve"> et </w:t>
      </w:r>
      <w:r w:rsidRPr="00224E84">
        <w:rPr>
          <w:rFonts w:cs="Arial"/>
          <w:i/>
          <w:iCs/>
          <w:sz w:val="20"/>
        </w:rPr>
        <w:t>Viau</w:t>
      </w:r>
      <w:r w:rsidR="00001756">
        <w:rPr>
          <w:rFonts w:cs="Arial"/>
          <w:sz w:val="20"/>
        </w:rPr>
        <w:t xml:space="preserve">, </w:t>
      </w:r>
      <w:r w:rsidRPr="00224E84">
        <w:rPr>
          <w:rFonts w:cs="Arial"/>
          <w:sz w:val="20"/>
        </w:rPr>
        <w:t>2024 QCTAT 497</w:t>
      </w:r>
      <w:r>
        <w:rPr>
          <w:rFonts w:cs="Arial"/>
          <w:sz w:val="20"/>
        </w:rPr>
        <w:t>.</w:t>
      </w:r>
    </w:p>
  </w:footnote>
  <w:footnote w:id="9">
    <w:p w14:paraId="3B3EBE8C" w14:textId="54308646" w:rsidR="002466D2" w:rsidRPr="00CC6149" w:rsidRDefault="002466D2" w:rsidP="002466D2">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Pr>
          <w:rFonts w:ascii="Helv" w:hAnsi="Helv" w:cs="Helv"/>
          <w:color w:val="000000"/>
          <w:sz w:val="20"/>
        </w:rPr>
        <w:t>2023 QCTAT 2384</w:t>
      </w:r>
      <w:r w:rsidRPr="00FA7D1D">
        <w:rPr>
          <w:rFonts w:ascii="Helv" w:hAnsi="Helv" w:cs="Helv"/>
          <w:color w:val="000000"/>
          <w:sz w:val="20"/>
        </w:rPr>
        <w:t xml:space="preserve">, </w:t>
      </w:r>
      <w:r>
        <w:rPr>
          <w:rFonts w:ascii="Helv" w:hAnsi="Helv" w:cs="Helv"/>
          <w:color w:val="000000"/>
          <w:sz w:val="20"/>
        </w:rPr>
        <w:t xml:space="preserve">révision </w:t>
      </w:r>
      <w:r w:rsidR="00533126">
        <w:rPr>
          <w:rFonts w:ascii="Helv" w:hAnsi="Helv" w:cs="Helv"/>
          <w:color w:val="000000"/>
          <w:sz w:val="20"/>
        </w:rPr>
        <w:t>rejetée</w:t>
      </w:r>
      <w:r w:rsidR="00563E5C">
        <w:rPr>
          <w:rFonts w:ascii="Helv" w:hAnsi="Helv" w:cs="Helv"/>
          <w:color w:val="000000"/>
          <w:sz w:val="20"/>
        </w:rPr>
        <w:t>, 2024 QCTAT 449</w:t>
      </w:r>
      <w:r>
        <w:rPr>
          <w:rFonts w:ascii="Helv" w:hAnsi="Helv" w:cs="Helv"/>
          <w:color w:val="000000"/>
          <w:sz w:val="20"/>
        </w:rPr>
        <w:t>.</w:t>
      </w:r>
    </w:p>
  </w:footnote>
  <w:footnote w:id="10">
    <w:p w14:paraId="6C306151" w14:textId="2A8AA513" w:rsidR="000520EF" w:rsidRPr="000520EF" w:rsidRDefault="000520EF" w:rsidP="000520EF">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0520EF">
        <w:rPr>
          <w:rFonts w:cs="Arial"/>
          <w:i/>
          <w:iCs/>
          <w:sz w:val="20"/>
        </w:rPr>
        <w:t>Mendez</w:t>
      </w:r>
      <w:r w:rsidRPr="000520EF">
        <w:rPr>
          <w:rFonts w:cs="Arial"/>
          <w:sz w:val="20"/>
        </w:rPr>
        <w:t xml:space="preserve"> et </w:t>
      </w:r>
      <w:r w:rsidRPr="000520EF">
        <w:rPr>
          <w:rFonts w:cs="Arial"/>
          <w:i/>
          <w:iCs/>
          <w:sz w:val="20"/>
        </w:rPr>
        <w:t>Service correctionnel Canada</w:t>
      </w:r>
      <w:r>
        <w:rPr>
          <w:rFonts w:cs="Arial"/>
          <w:sz w:val="20"/>
        </w:rPr>
        <w:t>,</w:t>
      </w:r>
      <w:r w:rsidRPr="000520EF">
        <w:rPr>
          <w:rFonts w:cs="Arial"/>
          <w:sz w:val="20"/>
        </w:rPr>
        <w:t xml:space="preserve"> 2021 QCTAT108</w:t>
      </w:r>
      <w:r>
        <w:rPr>
          <w:rFonts w:cs="Arial"/>
          <w:sz w:val="20"/>
        </w:rPr>
        <w:t>.</w:t>
      </w:r>
    </w:p>
  </w:footnote>
  <w:footnote w:id="11">
    <w:p w14:paraId="03BF6B98" w14:textId="283D9533" w:rsidR="007E4A99" w:rsidRPr="007E4A99" w:rsidRDefault="007E4A99" w:rsidP="007E4A99">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2009 QCCLP 3144.</w:t>
      </w:r>
    </w:p>
  </w:footnote>
  <w:footnote w:id="12">
    <w:p w14:paraId="66AC9D8E" w14:textId="117A32E2" w:rsidR="00A6702F" w:rsidRPr="00A6702F" w:rsidRDefault="00A6702F" w:rsidP="00822FAE">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A6702F">
        <w:rPr>
          <w:rFonts w:cs="Arial"/>
          <w:i/>
          <w:iCs/>
          <w:sz w:val="20"/>
        </w:rPr>
        <w:t xml:space="preserve">Fournier </w:t>
      </w:r>
      <w:r w:rsidRPr="00A6702F">
        <w:rPr>
          <w:rFonts w:cs="Arial"/>
          <w:sz w:val="20"/>
        </w:rPr>
        <w:t xml:space="preserve">et </w:t>
      </w:r>
      <w:r w:rsidRPr="00A6702F">
        <w:rPr>
          <w:rFonts w:cs="Arial"/>
          <w:i/>
          <w:iCs/>
          <w:sz w:val="20"/>
        </w:rPr>
        <w:t>S.T.M. (Gest. Lésions Prof.)</w:t>
      </w:r>
      <w:r w:rsidRPr="00A6702F">
        <w:rPr>
          <w:rFonts w:cs="Arial"/>
          <w:sz w:val="20"/>
        </w:rPr>
        <w:t xml:space="preserve">, 2012 QCCLP 6666 ; </w:t>
      </w:r>
      <w:r w:rsidRPr="00A6702F">
        <w:rPr>
          <w:rFonts w:cs="Arial"/>
          <w:i/>
          <w:iCs/>
          <w:sz w:val="20"/>
        </w:rPr>
        <w:t>Joly</w:t>
      </w:r>
      <w:r w:rsidRPr="00A6702F">
        <w:rPr>
          <w:rFonts w:cs="Arial"/>
          <w:sz w:val="20"/>
        </w:rPr>
        <w:t xml:space="preserve"> </w:t>
      </w:r>
      <w:r w:rsidRPr="00F47F9B">
        <w:rPr>
          <w:rFonts w:cs="Arial"/>
          <w:sz w:val="20"/>
        </w:rPr>
        <w:t>et</w:t>
      </w:r>
      <w:r w:rsidRPr="00A6702F">
        <w:rPr>
          <w:rFonts w:cs="Arial"/>
          <w:i/>
          <w:iCs/>
          <w:sz w:val="20"/>
        </w:rPr>
        <w:t xml:space="preserve"> S.T.M. (Réseau des</w:t>
      </w:r>
      <w:r w:rsidR="00822FAE">
        <w:rPr>
          <w:rFonts w:cs="Arial"/>
          <w:i/>
          <w:iCs/>
          <w:sz w:val="20"/>
        </w:rPr>
        <w:t xml:space="preserve"> </w:t>
      </w:r>
      <w:r w:rsidRPr="00A6702F">
        <w:rPr>
          <w:rFonts w:cs="Arial"/>
          <w:i/>
          <w:iCs/>
          <w:sz w:val="20"/>
        </w:rPr>
        <w:t>autobus</w:t>
      </w:r>
      <w:r w:rsidRPr="00A6702F">
        <w:rPr>
          <w:rFonts w:cs="Arial"/>
          <w:sz w:val="20"/>
        </w:rPr>
        <w:t>), 2014 QCCLP 1665.</w:t>
      </w:r>
    </w:p>
  </w:footnote>
  <w:footnote w:id="13">
    <w:p w14:paraId="65058559" w14:textId="5B997FBB" w:rsidR="00BC774A" w:rsidRPr="00BC774A" w:rsidRDefault="00BC774A" w:rsidP="00BC774A">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C607DD">
        <w:rPr>
          <w:rFonts w:cs="Arial"/>
          <w:i/>
          <w:iCs/>
          <w:sz w:val="20"/>
        </w:rPr>
        <w:t>M.A</w:t>
      </w:r>
      <w:r w:rsidRPr="00BC774A">
        <w:rPr>
          <w:rFonts w:cs="Arial"/>
          <w:sz w:val="20"/>
        </w:rPr>
        <w:t xml:space="preserve">. et </w:t>
      </w:r>
      <w:r w:rsidRPr="00C607DD">
        <w:rPr>
          <w:rFonts w:cs="Arial"/>
          <w:i/>
          <w:iCs/>
          <w:sz w:val="20"/>
        </w:rPr>
        <w:t>Compagnie A</w:t>
      </w:r>
      <w:r>
        <w:rPr>
          <w:rFonts w:cs="Arial"/>
          <w:sz w:val="20"/>
        </w:rPr>
        <w:t xml:space="preserve">, </w:t>
      </w:r>
      <w:r w:rsidRPr="00BC774A">
        <w:rPr>
          <w:rFonts w:cs="Arial"/>
          <w:sz w:val="20"/>
        </w:rPr>
        <w:t>2017 QCTAT 2783</w:t>
      </w:r>
      <w:r>
        <w:rPr>
          <w:rFonts w:cs="Arial"/>
          <w:sz w:val="20"/>
        </w:rPr>
        <w:t xml:space="preserve">; </w:t>
      </w:r>
      <w:r w:rsidRPr="00C607DD">
        <w:rPr>
          <w:rFonts w:cs="Arial"/>
          <w:i/>
          <w:iCs/>
          <w:sz w:val="20"/>
        </w:rPr>
        <w:t>STM (Réseau des autobus)</w:t>
      </w:r>
      <w:r w:rsidRPr="00BC774A">
        <w:rPr>
          <w:rFonts w:cs="Arial"/>
          <w:sz w:val="20"/>
        </w:rPr>
        <w:t xml:space="preserve"> et </w:t>
      </w:r>
      <w:r w:rsidRPr="00C607DD">
        <w:rPr>
          <w:rFonts w:cs="Arial"/>
          <w:i/>
          <w:iCs/>
          <w:sz w:val="20"/>
        </w:rPr>
        <w:t>Berrada</w:t>
      </w:r>
      <w:r w:rsidR="00C607DD">
        <w:rPr>
          <w:rFonts w:cs="Arial"/>
          <w:sz w:val="20"/>
        </w:rPr>
        <w:t>,</w:t>
      </w:r>
      <w:r w:rsidRPr="00BC774A">
        <w:rPr>
          <w:rFonts w:cs="Arial"/>
          <w:sz w:val="20"/>
        </w:rPr>
        <w:t xml:space="preserve"> 2019 QCTAT 1634</w:t>
      </w:r>
      <w:r>
        <w:rPr>
          <w:rFonts w:cs="Arial"/>
          <w:sz w:val="20"/>
        </w:rPr>
        <w:t xml:space="preserve">; </w:t>
      </w:r>
      <w:r w:rsidRPr="00C607DD">
        <w:rPr>
          <w:rFonts w:cs="Arial"/>
          <w:i/>
          <w:iCs/>
          <w:sz w:val="20"/>
        </w:rPr>
        <w:t>P.S</w:t>
      </w:r>
      <w:r w:rsidRPr="00BC774A">
        <w:rPr>
          <w:rFonts w:cs="Arial"/>
          <w:sz w:val="20"/>
        </w:rPr>
        <w:t xml:space="preserve">. et </w:t>
      </w:r>
      <w:r w:rsidRPr="00C607DD">
        <w:rPr>
          <w:rFonts w:cs="Arial"/>
          <w:i/>
          <w:iCs/>
          <w:sz w:val="20"/>
        </w:rPr>
        <w:t>Compagnie A</w:t>
      </w:r>
      <w:r>
        <w:rPr>
          <w:rFonts w:cs="Arial"/>
          <w:sz w:val="20"/>
        </w:rPr>
        <w:t xml:space="preserve">, </w:t>
      </w:r>
      <w:r w:rsidRPr="00BC774A">
        <w:rPr>
          <w:rFonts w:cs="Arial"/>
          <w:sz w:val="20"/>
        </w:rPr>
        <w:t>2020 QCTAT 1693</w:t>
      </w:r>
      <w:r>
        <w:rPr>
          <w:rFonts w:cs="Arial"/>
          <w:sz w:val="20"/>
        </w:rPr>
        <w:t>;</w:t>
      </w:r>
      <w:r w:rsidR="00C607DD">
        <w:rPr>
          <w:rFonts w:cs="Arial"/>
          <w:sz w:val="20"/>
        </w:rPr>
        <w:t xml:space="preserve"> </w:t>
      </w:r>
      <w:r w:rsidR="00C607DD" w:rsidRPr="00C607DD">
        <w:rPr>
          <w:rFonts w:cs="Arial"/>
          <w:i/>
          <w:iCs/>
          <w:sz w:val="20"/>
        </w:rPr>
        <w:t>Salmi</w:t>
      </w:r>
      <w:r w:rsidR="00C607DD" w:rsidRPr="00C607DD">
        <w:rPr>
          <w:rFonts w:cs="Arial"/>
          <w:sz w:val="20"/>
        </w:rPr>
        <w:t xml:space="preserve"> et </w:t>
      </w:r>
      <w:r w:rsidR="00C607DD" w:rsidRPr="00C607DD">
        <w:rPr>
          <w:rFonts w:cs="Arial"/>
          <w:i/>
          <w:iCs/>
          <w:sz w:val="20"/>
        </w:rPr>
        <w:t>Société de transport de Longueuil</w:t>
      </w:r>
      <w:r w:rsidR="00C607DD">
        <w:rPr>
          <w:rFonts w:cs="Arial"/>
          <w:sz w:val="20"/>
        </w:rPr>
        <w:t>,</w:t>
      </w:r>
      <w:r w:rsidR="00C607DD" w:rsidRPr="00C607DD">
        <w:rPr>
          <w:rFonts w:cs="Arial"/>
          <w:sz w:val="20"/>
        </w:rPr>
        <w:t xml:space="preserve"> 2022 QCTAT 2531</w:t>
      </w:r>
      <w:r w:rsidR="00C607DD">
        <w:rPr>
          <w:rFonts w:cs="Arial"/>
          <w:sz w:val="20"/>
        </w:rPr>
        <w:t>.</w:t>
      </w:r>
    </w:p>
  </w:footnote>
  <w:footnote w:id="14">
    <w:p w14:paraId="608AA133" w14:textId="384B9666" w:rsidR="00C607DD" w:rsidRPr="00C607DD" w:rsidRDefault="00C607DD" w:rsidP="00C607D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C607DD">
        <w:rPr>
          <w:rFonts w:cs="Arial"/>
          <w:sz w:val="20"/>
        </w:rPr>
        <w:t>2015 QCCLP 407</w:t>
      </w:r>
      <w:r>
        <w:rPr>
          <w:rFonts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D330B6" w14:paraId="367BED21" w14:textId="77777777" w:rsidTr="00452DE2">
      <w:tc>
        <w:tcPr>
          <w:tcW w:w="8730" w:type="dxa"/>
        </w:tcPr>
        <w:p w14:paraId="149C5380" w14:textId="77777777" w:rsidR="00D330B6" w:rsidRDefault="00D330B6">
          <w:pPr>
            <w:pStyle w:val="En-tte"/>
            <w:ind w:left="-90"/>
          </w:pPr>
        </w:p>
      </w:tc>
      <w:tc>
        <w:tcPr>
          <w:tcW w:w="860" w:type="dxa"/>
        </w:tcPr>
        <w:p w14:paraId="4C3C0AEC" w14:textId="77777777" w:rsidR="00D330B6" w:rsidRDefault="00D330B6">
          <w:pPr>
            <w:pStyle w:val="En-tte"/>
            <w:ind w:left="-90"/>
          </w:pPr>
        </w:p>
      </w:tc>
    </w:tr>
    <w:tr w:rsidR="00452DE2" w14:paraId="3D8A1865" w14:textId="77777777" w:rsidTr="00452DE2">
      <w:tc>
        <w:tcPr>
          <w:tcW w:w="8730" w:type="dxa"/>
        </w:tcPr>
        <w:p w14:paraId="4B44EC52" w14:textId="4694E62D" w:rsidR="00452DE2" w:rsidRDefault="00452DE2" w:rsidP="00452DE2">
          <w:r w:rsidRPr="000E4F6D">
            <w:t>1232448-62C-2106</w:t>
          </w:r>
        </w:p>
      </w:tc>
      <w:tc>
        <w:tcPr>
          <w:tcW w:w="860" w:type="dxa"/>
        </w:tcPr>
        <w:p w14:paraId="2E2ADDC2" w14:textId="77777777" w:rsidR="00452DE2" w:rsidRDefault="00452DE2" w:rsidP="00452DE2">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D676B6">
            <w:rPr>
              <w:rStyle w:val="Numrodepage"/>
              <w:noProof/>
            </w:rPr>
            <w:t>2</w:t>
          </w:r>
          <w:r>
            <w:rPr>
              <w:rStyle w:val="Numrodepage"/>
            </w:rPr>
            <w:fldChar w:fldCharType="end"/>
          </w:r>
        </w:p>
      </w:tc>
    </w:tr>
    <w:tr w:rsidR="00452DE2" w14:paraId="48399FFD" w14:textId="77777777" w:rsidTr="00452DE2">
      <w:tc>
        <w:tcPr>
          <w:tcW w:w="8730" w:type="dxa"/>
        </w:tcPr>
        <w:p w14:paraId="75D6A804" w14:textId="77777777" w:rsidR="00452DE2" w:rsidRDefault="00452DE2" w:rsidP="00452DE2"/>
      </w:tc>
      <w:tc>
        <w:tcPr>
          <w:tcW w:w="860" w:type="dxa"/>
        </w:tcPr>
        <w:p w14:paraId="46F88CAD" w14:textId="77777777" w:rsidR="00452DE2" w:rsidRDefault="00452DE2" w:rsidP="00452DE2">
          <w:pPr>
            <w:pStyle w:val="En-tte"/>
            <w:ind w:left="-90"/>
            <w:jc w:val="right"/>
          </w:pPr>
        </w:p>
      </w:tc>
    </w:tr>
  </w:tbl>
  <w:p w14:paraId="65BB9043" w14:textId="77777777" w:rsidR="00D330B6" w:rsidRDefault="00D330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B3D"/>
    <w:multiLevelType w:val="hybridMultilevel"/>
    <w:tmpl w:val="531A83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8FE2A3B"/>
    <w:multiLevelType w:val="hybridMultilevel"/>
    <w:tmpl w:val="CEA076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4" w15:restartNumberingAfterBreak="0">
    <w:nsid w:val="484078B4"/>
    <w:multiLevelType w:val="hybridMultilevel"/>
    <w:tmpl w:val="B76C320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6"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8"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10"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11"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12" w15:restartNumberingAfterBreak="0">
    <w:nsid w:val="794C2A07"/>
    <w:multiLevelType w:val="hybridMultilevel"/>
    <w:tmpl w:val="32BCDDC8"/>
    <w:lvl w:ilvl="0" w:tplc="0C0C0001">
      <w:start w:val="1"/>
      <w:numFmt w:val="bullet"/>
      <w:lvlText w:val=""/>
      <w:lvlJc w:val="left"/>
      <w:pPr>
        <w:ind w:left="790" w:hanging="360"/>
      </w:pPr>
      <w:rPr>
        <w:rFonts w:ascii="Symbol" w:hAnsi="Symbol" w:hint="default"/>
      </w:rPr>
    </w:lvl>
    <w:lvl w:ilvl="1" w:tplc="0C0C0003" w:tentative="1">
      <w:start w:val="1"/>
      <w:numFmt w:val="bullet"/>
      <w:lvlText w:val="o"/>
      <w:lvlJc w:val="left"/>
      <w:pPr>
        <w:ind w:left="1510" w:hanging="360"/>
      </w:pPr>
      <w:rPr>
        <w:rFonts w:ascii="Courier New" w:hAnsi="Courier New" w:cs="Courier New" w:hint="default"/>
      </w:rPr>
    </w:lvl>
    <w:lvl w:ilvl="2" w:tplc="0C0C0005" w:tentative="1">
      <w:start w:val="1"/>
      <w:numFmt w:val="bullet"/>
      <w:lvlText w:val=""/>
      <w:lvlJc w:val="left"/>
      <w:pPr>
        <w:ind w:left="2230" w:hanging="360"/>
      </w:pPr>
      <w:rPr>
        <w:rFonts w:ascii="Wingdings" w:hAnsi="Wingdings" w:hint="default"/>
      </w:rPr>
    </w:lvl>
    <w:lvl w:ilvl="3" w:tplc="0C0C0001" w:tentative="1">
      <w:start w:val="1"/>
      <w:numFmt w:val="bullet"/>
      <w:lvlText w:val=""/>
      <w:lvlJc w:val="left"/>
      <w:pPr>
        <w:ind w:left="2950" w:hanging="360"/>
      </w:pPr>
      <w:rPr>
        <w:rFonts w:ascii="Symbol" w:hAnsi="Symbol" w:hint="default"/>
      </w:rPr>
    </w:lvl>
    <w:lvl w:ilvl="4" w:tplc="0C0C0003" w:tentative="1">
      <w:start w:val="1"/>
      <w:numFmt w:val="bullet"/>
      <w:lvlText w:val="o"/>
      <w:lvlJc w:val="left"/>
      <w:pPr>
        <w:ind w:left="3670" w:hanging="360"/>
      </w:pPr>
      <w:rPr>
        <w:rFonts w:ascii="Courier New" w:hAnsi="Courier New" w:cs="Courier New" w:hint="default"/>
      </w:rPr>
    </w:lvl>
    <w:lvl w:ilvl="5" w:tplc="0C0C0005" w:tentative="1">
      <w:start w:val="1"/>
      <w:numFmt w:val="bullet"/>
      <w:lvlText w:val=""/>
      <w:lvlJc w:val="left"/>
      <w:pPr>
        <w:ind w:left="4390" w:hanging="360"/>
      </w:pPr>
      <w:rPr>
        <w:rFonts w:ascii="Wingdings" w:hAnsi="Wingdings" w:hint="default"/>
      </w:rPr>
    </w:lvl>
    <w:lvl w:ilvl="6" w:tplc="0C0C0001" w:tentative="1">
      <w:start w:val="1"/>
      <w:numFmt w:val="bullet"/>
      <w:lvlText w:val=""/>
      <w:lvlJc w:val="left"/>
      <w:pPr>
        <w:ind w:left="5110" w:hanging="360"/>
      </w:pPr>
      <w:rPr>
        <w:rFonts w:ascii="Symbol" w:hAnsi="Symbol" w:hint="default"/>
      </w:rPr>
    </w:lvl>
    <w:lvl w:ilvl="7" w:tplc="0C0C0003" w:tentative="1">
      <w:start w:val="1"/>
      <w:numFmt w:val="bullet"/>
      <w:lvlText w:val="o"/>
      <w:lvlJc w:val="left"/>
      <w:pPr>
        <w:ind w:left="5830" w:hanging="360"/>
      </w:pPr>
      <w:rPr>
        <w:rFonts w:ascii="Courier New" w:hAnsi="Courier New" w:cs="Courier New" w:hint="default"/>
      </w:rPr>
    </w:lvl>
    <w:lvl w:ilvl="8" w:tplc="0C0C0005" w:tentative="1">
      <w:start w:val="1"/>
      <w:numFmt w:val="bullet"/>
      <w:lvlText w:val=""/>
      <w:lvlJc w:val="left"/>
      <w:pPr>
        <w:ind w:left="6550" w:hanging="360"/>
      </w:pPr>
      <w:rPr>
        <w:rFonts w:ascii="Wingdings" w:hAnsi="Wingdings" w:hint="default"/>
      </w:rPr>
    </w:lvl>
  </w:abstractNum>
  <w:abstractNum w:abstractNumId="13"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10"/>
  </w:num>
  <w:num w:numId="2">
    <w:abstractNumId w:val="9"/>
  </w:num>
  <w:num w:numId="3">
    <w:abstractNumId w:val="8"/>
  </w:num>
  <w:num w:numId="4">
    <w:abstractNumId w:val="6"/>
  </w:num>
  <w:num w:numId="5">
    <w:abstractNumId w:val="13"/>
  </w:num>
  <w:num w:numId="6">
    <w:abstractNumId w:val="13"/>
  </w:num>
  <w:num w:numId="7">
    <w:abstractNumId w:val="2"/>
  </w:num>
  <w:num w:numId="8">
    <w:abstractNumId w:val="5"/>
  </w:num>
  <w:num w:numId="9">
    <w:abstractNumId w:val="3"/>
  </w:num>
  <w:num w:numId="10">
    <w:abstractNumId w:val="11"/>
  </w:num>
  <w:num w:numId="11">
    <w:abstractNumId w:val="7"/>
  </w:num>
  <w:num w:numId="12">
    <w:abstractNumId w:val="12"/>
  </w:num>
  <w:num w:numId="13">
    <w:abstractNumId w:val="1"/>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58C"/>
    <w:rsid w:val="00000823"/>
    <w:rsid w:val="00001756"/>
    <w:rsid w:val="000019A8"/>
    <w:rsid w:val="000034B0"/>
    <w:rsid w:val="000041A1"/>
    <w:rsid w:val="00006DD2"/>
    <w:rsid w:val="0001305E"/>
    <w:rsid w:val="00016BB0"/>
    <w:rsid w:val="00016D99"/>
    <w:rsid w:val="00021572"/>
    <w:rsid w:val="00021B30"/>
    <w:rsid w:val="00021E4C"/>
    <w:rsid w:val="00022556"/>
    <w:rsid w:val="00023858"/>
    <w:rsid w:val="00027752"/>
    <w:rsid w:val="000352CA"/>
    <w:rsid w:val="000366EC"/>
    <w:rsid w:val="00036794"/>
    <w:rsid w:val="00037C9F"/>
    <w:rsid w:val="00043E4D"/>
    <w:rsid w:val="000520EF"/>
    <w:rsid w:val="000536CC"/>
    <w:rsid w:val="000559A8"/>
    <w:rsid w:val="00055A3E"/>
    <w:rsid w:val="00056393"/>
    <w:rsid w:val="00057739"/>
    <w:rsid w:val="0007225E"/>
    <w:rsid w:val="00074ABE"/>
    <w:rsid w:val="00074EAE"/>
    <w:rsid w:val="00076D81"/>
    <w:rsid w:val="00080885"/>
    <w:rsid w:val="00082A97"/>
    <w:rsid w:val="00082AB9"/>
    <w:rsid w:val="0008378A"/>
    <w:rsid w:val="0008784D"/>
    <w:rsid w:val="00087A8E"/>
    <w:rsid w:val="00090018"/>
    <w:rsid w:val="00090306"/>
    <w:rsid w:val="00090F69"/>
    <w:rsid w:val="00093ACD"/>
    <w:rsid w:val="00095814"/>
    <w:rsid w:val="00097D81"/>
    <w:rsid w:val="00097FCE"/>
    <w:rsid w:val="000A1DAC"/>
    <w:rsid w:val="000A4AD0"/>
    <w:rsid w:val="000A5AD1"/>
    <w:rsid w:val="000A63DF"/>
    <w:rsid w:val="000A77C5"/>
    <w:rsid w:val="000B6275"/>
    <w:rsid w:val="000B7F1B"/>
    <w:rsid w:val="000C710F"/>
    <w:rsid w:val="000D3948"/>
    <w:rsid w:val="000E0C28"/>
    <w:rsid w:val="000E0C3A"/>
    <w:rsid w:val="000E1320"/>
    <w:rsid w:val="000E3FF6"/>
    <w:rsid w:val="000E4F6D"/>
    <w:rsid w:val="000E56A6"/>
    <w:rsid w:val="000F20A5"/>
    <w:rsid w:val="000F3423"/>
    <w:rsid w:val="000F5F81"/>
    <w:rsid w:val="00100AB8"/>
    <w:rsid w:val="00104550"/>
    <w:rsid w:val="00104C3D"/>
    <w:rsid w:val="001050B4"/>
    <w:rsid w:val="001144AB"/>
    <w:rsid w:val="0012224D"/>
    <w:rsid w:val="001225BC"/>
    <w:rsid w:val="00122A9E"/>
    <w:rsid w:val="00122F94"/>
    <w:rsid w:val="0012326A"/>
    <w:rsid w:val="00132622"/>
    <w:rsid w:val="00132D17"/>
    <w:rsid w:val="00134794"/>
    <w:rsid w:val="00137E7E"/>
    <w:rsid w:val="001407FC"/>
    <w:rsid w:val="00144572"/>
    <w:rsid w:val="00146116"/>
    <w:rsid w:val="00147A49"/>
    <w:rsid w:val="00147B8B"/>
    <w:rsid w:val="0015125A"/>
    <w:rsid w:val="00152464"/>
    <w:rsid w:val="00152CDE"/>
    <w:rsid w:val="001542DF"/>
    <w:rsid w:val="0015539F"/>
    <w:rsid w:val="00160597"/>
    <w:rsid w:val="00162ECC"/>
    <w:rsid w:val="001664C8"/>
    <w:rsid w:val="00167AD0"/>
    <w:rsid w:val="00167DEF"/>
    <w:rsid w:val="00167E9D"/>
    <w:rsid w:val="00173184"/>
    <w:rsid w:val="00175079"/>
    <w:rsid w:val="001761B9"/>
    <w:rsid w:val="00183515"/>
    <w:rsid w:val="001846FC"/>
    <w:rsid w:val="001924FE"/>
    <w:rsid w:val="001965E1"/>
    <w:rsid w:val="001A03BE"/>
    <w:rsid w:val="001A067E"/>
    <w:rsid w:val="001A2900"/>
    <w:rsid w:val="001A4081"/>
    <w:rsid w:val="001A65F1"/>
    <w:rsid w:val="001B2B40"/>
    <w:rsid w:val="001B3E9D"/>
    <w:rsid w:val="001B4A40"/>
    <w:rsid w:val="001B5524"/>
    <w:rsid w:val="001B6C32"/>
    <w:rsid w:val="001B6D8A"/>
    <w:rsid w:val="001C19D4"/>
    <w:rsid w:val="001C2B0B"/>
    <w:rsid w:val="001C436D"/>
    <w:rsid w:val="001D63C8"/>
    <w:rsid w:val="001D65D8"/>
    <w:rsid w:val="001E3DFD"/>
    <w:rsid w:val="001E42F0"/>
    <w:rsid w:val="001E497A"/>
    <w:rsid w:val="001E4EE5"/>
    <w:rsid w:val="001E5E3B"/>
    <w:rsid w:val="00224E84"/>
    <w:rsid w:val="00225C46"/>
    <w:rsid w:val="00226493"/>
    <w:rsid w:val="00227040"/>
    <w:rsid w:val="00230CFC"/>
    <w:rsid w:val="0023162A"/>
    <w:rsid w:val="00231C1D"/>
    <w:rsid w:val="00233532"/>
    <w:rsid w:val="0023359E"/>
    <w:rsid w:val="00234BC8"/>
    <w:rsid w:val="00241CED"/>
    <w:rsid w:val="00242FB4"/>
    <w:rsid w:val="00245605"/>
    <w:rsid w:val="002466D2"/>
    <w:rsid w:val="002542E0"/>
    <w:rsid w:val="0025456D"/>
    <w:rsid w:val="002563F0"/>
    <w:rsid w:val="00256DBB"/>
    <w:rsid w:val="00260119"/>
    <w:rsid w:val="00266064"/>
    <w:rsid w:val="00267C8D"/>
    <w:rsid w:val="002701DD"/>
    <w:rsid w:val="002710FD"/>
    <w:rsid w:val="00273F49"/>
    <w:rsid w:val="002769B5"/>
    <w:rsid w:val="00276B59"/>
    <w:rsid w:val="00281319"/>
    <w:rsid w:val="00286149"/>
    <w:rsid w:val="0028668D"/>
    <w:rsid w:val="00290289"/>
    <w:rsid w:val="00292188"/>
    <w:rsid w:val="002923D9"/>
    <w:rsid w:val="00296645"/>
    <w:rsid w:val="00296A4B"/>
    <w:rsid w:val="00297284"/>
    <w:rsid w:val="00297337"/>
    <w:rsid w:val="002A0077"/>
    <w:rsid w:val="002A07DC"/>
    <w:rsid w:val="002A3573"/>
    <w:rsid w:val="002A374B"/>
    <w:rsid w:val="002A5904"/>
    <w:rsid w:val="002A73E9"/>
    <w:rsid w:val="002B132B"/>
    <w:rsid w:val="002B2FC3"/>
    <w:rsid w:val="002B35F0"/>
    <w:rsid w:val="002B58AF"/>
    <w:rsid w:val="002C3748"/>
    <w:rsid w:val="002C5E89"/>
    <w:rsid w:val="002C7D88"/>
    <w:rsid w:val="002D42BC"/>
    <w:rsid w:val="002D71A9"/>
    <w:rsid w:val="002D7846"/>
    <w:rsid w:val="002D7FCB"/>
    <w:rsid w:val="002E05AE"/>
    <w:rsid w:val="002F7507"/>
    <w:rsid w:val="0030059B"/>
    <w:rsid w:val="00302FB4"/>
    <w:rsid w:val="00305273"/>
    <w:rsid w:val="003057FC"/>
    <w:rsid w:val="00305AFB"/>
    <w:rsid w:val="00307C85"/>
    <w:rsid w:val="00312250"/>
    <w:rsid w:val="00312983"/>
    <w:rsid w:val="00313C65"/>
    <w:rsid w:val="00314FF0"/>
    <w:rsid w:val="00323DC5"/>
    <w:rsid w:val="003248CB"/>
    <w:rsid w:val="00331EA7"/>
    <w:rsid w:val="003332B8"/>
    <w:rsid w:val="00337555"/>
    <w:rsid w:val="00337811"/>
    <w:rsid w:val="00343B46"/>
    <w:rsid w:val="00344465"/>
    <w:rsid w:val="0034740A"/>
    <w:rsid w:val="0035375B"/>
    <w:rsid w:val="003563F9"/>
    <w:rsid w:val="00360350"/>
    <w:rsid w:val="00362D74"/>
    <w:rsid w:val="003664E9"/>
    <w:rsid w:val="00366D1E"/>
    <w:rsid w:val="003703A5"/>
    <w:rsid w:val="0037112C"/>
    <w:rsid w:val="00373EE5"/>
    <w:rsid w:val="00376007"/>
    <w:rsid w:val="00376F2D"/>
    <w:rsid w:val="003817E7"/>
    <w:rsid w:val="00382E55"/>
    <w:rsid w:val="00390B55"/>
    <w:rsid w:val="003961B2"/>
    <w:rsid w:val="003A41AD"/>
    <w:rsid w:val="003B0C41"/>
    <w:rsid w:val="003B152B"/>
    <w:rsid w:val="003B1734"/>
    <w:rsid w:val="003B1735"/>
    <w:rsid w:val="003B2D2E"/>
    <w:rsid w:val="003B6CBF"/>
    <w:rsid w:val="003B7D03"/>
    <w:rsid w:val="003C47A7"/>
    <w:rsid w:val="003D0826"/>
    <w:rsid w:val="003D18FC"/>
    <w:rsid w:val="003D2E08"/>
    <w:rsid w:val="003D3A7D"/>
    <w:rsid w:val="003D3C93"/>
    <w:rsid w:val="003D6B8B"/>
    <w:rsid w:val="003D71BB"/>
    <w:rsid w:val="003E00D5"/>
    <w:rsid w:val="003E02BA"/>
    <w:rsid w:val="003E197C"/>
    <w:rsid w:val="003F0578"/>
    <w:rsid w:val="003F7F38"/>
    <w:rsid w:val="00401325"/>
    <w:rsid w:val="00401491"/>
    <w:rsid w:val="004019AA"/>
    <w:rsid w:val="0040399B"/>
    <w:rsid w:val="00405CEA"/>
    <w:rsid w:val="00406F0C"/>
    <w:rsid w:val="004106DB"/>
    <w:rsid w:val="00410A9A"/>
    <w:rsid w:val="00411251"/>
    <w:rsid w:val="00412585"/>
    <w:rsid w:val="0041363B"/>
    <w:rsid w:val="00414FA8"/>
    <w:rsid w:val="00415D5D"/>
    <w:rsid w:val="0041643A"/>
    <w:rsid w:val="004232E9"/>
    <w:rsid w:val="00424C3C"/>
    <w:rsid w:val="0042650F"/>
    <w:rsid w:val="0042682D"/>
    <w:rsid w:val="0042684F"/>
    <w:rsid w:val="00427D5D"/>
    <w:rsid w:val="00431E0B"/>
    <w:rsid w:val="004337FE"/>
    <w:rsid w:val="00433E98"/>
    <w:rsid w:val="00435738"/>
    <w:rsid w:val="00437137"/>
    <w:rsid w:val="004403B8"/>
    <w:rsid w:val="00441ADA"/>
    <w:rsid w:val="004422CA"/>
    <w:rsid w:val="00442699"/>
    <w:rsid w:val="0044274C"/>
    <w:rsid w:val="0044371C"/>
    <w:rsid w:val="0044627E"/>
    <w:rsid w:val="0045114F"/>
    <w:rsid w:val="004529D3"/>
    <w:rsid w:val="00452DE2"/>
    <w:rsid w:val="00453F31"/>
    <w:rsid w:val="00456B0C"/>
    <w:rsid w:val="00460101"/>
    <w:rsid w:val="004617F7"/>
    <w:rsid w:val="0046538B"/>
    <w:rsid w:val="00471C92"/>
    <w:rsid w:val="004739AC"/>
    <w:rsid w:val="00474489"/>
    <w:rsid w:val="00474CD1"/>
    <w:rsid w:val="00475FEF"/>
    <w:rsid w:val="0047680F"/>
    <w:rsid w:val="00477536"/>
    <w:rsid w:val="0047776F"/>
    <w:rsid w:val="00482D5B"/>
    <w:rsid w:val="004832E2"/>
    <w:rsid w:val="004870EA"/>
    <w:rsid w:val="004873EC"/>
    <w:rsid w:val="00487F13"/>
    <w:rsid w:val="0049595F"/>
    <w:rsid w:val="00496193"/>
    <w:rsid w:val="004A02AF"/>
    <w:rsid w:val="004A2D66"/>
    <w:rsid w:val="004A4449"/>
    <w:rsid w:val="004A679B"/>
    <w:rsid w:val="004B7AE6"/>
    <w:rsid w:val="004C0FB4"/>
    <w:rsid w:val="004C1811"/>
    <w:rsid w:val="004C2944"/>
    <w:rsid w:val="004C4555"/>
    <w:rsid w:val="004D16D6"/>
    <w:rsid w:val="004D6CEA"/>
    <w:rsid w:val="004E0E02"/>
    <w:rsid w:val="004E3564"/>
    <w:rsid w:val="004E3D9F"/>
    <w:rsid w:val="004E51C0"/>
    <w:rsid w:val="004E64BE"/>
    <w:rsid w:val="004F3359"/>
    <w:rsid w:val="004F3FD6"/>
    <w:rsid w:val="004F6293"/>
    <w:rsid w:val="00503B8D"/>
    <w:rsid w:val="00503EE3"/>
    <w:rsid w:val="00505811"/>
    <w:rsid w:val="0051261C"/>
    <w:rsid w:val="00515DE7"/>
    <w:rsid w:val="00517EB0"/>
    <w:rsid w:val="005205CB"/>
    <w:rsid w:val="0052430C"/>
    <w:rsid w:val="00533126"/>
    <w:rsid w:val="005348E4"/>
    <w:rsid w:val="00534D8F"/>
    <w:rsid w:val="005352F1"/>
    <w:rsid w:val="00540094"/>
    <w:rsid w:val="00545CFF"/>
    <w:rsid w:val="00547A9C"/>
    <w:rsid w:val="00555800"/>
    <w:rsid w:val="00556DBB"/>
    <w:rsid w:val="00560697"/>
    <w:rsid w:val="00560781"/>
    <w:rsid w:val="0056268F"/>
    <w:rsid w:val="00563E5C"/>
    <w:rsid w:val="005662E9"/>
    <w:rsid w:val="005700F8"/>
    <w:rsid w:val="0057063F"/>
    <w:rsid w:val="00572AAF"/>
    <w:rsid w:val="005801AE"/>
    <w:rsid w:val="00582868"/>
    <w:rsid w:val="00582ECC"/>
    <w:rsid w:val="00583845"/>
    <w:rsid w:val="0058399B"/>
    <w:rsid w:val="0058692F"/>
    <w:rsid w:val="00587045"/>
    <w:rsid w:val="00587C22"/>
    <w:rsid w:val="005907BE"/>
    <w:rsid w:val="0059436D"/>
    <w:rsid w:val="005945C0"/>
    <w:rsid w:val="00596AB2"/>
    <w:rsid w:val="00597016"/>
    <w:rsid w:val="005974B7"/>
    <w:rsid w:val="005A0D51"/>
    <w:rsid w:val="005A181B"/>
    <w:rsid w:val="005A1CB3"/>
    <w:rsid w:val="005A3073"/>
    <w:rsid w:val="005A33A5"/>
    <w:rsid w:val="005A37D7"/>
    <w:rsid w:val="005A5437"/>
    <w:rsid w:val="005A6969"/>
    <w:rsid w:val="005A70A0"/>
    <w:rsid w:val="005B0612"/>
    <w:rsid w:val="005B13F0"/>
    <w:rsid w:val="005B2E0C"/>
    <w:rsid w:val="005B30F6"/>
    <w:rsid w:val="005B45BA"/>
    <w:rsid w:val="005B5689"/>
    <w:rsid w:val="005B6680"/>
    <w:rsid w:val="005B6774"/>
    <w:rsid w:val="005C0A89"/>
    <w:rsid w:val="005C3BC4"/>
    <w:rsid w:val="005D26CC"/>
    <w:rsid w:val="005D3C84"/>
    <w:rsid w:val="005D4711"/>
    <w:rsid w:val="005D59B1"/>
    <w:rsid w:val="005D764B"/>
    <w:rsid w:val="005E2367"/>
    <w:rsid w:val="005E34D2"/>
    <w:rsid w:val="005E5E90"/>
    <w:rsid w:val="005E654C"/>
    <w:rsid w:val="005F05F6"/>
    <w:rsid w:val="005F0D07"/>
    <w:rsid w:val="005F24D0"/>
    <w:rsid w:val="005F3AAB"/>
    <w:rsid w:val="00605734"/>
    <w:rsid w:val="0061488E"/>
    <w:rsid w:val="0061574B"/>
    <w:rsid w:val="00616406"/>
    <w:rsid w:val="00622670"/>
    <w:rsid w:val="00623328"/>
    <w:rsid w:val="00623A1A"/>
    <w:rsid w:val="00626E8D"/>
    <w:rsid w:val="0063156B"/>
    <w:rsid w:val="006326A9"/>
    <w:rsid w:val="00632DA8"/>
    <w:rsid w:val="00634C4B"/>
    <w:rsid w:val="00634E6E"/>
    <w:rsid w:val="0063651F"/>
    <w:rsid w:val="00637A2A"/>
    <w:rsid w:val="0064342A"/>
    <w:rsid w:val="00643A28"/>
    <w:rsid w:val="006452FA"/>
    <w:rsid w:val="0065093D"/>
    <w:rsid w:val="00652A16"/>
    <w:rsid w:val="00655193"/>
    <w:rsid w:val="00655459"/>
    <w:rsid w:val="00656FB2"/>
    <w:rsid w:val="00657A70"/>
    <w:rsid w:val="00661454"/>
    <w:rsid w:val="006620AA"/>
    <w:rsid w:val="006626AF"/>
    <w:rsid w:val="0066642D"/>
    <w:rsid w:val="006722E2"/>
    <w:rsid w:val="00675E85"/>
    <w:rsid w:val="0067750F"/>
    <w:rsid w:val="00681396"/>
    <w:rsid w:val="0068171F"/>
    <w:rsid w:val="0068401E"/>
    <w:rsid w:val="006841A4"/>
    <w:rsid w:val="0068643F"/>
    <w:rsid w:val="006877A1"/>
    <w:rsid w:val="00692150"/>
    <w:rsid w:val="00692F0C"/>
    <w:rsid w:val="006944B0"/>
    <w:rsid w:val="00696E7C"/>
    <w:rsid w:val="00696EF2"/>
    <w:rsid w:val="006A0C54"/>
    <w:rsid w:val="006A3E54"/>
    <w:rsid w:val="006A7C53"/>
    <w:rsid w:val="006B140A"/>
    <w:rsid w:val="006B309C"/>
    <w:rsid w:val="006B4316"/>
    <w:rsid w:val="006B727F"/>
    <w:rsid w:val="006C1B57"/>
    <w:rsid w:val="006C506C"/>
    <w:rsid w:val="006C6D3A"/>
    <w:rsid w:val="006C7B36"/>
    <w:rsid w:val="006C7B7F"/>
    <w:rsid w:val="006D19E8"/>
    <w:rsid w:val="006D35AD"/>
    <w:rsid w:val="006D7768"/>
    <w:rsid w:val="006E04B5"/>
    <w:rsid w:val="006E330C"/>
    <w:rsid w:val="006E3C14"/>
    <w:rsid w:val="006E3DD8"/>
    <w:rsid w:val="006E793F"/>
    <w:rsid w:val="006F0154"/>
    <w:rsid w:val="006F13B9"/>
    <w:rsid w:val="006F608D"/>
    <w:rsid w:val="006F7944"/>
    <w:rsid w:val="00704121"/>
    <w:rsid w:val="00705BB5"/>
    <w:rsid w:val="0071326F"/>
    <w:rsid w:val="007153D7"/>
    <w:rsid w:val="00720ED4"/>
    <w:rsid w:val="00722736"/>
    <w:rsid w:val="0074488F"/>
    <w:rsid w:val="00745AA8"/>
    <w:rsid w:val="007503E0"/>
    <w:rsid w:val="007510EC"/>
    <w:rsid w:val="0075233C"/>
    <w:rsid w:val="0075256A"/>
    <w:rsid w:val="00752DCD"/>
    <w:rsid w:val="007569DE"/>
    <w:rsid w:val="0075723C"/>
    <w:rsid w:val="0076146A"/>
    <w:rsid w:val="0076350E"/>
    <w:rsid w:val="00763F36"/>
    <w:rsid w:val="00775BDF"/>
    <w:rsid w:val="0077614D"/>
    <w:rsid w:val="00782C8F"/>
    <w:rsid w:val="00785F78"/>
    <w:rsid w:val="0078659D"/>
    <w:rsid w:val="007869EC"/>
    <w:rsid w:val="00791ED8"/>
    <w:rsid w:val="007A1E58"/>
    <w:rsid w:val="007A5C7E"/>
    <w:rsid w:val="007A63F9"/>
    <w:rsid w:val="007A69A9"/>
    <w:rsid w:val="007A6E2F"/>
    <w:rsid w:val="007B0DF2"/>
    <w:rsid w:val="007B3BC5"/>
    <w:rsid w:val="007B6F8D"/>
    <w:rsid w:val="007C1832"/>
    <w:rsid w:val="007D03DF"/>
    <w:rsid w:val="007D4953"/>
    <w:rsid w:val="007D50F4"/>
    <w:rsid w:val="007D7173"/>
    <w:rsid w:val="007E0F3D"/>
    <w:rsid w:val="007E1216"/>
    <w:rsid w:val="007E4A99"/>
    <w:rsid w:val="007E4CD4"/>
    <w:rsid w:val="007E530C"/>
    <w:rsid w:val="007F0E8E"/>
    <w:rsid w:val="007F2149"/>
    <w:rsid w:val="007F4E00"/>
    <w:rsid w:val="008035BD"/>
    <w:rsid w:val="008048CF"/>
    <w:rsid w:val="008079DD"/>
    <w:rsid w:val="0081130F"/>
    <w:rsid w:val="00813095"/>
    <w:rsid w:val="008145AD"/>
    <w:rsid w:val="008146B2"/>
    <w:rsid w:val="00822FAE"/>
    <w:rsid w:val="00824430"/>
    <w:rsid w:val="00825B1F"/>
    <w:rsid w:val="00827D55"/>
    <w:rsid w:val="00832C84"/>
    <w:rsid w:val="00840EDD"/>
    <w:rsid w:val="008422D9"/>
    <w:rsid w:val="0084255F"/>
    <w:rsid w:val="00846FB1"/>
    <w:rsid w:val="0084765B"/>
    <w:rsid w:val="00854FB3"/>
    <w:rsid w:val="00857FCA"/>
    <w:rsid w:val="00860F13"/>
    <w:rsid w:val="00861697"/>
    <w:rsid w:val="0086199C"/>
    <w:rsid w:val="00861F8B"/>
    <w:rsid w:val="0086561F"/>
    <w:rsid w:val="00865A7A"/>
    <w:rsid w:val="00865FE1"/>
    <w:rsid w:val="0087069B"/>
    <w:rsid w:val="00874542"/>
    <w:rsid w:val="008748C7"/>
    <w:rsid w:val="0087521A"/>
    <w:rsid w:val="008808C0"/>
    <w:rsid w:val="00882255"/>
    <w:rsid w:val="00890BDE"/>
    <w:rsid w:val="00892AD3"/>
    <w:rsid w:val="00894155"/>
    <w:rsid w:val="0089458C"/>
    <w:rsid w:val="008962E7"/>
    <w:rsid w:val="0089720C"/>
    <w:rsid w:val="008A1118"/>
    <w:rsid w:val="008A281F"/>
    <w:rsid w:val="008A48D2"/>
    <w:rsid w:val="008A4AF6"/>
    <w:rsid w:val="008A4FF8"/>
    <w:rsid w:val="008A5ED1"/>
    <w:rsid w:val="008A73CE"/>
    <w:rsid w:val="008A7FD1"/>
    <w:rsid w:val="008B042E"/>
    <w:rsid w:val="008B211E"/>
    <w:rsid w:val="008B6D48"/>
    <w:rsid w:val="008B7B99"/>
    <w:rsid w:val="008C7660"/>
    <w:rsid w:val="008C79A7"/>
    <w:rsid w:val="008D1FDF"/>
    <w:rsid w:val="008D5521"/>
    <w:rsid w:val="008D555F"/>
    <w:rsid w:val="008D625D"/>
    <w:rsid w:val="008D650E"/>
    <w:rsid w:val="008D6F9F"/>
    <w:rsid w:val="008E4420"/>
    <w:rsid w:val="008E673E"/>
    <w:rsid w:val="008E67D1"/>
    <w:rsid w:val="008E6A41"/>
    <w:rsid w:val="008E6FC1"/>
    <w:rsid w:val="008F15D5"/>
    <w:rsid w:val="008F20EA"/>
    <w:rsid w:val="008F79C4"/>
    <w:rsid w:val="00903990"/>
    <w:rsid w:val="009042A8"/>
    <w:rsid w:val="00904950"/>
    <w:rsid w:val="00911736"/>
    <w:rsid w:val="00911BCA"/>
    <w:rsid w:val="0091442E"/>
    <w:rsid w:val="00915E5E"/>
    <w:rsid w:val="00916673"/>
    <w:rsid w:val="009166B8"/>
    <w:rsid w:val="00916FA5"/>
    <w:rsid w:val="00917915"/>
    <w:rsid w:val="00920684"/>
    <w:rsid w:val="009216E6"/>
    <w:rsid w:val="009224EC"/>
    <w:rsid w:val="00922DB7"/>
    <w:rsid w:val="0092684A"/>
    <w:rsid w:val="00927654"/>
    <w:rsid w:val="00932EC4"/>
    <w:rsid w:val="00937FAB"/>
    <w:rsid w:val="0094094D"/>
    <w:rsid w:val="00942AB8"/>
    <w:rsid w:val="0094548C"/>
    <w:rsid w:val="00945CAF"/>
    <w:rsid w:val="00946AC9"/>
    <w:rsid w:val="00947448"/>
    <w:rsid w:val="00952B38"/>
    <w:rsid w:val="00952C99"/>
    <w:rsid w:val="009619EB"/>
    <w:rsid w:val="00965333"/>
    <w:rsid w:val="009712EF"/>
    <w:rsid w:val="009727BF"/>
    <w:rsid w:val="00973321"/>
    <w:rsid w:val="00975C2E"/>
    <w:rsid w:val="009770EB"/>
    <w:rsid w:val="00977270"/>
    <w:rsid w:val="009824F2"/>
    <w:rsid w:val="00983080"/>
    <w:rsid w:val="00986AA3"/>
    <w:rsid w:val="00993B24"/>
    <w:rsid w:val="0099611F"/>
    <w:rsid w:val="009A083F"/>
    <w:rsid w:val="009A135C"/>
    <w:rsid w:val="009A67E7"/>
    <w:rsid w:val="009C1412"/>
    <w:rsid w:val="009C603A"/>
    <w:rsid w:val="009C74CD"/>
    <w:rsid w:val="009D048F"/>
    <w:rsid w:val="009D162F"/>
    <w:rsid w:val="009D1F91"/>
    <w:rsid w:val="009D23FF"/>
    <w:rsid w:val="009D401F"/>
    <w:rsid w:val="009D5B42"/>
    <w:rsid w:val="009D68FA"/>
    <w:rsid w:val="009D73EF"/>
    <w:rsid w:val="009E1E4F"/>
    <w:rsid w:val="009E32CF"/>
    <w:rsid w:val="009E4261"/>
    <w:rsid w:val="009E4FC2"/>
    <w:rsid w:val="009F44AE"/>
    <w:rsid w:val="009F59B9"/>
    <w:rsid w:val="00A02529"/>
    <w:rsid w:val="00A02EF2"/>
    <w:rsid w:val="00A04D5E"/>
    <w:rsid w:val="00A10DDF"/>
    <w:rsid w:val="00A11172"/>
    <w:rsid w:val="00A1219E"/>
    <w:rsid w:val="00A12E55"/>
    <w:rsid w:val="00A168D7"/>
    <w:rsid w:val="00A20F81"/>
    <w:rsid w:val="00A2411A"/>
    <w:rsid w:val="00A242E4"/>
    <w:rsid w:val="00A24437"/>
    <w:rsid w:val="00A24CA0"/>
    <w:rsid w:val="00A25D4B"/>
    <w:rsid w:val="00A33601"/>
    <w:rsid w:val="00A3362A"/>
    <w:rsid w:val="00A34251"/>
    <w:rsid w:val="00A35278"/>
    <w:rsid w:val="00A36257"/>
    <w:rsid w:val="00A37045"/>
    <w:rsid w:val="00A37B70"/>
    <w:rsid w:val="00A40AC7"/>
    <w:rsid w:val="00A435C7"/>
    <w:rsid w:val="00A55607"/>
    <w:rsid w:val="00A569B2"/>
    <w:rsid w:val="00A60CDA"/>
    <w:rsid w:val="00A611A4"/>
    <w:rsid w:val="00A61F09"/>
    <w:rsid w:val="00A637ED"/>
    <w:rsid w:val="00A63E1A"/>
    <w:rsid w:val="00A643DC"/>
    <w:rsid w:val="00A6695B"/>
    <w:rsid w:val="00A6702F"/>
    <w:rsid w:val="00A72703"/>
    <w:rsid w:val="00A727F6"/>
    <w:rsid w:val="00A72E71"/>
    <w:rsid w:val="00A756F1"/>
    <w:rsid w:val="00A76432"/>
    <w:rsid w:val="00A770C0"/>
    <w:rsid w:val="00A84FC6"/>
    <w:rsid w:val="00A8528E"/>
    <w:rsid w:val="00A90BD9"/>
    <w:rsid w:val="00A9101B"/>
    <w:rsid w:val="00A94A49"/>
    <w:rsid w:val="00A95C5E"/>
    <w:rsid w:val="00AA1815"/>
    <w:rsid w:val="00AA1D3E"/>
    <w:rsid w:val="00AA20E7"/>
    <w:rsid w:val="00AA39F9"/>
    <w:rsid w:val="00AA459C"/>
    <w:rsid w:val="00AA79D3"/>
    <w:rsid w:val="00AB0931"/>
    <w:rsid w:val="00AB4DC4"/>
    <w:rsid w:val="00AB5C9B"/>
    <w:rsid w:val="00AC0159"/>
    <w:rsid w:val="00AC0276"/>
    <w:rsid w:val="00AC0312"/>
    <w:rsid w:val="00AC0449"/>
    <w:rsid w:val="00AC0DC3"/>
    <w:rsid w:val="00AD035F"/>
    <w:rsid w:val="00AD2497"/>
    <w:rsid w:val="00AD5C04"/>
    <w:rsid w:val="00AD5EB4"/>
    <w:rsid w:val="00AD667B"/>
    <w:rsid w:val="00AE63E2"/>
    <w:rsid w:val="00AE7976"/>
    <w:rsid w:val="00AF04C9"/>
    <w:rsid w:val="00AF19A2"/>
    <w:rsid w:val="00AF1DC4"/>
    <w:rsid w:val="00AF26B6"/>
    <w:rsid w:val="00AF2979"/>
    <w:rsid w:val="00AF3189"/>
    <w:rsid w:val="00AF5BF8"/>
    <w:rsid w:val="00B0375C"/>
    <w:rsid w:val="00B052CB"/>
    <w:rsid w:val="00B156C3"/>
    <w:rsid w:val="00B15F67"/>
    <w:rsid w:val="00B1624F"/>
    <w:rsid w:val="00B20F5D"/>
    <w:rsid w:val="00B21184"/>
    <w:rsid w:val="00B224C5"/>
    <w:rsid w:val="00B325CD"/>
    <w:rsid w:val="00B36C0F"/>
    <w:rsid w:val="00B37793"/>
    <w:rsid w:val="00B41203"/>
    <w:rsid w:val="00B4561E"/>
    <w:rsid w:val="00B4646F"/>
    <w:rsid w:val="00B4768D"/>
    <w:rsid w:val="00B518E5"/>
    <w:rsid w:val="00B51E1F"/>
    <w:rsid w:val="00B52601"/>
    <w:rsid w:val="00B57032"/>
    <w:rsid w:val="00B60222"/>
    <w:rsid w:val="00B62CFB"/>
    <w:rsid w:val="00B662F5"/>
    <w:rsid w:val="00B7000C"/>
    <w:rsid w:val="00B760D5"/>
    <w:rsid w:val="00B77495"/>
    <w:rsid w:val="00B83B2C"/>
    <w:rsid w:val="00B92049"/>
    <w:rsid w:val="00B94740"/>
    <w:rsid w:val="00B95002"/>
    <w:rsid w:val="00B97F75"/>
    <w:rsid w:val="00BA0251"/>
    <w:rsid w:val="00BA0A4F"/>
    <w:rsid w:val="00BA1CAE"/>
    <w:rsid w:val="00BA33BB"/>
    <w:rsid w:val="00BA4830"/>
    <w:rsid w:val="00BA6E22"/>
    <w:rsid w:val="00BB1460"/>
    <w:rsid w:val="00BB362C"/>
    <w:rsid w:val="00BB5942"/>
    <w:rsid w:val="00BC0A03"/>
    <w:rsid w:val="00BC4A42"/>
    <w:rsid w:val="00BC5BB4"/>
    <w:rsid w:val="00BC774A"/>
    <w:rsid w:val="00BD4139"/>
    <w:rsid w:val="00BE059A"/>
    <w:rsid w:val="00BE1981"/>
    <w:rsid w:val="00BE2DA6"/>
    <w:rsid w:val="00BE2E86"/>
    <w:rsid w:val="00BE320B"/>
    <w:rsid w:val="00BE56E9"/>
    <w:rsid w:val="00BE63CF"/>
    <w:rsid w:val="00BE7014"/>
    <w:rsid w:val="00BE7991"/>
    <w:rsid w:val="00BF25C7"/>
    <w:rsid w:val="00C009B7"/>
    <w:rsid w:val="00C00D4D"/>
    <w:rsid w:val="00C01E10"/>
    <w:rsid w:val="00C02B8F"/>
    <w:rsid w:val="00C04E32"/>
    <w:rsid w:val="00C116B1"/>
    <w:rsid w:val="00C15A3F"/>
    <w:rsid w:val="00C20630"/>
    <w:rsid w:val="00C224A4"/>
    <w:rsid w:val="00C22F7A"/>
    <w:rsid w:val="00C2666F"/>
    <w:rsid w:val="00C32020"/>
    <w:rsid w:val="00C32D02"/>
    <w:rsid w:val="00C3408C"/>
    <w:rsid w:val="00C3484D"/>
    <w:rsid w:val="00C351CC"/>
    <w:rsid w:val="00C35435"/>
    <w:rsid w:val="00C411DD"/>
    <w:rsid w:val="00C432FD"/>
    <w:rsid w:val="00C43CDF"/>
    <w:rsid w:val="00C458C7"/>
    <w:rsid w:val="00C4608E"/>
    <w:rsid w:val="00C512B2"/>
    <w:rsid w:val="00C53B5D"/>
    <w:rsid w:val="00C571FB"/>
    <w:rsid w:val="00C57381"/>
    <w:rsid w:val="00C607DD"/>
    <w:rsid w:val="00C61D56"/>
    <w:rsid w:val="00C62B69"/>
    <w:rsid w:val="00C64331"/>
    <w:rsid w:val="00C644B7"/>
    <w:rsid w:val="00C64564"/>
    <w:rsid w:val="00C66D6F"/>
    <w:rsid w:val="00C71377"/>
    <w:rsid w:val="00C73C87"/>
    <w:rsid w:val="00C74B6F"/>
    <w:rsid w:val="00C87EF3"/>
    <w:rsid w:val="00C9015F"/>
    <w:rsid w:val="00C912F9"/>
    <w:rsid w:val="00C91B22"/>
    <w:rsid w:val="00C9241B"/>
    <w:rsid w:val="00C9370B"/>
    <w:rsid w:val="00C96DDF"/>
    <w:rsid w:val="00C97569"/>
    <w:rsid w:val="00CA199D"/>
    <w:rsid w:val="00CA4D9C"/>
    <w:rsid w:val="00CB05A7"/>
    <w:rsid w:val="00CB06A4"/>
    <w:rsid w:val="00CB325B"/>
    <w:rsid w:val="00CB3EFF"/>
    <w:rsid w:val="00CB64FF"/>
    <w:rsid w:val="00CB7078"/>
    <w:rsid w:val="00CB711D"/>
    <w:rsid w:val="00CB7902"/>
    <w:rsid w:val="00CC014B"/>
    <w:rsid w:val="00CC0E81"/>
    <w:rsid w:val="00CC21D8"/>
    <w:rsid w:val="00CC3369"/>
    <w:rsid w:val="00CC5343"/>
    <w:rsid w:val="00CC59D7"/>
    <w:rsid w:val="00CC6338"/>
    <w:rsid w:val="00CC78DE"/>
    <w:rsid w:val="00CD04D9"/>
    <w:rsid w:val="00CD0F93"/>
    <w:rsid w:val="00CD6D6E"/>
    <w:rsid w:val="00CD6F23"/>
    <w:rsid w:val="00CF5D7E"/>
    <w:rsid w:val="00CF640B"/>
    <w:rsid w:val="00CF6B5A"/>
    <w:rsid w:val="00D027AF"/>
    <w:rsid w:val="00D0323E"/>
    <w:rsid w:val="00D06652"/>
    <w:rsid w:val="00D07FA6"/>
    <w:rsid w:val="00D13A91"/>
    <w:rsid w:val="00D1583B"/>
    <w:rsid w:val="00D16ADF"/>
    <w:rsid w:val="00D17C53"/>
    <w:rsid w:val="00D17D57"/>
    <w:rsid w:val="00D2341D"/>
    <w:rsid w:val="00D252DA"/>
    <w:rsid w:val="00D25E0E"/>
    <w:rsid w:val="00D302EB"/>
    <w:rsid w:val="00D31679"/>
    <w:rsid w:val="00D320C8"/>
    <w:rsid w:val="00D330B6"/>
    <w:rsid w:val="00D3672F"/>
    <w:rsid w:val="00D40ABA"/>
    <w:rsid w:val="00D40FE2"/>
    <w:rsid w:val="00D440FA"/>
    <w:rsid w:val="00D44BCF"/>
    <w:rsid w:val="00D46E73"/>
    <w:rsid w:val="00D50596"/>
    <w:rsid w:val="00D5548D"/>
    <w:rsid w:val="00D56572"/>
    <w:rsid w:val="00D60F81"/>
    <w:rsid w:val="00D63951"/>
    <w:rsid w:val="00D63BF2"/>
    <w:rsid w:val="00D64B34"/>
    <w:rsid w:val="00D67348"/>
    <w:rsid w:val="00D676B6"/>
    <w:rsid w:val="00D70A26"/>
    <w:rsid w:val="00D73BB4"/>
    <w:rsid w:val="00D75FEC"/>
    <w:rsid w:val="00D76B98"/>
    <w:rsid w:val="00D82E63"/>
    <w:rsid w:val="00D835A0"/>
    <w:rsid w:val="00D86905"/>
    <w:rsid w:val="00D86F2C"/>
    <w:rsid w:val="00D94301"/>
    <w:rsid w:val="00D96248"/>
    <w:rsid w:val="00DA0680"/>
    <w:rsid w:val="00DA36F6"/>
    <w:rsid w:val="00DA48F0"/>
    <w:rsid w:val="00DA7637"/>
    <w:rsid w:val="00DB0C8D"/>
    <w:rsid w:val="00DB6AF2"/>
    <w:rsid w:val="00DC1599"/>
    <w:rsid w:val="00DC1611"/>
    <w:rsid w:val="00DC66A3"/>
    <w:rsid w:val="00DC7036"/>
    <w:rsid w:val="00DC70E4"/>
    <w:rsid w:val="00DD3C53"/>
    <w:rsid w:val="00DD6B73"/>
    <w:rsid w:val="00DE4D07"/>
    <w:rsid w:val="00DE745D"/>
    <w:rsid w:val="00DF0774"/>
    <w:rsid w:val="00DF1036"/>
    <w:rsid w:val="00DF4644"/>
    <w:rsid w:val="00DF68F6"/>
    <w:rsid w:val="00DF7A83"/>
    <w:rsid w:val="00E012B4"/>
    <w:rsid w:val="00E05451"/>
    <w:rsid w:val="00E05651"/>
    <w:rsid w:val="00E100F6"/>
    <w:rsid w:val="00E11BA5"/>
    <w:rsid w:val="00E11D23"/>
    <w:rsid w:val="00E17CBD"/>
    <w:rsid w:val="00E20425"/>
    <w:rsid w:val="00E21768"/>
    <w:rsid w:val="00E25DCB"/>
    <w:rsid w:val="00E2613B"/>
    <w:rsid w:val="00E313DF"/>
    <w:rsid w:val="00E330E0"/>
    <w:rsid w:val="00E36C70"/>
    <w:rsid w:val="00E37EAE"/>
    <w:rsid w:val="00E4156E"/>
    <w:rsid w:val="00E44D61"/>
    <w:rsid w:val="00E453F2"/>
    <w:rsid w:val="00E460AD"/>
    <w:rsid w:val="00E51815"/>
    <w:rsid w:val="00E61925"/>
    <w:rsid w:val="00E6363B"/>
    <w:rsid w:val="00E65C0E"/>
    <w:rsid w:val="00E65FA9"/>
    <w:rsid w:val="00E65FB9"/>
    <w:rsid w:val="00E67BA4"/>
    <w:rsid w:val="00E730FC"/>
    <w:rsid w:val="00E746F0"/>
    <w:rsid w:val="00E809B9"/>
    <w:rsid w:val="00E82A15"/>
    <w:rsid w:val="00E85445"/>
    <w:rsid w:val="00E87589"/>
    <w:rsid w:val="00E938FF"/>
    <w:rsid w:val="00E93DFE"/>
    <w:rsid w:val="00EA2124"/>
    <w:rsid w:val="00EA2B12"/>
    <w:rsid w:val="00EA34DC"/>
    <w:rsid w:val="00EA456C"/>
    <w:rsid w:val="00EA5017"/>
    <w:rsid w:val="00EA6BED"/>
    <w:rsid w:val="00EB14F0"/>
    <w:rsid w:val="00EB3844"/>
    <w:rsid w:val="00EB5A9F"/>
    <w:rsid w:val="00EC573F"/>
    <w:rsid w:val="00EC5C8D"/>
    <w:rsid w:val="00ED106C"/>
    <w:rsid w:val="00ED1B31"/>
    <w:rsid w:val="00ED2D34"/>
    <w:rsid w:val="00ED4805"/>
    <w:rsid w:val="00ED57F6"/>
    <w:rsid w:val="00ED6C51"/>
    <w:rsid w:val="00ED6DA1"/>
    <w:rsid w:val="00EF0AF8"/>
    <w:rsid w:val="00EF207D"/>
    <w:rsid w:val="00EF28F7"/>
    <w:rsid w:val="00EF4258"/>
    <w:rsid w:val="00EF6D31"/>
    <w:rsid w:val="00F02237"/>
    <w:rsid w:val="00F046F1"/>
    <w:rsid w:val="00F072E2"/>
    <w:rsid w:val="00F079A6"/>
    <w:rsid w:val="00F10236"/>
    <w:rsid w:val="00F15811"/>
    <w:rsid w:val="00F211B1"/>
    <w:rsid w:val="00F22423"/>
    <w:rsid w:val="00F24C72"/>
    <w:rsid w:val="00F27979"/>
    <w:rsid w:val="00F30267"/>
    <w:rsid w:val="00F31D22"/>
    <w:rsid w:val="00F32AA1"/>
    <w:rsid w:val="00F348B2"/>
    <w:rsid w:val="00F34BF0"/>
    <w:rsid w:val="00F34ED8"/>
    <w:rsid w:val="00F4095A"/>
    <w:rsid w:val="00F452CC"/>
    <w:rsid w:val="00F45845"/>
    <w:rsid w:val="00F47F9B"/>
    <w:rsid w:val="00F50189"/>
    <w:rsid w:val="00F508FC"/>
    <w:rsid w:val="00F510B7"/>
    <w:rsid w:val="00F53571"/>
    <w:rsid w:val="00F54044"/>
    <w:rsid w:val="00F576E7"/>
    <w:rsid w:val="00F731D7"/>
    <w:rsid w:val="00F73D1C"/>
    <w:rsid w:val="00F763FC"/>
    <w:rsid w:val="00F76B4A"/>
    <w:rsid w:val="00F772C1"/>
    <w:rsid w:val="00F8026D"/>
    <w:rsid w:val="00F8245F"/>
    <w:rsid w:val="00F82E40"/>
    <w:rsid w:val="00F9136E"/>
    <w:rsid w:val="00F91629"/>
    <w:rsid w:val="00F91E2A"/>
    <w:rsid w:val="00F96C39"/>
    <w:rsid w:val="00F96E41"/>
    <w:rsid w:val="00FA153F"/>
    <w:rsid w:val="00FA1D78"/>
    <w:rsid w:val="00FA1F7E"/>
    <w:rsid w:val="00FA280F"/>
    <w:rsid w:val="00FA5289"/>
    <w:rsid w:val="00FA6213"/>
    <w:rsid w:val="00FA6607"/>
    <w:rsid w:val="00FB1633"/>
    <w:rsid w:val="00FB2186"/>
    <w:rsid w:val="00FB7E03"/>
    <w:rsid w:val="00FC2297"/>
    <w:rsid w:val="00FD0133"/>
    <w:rsid w:val="00FD25FE"/>
    <w:rsid w:val="00FD6206"/>
    <w:rsid w:val="00FE1318"/>
    <w:rsid w:val="00FE208F"/>
    <w:rsid w:val="00FE6DF6"/>
    <w:rsid w:val="00FF229F"/>
    <w:rsid w:val="00FF32C3"/>
    <w:rsid w:val="00FF3F8B"/>
    <w:rsid w:val="00FF4F94"/>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F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itre1">
    <w:name w:val="heading 1"/>
    <w:basedOn w:val="Normal"/>
    <w:next w:val="corpsdedcision"/>
    <w:link w:val="Titre1Car"/>
    <w:qFormat/>
    <w:rsid w:val="00F96E41"/>
    <w:pPr>
      <w:keepNext/>
      <w:spacing w:before="240" w:after="240"/>
      <w:outlineLvl w:val="0"/>
    </w:pPr>
    <w:rPr>
      <w:rFonts w:cs="Arial"/>
      <w:b/>
      <w:bCs/>
      <w:caps/>
      <w:kern w:val="32"/>
      <w:szCs w:val="32"/>
      <w:u w:val="single"/>
      <w:lang w:eastAsia="fr-FR"/>
    </w:rPr>
  </w:style>
  <w:style w:type="paragraph" w:styleId="Titre2">
    <w:name w:val="heading 2"/>
    <w:basedOn w:val="Normal"/>
    <w:next w:val="corpsdedcision"/>
    <w:qFormat/>
    <w:rsid w:val="0047680F"/>
    <w:pPr>
      <w:keepNext/>
      <w:spacing w:before="240" w:after="240"/>
      <w:outlineLvl w:val="1"/>
    </w:pPr>
    <w:rPr>
      <w:rFonts w:cs="Arial"/>
      <w:bCs/>
      <w:iCs/>
      <w:caps/>
      <w:szCs w:val="28"/>
      <w:lang w:eastAsia="fr-FR"/>
    </w:rPr>
  </w:style>
  <w:style w:type="paragraph" w:styleId="Titre3">
    <w:name w:val="heading 3"/>
    <w:basedOn w:val="Normal"/>
    <w:next w:val="corpsdedcision"/>
    <w:qFormat/>
    <w:rsid w:val="00EA456C"/>
    <w:pPr>
      <w:keepNext/>
      <w:spacing w:before="240" w:after="240"/>
      <w:outlineLvl w:val="2"/>
    </w:pPr>
    <w:rPr>
      <w:rFonts w:cs="Arial"/>
      <w:b/>
      <w:szCs w:val="24"/>
      <w:lang w:eastAsia="fr-FR"/>
    </w:rPr>
  </w:style>
  <w:style w:type="paragraph" w:styleId="Titre4">
    <w:name w:val="heading 4"/>
    <w:basedOn w:val="Normal"/>
    <w:next w:val="corpsdedcision"/>
    <w:qFormat/>
    <w:rsid w:val="008F15D5"/>
    <w:pPr>
      <w:keepNext/>
      <w:spacing w:before="240" w:after="240"/>
      <w:outlineLvl w:val="3"/>
    </w:pPr>
    <w:rPr>
      <w:rFonts w:cs="Arial"/>
      <w:szCs w:val="24"/>
      <w:u w:val="single"/>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basedOn w:val="Policepardfaut"/>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pPr>
      <w:numPr>
        <w:numId w:val="1"/>
      </w:numPr>
      <w:tabs>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aliases w:val="Note de bas de page + 10pt,Note de bas de page art 65"/>
    <w:basedOn w:val="Normal"/>
    <w:link w:val="NotedebasdepageCar"/>
  </w:style>
  <w:style w:type="paragraph" w:styleId="En-tte">
    <w:name w:val="header"/>
    <w:basedOn w:val="Normal"/>
    <w:pPr>
      <w:tabs>
        <w:tab w:val="center" w:pos="4320"/>
        <w:tab w:val="right" w:pos="8640"/>
      </w:tabs>
    </w:pPr>
  </w:style>
  <w:style w:type="character" w:styleId="Numrodepage">
    <w:name w:val="page number"/>
    <w:basedOn w:val="Policepardfaut"/>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aliases w:val="Note de bas de page + 10pt Car,Note de bas de page art 65 Car"/>
    <w:basedOn w:val="Policepardfaut"/>
    <w:link w:val="Notedebasdepage"/>
    <w:semiHidden/>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link w:val="CitationenretraitCar"/>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link w:val="CitationendoubleretraitCar"/>
    <w:rsid w:val="008048CF"/>
    <w:pPr>
      <w:spacing w:before="0" w:after="0"/>
      <w:ind w:left="1440" w:right="1440"/>
    </w:pPr>
    <w:rPr>
      <w:sz w:val="18"/>
    </w:rPr>
  </w:style>
  <w:style w:type="character" w:customStyle="1" w:styleId="Citationintgre">
    <w:name w:val="Citation intégrée"/>
    <w:basedOn w:val="Policepardfau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itre1Car">
    <w:name w:val="Titre 1 Car"/>
    <w:link w:val="Titre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Lienhypertexte">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Paragraphedeliste">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basedOn w:val="Policepardfaut"/>
    <w:locked/>
    <w:rsid w:val="00ED57F6"/>
    <w:rPr>
      <w:rFonts w:ascii="Arial" w:hAnsi="Arial" w:cs="Times New Roman"/>
      <w:sz w:val="24"/>
    </w:rPr>
  </w:style>
  <w:style w:type="character" w:customStyle="1" w:styleId="CitationenretraitCar">
    <w:name w:val="Citation en retrait Car"/>
    <w:basedOn w:val="Policepardfaut"/>
    <w:link w:val="Citationenretrait"/>
    <w:rsid w:val="00DB6AF2"/>
    <w:rPr>
      <w:rFonts w:ascii="Arial" w:hAnsi="Arial"/>
      <w:kern w:val="24"/>
      <w:sz w:val="22"/>
      <w:lang w:val="fr-CA" w:eastAsia="fr-FR" w:bidi="ar-SA"/>
    </w:rPr>
  </w:style>
  <w:style w:type="character" w:customStyle="1" w:styleId="CitationendoubleretraitCar">
    <w:name w:val="Citation en double retrait Car"/>
    <w:basedOn w:val="CitationenretraitCar"/>
    <w:link w:val="Citationendoubleretrait"/>
    <w:rsid w:val="00DB6AF2"/>
    <w:rPr>
      <w:rFonts w:ascii="Arial" w:hAnsi="Arial"/>
      <w:kern w:val="24"/>
      <w:sz w:val="18"/>
      <w:lang w:val="fr-CA" w:eastAsia="fr-FR" w:bidi="ar-SA"/>
    </w:rPr>
  </w:style>
  <w:style w:type="paragraph" w:styleId="Rvision">
    <w:name w:val="Revision"/>
    <w:hidden/>
    <w:uiPriority w:val="99"/>
    <w:semiHidden/>
    <w:rsid w:val="00ED1B31"/>
    <w:rPr>
      <w:rFonts w:ascii="Arial" w:hAnsi="Arial"/>
      <w:sz w:val="24"/>
    </w:rPr>
  </w:style>
  <w:style w:type="character" w:styleId="Marquedecommentaire">
    <w:name w:val="annotation reference"/>
    <w:basedOn w:val="Policepardfaut"/>
    <w:rsid w:val="00563E5C"/>
    <w:rPr>
      <w:sz w:val="16"/>
      <w:szCs w:val="16"/>
    </w:rPr>
  </w:style>
  <w:style w:type="paragraph" w:styleId="Commentaire">
    <w:name w:val="annotation text"/>
    <w:basedOn w:val="Normal"/>
    <w:link w:val="CommentaireCar"/>
    <w:rsid w:val="00563E5C"/>
    <w:rPr>
      <w:sz w:val="20"/>
    </w:rPr>
  </w:style>
  <w:style w:type="character" w:customStyle="1" w:styleId="CommentaireCar">
    <w:name w:val="Commentaire Car"/>
    <w:basedOn w:val="Policepardfaut"/>
    <w:link w:val="Commentaire"/>
    <w:rsid w:val="00563E5C"/>
    <w:rPr>
      <w:rFonts w:ascii="Arial" w:hAnsi="Arial"/>
    </w:rPr>
  </w:style>
  <w:style w:type="paragraph" w:styleId="Objetducommentaire">
    <w:name w:val="annotation subject"/>
    <w:basedOn w:val="Commentaire"/>
    <w:next w:val="Commentaire"/>
    <w:link w:val="ObjetducommentaireCar"/>
    <w:rsid w:val="00563E5C"/>
    <w:rPr>
      <w:b/>
      <w:bCs/>
    </w:rPr>
  </w:style>
  <w:style w:type="character" w:customStyle="1" w:styleId="ObjetducommentaireCar">
    <w:name w:val="Objet du commentaire Car"/>
    <w:basedOn w:val="CommentaireCar"/>
    <w:link w:val="Objetducommentaire"/>
    <w:rsid w:val="00563E5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92A0A-60A9-4181-AA34-9CCEA7B5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4558</Words>
  <Characters>25071</Characters>
  <Application>Microsoft Office Word</Application>
  <DocSecurity>0</DocSecurity>
  <Lines>208</Lines>
  <Paragraphs>59</Paragraphs>
  <ScaleCrop>false</ScaleCrop>
  <Company/>
  <LinksUpToDate>false</LinksUpToDate>
  <CharactersWithSpaces>29570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2024-03-04T13:55:00Z</dcterms:created>
  <dcterms:modified xsi:type="dcterms:W3CDTF">2024-03-04T13:55:00Z</dcterms:modified>
</cp:coreProperties>
</file>