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9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3"/>
        <w:gridCol w:w="3267"/>
      </w:tblGrid>
      <w:tr w:rsidR="00614B44" w14:paraId="251970D2" w14:textId="77777777">
        <w:trPr>
          <w:cantSplit/>
        </w:trPr>
        <w:tc>
          <w:tcPr>
            <w:tcW w:w="4795" w:type="dxa"/>
          </w:tcPr>
          <w:p w14:paraId="5A8EC472" w14:textId="18D1DBFB" w:rsidR="008A7FD1" w:rsidRPr="00E575FC" w:rsidRDefault="00000000" w:rsidP="00E575FC">
            <w:pPr>
              <w:pStyle w:val="zSoquijdatRepertorie"/>
              <w:rPr>
                <w:rFonts w:cs="Arial"/>
              </w:rPr>
            </w:pPr>
            <w:r>
              <w:rPr>
                <w:rFonts w:cs="Arial"/>
              </w:rPr>
              <w:t>Côté et Garda (division Trois-Rivières)</w:t>
            </w:r>
          </w:p>
        </w:tc>
        <w:tc>
          <w:tcPr>
            <w:tcW w:w="2477" w:type="dxa"/>
          </w:tcPr>
          <w:p w14:paraId="32132FB1" w14:textId="03EFBB81" w:rsidR="008A7FD1" w:rsidRPr="00646374" w:rsidRDefault="00000000" w:rsidP="00646374">
            <w:pPr>
              <w:pStyle w:val="zSoquijdatRefNeutre"/>
              <w:rPr>
                <w:rFonts w:cs="Arial"/>
              </w:rPr>
            </w:pPr>
            <w:r w:rsidRPr="00646374">
              <w:rPr>
                <w:rFonts w:cs="Arial"/>
              </w:rPr>
              <w:t>2026 QCTAT 37</w:t>
            </w:r>
          </w:p>
        </w:tc>
      </w:tr>
    </w:tbl>
    <w:p w14:paraId="5C09E1C2" w14:textId="245A93CD" w:rsidR="008A7FD1" w:rsidRPr="00C03CF1" w:rsidRDefault="008A7FD1"/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559"/>
        <w:gridCol w:w="993"/>
        <w:gridCol w:w="3685"/>
      </w:tblGrid>
      <w:tr w:rsidR="00614B44" w14:paraId="220EE505" w14:textId="77777777" w:rsidTr="00036794">
        <w:trPr>
          <w:cantSplit/>
        </w:trPr>
        <w:tc>
          <w:tcPr>
            <w:tcW w:w="9568" w:type="dxa"/>
            <w:gridSpan w:val="4"/>
          </w:tcPr>
          <w:p w14:paraId="0226B588" w14:textId="77777777" w:rsidR="00C74B6F" w:rsidRPr="00C03CF1" w:rsidRDefault="00C74B6F">
            <w:pPr>
              <w:rPr>
                <w:szCs w:val="24"/>
              </w:rPr>
            </w:pPr>
          </w:p>
        </w:tc>
      </w:tr>
      <w:tr w:rsidR="00614B44" w14:paraId="088FFA3D" w14:textId="77777777" w:rsidTr="00036794">
        <w:trPr>
          <w:cantSplit/>
        </w:trPr>
        <w:tc>
          <w:tcPr>
            <w:tcW w:w="9568" w:type="dxa"/>
            <w:gridSpan w:val="4"/>
            <w:vAlign w:val="center"/>
          </w:tcPr>
          <w:p w14:paraId="3074B6A7" w14:textId="77777777" w:rsidR="00C74B6F" w:rsidRPr="00C03CF1" w:rsidRDefault="00000000">
            <w:pPr>
              <w:jc w:val="center"/>
              <w:rPr>
                <w:sz w:val="36"/>
                <w:szCs w:val="36"/>
              </w:rPr>
            </w:pPr>
            <w:r w:rsidRPr="00C03CF1">
              <w:rPr>
                <w:b/>
                <w:sz w:val="36"/>
                <w:szCs w:val="36"/>
              </w:rPr>
              <w:t>TRIBUNAL ADMINISTRATIF DU TRAVAIL</w:t>
            </w:r>
          </w:p>
        </w:tc>
      </w:tr>
      <w:tr w:rsidR="00614B44" w14:paraId="3D19C72D" w14:textId="77777777" w:rsidTr="00036794">
        <w:trPr>
          <w:cantSplit/>
        </w:trPr>
        <w:tc>
          <w:tcPr>
            <w:tcW w:w="9568" w:type="dxa"/>
            <w:gridSpan w:val="4"/>
          </w:tcPr>
          <w:p w14:paraId="167FBA46" w14:textId="49C7E1FF" w:rsidR="00C74B6F" w:rsidRPr="00C03CF1" w:rsidRDefault="00000000" w:rsidP="009A67E7">
            <w:pPr>
              <w:pStyle w:val="zSoquijdatDivision"/>
            </w:pPr>
            <w:r w:rsidRPr="00C03CF1">
              <w:t>(</w:t>
            </w:r>
            <w:r w:rsidR="00F338CB" w:rsidRPr="00C03CF1">
              <w:t>Division de la santé et de la sécurité du travail</w:t>
            </w:r>
            <w:r w:rsidRPr="00C03CF1">
              <w:t>)</w:t>
            </w:r>
          </w:p>
        </w:tc>
      </w:tr>
      <w:tr w:rsidR="00614B44" w14:paraId="54B970CC" w14:textId="77777777" w:rsidTr="00036794">
        <w:trPr>
          <w:cantSplit/>
        </w:trPr>
        <w:tc>
          <w:tcPr>
            <w:tcW w:w="9568" w:type="dxa"/>
            <w:gridSpan w:val="4"/>
          </w:tcPr>
          <w:p w14:paraId="20FAE895" w14:textId="77777777" w:rsidR="002B2FC3" w:rsidRPr="00C03CF1" w:rsidRDefault="002B2FC3" w:rsidP="002B2FC3"/>
        </w:tc>
      </w:tr>
      <w:tr w:rsidR="00614B44" w14:paraId="6A97BA22" w14:textId="77777777" w:rsidTr="00036794">
        <w:trPr>
          <w:cantSplit/>
        </w:trPr>
        <w:tc>
          <w:tcPr>
            <w:tcW w:w="9568" w:type="dxa"/>
            <w:gridSpan w:val="4"/>
          </w:tcPr>
          <w:p w14:paraId="692925B0" w14:textId="77777777" w:rsidR="00A84FC6" w:rsidRPr="00C03CF1" w:rsidRDefault="00A84FC6" w:rsidP="002B2FC3"/>
        </w:tc>
      </w:tr>
      <w:tr w:rsidR="00614B44" w14:paraId="22B0430E" w14:textId="77777777" w:rsidTr="00036794">
        <w:tc>
          <w:tcPr>
            <w:tcW w:w="3331" w:type="dxa"/>
          </w:tcPr>
          <w:p w14:paraId="59CCAB74" w14:textId="77777777" w:rsidR="00C74B6F" w:rsidRPr="00C03CF1" w:rsidRDefault="00000000">
            <w:bookmarkStart w:id="0" w:name="region" w:colFirst="1" w:colLast="1"/>
            <w:r w:rsidRPr="00C03CF1">
              <w:t>Région :</w:t>
            </w:r>
          </w:p>
        </w:tc>
        <w:tc>
          <w:tcPr>
            <w:tcW w:w="6237" w:type="dxa"/>
            <w:gridSpan w:val="3"/>
          </w:tcPr>
          <w:p w14:paraId="1BDA59B5" w14:textId="2DAD3BE0" w:rsidR="00C74B6F" w:rsidRPr="00C03CF1" w:rsidRDefault="00000000" w:rsidP="00F4095A">
            <w:pPr>
              <w:pStyle w:val="zSoquijdatGreffe"/>
              <w:rPr>
                <w:szCs w:val="24"/>
              </w:rPr>
            </w:pPr>
            <w:r w:rsidRPr="00C03CF1">
              <w:rPr>
                <w:szCs w:val="24"/>
              </w:rPr>
              <w:t>Mauricie–Centre-du-Québec</w:t>
            </w:r>
          </w:p>
        </w:tc>
      </w:tr>
      <w:bookmarkEnd w:id="0"/>
      <w:tr w:rsidR="00614B44" w14:paraId="0154C70F" w14:textId="77777777" w:rsidTr="00036794">
        <w:trPr>
          <w:cantSplit/>
        </w:trPr>
        <w:tc>
          <w:tcPr>
            <w:tcW w:w="9568" w:type="dxa"/>
            <w:gridSpan w:val="4"/>
          </w:tcPr>
          <w:p w14:paraId="5F0942CE" w14:textId="77777777" w:rsidR="00C74B6F" w:rsidRPr="00C03CF1" w:rsidRDefault="00C74B6F"/>
        </w:tc>
      </w:tr>
      <w:tr w:rsidR="00614B44" w14:paraId="6A1823A1" w14:textId="77777777" w:rsidTr="00036794">
        <w:tc>
          <w:tcPr>
            <w:tcW w:w="3331" w:type="dxa"/>
          </w:tcPr>
          <w:p w14:paraId="2C654558" w14:textId="2037992B" w:rsidR="00C74B6F" w:rsidRPr="00C03CF1" w:rsidRDefault="00000000">
            <w:bookmarkStart w:id="1" w:name="ref_dossier" w:colFirst="1" w:colLast="1"/>
            <w:r w:rsidRPr="00C03CF1">
              <w:t>Dossi</w:t>
            </w:r>
            <w:bookmarkStart w:id="2" w:name="dossiers"/>
            <w:bookmarkEnd w:id="2"/>
            <w:r w:rsidR="00F338CB" w:rsidRPr="00C03CF1">
              <w:t>er</w:t>
            </w:r>
            <w:r w:rsidRPr="00C03CF1">
              <w:t> :</w:t>
            </w:r>
          </w:p>
        </w:tc>
        <w:tc>
          <w:tcPr>
            <w:tcW w:w="6237" w:type="dxa"/>
            <w:gridSpan w:val="3"/>
          </w:tcPr>
          <w:p w14:paraId="442211F8" w14:textId="6DF4FAA5" w:rsidR="00C74B6F" w:rsidRPr="00C03CF1" w:rsidRDefault="00000000" w:rsidP="00F4095A">
            <w:pPr>
              <w:pStyle w:val="zSoquijdatNoDossier"/>
            </w:pPr>
            <w:r w:rsidRPr="00C03CF1">
              <w:t>1344522-04-2311</w:t>
            </w:r>
          </w:p>
        </w:tc>
      </w:tr>
      <w:bookmarkEnd w:id="1"/>
      <w:tr w:rsidR="00614B44" w14:paraId="36709000" w14:textId="77777777" w:rsidTr="00036794">
        <w:trPr>
          <w:cantSplit/>
        </w:trPr>
        <w:tc>
          <w:tcPr>
            <w:tcW w:w="9568" w:type="dxa"/>
            <w:gridSpan w:val="4"/>
          </w:tcPr>
          <w:p w14:paraId="3B1BD96A" w14:textId="77777777" w:rsidR="00C74B6F" w:rsidRPr="00C03CF1" w:rsidRDefault="00000000">
            <w:r w:rsidRPr="00C03CF1">
              <w:fldChar w:fldCharType="begin"/>
            </w:r>
            <w:r w:rsidRPr="00C03CF1">
              <w:instrText xml:space="preserve"> AUTOTEXTLIST  \* Upper  \* MERGEFORMAT </w:instrText>
            </w:r>
            <w:r w:rsidRPr="00C03CF1">
              <w:fldChar w:fldCharType="separate"/>
            </w:r>
            <w:r w:rsidRPr="00C03CF1">
              <w:fldChar w:fldCharType="end"/>
            </w:r>
          </w:p>
        </w:tc>
      </w:tr>
      <w:tr w:rsidR="00614B44" w14:paraId="14EAF6B1" w14:textId="77777777" w:rsidTr="00036794">
        <w:tc>
          <w:tcPr>
            <w:tcW w:w="3331" w:type="dxa"/>
          </w:tcPr>
          <w:p w14:paraId="17511756" w14:textId="5EA57EA7" w:rsidR="00C74B6F" w:rsidRPr="00C03CF1" w:rsidRDefault="00000000" w:rsidP="0045114F">
            <w:pPr>
              <w:ind w:right="46"/>
            </w:pPr>
            <w:r w:rsidRPr="00C03CF1">
              <w:t>Dossier</w:t>
            </w:r>
            <w:r w:rsidR="00F338CB" w:rsidRPr="00C03CF1">
              <w:t xml:space="preserve"> CNESST </w:t>
            </w:r>
            <w:r w:rsidRPr="00C03CF1">
              <w:rPr>
                <w:szCs w:val="24"/>
              </w:rPr>
              <w:t>:</w:t>
            </w:r>
          </w:p>
        </w:tc>
        <w:tc>
          <w:tcPr>
            <w:tcW w:w="6237" w:type="dxa"/>
            <w:gridSpan w:val="3"/>
          </w:tcPr>
          <w:p w14:paraId="1CF8EEB9" w14:textId="5729F232" w:rsidR="00C74B6F" w:rsidRPr="00C03CF1" w:rsidRDefault="00000000" w:rsidP="004D6CEA">
            <w:pPr>
              <w:pStyle w:val="zSoquijdatNCSST"/>
            </w:pPr>
            <w:r w:rsidRPr="00C03CF1">
              <w:t>513548156</w:t>
            </w:r>
          </w:p>
        </w:tc>
      </w:tr>
      <w:tr w:rsidR="00614B44" w14:paraId="3A9D2C15" w14:textId="77777777" w:rsidTr="00036794">
        <w:trPr>
          <w:cantSplit/>
        </w:trPr>
        <w:tc>
          <w:tcPr>
            <w:tcW w:w="9568" w:type="dxa"/>
            <w:gridSpan w:val="4"/>
          </w:tcPr>
          <w:p w14:paraId="1506A2B8" w14:textId="77777777" w:rsidR="00C74B6F" w:rsidRPr="00C03CF1" w:rsidRDefault="00C74B6F"/>
        </w:tc>
      </w:tr>
      <w:tr w:rsidR="00614B44" w14:paraId="796A2F0E" w14:textId="77777777" w:rsidTr="00036794">
        <w:trPr>
          <w:cantSplit/>
        </w:trPr>
        <w:tc>
          <w:tcPr>
            <w:tcW w:w="9568" w:type="dxa"/>
            <w:gridSpan w:val="4"/>
          </w:tcPr>
          <w:p w14:paraId="2DC1A881" w14:textId="77777777" w:rsidR="00C74B6F" w:rsidRPr="00C03CF1" w:rsidRDefault="00C74B6F"/>
        </w:tc>
      </w:tr>
      <w:tr w:rsidR="00614B44" w14:paraId="65F0F882" w14:textId="77777777" w:rsidTr="00036794">
        <w:trPr>
          <w:cantSplit/>
        </w:trPr>
        <w:tc>
          <w:tcPr>
            <w:tcW w:w="3331" w:type="dxa"/>
          </w:tcPr>
          <w:p w14:paraId="799C3640" w14:textId="107D09E3" w:rsidR="006E3DD8" w:rsidRPr="00C03CF1" w:rsidRDefault="00000000" w:rsidP="0076350E">
            <w:pPr>
              <w:ind w:right="-70"/>
            </w:pPr>
            <w:r w:rsidRPr="00C03CF1">
              <w:t>Trois-Rivières</w:t>
            </w:r>
            <w:r w:rsidR="00C04E32" w:rsidRPr="00C03CF1">
              <w:t>,</w:t>
            </w:r>
          </w:p>
        </w:tc>
        <w:tc>
          <w:tcPr>
            <w:tcW w:w="6237" w:type="dxa"/>
            <w:gridSpan w:val="3"/>
          </w:tcPr>
          <w:p w14:paraId="78DA335A" w14:textId="3C3A39D2" w:rsidR="006E3DD8" w:rsidRPr="00C03CF1" w:rsidRDefault="00000000" w:rsidP="005B5689">
            <w:pPr>
              <w:pStyle w:val="zSoquijdatDateJugement"/>
            </w:pPr>
            <w:proofErr w:type="gramStart"/>
            <w:r w:rsidRPr="00C03CF1">
              <w:t>le</w:t>
            </w:r>
            <w:proofErr w:type="gramEnd"/>
            <w:r w:rsidRPr="00C03CF1">
              <w:t xml:space="preserve"> </w:t>
            </w:r>
            <w:r w:rsidR="002B3904" w:rsidRPr="00C03CF1">
              <w:t>7</w:t>
            </w:r>
            <w:r w:rsidR="00855FFF" w:rsidRPr="00C03CF1">
              <w:t xml:space="preserve"> janvier 2026</w:t>
            </w:r>
          </w:p>
        </w:tc>
      </w:tr>
      <w:tr w:rsidR="00614B44" w14:paraId="3CBF6AF3" w14:textId="77777777" w:rsidTr="00036794">
        <w:trPr>
          <w:cantSplit/>
        </w:trPr>
        <w:tc>
          <w:tcPr>
            <w:tcW w:w="9568" w:type="dxa"/>
            <w:gridSpan w:val="4"/>
          </w:tcPr>
          <w:p w14:paraId="687A73F5" w14:textId="77777777" w:rsidR="00942AB8" w:rsidRPr="00C03CF1" w:rsidRDefault="00000000" w:rsidP="00FA153F">
            <w:r w:rsidRPr="00C03CF1">
              <w:t>______________________________________________________________________</w:t>
            </w:r>
          </w:p>
        </w:tc>
      </w:tr>
      <w:tr w:rsidR="00614B44" w14:paraId="66367796" w14:textId="77777777" w:rsidTr="00036794">
        <w:trPr>
          <w:cantSplit/>
          <w:trHeight w:val="148"/>
        </w:trPr>
        <w:tc>
          <w:tcPr>
            <w:tcW w:w="9568" w:type="dxa"/>
            <w:gridSpan w:val="4"/>
          </w:tcPr>
          <w:p w14:paraId="1676CA2A" w14:textId="77777777" w:rsidR="00942AB8" w:rsidRPr="00C03CF1" w:rsidRDefault="00942AB8" w:rsidP="00FA153F"/>
        </w:tc>
      </w:tr>
      <w:tr w:rsidR="00614B44" w14:paraId="49AF8D1E" w14:textId="77777777" w:rsidTr="00036794">
        <w:trPr>
          <w:cantSplit/>
          <w:trHeight w:val="148"/>
        </w:trPr>
        <w:tc>
          <w:tcPr>
            <w:tcW w:w="5883" w:type="dxa"/>
            <w:gridSpan w:val="3"/>
          </w:tcPr>
          <w:p w14:paraId="52969686" w14:textId="08D25967" w:rsidR="0035375B" w:rsidRPr="00C03CF1" w:rsidRDefault="00000000">
            <w:pPr>
              <w:rPr>
                <w:b/>
                <w:bCs/>
              </w:rPr>
            </w:pPr>
            <w:bookmarkStart w:id="3" w:name="ref_commissaire" w:colFirst="1" w:colLast="1"/>
            <w:r w:rsidRPr="00C03CF1">
              <w:rPr>
                <w:b/>
                <w:bCs/>
              </w:rPr>
              <w:t>DEVANT L</w:t>
            </w:r>
            <w:r w:rsidR="000C1B1C" w:rsidRPr="00C03CF1">
              <w:rPr>
                <w:b/>
                <w:bCs/>
              </w:rPr>
              <w:t>E</w:t>
            </w:r>
            <w:r w:rsidRPr="00C03CF1">
              <w:rPr>
                <w:b/>
                <w:bCs/>
              </w:rPr>
              <w:t xml:space="preserve"> JUGE ADMINISTRATI</w:t>
            </w:r>
            <w:r w:rsidR="000C1B1C" w:rsidRPr="00C03CF1">
              <w:rPr>
                <w:b/>
                <w:bCs/>
              </w:rPr>
              <w:t>F</w:t>
            </w:r>
            <w:r w:rsidRPr="00C03CF1">
              <w:rPr>
                <w:b/>
                <w:bCs/>
              </w:rPr>
              <w:t> :</w:t>
            </w:r>
          </w:p>
        </w:tc>
        <w:tc>
          <w:tcPr>
            <w:tcW w:w="3685" w:type="dxa"/>
          </w:tcPr>
          <w:p w14:paraId="76197522" w14:textId="61E299EE" w:rsidR="0035375B" w:rsidRPr="00C03CF1" w:rsidRDefault="00000000" w:rsidP="005B5689">
            <w:pPr>
              <w:pStyle w:val="zSoquijdatJuge"/>
              <w:rPr>
                <w:bCs/>
              </w:rPr>
            </w:pPr>
            <w:r w:rsidRPr="00C03CF1">
              <w:t>Réjean Bernard</w:t>
            </w:r>
          </w:p>
        </w:tc>
      </w:tr>
      <w:bookmarkEnd w:id="3"/>
      <w:tr w:rsidR="00614B44" w14:paraId="2A5E2963" w14:textId="77777777" w:rsidTr="00036794">
        <w:trPr>
          <w:cantSplit/>
          <w:trHeight w:val="148"/>
        </w:trPr>
        <w:tc>
          <w:tcPr>
            <w:tcW w:w="9568" w:type="dxa"/>
            <w:gridSpan w:val="4"/>
          </w:tcPr>
          <w:p w14:paraId="6EC583CC" w14:textId="77777777" w:rsidR="00942AB8" w:rsidRPr="00C03CF1" w:rsidRDefault="00000000" w:rsidP="00FA153F">
            <w:r w:rsidRPr="00C03CF1">
              <w:t>______________________________________________________________________</w:t>
            </w:r>
          </w:p>
        </w:tc>
      </w:tr>
      <w:tr w:rsidR="00614B44" w14:paraId="6F397693" w14:textId="77777777" w:rsidTr="00036794">
        <w:tc>
          <w:tcPr>
            <w:tcW w:w="9568" w:type="dxa"/>
            <w:gridSpan w:val="4"/>
          </w:tcPr>
          <w:p w14:paraId="7966939A" w14:textId="77777777" w:rsidR="00942AB8" w:rsidRPr="00C03CF1" w:rsidRDefault="00942AB8"/>
        </w:tc>
      </w:tr>
      <w:tr w:rsidR="00614B44" w14:paraId="4634EAA0" w14:textId="77777777" w:rsidTr="00E21768">
        <w:tc>
          <w:tcPr>
            <w:tcW w:w="4890" w:type="dxa"/>
            <w:gridSpan w:val="2"/>
          </w:tcPr>
          <w:p w14:paraId="0A86DA85" w14:textId="77777777" w:rsidR="00942AB8" w:rsidRPr="00C03CF1" w:rsidRDefault="00942AB8">
            <w:bookmarkStart w:id="4" w:name="bloc_parties_gauche"/>
            <w:bookmarkEnd w:id="4"/>
          </w:p>
        </w:tc>
        <w:tc>
          <w:tcPr>
            <w:tcW w:w="4678" w:type="dxa"/>
            <w:gridSpan w:val="2"/>
          </w:tcPr>
          <w:p w14:paraId="7279D031" w14:textId="77777777" w:rsidR="00942AB8" w:rsidRPr="00C03CF1" w:rsidRDefault="00942AB8"/>
        </w:tc>
      </w:tr>
      <w:tr w:rsidR="00614B44" w14:paraId="1F4556A6" w14:textId="77777777" w:rsidTr="00E21768">
        <w:tc>
          <w:tcPr>
            <w:tcW w:w="4890" w:type="dxa"/>
            <w:gridSpan w:val="2"/>
          </w:tcPr>
          <w:p w14:paraId="7719DBA8" w14:textId="1B843D35" w:rsidR="00942AB8" w:rsidRPr="00C03CF1" w:rsidRDefault="00000000">
            <w:pPr>
              <w:pStyle w:val="zSoquijdatNomPartieDem"/>
              <w:rPr>
                <w:b/>
              </w:rPr>
            </w:pPr>
            <w:r w:rsidRPr="00C03CF1">
              <w:rPr>
                <w:b/>
              </w:rPr>
              <w:t>René Côté</w:t>
            </w:r>
          </w:p>
        </w:tc>
        <w:tc>
          <w:tcPr>
            <w:tcW w:w="4678" w:type="dxa"/>
            <w:gridSpan w:val="2"/>
          </w:tcPr>
          <w:p w14:paraId="360CAC93" w14:textId="77777777" w:rsidR="00942AB8" w:rsidRPr="00C03CF1" w:rsidRDefault="00942AB8"/>
        </w:tc>
      </w:tr>
      <w:tr w:rsidR="00614B44" w14:paraId="433EEBF8" w14:textId="77777777" w:rsidTr="00E21768">
        <w:tc>
          <w:tcPr>
            <w:tcW w:w="4890" w:type="dxa"/>
            <w:gridSpan w:val="2"/>
          </w:tcPr>
          <w:p w14:paraId="4219F093" w14:textId="3F1220C8" w:rsidR="00942AB8" w:rsidRPr="00C03CF1" w:rsidRDefault="00000000" w:rsidP="007B0DF2">
            <w:pPr>
              <w:pStyle w:val="zSoquijdatQtePartieDem"/>
              <w:tabs>
                <w:tab w:val="left" w:pos="3539"/>
              </w:tabs>
              <w:ind w:left="708"/>
            </w:pPr>
            <w:bookmarkStart w:id="5" w:name="partie_demanderesse"/>
            <w:bookmarkEnd w:id="5"/>
            <w:r w:rsidRPr="00C03CF1">
              <w:t>Partie demanderesse</w:t>
            </w:r>
          </w:p>
        </w:tc>
        <w:tc>
          <w:tcPr>
            <w:tcW w:w="4678" w:type="dxa"/>
            <w:gridSpan w:val="2"/>
          </w:tcPr>
          <w:p w14:paraId="782F222C" w14:textId="77777777" w:rsidR="00942AB8" w:rsidRPr="00C03CF1" w:rsidRDefault="00942AB8"/>
        </w:tc>
      </w:tr>
      <w:tr w:rsidR="00614B44" w14:paraId="1F6F75B6" w14:textId="77777777" w:rsidTr="00E21768">
        <w:tc>
          <w:tcPr>
            <w:tcW w:w="4890" w:type="dxa"/>
            <w:gridSpan w:val="2"/>
          </w:tcPr>
          <w:p w14:paraId="5FEF57D7" w14:textId="77777777" w:rsidR="00942AB8" w:rsidRPr="00C03CF1" w:rsidRDefault="00942AB8" w:rsidP="00E6363B"/>
        </w:tc>
        <w:tc>
          <w:tcPr>
            <w:tcW w:w="4678" w:type="dxa"/>
            <w:gridSpan w:val="2"/>
          </w:tcPr>
          <w:p w14:paraId="7C09CFA2" w14:textId="77777777" w:rsidR="00942AB8" w:rsidRPr="00C03CF1" w:rsidRDefault="00942AB8"/>
        </w:tc>
      </w:tr>
      <w:tr w:rsidR="00614B44" w14:paraId="7B3BCC00" w14:textId="77777777" w:rsidTr="00E21768">
        <w:tc>
          <w:tcPr>
            <w:tcW w:w="4890" w:type="dxa"/>
            <w:gridSpan w:val="2"/>
          </w:tcPr>
          <w:p w14:paraId="12038456" w14:textId="72A927A5" w:rsidR="00942AB8" w:rsidRPr="00C03CF1" w:rsidRDefault="00000000" w:rsidP="00D06652">
            <w:pPr>
              <w:pStyle w:val="zSoquijlblLienParties"/>
            </w:pPr>
            <w:proofErr w:type="gramStart"/>
            <w:r w:rsidRPr="00C03CF1">
              <w:t>et</w:t>
            </w:r>
            <w:proofErr w:type="gramEnd"/>
          </w:p>
        </w:tc>
        <w:tc>
          <w:tcPr>
            <w:tcW w:w="4678" w:type="dxa"/>
            <w:gridSpan w:val="2"/>
          </w:tcPr>
          <w:p w14:paraId="2BF89A14" w14:textId="77777777" w:rsidR="00942AB8" w:rsidRPr="00C03CF1" w:rsidRDefault="00942AB8"/>
        </w:tc>
      </w:tr>
      <w:tr w:rsidR="00614B44" w14:paraId="47DFCD4D" w14:textId="77777777" w:rsidTr="00E21768">
        <w:tc>
          <w:tcPr>
            <w:tcW w:w="4890" w:type="dxa"/>
            <w:gridSpan w:val="2"/>
          </w:tcPr>
          <w:p w14:paraId="400E1AEE" w14:textId="77777777" w:rsidR="00942AB8" w:rsidRPr="00C03CF1" w:rsidRDefault="00942AB8"/>
        </w:tc>
        <w:tc>
          <w:tcPr>
            <w:tcW w:w="4678" w:type="dxa"/>
            <w:gridSpan w:val="2"/>
          </w:tcPr>
          <w:p w14:paraId="782BEAE8" w14:textId="77777777" w:rsidR="00942AB8" w:rsidRPr="00C03CF1" w:rsidRDefault="00942AB8"/>
        </w:tc>
      </w:tr>
      <w:tr w:rsidR="00614B44" w14:paraId="017E5269" w14:textId="77777777" w:rsidTr="00E21768">
        <w:tc>
          <w:tcPr>
            <w:tcW w:w="4890" w:type="dxa"/>
            <w:gridSpan w:val="2"/>
          </w:tcPr>
          <w:p w14:paraId="6FD3E919" w14:textId="56BB150B" w:rsidR="00942AB8" w:rsidRPr="00C03CF1" w:rsidRDefault="00000000">
            <w:pPr>
              <w:pStyle w:val="zSoquijdatNomPartieDef"/>
              <w:rPr>
                <w:b/>
              </w:rPr>
            </w:pPr>
            <w:r w:rsidRPr="00C03CF1">
              <w:rPr>
                <w:b/>
              </w:rPr>
              <w:t>Garda (division Trois-Rivières)</w:t>
            </w:r>
          </w:p>
        </w:tc>
        <w:tc>
          <w:tcPr>
            <w:tcW w:w="4678" w:type="dxa"/>
            <w:gridSpan w:val="2"/>
          </w:tcPr>
          <w:p w14:paraId="2FA25407" w14:textId="77777777" w:rsidR="00942AB8" w:rsidRPr="00C03CF1" w:rsidRDefault="00942AB8"/>
        </w:tc>
      </w:tr>
      <w:tr w:rsidR="00614B44" w14:paraId="4823AA18" w14:textId="77777777" w:rsidTr="00E21768">
        <w:tc>
          <w:tcPr>
            <w:tcW w:w="4890" w:type="dxa"/>
            <w:gridSpan w:val="2"/>
          </w:tcPr>
          <w:p w14:paraId="662C2CA8" w14:textId="11D57B70" w:rsidR="00942AB8" w:rsidRPr="00C03CF1" w:rsidRDefault="00000000">
            <w:pPr>
              <w:pStyle w:val="zSoquijdatQtePartieDef"/>
              <w:ind w:left="708"/>
            </w:pPr>
            <w:r w:rsidRPr="00C03CF1">
              <w:t>Partie mise en cause</w:t>
            </w:r>
          </w:p>
        </w:tc>
        <w:tc>
          <w:tcPr>
            <w:tcW w:w="4678" w:type="dxa"/>
            <w:gridSpan w:val="2"/>
          </w:tcPr>
          <w:p w14:paraId="47BA10CF" w14:textId="77777777" w:rsidR="00942AB8" w:rsidRPr="00C03CF1" w:rsidRDefault="00942AB8"/>
        </w:tc>
      </w:tr>
      <w:tr w:rsidR="00614B44" w14:paraId="0330C96B" w14:textId="77777777" w:rsidTr="00E21768">
        <w:tc>
          <w:tcPr>
            <w:tcW w:w="4890" w:type="dxa"/>
            <w:gridSpan w:val="2"/>
          </w:tcPr>
          <w:p w14:paraId="1B412CD8" w14:textId="77777777" w:rsidR="0065093D" w:rsidRPr="00C03CF1" w:rsidRDefault="0065093D"/>
        </w:tc>
        <w:tc>
          <w:tcPr>
            <w:tcW w:w="4678" w:type="dxa"/>
            <w:gridSpan w:val="2"/>
          </w:tcPr>
          <w:p w14:paraId="2E6210F1" w14:textId="77777777" w:rsidR="0065093D" w:rsidRPr="00C03CF1" w:rsidRDefault="0065093D"/>
        </w:tc>
      </w:tr>
    </w:tbl>
    <w:p w14:paraId="4ABAE293" w14:textId="77777777" w:rsidR="00C74B6F" w:rsidRPr="00C03CF1" w:rsidRDefault="00000000">
      <w:r w:rsidRPr="00C03CF1">
        <w:t>______________________________________________________________________</w:t>
      </w:r>
    </w:p>
    <w:p w14:paraId="7E92F984" w14:textId="77777777" w:rsidR="00C74B6F" w:rsidRPr="00C03CF1" w:rsidRDefault="00C74B6F"/>
    <w:p w14:paraId="677B2E2B" w14:textId="77777777" w:rsidR="00C74B6F" w:rsidRPr="00C03CF1" w:rsidRDefault="00000000" w:rsidP="008B042E">
      <w:pPr>
        <w:jc w:val="center"/>
        <w:rPr>
          <w:b/>
          <w:bCs/>
        </w:rPr>
      </w:pPr>
      <w:bookmarkStart w:id="6" w:name="decision"/>
      <w:r w:rsidRPr="00C03CF1">
        <w:rPr>
          <w:b/>
          <w:bCs/>
        </w:rPr>
        <w:t>DÉCISION</w:t>
      </w:r>
      <w:bookmarkEnd w:id="6"/>
    </w:p>
    <w:p w14:paraId="7BA71324" w14:textId="77777777" w:rsidR="008F20EA" w:rsidRPr="00C03CF1" w:rsidRDefault="00000000" w:rsidP="008F20EA">
      <w:bookmarkStart w:id="7" w:name="separation"/>
      <w:bookmarkStart w:id="8" w:name="parag_1"/>
      <w:r w:rsidRPr="00C03CF1">
        <w:t>______________________________________________________________________</w:t>
      </w:r>
    </w:p>
    <w:p w14:paraId="53963F04" w14:textId="77777777" w:rsidR="008F20EA" w:rsidRPr="00C03CF1" w:rsidRDefault="00000000" w:rsidP="008F20EA">
      <w:pPr>
        <w:pStyle w:val="corpsdedcision"/>
        <w:numPr>
          <w:ilvl w:val="0"/>
          <w:numId w:val="0"/>
        </w:numPr>
        <w:spacing w:before="360"/>
      </w:pPr>
      <w:bookmarkStart w:id="9" w:name="supprimer_apercu"/>
      <w:bookmarkEnd w:id="7"/>
      <w:r w:rsidRPr="00C03CF1">
        <w:rPr>
          <w:b/>
          <w:bCs/>
          <w:u w:val="single"/>
        </w:rPr>
        <w:t>L’APERÇU</w:t>
      </w:r>
    </w:p>
    <w:bookmarkEnd w:id="8"/>
    <w:bookmarkEnd w:id="9"/>
    <w:p w14:paraId="7D73DE70" w14:textId="783FB26F" w:rsidR="001500BC" w:rsidRPr="00C03CF1" w:rsidRDefault="00000000" w:rsidP="001500BC">
      <w:pPr>
        <w:pStyle w:val="corpsdedcision"/>
      </w:pPr>
      <w:r w:rsidRPr="00C03CF1">
        <w:t>Monsieur René</w:t>
      </w:r>
      <w:r w:rsidR="003D1B5C" w:rsidRPr="00C03CF1">
        <w:t> </w:t>
      </w:r>
      <w:r w:rsidRPr="00C03CF1">
        <w:t>Côté (le travailleur) produit une réclamation afin de faire reconnaître une maladie professionnelle en lien avec une surdité, laquelle est refusée par la</w:t>
      </w:r>
      <w:r w:rsidR="003D1B5C" w:rsidRPr="00C03CF1">
        <w:t> </w:t>
      </w:r>
      <w:r w:rsidRPr="00C03CF1">
        <w:t>Commission des normes, de l'équité, de la santé et de la sécurité du travail (la Commission). Cette décision est confirmée le 26</w:t>
      </w:r>
      <w:r w:rsidR="003D1B5C" w:rsidRPr="00C03CF1">
        <w:t> </w:t>
      </w:r>
      <w:r w:rsidRPr="00C03CF1">
        <w:t>octobre</w:t>
      </w:r>
      <w:r w:rsidR="003D1B5C" w:rsidRPr="00C03CF1">
        <w:t> </w:t>
      </w:r>
      <w:r w:rsidRPr="00C03CF1">
        <w:t>2023 à la suite d'une révision administrative, d’où la présente contestation.</w:t>
      </w:r>
    </w:p>
    <w:p w14:paraId="61295AF5" w14:textId="601E8511" w:rsidR="001500BC" w:rsidRPr="00C03CF1" w:rsidRDefault="00000000" w:rsidP="001500BC">
      <w:pPr>
        <w:pStyle w:val="corpsdedcision"/>
      </w:pPr>
      <w:r w:rsidRPr="00C03CF1">
        <w:t>La représentante du travailleur demande de déclarer que l’hypoacousie neurosensorielle</w:t>
      </w:r>
      <w:r w:rsidR="0089352E" w:rsidRPr="00C03CF1">
        <w:t xml:space="preserve"> bilatérale</w:t>
      </w:r>
      <w:r w:rsidRPr="00C03CF1">
        <w:t xml:space="preserve">, diagnostiquée chez ce dernier, constitue une surdité reliée à </w:t>
      </w:r>
      <w:r w:rsidR="003F73DA" w:rsidRPr="00C03CF1">
        <w:t xml:space="preserve">son </w:t>
      </w:r>
      <w:r w:rsidRPr="00C03CF1">
        <w:t>exposition professionnelle</w:t>
      </w:r>
      <w:r w:rsidR="003F73DA" w:rsidRPr="00C03CF1">
        <w:t>.</w:t>
      </w:r>
    </w:p>
    <w:p w14:paraId="0A9354FB" w14:textId="690EAEDD" w:rsidR="001500BC" w:rsidRPr="00C03CF1" w:rsidRDefault="00000000" w:rsidP="001500BC">
      <w:pPr>
        <w:pStyle w:val="corpsdedcision"/>
      </w:pPr>
      <w:r w:rsidRPr="00C03CF1">
        <w:lastRenderedPageBreak/>
        <w:t>La preuve présentée s’avère prépondérante pour établir que la surdité du travailleur constitue une maladie professionnelle.</w:t>
      </w:r>
    </w:p>
    <w:p w14:paraId="10BD3269" w14:textId="77777777" w:rsidR="001500BC" w:rsidRPr="00C03CF1" w:rsidRDefault="00000000" w:rsidP="003D1B5C">
      <w:pPr>
        <w:tabs>
          <w:tab w:val="left" w:pos="720"/>
        </w:tabs>
        <w:spacing w:after="360"/>
        <w:jc w:val="both"/>
        <w:rPr>
          <w:b/>
          <w:bCs/>
          <w:u w:val="single"/>
        </w:rPr>
      </w:pPr>
      <w:r w:rsidRPr="00C03CF1">
        <w:rPr>
          <w:b/>
          <w:bCs/>
          <w:u w:val="single"/>
        </w:rPr>
        <w:t>L’ANALYSE</w:t>
      </w:r>
    </w:p>
    <w:p w14:paraId="4D665A90" w14:textId="77777777" w:rsidR="001500BC" w:rsidRPr="00C03CF1" w:rsidRDefault="00000000" w:rsidP="003D1B5C">
      <w:pPr>
        <w:pStyle w:val="corpsdedcision"/>
        <w:numPr>
          <w:ilvl w:val="0"/>
          <w:numId w:val="0"/>
        </w:numPr>
        <w:tabs>
          <w:tab w:val="clear" w:pos="720"/>
        </w:tabs>
        <w:rPr>
          <w:b/>
          <w:bCs/>
          <w:i/>
          <w:iCs/>
        </w:rPr>
      </w:pPr>
      <w:r w:rsidRPr="00C03CF1">
        <w:rPr>
          <w:b/>
          <w:bCs/>
          <w:i/>
          <w:iCs/>
        </w:rPr>
        <w:t>1- Le droit</w:t>
      </w:r>
    </w:p>
    <w:p w14:paraId="6AAD23D2" w14:textId="77777777" w:rsidR="001500BC" w:rsidRPr="00C03CF1" w:rsidRDefault="00000000" w:rsidP="003D1B5C">
      <w:pPr>
        <w:pStyle w:val="corpsdedcision"/>
        <w:tabs>
          <w:tab w:val="num" w:pos="720"/>
        </w:tabs>
      </w:pPr>
      <w:r w:rsidRPr="00C03CF1">
        <w:t xml:space="preserve">Dans la présente affaire, le travailleur produit une réclamation concernant une maladie professionnelle en raison d’une surdité bilatérale qui découlerait de l’exposition à un environnement bruyant généré par son milieu de travail. Une telle lésion est définie à l’article 2 de la </w:t>
      </w:r>
      <w:r w:rsidRPr="00C03CF1">
        <w:rPr>
          <w:i/>
          <w:iCs/>
        </w:rPr>
        <w:t>Loi sur les accidents du travail et les maladies professionnelles</w:t>
      </w:r>
      <w:r>
        <w:rPr>
          <w:rStyle w:val="FootnoteReference"/>
        </w:rPr>
        <w:footnoteReference w:id="1"/>
      </w:r>
      <w:r w:rsidRPr="00C03CF1">
        <w:t xml:space="preserve"> (la Loi), soit « </w:t>
      </w:r>
      <w:r w:rsidRPr="00C03CF1">
        <w:rPr>
          <w:rStyle w:val="Citationintgre"/>
        </w:rPr>
        <w:t>une maladie contractée par le fait ou à l'occasion du travail et qui est caractéristique de ce travail ou reliée directement aux risques particuliers de ce travail;</w:t>
      </w:r>
      <w:r w:rsidRPr="00C03CF1">
        <w:rPr>
          <w:rStyle w:val="Citationintgre"/>
          <w:i w:val="0"/>
          <w:iCs/>
        </w:rPr>
        <w:t> </w:t>
      </w:r>
      <w:r w:rsidRPr="00C03CF1">
        <w:rPr>
          <w:rStyle w:val="Citationintgre"/>
          <w:i w:val="0"/>
          <w:iCs/>
          <w:sz w:val="24"/>
          <w:szCs w:val="24"/>
        </w:rPr>
        <w:t>».</w:t>
      </w:r>
    </w:p>
    <w:p w14:paraId="3F6CEED0" w14:textId="693CC066" w:rsidR="00406BCD" w:rsidRPr="00C03CF1" w:rsidRDefault="00000000" w:rsidP="00406BCD">
      <w:pPr>
        <w:pStyle w:val="corpsdedcision"/>
      </w:pPr>
      <w:r w:rsidRPr="00C03CF1">
        <w:t>Afin de faciliter la présentation de la preuve en matière de maladie professionnelle, le législateur a introduit une présomption à cet effet. Les conditions de son application sont fixées à l’article 29 de la Loi.</w:t>
      </w:r>
      <w:r w:rsidR="009E23D1" w:rsidRPr="00C03CF1">
        <w:t xml:space="preserve"> Le Tribunal fait l’économie d’une telle analyse étant donné que la preuve est prépondérante pour établir que la surdité du travailleur est reliée directement aux risques particuliers de son travail.</w:t>
      </w:r>
      <w:r>
        <w:rPr>
          <w:rStyle w:val="FootnoteReference"/>
        </w:rPr>
        <w:footnoteReference w:id="2"/>
      </w:r>
    </w:p>
    <w:p w14:paraId="116F9BD1" w14:textId="77777777" w:rsidR="00406BCD" w:rsidRPr="00C03CF1" w:rsidRDefault="00000000" w:rsidP="00406BCD">
      <w:pPr>
        <w:pStyle w:val="corpsdedcision"/>
        <w:numPr>
          <w:ilvl w:val="0"/>
          <w:numId w:val="0"/>
        </w:numPr>
      </w:pPr>
      <w:r w:rsidRPr="00C03CF1">
        <w:rPr>
          <w:b/>
          <w:bCs/>
          <w:i/>
        </w:rPr>
        <w:t>2</w:t>
      </w:r>
      <w:r w:rsidR="001500BC" w:rsidRPr="00C03CF1">
        <w:rPr>
          <w:b/>
          <w:bCs/>
          <w:i/>
        </w:rPr>
        <w:t xml:space="preserve">- </w:t>
      </w:r>
      <w:r w:rsidRPr="00C03CF1">
        <w:rPr>
          <w:b/>
          <w:bCs/>
          <w:i/>
        </w:rPr>
        <w:t>L’exposition au bruit</w:t>
      </w:r>
    </w:p>
    <w:p w14:paraId="0668984E" w14:textId="7F212811" w:rsidR="00406BCD" w:rsidRPr="00C03CF1" w:rsidRDefault="00000000" w:rsidP="005621B4">
      <w:pPr>
        <w:pStyle w:val="corpsdedcision"/>
      </w:pPr>
      <w:r w:rsidRPr="00C03CF1">
        <w:t>Le travailleur est embauché par l'employeur le 23</w:t>
      </w:r>
      <w:r w:rsidR="003B3113" w:rsidRPr="00C03CF1">
        <w:t> </w:t>
      </w:r>
      <w:r w:rsidRPr="00C03CF1">
        <w:t>septembre</w:t>
      </w:r>
      <w:r w:rsidR="003B3113" w:rsidRPr="00C03CF1">
        <w:t> </w:t>
      </w:r>
      <w:r w:rsidRPr="00C03CF1">
        <w:t>1985. Il est compteur d’argent jusqu’en 2002. Par la suite et jusqu’à ce jour, il effectue les tâches de chef d’équipe et de conducteur d’un camion blindé.</w:t>
      </w:r>
      <w:r w:rsidR="00C05C76" w:rsidRPr="00C03CF1">
        <w:t xml:space="preserve"> Dans l’exercice de ses tâches, il participe à des séances de tir.</w:t>
      </w:r>
    </w:p>
    <w:p w14:paraId="70F905F9" w14:textId="5A746DEA" w:rsidR="00312742" w:rsidRPr="00C03CF1" w:rsidRDefault="00000000" w:rsidP="001631E4">
      <w:pPr>
        <w:pStyle w:val="corpsdedcision"/>
      </w:pPr>
      <w:r w:rsidRPr="00C03CF1">
        <w:t>Le</w:t>
      </w:r>
      <w:r w:rsidR="003B3113" w:rsidRPr="00C03CF1">
        <w:t> </w:t>
      </w:r>
      <w:r w:rsidRPr="00C03CF1">
        <w:t xml:space="preserve">Tribunal accorde une valeur probante au témoignage du travailleur, lequel n’a d’ailleurs pas été contredit. De sorte que la preuve présentée s’avère prépondérante pour établir que </w:t>
      </w:r>
      <w:r w:rsidR="00C05C76" w:rsidRPr="00C03CF1">
        <w:t>s</w:t>
      </w:r>
      <w:r w:rsidRPr="00C03CF1">
        <w:t xml:space="preserve">a surdité découle </w:t>
      </w:r>
      <w:r w:rsidR="00D6389C" w:rsidRPr="00C03CF1">
        <w:t xml:space="preserve">du cumul des expositions sonores dans </w:t>
      </w:r>
      <w:r w:rsidR="00C05C76" w:rsidRPr="00C03CF1">
        <w:t>le cadre de son emploi</w:t>
      </w:r>
      <w:r w:rsidR="00D6389C" w:rsidRPr="00C03CF1">
        <w:t xml:space="preserve">, soit le </w:t>
      </w:r>
      <w:r w:rsidR="00CC67A1" w:rsidRPr="00C03CF1">
        <w:t>comptage du numéraire</w:t>
      </w:r>
      <w:r w:rsidR="00D6389C" w:rsidRPr="00C03CF1">
        <w:t>, les déplacements en camion blindé et les séances de tir auxquelles il devait participer.</w:t>
      </w:r>
    </w:p>
    <w:p w14:paraId="55C71316" w14:textId="2631ADF1" w:rsidR="00321397" w:rsidRPr="00C03CF1" w:rsidRDefault="00000000" w:rsidP="001631E4">
      <w:pPr>
        <w:pStyle w:val="corpsdedcision"/>
        <w:keepNext/>
        <w:keepLines/>
        <w:numPr>
          <w:ilvl w:val="0"/>
          <w:numId w:val="0"/>
        </w:numPr>
        <w:ind w:left="709"/>
        <w:rPr>
          <w:b/>
          <w:bCs/>
          <w:i/>
          <w:iCs/>
        </w:rPr>
      </w:pPr>
      <w:r w:rsidRPr="00C03CF1">
        <w:rPr>
          <w:b/>
          <w:bCs/>
          <w:i/>
          <w:iCs/>
        </w:rPr>
        <w:lastRenderedPageBreak/>
        <w:t>2.1- compteur d’argent</w:t>
      </w:r>
    </w:p>
    <w:p w14:paraId="483BED7F" w14:textId="0A393D30" w:rsidR="005D48B9" w:rsidRPr="00C03CF1" w:rsidRDefault="00000000" w:rsidP="001631E4">
      <w:pPr>
        <w:pStyle w:val="corpsdedcision"/>
        <w:keepNext/>
        <w:keepLines/>
      </w:pPr>
      <w:r w:rsidRPr="00C03CF1">
        <w:t>Le</w:t>
      </w:r>
      <w:r w:rsidR="00781643" w:rsidRPr="00C03CF1">
        <w:t> </w:t>
      </w:r>
      <w:r w:rsidRPr="00C03CF1">
        <w:t>Tribunal retient que dans la salle où s’effectuait le comptage du numéraire, le</w:t>
      </w:r>
      <w:r w:rsidR="00422A17" w:rsidRPr="00C03CF1">
        <w:t> </w:t>
      </w:r>
      <w:r w:rsidRPr="00C03CF1">
        <w:t>travailleur a été exposé pendant 17</w:t>
      </w:r>
      <w:r w:rsidR="00B47F35" w:rsidRPr="00C03CF1">
        <w:t> </w:t>
      </w:r>
      <w:r w:rsidRPr="00C03CF1">
        <w:t xml:space="preserve">années à un environnement bruyant </w:t>
      </w:r>
      <w:r w:rsidR="00C05C76" w:rsidRPr="00C03CF1">
        <w:t>généré par des machines compteuses fonctionnant simultanément</w:t>
      </w:r>
      <w:r w:rsidR="00792738" w:rsidRPr="00C03CF1">
        <w:t>.</w:t>
      </w:r>
      <w:r w:rsidRPr="00C03CF1">
        <w:t xml:space="preserve"> </w:t>
      </w:r>
      <w:r w:rsidR="00C05C76" w:rsidRPr="00C03CF1">
        <w:t>Il appert qu’aucun protecteur auditif n’était porté</w:t>
      </w:r>
      <w:r w:rsidRPr="00C03CF1">
        <w:t>.</w:t>
      </w:r>
    </w:p>
    <w:p w14:paraId="3AFD01A1" w14:textId="7F92C065" w:rsidR="00406BCD" w:rsidRPr="00C03CF1" w:rsidRDefault="00000000" w:rsidP="00406BCD">
      <w:pPr>
        <w:pStyle w:val="corpsdedcision"/>
      </w:pPr>
      <w:r w:rsidRPr="00C03CF1">
        <w:t>Le travailleur était</w:t>
      </w:r>
      <w:r w:rsidR="005D48B9" w:rsidRPr="00C03CF1">
        <w:t xml:space="preserve"> affecté au comptage de l’argent depuis son embauche en 1985</w:t>
      </w:r>
      <w:r w:rsidRPr="00C03CF1">
        <w:t xml:space="preserve"> </w:t>
      </w:r>
      <w:r w:rsidR="005D48B9" w:rsidRPr="00C03CF1">
        <w:t>jusqu’en 2002. L’horaire quotidien</w:t>
      </w:r>
      <w:r w:rsidR="00321397" w:rsidRPr="00C03CF1">
        <w:t xml:space="preserve"> </w:t>
      </w:r>
      <w:r w:rsidR="001900EA" w:rsidRPr="00C03CF1">
        <w:t xml:space="preserve">était </w:t>
      </w:r>
      <w:r w:rsidR="00321397" w:rsidRPr="00C03CF1">
        <w:t>de 8</w:t>
      </w:r>
      <w:r w:rsidR="006F777D" w:rsidRPr="00C03CF1">
        <w:t> </w:t>
      </w:r>
      <w:r w:rsidR="00321397" w:rsidRPr="00C03CF1">
        <w:t>h à 16</w:t>
      </w:r>
      <w:r w:rsidR="006F777D" w:rsidRPr="00C03CF1">
        <w:t> </w:t>
      </w:r>
      <w:r w:rsidR="00321397" w:rsidRPr="00C03CF1">
        <w:t xml:space="preserve">h </w:t>
      </w:r>
      <w:r w:rsidR="001900EA" w:rsidRPr="00C03CF1">
        <w:t xml:space="preserve">entrecoupé </w:t>
      </w:r>
      <w:r w:rsidR="00321397" w:rsidRPr="00C03CF1">
        <w:t>de 2</w:t>
      </w:r>
      <w:r w:rsidR="006F777D" w:rsidRPr="00C03CF1">
        <w:t> </w:t>
      </w:r>
      <w:r w:rsidR="00321397" w:rsidRPr="00C03CF1">
        <w:t>pauses de 15</w:t>
      </w:r>
      <w:r w:rsidR="005D48B9" w:rsidRPr="00C03CF1">
        <w:t> </w:t>
      </w:r>
      <w:r w:rsidR="00321397" w:rsidRPr="00C03CF1">
        <w:t>minutes chacune et d’une période de dîner d’une durée de 30</w:t>
      </w:r>
      <w:r w:rsidR="006F777D" w:rsidRPr="00C03CF1">
        <w:t> </w:t>
      </w:r>
      <w:r w:rsidR="00321397" w:rsidRPr="00C03CF1">
        <w:t>minutes</w:t>
      </w:r>
      <w:r w:rsidR="005D48B9" w:rsidRPr="00C03CF1">
        <w:t>, et ce, à raison de 5</w:t>
      </w:r>
      <w:r w:rsidR="00D6389C" w:rsidRPr="00C03CF1">
        <w:t> </w:t>
      </w:r>
      <w:r w:rsidR="005D48B9" w:rsidRPr="00C03CF1">
        <w:t>journées par semaine</w:t>
      </w:r>
      <w:r w:rsidR="00321397" w:rsidRPr="00C03CF1">
        <w:t>.</w:t>
      </w:r>
    </w:p>
    <w:p w14:paraId="481562E5" w14:textId="7062332C" w:rsidR="00406BCD" w:rsidRPr="00C03CF1" w:rsidRDefault="00000000" w:rsidP="00B07626">
      <w:pPr>
        <w:pStyle w:val="corpsdedcision"/>
      </w:pPr>
      <w:r w:rsidRPr="00C03CF1">
        <w:t>L’argent provenait</w:t>
      </w:r>
      <w:r w:rsidR="00BA3599" w:rsidRPr="00C03CF1">
        <w:t xml:space="preserve"> des commandes </w:t>
      </w:r>
      <w:r w:rsidRPr="00C03CF1">
        <w:t>émanant des</w:t>
      </w:r>
      <w:r w:rsidR="00BA3599" w:rsidRPr="00C03CF1">
        <w:t xml:space="preserve"> institutions financières et des décomptes des dépôts </w:t>
      </w:r>
      <w:r w:rsidR="00F46764" w:rsidRPr="00C03CF1">
        <w:t xml:space="preserve">tant </w:t>
      </w:r>
      <w:r w:rsidR="00BA3599" w:rsidRPr="00C03CF1">
        <w:t xml:space="preserve">bancaires </w:t>
      </w:r>
      <w:r w:rsidR="00F46764" w:rsidRPr="00C03CF1">
        <w:t>que</w:t>
      </w:r>
      <w:r w:rsidRPr="00C03CF1">
        <w:t xml:space="preserve"> </w:t>
      </w:r>
      <w:r w:rsidR="00BA3599" w:rsidRPr="00C03CF1">
        <w:t>commerciaux</w:t>
      </w:r>
      <w:r w:rsidR="00F46764" w:rsidRPr="00C03CF1">
        <w:t>.</w:t>
      </w:r>
      <w:r w:rsidR="00D81C7E" w:rsidRPr="00C03CF1">
        <w:t xml:space="preserve"> </w:t>
      </w:r>
      <w:r w:rsidR="00F46764" w:rsidRPr="00C03CF1">
        <w:t>L</w:t>
      </w:r>
      <w:r w:rsidR="00D81C7E" w:rsidRPr="00C03CF1">
        <w:t xml:space="preserve">e </w:t>
      </w:r>
      <w:r w:rsidRPr="00C03CF1">
        <w:t>comptage</w:t>
      </w:r>
      <w:r w:rsidR="00BA3599" w:rsidRPr="00C03CF1">
        <w:t xml:space="preserve"> s’effectuait </w:t>
      </w:r>
      <w:r w:rsidR="00D81C7E" w:rsidRPr="00C03CF1">
        <w:t>dans une salle</w:t>
      </w:r>
      <w:r w:rsidR="00792738" w:rsidRPr="00C03CF1">
        <w:t xml:space="preserve"> bétonnée</w:t>
      </w:r>
      <w:r w:rsidR="00D81C7E" w:rsidRPr="00C03CF1">
        <w:t xml:space="preserve"> de 30</w:t>
      </w:r>
      <w:r w:rsidR="00D173D2" w:rsidRPr="00C03CF1">
        <w:t> </w:t>
      </w:r>
      <w:r w:rsidR="00D81C7E" w:rsidRPr="00C03CF1">
        <w:t xml:space="preserve">pieds </w:t>
      </w:r>
      <w:r w:rsidR="00CA31DB" w:rsidRPr="00C03CF1">
        <w:t xml:space="preserve">x </w:t>
      </w:r>
      <w:r w:rsidR="00D81C7E" w:rsidRPr="00C03CF1">
        <w:t>15</w:t>
      </w:r>
      <w:r w:rsidR="00D173D2" w:rsidRPr="00C03CF1">
        <w:t> </w:t>
      </w:r>
      <w:r w:rsidR="00D81C7E" w:rsidRPr="00C03CF1">
        <w:t xml:space="preserve">pieds </w:t>
      </w:r>
      <w:r w:rsidR="00CA31DB" w:rsidRPr="00C03CF1">
        <w:t>x</w:t>
      </w:r>
      <w:r w:rsidR="00D81C7E" w:rsidRPr="00C03CF1">
        <w:t xml:space="preserve"> 10</w:t>
      </w:r>
      <w:r w:rsidR="00D173D2" w:rsidRPr="00C03CF1">
        <w:t> </w:t>
      </w:r>
      <w:r w:rsidR="00D81C7E" w:rsidRPr="00C03CF1">
        <w:t xml:space="preserve">pieds. </w:t>
      </w:r>
      <w:r w:rsidR="00F46764" w:rsidRPr="00C03CF1">
        <w:t xml:space="preserve">Cet espace ouvert, sans mur ni séparateur, comportait </w:t>
      </w:r>
      <w:r w:rsidR="00B975BD" w:rsidRPr="00C03CF1">
        <w:t>7</w:t>
      </w:r>
      <w:r w:rsidR="00D173D2" w:rsidRPr="00C03CF1">
        <w:t> </w:t>
      </w:r>
      <w:r w:rsidR="00B975BD" w:rsidRPr="00C03CF1">
        <w:t>machines compteuses de billets et une autre pour la monnaie</w:t>
      </w:r>
      <w:r w:rsidR="00F46764" w:rsidRPr="00C03CF1">
        <w:t>, lesquelles</w:t>
      </w:r>
      <w:r w:rsidR="00B975BD" w:rsidRPr="00C03CF1">
        <w:t xml:space="preserve"> fonctionnaient simultanément</w:t>
      </w:r>
      <w:r w:rsidR="00271A74" w:rsidRPr="00C03CF1">
        <w:t>, sauf p</w:t>
      </w:r>
      <w:r w:rsidR="00F46764" w:rsidRPr="00C03CF1">
        <w:t>endant le dîner</w:t>
      </w:r>
      <w:r w:rsidR="0014064D" w:rsidRPr="00C03CF1">
        <w:t xml:space="preserve"> où</w:t>
      </w:r>
      <w:r w:rsidR="00F46764" w:rsidRPr="00C03CF1">
        <w:t xml:space="preserve"> deux machines étaient </w:t>
      </w:r>
      <w:r w:rsidR="00271A74" w:rsidRPr="00C03CF1">
        <w:t xml:space="preserve">mises </w:t>
      </w:r>
      <w:r w:rsidR="00F46764" w:rsidRPr="00C03CF1">
        <w:t>au repos.</w:t>
      </w:r>
    </w:p>
    <w:p w14:paraId="10FC06EA" w14:textId="18551E7E" w:rsidR="0039503F" w:rsidRPr="00C03CF1" w:rsidRDefault="00000000" w:rsidP="00406BCD">
      <w:pPr>
        <w:pStyle w:val="corpsdedcision"/>
      </w:pPr>
      <w:r w:rsidRPr="00C03CF1">
        <w:t>Le travailleur explique que ces machines électromécaniques étaient bruyantes</w:t>
      </w:r>
      <w:r w:rsidR="00D173D2" w:rsidRPr="00C03CF1">
        <w:t>,</w:t>
      </w:r>
      <w:r w:rsidRPr="00C03CF1">
        <w:t xml:space="preserve"> rendant difficile </w:t>
      </w:r>
      <w:r w:rsidR="000D141E" w:rsidRPr="00C03CF1">
        <w:t>de converser</w:t>
      </w:r>
      <w:r w:rsidR="00CA31DB" w:rsidRPr="00C03CF1">
        <w:t xml:space="preserve"> avec</w:t>
      </w:r>
      <w:r w:rsidRPr="00C03CF1">
        <w:t xml:space="preserve"> un collègue </w:t>
      </w:r>
      <w:r w:rsidR="00CA31DB" w:rsidRPr="00C03CF1">
        <w:t xml:space="preserve">situé </w:t>
      </w:r>
      <w:r w:rsidRPr="00C03CF1">
        <w:t>à proximité</w:t>
      </w:r>
      <w:r w:rsidR="00F46764" w:rsidRPr="00C03CF1">
        <w:t>.</w:t>
      </w:r>
      <w:r w:rsidR="000D141E" w:rsidRPr="00C03CF1">
        <w:t xml:space="preserve"> Il précise qu’a</w:t>
      </w:r>
      <w:r w:rsidR="00F46764" w:rsidRPr="00C03CF1">
        <w:t>ucune protection auditive n’était portée</w:t>
      </w:r>
      <w:r w:rsidR="008D4CD3" w:rsidRPr="00C03CF1">
        <w:t xml:space="preserve"> lors de l’exécution de cette tâche</w:t>
      </w:r>
      <w:r w:rsidR="00F46764" w:rsidRPr="00C03CF1">
        <w:t>.</w:t>
      </w:r>
    </w:p>
    <w:p w14:paraId="08124889" w14:textId="238FE720" w:rsidR="00271A74" w:rsidRPr="00C03CF1" w:rsidRDefault="00000000" w:rsidP="00271A74">
      <w:pPr>
        <w:pStyle w:val="corpsdedcision"/>
        <w:numPr>
          <w:ilvl w:val="0"/>
          <w:numId w:val="0"/>
        </w:numPr>
        <w:ind w:left="709"/>
        <w:rPr>
          <w:b/>
          <w:bCs/>
          <w:i/>
          <w:iCs/>
        </w:rPr>
      </w:pPr>
      <w:r w:rsidRPr="00C03CF1">
        <w:rPr>
          <w:b/>
          <w:bCs/>
          <w:i/>
          <w:iCs/>
        </w:rPr>
        <w:t>2.2</w:t>
      </w:r>
      <w:r w:rsidR="00727F76" w:rsidRPr="00C03CF1">
        <w:rPr>
          <w:b/>
          <w:bCs/>
          <w:i/>
          <w:iCs/>
        </w:rPr>
        <w:t>-</w:t>
      </w:r>
      <w:r w:rsidRPr="00C03CF1">
        <w:rPr>
          <w:b/>
          <w:bCs/>
          <w:i/>
          <w:iCs/>
        </w:rPr>
        <w:t xml:space="preserve"> </w:t>
      </w:r>
      <w:r w:rsidR="008644CA" w:rsidRPr="00C03CF1">
        <w:rPr>
          <w:b/>
          <w:bCs/>
          <w:i/>
          <w:iCs/>
        </w:rPr>
        <w:t xml:space="preserve">chef d’équipe et </w:t>
      </w:r>
      <w:r w:rsidRPr="00C03CF1">
        <w:rPr>
          <w:b/>
          <w:bCs/>
          <w:i/>
          <w:iCs/>
        </w:rPr>
        <w:t>conducteur de camion blindé</w:t>
      </w:r>
    </w:p>
    <w:p w14:paraId="65E001CF" w14:textId="149D65D7" w:rsidR="005D48B9" w:rsidRPr="00C03CF1" w:rsidRDefault="00000000" w:rsidP="00406BCD">
      <w:pPr>
        <w:pStyle w:val="corpsdedcision"/>
      </w:pPr>
      <w:r w:rsidRPr="00C03CF1">
        <w:t>Pendant les 23</w:t>
      </w:r>
      <w:r w:rsidR="00D173D2" w:rsidRPr="00C03CF1">
        <w:t> </w:t>
      </w:r>
      <w:r w:rsidRPr="00C03CF1">
        <w:t xml:space="preserve">années que le travailleur </w:t>
      </w:r>
      <w:r w:rsidR="00A373A8" w:rsidRPr="00C03CF1">
        <w:t xml:space="preserve">effectue </w:t>
      </w:r>
      <w:r w:rsidR="006D7E28" w:rsidRPr="00C03CF1">
        <w:t xml:space="preserve">le transport de </w:t>
      </w:r>
      <w:r w:rsidR="00A373A8" w:rsidRPr="00C03CF1">
        <w:t xml:space="preserve">numéraire </w:t>
      </w:r>
      <w:r w:rsidR="006D7E28" w:rsidRPr="00C03CF1">
        <w:t xml:space="preserve">et de valeurs </w:t>
      </w:r>
      <w:r w:rsidR="00A373A8" w:rsidRPr="00C03CF1">
        <w:t xml:space="preserve">à l’aide d’un camion blindé, il continue </w:t>
      </w:r>
      <w:r w:rsidR="007B74A4" w:rsidRPr="00C03CF1">
        <w:t xml:space="preserve">à </w:t>
      </w:r>
      <w:r w:rsidR="00A373A8" w:rsidRPr="00C03CF1">
        <w:t>être exposé à un environnement de travail bruyant et quasi constant.</w:t>
      </w:r>
    </w:p>
    <w:p w14:paraId="73368CD6" w14:textId="088E32D6" w:rsidR="0039503F" w:rsidRPr="00C03CF1" w:rsidRDefault="00000000" w:rsidP="00A373A8">
      <w:pPr>
        <w:pStyle w:val="corpsdedcision"/>
      </w:pPr>
      <w:r w:rsidRPr="00C03CF1">
        <w:t xml:space="preserve">Le travailleur </w:t>
      </w:r>
      <w:r w:rsidR="00A373A8" w:rsidRPr="00C03CF1">
        <w:t xml:space="preserve">exerce la tâche de chef d’équipe et de conducteur de blindé depuis 2002 jusqu’à ce jour. </w:t>
      </w:r>
      <w:r w:rsidRPr="00C03CF1">
        <w:t xml:space="preserve">L’horaire de travail </w:t>
      </w:r>
      <w:r w:rsidR="00A373A8" w:rsidRPr="00C03CF1">
        <w:t xml:space="preserve">s’échelonne </w:t>
      </w:r>
      <w:r w:rsidRPr="00C03CF1">
        <w:t>de 7</w:t>
      </w:r>
      <w:r w:rsidR="00710C45" w:rsidRPr="00C03CF1">
        <w:t> </w:t>
      </w:r>
      <w:r w:rsidRPr="00C03CF1">
        <w:t>h</w:t>
      </w:r>
      <w:r w:rsidR="00710C45" w:rsidRPr="00C03CF1">
        <w:t> </w:t>
      </w:r>
      <w:r w:rsidRPr="00C03CF1">
        <w:t>30 à 17</w:t>
      </w:r>
      <w:r w:rsidR="00710C45" w:rsidRPr="00C03CF1">
        <w:t> </w:t>
      </w:r>
      <w:r w:rsidRPr="00C03CF1">
        <w:t xml:space="preserve">h </w:t>
      </w:r>
      <w:r w:rsidR="00A373A8" w:rsidRPr="00C03CF1">
        <w:t xml:space="preserve">et est </w:t>
      </w:r>
      <w:r w:rsidR="00207882" w:rsidRPr="00C03CF1">
        <w:t>entrecoupé de deux pauses de 15</w:t>
      </w:r>
      <w:r w:rsidR="00710C45" w:rsidRPr="00C03CF1">
        <w:t> </w:t>
      </w:r>
      <w:r w:rsidR="00207882" w:rsidRPr="00C03CF1">
        <w:t>minutes et d’une période de dîner de 30</w:t>
      </w:r>
      <w:r w:rsidR="00710C45" w:rsidRPr="00C03CF1">
        <w:t> </w:t>
      </w:r>
      <w:r w:rsidR="00207882" w:rsidRPr="00C03CF1">
        <w:t>minutes, et ce, à raison de 4</w:t>
      </w:r>
      <w:r w:rsidR="00710C45" w:rsidRPr="00C03CF1">
        <w:t> </w:t>
      </w:r>
      <w:r w:rsidR="00207882" w:rsidRPr="00C03CF1">
        <w:t>jours par semaine.</w:t>
      </w:r>
    </w:p>
    <w:p w14:paraId="471681A9" w14:textId="04733985" w:rsidR="009B1A17" w:rsidRPr="00C03CF1" w:rsidRDefault="00000000" w:rsidP="009B1A17">
      <w:pPr>
        <w:pStyle w:val="corpsdedcision"/>
      </w:pPr>
      <w:r w:rsidRPr="00C03CF1">
        <w:t>L</w:t>
      </w:r>
      <w:r w:rsidR="00207882" w:rsidRPr="00C03CF1">
        <w:t xml:space="preserve">es déplacements </w:t>
      </w:r>
      <w:r w:rsidRPr="00C03CF1">
        <w:t>s’effectuent</w:t>
      </w:r>
      <w:r w:rsidR="00207882" w:rsidRPr="00C03CF1">
        <w:t xml:space="preserve"> à l’aide d’un camion blindé muni d’un moteur diesel</w:t>
      </w:r>
      <w:r w:rsidRPr="00C03CF1">
        <w:t xml:space="preserve">, lequel occasionne des vibrations étant donné que la structure </w:t>
      </w:r>
      <w:r w:rsidR="0014064D" w:rsidRPr="00C03CF1">
        <w:t xml:space="preserve">du véhicule </w:t>
      </w:r>
      <w:r w:rsidRPr="00C03CF1">
        <w:t xml:space="preserve">est métallique. En conséquence, les échanges verbaux avec le coéquipier doivent se faire à haute voix pour </w:t>
      </w:r>
      <w:r w:rsidR="000D141E" w:rsidRPr="00C03CF1">
        <w:t>être compris</w:t>
      </w:r>
      <w:r w:rsidR="0014064D" w:rsidRPr="00C03CF1">
        <w:t>.</w:t>
      </w:r>
      <w:r w:rsidR="00706919" w:rsidRPr="00C03CF1">
        <w:t xml:space="preserve"> De plus, le fonctionnement du système de chauffage et de ventilation est bruyant</w:t>
      </w:r>
      <w:r w:rsidRPr="00C03CF1">
        <w:t>.</w:t>
      </w:r>
    </w:p>
    <w:p w14:paraId="75B77C32" w14:textId="02521573" w:rsidR="00FD0A24" w:rsidRPr="00C03CF1" w:rsidRDefault="00000000" w:rsidP="00DD3660">
      <w:pPr>
        <w:pStyle w:val="corpsdedcision"/>
        <w:keepNext/>
        <w:keepLines/>
      </w:pPr>
      <w:r w:rsidRPr="00C03CF1">
        <w:lastRenderedPageBreak/>
        <w:t>Par ailleurs, le système d’alarme dans le camion se déclenche occasionnellement sans raison apparente</w:t>
      </w:r>
      <w:r w:rsidR="00463F8D" w:rsidRPr="00C03CF1">
        <w:t>, et ce,</w:t>
      </w:r>
      <w:r w:rsidRPr="00C03CF1">
        <w:t xml:space="preserve"> 2 à 3 fois par semaine. Celui</w:t>
      </w:r>
      <w:r w:rsidR="00463F8D" w:rsidRPr="00C03CF1">
        <w:noBreakHyphen/>
      </w:r>
      <w:r w:rsidRPr="00C03CF1">
        <w:t xml:space="preserve">ci </w:t>
      </w:r>
      <w:r w:rsidR="000D141E" w:rsidRPr="00C03CF1">
        <w:t>provoque</w:t>
      </w:r>
      <w:r w:rsidRPr="00C03CF1">
        <w:t xml:space="preserve"> un bruit strident pendant plusieurs minutes avant </w:t>
      </w:r>
      <w:r w:rsidR="0014064D" w:rsidRPr="00C03CF1">
        <w:t>qu’un appel téléphonique à la centrale permette de l’interromp</w:t>
      </w:r>
      <w:r w:rsidR="007739F9" w:rsidRPr="00C03CF1">
        <w:t>r</w:t>
      </w:r>
      <w:r w:rsidR="0014064D" w:rsidRPr="00C03CF1">
        <w:t>e</w:t>
      </w:r>
      <w:r w:rsidRPr="00C03CF1">
        <w:t xml:space="preserve">. L’intensité du bruit est telle qu’elle nécessite de se protéger les oreilles avec les mains. Il en est de même </w:t>
      </w:r>
      <w:r w:rsidR="0014064D" w:rsidRPr="00C03CF1">
        <w:t>de</w:t>
      </w:r>
      <w:r w:rsidRPr="00C03CF1">
        <w:t xml:space="preserve"> l’alarme dans les guichets automatiques</w:t>
      </w:r>
      <w:r w:rsidR="0014064D" w:rsidRPr="00C03CF1">
        <w:t>, laquelle</w:t>
      </w:r>
      <w:r w:rsidRPr="00C03CF1">
        <w:t xml:space="preserve"> s’actionne accidentellement une fois par semaine.</w:t>
      </w:r>
    </w:p>
    <w:p w14:paraId="12E87122" w14:textId="538B01D4" w:rsidR="009B1A17" w:rsidRPr="00C03CF1" w:rsidRDefault="00000000" w:rsidP="009B1A17">
      <w:pPr>
        <w:pStyle w:val="corpsdedcision"/>
      </w:pPr>
      <w:r w:rsidRPr="00C03CF1">
        <w:t>Aucune protection auditive n’est portée pendant l’exécution de ces tâches.</w:t>
      </w:r>
    </w:p>
    <w:p w14:paraId="51B081B7" w14:textId="5FC29CC8" w:rsidR="00271A74" w:rsidRPr="00C03CF1" w:rsidRDefault="00000000" w:rsidP="00271A74">
      <w:pPr>
        <w:pStyle w:val="corpsdedcision"/>
        <w:numPr>
          <w:ilvl w:val="0"/>
          <w:numId w:val="0"/>
        </w:numPr>
        <w:ind w:left="709"/>
        <w:rPr>
          <w:b/>
          <w:bCs/>
          <w:i/>
          <w:iCs/>
        </w:rPr>
      </w:pPr>
      <w:r w:rsidRPr="00C03CF1">
        <w:rPr>
          <w:b/>
          <w:bCs/>
          <w:i/>
          <w:iCs/>
        </w:rPr>
        <w:t>2.3- séances de tir</w:t>
      </w:r>
    </w:p>
    <w:p w14:paraId="44C590FE" w14:textId="7567EBAD" w:rsidR="00A373A8" w:rsidRPr="00C03CF1" w:rsidRDefault="00000000" w:rsidP="00406BCD">
      <w:pPr>
        <w:pStyle w:val="corpsdedcision"/>
      </w:pPr>
      <w:r w:rsidRPr="00C03CF1">
        <w:t>Le travailleur détient un permis de port d’armes pour l’exercice de son métier et est tenu de participer à des séances de tir</w:t>
      </w:r>
      <w:r w:rsidR="00896AE2" w:rsidRPr="00C03CF1">
        <w:t xml:space="preserve"> depuis son embauche</w:t>
      </w:r>
      <w:r w:rsidRPr="00C03CF1">
        <w:t>. Au cours de celles</w:t>
      </w:r>
      <w:r w:rsidR="003C3AE9" w:rsidRPr="00C03CF1">
        <w:noBreakHyphen/>
      </w:r>
      <w:r w:rsidRPr="00C03CF1">
        <w:t>ci, il est exposé à de nombreuses dé</w:t>
      </w:r>
      <w:r w:rsidR="009F40E1" w:rsidRPr="00C03CF1">
        <w:t>tona</w:t>
      </w:r>
      <w:r w:rsidRPr="00C03CF1">
        <w:t>tions sur une période relativement courte. En dépit du port d’un protecteur auditif de type coquilles antibruit, la preuve présentée démontre de manière prépondérante qu’il s’agit d’un environnement bruyant.</w:t>
      </w:r>
    </w:p>
    <w:p w14:paraId="19FD0FD5" w14:textId="3C8391F5" w:rsidR="00271A74" w:rsidRPr="00C03CF1" w:rsidRDefault="00000000" w:rsidP="00406BCD">
      <w:pPr>
        <w:pStyle w:val="corpsdedcision"/>
      </w:pPr>
      <w:r w:rsidRPr="00C03CF1">
        <w:t>Entre 1987 et 2007</w:t>
      </w:r>
      <w:r w:rsidR="007355C6" w:rsidRPr="00C03CF1">
        <w:t xml:space="preserve">, </w:t>
      </w:r>
      <w:r w:rsidR="0014064D" w:rsidRPr="00C03CF1">
        <w:t xml:space="preserve">le travailleur </w:t>
      </w:r>
      <w:r w:rsidR="007355C6" w:rsidRPr="00C03CF1">
        <w:t>devait participer à 2</w:t>
      </w:r>
      <w:r w:rsidR="00644EF5" w:rsidRPr="00C03CF1">
        <w:t> </w:t>
      </w:r>
      <w:r w:rsidR="007355C6" w:rsidRPr="00C03CF1">
        <w:t xml:space="preserve">séances de tir par année nécessitant l’utilisation de révolvers, soit un .38 </w:t>
      </w:r>
      <w:r w:rsidR="00644EF5" w:rsidRPr="00C03CF1">
        <w:t>S</w:t>
      </w:r>
      <w:r w:rsidR="007355C6" w:rsidRPr="00C03CF1">
        <w:t xml:space="preserve">pécial et un .357 </w:t>
      </w:r>
      <w:r w:rsidR="00644EF5" w:rsidRPr="00C03CF1">
        <w:t>M</w:t>
      </w:r>
      <w:r w:rsidR="007355C6" w:rsidRPr="00C03CF1">
        <w:t>agnum</w:t>
      </w:r>
      <w:r w:rsidR="0014064D" w:rsidRPr="00C03CF1">
        <w:t>,</w:t>
      </w:r>
      <w:r w:rsidR="007355C6" w:rsidRPr="00C03CF1">
        <w:t xml:space="preserve"> ainsi qu’un fusil de calibre 12. Par la suite et jusqu’à ce jour, le travailleur participe à une </w:t>
      </w:r>
      <w:r w:rsidR="00442BE3" w:rsidRPr="00C03CF1">
        <w:t xml:space="preserve">seule </w:t>
      </w:r>
      <w:r w:rsidR="007355C6" w:rsidRPr="00C03CF1">
        <w:t>séance annuelle</w:t>
      </w:r>
      <w:r w:rsidR="0014064D" w:rsidRPr="00C03CF1">
        <w:t xml:space="preserve"> au cour</w:t>
      </w:r>
      <w:r w:rsidR="002F4169" w:rsidRPr="00C03CF1">
        <w:t>s</w:t>
      </w:r>
      <w:r w:rsidR="0014064D" w:rsidRPr="00C03CF1">
        <w:t xml:space="preserve"> de laquelle est utilisé un </w:t>
      </w:r>
      <w:r w:rsidR="007355C6" w:rsidRPr="00C03CF1">
        <w:t>pistolet 9</w:t>
      </w:r>
      <w:r w:rsidR="002F4169" w:rsidRPr="00C03CF1">
        <w:t> </w:t>
      </w:r>
      <w:proofErr w:type="spellStart"/>
      <w:r w:rsidR="007355C6" w:rsidRPr="00C03CF1">
        <w:t>mm.</w:t>
      </w:r>
      <w:proofErr w:type="spellEnd"/>
    </w:p>
    <w:p w14:paraId="2EC49914" w14:textId="2FED48D5" w:rsidR="00442BE3" w:rsidRPr="00C03CF1" w:rsidRDefault="00000000" w:rsidP="00406BCD">
      <w:pPr>
        <w:pStyle w:val="corpsdedcision"/>
      </w:pPr>
      <w:r w:rsidRPr="00C03CF1">
        <w:t>Les séances sont d’une durée de 7</w:t>
      </w:r>
      <w:r w:rsidR="002E375E" w:rsidRPr="00C03CF1">
        <w:t> </w:t>
      </w:r>
      <w:r w:rsidRPr="00C03CF1">
        <w:t xml:space="preserve">heures dont 4 </w:t>
      </w:r>
      <w:r w:rsidR="002E375E" w:rsidRPr="00C03CF1">
        <w:t xml:space="preserve">sont </w:t>
      </w:r>
      <w:r w:rsidRPr="00C03CF1">
        <w:t>consacrées au tir lui</w:t>
      </w:r>
      <w:r w:rsidRPr="00C03CF1">
        <w:noBreakHyphen/>
        <w:t>même. Elles s’effectuent à l’extérieur dans un champ.</w:t>
      </w:r>
    </w:p>
    <w:p w14:paraId="0AC0F373" w14:textId="14A29D14" w:rsidR="001B56E4" w:rsidRPr="00C03CF1" w:rsidRDefault="00000000" w:rsidP="00994333">
      <w:pPr>
        <w:pStyle w:val="corpsdedcision"/>
      </w:pPr>
      <w:r w:rsidRPr="00C03CF1">
        <w:t>Les tireurs</w:t>
      </w:r>
      <w:r w:rsidR="000F5815" w:rsidRPr="00C03CF1">
        <w:t>,</w:t>
      </w:r>
      <w:r w:rsidRPr="00C03CF1">
        <w:t xml:space="preserve"> au nombre de 4</w:t>
      </w:r>
      <w:r w:rsidR="000F5815" w:rsidRPr="00C03CF1">
        <w:t>,</w:t>
      </w:r>
      <w:r w:rsidRPr="00C03CF1">
        <w:t xml:space="preserve"> se trouvent dans un abri dont la toiture est métallique</w:t>
      </w:r>
      <w:r w:rsidR="00C025D2" w:rsidRPr="00C03CF1">
        <w:t xml:space="preserve">. Ils </w:t>
      </w:r>
      <w:r w:rsidR="006C423F" w:rsidRPr="00C03CF1">
        <w:t>sont</w:t>
      </w:r>
      <w:r w:rsidR="00C025D2" w:rsidRPr="00C03CF1">
        <w:t xml:space="preserve"> côte à côte dans un espace limité par des séparateurs constitués d’un moustiquaire</w:t>
      </w:r>
      <w:r w:rsidR="0014064D" w:rsidRPr="00C03CF1">
        <w:t>, lesquels</w:t>
      </w:r>
      <w:r w:rsidR="00C025D2" w:rsidRPr="00C03CF1">
        <w:t xml:space="preserve"> bloque</w:t>
      </w:r>
      <w:r w:rsidR="0014064D" w:rsidRPr="00C03CF1">
        <w:t>nt</w:t>
      </w:r>
      <w:r w:rsidR="00C025D2" w:rsidRPr="00C03CF1">
        <w:t xml:space="preserve"> la projection des douilles </w:t>
      </w:r>
      <w:r w:rsidR="0014064D" w:rsidRPr="00C03CF1">
        <w:t>pendant les</w:t>
      </w:r>
      <w:r w:rsidR="00C025D2" w:rsidRPr="00C03CF1">
        <w:t xml:space="preserve"> tir</w:t>
      </w:r>
      <w:r w:rsidR="0014064D" w:rsidRPr="00C03CF1">
        <w:t>s</w:t>
      </w:r>
      <w:r w:rsidR="00C025D2" w:rsidRPr="00C03CF1">
        <w:t>.</w:t>
      </w:r>
    </w:p>
    <w:p w14:paraId="72CAB2DD" w14:textId="5F0D3948" w:rsidR="00442BE3" w:rsidRPr="00C03CF1" w:rsidRDefault="00000000" w:rsidP="00994333">
      <w:pPr>
        <w:pStyle w:val="corpsdedcision"/>
      </w:pPr>
      <w:r w:rsidRPr="00C03CF1">
        <w:t>Les tireurs font feu</w:t>
      </w:r>
      <w:r w:rsidR="00C425B6" w:rsidRPr="00C03CF1">
        <w:t xml:space="preserve"> simultanément au sifflet de l’instructeur.</w:t>
      </w:r>
      <w:r w:rsidR="002F3718" w:rsidRPr="00C03CF1">
        <w:t xml:space="preserve"> </w:t>
      </w:r>
      <w:r w:rsidR="00C425B6" w:rsidRPr="00C03CF1">
        <w:t>Chacun effectue de 300 à 450</w:t>
      </w:r>
      <w:r w:rsidR="00650AFF" w:rsidRPr="00C03CF1">
        <w:t> </w:t>
      </w:r>
      <w:r w:rsidR="00C425B6" w:rsidRPr="00C03CF1">
        <w:t>tirs</w:t>
      </w:r>
      <w:r w:rsidR="002F3718" w:rsidRPr="00C03CF1">
        <w:t xml:space="preserve"> pendant la séance</w:t>
      </w:r>
      <w:r w:rsidRPr="00C03CF1">
        <w:t>. Un</w:t>
      </w:r>
      <w:r w:rsidR="002F3718" w:rsidRPr="00C03CF1">
        <w:t xml:space="preserve"> total de 1</w:t>
      </w:r>
      <w:r w:rsidR="002B35AB" w:rsidRPr="00C03CF1">
        <w:t> </w:t>
      </w:r>
      <w:r w:rsidR="002F3718" w:rsidRPr="00C03CF1">
        <w:t>200 à 1</w:t>
      </w:r>
      <w:r w:rsidR="002B35AB" w:rsidRPr="00C03CF1">
        <w:t> </w:t>
      </w:r>
      <w:r w:rsidR="002F3718" w:rsidRPr="00C03CF1">
        <w:t>800</w:t>
      </w:r>
      <w:r w:rsidR="00650AFF" w:rsidRPr="00C03CF1">
        <w:t> </w:t>
      </w:r>
      <w:r w:rsidR="002F3718" w:rsidRPr="00C03CF1">
        <w:t>détonations</w:t>
      </w:r>
      <w:r w:rsidRPr="00C03CF1">
        <w:t xml:space="preserve"> se font entendre</w:t>
      </w:r>
      <w:r w:rsidR="00650AFF" w:rsidRPr="00C03CF1">
        <w:t>,</w:t>
      </w:r>
      <w:r w:rsidRPr="00C03CF1">
        <w:t xml:space="preserve"> sans compter les tirs de reprise, lesquels permettent de qualifier un tireur défaillant.</w:t>
      </w:r>
    </w:p>
    <w:p w14:paraId="38CF8D27" w14:textId="367D453F" w:rsidR="00C35EE7" w:rsidRPr="00C03CF1" w:rsidRDefault="00000000" w:rsidP="00406BCD">
      <w:pPr>
        <w:pStyle w:val="corpsdedcision"/>
      </w:pPr>
      <w:r w:rsidRPr="00C03CF1">
        <w:t>Les tireurs portent des protecteurs auditifs de type coquilles antibruit</w:t>
      </w:r>
      <w:r w:rsidR="001B56E4" w:rsidRPr="00C03CF1">
        <w:t>. Selon la fiche technique produite après l’audience, ceux</w:t>
      </w:r>
      <w:r w:rsidR="00686321" w:rsidRPr="00C03CF1">
        <w:noBreakHyphen/>
      </w:r>
      <w:r w:rsidR="001B56E4" w:rsidRPr="00C03CF1">
        <w:t xml:space="preserve">ci </w:t>
      </w:r>
      <w:r w:rsidRPr="00C03CF1">
        <w:t>offrent une atténuation de bruit de 30</w:t>
      </w:r>
      <w:r w:rsidR="001B56E4" w:rsidRPr="00C03CF1">
        <w:t> </w:t>
      </w:r>
      <w:r w:rsidRPr="00C03CF1">
        <w:t>dB</w:t>
      </w:r>
      <w:r w:rsidR="00406712" w:rsidRPr="00C03CF1">
        <w:t>.</w:t>
      </w:r>
      <w:r w:rsidR="00E224B9" w:rsidRPr="00C03CF1">
        <w:t xml:space="preserve"> </w:t>
      </w:r>
      <w:r w:rsidR="001B56E4" w:rsidRPr="00C03CF1">
        <w:t>Il</w:t>
      </w:r>
      <w:r w:rsidR="00686321" w:rsidRPr="00C03CF1">
        <w:t> </w:t>
      </w:r>
      <w:r w:rsidR="001B56E4" w:rsidRPr="00C03CF1">
        <w:t>est soutenu que ce niveau de protection est théorique. En ce sens, l</w:t>
      </w:r>
      <w:r w:rsidR="00E224B9" w:rsidRPr="00C03CF1">
        <w:t xml:space="preserve">e travailleur précise qu’en dépit </w:t>
      </w:r>
      <w:r w:rsidR="00E21713" w:rsidRPr="00C03CF1">
        <w:t xml:space="preserve">de leur </w:t>
      </w:r>
      <w:r w:rsidR="001B56E4" w:rsidRPr="00C03CF1">
        <w:t>port</w:t>
      </w:r>
      <w:r w:rsidR="00E224B9" w:rsidRPr="00C03CF1">
        <w:t xml:space="preserve">, il était en mesure d’entendre les commandements prononcés par l’instructeur situé derrière eux. </w:t>
      </w:r>
      <w:r w:rsidR="001B56E4" w:rsidRPr="00C03CF1">
        <w:t>De plus</w:t>
      </w:r>
      <w:r w:rsidR="00E224B9" w:rsidRPr="00C03CF1">
        <w:t xml:space="preserve">, </w:t>
      </w:r>
      <w:r w:rsidR="00E21713" w:rsidRPr="00C03CF1">
        <w:t>les protecteurs ne l’empêchai</w:t>
      </w:r>
      <w:r w:rsidR="00686321" w:rsidRPr="00C03CF1">
        <w:t>en</w:t>
      </w:r>
      <w:r w:rsidR="00E21713" w:rsidRPr="00C03CF1">
        <w:t>t pas de</w:t>
      </w:r>
      <w:r w:rsidR="00E224B9" w:rsidRPr="00C03CF1">
        <w:t xml:space="preserve"> discuter avec </w:t>
      </w:r>
      <w:r w:rsidR="00E21713" w:rsidRPr="00C03CF1">
        <w:t>son voisin</w:t>
      </w:r>
      <w:r w:rsidR="00E224B9" w:rsidRPr="00C03CF1">
        <w:t xml:space="preserve"> en élevant le ton, sans </w:t>
      </w:r>
      <w:r w:rsidR="001B56E4" w:rsidRPr="00C03CF1">
        <w:t xml:space="preserve">toutefois </w:t>
      </w:r>
      <w:r w:rsidR="00E224B9" w:rsidRPr="00C03CF1">
        <w:t>crier</w:t>
      </w:r>
      <w:r w:rsidR="00E21713" w:rsidRPr="00C03CF1">
        <w:t>.</w:t>
      </w:r>
    </w:p>
    <w:p w14:paraId="40BCD89D" w14:textId="30AF46E9" w:rsidR="00C35EE7" w:rsidRPr="00C03CF1" w:rsidRDefault="00000000" w:rsidP="00686321">
      <w:pPr>
        <w:pStyle w:val="corpsdedcision"/>
        <w:keepNext/>
        <w:keepLines/>
        <w:numPr>
          <w:ilvl w:val="0"/>
          <w:numId w:val="0"/>
        </w:numPr>
        <w:rPr>
          <w:b/>
          <w:bCs/>
          <w:i/>
          <w:iCs/>
        </w:rPr>
      </w:pPr>
      <w:r w:rsidRPr="00C03CF1">
        <w:rPr>
          <w:b/>
          <w:bCs/>
          <w:i/>
          <w:iCs/>
        </w:rPr>
        <w:lastRenderedPageBreak/>
        <w:t xml:space="preserve">3- </w:t>
      </w:r>
      <w:r w:rsidR="002E1604" w:rsidRPr="00C03CF1">
        <w:rPr>
          <w:b/>
          <w:bCs/>
          <w:i/>
          <w:iCs/>
        </w:rPr>
        <w:t>S</w:t>
      </w:r>
      <w:r w:rsidRPr="00C03CF1">
        <w:rPr>
          <w:b/>
          <w:bCs/>
          <w:i/>
          <w:iCs/>
        </w:rPr>
        <w:t>uivi médical</w:t>
      </w:r>
      <w:r w:rsidR="000351DA" w:rsidRPr="00C03CF1">
        <w:rPr>
          <w:b/>
          <w:bCs/>
          <w:i/>
          <w:iCs/>
        </w:rPr>
        <w:t xml:space="preserve"> et conclusion</w:t>
      </w:r>
    </w:p>
    <w:p w14:paraId="4576FA24" w14:textId="2C7BD677" w:rsidR="00C35EE7" w:rsidRPr="00C03CF1" w:rsidRDefault="00000000" w:rsidP="00686321">
      <w:pPr>
        <w:pStyle w:val="corpsdedcision"/>
        <w:keepNext/>
        <w:keepLines/>
      </w:pPr>
      <w:r w:rsidRPr="00C03CF1">
        <w:t>Le travailleur perçoit une diminution auditive à compter de l’année 20</w:t>
      </w:r>
      <w:r w:rsidR="00F30088" w:rsidRPr="00C03CF1">
        <w:t>12, laquelle s’amplifie avec les années.</w:t>
      </w:r>
      <w:r w:rsidRPr="00C03CF1">
        <w:t xml:space="preserve"> </w:t>
      </w:r>
      <w:r w:rsidR="00F30088" w:rsidRPr="00C03CF1">
        <w:t xml:space="preserve">Cette situation s’est révélée </w:t>
      </w:r>
      <w:r w:rsidRPr="00C03CF1">
        <w:t xml:space="preserve">par </w:t>
      </w:r>
      <w:r w:rsidR="002E1604" w:rsidRPr="00C03CF1">
        <w:t xml:space="preserve">la nécessité </w:t>
      </w:r>
      <w:r w:rsidR="00F30088" w:rsidRPr="00C03CF1">
        <w:t>d’</w:t>
      </w:r>
      <w:r w:rsidRPr="00C03CF1">
        <w:t xml:space="preserve">écouter </w:t>
      </w:r>
      <w:r w:rsidR="00F30088" w:rsidRPr="00C03CF1">
        <w:t>la télévision avec un</w:t>
      </w:r>
      <w:r w:rsidRPr="00C03CF1">
        <w:t xml:space="preserve"> volume </w:t>
      </w:r>
      <w:r w:rsidR="00F30088" w:rsidRPr="00C03CF1">
        <w:t xml:space="preserve">élevé et </w:t>
      </w:r>
      <w:r w:rsidR="002E1604" w:rsidRPr="00C03CF1">
        <w:t xml:space="preserve">de </w:t>
      </w:r>
      <w:r w:rsidRPr="00C03CF1">
        <w:t xml:space="preserve">faire répéter les gens </w:t>
      </w:r>
      <w:r w:rsidR="002E1604" w:rsidRPr="00C03CF1">
        <w:t>pendant</w:t>
      </w:r>
      <w:r w:rsidRPr="00C03CF1">
        <w:t xml:space="preserve"> une conversation.</w:t>
      </w:r>
    </w:p>
    <w:p w14:paraId="4C40D973" w14:textId="64B74BAD" w:rsidR="00F30088" w:rsidRPr="00C03CF1" w:rsidRDefault="00000000" w:rsidP="00406BCD">
      <w:pPr>
        <w:pStyle w:val="corpsdedcision"/>
      </w:pPr>
      <w:r w:rsidRPr="00C03CF1">
        <w:t>Le 1</w:t>
      </w:r>
      <w:r w:rsidRPr="00C03CF1">
        <w:rPr>
          <w:vertAlign w:val="superscript"/>
        </w:rPr>
        <w:t>er</w:t>
      </w:r>
      <w:r w:rsidR="00ED7A80" w:rsidRPr="00C03CF1">
        <w:t> </w:t>
      </w:r>
      <w:r w:rsidRPr="00C03CF1">
        <w:t>septembre</w:t>
      </w:r>
      <w:r w:rsidR="00ED7A80" w:rsidRPr="00C03CF1">
        <w:t> </w:t>
      </w:r>
      <w:r w:rsidRPr="00C03CF1">
        <w:t>2022, le travailleur consulte le D</w:t>
      </w:r>
      <w:r w:rsidRPr="00C03CF1">
        <w:rPr>
          <w:vertAlign w:val="superscript"/>
        </w:rPr>
        <w:t>r</w:t>
      </w:r>
      <w:r w:rsidR="00ED7A80" w:rsidRPr="00C03CF1">
        <w:t> </w:t>
      </w:r>
      <w:r w:rsidRPr="00C03CF1">
        <w:t>Claude</w:t>
      </w:r>
      <w:r w:rsidR="00ED7A80" w:rsidRPr="00C03CF1">
        <w:t> </w:t>
      </w:r>
      <w:r w:rsidRPr="00C03CF1">
        <w:t>Nadeau. Dans sa note clinique</w:t>
      </w:r>
      <w:r w:rsidR="002E1604" w:rsidRPr="00C03CF1">
        <w:t>,</w:t>
      </w:r>
      <w:r w:rsidRPr="00C03CF1">
        <w:t xml:space="preserve"> l’oto</w:t>
      </w:r>
      <w:r w:rsidR="00ED7A80" w:rsidRPr="00C03CF1">
        <w:noBreakHyphen/>
      </w:r>
      <w:r w:rsidRPr="00C03CF1">
        <w:t>rhino</w:t>
      </w:r>
      <w:r w:rsidR="00ED7A80" w:rsidRPr="00C03CF1">
        <w:noBreakHyphen/>
      </w:r>
      <w:r w:rsidRPr="00C03CF1">
        <w:t>laryngologiste diagnostique une hypoacousie neurosensorielle à l’oreille gauche et s’interroge quant à la présence de celle</w:t>
      </w:r>
      <w:r w:rsidR="00ED7A80" w:rsidRPr="00C03CF1">
        <w:noBreakHyphen/>
      </w:r>
      <w:r w:rsidRPr="00C03CF1">
        <w:t>ci du côté droit.</w:t>
      </w:r>
    </w:p>
    <w:p w14:paraId="6320914E" w14:textId="167AFD2C" w:rsidR="00F30088" w:rsidRPr="00C03CF1" w:rsidRDefault="00000000" w:rsidP="009066A4">
      <w:pPr>
        <w:pStyle w:val="corpsdedcision"/>
      </w:pPr>
      <w:r w:rsidRPr="00C03CF1">
        <w:t>Le 9</w:t>
      </w:r>
      <w:r w:rsidR="00ED7A80" w:rsidRPr="00C03CF1">
        <w:t> </w:t>
      </w:r>
      <w:r w:rsidRPr="00C03CF1">
        <w:t>septembre</w:t>
      </w:r>
      <w:r w:rsidR="00ED7A80" w:rsidRPr="00C03CF1">
        <w:t> </w:t>
      </w:r>
      <w:r w:rsidRPr="00C03CF1">
        <w:t xml:space="preserve">2022, une évaluation </w:t>
      </w:r>
      <w:proofErr w:type="spellStart"/>
      <w:r w:rsidRPr="00C03CF1">
        <w:t>audiologique</w:t>
      </w:r>
      <w:proofErr w:type="spellEnd"/>
      <w:r w:rsidRPr="00C03CF1">
        <w:t xml:space="preserve"> est réalisée. Les courbes des deux oreilles </w:t>
      </w:r>
      <w:r w:rsidR="00394331" w:rsidRPr="00C03CF1">
        <w:t>montrent une chute à 3</w:t>
      </w:r>
      <w:r w:rsidR="0010786A" w:rsidRPr="00C03CF1">
        <w:t> </w:t>
      </w:r>
      <w:r w:rsidR="00394331" w:rsidRPr="00C03CF1">
        <w:t>000</w:t>
      </w:r>
      <w:r w:rsidR="00FA5B4E" w:rsidRPr="00C03CF1">
        <w:t> </w:t>
      </w:r>
      <w:r w:rsidR="00394331" w:rsidRPr="00C03CF1">
        <w:t>Hz</w:t>
      </w:r>
      <w:r w:rsidR="000351DA" w:rsidRPr="00C03CF1">
        <w:t xml:space="preserve"> et celle de</w:t>
      </w:r>
      <w:r w:rsidR="00394331" w:rsidRPr="00C03CF1">
        <w:t xml:space="preserve"> l’oreille droite remonte </w:t>
      </w:r>
      <w:r w:rsidR="000351DA" w:rsidRPr="00C03CF1">
        <w:t xml:space="preserve">ensuite </w:t>
      </w:r>
      <w:r w:rsidR="00394331" w:rsidRPr="00C03CF1">
        <w:t>légèrement à 8</w:t>
      </w:r>
      <w:r w:rsidR="0010786A" w:rsidRPr="00C03CF1">
        <w:t> </w:t>
      </w:r>
      <w:r w:rsidR="00394331" w:rsidRPr="00C03CF1">
        <w:t>000</w:t>
      </w:r>
      <w:r w:rsidR="00FA5B4E" w:rsidRPr="00C03CF1">
        <w:t> </w:t>
      </w:r>
      <w:r w:rsidR="00394331" w:rsidRPr="00C03CF1">
        <w:t>Hz</w:t>
      </w:r>
      <w:r w:rsidR="002E1604" w:rsidRPr="00C03CF1">
        <w:t xml:space="preserve"> tandis que la courbe de l’oreille gauche demeure stationnaire</w:t>
      </w:r>
      <w:r w:rsidR="000351DA" w:rsidRPr="00C03CF1">
        <w:t>.</w:t>
      </w:r>
    </w:p>
    <w:p w14:paraId="58F11FC7" w14:textId="166D7220" w:rsidR="000351DA" w:rsidRPr="00C03CF1" w:rsidRDefault="00000000" w:rsidP="00406BCD">
      <w:pPr>
        <w:pStyle w:val="corpsdedcision"/>
      </w:pPr>
      <w:r w:rsidRPr="00C03CF1">
        <w:t>Le 14</w:t>
      </w:r>
      <w:r w:rsidR="00FA5B4E" w:rsidRPr="00C03CF1">
        <w:t> </w:t>
      </w:r>
      <w:r w:rsidRPr="00C03CF1">
        <w:t>décembre</w:t>
      </w:r>
      <w:r w:rsidR="00FA5B4E" w:rsidRPr="00C03CF1">
        <w:t> </w:t>
      </w:r>
      <w:r w:rsidRPr="00C03CF1">
        <w:t>2022, le D</w:t>
      </w:r>
      <w:r w:rsidRPr="00C03CF1">
        <w:rPr>
          <w:vertAlign w:val="superscript"/>
        </w:rPr>
        <w:t>r</w:t>
      </w:r>
      <w:r w:rsidR="00FA5B4E" w:rsidRPr="00C03CF1">
        <w:t> </w:t>
      </w:r>
      <w:r w:rsidRPr="00C03CF1">
        <w:t xml:space="preserve">Nadeau diagnostique une hypoacousie neurosensorielle bilatérale qu’il qualifie comme étant en lien avec une exposition professionnelle </w:t>
      </w:r>
      <w:r w:rsidR="006C423F" w:rsidRPr="00C03CF1">
        <w:t xml:space="preserve">liée </w:t>
      </w:r>
      <w:r w:rsidRPr="00C03CF1">
        <w:t>au bruit.</w:t>
      </w:r>
      <w:r w:rsidR="002E1604" w:rsidRPr="00C03CF1">
        <w:t xml:space="preserve"> Ce diagnostic n’ayant pas fait l’objet d’une contestation selon la procédure d’évaluation </w:t>
      </w:r>
      <w:r w:rsidR="00FA5B4E" w:rsidRPr="00C03CF1">
        <w:t xml:space="preserve">médicale </w:t>
      </w:r>
      <w:r w:rsidR="002E1604" w:rsidRPr="00C03CF1">
        <w:t>prévue dans la</w:t>
      </w:r>
      <w:r w:rsidR="00FA5B4E" w:rsidRPr="00C03CF1">
        <w:t> </w:t>
      </w:r>
      <w:r w:rsidR="002E1604" w:rsidRPr="00C03CF1">
        <w:t>Loi, celui</w:t>
      </w:r>
      <w:r w:rsidR="00FA5B4E" w:rsidRPr="00C03CF1">
        <w:noBreakHyphen/>
      </w:r>
      <w:r w:rsidR="002E1604" w:rsidRPr="00C03CF1">
        <w:t>ci lie le</w:t>
      </w:r>
      <w:r w:rsidR="00FA5B4E" w:rsidRPr="00C03CF1">
        <w:t> </w:t>
      </w:r>
      <w:r w:rsidR="002E1604" w:rsidRPr="00C03CF1">
        <w:t>Tribunal.</w:t>
      </w:r>
      <w:r>
        <w:rPr>
          <w:rStyle w:val="FootnoteReference"/>
        </w:rPr>
        <w:footnoteReference w:id="3"/>
      </w:r>
    </w:p>
    <w:p w14:paraId="4AC10639" w14:textId="3999B830" w:rsidR="0020582F" w:rsidRPr="00C03CF1" w:rsidRDefault="00000000" w:rsidP="00406BCD">
      <w:pPr>
        <w:pStyle w:val="corpsdedcision"/>
      </w:pPr>
      <w:r w:rsidRPr="00C03CF1">
        <w:t>Ce même jour, le travailleur produit sa réclamation auprès de la</w:t>
      </w:r>
      <w:r w:rsidR="00FA5B4E" w:rsidRPr="00C03CF1">
        <w:t> </w:t>
      </w:r>
      <w:r w:rsidRPr="00C03CF1">
        <w:t>Commission.</w:t>
      </w:r>
    </w:p>
    <w:p w14:paraId="19DEADFE" w14:textId="048285B5" w:rsidR="00727F76" w:rsidRPr="00C03CF1" w:rsidRDefault="00000000" w:rsidP="00727F76">
      <w:pPr>
        <w:pStyle w:val="corpsdedcision"/>
      </w:pPr>
      <w:r w:rsidRPr="00C03CF1">
        <w:t xml:space="preserve">Le Tribunal constate que l’audiogramme du travailleur ne reproduit pas la courbe typique, </w:t>
      </w:r>
      <w:r w:rsidR="002E1604" w:rsidRPr="00C03CF1">
        <w:t xml:space="preserve">telle que </w:t>
      </w:r>
      <w:r w:rsidRPr="00C03CF1">
        <w:t>reconnue par la jurisprudence</w:t>
      </w:r>
      <w:r>
        <w:rPr>
          <w:rStyle w:val="FootnoteReference"/>
        </w:rPr>
        <w:footnoteReference w:id="4"/>
      </w:r>
      <w:r w:rsidRPr="00C03CF1">
        <w:t>, d’une atteinte auditive causée par le bruit</w:t>
      </w:r>
      <w:r w:rsidR="002E1604" w:rsidRPr="00C03CF1">
        <w:t>.</w:t>
      </w:r>
      <w:r w:rsidRPr="00C03CF1">
        <w:t xml:space="preserve"> En effet, celle</w:t>
      </w:r>
      <w:r w:rsidR="00B66004" w:rsidRPr="00C03CF1">
        <w:noBreakHyphen/>
      </w:r>
      <w:r w:rsidRPr="00C03CF1">
        <w:t xml:space="preserve">ci présente habituellement une chute marquée du seuil d’audition dans les fréquences de 4 000 Hz avec une remontée </w:t>
      </w:r>
      <w:r w:rsidR="002E1604" w:rsidRPr="00C03CF1">
        <w:t xml:space="preserve">évidente </w:t>
      </w:r>
      <w:r w:rsidRPr="00C03CF1">
        <w:t>dans les fréquences de 6</w:t>
      </w:r>
      <w:r w:rsidR="0010786A" w:rsidRPr="00C03CF1">
        <w:t> </w:t>
      </w:r>
      <w:r w:rsidRPr="00C03CF1">
        <w:t>000 à 8</w:t>
      </w:r>
      <w:r w:rsidR="0010786A" w:rsidRPr="00C03CF1">
        <w:t> </w:t>
      </w:r>
      <w:r w:rsidRPr="00C03CF1">
        <w:t>000 Hz.</w:t>
      </w:r>
      <w:r w:rsidR="002E1604" w:rsidRPr="00C03CF1">
        <w:t xml:space="preserve"> Cette courbe caractéristique n’est </w:t>
      </w:r>
      <w:r w:rsidR="001A0648" w:rsidRPr="00C03CF1">
        <w:t xml:space="preserve">toutefois </w:t>
      </w:r>
      <w:r w:rsidR="002E1604" w:rsidRPr="00C03CF1">
        <w:t xml:space="preserve">pas une condition </w:t>
      </w:r>
      <w:r w:rsidR="001A0648" w:rsidRPr="00C03CF1">
        <w:rPr>
          <w:i/>
          <w:iCs/>
        </w:rPr>
        <w:t>sine qua non</w:t>
      </w:r>
      <w:r w:rsidR="001A0648" w:rsidRPr="00C03CF1">
        <w:t xml:space="preserve"> à la démonstration d’une surdité professionnelle</w:t>
      </w:r>
      <w:r w:rsidR="00567213" w:rsidRPr="00C03CF1">
        <w:t xml:space="preserve"> dans la mesur</w:t>
      </w:r>
      <w:r w:rsidR="00526365" w:rsidRPr="00C03CF1">
        <w:t>e que</w:t>
      </w:r>
      <w:r w:rsidR="00567213" w:rsidRPr="00C03CF1">
        <w:t xml:space="preserve"> le travailleur présente une preuve prépondérante au soutien d’un </w:t>
      </w:r>
      <w:r w:rsidR="00703014" w:rsidRPr="00C03CF1">
        <w:t>lien causal entre son état auditif et l’exposition au bruit</w:t>
      </w:r>
      <w:r w:rsidR="001A0648" w:rsidRPr="00C03CF1">
        <w:t>.</w:t>
      </w:r>
      <w:r>
        <w:rPr>
          <w:rStyle w:val="FootnoteReference"/>
        </w:rPr>
        <w:footnoteReference w:id="5"/>
      </w:r>
    </w:p>
    <w:p w14:paraId="0EC5BBD9" w14:textId="216947DB" w:rsidR="00727F76" w:rsidRPr="00C03CF1" w:rsidRDefault="00000000" w:rsidP="00727F76">
      <w:pPr>
        <w:pStyle w:val="corpsdedcision"/>
      </w:pPr>
      <w:r w:rsidRPr="00C03CF1">
        <w:t xml:space="preserve">En l’espèce, la preuve s’avère prépondérante pour établir que le travailleur a contracté une maladie professionnelle de la nature d’une surdité bilatérale. </w:t>
      </w:r>
      <w:r w:rsidR="006C423F" w:rsidRPr="00C03CF1">
        <w:t>D’une part, le</w:t>
      </w:r>
      <w:r w:rsidR="001C624D" w:rsidRPr="00C03CF1">
        <w:t> </w:t>
      </w:r>
      <w:r w:rsidR="006C423F" w:rsidRPr="00C03CF1">
        <w:t>Tribunal accorde une valeur probante au témoignage non contredit d</w:t>
      </w:r>
      <w:r w:rsidR="00FC423C" w:rsidRPr="00C03CF1">
        <w:t>e celui</w:t>
      </w:r>
      <w:r w:rsidR="003C70A9" w:rsidRPr="00C03CF1">
        <w:noBreakHyphen/>
      </w:r>
      <w:r w:rsidR="00FC423C" w:rsidRPr="00C03CF1">
        <w:t>ci</w:t>
      </w:r>
      <w:r w:rsidR="006C423F" w:rsidRPr="00C03CF1">
        <w:t xml:space="preserve">. D’autre part, il fut </w:t>
      </w:r>
      <w:r w:rsidR="009F40E1" w:rsidRPr="00C03CF1">
        <w:t xml:space="preserve">exposé à un environnement de travail bruyant </w:t>
      </w:r>
      <w:r w:rsidR="003A3971" w:rsidRPr="00C03CF1">
        <w:t>pendant</w:t>
      </w:r>
      <w:r w:rsidR="009F40E1" w:rsidRPr="00C03CF1">
        <w:t xml:space="preserve"> 37</w:t>
      </w:r>
      <w:r w:rsidR="00526365" w:rsidRPr="00C03CF1">
        <w:t> </w:t>
      </w:r>
      <w:r w:rsidR="009F40E1" w:rsidRPr="00C03CF1">
        <w:t>an</w:t>
      </w:r>
      <w:r w:rsidR="003A3971" w:rsidRPr="00C03CF1">
        <w:t xml:space="preserve">nées au moment où le diagnostic de surdité </w:t>
      </w:r>
      <w:r w:rsidR="006C423F" w:rsidRPr="00C03CF1">
        <w:t>était</w:t>
      </w:r>
      <w:r w:rsidR="003A3971" w:rsidRPr="00C03CF1">
        <w:t xml:space="preserve"> posé par l’oto</w:t>
      </w:r>
      <w:r w:rsidR="00526365" w:rsidRPr="00C03CF1">
        <w:noBreakHyphen/>
      </w:r>
      <w:r w:rsidR="003A3971" w:rsidRPr="00C03CF1">
        <w:t>rhino</w:t>
      </w:r>
      <w:r w:rsidR="00526365" w:rsidRPr="00C03CF1">
        <w:noBreakHyphen/>
      </w:r>
      <w:r w:rsidR="003A3971" w:rsidRPr="00C03CF1">
        <w:t>laryngologiste</w:t>
      </w:r>
      <w:r w:rsidRPr="00C03CF1">
        <w:t xml:space="preserve"> en 2022</w:t>
      </w:r>
      <w:r w:rsidR="003A3971" w:rsidRPr="00C03CF1">
        <w:t xml:space="preserve">. </w:t>
      </w:r>
      <w:r w:rsidRPr="00C03CF1">
        <w:lastRenderedPageBreak/>
        <w:t>Par</w:t>
      </w:r>
      <w:r w:rsidR="001C624D" w:rsidRPr="00C03CF1">
        <w:t> </w:t>
      </w:r>
      <w:r w:rsidRPr="00C03CF1">
        <w:t>ailleurs</w:t>
      </w:r>
      <w:r w:rsidR="00896AE2" w:rsidRPr="00C03CF1">
        <w:t xml:space="preserve">, </w:t>
      </w:r>
      <w:r w:rsidR="003A3971" w:rsidRPr="00C03CF1">
        <w:t>aucune protection antibruit n’</w:t>
      </w:r>
      <w:r w:rsidR="004B7F49" w:rsidRPr="00C03CF1">
        <w:t xml:space="preserve">était </w:t>
      </w:r>
      <w:r w:rsidR="003A3971" w:rsidRPr="00C03CF1">
        <w:t>offerte pendant l’ex</w:t>
      </w:r>
      <w:r w:rsidR="00D83F3A" w:rsidRPr="00C03CF1">
        <w:t>er</w:t>
      </w:r>
      <w:r w:rsidR="003A3971" w:rsidRPr="00C03CF1">
        <w:t>ci</w:t>
      </w:r>
      <w:r w:rsidR="00D83F3A" w:rsidRPr="00C03CF1">
        <w:t>ce des tâches de compteur d’argent et de conducteur de camion blindé.</w:t>
      </w:r>
    </w:p>
    <w:p w14:paraId="686182D9" w14:textId="050DBD32" w:rsidR="00703014" w:rsidRPr="00C03CF1" w:rsidRDefault="00000000" w:rsidP="00727F76">
      <w:pPr>
        <w:pStyle w:val="corpsdedcision"/>
      </w:pPr>
      <w:r w:rsidRPr="00C03CF1">
        <w:t xml:space="preserve">De surcroît, le travailleur participe à des séances de tir depuis son embauche. </w:t>
      </w:r>
      <w:r w:rsidR="004B7F49" w:rsidRPr="00C03CF1">
        <w:t>C</w:t>
      </w:r>
      <w:r w:rsidRPr="00C03CF1">
        <w:t>elles</w:t>
      </w:r>
      <w:r w:rsidRPr="00C03CF1">
        <w:noBreakHyphen/>
        <w:t>ci sont tenues deux fois annuellement pendant les 22</w:t>
      </w:r>
      <w:r w:rsidR="003779E9" w:rsidRPr="00C03CF1">
        <w:t> </w:t>
      </w:r>
      <w:r w:rsidRPr="00C03CF1">
        <w:t>premières années et une fois par la suite. Il appert cependant qu’au cours de ce</w:t>
      </w:r>
      <w:r w:rsidR="00201640" w:rsidRPr="00C03CF1">
        <w:t>lles</w:t>
      </w:r>
      <w:r w:rsidR="002B3904" w:rsidRPr="00C03CF1">
        <w:noBreakHyphen/>
      </w:r>
      <w:r w:rsidR="00201640" w:rsidRPr="00C03CF1">
        <w:t>ci</w:t>
      </w:r>
      <w:r w:rsidRPr="00C03CF1">
        <w:t>, 4</w:t>
      </w:r>
      <w:r w:rsidR="003779E9" w:rsidRPr="00C03CF1">
        <w:t> </w:t>
      </w:r>
      <w:r w:rsidRPr="00C03CF1">
        <w:t>tireurs font feu simultanément au commandement de l’instructeur. Le travailleur est donc exposé entre 1</w:t>
      </w:r>
      <w:r w:rsidR="003779E9" w:rsidRPr="00C03CF1">
        <w:t> </w:t>
      </w:r>
      <w:r w:rsidRPr="00C03CF1">
        <w:t>200 et 1</w:t>
      </w:r>
      <w:r w:rsidR="003779E9" w:rsidRPr="00C03CF1">
        <w:t> </w:t>
      </w:r>
      <w:r w:rsidRPr="00C03CF1">
        <w:t xml:space="preserve">800 détonations pendant </w:t>
      </w:r>
      <w:r w:rsidR="00201640" w:rsidRPr="00C03CF1">
        <w:t>c</w:t>
      </w:r>
      <w:r w:rsidRPr="00C03CF1">
        <w:t>es quelques heures d</w:t>
      </w:r>
      <w:r w:rsidR="00201640" w:rsidRPr="00C03CF1">
        <w:t>’entraînement</w:t>
      </w:r>
      <w:r w:rsidRPr="00C03CF1">
        <w:t>.</w:t>
      </w:r>
    </w:p>
    <w:p w14:paraId="4EFFF783" w14:textId="78B45FD8" w:rsidR="00896AE2" w:rsidRPr="00C03CF1" w:rsidRDefault="00000000" w:rsidP="00727F76">
      <w:pPr>
        <w:pStyle w:val="corpsdedcision"/>
      </w:pPr>
      <w:r w:rsidRPr="00C03CF1">
        <w:t>Certes</w:t>
      </w:r>
      <w:r w:rsidR="00703014" w:rsidRPr="00C03CF1">
        <w:t>, il</w:t>
      </w:r>
      <w:r w:rsidRPr="00C03CF1">
        <w:t xml:space="preserve"> porte des protecteurs auditifs qui atténuent le bruit, mais</w:t>
      </w:r>
      <w:r w:rsidR="00BF5779" w:rsidRPr="00C03CF1">
        <w:t>,</w:t>
      </w:r>
      <w:r w:rsidRPr="00C03CF1">
        <w:t xml:space="preserve"> comme l’exprime le travailleur, </w:t>
      </w:r>
      <w:r w:rsidR="00703014" w:rsidRPr="00C03CF1">
        <w:t xml:space="preserve">l’effet </w:t>
      </w:r>
      <w:r w:rsidRPr="00C03CF1">
        <w:t>réducteur</w:t>
      </w:r>
      <w:r w:rsidR="00703014" w:rsidRPr="00C03CF1">
        <w:t xml:space="preserve"> est limité</w:t>
      </w:r>
      <w:r w:rsidRPr="00C03CF1">
        <w:t xml:space="preserve">. </w:t>
      </w:r>
      <w:r w:rsidR="00703014" w:rsidRPr="00C03CF1">
        <w:t>De sorte</w:t>
      </w:r>
      <w:r w:rsidRPr="00C03CF1">
        <w:t xml:space="preserve"> que l’exposition au bruit pendant les pratiques de tir demeure importante en dépit de la protection portée. </w:t>
      </w:r>
      <w:r w:rsidR="00703014" w:rsidRPr="00C03CF1">
        <w:t>Cet environnement bruyant, bien qu’occasionnel,</w:t>
      </w:r>
      <w:r w:rsidRPr="00C03CF1">
        <w:t xml:space="preserve"> s’ajoute à </w:t>
      </w:r>
      <w:r w:rsidR="00703014" w:rsidRPr="00C03CF1">
        <w:t>celui où le</w:t>
      </w:r>
      <w:r w:rsidRPr="00C03CF1">
        <w:t xml:space="preserve"> travailleur </w:t>
      </w:r>
      <w:r w:rsidR="00703014" w:rsidRPr="00C03CF1">
        <w:t xml:space="preserve">est </w:t>
      </w:r>
      <w:r w:rsidRPr="00C03CF1">
        <w:t xml:space="preserve">quotidiennement </w:t>
      </w:r>
      <w:r w:rsidR="00703014" w:rsidRPr="00C03CF1">
        <w:t xml:space="preserve">exposé </w:t>
      </w:r>
      <w:r w:rsidRPr="00C03CF1">
        <w:t>pendant son travail</w:t>
      </w:r>
      <w:r w:rsidR="00D83F3A" w:rsidRPr="00C03CF1">
        <w:t>.</w:t>
      </w:r>
    </w:p>
    <w:p w14:paraId="43C13C91" w14:textId="65835EFE" w:rsidR="009D78E6" w:rsidRPr="00C03CF1" w:rsidRDefault="00000000" w:rsidP="00727F76">
      <w:pPr>
        <w:pStyle w:val="corpsdedcision"/>
      </w:pPr>
      <w:r w:rsidRPr="00C03CF1">
        <w:t>D’ailleurs, le</w:t>
      </w:r>
      <w:r w:rsidR="00BF5779" w:rsidRPr="00C03CF1">
        <w:t> </w:t>
      </w:r>
      <w:r w:rsidRPr="00C03CF1">
        <w:t>Tribunal constate que l’oto</w:t>
      </w:r>
      <w:r w:rsidR="00BF5779" w:rsidRPr="00C03CF1">
        <w:noBreakHyphen/>
      </w:r>
      <w:r w:rsidRPr="00C03CF1">
        <w:t>rhino</w:t>
      </w:r>
      <w:r w:rsidR="00BF5779" w:rsidRPr="00C03CF1">
        <w:noBreakHyphen/>
      </w:r>
      <w:r w:rsidRPr="00C03CF1">
        <w:t>laryngologiste</w:t>
      </w:r>
      <w:r w:rsidR="00703014" w:rsidRPr="00C03CF1">
        <w:t>,</w:t>
      </w:r>
      <w:r w:rsidRPr="00C03CF1">
        <w:t xml:space="preserve"> consulté par le travailleur, est d’avis que l’hypoacousie neurosensorielle bilatérale diagnostiquée découle </w:t>
      </w:r>
      <w:r w:rsidR="0020582F" w:rsidRPr="00C03CF1">
        <w:t>d’une</w:t>
      </w:r>
      <w:r w:rsidRPr="00C03CF1">
        <w:t xml:space="preserve"> exposition professionnelle au bruit.</w:t>
      </w:r>
    </w:p>
    <w:p w14:paraId="519DEBD8" w14:textId="62424E8B" w:rsidR="00D83F3A" w:rsidRPr="00C03CF1" w:rsidRDefault="00000000" w:rsidP="00727F76">
      <w:pPr>
        <w:pStyle w:val="corpsdedcision"/>
      </w:pPr>
      <w:r w:rsidRPr="00C03CF1">
        <w:t>Le travailleur reconnaît avoir été impliqué dans un accident de la route</w:t>
      </w:r>
      <w:r w:rsidR="005B2B86" w:rsidRPr="00C03CF1">
        <w:t>,</w:t>
      </w:r>
      <w:r w:rsidRPr="00C03CF1">
        <w:t xml:space="preserve"> </w:t>
      </w:r>
      <w:r w:rsidR="000B6C33" w:rsidRPr="00C03CF1">
        <w:t xml:space="preserve">le 13 août 2022, </w:t>
      </w:r>
      <w:r w:rsidR="005B2B86" w:rsidRPr="00C03CF1">
        <w:t>dans le cadre de ses activités personnelles</w:t>
      </w:r>
      <w:r w:rsidR="00703014" w:rsidRPr="00C03CF1">
        <w:t>. Cet évènement a entraîné la manifestation</w:t>
      </w:r>
      <w:r w:rsidRPr="00C03CF1">
        <w:t xml:space="preserve"> </w:t>
      </w:r>
      <w:r w:rsidR="00703014" w:rsidRPr="00C03CF1">
        <w:t>d’</w:t>
      </w:r>
      <w:r w:rsidRPr="00C03CF1">
        <w:t>acouphènes. Or, la preuve contenue au dossier ne permet pas d’établir l’existence d’un lien causal entre cet évènement et la surdité du travailleur.</w:t>
      </w:r>
    </w:p>
    <w:p w14:paraId="0F5B5704" w14:textId="1F97BEB4" w:rsidR="00D83F3A" w:rsidRPr="00C03CF1" w:rsidRDefault="00000000" w:rsidP="00727F76">
      <w:pPr>
        <w:pStyle w:val="corpsdedcision"/>
      </w:pPr>
      <w:r w:rsidRPr="00C03CF1">
        <w:t>En effet, la Société de l'assurance automobile du Québec rend une décision le 1</w:t>
      </w:r>
      <w:r w:rsidRPr="00C03CF1">
        <w:rPr>
          <w:vertAlign w:val="superscript"/>
        </w:rPr>
        <w:t>er</w:t>
      </w:r>
      <w:r w:rsidRPr="00C03CF1">
        <w:t> décembre</w:t>
      </w:r>
      <w:r w:rsidR="000B6C33" w:rsidRPr="00C03CF1">
        <w:t> </w:t>
      </w:r>
      <w:r w:rsidRPr="00C03CF1">
        <w:t>2022 par laquelle elle refuse d</w:t>
      </w:r>
      <w:r w:rsidR="00CF1B0B" w:rsidRPr="00C03CF1">
        <w:t>’assumer</w:t>
      </w:r>
      <w:r w:rsidRPr="00C03CF1">
        <w:t xml:space="preserve"> le coût d’appareils auditifs. </w:t>
      </w:r>
      <w:r w:rsidR="003C70A9" w:rsidRPr="00C03CF1">
        <w:t>Elle détermine que</w:t>
      </w:r>
      <w:r w:rsidRPr="00C03CF1">
        <w:t xml:space="preserve"> les problèmes auditifs constatés sont reliés non pas à l’accident de la route, mais à «</w:t>
      </w:r>
      <w:r w:rsidR="000B6C33" w:rsidRPr="00C03CF1">
        <w:t> </w:t>
      </w:r>
      <w:r w:rsidRPr="00C03CF1">
        <w:rPr>
          <w:rStyle w:val="Citationintgre"/>
        </w:rPr>
        <w:t>une condition personnelle de presbyacousie ainsi qu’à l’exposition au bruit de façon prolongée au travail.</w:t>
      </w:r>
      <w:r w:rsidR="000B6C33" w:rsidRPr="00C03CF1">
        <w:t> </w:t>
      </w:r>
      <w:r w:rsidRPr="00C03CF1">
        <w:t>»</w:t>
      </w:r>
      <w:r w:rsidR="000B6C33" w:rsidRPr="00C03CF1">
        <w:t>.</w:t>
      </w:r>
    </w:p>
    <w:p w14:paraId="77879E88" w14:textId="0DEB1E45" w:rsidR="00727F76" w:rsidRPr="00C03CF1" w:rsidRDefault="00000000" w:rsidP="00E47C5E">
      <w:pPr>
        <w:pStyle w:val="corpsdedcision"/>
      </w:pPr>
      <w:r w:rsidRPr="00C03CF1">
        <w:t xml:space="preserve">L’employeur a communiqué </w:t>
      </w:r>
      <w:r w:rsidR="00985F37" w:rsidRPr="00C03CF1">
        <w:t xml:space="preserve">deux évaluations d’exposition sonore </w:t>
      </w:r>
      <w:r w:rsidR="004B7F49" w:rsidRPr="00C03CF1">
        <w:t xml:space="preserve">concernant </w:t>
      </w:r>
      <w:r w:rsidR="002F4419" w:rsidRPr="00C03CF1">
        <w:t>des agents</w:t>
      </w:r>
      <w:r w:rsidR="00985F37" w:rsidRPr="00C03CF1">
        <w:t xml:space="preserve"> affecté</w:t>
      </w:r>
      <w:r w:rsidR="00FA394C" w:rsidRPr="00C03CF1">
        <w:t>s</w:t>
      </w:r>
      <w:r w:rsidR="00985F37" w:rsidRPr="00C03CF1">
        <w:t xml:space="preserve"> au transport </w:t>
      </w:r>
      <w:r w:rsidR="002F4419" w:rsidRPr="00C03CF1">
        <w:t>par</w:t>
      </w:r>
      <w:r w:rsidR="00985F37" w:rsidRPr="00C03CF1">
        <w:t xml:space="preserve"> camion blindé.</w:t>
      </w:r>
      <w:r>
        <w:rPr>
          <w:rStyle w:val="FootnoteReference"/>
        </w:rPr>
        <w:footnoteReference w:id="6"/>
      </w:r>
      <w:r w:rsidR="001C18F4" w:rsidRPr="00C03CF1">
        <w:t xml:space="preserve"> Le</w:t>
      </w:r>
      <w:r w:rsidR="00FA394C" w:rsidRPr="00C03CF1">
        <w:t> </w:t>
      </w:r>
      <w:r w:rsidR="001C18F4" w:rsidRPr="00C03CF1">
        <w:t>Tribunal n’accorde pas de valeur probante à ces évaluation</w:t>
      </w:r>
      <w:r w:rsidR="00FA394C" w:rsidRPr="00C03CF1">
        <w:t>s</w:t>
      </w:r>
      <w:r w:rsidR="001C18F4" w:rsidRPr="00C03CF1">
        <w:t xml:space="preserve"> au regard de la présente affaire. </w:t>
      </w:r>
      <w:r w:rsidR="00564C65" w:rsidRPr="00C03CF1">
        <w:t>Celles</w:t>
      </w:r>
      <w:r w:rsidR="00FA394C" w:rsidRPr="00C03CF1">
        <w:noBreakHyphen/>
      </w:r>
      <w:r w:rsidR="00564C65" w:rsidRPr="00C03CF1">
        <w:t>ci auraient certes mérité des explications quant à leur contenu et au parallèle à effectuer avec l’environnement professionnel auquel a été exposé le travailleur. Or, l</w:t>
      </w:r>
      <w:r w:rsidR="00AA2F40" w:rsidRPr="00C03CF1">
        <w:t>e</w:t>
      </w:r>
      <w:r w:rsidR="001C18F4" w:rsidRPr="00C03CF1">
        <w:t xml:space="preserve"> représentant de l'employeur a </w:t>
      </w:r>
      <w:r w:rsidR="00AA2F40" w:rsidRPr="00C03CF1">
        <w:t xml:space="preserve">préalablement </w:t>
      </w:r>
      <w:r w:rsidR="001C18F4" w:rsidRPr="00C03CF1">
        <w:t>informé le</w:t>
      </w:r>
      <w:r w:rsidR="00FA394C" w:rsidRPr="00C03CF1">
        <w:t> </w:t>
      </w:r>
      <w:r w:rsidR="00564C65" w:rsidRPr="00C03CF1">
        <w:t xml:space="preserve">Tribunal </w:t>
      </w:r>
      <w:r w:rsidR="001C18F4" w:rsidRPr="00C03CF1">
        <w:t>de son absence à l’audience et aucun commentaire écrit</w:t>
      </w:r>
      <w:r w:rsidR="00AA2F40" w:rsidRPr="00C03CF1">
        <w:t xml:space="preserve"> n’</w:t>
      </w:r>
      <w:r w:rsidR="00FA394C" w:rsidRPr="00C03CF1">
        <w:t>a</w:t>
      </w:r>
      <w:r w:rsidR="00AA2F40" w:rsidRPr="00C03CF1">
        <w:t xml:space="preserve"> été communiqué</w:t>
      </w:r>
      <w:r w:rsidR="001C18F4" w:rsidRPr="00C03CF1">
        <w:t>.</w:t>
      </w:r>
    </w:p>
    <w:p w14:paraId="1BE4C1E9" w14:textId="59B65BA6" w:rsidR="00AA2F40" w:rsidRPr="00C03CF1" w:rsidRDefault="00000000" w:rsidP="00406BCD">
      <w:pPr>
        <w:pStyle w:val="corpsdedcision"/>
      </w:pPr>
      <w:r w:rsidRPr="00C03CF1">
        <w:lastRenderedPageBreak/>
        <w:t xml:space="preserve">Par ailleurs, </w:t>
      </w:r>
      <w:r w:rsidR="004B7F49" w:rsidRPr="00C03CF1">
        <w:t>la</w:t>
      </w:r>
      <w:r w:rsidRPr="00C03CF1">
        <w:t xml:space="preserve"> preuve présentée ne permet pas d’établir si les camions évalués sont des modèles similaires à ceux auxquels le travailleur a</w:t>
      </w:r>
      <w:r w:rsidR="0053272D" w:rsidRPr="00C03CF1">
        <w:t xml:space="preserve"> été</w:t>
      </w:r>
      <w:r w:rsidRPr="00C03CF1">
        <w:t xml:space="preserve"> affecté. Qui plus est, ces évaluation</w:t>
      </w:r>
      <w:r w:rsidR="0053272D" w:rsidRPr="00C03CF1">
        <w:t>s</w:t>
      </w:r>
      <w:r w:rsidRPr="00C03CF1">
        <w:t xml:space="preserve"> ne tiennent pas compte de l’exposition au bruit dans la salle de comptage ni lors des séances de tir.</w:t>
      </w:r>
    </w:p>
    <w:p w14:paraId="519FAD52" w14:textId="697B8E32" w:rsidR="001500BC" w:rsidRPr="00C03CF1" w:rsidRDefault="00000000" w:rsidP="00AA2F40">
      <w:pPr>
        <w:pStyle w:val="corpsdedcision"/>
        <w:spacing w:after="840"/>
      </w:pPr>
      <w:r w:rsidRPr="00C03CF1">
        <w:t xml:space="preserve">En conséquence, la preuve est prépondérante pour établir que </w:t>
      </w:r>
      <w:r w:rsidR="00AA2F40" w:rsidRPr="00C03CF1">
        <w:t xml:space="preserve">l’hypoacousie neurosensorielle bilatérale qui affecte le travailleur </w:t>
      </w:r>
      <w:r w:rsidRPr="00C03CF1">
        <w:t>est d’origine professionnelle.</w:t>
      </w:r>
    </w:p>
    <w:p w14:paraId="75C90026" w14:textId="77777777" w:rsidR="001500BC" w:rsidRPr="00C03CF1" w:rsidRDefault="00000000" w:rsidP="001500BC">
      <w:pPr>
        <w:spacing w:after="360"/>
        <w:jc w:val="both"/>
        <w:rPr>
          <w:b/>
        </w:rPr>
      </w:pPr>
      <w:r w:rsidRPr="00C03CF1">
        <w:rPr>
          <w:b/>
        </w:rPr>
        <w:t>PAR CES MOTIFS, LE TRIBUNAL ADMINISTRATIF DU TRAVAIL :</w:t>
      </w:r>
    </w:p>
    <w:p w14:paraId="13323539" w14:textId="3AA092B6" w:rsidR="001500BC" w:rsidRPr="00C03CF1" w:rsidRDefault="00000000" w:rsidP="001500BC">
      <w:pPr>
        <w:spacing w:after="360"/>
        <w:jc w:val="both"/>
      </w:pPr>
      <w:bookmarkStart w:id="10" w:name="_Hlk211003864"/>
      <w:r w:rsidRPr="00C03CF1">
        <w:rPr>
          <w:b/>
        </w:rPr>
        <w:t>ACCUEILLE</w:t>
      </w:r>
      <w:r w:rsidRPr="00C03CF1">
        <w:rPr>
          <w:bCs/>
        </w:rPr>
        <w:t xml:space="preserve"> </w:t>
      </w:r>
      <w:r w:rsidRPr="00C03CF1">
        <w:t xml:space="preserve">la contestation présentée par </w:t>
      </w:r>
      <w:r w:rsidR="00AA2F40" w:rsidRPr="00C03CF1">
        <w:t>monsieur</w:t>
      </w:r>
      <w:r w:rsidR="00B8449D" w:rsidRPr="00C03CF1">
        <w:t> </w:t>
      </w:r>
      <w:r w:rsidR="00AA2F40" w:rsidRPr="00C03CF1">
        <w:t>René</w:t>
      </w:r>
      <w:r w:rsidR="00B8449D" w:rsidRPr="00C03CF1">
        <w:t> </w:t>
      </w:r>
      <w:r w:rsidR="00AA2F40" w:rsidRPr="00C03CF1">
        <w:t>Côté (le travailleur</w:t>
      </w:r>
      <w:r w:rsidRPr="00C03CF1">
        <w:t>);</w:t>
      </w:r>
    </w:p>
    <w:p w14:paraId="08308C26" w14:textId="277A2C81" w:rsidR="001500BC" w:rsidRPr="00C03CF1" w:rsidRDefault="00000000" w:rsidP="001500BC">
      <w:pPr>
        <w:spacing w:after="360"/>
        <w:jc w:val="both"/>
      </w:pPr>
      <w:r w:rsidRPr="00C03CF1">
        <w:rPr>
          <w:b/>
          <w:bCs/>
        </w:rPr>
        <w:t>INFIRME</w:t>
      </w:r>
      <w:r w:rsidRPr="00C03CF1">
        <w:t xml:space="preserve"> la décision rendue le </w:t>
      </w:r>
      <w:r w:rsidR="00AA2F40" w:rsidRPr="00C03CF1">
        <w:t>26</w:t>
      </w:r>
      <w:r w:rsidR="00B8449D" w:rsidRPr="00C03CF1">
        <w:t> </w:t>
      </w:r>
      <w:r w:rsidR="00AA2F40" w:rsidRPr="00C03CF1">
        <w:t>octobre</w:t>
      </w:r>
      <w:r w:rsidR="00B8449D" w:rsidRPr="00C03CF1">
        <w:t> </w:t>
      </w:r>
      <w:r w:rsidR="00AA2F40" w:rsidRPr="00C03CF1">
        <w:t>2023</w:t>
      </w:r>
      <w:r w:rsidRPr="00C03CF1">
        <w:t xml:space="preserve"> par la Commission des normes, de l’équité, de la santé et de la sécurité du travail (la Commission) à la suite d’une révision administrative;</w:t>
      </w:r>
    </w:p>
    <w:p w14:paraId="39E50C88" w14:textId="16059E69" w:rsidR="00AA2F40" w:rsidRPr="00C03CF1" w:rsidRDefault="00000000" w:rsidP="001500BC">
      <w:pPr>
        <w:spacing w:after="360"/>
        <w:jc w:val="both"/>
      </w:pPr>
      <w:r w:rsidRPr="00C03CF1">
        <w:rPr>
          <w:b/>
        </w:rPr>
        <w:t>DÉCLARE</w:t>
      </w:r>
      <w:r w:rsidRPr="00C03CF1">
        <w:t xml:space="preserve"> que </w:t>
      </w:r>
      <w:bookmarkEnd w:id="10"/>
      <w:r w:rsidRPr="00C03CF1">
        <w:t>le travailleur a contracté une maladie professionnelle dont le diagnostic est une hypoacousie neurosensorielle bilatérale</w:t>
      </w:r>
      <w:r w:rsidR="00B8449D" w:rsidRPr="00C03CF1">
        <w:t>;</w:t>
      </w:r>
    </w:p>
    <w:p w14:paraId="6674AADC" w14:textId="46B092AB" w:rsidR="001500BC" w:rsidRPr="00C03CF1" w:rsidRDefault="00000000" w:rsidP="001500BC">
      <w:pPr>
        <w:spacing w:after="360"/>
        <w:jc w:val="both"/>
      </w:pPr>
      <w:r w:rsidRPr="00C03CF1">
        <w:rPr>
          <w:b/>
        </w:rPr>
        <w:t>DÉCLARE</w:t>
      </w:r>
      <w:r w:rsidRPr="00C03CF1">
        <w:t xml:space="preserve"> que le travailleur a droit aux prestations prévues par la </w:t>
      </w:r>
      <w:r w:rsidRPr="00C03CF1">
        <w:rPr>
          <w:i/>
        </w:rPr>
        <w:t>Loi sur les accidents du travail et les maladies professionnelles</w:t>
      </w:r>
      <w:r w:rsidRPr="00C03CF1">
        <w:t>.</w:t>
      </w:r>
    </w:p>
    <w:p w14:paraId="6E7E8CEB" w14:textId="77777777" w:rsidR="00C74B6F" w:rsidRPr="00C03CF1" w:rsidRDefault="00C74B6F">
      <w:pPr>
        <w:pStyle w:val="Dispositif"/>
      </w:pPr>
    </w:p>
    <w:tbl>
      <w:tblPr>
        <w:tblW w:w="9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5"/>
        <w:gridCol w:w="4795"/>
      </w:tblGrid>
      <w:tr w:rsidR="00614B44" w14:paraId="1F4A2600" w14:textId="77777777">
        <w:tc>
          <w:tcPr>
            <w:tcW w:w="4795" w:type="dxa"/>
          </w:tcPr>
          <w:p w14:paraId="07F1033E" w14:textId="77777777" w:rsidR="00C74B6F" w:rsidRPr="00C03CF1" w:rsidRDefault="00C74B6F"/>
        </w:tc>
        <w:tc>
          <w:tcPr>
            <w:tcW w:w="4795" w:type="dxa"/>
          </w:tcPr>
          <w:p w14:paraId="44161C58" w14:textId="77777777" w:rsidR="00C74B6F" w:rsidRPr="00C03CF1" w:rsidRDefault="00000000">
            <w:bookmarkStart w:id="11" w:name="signature"/>
            <w:bookmarkEnd w:id="11"/>
            <w:r w:rsidRPr="00C03CF1">
              <w:t>__________________________________</w:t>
            </w:r>
          </w:p>
        </w:tc>
      </w:tr>
      <w:tr w:rsidR="00614B44" w14:paraId="4260E602" w14:textId="77777777">
        <w:tc>
          <w:tcPr>
            <w:tcW w:w="4795" w:type="dxa"/>
          </w:tcPr>
          <w:p w14:paraId="7AA09328" w14:textId="77777777" w:rsidR="00C74B6F" w:rsidRPr="00C03CF1" w:rsidRDefault="00C74B6F"/>
        </w:tc>
        <w:tc>
          <w:tcPr>
            <w:tcW w:w="4795" w:type="dxa"/>
          </w:tcPr>
          <w:p w14:paraId="7D3A5878" w14:textId="0B21CB4A" w:rsidR="00C74B6F" w:rsidRPr="00C03CF1" w:rsidRDefault="00000000">
            <w:r w:rsidRPr="00C03CF1">
              <w:t>Réjean Bernard</w:t>
            </w:r>
          </w:p>
        </w:tc>
      </w:tr>
      <w:tr w:rsidR="00614B44" w14:paraId="268C5809" w14:textId="77777777">
        <w:trPr>
          <w:cantSplit/>
        </w:trPr>
        <w:tc>
          <w:tcPr>
            <w:tcW w:w="9590" w:type="dxa"/>
            <w:gridSpan w:val="2"/>
          </w:tcPr>
          <w:p w14:paraId="1A64C2A8" w14:textId="77777777" w:rsidR="00C74B6F" w:rsidRPr="00C03CF1" w:rsidRDefault="00C74B6F"/>
        </w:tc>
      </w:tr>
      <w:tr w:rsidR="00614B44" w14:paraId="12C3F08E" w14:textId="77777777">
        <w:trPr>
          <w:cantSplit/>
        </w:trPr>
        <w:tc>
          <w:tcPr>
            <w:tcW w:w="9590" w:type="dxa"/>
            <w:gridSpan w:val="2"/>
          </w:tcPr>
          <w:p w14:paraId="711A232A" w14:textId="77777777" w:rsidR="00C74B6F" w:rsidRPr="00C03CF1" w:rsidRDefault="00C74B6F" w:rsidP="00EC5C8D">
            <w:pPr>
              <w:tabs>
                <w:tab w:val="left" w:pos="1592"/>
              </w:tabs>
            </w:pPr>
          </w:p>
        </w:tc>
      </w:tr>
      <w:tr w:rsidR="00614B44" w14:paraId="77D8BDA7" w14:textId="77777777">
        <w:trPr>
          <w:cantSplit/>
        </w:trPr>
        <w:tc>
          <w:tcPr>
            <w:tcW w:w="9590" w:type="dxa"/>
            <w:gridSpan w:val="2"/>
          </w:tcPr>
          <w:p w14:paraId="01F03974" w14:textId="77777777" w:rsidR="00C74B6F" w:rsidRPr="00C03CF1" w:rsidRDefault="00C74B6F"/>
        </w:tc>
      </w:tr>
      <w:tr w:rsidR="00614B44" w14:paraId="6E60A655" w14:textId="77777777">
        <w:trPr>
          <w:cantSplit/>
        </w:trPr>
        <w:tc>
          <w:tcPr>
            <w:tcW w:w="9590" w:type="dxa"/>
            <w:gridSpan w:val="2"/>
          </w:tcPr>
          <w:p w14:paraId="4B49EEF2" w14:textId="6240ACA1" w:rsidR="00C74B6F" w:rsidRPr="00C03CF1" w:rsidRDefault="00000000">
            <w:pPr>
              <w:pStyle w:val="zSoquijdatNomProcureurDem"/>
            </w:pPr>
            <w:r w:rsidRPr="00C03CF1">
              <w:t>M</w:t>
            </w:r>
            <w:r w:rsidRPr="00C03CF1">
              <w:rPr>
                <w:vertAlign w:val="superscript"/>
              </w:rPr>
              <w:t>me</w:t>
            </w:r>
            <w:r w:rsidR="00F30267" w:rsidRPr="00C03CF1">
              <w:t xml:space="preserve"> </w:t>
            </w:r>
            <w:r w:rsidRPr="00C03CF1">
              <w:t>Sophie Lefebvre</w:t>
            </w:r>
          </w:p>
        </w:tc>
      </w:tr>
      <w:tr w:rsidR="00614B44" w14:paraId="22F3A172" w14:textId="77777777">
        <w:trPr>
          <w:cantSplit/>
        </w:trPr>
        <w:tc>
          <w:tcPr>
            <w:tcW w:w="9590" w:type="dxa"/>
            <w:gridSpan w:val="2"/>
          </w:tcPr>
          <w:p w14:paraId="7A9A6CEC" w14:textId="77777777" w:rsidR="00C74B6F" w:rsidRPr="00C03CF1" w:rsidRDefault="00000000">
            <w:pPr>
              <w:pStyle w:val="zSoquijdatCabinetProcureurDem"/>
            </w:pPr>
            <w:r w:rsidRPr="00C03CF1">
              <w:t>SYNDICAT CANADIEN</w:t>
            </w:r>
          </w:p>
          <w:p w14:paraId="0CDA04B7" w14:textId="2407475E" w:rsidR="00BC6083" w:rsidRPr="00C03CF1" w:rsidRDefault="00000000">
            <w:pPr>
              <w:pStyle w:val="zSoquijdatCabinetProcureurDem"/>
            </w:pPr>
            <w:r w:rsidRPr="00C03CF1">
              <w:t>DE LA FONCTION PUBLIQUE</w:t>
            </w:r>
          </w:p>
        </w:tc>
      </w:tr>
      <w:tr w:rsidR="00614B44" w14:paraId="519D0D8E" w14:textId="77777777">
        <w:trPr>
          <w:cantSplit/>
        </w:trPr>
        <w:tc>
          <w:tcPr>
            <w:tcW w:w="9590" w:type="dxa"/>
            <w:gridSpan w:val="2"/>
          </w:tcPr>
          <w:p w14:paraId="77855865" w14:textId="77777777" w:rsidR="00C74B6F" w:rsidRPr="00C03CF1" w:rsidRDefault="00000000">
            <w:pPr>
              <w:pStyle w:val="zSoquijlblProcureurDem"/>
            </w:pPr>
            <w:r w:rsidRPr="00C03CF1">
              <w:t>Pour la partie demanderesse</w:t>
            </w:r>
          </w:p>
        </w:tc>
      </w:tr>
      <w:tr w:rsidR="00614B44" w14:paraId="43F1FB02" w14:textId="77777777">
        <w:trPr>
          <w:cantSplit/>
        </w:trPr>
        <w:tc>
          <w:tcPr>
            <w:tcW w:w="9590" w:type="dxa"/>
            <w:gridSpan w:val="2"/>
          </w:tcPr>
          <w:p w14:paraId="111DEBF6" w14:textId="77777777" w:rsidR="00C74B6F" w:rsidRPr="00C03CF1" w:rsidRDefault="00C74B6F"/>
        </w:tc>
      </w:tr>
      <w:tr w:rsidR="00614B44" w14:paraId="25FFF72E" w14:textId="77777777">
        <w:trPr>
          <w:cantSplit/>
        </w:trPr>
        <w:tc>
          <w:tcPr>
            <w:tcW w:w="9590" w:type="dxa"/>
            <w:gridSpan w:val="2"/>
          </w:tcPr>
          <w:p w14:paraId="35374FDF" w14:textId="0058D349" w:rsidR="00C74B6F" w:rsidRPr="00C03CF1" w:rsidRDefault="00000000">
            <w:pPr>
              <w:pStyle w:val="zSoquijdatNomProcureurDef"/>
            </w:pPr>
            <w:r w:rsidRPr="00C03CF1">
              <w:t>M</w:t>
            </w:r>
            <w:r w:rsidRPr="00C03CF1">
              <w:rPr>
                <w:vertAlign w:val="superscript"/>
              </w:rPr>
              <w:t>e</w:t>
            </w:r>
            <w:r w:rsidR="00F30267" w:rsidRPr="00C03CF1">
              <w:t xml:space="preserve"> </w:t>
            </w:r>
            <w:r w:rsidRPr="00C03CF1">
              <w:t>Louis Thomas Bélanger</w:t>
            </w:r>
          </w:p>
        </w:tc>
      </w:tr>
      <w:tr w:rsidR="00614B44" w14:paraId="72F66005" w14:textId="77777777">
        <w:trPr>
          <w:cantSplit/>
        </w:trPr>
        <w:tc>
          <w:tcPr>
            <w:tcW w:w="9590" w:type="dxa"/>
            <w:gridSpan w:val="2"/>
          </w:tcPr>
          <w:p w14:paraId="298BC757" w14:textId="77777777" w:rsidR="00C74B6F" w:rsidRPr="00C03CF1" w:rsidRDefault="00000000">
            <w:pPr>
              <w:pStyle w:val="zSoquijdatCabinetProcureurDef"/>
            </w:pPr>
            <w:r w:rsidRPr="00C03CF1">
              <w:t>FASKEN MARTINEAU DUMOULIN</w:t>
            </w:r>
          </w:p>
          <w:p w14:paraId="67BA5907" w14:textId="0450CEFA" w:rsidR="00BC6083" w:rsidRPr="00C03CF1" w:rsidRDefault="00000000">
            <w:pPr>
              <w:pStyle w:val="zSoquijdatCabinetProcureurDef"/>
            </w:pPr>
            <w:r w:rsidRPr="00C03CF1">
              <w:t>S.E.N.C.R.L., S.R.L.</w:t>
            </w:r>
          </w:p>
        </w:tc>
      </w:tr>
      <w:tr w:rsidR="00614B44" w14:paraId="3F9ECB6E" w14:textId="77777777">
        <w:trPr>
          <w:cantSplit/>
        </w:trPr>
        <w:tc>
          <w:tcPr>
            <w:tcW w:w="9590" w:type="dxa"/>
            <w:gridSpan w:val="2"/>
          </w:tcPr>
          <w:p w14:paraId="70CE9108" w14:textId="690198E3" w:rsidR="00C74B6F" w:rsidRPr="00C03CF1" w:rsidRDefault="00000000">
            <w:pPr>
              <w:pStyle w:val="zSoquijlblProcureurDef"/>
            </w:pPr>
            <w:r w:rsidRPr="00C03CF1">
              <w:t xml:space="preserve">Pour la partie </w:t>
            </w:r>
            <w:r w:rsidR="00BC6083" w:rsidRPr="00C03CF1">
              <w:t>mise en cause</w:t>
            </w:r>
          </w:p>
        </w:tc>
      </w:tr>
      <w:tr w:rsidR="00614B44" w14:paraId="33BC6142" w14:textId="77777777">
        <w:trPr>
          <w:cantSplit/>
        </w:trPr>
        <w:tc>
          <w:tcPr>
            <w:tcW w:w="9590" w:type="dxa"/>
            <w:gridSpan w:val="2"/>
          </w:tcPr>
          <w:p w14:paraId="3DC117D7" w14:textId="77777777" w:rsidR="00C15A3F" w:rsidRPr="00C03CF1" w:rsidRDefault="00C15A3F">
            <w:pPr>
              <w:pStyle w:val="zSoquijlblProcureurInt"/>
            </w:pPr>
          </w:p>
        </w:tc>
      </w:tr>
      <w:tr w:rsidR="00614B44" w14:paraId="60DA39F0" w14:textId="77777777">
        <w:trPr>
          <w:cantSplit/>
        </w:trPr>
        <w:tc>
          <w:tcPr>
            <w:tcW w:w="9590" w:type="dxa"/>
            <w:gridSpan w:val="2"/>
          </w:tcPr>
          <w:p w14:paraId="5CEBE5C2" w14:textId="2FE5C92A" w:rsidR="00C15A3F" w:rsidRPr="00C03CF1" w:rsidRDefault="00000000" w:rsidP="000E56A6">
            <w:pPr>
              <w:pStyle w:val="zSoquijdatDateAudience"/>
            </w:pPr>
            <w:bookmarkStart w:id="12" w:name="Date_derniere_audience"/>
            <w:bookmarkEnd w:id="12"/>
            <w:r w:rsidRPr="00C03CF1">
              <w:t xml:space="preserve">Date de la </w:t>
            </w:r>
            <w:r w:rsidR="00CC6338" w:rsidRPr="00C03CF1">
              <w:t>mise en délibéré</w:t>
            </w:r>
            <w:r w:rsidRPr="00C03CF1">
              <w:t> :</w:t>
            </w:r>
            <w:r w:rsidR="00597016" w:rsidRPr="00C03CF1">
              <w:tab/>
            </w:r>
            <w:r w:rsidR="00BC6083" w:rsidRPr="00C03CF1">
              <w:t>19 novembre 2025</w:t>
            </w:r>
          </w:p>
        </w:tc>
      </w:tr>
    </w:tbl>
    <w:p w14:paraId="6A3B60B4" w14:textId="77777777" w:rsidR="002542E0" w:rsidRPr="00C03CF1" w:rsidRDefault="002542E0" w:rsidP="002542E0">
      <w:pPr>
        <w:pStyle w:val="corpsdedcision"/>
        <w:numPr>
          <w:ilvl w:val="0"/>
          <w:numId w:val="0"/>
        </w:numPr>
        <w:tabs>
          <w:tab w:val="clear" w:pos="720"/>
        </w:tabs>
      </w:pPr>
    </w:p>
    <w:sectPr w:rsidR="002542E0" w:rsidRPr="00C03CF1">
      <w:headerReference w:type="default" r:id="rId8"/>
      <w:pgSz w:w="12240" w:h="15840" w:code="1"/>
      <w:pgMar w:top="1152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A30D9CF" w14:textId="77777777" w:rsidR="00235F85" w:rsidRDefault="00235F85">
      <w:r>
        <w:separator/>
      </w:r>
    </w:p>
  </w:endnote>
  <w:endnote w:type="continuationSeparator" w:id="0">
    <w:p w14:paraId="70D0A188" w14:textId="77777777" w:rsidR="00235F85" w:rsidRDefault="0023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DBEF7F6" w14:textId="77777777" w:rsidR="00235F85" w:rsidRDefault="00235F85">
      <w:r>
        <w:separator/>
      </w:r>
    </w:p>
  </w:footnote>
  <w:footnote w:type="continuationSeparator" w:id="0">
    <w:p w14:paraId="1F1A5B99" w14:textId="77777777" w:rsidR="00235F85" w:rsidRDefault="00235F85">
      <w:r>
        <w:continuationSeparator/>
      </w:r>
    </w:p>
  </w:footnote>
  <w:footnote w:id="1">
    <w:p w14:paraId="2A63F608" w14:textId="77777777" w:rsidR="001500BC" w:rsidRDefault="00000000" w:rsidP="001500BC">
      <w:pPr>
        <w:pStyle w:val="FootnoteText"/>
        <w:tabs>
          <w:tab w:val="left" w:pos="720"/>
        </w:tabs>
        <w:ind w:left="720" w:hanging="720"/>
        <w:jc w:val="both"/>
        <w:rPr>
          <w:rFonts w:cs="Arial"/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="Arial"/>
          <w:sz w:val="20"/>
        </w:rPr>
        <w:tab/>
        <w:t>RLRQ, c. A-3.001.</w:t>
      </w:r>
    </w:p>
  </w:footnote>
  <w:footnote w:id="2">
    <w:p w14:paraId="5AAE012A" w14:textId="379A23CF" w:rsidR="00BD259B" w:rsidRPr="00BD259B" w:rsidRDefault="00000000" w:rsidP="00BD259B">
      <w:pPr>
        <w:pStyle w:val="FootnoteText"/>
        <w:tabs>
          <w:tab w:val="left" w:pos="720"/>
        </w:tabs>
        <w:ind w:left="720" w:hanging="720"/>
        <w:jc w:val="both"/>
        <w:rPr>
          <w:rFonts w:cs="Arial"/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="Arial"/>
          <w:sz w:val="20"/>
        </w:rPr>
        <w:tab/>
        <w:t>Article</w:t>
      </w:r>
      <w:r w:rsidR="003B3113">
        <w:rPr>
          <w:rFonts w:cs="Arial"/>
          <w:sz w:val="20"/>
        </w:rPr>
        <w:t> </w:t>
      </w:r>
      <w:r>
        <w:rPr>
          <w:rFonts w:cs="Arial"/>
          <w:sz w:val="20"/>
        </w:rPr>
        <w:t>30 de la</w:t>
      </w:r>
      <w:r w:rsidR="003B3113">
        <w:rPr>
          <w:rFonts w:cs="Arial"/>
          <w:sz w:val="20"/>
        </w:rPr>
        <w:t> </w:t>
      </w:r>
      <w:r>
        <w:rPr>
          <w:rFonts w:cs="Arial"/>
          <w:sz w:val="20"/>
        </w:rPr>
        <w:t>Loi.</w:t>
      </w:r>
    </w:p>
  </w:footnote>
  <w:footnote w:id="3">
    <w:p w14:paraId="7FBFE4E7" w14:textId="33DC597B" w:rsidR="006C423F" w:rsidRPr="001C624D" w:rsidRDefault="00000000" w:rsidP="006C423F">
      <w:pPr>
        <w:pStyle w:val="FootnoteText"/>
        <w:tabs>
          <w:tab w:val="left" w:pos="720"/>
        </w:tabs>
        <w:ind w:left="720" w:hanging="720"/>
        <w:jc w:val="both"/>
        <w:rPr>
          <w:rFonts w:cs="Arial"/>
          <w:sz w:val="20"/>
        </w:rPr>
      </w:pPr>
      <w:r w:rsidRPr="001C624D">
        <w:rPr>
          <w:rStyle w:val="FootnoteReference"/>
        </w:rPr>
        <w:footnoteRef/>
      </w:r>
      <w:r w:rsidRPr="001C624D">
        <w:t xml:space="preserve"> </w:t>
      </w:r>
      <w:r w:rsidRPr="001C624D">
        <w:rPr>
          <w:rFonts w:cs="Arial"/>
          <w:sz w:val="20"/>
        </w:rPr>
        <w:tab/>
        <w:t>Article</w:t>
      </w:r>
      <w:r w:rsidR="001C624D" w:rsidRPr="001C624D">
        <w:rPr>
          <w:rFonts w:cs="Arial"/>
          <w:sz w:val="20"/>
        </w:rPr>
        <w:t> </w:t>
      </w:r>
      <w:r w:rsidRPr="001C624D">
        <w:rPr>
          <w:rFonts w:cs="Arial"/>
          <w:sz w:val="20"/>
        </w:rPr>
        <w:t>224 de la</w:t>
      </w:r>
      <w:r w:rsidR="001C624D" w:rsidRPr="001C624D">
        <w:rPr>
          <w:rFonts w:cs="Arial"/>
          <w:sz w:val="20"/>
        </w:rPr>
        <w:t> </w:t>
      </w:r>
      <w:r w:rsidRPr="001C624D">
        <w:rPr>
          <w:rFonts w:cs="Arial"/>
          <w:sz w:val="20"/>
        </w:rPr>
        <w:t>Loi.</w:t>
      </w:r>
    </w:p>
  </w:footnote>
  <w:footnote w:id="4">
    <w:p w14:paraId="3924C719" w14:textId="3C57B758" w:rsidR="001A0648" w:rsidRPr="001C624D" w:rsidRDefault="00000000" w:rsidP="001A0648">
      <w:pPr>
        <w:pStyle w:val="FootnoteText"/>
        <w:tabs>
          <w:tab w:val="left" w:pos="720"/>
        </w:tabs>
        <w:ind w:left="720" w:hanging="720"/>
        <w:jc w:val="both"/>
        <w:rPr>
          <w:rStyle w:val="Citationintgre"/>
          <w:i w:val="0"/>
          <w:iCs/>
          <w:sz w:val="20"/>
        </w:rPr>
      </w:pPr>
      <w:r w:rsidRPr="001C624D">
        <w:rPr>
          <w:rStyle w:val="FootnoteReference"/>
        </w:rPr>
        <w:footnoteRef/>
      </w:r>
      <w:r w:rsidRPr="001C624D">
        <w:t xml:space="preserve"> </w:t>
      </w:r>
      <w:r w:rsidRPr="001C624D">
        <w:rPr>
          <w:rFonts w:cs="Arial"/>
          <w:sz w:val="20"/>
        </w:rPr>
        <w:tab/>
      </w:r>
      <w:r w:rsidRPr="001C624D">
        <w:rPr>
          <w:rStyle w:val="Citationintgre"/>
          <w:sz w:val="20"/>
        </w:rPr>
        <w:t>Piché</w:t>
      </w:r>
      <w:r w:rsidRPr="001C624D">
        <w:rPr>
          <w:rStyle w:val="Citationintgre"/>
          <w:i w:val="0"/>
          <w:iCs/>
          <w:sz w:val="20"/>
        </w:rPr>
        <w:t xml:space="preserve"> et </w:t>
      </w:r>
      <w:proofErr w:type="spellStart"/>
      <w:r w:rsidRPr="001C624D">
        <w:rPr>
          <w:rStyle w:val="Citationintgre"/>
          <w:sz w:val="20"/>
        </w:rPr>
        <w:t>Barcana</w:t>
      </w:r>
      <w:proofErr w:type="spellEnd"/>
      <w:r w:rsidRPr="001C624D">
        <w:rPr>
          <w:rStyle w:val="Citationintgre"/>
          <w:sz w:val="20"/>
        </w:rPr>
        <w:t xml:space="preserve"> </w:t>
      </w:r>
      <w:r w:rsidR="00411506" w:rsidRPr="001C624D">
        <w:rPr>
          <w:rStyle w:val="Citationintgre"/>
          <w:sz w:val="20"/>
        </w:rPr>
        <w:t>I</w:t>
      </w:r>
      <w:r w:rsidRPr="001C624D">
        <w:rPr>
          <w:rStyle w:val="Citationintgre"/>
          <w:sz w:val="20"/>
        </w:rPr>
        <w:t>nc.</w:t>
      </w:r>
      <w:r w:rsidRPr="001C624D">
        <w:rPr>
          <w:rStyle w:val="Citationintgre"/>
          <w:i w:val="0"/>
          <w:iCs/>
          <w:sz w:val="20"/>
        </w:rPr>
        <w:t xml:space="preserve">, </w:t>
      </w:r>
      <w:r w:rsidR="00AA57B9" w:rsidRPr="001C624D">
        <w:rPr>
          <w:rStyle w:val="Citationintgre"/>
          <w:i w:val="0"/>
          <w:iCs/>
          <w:sz w:val="20"/>
        </w:rPr>
        <w:t>C</w:t>
      </w:r>
      <w:r w:rsidR="00411506" w:rsidRPr="001C624D">
        <w:rPr>
          <w:rStyle w:val="Citationintgre"/>
          <w:i w:val="0"/>
          <w:iCs/>
          <w:sz w:val="20"/>
        </w:rPr>
        <w:t>.</w:t>
      </w:r>
      <w:r w:rsidR="00AA57B9" w:rsidRPr="001C624D">
        <w:rPr>
          <w:rStyle w:val="Citationintgre"/>
          <w:i w:val="0"/>
          <w:iCs/>
          <w:sz w:val="20"/>
        </w:rPr>
        <w:t>A</w:t>
      </w:r>
      <w:r w:rsidR="00411506" w:rsidRPr="001C624D">
        <w:rPr>
          <w:rStyle w:val="Citationintgre"/>
          <w:i w:val="0"/>
          <w:iCs/>
          <w:sz w:val="20"/>
        </w:rPr>
        <w:t>.</w:t>
      </w:r>
      <w:r w:rsidR="00AA57B9" w:rsidRPr="001C624D">
        <w:rPr>
          <w:rStyle w:val="Citationintgre"/>
          <w:i w:val="0"/>
          <w:iCs/>
          <w:sz w:val="20"/>
        </w:rPr>
        <w:t>L</w:t>
      </w:r>
      <w:r w:rsidR="00411506" w:rsidRPr="001C624D">
        <w:rPr>
          <w:rStyle w:val="Citationintgre"/>
          <w:i w:val="0"/>
          <w:iCs/>
          <w:sz w:val="20"/>
        </w:rPr>
        <w:t>.</w:t>
      </w:r>
      <w:r w:rsidR="00AA57B9" w:rsidRPr="001C624D">
        <w:rPr>
          <w:rStyle w:val="Citationintgre"/>
          <w:i w:val="0"/>
          <w:iCs/>
          <w:sz w:val="20"/>
        </w:rPr>
        <w:t>P</w:t>
      </w:r>
      <w:r w:rsidR="00411506" w:rsidRPr="001C624D">
        <w:rPr>
          <w:rStyle w:val="Citationintgre"/>
          <w:i w:val="0"/>
          <w:iCs/>
          <w:sz w:val="20"/>
        </w:rPr>
        <w:t>.</w:t>
      </w:r>
      <w:r w:rsidR="00AA57B9" w:rsidRPr="001C624D">
        <w:rPr>
          <w:rStyle w:val="Citationintgre"/>
          <w:i w:val="0"/>
          <w:iCs/>
          <w:sz w:val="20"/>
        </w:rPr>
        <w:t xml:space="preserve"> </w:t>
      </w:r>
      <w:r w:rsidRPr="001C624D">
        <w:rPr>
          <w:rStyle w:val="Citationintgre"/>
          <w:i w:val="0"/>
          <w:iCs/>
          <w:sz w:val="20"/>
        </w:rPr>
        <w:t>507</w:t>
      </w:r>
      <w:r w:rsidR="00071FE5" w:rsidRPr="001C624D">
        <w:rPr>
          <w:rStyle w:val="Citationintgre"/>
          <w:i w:val="0"/>
          <w:iCs/>
          <w:sz w:val="20"/>
        </w:rPr>
        <w:t>5</w:t>
      </w:r>
      <w:r w:rsidRPr="001C624D">
        <w:rPr>
          <w:rStyle w:val="Citationintgre"/>
          <w:i w:val="0"/>
          <w:iCs/>
          <w:sz w:val="20"/>
        </w:rPr>
        <w:t>0-62</w:t>
      </w:r>
      <w:r w:rsidR="00071FE5" w:rsidRPr="001C624D">
        <w:rPr>
          <w:rStyle w:val="Citationintgre"/>
          <w:i w:val="0"/>
          <w:iCs/>
          <w:sz w:val="20"/>
        </w:rPr>
        <w:t>B</w:t>
      </w:r>
      <w:r w:rsidRPr="001C624D">
        <w:rPr>
          <w:rStyle w:val="Citationintgre"/>
          <w:i w:val="0"/>
          <w:iCs/>
          <w:sz w:val="20"/>
        </w:rPr>
        <w:t>-9304, 13</w:t>
      </w:r>
      <w:r w:rsidR="00411506" w:rsidRPr="001C624D">
        <w:rPr>
          <w:rStyle w:val="Citationintgre"/>
          <w:i w:val="0"/>
          <w:iCs/>
          <w:sz w:val="20"/>
        </w:rPr>
        <w:t> </w:t>
      </w:r>
      <w:r w:rsidRPr="001C624D">
        <w:rPr>
          <w:rStyle w:val="Citationintgre"/>
          <w:i w:val="0"/>
          <w:iCs/>
          <w:sz w:val="20"/>
        </w:rPr>
        <w:t>septembre</w:t>
      </w:r>
      <w:r w:rsidR="00411506" w:rsidRPr="001C624D">
        <w:rPr>
          <w:rStyle w:val="Citationintgre"/>
          <w:i w:val="0"/>
          <w:iCs/>
          <w:sz w:val="20"/>
        </w:rPr>
        <w:t> </w:t>
      </w:r>
      <w:r w:rsidRPr="001C624D">
        <w:rPr>
          <w:rStyle w:val="Citationintgre"/>
          <w:i w:val="0"/>
          <w:iCs/>
          <w:sz w:val="20"/>
        </w:rPr>
        <w:t>1994, B. Lemay;</w:t>
      </w:r>
    </w:p>
    <w:p w14:paraId="3C09A054" w14:textId="312C4F4E" w:rsidR="00567213" w:rsidRPr="00526365" w:rsidRDefault="00000000" w:rsidP="00567213">
      <w:pPr>
        <w:pStyle w:val="FootnoteText"/>
        <w:tabs>
          <w:tab w:val="left" w:pos="720"/>
        </w:tabs>
        <w:ind w:left="1429" w:hanging="720"/>
        <w:jc w:val="both"/>
        <w:rPr>
          <w:rStyle w:val="Citationintgre"/>
          <w:i w:val="0"/>
          <w:iCs/>
          <w:sz w:val="20"/>
        </w:rPr>
      </w:pPr>
      <w:proofErr w:type="spellStart"/>
      <w:r w:rsidRPr="00526365">
        <w:rPr>
          <w:rStyle w:val="Citationintgre"/>
          <w:sz w:val="20"/>
        </w:rPr>
        <w:t>Orica</w:t>
      </w:r>
      <w:proofErr w:type="spellEnd"/>
      <w:r w:rsidRPr="00526365">
        <w:rPr>
          <w:rStyle w:val="Citationintgre"/>
          <w:sz w:val="20"/>
        </w:rPr>
        <w:t xml:space="preserve"> Canada </w:t>
      </w:r>
      <w:proofErr w:type="spellStart"/>
      <w:r w:rsidRPr="00526365">
        <w:rPr>
          <w:rStyle w:val="Citationintgre"/>
          <w:sz w:val="20"/>
        </w:rPr>
        <w:t>inc.</w:t>
      </w:r>
      <w:proofErr w:type="spellEnd"/>
      <w:r w:rsidRPr="005C4254">
        <w:rPr>
          <w:rStyle w:val="Citationintgre"/>
          <w:i w:val="0"/>
          <w:iCs/>
          <w:sz w:val="20"/>
        </w:rPr>
        <w:t xml:space="preserve"> </w:t>
      </w:r>
      <w:r w:rsidRPr="00526365">
        <w:rPr>
          <w:rStyle w:val="Citationintgre"/>
          <w:i w:val="0"/>
          <w:iCs/>
          <w:sz w:val="20"/>
        </w:rPr>
        <w:t>et</w:t>
      </w:r>
      <w:r w:rsidRPr="005C4254">
        <w:rPr>
          <w:rStyle w:val="Citationintgre"/>
          <w:i w:val="0"/>
          <w:iCs/>
          <w:sz w:val="20"/>
        </w:rPr>
        <w:t xml:space="preserve"> </w:t>
      </w:r>
      <w:r w:rsidRPr="00526365">
        <w:rPr>
          <w:rStyle w:val="Citationintgre"/>
          <w:sz w:val="20"/>
        </w:rPr>
        <w:t>Plouffe</w:t>
      </w:r>
      <w:r w:rsidRPr="005C4254">
        <w:rPr>
          <w:rStyle w:val="Citationintgre"/>
          <w:i w:val="0"/>
          <w:iCs/>
          <w:sz w:val="20"/>
        </w:rPr>
        <w:t>,</w:t>
      </w:r>
      <w:r w:rsidRPr="0050584C">
        <w:rPr>
          <w:rStyle w:val="Citationintgre"/>
          <w:i w:val="0"/>
          <w:iCs/>
          <w:sz w:val="20"/>
        </w:rPr>
        <w:t xml:space="preserve"> </w:t>
      </w:r>
      <w:r w:rsidRPr="00526365">
        <w:rPr>
          <w:rStyle w:val="Citationintgre"/>
          <w:i w:val="0"/>
          <w:iCs/>
          <w:sz w:val="20"/>
        </w:rPr>
        <w:t>2010 QCCLP 8507;</w:t>
      </w:r>
    </w:p>
    <w:p w14:paraId="1C7782E5" w14:textId="7958FA6D" w:rsidR="001A0648" w:rsidRPr="00567213" w:rsidRDefault="00000000" w:rsidP="00567213">
      <w:pPr>
        <w:pStyle w:val="FootnoteText"/>
        <w:tabs>
          <w:tab w:val="left" w:pos="720"/>
        </w:tabs>
        <w:ind w:left="1429" w:hanging="720"/>
        <w:jc w:val="both"/>
        <w:rPr>
          <w:rStyle w:val="Citationintgre"/>
          <w:i w:val="0"/>
          <w:iCs/>
        </w:rPr>
      </w:pPr>
      <w:r w:rsidRPr="00526365">
        <w:rPr>
          <w:rStyle w:val="Citationintgre"/>
          <w:sz w:val="20"/>
        </w:rPr>
        <w:t>Proulx</w:t>
      </w:r>
      <w:r w:rsidRPr="00526365">
        <w:rPr>
          <w:rStyle w:val="Citationintgre"/>
          <w:i w:val="0"/>
          <w:iCs/>
          <w:sz w:val="20"/>
        </w:rPr>
        <w:t xml:space="preserve"> et </w:t>
      </w:r>
      <w:r w:rsidRPr="00526365">
        <w:rPr>
          <w:rStyle w:val="Citationintgre"/>
          <w:sz w:val="20"/>
        </w:rPr>
        <w:t>Hydro-Québec</w:t>
      </w:r>
      <w:r w:rsidRPr="005C4254">
        <w:rPr>
          <w:rStyle w:val="Citationintgre"/>
          <w:i w:val="0"/>
          <w:iCs/>
          <w:sz w:val="20"/>
        </w:rPr>
        <w:t xml:space="preserve">, </w:t>
      </w:r>
      <w:r w:rsidRPr="00526365">
        <w:rPr>
          <w:rStyle w:val="Citationintgre"/>
          <w:i w:val="0"/>
          <w:iCs/>
          <w:sz w:val="20"/>
        </w:rPr>
        <w:t>2024 QCTAT 3411.</w:t>
      </w:r>
    </w:p>
  </w:footnote>
  <w:footnote w:id="5">
    <w:p w14:paraId="5401CADF" w14:textId="713BF334" w:rsidR="00567213" w:rsidRPr="00526365" w:rsidRDefault="00000000" w:rsidP="00567213">
      <w:pPr>
        <w:pStyle w:val="FootnoteText"/>
        <w:tabs>
          <w:tab w:val="left" w:pos="720"/>
        </w:tabs>
        <w:ind w:left="720" w:hanging="720"/>
        <w:jc w:val="both"/>
        <w:rPr>
          <w:rStyle w:val="Citationintgre"/>
          <w:i w:val="0"/>
          <w:iCs/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="Arial"/>
          <w:sz w:val="20"/>
        </w:rPr>
        <w:tab/>
      </w:r>
      <w:proofErr w:type="spellStart"/>
      <w:r w:rsidRPr="00526365">
        <w:rPr>
          <w:rStyle w:val="Citationintgre"/>
          <w:sz w:val="20"/>
        </w:rPr>
        <w:t>Orica</w:t>
      </w:r>
      <w:proofErr w:type="spellEnd"/>
      <w:r w:rsidRPr="00526365">
        <w:rPr>
          <w:rStyle w:val="Citationintgre"/>
          <w:sz w:val="20"/>
        </w:rPr>
        <w:t xml:space="preserve"> Canada </w:t>
      </w:r>
      <w:proofErr w:type="spellStart"/>
      <w:r w:rsidRPr="00526365">
        <w:rPr>
          <w:rStyle w:val="Citationintgre"/>
          <w:sz w:val="20"/>
        </w:rPr>
        <w:t>inc.</w:t>
      </w:r>
      <w:proofErr w:type="spellEnd"/>
      <w:r w:rsidRPr="005C4254">
        <w:rPr>
          <w:rStyle w:val="Citationintgre"/>
          <w:i w:val="0"/>
          <w:iCs/>
          <w:sz w:val="20"/>
        </w:rPr>
        <w:t xml:space="preserve"> </w:t>
      </w:r>
      <w:r w:rsidRPr="00526365">
        <w:rPr>
          <w:rStyle w:val="Citationintgre"/>
          <w:i w:val="0"/>
          <w:iCs/>
          <w:sz w:val="20"/>
        </w:rPr>
        <w:t>et</w:t>
      </w:r>
      <w:r w:rsidRPr="005C4254">
        <w:rPr>
          <w:rStyle w:val="Citationintgre"/>
          <w:i w:val="0"/>
          <w:iCs/>
          <w:sz w:val="20"/>
        </w:rPr>
        <w:t xml:space="preserve"> </w:t>
      </w:r>
      <w:r w:rsidRPr="00526365">
        <w:rPr>
          <w:rStyle w:val="Citationintgre"/>
          <w:sz w:val="20"/>
        </w:rPr>
        <w:t>Plouffe</w:t>
      </w:r>
      <w:r w:rsidRPr="005C4254">
        <w:rPr>
          <w:rStyle w:val="Citationintgre"/>
          <w:i w:val="0"/>
          <w:iCs/>
          <w:sz w:val="20"/>
        </w:rPr>
        <w:t>,</w:t>
      </w:r>
      <w:r w:rsidRPr="0050584C">
        <w:rPr>
          <w:rStyle w:val="Citationintgre"/>
          <w:i w:val="0"/>
          <w:iCs/>
          <w:sz w:val="20"/>
        </w:rPr>
        <w:t xml:space="preserve"> </w:t>
      </w:r>
      <w:r w:rsidRPr="00526365">
        <w:rPr>
          <w:rStyle w:val="Citationintgre"/>
          <w:i w:val="0"/>
          <w:iCs/>
          <w:sz w:val="20"/>
        </w:rPr>
        <w:t>2010 QCCLP 8507;</w:t>
      </w:r>
    </w:p>
    <w:p w14:paraId="4D7A8179" w14:textId="6FC5DFE9" w:rsidR="00567213" w:rsidRPr="00567213" w:rsidRDefault="00000000" w:rsidP="00567213">
      <w:pPr>
        <w:pStyle w:val="FootnoteText"/>
        <w:tabs>
          <w:tab w:val="left" w:pos="720"/>
        </w:tabs>
        <w:ind w:left="1429" w:hanging="720"/>
        <w:jc w:val="both"/>
        <w:rPr>
          <w:iCs/>
          <w:sz w:val="22"/>
        </w:rPr>
      </w:pPr>
      <w:r w:rsidRPr="00526365">
        <w:rPr>
          <w:rStyle w:val="Citationintgre"/>
          <w:sz w:val="20"/>
        </w:rPr>
        <w:t>Brisebois</w:t>
      </w:r>
      <w:r w:rsidRPr="005C4254">
        <w:rPr>
          <w:rStyle w:val="Citationintgre"/>
          <w:i w:val="0"/>
          <w:iCs/>
          <w:sz w:val="20"/>
        </w:rPr>
        <w:t xml:space="preserve"> </w:t>
      </w:r>
      <w:r w:rsidRPr="00526365">
        <w:rPr>
          <w:rStyle w:val="Citationintgre"/>
          <w:i w:val="0"/>
          <w:iCs/>
          <w:sz w:val="20"/>
        </w:rPr>
        <w:t>et</w:t>
      </w:r>
      <w:r w:rsidRPr="005C4254">
        <w:rPr>
          <w:rStyle w:val="Citationintgre"/>
          <w:i w:val="0"/>
          <w:iCs/>
          <w:sz w:val="20"/>
        </w:rPr>
        <w:t xml:space="preserve"> </w:t>
      </w:r>
      <w:r w:rsidRPr="00526365">
        <w:rPr>
          <w:rStyle w:val="Citationintgre"/>
          <w:sz w:val="20"/>
        </w:rPr>
        <w:t>Service correctionnel du Canada</w:t>
      </w:r>
      <w:r w:rsidRPr="005C4254">
        <w:rPr>
          <w:rStyle w:val="Citationintgre"/>
          <w:i w:val="0"/>
          <w:iCs/>
          <w:sz w:val="20"/>
        </w:rPr>
        <w:t>,</w:t>
      </w:r>
      <w:r w:rsidRPr="0050584C">
        <w:rPr>
          <w:rStyle w:val="Citationintgre"/>
          <w:i w:val="0"/>
          <w:iCs/>
          <w:sz w:val="20"/>
        </w:rPr>
        <w:t xml:space="preserve"> </w:t>
      </w:r>
      <w:r w:rsidRPr="00526365">
        <w:rPr>
          <w:rStyle w:val="Citationintgre"/>
          <w:i w:val="0"/>
          <w:iCs/>
          <w:sz w:val="20"/>
        </w:rPr>
        <w:t>2024 QCTAT 3030.</w:t>
      </w:r>
    </w:p>
  </w:footnote>
  <w:footnote w:id="6">
    <w:p w14:paraId="658142DA" w14:textId="51178231" w:rsidR="002F4419" w:rsidRPr="00D31E43" w:rsidRDefault="00000000" w:rsidP="002F4419">
      <w:pPr>
        <w:pStyle w:val="FootnoteText"/>
        <w:tabs>
          <w:tab w:val="left" w:pos="720"/>
        </w:tabs>
        <w:ind w:left="720" w:hanging="720"/>
        <w:jc w:val="both"/>
        <w:rPr>
          <w:rFonts w:cs="Arial"/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="Arial"/>
          <w:sz w:val="20"/>
        </w:rPr>
        <w:tab/>
        <w:t xml:space="preserve">HSST Conseils </w:t>
      </w:r>
      <w:proofErr w:type="spellStart"/>
      <w:r w:rsidRPr="00D31E43">
        <w:rPr>
          <w:rFonts w:cs="Arial"/>
          <w:sz w:val="20"/>
        </w:rPr>
        <w:t>inc.</w:t>
      </w:r>
      <w:proofErr w:type="spellEnd"/>
      <w:r w:rsidRPr="00D31E43">
        <w:rPr>
          <w:rFonts w:cs="Arial"/>
          <w:sz w:val="20"/>
        </w:rPr>
        <w:t xml:space="preserve">, </w:t>
      </w:r>
      <w:r w:rsidRPr="00D31E43">
        <w:rPr>
          <w:rFonts w:cs="Arial"/>
          <w:i/>
          <w:iCs/>
          <w:sz w:val="20"/>
        </w:rPr>
        <w:t xml:space="preserve">Évaluation de l’exposition sonore de monsieur </w:t>
      </w:r>
      <w:r w:rsidRPr="00D31E43">
        <w:rPr>
          <w:rFonts w:cs="Arial"/>
          <w:sz w:val="22"/>
          <w:szCs w:val="22"/>
        </w:rPr>
        <w:t>[nom rayé]</w:t>
      </w:r>
      <w:r w:rsidRPr="00D31E43">
        <w:rPr>
          <w:rFonts w:cs="Arial"/>
          <w:sz w:val="20"/>
        </w:rPr>
        <w:t xml:space="preserve"> </w:t>
      </w:r>
      <w:r w:rsidRPr="00D31E43">
        <w:rPr>
          <w:rFonts w:cs="Arial"/>
          <w:i/>
          <w:iCs/>
          <w:sz w:val="20"/>
        </w:rPr>
        <w:t>lors d’activité de chauffer le camion blindé ou à titre de passager</w:t>
      </w:r>
      <w:r w:rsidRPr="00D31E43">
        <w:rPr>
          <w:rFonts w:cs="Arial"/>
          <w:sz w:val="20"/>
        </w:rPr>
        <w:t>, 23</w:t>
      </w:r>
      <w:r w:rsidR="00D31E43">
        <w:rPr>
          <w:rFonts w:cs="Arial"/>
          <w:sz w:val="20"/>
        </w:rPr>
        <w:t> </w:t>
      </w:r>
      <w:r w:rsidRPr="00D31E43">
        <w:rPr>
          <w:rFonts w:cs="Arial"/>
          <w:sz w:val="20"/>
        </w:rPr>
        <w:t>février</w:t>
      </w:r>
      <w:r w:rsidR="00D31E43">
        <w:rPr>
          <w:rFonts w:cs="Arial"/>
          <w:sz w:val="20"/>
        </w:rPr>
        <w:t> </w:t>
      </w:r>
      <w:r w:rsidRPr="00D31E43">
        <w:rPr>
          <w:rFonts w:cs="Arial"/>
          <w:sz w:val="20"/>
        </w:rPr>
        <w:t>2007, 3</w:t>
      </w:r>
      <w:r w:rsidR="00D31E43">
        <w:rPr>
          <w:rFonts w:cs="Arial"/>
          <w:sz w:val="20"/>
        </w:rPr>
        <w:t> </w:t>
      </w:r>
      <w:r w:rsidRPr="00D31E43">
        <w:rPr>
          <w:rFonts w:cs="Arial"/>
          <w:sz w:val="20"/>
        </w:rPr>
        <w:t>p.;</w:t>
      </w:r>
    </w:p>
    <w:p w14:paraId="7988AE24" w14:textId="737C104F" w:rsidR="002F4419" w:rsidRPr="002F4419" w:rsidRDefault="00000000" w:rsidP="002F4419">
      <w:pPr>
        <w:pStyle w:val="FootnoteText"/>
        <w:tabs>
          <w:tab w:val="left" w:pos="720"/>
        </w:tabs>
        <w:ind w:left="1429" w:hanging="720"/>
        <w:jc w:val="both"/>
        <w:rPr>
          <w:rFonts w:cs="Arial"/>
          <w:sz w:val="20"/>
        </w:rPr>
      </w:pPr>
      <w:r w:rsidRPr="00D31E43">
        <w:rPr>
          <w:rFonts w:cs="Arial"/>
          <w:sz w:val="20"/>
        </w:rPr>
        <w:t>Bertrand</w:t>
      </w:r>
      <w:r w:rsidR="00D31E43">
        <w:rPr>
          <w:rFonts w:cs="Arial"/>
          <w:sz w:val="20"/>
        </w:rPr>
        <w:noBreakHyphen/>
      </w:r>
      <w:r w:rsidRPr="00D31E43">
        <w:rPr>
          <w:rFonts w:cs="Arial"/>
          <w:sz w:val="20"/>
        </w:rPr>
        <w:t xml:space="preserve">Johnson Acoustique </w:t>
      </w:r>
      <w:proofErr w:type="spellStart"/>
      <w:r w:rsidRPr="00D31E43">
        <w:rPr>
          <w:rFonts w:cs="Arial"/>
          <w:sz w:val="20"/>
        </w:rPr>
        <w:t>inc.</w:t>
      </w:r>
      <w:proofErr w:type="spellEnd"/>
      <w:r w:rsidRPr="00D31E43">
        <w:rPr>
          <w:rFonts w:cs="Arial"/>
          <w:sz w:val="20"/>
        </w:rPr>
        <w:t xml:space="preserve">, </w:t>
      </w:r>
      <w:r w:rsidRPr="00D31E43">
        <w:rPr>
          <w:rFonts w:cs="Arial"/>
          <w:i/>
          <w:iCs/>
          <w:sz w:val="20"/>
        </w:rPr>
        <w:t>Rapport d’étude sonore</w:t>
      </w:r>
      <w:r w:rsidRPr="00D31E43">
        <w:rPr>
          <w:rFonts w:cs="Arial"/>
          <w:sz w:val="20"/>
        </w:rPr>
        <w:t>, 25</w:t>
      </w:r>
      <w:r w:rsidR="00D31E43">
        <w:rPr>
          <w:rFonts w:cs="Arial"/>
          <w:sz w:val="20"/>
        </w:rPr>
        <w:t> </w:t>
      </w:r>
      <w:r w:rsidRPr="00D31E43">
        <w:rPr>
          <w:rFonts w:cs="Arial"/>
          <w:sz w:val="20"/>
        </w:rPr>
        <w:t>juin</w:t>
      </w:r>
      <w:r w:rsidR="00D31E43">
        <w:rPr>
          <w:rFonts w:cs="Arial"/>
          <w:sz w:val="20"/>
        </w:rPr>
        <w:t> </w:t>
      </w:r>
      <w:r w:rsidRPr="00D31E43">
        <w:rPr>
          <w:rFonts w:cs="Arial"/>
          <w:sz w:val="20"/>
        </w:rPr>
        <w:t>2024, 19</w:t>
      </w:r>
      <w:r w:rsidR="00D31E43">
        <w:rPr>
          <w:rFonts w:cs="Arial"/>
          <w:sz w:val="20"/>
        </w:rPr>
        <w:t> </w:t>
      </w:r>
      <w:r w:rsidRPr="00D31E43">
        <w:rPr>
          <w:rFonts w:cs="Arial"/>
          <w:sz w:val="20"/>
        </w:rPr>
        <w:t>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9590" w:type="dxa"/>
      <w:tblInd w:w="-2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30"/>
      <w:gridCol w:w="860"/>
    </w:tblGrid>
    <w:tr w:rsidR="00614B44" w14:paraId="2B4527AA" w14:textId="77777777" w:rsidTr="00F338CB">
      <w:tc>
        <w:tcPr>
          <w:tcW w:w="8730" w:type="dxa"/>
        </w:tcPr>
        <w:p w14:paraId="5C6FA5E8" w14:textId="77777777" w:rsidR="00D330B6" w:rsidRDefault="00D330B6">
          <w:pPr>
            <w:pStyle w:val="Header"/>
            <w:ind w:left="-90"/>
          </w:pPr>
        </w:p>
      </w:tc>
      <w:tc>
        <w:tcPr>
          <w:tcW w:w="860" w:type="dxa"/>
        </w:tcPr>
        <w:p w14:paraId="423CA2FA" w14:textId="77777777" w:rsidR="00D330B6" w:rsidRDefault="00D330B6">
          <w:pPr>
            <w:pStyle w:val="Header"/>
            <w:ind w:left="-90"/>
          </w:pPr>
        </w:p>
      </w:tc>
    </w:tr>
    <w:tr w:rsidR="00614B44" w14:paraId="493990CA" w14:textId="77777777" w:rsidTr="00F338CB">
      <w:tc>
        <w:tcPr>
          <w:tcW w:w="8730" w:type="dxa"/>
        </w:tcPr>
        <w:p w14:paraId="170F6C3E" w14:textId="15F60A1B" w:rsidR="00F338CB" w:rsidRDefault="00000000" w:rsidP="00F338CB">
          <w:r w:rsidRPr="00F338CB">
            <w:t>1344522-04-2311</w:t>
          </w:r>
        </w:p>
      </w:tc>
      <w:tc>
        <w:tcPr>
          <w:tcW w:w="860" w:type="dxa"/>
        </w:tcPr>
        <w:p w14:paraId="45B844F0" w14:textId="77777777" w:rsidR="00F338CB" w:rsidRDefault="00000000" w:rsidP="00F338CB">
          <w:pPr>
            <w:pStyle w:val="Header"/>
            <w:ind w:left="-90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  <w:tr w:rsidR="00614B44" w14:paraId="32CC7C93" w14:textId="77777777" w:rsidTr="00F338CB">
      <w:tc>
        <w:tcPr>
          <w:tcW w:w="8730" w:type="dxa"/>
        </w:tcPr>
        <w:p w14:paraId="40747AE9" w14:textId="77777777" w:rsidR="00F338CB" w:rsidRDefault="00F338CB" w:rsidP="00F338CB"/>
      </w:tc>
      <w:tc>
        <w:tcPr>
          <w:tcW w:w="860" w:type="dxa"/>
        </w:tcPr>
        <w:p w14:paraId="4F9C1B34" w14:textId="77777777" w:rsidR="00F338CB" w:rsidRDefault="00F338CB" w:rsidP="00F338CB">
          <w:pPr>
            <w:pStyle w:val="Header"/>
            <w:ind w:left="-90"/>
            <w:jc w:val="right"/>
          </w:pPr>
        </w:p>
      </w:tc>
    </w:tr>
  </w:tbl>
  <w:p w14:paraId="69D3CF58" w14:textId="77777777" w:rsidR="00D330B6" w:rsidRDefault="00D330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62A737C"/>
    <w:multiLevelType w:val="hybridMultilevel"/>
    <w:tmpl w:val="3F0AE976"/>
    <w:lvl w:ilvl="0" w:tplc="88E8A0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9EA8004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5614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EA7E7C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96C757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B7EC67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ED000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3D4FA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AEFEB92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D93D91"/>
    <w:multiLevelType w:val="multilevel"/>
    <w:tmpl w:val="4240187C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" w15:restartNumberingAfterBreak="0">
    <w:nsid w:val="31CE60E0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DD1284B"/>
    <w:multiLevelType w:val="hybridMultilevel"/>
    <w:tmpl w:val="1AFED00C"/>
    <w:lvl w:ilvl="0" w:tplc="2E22191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182F954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B5645C2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C28D54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05872CC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85A0B9B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57446C2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624BDB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B55070E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F030813"/>
    <w:multiLevelType w:val="multilevel"/>
    <w:tmpl w:val="0C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732348AF"/>
    <w:multiLevelType w:val="hybridMultilevel"/>
    <w:tmpl w:val="54C694AE"/>
    <w:lvl w:ilvl="0" w:tplc="0EDEC9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A6EFEA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E72580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9D0BE1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87C8ED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78617C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884C27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FB8224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EDABE3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7A6EAF"/>
    <w:multiLevelType w:val="multilevel"/>
    <w:tmpl w:val="0C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5917C39"/>
    <w:multiLevelType w:val="multilevel"/>
    <w:tmpl w:val="0042494C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76556088"/>
    <w:multiLevelType w:val="multilevel"/>
    <w:tmpl w:val="74FA30DC"/>
    <w:lvl w:ilvl="0">
      <w:start w:val="1"/>
      <w:numFmt w:val="decimal"/>
      <w:pStyle w:val="corpsdedcision"/>
      <w:lvlText w:val="[%1]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[%1.%2]"/>
      <w:lvlJc w:val="left"/>
      <w:pPr>
        <w:tabs>
          <w:tab w:val="num" w:pos="1080"/>
        </w:tabs>
        <w:ind w:left="360" w:firstLine="0"/>
      </w:pPr>
    </w:lvl>
    <w:lvl w:ilvl="2">
      <w:start w:val="1"/>
      <w:numFmt w:val="decimal"/>
      <w:lvlRestart w:val="0"/>
      <w:lvlText w:val="[%1.%2.%3]"/>
      <w:lvlJc w:val="left"/>
      <w:pPr>
        <w:tabs>
          <w:tab w:val="num" w:pos="1440"/>
        </w:tabs>
        <w:ind w:left="720" w:firstLine="0"/>
      </w:pPr>
    </w:lvl>
    <w:lvl w:ilvl="3">
      <w:start w:val="1"/>
      <w:numFmt w:val="decimal"/>
      <w:lvlRestart w:val="0"/>
      <w:lvlText w:val="[%1.%2.%3.%4]"/>
      <w:lvlJc w:val="left"/>
      <w:pPr>
        <w:tabs>
          <w:tab w:val="num" w:pos="2160"/>
        </w:tabs>
        <w:ind w:left="1080" w:firstLine="0"/>
      </w:pPr>
    </w:lvl>
    <w:lvl w:ilvl="4">
      <w:start w:val="1"/>
      <w:numFmt w:val="decimal"/>
      <w:lvlRestart w:val="0"/>
      <w:lvlText w:val="[%1.%2.%3.%4.%5]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Restart w:val="0"/>
      <w:lvlText w:val="[%1.%2.%3.%4.%5.%6]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Restart w:val="0"/>
      <w:lvlText w:val="[%1.%2.%3.%4.%5.%6.%7]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Restart w:val="0"/>
      <w:lvlText w:val="[%1.%2.%3.%4.%5.%6.%7.%8]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Restart w:val="0"/>
      <w:lvlText w:val="[%1.%2.%3.%4.%5.%6.%7.%8.%9]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78D6079A"/>
    <w:multiLevelType w:val="hybridMultilevel"/>
    <w:tmpl w:val="80AE0E1E"/>
    <w:lvl w:ilvl="0" w:tplc="930A8246">
      <w:start w:val="1"/>
      <w:numFmt w:val="lowerLetter"/>
      <w:lvlText w:val="%1."/>
      <w:lvlJc w:val="left"/>
      <w:pPr>
        <w:ind w:left="1210" w:hanging="360"/>
      </w:pPr>
      <w:rPr>
        <w:rFonts w:hint="default"/>
      </w:rPr>
    </w:lvl>
    <w:lvl w:ilvl="1" w:tplc="55587846" w:tentative="1">
      <w:start w:val="1"/>
      <w:numFmt w:val="lowerLetter"/>
      <w:lvlText w:val="%2."/>
      <w:lvlJc w:val="left"/>
      <w:pPr>
        <w:ind w:left="1930" w:hanging="360"/>
      </w:pPr>
    </w:lvl>
    <w:lvl w:ilvl="2" w:tplc="838C0DB6" w:tentative="1">
      <w:start w:val="1"/>
      <w:numFmt w:val="lowerRoman"/>
      <w:lvlText w:val="%3."/>
      <w:lvlJc w:val="right"/>
      <w:pPr>
        <w:ind w:left="2650" w:hanging="180"/>
      </w:pPr>
    </w:lvl>
    <w:lvl w:ilvl="3" w:tplc="67A6A168" w:tentative="1">
      <w:start w:val="1"/>
      <w:numFmt w:val="decimal"/>
      <w:lvlText w:val="%4."/>
      <w:lvlJc w:val="left"/>
      <w:pPr>
        <w:ind w:left="3370" w:hanging="360"/>
      </w:pPr>
    </w:lvl>
    <w:lvl w:ilvl="4" w:tplc="AFEC7304" w:tentative="1">
      <w:start w:val="1"/>
      <w:numFmt w:val="lowerLetter"/>
      <w:lvlText w:val="%5."/>
      <w:lvlJc w:val="left"/>
      <w:pPr>
        <w:ind w:left="4090" w:hanging="360"/>
      </w:pPr>
    </w:lvl>
    <w:lvl w:ilvl="5" w:tplc="F634CAD6" w:tentative="1">
      <w:start w:val="1"/>
      <w:numFmt w:val="lowerRoman"/>
      <w:lvlText w:val="%6."/>
      <w:lvlJc w:val="right"/>
      <w:pPr>
        <w:ind w:left="4810" w:hanging="180"/>
      </w:pPr>
    </w:lvl>
    <w:lvl w:ilvl="6" w:tplc="FC665734" w:tentative="1">
      <w:start w:val="1"/>
      <w:numFmt w:val="decimal"/>
      <w:lvlText w:val="%7."/>
      <w:lvlJc w:val="left"/>
      <w:pPr>
        <w:ind w:left="5530" w:hanging="360"/>
      </w:pPr>
    </w:lvl>
    <w:lvl w:ilvl="7" w:tplc="0076EFA6" w:tentative="1">
      <w:start w:val="1"/>
      <w:numFmt w:val="lowerLetter"/>
      <w:lvlText w:val="%8."/>
      <w:lvlJc w:val="left"/>
      <w:pPr>
        <w:ind w:left="6250" w:hanging="360"/>
      </w:pPr>
    </w:lvl>
    <w:lvl w:ilvl="8" w:tplc="753C20D0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7BB76507"/>
    <w:multiLevelType w:val="multilevel"/>
    <w:tmpl w:val="F20E889A"/>
    <w:lvl w:ilvl="0">
      <w:start w:val="1"/>
      <w:numFmt w:val="decimal"/>
      <w:pStyle w:val="Paragraphe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Sous-paragraph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 w16cid:durableId="703605272">
    <w:abstractNumId w:val="8"/>
  </w:num>
  <w:num w:numId="2" w16cid:durableId="1113785926">
    <w:abstractNumId w:val="7"/>
  </w:num>
  <w:num w:numId="3" w16cid:durableId="253319695">
    <w:abstractNumId w:val="6"/>
  </w:num>
  <w:num w:numId="4" w16cid:durableId="1624921006">
    <w:abstractNumId w:val="4"/>
  </w:num>
  <w:num w:numId="5" w16cid:durableId="1449885496">
    <w:abstractNumId w:val="10"/>
  </w:num>
  <w:num w:numId="6" w16cid:durableId="2081101132">
    <w:abstractNumId w:val="10"/>
  </w:num>
  <w:num w:numId="7" w16cid:durableId="1371759549">
    <w:abstractNumId w:val="1"/>
  </w:num>
  <w:num w:numId="8" w16cid:durableId="1664311949">
    <w:abstractNumId w:val="3"/>
  </w:num>
  <w:num w:numId="9" w16cid:durableId="1254776073">
    <w:abstractNumId w:val="2"/>
  </w:num>
  <w:num w:numId="10" w16cid:durableId="606238203">
    <w:abstractNumId w:val="9"/>
  </w:num>
  <w:num w:numId="11" w16cid:durableId="1808235776">
    <w:abstractNumId w:val="5"/>
  </w:num>
  <w:num w:numId="12" w16cid:durableId="1838643098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B1C"/>
    <w:rsid w:val="000034B0"/>
    <w:rsid w:val="000041A1"/>
    <w:rsid w:val="00006DD2"/>
    <w:rsid w:val="0001305E"/>
    <w:rsid w:val="00016D99"/>
    <w:rsid w:val="00021B30"/>
    <w:rsid w:val="00021E4C"/>
    <w:rsid w:val="00022556"/>
    <w:rsid w:val="00023858"/>
    <w:rsid w:val="00024DC0"/>
    <w:rsid w:val="000351DA"/>
    <w:rsid w:val="000352CA"/>
    <w:rsid w:val="000366EC"/>
    <w:rsid w:val="00036794"/>
    <w:rsid w:val="00043E4D"/>
    <w:rsid w:val="000536CC"/>
    <w:rsid w:val="000559A8"/>
    <w:rsid w:val="00055A3E"/>
    <w:rsid w:val="00056393"/>
    <w:rsid w:val="00057739"/>
    <w:rsid w:val="00065F77"/>
    <w:rsid w:val="000719F9"/>
    <w:rsid w:val="00071FE5"/>
    <w:rsid w:val="0007225E"/>
    <w:rsid w:val="00074ABE"/>
    <w:rsid w:val="00074EAE"/>
    <w:rsid w:val="000756D0"/>
    <w:rsid w:val="00076358"/>
    <w:rsid w:val="00076D81"/>
    <w:rsid w:val="00080885"/>
    <w:rsid w:val="00082A97"/>
    <w:rsid w:val="0008378A"/>
    <w:rsid w:val="0008784D"/>
    <w:rsid w:val="00090018"/>
    <w:rsid w:val="00090306"/>
    <w:rsid w:val="00090F69"/>
    <w:rsid w:val="00093ACD"/>
    <w:rsid w:val="00095814"/>
    <w:rsid w:val="00097D81"/>
    <w:rsid w:val="00097FCE"/>
    <w:rsid w:val="000A1DAC"/>
    <w:rsid w:val="000A4AD0"/>
    <w:rsid w:val="000A5AD1"/>
    <w:rsid w:val="000A63DF"/>
    <w:rsid w:val="000A77C5"/>
    <w:rsid w:val="000B6275"/>
    <w:rsid w:val="000B6C33"/>
    <w:rsid w:val="000B7F1B"/>
    <w:rsid w:val="000C1B1C"/>
    <w:rsid w:val="000C6EC3"/>
    <w:rsid w:val="000C710F"/>
    <w:rsid w:val="000D141E"/>
    <w:rsid w:val="000D3948"/>
    <w:rsid w:val="000E0C28"/>
    <w:rsid w:val="000E0C3A"/>
    <w:rsid w:val="000E1320"/>
    <w:rsid w:val="000E3FF6"/>
    <w:rsid w:val="000E56A6"/>
    <w:rsid w:val="000F20A5"/>
    <w:rsid w:val="000F3423"/>
    <w:rsid w:val="000F5815"/>
    <w:rsid w:val="000F5F81"/>
    <w:rsid w:val="00100AB8"/>
    <w:rsid w:val="00104550"/>
    <w:rsid w:val="00104C3D"/>
    <w:rsid w:val="001050B4"/>
    <w:rsid w:val="0010786A"/>
    <w:rsid w:val="001144AB"/>
    <w:rsid w:val="0012224D"/>
    <w:rsid w:val="001225BC"/>
    <w:rsid w:val="00122A9E"/>
    <w:rsid w:val="00122F94"/>
    <w:rsid w:val="0012326A"/>
    <w:rsid w:val="00132622"/>
    <w:rsid w:val="00137E7E"/>
    <w:rsid w:val="0014064D"/>
    <w:rsid w:val="001407FC"/>
    <w:rsid w:val="00144572"/>
    <w:rsid w:val="00146116"/>
    <w:rsid w:val="00147A49"/>
    <w:rsid w:val="00147B8B"/>
    <w:rsid w:val="001500BC"/>
    <w:rsid w:val="0015125A"/>
    <w:rsid w:val="00152464"/>
    <w:rsid w:val="0015539F"/>
    <w:rsid w:val="00160597"/>
    <w:rsid w:val="001618C9"/>
    <w:rsid w:val="00162ECC"/>
    <w:rsid w:val="001631E4"/>
    <w:rsid w:val="001664C8"/>
    <w:rsid w:val="00167AD0"/>
    <w:rsid w:val="00167DEF"/>
    <w:rsid w:val="00167E9D"/>
    <w:rsid w:val="00173184"/>
    <w:rsid w:val="00175079"/>
    <w:rsid w:val="001761B9"/>
    <w:rsid w:val="00183515"/>
    <w:rsid w:val="001846FC"/>
    <w:rsid w:val="001900EA"/>
    <w:rsid w:val="001924FE"/>
    <w:rsid w:val="00195888"/>
    <w:rsid w:val="001965E1"/>
    <w:rsid w:val="001A03BE"/>
    <w:rsid w:val="001A0648"/>
    <w:rsid w:val="001A067E"/>
    <w:rsid w:val="001A2900"/>
    <w:rsid w:val="001A4081"/>
    <w:rsid w:val="001A65F1"/>
    <w:rsid w:val="001B2B40"/>
    <w:rsid w:val="001B3E9D"/>
    <w:rsid w:val="001B4A40"/>
    <w:rsid w:val="001B5524"/>
    <w:rsid w:val="001B56E4"/>
    <w:rsid w:val="001B6D8A"/>
    <w:rsid w:val="001C18F4"/>
    <w:rsid w:val="001C19D4"/>
    <w:rsid w:val="001C2B0B"/>
    <w:rsid w:val="001C436D"/>
    <w:rsid w:val="001C624D"/>
    <w:rsid w:val="001D63C8"/>
    <w:rsid w:val="001D65D8"/>
    <w:rsid w:val="001E3DFD"/>
    <w:rsid w:val="001E42F0"/>
    <w:rsid w:val="001E497A"/>
    <w:rsid w:val="001E5E3B"/>
    <w:rsid w:val="00201640"/>
    <w:rsid w:val="0020582F"/>
    <w:rsid w:val="00207882"/>
    <w:rsid w:val="00225C46"/>
    <w:rsid w:val="00226493"/>
    <w:rsid w:val="00227040"/>
    <w:rsid w:val="00230CFC"/>
    <w:rsid w:val="0023162A"/>
    <w:rsid w:val="00231C1D"/>
    <w:rsid w:val="00233532"/>
    <w:rsid w:val="002345F3"/>
    <w:rsid w:val="00234BC8"/>
    <w:rsid w:val="00235F85"/>
    <w:rsid w:val="00241CED"/>
    <w:rsid w:val="00242FB4"/>
    <w:rsid w:val="00245605"/>
    <w:rsid w:val="002542E0"/>
    <w:rsid w:val="002563F0"/>
    <w:rsid w:val="00256DBB"/>
    <w:rsid w:val="00260119"/>
    <w:rsid w:val="00266064"/>
    <w:rsid w:val="00267C8D"/>
    <w:rsid w:val="002701DD"/>
    <w:rsid w:val="002710FD"/>
    <w:rsid w:val="00271A74"/>
    <w:rsid w:val="00273F49"/>
    <w:rsid w:val="002769B5"/>
    <w:rsid w:val="00276B25"/>
    <w:rsid w:val="00276B59"/>
    <w:rsid w:val="00281319"/>
    <w:rsid w:val="00286149"/>
    <w:rsid w:val="0028668D"/>
    <w:rsid w:val="00290289"/>
    <w:rsid w:val="00292188"/>
    <w:rsid w:val="002923D9"/>
    <w:rsid w:val="00296645"/>
    <w:rsid w:val="00296A4B"/>
    <w:rsid w:val="00297284"/>
    <w:rsid w:val="002A0077"/>
    <w:rsid w:val="002A07DC"/>
    <w:rsid w:val="002A3573"/>
    <w:rsid w:val="002A374B"/>
    <w:rsid w:val="002A73E9"/>
    <w:rsid w:val="002B132B"/>
    <w:rsid w:val="002B2FC3"/>
    <w:rsid w:val="002B35AB"/>
    <w:rsid w:val="002B35F0"/>
    <w:rsid w:val="002B3904"/>
    <w:rsid w:val="002B58AF"/>
    <w:rsid w:val="002C3748"/>
    <w:rsid w:val="002C5E89"/>
    <w:rsid w:val="002D42BC"/>
    <w:rsid w:val="002D71A9"/>
    <w:rsid w:val="002D7846"/>
    <w:rsid w:val="002D7FCB"/>
    <w:rsid w:val="002E05AE"/>
    <w:rsid w:val="002E1604"/>
    <w:rsid w:val="002E1CC6"/>
    <w:rsid w:val="002E375E"/>
    <w:rsid w:val="002F3718"/>
    <w:rsid w:val="002F4169"/>
    <w:rsid w:val="002F4419"/>
    <w:rsid w:val="002F7507"/>
    <w:rsid w:val="0030059B"/>
    <w:rsid w:val="00302FB4"/>
    <w:rsid w:val="00305273"/>
    <w:rsid w:val="003057FC"/>
    <w:rsid w:val="00305AFB"/>
    <w:rsid w:val="00307C85"/>
    <w:rsid w:val="00312742"/>
    <w:rsid w:val="00312983"/>
    <w:rsid w:val="00321397"/>
    <w:rsid w:val="003234A0"/>
    <w:rsid w:val="00323DC5"/>
    <w:rsid w:val="003248CB"/>
    <w:rsid w:val="00331EA7"/>
    <w:rsid w:val="003332B8"/>
    <w:rsid w:val="00337555"/>
    <w:rsid w:val="00343B46"/>
    <w:rsid w:val="00344465"/>
    <w:rsid w:val="0034740A"/>
    <w:rsid w:val="00351BD0"/>
    <w:rsid w:val="0035375B"/>
    <w:rsid w:val="00360523"/>
    <w:rsid w:val="00362D74"/>
    <w:rsid w:val="003664E9"/>
    <w:rsid w:val="00366D1E"/>
    <w:rsid w:val="003703A5"/>
    <w:rsid w:val="0037112C"/>
    <w:rsid w:val="003730F7"/>
    <w:rsid w:val="00373EE5"/>
    <w:rsid w:val="0037544D"/>
    <w:rsid w:val="003779E9"/>
    <w:rsid w:val="003817E7"/>
    <w:rsid w:val="00382E55"/>
    <w:rsid w:val="00390B55"/>
    <w:rsid w:val="00394331"/>
    <w:rsid w:val="0039503F"/>
    <w:rsid w:val="003961B2"/>
    <w:rsid w:val="003A1BF4"/>
    <w:rsid w:val="003A3971"/>
    <w:rsid w:val="003A41AD"/>
    <w:rsid w:val="003B0C41"/>
    <w:rsid w:val="003B152B"/>
    <w:rsid w:val="003B1734"/>
    <w:rsid w:val="003B1735"/>
    <w:rsid w:val="003B2D2E"/>
    <w:rsid w:val="003B3113"/>
    <w:rsid w:val="003B5163"/>
    <w:rsid w:val="003B6CBF"/>
    <w:rsid w:val="003C3AE9"/>
    <w:rsid w:val="003C47A7"/>
    <w:rsid w:val="003C70A9"/>
    <w:rsid w:val="003D0826"/>
    <w:rsid w:val="003D18FC"/>
    <w:rsid w:val="003D1B5C"/>
    <w:rsid w:val="003D3C93"/>
    <w:rsid w:val="003D4314"/>
    <w:rsid w:val="003D52BF"/>
    <w:rsid w:val="003D71BB"/>
    <w:rsid w:val="003E00D5"/>
    <w:rsid w:val="003E02BA"/>
    <w:rsid w:val="003F0578"/>
    <w:rsid w:val="003F73DA"/>
    <w:rsid w:val="003F7F38"/>
    <w:rsid w:val="00401325"/>
    <w:rsid w:val="004019AA"/>
    <w:rsid w:val="0040399B"/>
    <w:rsid w:val="004059D1"/>
    <w:rsid w:val="00406712"/>
    <w:rsid w:val="00406BCD"/>
    <w:rsid w:val="00406F0C"/>
    <w:rsid w:val="004106DB"/>
    <w:rsid w:val="00410A9A"/>
    <w:rsid w:val="00411251"/>
    <w:rsid w:val="00411506"/>
    <w:rsid w:val="00412585"/>
    <w:rsid w:val="0041363B"/>
    <w:rsid w:val="00414FA8"/>
    <w:rsid w:val="00415D5D"/>
    <w:rsid w:val="0041643A"/>
    <w:rsid w:val="00422A17"/>
    <w:rsid w:val="004232E9"/>
    <w:rsid w:val="0042650F"/>
    <w:rsid w:val="0042684F"/>
    <w:rsid w:val="00427799"/>
    <w:rsid w:val="00427D5D"/>
    <w:rsid w:val="00431E0B"/>
    <w:rsid w:val="004337FE"/>
    <w:rsid w:val="00433E98"/>
    <w:rsid w:val="00435738"/>
    <w:rsid w:val="00437137"/>
    <w:rsid w:val="004403B8"/>
    <w:rsid w:val="00441ADA"/>
    <w:rsid w:val="004422CA"/>
    <w:rsid w:val="0044274C"/>
    <w:rsid w:val="00442BE3"/>
    <w:rsid w:val="0044371C"/>
    <w:rsid w:val="0044627E"/>
    <w:rsid w:val="0045114F"/>
    <w:rsid w:val="004529D3"/>
    <w:rsid w:val="00453F31"/>
    <w:rsid w:val="00456B0C"/>
    <w:rsid w:val="00460101"/>
    <w:rsid w:val="00463F8D"/>
    <w:rsid w:val="0046538B"/>
    <w:rsid w:val="00471C92"/>
    <w:rsid w:val="004739AC"/>
    <w:rsid w:val="00474489"/>
    <w:rsid w:val="00475FEF"/>
    <w:rsid w:val="0047680F"/>
    <w:rsid w:val="00477536"/>
    <w:rsid w:val="0047776F"/>
    <w:rsid w:val="00482D5B"/>
    <w:rsid w:val="004832E2"/>
    <w:rsid w:val="004870EA"/>
    <w:rsid w:val="004873EC"/>
    <w:rsid w:val="00487F13"/>
    <w:rsid w:val="0049595F"/>
    <w:rsid w:val="00496193"/>
    <w:rsid w:val="004A02AF"/>
    <w:rsid w:val="004A2D66"/>
    <w:rsid w:val="004A4449"/>
    <w:rsid w:val="004A679B"/>
    <w:rsid w:val="004B7F49"/>
    <w:rsid w:val="004C0FB4"/>
    <w:rsid w:val="004C1811"/>
    <w:rsid w:val="004C261B"/>
    <w:rsid w:val="004C2944"/>
    <w:rsid w:val="004C4555"/>
    <w:rsid w:val="004C7384"/>
    <w:rsid w:val="004D16D6"/>
    <w:rsid w:val="004D6CEA"/>
    <w:rsid w:val="004E0E02"/>
    <w:rsid w:val="004E3564"/>
    <w:rsid w:val="004E3D9F"/>
    <w:rsid w:val="004E51C0"/>
    <w:rsid w:val="004E64BE"/>
    <w:rsid w:val="004F02C2"/>
    <w:rsid w:val="004F6293"/>
    <w:rsid w:val="00503B8D"/>
    <w:rsid w:val="00503EE3"/>
    <w:rsid w:val="00505811"/>
    <w:rsid w:val="0050584C"/>
    <w:rsid w:val="0051261C"/>
    <w:rsid w:val="00515DE7"/>
    <w:rsid w:val="00517EB0"/>
    <w:rsid w:val="005205CB"/>
    <w:rsid w:val="0052430C"/>
    <w:rsid w:val="00526365"/>
    <w:rsid w:val="0053272D"/>
    <w:rsid w:val="005348E4"/>
    <w:rsid w:val="00534D8F"/>
    <w:rsid w:val="005352F1"/>
    <w:rsid w:val="00540094"/>
    <w:rsid w:val="00545CFF"/>
    <w:rsid w:val="00547A9C"/>
    <w:rsid w:val="00555800"/>
    <w:rsid w:val="00556DBB"/>
    <w:rsid w:val="00560781"/>
    <w:rsid w:val="005621B4"/>
    <w:rsid w:val="0056268F"/>
    <w:rsid w:val="00564C65"/>
    <w:rsid w:val="005662E9"/>
    <w:rsid w:val="00567213"/>
    <w:rsid w:val="005700F8"/>
    <w:rsid w:val="00572AAF"/>
    <w:rsid w:val="005801AE"/>
    <w:rsid w:val="00582868"/>
    <w:rsid w:val="00582ECC"/>
    <w:rsid w:val="0058399B"/>
    <w:rsid w:val="0058692F"/>
    <w:rsid w:val="00587045"/>
    <w:rsid w:val="00587C22"/>
    <w:rsid w:val="005907BE"/>
    <w:rsid w:val="00590DB2"/>
    <w:rsid w:val="0059436D"/>
    <w:rsid w:val="005945C0"/>
    <w:rsid w:val="00596AB2"/>
    <w:rsid w:val="00597016"/>
    <w:rsid w:val="005974B7"/>
    <w:rsid w:val="005A0D51"/>
    <w:rsid w:val="005A181B"/>
    <w:rsid w:val="005A1CB3"/>
    <w:rsid w:val="005A3073"/>
    <w:rsid w:val="005A33A5"/>
    <w:rsid w:val="005A37D7"/>
    <w:rsid w:val="005A5437"/>
    <w:rsid w:val="005A6969"/>
    <w:rsid w:val="005A70A0"/>
    <w:rsid w:val="005B0612"/>
    <w:rsid w:val="005B13F0"/>
    <w:rsid w:val="005B2B86"/>
    <w:rsid w:val="005B2E0C"/>
    <w:rsid w:val="005B30F6"/>
    <w:rsid w:val="005B45BA"/>
    <w:rsid w:val="005B5689"/>
    <w:rsid w:val="005B6680"/>
    <w:rsid w:val="005B6774"/>
    <w:rsid w:val="005C0A89"/>
    <w:rsid w:val="005C3BC4"/>
    <w:rsid w:val="005C4254"/>
    <w:rsid w:val="005D26CC"/>
    <w:rsid w:val="005D2D1F"/>
    <w:rsid w:val="005D4711"/>
    <w:rsid w:val="005D48B9"/>
    <w:rsid w:val="005D59B1"/>
    <w:rsid w:val="005D764B"/>
    <w:rsid w:val="005E2367"/>
    <w:rsid w:val="005E34D2"/>
    <w:rsid w:val="005E5E90"/>
    <w:rsid w:val="005E62C7"/>
    <w:rsid w:val="005E654C"/>
    <w:rsid w:val="005F05F6"/>
    <w:rsid w:val="005F0D07"/>
    <w:rsid w:val="005F7AA7"/>
    <w:rsid w:val="00605734"/>
    <w:rsid w:val="0061488E"/>
    <w:rsid w:val="00614B44"/>
    <w:rsid w:val="0061574B"/>
    <w:rsid w:val="00616406"/>
    <w:rsid w:val="00622670"/>
    <w:rsid w:val="00623328"/>
    <w:rsid w:val="00623A1A"/>
    <w:rsid w:val="00626E8D"/>
    <w:rsid w:val="0063156B"/>
    <w:rsid w:val="0063168E"/>
    <w:rsid w:val="006326A9"/>
    <w:rsid w:val="00632DA8"/>
    <w:rsid w:val="00634C4B"/>
    <w:rsid w:val="00634E6E"/>
    <w:rsid w:val="0063651F"/>
    <w:rsid w:val="0064342A"/>
    <w:rsid w:val="00643A28"/>
    <w:rsid w:val="00644EF5"/>
    <w:rsid w:val="006452FA"/>
    <w:rsid w:val="00646374"/>
    <w:rsid w:val="0065093D"/>
    <w:rsid w:val="00650AFF"/>
    <w:rsid w:val="00652A16"/>
    <w:rsid w:val="00652E0E"/>
    <w:rsid w:val="00655193"/>
    <w:rsid w:val="00655459"/>
    <w:rsid w:val="00656FB2"/>
    <w:rsid w:val="00657A70"/>
    <w:rsid w:val="00661454"/>
    <w:rsid w:val="006620AA"/>
    <w:rsid w:val="006626AF"/>
    <w:rsid w:val="0066642D"/>
    <w:rsid w:val="006722E2"/>
    <w:rsid w:val="00675CB4"/>
    <w:rsid w:val="00675E85"/>
    <w:rsid w:val="0067750F"/>
    <w:rsid w:val="00681396"/>
    <w:rsid w:val="0068171F"/>
    <w:rsid w:val="0068401E"/>
    <w:rsid w:val="006841A4"/>
    <w:rsid w:val="00686321"/>
    <w:rsid w:val="0068643F"/>
    <w:rsid w:val="006877A1"/>
    <w:rsid w:val="00692150"/>
    <w:rsid w:val="006922AC"/>
    <w:rsid w:val="00692F0C"/>
    <w:rsid w:val="006944B0"/>
    <w:rsid w:val="006969F4"/>
    <w:rsid w:val="00696E7C"/>
    <w:rsid w:val="00696EF2"/>
    <w:rsid w:val="006A0C54"/>
    <w:rsid w:val="006A3E54"/>
    <w:rsid w:val="006A7C53"/>
    <w:rsid w:val="006B140A"/>
    <w:rsid w:val="006B309C"/>
    <w:rsid w:val="006B3799"/>
    <w:rsid w:val="006B4316"/>
    <w:rsid w:val="006B727F"/>
    <w:rsid w:val="006C1B57"/>
    <w:rsid w:val="006C423F"/>
    <w:rsid w:val="006C6D3A"/>
    <w:rsid w:val="006C7B36"/>
    <w:rsid w:val="006C7B7F"/>
    <w:rsid w:val="006D19E8"/>
    <w:rsid w:val="006D7768"/>
    <w:rsid w:val="006D7E28"/>
    <w:rsid w:val="006E04B5"/>
    <w:rsid w:val="006E330C"/>
    <w:rsid w:val="006E3DD8"/>
    <w:rsid w:val="006E3E3A"/>
    <w:rsid w:val="006E793F"/>
    <w:rsid w:val="006F0154"/>
    <w:rsid w:val="006F2555"/>
    <w:rsid w:val="006F608D"/>
    <w:rsid w:val="006F720B"/>
    <w:rsid w:val="006F777D"/>
    <w:rsid w:val="006F78B5"/>
    <w:rsid w:val="006F7944"/>
    <w:rsid w:val="00703014"/>
    <w:rsid w:val="00704121"/>
    <w:rsid w:val="00705BB5"/>
    <w:rsid w:val="00706919"/>
    <w:rsid w:val="00707974"/>
    <w:rsid w:val="00710C45"/>
    <w:rsid w:val="0071326F"/>
    <w:rsid w:val="007153D7"/>
    <w:rsid w:val="00716FA5"/>
    <w:rsid w:val="00720ED4"/>
    <w:rsid w:val="00722736"/>
    <w:rsid w:val="00727F76"/>
    <w:rsid w:val="007355C6"/>
    <w:rsid w:val="0074488F"/>
    <w:rsid w:val="00745AA8"/>
    <w:rsid w:val="007503E0"/>
    <w:rsid w:val="007510EC"/>
    <w:rsid w:val="0075233C"/>
    <w:rsid w:val="0075256A"/>
    <w:rsid w:val="00752DCD"/>
    <w:rsid w:val="007569DE"/>
    <w:rsid w:val="0075723C"/>
    <w:rsid w:val="0076146A"/>
    <w:rsid w:val="0076350E"/>
    <w:rsid w:val="00763F36"/>
    <w:rsid w:val="007739F9"/>
    <w:rsid w:val="00775877"/>
    <w:rsid w:val="00775BDF"/>
    <w:rsid w:val="0077614D"/>
    <w:rsid w:val="00781643"/>
    <w:rsid w:val="00782B24"/>
    <w:rsid w:val="00782C8F"/>
    <w:rsid w:val="00785F78"/>
    <w:rsid w:val="0078659D"/>
    <w:rsid w:val="007869EC"/>
    <w:rsid w:val="00791ED8"/>
    <w:rsid w:val="00792738"/>
    <w:rsid w:val="00796684"/>
    <w:rsid w:val="007A1E58"/>
    <w:rsid w:val="007A4747"/>
    <w:rsid w:val="007A5C7E"/>
    <w:rsid w:val="007A63F9"/>
    <w:rsid w:val="007A69A9"/>
    <w:rsid w:val="007A6E2F"/>
    <w:rsid w:val="007B0DF2"/>
    <w:rsid w:val="007B3BC5"/>
    <w:rsid w:val="007B6F8D"/>
    <w:rsid w:val="007B74A4"/>
    <w:rsid w:val="007C1832"/>
    <w:rsid w:val="007D03DF"/>
    <w:rsid w:val="007D4953"/>
    <w:rsid w:val="007D50F4"/>
    <w:rsid w:val="007D7173"/>
    <w:rsid w:val="007D7D35"/>
    <w:rsid w:val="007E1216"/>
    <w:rsid w:val="007E4CD4"/>
    <w:rsid w:val="007E530C"/>
    <w:rsid w:val="007E73FB"/>
    <w:rsid w:val="007F0E8E"/>
    <w:rsid w:val="007F2149"/>
    <w:rsid w:val="007F4E00"/>
    <w:rsid w:val="00801AFB"/>
    <w:rsid w:val="008048CF"/>
    <w:rsid w:val="008079DD"/>
    <w:rsid w:val="0081130F"/>
    <w:rsid w:val="00813095"/>
    <w:rsid w:val="008145AD"/>
    <w:rsid w:val="008146B2"/>
    <w:rsid w:val="00824430"/>
    <w:rsid w:val="00825B1F"/>
    <w:rsid w:val="00827D55"/>
    <w:rsid w:val="00832C84"/>
    <w:rsid w:val="00840EDD"/>
    <w:rsid w:val="0084255F"/>
    <w:rsid w:val="00846FB1"/>
    <w:rsid w:val="00854FB3"/>
    <w:rsid w:val="00855FFF"/>
    <w:rsid w:val="00857FCA"/>
    <w:rsid w:val="00860F13"/>
    <w:rsid w:val="0086199C"/>
    <w:rsid w:val="00861F8B"/>
    <w:rsid w:val="00862F75"/>
    <w:rsid w:val="008644CA"/>
    <w:rsid w:val="0086561F"/>
    <w:rsid w:val="00865A7A"/>
    <w:rsid w:val="00865FE1"/>
    <w:rsid w:val="0087069B"/>
    <w:rsid w:val="00874542"/>
    <w:rsid w:val="008748C7"/>
    <w:rsid w:val="0087521A"/>
    <w:rsid w:val="008772AC"/>
    <w:rsid w:val="0087765D"/>
    <w:rsid w:val="008808C0"/>
    <w:rsid w:val="00882255"/>
    <w:rsid w:val="00890BDE"/>
    <w:rsid w:val="00892AD3"/>
    <w:rsid w:val="0089352E"/>
    <w:rsid w:val="00894155"/>
    <w:rsid w:val="008962E7"/>
    <w:rsid w:val="00896AE2"/>
    <w:rsid w:val="008A1118"/>
    <w:rsid w:val="008A281F"/>
    <w:rsid w:val="008A48D2"/>
    <w:rsid w:val="008A4AF6"/>
    <w:rsid w:val="008A4FF8"/>
    <w:rsid w:val="008A5ED1"/>
    <w:rsid w:val="008A73CE"/>
    <w:rsid w:val="008A7FD1"/>
    <w:rsid w:val="008B042E"/>
    <w:rsid w:val="008B211E"/>
    <w:rsid w:val="008B6D48"/>
    <w:rsid w:val="008C7660"/>
    <w:rsid w:val="008C79A7"/>
    <w:rsid w:val="008D4CD3"/>
    <w:rsid w:val="008D5521"/>
    <w:rsid w:val="008D555F"/>
    <w:rsid w:val="008D625D"/>
    <w:rsid w:val="008D650E"/>
    <w:rsid w:val="008D6F9F"/>
    <w:rsid w:val="008E673E"/>
    <w:rsid w:val="008E67D1"/>
    <w:rsid w:val="008E6A41"/>
    <w:rsid w:val="008E6FC1"/>
    <w:rsid w:val="008F15D5"/>
    <w:rsid w:val="008F20EA"/>
    <w:rsid w:val="008F79C4"/>
    <w:rsid w:val="00903990"/>
    <w:rsid w:val="009042A8"/>
    <w:rsid w:val="00904950"/>
    <w:rsid w:val="009066A4"/>
    <w:rsid w:val="0091442E"/>
    <w:rsid w:val="00915E5E"/>
    <w:rsid w:val="009166B8"/>
    <w:rsid w:val="00916FA5"/>
    <w:rsid w:val="00917915"/>
    <w:rsid w:val="00920684"/>
    <w:rsid w:val="009216E6"/>
    <w:rsid w:val="009224EC"/>
    <w:rsid w:val="00922DB7"/>
    <w:rsid w:val="0092684A"/>
    <w:rsid w:val="00927654"/>
    <w:rsid w:val="00937FAB"/>
    <w:rsid w:val="0094094D"/>
    <w:rsid w:val="00942AB8"/>
    <w:rsid w:val="0094548C"/>
    <w:rsid w:val="00945CAF"/>
    <w:rsid w:val="00946AC9"/>
    <w:rsid w:val="00947448"/>
    <w:rsid w:val="00952B38"/>
    <w:rsid w:val="00952C99"/>
    <w:rsid w:val="00955DFB"/>
    <w:rsid w:val="009619EB"/>
    <w:rsid w:val="00965333"/>
    <w:rsid w:val="009712EF"/>
    <w:rsid w:val="009727BF"/>
    <w:rsid w:val="00973321"/>
    <w:rsid w:val="00975C2E"/>
    <w:rsid w:val="009770EB"/>
    <w:rsid w:val="00977270"/>
    <w:rsid w:val="009824F2"/>
    <w:rsid w:val="00983080"/>
    <w:rsid w:val="00983107"/>
    <w:rsid w:val="009847D1"/>
    <w:rsid w:val="00985F37"/>
    <w:rsid w:val="00986AA3"/>
    <w:rsid w:val="00993B24"/>
    <w:rsid w:val="00994333"/>
    <w:rsid w:val="0099611F"/>
    <w:rsid w:val="009A083F"/>
    <w:rsid w:val="009A135C"/>
    <w:rsid w:val="009A67E7"/>
    <w:rsid w:val="009B1A17"/>
    <w:rsid w:val="009B1BA2"/>
    <w:rsid w:val="009B23E4"/>
    <w:rsid w:val="009C603A"/>
    <w:rsid w:val="009C74CD"/>
    <w:rsid w:val="009D048F"/>
    <w:rsid w:val="009D162F"/>
    <w:rsid w:val="009D23FF"/>
    <w:rsid w:val="009D401F"/>
    <w:rsid w:val="009D5B42"/>
    <w:rsid w:val="009D68FA"/>
    <w:rsid w:val="009D78E6"/>
    <w:rsid w:val="009E1E4F"/>
    <w:rsid w:val="009E23D1"/>
    <w:rsid w:val="009E32CF"/>
    <w:rsid w:val="009E4230"/>
    <w:rsid w:val="009E4261"/>
    <w:rsid w:val="009E4FC2"/>
    <w:rsid w:val="009F27C8"/>
    <w:rsid w:val="009F40E1"/>
    <w:rsid w:val="009F44AE"/>
    <w:rsid w:val="009F59B9"/>
    <w:rsid w:val="00A01703"/>
    <w:rsid w:val="00A02529"/>
    <w:rsid w:val="00A02EF2"/>
    <w:rsid w:val="00A04D5E"/>
    <w:rsid w:val="00A10DDF"/>
    <w:rsid w:val="00A11172"/>
    <w:rsid w:val="00A1219E"/>
    <w:rsid w:val="00A12E55"/>
    <w:rsid w:val="00A168D7"/>
    <w:rsid w:val="00A20F81"/>
    <w:rsid w:val="00A2411A"/>
    <w:rsid w:val="00A242E4"/>
    <w:rsid w:val="00A24437"/>
    <w:rsid w:val="00A24CA0"/>
    <w:rsid w:val="00A25D4B"/>
    <w:rsid w:val="00A33601"/>
    <w:rsid w:val="00A3362A"/>
    <w:rsid w:val="00A34251"/>
    <w:rsid w:val="00A35278"/>
    <w:rsid w:val="00A36257"/>
    <w:rsid w:val="00A37045"/>
    <w:rsid w:val="00A373A8"/>
    <w:rsid w:val="00A37B70"/>
    <w:rsid w:val="00A40AC7"/>
    <w:rsid w:val="00A435C7"/>
    <w:rsid w:val="00A55607"/>
    <w:rsid w:val="00A569B2"/>
    <w:rsid w:val="00A60CDA"/>
    <w:rsid w:val="00A611A4"/>
    <w:rsid w:val="00A61F09"/>
    <w:rsid w:val="00A637ED"/>
    <w:rsid w:val="00A63E1A"/>
    <w:rsid w:val="00A643DC"/>
    <w:rsid w:val="00A6695B"/>
    <w:rsid w:val="00A72703"/>
    <w:rsid w:val="00A727F6"/>
    <w:rsid w:val="00A72E71"/>
    <w:rsid w:val="00A76432"/>
    <w:rsid w:val="00A770C0"/>
    <w:rsid w:val="00A84FC6"/>
    <w:rsid w:val="00A8528E"/>
    <w:rsid w:val="00A90BD9"/>
    <w:rsid w:val="00A9101B"/>
    <w:rsid w:val="00A94A49"/>
    <w:rsid w:val="00A95C5E"/>
    <w:rsid w:val="00AA1815"/>
    <w:rsid w:val="00AA1D3E"/>
    <w:rsid w:val="00AA20E7"/>
    <w:rsid w:val="00AA2F40"/>
    <w:rsid w:val="00AA39F9"/>
    <w:rsid w:val="00AA57B9"/>
    <w:rsid w:val="00AA79D3"/>
    <w:rsid w:val="00AB0931"/>
    <w:rsid w:val="00AB4DC4"/>
    <w:rsid w:val="00AB5C9B"/>
    <w:rsid w:val="00AC0159"/>
    <w:rsid w:val="00AC0276"/>
    <w:rsid w:val="00AC0312"/>
    <w:rsid w:val="00AC0449"/>
    <w:rsid w:val="00AC0DC3"/>
    <w:rsid w:val="00AD035F"/>
    <w:rsid w:val="00AD2497"/>
    <w:rsid w:val="00AD5C04"/>
    <w:rsid w:val="00AD5EB4"/>
    <w:rsid w:val="00AD667B"/>
    <w:rsid w:val="00AD7096"/>
    <w:rsid w:val="00AE5D0F"/>
    <w:rsid w:val="00AE63E2"/>
    <w:rsid w:val="00AE7976"/>
    <w:rsid w:val="00AF04C9"/>
    <w:rsid w:val="00AF19A2"/>
    <w:rsid w:val="00AF1DC4"/>
    <w:rsid w:val="00AF26B6"/>
    <w:rsid w:val="00AF2979"/>
    <w:rsid w:val="00AF3189"/>
    <w:rsid w:val="00AF5BF8"/>
    <w:rsid w:val="00B0375C"/>
    <w:rsid w:val="00B052CB"/>
    <w:rsid w:val="00B0547F"/>
    <w:rsid w:val="00B07626"/>
    <w:rsid w:val="00B15578"/>
    <w:rsid w:val="00B156C3"/>
    <w:rsid w:val="00B15F67"/>
    <w:rsid w:val="00B1624F"/>
    <w:rsid w:val="00B20F5D"/>
    <w:rsid w:val="00B21184"/>
    <w:rsid w:val="00B224C5"/>
    <w:rsid w:val="00B325CD"/>
    <w:rsid w:val="00B36C0F"/>
    <w:rsid w:val="00B37793"/>
    <w:rsid w:val="00B41203"/>
    <w:rsid w:val="00B4561E"/>
    <w:rsid w:val="00B4768D"/>
    <w:rsid w:val="00B47F35"/>
    <w:rsid w:val="00B518E5"/>
    <w:rsid w:val="00B51E1F"/>
    <w:rsid w:val="00B52601"/>
    <w:rsid w:val="00B57032"/>
    <w:rsid w:val="00B60222"/>
    <w:rsid w:val="00B62CFB"/>
    <w:rsid w:val="00B66004"/>
    <w:rsid w:val="00B662F5"/>
    <w:rsid w:val="00B7000C"/>
    <w:rsid w:val="00B760D5"/>
    <w:rsid w:val="00B77495"/>
    <w:rsid w:val="00B83B2C"/>
    <w:rsid w:val="00B8449D"/>
    <w:rsid w:val="00B92049"/>
    <w:rsid w:val="00B94740"/>
    <w:rsid w:val="00B95002"/>
    <w:rsid w:val="00B975BD"/>
    <w:rsid w:val="00B97F75"/>
    <w:rsid w:val="00BA0A4F"/>
    <w:rsid w:val="00BA1CAE"/>
    <w:rsid w:val="00BA33BB"/>
    <w:rsid w:val="00BA3599"/>
    <w:rsid w:val="00BA4830"/>
    <w:rsid w:val="00BA6E22"/>
    <w:rsid w:val="00BB1460"/>
    <w:rsid w:val="00BB362C"/>
    <w:rsid w:val="00BB5942"/>
    <w:rsid w:val="00BB6B2D"/>
    <w:rsid w:val="00BC0A03"/>
    <w:rsid w:val="00BC4A42"/>
    <w:rsid w:val="00BC5BB4"/>
    <w:rsid w:val="00BC6083"/>
    <w:rsid w:val="00BD259B"/>
    <w:rsid w:val="00BD2755"/>
    <w:rsid w:val="00BD4139"/>
    <w:rsid w:val="00BE059A"/>
    <w:rsid w:val="00BE1981"/>
    <w:rsid w:val="00BE2DA6"/>
    <w:rsid w:val="00BE2E86"/>
    <w:rsid w:val="00BE3010"/>
    <w:rsid w:val="00BE320B"/>
    <w:rsid w:val="00BE56E9"/>
    <w:rsid w:val="00BE63CF"/>
    <w:rsid w:val="00BE7014"/>
    <w:rsid w:val="00BE7991"/>
    <w:rsid w:val="00BF25C7"/>
    <w:rsid w:val="00BF5779"/>
    <w:rsid w:val="00C009B7"/>
    <w:rsid w:val="00C025D2"/>
    <w:rsid w:val="00C02B8F"/>
    <w:rsid w:val="00C03CF1"/>
    <w:rsid w:val="00C04E32"/>
    <w:rsid w:val="00C05C76"/>
    <w:rsid w:val="00C116B1"/>
    <w:rsid w:val="00C15A3F"/>
    <w:rsid w:val="00C20630"/>
    <w:rsid w:val="00C224A4"/>
    <w:rsid w:val="00C22F7A"/>
    <w:rsid w:val="00C2666F"/>
    <w:rsid w:val="00C32020"/>
    <w:rsid w:val="00C32D02"/>
    <w:rsid w:val="00C3408C"/>
    <w:rsid w:val="00C3484D"/>
    <w:rsid w:val="00C351CC"/>
    <w:rsid w:val="00C35435"/>
    <w:rsid w:val="00C35EE7"/>
    <w:rsid w:val="00C425B6"/>
    <w:rsid w:val="00C432FD"/>
    <w:rsid w:val="00C43CDF"/>
    <w:rsid w:val="00C4608E"/>
    <w:rsid w:val="00C512B2"/>
    <w:rsid w:val="00C53B5D"/>
    <w:rsid w:val="00C571FB"/>
    <w:rsid w:val="00C57381"/>
    <w:rsid w:val="00C61D56"/>
    <w:rsid w:val="00C62B69"/>
    <w:rsid w:val="00C644B7"/>
    <w:rsid w:val="00C64564"/>
    <w:rsid w:val="00C66D6F"/>
    <w:rsid w:val="00C71377"/>
    <w:rsid w:val="00C73C87"/>
    <w:rsid w:val="00C74B6F"/>
    <w:rsid w:val="00C82F34"/>
    <w:rsid w:val="00C87EF3"/>
    <w:rsid w:val="00C9015F"/>
    <w:rsid w:val="00C912F9"/>
    <w:rsid w:val="00C91B22"/>
    <w:rsid w:val="00C9241B"/>
    <w:rsid w:val="00C9370B"/>
    <w:rsid w:val="00C96DDF"/>
    <w:rsid w:val="00C97569"/>
    <w:rsid w:val="00CA199D"/>
    <w:rsid w:val="00CA31DB"/>
    <w:rsid w:val="00CA4D9C"/>
    <w:rsid w:val="00CB05A7"/>
    <w:rsid w:val="00CB06A4"/>
    <w:rsid w:val="00CB325B"/>
    <w:rsid w:val="00CB3EFF"/>
    <w:rsid w:val="00CB64FF"/>
    <w:rsid w:val="00CB7078"/>
    <w:rsid w:val="00CB711D"/>
    <w:rsid w:val="00CB7902"/>
    <w:rsid w:val="00CC014B"/>
    <w:rsid w:val="00CC0E81"/>
    <w:rsid w:val="00CC21D8"/>
    <w:rsid w:val="00CC3369"/>
    <w:rsid w:val="00CC5343"/>
    <w:rsid w:val="00CC59D7"/>
    <w:rsid w:val="00CC6338"/>
    <w:rsid w:val="00CC67A1"/>
    <w:rsid w:val="00CC78DE"/>
    <w:rsid w:val="00CD04D9"/>
    <w:rsid w:val="00CD0F93"/>
    <w:rsid w:val="00CD1B95"/>
    <w:rsid w:val="00CD6D6E"/>
    <w:rsid w:val="00CD6F23"/>
    <w:rsid w:val="00CF1B0B"/>
    <w:rsid w:val="00CF640B"/>
    <w:rsid w:val="00CF6B5A"/>
    <w:rsid w:val="00D027AF"/>
    <w:rsid w:val="00D0323E"/>
    <w:rsid w:val="00D06652"/>
    <w:rsid w:val="00D07FA6"/>
    <w:rsid w:val="00D16ADF"/>
    <w:rsid w:val="00D173D2"/>
    <w:rsid w:val="00D17C53"/>
    <w:rsid w:val="00D17D57"/>
    <w:rsid w:val="00D2341D"/>
    <w:rsid w:val="00D252DA"/>
    <w:rsid w:val="00D25E0E"/>
    <w:rsid w:val="00D302EB"/>
    <w:rsid w:val="00D31679"/>
    <w:rsid w:val="00D31E43"/>
    <w:rsid w:val="00D320C8"/>
    <w:rsid w:val="00D330B6"/>
    <w:rsid w:val="00D337E9"/>
    <w:rsid w:val="00D3672F"/>
    <w:rsid w:val="00D40ABA"/>
    <w:rsid w:val="00D40FE2"/>
    <w:rsid w:val="00D440FA"/>
    <w:rsid w:val="00D44BCF"/>
    <w:rsid w:val="00D46E73"/>
    <w:rsid w:val="00D5548D"/>
    <w:rsid w:val="00D56572"/>
    <w:rsid w:val="00D60F81"/>
    <w:rsid w:val="00D6389C"/>
    <w:rsid w:val="00D63951"/>
    <w:rsid w:val="00D63BF2"/>
    <w:rsid w:val="00D67348"/>
    <w:rsid w:val="00D70A26"/>
    <w:rsid w:val="00D73BB4"/>
    <w:rsid w:val="00D75FEC"/>
    <w:rsid w:val="00D76B98"/>
    <w:rsid w:val="00D81C7E"/>
    <w:rsid w:val="00D82E63"/>
    <w:rsid w:val="00D835A0"/>
    <w:rsid w:val="00D83F3A"/>
    <w:rsid w:val="00D86905"/>
    <w:rsid w:val="00D86F2C"/>
    <w:rsid w:val="00D94301"/>
    <w:rsid w:val="00D96248"/>
    <w:rsid w:val="00DA0680"/>
    <w:rsid w:val="00DA36F6"/>
    <w:rsid w:val="00DA48F0"/>
    <w:rsid w:val="00DB0C8D"/>
    <w:rsid w:val="00DB6AF2"/>
    <w:rsid w:val="00DC1599"/>
    <w:rsid w:val="00DC1611"/>
    <w:rsid w:val="00DD3660"/>
    <w:rsid w:val="00DD3C53"/>
    <w:rsid w:val="00DD6B73"/>
    <w:rsid w:val="00DE745D"/>
    <w:rsid w:val="00DF0774"/>
    <w:rsid w:val="00DF1036"/>
    <w:rsid w:val="00DF4644"/>
    <w:rsid w:val="00DF68F6"/>
    <w:rsid w:val="00DF7A83"/>
    <w:rsid w:val="00E012B4"/>
    <w:rsid w:val="00E05451"/>
    <w:rsid w:val="00E05651"/>
    <w:rsid w:val="00E100F6"/>
    <w:rsid w:val="00E11BA5"/>
    <w:rsid w:val="00E17CBD"/>
    <w:rsid w:val="00E20425"/>
    <w:rsid w:val="00E21713"/>
    <w:rsid w:val="00E21768"/>
    <w:rsid w:val="00E224B9"/>
    <w:rsid w:val="00E24789"/>
    <w:rsid w:val="00E25DCB"/>
    <w:rsid w:val="00E2613B"/>
    <w:rsid w:val="00E313DF"/>
    <w:rsid w:val="00E330E0"/>
    <w:rsid w:val="00E36C70"/>
    <w:rsid w:val="00E4156E"/>
    <w:rsid w:val="00E44D61"/>
    <w:rsid w:val="00E453F2"/>
    <w:rsid w:val="00E460AD"/>
    <w:rsid w:val="00E47C5E"/>
    <w:rsid w:val="00E53FE4"/>
    <w:rsid w:val="00E575FC"/>
    <w:rsid w:val="00E61925"/>
    <w:rsid w:val="00E6363B"/>
    <w:rsid w:val="00E65C0E"/>
    <w:rsid w:val="00E65FB9"/>
    <w:rsid w:val="00E730FC"/>
    <w:rsid w:val="00E746F0"/>
    <w:rsid w:val="00E809B9"/>
    <w:rsid w:val="00E82A15"/>
    <w:rsid w:val="00E85445"/>
    <w:rsid w:val="00E87589"/>
    <w:rsid w:val="00E938FF"/>
    <w:rsid w:val="00E93DFE"/>
    <w:rsid w:val="00EA2124"/>
    <w:rsid w:val="00EA2B12"/>
    <w:rsid w:val="00EA34DC"/>
    <w:rsid w:val="00EA456C"/>
    <w:rsid w:val="00EA5017"/>
    <w:rsid w:val="00EA6BED"/>
    <w:rsid w:val="00EB14F0"/>
    <w:rsid w:val="00EB3844"/>
    <w:rsid w:val="00EB4F79"/>
    <w:rsid w:val="00EB5A9F"/>
    <w:rsid w:val="00EC573F"/>
    <w:rsid w:val="00EC5C8D"/>
    <w:rsid w:val="00ED106C"/>
    <w:rsid w:val="00ED2D34"/>
    <w:rsid w:val="00ED4805"/>
    <w:rsid w:val="00ED57F6"/>
    <w:rsid w:val="00ED6C51"/>
    <w:rsid w:val="00ED6DA1"/>
    <w:rsid w:val="00ED7A80"/>
    <w:rsid w:val="00EE3F52"/>
    <w:rsid w:val="00EF0AF8"/>
    <w:rsid w:val="00EF207D"/>
    <w:rsid w:val="00EF4258"/>
    <w:rsid w:val="00EF6D31"/>
    <w:rsid w:val="00F02237"/>
    <w:rsid w:val="00F046F1"/>
    <w:rsid w:val="00F05881"/>
    <w:rsid w:val="00F072E2"/>
    <w:rsid w:val="00F079A6"/>
    <w:rsid w:val="00F10236"/>
    <w:rsid w:val="00F153F9"/>
    <w:rsid w:val="00F15811"/>
    <w:rsid w:val="00F22423"/>
    <w:rsid w:val="00F228F4"/>
    <w:rsid w:val="00F24C72"/>
    <w:rsid w:val="00F30088"/>
    <w:rsid w:val="00F30267"/>
    <w:rsid w:val="00F31D22"/>
    <w:rsid w:val="00F338CB"/>
    <w:rsid w:val="00F348B2"/>
    <w:rsid w:val="00F34BF0"/>
    <w:rsid w:val="00F34ED8"/>
    <w:rsid w:val="00F4095A"/>
    <w:rsid w:val="00F452CC"/>
    <w:rsid w:val="00F45845"/>
    <w:rsid w:val="00F461C0"/>
    <w:rsid w:val="00F46764"/>
    <w:rsid w:val="00F50189"/>
    <w:rsid w:val="00F508FC"/>
    <w:rsid w:val="00F510B7"/>
    <w:rsid w:val="00F53571"/>
    <w:rsid w:val="00F54044"/>
    <w:rsid w:val="00F576E7"/>
    <w:rsid w:val="00F73D1C"/>
    <w:rsid w:val="00F755B1"/>
    <w:rsid w:val="00F763FC"/>
    <w:rsid w:val="00F76B4A"/>
    <w:rsid w:val="00F772C1"/>
    <w:rsid w:val="00F8026D"/>
    <w:rsid w:val="00F8245F"/>
    <w:rsid w:val="00F82E40"/>
    <w:rsid w:val="00F91629"/>
    <w:rsid w:val="00F91E2A"/>
    <w:rsid w:val="00F96C39"/>
    <w:rsid w:val="00F96E41"/>
    <w:rsid w:val="00FA153F"/>
    <w:rsid w:val="00FA1D78"/>
    <w:rsid w:val="00FA1F7E"/>
    <w:rsid w:val="00FA280F"/>
    <w:rsid w:val="00FA394C"/>
    <w:rsid w:val="00FA5289"/>
    <w:rsid w:val="00FA5B4E"/>
    <w:rsid w:val="00FA6213"/>
    <w:rsid w:val="00FB2186"/>
    <w:rsid w:val="00FB7E03"/>
    <w:rsid w:val="00FC423C"/>
    <w:rsid w:val="00FC68F5"/>
    <w:rsid w:val="00FD0133"/>
    <w:rsid w:val="00FD0A24"/>
    <w:rsid w:val="00FD25FE"/>
    <w:rsid w:val="00FD6206"/>
    <w:rsid w:val="00FE1318"/>
    <w:rsid w:val="00FE208F"/>
    <w:rsid w:val="00FE54CD"/>
    <w:rsid w:val="00FE6DF6"/>
    <w:rsid w:val="00FF25F7"/>
    <w:rsid w:val="00FF32C3"/>
    <w:rsid w:val="00FF3F8B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CE30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corpsdedcision"/>
    <w:link w:val="Heading1Char"/>
    <w:qFormat/>
    <w:rsid w:val="00F96E41"/>
    <w:pPr>
      <w:keepNext/>
      <w:spacing w:before="240" w:after="240"/>
      <w:outlineLvl w:val="0"/>
    </w:pPr>
    <w:rPr>
      <w:rFonts w:cs="Arial"/>
      <w:b/>
      <w:bCs/>
      <w:caps/>
      <w:kern w:val="32"/>
      <w:szCs w:val="32"/>
      <w:u w:val="single"/>
      <w:lang w:eastAsia="fr-FR"/>
    </w:rPr>
  </w:style>
  <w:style w:type="paragraph" w:styleId="Heading2">
    <w:name w:val="heading 2"/>
    <w:basedOn w:val="Normal"/>
    <w:next w:val="corpsdedcision"/>
    <w:qFormat/>
    <w:rsid w:val="0047680F"/>
    <w:pPr>
      <w:keepNext/>
      <w:spacing w:before="240" w:after="240"/>
      <w:outlineLvl w:val="1"/>
    </w:pPr>
    <w:rPr>
      <w:rFonts w:cs="Arial"/>
      <w:bCs/>
      <w:iCs/>
      <w:caps/>
      <w:szCs w:val="28"/>
      <w:lang w:eastAsia="fr-FR"/>
    </w:rPr>
  </w:style>
  <w:style w:type="paragraph" w:styleId="Heading3">
    <w:name w:val="heading 3"/>
    <w:basedOn w:val="Normal"/>
    <w:next w:val="corpsdedcision"/>
    <w:qFormat/>
    <w:rsid w:val="00EA456C"/>
    <w:pPr>
      <w:keepNext/>
      <w:spacing w:before="240" w:after="240"/>
      <w:outlineLvl w:val="2"/>
    </w:pPr>
    <w:rPr>
      <w:rFonts w:cs="Arial"/>
      <w:b/>
      <w:szCs w:val="24"/>
      <w:lang w:eastAsia="fr-FR"/>
    </w:rPr>
  </w:style>
  <w:style w:type="paragraph" w:styleId="Heading4">
    <w:name w:val="heading 4"/>
    <w:basedOn w:val="Normal"/>
    <w:next w:val="corpsdedcision"/>
    <w:qFormat/>
    <w:rsid w:val="008F15D5"/>
    <w:pPr>
      <w:keepNext/>
      <w:spacing w:before="240" w:after="240"/>
      <w:outlineLvl w:val="3"/>
    </w:pPr>
    <w:rPr>
      <w:rFonts w:cs="Arial"/>
      <w:szCs w:val="24"/>
      <w:u w:val="single"/>
      <w:lang w:eastAsia="fr-FR"/>
    </w:rPr>
  </w:style>
  <w:style w:type="paragraph" w:styleId="Heading5">
    <w:name w:val="heading 5"/>
    <w:basedOn w:val="Normal"/>
    <w:next w:val="Normal"/>
    <w:qFormat/>
    <w:rsid w:val="005E236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E2367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E2367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5E2367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5E2367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SoquijdatAssesseurs">
    <w:name w:val="zSoquij_datAssesseurs"/>
    <w:basedOn w:val="Normal"/>
  </w:style>
  <w:style w:type="paragraph" w:customStyle="1" w:styleId="zSoquijdatCabinetProcureurDef">
    <w:name w:val="zSoquij_datCabinetProcureurDef"/>
    <w:basedOn w:val="Normal"/>
  </w:style>
  <w:style w:type="paragraph" w:customStyle="1" w:styleId="zSoquijdatCabinetProcureurDem">
    <w:name w:val="zSoquij_datCabinetProcureurDem"/>
    <w:basedOn w:val="Normal"/>
  </w:style>
  <w:style w:type="paragraph" w:customStyle="1" w:styleId="zSoquijdatDateJugement">
    <w:name w:val="zSoquij_datDateJugement"/>
    <w:basedOn w:val="Normal"/>
    <w:rsid w:val="005B5689"/>
  </w:style>
  <w:style w:type="paragraph" w:customStyle="1" w:styleId="zSoquijdatGreffe">
    <w:name w:val="zSoquij_datGreffe"/>
    <w:basedOn w:val="Normal"/>
  </w:style>
  <w:style w:type="paragraph" w:customStyle="1" w:styleId="zSoquijdatJuge">
    <w:name w:val="zSoquij_datJuge"/>
    <w:basedOn w:val="Normal"/>
    <w:rsid w:val="005B5689"/>
    <w:rPr>
      <w:b/>
    </w:rPr>
  </w:style>
  <w:style w:type="paragraph" w:customStyle="1" w:styleId="zSoquijdatMembreE">
    <w:name w:val="zSoquij_datMembreE"/>
    <w:basedOn w:val="Normal"/>
  </w:style>
  <w:style w:type="paragraph" w:customStyle="1" w:styleId="zSoquijdatMembreS">
    <w:name w:val="zSoquij_datMembreS"/>
    <w:basedOn w:val="Normal"/>
  </w:style>
  <w:style w:type="paragraph" w:customStyle="1" w:styleId="articlesdelaLSST">
    <w:name w:val="articles de la LSST"/>
    <w:basedOn w:val="Normal"/>
    <w:pPr>
      <w:ind w:left="720" w:right="720"/>
      <w:jc w:val="both"/>
    </w:pPr>
    <w:rPr>
      <w:sz w:val="20"/>
    </w:rPr>
  </w:style>
  <w:style w:type="paragraph" w:customStyle="1" w:styleId="zSoquijdatNCSST">
    <w:name w:val="zSoquij_datNCSST"/>
    <w:basedOn w:val="Normal"/>
  </w:style>
  <w:style w:type="paragraph" w:customStyle="1" w:styleId="zSoquijdatNoDossier">
    <w:name w:val="zSoquij_datNoDossier"/>
    <w:basedOn w:val="Normal"/>
  </w:style>
  <w:style w:type="paragraph" w:customStyle="1" w:styleId="zSoquijdatNomPartieDef">
    <w:name w:val="zSoquij_datNomPartieDef"/>
    <w:basedOn w:val="Normal"/>
  </w:style>
  <w:style w:type="paragraph" w:customStyle="1" w:styleId="zSoquijdatNomPartieDem">
    <w:name w:val="zSoquij_datNomPartieDem"/>
    <w:basedOn w:val="Normal"/>
  </w:style>
  <w:style w:type="paragraph" w:customStyle="1" w:styleId="zSoquijdatNomPartieInt">
    <w:name w:val="zSoquij_datNomPartieInt"/>
    <w:basedOn w:val="Normal"/>
  </w:style>
  <w:style w:type="paragraph" w:customStyle="1" w:styleId="zSoquijdatNomProcureurDef">
    <w:name w:val="zSoquij_datNomProcureurDef"/>
    <w:basedOn w:val="Normal"/>
  </w:style>
  <w:style w:type="paragraph" w:customStyle="1" w:styleId="zSoquijdatNomProcureurDem">
    <w:name w:val="zSoquij_datNomProcureurDem"/>
    <w:basedOn w:val="Normal"/>
  </w:style>
  <w:style w:type="paragraph" w:customStyle="1" w:styleId="zSoquijdatQtePartieDef">
    <w:name w:val="zSoquij_datQtePartieDef"/>
    <w:basedOn w:val="Normal"/>
  </w:style>
  <w:style w:type="paragraph" w:customStyle="1" w:styleId="zSoquijdatQtePartieDem">
    <w:name w:val="zSoquij_datQtePartieDem"/>
    <w:basedOn w:val="Normal"/>
  </w:style>
  <w:style w:type="paragraph" w:customStyle="1" w:styleId="zSoquijdatQtePartieInt">
    <w:name w:val="zSoquij_datQtePartieInt"/>
    <w:basedOn w:val="Normal"/>
  </w:style>
  <w:style w:type="paragraph" w:customStyle="1" w:styleId="zSoquijlblProcureurDef">
    <w:name w:val="zSoquij_lblProcureurDef"/>
    <w:basedOn w:val="Normal"/>
  </w:style>
  <w:style w:type="paragraph" w:customStyle="1" w:styleId="zSoquijlblProcureurDem">
    <w:name w:val="zSoquij_lblProcureurDem"/>
    <w:basedOn w:val="Normal"/>
  </w:style>
  <w:style w:type="character" w:styleId="FootnoteReference">
    <w:name w:val="footnote reference"/>
    <w:semiHidden/>
    <w:rPr>
      <w:rFonts w:ascii="Arial" w:hAnsi="Arial"/>
      <w:vertAlign w:val="superscript"/>
    </w:rPr>
  </w:style>
  <w:style w:type="paragraph" w:customStyle="1" w:styleId="citation">
    <w:name w:val="citation"/>
    <w:basedOn w:val="Normal"/>
    <w:pPr>
      <w:ind w:left="720" w:right="720"/>
      <w:jc w:val="both"/>
    </w:pPr>
    <w:rPr>
      <w:sz w:val="20"/>
    </w:rPr>
  </w:style>
  <w:style w:type="paragraph" w:customStyle="1" w:styleId="corpsdedcision">
    <w:name w:val="corps de décision"/>
    <w:basedOn w:val="Normal"/>
    <w:link w:val="corpsdedcisionCar"/>
    <w:pPr>
      <w:numPr>
        <w:numId w:val="1"/>
      </w:numPr>
      <w:tabs>
        <w:tab w:val="clear" w:pos="360"/>
        <w:tab w:val="left" w:pos="720"/>
      </w:tabs>
      <w:spacing w:after="360"/>
      <w:jc w:val="both"/>
    </w:pPr>
  </w:style>
  <w:style w:type="paragraph" w:customStyle="1" w:styleId="Dfinitions">
    <w:name w:val="Définitions"/>
    <w:basedOn w:val="citation"/>
  </w:style>
  <w:style w:type="paragraph" w:customStyle="1" w:styleId="Dispositif">
    <w:name w:val="Dispositif"/>
    <w:basedOn w:val="Normal"/>
    <w:pPr>
      <w:spacing w:after="360"/>
      <w:jc w:val="both"/>
    </w:pPr>
  </w:style>
  <w:style w:type="paragraph" w:styleId="FootnoteText">
    <w:name w:val="footnote text"/>
    <w:aliases w:val="Note de bas de page art 65"/>
    <w:basedOn w:val="Normal"/>
    <w:link w:val="FootnoteTextChar1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Arial" w:hAnsi="Arial"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zSoquijlblProcureurInt">
    <w:name w:val="zSoquij_lblProcureurInt"/>
    <w:basedOn w:val="Normal"/>
  </w:style>
  <w:style w:type="paragraph" w:customStyle="1" w:styleId="articlesdelaLATMP">
    <w:name w:val="articles de la LATMP"/>
    <w:basedOn w:val="Normal"/>
    <w:pPr>
      <w:ind w:left="720" w:right="720"/>
      <w:jc w:val="both"/>
    </w:pPr>
    <w:rPr>
      <w:sz w:val="20"/>
    </w:rPr>
  </w:style>
  <w:style w:type="paragraph" w:customStyle="1" w:styleId="Annexes">
    <w:name w:val="Annexes"/>
    <w:basedOn w:val="citation"/>
  </w:style>
  <w:style w:type="paragraph" w:customStyle="1" w:styleId="zSoquijdatNomProcureurInt">
    <w:name w:val="zSoquij_datNomProcureurInt"/>
    <w:basedOn w:val="Normal"/>
  </w:style>
  <w:style w:type="paragraph" w:customStyle="1" w:styleId="zSoquijdatCabinetProcureurInt">
    <w:name w:val="zSoquij_datCabinetProcureurInt"/>
    <w:basedOn w:val="Normal"/>
  </w:style>
  <w:style w:type="paragraph" w:customStyle="1" w:styleId="zSoquijdatRefNeutre">
    <w:name w:val="zSoquij_datRefNeutre"/>
    <w:basedOn w:val="Normal"/>
    <w:rsid w:val="00E20425"/>
    <w:pPr>
      <w:jc w:val="right"/>
    </w:pPr>
    <w:rPr>
      <w:b/>
      <w:sz w:val="22"/>
      <w:szCs w:val="22"/>
    </w:rPr>
  </w:style>
  <w:style w:type="paragraph" w:customStyle="1" w:styleId="zSoquijdatRepertorie">
    <w:name w:val="zSoquij_datRepertorie"/>
    <w:basedOn w:val="Normal"/>
    <w:rsid w:val="00E20425"/>
    <w:rPr>
      <w:b/>
      <w:sz w:val="22"/>
      <w:szCs w:val="22"/>
    </w:rPr>
  </w:style>
  <w:style w:type="paragraph" w:customStyle="1" w:styleId="corpsdetexte">
    <w:name w:val="corps de texte"/>
    <w:basedOn w:val="Normal"/>
    <w:rsid w:val="00ED2D34"/>
    <w:pPr>
      <w:tabs>
        <w:tab w:val="left" w:pos="720"/>
      </w:tabs>
      <w:spacing w:after="360"/>
      <w:jc w:val="both"/>
    </w:pPr>
  </w:style>
  <w:style w:type="paragraph" w:customStyle="1" w:styleId="articlesdelaLATMPnouveaux">
    <w:name w:val="articles de la LATMP (nouveaux)"/>
    <w:basedOn w:val="Normal"/>
    <w:rsid w:val="00D44BCF"/>
    <w:pPr>
      <w:ind w:left="720" w:right="720"/>
      <w:jc w:val="both"/>
    </w:pPr>
    <w:rPr>
      <w:sz w:val="20"/>
    </w:rPr>
  </w:style>
  <w:style w:type="character" w:customStyle="1" w:styleId="FootnoteTextChar1">
    <w:name w:val="Footnote Text Char1"/>
    <w:aliases w:val="Note de bas de page art 65 Char"/>
    <w:link w:val="FootnoteText"/>
    <w:semiHidden/>
    <w:locked/>
    <w:rsid w:val="00BC0A03"/>
    <w:rPr>
      <w:rFonts w:ascii="Arial" w:hAnsi="Arial"/>
      <w:sz w:val="24"/>
      <w:lang w:val="fr-CA" w:eastAsia="fr-CA" w:bidi="ar-SA"/>
    </w:rPr>
  </w:style>
  <w:style w:type="character" w:customStyle="1" w:styleId="CarCar3">
    <w:name w:val="Car Car3"/>
    <w:semiHidden/>
    <w:locked/>
    <w:rsid w:val="007F2149"/>
    <w:rPr>
      <w:rFonts w:ascii="Arial" w:hAnsi="Arial"/>
      <w:sz w:val="24"/>
      <w:lang w:val="fr-CA" w:eastAsia="fr-CA" w:bidi="ar-SA"/>
    </w:rPr>
  </w:style>
  <w:style w:type="paragraph" w:customStyle="1" w:styleId="Citationenretrait">
    <w:name w:val="Citation en retrait"/>
    <w:basedOn w:val="Normal"/>
    <w:link w:val="CitationenretraitCar"/>
    <w:rsid w:val="006A7C53"/>
    <w:pPr>
      <w:spacing w:before="120" w:after="120"/>
      <w:ind w:left="720" w:right="720"/>
      <w:jc w:val="both"/>
    </w:pPr>
    <w:rPr>
      <w:kern w:val="24"/>
      <w:sz w:val="22"/>
      <w:lang w:eastAsia="fr-FR"/>
    </w:rPr>
  </w:style>
  <w:style w:type="paragraph" w:customStyle="1" w:styleId="Citationendoubleretrait">
    <w:name w:val="Citation en double retrait"/>
    <w:basedOn w:val="Citationenretrait"/>
    <w:link w:val="CitationendoubleretraitCar"/>
    <w:rsid w:val="008048CF"/>
    <w:pPr>
      <w:spacing w:before="0" w:after="0"/>
      <w:ind w:left="1440" w:right="1440"/>
    </w:pPr>
    <w:rPr>
      <w:sz w:val="18"/>
    </w:rPr>
  </w:style>
  <w:style w:type="character" w:customStyle="1" w:styleId="Citationintgre">
    <w:name w:val="Citation intégrée"/>
    <w:rsid w:val="006A7C53"/>
    <w:rPr>
      <w:rFonts w:ascii="Arial" w:hAnsi="Arial"/>
      <w:i/>
      <w:noProof w:val="0"/>
      <w:sz w:val="22"/>
      <w:lang w:val="fr-CA"/>
    </w:rPr>
  </w:style>
  <w:style w:type="paragraph" w:customStyle="1" w:styleId="Paragraphe">
    <w:name w:val="Paragraphe"/>
    <w:basedOn w:val="Normal"/>
    <w:rsid w:val="006A7C53"/>
    <w:pPr>
      <w:numPr>
        <w:numId w:val="6"/>
      </w:numPr>
      <w:spacing w:before="160" w:after="160"/>
      <w:jc w:val="both"/>
    </w:pPr>
    <w:rPr>
      <w:kern w:val="28"/>
      <w:lang w:eastAsia="fr-FR"/>
    </w:rPr>
  </w:style>
  <w:style w:type="paragraph" w:customStyle="1" w:styleId="ParagAlaMarge">
    <w:name w:val="ParagAlaMarge"/>
    <w:basedOn w:val="Paragraphe"/>
    <w:rsid w:val="006A7C53"/>
    <w:pPr>
      <w:numPr>
        <w:numId w:val="0"/>
      </w:numPr>
    </w:pPr>
  </w:style>
  <w:style w:type="paragraph" w:customStyle="1" w:styleId="ParagNonNum">
    <w:name w:val="ParagNonNum"/>
    <w:basedOn w:val="Paragraphe"/>
    <w:rsid w:val="006A7C53"/>
    <w:pPr>
      <w:numPr>
        <w:numId w:val="0"/>
      </w:numPr>
      <w:ind w:firstLine="720"/>
    </w:pPr>
  </w:style>
  <w:style w:type="paragraph" w:customStyle="1" w:styleId="Sous-paragraphe">
    <w:name w:val="Sous-paragraphe"/>
    <w:basedOn w:val="Normal"/>
    <w:rsid w:val="000E0C28"/>
    <w:pPr>
      <w:numPr>
        <w:ilvl w:val="1"/>
        <w:numId w:val="6"/>
      </w:numPr>
      <w:spacing w:before="120" w:after="120"/>
      <w:ind w:left="1440" w:hanging="720"/>
    </w:pPr>
    <w:rPr>
      <w:szCs w:val="24"/>
      <w:lang w:eastAsia="fr-FR"/>
    </w:rPr>
  </w:style>
  <w:style w:type="paragraph" w:customStyle="1" w:styleId="zSoquijdatDivision">
    <w:name w:val="zSoquij_datDivision"/>
    <w:basedOn w:val="Normal"/>
    <w:rsid w:val="00F772C1"/>
    <w:pPr>
      <w:jc w:val="center"/>
    </w:pPr>
    <w:rPr>
      <w:b/>
      <w:bCs/>
      <w:sz w:val="22"/>
      <w:szCs w:val="22"/>
    </w:rPr>
  </w:style>
  <w:style w:type="paragraph" w:customStyle="1" w:styleId="zSoquijlblLienParties">
    <w:name w:val="zSoquij_lblLienParties"/>
    <w:basedOn w:val="Normal"/>
    <w:rsid w:val="00D06652"/>
  </w:style>
  <w:style w:type="paragraph" w:customStyle="1" w:styleId="zSoquijdatDateAudience">
    <w:name w:val="zSoquij_datDateAudience"/>
    <w:basedOn w:val="Normal"/>
    <w:rsid w:val="000E56A6"/>
  </w:style>
  <w:style w:type="character" w:customStyle="1" w:styleId="Heading1Char">
    <w:name w:val="Heading 1 Char"/>
    <w:link w:val="Heading1"/>
    <w:rsid w:val="00F96E41"/>
    <w:rPr>
      <w:rFonts w:ascii="Arial" w:hAnsi="Arial" w:cs="Arial"/>
      <w:b/>
      <w:bCs/>
      <w:caps/>
      <w:kern w:val="32"/>
      <w:sz w:val="24"/>
      <w:szCs w:val="32"/>
      <w:u w:val="single"/>
      <w:lang w:val="fr-CA" w:eastAsia="fr-FR" w:bidi="ar-SA"/>
    </w:rPr>
  </w:style>
  <w:style w:type="paragraph" w:customStyle="1" w:styleId="ParagConclusion">
    <w:name w:val="ParagConclusion"/>
    <w:basedOn w:val="Normal"/>
    <w:rsid w:val="003D18FC"/>
    <w:pPr>
      <w:spacing w:before="160" w:after="160"/>
      <w:ind w:left="2448" w:hanging="2448"/>
    </w:pPr>
    <w:rPr>
      <w:rFonts w:eastAsia="Calibri" w:cs="Arial"/>
      <w:szCs w:val="24"/>
      <w:lang w:eastAsia="fr-FR"/>
    </w:rPr>
  </w:style>
  <w:style w:type="paragraph" w:customStyle="1" w:styleId="yChPInterv">
    <w:name w:val="yCh_PInterv"/>
    <w:rsid w:val="00474489"/>
    <w:rPr>
      <w:rFonts w:ascii="Arial" w:hAnsi="Arial"/>
      <w:sz w:val="24"/>
    </w:rPr>
  </w:style>
  <w:style w:type="character" w:styleId="Hyperlink">
    <w:name w:val="Hyperlink"/>
    <w:unhideWhenUsed/>
    <w:rsid w:val="00AF3189"/>
    <w:rPr>
      <w:color w:val="0563C1"/>
      <w:u w:val="single"/>
    </w:rPr>
  </w:style>
  <w:style w:type="character" w:customStyle="1" w:styleId="CarCar1">
    <w:name w:val="Car Car1"/>
    <w:semiHidden/>
    <w:rsid w:val="00D73BB4"/>
    <w:rPr>
      <w:rFonts w:ascii="Arial" w:eastAsia="Times New Roman" w:hAnsi="Arial"/>
      <w:sz w:val="24"/>
    </w:rPr>
  </w:style>
  <w:style w:type="paragraph" w:styleId="ListParagraph">
    <w:name w:val="List Paragraph"/>
    <w:basedOn w:val="Normal"/>
    <w:qFormat/>
    <w:rsid w:val="00D73BB4"/>
    <w:pPr>
      <w:ind w:left="720"/>
      <w:contextualSpacing/>
    </w:pPr>
  </w:style>
  <w:style w:type="character" w:customStyle="1" w:styleId="CarCar2">
    <w:name w:val="Car Car2"/>
    <w:rsid w:val="00CD04D9"/>
    <w:rPr>
      <w:rFonts w:ascii="Arial" w:hAnsi="Arial"/>
      <w:sz w:val="24"/>
    </w:rPr>
  </w:style>
  <w:style w:type="character" w:customStyle="1" w:styleId="FootnoteTextChar">
    <w:name w:val="Footnote Text Char"/>
    <w:locked/>
    <w:rsid w:val="00ED57F6"/>
    <w:rPr>
      <w:rFonts w:ascii="Arial" w:hAnsi="Arial" w:cs="Times New Roman"/>
      <w:sz w:val="24"/>
    </w:rPr>
  </w:style>
  <w:style w:type="character" w:customStyle="1" w:styleId="CitationenretraitCar">
    <w:name w:val="Citation en retrait Car"/>
    <w:link w:val="Citationenretrait"/>
    <w:rsid w:val="00DB6AF2"/>
    <w:rPr>
      <w:rFonts w:ascii="Arial" w:hAnsi="Arial"/>
      <w:kern w:val="24"/>
      <w:sz w:val="22"/>
      <w:lang w:val="fr-CA" w:eastAsia="fr-FR" w:bidi="ar-SA"/>
    </w:rPr>
  </w:style>
  <w:style w:type="character" w:customStyle="1" w:styleId="CitationendoubleretraitCar">
    <w:name w:val="Citation en double retrait Car"/>
    <w:link w:val="Citationendoubleretrait"/>
    <w:rsid w:val="00DB6AF2"/>
    <w:rPr>
      <w:rFonts w:ascii="Arial" w:hAnsi="Arial"/>
      <w:kern w:val="24"/>
      <w:sz w:val="18"/>
      <w:lang w:val="fr-CA" w:eastAsia="fr-FR" w:bidi="ar-SA"/>
    </w:rPr>
  </w:style>
  <w:style w:type="character" w:customStyle="1" w:styleId="corpsdedcisionCar">
    <w:name w:val="corps de décision Car"/>
    <w:link w:val="corpsdedcision"/>
    <w:rsid w:val="001500BC"/>
    <w:rPr>
      <w:rFonts w:ascii="Arial" w:hAnsi="Arial"/>
      <w:sz w:val="24"/>
    </w:rPr>
  </w:style>
  <w:style w:type="character" w:styleId="CommentReference">
    <w:name w:val="annotation reference"/>
    <w:basedOn w:val="DefaultParagraphFont"/>
    <w:rsid w:val="009D78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78E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D78E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D7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78E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B1270-2012-4E08-B59C-B92110D61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2048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Canevas de décision TAT</vt:lpstr>
    </vt:vector>
  </TitlesOfParts>
  <Company/>
  <LinksUpToDate>false</LinksUpToDate>
  <CharactersWithSpaces>13698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Canevas de décision TAT</dc:title>
  <cp:lastModifiedBy/>
  <cp:revision>1</cp:revision>
  <dcterms:created xsi:type="dcterms:W3CDTF">2026-07-14T22:19:00Z</dcterms:created>
  <dcterms:modified xsi:type="dcterms:W3CDTF">2026-07-14T22:19:00Z</dcterms:modified>
</cp:coreProperties>
</file>