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7DBB6F6A" w14:textId="77777777">
        <w:trPr>
          <w:cantSplit/>
        </w:trPr>
        <w:tc>
          <w:tcPr>
            <w:tcW w:w="4795" w:type="dxa"/>
          </w:tcPr>
          <w:p w14:paraId="7735490A" w14:textId="02655FA9" w:rsidR="008A7FD1" w:rsidRPr="0094482C" w:rsidRDefault="0094482C" w:rsidP="0094482C">
            <w:pPr>
              <w:pStyle w:val="zSoquijdatRepertorie"/>
              <w:rPr>
                <w:rFonts w:cs="Arial"/>
              </w:rPr>
            </w:pPr>
            <w:r>
              <w:rPr>
                <w:rFonts w:cs="Arial"/>
              </w:rPr>
              <w:t>Bray et Société de transport de Laval</w:t>
            </w:r>
          </w:p>
        </w:tc>
        <w:tc>
          <w:tcPr>
            <w:tcW w:w="2477" w:type="dxa"/>
          </w:tcPr>
          <w:p w14:paraId="5240098E" w14:textId="25D03396" w:rsidR="008A7FD1" w:rsidRPr="009A337D" w:rsidRDefault="009A337D" w:rsidP="009A337D">
            <w:pPr>
              <w:pStyle w:val="zSoquijdatRefNeutre"/>
              <w:rPr>
                <w:rFonts w:cs="Arial"/>
              </w:rPr>
            </w:pPr>
            <w:r w:rsidRPr="009A337D">
              <w:rPr>
                <w:rFonts w:cs="Arial"/>
              </w:rPr>
              <w:t>2021 QCTAT 5840</w:t>
            </w:r>
          </w:p>
        </w:tc>
      </w:tr>
    </w:tbl>
    <w:p w14:paraId="1AAE25C1"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467DBBCD" w14:textId="77777777" w:rsidTr="002A374B">
        <w:trPr>
          <w:cantSplit/>
        </w:trPr>
        <w:tc>
          <w:tcPr>
            <w:tcW w:w="9568" w:type="dxa"/>
            <w:gridSpan w:val="4"/>
          </w:tcPr>
          <w:p w14:paraId="25EB147D" w14:textId="77777777" w:rsidR="00C74B6F" w:rsidRPr="00BE1981" w:rsidRDefault="00C74B6F">
            <w:pPr>
              <w:rPr>
                <w:szCs w:val="24"/>
              </w:rPr>
            </w:pPr>
          </w:p>
        </w:tc>
      </w:tr>
      <w:tr w:rsidR="00C74B6F" w14:paraId="24AFD118" w14:textId="77777777" w:rsidTr="002A374B">
        <w:trPr>
          <w:cantSplit/>
        </w:trPr>
        <w:tc>
          <w:tcPr>
            <w:tcW w:w="9568" w:type="dxa"/>
            <w:gridSpan w:val="4"/>
            <w:vAlign w:val="center"/>
          </w:tcPr>
          <w:p w14:paraId="609A90BF" w14:textId="77777777" w:rsidR="00C74B6F" w:rsidRPr="000E1320" w:rsidRDefault="000E1320">
            <w:pPr>
              <w:jc w:val="center"/>
              <w:rPr>
                <w:sz w:val="36"/>
                <w:szCs w:val="36"/>
              </w:rPr>
            </w:pPr>
            <w:r w:rsidRPr="000E1320">
              <w:rPr>
                <w:b/>
                <w:sz w:val="36"/>
                <w:szCs w:val="36"/>
              </w:rPr>
              <w:t>TRIBUNAL ADMINISTRATIF DU TRAVAIL</w:t>
            </w:r>
          </w:p>
        </w:tc>
      </w:tr>
      <w:tr w:rsidR="00C74B6F" w14:paraId="6A90CBEE" w14:textId="77777777" w:rsidTr="002A374B">
        <w:trPr>
          <w:cantSplit/>
        </w:trPr>
        <w:tc>
          <w:tcPr>
            <w:tcW w:w="9568" w:type="dxa"/>
            <w:gridSpan w:val="4"/>
          </w:tcPr>
          <w:p w14:paraId="07F55A2B" w14:textId="77777777" w:rsidR="00C74B6F" w:rsidRPr="00BE7014" w:rsidRDefault="006F0154" w:rsidP="009A67E7">
            <w:pPr>
              <w:pStyle w:val="zSoquijdatDivision"/>
            </w:pPr>
            <w:r w:rsidRPr="00BE7014">
              <w:t>(</w:t>
            </w:r>
            <w:r w:rsidR="009224D8" w:rsidRPr="00441ADA">
              <w:t>Division de la santé et de la sécurité du travail</w:t>
            </w:r>
            <w:r w:rsidRPr="00BE7014">
              <w:t>)</w:t>
            </w:r>
          </w:p>
        </w:tc>
      </w:tr>
      <w:tr w:rsidR="00C74B6F" w14:paraId="3A0642CB" w14:textId="77777777" w:rsidTr="002A374B">
        <w:trPr>
          <w:cantSplit/>
        </w:trPr>
        <w:tc>
          <w:tcPr>
            <w:tcW w:w="9568" w:type="dxa"/>
            <w:gridSpan w:val="4"/>
          </w:tcPr>
          <w:p w14:paraId="4FEC5F06" w14:textId="77777777" w:rsidR="002B2FC3" w:rsidRDefault="002B2FC3" w:rsidP="002B2FC3"/>
        </w:tc>
      </w:tr>
      <w:tr w:rsidR="00A84FC6" w14:paraId="53219F20" w14:textId="77777777" w:rsidTr="002A374B">
        <w:trPr>
          <w:cantSplit/>
        </w:trPr>
        <w:tc>
          <w:tcPr>
            <w:tcW w:w="9568" w:type="dxa"/>
            <w:gridSpan w:val="4"/>
          </w:tcPr>
          <w:p w14:paraId="1D3D48E1" w14:textId="77777777" w:rsidR="00A84FC6" w:rsidRDefault="00A84FC6" w:rsidP="002B2FC3"/>
        </w:tc>
      </w:tr>
      <w:tr w:rsidR="00C74B6F" w14:paraId="2792E3EB" w14:textId="77777777" w:rsidTr="005E654C">
        <w:tc>
          <w:tcPr>
            <w:tcW w:w="3614" w:type="dxa"/>
          </w:tcPr>
          <w:p w14:paraId="4BE28217" w14:textId="77777777" w:rsidR="00C74B6F" w:rsidRDefault="0084255F">
            <w:bookmarkStart w:id="0" w:name="region" w:colFirst="1" w:colLast="1"/>
            <w:r>
              <w:t>Région :</w:t>
            </w:r>
          </w:p>
        </w:tc>
        <w:tc>
          <w:tcPr>
            <w:tcW w:w="5954" w:type="dxa"/>
            <w:gridSpan w:val="3"/>
          </w:tcPr>
          <w:p w14:paraId="4BA582AC" w14:textId="77777777" w:rsidR="00C74B6F" w:rsidRDefault="009224D8" w:rsidP="00F4095A">
            <w:pPr>
              <w:pStyle w:val="zSoquijdatGreffe"/>
            </w:pPr>
            <w:r>
              <w:t>Lanaudière</w:t>
            </w:r>
          </w:p>
        </w:tc>
      </w:tr>
      <w:bookmarkEnd w:id="0"/>
      <w:tr w:rsidR="00C74B6F" w14:paraId="7973310B" w14:textId="77777777" w:rsidTr="002A374B">
        <w:trPr>
          <w:cantSplit/>
        </w:trPr>
        <w:tc>
          <w:tcPr>
            <w:tcW w:w="9568" w:type="dxa"/>
            <w:gridSpan w:val="4"/>
          </w:tcPr>
          <w:p w14:paraId="493E6345" w14:textId="77777777" w:rsidR="00C74B6F" w:rsidRDefault="00C74B6F"/>
        </w:tc>
      </w:tr>
      <w:tr w:rsidR="00C74B6F" w14:paraId="03307BDF" w14:textId="77777777" w:rsidTr="005E654C">
        <w:tc>
          <w:tcPr>
            <w:tcW w:w="3614" w:type="dxa"/>
          </w:tcPr>
          <w:p w14:paraId="532D712D" w14:textId="77777777" w:rsidR="00C74B6F" w:rsidRDefault="0084255F">
            <w:bookmarkStart w:id="1" w:name="ref_dossier" w:colFirst="1" w:colLast="1"/>
            <w:r>
              <w:t>Dossier</w:t>
            </w:r>
            <w:bookmarkStart w:id="2" w:name="dossiers"/>
            <w:bookmarkEnd w:id="2"/>
            <w:r>
              <w:t> :</w:t>
            </w:r>
          </w:p>
        </w:tc>
        <w:tc>
          <w:tcPr>
            <w:tcW w:w="5954" w:type="dxa"/>
            <w:gridSpan w:val="3"/>
          </w:tcPr>
          <w:p w14:paraId="115BA0B2" w14:textId="77777777" w:rsidR="00C74B6F" w:rsidRDefault="009224D8" w:rsidP="00F4095A">
            <w:pPr>
              <w:pStyle w:val="zSoquijdatNoDossier"/>
            </w:pPr>
            <w:r>
              <w:t>688189-63-1901</w:t>
            </w:r>
          </w:p>
        </w:tc>
      </w:tr>
      <w:bookmarkEnd w:id="1"/>
      <w:tr w:rsidR="00C74B6F" w14:paraId="66B2295F" w14:textId="77777777" w:rsidTr="002A374B">
        <w:trPr>
          <w:cantSplit/>
        </w:trPr>
        <w:tc>
          <w:tcPr>
            <w:tcW w:w="9568" w:type="dxa"/>
            <w:gridSpan w:val="4"/>
          </w:tcPr>
          <w:p w14:paraId="760CDE1E" w14:textId="77777777" w:rsidR="00C74B6F" w:rsidRDefault="00D44BCF">
            <w:r>
              <w:fldChar w:fldCharType="begin"/>
            </w:r>
            <w:r>
              <w:instrText xml:space="preserve"> AUTOTEXTLIST  \* Upper  \* MERGEFORMAT </w:instrText>
            </w:r>
            <w:r>
              <w:fldChar w:fldCharType="end"/>
            </w:r>
          </w:p>
        </w:tc>
      </w:tr>
      <w:tr w:rsidR="00C74B6F" w14:paraId="39C786FE" w14:textId="77777777" w:rsidTr="005E654C">
        <w:tc>
          <w:tcPr>
            <w:tcW w:w="3614" w:type="dxa"/>
          </w:tcPr>
          <w:p w14:paraId="5BEA17D2" w14:textId="77777777" w:rsidR="00C74B6F" w:rsidRDefault="008C79A7" w:rsidP="009224D8">
            <w:pPr>
              <w:ind w:right="46"/>
            </w:pPr>
            <w:r>
              <w:t xml:space="preserve">Dossier </w:t>
            </w:r>
            <w:r w:rsidR="009224D8">
              <w:rPr>
                <w:szCs w:val="24"/>
              </w:rPr>
              <w:t>CNESST</w:t>
            </w:r>
            <w:r w:rsidR="007E6672">
              <w:rPr>
                <w:szCs w:val="24"/>
              </w:rPr>
              <w:t> </w:t>
            </w:r>
            <w:r w:rsidRPr="008C79A7">
              <w:rPr>
                <w:szCs w:val="24"/>
              </w:rPr>
              <w:t>:</w:t>
            </w:r>
          </w:p>
        </w:tc>
        <w:tc>
          <w:tcPr>
            <w:tcW w:w="5954" w:type="dxa"/>
            <w:gridSpan w:val="3"/>
          </w:tcPr>
          <w:p w14:paraId="3EA0CC39" w14:textId="77777777" w:rsidR="00C74B6F" w:rsidRDefault="009224D8" w:rsidP="004D6CEA">
            <w:pPr>
              <w:pStyle w:val="zSoquijdatNCSST"/>
            </w:pPr>
            <w:r>
              <w:t>505</w:t>
            </w:r>
            <w:r w:rsidR="007E6672">
              <w:t>317</w:t>
            </w:r>
            <w:r>
              <w:t>487</w:t>
            </w:r>
          </w:p>
        </w:tc>
      </w:tr>
      <w:tr w:rsidR="00C74B6F" w14:paraId="2D7B6965" w14:textId="77777777" w:rsidTr="002A374B">
        <w:trPr>
          <w:cantSplit/>
        </w:trPr>
        <w:tc>
          <w:tcPr>
            <w:tcW w:w="9568" w:type="dxa"/>
            <w:gridSpan w:val="4"/>
          </w:tcPr>
          <w:p w14:paraId="36928169" w14:textId="77777777" w:rsidR="00C74B6F" w:rsidRDefault="00C74B6F"/>
        </w:tc>
      </w:tr>
      <w:tr w:rsidR="00C74B6F" w14:paraId="4274EEBA" w14:textId="77777777" w:rsidTr="002A374B">
        <w:trPr>
          <w:cantSplit/>
        </w:trPr>
        <w:tc>
          <w:tcPr>
            <w:tcW w:w="9568" w:type="dxa"/>
            <w:gridSpan w:val="4"/>
          </w:tcPr>
          <w:p w14:paraId="72870FC5" w14:textId="77777777" w:rsidR="00C74B6F" w:rsidRDefault="00C74B6F">
            <w:bookmarkStart w:id="3" w:name="assesseur"/>
            <w:bookmarkEnd w:id="3"/>
          </w:p>
        </w:tc>
      </w:tr>
      <w:tr w:rsidR="00C74B6F" w14:paraId="1A77C313" w14:textId="77777777" w:rsidTr="002A374B">
        <w:trPr>
          <w:cantSplit/>
        </w:trPr>
        <w:tc>
          <w:tcPr>
            <w:tcW w:w="9568" w:type="dxa"/>
            <w:gridSpan w:val="4"/>
          </w:tcPr>
          <w:p w14:paraId="1AF740A5" w14:textId="77777777" w:rsidR="00C74B6F" w:rsidRDefault="00C74B6F"/>
        </w:tc>
      </w:tr>
      <w:tr w:rsidR="006E3DD8" w14:paraId="0656C171" w14:textId="77777777" w:rsidTr="005E654C">
        <w:trPr>
          <w:cantSplit/>
        </w:trPr>
        <w:tc>
          <w:tcPr>
            <w:tcW w:w="3614" w:type="dxa"/>
          </w:tcPr>
          <w:p w14:paraId="7F836E2A" w14:textId="77777777" w:rsidR="006E3DD8" w:rsidRDefault="009224D8" w:rsidP="006E3DD8">
            <w:pPr>
              <w:tabs>
                <w:tab w:val="left" w:pos="2672"/>
              </w:tabs>
            </w:pPr>
            <w:r>
              <w:t>Québec</w:t>
            </w:r>
            <w:r w:rsidR="00C04E32">
              <w:t>,</w:t>
            </w:r>
          </w:p>
        </w:tc>
        <w:tc>
          <w:tcPr>
            <w:tcW w:w="5954" w:type="dxa"/>
            <w:gridSpan w:val="3"/>
          </w:tcPr>
          <w:p w14:paraId="70263F49" w14:textId="77777777" w:rsidR="006E3DD8" w:rsidRDefault="00C04E32" w:rsidP="00C94529">
            <w:pPr>
              <w:pStyle w:val="zSoquijdatDateJugement"/>
            </w:pPr>
            <w:proofErr w:type="gramStart"/>
            <w:r>
              <w:t>le</w:t>
            </w:r>
            <w:proofErr w:type="gramEnd"/>
            <w:r>
              <w:t xml:space="preserve"> </w:t>
            </w:r>
            <w:r w:rsidR="00C94529">
              <w:t>6</w:t>
            </w:r>
            <w:r w:rsidR="007E6672">
              <w:t> </w:t>
            </w:r>
            <w:r w:rsidR="00C94529">
              <w:t>décembre</w:t>
            </w:r>
            <w:r w:rsidR="009224D8">
              <w:t xml:space="preserve"> 2021</w:t>
            </w:r>
          </w:p>
        </w:tc>
      </w:tr>
      <w:tr w:rsidR="00942AB8" w14:paraId="633D50AD" w14:textId="77777777" w:rsidTr="002A374B">
        <w:trPr>
          <w:cantSplit/>
        </w:trPr>
        <w:tc>
          <w:tcPr>
            <w:tcW w:w="9568" w:type="dxa"/>
            <w:gridSpan w:val="4"/>
          </w:tcPr>
          <w:p w14:paraId="4947D182" w14:textId="77777777" w:rsidR="00942AB8" w:rsidRDefault="00942AB8" w:rsidP="00FA153F">
            <w:r>
              <w:t>______________________________________________________________________</w:t>
            </w:r>
          </w:p>
        </w:tc>
      </w:tr>
      <w:tr w:rsidR="00942AB8" w14:paraId="1A05A1E7" w14:textId="77777777" w:rsidTr="002A374B">
        <w:trPr>
          <w:cantSplit/>
          <w:trHeight w:val="148"/>
        </w:trPr>
        <w:tc>
          <w:tcPr>
            <w:tcW w:w="9568" w:type="dxa"/>
            <w:gridSpan w:val="4"/>
          </w:tcPr>
          <w:p w14:paraId="424CDEA1" w14:textId="77777777" w:rsidR="00942AB8" w:rsidRDefault="00942AB8" w:rsidP="00FA153F"/>
        </w:tc>
      </w:tr>
      <w:tr w:rsidR="0035375B" w14:paraId="18099180" w14:textId="77777777" w:rsidTr="00A12E55">
        <w:trPr>
          <w:cantSplit/>
          <w:trHeight w:val="148"/>
        </w:trPr>
        <w:tc>
          <w:tcPr>
            <w:tcW w:w="5457" w:type="dxa"/>
            <w:gridSpan w:val="3"/>
          </w:tcPr>
          <w:p w14:paraId="6520E578" w14:textId="77777777" w:rsidR="0035375B" w:rsidRPr="00942AB8" w:rsidRDefault="0035375B" w:rsidP="009224D8">
            <w:pPr>
              <w:rPr>
                <w:b/>
                <w:bCs/>
              </w:rPr>
            </w:pPr>
            <w:bookmarkStart w:id="4" w:name="ref_commissaire" w:colFirst="1" w:colLast="1"/>
            <w:r w:rsidRPr="00942AB8">
              <w:rPr>
                <w:b/>
                <w:bCs/>
              </w:rPr>
              <w:t>DEVANT L</w:t>
            </w:r>
            <w:r w:rsidR="009224D8">
              <w:rPr>
                <w:b/>
                <w:bCs/>
              </w:rPr>
              <w:t>E</w:t>
            </w:r>
            <w:r w:rsidRPr="00942AB8">
              <w:rPr>
                <w:b/>
                <w:bCs/>
              </w:rPr>
              <w:t xml:space="preserve"> JUGE ADMINISTRATI</w:t>
            </w:r>
            <w:r w:rsidR="009224D8">
              <w:rPr>
                <w:b/>
                <w:bCs/>
              </w:rPr>
              <w:t>F</w:t>
            </w:r>
            <w:r w:rsidRPr="00942AB8">
              <w:rPr>
                <w:b/>
                <w:bCs/>
              </w:rPr>
              <w:t> :</w:t>
            </w:r>
          </w:p>
        </w:tc>
        <w:tc>
          <w:tcPr>
            <w:tcW w:w="4111" w:type="dxa"/>
          </w:tcPr>
          <w:p w14:paraId="3A102288" w14:textId="77777777" w:rsidR="0035375B" w:rsidRPr="00942AB8" w:rsidRDefault="009224D8" w:rsidP="005B5689">
            <w:pPr>
              <w:pStyle w:val="zSoquijdatJuge"/>
              <w:rPr>
                <w:bCs/>
              </w:rPr>
            </w:pPr>
            <w:r>
              <w:t xml:space="preserve">Gaétan </w:t>
            </w:r>
            <w:proofErr w:type="spellStart"/>
            <w:r>
              <w:t>Guérard</w:t>
            </w:r>
            <w:proofErr w:type="spellEnd"/>
          </w:p>
        </w:tc>
      </w:tr>
      <w:bookmarkEnd w:id="4"/>
      <w:tr w:rsidR="00942AB8" w14:paraId="53CA8FCE" w14:textId="77777777" w:rsidTr="002A374B">
        <w:trPr>
          <w:cantSplit/>
          <w:trHeight w:val="148"/>
        </w:trPr>
        <w:tc>
          <w:tcPr>
            <w:tcW w:w="9568" w:type="dxa"/>
            <w:gridSpan w:val="4"/>
          </w:tcPr>
          <w:p w14:paraId="421FAA06" w14:textId="77777777" w:rsidR="00942AB8" w:rsidRDefault="00942AB8" w:rsidP="00FA153F">
            <w:r>
              <w:t>______________________________________________________________________</w:t>
            </w:r>
          </w:p>
        </w:tc>
      </w:tr>
      <w:tr w:rsidR="00942AB8" w14:paraId="7F296FAE" w14:textId="77777777" w:rsidTr="002A374B">
        <w:tc>
          <w:tcPr>
            <w:tcW w:w="9568" w:type="dxa"/>
            <w:gridSpan w:val="4"/>
          </w:tcPr>
          <w:p w14:paraId="1CFBB3B2" w14:textId="77777777" w:rsidR="00942AB8" w:rsidRDefault="00942AB8"/>
        </w:tc>
      </w:tr>
      <w:tr w:rsidR="00942AB8" w14:paraId="5538167E" w14:textId="77777777" w:rsidTr="00D40ABA">
        <w:tc>
          <w:tcPr>
            <w:tcW w:w="4748" w:type="dxa"/>
            <w:gridSpan w:val="2"/>
          </w:tcPr>
          <w:p w14:paraId="73AE5301" w14:textId="77777777" w:rsidR="00942AB8" w:rsidRDefault="00942AB8">
            <w:bookmarkStart w:id="5" w:name="bloc_parties_gauche"/>
            <w:bookmarkEnd w:id="5"/>
          </w:p>
        </w:tc>
        <w:tc>
          <w:tcPr>
            <w:tcW w:w="4820" w:type="dxa"/>
            <w:gridSpan w:val="2"/>
          </w:tcPr>
          <w:p w14:paraId="01B343AE" w14:textId="77777777" w:rsidR="00942AB8" w:rsidRDefault="00942AB8"/>
        </w:tc>
      </w:tr>
      <w:tr w:rsidR="00942AB8" w14:paraId="565BB4DE" w14:textId="77777777" w:rsidTr="00D40ABA">
        <w:tc>
          <w:tcPr>
            <w:tcW w:w="4748" w:type="dxa"/>
            <w:gridSpan w:val="2"/>
          </w:tcPr>
          <w:p w14:paraId="63C3C706" w14:textId="77777777" w:rsidR="00942AB8" w:rsidRDefault="009224D8">
            <w:pPr>
              <w:pStyle w:val="zSoquijdatNomPartieDem"/>
              <w:rPr>
                <w:b/>
              </w:rPr>
            </w:pPr>
            <w:r>
              <w:rPr>
                <w:b/>
              </w:rPr>
              <w:t>Michel Bray</w:t>
            </w:r>
          </w:p>
        </w:tc>
        <w:tc>
          <w:tcPr>
            <w:tcW w:w="4820" w:type="dxa"/>
            <w:gridSpan w:val="2"/>
          </w:tcPr>
          <w:p w14:paraId="68B72D8F" w14:textId="77777777" w:rsidR="00942AB8" w:rsidRDefault="00942AB8"/>
        </w:tc>
      </w:tr>
      <w:tr w:rsidR="00942AB8" w14:paraId="0DF725E4" w14:textId="77777777" w:rsidTr="00D40ABA">
        <w:tc>
          <w:tcPr>
            <w:tcW w:w="4748" w:type="dxa"/>
            <w:gridSpan w:val="2"/>
          </w:tcPr>
          <w:p w14:paraId="17369466" w14:textId="77777777" w:rsidR="00942AB8" w:rsidRDefault="009224D8" w:rsidP="009224D8">
            <w:pPr>
              <w:pStyle w:val="zSoquijdatQtePartieDem"/>
              <w:tabs>
                <w:tab w:val="left" w:pos="3539"/>
              </w:tabs>
              <w:ind w:left="708"/>
            </w:pPr>
            <w:bookmarkStart w:id="6" w:name="partie_demanderesse"/>
            <w:bookmarkEnd w:id="6"/>
            <w:r>
              <w:t>Partie demanderesse</w:t>
            </w:r>
          </w:p>
        </w:tc>
        <w:tc>
          <w:tcPr>
            <w:tcW w:w="4820" w:type="dxa"/>
            <w:gridSpan w:val="2"/>
          </w:tcPr>
          <w:p w14:paraId="23E7C82D" w14:textId="77777777" w:rsidR="00942AB8" w:rsidRDefault="00942AB8"/>
        </w:tc>
      </w:tr>
      <w:tr w:rsidR="00942AB8" w14:paraId="6815055D" w14:textId="77777777" w:rsidTr="00D40ABA">
        <w:tc>
          <w:tcPr>
            <w:tcW w:w="4748" w:type="dxa"/>
            <w:gridSpan w:val="2"/>
          </w:tcPr>
          <w:p w14:paraId="5D755080" w14:textId="77777777" w:rsidR="00942AB8" w:rsidRDefault="00942AB8"/>
        </w:tc>
        <w:tc>
          <w:tcPr>
            <w:tcW w:w="4820" w:type="dxa"/>
            <w:gridSpan w:val="2"/>
          </w:tcPr>
          <w:p w14:paraId="789E32EF" w14:textId="77777777" w:rsidR="00942AB8" w:rsidRDefault="00942AB8"/>
        </w:tc>
      </w:tr>
      <w:tr w:rsidR="00942AB8" w14:paraId="32E2409C" w14:textId="77777777" w:rsidTr="00D40ABA">
        <w:tc>
          <w:tcPr>
            <w:tcW w:w="4748" w:type="dxa"/>
            <w:gridSpan w:val="2"/>
          </w:tcPr>
          <w:p w14:paraId="097BBB72" w14:textId="77777777" w:rsidR="00942AB8" w:rsidRDefault="009224D8" w:rsidP="00D06652">
            <w:pPr>
              <w:pStyle w:val="zSoquijlblLienParties"/>
            </w:pPr>
            <w:proofErr w:type="gramStart"/>
            <w:r>
              <w:t>et</w:t>
            </w:r>
            <w:proofErr w:type="gramEnd"/>
          </w:p>
        </w:tc>
        <w:tc>
          <w:tcPr>
            <w:tcW w:w="4820" w:type="dxa"/>
            <w:gridSpan w:val="2"/>
          </w:tcPr>
          <w:p w14:paraId="6AD2C526" w14:textId="77777777" w:rsidR="00942AB8" w:rsidRDefault="00942AB8"/>
        </w:tc>
      </w:tr>
      <w:tr w:rsidR="00942AB8" w14:paraId="70547E0A" w14:textId="77777777" w:rsidTr="00D40ABA">
        <w:tc>
          <w:tcPr>
            <w:tcW w:w="4748" w:type="dxa"/>
            <w:gridSpan w:val="2"/>
          </w:tcPr>
          <w:p w14:paraId="2CD5799D" w14:textId="77777777" w:rsidR="00942AB8" w:rsidRDefault="00942AB8"/>
        </w:tc>
        <w:tc>
          <w:tcPr>
            <w:tcW w:w="4820" w:type="dxa"/>
            <w:gridSpan w:val="2"/>
          </w:tcPr>
          <w:p w14:paraId="14A746D1" w14:textId="77777777" w:rsidR="00942AB8" w:rsidRDefault="00942AB8"/>
        </w:tc>
      </w:tr>
      <w:tr w:rsidR="00942AB8" w14:paraId="4835717B" w14:textId="77777777" w:rsidTr="00D40ABA">
        <w:tc>
          <w:tcPr>
            <w:tcW w:w="4748" w:type="dxa"/>
            <w:gridSpan w:val="2"/>
          </w:tcPr>
          <w:p w14:paraId="747435B9" w14:textId="77777777" w:rsidR="00942AB8" w:rsidRDefault="009224D8" w:rsidP="00173FB5">
            <w:pPr>
              <w:pStyle w:val="zSoquijdatNomPartieDef"/>
              <w:rPr>
                <w:b/>
              </w:rPr>
            </w:pPr>
            <w:r>
              <w:rPr>
                <w:b/>
              </w:rPr>
              <w:t xml:space="preserve">Société de </w:t>
            </w:r>
            <w:r w:rsidR="00173FB5">
              <w:rPr>
                <w:b/>
              </w:rPr>
              <w:t>t</w:t>
            </w:r>
            <w:r>
              <w:rPr>
                <w:b/>
              </w:rPr>
              <w:t>ransport de Laval</w:t>
            </w:r>
          </w:p>
        </w:tc>
        <w:tc>
          <w:tcPr>
            <w:tcW w:w="4820" w:type="dxa"/>
            <w:gridSpan w:val="2"/>
          </w:tcPr>
          <w:p w14:paraId="293DF039" w14:textId="77777777" w:rsidR="00942AB8" w:rsidRDefault="00942AB8"/>
        </w:tc>
      </w:tr>
      <w:tr w:rsidR="00F348C4" w14:paraId="1327E371" w14:textId="77777777" w:rsidTr="00D40ABA">
        <w:tc>
          <w:tcPr>
            <w:tcW w:w="4748" w:type="dxa"/>
            <w:gridSpan w:val="2"/>
          </w:tcPr>
          <w:p w14:paraId="454F4D0E" w14:textId="77777777" w:rsidR="00F348C4" w:rsidRDefault="00C00DD2" w:rsidP="009224D8">
            <w:pPr>
              <w:pStyle w:val="zSoquijdatNomPartieDef"/>
              <w:rPr>
                <w:b/>
              </w:rPr>
            </w:pPr>
            <w:r>
              <w:rPr>
                <w:b/>
              </w:rPr>
              <w:t>Compagnie Seven-Up (La)</w:t>
            </w:r>
          </w:p>
        </w:tc>
        <w:tc>
          <w:tcPr>
            <w:tcW w:w="4820" w:type="dxa"/>
            <w:gridSpan w:val="2"/>
          </w:tcPr>
          <w:p w14:paraId="0E4BF5F8" w14:textId="77777777" w:rsidR="00F348C4" w:rsidRDefault="00F348C4"/>
        </w:tc>
      </w:tr>
      <w:tr w:rsidR="00942AB8" w14:paraId="7C8D01C7" w14:textId="77777777" w:rsidTr="00D40ABA">
        <w:tc>
          <w:tcPr>
            <w:tcW w:w="4748" w:type="dxa"/>
            <w:gridSpan w:val="2"/>
          </w:tcPr>
          <w:p w14:paraId="7C4D304D" w14:textId="77777777" w:rsidR="00942AB8" w:rsidRDefault="00080C47" w:rsidP="00080C47">
            <w:pPr>
              <w:pStyle w:val="zSoquijdatQtePartieDef"/>
              <w:ind w:left="708"/>
            </w:pPr>
            <w:r>
              <w:t>Partie</w:t>
            </w:r>
            <w:r w:rsidR="00C00DD2">
              <w:t>s</w:t>
            </w:r>
            <w:r>
              <w:t xml:space="preserve"> mise</w:t>
            </w:r>
            <w:r w:rsidR="00C00DD2">
              <w:t>s</w:t>
            </w:r>
            <w:r>
              <w:t xml:space="preserve"> en cause</w:t>
            </w:r>
          </w:p>
        </w:tc>
        <w:tc>
          <w:tcPr>
            <w:tcW w:w="4820" w:type="dxa"/>
            <w:gridSpan w:val="2"/>
          </w:tcPr>
          <w:p w14:paraId="3842FA67" w14:textId="77777777" w:rsidR="00942AB8" w:rsidRDefault="00942AB8"/>
        </w:tc>
      </w:tr>
      <w:tr w:rsidR="0065093D" w14:paraId="304B8EB1" w14:textId="77777777" w:rsidTr="00D40ABA">
        <w:tc>
          <w:tcPr>
            <w:tcW w:w="4748" w:type="dxa"/>
            <w:gridSpan w:val="2"/>
          </w:tcPr>
          <w:p w14:paraId="488A309E" w14:textId="77777777" w:rsidR="0065093D" w:rsidRDefault="0065093D"/>
        </w:tc>
        <w:tc>
          <w:tcPr>
            <w:tcW w:w="4820" w:type="dxa"/>
            <w:gridSpan w:val="2"/>
          </w:tcPr>
          <w:p w14:paraId="78780B04" w14:textId="77777777" w:rsidR="0065093D" w:rsidRDefault="0065093D"/>
        </w:tc>
      </w:tr>
      <w:tr w:rsidR="00942AB8" w14:paraId="2F499FB2" w14:textId="77777777" w:rsidTr="00D40ABA">
        <w:tc>
          <w:tcPr>
            <w:tcW w:w="4748" w:type="dxa"/>
            <w:gridSpan w:val="2"/>
          </w:tcPr>
          <w:p w14:paraId="5DADE80D" w14:textId="77777777" w:rsidR="00942AB8" w:rsidRDefault="00942AB8"/>
        </w:tc>
        <w:tc>
          <w:tcPr>
            <w:tcW w:w="4820" w:type="dxa"/>
            <w:gridSpan w:val="2"/>
          </w:tcPr>
          <w:p w14:paraId="73AC2D0F" w14:textId="77777777" w:rsidR="00942AB8" w:rsidRDefault="00942AB8"/>
        </w:tc>
      </w:tr>
    </w:tbl>
    <w:p w14:paraId="36804442" w14:textId="77777777" w:rsidR="00C74B6F" w:rsidRDefault="00C74B6F">
      <w:r>
        <w:t>______________________________________________________________________</w:t>
      </w:r>
    </w:p>
    <w:p w14:paraId="71C77496" w14:textId="77777777" w:rsidR="00C74B6F" w:rsidRDefault="00C74B6F"/>
    <w:p w14:paraId="0BD08BD1" w14:textId="77777777" w:rsidR="00C74B6F" w:rsidRPr="005B0612" w:rsidRDefault="00C74B6F" w:rsidP="008B042E">
      <w:pPr>
        <w:jc w:val="center"/>
        <w:rPr>
          <w:b/>
          <w:bCs/>
        </w:rPr>
      </w:pPr>
      <w:bookmarkStart w:id="7" w:name="decision"/>
      <w:r w:rsidRPr="005B0612">
        <w:rPr>
          <w:b/>
          <w:bCs/>
        </w:rPr>
        <w:t>DÉCISION</w:t>
      </w:r>
      <w:bookmarkEnd w:id="7"/>
    </w:p>
    <w:p w14:paraId="5A908500" w14:textId="77777777" w:rsidR="00C74B6F" w:rsidRDefault="00C74B6F">
      <w:pPr>
        <w:jc w:val="center"/>
      </w:pPr>
      <w:r>
        <w:t>______________________________________________________________________</w:t>
      </w:r>
    </w:p>
    <w:p w14:paraId="754B340D" w14:textId="77777777" w:rsidR="00C74B6F" w:rsidRDefault="00C74B6F"/>
    <w:p w14:paraId="6118DBDE" w14:textId="77777777" w:rsidR="005348E4" w:rsidRPr="004D16D6" w:rsidRDefault="005348E4" w:rsidP="00F96E41">
      <w:pPr>
        <w:rPr>
          <w:b/>
          <w:bCs/>
          <w:u w:val="single"/>
        </w:rPr>
      </w:pPr>
      <w:r w:rsidRPr="004D16D6">
        <w:rPr>
          <w:b/>
          <w:bCs/>
          <w:u w:val="single"/>
        </w:rPr>
        <w:t>L’APERÇU</w:t>
      </w:r>
    </w:p>
    <w:p w14:paraId="11B7CB50" w14:textId="77777777" w:rsidR="00C74B6F" w:rsidRDefault="00C74B6F"/>
    <w:p w14:paraId="52FF729C" w14:textId="77777777" w:rsidR="00C74B6F" w:rsidRDefault="00646B4B" w:rsidP="00A2528B">
      <w:pPr>
        <w:pStyle w:val="corpsdedcision"/>
        <w:tabs>
          <w:tab w:val="clear" w:pos="360"/>
        </w:tabs>
      </w:pPr>
      <w:r>
        <w:t>Monsieur Michel Bray</w:t>
      </w:r>
      <w:r w:rsidR="003047EB">
        <w:t xml:space="preserve"> a travaillé cinq ans à la C</w:t>
      </w:r>
      <w:r w:rsidR="00C00DD2">
        <w:t>ompagnie</w:t>
      </w:r>
      <w:r w:rsidR="003047EB">
        <w:t xml:space="preserve"> Seven-Up</w:t>
      </w:r>
      <w:r w:rsidR="00C00DD2">
        <w:t>,</w:t>
      </w:r>
      <w:r w:rsidR="003047EB">
        <w:t xml:space="preserve"> à la production et l’embouteillage de boisson gazeuse</w:t>
      </w:r>
      <w:r w:rsidR="003047EB">
        <w:rPr>
          <w:rStyle w:val="FootnoteReference"/>
        </w:rPr>
        <w:footnoteReference w:id="1"/>
      </w:r>
      <w:r w:rsidR="00C00DD2">
        <w:t>,</w:t>
      </w:r>
      <w:r w:rsidR="003047EB">
        <w:t xml:space="preserve"> et 39 ans à la Société de </w:t>
      </w:r>
      <w:r w:rsidR="00C00DD2">
        <w:t>t</w:t>
      </w:r>
      <w:r w:rsidR="003047EB">
        <w:t>ransport de Laval</w:t>
      </w:r>
      <w:r w:rsidR="00E61EC0">
        <w:t>, STL,</w:t>
      </w:r>
      <w:r w:rsidR="003047EB">
        <w:t xml:space="preserve"> à titre de chauffeur d’autobus urbain</w:t>
      </w:r>
      <w:r w:rsidR="003047EB">
        <w:rPr>
          <w:rStyle w:val="FootnoteReference"/>
        </w:rPr>
        <w:footnoteReference w:id="2"/>
      </w:r>
      <w:r w:rsidR="003047EB">
        <w:t>.</w:t>
      </w:r>
    </w:p>
    <w:p w14:paraId="2CDCAD81" w14:textId="77777777" w:rsidR="003047EB" w:rsidRDefault="003047EB" w:rsidP="00A2528B">
      <w:pPr>
        <w:pStyle w:val="corpsdedcision"/>
        <w:tabs>
          <w:tab w:val="clear" w:pos="360"/>
        </w:tabs>
      </w:pPr>
      <w:r>
        <w:lastRenderedPageBreak/>
        <w:t xml:space="preserve">En 2018, peu avant de prendre sa retraite, le travailleur consulte un audiologiste et apprend qu’il </w:t>
      </w:r>
      <w:r w:rsidR="00C00DD2">
        <w:t xml:space="preserve">est </w:t>
      </w:r>
      <w:r>
        <w:t>atteint de surdité professionnelle. Il dépose une réclamation à la Commission des normes, de l’équité, de la santé et de la sécurité du travail.</w:t>
      </w:r>
    </w:p>
    <w:p w14:paraId="28F8F7BF" w14:textId="77777777" w:rsidR="003047EB" w:rsidRDefault="003047EB" w:rsidP="00A2528B">
      <w:pPr>
        <w:pStyle w:val="corpsdedcision"/>
        <w:tabs>
          <w:tab w:val="clear" w:pos="360"/>
        </w:tabs>
      </w:pPr>
      <w:r>
        <w:t>Tant dans sa décision initiale qu’en révision</w:t>
      </w:r>
      <w:r>
        <w:rPr>
          <w:rStyle w:val="FootnoteReference"/>
        </w:rPr>
        <w:footnoteReference w:id="3"/>
      </w:r>
      <w:r>
        <w:t>, la Commission refuse la réclamation du travailleur. Selon elle, même s’il présente une surdité neurosensorielle, il n’a pas démontré avoir été exposé à des bruits excessifs. Le travailleur conteste cette dernière décision.</w:t>
      </w:r>
    </w:p>
    <w:p w14:paraId="7245119B" w14:textId="77777777" w:rsidR="003047EB" w:rsidRDefault="003047EB" w:rsidP="00A2528B">
      <w:pPr>
        <w:pStyle w:val="corpsdedcision"/>
        <w:tabs>
          <w:tab w:val="clear" w:pos="360"/>
        </w:tabs>
      </w:pPr>
      <w:r>
        <w:t>Le travailleur demande au Tribunal de déclarer qu’il a subi une maladie professionnelle, soit une surdité</w:t>
      </w:r>
      <w:r w:rsidR="007E6672">
        <w:t>,</w:t>
      </w:r>
      <w:r>
        <w:t xml:space="preserve"> et qu’il a droit aux prestations prévues par la </w:t>
      </w:r>
      <w:r w:rsidRPr="003047EB">
        <w:rPr>
          <w:i/>
        </w:rPr>
        <w:t>Loi sur les accidents du travail et les maladies professionnelles</w:t>
      </w:r>
      <w:r w:rsidRPr="001222DE">
        <w:rPr>
          <w:rStyle w:val="FootnoteReference"/>
        </w:rPr>
        <w:footnoteReference w:id="4"/>
      </w:r>
      <w:r>
        <w:t>, la Loi.</w:t>
      </w:r>
      <w:r w:rsidR="00021263">
        <w:t xml:space="preserve"> L’employeur</w:t>
      </w:r>
      <w:r w:rsidR="00C00DD2">
        <w:t>,</w:t>
      </w:r>
      <w:r w:rsidR="00021263">
        <w:t xml:space="preserve"> </w:t>
      </w:r>
      <w:r w:rsidR="00E61EC0">
        <w:t>la STL</w:t>
      </w:r>
      <w:r w:rsidR="00C00DD2">
        <w:t>,</w:t>
      </w:r>
      <w:r w:rsidR="00021263">
        <w:t xml:space="preserve"> est absent</w:t>
      </w:r>
      <w:r w:rsidR="001222DE">
        <w:t>e</w:t>
      </w:r>
      <w:r w:rsidR="00021263">
        <w:t xml:space="preserve"> à l’audience et n’a pas soumis d’argumentation. La </w:t>
      </w:r>
      <w:r w:rsidR="00C00DD2">
        <w:t xml:space="preserve">Compagnie </w:t>
      </w:r>
      <w:r w:rsidR="00021263">
        <w:t>Seven-Up demande de maintenir la décision de la Commission. Subsidiairement, le travailleur n’a pas démontré que l’emploi qu</w:t>
      </w:r>
      <w:r w:rsidR="00154E6D">
        <w:t>’</w:t>
      </w:r>
      <w:r w:rsidR="00021263">
        <w:t>i</w:t>
      </w:r>
      <w:r w:rsidR="00154E6D">
        <w:t>l</w:t>
      </w:r>
      <w:r w:rsidR="00021263">
        <w:t xml:space="preserve"> occupait l’a exposé à un bruit excessif</w:t>
      </w:r>
      <w:r w:rsidR="00154E6D">
        <w:t>,</w:t>
      </w:r>
      <w:r w:rsidR="00021263">
        <w:t xml:space="preserve"> d’autant plus qu’il a été de courte durée.</w:t>
      </w:r>
    </w:p>
    <w:p w14:paraId="5EC1627D" w14:textId="77777777" w:rsidR="00021263" w:rsidRDefault="00021263" w:rsidP="00A2528B">
      <w:pPr>
        <w:pStyle w:val="corpsdedcision"/>
        <w:tabs>
          <w:tab w:val="clear" w:pos="360"/>
        </w:tabs>
      </w:pPr>
      <w:r>
        <w:t>Le Tribunal conclut que la surdité du travailleur est une maladie professionnelle au sens de la Loi et qu’il a droit aux prestations prévues par la Loi. En effet, il présente une surdité neurosensorielle bilatérale même si elle est asymétrique et son atteinte est plus importante dans les hautes fréquences. De plus, le travailleur a démontré, par une preuve prépondérante, qu’il a effectué un travail impliquant une exposition à un bruit excessif.</w:t>
      </w:r>
    </w:p>
    <w:p w14:paraId="3BEC46ED" w14:textId="77777777" w:rsidR="005348E4" w:rsidRPr="004D16D6" w:rsidRDefault="005348E4" w:rsidP="00926A63">
      <w:pPr>
        <w:tabs>
          <w:tab w:val="left" w:pos="720"/>
        </w:tabs>
        <w:spacing w:after="360"/>
        <w:rPr>
          <w:b/>
          <w:bCs/>
          <w:u w:val="single"/>
        </w:rPr>
      </w:pPr>
      <w:r w:rsidRPr="004D16D6">
        <w:rPr>
          <w:b/>
          <w:bCs/>
          <w:u w:val="single"/>
        </w:rPr>
        <w:t>L’ANALYSE</w:t>
      </w:r>
    </w:p>
    <w:p w14:paraId="7269D30D" w14:textId="77777777" w:rsidR="00C94529" w:rsidRDefault="00C94529" w:rsidP="00A2528B">
      <w:pPr>
        <w:pStyle w:val="corpsdedcision"/>
        <w:tabs>
          <w:tab w:val="clear" w:pos="360"/>
        </w:tabs>
      </w:pPr>
      <w:r>
        <w:t>La question</w:t>
      </w:r>
      <w:r w:rsidRPr="00575C35">
        <w:t xml:space="preserve"> en litige </w:t>
      </w:r>
      <w:r>
        <w:t>est la suivante </w:t>
      </w:r>
      <w:r w:rsidRPr="00575C35">
        <w:t>:</w:t>
      </w:r>
      <w:r>
        <w:t xml:space="preserve"> le travailleur </w:t>
      </w:r>
      <w:r w:rsidRPr="00575C35">
        <w:t>a-t-il fait la preuve qu’il est atteint d’une maladie professionnelle, soit une surdité professionnelle?</w:t>
      </w:r>
    </w:p>
    <w:p w14:paraId="60D29B92" w14:textId="77777777" w:rsidR="00C94529" w:rsidRDefault="00C94529" w:rsidP="00A2528B">
      <w:pPr>
        <w:pStyle w:val="corpsdedcision"/>
        <w:tabs>
          <w:tab w:val="clear" w:pos="360"/>
        </w:tabs>
      </w:pPr>
      <w:r>
        <w:t>L’article 29 de la Loi prévoit la possibilité pour le travailleur de bénéficier d’une présomption facilitant la preuve qu’il est atteint d’une maladie professionnelle :</w:t>
      </w:r>
    </w:p>
    <w:p w14:paraId="0AA72801" w14:textId="77777777" w:rsidR="00C94529" w:rsidRDefault="00C94529" w:rsidP="00A2528B">
      <w:pPr>
        <w:pStyle w:val="articlesdelaLATMP"/>
        <w:tabs>
          <w:tab w:val="left" w:pos="720"/>
        </w:tabs>
      </w:pPr>
      <w:r w:rsidRPr="00977E47">
        <w:rPr>
          <w:b/>
        </w:rPr>
        <w:t>29.</w:t>
      </w:r>
      <w:r>
        <w:t xml:space="preserve"> Les maladies énumérées dans l’annexe I sont caractéristiques du travail correspondant à chacune de ces maladies d’après cette annexe et sont reliées directement aux risques particuliers de ce travail.</w:t>
      </w:r>
    </w:p>
    <w:p w14:paraId="49B65A6C" w14:textId="77777777" w:rsidR="00C94529" w:rsidRDefault="00C94529" w:rsidP="00A2528B">
      <w:pPr>
        <w:pStyle w:val="articlesdelaLATMP"/>
        <w:tabs>
          <w:tab w:val="left" w:pos="720"/>
        </w:tabs>
      </w:pPr>
    </w:p>
    <w:p w14:paraId="73B7B394" w14:textId="77777777" w:rsidR="00C94529" w:rsidRDefault="00C94529" w:rsidP="00A2528B">
      <w:pPr>
        <w:pStyle w:val="articlesdelaLATMP"/>
        <w:tabs>
          <w:tab w:val="left" w:pos="720"/>
        </w:tabs>
      </w:pPr>
      <w:r>
        <w:t>Le travailleur atteint d’une maladie visée dans cette annexe est présumé atteint d’une maladie professionnelle s’il a exercé un travail correspondant à cette maladie d’après l’annexe.</w:t>
      </w:r>
    </w:p>
    <w:p w14:paraId="69712681" w14:textId="77777777" w:rsidR="00C94529" w:rsidRDefault="00C94529" w:rsidP="00A2528B">
      <w:pPr>
        <w:pStyle w:val="articlesdelaLATMP"/>
        <w:tabs>
          <w:tab w:val="left" w:pos="720"/>
        </w:tabs>
      </w:pPr>
    </w:p>
    <w:p w14:paraId="34DF18E0" w14:textId="77777777" w:rsidR="00C94529" w:rsidRDefault="00C94529" w:rsidP="00A2528B">
      <w:pPr>
        <w:pStyle w:val="articlesdelaLATMP"/>
        <w:tabs>
          <w:tab w:val="left" w:pos="720"/>
        </w:tabs>
      </w:pPr>
    </w:p>
    <w:p w14:paraId="6DCA266F" w14:textId="77777777" w:rsidR="00C94529" w:rsidRDefault="00C94529" w:rsidP="00A2528B">
      <w:pPr>
        <w:pStyle w:val="corpsdedcision"/>
        <w:tabs>
          <w:tab w:val="clear" w:pos="360"/>
        </w:tabs>
      </w:pPr>
      <w:r>
        <w:lastRenderedPageBreak/>
        <w:t>L’annexe 1 de la Loi prévoit l’atteinte auditive causée par le bruit dans la liste des maladies. Le travail correspondant est un travail impliquant une exposition à un bruit excessif.</w:t>
      </w:r>
    </w:p>
    <w:p w14:paraId="7F316116" w14:textId="77777777" w:rsidR="00C94529" w:rsidRDefault="00C94529" w:rsidP="00A2528B">
      <w:pPr>
        <w:pStyle w:val="corpsdedcision"/>
        <w:tabs>
          <w:tab w:val="clear" w:pos="360"/>
        </w:tabs>
      </w:pPr>
      <w:r>
        <w:t>Ainsi, pour établir qu’il est atteint d’une surdité professionnelle, le travailleur doit démontrer par une preuve prépondérante qu’il est atteint d’une atteinte auditive causée par le bruit et qu’il a exercé un travail impliquant une exposition à un bruit excessif.</w:t>
      </w:r>
    </w:p>
    <w:p w14:paraId="2466976F" w14:textId="77777777" w:rsidR="00C94529" w:rsidRPr="008B2D1B" w:rsidRDefault="00C94529" w:rsidP="00A2528B">
      <w:pPr>
        <w:pStyle w:val="corpsdedcision"/>
        <w:numPr>
          <w:ilvl w:val="0"/>
          <w:numId w:val="0"/>
        </w:numPr>
        <w:rPr>
          <w:b/>
        </w:rPr>
      </w:pPr>
      <w:r w:rsidRPr="008B2D1B">
        <w:rPr>
          <w:b/>
        </w:rPr>
        <w:t>Atteinte auditive causée par le bruit</w:t>
      </w:r>
    </w:p>
    <w:p w14:paraId="0ECC3C58" w14:textId="77777777" w:rsidR="00A2528B" w:rsidRDefault="00A2528B" w:rsidP="00B83C66">
      <w:pPr>
        <w:pStyle w:val="corpsdedcision"/>
        <w:tabs>
          <w:tab w:val="clear" w:pos="360"/>
          <w:tab w:val="num" w:pos="720"/>
        </w:tabs>
      </w:pPr>
      <w:r>
        <w:t>Au stade de l’application de la présomption, le travailleur n’a qu’à démontrer que sa surdité est compatible avec une atteinte auditive causée par une exposition au bruit</w:t>
      </w:r>
      <w:r w:rsidR="0025063A">
        <w:t>,</w:t>
      </w:r>
      <w:r w:rsidR="0025063A" w:rsidRPr="0025063A">
        <w:t xml:space="preserve"> soit une surdité </w:t>
      </w:r>
      <w:r w:rsidR="0025063A">
        <w:t>n</w:t>
      </w:r>
      <w:r w:rsidR="0025063A" w:rsidRPr="0025063A">
        <w:t>eurosensoriel</w:t>
      </w:r>
      <w:r w:rsidR="0025063A">
        <w:t>le</w:t>
      </w:r>
      <w:r w:rsidR="0025063A" w:rsidRPr="0025063A">
        <w:t xml:space="preserve"> bilatérale, symétrique et plus sévère dans les hautes fréquences.</w:t>
      </w:r>
    </w:p>
    <w:p w14:paraId="4C33A63A" w14:textId="77777777" w:rsidR="00B83C66" w:rsidRDefault="00B83C66" w:rsidP="00B83C66">
      <w:pPr>
        <w:pStyle w:val="corpsdedcision"/>
        <w:tabs>
          <w:tab w:val="clear" w:pos="360"/>
          <w:tab w:val="num" w:pos="720"/>
        </w:tabs>
      </w:pPr>
      <w:r>
        <w:t>Le Tribunal est d’avis que le travailleur a démontré par une preuve prépondérante qu’il a une atteinte auditive causée par le bruit pour les motifs qui suivent.</w:t>
      </w:r>
    </w:p>
    <w:p w14:paraId="747CE9FD" w14:textId="77777777" w:rsidR="00C94529" w:rsidRDefault="00C94529" w:rsidP="00A2528B">
      <w:pPr>
        <w:pStyle w:val="corpsdedcision"/>
        <w:tabs>
          <w:tab w:val="clear" w:pos="360"/>
        </w:tabs>
      </w:pPr>
      <w:r>
        <w:t xml:space="preserve">Dans son rapport de juin 2018, l’audiologiste </w:t>
      </w:r>
      <w:r w:rsidR="0025063A">
        <w:t xml:space="preserve">écrit notamment que le travailleur a été chauffeur d’autobus pendant 38 ans. Il </w:t>
      </w:r>
      <w:r>
        <w:t xml:space="preserve">conclut </w:t>
      </w:r>
      <w:r w:rsidR="00A2528B">
        <w:t xml:space="preserve">que le travailleur est atteint d’hypoacousie neurosensorielle bilatérale, plus grande à droite qu’à gauche possiblement liée au bruit. </w:t>
      </w:r>
      <w:r w:rsidR="0025063A">
        <w:t>L’audiogramme montre une surdité plus importante à droite dans les basses fréquences</w:t>
      </w:r>
      <w:r w:rsidR="007E6672">
        <w:t>,</w:t>
      </w:r>
      <w:r w:rsidR="0025063A">
        <w:t xml:space="preserve"> mais les deux oreilles sont grandement affectées dans les hautes fréquences.</w:t>
      </w:r>
    </w:p>
    <w:p w14:paraId="772996D4" w14:textId="77777777" w:rsidR="00A2528B" w:rsidRDefault="00A2528B" w:rsidP="00A2528B">
      <w:pPr>
        <w:pStyle w:val="corpsdedcision"/>
        <w:tabs>
          <w:tab w:val="clear" w:pos="360"/>
        </w:tabs>
      </w:pPr>
      <w:r>
        <w:t>Le 23</w:t>
      </w:r>
      <w:r w:rsidR="007E6672">
        <w:t> </w:t>
      </w:r>
      <w:r>
        <w:t>juillet suivant, le docteur Christian Morin, oto-rhino-laryngologiste, remplit une attestation médicale sur le formulaire de la Commission indiquant que le travailleur est atteint de surdité neurosensorielle. Quelques jours plus tard, le travailleur dépose une réclamation en ce sens à la Commission.</w:t>
      </w:r>
    </w:p>
    <w:p w14:paraId="118C300A" w14:textId="77777777" w:rsidR="009A6F47" w:rsidRDefault="009A6F47" w:rsidP="0025063A">
      <w:pPr>
        <w:pStyle w:val="corpsdedcision"/>
        <w:tabs>
          <w:tab w:val="clear" w:pos="360"/>
          <w:tab w:val="num" w:pos="720"/>
        </w:tabs>
      </w:pPr>
      <w:r>
        <w:t>L’</w:t>
      </w:r>
      <w:r w:rsidR="0025063A" w:rsidRPr="0025063A">
        <w:t xml:space="preserve">asymétrie </w:t>
      </w:r>
      <w:r>
        <w:t xml:space="preserve">entre les pertes auditives à gauche et à droite </w:t>
      </w:r>
      <w:r w:rsidR="0025063A" w:rsidRPr="0025063A">
        <w:t>n’est pas une fin de non-recevoir à la reconnaissance d’une atteinte auditive causée par le bruit</w:t>
      </w:r>
      <w:r>
        <w:t xml:space="preserve">. Selon le </w:t>
      </w:r>
      <w:r w:rsidRPr="009E128A">
        <w:rPr>
          <w:i/>
          <w:sz w:val="22"/>
          <w:szCs w:val="22"/>
        </w:rPr>
        <w:t>Manuel d’hygiène du travail</w:t>
      </w:r>
      <w:r w:rsidR="007E6672">
        <w:rPr>
          <w:i/>
          <w:sz w:val="22"/>
          <w:szCs w:val="22"/>
        </w:rPr>
        <w:t> </w:t>
      </w:r>
      <w:r w:rsidR="009E128A" w:rsidRPr="009E128A">
        <w:rPr>
          <w:rFonts w:cs="Arial"/>
          <w:i/>
          <w:iCs/>
          <w:color w:val="000000"/>
          <w:sz w:val="22"/>
          <w:szCs w:val="22"/>
        </w:rPr>
        <w:t>: du diagnostic à la maîtrise des facteurs de risque</w:t>
      </w:r>
      <w:r w:rsidR="00A655E9">
        <w:rPr>
          <w:rStyle w:val="FootnoteReference"/>
        </w:rPr>
        <w:footnoteReference w:id="5"/>
      </w:r>
      <w:r>
        <w:t xml:space="preserve">, déposé par le travailleur, une perte auditive asymétrique peut s’expliquer par certaines conditions de travail. Les auteurs donnent l’exemple du chauffeur de camion dont l’oreille gauche, du côté de la fenêtre, est plus exposée au bruit de la circulation. Dans la jurisprudence du </w:t>
      </w:r>
      <w:r>
        <w:lastRenderedPageBreak/>
        <w:t>Tribunal</w:t>
      </w:r>
      <w:r w:rsidR="00A655E9">
        <w:rPr>
          <w:rStyle w:val="FootnoteReference"/>
        </w:rPr>
        <w:footnoteReference w:id="6"/>
      </w:r>
      <w:r>
        <w:t xml:space="preserve">, on y ajoute également la possibilité que le tuyau d’échappement </w:t>
      </w:r>
      <w:r w:rsidR="00A655E9">
        <w:t xml:space="preserve">soit près de la fenêtre gauche du camion pour signaler que l’asymétrie n’empêche pas nécessairement que l’atteinte auditive soit considérée </w:t>
      </w:r>
      <w:r w:rsidR="007E6672">
        <w:t xml:space="preserve">comme </w:t>
      </w:r>
      <w:r w:rsidR="00A655E9">
        <w:t>causée par le bruit.</w:t>
      </w:r>
    </w:p>
    <w:p w14:paraId="4A1BAE33" w14:textId="77777777" w:rsidR="0025063A" w:rsidRPr="0025063A" w:rsidRDefault="009E128A" w:rsidP="0025063A">
      <w:pPr>
        <w:pStyle w:val="corpsdedcision"/>
        <w:tabs>
          <w:tab w:val="clear" w:pos="360"/>
          <w:tab w:val="num" w:pos="720"/>
        </w:tabs>
      </w:pPr>
      <w:r>
        <w:t xml:space="preserve">Dans le cas du travailleur qui est chauffeur d’autobus urbain, c’est l’oreille droite qui est exposée plus directement </w:t>
      </w:r>
      <w:r w:rsidR="000F4BC0">
        <w:t>à certaines</w:t>
      </w:r>
      <w:r>
        <w:t xml:space="preserve"> sources de bruit. On note le mécanisme d’ouverture de la porte pour les passagers, les bruits occasionnés par les trous dans la chaussée sur le bord des trottoirs, les vibrations des fenêtres dans le ch</w:t>
      </w:r>
      <w:r w:rsidR="00156E2F">
        <w:t>â</w:t>
      </w:r>
      <w:r>
        <w:t>ssis d’aluminium et le bruit</w:t>
      </w:r>
      <w:r w:rsidR="000F4BC0">
        <w:t xml:space="preserve"> des passagers eux-mêmes.</w:t>
      </w:r>
    </w:p>
    <w:p w14:paraId="22F6A7B5" w14:textId="77777777" w:rsidR="00C94529" w:rsidRDefault="000F4BC0" w:rsidP="00A2528B">
      <w:pPr>
        <w:pStyle w:val="corpsdedcision"/>
        <w:tabs>
          <w:tab w:val="clear" w:pos="360"/>
        </w:tabs>
      </w:pPr>
      <w:r>
        <w:t>Enfin, l’audiogramme du travailleur ne présente pas</w:t>
      </w:r>
      <w:r w:rsidR="00FC0BE1">
        <w:t xml:space="preserve"> d’encoche, soit une remontée à </w:t>
      </w:r>
      <w:r w:rsidR="00B83C66">
        <w:t>4</w:t>
      </w:r>
      <w:r w:rsidR="007E6672">
        <w:t> </w:t>
      </w:r>
      <w:r w:rsidR="00B83C66">
        <w:t xml:space="preserve">000 ou </w:t>
      </w:r>
      <w:r w:rsidR="00FC0BE1">
        <w:t>8</w:t>
      </w:r>
      <w:r w:rsidR="007E6672">
        <w:t> 000 </w:t>
      </w:r>
      <w:r w:rsidR="00FC0BE1">
        <w:t xml:space="preserve">Hz. </w:t>
      </w:r>
      <w:r w:rsidR="00B42406">
        <w:t>S</w:t>
      </w:r>
      <w:r w:rsidR="00FC0BE1">
        <w:t>elon la jurisprudence</w:t>
      </w:r>
      <w:r w:rsidR="00FC0BE1">
        <w:rPr>
          <w:rStyle w:val="FootnoteReference"/>
        </w:rPr>
        <w:footnoteReference w:id="7"/>
      </w:r>
      <w:r w:rsidR="00FC0BE1">
        <w:t xml:space="preserve">, l’absence d’encoche n’est pas fatale </w:t>
      </w:r>
      <w:r w:rsidR="00B42406">
        <w:t>et</w:t>
      </w:r>
      <w:r w:rsidR="00FC0BE1">
        <w:t xml:space="preserve"> peut également s’expliqu</w:t>
      </w:r>
      <w:r w:rsidR="00B42406">
        <w:t>er</w:t>
      </w:r>
      <w:r w:rsidR="00FC0BE1">
        <w:t xml:space="preserve"> par l’âge du travailleur. En effet, la</w:t>
      </w:r>
      <w:r w:rsidR="00B42406">
        <w:t xml:space="preserve"> présence de</w:t>
      </w:r>
      <w:r w:rsidR="00FC0BE1">
        <w:t xml:space="preserve"> presbyacousie</w:t>
      </w:r>
      <w:r w:rsidR="00B42406">
        <w:t>,</w:t>
      </w:r>
      <w:r w:rsidR="00FC0BE1">
        <w:t xml:space="preserve"> associée à l’âge, contribue à effacer cette encoche</w:t>
      </w:r>
      <w:r w:rsidR="00FC0BE1">
        <w:rPr>
          <w:rStyle w:val="FootnoteReference"/>
        </w:rPr>
        <w:footnoteReference w:id="8"/>
      </w:r>
      <w:r w:rsidR="00FC0BE1">
        <w:t>.</w:t>
      </w:r>
      <w:r w:rsidR="00B42406">
        <w:t xml:space="preserve"> Dans le présent dossier, le travailleur est âgé de 63 ans au moment de sa réclamation à la Commission.</w:t>
      </w:r>
    </w:p>
    <w:p w14:paraId="6B8C81AD" w14:textId="77777777" w:rsidR="00A2528B" w:rsidRPr="008B2D1B" w:rsidRDefault="00A2528B" w:rsidP="00A2528B">
      <w:pPr>
        <w:pStyle w:val="corpsdedcision"/>
        <w:numPr>
          <w:ilvl w:val="0"/>
          <w:numId w:val="0"/>
        </w:numPr>
        <w:rPr>
          <w:b/>
        </w:rPr>
      </w:pPr>
      <w:r w:rsidRPr="008B2D1B">
        <w:rPr>
          <w:b/>
        </w:rPr>
        <w:t>Travail impliquant une exposition à un bruit excessif</w:t>
      </w:r>
    </w:p>
    <w:p w14:paraId="0857A929" w14:textId="77777777" w:rsidR="002D7E4C" w:rsidRDefault="002D7E4C" w:rsidP="00A2528B">
      <w:pPr>
        <w:pStyle w:val="corpsdedcision"/>
        <w:tabs>
          <w:tab w:val="clear" w:pos="360"/>
        </w:tabs>
      </w:pPr>
      <w:r>
        <w:t>Le Tribunal conclut que l’emploi de chauffeur d’autobus implique une exposition à un bruit excessif pour les motifs qui suivent.</w:t>
      </w:r>
    </w:p>
    <w:p w14:paraId="26013F2C" w14:textId="77777777" w:rsidR="00A2528B" w:rsidRDefault="00A2528B" w:rsidP="00A2528B">
      <w:pPr>
        <w:pStyle w:val="corpsdedcision"/>
        <w:tabs>
          <w:tab w:val="clear" w:pos="360"/>
        </w:tabs>
      </w:pPr>
      <w:r>
        <w:t>La notion de bruit excessif n’étant pas définie à la Loi, la jurisprudence du Tribunal</w:t>
      </w:r>
      <w:r>
        <w:rPr>
          <w:rStyle w:val="FootnoteReference"/>
        </w:rPr>
        <w:footnoteReference w:id="9"/>
      </w:r>
      <w:r>
        <w:t xml:space="preserve"> s’en remet au sens commun qu’on retrouve dans les dictionnaires de la langue française, soit : </w:t>
      </w:r>
      <w:r w:rsidRPr="004226A3">
        <w:t xml:space="preserve">un bruit </w:t>
      </w:r>
      <w:r w:rsidRPr="00173FB5">
        <w:rPr>
          <w:rStyle w:val="Citationintgre"/>
          <w:i w:val="0"/>
          <w:sz w:val="24"/>
          <w:szCs w:val="24"/>
        </w:rPr>
        <w:t>«</w:t>
      </w:r>
      <w:r w:rsidRPr="003F381C">
        <w:rPr>
          <w:rStyle w:val="Citationintgre"/>
        </w:rPr>
        <w:t> qui dépasse la mesure souhaitable ou permise ; qui est trop grand, trop important </w:t>
      </w:r>
      <w:r w:rsidRPr="00173FB5">
        <w:rPr>
          <w:rStyle w:val="Citationintgre"/>
          <w:i w:val="0"/>
          <w:sz w:val="24"/>
          <w:szCs w:val="24"/>
        </w:rPr>
        <w:t>»</w:t>
      </w:r>
      <w:r w:rsidRPr="004226A3">
        <w:t xml:space="preserve"> (Petit Robert), </w:t>
      </w:r>
      <w:r w:rsidRPr="00173FB5">
        <w:rPr>
          <w:rStyle w:val="Citationintgre"/>
          <w:i w:val="0"/>
          <w:sz w:val="24"/>
          <w:szCs w:val="24"/>
        </w:rPr>
        <w:t>«</w:t>
      </w:r>
      <w:r w:rsidRPr="003F381C">
        <w:rPr>
          <w:rStyle w:val="Citationintgre"/>
        </w:rPr>
        <w:t> qui excède la mesure, exagéré, exorbitant </w:t>
      </w:r>
      <w:r w:rsidRPr="00173FB5">
        <w:rPr>
          <w:rStyle w:val="Citationintgre"/>
          <w:i w:val="0"/>
          <w:sz w:val="24"/>
          <w:szCs w:val="24"/>
        </w:rPr>
        <w:t>»</w:t>
      </w:r>
      <w:r w:rsidRPr="004226A3">
        <w:t xml:space="preserve"> (Petit Larousse).</w:t>
      </w:r>
    </w:p>
    <w:p w14:paraId="18E13415" w14:textId="77777777" w:rsidR="00B42406" w:rsidRDefault="00B42406" w:rsidP="00B42406">
      <w:pPr>
        <w:pStyle w:val="corpsdedcision"/>
      </w:pPr>
      <w:r>
        <w:t xml:space="preserve">Le législateur a cependant édicté le </w:t>
      </w:r>
      <w:r w:rsidRPr="00B42406">
        <w:rPr>
          <w:i/>
        </w:rPr>
        <w:t>Règlement sur la santé et la sécurité du travail</w:t>
      </w:r>
      <w:r w:rsidRPr="001222DE">
        <w:rPr>
          <w:rStyle w:val="FootnoteReference"/>
        </w:rPr>
        <w:footnoteReference w:id="10"/>
      </w:r>
      <w:r>
        <w:t xml:space="preserve">, </w:t>
      </w:r>
      <w:r w:rsidRPr="00B42406">
        <w:t>prévoit aux articles</w:t>
      </w:r>
      <w:r w:rsidR="007E6672">
        <w:t> </w:t>
      </w:r>
      <w:r w:rsidRPr="00B42406">
        <w:t xml:space="preserve">130 et suivants, des dispositions relatives aux niveaux de bruit auxquels un travailleur ne doit pas être exposé. </w:t>
      </w:r>
      <w:r w:rsidR="00F1323A">
        <w:t xml:space="preserve">Si le législateur avait voulu que la notion de bruit excessif soit déterminée selon ces normes, il lui aurait été facile de l’écrire, ce qu’il n’a pas fait. </w:t>
      </w:r>
      <w:r w:rsidRPr="00B42406">
        <w:t xml:space="preserve">La jurisprudence établit </w:t>
      </w:r>
      <w:r w:rsidR="00D91DF6">
        <w:t xml:space="preserve">clairement </w:t>
      </w:r>
      <w:r w:rsidR="00363637">
        <w:t>que</w:t>
      </w:r>
      <w:r w:rsidRPr="00B42406">
        <w:t xml:space="preserve"> ces normes </w:t>
      </w:r>
      <w:r w:rsidRPr="00B42406">
        <w:lastRenderedPageBreak/>
        <w:t>réglementaires</w:t>
      </w:r>
      <w:r w:rsidR="00363637">
        <w:t xml:space="preserve"> ne peuvent servir à déterminer ce qu’est un bruit excessif et </w:t>
      </w:r>
      <w:r w:rsidR="00B83C66">
        <w:t xml:space="preserve">ne </w:t>
      </w:r>
      <w:r w:rsidR="00363637">
        <w:t xml:space="preserve">peuvent tout au plus </w:t>
      </w:r>
      <w:r w:rsidR="00B83C66">
        <w:t xml:space="preserve">que </w:t>
      </w:r>
      <w:r w:rsidR="00363637">
        <w:t>servir d’indicateur</w:t>
      </w:r>
      <w:r w:rsidR="00F1323A">
        <w:rPr>
          <w:rStyle w:val="FootnoteReference"/>
        </w:rPr>
        <w:footnoteReference w:id="11"/>
      </w:r>
      <w:r w:rsidRPr="00B42406">
        <w:t>.</w:t>
      </w:r>
      <w:r w:rsidR="00F1323A">
        <w:t xml:space="preserve"> </w:t>
      </w:r>
    </w:p>
    <w:p w14:paraId="1297CCD8" w14:textId="77777777" w:rsidR="00F1323A" w:rsidRDefault="00F1323A" w:rsidP="00B42406">
      <w:pPr>
        <w:pStyle w:val="corpsdedcision"/>
      </w:pPr>
      <w:r>
        <w:t xml:space="preserve">Or, </w:t>
      </w:r>
      <w:r w:rsidR="00D91DF6">
        <w:t>la Commission, sourde à l’interprétation du Tribunal</w:t>
      </w:r>
      <w:r w:rsidR="00B83C66">
        <w:t>,</w:t>
      </w:r>
      <w:r w:rsidR="00D91DF6">
        <w:t xml:space="preserve"> continue d’appliquer ces normes. Elle refuse la réclamation du travailleur en se basant sur le fait qu’un</w:t>
      </w:r>
      <w:r w:rsidR="00363637">
        <w:t xml:space="preserve"> rapport d’exposition au bruit d’un</w:t>
      </w:r>
      <w:r w:rsidR="00D91DF6">
        <w:t xml:space="preserve"> chauffeur d’autobus </w:t>
      </w:r>
      <w:r w:rsidR="00363637">
        <w:t>d’un autre employeur</w:t>
      </w:r>
      <w:r w:rsidR="001222DE">
        <w:rPr>
          <w:rStyle w:val="FootnoteReference"/>
        </w:rPr>
        <w:footnoteReference w:id="12"/>
      </w:r>
      <w:r w:rsidR="00363637">
        <w:t xml:space="preserve"> que celui du travailleur</w:t>
      </w:r>
      <w:r w:rsidR="00D91DF6">
        <w:t xml:space="preserve"> montre que le bruit auquel il est exposé est en dessous de 90 décibels pour une période de </w:t>
      </w:r>
      <w:r w:rsidR="00311A7B">
        <w:t xml:space="preserve">huit </w:t>
      </w:r>
      <w:r w:rsidR="00D91DF6">
        <w:t xml:space="preserve">heures consécutives de travail. </w:t>
      </w:r>
      <w:r w:rsidR="00363637">
        <w:t>Effectivement</w:t>
      </w:r>
      <w:r w:rsidR="00D91DF6">
        <w:t>, ce bruit et la durée correspondante sont tirés du tableau prévu à l’article</w:t>
      </w:r>
      <w:r w:rsidR="007E6672">
        <w:t> </w:t>
      </w:r>
      <w:r w:rsidR="00D91DF6">
        <w:t xml:space="preserve">131 du </w:t>
      </w:r>
      <w:r w:rsidR="00D91DF6" w:rsidRPr="00D91DF6">
        <w:rPr>
          <w:i/>
        </w:rPr>
        <w:t>Règlement sur la santé et la sécurité du travail</w:t>
      </w:r>
      <w:r w:rsidR="00D91DF6" w:rsidRPr="001222DE">
        <w:rPr>
          <w:rStyle w:val="FootnoteReference"/>
        </w:rPr>
        <w:footnoteReference w:id="13"/>
      </w:r>
      <w:r w:rsidR="00D91DF6">
        <w:t xml:space="preserve">. </w:t>
      </w:r>
    </w:p>
    <w:p w14:paraId="649A2B52" w14:textId="77777777" w:rsidR="0002564B" w:rsidRDefault="003074B7" w:rsidP="00B42406">
      <w:pPr>
        <w:pStyle w:val="corpsdedcision"/>
      </w:pPr>
      <w:r>
        <w:t>L’auteur du rapport en question conclut que le chauffeur de la ST</w:t>
      </w:r>
      <w:r w:rsidR="001222DE">
        <w:t>M</w:t>
      </w:r>
      <w:r>
        <w:t xml:space="preserve"> a probablement été exposé au cours de sa carrière à des bruits variant entre 75 et 80 </w:t>
      </w:r>
      <w:proofErr w:type="spellStart"/>
      <w:r>
        <w:t>dBA</w:t>
      </w:r>
      <w:proofErr w:type="spellEnd"/>
      <w:r>
        <w:t xml:space="preserve">. Cette conclusion </w:t>
      </w:r>
      <w:r w:rsidR="0002564B">
        <w:t>sous-estime le bruit réel auquel le chauffeur d’autobus est exposé</w:t>
      </w:r>
      <w:r w:rsidR="001D4F13">
        <w:t>.</w:t>
      </w:r>
    </w:p>
    <w:p w14:paraId="097CD31E" w14:textId="77777777" w:rsidR="003074B7" w:rsidRDefault="001D4F13" w:rsidP="00B42406">
      <w:pPr>
        <w:pStyle w:val="corpsdedcision"/>
      </w:pPr>
      <w:r>
        <w:t xml:space="preserve">En effet, </w:t>
      </w:r>
      <w:r w:rsidR="0002564B">
        <w:t xml:space="preserve">sa conclusion </w:t>
      </w:r>
      <w:r w:rsidR="003074B7">
        <w:t>s’appuie notamment sur une étude américaine dont les mesures de bruit</w:t>
      </w:r>
      <w:r w:rsidR="0002564B">
        <w:t xml:space="preserve"> ont été prises dans deux autobus sans passagers. L’auteur prend soin de souligner «</w:t>
      </w:r>
      <w:r w:rsidR="007E6672">
        <w:t> </w:t>
      </w:r>
      <w:r w:rsidR="0002564B" w:rsidRPr="001222DE">
        <w:rPr>
          <w:i/>
          <w:sz w:val="22"/>
          <w:szCs w:val="22"/>
        </w:rPr>
        <w:t>que les niveaux de bruits auraient été plus élevés si les autobus avaient été en service avec des passagers</w:t>
      </w:r>
      <w:r w:rsidR="007E6672" w:rsidRPr="001222DE">
        <w:rPr>
          <w:i/>
          <w:sz w:val="22"/>
          <w:szCs w:val="22"/>
        </w:rPr>
        <w:t> </w:t>
      </w:r>
      <w:r w:rsidR="0002564B">
        <w:t>».</w:t>
      </w:r>
    </w:p>
    <w:p w14:paraId="14BBCFB6" w14:textId="77777777" w:rsidR="002D7E4C" w:rsidRDefault="002D7E4C" w:rsidP="00B42406">
      <w:pPr>
        <w:pStyle w:val="corpsdedcision"/>
      </w:pPr>
      <w:r>
        <w:t xml:space="preserve">Le travailleur dans le cadre de son travail, </w:t>
      </w:r>
      <w:r w:rsidR="00B85AE6">
        <w:t xml:space="preserve">dessert </w:t>
      </w:r>
      <w:r>
        <w:t xml:space="preserve">plusieurs écoles. Pendant environ 15 ans, il </w:t>
      </w:r>
      <w:r w:rsidR="00B85AE6">
        <w:t xml:space="preserve">transportait </w:t>
      </w:r>
      <w:r>
        <w:t>successivement les élèves de trois écoles secondaires</w:t>
      </w:r>
      <w:r w:rsidR="00AB2DBA">
        <w:t xml:space="preserve"> </w:t>
      </w:r>
      <w:r w:rsidR="00B85AE6">
        <w:t>entre la maison et l’école</w:t>
      </w:r>
      <w:r w:rsidR="000D1AA6">
        <w:t>, de même qu’</w:t>
      </w:r>
      <w:r>
        <w:t xml:space="preserve">à la sortie des classes. Contrairement aux passagers réguliers, les élèves se connaissent et se parlent abondamment pendant le trajet d’autobus. De plus, </w:t>
      </w:r>
      <w:r w:rsidR="008B6958">
        <w:t xml:space="preserve">ils </w:t>
      </w:r>
      <w:r>
        <w:t xml:space="preserve">usent et abusent de la cloche qui sert à avertir le chauffeur qu’une personne veut descendre au prochain arrêt. La cloche est située en haut à gauche près de </w:t>
      </w:r>
      <w:r w:rsidR="004314A4">
        <w:t xml:space="preserve">l’oreille </w:t>
      </w:r>
      <w:r>
        <w:t>du travailleur.</w:t>
      </w:r>
      <w:r w:rsidR="00AB2DBA">
        <w:t xml:space="preserve"> </w:t>
      </w:r>
      <w:r w:rsidR="004314A4">
        <w:t>Aussi, l</w:t>
      </w:r>
      <w:r w:rsidR="00AB2DBA">
        <w:t>e travailleur desser</w:t>
      </w:r>
      <w:r w:rsidR="000D1AA6">
        <w:t>t</w:t>
      </w:r>
      <w:r w:rsidR="00AB2DBA">
        <w:t xml:space="preserve"> une école sur l’heure du dîner.</w:t>
      </w:r>
    </w:p>
    <w:p w14:paraId="041C3A3C" w14:textId="77777777" w:rsidR="00F573FF" w:rsidRDefault="00F573FF" w:rsidP="00B75CD0">
      <w:pPr>
        <w:pStyle w:val="corpsdedcision"/>
      </w:pPr>
      <w:r>
        <w:t>Le Manuel d’hygiène du travail</w:t>
      </w:r>
      <w:r w:rsidR="00413C57">
        <w:rPr>
          <w:rStyle w:val="FootnoteReference"/>
        </w:rPr>
        <w:footnoteReference w:id="14"/>
      </w:r>
      <w:r>
        <w:t xml:space="preserve">, confirme que le risque augmente avec la dose d’exposition et qu’il apparaît dès 75 </w:t>
      </w:r>
      <w:proofErr w:type="spellStart"/>
      <w:r>
        <w:t>dBA</w:t>
      </w:r>
      <w:proofErr w:type="spellEnd"/>
      <w:r>
        <w:t xml:space="preserve"> : </w:t>
      </w:r>
    </w:p>
    <w:p w14:paraId="49F2BD5A" w14:textId="6CF31B9B" w:rsidR="00F573FF" w:rsidRDefault="00F573FF" w:rsidP="00F573FF">
      <w:pPr>
        <w:pStyle w:val="citation"/>
      </w:pPr>
      <w:r>
        <w:t xml:space="preserve">Certaines études démontrent que des niveaux de bruit quotidiens de 70 </w:t>
      </w:r>
      <w:proofErr w:type="spellStart"/>
      <w:r>
        <w:t>dBA</w:t>
      </w:r>
      <w:proofErr w:type="spellEnd"/>
      <w:r>
        <w:t xml:space="preserve"> ou moins ne présentent pas de danger pour l’oreille humaine</w:t>
      </w:r>
      <w:r w:rsidR="001222DE" w:rsidRPr="00C13A1F">
        <w:rPr>
          <w:vertAlign w:val="superscript"/>
        </w:rPr>
        <w:t>11</w:t>
      </w:r>
      <w:r>
        <w:t xml:space="preserve">. À partir de 85 </w:t>
      </w:r>
      <w:proofErr w:type="spellStart"/>
      <w:r>
        <w:t>dBA</w:t>
      </w:r>
      <w:proofErr w:type="spellEnd"/>
      <w:r>
        <w:t xml:space="preserve">, pour une exposition de huit heures, un risque important existe pour la plupart des personnes </w:t>
      </w:r>
      <w:r>
        <w:lastRenderedPageBreak/>
        <w:t>exposées. Il y a donc un certain consensus scientifique</w:t>
      </w:r>
      <w:r w:rsidR="007E6672">
        <w:t> </w:t>
      </w:r>
      <w:r>
        <w:t xml:space="preserve">: </w:t>
      </w:r>
      <w:r w:rsidRPr="00B83C66">
        <w:rPr>
          <w:u w:val="single"/>
        </w:rPr>
        <w:t xml:space="preserve">le risque augmente avec la dose d’exposition et il apparaît dès 75 </w:t>
      </w:r>
      <w:proofErr w:type="spellStart"/>
      <w:r w:rsidRPr="00B83C66">
        <w:rPr>
          <w:u w:val="single"/>
        </w:rPr>
        <w:t>dBA</w:t>
      </w:r>
      <w:proofErr w:type="spellEnd"/>
      <w:r w:rsidRPr="00B83C66">
        <w:rPr>
          <w:u w:val="single"/>
        </w:rPr>
        <w:t xml:space="preserve"> à 80 </w:t>
      </w:r>
      <w:proofErr w:type="spellStart"/>
      <w:r w:rsidRPr="00B83C66">
        <w:rPr>
          <w:u w:val="single"/>
        </w:rPr>
        <w:t>dBA</w:t>
      </w:r>
      <w:proofErr w:type="spellEnd"/>
      <w:r>
        <w:t xml:space="preserve">. </w:t>
      </w:r>
    </w:p>
    <w:p w14:paraId="4576EB04" w14:textId="77777777" w:rsidR="00C13A1F" w:rsidRDefault="00C13A1F" w:rsidP="00F573FF">
      <w:pPr>
        <w:pStyle w:val="citation"/>
      </w:pPr>
    </w:p>
    <w:p w14:paraId="00571053" w14:textId="6D9440C8" w:rsidR="00AB2DBA" w:rsidRDefault="00F573FF" w:rsidP="00C13A1F">
      <w:pPr>
        <w:pStyle w:val="corpsdedcision"/>
        <w:numPr>
          <w:ilvl w:val="0"/>
          <w:numId w:val="0"/>
        </w:numPr>
        <w:spacing w:after="0"/>
        <w:rPr>
          <w:szCs w:val="24"/>
        </w:rPr>
      </w:pPr>
      <w:r w:rsidRPr="00C13A1F">
        <w:rPr>
          <w:szCs w:val="24"/>
        </w:rPr>
        <w:tab/>
        <w:t>[</w:t>
      </w:r>
      <w:r w:rsidR="00C13A1F">
        <w:rPr>
          <w:szCs w:val="24"/>
        </w:rPr>
        <w:t>Note</w:t>
      </w:r>
      <w:r w:rsidRPr="00C13A1F">
        <w:rPr>
          <w:szCs w:val="24"/>
        </w:rPr>
        <w:t xml:space="preserve"> omise</w:t>
      </w:r>
      <w:r w:rsidR="00B83C66" w:rsidRPr="00C13A1F">
        <w:rPr>
          <w:szCs w:val="24"/>
        </w:rPr>
        <w:t>, notre soulignement</w:t>
      </w:r>
      <w:r w:rsidRPr="00C13A1F">
        <w:rPr>
          <w:szCs w:val="24"/>
        </w:rPr>
        <w:t>]</w:t>
      </w:r>
    </w:p>
    <w:p w14:paraId="6B862034" w14:textId="77777777" w:rsidR="00C13A1F" w:rsidRDefault="00C13A1F" w:rsidP="00C13A1F">
      <w:pPr>
        <w:pStyle w:val="corpsdedcision"/>
        <w:numPr>
          <w:ilvl w:val="0"/>
          <w:numId w:val="0"/>
        </w:numPr>
        <w:spacing w:after="0"/>
        <w:rPr>
          <w:szCs w:val="24"/>
        </w:rPr>
      </w:pPr>
    </w:p>
    <w:p w14:paraId="138E6C4B" w14:textId="77777777" w:rsidR="00C13A1F" w:rsidRPr="00C13A1F" w:rsidRDefault="00C13A1F" w:rsidP="00C13A1F">
      <w:pPr>
        <w:pStyle w:val="corpsdedcision"/>
        <w:numPr>
          <w:ilvl w:val="0"/>
          <w:numId w:val="0"/>
        </w:numPr>
        <w:spacing w:after="0"/>
        <w:rPr>
          <w:szCs w:val="24"/>
        </w:rPr>
      </w:pPr>
    </w:p>
    <w:p w14:paraId="2719DF79" w14:textId="77777777" w:rsidR="00F573FF" w:rsidRDefault="00F573FF" w:rsidP="00AB2DBA">
      <w:pPr>
        <w:pStyle w:val="corpsdedcision"/>
      </w:pPr>
      <w:r>
        <w:t>Il faut souligner également que le travailleur a exercé son travail de chauffeur d’autobus pendant 39 ans de 1980 à 2019.</w:t>
      </w:r>
    </w:p>
    <w:p w14:paraId="269EFBF4" w14:textId="77777777" w:rsidR="00AB2DBA" w:rsidRDefault="00F573FF" w:rsidP="00AB2DBA">
      <w:pPr>
        <w:pStyle w:val="corpsdedcision"/>
      </w:pPr>
      <w:r>
        <w:t>Le Tribunal conclut que l</w:t>
      </w:r>
      <w:r w:rsidR="00AB2DBA">
        <w:t xml:space="preserve">e travailleur a, par une preuve prépondérante, fait la démonstration qu’il a été exposé à un bruit excessif dans son emploi de chauffeur d’autobus à la </w:t>
      </w:r>
      <w:r w:rsidR="00943107">
        <w:t>STL</w:t>
      </w:r>
      <w:r w:rsidR="00AB2DBA">
        <w:t xml:space="preserve">. </w:t>
      </w:r>
    </w:p>
    <w:p w14:paraId="3C347D15" w14:textId="77777777" w:rsidR="00AB2DBA" w:rsidRDefault="00AB2DBA" w:rsidP="00AB2DBA">
      <w:pPr>
        <w:pStyle w:val="corpsdedcision"/>
      </w:pPr>
      <w:r>
        <w:t>Le travailleur n’a pas fait cette d</w:t>
      </w:r>
      <w:r w:rsidR="00F573FF">
        <w:t xml:space="preserve">émonstration cependant chez la </w:t>
      </w:r>
      <w:r w:rsidR="002E1F94">
        <w:t>Compagnie</w:t>
      </w:r>
      <w:r w:rsidR="00F00E8C">
        <w:t xml:space="preserve"> </w:t>
      </w:r>
      <w:r w:rsidR="00F573FF">
        <w:t>Seven</w:t>
      </w:r>
      <w:r w:rsidR="002E1F94">
        <w:t>-</w:t>
      </w:r>
      <w:r w:rsidR="00F573FF">
        <w:t>Up</w:t>
      </w:r>
      <w:r w:rsidR="002E1F94">
        <w:t>,</w:t>
      </w:r>
      <w:r w:rsidR="00F573FF">
        <w:t xml:space="preserve"> où il a travaillé à la production et l’embouteillage</w:t>
      </w:r>
      <w:r w:rsidR="00B83C66" w:rsidRPr="00B83C66">
        <w:t xml:space="preserve"> </w:t>
      </w:r>
      <w:r w:rsidR="00B83C66">
        <w:t>de 1975 à 1980</w:t>
      </w:r>
      <w:r w:rsidR="00F573FF">
        <w:t>. En effet, le travailleur invoqu</w:t>
      </w:r>
      <w:r w:rsidR="002E1F94">
        <w:t>e</w:t>
      </w:r>
      <w:r w:rsidR="00F573FF">
        <w:t xml:space="preserve"> le bruit des chariots élévateurs et des bouteilles de verre </w:t>
      </w:r>
      <w:r w:rsidR="001D066C">
        <w:t xml:space="preserve">qui s’entrechoquent. </w:t>
      </w:r>
      <w:r w:rsidR="002E1F94">
        <w:t xml:space="preserve">Il avoue </w:t>
      </w:r>
      <w:r w:rsidR="001D066C">
        <w:t xml:space="preserve">cependant qu’il </w:t>
      </w:r>
      <w:r w:rsidR="002E1F94">
        <w:t xml:space="preserve">est </w:t>
      </w:r>
      <w:r w:rsidR="001D066C">
        <w:t>capable d’avoir des conversations avec des collègues et s’il devait parler plus fort</w:t>
      </w:r>
      <w:r w:rsidR="002E1F94">
        <w:t xml:space="preserve"> à certains moments</w:t>
      </w:r>
      <w:r w:rsidR="001D066C">
        <w:t xml:space="preserve">, c’était surtout à cause de la distance entre eux. </w:t>
      </w:r>
      <w:r w:rsidR="00B83C66">
        <w:t>Ainsi, il n’a pas démontré avoir été exposé à des bruits excessifs chez cet employeur</w:t>
      </w:r>
      <w:r w:rsidR="00B83C66" w:rsidRPr="00C13A1F">
        <w:t xml:space="preserve">. </w:t>
      </w:r>
      <w:r w:rsidR="001D066C" w:rsidRPr="00C13A1F">
        <w:t>De plus, le travailleur a cessé d’être exposé aux bruits chez cet employeur plus de 38 ans avant de faire une réclamation pour une surdité professionnelle.</w:t>
      </w:r>
      <w:r w:rsidR="001D066C">
        <w:t xml:space="preserve"> </w:t>
      </w:r>
    </w:p>
    <w:p w14:paraId="44AF665F" w14:textId="77777777" w:rsidR="00AB2DBA" w:rsidRDefault="00AB2DBA" w:rsidP="00AB2DBA">
      <w:pPr>
        <w:pStyle w:val="corpsdedcision"/>
      </w:pPr>
      <w:r>
        <w:t>Le Tribunal arrive à la conclusion que la surdité dont est atteint le travailleur est une maladie professionnelle et qu’il a droit aux prestations prévues à la Loi.</w:t>
      </w:r>
    </w:p>
    <w:p w14:paraId="17F718E4" w14:textId="77777777" w:rsidR="00646B4B" w:rsidRDefault="00646B4B" w:rsidP="00B42406">
      <w:pPr>
        <w:pStyle w:val="corpsdedcision"/>
      </w:pPr>
      <w:r>
        <w:t>Le Tribunal tient à souligner que le travailleur a également démontré que sa surdité est reliée directement aux risques particuliers de son travail de chauffeur d’autobus, conformément à l’article</w:t>
      </w:r>
      <w:r w:rsidR="007E6672">
        <w:t> </w:t>
      </w:r>
      <w:r>
        <w:t>30 de la Loi.</w:t>
      </w:r>
    </w:p>
    <w:p w14:paraId="7D829627" w14:textId="77777777" w:rsidR="0002564B" w:rsidRDefault="00646B4B" w:rsidP="00B42406">
      <w:pPr>
        <w:pStyle w:val="corpsdedcision"/>
      </w:pPr>
      <w:r>
        <w:t>En effet, le rapport d’exposition au bruit d’un chauffeur de la STM montre également que les vibrations aux bras et au corps entier du travailleur s’ajoute</w:t>
      </w:r>
      <w:r w:rsidR="007E6672">
        <w:t>nt</w:t>
      </w:r>
      <w:r>
        <w:t xml:space="preserve"> au bruit et a un impact combiné sur son atteinte auditive. L</w:t>
      </w:r>
      <w:r w:rsidR="0002564B">
        <w:t>’auteur cite des études qui démontrent d’une part</w:t>
      </w:r>
      <w:r w:rsidR="00BF19CA">
        <w:t>,</w:t>
      </w:r>
      <w:r w:rsidR="0002564B">
        <w:t xml:space="preserve"> que les chauffeurs d’autobus sont exposés aux vibrations mains-bras et aux vibration</w:t>
      </w:r>
      <w:r w:rsidR="001D4F13">
        <w:t>s</w:t>
      </w:r>
      <w:r w:rsidR="0002564B">
        <w:t xml:space="preserve"> au corps entier et</w:t>
      </w:r>
      <w:r w:rsidR="00BF19CA">
        <w:t>,</w:t>
      </w:r>
      <w:r w:rsidR="0002564B">
        <w:t xml:space="preserve"> d’autre part</w:t>
      </w:r>
      <w:r w:rsidR="00BF19CA">
        <w:t>,</w:t>
      </w:r>
      <w:r w:rsidR="0002564B">
        <w:t xml:space="preserve"> que l’effet combiné du bruit et </w:t>
      </w:r>
      <w:r w:rsidR="00BF19CA">
        <w:t>c</w:t>
      </w:r>
      <w:r w:rsidR="0002564B">
        <w:t>es</w:t>
      </w:r>
      <w:r w:rsidR="001D4F13">
        <w:t xml:space="preserve"> deux types de </w:t>
      </w:r>
      <w:r w:rsidR="0002564B">
        <w:t>vibrations</w:t>
      </w:r>
      <w:r w:rsidR="001D4F13">
        <w:t xml:space="preserve"> ont un effet synergique sur la perte auditive.</w:t>
      </w:r>
    </w:p>
    <w:p w14:paraId="15C74045" w14:textId="77777777" w:rsidR="00363637" w:rsidRDefault="001D4F13" w:rsidP="008C599B">
      <w:pPr>
        <w:pStyle w:val="corpsdedcision"/>
        <w:spacing w:after="720"/>
      </w:pPr>
      <w:r>
        <w:t>Ainsi,</w:t>
      </w:r>
      <w:r w:rsidR="00363637">
        <w:t xml:space="preserve"> </w:t>
      </w:r>
      <w:r w:rsidR="007E6672">
        <w:t>bien</w:t>
      </w:r>
      <w:r w:rsidR="00363637">
        <w:t xml:space="preserve"> qu’il </w:t>
      </w:r>
      <w:r>
        <w:t xml:space="preserve">sous-estime </w:t>
      </w:r>
      <w:r w:rsidR="00363637">
        <w:t>le bruit auquel le chauffeur d’autobus</w:t>
      </w:r>
      <w:r>
        <w:t xml:space="preserve"> est exposé</w:t>
      </w:r>
      <w:r w:rsidR="00363637">
        <w:t xml:space="preserve">, </w:t>
      </w:r>
      <w:r>
        <w:t xml:space="preserve">l’auteur </w:t>
      </w:r>
      <w:r w:rsidR="00363637">
        <w:t xml:space="preserve">conclut que la perte auditive de ce </w:t>
      </w:r>
      <w:r>
        <w:t>chauffeur d’autobus</w:t>
      </w:r>
      <w:r w:rsidR="00363637">
        <w:t xml:space="preserve"> de 62 ans, soit un âge similaire </w:t>
      </w:r>
      <w:r w:rsidR="007E6672">
        <w:t xml:space="preserve">à celui du </w:t>
      </w:r>
      <w:r w:rsidR="00363637">
        <w:t>travailleur d</w:t>
      </w:r>
      <w:r w:rsidR="007E6672">
        <w:t>ans le</w:t>
      </w:r>
      <w:r w:rsidR="00363637">
        <w:t xml:space="preserve"> présent dossier, «</w:t>
      </w:r>
      <w:r w:rsidR="007E6672">
        <w:t> </w:t>
      </w:r>
      <w:r w:rsidR="00363637" w:rsidRPr="00F00E8C">
        <w:rPr>
          <w:i/>
          <w:sz w:val="22"/>
          <w:szCs w:val="22"/>
        </w:rPr>
        <w:t>n’est pas due à notre avis au seul effet du vieillissement</w:t>
      </w:r>
      <w:r w:rsidR="007E6672">
        <w:t> </w:t>
      </w:r>
      <w:r w:rsidR="00363637">
        <w:t>» et que les facteurs professionnels qui peuvent expliquer, du moins en partie, cette perte «</w:t>
      </w:r>
      <w:r w:rsidR="007E6672">
        <w:t> </w:t>
      </w:r>
      <w:r w:rsidR="00363637" w:rsidRPr="00F00E8C">
        <w:rPr>
          <w:i/>
          <w:sz w:val="22"/>
          <w:szCs w:val="22"/>
        </w:rPr>
        <w:t>est l’exposition combinée au bruit et aux vibrations</w:t>
      </w:r>
      <w:r w:rsidR="007E6672" w:rsidRPr="00F00E8C">
        <w:rPr>
          <w:i/>
          <w:sz w:val="22"/>
          <w:szCs w:val="22"/>
        </w:rPr>
        <w:t> </w:t>
      </w:r>
      <w:r w:rsidR="00363637">
        <w:t>».</w:t>
      </w:r>
    </w:p>
    <w:p w14:paraId="17F95256" w14:textId="77777777" w:rsidR="00C74B6F" w:rsidRDefault="00C74B6F">
      <w:pPr>
        <w:pStyle w:val="Dispositif"/>
      </w:pPr>
      <w:r>
        <w:rPr>
          <w:b/>
        </w:rPr>
        <w:lastRenderedPageBreak/>
        <w:t>P</w:t>
      </w:r>
      <w:r w:rsidR="00D07FA6">
        <w:rPr>
          <w:b/>
        </w:rPr>
        <w:t>AR CES MOTIFS, LE TRIBUNAL ADMINISTRATIF DU TRAVAIL</w:t>
      </w:r>
      <w:r>
        <w:rPr>
          <w:b/>
        </w:rPr>
        <w:t> :</w:t>
      </w:r>
    </w:p>
    <w:p w14:paraId="52D87AB8" w14:textId="77777777" w:rsidR="00021263" w:rsidRDefault="00021263" w:rsidP="00021263">
      <w:pPr>
        <w:pStyle w:val="Dispositif"/>
      </w:pPr>
      <w:r>
        <w:rPr>
          <w:b/>
        </w:rPr>
        <w:t xml:space="preserve">ACCUEILLE </w:t>
      </w:r>
      <w:r>
        <w:t>la contestation de monsieur Michel Bray;</w:t>
      </w:r>
    </w:p>
    <w:p w14:paraId="55E8B7A3" w14:textId="77777777" w:rsidR="00021263" w:rsidRPr="001E74B3" w:rsidRDefault="00021263" w:rsidP="00021263">
      <w:pPr>
        <w:pStyle w:val="Dispositif"/>
      </w:pPr>
      <w:r w:rsidRPr="001E74B3">
        <w:rPr>
          <w:b/>
        </w:rPr>
        <w:t>INFIRME</w:t>
      </w:r>
      <w:r w:rsidRPr="001E74B3">
        <w:t xml:space="preserve"> la décision de la Commission des normes, de l’équité, de la santé et de la sécurité du travail rendue le </w:t>
      </w:r>
      <w:r>
        <w:t>14</w:t>
      </w:r>
      <w:r w:rsidR="007E6672">
        <w:t> </w:t>
      </w:r>
      <w:r>
        <w:t>janvier 2019</w:t>
      </w:r>
      <w:r w:rsidR="008C599B">
        <w:t>,</w:t>
      </w:r>
      <w:r>
        <w:t xml:space="preserve"> </w:t>
      </w:r>
      <w:r w:rsidRPr="001E74B3">
        <w:t>à la suite d’une révision administrative</w:t>
      </w:r>
      <w:r>
        <w:t> </w:t>
      </w:r>
      <w:r w:rsidRPr="001E74B3">
        <w:t>;</w:t>
      </w:r>
    </w:p>
    <w:p w14:paraId="5BD9DD67" w14:textId="7AA6D9E3" w:rsidR="00021263" w:rsidRDefault="00021263" w:rsidP="00021263">
      <w:pPr>
        <w:pStyle w:val="Dispositif"/>
      </w:pPr>
      <w:r>
        <w:rPr>
          <w:b/>
        </w:rPr>
        <w:t>DÉCLARE</w:t>
      </w:r>
      <w:r>
        <w:t xml:space="preserve"> que </w:t>
      </w:r>
      <w:r w:rsidR="008C599B">
        <w:t>le travailleur</w:t>
      </w:r>
      <w:r>
        <w:t xml:space="preserve"> a été </w:t>
      </w:r>
      <w:r>
        <w:rPr>
          <w:lang w:val="fr-FR"/>
        </w:rPr>
        <w:t>victime</w:t>
      </w:r>
      <w:r>
        <w:t xml:space="preserve"> d’une maladie professionnelle le 23</w:t>
      </w:r>
      <w:r w:rsidR="007E6672">
        <w:t> </w:t>
      </w:r>
      <w:r>
        <w:t xml:space="preserve">juillet 2018, soit une surdité, et qu’il a droit aux indemnités prévues à la </w:t>
      </w:r>
      <w:r w:rsidRPr="00A40DDE">
        <w:rPr>
          <w:i/>
        </w:rPr>
        <w:t>Loi sur les accidents du travail et les maladies professionnelles</w:t>
      </w:r>
      <w:r>
        <w:t>.</w:t>
      </w:r>
    </w:p>
    <w:p w14:paraId="500F958E" w14:textId="31F651E8" w:rsidR="00C74B6F" w:rsidRDefault="00C74B6F">
      <w:pPr>
        <w:pStyle w:val="Dispositif"/>
      </w:pPr>
    </w:p>
    <w:p w14:paraId="00E939F6"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7DC85451" w14:textId="77777777">
        <w:tc>
          <w:tcPr>
            <w:tcW w:w="4795" w:type="dxa"/>
          </w:tcPr>
          <w:p w14:paraId="0E614FE3" w14:textId="77777777" w:rsidR="00C74B6F" w:rsidRDefault="00C74B6F"/>
        </w:tc>
        <w:tc>
          <w:tcPr>
            <w:tcW w:w="4795" w:type="dxa"/>
          </w:tcPr>
          <w:p w14:paraId="46426FD0" w14:textId="0D8FEAE9" w:rsidR="00C74B6F" w:rsidRDefault="00C74B6F">
            <w:bookmarkStart w:id="8" w:name="signature"/>
            <w:bookmarkEnd w:id="8"/>
            <w:r>
              <w:t>__________________________________</w:t>
            </w:r>
          </w:p>
        </w:tc>
      </w:tr>
      <w:tr w:rsidR="00C74B6F" w14:paraId="44764F3F" w14:textId="77777777">
        <w:tc>
          <w:tcPr>
            <w:tcW w:w="4795" w:type="dxa"/>
          </w:tcPr>
          <w:p w14:paraId="0957902E" w14:textId="77777777" w:rsidR="00C74B6F" w:rsidRDefault="00C74B6F"/>
        </w:tc>
        <w:tc>
          <w:tcPr>
            <w:tcW w:w="4795" w:type="dxa"/>
          </w:tcPr>
          <w:p w14:paraId="7F42E5C9" w14:textId="2336490F" w:rsidR="00C74B6F" w:rsidRDefault="0059126C">
            <w:r>
              <w:t xml:space="preserve">Gaétan </w:t>
            </w:r>
            <w:proofErr w:type="spellStart"/>
            <w:r>
              <w:t>Guérard</w:t>
            </w:r>
            <w:proofErr w:type="spellEnd"/>
          </w:p>
        </w:tc>
      </w:tr>
      <w:tr w:rsidR="00C74B6F" w14:paraId="4DECFDCA" w14:textId="77777777">
        <w:trPr>
          <w:cantSplit/>
        </w:trPr>
        <w:tc>
          <w:tcPr>
            <w:tcW w:w="9590" w:type="dxa"/>
            <w:gridSpan w:val="2"/>
          </w:tcPr>
          <w:p w14:paraId="09CB0E37" w14:textId="1F96BDA7" w:rsidR="00C74B6F" w:rsidRDefault="00C74B6F"/>
        </w:tc>
      </w:tr>
      <w:tr w:rsidR="00C74B6F" w14:paraId="4B406CD7" w14:textId="77777777">
        <w:trPr>
          <w:cantSplit/>
        </w:trPr>
        <w:tc>
          <w:tcPr>
            <w:tcW w:w="9590" w:type="dxa"/>
            <w:gridSpan w:val="2"/>
          </w:tcPr>
          <w:p w14:paraId="17D115DD" w14:textId="4009E350" w:rsidR="00C74B6F" w:rsidRPr="00C912F9" w:rsidRDefault="00C74B6F" w:rsidP="00EC5C8D">
            <w:pPr>
              <w:tabs>
                <w:tab w:val="left" w:pos="1592"/>
              </w:tabs>
            </w:pPr>
          </w:p>
        </w:tc>
      </w:tr>
      <w:tr w:rsidR="00C74B6F" w14:paraId="66EAF19D" w14:textId="77777777">
        <w:trPr>
          <w:cantSplit/>
        </w:trPr>
        <w:tc>
          <w:tcPr>
            <w:tcW w:w="9590" w:type="dxa"/>
            <w:gridSpan w:val="2"/>
          </w:tcPr>
          <w:p w14:paraId="019C5EBC" w14:textId="77777777" w:rsidR="00C74B6F" w:rsidRDefault="00C74B6F"/>
        </w:tc>
      </w:tr>
      <w:tr w:rsidR="00861F8B" w14:paraId="745C0A35" w14:textId="77777777">
        <w:trPr>
          <w:cantSplit/>
        </w:trPr>
        <w:tc>
          <w:tcPr>
            <w:tcW w:w="9590" w:type="dxa"/>
            <w:gridSpan w:val="2"/>
          </w:tcPr>
          <w:p w14:paraId="5E441164" w14:textId="77777777" w:rsidR="00861F8B" w:rsidRDefault="00861F8B"/>
        </w:tc>
      </w:tr>
      <w:tr w:rsidR="00861F8B" w14:paraId="5259AA5B" w14:textId="77777777">
        <w:trPr>
          <w:cantSplit/>
        </w:trPr>
        <w:tc>
          <w:tcPr>
            <w:tcW w:w="9590" w:type="dxa"/>
            <w:gridSpan w:val="2"/>
          </w:tcPr>
          <w:p w14:paraId="0A008E24" w14:textId="77777777" w:rsidR="00861F8B" w:rsidRDefault="00E25DCB" w:rsidP="0059126C">
            <w:r>
              <w:fldChar w:fldCharType="begin"/>
            </w:r>
            <w:r>
              <w:instrText xml:space="preserve"> MACROBUTTON  AbaisserNiveauListe </w:instrText>
            </w:r>
            <w:r>
              <w:fldChar w:fldCharType="end"/>
            </w:r>
          </w:p>
        </w:tc>
      </w:tr>
      <w:tr w:rsidR="00C74B6F" w14:paraId="16A8467E" w14:textId="77777777">
        <w:trPr>
          <w:cantSplit/>
        </w:trPr>
        <w:tc>
          <w:tcPr>
            <w:tcW w:w="9590" w:type="dxa"/>
            <w:gridSpan w:val="2"/>
          </w:tcPr>
          <w:p w14:paraId="54E95680" w14:textId="77777777" w:rsidR="00C74B6F" w:rsidRDefault="00C74B6F"/>
        </w:tc>
      </w:tr>
      <w:tr w:rsidR="00C74B6F" w14:paraId="6657D5F6" w14:textId="77777777">
        <w:trPr>
          <w:cantSplit/>
        </w:trPr>
        <w:tc>
          <w:tcPr>
            <w:tcW w:w="9590" w:type="dxa"/>
            <w:gridSpan w:val="2"/>
          </w:tcPr>
          <w:p w14:paraId="50A50905" w14:textId="77777777" w:rsidR="00C74B6F" w:rsidRDefault="0059126C" w:rsidP="00173FB5">
            <w:pPr>
              <w:pStyle w:val="zSoquijdatNomProcureurDem"/>
            </w:pPr>
            <w:r>
              <w:t>M</w:t>
            </w:r>
            <w:r w:rsidR="008C599B">
              <w:t>.</w:t>
            </w:r>
            <w:r>
              <w:t xml:space="preserve"> Sébastien Duclos</w:t>
            </w:r>
          </w:p>
        </w:tc>
      </w:tr>
      <w:tr w:rsidR="00C74B6F" w14:paraId="7FA46B76" w14:textId="77777777">
        <w:trPr>
          <w:cantSplit/>
        </w:trPr>
        <w:tc>
          <w:tcPr>
            <w:tcW w:w="9590" w:type="dxa"/>
            <w:gridSpan w:val="2"/>
          </w:tcPr>
          <w:p w14:paraId="52B833B4" w14:textId="77777777" w:rsidR="00C74B6F" w:rsidRDefault="0059126C">
            <w:pPr>
              <w:pStyle w:val="zSoquijdatCabinetProcureurDem"/>
            </w:pPr>
            <w:r>
              <w:t>S.C.F.P.</w:t>
            </w:r>
          </w:p>
        </w:tc>
      </w:tr>
      <w:tr w:rsidR="00C74B6F" w14:paraId="70C5170C" w14:textId="77777777">
        <w:trPr>
          <w:cantSplit/>
        </w:trPr>
        <w:tc>
          <w:tcPr>
            <w:tcW w:w="9590" w:type="dxa"/>
            <w:gridSpan w:val="2"/>
          </w:tcPr>
          <w:p w14:paraId="61BB7D5C" w14:textId="77777777" w:rsidR="00C74B6F" w:rsidRDefault="00CB05A7">
            <w:pPr>
              <w:pStyle w:val="zSoquijlblProcureurDem"/>
            </w:pPr>
            <w:r>
              <w:t>Pour la partie demanderesse</w:t>
            </w:r>
          </w:p>
        </w:tc>
      </w:tr>
      <w:tr w:rsidR="00C74B6F" w14:paraId="573134E2" w14:textId="77777777">
        <w:trPr>
          <w:cantSplit/>
        </w:trPr>
        <w:tc>
          <w:tcPr>
            <w:tcW w:w="9590" w:type="dxa"/>
            <w:gridSpan w:val="2"/>
          </w:tcPr>
          <w:p w14:paraId="54122563" w14:textId="77777777" w:rsidR="00C74B6F" w:rsidRDefault="00C74B6F"/>
        </w:tc>
      </w:tr>
      <w:tr w:rsidR="00C74B6F" w14:paraId="02083F51" w14:textId="77777777">
        <w:trPr>
          <w:cantSplit/>
        </w:trPr>
        <w:tc>
          <w:tcPr>
            <w:tcW w:w="9590" w:type="dxa"/>
            <w:gridSpan w:val="2"/>
          </w:tcPr>
          <w:p w14:paraId="15C6ADDA" w14:textId="77777777" w:rsidR="00C74B6F" w:rsidRDefault="008C599B" w:rsidP="00173FB5">
            <w:pPr>
              <w:pStyle w:val="zSoquijdatNomProcureurDef"/>
            </w:pPr>
            <w:r>
              <w:t>M</w:t>
            </w:r>
            <w:r w:rsidRPr="00F00E8C">
              <w:rPr>
                <w:vertAlign w:val="superscript"/>
              </w:rPr>
              <w:t>me</w:t>
            </w:r>
            <w:r>
              <w:t xml:space="preserve"> </w:t>
            </w:r>
            <w:r w:rsidR="0059126C">
              <w:t>Louise Latulippe</w:t>
            </w:r>
          </w:p>
        </w:tc>
      </w:tr>
      <w:tr w:rsidR="00C74B6F" w14:paraId="54C46FC5" w14:textId="77777777">
        <w:trPr>
          <w:cantSplit/>
        </w:trPr>
        <w:tc>
          <w:tcPr>
            <w:tcW w:w="9590" w:type="dxa"/>
            <w:gridSpan w:val="2"/>
          </w:tcPr>
          <w:p w14:paraId="1171C5F8" w14:textId="77777777" w:rsidR="00C74B6F" w:rsidRDefault="00CB05A7" w:rsidP="00173FB5">
            <w:pPr>
              <w:pStyle w:val="zSoquijlblProcureurDef"/>
            </w:pPr>
            <w:r>
              <w:t xml:space="preserve">Pour la </w:t>
            </w:r>
            <w:r w:rsidR="0059126C">
              <w:t xml:space="preserve">Société de </w:t>
            </w:r>
            <w:r w:rsidR="008C599B">
              <w:t>t</w:t>
            </w:r>
            <w:r w:rsidR="0059126C">
              <w:t>ransport de Laval</w:t>
            </w:r>
          </w:p>
        </w:tc>
      </w:tr>
      <w:tr w:rsidR="007569DE" w14:paraId="2A783E0E" w14:textId="77777777">
        <w:trPr>
          <w:cantSplit/>
        </w:trPr>
        <w:tc>
          <w:tcPr>
            <w:tcW w:w="9590" w:type="dxa"/>
            <w:gridSpan w:val="2"/>
          </w:tcPr>
          <w:p w14:paraId="0F00BDA6" w14:textId="77777777" w:rsidR="007569DE" w:rsidRDefault="007569DE"/>
        </w:tc>
      </w:tr>
      <w:tr w:rsidR="00C74B6F" w14:paraId="0700F60D" w14:textId="77777777">
        <w:trPr>
          <w:cantSplit/>
        </w:trPr>
        <w:tc>
          <w:tcPr>
            <w:tcW w:w="9590" w:type="dxa"/>
            <w:gridSpan w:val="2"/>
          </w:tcPr>
          <w:p w14:paraId="61F17421" w14:textId="77777777" w:rsidR="00C74B6F" w:rsidRDefault="008C599B" w:rsidP="00173FB5">
            <w:pPr>
              <w:pStyle w:val="zSoquijdatNomProcureurInt"/>
            </w:pPr>
            <w:r>
              <w:t>M</w:t>
            </w:r>
            <w:r w:rsidRPr="00F00E8C">
              <w:rPr>
                <w:vertAlign w:val="superscript"/>
              </w:rPr>
              <w:t>me</w:t>
            </w:r>
            <w:r>
              <w:t xml:space="preserve"> </w:t>
            </w:r>
            <w:r w:rsidR="0059126C">
              <w:t>Mélanie Leclerc</w:t>
            </w:r>
          </w:p>
        </w:tc>
      </w:tr>
      <w:tr w:rsidR="00C74B6F" w14:paraId="5AA0B340" w14:textId="77777777">
        <w:trPr>
          <w:cantSplit/>
        </w:trPr>
        <w:tc>
          <w:tcPr>
            <w:tcW w:w="9590" w:type="dxa"/>
            <w:gridSpan w:val="2"/>
          </w:tcPr>
          <w:p w14:paraId="4AEBFEF4" w14:textId="77777777" w:rsidR="00C74B6F" w:rsidRDefault="00E61EC0">
            <w:pPr>
              <w:pStyle w:val="zSoquijdatCabinetProcureurInt"/>
            </w:pPr>
            <w:r>
              <w:t>REED GROUP</w:t>
            </w:r>
          </w:p>
        </w:tc>
      </w:tr>
      <w:tr w:rsidR="00C74B6F" w14:paraId="233C3A68" w14:textId="77777777">
        <w:trPr>
          <w:cantSplit/>
        </w:trPr>
        <w:tc>
          <w:tcPr>
            <w:tcW w:w="9590" w:type="dxa"/>
            <w:gridSpan w:val="2"/>
          </w:tcPr>
          <w:p w14:paraId="62098B92" w14:textId="77777777" w:rsidR="00C74B6F" w:rsidRDefault="007569DE" w:rsidP="00173FB5">
            <w:pPr>
              <w:pStyle w:val="zSoquijlblProcureurInt"/>
            </w:pPr>
            <w:r>
              <w:t xml:space="preserve">Pour la </w:t>
            </w:r>
            <w:r w:rsidR="0059126C">
              <w:t>C</w:t>
            </w:r>
            <w:r w:rsidR="00E61EC0">
              <w:t>ompagnie</w:t>
            </w:r>
            <w:r w:rsidR="0059126C">
              <w:t xml:space="preserve"> Seven-Up </w:t>
            </w:r>
          </w:p>
        </w:tc>
      </w:tr>
      <w:tr w:rsidR="00C15A3F" w14:paraId="0EA500C6" w14:textId="77777777">
        <w:trPr>
          <w:cantSplit/>
        </w:trPr>
        <w:tc>
          <w:tcPr>
            <w:tcW w:w="9590" w:type="dxa"/>
            <w:gridSpan w:val="2"/>
          </w:tcPr>
          <w:p w14:paraId="58995D81" w14:textId="77777777" w:rsidR="00C15A3F" w:rsidRDefault="00C15A3F">
            <w:pPr>
              <w:pStyle w:val="zSoquijlblProcureurInt"/>
            </w:pPr>
          </w:p>
        </w:tc>
      </w:tr>
      <w:tr w:rsidR="00C15A3F" w14:paraId="12CEF9FA" w14:textId="77777777">
        <w:trPr>
          <w:cantSplit/>
        </w:trPr>
        <w:tc>
          <w:tcPr>
            <w:tcW w:w="9590" w:type="dxa"/>
            <w:gridSpan w:val="2"/>
          </w:tcPr>
          <w:p w14:paraId="6B1B5669" w14:textId="77777777" w:rsidR="00C15A3F" w:rsidRDefault="00C15A3F" w:rsidP="00D936D0">
            <w:pPr>
              <w:pStyle w:val="zSoquijdatDateAudience"/>
            </w:pPr>
            <w:bookmarkStart w:id="9" w:name="Date_derniere_audience"/>
            <w:bookmarkEnd w:id="9"/>
            <w:r>
              <w:t xml:space="preserve">Date de la </w:t>
            </w:r>
            <w:r w:rsidR="00CC6338">
              <w:t>mise en délibéré</w:t>
            </w:r>
            <w:r>
              <w:t> :</w:t>
            </w:r>
            <w:r w:rsidR="00597016">
              <w:tab/>
            </w:r>
            <w:r w:rsidR="00D936D0">
              <w:t>7</w:t>
            </w:r>
            <w:r w:rsidR="007E6672">
              <w:t> </w:t>
            </w:r>
            <w:r w:rsidR="00D936D0">
              <w:t>octobre 2021</w:t>
            </w:r>
          </w:p>
        </w:tc>
      </w:tr>
    </w:tbl>
    <w:p w14:paraId="29589ACD" w14:textId="77777777" w:rsidR="009A135C" w:rsidRDefault="009A135C" w:rsidP="009A135C">
      <w:pPr>
        <w:pStyle w:val="articlesdelaLSST"/>
        <w:ind w:left="0"/>
      </w:pPr>
    </w:p>
    <w:p w14:paraId="4737800A" w14:textId="77777777" w:rsidR="00E93DFE" w:rsidRDefault="00E93DFE" w:rsidP="00E93DFE"/>
    <w:sectPr w:rsidR="00E93DFE">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49D9" w14:textId="77777777" w:rsidR="009C16A4" w:rsidRDefault="009C16A4">
      <w:r>
        <w:separator/>
      </w:r>
    </w:p>
  </w:endnote>
  <w:endnote w:type="continuationSeparator" w:id="0">
    <w:p w14:paraId="08B6FC7B" w14:textId="77777777" w:rsidR="009C16A4" w:rsidRDefault="009C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A047" w14:textId="77777777" w:rsidR="009C16A4" w:rsidRDefault="009C16A4">
      <w:r>
        <w:separator/>
      </w:r>
    </w:p>
  </w:footnote>
  <w:footnote w:type="continuationSeparator" w:id="0">
    <w:p w14:paraId="5E9F99B5" w14:textId="77777777" w:rsidR="009C16A4" w:rsidRDefault="009C16A4">
      <w:r>
        <w:continuationSeparator/>
      </w:r>
    </w:p>
  </w:footnote>
  <w:footnote w:id="1">
    <w:p w14:paraId="0F3B2C1C" w14:textId="77777777" w:rsidR="003047EB" w:rsidRPr="003047EB" w:rsidRDefault="003047EB" w:rsidP="003047E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De 1975 à 1980.</w:t>
      </w:r>
    </w:p>
  </w:footnote>
  <w:footnote w:id="2">
    <w:p w14:paraId="6C17D86E" w14:textId="77777777" w:rsidR="003047EB" w:rsidRPr="003047EB" w:rsidRDefault="003047EB" w:rsidP="003047E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De 1980 à 2019.</w:t>
      </w:r>
    </w:p>
  </w:footnote>
  <w:footnote w:id="3">
    <w:p w14:paraId="69D6DEE2" w14:textId="77777777" w:rsidR="003047EB" w:rsidRPr="003047EB" w:rsidRDefault="003047EB" w:rsidP="003047E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Décision du 14</w:t>
      </w:r>
      <w:r w:rsidR="007E6672">
        <w:rPr>
          <w:rFonts w:cs="Arial"/>
          <w:sz w:val="20"/>
        </w:rPr>
        <w:t> </w:t>
      </w:r>
      <w:r>
        <w:rPr>
          <w:rFonts w:cs="Arial"/>
          <w:sz w:val="20"/>
        </w:rPr>
        <w:t>janvier 2019.</w:t>
      </w:r>
    </w:p>
  </w:footnote>
  <w:footnote w:id="4">
    <w:p w14:paraId="733165BB" w14:textId="77777777" w:rsidR="003047EB" w:rsidRPr="003047EB" w:rsidRDefault="003047EB" w:rsidP="003047E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A</w:t>
      </w:r>
      <w:r w:rsidR="007E6672">
        <w:rPr>
          <w:rFonts w:cs="Arial"/>
          <w:sz w:val="20"/>
        </w:rPr>
        <w:t> </w:t>
      </w:r>
      <w:r>
        <w:rPr>
          <w:rFonts w:cs="Arial"/>
          <w:sz w:val="20"/>
        </w:rPr>
        <w:t>-3</w:t>
      </w:r>
      <w:r w:rsidR="007E6672">
        <w:rPr>
          <w:rFonts w:cs="Arial"/>
          <w:sz w:val="20"/>
        </w:rPr>
        <w:t> </w:t>
      </w:r>
      <w:r>
        <w:rPr>
          <w:rFonts w:cs="Arial"/>
          <w:sz w:val="20"/>
        </w:rPr>
        <w:t>001.</w:t>
      </w:r>
    </w:p>
  </w:footnote>
  <w:footnote w:id="5">
    <w:p w14:paraId="4918AAC6" w14:textId="77777777" w:rsidR="00A655E9" w:rsidRPr="00A655E9" w:rsidRDefault="00A655E9" w:rsidP="00A655E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00793DEA">
        <w:rPr>
          <w:rFonts w:cs="Arial"/>
          <w:color w:val="000000"/>
          <w:sz w:val="20"/>
        </w:rPr>
        <w:t>M. TROTTIER, T.</w:t>
      </w:r>
      <w:r w:rsidR="007E6672">
        <w:rPr>
          <w:rFonts w:cs="Arial"/>
          <w:color w:val="000000"/>
          <w:sz w:val="20"/>
        </w:rPr>
        <w:t> </w:t>
      </w:r>
      <w:r w:rsidR="00793DEA">
        <w:rPr>
          <w:rFonts w:cs="Arial"/>
          <w:color w:val="000000"/>
          <w:sz w:val="20"/>
        </w:rPr>
        <w:t>LEROUX et J.</w:t>
      </w:r>
      <w:r w:rsidR="007E6672">
        <w:rPr>
          <w:rFonts w:cs="Arial"/>
          <w:color w:val="000000"/>
          <w:sz w:val="20"/>
        </w:rPr>
        <w:t xml:space="preserve"> </w:t>
      </w:r>
      <w:r w:rsidR="00793DEA">
        <w:rPr>
          <w:rFonts w:cs="Arial"/>
          <w:color w:val="000000"/>
          <w:sz w:val="20"/>
        </w:rPr>
        <w:t>-E.</w:t>
      </w:r>
      <w:r w:rsidR="007E6672">
        <w:rPr>
          <w:rFonts w:cs="Arial"/>
          <w:color w:val="000000"/>
          <w:sz w:val="20"/>
        </w:rPr>
        <w:t> </w:t>
      </w:r>
      <w:r w:rsidR="00793DEA">
        <w:rPr>
          <w:rFonts w:cs="Arial"/>
          <w:color w:val="000000"/>
          <w:sz w:val="20"/>
        </w:rPr>
        <w:t>DEADMAN, chap.</w:t>
      </w:r>
      <w:r w:rsidR="007E6672">
        <w:rPr>
          <w:rFonts w:cs="Arial"/>
          <w:color w:val="000000"/>
          <w:sz w:val="20"/>
        </w:rPr>
        <w:t> </w:t>
      </w:r>
      <w:r w:rsidR="00793DEA">
        <w:rPr>
          <w:rFonts w:cs="Arial"/>
          <w:color w:val="000000"/>
          <w:sz w:val="20"/>
        </w:rPr>
        <w:t>10</w:t>
      </w:r>
      <w:r w:rsidR="007E6672">
        <w:rPr>
          <w:rFonts w:cs="Arial"/>
          <w:color w:val="000000"/>
          <w:sz w:val="20"/>
        </w:rPr>
        <w:t> </w:t>
      </w:r>
      <w:r w:rsidR="00793DEA">
        <w:rPr>
          <w:rFonts w:cs="Arial"/>
          <w:color w:val="000000"/>
          <w:sz w:val="20"/>
        </w:rPr>
        <w:t>: «</w:t>
      </w:r>
      <w:r w:rsidR="007E6672">
        <w:rPr>
          <w:rFonts w:cs="Arial"/>
          <w:color w:val="000000"/>
          <w:sz w:val="20"/>
        </w:rPr>
        <w:t> </w:t>
      </w:r>
      <w:r w:rsidR="00793DEA">
        <w:rPr>
          <w:rFonts w:cs="Arial"/>
          <w:color w:val="000000"/>
          <w:sz w:val="20"/>
        </w:rPr>
        <w:t>Bruit</w:t>
      </w:r>
      <w:r w:rsidR="007E6672">
        <w:rPr>
          <w:rFonts w:cs="Arial"/>
          <w:color w:val="000000"/>
          <w:sz w:val="20"/>
        </w:rPr>
        <w:t> </w:t>
      </w:r>
      <w:r w:rsidR="00793DEA">
        <w:rPr>
          <w:rFonts w:cs="Arial"/>
          <w:color w:val="000000"/>
          <w:sz w:val="20"/>
        </w:rPr>
        <w:t>», dans ASSOCIATION QUÉBÉCOISE POUR L</w:t>
      </w:r>
      <w:r w:rsidR="007E6672">
        <w:rPr>
          <w:rFonts w:cs="Arial"/>
          <w:color w:val="000000"/>
          <w:sz w:val="20"/>
        </w:rPr>
        <w:t>’</w:t>
      </w:r>
      <w:r w:rsidR="00793DEA">
        <w:rPr>
          <w:rFonts w:cs="Arial"/>
          <w:color w:val="000000"/>
          <w:sz w:val="20"/>
        </w:rPr>
        <w:t xml:space="preserve">HYGIÈNE, LA SANTÉ ET LA SÉCURITÉ DU TRAVAIL, Brigitte ROBERGE </w:t>
      </w:r>
      <w:r w:rsidR="00793DEA">
        <w:rPr>
          <w:rFonts w:cs="Arial"/>
          <w:i/>
          <w:iCs/>
          <w:color w:val="000000"/>
          <w:sz w:val="20"/>
        </w:rPr>
        <w:t>et al.,</w:t>
      </w:r>
      <w:r w:rsidR="009E128A">
        <w:rPr>
          <w:rFonts w:cs="Arial"/>
          <w:i/>
          <w:iCs/>
          <w:color w:val="000000"/>
          <w:sz w:val="20"/>
        </w:rPr>
        <w:t xml:space="preserve"> </w:t>
      </w:r>
      <w:r w:rsidR="00793DEA">
        <w:rPr>
          <w:rFonts w:cs="Arial"/>
          <w:i/>
          <w:iCs/>
          <w:color w:val="000000"/>
          <w:sz w:val="20"/>
        </w:rPr>
        <w:t>Manuel d</w:t>
      </w:r>
      <w:r w:rsidR="007E6672">
        <w:rPr>
          <w:rFonts w:cs="Arial"/>
          <w:i/>
          <w:iCs/>
          <w:color w:val="000000"/>
          <w:sz w:val="20"/>
        </w:rPr>
        <w:t>’</w:t>
      </w:r>
      <w:r w:rsidR="00793DEA">
        <w:rPr>
          <w:rFonts w:cs="Arial"/>
          <w:i/>
          <w:iCs/>
          <w:color w:val="000000"/>
          <w:sz w:val="20"/>
        </w:rPr>
        <w:t>hygiène du travail</w:t>
      </w:r>
      <w:r w:rsidR="007E6672">
        <w:rPr>
          <w:rFonts w:cs="Arial"/>
          <w:i/>
          <w:iCs/>
          <w:color w:val="000000"/>
          <w:sz w:val="20"/>
        </w:rPr>
        <w:t> </w:t>
      </w:r>
      <w:r w:rsidR="00793DEA">
        <w:rPr>
          <w:rFonts w:cs="Arial"/>
          <w:i/>
          <w:iCs/>
          <w:color w:val="000000"/>
          <w:sz w:val="20"/>
        </w:rPr>
        <w:t>: du diagnostic à la maîtrise des facteurs de risque,</w:t>
      </w:r>
      <w:r w:rsidR="009E128A">
        <w:rPr>
          <w:rFonts w:cs="Arial"/>
          <w:i/>
          <w:iCs/>
          <w:color w:val="000000"/>
          <w:sz w:val="20"/>
        </w:rPr>
        <w:t xml:space="preserve"> </w:t>
      </w:r>
      <w:r w:rsidR="00793DEA">
        <w:rPr>
          <w:rFonts w:cs="Arial"/>
          <w:color w:val="000000"/>
          <w:sz w:val="20"/>
        </w:rPr>
        <w:t>Mont-Royal, Modulo-Griffon, 2004, pp.</w:t>
      </w:r>
      <w:r w:rsidR="007E6672">
        <w:rPr>
          <w:rFonts w:cs="Arial"/>
          <w:color w:val="000000"/>
          <w:sz w:val="20"/>
        </w:rPr>
        <w:t> </w:t>
      </w:r>
      <w:r w:rsidR="00793DEA">
        <w:rPr>
          <w:rFonts w:cs="Arial"/>
          <w:color w:val="000000"/>
          <w:sz w:val="20"/>
        </w:rPr>
        <w:t>160-183.</w:t>
      </w:r>
    </w:p>
  </w:footnote>
  <w:footnote w:id="6">
    <w:p w14:paraId="525C40E0" w14:textId="77777777" w:rsidR="00A655E9" w:rsidRPr="00A655E9" w:rsidRDefault="00A655E9" w:rsidP="00A655E9">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A655E9">
        <w:rPr>
          <w:rFonts w:cs="Arial"/>
          <w:i/>
          <w:sz w:val="20"/>
        </w:rPr>
        <w:t>Renaud</w:t>
      </w:r>
      <w:r w:rsidRPr="00A655E9">
        <w:rPr>
          <w:rFonts w:cs="Arial"/>
          <w:sz w:val="20"/>
        </w:rPr>
        <w:t xml:space="preserve"> et </w:t>
      </w:r>
      <w:proofErr w:type="spellStart"/>
      <w:r w:rsidRPr="00A655E9">
        <w:rPr>
          <w:rFonts w:cs="Arial"/>
          <w:i/>
          <w:sz w:val="20"/>
        </w:rPr>
        <w:t>Conrep</w:t>
      </w:r>
      <w:proofErr w:type="spellEnd"/>
      <w:r>
        <w:rPr>
          <w:rFonts w:cs="Arial"/>
          <w:sz w:val="20"/>
        </w:rPr>
        <w:t xml:space="preserve">, </w:t>
      </w:r>
      <w:r w:rsidRPr="00A655E9">
        <w:rPr>
          <w:rFonts w:cs="Arial"/>
          <w:sz w:val="20"/>
        </w:rPr>
        <w:t>2017 QCTAT</w:t>
      </w:r>
      <w:r w:rsidR="007E6672">
        <w:rPr>
          <w:rFonts w:cs="Arial"/>
          <w:sz w:val="20"/>
        </w:rPr>
        <w:t> </w:t>
      </w:r>
      <w:r w:rsidRPr="00A655E9">
        <w:rPr>
          <w:rFonts w:cs="Arial"/>
          <w:sz w:val="20"/>
        </w:rPr>
        <w:t>3255</w:t>
      </w:r>
      <w:r>
        <w:rPr>
          <w:rFonts w:cs="Arial"/>
          <w:sz w:val="20"/>
        </w:rPr>
        <w:t>.</w:t>
      </w:r>
    </w:p>
  </w:footnote>
  <w:footnote w:id="7">
    <w:p w14:paraId="3831AE23" w14:textId="77777777" w:rsidR="00FC0BE1" w:rsidRPr="00FC0BE1" w:rsidRDefault="00FC0BE1" w:rsidP="00FC0BE1">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C0BE1">
        <w:rPr>
          <w:rFonts w:cs="Arial"/>
          <w:i/>
          <w:sz w:val="20"/>
        </w:rPr>
        <w:t>Duval</w:t>
      </w:r>
      <w:r w:rsidRPr="00FC0BE1">
        <w:rPr>
          <w:rFonts w:cs="Arial"/>
          <w:sz w:val="20"/>
        </w:rPr>
        <w:t xml:space="preserve"> et </w:t>
      </w:r>
      <w:r w:rsidRPr="00FC0BE1">
        <w:rPr>
          <w:rFonts w:cs="Arial"/>
          <w:i/>
          <w:sz w:val="20"/>
        </w:rPr>
        <w:t xml:space="preserve">Transformateur Pioneer </w:t>
      </w:r>
      <w:proofErr w:type="spellStart"/>
      <w:r w:rsidRPr="00FC0BE1">
        <w:rPr>
          <w:rFonts w:cs="Arial"/>
          <w:i/>
          <w:sz w:val="20"/>
        </w:rPr>
        <w:t>ltée</w:t>
      </w:r>
      <w:proofErr w:type="spellEnd"/>
      <w:r w:rsidRPr="00FC0BE1">
        <w:rPr>
          <w:rFonts w:cs="Arial"/>
          <w:sz w:val="20"/>
        </w:rPr>
        <w:t>,</w:t>
      </w:r>
      <w:r>
        <w:rPr>
          <w:rFonts w:cs="Arial"/>
          <w:sz w:val="20"/>
        </w:rPr>
        <w:t xml:space="preserve"> </w:t>
      </w:r>
      <w:r w:rsidRPr="00FC0BE1">
        <w:rPr>
          <w:rFonts w:cs="Arial"/>
          <w:sz w:val="20"/>
        </w:rPr>
        <w:t>2013 QCCLP</w:t>
      </w:r>
      <w:r w:rsidR="007E6672">
        <w:rPr>
          <w:rFonts w:cs="Arial"/>
          <w:sz w:val="20"/>
        </w:rPr>
        <w:t> </w:t>
      </w:r>
      <w:r w:rsidRPr="00FC0BE1">
        <w:rPr>
          <w:rFonts w:cs="Arial"/>
          <w:sz w:val="20"/>
        </w:rPr>
        <w:t>2855</w:t>
      </w:r>
      <w:r>
        <w:rPr>
          <w:rFonts w:cs="Arial"/>
          <w:sz w:val="20"/>
        </w:rPr>
        <w:t xml:space="preserve">; </w:t>
      </w:r>
      <w:r w:rsidRPr="00FC0BE1">
        <w:rPr>
          <w:rFonts w:cs="Arial"/>
          <w:i/>
          <w:sz w:val="20"/>
        </w:rPr>
        <w:t>Lamarche</w:t>
      </w:r>
      <w:r w:rsidRPr="00FC0BE1">
        <w:rPr>
          <w:rFonts w:cs="Arial"/>
          <w:sz w:val="20"/>
        </w:rPr>
        <w:t xml:space="preserve"> et </w:t>
      </w:r>
      <w:r w:rsidRPr="00FC0BE1">
        <w:rPr>
          <w:rFonts w:cs="Arial"/>
          <w:i/>
          <w:sz w:val="20"/>
        </w:rPr>
        <w:t xml:space="preserve">Coffrages </w:t>
      </w:r>
      <w:proofErr w:type="spellStart"/>
      <w:r w:rsidRPr="00FC0BE1">
        <w:rPr>
          <w:rFonts w:cs="Arial"/>
          <w:i/>
          <w:sz w:val="20"/>
        </w:rPr>
        <w:t>Dunasso</w:t>
      </w:r>
      <w:proofErr w:type="spellEnd"/>
      <w:r w:rsidR="007E6672">
        <w:rPr>
          <w:rFonts w:cs="Arial"/>
          <w:sz w:val="20"/>
        </w:rPr>
        <w:t> </w:t>
      </w:r>
      <w:r w:rsidRPr="00FC0BE1">
        <w:rPr>
          <w:rFonts w:cs="Arial"/>
          <w:i/>
          <w:sz w:val="20"/>
        </w:rPr>
        <w:t xml:space="preserve">2001 </w:t>
      </w:r>
      <w:proofErr w:type="spellStart"/>
      <w:r w:rsidRPr="00FC0BE1">
        <w:rPr>
          <w:rFonts w:cs="Arial"/>
          <w:i/>
          <w:sz w:val="20"/>
        </w:rPr>
        <w:t>inc.</w:t>
      </w:r>
      <w:proofErr w:type="spellEnd"/>
      <w:r w:rsidRPr="00FC0BE1">
        <w:rPr>
          <w:rFonts w:cs="Arial"/>
          <w:sz w:val="20"/>
        </w:rPr>
        <w:t>, 2013 QCCLP</w:t>
      </w:r>
      <w:r w:rsidR="007E6672">
        <w:rPr>
          <w:rFonts w:cs="Arial"/>
          <w:sz w:val="20"/>
        </w:rPr>
        <w:t> </w:t>
      </w:r>
      <w:r w:rsidRPr="00FC0BE1">
        <w:rPr>
          <w:rFonts w:cs="Arial"/>
          <w:sz w:val="20"/>
        </w:rPr>
        <w:t>1761.</w:t>
      </w:r>
    </w:p>
  </w:footnote>
  <w:footnote w:id="8">
    <w:p w14:paraId="64F2499B" w14:textId="77777777" w:rsidR="00FC0BE1" w:rsidRPr="00FC0BE1" w:rsidRDefault="00FC0BE1" w:rsidP="00FC0BE1">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C0BE1">
        <w:rPr>
          <w:rFonts w:cs="Arial"/>
          <w:i/>
          <w:sz w:val="20"/>
        </w:rPr>
        <w:t>St-Jean</w:t>
      </w:r>
      <w:r>
        <w:rPr>
          <w:rFonts w:cs="Arial"/>
          <w:sz w:val="20"/>
        </w:rPr>
        <w:t xml:space="preserve">, </w:t>
      </w:r>
      <w:r w:rsidRPr="00FC0BE1">
        <w:rPr>
          <w:rFonts w:cs="Arial"/>
          <w:sz w:val="20"/>
        </w:rPr>
        <w:t>2019 QCTAT</w:t>
      </w:r>
      <w:r w:rsidR="007E6672">
        <w:rPr>
          <w:rFonts w:cs="Arial"/>
          <w:sz w:val="20"/>
        </w:rPr>
        <w:t> </w:t>
      </w:r>
      <w:r w:rsidRPr="00FC0BE1">
        <w:rPr>
          <w:rFonts w:cs="Arial"/>
          <w:sz w:val="20"/>
        </w:rPr>
        <w:t>5032</w:t>
      </w:r>
      <w:r>
        <w:rPr>
          <w:rFonts w:cs="Arial"/>
          <w:sz w:val="20"/>
        </w:rPr>
        <w:t>;</w:t>
      </w:r>
      <w:r w:rsidRPr="00FC0BE1">
        <w:t xml:space="preserve"> </w:t>
      </w:r>
      <w:proofErr w:type="spellStart"/>
      <w:r w:rsidRPr="00FC0BE1">
        <w:rPr>
          <w:rFonts w:cs="Arial"/>
          <w:i/>
          <w:sz w:val="20"/>
        </w:rPr>
        <w:t>Létourneau</w:t>
      </w:r>
      <w:proofErr w:type="spellEnd"/>
      <w:r w:rsidRPr="00FC0BE1">
        <w:rPr>
          <w:rFonts w:cs="Arial"/>
          <w:sz w:val="20"/>
        </w:rPr>
        <w:t xml:space="preserve"> et </w:t>
      </w:r>
      <w:r w:rsidRPr="00B42406">
        <w:rPr>
          <w:rFonts w:cs="Arial"/>
          <w:i/>
          <w:sz w:val="20"/>
        </w:rPr>
        <w:t xml:space="preserve">1160-2760 Québec </w:t>
      </w:r>
      <w:proofErr w:type="spellStart"/>
      <w:r w:rsidRPr="00B42406">
        <w:rPr>
          <w:rFonts w:cs="Arial"/>
          <w:i/>
          <w:sz w:val="20"/>
        </w:rPr>
        <w:t>inc.</w:t>
      </w:r>
      <w:proofErr w:type="spellEnd"/>
      <w:r w:rsidRPr="00B42406">
        <w:rPr>
          <w:rFonts w:cs="Arial"/>
          <w:i/>
          <w:sz w:val="20"/>
        </w:rPr>
        <w:t xml:space="preserve"> (F)</w:t>
      </w:r>
      <w:r w:rsidR="00B42406">
        <w:rPr>
          <w:rFonts w:cs="Arial"/>
          <w:sz w:val="20"/>
        </w:rPr>
        <w:t>,</w:t>
      </w:r>
      <w:r w:rsidRPr="00FC0BE1">
        <w:rPr>
          <w:rFonts w:cs="Arial"/>
          <w:sz w:val="20"/>
        </w:rPr>
        <w:t xml:space="preserve"> 2019 QCTAT</w:t>
      </w:r>
      <w:r w:rsidR="007E6672">
        <w:rPr>
          <w:rFonts w:cs="Arial"/>
          <w:sz w:val="20"/>
        </w:rPr>
        <w:t> </w:t>
      </w:r>
      <w:r w:rsidRPr="00FC0BE1">
        <w:rPr>
          <w:rFonts w:cs="Arial"/>
          <w:sz w:val="20"/>
        </w:rPr>
        <w:t>1791</w:t>
      </w:r>
      <w:r w:rsidR="00B42406">
        <w:rPr>
          <w:rFonts w:cs="Arial"/>
          <w:sz w:val="20"/>
        </w:rPr>
        <w:t>.</w:t>
      </w:r>
    </w:p>
  </w:footnote>
  <w:footnote w:id="9">
    <w:p w14:paraId="3DFEB7CB" w14:textId="77777777" w:rsidR="00A2528B" w:rsidRPr="004226A3" w:rsidRDefault="00A2528B" w:rsidP="00A2528B">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4226A3">
        <w:rPr>
          <w:rFonts w:cs="Arial"/>
          <w:i/>
          <w:sz w:val="20"/>
        </w:rPr>
        <w:t>Thuot</w:t>
      </w:r>
      <w:r w:rsidRPr="004226A3">
        <w:rPr>
          <w:rFonts w:cs="Arial"/>
          <w:sz w:val="20"/>
        </w:rPr>
        <w:t xml:space="preserve"> et </w:t>
      </w:r>
      <w:r w:rsidRPr="004226A3">
        <w:rPr>
          <w:rFonts w:cs="Arial"/>
          <w:i/>
          <w:sz w:val="20"/>
        </w:rPr>
        <w:t xml:space="preserve">Multi-Marques Distribution </w:t>
      </w:r>
      <w:proofErr w:type="spellStart"/>
      <w:r w:rsidRPr="004226A3">
        <w:rPr>
          <w:rFonts w:cs="Arial"/>
          <w:i/>
          <w:sz w:val="20"/>
        </w:rPr>
        <w:t>inc.</w:t>
      </w:r>
      <w:proofErr w:type="spellEnd"/>
      <w:r w:rsidRPr="004226A3">
        <w:rPr>
          <w:rFonts w:cs="Arial"/>
          <w:sz w:val="20"/>
        </w:rPr>
        <w:t>,</w:t>
      </w:r>
      <w:r>
        <w:rPr>
          <w:rFonts w:cs="Arial"/>
          <w:sz w:val="20"/>
        </w:rPr>
        <w:t xml:space="preserve"> </w:t>
      </w:r>
      <w:r w:rsidRPr="004226A3">
        <w:rPr>
          <w:rFonts w:cs="Arial"/>
          <w:sz w:val="20"/>
        </w:rPr>
        <w:t>C.L.P.</w:t>
      </w:r>
      <w:r>
        <w:rPr>
          <w:rFonts w:cs="Arial"/>
          <w:sz w:val="20"/>
        </w:rPr>
        <w:t> </w:t>
      </w:r>
      <w:r w:rsidRPr="004226A3">
        <w:rPr>
          <w:rFonts w:cs="Arial"/>
          <w:sz w:val="20"/>
        </w:rPr>
        <w:t>144647-61-0008, 17</w:t>
      </w:r>
      <w:r w:rsidR="007E6672">
        <w:rPr>
          <w:rFonts w:cs="Arial"/>
          <w:sz w:val="20"/>
        </w:rPr>
        <w:t> </w:t>
      </w:r>
      <w:r w:rsidRPr="004226A3">
        <w:rPr>
          <w:rFonts w:cs="Arial"/>
          <w:sz w:val="20"/>
        </w:rPr>
        <w:t>janvier 2001, B.</w:t>
      </w:r>
      <w:r w:rsidR="007E6672">
        <w:rPr>
          <w:rFonts w:cs="Arial"/>
          <w:sz w:val="20"/>
        </w:rPr>
        <w:t> </w:t>
      </w:r>
      <w:r w:rsidRPr="004226A3">
        <w:rPr>
          <w:rFonts w:cs="Arial"/>
          <w:sz w:val="20"/>
        </w:rPr>
        <w:t>Lemay</w:t>
      </w:r>
      <w:r>
        <w:rPr>
          <w:rFonts w:cs="Arial"/>
          <w:sz w:val="20"/>
        </w:rPr>
        <w:t xml:space="preserve">; </w:t>
      </w:r>
      <w:r w:rsidRPr="004226A3">
        <w:rPr>
          <w:rFonts w:cs="Arial"/>
          <w:i/>
          <w:sz w:val="20"/>
        </w:rPr>
        <w:t xml:space="preserve">Laurin </w:t>
      </w:r>
      <w:r w:rsidRPr="004226A3">
        <w:rPr>
          <w:rFonts w:cs="Arial"/>
          <w:sz w:val="20"/>
        </w:rPr>
        <w:t xml:space="preserve">et </w:t>
      </w:r>
      <w:r w:rsidRPr="004226A3">
        <w:rPr>
          <w:rFonts w:cs="Arial"/>
          <w:i/>
          <w:sz w:val="20"/>
        </w:rPr>
        <w:t xml:space="preserve">Purolator courrier </w:t>
      </w:r>
      <w:proofErr w:type="spellStart"/>
      <w:r w:rsidRPr="004226A3">
        <w:rPr>
          <w:rFonts w:cs="Arial"/>
          <w:i/>
          <w:sz w:val="20"/>
        </w:rPr>
        <w:t>ltée</w:t>
      </w:r>
      <w:proofErr w:type="spellEnd"/>
      <w:r w:rsidRPr="004226A3">
        <w:rPr>
          <w:rFonts w:cs="Arial"/>
          <w:sz w:val="20"/>
        </w:rPr>
        <w:t>,</w:t>
      </w:r>
      <w:r>
        <w:rPr>
          <w:rFonts w:cs="Arial"/>
          <w:sz w:val="20"/>
        </w:rPr>
        <w:t xml:space="preserve"> </w:t>
      </w:r>
      <w:r w:rsidRPr="004226A3">
        <w:rPr>
          <w:rFonts w:cs="Arial"/>
          <w:sz w:val="20"/>
        </w:rPr>
        <w:t>C.L.P.</w:t>
      </w:r>
      <w:r>
        <w:rPr>
          <w:rFonts w:cs="Arial"/>
          <w:sz w:val="20"/>
        </w:rPr>
        <w:t> </w:t>
      </w:r>
      <w:r w:rsidRPr="004226A3">
        <w:rPr>
          <w:rFonts w:cs="Arial"/>
          <w:sz w:val="20"/>
        </w:rPr>
        <w:t>190107-07-0209, 1</w:t>
      </w:r>
      <w:r w:rsidRPr="00F00E8C">
        <w:rPr>
          <w:rFonts w:cs="Arial"/>
          <w:sz w:val="20"/>
          <w:vertAlign w:val="superscript"/>
        </w:rPr>
        <w:t>er</w:t>
      </w:r>
      <w:r w:rsidR="007E6672">
        <w:rPr>
          <w:rFonts w:cs="Arial"/>
          <w:sz w:val="20"/>
        </w:rPr>
        <w:t> </w:t>
      </w:r>
      <w:r w:rsidRPr="004226A3">
        <w:rPr>
          <w:rFonts w:cs="Arial"/>
          <w:sz w:val="20"/>
        </w:rPr>
        <w:t>mars 2004, A.</w:t>
      </w:r>
      <w:r w:rsidR="007E6672">
        <w:rPr>
          <w:rFonts w:cs="Arial"/>
          <w:sz w:val="20"/>
        </w:rPr>
        <w:t> </w:t>
      </w:r>
      <w:proofErr w:type="spellStart"/>
      <w:r w:rsidRPr="004226A3">
        <w:rPr>
          <w:rFonts w:cs="Arial"/>
          <w:sz w:val="20"/>
        </w:rPr>
        <w:t>Suicco</w:t>
      </w:r>
      <w:proofErr w:type="spellEnd"/>
      <w:r w:rsidRPr="004226A3">
        <w:rPr>
          <w:rFonts w:cs="Arial"/>
          <w:sz w:val="20"/>
        </w:rPr>
        <w:t>.</w:t>
      </w:r>
    </w:p>
  </w:footnote>
  <w:footnote w:id="10">
    <w:p w14:paraId="6FDDC394" w14:textId="77777777" w:rsidR="00B42406" w:rsidRPr="00B42406" w:rsidRDefault="00B42406" w:rsidP="00B4240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RLRQ, c. S-2</w:t>
      </w:r>
      <w:r w:rsidR="007E6672">
        <w:rPr>
          <w:rFonts w:cs="Arial"/>
          <w:sz w:val="20"/>
        </w:rPr>
        <w:t>,</w:t>
      </w:r>
      <w:r>
        <w:rPr>
          <w:rFonts w:cs="Arial"/>
          <w:sz w:val="20"/>
        </w:rPr>
        <w:t>1, r. 13.</w:t>
      </w:r>
    </w:p>
  </w:footnote>
  <w:footnote w:id="11">
    <w:p w14:paraId="29A506FE" w14:textId="77777777" w:rsidR="00F1323A" w:rsidRPr="00F1323A" w:rsidRDefault="00F1323A" w:rsidP="00F1323A">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r>
      <w:r w:rsidRPr="00F00E8C">
        <w:rPr>
          <w:rFonts w:cs="Arial"/>
          <w:i/>
          <w:sz w:val="20"/>
        </w:rPr>
        <w:t>Salvatore</w:t>
      </w:r>
      <w:r w:rsidRPr="00F1323A">
        <w:rPr>
          <w:rFonts w:cs="Arial"/>
          <w:sz w:val="20"/>
        </w:rPr>
        <w:t xml:space="preserve"> et </w:t>
      </w:r>
      <w:r w:rsidRPr="00F00E8C">
        <w:rPr>
          <w:rFonts w:cs="Arial"/>
          <w:i/>
          <w:sz w:val="20"/>
        </w:rPr>
        <w:t xml:space="preserve">Piquage Canada CQ </w:t>
      </w:r>
      <w:proofErr w:type="spellStart"/>
      <w:r w:rsidRPr="00F00E8C">
        <w:rPr>
          <w:rFonts w:cs="Arial"/>
          <w:i/>
          <w:sz w:val="20"/>
        </w:rPr>
        <w:t>ltée</w:t>
      </w:r>
      <w:proofErr w:type="spellEnd"/>
      <w:r w:rsidRPr="00F1323A">
        <w:rPr>
          <w:rFonts w:cs="Arial"/>
          <w:sz w:val="20"/>
        </w:rPr>
        <w:t xml:space="preserve"> (Fermé),</w:t>
      </w:r>
      <w:r>
        <w:rPr>
          <w:rFonts w:cs="Arial"/>
          <w:sz w:val="20"/>
        </w:rPr>
        <w:t xml:space="preserve"> </w:t>
      </w:r>
      <w:r w:rsidRPr="00F1323A">
        <w:rPr>
          <w:rFonts w:cs="Arial"/>
          <w:sz w:val="20"/>
        </w:rPr>
        <w:t>2011 QCCLP</w:t>
      </w:r>
      <w:r w:rsidR="007E6672">
        <w:rPr>
          <w:rFonts w:cs="Arial"/>
          <w:sz w:val="20"/>
        </w:rPr>
        <w:t> </w:t>
      </w:r>
      <w:r w:rsidRPr="00F1323A">
        <w:rPr>
          <w:rFonts w:cs="Arial"/>
          <w:sz w:val="20"/>
        </w:rPr>
        <w:t>6471</w:t>
      </w:r>
      <w:r>
        <w:rPr>
          <w:rFonts w:cs="Arial"/>
          <w:sz w:val="20"/>
        </w:rPr>
        <w:t xml:space="preserve">; </w:t>
      </w:r>
      <w:r w:rsidRPr="00F00E8C">
        <w:rPr>
          <w:rFonts w:cs="Arial"/>
          <w:i/>
          <w:sz w:val="20"/>
        </w:rPr>
        <w:t>Denis</w:t>
      </w:r>
      <w:r w:rsidRPr="00F1323A">
        <w:rPr>
          <w:rFonts w:cs="Arial"/>
          <w:sz w:val="20"/>
        </w:rPr>
        <w:t xml:space="preserve"> et </w:t>
      </w:r>
      <w:proofErr w:type="spellStart"/>
      <w:r w:rsidRPr="002F1237">
        <w:rPr>
          <w:rFonts w:cs="Arial"/>
          <w:i/>
          <w:sz w:val="20"/>
        </w:rPr>
        <w:t>Mapei</w:t>
      </w:r>
      <w:proofErr w:type="spellEnd"/>
      <w:r w:rsidRPr="002F1237">
        <w:rPr>
          <w:rFonts w:cs="Arial"/>
          <w:i/>
          <w:sz w:val="20"/>
        </w:rPr>
        <w:t xml:space="preserve"> </w:t>
      </w:r>
      <w:proofErr w:type="spellStart"/>
      <w:r w:rsidRPr="002F1237">
        <w:rPr>
          <w:rFonts w:cs="Arial"/>
          <w:i/>
          <w:sz w:val="20"/>
        </w:rPr>
        <w:t>inc.</w:t>
      </w:r>
      <w:proofErr w:type="spellEnd"/>
      <w:r w:rsidRPr="00F1323A">
        <w:rPr>
          <w:rFonts w:cs="Arial"/>
          <w:sz w:val="20"/>
        </w:rPr>
        <w:t>,</w:t>
      </w:r>
      <w:r>
        <w:rPr>
          <w:rFonts w:cs="Arial"/>
          <w:sz w:val="20"/>
        </w:rPr>
        <w:t xml:space="preserve"> 2015</w:t>
      </w:r>
      <w:r w:rsidR="00B810CC">
        <w:rPr>
          <w:rFonts w:cs="Arial"/>
          <w:sz w:val="20"/>
        </w:rPr>
        <w:t> </w:t>
      </w:r>
      <w:r>
        <w:rPr>
          <w:rFonts w:cs="Arial"/>
          <w:sz w:val="20"/>
        </w:rPr>
        <w:t>QCCLP</w:t>
      </w:r>
      <w:r w:rsidR="007E6672">
        <w:rPr>
          <w:rFonts w:cs="Arial"/>
          <w:sz w:val="20"/>
        </w:rPr>
        <w:t> </w:t>
      </w:r>
      <w:r>
        <w:rPr>
          <w:rFonts w:cs="Arial"/>
          <w:sz w:val="20"/>
        </w:rPr>
        <w:t xml:space="preserve">1314; </w:t>
      </w:r>
      <w:r w:rsidRPr="00F00E8C">
        <w:rPr>
          <w:rFonts w:cs="Arial"/>
          <w:i/>
          <w:sz w:val="20"/>
        </w:rPr>
        <w:t>Rodrigue</w:t>
      </w:r>
      <w:r w:rsidRPr="00F1323A">
        <w:rPr>
          <w:rFonts w:cs="Arial"/>
          <w:sz w:val="20"/>
        </w:rPr>
        <w:t xml:space="preserve"> et </w:t>
      </w:r>
      <w:proofErr w:type="spellStart"/>
      <w:r w:rsidRPr="00F00E8C">
        <w:rPr>
          <w:rFonts w:cs="Arial"/>
          <w:i/>
          <w:sz w:val="20"/>
        </w:rPr>
        <w:t>Telus</w:t>
      </w:r>
      <w:proofErr w:type="spellEnd"/>
      <w:r w:rsidRPr="00F00E8C">
        <w:rPr>
          <w:rFonts w:cs="Arial"/>
          <w:i/>
          <w:sz w:val="20"/>
        </w:rPr>
        <w:t xml:space="preserve"> Communications </w:t>
      </w:r>
      <w:proofErr w:type="spellStart"/>
      <w:r w:rsidRPr="00F00E8C">
        <w:rPr>
          <w:rFonts w:cs="Arial"/>
          <w:i/>
          <w:sz w:val="20"/>
        </w:rPr>
        <w:t>inc.</w:t>
      </w:r>
      <w:proofErr w:type="spellEnd"/>
      <w:r w:rsidRPr="00F1323A">
        <w:rPr>
          <w:rFonts w:cs="Arial"/>
          <w:sz w:val="20"/>
        </w:rPr>
        <w:t>,</w:t>
      </w:r>
      <w:r>
        <w:rPr>
          <w:rFonts w:cs="Arial"/>
          <w:sz w:val="20"/>
        </w:rPr>
        <w:t xml:space="preserve"> </w:t>
      </w:r>
      <w:r w:rsidRPr="00F1323A">
        <w:rPr>
          <w:rFonts w:cs="Arial"/>
          <w:sz w:val="20"/>
        </w:rPr>
        <w:t>2016 QCTAT</w:t>
      </w:r>
      <w:r w:rsidR="007E6672">
        <w:rPr>
          <w:rFonts w:cs="Arial"/>
          <w:sz w:val="20"/>
        </w:rPr>
        <w:t> </w:t>
      </w:r>
      <w:r w:rsidRPr="00F1323A">
        <w:rPr>
          <w:rFonts w:cs="Arial"/>
          <w:sz w:val="20"/>
        </w:rPr>
        <w:t>6627</w:t>
      </w:r>
      <w:r>
        <w:rPr>
          <w:rFonts w:cs="Arial"/>
          <w:sz w:val="20"/>
        </w:rPr>
        <w:t>;</w:t>
      </w:r>
      <w:r w:rsidRPr="00F1323A">
        <w:t xml:space="preserve"> </w:t>
      </w:r>
      <w:r w:rsidRPr="00F00E8C">
        <w:rPr>
          <w:rFonts w:cs="Arial"/>
          <w:i/>
          <w:sz w:val="20"/>
        </w:rPr>
        <w:t>Leblond</w:t>
      </w:r>
      <w:r w:rsidRPr="00F1323A">
        <w:rPr>
          <w:rFonts w:cs="Arial"/>
          <w:sz w:val="20"/>
        </w:rPr>
        <w:t xml:space="preserve"> et </w:t>
      </w:r>
      <w:r w:rsidRPr="00F00E8C">
        <w:rPr>
          <w:rFonts w:cs="Arial"/>
          <w:i/>
          <w:sz w:val="20"/>
        </w:rPr>
        <w:t>RTC Chauffeurs</w:t>
      </w:r>
      <w:r w:rsidR="00B810CC" w:rsidRPr="00F00E8C">
        <w:rPr>
          <w:rFonts w:cs="Arial"/>
          <w:sz w:val="20"/>
        </w:rPr>
        <w:t>,</w:t>
      </w:r>
      <w:r w:rsidRPr="00F1323A">
        <w:rPr>
          <w:rFonts w:cs="Arial"/>
          <w:sz w:val="20"/>
        </w:rPr>
        <w:t xml:space="preserve"> 2018 QCTAT</w:t>
      </w:r>
      <w:r w:rsidR="007E6672">
        <w:rPr>
          <w:rFonts w:cs="Arial"/>
          <w:sz w:val="20"/>
        </w:rPr>
        <w:t> </w:t>
      </w:r>
      <w:r w:rsidRPr="00F1323A">
        <w:rPr>
          <w:rFonts w:cs="Arial"/>
          <w:sz w:val="20"/>
        </w:rPr>
        <w:t>3420</w:t>
      </w:r>
      <w:r>
        <w:rPr>
          <w:rFonts w:cs="Arial"/>
          <w:sz w:val="20"/>
        </w:rPr>
        <w:t>;</w:t>
      </w:r>
      <w:r w:rsidRPr="00F1323A">
        <w:t xml:space="preserve"> </w:t>
      </w:r>
      <w:r w:rsidRPr="00F00E8C">
        <w:rPr>
          <w:rFonts w:cs="Arial"/>
          <w:i/>
          <w:sz w:val="20"/>
        </w:rPr>
        <w:t>Cauchon</w:t>
      </w:r>
      <w:r w:rsidRPr="00F1323A">
        <w:rPr>
          <w:rFonts w:cs="Arial"/>
          <w:sz w:val="20"/>
        </w:rPr>
        <w:t xml:space="preserve"> et </w:t>
      </w:r>
      <w:proofErr w:type="spellStart"/>
      <w:r w:rsidRPr="00F00E8C">
        <w:rPr>
          <w:rFonts w:cs="Arial"/>
          <w:i/>
          <w:sz w:val="20"/>
        </w:rPr>
        <w:t>Intercar</w:t>
      </w:r>
      <w:proofErr w:type="spellEnd"/>
      <w:r w:rsidR="00B810CC" w:rsidRPr="00F00E8C">
        <w:rPr>
          <w:rFonts w:cs="Arial"/>
          <w:sz w:val="20"/>
        </w:rPr>
        <w:t>,</w:t>
      </w:r>
      <w:r w:rsidRPr="00F1323A">
        <w:rPr>
          <w:rFonts w:cs="Arial"/>
          <w:sz w:val="20"/>
        </w:rPr>
        <w:t xml:space="preserve"> 2021 QCTAT</w:t>
      </w:r>
      <w:r w:rsidR="007E6672">
        <w:rPr>
          <w:rFonts w:cs="Arial"/>
          <w:sz w:val="20"/>
        </w:rPr>
        <w:t> </w:t>
      </w:r>
      <w:r w:rsidRPr="00F1323A">
        <w:rPr>
          <w:rFonts w:cs="Arial"/>
          <w:sz w:val="20"/>
        </w:rPr>
        <w:t>2035</w:t>
      </w:r>
      <w:r>
        <w:rPr>
          <w:rFonts w:cs="Arial"/>
          <w:sz w:val="20"/>
        </w:rPr>
        <w:t>.</w:t>
      </w:r>
    </w:p>
  </w:footnote>
  <w:footnote w:id="12">
    <w:p w14:paraId="3B0A0C6D" w14:textId="77777777" w:rsidR="001222DE" w:rsidRPr="001222DE" w:rsidRDefault="001222DE" w:rsidP="001222DE">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Société de transport de Montréal, STM.</w:t>
      </w:r>
    </w:p>
  </w:footnote>
  <w:footnote w:id="13">
    <w:p w14:paraId="0B8B7663" w14:textId="59DD4765" w:rsidR="00D91DF6" w:rsidRPr="00D91DF6" w:rsidRDefault="00D91DF6" w:rsidP="00D91DF6">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Précité, note</w:t>
      </w:r>
      <w:r w:rsidR="007E6672">
        <w:rPr>
          <w:rFonts w:cs="Arial"/>
          <w:sz w:val="20"/>
        </w:rPr>
        <w:t> </w:t>
      </w:r>
      <w:r w:rsidR="00413C57">
        <w:rPr>
          <w:rFonts w:cs="Arial"/>
          <w:sz w:val="20"/>
        </w:rPr>
        <w:t>10</w:t>
      </w:r>
      <w:r>
        <w:rPr>
          <w:rFonts w:cs="Arial"/>
          <w:sz w:val="20"/>
        </w:rPr>
        <w:t>.</w:t>
      </w:r>
    </w:p>
  </w:footnote>
  <w:footnote w:id="14">
    <w:p w14:paraId="00495DB4" w14:textId="77777777" w:rsidR="00413C57" w:rsidRPr="00413C57" w:rsidRDefault="00413C57" w:rsidP="00413C57">
      <w:pPr>
        <w:pStyle w:val="FootnoteText"/>
        <w:tabs>
          <w:tab w:val="left" w:pos="720"/>
        </w:tabs>
        <w:ind w:left="720" w:hanging="720"/>
        <w:jc w:val="both"/>
        <w:rPr>
          <w:rFonts w:cs="Arial"/>
          <w:sz w:val="20"/>
        </w:rPr>
      </w:pPr>
      <w:r>
        <w:rPr>
          <w:rStyle w:val="FootnoteReference"/>
        </w:rPr>
        <w:footnoteRef/>
      </w:r>
      <w:r>
        <w:t xml:space="preserve"> </w:t>
      </w:r>
      <w:r>
        <w:rPr>
          <w:rFonts w:cs="Arial"/>
          <w:sz w:val="20"/>
        </w:rPr>
        <w:tab/>
        <w:t>Précité, note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70" w:type="dxa"/>
        <w:right w:w="70" w:type="dxa"/>
      </w:tblCellMar>
      <w:tblLook w:val="0000" w:firstRow="0" w:lastRow="0" w:firstColumn="0" w:lastColumn="0" w:noHBand="0" w:noVBand="0"/>
    </w:tblPr>
    <w:tblGrid>
      <w:gridCol w:w="8730"/>
      <w:gridCol w:w="860"/>
    </w:tblGrid>
    <w:tr w:rsidR="00DB0C8D" w14:paraId="0242D1CC" w14:textId="77777777">
      <w:tc>
        <w:tcPr>
          <w:tcW w:w="8730" w:type="dxa"/>
        </w:tcPr>
        <w:p w14:paraId="6E6834D3" w14:textId="77777777" w:rsidR="00DB0C8D" w:rsidRDefault="00DB0C8D">
          <w:pPr>
            <w:pStyle w:val="Header"/>
            <w:ind w:left="-90"/>
          </w:pPr>
        </w:p>
      </w:tc>
      <w:tc>
        <w:tcPr>
          <w:tcW w:w="860" w:type="dxa"/>
        </w:tcPr>
        <w:p w14:paraId="2EBF76F1" w14:textId="77777777" w:rsidR="00DB0C8D" w:rsidRDefault="00DB0C8D">
          <w:pPr>
            <w:pStyle w:val="Header"/>
            <w:ind w:left="-90"/>
          </w:pPr>
        </w:p>
      </w:tc>
    </w:tr>
    <w:tr w:rsidR="00DB0C8D" w14:paraId="0B4E93D4" w14:textId="77777777">
      <w:tc>
        <w:tcPr>
          <w:tcW w:w="8730" w:type="dxa"/>
        </w:tcPr>
        <w:p w14:paraId="58773535" w14:textId="77777777" w:rsidR="00DB0C8D" w:rsidRDefault="0059126C">
          <w:r>
            <w:t>688189-63-1901</w:t>
          </w:r>
        </w:p>
      </w:tc>
      <w:tc>
        <w:tcPr>
          <w:tcW w:w="860" w:type="dxa"/>
        </w:tcPr>
        <w:p w14:paraId="704111A3" w14:textId="1B491399" w:rsidR="00DB0C8D" w:rsidRDefault="00DB0C8D">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9A337D">
            <w:rPr>
              <w:rStyle w:val="PageNumber"/>
              <w:noProof/>
            </w:rPr>
            <w:t>4</w:t>
          </w:r>
          <w:r>
            <w:rPr>
              <w:rStyle w:val="PageNumber"/>
            </w:rPr>
            <w:fldChar w:fldCharType="end"/>
          </w:r>
        </w:p>
      </w:tc>
    </w:tr>
    <w:tr w:rsidR="00DB0C8D" w14:paraId="0D95AFBE" w14:textId="77777777">
      <w:tc>
        <w:tcPr>
          <w:tcW w:w="8730" w:type="dxa"/>
        </w:tcPr>
        <w:p w14:paraId="6089D7FF" w14:textId="77777777" w:rsidR="00DB0C8D" w:rsidRDefault="00DB0C8D"/>
      </w:tc>
      <w:tc>
        <w:tcPr>
          <w:tcW w:w="860" w:type="dxa"/>
        </w:tcPr>
        <w:p w14:paraId="23304361" w14:textId="77777777" w:rsidR="00DB0C8D" w:rsidRDefault="00DB0C8D">
          <w:pPr>
            <w:pStyle w:val="Header"/>
            <w:ind w:left="-90"/>
            <w:jc w:val="right"/>
          </w:pPr>
        </w:p>
      </w:tc>
    </w:tr>
  </w:tbl>
  <w:p w14:paraId="4283B4C9" w14:textId="77777777" w:rsidR="00DB0C8D" w:rsidRDefault="00DB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4FA52AA0"/>
    <w:multiLevelType w:val="hybridMultilevel"/>
    <w:tmpl w:val="0598E93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318026290">
    <w:abstractNumId w:val="7"/>
  </w:num>
  <w:num w:numId="2" w16cid:durableId="2045522141">
    <w:abstractNumId w:val="6"/>
  </w:num>
  <w:num w:numId="3" w16cid:durableId="538861277">
    <w:abstractNumId w:val="5"/>
  </w:num>
  <w:num w:numId="4" w16cid:durableId="774791523">
    <w:abstractNumId w:val="4"/>
  </w:num>
  <w:num w:numId="5" w16cid:durableId="843283446">
    <w:abstractNumId w:val="8"/>
  </w:num>
  <w:num w:numId="6" w16cid:durableId="1370254580">
    <w:abstractNumId w:val="8"/>
  </w:num>
  <w:num w:numId="7" w16cid:durableId="600989847">
    <w:abstractNumId w:val="0"/>
  </w:num>
  <w:num w:numId="8" w16cid:durableId="1555847655">
    <w:abstractNumId w:val="3"/>
  </w:num>
  <w:num w:numId="9" w16cid:durableId="1013261851">
    <w:abstractNumId w:val="1"/>
  </w:num>
  <w:num w:numId="10" w16cid:durableId="42048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D8"/>
    <w:rsid w:val="000034B0"/>
    <w:rsid w:val="000041A1"/>
    <w:rsid w:val="0001305E"/>
    <w:rsid w:val="00021263"/>
    <w:rsid w:val="00021B30"/>
    <w:rsid w:val="00021E4C"/>
    <w:rsid w:val="00022556"/>
    <w:rsid w:val="0002564B"/>
    <w:rsid w:val="000352CA"/>
    <w:rsid w:val="000366EC"/>
    <w:rsid w:val="00043E4D"/>
    <w:rsid w:val="00056393"/>
    <w:rsid w:val="0006553F"/>
    <w:rsid w:val="0007225E"/>
    <w:rsid w:val="00076D81"/>
    <w:rsid w:val="00080885"/>
    <w:rsid w:val="00080C47"/>
    <w:rsid w:val="0008378A"/>
    <w:rsid w:val="0008784D"/>
    <w:rsid w:val="00090018"/>
    <w:rsid w:val="00090306"/>
    <w:rsid w:val="00093ACD"/>
    <w:rsid w:val="00095814"/>
    <w:rsid w:val="00097D81"/>
    <w:rsid w:val="000A4AD0"/>
    <w:rsid w:val="000A5AD1"/>
    <w:rsid w:val="000A77C5"/>
    <w:rsid w:val="000B7F1B"/>
    <w:rsid w:val="000C710F"/>
    <w:rsid w:val="000D1AA6"/>
    <w:rsid w:val="000D3948"/>
    <w:rsid w:val="000E0C28"/>
    <w:rsid w:val="000E1320"/>
    <w:rsid w:val="000E56A6"/>
    <w:rsid w:val="000F3423"/>
    <w:rsid w:val="000F4BC0"/>
    <w:rsid w:val="000F5F81"/>
    <w:rsid w:val="00104550"/>
    <w:rsid w:val="001050B4"/>
    <w:rsid w:val="0012224D"/>
    <w:rsid w:val="001222DE"/>
    <w:rsid w:val="001225BC"/>
    <w:rsid w:val="00122A9E"/>
    <w:rsid w:val="00122F94"/>
    <w:rsid w:val="0012326A"/>
    <w:rsid w:val="00137E7E"/>
    <w:rsid w:val="001407FC"/>
    <w:rsid w:val="00144572"/>
    <w:rsid w:val="00147A49"/>
    <w:rsid w:val="00147B8B"/>
    <w:rsid w:val="0015125A"/>
    <w:rsid w:val="00152464"/>
    <w:rsid w:val="00154E6D"/>
    <w:rsid w:val="0015539F"/>
    <w:rsid w:val="00156E2F"/>
    <w:rsid w:val="00160597"/>
    <w:rsid w:val="001664C8"/>
    <w:rsid w:val="00167AD0"/>
    <w:rsid w:val="00167E9D"/>
    <w:rsid w:val="00173184"/>
    <w:rsid w:val="00173FB5"/>
    <w:rsid w:val="00175079"/>
    <w:rsid w:val="00183515"/>
    <w:rsid w:val="001A03BE"/>
    <w:rsid w:val="001A067E"/>
    <w:rsid w:val="001A2900"/>
    <w:rsid w:val="001A4081"/>
    <w:rsid w:val="001A65F1"/>
    <w:rsid w:val="001B2B40"/>
    <w:rsid w:val="001B3E9D"/>
    <w:rsid w:val="001B4A40"/>
    <w:rsid w:val="001B5524"/>
    <w:rsid w:val="001C2B0B"/>
    <w:rsid w:val="001C436D"/>
    <w:rsid w:val="001D066C"/>
    <w:rsid w:val="001D4F13"/>
    <w:rsid w:val="001E42F0"/>
    <w:rsid w:val="00226493"/>
    <w:rsid w:val="00227040"/>
    <w:rsid w:val="00230CFC"/>
    <w:rsid w:val="00231C1D"/>
    <w:rsid w:val="00241CED"/>
    <w:rsid w:val="00242FB4"/>
    <w:rsid w:val="00245605"/>
    <w:rsid w:val="0025063A"/>
    <w:rsid w:val="002563F0"/>
    <w:rsid w:val="00266064"/>
    <w:rsid w:val="00267C8D"/>
    <w:rsid w:val="002701DD"/>
    <w:rsid w:val="00273F49"/>
    <w:rsid w:val="002769B5"/>
    <w:rsid w:val="00276B59"/>
    <w:rsid w:val="00281319"/>
    <w:rsid w:val="00286149"/>
    <w:rsid w:val="0028668D"/>
    <w:rsid w:val="00290289"/>
    <w:rsid w:val="00292188"/>
    <w:rsid w:val="00296645"/>
    <w:rsid w:val="00296A4B"/>
    <w:rsid w:val="00297284"/>
    <w:rsid w:val="002A0077"/>
    <w:rsid w:val="002A374B"/>
    <w:rsid w:val="002A73E9"/>
    <w:rsid w:val="002B2FC3"/>
    <w:rsid w:val="002B35F0"/>
    <w:rsid w:val="002B58AF"/>
    <w:rsid w:val="002C3748"/>
    <w:rsid w:val="002C5E89"/>
    <w:rsid w:val="002D42BC"/>
    <w:rsid w:val="002D5F78"/>
    <w:rsid w:val="002D71A9"/>
    <w:rsid w:val="002D7846"/>
    <w:rsid w:val="002D7E4C"/>
    <w:rsid w:val="002D7FCB"/>
    <w:rsid w:val="002E1F94"/>
    <w:rsid w:val="002F1237"/>
    <w:rsid w:val="002F7507"/>
    <w:rsid w:val="00302FB4"/>
    <w:rsid w:val="003047EB"/>
    <w:rsid w:val="00305273"/>
    <w:rsid w:val="003057FC"/>
    <w:rsid w:val="003074B7"/>
    <w:rsid w:val="00307C85"/>
    <w:rsid w:val="00311A7B"/>
    <w:rsid w:val="00312983"/>
    <w:rsid w:val="003248CB"/>
    <w:rsid w:val="00331EA7"/>
    <w:rsid w:val="003332B8"/>
    <w:rsid w:val="00344465"/>
    <w:rsid w:val="0034740A"/>
    <w:rsid w:val="0035375B"/>
    <w:rsid w:val="00362D74"/>
    <w:rsid w:val="00363637"/>
    <w:rsid w:val="003664E9"/>
    <w:rsid w:val="00366D1E"/>
    <w:rsid w:val="0037112C"/>
    <w:rsid w:val="00373EE5"/>
    <w:rsid w:val="003817E7"/>
    <w:rsid w:val="00382E55"/>
    <w:rsid w:val="00390B55"/>
    <w:rsid w:val="003961B2"/>
    <w:rsid w:val="003A41AD"/>
    <w:rsid w:val="003B152B"/>
    <w:rsid w:val="003B1734"/>
    <w:rsid w:val="003B1735"/>
    <w:rsid w:val="003B6CBF"/>
    <w:rsid w:val="003C47A7"/>
    <w:rsid w:val="003D0826"/>
    <w:rsid w:val="003D18FC"/>
    <w:rsid w:val="003D3C93"/>
    <w:rsid w:val="003E00D5"/>
    <w:rsid w:val="003E02BA"/>
    <w:rsid w:val="003F0578"/>
    <w:rsid w:val="003F7F38"/>
    <w:rsid w:val="0040399B"/>
    <w:rsid w:val="00406F0C"/>
    <w:rsid w:val="00411251"/>
    <w:rsid w:val="00412585"/>
    <w:rsid w:val="0041363B"/>
    <w:rsid w:val="00413C57"/>
    <w:rsid w:val="00415D5D"/>
    <w:rsid w:val="0042650F"/>
    <w:rsid w:val="0042684F"/>
    <w:rsid w:val="00427D5D"/>
    <w:rsid w:val="004314A4"/>
    <w:rsid w:val="00431E0B"/>
    <w:rsid w:val="004337FE"/>
    <w:rsid w:val="00433E98"/>
    <w:rsid w:val="00435738"/>
    <w:rsid w:val="00437137"/>
    <w:rsid w:val="004403B8"/>
    <w:rsid w:val="00441ADA"/>
    <w:rsid w:val="004422CA"/>
    <w:rsid w:val="0044371C"/>
    <w:rsid w:val="0044627E"/>
    <w:rsid w:val="0045114F"/>
    <w:rsid w:val="004529D3"/>
    <w:rsid w:val="00453F31"/>
    <w:rsid w:val="00456B0C"/>
    <w:rsid w:val="0046538B"/>
    <w:rsid w:val="00471C92"/>
    <w:rsid w:val="004739AC"/>
    <w:rsid w:val="00474489"/>
    <w:rsid w:val="00475FEF"/>
    <w:rsid w:val="0047776F"/>
    <w:rsid w:val="00482D5B"/>
    <w:rsid w:val="004870EA"/>
    <w:rsid w:val="00487F13"/>
    <w:rsid w:val="0049595F"/>
    <w:rsid w:val="00496193"/>
    <w:rsid w:val="004A02AF"/>
    <w:rsid w:val="004A4449"/>
    <w:rsid w:val="004A679B"/>
    <w:rsid w:val="004C0FB4"/>
    <w:rsid w:val="004C1811"/>
    <w:rsid w:val="004C4555"/>
    <w:rsid w:val="004D16D6"/>
    <w:rsid w:val="004D6CEA"/>
    <w:rsid w:val="004E3564"/>
    <w:rsid w:val="004E51C0"/>
    <w:rsid w:val="004E64BE"/>
    <w:rsid w:val="004F6293"/>
    <w:rsid w:val="00503B8D"/>
    <w:rsid w:val="00503EE3"/>
    <w:rsid w:val="00505811"/>
    <w:rsid w:val="00515DE7"/>
    <w:rsid w:val="00517EB0"/>
    <w:rsid w:val="005205CB"/>
    <w:rsid w:val="005348E4"/>
    <w:rsid w:val="005352F1"/>
    <w:rsid w:val="00540094"/>
    <w:rsid w:val="00545393"/>
    <w:rsid w:val="00545CFF"/>
    <w:rsid w:val="00555800"/>
    <w:rsid w:val="00555FA8"/>
    <w:rsid w:val="00556DBB"/>
    <w:rsid w:val="00560273"/>
    <w:rsid w:val="00560781"/>
    <w:rsid w:val="0056268F"/>
    <w:rsid w:val="005662E9"/>
    <w:rsid w:val="00572AAF"/>
    <w:rsid w:val="005801AE"/>
    <w:rsid w:val="00582868"/>
    <w:rsid w:val="00582ECC"/>
    <w:rsid w:val="0058399B"/>
    <w:rsid w:val="0058692F"/>
    <w:rsid w:val="00587045"/>
    <w:rsid w:val="00587C22"/>
    <w:rsid w:val="005907BE"/>
    <w:rsid w:val="0059126C"/>
    <w:rsid w:val="0059436D"/>
    <w:rsid w:val="005945C0"/>
    <w:rsid w:val="00597016"/>
    <w:rsid w:val="005974B7"/>
    <w:rsid w:val="005A0D51"/>
    <w:rsid w:val="005A181B"/>
    <w:rsid w:val="005A1CB3"/>
    <w:rsid w:val="005A3073"/>
    <w:rsid w:val="005A33A5"/>
    <w:rsid w:val="005A70A0"/>
    <w:rsid w:val="005B0612"/>
    <w:rsid w:val="005B13F0"/>
    <w:rsid w:val="005B30F6"/>
    <w:rsid w:val="005B45BA"/>
    <w:rsid w:val="005B5689"/>
    <w:rsid w:val="005B6680"/>
    <w:rsid w:val="005B6774"/>
    <w:rsid w:val="005C0A89"/>
    <w:rsid w:val="005C3BC4"/>
    <w:rsid w:val="005C48FF"/>
    <w:rsid w:val="005D26CC"/>
    <w:rsid w:val="005D59B1"/>
    <w:rsid w:val="005D5D3E"/>
    <w:rsid w:val="005D764B"/>
    <w:rsid w:val="005E0731"/>
    <w:rsid w:val="005E2367"/>
    <w:rsid w:val="005E5E90"/>
    <w:rsid w:val="005E654C"/>
    <w:rsid w:val="005F05F6"/>
    <w:rsid w:val="00605734"/>
    <w:rsid w:val="0061488E"/>
    <w:rsid w:val="0061574B"/>
    <w:rsid w:val="00622670"/>
    <w:rsid w:val="00623A1A"/>
    <w:rsid w:val="00626E8D"/>
    <w:rsid w:val="0063156B"/>
    <w:rsid w:val="006326A9"/>
    <w:rsid w:val="00632DA8"/>
    <w:rsid w:val="00634E6E"/>
    <w:rsid w:val="0064342A"/>
    <w:rsid w:val="00643A28"/>
    <w:rsid w:val="006452FA"/>
    <w:rsid w:val="00646B4B"/>
    <w:rsid w:val="0065093D"/>
    <w:rsid w:val="00652A16"/>
    <w:rsid w:val="00655193"/>
    <w:rsid w:val="00655459"/>
    <w:rsid w:val="00656FB2"/>
    <w:rsid w:val="00657A70"/>
    <w:rsid w:val="00661454"/>
    <w:rsid w:val="006620AA"/>
    <w:rsid w:val="0066642D"/>
    <w:rsid w:val="00675E85"/>
    <w:rsid w:val="0067750F"/>
    <w:rsid w:val="0068401E"/>
    <w:rsid w:val="006841A4"/>
    <w:rsid w:val="0068643F"/>
    <w:rsid w:val="006877A1"/>
    <w:rsid w:val="00692150"/>
    <w:rsid w:val="00692F0C"/>
    <w:rsid w:val="00696E7C"/>
    <w:rsid w:val="006A0C54"/>
    <w:rsid w:val="006A7C53"/>
    <w:rsid w:val="006B140A"/>
    <w:rsid w:val="006B309C"/>
    <w:rsid w:val="006B727F"/>
    <w:rsid w:val="006C6D3A"/>
    <w:rsid w:val="006C7B36"/>
    <w:rsid w:val="006C7B7F"/>
    <w:rsid w:val="006D19E8"/>
    <w:rsid w:val="006E04B5"/>
    <w:rsid w:val="006E330C"/>
    <w:rsid w:val="006E3DD8"/>
    <w:rsid w:val="006E793F"/>
    <w:rsid w:val="006F0154"/>
    <w:rsid w:val="006F7944"/>
    <w:rsid w:val="00704121"/>
    <w:rsid w:val="00705BB5"/>
    <w:rsid w:val="0071326F"/>
    <w:rsid w:val="007153D7"/>
    <w:rsid w:val="00720ED4"/>
    <w:rsid w:val="0074488F"/>
    <w:rsid w:val="00745AA8"/>
    <w:rsid w:val="007503E0"/>
    <w:rsid w:val="007510EC"/>
    <w:rsid w:val="0075233C"/>
    <w:rsid w:val="0075256A"/>
    <w:rsid w:val="007569DE"/>
    <w:rsid w:val="0075723C"/>
    <w:rsid w:val="00775BDF"/>
    <w:rsid w:val="00782C8F"/>
    <w:rsid w:val="00785F78"/>
    <w:rsid w:val="0078659D"/>
    <w:rsid w:val="007869EC"/>
    <w:rsid w:val="00793DEA"/>
    <w:rsid w:val="007A1E58"/>
    <w:rsid w:val="007A5C7E"/>
    <w:rsid w:val="007A6E2F"/>
    <w:rsid w:val="007B0DF2"/>
    <w:rsid w:val="007B3BC5"/>
    <w:rsid w:val="007D03DF"/>
    <w:rsid w:val="007D4953"/>
    <w:rsid w:val="007D50F4"/>
    <w:rsid w:val="007D7173"/>
    <w:rsid w:val="007E1216"/>
    <w:rsid w:val="007E4CD4"/>
    <w:rsid w:val="007E530C"/>
    <w:rsid w:val="007E6672"/>
    <w:rsid w:val="007F0E8E"/>
    <w:rsid w:val="007F14AC"/>
    <w:rsid w:val="007F2149"/>
    <w:rsid w:val="007F4E00"/>
    <w:rsid w:val="008079DD"/>
    <w:rsid w:val="0081130F"/>
    <w:rsid w:val="00813095"/>
    <w:rsid w:val="008146B2"/>
    <w:rsid w:val="00824430"/>
    <w:rsid w:val="00825B1F"/>
    <w:rsid w:val="00827D55"/>
    <w:rsid w:val="00840EDD"/>
    <w:rsid w:val="0084255F"/>
    <w:rsid w:val="00854FB3"/>
    <w:rsid w:val="00860F13"/>
    <w:rsid w:val="00861F8B"/>
    <w:rsid w:val="0086561F"/>
    <w:rsid w:val="00865A7A"/>
    <w:rsid w:val="00865FE1"/>
    <w:rsid w:val="0087069B"/>
    <w:rsid w:val="008748C7"/>
    <w:rsid w:val="0087521A"/>
    <w:rsid w:val="008808C0"/>
    <w:rsid w:val="00890BDE"/>
    <w:rsid w:val="00892AD3"/>
    <w:rsid w:val="008962E7"/>
    <w:rsid w:val="008A1118"/>
    <w:rsid w:val="008A281F"/>
    <w:rsid w:val="008A48D2"/>
    <w:rsid w:val="008A4AF6"/>
    <w:rsid w:val="008A4FF8"/>
    <w:rsid w:val="008A5ED1"/>
    <w:rsid w:val="008A73CE"/>
    <w:rsid w:val="008A7FD1"/>
    <w:rsid w:val="008B042E"/>
    <w:rsid w:val="008B211E"/>
    <w:rsid w:val="008B6958"/>
    <w:rsid w:val="008B6D48"/>
    <w:rsid w:val="008C599B"/>
    <w:rsid w:val="008C7660"/>
    <w:rsid w:val="008C79A7"/>
    <w:rsid w:val="008D5521"/>
    <w:rsid w:val="008D555F"/>
    <w:rsid w:val="008D625D"/>
    <w:rsid w:val="008D650E"/>
    <w:rsid w:val="008E6A41"/>
    <w:rsid w:val="008F15D5"/>
    <w:rsid w:val="008F2714"/>
    <w:rsid w:val="00903990"/>
    <w:rsid w:val="009042A8"/>
    <w:rsid w:val="00904950"/>
    <w:rsid w:val="00915E5E"/>
    <w:rsid w:val="009166B8"/>
    <w:rsid w:val="00917915"/>
    <w:rsid w:val="00920684"/>
    <w:rsid w:val="009216E6"/>
    <w:rsid w:val="009224D8"/>
    <w:rsid w:val="00922DB7"/>
    <w:rsid w:val="0092684A"/>
    <w:rsid w:val="00926A63"/>
    <w:rsid w:val="00937FAB"/>
    <w:rsid w:val="0094094D"/>
    <w:rsid w:val="00942AB8"/>
    <w:rsid w:val="00943107"/>
    <w:rsid w:val="0094482C"/>
    <w:rsid w:val="009452B7"/>
    <w:rsid w:val="0094548C"/>
    <w:rsid w:val="00945CAF"/>
    <w:rsid w:val="00947448"/>
    <w:rsid w:val="00952B38"/>
    <w:rsid w:val="00952C99"/>
    <w:rsid w:val="00965333"/>
    <w:rsid w:val="009712EF"/>
    <w:rsid w:val="009727BF"/>
    <w:rsid w:val="00973321"/>
    <w:rsid w:val="00975C2E"/>
    <w:rsid w:val="00977270"/>
    <w:rsid w:val="009824F2"/>
    <w:rsid w:val="00983080"/>
    <w:rsid w:val="00986AA3"/>
    <w:rsid w:val="00993B24"/>
    <w:rsid w:val="0099611F"/>
    <w:rsid w:val="009A083F"/>
    <w:rsid w:val="009A135C"/>
    <w:rsid w:val="009A337D"/>
    <w:rsid w:val="009A67E7"/>
    <w:rsid w:val="009A6F47"/>
    <w:rsid w:val="009C16A4"/>
    <w:rsid w:val="009C603A"/>
    <w:rsid w:val="009C74CD"/>
    <w:rsid w:val="009D048F"/>
    <w:rsid w:val="009D162F"/>
    <w:rsid w:val="009D401F"/>
    <w:rsid w:val="009D68FA"/>
    <w:rsid w:val="009E128A"/>
    <w:rsid w:val="009E32CF"/>
    <w:rsid w:val="009E4FC2"/>
    <w:rsid w:val="009F44AE"/>
    <w:rsid w:val="00A02529"/>
    <w:rsid w:val="00A02EF2"/>
    <w:rsid w:val="00A04D5E"/>
    <w:rsid w:val="00A10DDF"/>
    <w:rsid w:val="00A11172"/>
    <w:rsid w:val="00A1219E"/>
    <w:rsid w:val="00A12E55"/>
    <w:rsid w:val="00A2411A"/>
    <w:rsid w:val="00A242E4"/>
    <w:rsid w:val="00A24437"/>
    <w:rsid w:val="00A24CA0"/>
    <w:rsid w:val="00A2528B"/>
    <w:rsid w:val="00A33601"/>
    <w:rsid w:val="00A3362A"/>
    <w:rsid w:val="00A37B70"/>
    <w:rsid w:val="00A40AC7"/>
    <w:rsid w:val="00A435C7"/>
    <w:rsid w:val="00A569B2"/>
    <w:rsid w:val="00A611A4"/>
    <w:rsid w:val="00A61F09"/>
    <w:rsid w:val="00A655E9"/>
    <w:rsid w:val="00A6695B"/>
    <w:rsid w:val="00A72703"/>
    <w:rsid w:val="00A727F6"/>
    <w:rsid w:val="00A72E71"/>
    <w:rsid w:val="00A76432"/>
    <w:rsid w:val="00A84FC6"/>
    <w:rsid w:val="00A8528E"/>
    <w:rsid w:val="00A90BD9"/>
    <w:rsid w:val="00A94A49"/>
    <w:rsid w:val="00AA1815"/>
    <w:rsid w:val="00AA1D3E"/>
    <w:rsid w:val="00AA39F9"/>
    <w:rsid w:val="00AA79D3"/>
    <w:rsid w:val="00AB0931"/>
    <w:rsid w:val="00AB2DBA"/>
    <w:rsid w:val="00AB5C9B"/>
    <w:rsid w:val="00AC0276"/>
    <w:rsid w:val="00AC0312"/>
    <w:rsid w:val="00AC0449"/>
    <w:rsid w:val="00AD2497"/>
    <w:rsid w:val="00AD5EB4"/>
    <w:rsid w:val="00AE63E2"/>
    <w:rsid w:val="00AF04C9"/>
    <w:rsid w:val="00AF082A"/>
    <w:rsid w:val="00AF1DC4"/>
    <w:rsid w:val="00AF26B6"/>
    <w:rsid w:val="00AF2979"/>
    <w:rsid w:val="00AF3189"/>
    <w:rsid w:val="00B0375C"/>
    <w:rsid w:val="00B052CB"/>
    <w:rsid w:val="00B156C3"/>
    <w:rsid w:val="00B15F67"/>
    <w:rsid w:val="00B1624F"/>
    <w:rsid w:val="00B20E25"/>
    <w:rsid w:val="00B224C5"/>
    <w:rsid w:val="00B325CD"/>
    <w:rsid w:val="00B42406"/>
    <w:rsid w:val="00B4561E"/>
    <w:rsid w:val="00B4768D"/>
    <w:rsid w:val="00B518E5"/>
    <w:rsid w:val="00B51E1F"/>
    <w:rsid w:val="00B60222"/>
    <w:rsid w:val="00B62CFB"/>
    <w:rsid w:val="00B662F5"/>
    <w:rsid w:val="00B67CD4"/>
    <w:rsid w:val="00B7000C"/>
    <w:rsid w:val="00B760D5"/>
    <w:rsid w:val="00B810CC"/>
    <w:rsid w:val="00B83B2C"/>
    <w:rsid w:val="00B83C66"/>
    <w:rsid w:val="00B85AE6"/>
    <w:rsid w:val="00B92049"/>
    <w:rsid w:val="00B94740"/>
    <w:rsid w:val="00B95002"/>
    <w:rsid w:val="00B97F75"/>
    <w:rsid w:val="00BA0A4F"/>
    <w:rsid w:val="00BA1CAE"/>
    <w:rsid w:val="00BA33BB"/>
    <w:rsid w:val="00BA4830"/>
    <w:rsid w:val="00BA6E22"/>
    <w:rsid w:val="00BB362C"/>
    <w:rsid w:val="00BC0A03"/>
    <w:rsid w:val="00BC5BB4"/>
    <w:rsid w:val="00BD4139"/>
    <w:rsid w:val="00BE059A"/>
    <w:rsid w:val="00BE1981"/>
    <w:rsid w:val="00BE2DA6"/>
    <w:rsid w:val="00BE56E9"/>
    <w:rsid w:val="00BE63CF"/>
    <w:rsid w:val="00BE7014"/>
    <w:rsid w:val="00BE7991"/>
    <w:rsid w:val="00BF19CA"/>
    <w:rsid w:val="00BF25C7"/>
    <w:rsid w:val="00C009B7"/>
    <w:rsid w:val="00C00DD2"/>
    <w:rsid w:val="00C04E32"/>
    <w:rsid w:val="00C04FCC"/>
    <w:rsid w:val="00C116B1"/>
    <w:rsid w:val="00C13A1F"/>
    <w:rsid w:val="00C15A3F"/>
    <w:rsid w:val="00C20630"/>
    <w:rsid w:val="00C224A4"/>
    <w:rsid w:val="00C22F7A"/>
    <w:rsid w:val="00C2666F"/>
    <w:rsid w:val="00C26B27"/>
    <w:rsid w:val="00C30651"/>
    <w:rsid w:val="00C32020"/>
    <w:rsid w:val="00C32D02"/>
    <w:rsid w:val="00C3408C"/>
    <w:rsid w:val="00C351CC"/>
    <w:rsid w:val="00C35435"/>
    <w:rsid w:val="00C432FD"/>
    <w:rsid w:val="00C43CDF"/>
    <w:rsid w:val="00C512B2"/>
    <w:rsid w:val="00C53779"/>
    <w:rsid w:val="00C62B69"/>
    <w:rsid w:val="00C644B7"/>
    <w:rsid w:val="00C64564"/>
    <w:rsid w:val="00C73C87"/>
    <w:rsid w:val="00C74B6F"/>
    <w:rsid w:val="00C87EF3"/>
    <w:rsid w:val="00C9015F"/>
    <w:rsid w:val="00C912F9"/>
    <w:rsid w:val="00C9241B"/>
    <w:rsid w:val="00C94529"/>
    <w:rsid w:val="00C96DDF"/>
    <w:rsid w:val="00C97569"/>
    <w:rsid w:val="00CA199D"/>
    <w:rsid w:val="00CA4D9C"/>
    <w:rsid w:val="00CB05A7"/>
    <w:rsid w:val="00CB06A4"/>
    <w:rsid w:val="00CB325B"/>
    <w:rsid w:val="00CB64FF"/>
    <w:rsid w:val="00CB7078"/>
    <w:rsid w:val="00CC014B"/>
    <w:rsid w:val="00CC21D8"/>
    <w:rsid w:val="00CC3369"/>
    <w:rsid w:val="00CC5343"/>
    <w:rsid w:val="00CC6338"/>
    <w:rsid w:val="00CC78DE"/>
    <w:rsid w:val="00CD04D9"/>
    <w:rsid w:val="00CD0F93"/>
    <w:rsid w:val="00CD6D6E"/>
    <w:rsid w:val="00CD6F23"/>
    <w:rsid w:val="00CF640B"/>
    <w:rsid w:val="00CF6B5A"/>
    <w:rsid w:val="00D027AF"/>
    <w:rsid w:val="00D0323E"/>
    <w:rsid w:val="00D06652"/>
    <w:rsid w:val="00D07FA6"/>
    <w:rsid w:val="00D16ADF"/>
    <w:rsid w:val="00D17C53"/>
    <w:rsid w:val="00D17D57"/>
    <w:rsid w:val="00D2341D"/>
    <w:rsid w:val="00D25E0E"/>
    <w:rsid w:val="00D302EB"/>
    <w:rsid w:val="00D31679"/>
    <w:rsid w:val="00D320C8"/>
    <w:rsid w:val="00D3672F"/>
    <w:rsid w:val="00D40ABA"/>
    <w:rsid w:val="00D40FE2"/>
    <w:rsid w:val="00D440FA"/>
    <w:rsid w:val="00D44BCF"/>
    <w:rsid w:val="00D46E73"/>
    <w:rsid w:val="00D54280"/>
    <w:rsid w:val="00D5548D"/>
    <w:rsid w:val="00D60F81"/>
    <w:rsid w:val="00D63951"/>
    <w:rsid w:val="00D63BF2"/>
    <w:rsid w:val="00D67348"/>
    <w:rsid w:val="00D73BB4"/>
    <w:rsid w:val="00D75FEC"/>
    <w:rsid w:val="00D76B98"/>
    <w:rsid w:val="00D835A0"/>
    <w:rsid w:val="00D86F2C"/>
    <w:rsid w:val="00D91DF6"/>
    <w:rsid w:val="00D936D0"/>
    <w:rsid w:val="00DA36F6"/>
    <w:rsid w:val="00DB0C8D"/>
    <w:rsid w:val="00DC1611"/>
    <w:rsid w:val="00DD3C53"/>
    <w:rsid w:val="00DE1388"/>
    <w:rsid w:val="00DF0774"/>
    <w:rsid w:val="00DF1036"/>
    <w:rsid w:val="00DF7EEA"/>
    <w:rsid w:val="00E05451"/>
    <w:rsid w:val="00E05651"/>
    <w:rsid w:val="00E11BA5"/>
    <w:rsid w:val="00E20425"/>
    <w:rsid w:val="00E25DCB"/>
    <w:rsid w:val="00E4156E"/>
    <w:rsid w:val="00E453F2"/>
    <w:rsid w:val="00E460AD"/>
    <w:rsid w:val="00E61925"/>
    <w:rsid w:val="00E61EC0"/>
    <w:rsid w:val="00E65C0E"/>
    <w:rsid w:val="00E730FC"/>
    <w:rsid w:val="00E746F0"/>
    <w:rsid w:val="00E809B9"/>
    <w:rsid w:val="00E82A15"/>
    <w:rsid w:val="00E85445"/>
    <w:rsid w:val="00E87589"/>
    <w:rsid w:val="00E938FF"/>
    <w:rsid w:val="00E93DFE"/>
    <w:rsid w:val="00EA34DC"/>
    <w:rsid w:val="00EA5017"/>
    <w:rsid w:val="00EA6BED"/>
    <w:rsid w:val="00EB14F0"/>
    <w:rsid w:val="00EB3844"/>
    <w:rsid w:val="00EB5A9F"/>
    <w:rsid w:val="00EC573F"/>
    <w:rsid w:val="00EC5C8D"/>
    <w:rsid w:val="00ED106C"/>
    <w:rsid w:val="00ED2D34"/>
    <w:rsid w:val="00ED4805"/>
    <w:rsid w:val="00ED57F6"/>
    <w:rsid w:val="00ED6C51"/>
    <w:rsid w:val="00EE1E69"/>
    <w:rsid w:val="00EF4258"/>
    <w:rsid w:val="00EF6D31"/>
    <w:rsid w:val="00F00E8C"/>
    <w:rsid w:val="00F02237"/>
    <w:rsid w:val="00F079A6"/>
    <w:rsid w:val="00F1323A"/>
    <w:rsid w:val="00F15811"/>
    <w:rsid w:val="00F22423"/>
    <w:rsid w:val="00F24C72"/>
    <w:rsid w:val="00F31D22"/>
    <w:rsid w:val="00F348B2"/>
    <w:rsid w:val="00F348C4"/>
    <w:rsid w:val="00F34BF0"/>
    <w:rsid w:val="00F34ED8"/>
    <w:rsid w:val="00F4095A"/>
    <w:rsid w:val="00F41382"/>
    <w:rsid w:val="00F45845"/>
    <w:rsid w:val="00F50189"/>
    <w:rsid w:val="00F508FC"/>
    <w:rsid w:val="00F53571"/>
    <w:rsid w:val="00F54044"/>
    <w:rsid w:val="00F573FF"/>
    <w:rsid w:val="00F576E7"/>
    <w:rsid w:val="00F763FC"/>
    <w:rsid w:val="00F772C1"/>
    <w:rsid w:val="00F8026D"/>
    <w:rsid w:val="00F8245F"/>
    <w:rsid w:val="00F91629"/>
    <w:rsid w:val="00F91E2A"/>
    <w:rsid w:val="00F96C39"/>
    <w:rsid w:val="00F96E41"/>
    <w:rsid w:val="00FA153F"/>
    <w:rsid w:val="00FA1D78"/>
    <w:rsid w:val="00FA1F7E"/>
    <w:rsid w:val="00FA280F"/>
    <w:rsid w:val="00FB2186"/>
    <w:rsid w:val="00FC0BE1"/>
    <w:rsid w:val="00FC7E54"/>
    <w:rsid w:val="00FD0133"/>
    <w:rsid w:val="00FD6206"/>
    <w:rsid w:val="00FE1318"/>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E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8F15D5"/>
    <w:pPr>
      <w:keepNext/>
      <w:spacing w:before="240" w:after="240"/>
      <w:outlineLvl w:val="2"/>
    </w:pPr>
    <w:rPr>
      <w:rFonts w:cs="Arial"/>
      <w:b/>
      <w:bCs/>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uiPriority w:val="99"/>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basedOn w:val="Normal"/>
    <w:link w:val="FootnoteTextChar1"/>
    <w:semiHidden/>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basedOn w:val="DefaultParagraphFont"/>
    <w:link w:val="FootnoteText"/>
    <w:semiHidden/>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uiPriority w:val="34"/>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DefaultParagraphFont"/>
    <w:locked/>
    <w:rsid w:val="00ED57F6"/>
    <w:rPr>
      <w:rFonts w:ascii="Arial" w:hAnsi="Arial" w:cs="Times New Roman"/>
      <w:sz w:val="24"/>
    </w:rPr>
  </w:style>
  <w:style w:type="paragraph" w:customStyle="1" w:styleId="commentaire">
    <w:name w:val="commentaire"/>
    <w:basedOn w:val="Normal"/>
    <w:rsid w:val="00A2528B"/>
    <w:pPr>
      <w:spacing w:before="100" w:beforeAutospacing="1" w:after="100" w:afterAutospacing="1"/>
    </w:pPr>
    <w:rPr>
      <w:rFonts w:ascii="Times New Roman" w:hAnsi="Times New Roman"/>
      <w:szCs w:val="24"/>
    </w:rPr>
  </w:style>
  <w:style w:type="paragraph" w:customStyle="1" w:styleId="corpsdedcision0">
    <w:name w:val="corpsdedcision"/>
    <w:basedOn w:val="Normal"/>
    <w:rsid w:val="0025063A"/>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1222DE"/>
    <w:rPr>
      <w:rFonts w:ascii="Segoe UI" w:hAnsi="Segoe UI" w:cs="Segoe UI"/>
      <w:sz w:val="18"/>
      <w:szCs w:val="18"/>
    </w:rPr>
  </w:style>
  <w:style w:type="character" w:customStyle="1" w:styleId="BalloonTextChar">
    <w:name w:val="Balloon Text Char"/>
    <w:basedOn w:val="DefaultParagraphFont"/>
    <w:link w:val="BalloonText"/>
    <w:rsid w:val="001222DE"/>
    <w:rPr>
      <w:rFonts w:ascii="Segoe UI" w:hAnsi="Segoe UI" w:cs="Segoe UI"/>
      <w:sz w:val="18"/>
      <w:szCs w:val="18"/>
    </w:rPr>
  </w:style>
  <w:style w:type="character" w:styleId="CommentReference">
    <w:name w:val="annotation reference"/>
    <w:basedOn w:val="DefaultParagraphFont"/>
    <w:rsid w:val="001222DE"/>
    <w:rPr>
      <w:sz w:val="16"/>
      <w:szCs w:val="16"/>
    </w:rPr>
  </w:style>
  <w:style w:type="paragraph" w:styleId="CommentText">
    <w:name w:val="annotation text"/>
    <w:basedOn w:val="Normal"/>
    <w:link w:val="CommentTextChar"/>
    <w:rsid w:val="001222DE"/>
    <w:rPr>
      <w:sz w:val="20"/>
    </w:rPr>
  </w:style>
  <w:style w:type="character" w:customStyle="1" w:styleId="CommentTextChar">
    <w:name w:val="Comment Text Char"/>
    <w:basedOn w:val="DefaultParagraphFont"/>
    <w:link w:val="CommentText"/>
    <w:rsid w:val="001222DE"/>
    <w:rPr>
      <w:rFonts w:ascii="Arial" w:hAnsi="Arial"/>
    </w:rPr>
  </w:style>
  <w:style w:type="paragraph" w:styleId="CommentSubject">
    <w:name w:val="annotation subject"/>
    <w:basedOn w:val="CommentText"/>
    <w:next w:val="CommentText"/>
    <w:link w:val="CommentSubjectChar"/>
    <w:rsid w:val="001222DE"/>
    <w:rPr>
      <w:b/>
      <w:bCs/>
    </w:rPr>
  </w:style>
  <w:style w:type="character" w:customStyle="1" w:styleId="CommentSubjectChar">
    <w:name w:val="Comment Subject Char"/>
    <w:basedOn w:val="CommentTextChar"/>
    <w:link w:val="CommentSubject"/>
    <w:rsid w:val="001222D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19632">
      <w:bodyDiv w:val="1"/>
      <w:marLeft w:val="0"/>
      <w:marRight w:val="0"/>
      <w:marTop w:val="0"/>
      <w:marBottom w:val="0"/>
      <w:divBdr>
        <w:top w:val="none" w:sz="0" w:space="0" w:color="auto"/>
        <w:left w:val="none" w:sz="0" w:space="0" w:color="auto"/>
        <w:bottom w:val="none" w:sz="0" w:space="0" w:color="auto"/>
        <w:right w:val="none" w:sz="0" w:space="0" w:color="auto"/>
      </w:divBdr>
    </w:div>
    <w:div w:id="18886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2026-07-08T00:37:00Z</dcterms:created>
  <dcterms:modified xsi:type="dcterms:W3CDTF">2026-07-08T00:37:00Z</dcterms:modified>
</cp:coreProperties>
</file>