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3039B84B" w14:textId="77777777">
        <w:trPr>
          <w:cantSplit/>
        </w:trPr>
        <w:tc>
          <w:tcPr>
            <w:tcW w:w="4795" w:type="dxa"/>
          </w:tcPr>
          <w:p w14:paraId="07EEE598" w14:textId="7FFCDFD2" w:rsidR="008A7FD1" w:rsidRPr="00DE3713" w:rsidRDefault="00DE3713" w:rsidP="00DE3713">
            <w:pPr>
              <w:pStyle w:val="zSoquijdatRepertorie"/>
              <w:rPr>
                <w:rFonts w:cs="Arial"/>
              </w:rPr>
            </w:pPr>
            <w:r>
              <w:rPr>
                <w:rFonts w:cs="Arial"/>
              </w:rPr>
              <w:t>Airoldi et Brasserie 341</w:t>
            </w:r>
          </w:p>
        </w:tc>
        <w:tc>
          <w:tcPr>
            <w:tcW w:w="2477" w:type="dxa"/>
          </w:tcPr>
          <w:p w14:paraId="72EAAE9D" w14:textId="4FEDF590" w:rsidR="008A7FD1" w:rsidRPr="006C206B" w:rsidRDefault="006C206B" w:rsidP="006C206B">
            <w:pPr>
              <w:pStyle w:val="zSoquijdatRefNeutre"/>
              <w:rPr>
                <w:rFonts w:cs="Arial"/>
              </w:rPr>
            </w:pPr>
            <w:r w:rsidRPr="006C206B">
              <w:rPr>
                <w:rFonts w:cs="Arial"/>
              </w:rPr>
              <w:t>2018 QCTAT 4136</w:t>
            </w:r>
          </w:p>
        </w:tc>
      </w:tr>
    </w:tbl>
    <w:p w14:paraId="315FE772"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14:paraId="4D06524D" w14:textId="77777777" w:rsidTr="002A374B">
        <w:trPr>
          <w:cantSplit/>
        </w:trPr>
        <w:tc>
          <w:tcPr>
            <w:tcW w:w="9568" w:type="dxa"/>
            <w:gridSpan w:val="4"/>
          </w:tcPr>
          <w:p w14:paraId="473EBDDB" w14:textId="77777777" w:rsidR="00C74B6F" w:rsidRPr="00BE1981" w:rsidRDefault="00C74B6F">
            <w:pPr>
              <w:rPr>
                <w:szCs w:val="24"/>
              </w:rPr>
            </w:pPr>
          </w:p>
        </w:tc>
      </w:tr>
      <w:tr w:rsidR="007E472D" w:rsidRPr="007E472D" w14:paraId="62828A05" w14:textId="77777777" w:rsidTr="002A374B">
        <w:trPr>
          <w:cantSplit/>
        </w:trPr>
        <w:tc>
          <w:tcPr>
            <w:tcW w:w="9568" w:type="dxa"/>
            <w:gridSpan w:val="4"/>
            <w:vAlign w:val="center"/>
          </w:tcPr>
          <w:p w14:paraId="0690225A" w14:textId="77777777" w:rsidR="00C74B6F" w:rsidRPr="007E472D" w:rsidRDefault="000E1320">
            <w:pPr>
              <w:jc w:val="center"/>
              <w:rPr>
                <w:sz w:val="36"/>
                <w:szCs w:val="36"/>
              </w:rPr>
            </w:pPr>
            <w:r w:rsidRPr="007E472D">
              <w:rPr>
                <w:b/>
                <w:sz w:val="36"/>
                <w:szCs w:val="36"/>
              </w:rPr>
              <w:t>TRIBUNAL ADMINISTRATIF DU TRAVAIL</w:t>
            </w:r>
          </w:p>
        </w:tc>
      </w:tr>
      <w:tr w:rsidR="007E472D" w:rsidRPr="007E472D" w14:paraId="249CB1A4" w14:textId="77777777" w:rsidTr="002A374B">
        <w:trPr>
          <w:cantSplit/>
        </w:trPr>
        <w:tc>
          <w:tcPr>
            <w:tcW w:w="9568" w:type="dxa"/>
            <w:gridSpan w:val="4"/>
          </w:tcPr>
          <w:p w14:paraId="44F5CBEA" w14:textId="77777777" w:rsidR="00C74B6F" w:rsidRPr="007E472D" w:rsidRDefault="006F0154" w:rsidP="009A67E7">
            <w:pPr>
              <w:pStyle w:val="zSoquijdatDivision"/>
            </w:pPr>
            <w:r w:rsidRPr="007E472D">
              <w:t>(</w:t>
            </w:r>
            <w:r w:rsidR="008B3B14" w:rsidRPr="007E472D">
              <w:t>Division de la santé et de la sécurité du travail</w:t>
            </w:r>
            <w:r w:rsidRPr="007E472D">
              <w:t>)</w:t>
            </w:r>
          </w:p>
        </w:tc>
      </w:tr>
      <w:tr w:rsidR="007E472D" w:rsidRPr="007E472D" w14:paraId="00BD21E3" w14:textId="77777777" w:rsidTr="002A374B">
        <w:trPr>
          <w:cantSplit/>
        </w:trPr>
        <w:tc>
          <w:tcPr>
            <w:tcW w:w="9568" w:type="dxa"/>
            <w:gridSpan w:val="4"/>
          </w:tcPr>
          <w:p w14:paraId="2A57AE0E" w14:textId="77777777" w:rsidR="002B2FC3" w:rsidRPr="007E472D" w:rsidRDefault="002B2FC3" w:rsidP="002B2FC3"/>
        </w:tc>
      </w:tr>
      <w:tr w:rsidR="007E472D" w:rsidRPr="007E472D" w14:paraId="3D88C63C" w14:textId="77777777" w:rsidTr="002A374B">
        <w:trPr>
          <w:cantSplit/>
        </w:trPr>
        <w:tc>
          <w:tcPr>
            <w:tcW w:w="9568" w:type="dxa"/>
            <w:gridSpan w:val="4"/>
          </w:tcPr>
          <w:p w14:paraId="72C9A9EC" w14:textId="77777777" w:rsidR="00A84FC6" w:rsidRPr="007E472D" w:rsidRDefault="00A84FC6" w:rsidP="002B2FC3"/>
        </w:tc>
      </w:tr>
      <w:tr w:rsidR="007E472D" w:rsidRPr="007E472D" w14:paraId="23B47044" w14:textId="77777777" w:rsidTr="005E654C">
        <w:tc>
          <w:tcPr>
            <w:tcW w:w="3614" w:type="dxa"/>
          </w:tcPr>
          <w:p w14:paraId="4329C8C8" w14:textId="77777777" w:rsidR="00C74B6F" w:rsidRPr="007E472D" w:rsidRDefault="0084255F">
            <w:bookmarkStart w:id="0" w:name="region" w:colFirst="1" w:colLast="1"/>
            <w:r w:rsidRPr="007E472D">
              <w:t>Région :</w:t>
            </w:r>
          </w:p>
        </w:tc>
        <w:tc>
          <w:tcPr>
            <w:tcW w:w="5954" w:type="dxa"/>
            <w:gridSpan w:val="3"/>
          </w:tcPr>
          <w:p w14:paraId="35088A75" w14:textId="77777777" w:rsidR="00C74B6F" w:rsidRPr="007E472D" w:rsidRDefault="008B3B14" w:rsidP="00F4095A">
            <w:pPr>
              <w:pStyle w:val="zSoquijdatGreffe"/>
            </w:pPr>
            <w:r w:rsidRPr="007E472D">
              <w:t>Lanaudière</w:t>
            </w:r>
          </w:p>
        </w:tc>
      </w:tr>
      <w:bookmarkEnd w:id="0"/>
      <w:tr w:rsidR="007E472D" w:rsidRPr="007E472D" w14:paraId="28369346" w14:textId="77777777" w:rsidTr="002A374B">
        <w:trPr>
          <w:cantSplit/>
        </w:trPr>
        <w:tc>
          <w:tcPr>
            <w:tcW w:w="9568" w:type="dxa"/>
            <w:gridSpan w:val="4"/>
          </w:tcPr>
          <w:p w14:paraId="5C43984C" w14:textId="77777777" w:rsidR="00C74B6F" w:rsidRPr="007E472D" w:rsidRDefault="00C74B6F"/>
        </w:tc>
      </w:tr>
      <w:tr w:rsidR="007E472D" w:rsidRPr="007E472D" w14:paraId="7D6D0F8B" w14:textId="77777777" w:rsidTr="005E654C">
        <w:tc>
          <w:tcPr>
            <w:tcW w:w="3614" w:type="dxa"/>
          </w:tcPr>
          <w:p w14:paraId="50BC9AFA" w14:textId="77777777" w:rsidR="00C74B6F" w:rsidRPr="007E472D" w:rsidRDefault="0084255F">
            <w:bookmarkStart w:id="1" w:name="ref_dossier" w:colFirst="1" w:colLast="1"/>
            <w:r w:rsidRPr="007E472D">
              <w:t>Dossier</w:t>
            </w:r>
            <w:bookmarkStart w:id="2" w:name="dossiers"/>
            <w:bookmarkEnd w:id="2"/>
            <w:r w:rsidRPr="007E472D">
              <w:t> :</w:t>
            </w:r>
          </w:p>
        </w:tc>
        <w:tc>
          <w:tcPr>
            <w:tcW w:w="5954" w:type="dxa"/>
            <w:gridSpan w:val="3"/>
          </w:tcPr>
          <w:p w14:paraId="6E924BA6" w14:textId="77777777" w:rsidR="00C74B6F" w:rsidRPr="007E472D" w:rsidRDefault="008B3B14" w:rsidP="00F4095A">
            <w:pPr>
              <w:pStyle w:val="zSoquijdatNoDossier"/>
            </w:pPr>
            <w:r w:rsidRPr="007E472D">
              <w:t>654932-63-1712</w:t>
            </w:r>
          </w:p>
        </w:tc>
      </w:tr>
      <w:bookmarkEnd w:id="1"/>
      <w:tr w:rsidR="007E472D" w:rsidRPr="007E472D" w14:paraId="2C32E90D" w14:textId="77777777" w:rsidTr="002A374B">
        <w:trPr>
          <w:cantSplit/>
        </w:trPr>
        <w:tc>
          <w:tcPr>
            <w:tcW w:w="9568" w:type="dxa"/>
            <w:gridSpan w:val="4"/>
          </w:tcPr>
          <w:p w14:paraId="5BFA4B98" w14:textId="2EFD409D" w:rsidR="00C74B6F" w:rsidRPr="007E472D" w:rsidRDefault="00C74B6F"/>
        </w:tc>
      </w:tr>
      <w:tr w:rsidR="007E472D" w:rsidRPr="007E472D" w14:paraId="5E59EC39" w14:textId="77777777" w:rsidTr="005E654C">
        <w:tc>
          <w:tcPr>
            <w:tcW w:w="3614" w:type="dxa"/>
          </w:tcPr>
          <w:p w14:paraId="3823619A" w14:textId="77777777" w:rsidR="00C74B6F" w:rsidRPr="007E472D" w:rsidRDefault="008C79A7" w:rsidP="008B3B14">
            <w:pPr>
              <w:ind w:right="46"/>
            </w:pPr>
            <w:r w:rsidRPr="007E472D">
              <w:t xml:space="preserve">Dossier </w:t>
            </w:r>
            <w:r w:rsidR="008B3B14" w:rsidRPr="007E472D">
              <w:rPr>
                <w:szCs w:val="24"/>
              </w:rPr>
              <w:t>CNESST</w:t>
            </w:r>
            <w:r w:rsidRPr="007E472D">
              <w:rPr>
                <w:szCs w:val="24"/>
              </w:rPr>
              <w:t xml:space="preserve"> :</w:t>
            </w:r>
          </w:p>
        </w:tc>
        <w:tc>
          <w:tcPr>
            <w:tcW w:w="5954" w:type="dxa"/>
            <w:gridSpan w:val="3"/>
          </w:tcPr>
          <w:p w14:paraId="40642E88" w14:textId="77777777" w:rsidR="00C74B6F" w:rsidRPr="007E472D" w:rsidRDefault="008B3B14" w:rsidP="004D6CEA">
            <w:pPr>
              <w:pStyle w:val="zSoquijdatNCSST"/>
            </w:pPr>
            <w:r w:rsidRPr="007E472D">
              <w:t>503371908</w:t>
            </w:r>
          </w:p>
        </w:tc>
      </w:tr>
      <w:tr w:rsidR="007E472D" w:rsidRPr="007E472D" w14:paraId="2E21C3AA" w14:textId="77777777" w:rsidTr="002A374B">
        <w:trPr>
          <w:cantSplit/>
        </w:trPr>
        <w:tc>
          <w:tcPr>
            <w:tcW w:w="9568" w:type="dxa"/>
            <w:gridSpan w:val="4"/>
          </w:tcPr>
          <w:p w14:paraId="3AC83839" w14:textId="77777777" w:rsidR="00C74B6F" w:rsidRPr="007E472D" w:rsidRDefault="00C74B6F"/>
        </w:tc>
      </w:tr>
      <w:tr w:rsidR="007E472D" w:rsidRPr="007E472D" w14:paraId="48D90D99" w14:textId="77777777" w:rsidTr="005E654C">
        <w:tc>
          <w:tcPr>
            <w:tcW w:w="3614" w:type="dxa"/>
          </w:tcPr>
          <w:p w14:paraId="605C2C3E" w14:textId="6317702E" w:rsidR="00C74B6F" w:rsidRPr="007E472D" w:rsidRDefault="008B3B14">
            <w:r w:rsidRPr="007E472D">
              <w:t>Assesseur</w:t>
            </w:r>
            <w:r w:rsidR="009C1D49" w:rsidRPr="007E472D">
              <w:t>e</w:t>
            </w:r>
          </w:p>
        </w:tc>
        <w:tc>
          <w:tcPr>
            <w:tcW w:w="5954" w:type="dxa"/>
            <w:gridSpan w:val="3"/>
          </w:tcPr>
          <w:p w14:paraId="4B1A3E69" w14:textId="29956383" w:rsidR="00C74B6F" w:rsidRPr="007E472D" w:rsidRDefault="008B3B14" w:rsidP="00F4095A">
            <w:pPr>
              <w:pStyle w:val="zSoquijdatAssesseurs"/>
            </w:pPr>
            <w:r w:rsidRPr="007E472D">
              <w:t>Huguette Dumais</w:t>
            </w:r>
            <w:r w:rsidR="009C1D49" w:rsidRPr="007E472D">
              <w:t>, médecin</w:t>
            </w:r>
          </w:p>
        </w:tc>
      </w:tr>
      <w:tr w:rsidR="007E472D" w:rsidRPr="007E472D" w14:paraId="6A2926B9" w14:textId="77777777" w:rsidTr="002A374B">
        <w:trPr>
          <w:cantSplit/>
        </w:trPr>
        <w:tc>
          <w:tcPr>
            <w:tcW w:w="9568" w:type="dxa"/>
            <w:gridSpan w:val="4"/>
          </w:tcPr>
          <w:p w14:paraId="49EB7D0D" w14:textId="77777777" w:rsidR="00C74B6F" w:rsidRPr="007E472D" w:rsidRDefault="00C74B6F"/>
        </w:tc>
      </w:tr>
      <w:tr w:rsidR="007E472D" w:rsidRPr="007E472D" w14:paraId="18B50496" w14:textId="77777777" w:rsidTr="002A374B">
        <w:trPr>
          <w:cantSplit/>
        </w:trPr>
        <w:tc>
          <w:tcPr>
            <w:tcW w:w="9568" w:type="dxa"/>
            <w:gridSpan w:val="4"/>
          </w:tcPr>
          <w:p w14:paraId="47BF8097" w14:textId="77777777" w:rsidR="00C74B6F" w:rsidRPr="007E472D" w:rsidRDefault="00C74B6F"/>
        </w:tc>
      </w:tr>
      <w:tr w:rsidR="007E472D" w:rsidRPr="007E472D" w14:paraId="61A08BEA" w14:textId="77777777" w:rsidTr="005E654C">
        <w:trPr>
          <w:cantSplit/>
        </w:trPr>
        <w:tc>
          <w:tcPr>
            <w:tcW w:w="3614" w:type="dxa"/>
          </w:tcPr>
          <w:p w14:paraId="737DBF43" w14:textId="77777777" w:rsidR="006E3DD8" w:rsidRPr="007E472D" w:rsidRDefault="008B3B14" w:rsidP="006E3DD8">
            <w:pPr>
              <w:tabs>
                <w:tab w:val="left" w:pos="2672"/>
              </w:tabs>
            </w:pPr>
            <w:r w:rsidRPr="007E472D">
              <w:t>Joliette</w:t>
            </w:r>
            <w:r w:rsidR="00C04E32" w:rsidRPr="007E472D">
              <w:t>,</w:t>
            </w:r>
          </w:p>
        </w:tc>
        <w:tc>
          <w:tcPr>
            <w:tcW w:w="5954" w:type="dxa"/>
            <w:gridSpan w:val="3"/>
          </w:tcPr>
          <w:p w14:paraId="3A1F6633" w14:textId="046E66FE" w:rsidR="006E3DD8" w:rsidRPr="007E472D" w:rsidRDefault="00C04E32" w:rsidP="00C84F76">
            <w:pPr>
              <w:pStyle w:val="zSoquijdatDateJugement"/>
            </w:pPr>
            <w:proofErr w:type="gramStart"/>
            <w:r w:rsidRPr="007E472D">
              <w:t>le</w:t>
            </w:r>
            <w:proofErr w:type="gramEnd"/>
            <w:r w:rsidRPr="007E472D">
              <w:t xml:space="preserve"> </w:t>
            </w:r>
            <w:r w:rsidR="00C84F76">
              <w:t>17 août 2018</w:t>
            </w:r>
          </w:p>
        </w:tc>
      </w:tr>
      <w:tr w:rsidR="007E472D" w:rsidRPr="007E472D" w14:paraId="7EFFAD55" w14:textId="77777777" w:rsidTr="002A374B">
        <w:trPr>
          <w:cantSplit/>
        </w:trPr>
        <w:tc>
          <w:tcPr>
            <w:tcW w:w="9568" w:type="dxa"/>
            <w:gridSpan w:val="4"/>
          </w:tcPr>
          <w:p w14:paraId="67248498" w14:textId="77777777" w:rsidR="00942AB8" w:rsidRPr="007E472D" w:rsidRDefault="00942AB8" w:rsidP="00FA153F">
            <w:r w:rsidRPr="007E472D">
              <w:t>______________________________________________________________________</w:t>
            </w:r>
          </w:p>
        </w:tc>
      </w:tr>
      <w:tr w:rsidR="007E472D" w:rsidRPr="007E472D" w14:paraId="4FDBAD60" w14:textId="77777777" w:rsidTr="002A374B">
        <w:trPr>
          <w:cantSplit/>
          <w:trHeight w:val="148"/>
        </w:trPr>
        <w:tc>
          <w:tcPr>
            <w:tcW w:w="9568" w:type="dxa"/>
            <w:gridSpan w:val="4"/>
          </w:tcPr>
          <w:p w14:paraId="31A98838" w14:textId="77777777" w:rsidR="00942AB8" w:rsidRPr="007E472D" w:rsidRDefault="00942AB8" w:rsidP="00FA153F"/>
        </w:tc>
      </w:tr>
      <w:tr w:rsidR="007E472D" w:rsidRPr="007E472D" w14:paraId="68A745FB" w14:textId="77777777" w:rsidTr="00A12E55">
        <w:trPr>
          <w:cantSplit/>
          <w:trHeight w:val="148"/>
        </w:trPr>
        <w:tc>
          <w:tcPr>
            <w:tcW w:w="5457" w:type="dxa"/>
            <w:gridSpan w:val="3"/>
          </w:tcPr>
          <w:p w14:paraId="39971E55" w14:textId="77777777" w:rsidR="0035375B" w:rsidRPr="007E472D" w:rsidRDefault="0035375B" w:rsidP="008B3B14">
            <w:pPr>
              <w:rPr>
                <w:b/>
                <w:bCs/>
              </w:rPr>
            </w:pPr>
            <w:bookmarkStart w:id="3" w:name="ref_commissaire" w:colFirst="1" w:colLast="1"/>
            <w:r w:rsidRPr="007E472D">
              <w:rPr>
                <w:b/>
                <w:bCs/>
              </w:rPr>
              <w:t>DEVANT L</w:t>
            </w:r>
            <w:r w:rsidR="008B3B14" w:rsidRPr="007E472D">
              <w:rPr>
                <w:b/>
                <w:bCs/>
              </w:rPr>
              <w:t>A</w:t>
            </w:r>
            <w:r w:rsidRPr="007E472D">
              <w:rPr>
                <w:b/>
                <w:bCs/>
              </w:rPr>
              <w:t xml:space="preserve"> JUGE ADMINISTRATI</w:t>
            </w:r>
            <w:r w:rsidR="008B3B14" w:rsidRPr="007E472D">
              <w:rPr>
                <w:b/>
                <w:bCs/>
              </w:rPr>
              <w:t>VE</w:t>
            </w:r>
            <w:r w:rsidRPr="007E472D">
              <w:rPr>
                <w:b/>
                <w:bCs/>
              </w:rPr>
              <w:t> :</w:t>
            </w:r>
          </w:p>
        </w:tc>
        <w:tc>
          <w:tcPr>
            <w:tcW w:w="4111" w:type="dxa"/>
          </w:tcPr>
          <w:p w14:paraId="75737047" w14:textId="77777777" w:rsidR="0035375B" w:rsidRPr="007E472D" w:rsidRDefault="008B3B14" w:rsidP="005B5689">
            <w:pPr>
              <w:pStyle w:val="zSoquijdatJuge"/>
              <w:rPr>
                <w:bCs/>
              </w:rPr>
            </w:pPr>
            <w:proofErr w:type="spellStart"/>
            <w:r w:rsidRPr="007E472D">
              <w:t>Marie-Eve</w:t>
            </w:r>
            <w:proofErr w:type="spellEnd"/>
            <w:r w:rsidRPr="007E472D">
              <w:t xml:space="preserve"> Legault</w:t>
            </w:r>
          </w:p>
        </w:tc>
      </w:tr>
      <w:bookmarkEnd w:id="3"/>
      <w:tr w:rsidR="007E472D" w:rsidRPr="007E472D" w14:paraId="230A6989" w14:textId="77777777" w:rsidTr="002A374B">
        <w:trPr>
          <w:cantSplit/>
          <w:trHeight w:val="148"/>
        </w:trPr>
        <w:tc>
          <w:tcPr>
            <w:tcW w:w="9568" w:type="dxa"/>
            <w:gridSpan w:val="4"/>
          </w:tcPr>
          <w:p w14:paraId="7434A77D" w14:textId="77777777" w:rsidR="00942AB8" w:rsidRPr="007E472D" w:rsidRDefault="00942AB8" w:rsidP="00FA153F">
            <w:r w:rsidRPr="007E472D">
              <w:t>______________________________________________________________________</w:t>
            </w:r>
          </w:p>
        </w:tc>
      </w:tr>
      <w:tr w:rsidR="007E472D" w:rsidRPr="007E472D" w14:paraId="21E70064" w14:textId="77777777" w:rsidTr="00D40ABA">
        <w:tc>
          <w:tcPr>
            <w:tcW w:w="4748" w:type="dxa"/>
            <w:gridSpan w:val="2"/>
          </w:tcPr>
          <w:p w14:paraId="721FF05A" w14:textId="77777777" w:rsidR="00942AB8" w:rsidRPr="007E472D" w:rsidRDefault="00942AB8">
            <w:bookmarkStart w:id="4" w:name="bloc_parties_gauche"/>
            <w:bookmarkEnd w:id="4"/>
          </w:p>
        </w:tc>
        <w:tc>
          <w:tcPr>
            <w:tcW w:w="4820" w:type="dxa"/>
            <w:gridSpan w:val="2"/>
          </w:tcPr>
          <w:p w14:paraId="4E54AFBF" w14:textId="77777777" w:rsidR="00942AB8" w:rsidRPr="007E472D" w:rsidRDefault="00942AB8"/>
        </w:tc>
      </w:tr>
      <w:tr w:rsidR="007E472D" w:rsidRPr="007E472D" w14:paraId="43F248B2" w14:textId="77777777" w:rsidTr="00D40ABA">
        <w:tc>
          <w:tcPr>
            <w:tcW w:w="4748" w:type="dxa"/>
            <w:gridSpan w:val="2"/>
          </w:tcPr>
          <w:p w14:paraId="3606B32D" w14:textId="77777777" w:rsidR="00942AB8" w:rsidRPr="007E472D" w:rsidRDefault="008B3B14">
            <w:pPr>
              <w:pStyle w:val="zSoquijdatNomPartieDem"/>
              <w:rPr>
                <w:b/>
              </w:rPr>
            </w:pPr>
            <w:r w:rsidRPr="007E472D">
              <w:rPr>
                <w:b/>
              </w:rPr>
              <w:t>Linda Airoldi</w:t>
            </w:r>
          </w:p>
        </w:tc>
        <w:tc>
          <w:tcPr>
            <w:tcW w:w="4820" w:type="dxa"/>
            <w:gridSpan w:val="2"/>
          </w:tcPr>
          <w:p w14:paraId="3A149DB0" w14:textId="77777777" w:rsidR="00942AB8" w:rsidRPr="007E472D" w:rsidRDefault="00942AB8"/>
        </w:tc>
      </w:tr>
      <w:tr w:rsidR="007E472D" w:rsidRPr="007E472D" w14:paraId="50A5C181" w14:textId="77777777" w:rsidTr="00D40ABA">
        <w:tc>
          <w:tcPr>
            <w:tcW w:w="4748" w:type="dxa"/>
            <w:gridSpan w:val="2"/>
          </w:tcPr>
          <w:p w14:paraId="40DBB3C0" w14:textId="77777777" w:rsidR="00942AB8" w:rsidRPr="007E472D" w:rsidRDefault="008B3B14">
            <w:pPr>
              <w:pStyle w:val="zSoquijdatQtePartieDem"/>
              <w:ind w:left="708"/>
            </w:pPr>
            <w:r w:rsidRPr="007E472D">
              <w:t>Partie demanderesse</w:t>
            </w:r>
          </w:p>
        </w:tc>
        <w:tc>
          <w:tcPr>
            <w:tcW w:w="4820" w:type="dxa"/>
            <w:gridSpan w:val="2"/>
          </w:tcPr>
          <w:p w14:paraId="478B937B" w14:textId="77777777" w:rsidR="00942AB8" w:rsidRPr="007E472D" w:rsidRDefault="00942AB8"/>
        </w:tc>
      </w:tr>
      <w:tr w:rsidR="007E472D" w:rsidRPr="007E472D" w14:paraId="658789E2" w14:textId="77777777" w:rsidTr="00D40ABA">
        <w:tc>
          <w:tcPr>
            <w:tcW w:w="4748" w:type="dxa"/>
            <w:gridSpan w:val="2"/>
          </w:tcPr>
          <w:p w14:paraId="01FD5A51" w14:textId="77777777" w:rsidR="00942AB8" w:rsidRPr="007E472D" w:rsidRDefault="00942AB8"/>
        </w:tc>
        <w:tc>
          <w:tcPr>
            <w:tcW w:w="4820" w:type="dxa"/>
            <w:gridSpan w:val="2"/>
          </w:tcPr>
          <w:p w14:paraId="6F7E90D7" w14:textId="77777777" w:rsidR="00942AB8" w:rsidRPr="007E472D" w:rsidRDefault="00942AB8"/>
        </w:tc>
      </w:tr>
      <w:tr w:rsidR="007E472D" w:rsidRPr="007E472D" w14:paraId="336797BA" w14:textId="77777777" w:rsidTr="00D40ABA">
        <w:tc>
          <w:tcPr>
            <w:tcW w:w="4748" w:type="dxa"/>
            <w:gridSpan w:val="2"/>
          </w:tcPr>
          <w:p w14:paraId="1BC184BC" w14:textId="60F5F5C5" w:rsidR="00942AB8" w:rsidRPr="007E472D" w:rsidRDefault="006D5521" w:rsidP="00D06652">
            <w:pPr>
              <w:pStyle w:val="zSoquijlblLienParties"/>
            </w:pPr>
            <w:r w:rsidRPr="007E472D">
              <w:t>E</w:t>
            </w:r>
            <w:r w:rsidR="008B3B14" w:rsidRPr="007E472D">
              <w:t>t</w:t>
            </w:r>
          </w:p>
        </w:tc>
        <w:tc>
          <w:tcPr>
            <w:tcW w:w="4820" w:type="dxa"/>
            <w:gridSpan w:val="2"/>
          </w:tcPr>
          <w:p w14:paraId="6A0DEDC5" w14:textId="77777777" w:rsidR="00942AB8" w:rsidRPr="007E472D" w:rsidRDefault="00942AB8"/>
        </w:tc>
      </w:tr>
      <w:tr w:rsidR="007E472D" w:rsidRPr="007E472D" w14:paraId="2D96CA64" w14:textId="77777777" w:rsidTr="00D40ABA">
        <w:tc>
          <w:tcPr>
            <w:tcW w:w="4748" w:type="dxa"/>
            <w:gridSpan w:val="2"/>
          </w:tcPr>
          <w:p w14:paraId="28348966" w14:textId="77777777" w:rsidR="00942AB8" w:rsidRPr="007E472D" w:rsidRDefault="00942AB8"/>
        </w:tc>
        <w:tc>
          <w:tcPr>
            <w:tcW w:w="4820" w:type="dxa"/>
            <w:gridSpan w:val="2"/>
          </w:tcPr>
          <w:p w14:paraId="0287C4D5" w14:textId="77777777" w:rsidR="00942AB8" w:rsidRPr="007E472D" w:rsidRDefault="00942AB8"/>
        </w:tc>
      </w:tr>
      <w:tr w:rsidR="007E472D" w:rsidRPr="007E472D" w14:paraId="2C1E8343" w14:textId="77777777" w:rsidTr="00D40ABA">
        <w:tc>
          <w:tcPr>
            <w:tcW w:w="4748" w:type="dxa"/>
            <w:gridSpan w:val="2"/>
          </w:tcPr>
          <w:p w14:paraId="0CDF1BDA" w14:textId="77777777" w:rsidR="00942AB8" w:rsidRPr="007E472D" w:rsidRDefault="008D6CBB">
            <w:pPr>
              <w:pStyle w:val="zSoquijdatNomPartieDef"/>
              <w:rPr>
                <w:b/>
              </w:rPr>
            </w:pPr>
            <w:r w:rsidRPr="007E472D">
              <w:rPr>
                <w:b/>
              </w:rPr>
              <w:t>Brasserie 341</w:t>
            </w:r>
          </w:p>
        </w:tc>
        <w:tc>
          <w:tcPr>
            <w:tcW w:w="4820" w:type="dxa"/>
            <w:gridSpan w:val="2"/>
          </w:tcPr>
          <w:p w14:paraId="663C232E" w14:textId="77777777" w:rsidR="00942AB8" w:rsidRPr="007E472D" w:rsidRDefault="00942AB8"/>
        </w:tc>
      </w:tr>
      <w:tr w:rsidR="007E472D" w:rsidRPr="007E472D" w14:paraId="59600476" w14:textId="77777777" w:rsidTr="00D40ABA">
        <w:tc>
          <w:tcPr>
            <w:tcW w:w="4748" w:type="dxa"/>
            <w:gridSpan w:val="2"/>
          </w:tcPr>
          <w:p w14:paraId="299E7C3B" w14:textId="77777777" w:rsidR="00942AB8" w:rsidRPr="007E472D" w:rsidRDefault="008D6CBB">
            <w:pPr>
              <w:pStyle w:val="zSoquijdatQtePartieDef"/>
              <w:ind w:left="708"/>
            </w:pPr>
            <w:r w:rsidRPr="007E472D">
              <w:t>Partie mise en cause</w:t>
            </w:r>
          </w:p>
        </w:tc>
        <w:tc>
          <w:tcPr>
            <w:tcW w:w="4820" w:type="dxa"/>
            <w:gridSpan w:val="2"/>
          </w:tcPr>
          <w:p w14:paraId="4010A393" w14:textId="77777777" w:rsidR="00942AB8" w:rsidRPr="007E472D" w:rsidRDefault="00942AB8"/>
        </w:tc>
      </w:tr>
      <w:tr w:rsidR="007E472D" w:rsidRPr="007E472D" w14:paraId="24656F48" w14:textId="77777777" w:rsidTr="00D40ABA">
        <w:tc>
          <w:tcPr>
            <w:tcW w:w="4748" w:type="dxa"/>
            <w:gridSpan w:val="2"/>
          </w:tcPr>
          <w:p w14:paraId="5397F656" w14:textId="77777777" w:rsidR="00942AB8" w:rsidRPr="007E472D" w:rsidRDefault="00942AB8"/>
        </w:tc>
        <w:tc>
          <w:tcPr>
            <w:tcW w:w="4820" w:type="dxa"/>
            <w:gridSpan w:val="2"/>
          </w:tcPr>
          <w:p w14:paraId="07D2286C" w14:textId="77777777" w:rsidR="00942AB8" w:rsidRPr="007E472D" w:rsidRDefault="00942AB8"/>
        </w:tc>
      </w:tr>
    </w:tbl>
    <w:p w14:paraId="626AF1E6" w14:textId="77777777" w:rsidR="00C74B6F" w:rsidRPr="007E472D" w:rsidRDefault="00C74B6F">
      <w:r w:rsidRPr="007E472D">
        <w:t>______________________________________________________________________</w:t>
      </w:r>
    </w:p>
    <w:p w14:paraId="3BCEEF1A" w14:textId="77777777" w:rsidR="00C74B6F" w:rsidRPr="007E472D" w:rsidRDefault="00C74B6F"/>
    <w:p w14:paraId="0CB79D87" w14:textId="77777777" w:rsidR="00C74B6F" w:rsidRPr="007E472D" w:rsidRDefault="00C74B6F" w:rsidP="008B042E">
      <w:pPr>
        <w:jc w:val="center"/>
        <w:rPr>
          <w:b/>
          <w:bCs/>
        </w:rPr>
      </w:pPr>
      <w:bookmarkStart w:id="5" w:name="decision"/>
      <w:r w:rsidRPr="007E472D">
        <w:rPr>
          <w:b/>
          <w:bCs/>
        </w:rPr>
        <w:t>DÉCISION</w:t>
      </w:r>
      <w:bookmarkEnd w:id="5"/>
    </w:p>
    <w:p w14:paraId="7B22F8CA" w14:textId="77777777" w:rsidR="00C74B6F" w:rsidRPr="007E472D" w:rsidRDefault="00C74B6F">
      <w:pPr>
        <w:jc w:val="center"/>
      </w:pPr>
      <w:r w:rsidRPr="007E472D">
        <w:t>______________________________________________________________________</w:t>
      </w:r>
    </w:p>
    <w:p w14:paraId="07AF58CB" w14:textId="77777777" w:rsidR="00C74B6F" w:rsidRPr="007E472D" w:rsidRDefault="00C74B6F"/>
    <w:p w14:paraId="6CEE1D83" w14:textId="77777777" w:rsidR="00C74B6F" w:rsidRPr="007E472D" w:rsidRDefault="00C74B6F"/>
    <w:p w14:paraId="05EF2C85" w14:textId="77777777" w:rsidR="00B37E03" w:rsidRPr="007E472D" w:rsidRDefault="00B37E03" w:rsidP="00B37E03">
      <w:pPr>
        <w:pStyle w:val="corpsdedcision"/>
        <w:numPr>
          <w:ilvl w:val="0"/>
          <w:numId w:val="0"/>
        </w:numPr>
      </w:pPr>
      <w:r w:rsidRPr="007E472D">
        <w:rPr>
          <w:u w:val="single"/>
        </w:rPr>
        <w:t>APERÇU</w:t>
      </w:r>
    </w:p>
    <w:p w14:paraId="438B9C98" w14:textId="74623490" w:rsidR="00C74B6F" w:rsidRPr="007E472D" w:rsidRDefault="000611F3">
      <w:pPr>
        <w:pStyle w:val="corpsdedcision"/>
      </w:pPr>
      <w:r w:rsidRPr="007E472D">
        <w:t>Madame Linda Airo</w:t>
      </w:r>
      <w:r w:rsidR="00EA2C74" w:rsidRPr="007E472D">
        <w:t>ldi, la travailleuse, occupe un emploi de serveuse dans plusieurs restaurants et bars de 1979 à sa retraite en juillet 2017. Son dernier emploi était chez Brasserie</w:t>
      </w:r>
      <w:r w:rsidR="00C83683" w:rsidRPr="007E472D">
        <w:t> </w:t>
      </w:r>
      <w:r w:rsidR="00EA2C74" w:rsidRPr="007E472D">
        <w:t xml:space="preserve">341, l’employeur. </w:t>
      </w:r>
    </w:p>
    <w:p w14:paraId="5E03487C" w14:textId="77777777" w:rsidR="00EA2C74" w:rsidRPr="007E472D" w:rsidRDefault="00EA2C74">
      <w:pPr>
        <w:pStyle w:val="corpsdedcision"/>
      </w:pPr>
      <w:r w:rsidRPr="007E472D">
        <w:t>Le 9 mai 2017</w:t>
      </w:r>
      <w:r w:rsidR="00494321" w:rsidRPr="007E472D">
        <w:t xml:space="preserve">, la travailleuse passe un audiogramme et un diagnostic de surdité dans les hautes fréquences est posé. </w:t>
      </w:r>
    </w:p>
    <w:p w14:paraId="3F00B203" w14:textId="3B15CDA0" w:rsidR="00494321" w:rsidRPr="007E472D" w:rsidRDefault="00494321">
      <w:pPr>
        <w:pStyle w:val="corpsdedcision"/>
      </w:pPr>
      <w:r w:rsidRPr="007E472D">
        <w:lastRenderedPageBreak/>
        <w:t>La Commission des normes, de l’équité, de la santé et de la sécurité du travail, la Commission</w:t>
      </w:r>
      <w:r w:rsidR="00165760">
        <w:t>,</w:t>
      </w:r>
      <w:r w:rsidRPr="007E472D">
        <w:t xml:space="preserve"> rejette la réclamation de la travailleuse pour une lésion professionnelle. Cette décision est confirmée par la Commission à la suite d’une révision administrative le 11 décembre 2017. La travailleuse conteste cette décision devant le Tribunal administratif du travail, le Tribunal. </w:t>
      </w:r>
    </w:p>
    <w:p w14:paraId="18B9E553" w14:textId="76876927" w:rsidR="003F5FDC" w:rsidRPr="007E472D" w:rsidRDefault="003F5FDC">
      <w:pPr>
        <w:pStyle w:val="corpsdedcision"/>
      </w:pPr>
      <w:r w:rsidRPr="007E472D">
        <w:t>La question en litige est de déterminer si la travailleuse a subi</w:t>
      </w:r>
      <w:r w:rsidR="000611F3" w:rsidRPr="007E472D">
        <w:t xml:space="preserve"> une</w:t>
      </w:r>
      <w:r w:rsidRPr="007E472D">
        <w:t xml:space="preserve"> lésion professionnelle sous la forme d’une surdité. </w:t>
      </w:r>
    </w:p>
    <w:p w14:paraId="2E9F5887" w14:textId="7FDC8EB4" w:rsidR="00B37E03" w:rsidRPr="007E472D" w:rsidRDefault="003F5FDC">
      <w:pPr>
        <w:pStyle w:val="corpsdedcision"/>
      </w:pPr>
      <w:r w:rsidRPr="007E472D">
        <w:t>La travailleuse allègue que dans le cadre de ses emplois de serveuse dans des bars</w:t>
      </w:r>
      <w:r w:rsidR="000611F3" w:rsidRPr="007E472D">
        <w:t>,</w:t>
      </w:r>
      <w:r w:rsidRPr="007E472D">
        <w:t xml:space="preserve"> elle a été exposée à des bruits excessifs </w:t>
      </w:r>
      <w:r w:rsidR="00290913" w:rsidRPr="007E472D">
        <w:t xml:space="preserve">et </w:t>
      </w:r>
      <w:r w:rsidRPr="007E472D">
        <w:t>qu’il y</w:t>
      </w:r>
      <w:r w:rsidR="000611F3" w:rsidRPr="007E472D">
        <w:t xml:space="preserve"> a</w:t>
      </w:r>
      <w:r w:rsidRPr="007E472D">
        <w:t xml:space="preserve"> lieu de retenir l’avis émis par son médecin </w:t>
      </w:r>
      <w:r w:rsidR="00C83683" w:rsidRPr="007E472D">
        <w:t>selon lequel</w:t>
      </w:r>
      <w:r w:rsidRPr="007E472D">
        <w:t xml:space="preserve"> son atteinte auditive résulte de cette exposition.</w:t>
      </w:r>
    </w:p>
    <w:p w14:paraId="3213EF70" w14:textId="77777777" w:rsidR="003F5FDC" w:rsidRPr="007E472D" w:rsidRDefault="007733EE">
      <w:pPr>
        <w:pStyle w:val="corpsdedcision"/>
      </w:pPr>
      <w:r w:rsidRPr="007E472D">
        <w:t>Le Tribunal est d’avis que la travailleu</w:t>
      </w:r>
      <w:r w:rsidR="00C83683" w:rsidRPr="007E472D">
        <w:t>se</w:t>
      </w:r>
      <w:r w:rsidRPr="007E472D">
        <w:t xml:space="preserve"> n’a pas rencontré son fardeau de démontrer de manière prépondérante que sa surdité doit être reconnue à titre de lésion professionnelle.</w:t>
      </w:r>
    </w:p>
    <w:p w14:paraId="41D55E99" w14:textId="77777777" w:rsidR="000A0CBF" w:rsidRPr="007E472D" w:rsidRDefault="00B37E03" w:rsidP="00583B57">
      <w:pPr>
        <w:pStyle w:val="corpsdedcision"/>
        <w:numPr>
          <w:ilvl w:val="0"/>
          <w:numId w:val="0"/>
        </w:numPr>
      </w:pPr>
      <w:r w:rsidRPr="007E472D">
        <w:rPr>
          <w:u w:val="single"/>
        </w:rPr>
        <w:t>ANALYSE</w:t>
      </w:r>
      <w:r w:rsidRPr="007E472D">
        <w:t xml:space="preserve"> </w:t>
      </w:r>
    </w:p>
    <w:p w14:paraId="319AF54A" w14:textId="77777777" w:rsidR="000A0CBF" w:rsidRPr="007E472D" w:rsidRDefault="000A0CBF" w:rsidP="000A0CBF">
      <w:pPr>
        <w:pStyle w:val="corpsdedcision"/>
        <w:numPr>
          <w:ilvl w:val="0"/>
          <w:numId w:val="0"/>
        </w:numPr>
        <w:rPr>
          <w:b/>
        </w:rPr>
      </w:pPr>
      <w:r w:rsidRPr="007E472D">
        <w:rPr>
          <w:b/>
        </w:rPr>
        <w:t xml:space="preserve">Application de la présomption de maladie professionnelle </w:t>
      </w:r>
    </w:p>
    <w:p w14:paraId="20C0EC54" w14:textId="77777777" w:rsidR="000A0CBF" w:rsidRPr="007E472D" w:rsidRDefault="00087064" w:rsidP="000A0CBF">
      <w:pPr>
        <w:pStyle w:val="corpsdedcision"/>
      </w:pPr>
      <w:r w:rsidRPr="007E472D">
        <w:rPr>
          <w:lang w:val="fr-FR"/>
        </w:rPr>
        <w:t>Aux fins de l’analyse de l’admissibilité de la maladie professionnelle de la travailleuse</w:t>
      </w:r>
      <w:r w:rsidR="005C185C" w:rsidRPr="007E472D">
        <w:rPr>
          <w:lang w:val="fr-FR"/>
        </w:rPr>
        <w:t xml:space="preserve">, le Tribunal est lié par le diagnostic posé par le médecin traitant, soit celui de </w:t>
      </w:r>
      <w:r w:rsidRPr="007E472D">
        <w:rPr>
          <w:lang w:val="fr-FR"/>
        </w:rPr>
        <w:t xml:space="preserve">surdité haute fréquence. </w:t>
      </w:r>
    </w:p>
    <w:p w14:paraId="24372131" w14:textId="5C5BC86C" w:rsidR="00087064" w:rsidRPr="007E472D" w:rsidRDefault="00087064" w:rsidP="00087064">
      <w:pPr>
        <w:pStyle w:val="corpsdedcision"/>
      </w:pPr>
      <w:r w:rsidRPr="007E472D">
        <w:t>L’article</w:t>
      </w:r>
      <w:r w:rsidR="00C83683" w:rsidRPr="007E472D">
        <w:t> </w:t>
      </w:r>
      <w:r w:rsidRPr="007E472D">
        <w:t xml:space="preserve">2 de la </w:t>
      </w:r>
      <w:r w:rsidR="0032015C" w:rsidRPr="007E472D">
        <w:rPr>
          <w:i/>
          <w:iCs/>
        </w:rPr>
        <w:t>Loi sur les accidents du travail et les maladies professionnelles</w:t>
      </w:r>
      <w:r w:rsidR="0032015C" w:rsidRPr="007E472D">
        <w:rPr>
          <w:rStyle w:val="FootnoteReference"/>
        </w:rPr>
        <w:footnoteReference w:id="1"/>
      </w:r>
      <w:r w:rsidR="0032015C" w:rsidRPr="007E472D">
        <w:rPr>
          <w:i/>
          <w:iCs/>
        </w:rPr>
        <w:t xml:space="preserve"> </w:t>
      </w:r>
      <w:r w:rsidR="0032015C" w:rsidRPr="007E472D">
        <w:rPr>
          <w:iCs/>
        </w:rPr>
        <w:t xml:space="preserve">(la Loi) </w:t>
      </w:r>
      <w:r w:rsidR="00165760">
        <w:t>définit</w:t>
      </w:r>
      <w:r w:rsidRPr="007E472D">
        <w:t xml:space="preserve"> une</w:t>
      </w:r>
      <w:r w:rsidR="00464CDC" w:rsidRPr="007E472D">
        <w:t xml:space="preserve"> maladie professionnelle comme une</w:t>
      </w:r>
      <w:r w:rsidRPr="007E472D">
        <w:t xml:space="preserve"> «</w:t>
      </w:r>
      <w:r w:rsidR="00C83683" w:rsidRPr="007E472D">
        <w:t> </w:t>
      </w:r>
      <w:r w:rsidRPr="007E472D">
        <w:t>maladie contractée par le fait ou à l’occasion du travail, qui est caractéristique de ce travail ou qui est reliée directement aux risques particuliers de ce travail</w:t>
      </w:r>
      <w:r w:rsidR="00C83683" w:rsidRPr="007E472D">
        <w:t> </w:t>
      </w:r>
      <w:r w:rsidRPr="007E472D">
        <w:t xml:space="preserve">». </w:t>
      </w:r>
    </w:p>
    <w:p w14:paraId="720123FF" w14:textId="77777777" w:rsidR="00087064" w:rsidRPr="007E472D" w:rsidRDefault="00087064" w:rsidP="00087064">
      <w:pPr>
        <w:pStyle w:val="corpsdedcision"/>
      </w:pPr>
      <w:r w:rsidRPr="007E472D">
        <w:rPr>
          <w:iCs/>
        </w:rPr>
        <w:t>Afin de faciliter la preuve d</w:t>
      </w:r>
      <w:r w:rsidR="000A0CBF" w:rsidRPr="007E472D">
        <w:rPr>
          <w:iCs/>
        </w:rPr>
        <w:t>e la</w:t>
      </w:r>
      <w:r w:rsidRPr="007E472D">
        <w:rPr>
          <w:iCs/>
        </w:rPr>
        <w:t xml:space="preserve"> travailleu</w:t>
      </w:r>
      <w:r w:rsidR="000A0CBF" w:rsidRPr="007E472D">
        <w:rPr>
          <w:iCs/>
        </w:rPr>
        <w:t>se</w:t>
      </w:r>
      <w:r w:rsidRPr="007E472D">
        <w:rPr>
          <w:iCs/>
        </w:rPr>
        <w:t>, une présomption de maladie professionnelle est prévue à l’article</w:t>
      </w:r>
      <w:r w:rsidR="00C83683" w:rsidRPr="007E472D">
        <w:rPr>
          <w:iCs/>
        </w:rPr>
        <w:t> </w:t>
      </w:r>
      <w:r w:rsidRPr="007E472D">
        <w:rPr>
          <w:iCs/>
        </w:rPr>
        <w:t xml:space="preserve">29 de la Loi : </w:t>
      </w:r>
    </w:p>
    <w:p w14:paraId="30CEED9E" w14:textId="6ECA18F9" w:rsidR="00087064" w:rsidRPr="007E472D" w:rsidRDefault="001E1D4E" w:rsidP="00087064">
      <w:pPr>
        <w:pStyle w:val="corpsdedcision"/>
        <w:numPr>
          <w:ilvl w:val="0"/>
          <w:numId w:val="0"/>
        </w:numPr>
        <w:ind w:left="708"/>
        <w:rPr>
          <w:sz w:val="20"/>
          <w:lang w:val="fr-FR"/>
        </w:rPr>
      </w:pPr>
      <w:r>
        <w:rPr>
          <w:b/>
          <w:bCs/>
          <w:sz w:val="20"/>
          <w:lang w:val="fr-FR"/>
        </w:rPr>
        <w:t>29.</w:t>
      </w:r>
      <w:r w:rsidR="00087064" w:rsidRPr="007E472D">
        <w:rPr>
          <w:sz w:val="20"/>
          <w:lang w:val="fr-FR"/>
        </w:rPr>
        <w:t xml:space="preserve"> Les maladies énumérées dans l’annexe I sont caractéristiques du travail correspondant à chacune de ces maladies d’après cette annexe et sont reliées directement aux risques particuliers de ce travail.</w:t>
      </w:r>
    </w:p>
    <w:p w14:paraId="0D7E832B" w14:textId="77777777" w:rsidR="00087064" w:rsidRPr="007E472D" w:rsidRDefault="00087064" w:rsidP="00087064">
      <w:pPr>
        <w:pStyle w:val="corpsdedcision"/>
        <w:numPr>
          <w:ilvl w:val="0"/>
          <w:numId w:val="0"/>
        </w:numPr>
        <w:ind w:left="708"/>
        <w:rPr>
          <w:sz w:val="20"/>
          <w:lang w:val="fr-FR"/>
        </w:rPr>
      </w:pPr>
      <w:r w:rsidRPr="007E472D">
        <w:rPr>
          <w:sz w:val="20"/>
          <w:lang w:val="fr-FR"/>
        </w:rPr>
        <w:t>Le travailleur atteint d’une maladie visée dans cette annexe est présumé atteint d’une maladie professionnelle s’il a exercé un travail correspondant à cette maladie d’après l’annexe.</w:t>
      </w:r>
    </w:p>
    <w:p w14:paraId="497AC803" w14:textId="77777777" w:rsidR="00087064" w:rsidRPr="007E472D" w:rsidRDefault="00087064" w:rsidP="00E8396C">
      <w:pPr>
        <w:pStyle w:val="corpsdedcision"/>
      </w:pPr>
      <w:r w:rsidRPr="007E472D">
        <w:lastRenderedPageBreak/>
        <w:t xml:space="preserve">Conformément à l’annexe I de la Loi, la travailleuse </w:t>
      </w:r>
      <w:r w:rsidR="00583B57" w:rsidRPr="007E472D">
        <w:t>peut</w:t>
      </w:r>
      <w:r w:rsidRPr="007E472D">
        <w:t xml:space="preserve"> bénéficier de la présomption de maladie professionnelle si elle démontre par une preuve prépondérante les deux éléments suivants : </w:t>
      </w:r>
    </w:p>
    <w:p w14:paraId="0657E832" w14:textId="77777777" w:rsidR="00087064" w:rsidRPr="007E472D" w:rsidRDefault="00087064" w:rsidP="00087064">
      <w:pPr>
        <w:pStyle w:val="corpsdedcision"/>
        <w:numPr>
          <w:ilvl w:val="0"/>
          <w:numId w:val="7"/>
        </w:numPr>
      </w:pPr>
      <w:r w:rsidRPr="007E472D">
        <w:t xml:space="preserve">Qu’elle </w:t>
      </w:r>
      <w:r w:rsidR="0009285A" w:rsidRPr="007E472D">
        <w:t xml:space="preserve">présente </w:t>
      </w:r>
      <w:r w:rsidRPr="007E472D">
        <w:t>une atteinte auditive causée par le bruit</w:t>
      </w:r>
      <w:r w:rsidR="00C83683" w:rsidRPr="007E472D">
        <w:t> </w:t>
      </w:r>
      <w:r w:rsidRPr="007E472D">
        <w:t>;</w:t>
      </w:r>
    </w:p>
    <w:p w14:paraId="7573761E" w14:textId="77777777" w:rsidR="00087064" w:rsidRPr="007E472D" w:rsidRDefault="00087064" w:rsidP="00087064">
      <w:pPr>
        <w:pStyle w:val="corpsdedcision"/>
        <w:numPr>
          <w:ilvl w:val="0"/>
          <w:numId w:val="7"/>
        </w:numPr>
      </w:pPr>
      <w:r w:rsidRPr="007E472D">
        <w:t>Qu’elle a exercé un travail impliquant une exposition à des bruits excessif</w:t>
      </w:r>
      <w:r w:rsidR="00C83683" w:rsidRPr="007E472D">
        <w:t>s</w:t>
      </w:r>
      <w:r w:rsidRPr="007E472D">
        <w:t xml:space="preserve">. </w:t>
      </w:r>
    </w:p>
    <w:p w14:paraId="69874053" w14:textId="55E6DC56" w:rsidR="00C74B6F" w:rsidRPr="007E472D" w:rsidRDefault="00583B57" w:rsidP="00F52FD1">
      <w:pPr>
        <w:pStyle w:val="corpsdedcision"/>
      </w:pPr>
      <w:r w:rsidRPr="007E472D">
        <w:t xml:space="preserve">Lorsque </w:t>
      </w:r>
      <w:r w:rsidR="002B14DA" w:rsidRPr="007E472D">
        <w:t>cette preuve est faite, la travailleuse bénéficie de l’application de la présomption</w:t>
      </w:r>
      <w:r w:rsidR="00F34DD3" w:rsidRPr="007E472D">
        <w:t>,</w:t>
      </w:r>
      <w:r w:rsidR="002B14DA" w:rsidRPr="007E472D">
        <w:t xml:space="preserve"> ce qui la dispense de faire la preuve d’une relation causale entre son atteinte auditive et son travail. </w:t>
      </w:r>
    </w:p>
    <w:p w14:paraId="04BBB1DB" w14:textId="77777777" w:rsidR="002B14DA" w:rsidRPr="007E472D" w:rsidRDefault="00AC5426" w:rsidP="00F52FD1">
      <w:pPr>
        <w:pStyle w:val="corpsdedcision"/>
      </w:pPr>
      <w:r w:rsidRPr="007E472D">
        <w:t xml:space="preserve">Le Tribunal est d’avis que bien que la travailleuse ait démontré avoir exercé un travail impliquant une exposition à des bruits excessifs, elle n’a pas démontré de manière prépondérante que son atteinte auditive est causée par le bruit. </w:t>
      </w:r>
    </w:p>
    <w:p w14:paraId="2FA2E225" w14:textId="275DDA50" w:rsidR="00AC5426" w:rsidRPr="007E472D" w:rsidRDefault="007567F7" w:rsidP="00F52FD1">
      <w:pPr>
        <w:pStyle w:val="corpsdedcision"/>
      </w:pPr>
      <w:r w:rsidRPr="007E472D">
        <w:t>La travailleuse est serveuse dans des resto-bars depuis 1988</w:t>
      </w:r>
      <w:r w:rsidR="00290913" w:rsidRPr="007E472D">
        <w:t>,</w:t>
      </w:r>
      <w:r w:rsidR="00332C06" w:rsidRPr="007E472D">
        <w:t xml:space="preserve"> alors qu’elle est dans la fin de la vingtaine</w:t>
      </w:r>
      <w:r w:rsidRPr="007E472D">
        <w:t>. Il s’agit de resto-bars avec des services de discothèques</w:t>
      </w:r>
      <w:r w:rsidR="006913CB" w:rsidRPr="007E472D">
        <w:t xml:space="preserve">, </w:t>
      </w:r>
      <w:r w:rsidRPr="007E472D">
        <w:t xml:space="preserve">de </w:t>
      </w:r>
      <w:r w:rsidR="006913CB" w:rsidRPr="007E472D">
        <w:t>karaokés et de spectacles avec orchestres</w:t>
      </w:r>
      <w:r w:rsidRPr="007E472D">
        <w:t>.</w:t>
      </w:r>
      <w:r w:rsidR="006913CB" w:rsidRPr="007E472D">
        <w:t xml:space="preserve"> Elle explique que le niveau de son est tellement élevé qu’elle doit élever le ton pour prendre les commandes des clients. Il s’agit d’endroits particulièrement achalandés, tant le midi qu’en soirée.</w:t>
      </w:r>
      <w:r w:rsidR="00332C06" w:rsidRPr="007E472D">
        <w:t xml:space="preserve"> Elle décrit qu’à la suite d’un quart de travail, elle avait </w:t>
      </w:r>
      <w:r w:rsidR="00577B57" w:rsidRPr="007E472D">
        <w:t>de la fatigue auditive</w:t>
      </w:r>
      <w:r w:rsidR="003B2652" w:rsidRPr="007E472D">
        <w:t>,</w:t>
      </w:r>
      <w:r w:rsidR="00332C06" w:rsidRPr="007E472D">
        <w:t xml:space="preserve"> ce qui témoigne d’une exposition à un niveau sonore significatif.</w:t>
      </w:r>
    </w:p>
    <w:p w14:paraId="16CA7924" w14:textId="501E772A" w:rsidR="00E416BC" w:rsidRPr="007E472D" w:rsidRDefault="00E416BC" w:rsidP="00E416BC">
      <w:pPr>
        <w:pStyle w:val="corpsdedcision"/>
      </w:pPr>
      <w:r w:rsidRPr="007E472D">
        <w:t xml:space="preserve">Elle explique qu’elle </w:t>
      </w:r>
      <w:r w:rsidR="003F24C6" w:rsidRPr="007E472D">
        <w:t xml:space="preserve">a </w:t>
      </w:r>
      <w:r w:rsidRPr="007E472D">
        <w:t xml:space="preserve">commencé à avoir des symptômes de perte auditive au début de la quarantaine </w:t>
      </w:r>
      <w:r w:rsidR="005A74A8" w:rsidRPr="007E472D">
        <w:t>lesquels se sont</w:t>
      </w:r>
      <w:r w:rsidRPr="007E472D">
        <w:t xml:space="preserve"> accentué</w:t>
      </w:r>
      <w:r w:rsidR="005A74A8" w:rsidRPr="007E472D">
        <w:t>s</w:t>
      </w:r>
      <w:r w:rsidRPr="007E472D">
        <w:t xml:space="preserve"> dans la cinquantaine. Elle </w:t>
      </w:r>
      <w:r w:rsidR="005A74A8" w:rsidRPr="007E472D">
        <w:t>a</w:t>
      </w:r>
      <w:r w:rsidRPr="007E472D">
        <w:t xml:space="preserve"> de la difficulté à parler au téléphone et doit faire répéter les gens</w:t>
      </w:r>
      <w:r w:rsidR="003B2652" w:rsidRPr="007E472D">
        <w:t>,</w:t>
      </w:r>
      <w:r w:rsidRPr="007E472D">
        <w:t xml:space="preserve"> </w:t>
      </w:r>
      <w:r w:rsidR="005A74A8" w:rsidRPr="007E472D">
        <w:t>ce qui</w:t>
      </w:r>
      <w:r w:rsidRPr="007E472D">
        <w:t xml:space="preserve"> lui nuit dans sa vie </w:t>
      </w:r>
      <w:r w:rsidR="00235CB5" w:rsidRPr="007E472D">
        <w:t>professionnelle et personnelle.</w:t>
      </w:r>
      <w:r w:rsidRPr="007E472D">
        <w:t xml:space="preserve"> Elle a pris sa retraite en juillet 2017.</w:t>
      </w:r>
    </w:p>
    <w:p w14:paraId="7096096E" w14:textId="78E47E42" w:rsidR="00967D0B" w:rsidRPr="007E472D" w:rsidRDefault="00967D0B" w:rsidP="00F52FD1">
      <w:pPr>
        <w:pStyle w:val="corpsdedcision"/>
      </w:pPr>
      <w:r w:rsidRPr="007E472D">
        <w:t xml:space="preserve">Cette exposition à un bruit excessif est d’ailleurs confirmée par le rapport de l’audiologiste, Louise Paré, du centre le Bouclier. Cette dernière </w:t>
      </w:r>
      <w:r w:rsidR="00C7045B" w:rsidRPr="007E472D">
        <w:t xml:space="preserve">conclut que la travailleuse a été exposée à des niveaux pondérés de bruits de plus de 90 </w:t>
      </w:r>
      <w:proofErr w:type="spellStart"/>
      <w:r w:rsidR="00C7045B" w:rsidRPr="007E472D">
        <w:t>dBA</w:t>
      </w:r>
      <w:proofErr w:type="spellEnd"/>
      <w:r w:rsidR="00C7045B" w:rsidRPr="007E472D">
        <w:t xml:space="preserve"> pendant plusieurs années, à </w:t>
      </w:r>
      <w:r w:rsidR="003B2652" w:rsidRPr="007E472D">
        <w:t>cette</w:t>
      </w:r>
      <w:r w:rsidR="00C7045B" w:rsidRPr="007E472D">
        <w:t xml:space="preserve"> exposition s’ajoute une exposition à la fumée de tabac pendant plusieurs années, qui a un effet «</w:t>
      </w:r>
      <w:r w:rsidR="00C83683" w:rsidRPr="007E472D">
        <w:t> </w:t>
      </w:r>
      <w:r w:rsidR="00577B57" w:rsidRPr="007E472D">
        <w:t>potentialisant</w:t>
      </w:r>
      <w:r w:rsidR="00C83683" w:rsidRPr="007E472D">
        <w:t> </w:t>
      </w:r>
      <w:r w:rsidR="00C7045B" w:rsidRPr="007E472D">
        <w:t>»</w:t>
      </w:r>
      <w:r w:rsidR="00577B57" w:rsidRPr="007E472D">
        <w:t xml:space="preserve"> </w:t>
      </w:r>
      <w:r w:rsidR="00C7045B" w:rsidRPr="007E472D">
        <w:t>sur les effets du bruit sur l’audition.</w:t>
      </w:r>
    </w:p>
    <w:p w14:paraId="46F4B95F" w14:textId="70CC9BDD" w:rsidR="00E416BC" w:rsidRPr="007E472D" w:rsidRDefault="00E416BC" w:rsidP="00F52FD1">
      <w:pPr>
        <w:pStyle w:val="corpsdedcision"/>
      </w:pPr>
      <w:r w:rsidRPr="007E472D">
        <w:t>De ceci</w:t>
      </w:r>
      <w:r w:rsidR="003B2652" w:rsidRPr="007E472D">
        <w:t>,</w:t>
      </w:r>
      <w:r w:rsidRPr="007E472D">
        <w:t xml:space="preserve"> le Tribunal conclut que la travailleuse a démontré avoir exercé un travail impliquant une exposition à des bruits excessifs. </w:t>
      </w:r>
    </w:p>
    <w:p w14:paraId="15377B84" w14:textId="77777777" w:rsidR="009C1D49" w:rsidRPr="007E472D" w:rsidRDefault="009C1D49" w:rsidP="009C1D49">
      <w:pPr>
        <w:pStyle w:val="corpsdedcision"/>
        <w:numPr>
          <w:ilvl w:val="0"/>
          <w:numId w:val="0"/>
        </w:numPr>
      </w:pPr>
    </w:p>
    <w:p w14:paraId="35784775" w14:textId="77777777" w:rsidR="0009285A" w:rsidRPr="007E472D" w:rsidRDefault="0009285A" w:rsidP="00F52FD1">
      <w:pPr>
        <w:pStyle w:val="corpsdedcision"/>
      </w:pPr>
      <w:r w:rsidRPr="007E472D">
        <w:lastRenderedPageBreak/>
        <w:t>Cependant</w:t>
      </w:r>
      <w:r w:rsidR="00C83683" w:rsidRPr="007E472D">
        <w:t>,</w:t>
      </w:r>
      <w:r w:rsidRPr="007E472D">
        <w:t xml:space="preserve"> la preuve médicale au dossier ne permet pas de conclure de manière prépondérante que l’atteinte auditive qu’elle présente est </w:t>
      </w:r>
      <w:r w:rsidR="005A74A8" w:rsidRPr="007E472D">
        <w:t xml:space="preserve">compatible avec une atteinte </w:t>
      </w:r>
      <w:r w:rsidRPr="007E472D">
        <w:t>causée par le bruit.</w:t>
      </w:r>
    </w:p>
    <w:p w14:paraId="625A1417" w14:textId="77777777" w:rsidR="0032015C" w:rsidRPr="007E472D" w:rsidRDefault="004E10E2" w:rsidP="00BA0B16">
      <w:pPr>
        <w:pStyle w:val="corpsdedcision"/>
        <w:rPr>
          <w:rFonts w:cs="Arial"/>
          <w:szCs w:val="24"/>
        </w:rPr>
      </w:pPr>
      <w:r w:rsidRPr="007E472D">
        <w:rPr>
          <w:szCs w:val="24"/>
        </w:rPr>
        <w:t xml:space="preserve">Dans l’affaire </w:t>
      </w:r>
      <w:r w:rsidR="0032015C" w:rsidRPr="007E472D">
        <w:rPr>
          <w:i/>
          <w:szCs w:val="24"/>
        </w:rPr>
        <w:t xml:space="preserve">Trudel </w:t>
      </w:r>
      <w:r w:rsidR="0032015C" w:rsidRPr="007E472D">
        <w:rPr>
          <w:szCs w:val="24"/>
        </w:rPr>
        <w:t>et</w:t>
      </w:r>
      <w:r w:rsidR="0032015C" w:rsidRPr="007E472D">
        <w:rPr>
          <w:i/>
          <w:szCs w:val="24"/>
        </w:rPr>
        <w:t xml:space="preserve"> </w:t>
      </w:r>
      <w:proofErr w:type="spellStart"/>
      <w:r w:rsidR="0032015C" w:rsidRPr="007E472D">
        <w:rPr>
          <w:i/>
          <w:szCs w:val="24"/>
        </w:rPr>
        <w:t>Sanimax</w:t>
      </w:r>
      <w:proofErr w:type="spellEnd"/>
      <w:r w:rsidR="0032015C" w:rsidRPr="007E472D">
        <w:rPr>
          <w:i/>
          <w:szCs w:val="24"/>
        </w:rPr>
        <w:t xml:space="preserve"> ACI </w:t>
      </w:r>
      <w:proofErr w:type="spellStart"/>
      <w:r w:rsidR="0032015C" w:rsidRPr="007E472D">
        <w:rPr>
          <w:i/>
          <w:szCs w:val="24"/>
        </w:rPr>
        <w:t>inc.</w:t>
      </w:r>
      <w:proofErr w:type="spellEnd"/>
      <w:r w:rsidR="0032015C" w:rsidRPr="007E472D">
        <w:rPr>
          <w:rStyle w:val="FootnoteReference"/>
          <w:i/>
          <w:szCs w:val="24"/>
        </w:rPr>
        <w:footnoteReference w:id="2"/>
      </w:r>
      <w:r w:rsidR="0032015C" w:rsidRPr="007E472D">
        <w:rPr>
          <w:szCs w:val="24"/>
        </w:rPr>
        <w:t xml:space="preserve">, le Tribunal énonce les caractéristiques reconnues par la jurisprudence afin de conclure à l’existence d’une atteinte auditive compatible avec une exposition au bruit : </w:t>
      </w:r>
    </w:p>
    <w:p w14:paraId="34C1A639" w14:textId="77777777" w:rsidR="0032015C" w:rsidRPr="007E472D" w:rsidRDefault="0032015C" w:rsidP="00A540D5">
      <w:pPr>
        <w:pStyle w:val="citation"/>
      </w:pPr>
      <w:r w:rsidRPr="007E472D">
        <w:t>[14]        Il ressort des décisions du Tribunal qu’une atteinte auditive causée par le bruit présente des caractéristiques propres. Elle correspond à une atteinte neurosensorielle, symétrique et bilatérale. Les hautes fréquences sont les plus touchées. Habituellement, la perte auditive est plus marquée autour de 4</w:t>
      </w:r>
      <w:r w:rsidR="00C83683" w:rsidRPr="007E472D">
        <w:t> </w:t>
      </w:r>
      <w:r w:rsidRPr="007E472D">
        <w:t>000 HZ et on constate ensuite une remontée de la courbe auditive à 6</w:t>
      </w:r>
      <w:r w:rsidR="00C83683" w:rsidRPr="007E472D">
        <w:t> </w:t>
      </w:r>
      <w:r w:rsidRPr="007E472D">
        <w:t>000</w:t>
      </w:r>
      <w:r w:rsidR="00C83683" w:rsidRPr="007E472D">
        <w:t> </w:t>
      </w:r>
      <w:r w:rsidRPr="007E472D">
        <w:t>Hz et 8</w:t>
      </w:r>
      <w:r w:rsidR="00C83683" w:rsidRPr="007E472D">
        <w:t> </w:t>
      </w:r>
      <w:r w:rsidRPr="007E472D">
        <w:t>000</w:t>
      </w:r>
      <w:r w:rsidR="00C83683" w:rsidRPr="007E472D">
        <w:t> </w:t>
      </w:r>
      <w:r w:rsidRPr="007E472D">
        <w:t>Hz, d’où la présence d’une encoche. Cette encoche peut aussi se situer aux fréquences de 3</w:t>
      </w:r>
      <w:r w:rsidR="00C83683" w:rsidRPr="007E472D">
        <w:t> </w:t>
      </w:r>
      <w:r w:rsidRPr="007E472D">
        <w:t>000 et 6</w:t>
      </w:r>
      <w:r w:rsidR="00C83683" w:rsidRPr="007E472D">
        <w:t> </w:t>
      </w:r>
      <w:r w:rsidRPr="007E472D">
        <w:t>000</w:t>
      </w:r>
      <w:r w:rsidR="00C83683" w:rsidRPr="007E472D">
        <w:t> </w:t>
      </w:r>
      <w:r w:rsidRPr="007E472D">
        <w:t>Hz avec remontée aux fréquences supérieures. Enfin, selon une jurisprudence majoritaire, l’encoche peut devenir moins évidente en raison d’une atteinte des fréquences adjacentes par le bruit</w:t>
      </w:r>
      <w:r w:rsidR="00C83683" w:rsidRPr="007E472D">
        <w:t> </w:t>
      </w:r>
      <w:r w:rsidRPr="007E472D">
        <w:t>; elle sera alors évasée et prendra la forme d’un «</w:t>
      </w:r>
      <w:r w:rsidR="00C83683" w:rsidRPr="007E472D">
        <w:t> </w:t>
      </w:r>
      <w:r w:rsidRPr="007E472D">
        <w:t>U</w:t>
      </w:r>
      <w:r w:rsidR="00C83683" w:rsidRPr="007E472D">
        <w:t> </w:t>
      </w:r>
      <w:r w:rsidRPr="007E472D">
        <w:t>». Chez les travailleurs plus âgés, il arrive qu’éventuellement l’encoche disparaisse et on observe alors une courbe descendante jusqu’à la fréquence de 8</w:t>
      </w:r>
      <w:r w:rsidR="00C83683" w:rsidRPr="007E472D">
        <w:t> </w:t>
      </w:r>
      <w:r w:rsidRPr="007E472D">
        <w:t>000</w:t>
      </w:r>
      <w:r w:rsidR="00C83683" w:rsidRPr="007E472D">
        <w:t> </w:t>
      </w:r>
      <w:r w:rsidRPr="007E472D">
        <w:t>Hz</w:t>
      </w:r>
      <w:r w:rsidR="00C83683" w:rsidRPr="007E472D">
        <w:t xml:space="preserve"> </w:t>
      </w:r>
      <w:r w:rsidRPr="007E472D">
        <w:rPr>
          <w:vertAlign w:val="superscript"/>
        </w:rPr>
        <w:t>[3]</w:t>
      </w:r>
      <w:r w:rsidRPr="007E472D">
        <w:t>.</w:t>
      </w:r>
    </w:p>
    <w:p w14:paraId="6B9172CB" w14:textId="77777777" w:rsidR="00A540D5" w:rsidRPr="007E472D" w:rsidRDefault="00A540D5" w:rsidP="00A540D5">
      <w:pPr>
        <w:pStyle w:val="citation"/>
      </w:pPr>
    </w:p>
    <w:p w14:paraId="0412B9D1" w14:textId="646A5653" w:rsidR="0032015C" w:rsidRPr="007E472D" w:rsidRDefault="0032015C" w:rsidP="00A540D5">
      <w:pPr>
        <w:pStyle w:val="citation"/>
      </w:pPr>
      <w:r w:rsidRPr="007E472D">
        <w:t xml:space="preserve">[15]        Il est aussi reconnu qu’une atteinte auditive causée par le bruit se développe dans les premières années d’exposition </w:t>
      </w:r>
      <w:r w:rsidR="003F24C6" w:rsidRPr="007E472D">
        <w:t>[</w:t>
      </w:r>
      <w:r w:rsidRPr="007E472D">
        <w:t>…</w:t>
      </w:r>
      <w:r w:rsidR="003F24C6" w:rsidRPr="007E472D">
        <w:t>]</w:t>
      </w:r>
      <w:r w:rsidRPr="007E472D">
        <w:t xml:space="preserve"> </w:t>
      </w:r>
    </w:p>
    <w:p w14:paraId="07EEF1B9" w14:textId="77777777" w:rsidR="00A540D5" w:rsidRPr="007E472D" w:rsidRDefault="00A540D5" w:rsidP="00A540D5">
      <w:pPr>
        <w:pStyle w:val="citation"/>
      </w:pPr>
    </w:p>
    <w:p w14:paraId="5E7E9045" w14:textId="60822B07" w:rsidR="003F24C6" w:rsidRPr="007E472D" w:rsidRDefault="003B2652" w:rsidP="00A540D5">
      <w:pPr>
        <w:pStyle w:val="citation"/>
      </w:pPr>
      <w:r w:rsidRPr="007E472D">
        <w:t>[Références omises]</w:t>
      </w:r>
    </w:p>
    <w:p w14:paraId="74BC0179" w14:textId="77777777" w:rsidR="00A540D5" w:rsidRDefault="00A540D5" w:rsidP="00A540D5">
      <w:pPr>
        <w:pStyle w:val="citation"/>
      </w:pPr>
    </w:p>
    <w:p w14:paraId="4824B545" w14:textId="77777777" w:rsidR="00165760" w:rsidRPr="007E472D" w:rsidRDefault="00165760" w:rsidP="00A540D5">
      <w:pPr>
        <w:pStyle w:val="citation"/>
      </w:pPr>
    </w:p>
    <w:p w14:paraId="5D6F49FC" w14:textId="77777777" w:rsidR="00D5149F" w:rsidRPr="007E472D" w:rsidRDefault="00EE110A" w:rsidP="00414F7B">
      <w:pPr>
        <w:pStyle w:val="corpsdedcision"/>
      </w:pPr>
      <w:r w:rsidRPr="007E472D">
        <w:t xml:space="preserve">Il est en effet reconnu par la jurisprudence du Tribunal qu’une perte auditive occasionnée par le bruit se développe rapidement durant les dix premières années d’exposition et se stabilise après une dizaine d’années en </w:t>
      </w:r>
      <w:r w:rsidR="00C83683" w:rsidRPr="007E472D">
        <w:t>se</w:t>
      </w:r>
      <w:r w:rsidRPr="007E472D">
        <w:t xml:space="preserve"> dégradant plus lentement par la suite</w:t>
      </w:r>
      <w:r w:rsidRPr="007E472D">
        <w:rPr>
          <w:rStyle w:val="FootnoteReference"/>
        </w:rPr>
        <w:footnoteReference w:id="3"/>
      </w:r>
      <w:r w:rsidRPr="007E472D">
        <w:t xml:space="preserve">. </w:t>
      </w:r>
    </w:p>
    <w:p w14:paraId="11763831" w14:textId="2A04DED7" w:rsidR="00987C2C" w:rsidRPr="007E472D" w:rsidRDefault="0032015C" w:rsidP="00414F7B">
      <w:pPr>
        <w:pStyle w:val="corpsdedcision"/>
      </w:pPr>
      <w:r w:rsidRPr="007E472D">
        <w:t xml:space="preserve">La présence de courbes </w:t>
      </w:r>
      <w:proofErr w:type="spellStart"/>
      <w:r w:rsidRPr="007E472D">
        <w:t>audiologiques</w:t>
      </w:r>
      <w:proofErr w:type="spellEnd"/>
      <w:r w:rsidRPr="007E472D">
        <w:t xml:space="preserve"> «</w:t>
      </w:r>
      <w:r w:rsidR="00C83683" w:rsidRPr="007E472D">
        <w:t> </w:t>
      </w:r>
      <w:r w:rsidRPr="007E472D">
        <w:t>atypique</w:t>
      </w:r>
      <w:r w:rsidR="003B2652" w:rsidRPr="007E472D">
        <w:t>s</w:t>
      </w:r>
      <w:r w:rsidR="00C83683" w:rsidRPr="007E472D">
        <w:t> </w:t>
      </w:r>
      <w:r w:rsidRPr="007E472D">
        <w:t xml:space="preserve">» ne rencontrant pas ces critères ne </w:t>
      </w:r>
      <w:r w:rsidR="005A74A8" w:rsidRPr="007E472D">
        <w:t>fer</w:t>
      </w:r>
      <w:r w:rsidR="00C83683" w:rsidRPr="007E472D">
        <w:t>a</w:t>
      </w:r>
      <w:r w:rsidRPr="007E472D">
        <w:t xml:space="preserve"> pas automatiquement obstacle à l’</w:t>
      </w:r>
      <w:r w:rsidR="00E14291" w:rsidRPr="007E472D">
        <w:t>application de la présomption, laquelle pourra s’appliquer</w:t>
      </w:r>
      <w:r w:rsidR="00C10A1A" w:rsidRPr="007E472D">
        <w:t xml:space="preserve"> si </w:t>
      </w:r>
      <w:r w:rsidR="008A7EFF" w:rsidRPr="007E472D">
        <w:t>la travailleuse</w:t>
      </w:r>
      <w:r w:rsidR="00C10A1A" w:rsidRPr="007E472D">
        <w:t xml:space="preserve"> est en mesure d’expliquer</w:t>
      </w:r>
      <w:r w:rsidR="008A7EFF" w:rsidRPr="007E472D">
        <w:t>,</w:t>
      </w:r>
      <w:r w:rsidR="00C10A1A" w:rsidRPr="007E472D">
        <w:t xml:space="preserve"> par une preuve prépondérante</w:t>
      </w:r>
      <w:r w:rsidR="008A7EFF" w:rsidRPr="007E472D">
        <w:t>, que malgré l’aspect atypique de ses courbes</w:t>
      </w:r>
      <w:r w:rsidR="009919BD" w:rsidRPr="007E472D">
        <w:t>,</w:t>
      </w:r>
      <w:r w:rsidR="00C10A1A" w:rsidRPr="007E472D">
        <w:t xml:space="preserve"> que sa surdité est reliée à l’exposition au bruit plutôt qu’à une autre cause</w:t>
      </w:r>
      <w:r w:rsidR="00E14291" w:rsidRPr="007E472D">
        <w:rPr>
          <w:rStyle w:val="FootnoteReference"/>
        </w:rPr>
        <w:footnoteReference w:id="4"/>
      </w:r>
      <w:r w:rsidR="00C10A1A" w:rsidRPr="007E472D">
        <w:t>.</w:t>
      </w:r>
    </w:p>
    <w:p w14:paraId="0C71495C" w14:textId="77777777" w:rsidR="0012616A" w:rsidRPr="007E472D" w:rsidRDefault="0012616A" w:rsidP="0012616A">
      <w:pPr>
        <w:pStyle w:val="corpsdedcision"/>
        <w:numPr>
          <w:ilvl w:val="0"/>
          <w:numId w:val="0"/>
        </w:numPr>
      </w:pPr>
    </w:p>
    <w:p w14:paraId="7F567C00" w14:textId="42700AD9" w:rsidR="00987C2C" w:rsidRPr="007E472D" w:rsidRDefault="00987C2C" w:rsidP="00F52FD1">
      <w:pPr>
        <w:pStyle w:val="corpsdedcision"/>
      </w:pPr>
      <w:r w:rsidRPr="007E472D">
        <w:lastRenderedPageBreak/>
        <w:t xml:space="preserve">Qu’en </w:t>
      </w:r>
      <w:r w:rsidR="009919BD" w:rsidRPr="007E472D">
        <w:t>est-il</w:t>
      </w:r>
      <w:r w:rsidR="009C1D49" w:rsidRPr="007E472D">
        <w:t xml:space="preserve"> en l’espèce?</w:t>
      </w:r>
      <w:r w:rsidRPr="007E472D">
        <w:t xml:space="preserve"> </w:t>
      </w:r>
    </w:p>
    <w:p w14:paraId="33E001CA" w14:textId="77777777" w:rsidR="00261571" w:rsidRPr="007E472D" w:rsidRDefault="00261571" w:rsidP="00F52FD1">
      <w:pPr>
        <w:pStyle w:val="corpsdedcision"/>
      </w:pPr>
      <w:r w:rsidRPr="007E472D">
        <w:t>La travailleuse consulte pour la première fois pour des problèmes auditifs en février 2013. À ce moment, la travailleuse allègue une diminution de l’audition plus grande à gauche qu’à droite.</w:t>
      </w:r>
    </w:p>
    <w:p w14:paraId="33B16A8A" w14:textId="77777777" w:rsidR="008A7EFF" w:rsidRPr="007E472D" w:rsidRDefault="00261571" w:rsidP="00F52FD1">
      <w:pPr>
        <w:pStyle w:val="corpsdedcision"/>
      </w:pPr>
      <w:r w:rsidRPr="007E472D">
        <w:t xml:space="preserve">Un audiogramme est réalisé. À l’oreille droite, on note une atteinte </w:t>
      </w:r>
      <w:r w:rsidR="00EA4E74" w:rsidRPr="007E472D">
        <w:t xml:space="preserve">avec chute neurosensorielle </w:t>
      </w:r>
      <w:r w:rsidR="007014D1" w:rsidRPr="007E472D">
        <w:t>modérée</w:t>
      </w:r>
      <w:r w:rsidRPr="007E472D">
        <w:t xml:space="preserve"> dans </w:t>
      </w:r>
      <w:r w:rsidR="00EA4E74" w:rsidRPr="007E472D">
        <w:t>les fréquences moyennes et légères</w:t>
      </w:r>
      <w:r w:rsidR="007014D1" w:rsidRPr="007E472D">
        <w:t xml:space="preserve"> dans les hautes fréquences. On note une </w:t>
      </w:r>
      <w:r w:rsidR="00EA4E74" w:rsidRPr="007E472D">
        <w:t xml:space="preserve">hypoacousie </w:t>
      </w:r>
      <w:r w:rsidR="008B0D1D" w:rsidRPr="007E472D">
        <w:t>neurosensorielle</w:t>
      </w:r>
      <w:r w:rsidR="007014D1" w:rsidRPr="007E472D">
        <w:t xml:space="preserve"> légère à l’oreille gauche à compter de 250</w:t>
      </w:r>
      <w:r w:rsidR="00C83683" w:rsidRPr="007E472D">
        <w:t> </w:t>
      </w:r>
      <w:r w:rsidR="007014D1" w:rsidRPr="007E472D">
        <w:t xml:space="preserve">Hz dans toutes les fréquences. </w:t>
      </w:r>
    </w:p>
    <w:p w14:paraId="385106E7" w14:textId="77777777" w:rsidR="00261571" w:rsidRPr="007E472D" w:rsidRDefault="007014D1" w:rsidP="00F52FD1">
      <w:pPr>
        <w:pStyle w:val="corpsdedcision"/>
      </w:pPr>
      <w:r w:rsidRPr="007E472D">
        <w:t>L’</w:t>
      </w:r>
      <w:r w:rsidR="00EE5000" w:rsidRPr="007E472D">
        <w:t>audiologiste conclut à</w:t>
      </w:r>
      <w:r w:rsidRPr="007E472D">
        <w:t xml:space="preserve"> une asymétrie significative entre l’atteinte des deux oreilles.</w:t>
      </w:r>
      <w:r w:rsidR="00EE5000" w:rsidRPr="007E472D">
        <w:t xml:space="preserve"> Elle prescrit un examen de potentiels évoqués afin de tenter d’expliquer cette asymétrie, lequel se révèlera normal. </w:t>
      </w:r>
    </w:p>
    <w:p w14:paraId="17828C6F" w14:textId="732A1444" w:rsidR="008A7EFF" w:rsidRPr="007E472D" w:rsidRDefault="008A7EFF" w:rsidP="008A7EFF">
      <w:pPr>
        <w:pStyle w:val="corpsdedcision"/>
      </w:pPr>
      <w:r w:rsidRPr="007E472D">
        <w:t>Ni à droite</w:t>
      </w:r>
      <w:r w:rsidR="00C83683" w:rsidRPr="007E472D">
        <w:t>,</w:t>
      </w:r>
      <w:r w:rsidRPr="007E472D">
        <w:t xml:space="preserve"> ni à gauche, on ne retrouve d’encoche autours de 4000</w:t>
      </w:r>
      <w:r w:rsidR="00C83683" w:rsidRPr="007E472D">
        <w:t> </w:t>
      </w:r>
      <w:r w:rsidRPr="007E472D">
        <w:t xml:space="preserve">Hz. </w:t>
      </w:r>
      <w:r w:rsidR="003F24C6" w:rsidRPr="007E472D">
        <w:t>En plus</w:t>
      </w:r>
      <w:r w:rsidRPr="007E472D">
        <w:t xml:space="preserve"> d’être asymétriques, les courbes démontrent au niveau de l’oreille droite une atteinte plus élevée dans les fréquences moyennes que dans les hautes fréquences. Cet audiogramme est donc tout à fait atypique d’une surdité causée par le bruit.</w:t>
      </w:r>
    </w:p>
    <w:p w14:paraId="065240DD" w14:textId="77777777" w:rsidR="00261571" w:rsidRPr="007E472D" w:rsidRDefault="00D90987" w:rsidP="00F52FD1">
      <w:pPr>
        <w:pStyle w:val="corpsdedcision"/>
      </w:pPr>
      <w:r w:rsidRPr="007E472D">
        <w:t xml:space="preserve">Un deuxième audiogramme est réalisé en mai 2017. </w:t>
      </w:r>
      <w:r w:rsidR="008A3675" w:rsidRPr="007E472D">
        <w:t>Cet audiogramme démontre une atteinte asymétrique entre l’oreille droite et l’oreille gauche, particulièrement à 1000 et 3000</w:t>
      </w:r>
      <w:r w:rsidR="00C83683" w:rsidRPr="007E472D">
        <w:t> </w:t>
      </w:r>
      <w:r w:rsidR="008A3675" w:rsidRPr="007E472D">
        <w:t>Hz, sans encoche et remontée au niveau de l’oreille droite et avec une encoche à 2000</w:t>
      </w:r>
      <w:r w:rsidR="00C83683" w:rsidRPr="007E472D">
        <w:t> </w:t>
      </w:r>
      <w:r w:rsidR="008A3675" w:rsidRPr="007E472D">
        <w:t>Hz, une légère remontée à 3000</w:t>
      </w:r>
      <w:r w:rsidR="00C83683" w:rsidRPr="007E472D">
        <w:t> </w:t>
      </w:r>
      <w:r w:rsidR="008A3675" w:rsidRPr="007E472D">
        <w:t>Hz et une descente par la suite sans remontée à 8000</w:t>
      </w:r>
      <w:r w:rsidR="00C83683" w:rsidRPr="007E472D">
        <w:t> </w:t>
      </w:r>
      <w:r w:rsidR="008A3675" w:rsidRPr="007E472D">
        <w:t xml:space="preserve">Hz </w:t>
      </w:r>
      <w:r w:rsidR="006E747A" w:rsidRPr="007E472D">
        <w:t>au niveau de</w:t>
      </w:r>
      <w:r w:rsidR="008A3675" w:rsidRPr="007E472D">
        <w:t xml:space="preserve"> l’oreille gauche. </w:t>
      </w:r>
    </w:p>
    <w:p w14:paraId="1C8F1D27" w14:textId="77777777" w:rsidR="008A7EFF" w:rsidRPr="007E472D" w:rsidRDefault="008A7EFF" w:rsidP="00F52FD1">
      <w:pPr>
        <w:pStyle w:val="corpsdedcision"/>
      </w:pPr>
      <w:r w:rsidRPr="007E472D">
        <w:t xml:space="preserve">Encore une fois, l’aspect des courbes </w:t>
      </w:r>
      <w:proofErr w:type="spellStart"/>
      <w:r w:rsidRPr="007E472D">
        <w:t>audiologiques</w:t>
      </w:r>
      <w:proofErr w:type="spellEnd"/>
      <w:r w:rsidRPr="007E472D">
        <w:t xml:space="preserve"> n</w:t>
      </w:r>
      <w:r w:rsidR="00C83683" w:rsidRPr="007E472D">
        <w:t>’es</w:t>
      </w:r>
      <w:r w:rsidRPr="007E472D">
        <w:t>t pas caractéristique d’une surdité due à l’exposition au bruit.</w:t>
      </w:r>
    </w:p>
    <w:p w14:paraId="395E23DB" w14:textId="77777777" w:rsidR="008A3675" w:rsidRPr="007E472D" w:rsidRDefault="008A3675" w:rsidP="00F52FD1">
      <w:pPr>
        <w:pStyle w:val="corpsdedcision"/>
      </w:pPr>
      <w:r w:rsidRPr="007E472D">
        <w:t>De plus, en comparant les audiogramme</w:t>
      </w:r>
      <w:r w:rsidR="00243C91" w:rsidRPr="007E472D">
        <w:t>s</w:t>
      </w:r>
      <w:r w:rsidRPr="007E472D">
        <w:t xml:space="preserve"> de 2013 et 2017 on peut voir une impor</w:t>
      </w:r>
      <w:r w:rsidR="006E0763" w:rsidRPr="007E472D">
        <w:t xml:space="preserve">tante baisse de l’audition, alors qu’elle est déjà exposée à des bruits excessifs depuis plus de 20 ans. </w:t>
      </w:r>
    </w:p>
    <w:p w14:paraId="6B92555C" w14:textId="613AE37A" w:rsidR="00235CB5" w:rsidRDefault="00235CB5" w:rsidP="00F52FD1">
      <w:pPr>
        <w:pStyle w:val="corpsdedcision"/>
      </w:pPr>
      <w:r w:rsidRPr="007E472D">
        <w:t xml:space="preserve">Les courbes </w:t>
      </w:r>
      <w:proofErr w:type="spellStart"/>
      <w:r w:rsidRPr="007E472D">
        <w:t>audiologiques</w:t>
      </w:r>
      <w:proofErr w:type="spellEnd"/>
      <w:r w:rsidRPr="007E472D">
        <w:t xml:space="preserve"> réalisées chez la travailleuse ne sont donc pas révélatrices d’une </w:t>
      </w:r>
      <w:r w:rsidR="003F24C6" w:rsidRPr="007E472D">
        <w:t xml:space="preserve">surdité due à une </w:t>
      </w:r>
      <w:r w:rsidRPr="007E472D">
        <w:t xml:space="preserve">exposition au bruit. </w:t>
      </w:r>
      <w:r w:rsidR="003F24C6" w:rsidRPr="007E472D">
        <w:t xml:space="preserve">Le </w:t>
      </w:r>
      <w:r w:rsidR="008A7EFF" w:rsidRPr="007E472D">
        <w:t xml:space="preserve">Tribunal ne dispose d’aucun élément afin d’expliquer que la surdité présentée par la travailleuse résulte de son exposition au bruit malgré l’aspect atypique de ses courbes </w:t>
      </w:r>
      <w:proofErr w:type="spellStart"/>
      <w:r w:rsidR="008A7EFF" w:rsidRPr="007E472D">
        <w:t>audiologiques</w:t>
      </w:r>
      <w:proofErr w:type="spellEnd"/>
      <w:r w:rsidR="008A7EFF" w:rsidRPr="007E472D">
        <w:t>.</w:t>
      </w:r>
    </w:p>
    <w:p w14:paraId="0129F98A" w14:textId="77777777" w:rsidR="00C84F76" w:rsidRDefault="00C84F76" w:rsidP="00C84F76">
      <w:pPr>
        <w:pStyle w:val="corpsdedcision"/>
        <w:numPr>
          <w:ilvl w:val="0"/>
          <w:numId w:val="0"/>
        </w:numPr>
      </w:pPr>
    </w:p>
    <w:p w14:paraId="4256CFDD" w14:textId="77777777" w:rsidR="00C84F76" w:rsidRPr="007E472D" w:rsidRDefault="00C84F76" w:rsidP="00C84F76">
      <w:pPr>
        <w:pStyle w:val="corpsdedcision"/>
        <w:numPr>
          <w:ilvl w:val="0"/>
          <w:numId w:val="0"/>
        </w:numPr>
      </w:pPr>
    </w:p>
    <w:p w14:paraId="67E18B3A" w14:textId="468CE07E" w:rsidR="00235CB5" w:rsidRPr="007E472D" w:rsidRDefault="000070FE" w:rsidP="00F52FD1">
      <w:pPr>
        <w:pStyle w:val="corpsdedcision"/>
      </w:pPr>
      <w:r w:rsidRPr="007E472D">
        <w:lastRenderedPageBreak/>
        <w:t xml:space="preserve">D’une part, </w:t>
      </w:r>
      <w:r w:rsidR="002A1DC1" w:rsidRPr="007E472D">
        <w:t>à la note de consultation de l’audiolo</w:t>
      </w:r>
      <w:r w:rsidR="00360C1C" w:rsidRPr="007E472D">
        <w:t xml:space="preserve">giste Beauchamp en 2013, lors de ses conclusions, bien que cette dernière mentionne que la travailleuse </w:t>
      </w:r>
      <w:r w:rsidR="005A03EB" w:rsidRPr="007E472D">
        <w:t>indique</w:t>
      </w:r>
      <w:r w:rsidR="00360C1C" w:rsidRPr="007E472D">
        <w:t xml:space="preserve"> être exposée au bruit dans le cadre de son travail, elle n’indique pas retenir comme cause de cette surdité une exposition au bruit et réfère la travailleuse pour un examen de potentiels évoqués afin d’investiguer la cause de l’asymétrie significative des seuils osseux à trois fréquences. Elle ne réfère pas la travailleuse auprès de la Commission et lui explique plutôt </w:t>
      </w:r>
      <w:r w:rsidR="005A74A8" w:rsidRPr="007E472D">
        <w:t xml:space="preserve">qu’elle ne rencontre pas </w:t>
      </w:r>
      <w:r w:rsidR="00360C1C" w:rsidRPr="007E472D">
        <w:t>les critères prévalant à la RAMQ afin d’obtenir un appareil</w:t>
      </w:r>
      <w:r w:rsidR="005A74A8" w:rsidRPr="007E472D">
        <w:t xml:space="preserve"> auditif</w:t>
      </w:r>
      <w:r w:rsidR="00360C1C" w:rsidRPr="007E472D">
        <w:t xml:space="preserve">. </w:t>
      </w:r>
    </w:p>
    <w:p w14:paraId="52A723FC" w14:textId="77777777" w:rsidR="008C4315" w:rsidRPr="007E472D" w:rsidRDefault="000070FE" w:rsidP="001D0740">
      <w:pPr>
        <w:pStyle w:val="corpsdedcision"/>
      </w:pPr>
      <w:r w:rsidRPr="007E472D">
        <w:t>D’autre part, l</w:t>
      </w:r>
      <w:r w:rsidR="008C4315" w:rsidRPr="007E472D">
        <w:t xml:space="preserve">a simple mention </w:t>
      </w:r>
      <w:r w:rsidRPr="007E472D">
        <w:t>de la</w:t>
      </w:r>
      <w:r w:rsidR="008C4315" w:rsidRPr="007E472D">
        <w:t xml:space="preserve"> docteur</w:t>
      </w:r>
      <w:r w:rsidRPr="007E472D">
        <w:t>e</w:t>
      </w:r>
      <w:r w:rsidR="008C4315" w:rsidRPr="007E472D">
        <w:t xml:space="preserve"> </w:t>
      </w:r>
      <w:r w:rsidR="00235CB5" w:rsidRPr="007E472D">
        <w:t>Desrosiers</w:t>
      </w:r>
      <w:r w:rsidR="008C4315" w:rsidRPr="007E472D">
        <w:t>, l’</w:t>
      </w:r>
      <w:r w:rsidR="005A74A8" w:rsidRPr="007E472D">
        <w:t>ORL</w:t>
      </w:r>
      <w:r w:rsidR="008C4315" w:rsidRPr="007E472D">
        <w:t xml:space="preserve"> consulté</w:t>
      </w:r>
      <w:r w:rsidR="005A74A8" w:rsidRPr="007E472D">
        <w:t>e</w:t>
      </w:r>
      <w:r w:rsidR="008C4315" w:rsidRPr="007E472D">
        <w:t xml:space="preserve"> par la travailleuse en mai 2017</w:t>
      </w:r>
      <w:r w:rsidR="00235CB5" w:rsidRPr="007E472D">
        <w:t>,</w:t>
      </w:r>
      <w:r w:rsidR="008C4315" w:rsidRPr="007E472D">
        <w:t xml:space="preserve"> à l’effet que la surdité haute fréquence est due à l’exposition au bruit </w:t>
      </w:r>
      <w:r w:rsidR="00235CB5" w:rsidRPr="007E472D">
        <w:t xml:space="preserve">ne constitue pas une opinion médicale prépondérante en l’espèce. En effet, </w:t>
      </w:r>
      <w:r w:rsidRPr="007E472D">
        <w:t>cette dernière n’apporte aucune explication justifiant la reconnaissance d’une relation entre la surdité présentée par la travailleuse avec une exposition au bruit plutôt qu’avec une autre cause</w:t>
      </w:r>
      <w:r w:rsidR="005A74A8" w:rsidRPr="007E472D">
        <w:t>,</w:t>
      </w:r>
      <w:r w:rsidRPr="007E472D">
        <w:t xml:space="preserve"> malgré la présence de courbes </w:t>
      </w:r>
      <w:proofErr w:type="spellStart"/>
      <w:r w:rsidRPr="007E472D">
        <w:t>audiologiques</w:t>
      </w:r>
      <w:proofErr w:type="spellEnd"/>
      <w:r w:rsidRPr="007E472D">
        <w:t xml:space="preserve"> qui ne sont pas caractéristiques d’une atteinte causée par le bruit.</w:t>
      </w:r>
    </w:p>
    <w:p w14:paraId="711C544F" w14:textId="5F5CF6B4" w:rsidR="001D0740" w:rsidRPr="007E472D" w:rsidRDefault="008A7EFF" w:rsidP="001D0740">
      <w:pPr>
        <w:pStyle w:val="corpsdedcision"/>
        <w:rPr>
          <w:szCs w:val="24"/>
        </w:rPr>
      </w:pPr>
      <w:r w:rsidRPr="007E472D">
        <w:rPr>
          <w:szCs w:val="24"/>
        </w:rPr>
        <w:t xml:space="preserve">Dans l’affaire </w:t>
      </w:r>
      <w:r w:rsidRPr="007E472D">
        <w:rPr>
          <w:i/>
          <w:szCs w:val="24"/>
        </w:rPr>
        <w:t>Deschamps</w:t>
      </w:r>
      <w:r w:rsidRPr="007E472D">
        <w:rPr>
          <w:szCs w:val="24"/>
        </w:rPr>
        <w:t xml:space="preserve"> et </w:t>
      </w:r>
      <w:r w:rsidRPr="007E472D">
        <w:rPr>
          <w:i/>
          <w:szCs w:val="24"/>
        </w:rPr>
        <w:t>Carrière Thémis (Faillite)</w:t>
      </w:r>
      <w:r w:rsidR="0012616A" w:rsidRPr="007E472D">
        <w:rPr>
          <w:i/>
          <w:szCs w:val="24"/>
        </w:rPr>
        <w:t>,</w:t>
      </w:r>
      <w:r w:rsidRPr="007E472D">
        <w:rPr>
          <w:rStyle w:val="FootnoteReference"/>
          <w:i/>
          <w:szCs w:val="24"/>
        </w:rPr>
        <w:footnoteReference w:id="5"/>
      </w:r>
      <w:r w:rsidRPr="007E472D">
        <w:rPr>
          <w:szCs w:val="24"/>
        </w:rPr>
        <w:t xml:space="preserve"> le Tribunal s’exprime ainsi : </w:t>
      </w:r>
    </w:p>
    <w:p w14:paraId="66DB4BC4" w14:textId="77777777" w:rsidR="008A7EFF" w:rsidRPr="007E472D" w:rsidRDefault="008A7EFF" w:rsidP="009C1D49">
      <w:pPr>
        <w:pStyle w:val="citation"/>
      </w:pPr>
      <w:r w:rsidRPr="007E472D">
        <w:t>[36]      De plus, la preuve d’une atteinte auditive causée par le bruit n</w:t>
      </w:r>
      <w:r w:rsidR="00C83683" w:rsidRPr="007E472D">
        <w:t>’</w:t>
      </w:r>
      <w:r w:rsidRPr="007E472D">
        <w:t>est pas établie par la seule conclusion du médecin traitant sur cette question</w:t>
      </w:r>
      <w:r w:rsidR="00C83683" w:rsidRPr="007E472D">
        <w:t> </w:t>
      </w:r>
      <w:r w:rsidRPr="007E472D">
        <w:t>; elle repose d’abord sur les courbes révélées par l</w:t>
      </w:r>
      <w:r w:rsidR="00C83683" w:rsidRPr="007E472D">
        <w:t>’</w:t>
      </w:r>
      <w:r w:rsidRPr="007E472D">
        <w:t>audiogramme. Ainsi, lorsque l</w:t>
      </w:r>
      <w:r w:rsidR="00C83683" w:rsidRPr="007E472D">
        <w:t>’</w:t>
      </w:r>
      <w:r w:rsidRPr="007E472D">
        <w:t>audiogramme sur lequel se base le médecin pour conclure à une surdité causée par le bruit ne révèle pas une courbe typique d</w:t>
      </w:r>
      <w:r w:rsidR="00C83683" w:rsidRPr="007E472D">
        <w:t>’</w:t>
      </w:r>
      <w:r w:rsidRPr="007E472D">
        <w:t>une telle surdité, on doit comprendre qu</w:t>
      </w:r>
      <w:r w:rsidR="00C83683" w:rsidRPr="007E472D">
        <w:t>’</w:t>
      </w:r>
      <w:r w:rsidRPr="007E472D">
        <w:t>il fonde sa conclusion sur d</w:t>
      </w:r>
      <w:r w:rsidR="00C83683" w:rsidRPr="007E472D">
        <w:t>’</w:t>
      </w:r>
      <w:r w:rsidRPr="007E472D">
        <w:t>autres considérations. À défaut d</w:t>
      </w:r>
      <w:r w:rsidR="00C83683" w:rsidRPr="007E472D">
        <w:t>’</w:t>
      </w:r>
      <w:r w:rsidRPr="007E472D">
        <w:t>explications suffisantes quant à ces considérations, la seule conclusion du médecin ne lie pas le tribunal</w:t>
      </w:r>
      <w:r w:rsidRPr="007E472D">
        <w:rPr>
          <w:vertAlign w:val="superscript"/>
        </w:rPr>
        <w:t>4</w:t>
      </w:r>
      <w:r w:rsidRPr="007E472D">
        <w:t>.</w:t>
      </w:r>
    </w:p>
    <w:p w14:paraId="3C462905" w14:textId="77777777" w:rsidR="009C1D49" w:rsidRPr="007E472D" w:rsidRDefault="009C1D49" w:rsidP="009C1D49">
      <w:pPr>
        <w:pStyle w:val="citation"/>
      </w:pPr>
    </w:p>
    <w:p w14:paraId="6AA07A15" w14:textId="77777777" w:rsidR="009C1D49" w:rsidRPr="007E472D" w:rsidRDefault="009C1D49" w:rsidP="009C1D49">
      <w:pPr>
        <w:pStyle w:val="citation"/>
      </w:pPr>
    </w:p>
    <w:p w14:paraId="05F67BCB" w14:textId="77777777" w:rsidR="00C55DC8" w:rsidRPr="007E472D" w:rsidRDefault="00C55DC8" w:rsidP="00583B57">
      <w:pPr>
        <w:pStyle w:val="corpsdedcision"/>
      </w:pPr>
      <w:r w:rsidRPr="007E472D">
        <w:t xml:space="preserve">En l’espèce, le Tribunal ne dispose d’aucun élément permettant d’expliquer pourquoi en l’absence d’une courbe typique d’une surdité causée par le bruit, le médecin conclut à une relation entre le </w:t>
      </w:r>
      <w:r w:rsidR="005A74A8" w:rsidRPr="007E472D">
        <w:t xml:space="preserve">bruit et la surdité malgré tout. </w:t>
      </w:r>
    </w:p>
    <w:p w14:paraId="5BF7C933" w14:textId="76BFBE40" w:rsidR="00583B57" w:rsidRPr="007E472D" w:rsidRDefault="00583B57" w:rsidP="00165760">
      <w:pPr>
        <w:pStyle w:val="corpsdedcision"/>
      </w:pPr>
      <w:r w:rsidRPr="007E472D">
        <w:t xml:space="preserve">Conséquemment, puisque la travailleuse n’a pas démontré de manière prépondérante </w:t>
      </w:r>
      <w:r w:rsidR="005A03EB" w:rsidRPr="007E472D">
        <w:t>qu’elle est porteuse d’une surdité</w:t>
      </w:r>
      <w:r w:rsidR="00165760">
        <w:t xml:space="preserve"> </w:t>
      </w:r>
      <w:r w:rsidRPr="007E472D">
        <w:t>causée par le bruit, la présomption prévue à l’article</w:t>
      </w:r>
      <w:r w:rsidR="00C83683" w:rsidRPr="007E472D">
        <w:t> </w:t>
      </w:r>
      <w:r w:rsidRPr="007E472D">
        <w:t xml:space="preserve">29 de la Loi ne peut s’appliquer. </w:t>
      </w:r>
    </w:p>
    <w:p w14:paraId="05238156" w14:textId="77777777" w:rsidR="00C84F76" w:rsidRDefault="00C84F76" w:rsidP="00583B57">
      <w:pPr>
        <w:pStyle w:val="corpsdedcision"/>
        <w:numPr>
          <w:ilvl w:val="0"/>
          <w:numId w:val="0"/>
        </w:numPr>
        <w:rPr>
          <w:b/>
        </w:rPr>
      </w:pPr>
    </w:p>
    <w:p w14:paraId="34F2A4F2" w14:textId="77777777" w:rsidR="00165760" w:rsidRDefault="00165760" w:rsidP="00583B57">
      <w:pPr>
        <w:pStyle w:val="corpsdedcision"/>
        <w:numPr>
          <w:ilvl w:val="0"/>
          <w:numId w:val="0"/>
        </w:numPr>
        <w:rPr>
          <w:b/>
        </w:rPr>
      </w:pPr>
    </w:p>
    <w:p w14:paraId="4BEE9B0B" w14:textId="77777777" w:rsidR="00583B57" w:rsidRPr="007E472D" w:rsidRDefault="00583B57" w:rsidP="00583B57">
      <w:pPr>
        <w:pStyle w:val="corpsdedcision"/>
        <w:numPr>
          <w:ilvl w:val="0"/>
          <w:numId w:val="0"/>
        </w:numPr>
        <w:rPr>
          <w:b/>
        </w:rPr>
      </w:pPr>
      <w:r w:rsidRPr="007E472D">
        <w:rPr>
          <w:b/>
        </w:rPr>
        <w:t>Application de l’article</w:t>
      </w:r>
      <w:r w:rsidR="00C83683" w:rsidRPr="007E472D">
        <w:rPr>
          <w:b/>
        </w:rPr>
        <w:t> </w:t>
      </w:r>
      <w:r w:rsidRPr="007E472D">
        <w:rPr>
          <w:b/>
        </w:rPr>
        <w:t>30 de la Loi</w:t>
      </w:r>
    </w:p>
    <w:p w14:paraId="1BBED5F5" w14:textId="77777777" w:rsidR="00583B57" w:rsidRPr="007E472D" w:rsidRDefault="002B14DA" w:rsidP="00583B57">
      <w:pPr>
        <w:pStyle w:val="corpsdedcision"/>
        <w:rPr>
          <w:szCs w:val="24"/>
        </w:rPr>
      </w:pPr>
      <w:r w:rsidRPr="007E472D">
        <w:rPr>
          <w:szCs w:val="24"/>
        </w:rPr>
        <w:lastRenderedPageBreak/>
        <w:t>L’article</w:t>
      </w:r>
      <w:r w:rsidR="00C83683" w:rsidRPr="007E472D">
        <w:rPr>
          <w:szCs w:val="24"/>
        </w:rPr>
        <w:t> </w:t>
      </w:r>
      <w:r w:rsidRPr="007E472D">
        <w:rPr>
          <w:szCs w:val="24"/>
        </w:rPr>
        <w:t>30 de la Loi prévoit qu’en l’absence d’application de présomption de maladie professionnelle, une maladie pourra être considérée comme une maladie professionnelle si elle est «</w:t>
      </w:r>
      <w:r w:rsidR="00C83683" w:rsidRPr="007E472D">
        <w:rPr>
          <w:szCs w:val="24"/>
        </w:rPr>
        <w:t> </w:t>
      </w:r>
      <w:r w:rsidRPr="007E472D">
        <w:rPr>
          <w:rFonts w:cs="Arial"/>
          <w:szCs w:val="24"/>
          <w:lang w:val="fr-FR"/>
        </w:rPr>
        <w:t>caractéristique d’un travail</w:t>
      </w:r>
      <w:r w:rsidR="00C83683" w:rsidRPr="007E472D">
        <w:rPr>
          <w:rFonts w:cs="Arial"/>
          <w:szCs w:val="24"/>
          <w:lang w:val="fr-FR"/>
        </w:rPr>
        <w:t> </w:t>
      </w:r>
      <w:r w:rsidRPr="007E472D">
        <w:rPr>
          <w:rFonts w:cs="Arial"/>
          <w:szCs w:val="24"/>
          <w:lang w:val="fr-FR"/>
        </w:rPr>
        <w:t>» exercé ou qu’elle est «</w:t>
      </w:r>
      <w:r w:rsidR="00C83683" w:rsidRPr="007E472D">
        <w:rPr>
          <w:rFonts w:cs="Arial"/>
          <w:szCs w:val="24"/>
          <w:lang w:val="fr-FR"/>
        </w:rPr>
        <w:t> </w:t>
      </w:r>
      <w:r w:rsidRPr="007E472D">
        <w:rPr>
          <w:rFonts w:cs="Arial"/>
          <w:szCs w:val="24"/>
          <w:lang w:val="fr-FR"/>
        </w:rPr>
        <w:t>reliée directement aux risques particuliers de ce travail</w:t>
      </w:r>
      <w:r w:rsidR="00C83683" w:rsidRPr="007E472D">
        <w:rPr>
          <w:rFonts w:cs="Arial"/>
          <w:szCs w:val="24"/>
          <w:lang w:val="fr-FR"/>
        </w:rPr>
        <w:t> </w:t>
      </w:r>
      <w:r w:rsidRPr="007E472D">
        <w:rPr>
          <w:rFonts w:cs="Arial"/>
          <w:szCs w:val="24"/>
          <w:lang w:val="fr-FR"/>
        </w:rPr>
        <w:t xml:space="preserve">». Le fardeau de démontrer de manière prépondérante le caractère professionnel de sa maladie incombe alors à la travailleuse. </w:t>
      </w:r>
    </w:p>
    <w:p w14:paraId="0322CD22" w14:textId="77777777" w:rsidR="00F9553A" w:rsidRPr="007E472D" w:rsidRDefault="0027583B" w:rsidP="00583B57">
      <w:pPr>
        <w:pStyle w:val="corpsdedcision"/>
        <w:rPr>
          <w:szCs w:val="24"/>
        </w:rPr>
      </w:pPr>
      <w:r w:rsidRPr="007E472D">
        <w:rPr>
          <w:szCs w:val="24"/>
        </w:rPr>
        <w:t>La travailleuse n’a présenté aucune preuve qu’une surdité est caractéristique du travail de serveuse dans des resto-bars.</w:t>
      </w:r>
    </w:p>
    <w:p w14:paraId="69243C82" w14:textId="77777777" w:rsidR="0027583B" w:rsidRPr="007E472D" w:rsidRDefault="0027583B" w:rsidP="00583B57">
      <w:pPr>
        <w:pStyle w:val="corpsdedcision"/>
        <w:rPr>
          <w:szCs w:val="24"/>
        </w:rPr>
      </w:pPr>
      <w:r w:rsidRPr="007E472D">
        <w:rPr>
          <w:szCs w:val="24"/>
        </w:rPr>
        <w:t>Afin de démontrer qu’une maladie est caractéristique d’un travail, la travailleuse doit démontrer qu’un nombre significatif de personnes travaillant dans des conditions de travail semblables sont également atteint</w:t>
      </w:r>
      <w:r w:rsidR="00C83683" w:rsidRPr="007E472D">
        <w:rPr>
          <w:szCs w:val="24"/>
        </w:rPr>
        <w:t>e</w:t>
      </w:r>
      <w:r w:rsidRPr="007E472D">
        <w:rPr>
          <w:szCs w:val="24"/>
        </w:rPr>
        <w:t xml:space="preserve">s de cette maladie, laquelle est plus présente chez ces travailleurs que dans la population en générale. Cette preuve peut être faite à l’aide d’études épidémiologiques ou statistiques établissant que la </w:t>
      </w:r>
      <w:r w:rsidR="00ED7463" w:rsidRPr="007E472D">
        <w:rPr>
          <w:szCs w:val="24"/>
        </w:rPr>
        <w:t>maladie</w:t>
      </w:r>
      <w:r w:rsidRPr="007E472D">
        <w:rPr>
          <w:szCs w:val="24"/>
        </w:rPr>
        <w:t xml:space="preserve"> est caractéristique du </w:t>
      </w:r>
      <w:r w:rsidR="00ED7463" w:rsidRPr="007E472D">
        <w:rPr>
          <w:szCs w:val="24"/>
        </w:rPr>
        <w:t>type de travail qu’elle exerce.</w:t>
      </w:r>
    </w:p>
    <w:p w14:paraId="2E32390C" w14:textId="77777777" w:rsidR="00664DA2" w:rsidRPr="007E472D" w:rsidRDefault="00664DA2" w:rsidP="00583B57">
      <w:pPr>
        <w:pStyle w:val="corpsdedcision"/>
        <w:rPr>
          <w:szCs w:val="24"/>
        </w:rPr>
      </w:pPr>
      <w:r w:rsidRPr="007E472D">
        <w:rPr>
          <w:szCs w:val="24"/>
        </w:rPr>
        <w:t xml:space="preserve">La preuve présentée devant le Tribunal ne permet pas non plus de conclure de manière prépondérante que la surdité de la travailleuse est reliée aux risques particuliers des emplois qu’elle a exercés. </w:t>
      </w:r>
    </w:p>
    <w:p w14:paraId="57C34877" w14:textId="77777777" w:rsidR="00664DA2" w:rsidRPr="007E472D" w:rsidRDefault="00ED7463" w:rsidP="00583B57">
      <w:pPr>
        <w:pStyle w:val="corpsdedcision"/>
        <w:rPr>
          <w:szCs w:val="24"/>
        </w:rPr>
      </w:pPr>
      <w:r w:rsidRPr="007E472D">
        <w:rPr>
          <w:szCs w:val="24"/>
        </w:rPr>
        <w:t>Une maladie peut être reconnue comme étant reliée aux risques particulier</w:t>
      </w:r>
      <w:r w:rsidR="00C83683" w:rsidRPr="007E472D">
        <w:rPr>
          <w:szCs w:val="24"/>
        </w:rPr>
        <w:t>s</w:t>
      </w:r>
      <w:r w:rsidRPr="007E472D">
        <w:rPr>
          <w:szCs w:val="24"/>
        </w:rPr>
        <w:t xml:space="preserve"> d’un emploi lorsqu’une preuve prépondérante permet de conclure </w:t>
      </w:r>
      <w:r w:rsidR="00C55DC8" w:rsidRPr="007E472D">
        <w:rPr>
          <w:szCs w:val="24"/>
        </w:rPr>
        <w:t xml:space="preserve">que la maladie présentée par la travailleuse est directement reliée à la nature ou aux conditions d’exercice de son travail. </w:t>
      </w:r>
    </w:p>
    <w:p w14:paraId="79BFE587" w14:textId="77777777" w:rsidR="00C55DC8" w:rsidRPr="007E472D" w:rsidRDefault="00C83683" w:rsidP="00583B57">
      <w:pPr>
        <w:pStyle w:val="corpsdedcision"/>
        <w:rPr>
          <w:szCs w:val="24"/>
        </w:rPr>
      </w:pPr>
      <w:r w:rsidRPr="007E472D">
        <w:rPr>
          <w:szCs w:val="24"/>
        </w:rPr>
        <w:t xml:space="preserve">Comme le Tribunal l’a </w:t>
      </w:r>
      <w:r w:rsidR="00C55DC8" w:rsidRPr="007E472D">
        <w:rPr>
          <w:szCs w:val="24"/>
        </w:rPr>
        <w:t>expliqué précédemment lors de l’analyse de la présomption prévue à l’article</w:t>
      </w:r>
      <w:r w:rsidRPr="007E472D">
        <w:rPr>
          <w:szCs w:val="24"/>
        </w:rPr>
        <w:t> </w:t>
      </w:r>
      <w:r w:rsidR="00C55DC8" w:rsidRPr="007E472D">
        <w:rPr>
          <w:szCs w:val="24"/>
        </w:rPr>
        <w:t xml:space="preserve">29 de la Loi, </w:t>
      </w:r>
      <w:r w:rsidRPr="007E472D">
        <w:rPr>
          <w:szCs w:val="24"/>
        </w:rPr>
        <w:t>bien que</w:t>
      </w:r>
      <w:r w:rsidR="00C55DC8" w:rsidRPr="007E472D">
        <w:rPr>
          <w:szCs w:val="24"/>
        </w:rPr>
        <w:t xml:space="preserve"> la travailleuse ait démontré avoir été exposée à des bruits excessif</w:t>
      </w:r>
      <w:r w:rsidRPr="007E472D">
        <w:rPr>
          <w:szCs w:val="24"/>
        </w:rPr>
        <w:t>s</w:t>
      </w:r>
      <w:r w:rsidR="00C55DC8" w:rsidRPr="007E472D">
        <w:rPr>
          <w:szCs w:val="24"/>
        </w:rPr>
        <w:t xml:space="preserve"> dans le cadre de ses emplois à titre de serveuse dans des resto-bars, la preuve médicale prépondérante ne permet pas de relier l’atteinte auditive qu’elle présente à cette exposition au bruit dans le cadre de son travail. </w:t>
      </w:r>
    </w:p>
    <w:p w14:paraId="51D56640" w14:textId="77777777" w:rsidR="00F84BB1" w:rsidRPr="007E472D" w:rsidRDefault="00C55DC8" w:rsidP="001863EC">
      <w:pPr>
        <w:pStyle w:val="corpsdedcision"/>
        <w:rPr>
          <w:szCs w:val="24"/>
        </w:rPr>
      </w:pPr>
      <w:r w:rsidRPr="007E472D">
        <w:rPr>
          <w:szCs w:val="24"/>
        </w:rPr>
        <w:t>En effet</w:t>
      </w:r>
      <w:r w:rsidR="00F9553A" w:rsidRPr="007E472D">
        <w:rPr>
          <w:szCs w:val="24"/>
        </w:rPr>
        <w:t>, l’étude de</w:t>
      </w:r>
      <w:r w:rsidR="00664DA2" w:rsidRPr="007E472D">
        <w:rPr>
          <w:szCs w:val="24"/>
        </w:rPr>
        <w:t>s</w:t>
      </w:r>
      <w:r w:rsidR="001863EC" w:rsidRPr="007E472D">
        <w:rPr>
          <w:szCs w:val="24"/>
        </w:rPr>
        <w:t xml:space="preserve"> </w:t>
      </w:r>
      <w:r w:rsidR="00F9553A" w:rsidRPr="007E472D">
        <w:rPr>
          <w:szCs w:val="24"/>
        </w:rPr>
        <w:t>audiogramme</w:t>
      </w:r>
      <w:r w:rsidR="00664DA2" w:rsidRPr="007E472D">
        <w:rPr>
          <w:szCs w:val="24"/>
        </w:rPr>
        <w:t>s</w:t>
      </w:r>
      <w:r w:rsidR="00F9553A" w:rsidRPr="007E472D">
        <w:rPr>
          <w:szCs w:val="24"/>
        </w:rPr>
        <w:t xml:space="preserve"> réalisé</w:t>
      </w:r>
      <w:r w:rsidR="00664DA2" w:rsidRPr="007E472D">
        <w:rPr>
          <w:szCs w:val="24"/>
        </w:rPr>
        <w:t>s</w:t>
      </w:r>
      <w:r w:rsidR="00F9553A" w:rsidRPr="007E472D">
        <w:rPr>
          <w:szCs w:val="24"/>
        </w:rPr>
        <w:t xml:space="preserve"> </w:t>
      </w:r>
      <w:r w:rsidR="001863EC" w:rsidRPr="007E472D">
        <w:rPr>
          <w:szCs w:val="24"/>
        </w:rPr>
        <w:t xml:space="preserve">et de la preuve médicale au dossier </w:t>
      </w:r>
      <w:r w:rsidR="00F9553A" w:rsidRPr="007E472D">
        <w:rPr>
          <w:szCs w:val="24"/>
        </w:rPr>
        <w:t xml:space="preserve">ne </w:t>
      </w:r>
      <w:r w:rsidR="00664DA2" w:rsidRPr="007E472D">
        <w:rPr>
          <w:szCs w:val="24"/>
        </w:rPr>
        <w:t>permet</w:t>
      </w:r>
      <w:r w:rsidR="00F9553A" w:rsidRPr="007E472D">
        <w:rPr>
          <w:szCs w:val="24"/>
        </w:rPr>
        <w:t xml:space="preserve"> pas de conclure de manière prépondérante à </w:t>
      </w:r>
      <w:r w:rsidR="00664DA2" w:rsidRPr="007E472D">
        <w:rPr>
          <w:szCs w:val="24"/>
        </w:rPr>
        <w:t>l’existence d’</w:t>
      </w:r>
      <w:r w:rsidR="00F9553A" w:rsidRPr="007E472D">
        <w:rPr>
          <w:szCs w:val="24"/>
        </w:rPr>
        <w:t xml:space="preserve">une relation entre l’exposition au bruit et l’atteinte auditive présentée par la travailleuse. </w:t>
      </w:r>
    </w:p>
    <w:p w14:paraId="02C088FC" w14:textId="77777777" w:rsidR="001863EC" w:rsidRPr="007E472D" w:rsidRDefault="001863EC" w:rsidP="009C1D49">
      <w:pPr>
        <w:pStyle w:val="corpsdedcision"/>
        <w:spacing w:after="480"/>
        <w:rPr>
          <w:szCs w:val="24"/>
        </w:rPr>
      </w:pPr>
      <w:r w:rsidRPr="007E472D">
        <w:rPr>
          <w:szCs w:val="24"/>
        </w:rPr>
        <w:t>Le Tribunal conclut donc que la travailleuse n’a pas rencontré son fardeau de démontrer qu’elle est atteinte d’une maladie professionnelle.</w:t>
      </w:r>
    </w:p>
    <w:p w14:paraId="3E258686" w14:textId="77777777" w:rsidR="00C84F76" w:rsidRDefault="00C84F76">
      <w:pPr>
        <w:pStyle w:val="Dispositif"/>
        <w:rPr>
          <w:b/>
        </w:rPr>
      </w:pPr>
    </w:p>
    <w:p w14:paraId="2F53D5F5" w14:textId="77777777" w:rsidR="00C74B6F" w:rsidRPr="007E472D" w:rsidRDefault="00C74B6F">
      <w:pPr>
        <w:pStyle w:val="Dispositif"/>
      </w:pPr>
      <w:r w:rsidRPr="007E472D">
        <w:rPr>
          <w:b/>
        </w:rPr>
        <w:t>P</w:t>
      </w:r>
      <w:r w:rsidR="00D07FA6" w:rsidRPr="007E472D">
        <w:rPr>
          <w:b/>
        </w:rPr>
        <w:t>AR CES MOTIFS, LE TRIBUNAL ADMINISTRATIF DU TRAVAIL</w:t>
      </w:r>
      <w:r w:rsidRPr="007E472D">
        <w:rPr>
          <w:b/>
        </w:rPr>
        <w:t> :</w:t>
      </w:r>
    </w:p>
    <w:p w14:paraId="3E43EA81" w14:textId="77777777" w:rsidR="00C74B6F" w:rsidRPr="007E472D" w:rsidRDefault="00274ED4">
      <w:pPr>
        <w:pStyle w:val="Dispositif"/>
      </w:pPr>
      <w:r w:rsidRPr="007E472D">
        <w:rPr>
          <w:b/>
        </w:rPr>
        <w:lastRenderedPageBreak/>
        <w:t>REJETTE</w:t>
      </w:r>
      <w:r w:rsidRPr="007E472D">
        <w:t xml:space="preserve"> la requête de madame Linda Airoldi, la travailleuse</w:t>
      </w:r>
      <w:r w:rsidR="00C83683" w:rsidRPr="007E472D">
        <w:t> </w:t>
      </w:r>
      <w:r w:rsidRPr="007E472D">
        <w:t>;</w:t>
      </w:r>
    </w:p>
    <w:p w14:paraId="048EA89F" w14:textId="0BCAE117" w:rsidR="009C1D49" w:rsidRPr="00C84F76" w:rsidRDefault="00274ED4">
      <w:pPr>
        <w:pStyle w:val="Dispositif"/>
      </w:pPr>
      <w:r w:rsidRPr="007E472D">
        <w:rPr>
          <w:b/>
        </w:rPr>
        <w:t>CONFIRME</w:t>
      </w:r>
      <w:r w:rsidRPr="007E472D">
        <w:t xml:space="preserve"> la décision rendue par la Commission des normes, de l’équité, de la santé et de la sécurité du travail à la suite d’une révision administrative le 11 décembre 2017</w:t>
      </w:r>
      <w:r w:rsidR="00C83683" w:rsidRPr="007E472D">
        <w:t> </w:t>
      </w:r>
      <w:r w:rsidRPr="007E472D">
        <w:t>;</w:t>
      </w:r>
    </w:p>
    <w:p w14:paraId="575FD67A" w14:textId="42A86373" w:rsidR="00274ED4" w:rsidRPr="007E472D" w:rsidRDefault="00274ED4">
      <w:pPr>
        <w:pStyle w:val="Dispositif"/>
      </w:pPr>
      <w:r w:rsidRPr="007E472D">
        <w:rPr>
          <w:b/>
        </w:rPr>
        <w:t>DÉCLARE</w:t>
      </w:r>
      <w:r w:rsidRPr="007E472D">
        <w:t xml:space="preserve"> </w:t>
      </w:r>
      <w:r w:rsidR="005B6D7D" w:rsidRPr="007E472D">
        <w:t>que la travailleuse n’a pas subi de lésion professionnelle.</w:t>
      </w:r>
    </w:p>
    <w:p w14:paraId="12B3FD62" w14:textId="3474630F" w:rsidR="00C74B6F" w:rsidRPr="007E472D"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7E472D" w:rsidRPr="007E472D" w14:paraId="6EDDD37A" w14:textId="77777777">
        <w:tc>
          <w:tcPr>
            <w:tcW w:w="4795" w:type="dxa"/>
          </w:tcPr>
          <w:p w14:paraId="1E0C6422" w14:textId="77777777" w:rsidR="00C74B6F" w:rsidRPr="007E472D" w:rsidRDefault="00C74B6F"/>
        </w:tc>
        <w:tc>
          <w:tcPr>
            <w:tcW w:w="4795" w:type="dxa"/>
          </w:tcPr>
          <w:p w14:paraId="5C6A236C" w14:textId="7DAC4C5B" w:rsidR="00C74B6F" w:rsidRPr="007E472D" w:rsidRDefault="00C74B6F">
            <w:bookmarkStart w:id="6" w:name="signature"/>
            <w:bookmarkEnd w:id="6"/>
            <w:r w:rsidRPr="007E472D">
              <w:t>__________________________________</w:t>
            </w:r>
          </w:p>
        </w:tc>
      </w:tr>
      <w:tr w:rsidR="007E472D" w:rsidRPr="007E472D" w14:paraId="4871D85C" w14:textId="77777777">
        <w:tc>
          <w:tcPr>
            <w:tcW w:w="4795" w:type="dxa"/>
          </w:tcPr>
          <w:p w14:paraId="4F06E914" w14:textId="77777777" w:rsidR="00C74B6F" w:rsidRPr="007E472D" w:rsidRDefault="00C74B6F"/>
        </w:tc>
        <w:tc>
          <w:tcPr>
            <w:tcW w:w="4795" w:type="dxa"/>
          </w:tcPr>
          <w:p w14:paraId="5728848C" w14:textId="4CBD2941" w:rsidR="00C74B6F" w:rsidRPr="007E472D" w:rsidRDefault="008B3B14">
            <w:proofErr w:type="spellStart"/>
            <w:r w:rsidRPr="007E472D">
              <w:t>Marie-Eve</w:t>
            </w:r>
            <w:proofErr w:type="spellEnd"/>
            <w:r w:rsidRPr="007E472D">
              <w:t xml:space="preserve"> Legault</w:t>
            </w:r>
          </w:p>
        </w:tc>
      </w:tr>
      <w:tr w:rsidR="007E472D" w:rsidRPr="007E472D" w14:paraId="7C60BB90" w14:textId="77777777">
        <w:trPr>
          <w:cantSplit/>
        </w:trPr>
        <w:tc>
          <w:tcPr>
            <w:tcW w:w="9590" w:type="dxa"/>
            <w:gridSpan w:val="2"/>
          </w:tcPr>
          <w:p w14:paraId="528611AB" w14:textId="71C18D60" w:rsidR="00C74B6F" w:rsidRPr="007E472D" w:rsidRDefault="00C74B6F"/>
        </w:tc>
      </w:tr>
      <w:tr w:rsidR="007E472D" w:rsidRPr="007E472D" w14:paraId="2E290208" w14:textId="77777777">
        <w:trPr>
          <w:cantSplit/>
        </w:trPr>
        <w:tc>
          <w:tcPr>
            <w:tcW w:w="9590" w:type="dxa"/>
            <w:gridSpan w:val="2"/>
          </w:tcPr>
          <w:p w14:paraId="2608797A" w14:textId="2EE442DF" w:rsidR="00C74B6F" w:rsidRPr="007E472D" w:rsidRDefault="00C74B6F" w:rsidP="00EC5C8D">
            <w:pPr>
              <w:tabs>
                <w:tab w:val="left" w:pos="1592"/>
              </w:tabs>
            </w:pPr>
          </w:p>
        </w:tc>
      </w:tr>
      <w:tr w:rsidR="007E472D" w:rsidRPr="007E472D" w14:paraId="05375BE7" w14:textId="77777777">
        <w:trPr>
          <w:cantSplit/>
        </w:trPr>
        <w:tc>
          <w:tcPr>
            <w:tcW w:w="9590" w:type="dxa"/>
            <w:gridSpan w:val="2"/>
          </w:tcPr>
          <w:p w14:paraId="763FB609" w14:textId="7AABF0F7" w:rsidR="00C74B6F" w:rsidRPr="007E472D" w:rsidRDefault="00C74B6F"/>
        </w:tc>
      </w:tr>
      <w:tr w:rsidR="007E472D" w:rsidRPr="007E472D" w14:paraId="5CA757FC" w14:textId="77777777">
        <w:trPr>
          <w:cantSplit/>
        </w:trPr>
        <w:tc>
          <w:tcPr>
            <w:tcW w:w="9590" w:type="dxa"/>
            <w:gridSpan w:val="2"/>
          </w:tcPr>
          <w:p w14:paraId="37CD5E4C" w14:textId="3431D45C" w:rsidR="00861F8B" w:rsidRPr="007E472D" w:rsidRDefault="008B3B14">
            <w:r w:rsidRPr="007E472D">
              <w:rPr>
                <w:lang w:val="en-CA"/>
              </w:rPr>
              <w:t>Madame Linda Airoldi</w:t>
            </w:r>
          </w:p>
        </w:tc>
      </w:tr>
      <w:tr w:rsidR="007E472D" w:rsidRPr="007E472D" w14:paraId="33653FE5" w14:textId="77777777">
        <w:trPr>
          <w:cantSplit/>
        </w:trPr>
        <w:tc>
          <w:tcPr>
            <w:tcW w:w="9590" w:type="dxa"/>
            <w:gridSpan w:val="2"/>
          </w:tcPr>
          <w:p w14:paraId="1AE7383D" w14:textId="4AF8F6FD" w:rsidR="00861F8B" w:rsidRPr="007E472D" w:rsidRDefault="008B3B14" w:rsidP="008B3B14">
            <w:r w:rsidRPr="007E472D">
              <w:t>Pour elle-même</w:t>
            </w:r>
          </w:p>
        </w:tc>
      </w:tr>
      <w:tr w:rsidR="007E472D" w:rsidRPr="007E472D" w14:paraId="17BF0D22" w14:textId="77777777">
        <w:trPr>
          <w:cantSplit/>
        </w:trPr>
        <w:tc>
          <w:tcPr>
            <w:tcW w:w="9590" w:type="dxa"/>
            <w:gridSpan w:val="2"/>
          </w:tcPr>
          <w:p w14:paraId="4E5115D3" w14:textId="12DFE53C" w:rsidR="00C74B6F" w:rsidRPr="007E472D" w:rsidRDefault="00C74B6F"/>
        </w:tc>
      </w:tr>
      <w:tr w:rsidR="007E472D" w:rsidRPr="007E472D" w14:paraId="785156D7" w14:textId="77777777">
        <w:trPr>
          <w:cantSplit/>
        </w:trPr>
        <w:tc>
          <w:tcPr>
            <w:tcW w:w="9590" w:type="dxa"/>
            <w:gridSpan w:val="2"/>
          </w:tcPr>
          <w:p w14:paraId="17677DC9" w14:textId="379C0011" w:rsidR="00C74B6F" w:rsidRPr="007E472D" w:rsidRDefault="00C74B6F"/>
        </w:tc>
      </w:tr>
      <w:tr w:rsidR="007E472D" w:rsidRPr="007E472D" w14:paraId="5FAF00C1" w14:textId="77777777">
        <w:trPr>
          <w:cantSplit/>
        </w:trPr>
        <w:tc>
          <w:tcPr>
            <w:tcW w:w="9590" w:type="dxa"/>
            <w:gridSpan w:val="2"/>
          </w:tcPr>
          <w:p w14:paraId="637D799A" w14:textId="47149C4E" w:rsidR="00C15A3F" w:rsidRPr="007E472D" w:rsidRDefault="00C15A3F">
            <w:pPr>
              <w:pStyle w:val="zSoquijlblProcureurInt"/>
            </w:pPr>
          </w:p>
        </w:tc>
      </w:tr>
      <w:tr w:rsidR="007E472D" w:rsidRPr="007E472D" w14:paraId="028F75F6" w14:textId="77777777">
        <w:trPr>
          <w:cantSplit/>
        </w:trPr>
        <w:tc>
          <w:tcPr>
            <w:tcW w:w="9590" w:type="dxa"/>
            <w:gridSpan w:val="2"/>
          </w:tcPr>
          <w:p w14:paraId="57BCD6F6" w14:textId="03FA8E21" w:rsidR="00C15A3F" w:rsidRPr="007E472D" w:rsidRDefault="009C1D49" w:rsidP="009C1D49">
            <w:pPr>
              <w:pStyle w:val="zSoquijdatDateAudience"/>
            </w:pPr>
            <w:r w:rsidRPr="007E472D">
              <w:t>Date de l’</w:t>
            </w:r>
            <w:r w:rsidR="00C15A3F" w:rsidRPr="007E472D">
              <w:t>audience :</w:t>
            </w:r>
            <w:r w:rsidR="00597016" w:rsidRPr="007E472D">
              <w:tab/>
            </w:r>
            <w:r w:rsidRPr="007E472D">
              <w:tab/>
            </w:r>
            <w:r w:rsidR="008B3B14" w:rsidRPr="007E472D">
              <w:t>5 juillet 2018</w:t>
            </w:r>
          </w:p>
        </w:tc>
      </w:tr>
    </w:tbl>
    <w:p w14:paraId="54AD02A2" w14:textId="4C5416D9" w:rsidR="009A135C" w:rsidRPr="007E472D" w:rsidRDefault="009A135C" w:rsidP="009A135C">
      <w:pPr>
        <w:pStyle w:val="articlesdelaLSST"/>
        <w:ind w:left="0"/>
      </w:pPr>
    </w:p>
    <w:p w14:paraId="0C4AD766" w14:textId="3B841871" w:rsidR="00A95452" w:rsidRPr="007E472D" w:rsidRDefault="00A95452" w:rsidP="00623044">
      <w:pPr>
        <w:pStyle w:val="articlesdelaLSST"/>
        <w:ind w:left="0"/>
      </w:pPr>
    </w:p>
    <w:sectPr w:rsidR="00A95452" w:rsidRPr="007E472D">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4F8C53" w14:textId="77777777" w:rsidR="003F5B2D" w:rsidRDefault="003F5B2D">
      <w:r>
        <w:separator/>
      </w:r>
    </w:p>
  </w:endnote>
  <w:endnote w:type="continuationSeparator" w:id="0">
    <w:p w14:paraId="74B95918" w14:textId="77777777" w:rsidR="003F5B2D" w:rsidRDefault="003F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E8982A" w14:textId="77777777" w:rsidR="0012616A" w:rsidRDefault="0012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AB58A9" w14:textId="77777777" w:rsidR="0012616A" w:rsidRDefault="0012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100A83" w14:textId="77777777" w:rsidR="0012616A" w:rsidRDefault="0012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63EB52F" w14:textId="77777777" w:rsidR="003F5B2D" w:rsidRDefault="003F5B2D">
      <w:r>
        <w:separator/>
      </w:r>
    </w:p>
  </w:footnote>
  <w:footnote w:type="continuationSeparator" w:id="0">
    <w:p w14:paraId="1EDD64B2" w14:textId="77777777" w:rsidR="003F5B2D" w:rsidRDefault="003F5B2D">
      <w:r>
        <w:continuationSeparator/>
      </w:r>
    </w:p>
  </w:footnote>
  <w:footnote w:id="1">
    <w:p w14:paraId="4840CEFE" w14:textId="77777777" w:rsidR="0032015C" w:rsidRDefault="0032015C" w:rsidP="0007644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RLRQ, c. A-3</w:t>
      </w:r>
      <w:r w:rsidR="00C83683">
        <w:rPr>
          <w:rFonts w:cs="Arial"/>
          <w:sz w:val="20"/>
        </w:rPr>
        <w:t> </w:t>
      </w:r>
      <w:r>
        <w:rPr>
          <w:rFonts w:cs="Arial"/>
          <w:sz w:val="20"/>
        </w:rPr>
        <w:t>001.</w:t>
      </w:r>
    </w:p>
  </w:footnote>
  <w:footnote w:id="2">
    <w:p w14:paraId="7951CE92" w14:textId="0ED7013C" w:rsidR="0032015C" w:rsidRPr="00D5149F" w:rsidRDefault="0032015C" w:rsidP="009C1D49">
      <w:pPr>
        <w:pStyle w:val="FootnoteText"/>
        <w:ind w:left="709" w:hanging="709"/>
        <w:jc w:val="both"/>
        <w:rPr>
          <w:sz w:val="20"/>
        </w:rPr>
      </w:pPr>
      <w:r w:rsidRPr="00290913">
        <w:rPr>
          <w:rStyle w:val="FootnoteReference"/>
          <w:szCs w:val="24"/>
        </w:rPr>
        <w:footnoteRef/>
      </w:r>
      <w:r w:rsidRPr="00290913">
        <w:rPr>
          <w:szCs w:val="24"/>
        </w:rPr>
        <w:t xml:space="preserve"> </w:t>
      </w:r>
      <w:r w:rsidR="00290913">
        <w:rPr>
          <w:sz w:val="20"/>
        </w:rPr>
        <w:tab/>
      </w:r>
      <w:r w:rsidRPr="00D5149F">
        <w:rPr>
          <w:sz w:val="20"/>
        </w:rPr>
        <w:t>2018 QCTAT</w:t>
      </w:r>
      <w:r w:rsidR="00715D9E">
        <w:rPr>
          <w:sz w:val="20"/>
        </w:rPr>
        <w:t xml:space="preserve"> </w:t>
      </w:r>
      <w:r w:rsidR="00715D9E" w:rsidRPr="003F24C6">
        <w:rPr>
          <w:sz w:val="20"/>
        </w:rPr>
        <w:t>651</w:t>
      </w:r>
      <w:r w:rsidR="00C83683" w:rsidRPr="003F24C6">
        <w:rPr>
          <w:sz w:val="20"/>
        </w:rPr>
        <w:t> </w:t>
      </w:r>
      <w:r w:rsidRPr="00D5149F">
        <w:rPr>
          <w:sz w:val="20"/>
        </w:rPr>
        <w:t xml:space="preserve">; Voir également </w:t>
      </w:r>
      <w:r w:rsidRPr="00D5149F">
        <w:rPr>
          <w:i/>
          <w:sz w:val="20"/>
        </w:rPr>
        <w:t xml:space="preserve">Lajeunesse </w:t>
      </w:r>
      <w:r w:rsidRPr="00D5149F">
        <w:rPr>
          <w:sz w:val="20"/>
        </w:rPr>
        <w:t>et</w:t>
      </w:r>
      <w:r w:rsidRPr="00D5149F">
        <w:rPr>
          <w:i/>
          <w:sz w:val="20"/>
        </w:rPr>
        <w:t xml:space="preserve"> Entreprise Conjointe Pichette Lambert Somec, </w:t>
      </w:r>
      <w:r w:rsidRPr="00D5149F">
        <w:rPr>
          <w:sz w:val="20"/>
        </w:rPr>
        <w:t>2015 QCCLP</w:t>
      </w:r>
      <w:r w:rsidR="00C83683">
        <w:rPr>
          <w:sz w:val="20"/>
        </w:rPr>
        <w:t> </w:t>
      </w:r>
      <w:r w:rsidRPr="00D5149F">
        <w:rPr>
          <w:sz w:val="20"/>
        </w:rPr>
        <w:t>3832</w:t>
      </w:r>
      <w:r w:rsidR="00C83683">
        <w:rPr>
          <w:sz w:val="20"/>
        </w:rPr>
        <w:t> </w:t>
      </w:r>
      <w:r w:rsidRPr="00D5149F">
        <w:rPr>
          <w:sz w:val="20"/>
        </w:rPr>
        <w:t xml:space="preserve">; </w:t>
      </w:r>
      <w:r w:rsidRPr="00D5149F">
        <w:rPr>
          <w:i/>
          <w:sz w:val="20"/>
        </w:rPr>
        <w:t>Bernier</w:t>
      </w:r>
      <w:r w:rsidRPr="00D5149F">
        <w:rPr>
          <w:sz w:val="20"/>
        </w:rPr>
        <w:t xml:space="preserve"> et </w:t>
      </w:r>
      <w:r w:rsidRPr="00D5149F">
        <w:rPr>
          <w:i/>
          <w:sz w:val="20"/>
        </w:rPr>
        <w:t>Garage Lafrance et Fils (F)</w:t>
      </w:r>
      <w:r w:rsidRPr="00D5149F">
        <w:rPr>
          <w:sz w:val="20"/>
        </w:rPr>
        <w:t>, 2018 QCTAT</w:t>
      </w:r>
      <w:r w:rsidR="00C83683">
        <w:rPr>
          <w:sz w:val="20"/>
        </w:rPr>
        <w:t> </w:t>
      </w:r>
      <w:r w:rsidRPr="00D5149F">
        <w:rPr>
          <w:sz w:val="20"/>
        </w:rPr>
        <w:t>2744.</w:t>
      </w:r>
    </w:p>
  </w:footnote>
  <w:footnote w:id="3">
    <w:p w14:paraId="526EB13F" w14:textId="462DC9C6" w:rsidR="00EE110A" w:rsidRPr="006E0763" w:rsidRDefault="00EE110A" w:rsidP="009C1D49">
      <w:pPr>
        <w:pStyle w:val="FootnoteText"/>
        <w:ind w:left="709" w:hanging="709"/>
        <w:jc w:val="both"/>
        <w:rPr>
          <w:sz w:val="20"/>
        </w:rPr>
      </w:pPr>
      <w:r w:rsidRPr="00290913">
        <w:rPr>
          <w:rStyle w:val="FootnoteReference"/>
          <w:szCs w:val="24"/>
        </w:rPr>
        <w:footnoteRef/>
      </w:r>
      <w:r w:rsidRPr="00290913">
        <w:rPr>
          <w:szCs w:val="24"/>
        </w:rPr>
        <w:t xml:space="preserve"> </w:t>
      </w:r>
      <w:r w:rsidR="00290913">
        <w:rPr>
          <w:sz w:val="20"/>
        </w:rPr>
        <w:tab/>
      </w:r>
      <w:r w:rsidR="006E0763" w:rsidRPr="006E0763">
        <w:rPr>
          <w:i/>
          <w:iCs/>
          <w:sz w:val="20"/>
        </w:rPr>
        <w:t xml:space="preserve">Philips Électronique </w:t>
      </w:r>
      <w:proofErr w:type="spellStart"/>
      <w:r w:rsidR="006E0763" w:rsidRPr="006E0763">
        <w:rPr>
          <w:i/>
          <w:iCs/>
          <w:sz w:val="20"/>
        </w:rPr>
        <w:t>ltée</w:t>
      </w:r>
      <w:proofErr w:type="spellEnd"/>
      <w:r w:rsidR="006E0763" w:rsidRPr="006E0763">
        <w:rPr>
          <w:i/>
          <w:iCs/>
          <w:sz w:val="20"/>
        </w:rPr>
        <w:t xml:space="preserve"> </w:t>
      </w:r>
      <w:r w:rsidR="006E0763" w:rsidRPr="006E0763">
        <w:rPr>
          <w:sz w:val="20"/>
        </w:rPr>
        <w:t xml:space="preserve">et </w:t>
      </w:r>
      <w:r w:rsidR="006E0763" w:rsidRPr="006E0763">
        <w:rPr>
          <w:i/>
          <w:iCs/>
          <w:sz w:val="20"/>
        </w:rPr>
        <w:t xml:space="preserve">Baron Caoutchouc </w:t>
      </w:r>
      <w:proofErr w:type="spellStart"/>
      <w:r w:rsidR="006E0763" w:rsidRPr="006E0763">
        <w:rPr>
          <w:i/>
          <w:iCs/>
          <w:sz w:val="20"/>
        </w:rPr>
        <w:t>ltée</w:t>
      </w:r>
      <w:proofErr w:type="spellEnd"/>
      <w:r w:rsidR="006E0763" w:rsidRPr="006E0763">
        <w:rPr>
          <w:sz w:val="20"/>
        </w:rPr>
        <w:t>, 66210-64-</w:t>
      </w:r>
      <w:r w:rsidR="000E19DD">
        <w:rPr>
          <w:sz w:val="20"/>
        </w:rPr>
        <w:t>9502, le 13 juin 1996, B. Lemay</w:t>
      </w:r>
      <w:r w:rsidR="006E0763" w:rsidRPr="006E0763">
        <w:rPr>
          <w:sz w:val="20"/>
        </w:rPr>
        <w:t xml:space="preserve">; </w:t>
      </w:r>
      <w:r w:rsidR="000E19DD">
        <w:rPr>
          <w:rStyle w:val="citationintgre0"/>
          <w:sz w:val="20"/>
        </w:rPr>
        <w:t>Labranche et ArcelorM</w:t>
      </w:r>
      <w:r w:rsidR="006E0763" w:rsidRPr="006E0763">
        <w:rPr>
          <w:rStyle w:val="citationintgre0"/>
          <w:sz w:val="20"/>
        </w:rPr>
        <w:t xml:space="preserve">ittal Montréal </w:t>
      </w:r>
      <w:proofErr w:type="spellStart"/>
      <w:r w:rsidR="006E0763" w:rsidRPr="006E0763">
        <w:rPr>
          <w:rStyle w:val="citationintgre0"/>
          <w:sz w:val="20"/>
        </w:rPr>
        <w:t>inc</w:t>
      </w:r>
      <w:r w:rsidR="000E19DD">
        <w:rPr>
          <w:rStyle w:val="citationintgre0"/>
          <w:sz w:val="20"/>
        </w:rPr>
        <w:t>.</w:t>
      </w:r>
      <w:proofErr w:type="spellEnd"/>
      <w:r w:rsidR="006E0763" w:rsidRPr="006E0763">
        <w:rPr>
          <w:rStyle w:val="citationintgre0"/>
          <w:sz w:val="20"/>
        </w:rPr>
        <w:t>, 2017 QCTAT</w:t>
      </w:r>
      <w:r w:rsidR="00C83683">
        <w:rPr>
          <w:rStyle w:val="citationintgre0"/>
          <w:sz w:val="20"/>
        </w:rPr>
        <w:t> </w:t>
      </w:r>
      <w:r w:rsidR="006E0763" w:rsidRPr="006E0763">
        <w:rPr>
          <w:rStyle w:val="citationintgre0"/>
          <w:sz w:val="20"/>
        </w:rPr>
        <w:t>1410</w:t>
      </w:r>
      <w:r w:rsidR="00C83683">
        <w:rPr>
          <w:rStyle w:val="citationintgre0"/>
          <w:sz w:val="20"/>
        </w:rPr>
        <w:t> </w:t>
      </w:r>
      <w:r w:rsidR="006E0763" w:rsidRPr="006E0763">
        <w:rPr>
          <w:rStyle w:val="citationintgre0"/>
          <w:sz w:val="20"/>
        </w:rPr>
        <w:t xml:space="preserve">; </w:t>
      </w:r>
      <w:r w:rsidR="006E0763" w:rsidRPr="006E0763">
        <w:rPr>
          <w:rStyle w:val="Emphasis"/>
          <w:rFonts w:cs="Arial"/>
          <w:color w:val="333333"/>
          <w:sz w:val="20"/>
          <w:lang w:val="fr-FR"/>
        </w:rPr>
        <w:t xml:space="preserve">Trudel et </w:t>
      </w:r>
      <w:proofErr w:type="spellStart"/>
      <w:r w:rsidR="006E0763" w:rsidRPr="006E0763">
        <w:rPr>
          <w:rStyle w:val="Emphasis"/>
          <w:rFonts w:cs="Arial"/>
          <w:color w:val="333333"/>
          <w:sz w:val="20"/>
          <w:lang w:val="fr-FR"/>
        </w:rPr>
        <w:t>Sanimax</w:t>
      </w:r>
      <w:proofErr w:type="spellEnd"/>
      <w:r w:rsidR="006E0763" w:rsidRPr="006E0763">
        <w:rPr>
          <w:rStyle w:val="Emphasis"/>
          <w:rFonts w:cs="Arial"/>
          <w:color w:val="333333"/>
          <w:sz w:val="20"/>
          <w:lang w:val="fr-FR"/>
        </w:rPr>
        <w:t xml:space="preserve"> ACI </w:t>
      </w:r>
      <w:proofErr w:type="spellStart"/>
      <w:r w:rsidR="006E0763" w:rsidRPr="006E0763">
        <w:rPr>
          <w:rStyle w:val="Emphasis"/>
          <w:rFonts w:cs="Arial"/>
          <w:color w:val="333333"/>
          <w:sz w:val="20"/>
          <w:lang w:val="fr-FR"/>
        </w:rPr>
        <w:t>inc</w:t>
      </w:r>
      <w:r w:rsidR="000E19DD">
        <w:rPr>
          <w:rStyle w:val="Emphasis"/>
          <w:rFonts w:cs="Arial"/>
          <w:color w:val="333333"/>
          <w:sz w:val="20"/>
          <w:lang w:val="fr-FR"/>
        </w:rPr>
        <w:t>.</w:t>
      </w:r>
      <w:proofErr w:type="spellEnd"/>
      <w:r w:rsidR="000E19DD">
        <w:rPr>
          <w:rStyle w:val="Emphasis"/>
          <w:rFonts w:cs="Arial"/>
          <w:color w:val="333333"/>
          <w:sz w:val="20"/>
          <w:lang w:val="fr-FR"/>
        </w:rPr>
        <w:t>,</w:t>
      </w:r>
      <w:r w:rsidR="006E0763" w:rsidRPr="006E0763">
        <w:rPr>
          <w:rStyle w:val="Emphasis"/>
          <w:rFonts w:cs="Arial"/>
          <w:color w:val="333333"/>
          <w:sz w:val="20"/>
          <w:lang w:val="fr-FR"/>
        </w:rPr>
        <w:t xml:space="preserve"> précité</w:t>
      </w:r>
      <w:r w:rsidR="009C1D49">
        <w:rPr>
          <w:rStyle w:val="Emphasis"/>
          <w:rFonts w:cs="Arial"/>
          <w:color w:val="333333"/>
          <w:sz w:val="20"/>
          <w:lang w:val="fr-FR"/>
        </w:rPr>
        <w:t>e</w:t>
      </w:r>
      <w:r w:rsidR="006E0763" w:rsidRPr="006E0763">
        <w:rPr>
          <w:rStyle w:val="Emphasis"/>
          <w:rFonts w:cs="Arial"/>
          <w:color w:val="333333"/>
          <w:sz w:val="20"/>
          <w:lang w:val="fr-FR"/>
        </w:rPr>
        <w:t xml:space="preserve"> note</w:t>
      </w:r>
      <w:r w:rsidR="00C83683">
        <w:rPr>
          <w:rStyle w:val="Emphasis"/>
          <w:rFonts w:cs="Arial"/>
          <w:color w:val="333333"/>
          <w:sz w:val="20"/>
          <w:lang w:val="fr-FR"/>
        </w:rPr>
        <w:t> </w:t>
      </w:r>
      <w:r w:rsidR="006E0763" w:rsidRPr="006E0763">
        <w:rPr>
          <w:rStyle w:val="Emphasis"/>
          <w:rFonts w:cs="Arial"/>
          <w:color w:val="333333"/>
          <w:sz w:val="20"/>
          <w:lang w:val="fr-FR"/>
        </w:rPr>
        <w:t>2.</w:t>
      </w:r>
    </w:p>
  </w:footnote>
  <w:footnote w:id="4">
    <w:p w14:paraId="7B92A19D" w14:textId="2017A551" w:rsidR="00E14291" w:rsidRDefault="00E14291" w:rsidP="009C1D49">
      <w:pPr>
        <w:pStyle w:val="FootnoteText"/>
        <w:ind w:left="709" w:hanging="709"/>
        <w:jc w:val="both"/>
      </w:pPr>
      <w:r w:rsidRPr="00290913">
        <w:rPr>
          <w:rStyle w:val="FootnoteReference"/>
          <w:szCs w:val="24"/>
        </w:rPr>
        <w:footnoteRef/>
      </w:r>
      <w:r w:rsidRPr="00290913">
        <w:rPr>
          <w:szCs w:val="24"/>
        </w:rPr>
        <w:t xml:space="preserve"> </w:t>
      </w:r>
      <w:r w:rsidR="00290913">
        <w:rPr>
          <w:sz w:val="20"/>
        </w:rPr>
        <w:tab/>
      </w:r>
      <w:r w:rsidR="00D5149F" w:rsidRPr="00D5149F">
        <w:rPr>
          <w:i/>
          <w:sz w:val="20"/>
        </w:rPr>
        <w:t>Deschamps</w:t>
      </w:r>
      <w:r w:rsidR="00D5149F" w:rsidRPr="00D5149F">
        <w:rPr>
          <w:sz w:val="20"/>
        </w:rPr>
        <w:t xml:space="preserve"> et </w:t>
      </w:r>
      <w:r w:rsidR="00D5149F" w:rsidRPr="00D5149F">
        <w:rPr>
          <w:i/>
          <w:sz w:val="20"/>
        </w:rPr>
        <w:t xml:space="preserve">Carrière Thémis (Faillite), </w:t>
      </w:r>
      <w:r w:rsidR="00D5149F" w:rsidRPr="00D5149F">
        <w:rPr>
          <w:sz w:val="20"/>
        </w:rPr>
        <w:t>2012</w:t>
      </w:r>
      <w:r w:rsidR="00C83683">
        <w:rPr>
          <w:sz w:val="20"/>
        </w:rPr>
        <w:t> </w:t>
      </w:r>
      <w:r w:rsidR="00D5149F" w:rsidRPr="00D5149F">
        <w:rPr>
          <w:sz w:val="20"/>
        </w:rPr>
        <w:t>QCCLP</w:t>
      </w:r>
      <w:r w:rsidR="000E19DD">
        <w:rPr>
          <w:sz w:val="20"/>
        </w:rPr>
        <w:t xml:space="preserve"> </w:t>
      </w:r>
      <w:r w:rsidR="00D5149F" w:rsidRPr="00D5149F">
        <w:rPr>
          <w:sz w:val="20"/>
        </w:rPr>
        <w:t>4568</w:t>
      </w:r>
      <w:r w:rsidR="00C83683">
        <w:rPr>
          <w:sz w:val="20"/>
        </w:rPr>
        <w:t> </w:t>
      </w:r>
      <w:r w:rsidR="00D5149F" w:rsidRPr="00D5149F">
        <w:rPr>
          <w:sz w:val="20"/>
        </w:rPr>
        <w:t xml:space="preserve">; </w:t>
      </w:r>
      <w:r w:rsidRPr="00D5149F">
        <w:rPr>
          <w:i/>
          <w:sz w:val="20"/>
        </w:rPr>
        <w:t xml:space="preserve">Lajeunesse </w:t>
      </w:r>
      <w:r w:rsidRPr="00D5149F">
        <w:rPr>
          <w:sz w:val="20"/>
        </w:rPr>
        <w:t>et</w:t>
      </w:r>
      <w:r w:rsidRPr="00D5149F">
        <w:rPr>
          <w:i/>
          <w:sz w:val="20"/>
        </w:rPr>
        <w:t xml:space="preserve"> Entreprise Conjointe Pichette Lambert Somec, </w:t>
      </w:r>
      <w:r w:rsidR="000E19DD">
        <w:rPr>
          <w:sz w:val="20"/>
        </w:rPr>
        <w:t>précité</w:t>
      </w:r>
      <w:r w:rsidR="009C1D49">
        <w:rPr>
          <w:sz w:val="20"/>
        </w:rPr>
        <w:t>e</w:t>
      </w:r>
      <w:r w:rsidRPr="00D5149F">
        <w:rPr>
          <w:sz w:val="20"/>
        </w:rPr>
        <w:t xml:space="preserve"> note</w:t>
      </w:r>
      <w:r w:rsidR="00C83683">
        <w:rPr>
          <w:sz w:val="20"/>
        </w:rPr>
        <w:t> </w:t>
      </w:r>
      <w:r w:rsidRPr="00D5149F">
        <w:rPr>
          <w:sz w:val="20"/>
        </w:rPr>
        <w:t>2</w:t>
      </w:r>
      <w:r w:rsidR="00D5149F" w:rsidRPr="00D5149F">
        <w:rPr>
          <w:sz w:val="20"/>
        </w:rPr>
        <w:t>.</w:t>
      </w:r>
    </w:p>
  </w:footnote>
  <w:footnote w:id="5">
    <w:p w14:paraId="434EFB2C" w14:textId="26A016B6" w:rsidR="008A7EFF" w:rsidRPr="008A7EFF" w:rsidRDefault="008A7EFF" w:rsidP="00290913">
      <w:pPr>
        <w:pStyle w:val="FootnoteText"/>
        <w:rPr>
          <w:sz w:val="20"/>
        </w:rPr>
      </w:pPr>
      <w:r w:rsidRPr="00290913">
        <w:rPr>
          <w:rStyle w:val="FootnoteReference"/>
          <w:szCs w:val="24"/>
        </w:rPr>
        <w:footnoteRef/>
      </w:r>
      <w:r w:rsidRPr="00290913">
        <w:rPr>
          <w:szCs w:val="24"/>
        </w:rPr>
        <w:t xml:space="preserve"> </w:t>
      </w:r>
      <w:r w:rsidR="00290913">
        <w:rPr>
          <w:sz w:val="20"/>
        </w:rPr>
        <w:tab/>
      </w:r>
      <w:r w:rsidRPr="008A7EFF">
        <w:rPr>
          <w:sz w:val="20"/>
        </w:rPr>
        <w:t>Précitée note</w:t>
      </w:r>
      <w:r w:rsidR="00C83683">
        <w:rPr>
          <w:sz w:val="20"/>
        </w:rPr>
        <w:t> </w:t>
      </w:r>
      <w:r w:rsidRPr="008A7EFF">
        <w:rPr>
          <w:sz w:val="20"/>
        </w:rPr>
        <w:t>2</w:t>
      </w:r>
      <w:r w:rsidR="00290913">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587E64" w14:textId="77777777" w:rsidR="0012616A" w:rsidRDefault="00126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CC667B" w14:paraId="28131B33" w14:textId="77777777" w:rsidTr="008B3B14">
      <w:tc>
        <w:tcPr>
          <w:tcW w:w="8730" w:type="dxa"/>
        </w:tcPr>
        <w:p w14:paraId="74B3FEA8" w14:textId="77777777" w:rsidR="00CC667B" w:rsidRDefault="00CC667B">
          <w:pPr>
            <w:pStyle w:val="Header"/>
            <w:ind w:left="-90"/>
          </w:pPr>
        </w:p>
      </w:tc>
      <w:tc>
        <w:tcPr>
          <w:tcW w:w="860" w:type="dxa"/>
        </w:tcPr>
        <w:p w14:paraId="383D7089" w14:textId="77777777" w:rsidR="00CC667B" w:rsidRDefault="00CC667B">
          <w:pPr>
            <w:pStyle w:val="Header"/>
            <w:ind w:left="-90"/>
          </w:pPr>
        </w:p>
      </w:tc>
    </w:tr>
    <w:tr w:rsidR="008B3B14" w14:paraId="7E0A8D99" w14:textId="77777777" w:rsidTr="008B3B14">
      <w:tc>
        <w:tcPr>
          <w:tcW w:w="8730" w:type="dxa"/>
        </w:tcPr>
        <w:p w14:paraId="00074ECB" w14:textId="77777777" w:rsidR="008B3B14" w:rsidRDefault="008B3B14" w:rsidP="008B3B14">
          <w:pPr>
            <w:pStyle w:val="zSoquijdatNoDossier"/>
          </w:pPr>
          <w:r>
            <w:t>654932-63-1712</w:t>
          </w:r>
        </w:p>
      </w:tc>
      <w:tc>
        <w:tcPr>
          <w:tcW w:w="860" w:type="dxa"/>
        </w:tcPr>
        <w:p w14:paraId="33667E5D" w14:textId="77777777" w:rsidR="008B3B14" w:rsidRDefault="008B3B14" w:rsidP="008B3B14">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3831A6">
            <w:rPr>
              <w:rStyle w:val="PageNumber"/>
              <w:noProof/>
            </w:rPr>
            <w:t>2</w:t>
          </w:r>
          <w:r>
            <w:rPr>
              <w:rStyle w:val="PageNumber"/>
            </w:rPr>
            <w:fldChar w:fldCharType="end"/>
          </w:r>
        </w:p>
      </w:tc>
    </w:tr>
    <w:tr w:rsidR="008B3B14" w14:paraId="7A7CBC4B" w14:textId="77777777" w:rsidTr="008B3B14">
      <w:tc>
        <w:tcPr>
          <w:tcW w:w="8730" w:type="dxa"/>
        </w:tcPr>
        <w:p w14:paraId="75E72FEC" w14:textId="77777777" w:rsidR="008B3B14" w:rsidRDefault="008B3B14" w:rsidP="008B3B14"/>
      </w:tc>
      <w:tc>
        <w:tcPr>
          <w:tcW w:w="860" w:type="dxa"/>
        </w:tcPr>
        <w:p w14:paraId="41266EFD" w14:textId="77777777" w:rsidR="008B3B14" w:rsidRDefault="008B3B14" w:rsidP="008B3B14">
          <w:pPr>
            <w:pStyle w:val="Header"/>
            <w:ind w:left="-90"/>
            <w:jc w:val="right"/>
          </w:pPr>
        </w:p>
      </w:tc>
    </w:tr>
  </w:tbl>
  <w:p w14:paraId="1E508807" w14:textId="77777777" w:rsidR="00CC667B" w:rsidRDefault="00CC6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F0B4A1" w14:textId="77777777" w:rsidR="0012616A" w:rsidRDefault="00126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15A432A"/>
    <w:multiLevelType w:val="hybridMultilevel"/>
    <w:tmpl w:val="4AE820CA"/>
    <w:lvl w:ilvl="0" w:tplc="8F506B50">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74BC315B"/>
    <w:multiLevelType w:val="hybridMultilevel"/>
    <w:tmpl w:val="3A4E462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6"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1473868468">
    <w:abstractNumId w:val="5"/>
  </w:num>
  <w:num w:numId="2" w16cid:durableId="733118155">
    <w:abstractNumId w:val="4"/>
  </w:num>
  <w:num w:numId="3" w16cid:durableId="1143353731">
    <w:abstractNumId w:val="2"/>
  </w:num>
  <w:num w:numId="4" w16cid:durableId="780731410">
    <w:abstractNumId w:val="1"/>
  </w:num>
  <w:num w:numId="5" w16cid:durableId="642126071">
    <w:abstractNumId w:val="6"/>
  </w:num>
  <w:num w:numId="6" w16cid:durableId="519008234">
    <w:abstractNumId w:val="6"/>
  </w:num>
  <w:num w:numId="7" w16cid:durableId="701442523">
    <w:abstractNumId w:val="3"/>
  </w:num>
  <w:num w:numId="8" w16cid:durableId="2419164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EA"/>
    <w:rsid w:val="000034B0"/>
    <w:rsid w:val="000041A1"/>
    <w:rsid w:val="000070FE"/>
    <w:rsid w:val="00015FDF"/>
    <w:rsid w:val="00021B30"/>
    <w:rsid w:val="00021E4C"/>
    <w:rsid w:val="00022556"/>
    <w:rsid w:val="000366EC"/>
    <w:rsid w:val="00043E4D"/>
    <w:rsid w:val="00056393"/>
    <w:rsid w:val="000611F3"/>
    <w:rsid w:val="00063A10"/>
    <w:rsid w:val="0007225E"/>
    <w:rsid w:val="00076D81"/>
    <w:rsid w:val="0008378A"/>
    <w:rsid w:val="00087064"/>
    <w:rsid w:val="0008784D"/>
    <w:rsid w:val="00090018"/>
    <w:rsid w:val="00090306"/>
    <w:rsid w:val="0009285A"/>
    <w:rsid w:val="00093ACD"/>
    <w:rsid w:val="00095814"/>
    <w:rsid w:val="00097D81"/>
    <w:rsid w:val="000A0CBF"/>
    <w:rsid w:val="000A4AD0"/>
    <w:rsid w:val="000A77C5"/>
    <w:rsid w:val="000B7F1B"/>
    <w:rsid w:val="000C1D49"/>
    <w:rsid w:val="000D3948"/>
    <w:rsid w:val="000E0C28"/>
    <w:rsid w:val="000E1320"/>
    <w:rsid w:val="000E19DD"/>
    <w:rsid w:val="000E56A6"/>
    <w:rsid w:val="000F3423"/>
    <w:rsid w:val="001050B4"/>
    <w:rsid w:val="001136D4"/>
    <w:rsid w:val="0012224D"/>
    <w:rsid w:val="001225BC"/>
    <w:rsid w:val="00122A9E"/>
    <w:rsid w:val="0012326A"/>
    <w:rsid w:val="0012616A"/>
    <w:rsid w:val="001407FC"/>
    <w:rsid w:val="00147A49"/>
    <w:rsid w:val="00147B8B"/>
    <w:rsid w:val="0015125A"/>
    <w:rsid w:val="00152464"/>
    <w:rsid w:val="0015539F"/>
    <w:rsid w:val="00160597"/>
    <w:rsid w:val="00165760"/>
    <w:rsid w:val="001664C8"/>
    <w:rsid w:val="00167AD0"/>
    <w:rsid w:val="00173184"/>
    <w:rsid w:val="00175079"/>
    <w:rsid w:val="00183515"/>
    <w:rsid w:val="001863EC"/>
    <w:rsid w:val="001A03BE"/>
    <w:rsid w:val="001A067E"/>
    <w:rsid w:val="001A133C"/>
    <w:rsid w:val="001A2900"/>
    <w:rsid w:val="001A4081"/>
    <w:rsid w:val="001A65F1"/>
    <w:rsid w:val="001B2B40"/>
    <w:rsid w:val="001B3E9D"/>
    <w:rsid w:val="001B4A40"/>
    <w:rsid w:val="001C2B0B"/>
    <w:rsid w:val="001D0740"/>
    <w:rsid w:val="001E1D4E"/>
    <w:rsid w:val="001E6E98"/>
    <w:rsid w:val="00227040"/>
    <w:rsid w:val="00230CFC"/>
    <w:rsid w:val="00231C1D"/>
    <w:rsid w:val="00235CB5"/>
    <w:rsid w:val="00241CED"/>
    <w:rsid w:val="00242FB4"/>
    <w:rsid w:val="00243C91"/>
    <w:rsid w:val="00245605"/>
    <w:rsid w:val="002563F0"/>
    <w:rsid w:val="00261571"/>
    <w:rsid w:val="00266064"/>
    <w:rsid w:val="00267C8D"/>
    <w:rsid w:val="002701DD"/>
    <w:rsid w:val="00274ED4"/>
    <w:rsid w:val="0027583B"/>
    <w:rsid w:val="002769B5"/>
    <w:rsid w:val="00276B59"/>
    <w:rsid w:val="00281319"/>
    <w:rsid w:val="00286149"/>
    <w:rsid w:val="0028668D"/>
    <w:rsid w:val="00290289"/>
    <w:rsid w:val="00290913"/>
    <w:rsid w:val="00296645"/>
    <w:rsid w:val="00296A4B"/>
    <w:rsid w:val="00297284"/>
    <w:rsid w:val="002A0077"/>
    <w:rsid w:val="002A1DC1"/>
    <w:rsid w:val="002A374B"/>
    <w:rsid w:val="002A73E9"/>
    <w:rsid w:val="002B14DA"/>
    <w:rsid w:val="002B2FC3"/>
    <w:rsid w:val="002B35F0"/>
    <w:rsid w:val="002B58AF"/>
    <w:rsid w:val="002C3748"/>
    <w:rsid w:val="002C3B24"/>
    <w:rsid w:val="002C5E89"/>
    <w:rsid w:val="002D71A9"/>
    <w:rsid w:val="002E19BB"/>
    <w:rsid w:val="002F7507"/>
    <w:rsid w:val="00302FB4"/>
    <w:rsid w:val="00305273"/>
    <w:rsid w:val="003054CD"/>
    <w:rsid w:val="003057FC"/>
    <w:rsid w:val="00307C85"/>
    <w:rsid w:val="003112B3"/>
    <w:rsid w:val="00312983"/>
    <w:rsid w:val="0032015C"/>
    <w:rsid w:val="003248CB"/>
    <w:rsid w:val="00331EA7"/>
    <w:rsid w:val="00332C06"/>
    <w:rsid w:val="003332B8"/>
    <w:rsid w:val="00344465"/>
    <w:rsid w:val="0034740A"/>
    <w:rsid w:val="0035375B"/>
    <w:rsid w:val="00360C1C"/>
    <w:rsid w:val="003664E9"/>
    <w:rsid w:val="00366D1E"/>
    <w:rsid w:val="00373EE5"/>
    <w:rsid w:val="003817E7"/>
    <w:rsid w:val="00382E55"/>
    <w:rsid w:val="003831A6"/>
    <w:rsid w:val="003961B2"/>
    <w:rsid w:val="003A41AD"/>
    <w:rsid w:val="003B152B"/>
    <w:rsid w:val="003B1734"/>
    <w:rsid w:val="003B1735"/>
    <w:rsid w:val="003B2652"/>
    <w:rsid w:val="003B34FA"/>
    <w:rsid w:val="003B6CBF"/>
    <w:rsid w:val="003C1F64"/>
    <w:rsid w:val="003C47A7"/>
    <w:rsid w:val="003D0826"/>
    <w:rsid w:val="003D3C93"/>
    <w:rsid w:val="003E00D5"/>
    <w:rsid w:val="003E02BA"/>
    <w:rsid w:val="003F24C6"/>
    <w:rsid w:val="003F5B2D"/>
    <w:rsid w:val="003F5FDC"/>
    <w:rsid w:val="003F7F38"/>
    <w:rsid w:val="0040399B"/>
    <w:rsid w:val="004065D5"/>
    <w:rsid w:val="00406F0C"/>
    <w:rsid w:val="00411542"/>
    <w:rsid w:val="00412585"/>
    <w:rsid w:val="0041363B"/>
    <w:rsid w:val="00415D5D"/>
    <w:rsid w:val="0042650F"/>
    <w:rsid w:val="00431E0B"/>
    <w:rsid w:val="004337FE"/>
    <w:rsid w:val="00433E98"/>
    <w:rsid w:val="00435738"/>
    <w:rsid w:val="00437137"/>
    <w:rsid w:val="004403B8"/>
    <w:rsid w:val="00441ADA"/>
    <w:rsid w:val="0044371C"/>
    <w:rsid w:val="0044627E"/>
    <w:rsid w:val="0045114F"/>
    <w:rsid w:val="00452365"/>
    <w:rsid w:val="004529D3"/>
    <w:rsid w:val="00453F31"/>
    <w:rsid w:val="00456B0C"/>
    <w:rsid w:val="00464CDC"/>
    <w:rsid w:val="0046538B"/>
    <w:rsid w:val="00471C92"/>
    <w:rsid w:val="004739AC"/>
    <w:rsid w:val="00475FEF"/>
    <w:rsid w:val="0047776F"/>
    <w:rsid w:val="004870EA"/>
    <w:rsid w:val="00487F13"/>
    <w:rsid w:val="00494321"/>
    <w:rsid w:val="00496193"/>
    <w:rsid w:val="004A02AF"/>
    <w:rsid w:val="004A679B"/>
    <w:rsid w:val="004C0FB4"/>
    <w:rsid w:val="004C1811"/>
    <w:rsid w:val="004C4047"/>
    <w:rsid w:val="004C4555"/>
    <w:rsid w:val="004C5BBD"/>
    <w:rsid w:val="004D6CEA"/>
    <w:rsid w:val="004E10E2"/>
    <w:rsid w:val="004E302B"/>
    <w:rsid w:val="004E3564"/>
    <w:rsid w:val="004E51C0"/>
    <w:rsid w:val="004E64BE"/>
    <w:rsid w:val="00503B8D"/>
    <w:rsid w:val="00503EE3"/>
    <w:rsid w:val="00505811"/>
    <w:rsid w:val="00515DE7"/>
    <w:rsid w:val="00517EB0"/>
    <w:rsid w:val="005205CB"/>
    <w:rsid w:val="005352F1"/>
    <w:rsid w:val="00540094"/>
    <w:rsid w:val="00545CFF"/>
    <w:rsid w:val="00555800"/>
    <w:rsid w:val="00556DBB"/>
    <w:rsid w:val="0055753E"/>
    <w:rsid w:val="00560781"/>
    <w:rsid w:val="0056268F"/>
    <w:rsid w:val="005662E9"/>
    <w:rsid w:val="00572AAF"/>
    <w:rsid w:val="00577B57"/>
    <w:rsid w:val="005801AE"/>
    <w:rsid w:val="00582868"/>
    <w:rsid w:val="00582ECC"/>
    <w:rsid w:val="0058399B"/>
    <w:rsid w:val="00583B57"/>
    <w:rsid w:val="0058692F"/>
    <w:rsid w:val="00587045"/>
    <w:rsid w:val="005878BC"/>
    <w:rsid w:val="00587C22"/>
    <w:rsid w:val="0059436D"/>
    <w:rsid w:val="005945C0"/>
    <w:rsid w:val="00597016"/>
    <w:rsid w:val="005974B7"/>
    <w:rsid w:val="005A03EB"/>
    <w:rsid w:val="005A0D51"/>
    <w:rsid w:val="005A181B"/>
    <w:rsid w:val="005A1CB3"/>
    <w:rsid w:val="005A3073"/>
    <w:rsid w:val="005A33A5"/>
    <w:rsid w:val="005A70A0"/>
    <w:rsid w:val="005A74A8"/>
    <w:rsid w:val="005B0612"/>
    <w:rsid w:val="005B13F0"/>
    <w:rsid w:val="005B30F6"/>
    <w:rsid w:val="005B45BA"/>
    <w:rsid w:val="005B5689"/>
    <w:rsid w:val="005B6774"/>
    <w:rsid w:val="005B6D7D"/>
    <w:rsid w:val="005C0A89"/>
    <w:rsid w:val="005C185C"/>
    <w:rsid w:val="005C3BC4"/>
    <w:rsid w:val="005D59B1"/>
    <w:rsid w:val="005D764B"/>
    <w:rsid w:val="005E2367"/>
    <w:rsid w:val="005E5E90"/>
    <w:rsid w:val="005E654C"/>
    <w:rsid w:val="005F05F6"/>
    <w:rsid w:val="005F0B74"/>
    <w:rsid w:val="00605734"/>
    <w:rsid w:val="0061488E"/>
    <w:rsid w:val="0061574B"/>
    <w:rsid w:val="00622670"/>
    <w:rsid w:val="00623044"/>
    <w:rsid w:val="00623A1A"/>
    <w:rsid w:val="00626E8D"/>
    <w:rsid w:val="00632DA8"/>
    <w:rsid w:val="00634AA6"/>
    <w:rsid w:val="00634E6E"/>
    <w:rsid w:val="0064342A"/>
    <w:rsid w:val="00643A28"/>
    <w:rsid w:val="006452FA"/>
    <w:rsid w:val="0065093D"/>
    <w:rsid w:val="00653823"/>
    <w:rsid w:val="00655193"/>
    <w:rsid w:val="00655459"/>
    <w:rsid w:val="00656FB2"/>
    <w:rsid w:val="00661454"/>
    <w:rsid w:val="00663BE1"/>
    <w:rsid w:val="00664DA2"/>
    <w:rsid w:val="00665DC4"/>
    <w:rsid w:val="0066642D"/>
    <w:rsid w:val="00675E85"/>
    <w:rsid w:val="0067750F"/>
    <w:rsid w:val="0068401E"/>
    <w:rsid w:val="006841A4"/>
    <w:rsid w:val="0068643F"/>
    <w:rsid w:val="006877A1"/>
    <w:rsid w:val="006913CB"/>
    <w:rsid w:val="00692150"/>
    <w:rsid w:val="00692F0C"/>
    <w:rsid w:val="00696E7C"/>
    <w:rsid w:val="006A0C54"/>
    <w:rsid w:val="006A7C53"/>
    <w:rsid w:val="006B309C"/>
    <w:rsid w:val="006B727F"/>
    <w:rsid w:val="006C206B"/>
    <w:rsid w:val="006C6D3A"/>
    <w:rsid w:val="006C7B36"/>
    <w:rsid w:val="006C7B7F"/>
    <w:rsid w:val="006D19E8"/>
    <w:rsid w:val="006D5521"/>
    <w:rsid w:val="006E04B5"/>
    <w:rsid w:val="006E0763"/>
    <w:rsid w:val="006E330C"/>
    <w:rsid w:val="006E3DD8"/>
    <w:rsid w:val="006E747A"/>
    <w:rsid w:val="006E793F"/>
    <w:rsid w:val="006F0154"/>
    <w:rsid w:val="006F7944"/>
    <w:rsid w:val="007014D1"/>
    <w:rsid w:val="00704121"/>
    <w:rsid w:val="00705BB5"/>
    <w:rsid w:val="0071326F"/>
    <w:rsid w:val="007153D7"/>
    <w:rsid w:val="00715D9E"/>
    <w:rsid w:val="0071607C"/>
    <w:rsid w:val="00720ED4"/>
    <w:rsid w:val="0074488F"/>
    <w:rsid w:val="00745AA8"/>
    <w:rsid w:val="007510EC"/>
    <w:rsid w:val="0075233C"/>
    <w:rsid w:val="0075256A"/>
    <w:rsid w:val="007567F7"/>
    <w:rsid w:val="007569DE"/>
    <w:rsid w:val="0075723C"/>
    <w:rsid w:val="007733EE"/>
    <w:rsid w:val="00782C8F"/>
    <w:rsid w:val="00785F78"/>
    <w:rsid w:val="0078659D"/>
    <w:rsid w:val="007869EC"/>
    <w:rsid w:val="007902F6"/>
    <w:rsid w:val="00796684"/>
    <w:rsid w:val="007A1E58"/>
    <w:rsid w:val="007A5C7E"/>
    <w:rsid w:val="007A6E2F"/>
    <w:rsid w:val="007B3BC5"/>
    <w:rsid w:val="007D03DF"/>
    <w:rsid w:val="007D4953"/>
    <w:rsid w:val="007D50F4"/>
    <w:rsid w:val="007D7173"/>
    <w:rsid w:val="007E1216"/>
    <w:rsid w:val="007E472D"/>
    <w:rsid w:val="007E4CD4"/>
    <w:rsid w:val="007F0E8E"/>
    <w:rsid w:val="008079DD"/>
    <w:rsid w:val="0081130F"/>
    <w:rsid w:val="00824430"/>
    <w:rsid w:val="00825B1F"/>
    <w:rsid w:val="00827D55"/>
    <w:rsid w:val="00840EDD"/>
    <w:rsid w:val="0084255F"/>
    <w:rsid w:val="00854FB3"/>
    <w:rsid w:val="00860F13"/>
    <w:rsid w:val="00861F8B"/>
    <w:rsid w:val="0086561F"/>
    <w:rsid w:val="00865FE1"/>
    <w:rsid w:val="008748C7"/>
    <w:rsid w:val="0087521A"/>
    <w:rsid w:val="008808C0"/>
    <w:rsid w:val="00882285"/>
    <w:rsid w:val="00890949"/>
    <w:rsid w:val="00890BDE"/>
    <w:rsid w:val="008962E7"/>
    <w:rsid w:val="008A1118"/>
    <w:rsid w:val="008A281F"/>
    <w:rsid w:val="008A2EA5"/>
    <w:rsid w:val="008A3675"/>
    <w:rsid w:val="008A4AF6"/>
    <w:rsid w:val="008A4FF8"/>
    <w:rsid w:val="008A5ED1"/>
    <w:rsid w:val="008A7EFF"/>
    <w:rsid w:val="008A7FD1"/>
    <w:rsid w:val="008B042E"/>
    <w:rsid w:val="008B0D1D"/>
    <w:rsid w:val="008B211E"/>
    <w:rsid w:val="008B3B14"/>
    <w:rsid w:val="008B6D48"/>
    <w:rsid w:val="008C4315"/>
    <w:rsid w:val="008C7660"/>
    <w:rsid w:val="008C79A7"/>
    <w:rsid w:val="008D555F"/>
    <w:rsid w:val="008D625D"/>
    <w:rsid w:val="008D650E"/>
    <w:rsid w:val="008D6CBB"/>
    <w:rsid w:val="008E6A41"/>
    <w:rsid w:val="00903990"/>
    <w:rsid w:val="00904950"/>
    <w:rsid w:val="00915E5E"/>
    <w:rsid w:val="009166B8"/>
    <w:rsid w:val="00922DB7"/>
    <w:rsid w:val="0092684A"/>
    <w:rsid w:val="00937FAB"/>
    <w:rsid w:val="00940816"/>
    <w:rsid w:val="0094094D"/>
    <w:rsid w:val="00942AB8"/>
    <w:rsid w:val="00945CAF"/>
    <w:rsid w:val="00947448"/>
    <w:rsid w:val="00952B38"/>
    <w:rsid w:val="00952C99"/>
    <w:rsid w:val="00965333"/>
    <w:rsid w:val="00967D0B"/>
    <w:rsid w:val="009712EF"/>
    <w:rsid w:val="009727BF"/>
    <w:rsid w:val="00973321"/>
    <w:rsid w:val="00975C2E"/>
    <w:rsid w:val="00977270"/>
    <w:rsid w:val="009824F2"/>
    <w:rsid w:val="00983080"/>
    <w:rsid w:val="00986AA3"/>
    <w:rsid w:val="00987C2C"/>
    <w:rsid w:val="009919BD"/>
    <w:rsid w:val="00993B24"/>
    <w:rsid w:val="0099611F"/>
    <w:rsid w:val="009A083F"/>
    <w:rsid w:val="009A135C"/>
    <w:rsid w:val="009A54AA"/>
    <w:rsid w:val="009A67E7"/>
    <w:rsid w:val="009B1AEF"/>
    <w:rsid w:val="009C1D49"/>
    <w:rsid w:val="009C603A"/>
    <w:rsid w:val="009C74CD"/>
    <w:rsid w:val="009D048F"/>
    <w:rsid w:val="009D401F"/>
    <w:rsid w:val="009D68FA"/>
    <w:rsid w:val="009E0C49"/>
    <w:rsid w:val="009E32CF"/>
    <w:rsid w:val="009E4FC2"/>
    <w:rsid w:val="009F44AE"/>
    <w:rsid w:val="00A02529"/>
    <w:rsid w:val="00A02EF2"/>
    <w:rsid w:val="00A04D5E"/>
    <w:rsid w:val="00A10DDF"/>
    <w:rsid w:val="00A11172"/>
    <w:rsid w:val="00A12E55"/>
    <w:rsid w:val="00A21BA8"/>
    <w:rsid w:val="00A242E4"/>
    <w:rsid w:val="00A24437"/>
    <w:rsid w:val="00A24CA0"/>
    <w:rsid w:val="00A3362A"/>
    <w:rsid w:val="00A37B70"/>
    <w:rsid w:val="00A40AC7"/>
    <w:rsid w:val="00A435C7"/>
    <w:rsid w:val="00A540D5"/>
    <w:rsid w:val="00A569B2"/>
    <w:rsid w:val="00A611A4"/>
    <w:rsid w:val="00A6695B"/>
    <w:rsid w:val="00A72703"/>
    <w:rsid w:val="00A727F6"/>
    <w:rsid w:val="00A72E71"/>
    <w:rsid w:val="00A76432"/>
    <w:rsid w:val="00A84FC6"/>
    <w:rsid w:val="00A8528E"/>
    <w:rsid w:val="00A94A49"/>
    <w:rsid w:val="00A95452"/>
    <w:rsid w:val="00AA1815"/>
    <w:rsid w:val="00AA1D3E"/>
    <w:rsid w:val="00AA39F9"/>
    <w:rsid w:val="00AB0931"/>
    <w:rsid w:val="00AB5C9B"/>
    <w:rsid w:val="00AC0276"/>
    <w:rsid w:val="00AC0312"/>
    <w:rsid w:val="00AC0449"/>
    <w:rsid w:val="00AC5426"/>
    <w:rsid w:val="00AD2497"/>
    <w:rsid w:val="00AD5EB4"/>
    <w:rsid w:val="00AE63E2"/>
    <w:rsid w:val="00AF04C9"/>
    <w:rsid w:val="00AF26B6"/>
    <w:rsid w:val="00AF2979"/>
    <w:rsid w:val="00B0375C"/>
    <w:rsid w:val="00B052CB"/>
    <w:rsid w:val="00B156C3"/>
    <w:rsid w:val="00B15F67"/>
    <w:rsid w:val="00B1624F"/>
    <w:rsid w:val="00B224C5"/>
    <w:rsid w:val="00B325CD"/>
    <w:rsid w:val="00B37E03"/>
    <w:rsid w:val="00B4768D"/>
    <w:rsid w:val="00B518E5"/>
    <w:rsid w:val="00B51E1F"/>
    <w:rsid w:val="00B60222"/>
    <w:rsid w:val="00B62CFB"/>
    <w:rsid w:val="00B658B0"/>
    <w:rsid w:val="00B662F5"/>
    <w:rsid w:val="00B7000C"/>
    <w:rsid w:val="00B760D5"/>
    <w:rsid w:val="00B83B2C"/>
    <w:rsid w:val="00B94740"/>
    <w:rsid w:val="00B97F75"/>
    <w:rsid w:val="00BA0B16"/>
    <w:rsid w:val="00BA1CAE"/>
    <w:rsid w:val="00BA33BB"/>
    <w:rsid w:val="00BA4830"/>
    <w:rsid w:val="00BA6E22"/>
    <w:rsid w:val="00BB362C"/>
    <w:rsid w:val="00BC0A03"/>
    <w:rsid w:val="00BD1FC1"/>
    <w:rsid w:val="00BD4139"/>
    <w:rsid w:val="00BE059A"/>
    <w:rsid w:val="00BE1981"/>
    <w:rsid w:val="00BE56E9"/>
    <w:rsid w:val="00BE63CF"/>
    <w:rsid w:val="00BE7014"/>
    <w:rsid w:val="00BF25C7"/>
    <w:rsid w:val="00C009B7"/>
    <w:rsid w:val="00C04E32"/>
    <w:rsid w:val="00C10A1A"/>
    <w:rsid w:val="00C15A3F"/>
    <w:rsid w:val="00C20630"/>
    <w:rsid w:val="00C22F7A"/>
    <w:rsid w:val="00C2666F"/>
    <w:rsid w:val="00C32020"/>
    <w:rsid w:val="00C3408C"/>
    <w:rsid w:val="00C351CC"/>
    <w:rsid w:val="00C35435"/>
    <w:rsid w:val="00C432FD"/>
    <w:rsid w:val="00C43CDF"/>
    <w:rsid w:val="00C512B2"/>
    <w:rsid w:val="00C55DC8"/>
    <w:rsid w:val="00C62B69"/>
    <w:rsid w:val="00C644B7"/>
    <w:rsid w:val="00C64564"/>
    <w:rsid w:val="00C7045B"/>
    <w:rsid w:val="00C73C87"/>
    <w:rsid w:val="00C74B6F"/>
    <w:rsid w:val="00C82783"/>
    <w:rsid w:val="00C83683"/>
    <w:rsid w:val="00C84F76"/>
    <w:rsid w:val="00C87EF3"/>
    <w:rsid w:val="00C9015F"/>
    <w:rsid w:val="00C912F9"/>
    <w:rsid w:val="00C9241B"/>
    <w:rsid w:val="00C942CE"/>
    <w:rsid w:val="00C97569"/>
    <w:rsid w:val="00CA199D"/>
    <w:rsid w:val="00CA4D9C"/>
    <w:rsid w:val="00CB05A7"/>
    <w:rsid w:val="00CB06A4"/>
    <w:rsid w:val="00CB325B"/>
    <w:rsid w:val="00CB56F0"/>
    <w:rsid w:val="00CB64FF"/>
    <w:rsid w:val="00CB7078"/>
    <w:rsid w:val="00CC014B"/>
    <w:rsid w:val="00CC21D8"/>
    <w:rsid w:val="00CC3369"/>
    <w:rsid w:val="00CC5343"/>
    <w:rsid w:val="00CC667B"/>
    <w:rsid w:val="00CC78DE"/>
    <w:rsid w:val="00CC78EA"/>
    <w:rsid w:val="00CD0F93"/>
    <w:rsid w:val="00CD6D6E"/>
    <w:rsid w:val="00CD6F23"/>
    <w:rsid w:val="00CF640B"/>
    <w:rsid w:val="00D027AF"/>
    <w:rsid w:val="00D03A83"/>
    <w:rsid w:val="00D06652"/>
    <w:rsid w:val="00D07FA6"/>
    <w:rsid w:val="00D17C53"/>
    <w:rsid w:val="00D17D57"/>
    <w:rsid w:val="00D2341D"/>
    <w:rsid w:val="00D25E0E"/>
    <w:rsid w:val="00D302D0"/>
    <w:rsid w:val="00D302EB"/>
    <w:rsid w:val="00D31679"/>
    <w:rsid w:val="00D320C8"/>
    <w:rsid w:val="00D3672F"/>
    <w:rsid w:val="00D40ABA"/>
    <w:rsid w:val="00D40FE2"/>
    <w:rsid w:val="00D440FA"/>
    <w:rsid w:val="00D44BCF"/>
    <w:rsid w:val="00D46E73"/>
    <w:rsid w:val="00D473A4"/>
    <w:rsid w:val="00D5149F"/>
    <w:rsid w:val="00D5548D"/>
    <w:rsid w:val="00D60F81"/>
    <w:rsid w:val="00D63951"/>
    <w:rsid w:val="00D63BF2"/>
    <w:rsid w:val="00D67348"/>
    <w:rsid w:val="00D75FEC"/>
    <w:rsid w:val="00D76B98"/>
    <w:rsid w:val="00D86F2C"/>
    <w:rsid w:val="00D90987"/>
    <w:rsid w:val="00DA36F6"/>
    <w:rsid w:val="00DA6877"/>
    <w:rsid w:val="00DB48BD"/>
    <w:rsid w:val="00DB7D03"/>
    <w:rsid w:val="00DC1611"/>
    <w:rsid w:val="00DE3713"/>
    <w:rsid w:val="00DF0774"/>
    <w:rsid w:val="00DF1036"/>
    <w:rsid w:val="00E05451"/>
    <w:rsid w:val="00E05651"/>
    <w:rsid w:val="00E11BA5"/>
    <w:rsid w:val="00E14291"/>
    <w:rsid w:val="00E20425"/>
    <w:rsid w:val="00E25DCB"/>
    <w:rsid w:val="00E4156E"/>
    <w:rsid w:val="00E416BC"/>
    <w:rsid w:val="00E453F2"/>
    <w:rsid w:val="00E460AD"/>
    <w:rsid w:val="00E61925"/>
    <w:rsid w:val="00E65C0E"/>
    <w:rsid w:val="00E730FC"/>
    <w:rsid w:val="00E746F0"/>
    <w:rsid w:val="00E82A15"/>
    <w:rsid w:val="00E8396C"/>
    <w:rsid w:val="00E87589"/>
    <w:rsid w:val="00E938FF"/>
    <w:rsid w:val="00EA2C74"/>
    <w:rsid w:val="00EA34DC"/>
    <w:rsid w:val="00EA4E74"/>
    <w:rsid w:val="00EA5017"/>
    <w:rsid w:val="00EA6BED"/>
    <w:rsid w:val="00EB14F0"/>
    <w:rsid w:val="00EB3844"/>
    <w:rsid w:val="00EB565A"/>
    <w:rsid w:val="00EB5A9F"/>
    <w:rsid w:val="00EC5C8D"/>
    <w:rsid w:val="00ED106C"/>
    <w:rsid w:val="00ED2D34"/>
    <w:rsid w:val="00ED4805"/>
    <w:rsid w:val="00ED6C51"/>
    <w:rsid w:val="00ED7463"/>
    <w:rsid w:val="00EE110A"/>
    <w:rsid w:val="00EE5000"/>
    <w:rsid w:val="00EF4258"/>
    <w:rsid w:val="00F02237"/>
    <w:rsid w:val="00F22423"/>
    <w:rsid w:val="00F24C72"/>
    <w:rsid w:val="00F31D22"/>
    <w:rsid w:val="00F348B2"/>
    <w:rsid w:val="00F34BF0"/>
    <w:rsid w:val="00F34DD3"/>
    <w:rsid w:val="00F4095A"/>
    <w:rsid w:val="00F45845"/>
    <w:rsid w:val="00F50189"/>
    <w:rsid w:val="00F508FC"/>
    <w:rsid w:val="00F52FD1"/>
    <w:rsid w:val="00F53972"/>
    <w:rsid w:val="00F54044"/>
    <w:rsid w:val="00F576E7"/>
    <w:rsid w:val="00F615E4"/>
    <w:rsid w:val="00F763FC"/>
    <w:rsid w:val="00F772C1"/>
    <w:rsid w:val="00F8026D"/>
    <w:rsid w:val="00F8245F"/>
    <w:rsid w:val="00F84BB1"/>
    <w:rsid w:val="00F84CD8"/>
    <w:rsid w:val="00F91629"/>
    <w:rsid w:val="00F91E2A"/>
    <w:rsid w:val="00F9553A"/>
    <w:rsid w:val="00FA153F"/>
    <w:rsid w:val="00FA1D78"/>
    <w:rsid w:val="00FA1F7E"/>
    <w:rsid w:val="00FA280F"/>
    <w:rsid w:val="00FA4D17"/>
    <w:rsid w:val="00FA54BB"/>
    <w:rsid w:val="00FB2186"/>
    <w:rsid w:val="00FC0BC5"/>
    <w:rsid w:val="00FD0133"/>
    <w:rsid w:val="00FD6206"/>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9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corpsdedcision"/>
    <w:qFormat/>
    <w:rsid w:val="0034740A"/>
    <w:pPr>
      <w:keepNext/>
      <w:spacing w:before="240" w:after="240"/>
      <w:outlineLvl w:val="0"/>
    </w:pPr>
    <w:rPr>
      <w:rFonts w:cs="Arial"/>
      <w:bCs/>
      <w:caps/>
      <w:kern w:val="32"/>
      <w:szCs w:val="32"/>
      <w:u w:val="single"/>
      <w:lang w:eastAsia="fr-FR"/>
    </w:rPr>
  </w:style>
  <w:style w:type="paragraph" w:styleId="Heading2">
    <w:name w:val="heading 2"/>
    <w:basedOn w:val="Normal"/>
    <w:next w:val="corpsdedcision"/>
    <w:qFormat/>
    <w:rsid w:val="0034740A"/>
    <w:pPr>
      <w:keepNext/>
      <w:spacing w:before="240" w:after="240"/>
      <w:outlineLvl w:val="1"/>
    </w:pPr>
    <w:rPr>
      <w:rFonts w:cs="Arial"/>
      <w:bCs/>
      <w:iCs/>
      <w:caps/>
      <w:szCs w:val="28"/>
      <w:lang w:eastAsia="fr-FR"/>
    </w:rPr>
  </w:style>
  <w:style w:type="paragraph" w:styleId="Heading3">
    <w:name w:val="heading 3"/>
    <w:basedOn w:val="Normal"/>
    <w:next w:val="corpsdedcision"/>
    <w:qFormat/>
    <w:rsid w:val="0034740A"/>
    <w:pPr>
      <w:keepNext/>
      <w:spacing w:before="240" w:after="240"/>
      <w:outlineLvl w:val="2"/>
    </w:pPr>
    <w:rPr>
      <w:rFonts w:cs="Arial"/>
      <w:bCs/>
      <w:szCs w:val="26"/>
      <w:u w:val="single"/>
      <w:lang w:eastAsia="fr-FR"/>
    </w:rPr>
  </w:style>
  <w:style w:type="paragraph" w:styleId="Heading4">
    <w:name w:val="heading 4"/>
    <w:basedOn w:val="Normal"/>
    <w:next w:val="corpsdedcision"/>
    <w:qFormat/>
    <w:rsid w:val="0034740A"/>
    <w:pPr>
      <w:keepNext/>
      <w:spacing w:before="240" w:after="240"/>
      <w:outlineLvl w:val="3"/>
    </w:pPr>
    <w:rPr>
      <w:bCs/>
      <w:szCs w:val="28"/>
      <w:lang w:eastAsia="fr-FR"/>
    </w:rPr>
  </w:style>
  <w:style w:type="paragraph" w:styleId="Heading5">
    <w:name w:val="heading 5"/>
    <w:basedOn w:val="Normal"/>
    <w:next w:val="Normal"/>
    <w:qFormat/>
    <w:rsid w:val="005E2367"/>
    <w:pPr>
      <w:numPr>
        <w:ilvl w:val="4"/>
        <w:numId w:val="2"/>
      </w:numPr>
      <w:spacing w:before="240" w:after="60"/>
      <w:outlineLvl w:val="4"/>
    </w:pPr>
    <w:rPr>
      <w:b/>
      <w:bCs/>
      <w:i/>
      <w:iCs/>
      <w:sz w:val="26"/>
      <w:szCs w:val="26"/>
    </w:rPr>
  </w:style>
  <w:style w:type="paragraph" w:styleId="Heading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Heading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basedOn w:val="DefaultParagraphFont"/>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basedOn w:val="Normal"/>
    <w:link w:val="FootnoteTextChar"/>
    <w:semiHidden/>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FootnoteTextChar">
    <w:name w:val="Footnote Text Char"/>
    <w:basedOn w:val="DefaultParagraphFont"/>
    <w:link w:val="FootnoteText"/>
    <w:semiHidden/>
    <w:locked/>
    <w:rsid w:val="00BC0A03"/>
    <w:rPr>
      <w:rFonts w:ascii="Arial" w:hAnsi="Arial"/>
      <w:sz w:val="24"/>
      <w:lang w:val="fr-CA" w:eastAsia="fr-CA" w:bidi="ar-SA"/>
    </w:rPr>
  </w:style>
  <w:style w:type="character" w:customStyle="1" w:styleId="label-section1">
    <w:name w:val="label-section1"/>
    <w:basedOn w:val="DefaultParagraphFont"/>
    <w:rsid w:val="00653823"/>
    <w:rPr>
      <w:rFonts w:ascii="Arial" w:hAnsi="Arial" w:cs="Arial"/>
      <w:b/>
      <w:bCs/>
      <w:sz w:val="24"/>
      <w:szCs w:val="24"/>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DefaultParagraphFon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exte-courant1">
    <w:name w:val="texte-courant1"/>
    <w:basedOn w:val="DefaultParagraphFont"/>
    <w:rsid w:val="00653823"/>
    <w:rPr>
      <w:rFonts w:cs="Times New Roman"/>
    </w:rPr>
  </w:style>
  <w:style w:type="character" w:styleId="Hyperlink">
    <w:name w:val="Hyperlink"/>
    <w:basedOn w:val="DefaultParagraphFont"/>
    <w:rsid w:val="00653823"/>
    <w:rPr>
      <w:rFonts w:cs="Times New Roman"/>
      <w:color w:val="375D9D"/>
      <w:u w:val="none"/>
      <w:effect w:val="none"/>
      <w:shd w:val="clear" w:color="auto" w:fill="auto"/>
    </w:rPr>
  </w:style>
  <w:style w:type="character" w:styleId="FollowedHyperlink">
    <w:name w:val="FollowedHyperlink"/>
    <w:basedOn w:val="DefaultParagraphFont"/>
    <w:rsid w:val="00653823"/>
    <w:rPr>
      <w:color w:val="800080"/>
      <w:u w:val="single"/>
    </w:rPr>
  </w:style>
  <w:style w:type="character" w:customStyle="1" w:styleId="label-z">
    <w:name w:val="label-z"/>
    <w:basedOn w:val="DefaultParagraphFont"/>
    <w:rsid w:val="00940816"/>
    <w:rPr>
      <w:rFonts w:cs="Times New Roman"/>
    </w:rPr>
  </w:style>
  <w:style w:type="character" w:customStyle="1" w:styleId="widthfixforlabel1">
    <w:name w:val="widthfixforlabel1"/>
    <w:basedOn w:val="DefaultParagraphFont"/>
    <w:rsid w:val="00940816"/>
    <w:rPr>
      <w:rFonts w:cs="Times New Roman"/>
    </w:rPr>
  </w:style>
  <w:style w:type="paragraph" w:customStyle="1" w:styleId="corpsdedcision0">
    <w:name w:val="corpsdedcision"/>
    <w:basedOn w:val="Normal"/>
    <w:rsid w:val="004E10E2"/>
    <w:pPr>
      <w:spacing w:line="336" w:lineRule="atLeast"/>
    </w:pPr>
    <w:rPr>
      <w:rFonts w:ascii="Times New Roman" w:hAnsi="Times New Roman"/>
      <w:sz w:val="18"/>
      <w:szCs w:val="18"/>
    </w:rPr>
  </w:style>
  <w:style w:type="character" w:customStyle="1" w:styleId="citationintgre0">
    <w:name w:val="citationintgre"/>
    <w:basedOn w:val="DefaultParagraphFont"/>
    <w:rsid w:val="006E0763"/>
  </w:style>
  <w:style w:type="character" w:styleId="Emphasis">
    <w:name w:val="Emphasis"/>
    <w:basedOn w:val="DefaultParagraphFont"/>
    <w:uiPriority w:val="20"/>
    <w:qFormat/>
    <w:rsid w:val="006E0763"/>
    <w:rPr>
      <w:i/>
      <w:iCs/>
    </w:rPr>
  </w:style>
  <w:style w:type="character" w:styleId="CommentReference">
    <w:name w:val="annotation reference"/>
    <w:basedOn w:val="DefaultParagraphFont"/>
    <w:rsid w:val="002E19BB"/>
    <w:rPr>
      <w:sz w:val="16"/>
      <w:szCs w:val="16"/>
    </w:rPr>
  </w:style>
  <w:style w:type="paragraph" w:styleId="CommentText">
    <w:name w:val="annotation text"/>
    <w:basedOn w:val="Normal"/>
    <w:link w:val="CommentTextChar"/>
    <w:rsid w:val="002E19BB"/>
    <w:rPr>
      <w:sz w:val="20"/>
    </w:rPr>
  </w:style>
  <w:style w:type="character" w:customStyle="1" w:styleId="CommentTextChar">
    <w:name w:val="Comment Text Char"/>
    <w:basedOn w:val="DefaultParagraphFont"/>
    <w:link w:val="CommentText"/>
    <w:rsid w:val="002E19BB"/>
    <w:rPr>
      <w:rFonts w:ascii="Arial" w:hAnsi="Arial"/>
    </w:rPr>
  </w:style>
  <w:style w:type="paragraph" w:styleId="CommentSubject">
    <w:name w:val="annotation subject"/>
    <w:basedOn w:val="CommentText"/>
    <w:next w:val="CommentText"/>
    <w:link w:val="CommentSubjectChar"/>
    <w:rsid w:val="002E19BB"/>
    <w:rPr>
      <w:b/>
      <w:bCs/>
    </w:rPr>
  </w:style>
  <w:style w:type="character" w:customStyle="1" w:styleId="CommentSubjectChar">
    <w:name w:val="Comment Subject Char"/>
    <w:basedOn w:val="CommentTextChar"/>
    <w:link w:val="CommentSubject"/>
    <w:rsid w:val="002E19BB"/>
    <w:rPr>
      <w:rFonts w:ascii="Arial" w:hAnsi="Arial"/>
      <w:b/>
      <w:bCs/>
    </w:rPr>
  </w:style>
  <w:style w:type="paragraph" w:styleId="BalloonText">
    <w:name w:val="Balloon Text"/>
    <w:basedOn w:val="Normal"/>
    <w:link w:val="BalloonTextChar"/>
    <w:rsid w:val="002E19BB"/>
    <w:rPr>
      <w:rFonts w:ascii="Segoe UI" w:hAnsi="Segoe UI" w:cs="Segoe UI"/>
      <w:sz w:val="18"/>
      <w:szCs w:val="18"/>
    </w:rPr>
  </w:style>
  <w:style w:type="character" w:customStyle="1" w:styleId="BalloonTextChar">
    <w:name w:val="Balloon Text Char"/>
    <w:basedOn w:val="DefaultParagraphFont"/>
    <w:link w:val="BalloonText"/>
    <w:rsid w:val="002E1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5562347">
      <w:bodyDiv w:val="1"/>
      <w:marLeft w:val="0"/>
      <w:marRight w:val="0"/>
      <w:marTop w:val="0"/>
      <w:marBottom w:val="0"/>
      <w:divBdr>
        <w:top w:val="none" w:sz="0" w:space="0" w:color="auto"/>
        <w:left w:val="none" w:sz="0" w:space="0" w:color="auto"/>
        <w:bottom w:val="none" w:sz="0" w:space="0" w:color="auto"/>
        <w:right w:val="none" w:sz="0" w:space="0" w:color="auto"/>
      </w:divBdr>
      <w:divsChild>
        <w:div w:id="1397781072">
          <w:marLeft w:val="0"/>
          <w:marRight w:val="0"/>
          <w:marTop w:val="0"/>
          <w:marBottom w:val="0"/>
          <w:divBdr>
            <w:top w:val="none" w:sz="0" w:space="0" w:color="auto"/>
            <w:left w:val="none" w:sz="0" w:space="0" w:color="auto"/>
            <w:bottom w:val="none" w:sz="0" w:space="0" w:color="auto"/>
            <w:right w:val="none" w:sz="0" w:space="0" w:color="auto"/>
          </w:divBdr>
          <w:divsChild>
            <w:div w:id="22099774">
              <w:marLeft w:val="0"/>
              <w:marRight w:val="0"/>
              <w:marTop w:val="0"/>
              <w:marBottom w:val="0"/>
              <w:divBdr>
                <w:top w:val="none" w:sz="0" w:space="0" w:color="auto"/>
                <w:left w:val="none" w:sz="0" w:space="0" w:color="auto"/>
                <w:bottom w:val="none" w:sz="0" w:space="0" w:color="auto"/>
                <w:right w:val="none" w:sz="0" w:space="0" w:color="auto"/>
              </w:divBdr>
              <w:divsChild>
                <w:div w:id="826747610">
                  <w:marLeft w:val="0"/>
                  <w:marRight w:val="0"/>
                  <w:marTop w:val="0"/>
                  <w:marBottom w:val="0"/>
                  <w:divBdr>
                    <w:top w:val="none" w:sz="0" w:space="0" w:color="auto"/>
                    <w:left w:val="none" w:sz="0" w:space="0" w:color="auto"/>
                    <w:bottom w:val="none" w:sz="0" w:space="0" w:color="auto"/>
                    <w:right w:val="none" w:sz="0" w:space="0" w:color="auto"/>
                  </w:divBdr>
                  <w:divsChild>
                    <w:div w:id="1099447955">
                      <w:marLeft w:val="0"/>
                      <w:marRight w:val="75"/>
                      <w:marTop w:val="0"/>
                      <w:marBottom w:val="0"/>
                      <w:divBdr>
                        <w:top w:val="none" w:sz="0" w:space="0" w:color="auto"/>
                        <w:left w:val="none" w:sz="0" w:space="0" w:color="auto"/>
                        <w:bottom w:val="none" w:sz="0" w:space="0" w:color="auto"/>
                        <w:right w:val="none" w:sz="0" w:space="0" w:color="auto"/>
                      </w:divBdr>
                      <w:divsChild>
                        <w:div w:id="465467472">
                          <w:marLeft w:val="0"/>
                          <w:marRight w:val="0"/>
                          <w:marTop w:val="0"/>
                          <w:marBottom w:val="0"/>
                          <w:divBdr>
                            <w:top w:val="none" w:sz="0" w:space="0" w:color="auto"/>
                            <w:left w:val="none" w:sz="0" w:space="0" w:color="auto"/>
                            <w:bottom w:val="none" w:sz="0" w:space="0" w:color="auto"/>
                            <w:right w:val="none" w:sz="0" w:space="0" w:color="auto"/>
                          </w:divBdr>
                          <w:divsChild>
                            <w:div w:id="783960487">
                              <w:marLeft w:val="0"/>
                              <w:marRight w:val="0"/>
                              <w:marTop w:val="0"/>
                              <w:marBottom w:val="0"/>
                              <w:divBdr>
                                <w:top w:val="none" w:sz="0" w:space="0" w:color="auto"/>
                                <w:left w:val="none" w:sz="0" w:space="0" w:color="auto"/>
                                <w:bottom w:val="none" w:sz="0" w:space="0" w:color="auto"/>
                                <w:right w:val="none" w:sz="0" w:space="0" w:color="auto"/>
                              </w:divBdr>
                              <w:divsChild>
                                <w:div w:id="1746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28626">
      <w:bodyDiv w:val="1"/>
      <w:marLeft w:val="0"/>
      <w:marRight w:val="0"/>
      <w:marTop w:val="0"/>
      <w:marBottom w:val="0"/>
      <w:divBdr>
        <w:top w:val="none" w:sz="0" w:space="0" w:color="auto"/>
        <w:left w:val="none" w:sz="0" w:space="0" w:color="auto"/>
        <w:bottom w:val="none" w:sz="0" w:space="0" w:color="auto"/>
        <w:right w:val="none" w:sz="0" w:space="0" w:color="auto"/>
      </w:divBdr>
      <w:divsChild>
        <w:div w:id="1978877964">
          <w:marLeft w:val="0"/>
          <w:marRight w:val="0"/>
          <w:marTop w:val="0"/>
          <w:marBottom w:val="0"/>
          <w:divBdr>
            <w:top w:val="none" w:sz="0" w:space="0" w:color="auto"/>
            <w:left w:val="none" w:sz="0" w:space="0" w:color="auto"/>
            <w:bottom w:val="none" w:sz="0" w:space="0" w:color="auto"/>
            <w:right w:val="none" w:sz="0" w:space="0" w:color="auto"/>
          </w:divBdr>
          <w:divsChild>
            <w:div w:id="1260605992">
              <w:marLeft w:val="0"/>
              <w:marRight w:val="0"/>
              <w:marTop w:val="0"/>
              <w:marBottom w:val="0"/>
              <w:divBdr>
                <w:top w:val="none" w:sz="0" w:space="0" w:color="auto"/>
                <w:left w:val="none" w:sz="0" w:space="0" w:color="auto"/>
                <w:bottom w:val="none" w:sz="0" w:space="0" w:color="auto"/>
                <w:right w:val="none" w:sz="0" w:space="0" w:color="auto"/>
              </w:divBdr>
              <w:divsChild>
                <w:div w:id="1302733405">
                  <w:marLeft w:val="0"/>
                  <w:marRight w:val="0"/>
                  <w:marTop w:val="0"/>
                  <w:marBottom w:val="0"/>
                  <w:divBdr>
                    <w:top w:val="none" w:sz="0" w:space="0" w:color="auto"/>
                    <w:left w:val="none" w:sz="0" w:space="0" w:color="auto"/>
                    <w:bottom w:val="none" w:sz="0" w:space="0" w:color="auto"/>
                    <w:right w:val="none" w:sz="0" w:space="0" w:color="auto"/>
                  </w:divBdr>
                  <w:divsChild>
                    <w:div w:id="930432694">
                      <w:marLeft w:val="0"/>
                      <w:marRight w:val="75"/>
                      <w:marTop w:val="0"/>
                      <w:marBottom w:val="0"/>
                      <w:divBdr>
                        <w:top w:val="none" w:sz="0" w:space="0" w:color="auto"/>
                        <w:left w:val="none" w:sz="0" w:space="0" w:color="auto"/>
                        <w:bottom w:val="none" w:sz="0" w:space="0" w:color="auto"/>
                        <w:right w:val="none" w:sz="0" w:space="0" w:color="auto"/>
                      </w:divBdr>
                      <w:divsChild>
                        <w:div w:id="1200313678">
                          <w:marLeft w:val="0"/>
                          <w:marRight w:val="0"/>
                          <w:marTop w:val="0"/>
                          <w:marBottom w:val="0"/>
                          <w:divBdr>
                            <w:top w:val="none" w:sz="0" w:space="0" w:color="auto"/>
                            <w:left w:val="none" w:sz="0" w:space="0" w:color="auto"/>
                            <w:bottom w:val="none" w:sz="0" w:space="0" w:color="auto"/>
                            <w:right w:val="none" w:sz="0" w:space="0" w:color="auto"/>
                          </w:divBdr>
                          <w:divsChild>
                            <w:div w:id="1085028795">
                              <w:marLeft w:val="0"/>
                              <w:marRight w:val="0"/>
                              <w:marTop w:val="0"/>
                              <w:marBottom w:val="0"/>
                              <w:divBdr>
                                <w:top w:val="none" w:sz="0" w:space="0" w:color="auto"/>
                                <w:left w:val="none" w:sz="0" w:space="0" w:color="auto"/>
                                <w:bottom w:val="none" w:sz="0" w:space="0" w:color="auto"/>
                                <w:right w:val="none" w:sz="0" w:space="0" w:color="auto"/>
                              </w:divBdr>
                              <w:divsChild>
                                <w:div w:id="17274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680843">
      <w:bodyDiv w:val="1"/>
      <w:marLeft w:val="0"/>
      <w:marRight w:val="0"/>
      <w:marTop w:val="0"/>
      <w:marBottom w:val="0"/>
      <w:divBdr>
        <w:top w:val="none" w:sz="0" w:space="0" w:color="auto"/>
        <w:left w:val="none" w:sz="0" w:space="0" w:color="auto"/>
        <w:bottom w:val="none" w:sz="0" w:space="0" w:color="auto"/>
        <w:right w:val="none" w:sz="0" w:space="0" w:color="auto"/>
      </w:divBdr>
      <w:divsChild>
        <w:div w:id="617180158">
          <w:marLeft w:val="0"/>
          <w:marRight w:val="0"/>
          <w:marTop w:val="0"/>
          <w:marBottom w:val="0"/>
          <w:divBdr>
            <w:top w:val="none" w:sz="0" w:space="0" w:color="auto"/>
            <w:left w:val="none" w:sz="0" w:space="0" w:color="auto"/>
            <w:bottom w:val="none" w:sz="0" w:space="0" w:color="auto"/>
            <w:right w:val="none" w:sz="0" w:space="0" w:color="auto"/>
          </w:divBdr>
          <w:divsChild>
            <w:div w:id="6911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7778">
      <w:bodyDiv w:val="1"/>
      <w:marLeft w:val="0"/>
      <w:marRight w:val="0"/>
      <w:marTop w:val="0"/>
      <w:marBottom w:val="0"/>
      <w:divBdr>
        <w:top w:val="none" w:sz="0" w:space="0" w:color="auto"/>
        <w:left w:val="none" w:sz="0" w:space="0" w:color="auto"/>
        <w:bottom w:val="none" w:sz="0" w:space="0" w:color="auto"/>
        <w:right w:val="none" w:sz="0" w:space="0" w:color="auto"/>
      </w:divBdr>
      <w:divsChild>
        <w:div w:id="967515539">
          <w:marLeft w:val="0"/>
          <w:marRight w:val="0"/>
          <w:marTop w:val="0"/>
          <w:marBottom w:val="0"/>
          <w:divBdr>
            <w:top w:val="none" w:sz="0" w:space="0" w:color="auto"/>
            <w:left w:val="none" w:sz="0" w:space="0" w:color="auto"/>
            <w:bottom w:val="none" w:sz="0" w:space="0" w:color="auto"/>
            <w:right w:val="none" w:sz="0" w:space="0" w:color="auto"/>
          </w:divBdr>
          <w:divsChild>
            <w:div w:id="539783718">
              <w:marLeft w:val="0"/>
              <w:marRight w:val="0"/>
              <w:marTop w:val="0"/>
              <w:marBottom w:val="0"/>
              <w:divBdr>
                <w:top w:val="none" w:sz="0" w:space="0" w:color="auto"/>
                <w:left w:val="none" w:sz="0" w:space="0" w:color="auto"/>
                <w:bottom w:val="none" w:sz="0" w:space="0" w:color="auto"/>
                <w:right w:val="none" w:sz="0" w:space="0" w:color="auto"/>
              </w:divBdr>
              <w:divsChild>
                <w:div w:id="1517771820">
                  <w:marLeft w:val="0"/>
                  <w:marRight w:val="0"/>
                  <w:marTop w:val="0"/>
                  <w:marBottom w:val="0"/>
                  <w:divBdr>
                    <w:top w:val="none" w:sz="0" w:space="0" w:color="auto"/>
                    <w:left w:val="none" w:sz="0" w:space="0" w:color="auto"/>
                    <w:bottom w:val="none" w:sz="0" w:space="0" w:color="auto"/>
                    <w:right w:val="none" w:sz="0" w:space="0" w:color="auto"/>
                  </w:divBdr>
                  <w:divsChild>
                    <w:div w:id="1227841628">
                      <w:marLeft w:val="0"/>
                      <w:marRight w:val="75"/>
                      <w:marTop w:val="0"/>
                      <w:marBottom w:val="0"/>
                      <w:divBdr>
                        <w:top w:val="none" w:sz="0" w:space="0" w:color="auto"/>
                        <w:left w:val="none" w:sz="0" w:space="0" w:color="auto"/>
                        <w:bottom w:val="none" w:sz="0" w:space="0" w:color="auto"/>
                        <w:right w:val="none" w:sz="0" w:space="0" w:color="auto"/>
                      </w:divBdr>
                      <w:divsChild>
                        <w:div w:id="666397225">
                          <w:marLeft w:val="0"/>
                          <w:marRight w:val="0"/>
                          <w:marTop w:val="0"/>
                          <w:marBottom w:val="0"/>
                          <w:divBdr>
                            <w:top w:val="none" w:sz="0" w:space="0" w:color="auto"/>
                            <w:left w:val="none" w:sz="0" w:space="0" w:color="auto"/>
                            <w:bottom w:val="none" w:sz="0" w:space="0" w:color="auto"/>
                            <w:right w:val="none" w:sz="0" w:space="0" w:color="auto"/>
                          </w:divBdr>
                          <w:divsChild>
                            <w:div w:id="635599091">
                              <w:marLeft w:val="0"/>
                              <w:marRight w:val="0"/>
                              <w:marTop w:val="0"/>
                              <w:marBottom w:val="0"/>
                              <w:divBdr>
                                <w:top w:val="none" w:sz="0" w:space="0" w:color="auto"/>
                                <w:left w:val="none" w:sz="0" w:space="0" w:color="auto"/>
                                <w:bottom w:val="none" w:sz="0" w:space="0" w:color="auto"/>
                                <w:right w:val="none" w:sz="0" w:space="0" w:color="auto"/>
                              </w:divBdr>
                              <w:divsChild>
                                <w:div w:id="7009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781484">
      <w:bodyDiv w:val="1"/>
      <w:marLeft w:val="0"/>
      <w:marRight w:val="0"/>
      <w:marTop w:val="0"/>
      <w:marBottom w:val="0"/>
      <w:divBdr>
        <w:top w:val="none" w:sz="0" w:space="0" w:color="auto"/>
        <w:left w:val="none" w:sz="0" w:space="0" w:color="auto"/>
        <w:bottom w:val="none" w:sz="0" w:space="0" w:color="auto"/>
        <w:right w:val="none" w:sz="0" w:space="0" w:color="auto"/>
      </w:divBdr>
      <w:divsChild>
        <w:div w:id="2032681983">
          <w:marLeft w:val="0"/>
          <w:marRight w:val="0"/>
          <w:marTop w:val="0"/>
          <w:marBottom w:val="0"/>
          <w:divBdr>
            <w:top w:val="none" w:sz="0" w:space="0" w:color="auto"/>
            <w:left w:val="none" w:sz="0" w:space="0" w:color="auto"/>
            <w:bottom w:val="none" w:sz="0" w:space="0" w:color="auto"/>
            <w:right w:val="none" w:sz="0" w:space="0" w:color="auto"/>
          </w:divBdr>
          <w:divsChild>
            <w:div w:id="1646663685">
              <w:marLeft w:val="-225"/>
              <w:marRight w:val="-150"/>
              <w:marTop w:val="0"/>
              <w:marBottom w:val="0"/>
              <w:divBdr>
                <w:top w:val="none" w:sz="0" w:space="0" w:color="auto"/>
                <w:left w:val="none" w:sz="0" w:space="0" w:color="auto"/>
                <w:bottom w:val="none" w:sz="0" w:space="0" w:color="auto"/>
                <w:right w:val="none" w:sz="0" w:space="0" w:color="auto"/>
              </w:divBdr>
              <w:divsChild>
                <w:div w:id="1262684023">
                  <w:marLeft w:val="0"/>
                  <w:marRight w:val="0"/>
                  <w:marTop w:val="0"/>
                  <w:marBottom w:val="0"/>
                  <w:divBdr>
                    <w:top w:val="none" w:sz="0" w:space="0" w:color="auto"/>
                    <w:left w:val="none" w:sz="0" w:space="0" w:color="auto"/>
                    <w:bottom w:val="none" w:sz="0" w:space="0" w:color="auto"/>
                    <w:right w:val="none" w:sz="0" w:space="0" w:color="auto"/>
                  </w:divBdr>
                  <w:divsChild>
                    <w:div w:id="196814716">
                      <w:marLeft w:val="0"/>
                      <w:marRight w:val="0"/>
                      <w:marTop w:val="0"/>
                      <w:marBottom w:val="255"/>
                      <w:divBdr>
                        <w:top w:val="none" w:sz="0" w:space="0" w:color="auto"/>
                        <w:left w:val="none" w:sz="0" w:space="0" w:color="auto"/>
                        <w:bottom w:val="none" w:sz="0" w:space="0" w:color="auto"/>
                        <w:right w:val="none" w:sz="0" w:space="0" w:color="auto"/>
                      </w:divBdr>
                      <w:divsChild>
                        <w:div w:id="1288731894">
                          <w:marLeft w:val="0"/>
                          <w:marRight w:val="0"/>
                          <w:marTop w:val="0"/>
                          <w:marBottom w:val="0"/>
                          <w:divBdr>
                            <w:top w:val="none" w:sz="0" w:space="0" w:color="auto"/>
                            <w:left w:val="none" w:sz="0" w:space="0" w:color="auto"/>
                            <w:bottom w:val="none" w:sz="0" w:space="0" w:color="auto"/>
                            <w:right w:val="none" w:sz="0" w:space="0" w:color="auto"/>
                          </w:divBdr>
                          <w:divsChild>
                            <w:div w:id="1426151188">
                              <w:marLeft w:val="0"/>
                              <w:marRight w:val="0"/>
                              <w:marTop w:val="0"/>
                              <w:marBottom w:val="255"/>
                              <w:divBdr>
                                <w:top w:val="none" w:sz="0" w:space="0" w:color="auto"/>
                                <w:left w:val="none" w:sz="0" w:space="0" w:color="auto"/>
                                <w:bottom w:val="none" w:sz="0" w:space="0" w:color="auto"/>
                                <w:right w:val="none" w:sz="0" w:space="0" w:color="auto"/>
                              </w:divBdr>
                              <w:divsChild>
                                <w:div w:id="482547829">
                                  <w:marLeft w:val="0"/>
                                  <w:marRight w:val="0"/>
                                  <w:marTop w:val="0"/>
                                  <w:marBottom w:val="0"/>
                                  <w:divBdr>
                                    <w:top w:val="none" w:sz="0" w:space="0" w:color="auto"/>
                                    <w:left w:val="none" w:sz="0" w:space="0" w:color="auto"/>
                                    <w:bottom w:val="none" w:sz="0" w:space="0" w:color="auto"/>
                                    <w:right w:val="none" w:sz="0" w:space="0" w:color="auto"/>
                                  </w:divBdr>
                                  <w:divsChild>
                                    <w:div w:id="1071078704">
                                      <w:marLeft w:val="0"/>
                                      <w:marRight w:val="0"/>
                                      <w:marTop w:val="0"/>
                                      <w:marBottom w:val="0"/>
                                      <w:divBdr>
                                        <w:top w:val="none" w:sz="0" w:space="0" w:color="auto"/>
                                        <w:left w:val="none" w:sz="0" w:space="0" w:color="auto"/>
                                        <w:bottom w:val="none" w:sz="0" w:space="0" w:color="auto"/>
                                        <w:right w:val="none" w:sz="0" w:space="0" w:color="auto"/>
                                      </w:divBdr>
                                      <w:divsChild>
                                        <w:div w:id="1048453941">
                                          <w:marLeft w:val="0"/>
                                          <w:marRight w:val="0"/>
                                          <w:marTop w:val="0"/>
                                          <w:marBottom w:val="0"/>
                                          <w:divBdr>
                                            <w:top w:val="none" w:sz="0" w:space="0" w:color="auto"/>
                                            <w:left w:val="none" w:sz="0" w:space="0" w:color="auto"/>
                                            <w:bottom w:val="none" w:sz="0" w:space="0" w:color="auto"/>
                                            <w:right w:val="none" w:sz="0" w:space="0" w:color="auto"/>
                                          </w:divBdr>
                                          <w:divsChild>
                                            <w:div w:id="1295864312">
                                              <w:marLeft w:val="0"/>
                                              <w:marRight w:val="0"/>
                                              <w:marTop w:val="0"/>
                                              <w:marBottom w:val="0"/>
                                              <w:divBdr>
                                                <w:top w:val="none" w:sz="0" w:space="0" w:color="auto"/>
                                                <w:left w:val="none" w:sz="0" w:space="0" w:color="auto"/>
                                                <w:bottom w:val="none" w:sz="0" w:space="0" w:color="auto"/>
                                                <w:right w:val="none" w:sz="0" w:space="0" w:color="auto"/>
                                              </w:divBdr>
                                              <w:divsChild>
                                                <w:div w:id="567765822">
                                                  <w:marLeft w:val="0"/>
                                                  <w:marRight w:val="0"/>
                                                  <w:marTop w:val="0"/>
                                                  <w:marBottom w:val="0"/>
                                                  <w:divBdr>
                                                    <w:top w:val="none" w:sz="0" w:space="0" w:color="auto"/>
                                                    <w:left w:val="none" w:sz="0" w:space="0" w:color="auto"/>
                                                    <w:bottom w:val="none" w:sz="0" w:space="0" w:color="auto"/>
                                                    <w:right w:val="none" w:sz="0" w:space="0" w:color="auto"/>
                                                  </w:divBdr>
                                                  <w:divsChild>
                                                    <w:div w:id="1087536224">
                                                      <w:marLeft w:val="0"/>
                                                      <w:marRight w:val="0"/>
                                                      <w:marTop w:val="219"/>
                                                      <w:marBottom w:val="0"/>
                                                      <w:divBdr>
                                                        <w:top w:val="none" w:sz="0" w:space="0" w:color="auto"/>
                                                        <w:left w:val="none" w:sz="0" w:space="0" w:color="auto"/>
                                                        <w:bottom w:val="none" w:sz="0" w:space="0" w:color="auto"/>
                                                        <w:right w:val="none" w:sz="0" w:space="0" w:color="auto"/>
                                                      </w:divBdr>
                                                      <w:divsChild>
                                                        <w:div w:id="957445838">
                                                          <w:marLeft w:val="0"/>
                                                          <w:marRight w:val="0"/>
                                                          <w:marTop w:val="260"/>
                                                          <w:marBottom w:val="240"/>
                                                          <w:divBdr>
                                                            <w:top w:val="none" w:sz="0" w:space="0" w:color="auto"/>
                                                            <w:left w:val="none" w:sz="0" w:space="0" w:color="auto"/>
                                                            <w:bottom w:val="none" w:sz="0" w:space="0" w:color="auto"/>
                                                            <w:right w:val="none" w:sz="0" w:space="0" w:color="auto"/>
                                                          </w:divBdr>
                                                        </w:div>
                                                        <w:div w:id="1625499455">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2443029">
      <w:bodyDiv w:val="1"/>
      <w:marLeft w:val="0"/>
      <w:marRight w:val="0"/>
      <w:marTop w:val="0"/>
      <w:marBottom w:val="0"/>
      <w:divBdr>
        <w:top w:val="none" w:sz="0" w:space="0" w:color="auto"/>
        <w:left w:val="none" w:sz="0" w:space="0" w:color="auto"/>
        <w:bottom w:val="none" w:sz="0" w:space="0" w:color="auto"/>
        <w:right w:val="none" w:sz="0" w:space="0" w:color="auto"/>
      </w:divBdr>
      <w:divsChild>
        <w:div w:id="1627808013">
          <w:marLeft w:val="0"/>
          <w:marRight w:val="0"/>
          <w:marTop w:val="0"/>
          <w:marBottom w:val="0"/>
          <w:divBdr>
            <w:top w:val="none" w:sz="0" w:space="0" w:color="auto"/>
            <w:left w:val="none" w:sz="0" w:space="0" w:color="auto"/>
            <w:bottom w:val="none" w:sz="0" w:space="0" w:color="auto"/>
            <w:right w:val="none" w:sz="0" w:space="0" w:color="auto"/>
          </w:divBdr>
          <w:divsChild>
            <w:div w:id="15370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6274">
      <w:bodyDiv w:val="1"/>
      <w:marLeft w:val="0"/>
      <w:marRight w:val="0"/>
      <w:marTop w:val="0"/>
      <w:marBottom w:val="0"/>
      <w:divBdr>
        <w:top w:val="none" w:sz="0" w:space="0" w:color="auto"/>
        <w:left w:val="none" w:sz="0" w:space="0" w:color="auto"/>
        <w:bottom w:val="none" w:sz="0" w:space="0" w:color="auto"/>
        <w:right w:val="none" w:sz="0" w:space="0" w:color="auto"/>
      </w:divBdr>
      <w:divsChild>
        <w:div w:id="1100445574">
          <w:marLeft w:val="0"/>
          <w:marRight w:val="0"/>
          <w:marTop w:val="0"/>
          <w:marBottom w:val="0"/>
          <w:divBdr>
            <w:top w:val="none" w:sz="0" w:space="0" w:color="auto"/>
            <w:left w:val="none" w:sz="0" w:space="0" w:color="auto"/>
            <w:bottom w:val="none" w:sz="0" w:space="0" w:color="auto"/>
            <w:right w:val="none" w:sz="0" w:space="0" w:color="auto"/>
          </w:divBdr>
          <w:divsChild>
            <w:div w:id="1856964246">
              <w:marLeft w:val="0"/>
              <w:marRight w:val="0"/>
              <w:marTop w:val="0"/>
              <w:marBottom w:val="0"/>
              <w:divBdr>
                <w:top w:val="none" w:sz="0" w:space="0" w:color="auto"/>
                <w:left w:val="none" w:sz="0" w:space="0" w:color="auto"/>
                <w:bottom w:val="none" w:sz="0" w:space="0" w:color="auto"/>
                <w:right w:val="none" w:sz="0" w:space="0" w:color="auto"/>
              </w:divBdr>
              <w:divsChild>
                <w:div w:id="1189949863">
                  <w:marLeft w:val="0"/>
                  <w:marRight w:val="0"/>
                  <w:marTop w:val="0"/>
                  <w:marBottom w:val="0"/>
                  <w:divBdr>
                    <w:top w:val="none" w:sz="0" w:space="0" w:color="auto"/>
                    <w:left w:val="none" w:sz="0" w:space="0" w:color="auto"/>
                    <w:bottom w:val="none" w:sz="0" w:space="0" w:color="auto"/>
                    <w:right w:val="none" w:sz="0" w:space="0" w:color="auto"/>
                  </w:divBdr>
                  <w:divsChild>
                    <w:div w:id="1307511574">
                      <w:marLeft w:val="0"/>
                      <w:marRight w:val="75"/>
                      <w:marTop w:val="0"/>
                      <w:marBottom w:val="0"/>
                      <w:divBdr>
                        <w:top w:val="none" w:sz="0" w:space="0" w:color="auto"/>
                        <w:left w:val="none" w:sz="0" w:space="0" w:color="auto"/>
                        <w:bottom w:val="none" w:sz="0" w:space="0" w:color="auto"/>
                        <w:right w:val="none" w:sz="0" w:space="0" w:color="auto"/>
                      </w:divBdr>
                      <w:divsChild>
                        <w:div w:id="1964458351">
                          <w:marLeft w:val="0"/>
                          <w:marRight w:val="0"/>
                          <w:marTop w:val="0"/>
                          <w:marBottom w:val="0"/>
                          <w:divBdr>
                            <w:top w:val="none" w:sz="0" w:space="0" w:color="auto"/>
                            <w:left w:val="none" w:sz="0" w:space="0" w:color="auto"/>
                            <w:bottom w:val="none" w:sz="0" w:space="0" w:color="auto"/>
                            <w:right w:val="none" w:sz="0" w:space="0" w:color="auto"/>
                          </w:divBdr>
                          <w:divsChild>
                            <w:div w:id="157497571">
                              <w:marLeft w:val="0"/>
                              <w:marRight w:val="0"/>
                              <w:marTop w:val="0"/>
                              <w:marBottom w:val="0"/>
                              <w:divBdr>
                                <w:top w:val="none" w:sz="0" w:space="0" w:color="auto"/>
                                <w:left w:val="none" w:sz="0" w:space="0" w:color="auto"/>
                                <w:bottom w:val="none" w:sz="0" w:space="0" w:color="auto"/>
                                <w:right w:val="none" w:sz="0" w:space="0" w:color="auto"/>
                              </w:divBdr>
                              <w:divsChild>
                                <w:div w:id="21309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709D-2DBD-4DB6-949E-7E0F199F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2181</Words>
  <Characters>12432</Characters>
  <Application>Microsoft Office Word</Application>
  <DocSecurity>0</DocSecurity>
  <Lines>103</Lines>
  <Paragraphs>29</Paragraphs>
  <ScaleCrop>false</ScaleCrop>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2026-07-14T22:32:00Z</dcterms:created>
  <dcterms:modified xsi:type="dcterms:W3CDTF">2026-07-14T22:32:00Z</dcterms:modified>
</cp:coreProperties>
</file>