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587297FB" w14:textId="77777777">
        <w:trPr>
          <w:cantSplit/>
        </w:trPr>
        <w:tc>
          <w:tcPr>
            <w:tcW w:w="4795" w:type="dxa"/>
          </w:tcPr>
          <w:p w14:paraId="2082E4D3" w14:textId="30398930" w:rsidR="008A7FD1" w:rsidRPr="00E6712A" w:rsidRDefault="00E6712A" w:rsidP="00E6712A">
            <w:pPr>
              <w:pStyle w:val="zSoquijdatRepertorie"/>
              <w:rPr>
                <w:rFonts w:cs="Arial"/>
              </w:rPr>
            </w:pPr>
            <w:bookmarkStart w:id="0" w:name="_GoBack"/>
            <w:bookmarkEnd w:id="0"/>
            <w:r>
              <w:rPr>
                <w:rFonts w:cs="Arial"/>
              </w:rPr>
              <w:t>Société Terminaux Montréal Gateway et Majeau</w:t>
            </w:r>
          </w:p>
        </w:tc>
        <w:tc>
          <w:tcPr>
            <w:tcW w:w="2477" w:type="dxa"/>
          </w:tcPr>
          <w:p w14:paraId="5891478C" w14:textId="66AF974D" w:rsidR="008A7FD1" w:rsidRPr="007E32D6" w:rsidRDefault="007E32D6" w:rsidP="007E32D6">
            <w:pPr>
              <w:pStyle w:val="zSoquijdatRefNeutre"/>
              <w:rPr>
                <w:rFonts w:cs="Arial"/>
              </w:rPr>
            </w:pPr>
            <w:r w:rsidRPr="007E32D6">
              <w:rPr>
                <w:rFonts w:cs="Arial"/>
              </w:rPr>
              <w:t>2023 QCTAT 5094</w:t>
            </w:r>
          </w:p>
        </w:tc>
      </w:tr>
    </w:tbl>
    <w:p w14:paraId="3F3D5505"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4E02ED36" w14:textId="77777777" w:rsidTr="00036794">
        <w:trPr>
          <w:cantSplit/>
        </w:trPr>
        <w:tc>
          <w:tcPr>
            <w:tcW w:w="9568" w:type="dxa"/>
            <w:gridSpan w:val="4"/>
          </w:tcPr>
          <w:p w14:paraId="2EF37CAE" w14:textId="77777777" w:rsidR="00C74B6F" w:rsidRPr="00BE1981" w:rsidRDefault="00C74B6F">
            <w:pPr>
              <w:rPr>
                <w:szCs w:val="24"/>
              </w:rPr>
            </w:pPr>
          </w:p>
        </w:tc>
      </w:tr>
      <w:tr w:rsidR="00C74B6F" w:rsidRPr="006816DA" w14:paraId="4A46565B" w14:textId="77777777" w:rsidTr="00036794">
        <w:trPr>
          <w:cantSplit/>
        </w:trPr>
        <w:tc>
          <w:tcPr>
            <w:tcW w:w="9568" w:type="dxa"/>
            <w:gridSpan w:val="4"/>
            <w:vAlign w:val="center"/>
          </w:tcPr>
          <w:p w14:paraId="61530DD4" w14:textId="77777777" w:rsidR="00C74B6F" w:rsidRPr="006816DA" w:rsidRDefault="000E1320">
            <w:pPr>
              <w:jc w:val="center"/>
              <w:rPr>
                <w:sz w:val="36"/>
                <w:szCs w:val="36"/>
              </w:rPr>
            </w:pPr>
            <w:r w:rsidRPr="006816DA">
              <w:rPr>
                <w:b/>
                <w:sz w:val="36"/>
                <w:szCs w:val="36"/>
              </w:rPr>
              <w:t>TRIBUNAL ADMINISTRATIF DU TRAVAIL</w:t>
            </w:r>
          </w:p>
        </w:tc>
      </w:tr>
      <w:tr w:rsidR="00C74B6F" w:rsidRPr="006816DA" w14:paraId="4BD0F102" w14:textId="77777777" w:rsidTr="00036794">
        <w:trPr>
          <w:cantSplit/>
        </w:trPr>
        <w:tc>
          <w:tcPr>
            <w:tcW w:w="9568" w:type="dxa"/>
            <w:gridSpan w:val="4"/>
          </w:tcPr>
          <w:p w14:paraId="076BC0D2" w14:textId="77777777" w:rsidR="00C74B6F" w:rsidRPr="006816DA" w:rsidRDefault="006F0154" w:rsidP="009A67E7">
            <w:pPr>
              <w:pStyle w:val="zSoquijdatDivision"/>
            </w:pPr>
            <w:r w:rsidRPr="006816DA">
              <w:t>(</w:t>
            </w:r>
            <w:r w:rsidR="000E470A" w:rsidRPr="006816DA">
              <w:t>Division de la santé et de la sécurité du travail</w:t>
            </w:r>
            <w:r w:rsidRPr="006816DA">
              <w:t>)</w:t>
            </w:r>
          </w:p>
        </w:tc>
      </w:tr>
      <w:tr w:rsidR="00C74B6F" w:rsidRPr="006816DA" w14:paraId="7D6A521C" w14:textId="77777777" w:rsidTr="00036794">
        <w:trPr>
          <w:cantSplit/>
        </w:trPr>
        <w:tc>
          <w:tcPr>
            <w:tcW w:w="9568" w:type="dxa"/>
            <w:gridSpan w:val="4"/>
          </w:tcPr>
          <w:p w14:paraId="29BAC6D3" w14:textId="77777777" w:rsidR="002B2FC3" w:rsidRPr="006816DA" w:rsidRDefault="002B2FC3" w:rsidP="002B2FC3"/>
        </w:tc>
      </w:tr>
      <w:tr w:rsidR="00A84FC6" w:rsidRPr="006816DA" w14:paraId="1F3B89B2" w14:textId="77777777" w:rsidTr="00036794">
        <w:trPr>
          <w:cantSplit/>
        </w:trPr>
        <w:tc>
          <w:tcPr>
            <w:tcW w:w="9568" w:type="dxa"/>
            <w:gridSpan w:val="4"/>
          </w:tcPr>
          <w:p w14:paraId="72DCE49F" w14:textId="77777777" w:rsidR="00A84FC6" w:rsidRPr="006816DA" w:rsidRDefault="00A84FC6" w:rsidP="002B2FC3"/>
        </w:tc>
      </w:tr>
      <w:tr w:rsidR="00C74B6F" w:rsidRPr="006816DA" w14:paraId="4BFD5366" w14:textId="77777777" w:rsidTr="00036794">
        <w:tc>
          <w:tcPr>
            <w:tcW w:w="3331" w:type="dxa"/>
          </w:tcPr>
          <w:p w14:paraId="4A1E34B9" w14:textId="77777777" w:rsidR="00C74B6F" w:rsidRPr="006816DA" w:rsidRDefault="0084255F">
            <w:bookmarkStart w:id="1" w:name="region" w:colFirst="1" w:colLast="1"/>
            <w:r w:rsidRPr="006816DA">
              <w:t>Région :</w:t>
            </w:r>
          </w:p>
        </w:tc>
        <w:tc>
          <w:tcPr>
            <w:tcW w:w="6237" w:type="dxa"/>
            <w:gridSpan w:val="3"/>
          </w:tcPr>
          <w:p w14:paraId="03D98CDB" w14:textId="77777777" w:rsidR="00C74B6F" w:rsidRPr="006816DA" w:rsidRDefault="000E470A" w:rsidP="00F4095A">
            <w:pPr>
              <w:pStyle w:val="zSoquijdatGreffe"/>
            </w:pPr>
            <w:r w:rsidRPr="006816DA">
              <w:t>Yamaska</w:t>
            </w:r>
          </w:p>
        </w:tc>
      </w:tr>
      <w:bookmarkEnd w:id="1"/>
      <w:tr w:rsidR="00C74B6F" w:rsidRPr="006816DA" w14:paraId="3D1119D7" w14:textId="77777777" w:rsidTr="00036794">
        <w:trPr>
          <w:cantSplit/>
        </w:trPr>
        <w:tc>
          <w:tcPr>
            <w:tcW w:w="9568" w:type="dxa"/>
            <w:gridSpan w:val="4"/>
          </w:tcPr>
          <w:p w14:paraId="50753F7A" w14:textId="77777777" w:rsidR="00C74B6F" w:rsidRPr="006816DA" w:rsidRDefault="00C74B6F"/>
        </w:tc>
      </w:tr>
      <w:tr w:rsidR="00C74B6F" w:rsidRPr="006816DA" w14:paraId="0E9BD55E" w14:textId="77777777" w:rsidTr="00036794">
        <w:tc>
          <w:tcPr>
            <w:tcW w:w="3331" w:type="dxa"/>
          </w:tcPr>
          <w:p w14:paraId="541923DF" w14:textId="77777777" w:rsidR="00C74B6F" w:rsidRPr="006816DA" w:rsidRDefault="0084255F" w:rsidP="000E470A">
            <w:bookmarkStart w:id="2" w:name="ref_dossier" w:colFirst="1" w:colLast="1"/>
            <w:r w:rsidRPr="006816DA">
              <w:t>Dossier</w:t>
            </w:r>
            <w:bookmarkStart w:id="3" w:name="dossiers"/>
            <w:bookmarkEnd w:id="3"/>
            <w:r w:rsidR="000E470A" w:rsidRPr="006816DA">
              <w:t>s</w:t>
            </w:r>
            <w:r w:rsidRPr="006816DA">
              <w:t> :</w:t>
            </w:r>
          </w:p>
        </w:tc>
        <w:tc>
          <w:tcPr>
            <w:tcW w:w="6237" w:type="dxa"/>
            <w:gridSpan w:val="3"/>
          </w:tcPr>
          <w:p w14:paraId="638208E3" w14:textId="77777777" w:rsidR="00C74B6F" w:rsidRPr="006816DA" w:rsidRDefault="000E470A" w:rsidP="000E470A">
            <w:pPr>
              <w:pStyle w:val="zSoquijdatNoDossier"/>
              <w:tabs>
                <w:tab w:val="left" w:pos="2340"/>
              </w:tabs>
            </w:pPr>
            <w:r w:rsidRPr="006816DA">
              <w:t>1257298-62B-2112</w:t>
            </w:r>
            <w:r w:rsidRPr="006816DA">
              <w:tab/>
              <w:t>1257315-62B-2112</w:t>
            </w:r>
          </w:p>
        </w:tc>
      </w:tr>
      <w:bookmarkEnd w:id="2"/>
      <w:tr w:rsidR="00C74B6F" w:rsidRPr="006816DA" w14:paraId="5F05FA23" w14:textId="77777777" w:rsidTr="00036794">
        <w:trPr>
          <w:cantSplit/>
        </w:trPr>
        <w:tc>
          <w:tcPr>
            <w:tcW w:w="9568" w:type="dxa"/>
            <w:gridSpan w:val="4"/>
          </w:tcPr>
          <w:p w14:paraId="0B553604" w14:textId="77777777" w:rsidR="00C74B6F" w:rsidRPr="006816DA" w:rsidRDefault="00D44BCF">
            <w:r w:rsidRPr="006816DA">
              <w:fldChar w:fldCharType="begin"/>
            </w:r>
            <w:r w:rsidRPr="006816DA">
              <w:instrText xml:space="preserve"> AUTOTEXTLIST  \* Upper  \* MERGEFORMAT </w:instrText>
            </w:r>
            <w:r w:rsidRPr="006816DA">
              <w:fldChar w:fldCharType="end"/>
            </w:r>
          </w:p>
        </w:tc>
      </w:tr>
      <w:tr w:rsidR="00C74B6F" w:rsidRPr="006816DA" w14:paraId="38825B69" w14:textId="77777777" w:rsidTr="00036794">
        <w:tc>
          <w:tcPr>
            <w:tcW w:w="3331" w:type="dxa"/>
          </w:tcPr>
          <w:p w14:paraId="035A03E2" w14:textId="77777777" w:rsidR="00C74B6F" w:rsidRPr="006816DA" w:rsidRDefault="008C79A7" w:rsidP="000E470A">
            <w:pPr>
              <w:ind w:right="46"/>
            </w:pPr>
            <w:r w:rsidRPr="006816DA">
              <w:t xml:space="preserve">Dossier </w:t>
            </w:r>
            <w:r w:rsidR="000E470A" w:rsidRPr="006816DA">
              <w:rPr>
                <w:szCs w:val="24"/>
              </w:rPr>
              <w:t>CNESST </w:t>
            </w:r>
            <w:r w:rsidRPr="006816DA">
              <w:rPr>
                <w:szCs w:val="24"/>
              </w:rPr>
              <w:t>:</w:t>
            </w:r>
          </w:p>
        </w:tc>
        <w:tc>
          <w:tcPr>
            <w:tcW w:w="6237" w:type="dxa"/>
            <w:gridSpan w:val="3"/>
          </w:tcPr>
          <w:p w14:paraId="2F53AF8C" w14:textId="77777777" w:rsidR="00C74B6F" w:rsidRPr="006816DA" w:rsidRDefault="000E470A" w:rsidP="004D6CEA">
            <w:pPr>
              <w:pStyle w:val="zSoquijdatNCSST"/>
            </w:pPr>
            <w:r w:rsidRPr="006816DA">
              <w:t>510474927</w:t>
            </w:r>
          </w:p>
        </w:tc>
      </w:tr>
      <w:tr w:rsidR="00C74B6F" w:rsidRPr="006816DA" w14:paraId="33384959" w14:textId="77777777" w:rsidTr="00036794">
        <w:trPr>
          <w:cantSplit/>
        </w:trPr>
        <w:tc>
          <w:tcPr>
            <w:tcW w:w="9568" w:type="dxa"/>
            <w:gridSpan w:val="4"/>
          </w:tcPr>
          <w:p w14:paraId="7BF9A4E8" w14:textId="77777777" w:rsidR="00C74B6F" w:rsidRPr="006816DA" w:rsidRDefault="00C74B6F"/>
        </w:tc>
      </w:tr>
      <w:tr w:rsidR="00C74B6F" w:rsidRPr="006816DA" w14:paraId="135CE431" w14:textId="77777777" w:rsidTr="00036794">
        <w:trPr>
          <w:cantSplit/>
        </w:trPr>
        <w:tc>
          <w:tcPr>
            <w:tcW w:w="9568" w:type="dxa"/>
            <w:gridSpan w:val="4"/>
          </w:tcPr>
          <w:p w14:paraId="1162B8EC" w14:textId="77777777" w:rsidR="00C74B6F" w:rsidRPr="006816DA" w:rsidRDefault="00C74B6F"/>
        </w:tc>
      </w:tr>
      <w:tr w:rsidR="006E3DD8" w:rsidRPr="006816DA" w14:paraId="2FB8FC38" w14:textId="77777777" w:rsidTr="00036794">
        <w:trPr>
          <w:cantSplit/>
        </w:trPr>
        <w:tc>
          <w:tcPr>
            <w:tcW w:w="3331" w:type="dxa"/>
          </w:tcPr>
          <w:p w14:paraId="6DAAF6F4" w14:textId="77777777" w:rsidR="006E3DD8" w:rsidRPr="006816DA" w:rsidRDefault="000E470A" w:rsidP="0076350E">
            <w:pPr>
              <w:ind w:right="-70"/>
            </w:pPr>
            <w:r w:rsidRPr="006816DA">
              <w:t>Saint-Hyacinthe</w:t>
            </w:r>
            <w:r w:rsidR="00C04E32" w:rsidRPr="006816DA">
              <w:t>,</w:t>
            </w:r>
          </w:p>
        </w:tc>
        <w:tc>
          <w:tcPr>
            <w:tcW w:w="6237" w:type="dxa"/>
            <w:gridSpan w:val="3"/>
          </w:tcPr>
          <w:p w14:paraId="52D0CF99" w14:textId="116A0673" w:rsidR="006E3DD8" w:rsidRPr="006816DA" w:rsidRDefault="00C04E32" w:rsidP="000E470A">
            <w:pPr>
              <w:pStyle w:val="zSoquijdatDateJugement"/>
            </w:pPr>
            <w:r w:rsidRPr="006816DA">
              <w:t xml:space="preserve">le </w:t>
            </w:r>
            <w:r w:rsidR="008A4C99" w:rsidRPr="006816DA">
              <w:t>5</w:t>
            </w:r>
            <w:r w:rsidR="003E4270" w:rsidRPr="006816DA">
              <w:t xml:space="preserve"> décembre</w:t>
            </w:r>
            <w:r w:rsidR="000E470A" w:rsidRPr="006816DA">
              <w:t xml:space="preserve"> 2023</w:t>
            </w:r>
          </w:p>
        </w:tc>
      </w:tr>
      <w:tr w:rsidR="00942AB8" w:rsidRPr="006816DA" w14:paraId="2820D50C" w14:textId="77777777" w:rsidTr="00036794">
        <w:trPr>
          <w:cantSplit/>
        </w:trPr>
        <w:tc>
          <w:tcPr>
            <w:tcW w:w="9568" w:type="dxa"/>
            <w:gridSpan w:val="4"/>
          </w:tcPr>
          <w:p w14:paraId="66B0CFCD" w14:textId="77777777" w:rsidR="00942AB8" w:rsidRPr="006816DA" w:rsidRDefault="00942AB8" w:rsidP="00FA153F">
            <w:r w:rsidRPr="006816DA">
              <w:t>______________________________________________________________________</w:t>
            </w:r>
          </w:p>
        </w:tc>
      </w:tr>
      <w:tr w:rsidR="00942AB8" w:rsidRPr="006816DA" w14:paraId="45AE65BA" w14:textId="77777777" w:rsidTr="00036794">
        <w:trPr>
          <w:cantSplit/>
          <w:trHeight w:val="148"/>
        </w:trPr>
        <w:tc>
          <w:tcPr>
            <w:tcW w:w="9568" w:type="dxa"/>
            <w:gridSpan w:val="4"/>
          </w:tcPr>
          <w:p w14:paraId="0E9A0494" w14:textId="77777777" w:rsidR="00942AB8" w:rsidRPr="006816DA" w:rsidRDefault="00942AB8" w:rsidP="00FA153F"/>
        </w:tc>
      </w:tr>
      <w:tr w:rsidR="0035375B" w:rsidRPr="006816DA" w14:paraId="64DC426B" w14:textId="77777777" w:rsidTr="00036794">
        <w:trPr>
          <w:cantSplit/>
          <w:trHeight w:val="148"/>
        </w:trPr>
        <w:tc>
          <w:tcPr>
            <w:tcW w:w="5883" w:type="dxa"/>
            <w:gridSpan w:val="3"/>
          </w:tcPr>
          <w:p w14:paraId="4E8160BE" w14:textId="77777777" w:rsidR="0035375B" w:rsidRPr="006816DA" w:rsidRDefault="0035375B" w:rsidP="000E470A">
            <w:pPr>
              <w:rPr>
                <w:b/>
                <w:bCs/>
              </w:rPr>
            </w:pPr>
            <w:bookmarkStart w:id="4" w:name="ref_commissaire" w:colFirst="1" w:colLast="1"/>
            <w:r w:rsidRPr="006816DA">
              <w:rPr>
                <w:b/>
                <w:bCs/>
              </w:rPr>
              <w:t>DEVANT L</w:t>
            </w:r>
            <w:r w:rsidR="000E470A" w:rsidRPr="006816DA">
              <w:rPr>
                <w:b/>
                <w:bCs/>
              </w:rPr>
              <w:t>E</w:t>
            </w:r>
            <w:r w:rsidRPr="006816DA">
              <w:rPr>
                <w:b/>
                <w:bCs/>
              </w:rPr>
              <w:t xml:space="preserve"> JUGE ADMINISTRATI</w:t>
            </w:r>
            <w:r w:rsidR="000E470A" w:rsidRPr="006816DA">
              <w:rPr>
                <w:b/>
                <w:bCs/>
              </w:rPr>
              <w:t>F</w:t>
            </w:r>
            <w:r w:rsidRPr="006816DA">
              <w:rPr>
                <w:b/>
                <w:bCs/>
              </w:rPr>
              <w:t> :</w:t>
            </w:r>
          </w:p>
        </w:tc>
        <w:tc>
          <w:tcPr>
            <w:tcW w:w="3685" w:type="dxa"/>
          </w:tcPr>
          <w:p w14:paraId="54694080" w14:textId="77777777" w:rsidR="0035375B" w:rsidRPr="006816DA" w:rsidRDefault="000E470A" w:rsidP="005B5689">
            <w:pPr>
              <w:pStyle w:val="zSoquijdatJuge"/>
              <w:rPr>
                <w:bCs/>
              </w:rPr>
            </w:pPr>
            <w:r w:rsidRPr="006816DA">
              <w:t>Hugues Magnan</w:t>
            </w:r>
          </w:p>
        </w:tc>
      </w:tr>
      <w:bookmarkEnd w:id="4"/>
      <w:tr w:rsidR="00942AB8" w:rsidRPr="006816DA" w14:paraId="4C5FE6D2" w14:textId="77777777" w:rsidTr="00036794">
        <w:trPr>
          <w:cantSplit/>
          <w:trHeight w:val="148"/>
        </w:trPr>
        <w:tc>
          <w:tcPr>
            <w:tcW w:w="9568" w:type="dxa"/>
            <w:gridSpan w:val="4"/>
          </w:tcPr>
          <w:p w14:paraId="70ECED7E" w14:textId="77777777" w:rsidR="00942AB8" w:rsidRPr="006816DA" w:rsidRDefault="00942AB8" w:rsidP="00FA153F">
            <w:r w:rsidRPr="006816DA">
              <w:t>______________________________________________________________________</w:t>
            </w:r>
          </w:p>
        </w:tc>
      </w:tr>
      <w:tr w:rsidR="00942AB8" w:rsidRPr="006816DA" w14:paraId="6C09A850" w14:textId="77777777" w:rsidTr="00036794">
        <w:tc>
          <w:tcPr>
            <w:tcW w:w="9568" w:type="dxa"/>
            <w:gridSpan w:val="4"/>
          </w:tcPr>
          <w:p w14:paraId="1626DD6F" w14:textId="77777777" w:rsidR="00942AB8" w:rsidRPr="006816DA" w:rsidRDefault="00942AB8"/>
        </w:tc>
      </w:tr>
      <w:tr w:rsidR="00942AB8" w:rsidRPr="006816DA" w14:paraId="1843273B" w14:textId="77777777" w:rsidTr="00E21768">
        <w:tc>
          <w:tcPr>
            <w:tcW w:w="4890" w:type="dxa"/>
            <w:gridSpan w:val="2"/>
          </w:tcPr>
          <w:p w14:paraId="498AFFB8" w14:textId="77777777" w:rsidR="00942AB8" w:rsidRPr="006816DA" w:rsidRDefault="00942AB8">
            <w:bookmarkStart w:id="5" w:name="bloc_parties_gauche"/>
            <w:bookmarkEnd w:id="5"/>
          </w:p>
        </w:tc>
        <w:tc>
          <w:tcPr>
            <w:tcW w:w="4678" w:type="dxa"/>
            <w:gridSpan w:val="2"/>
          </w:tcPr>
          <w:p w14:paraId="74811D04" w14:textId="77777777" w:rsidR="00942AB8" w:rsidRPr="006816DA" w:rsidRDefault="00942AB8"/>
        </w:tc>
      </w:tr>
      <w:tr w:rsidR="00942AB8" w:rsidRPr="006816DA" w14:paraId="7C37453F" w14:textId="77777777" w:rsidTr="00E21768">
        <w:tc>
          <w:tcPr>
            <w:tcW w:w="4890" w:type="dxa"/>
            <w:gridSpan w:val="2"/>
          </w:tcPr>
          <w:p w14:paraId="6344B0D0" w14:textId="77777777" w:rsidR="00942AB8" w:rsidRPr="006816DA" w:rsidRDefault="000E470A">
            <w:pPr>
              <w:pStyle w:val="zSoquijdatNomPartieDem"/>
              <w:rPr>
                <w:b/>
              </w:rPr>
            </w:pPr>
            <w:r w:rsidRPr="006816DA">
              <w:rPr>
                <w:b/>
              </w:rPr>
              <w:t>Société Terminaux Montréal Gateway</w:t>
            </w:r>
          </w:p>
        </w:tc>
        <w:tc>
          <w:tcPr>
            <w:tcW w:w="4678" w:type="dxa"/>
            <w:gridSpan w:val="2"/>
          </w:tcPr>
          <w:p w14:paraId="5D40061C" w14:textId="77777777" w:rsidR="00942AB8" w:rsidRPr="006816DA" w:rsidRDefault="00942AB8"/>
        </w:tc>
      </w:tr>
      <w:tr w:rsidR="00942AB8" w:rsidRPr="006816DA" w14:paraId="4BC3B426" w14:textId="77777777" w:rsidTr="00E21768">
        <w:tc>
          <w:tcPr>
            <w:tcW w:w="4890" w:type="dxa"/>
            <w:gridSpan w:val="2"/>
          </w:tcPr>
          <w:p w14:paraId="6F68835C" w14:textId="77777777" w:rsidR="00942AB8" w:rsidRPr="006816DA" w:rsidRDefault="000E470A" w:rsidP="007B0DF2">
            <w:pPr>
              <w:pStyle w:val="zSoquijdatQtePartieDem"/>
              <w:tabs>
                <w:tab w:val="left" w:pos="3539"/>
              </w:tabs>
              <w:ind w:left="708"/>
            </w:pPr>
            <w:bookmarkStart w:id="6" w:name="partie_demanderesse"/>
            <w:bookmarkEnd w:id="6"/>
            <w:r w:rsidRPr="006816DA">
              <w:t>Partie demanderesse</w:t>
            </w:r>
          </w:p>
        </w:tc>
        <w:tc>
          <w:tcPr>
            <w:tcW w:w="4678" w:type="dxa"/>
            <w:gridSpan w:val="2"/>
          </w:tcPr>
          <w:p w14:paraId="17845BD5" w14:textId="77777777" w:rsidR="00942AB8" w:rsidRPr="006816DA" w:rsidRDefault="00942AB8"/>
        </w:tc>
      </w:tr>
      <w:tr w:rsidR="00942AB8" w:rsidRPr="006816DA" w14:paraId="555E09E9" w14:textId="77777777" w:rsidTr="00E21768">
        <w:tc>
          <w:tcPr>
            <w:tcW w:w="4890" w:type="dxa"/>
            <w:gridSpan w:val="2"/>
          </w:tcPr>
          <w:p w14:paraId="2DE2F15E" w14:textId="77777777" w:rsidR="00942AB8" w:rsidRPr="006816DA" w:rsidRDefault="00942AB8" w:rsidP="00E6363B"/>
        </w:tc>
        <w:tc>
          <w:tcPr>
            <w:tcW w:w="4678" w:type="dxa"/>
            <w:gridSpan w:val="2"/>
          </w:tcPr>
          <w:p w14:paraId="76527BA3" w14:textId="77777777" w:rsidR="00942AB8" w:rsidRPr="006816DA" w:rsidRDefault="00942AB8"/>
        </w:tc>
      </w:tr>
      <w:tr w:rsidR="00942AB8" w:rsidRPr="006816DA" w14:paraId="48C6FF9B" w14:textId="77777777" w:rsidTr="00E21768">
        <w:tc>
          <w:tcPr>
            <w:tcW w:w="4890" w:type="dxa"/>
            <w:gridSpan w:val="2"/>
          </w:tcPr>
          <w:p w14:paraId="13AF067D" w14:textId="77777777" w:rsidR="00942AB8" w:rsidRPr="006816DA" w:rsidRDefault="000E470A" w:rsidP="00D06652">
            <w:pPr>
              <w:pStyle w:val="zSoquijlblLienParties"/>
            </w:pPr>
            <w:r w:rsidRPr="006816DA">
              <w:t>et</w:t>
            </w:r>
          </w:p>
        </w:tc>
        <w:tc>
          <w:tcPr>
            <w:tcW w:w="4678" w:type="dxa"/>
            <w:gridSpan w:val="2"/>
          </w:tcPr>
          <w:p w14:paraId="3C98B0E4" w14:textId="77777777" w:rsidR="00942AB8" w:rsidRPr="006816DA" w:rsidRDefault="00942AB8"/>
        </w:tc>
      </w:tr>
      <w:tr w:rsidR="00942AB8" w:rsidRPr="006816DA" w14:paraId="3FAC588B" w14:textId="77777777" w:rsidTr="00E21768">
        <w:tc>
          <w:tcPr>
            <w:tcW w:w="4890" w:type="dxa"/>
            <w:gridSpan w:val="2"/>
          </w:tcPr>
          <w:p w14:paraId="1548C2EA" w14:textId="77777777" w:rsidR="00942AB8" w:rsidRPr="006816DA" w:rsidRDefault="00942AB8"/>
        </w:tc>
        <w:tc>
          <w:tcPr>
            <w:tcW w:w="4678" w:type="dxa"/>
            <w:gridSpan w:val="2"/>
          </w:tcPr>
          <w:p w14:paraId="236A4A2D" w14:textId="77777777" w:rsidR="00942AB8" w:rsidRPr="006816DA" w:rsidRDefault="00942AB8"/>
        </w:tc>
      </w:tr>
      <w:tr w:rsidR="00942AB8" w:rsidRPr="006816DA" w14:paraId="00B87380" w14:textId="77777777" w:rsidTr="00E21768">
        <w:tc>
          <w:tcPr>
            <w:tcW w:w="4890" w:type="dxa"/>
            <w:gridSpan w:val="2"/>
          </w:tcPr>
          <w:p w14:paraId="51CDAF2D" w14:textId="77777777" w:rsidR="00942AB8" w:rsidRPr="006816DA" w:rsidRDefault="000E470A">
            <w:pPr>
              <w:pStyle w:val="zSoquijdatNomPartieDef"/>
              <w:rPr>
                <w:b/>
              </w:rPr>
            </w:pPr>
            <w:r w:rsidRPr="006816DA">
              <w:rPr>
                <w:b/>
              </w:rPr>
              <w:t>Stéphane Majeau</w:t>
            </w:r>
          </w:p>
        </w:tc>
        <w:tc>
          <w:tcPr>
            <w:tcW w:w="4678" w:type="dxa"/>
            <w:gridSpan w:val="2"/>
          </w:tcPr>
          <w:p w14:paraId="5AC633A7" w14:textId="77777777" w:rsidR="00942AB8" w:rsidRPr="006816DA" w:rsidRDefault="00942AB8"/>
        </w:tc>
      </w:tr>
      <w:tr w:rsidR="00942AB8" w:rsidRPr="006816DA" w14:paraId="627CFD0B" w14:textId="77777777" w:rsidTr="00E21768">
        <w:tc>
          <w:tcPr>
            <w:tcW w:w="4890" w:type="dxa"/>
            <w:gridSpan w:val="2"/>
          </w:tcPr>
          <w:p w14:paraId="3F33A335" w14:textId="77777777" w:rsidR="00942AB8" w:rsidRPr="006816DA" w:rsidRDefault="000E470A">
            <w:pPr>
              <w:pStyle w:val="zSoquijdatQtePartieDef"/>
              <w:ind w:left="708"/>
            </w:pPr>
            <w:r w:rsidRPr="006816DA">
              <w:t>Partie mise en cause</w:t>
            </w:r>
          </w:p>
        </w:tc>
        <w:tc>
          <w:tcPr>
            <w:tcW w:w="4678" w:type="dxa"/>
            <w:gridSpan w:val="2"/>
          </w:tcPr>
          <w:p w14:paraId="3B08FA74" w14:textId="77777777" w:rsidR="00942AB8" w:rsidRPr="006816DA" w:rsidRDefault="00942AB8"/>
        </w:tc>
      </w:tr>
      <w:tr w:rsidR="0065093D" w:rsidRPr="006816DA" w14:paraId="560CCBC0" w14:textId="77777777" w:rsidTr="00E21768">
        <w:tc>
          <w:tcPr>
            <w:tcW w:w="4890" w:type="dxa"/>
            <w:gridSpan w:val="2"/>
          </w:tcPr>
          <w:p w14:paraId="70048515" w14:textId="77777777" w:rsidR="0065093D" w:rsidRPr="006816DA" w:rsidRDefault="0065093D"/>
        </w:tc>
        <w:tc>
          <w:tcPr>
            <w:tcW w:w="4678" w:type="dxa"/>
            <w:gridSpan w:val="2"/>
          </w:tcPr>
          <w:p w14:paraId="78725AA8" w14:textId="77777777" w:rsidR="0065093D" w:rsidRPr="006816DA" w:rsidRDefault="0065093D"/>
        </w:tc>
      </w:tr>
    </w:tbl>
    <w:p w14:paraId="43F1742B" w14:textId="77777777" w:rsidR="00C74B6F" w:rsidRPr="006816DA" w:rsidRDefault="00C74B6F">
      <w:r w:rsidRPr="006816DA">
        <w:t>______________________________________________________________________</w:t>
      </w:r>
    </w:p>
    <w:p w14:paraId="21027349" w14:textId="77777777" w:rsidR="00C74B6F" w:rsidRPr="006816DA" w:rsidRDefault="00C74B6F"/>
    <w:p w14:paraId="760D6CF1" w14:textId="77777777" w:rsidR="00C74B6F" w:rsidRPr="006816DA" w:rsidRDefault="00C74B6F" w:rsidP="008B042E">
      <w:pPr>
        <w:jc w:val="center"/>
        <w:rPr>
          <w:b/>
          <w:bCs/>
        </w:rPr>
      </w:pPr>
      <w:bookmarkStart w:id="7" w:name="decision"/>
      <w:r w:rsidRPr="006816DA">
        <w:rPr>
          <w:b/>
          <w:bCs/>
        </w:rPr>
        <w:t>DÉCISION</w:t>
      </w:r>
      <w:bookmarkEnd w:id="7"/>
    </w:p>
    <w:p w14:paraId="7C1946F1" w14:textId="77777777" w:rsidR="008F20EA" w:rsidRPr="006816DA" w:rsidRDefault="008F20EA" w:rsidP="008F20EA">
      <w:bookmarkStart w:id="8" w:name="separation"/>
      <w:bookmarkStart w:id="9" w:name="parag_1"/>
      <w:r w:rsidRPr="006816DA">
        <w:t>______________________________________________________________________</w:t>
      </w:r>
    </w:p>
    <w:p w14:paraId="70C3933E" w14:textId="77777777" w:rsidR="008F20EA" w:rsidRPr="006816DA" w:rsidRDefault="008F20EA" w:rsidP="008F20EA">
      <w:pPr>
        <w:pStyle w:val="corpsdedcision"/>
        <w:numPr>
          <w:ilvl w:val="0"/>
          <w:numId w:val="0"/>
        </w:numPr>
        <w:spacing w:before="360"/>
      </w:pPr>
      <w:bookmarkStart w:id="10" w:name="supprimer_apercu"/>
      <w:bookmarkEnd w:id="8"/>
      <w:r w:rsidRPr="006816DA">
        <w:rPr>
          <w:b/>
          <w:bCs/>
          <w:u w:val="single"/>
        </w:rPr>
        <w:t>L’APERÇU</w:t>
      </w:r>
    </w:p>
    <w:bookmarkEnd w:id="10"/>
    <w:bookmarkEnd w:id="9"/>
    <w:p w14:paraId="19F4AFEE" w14:textId="7B1942C3" w:rsidR="0001049C" w:rsidRPr="006816DA" w:rsidRDefault="0001049C">
      <w:pPr>
        <w:pStyle w:val="corpsdedcision"/>
      </w:pPr>
      <w:r w:rsidRPr="006816DA">
        <w:t>Monsieur Stéphane Majeau est débardeur au port de Montréal pour la Société</w:t>
      </w:r>
      <w:r w:rsidR="00ED2174" w:rsidRPr="006816DA">
        <w:t> </w:t>
      </w:r>
      <w:r w:rsidRPr="006816DA">
        <w:t>Terminaux Montréal Gateway. Il opère un chariot de manutention</w:t>
      </w:r>
      <w:r w:rsidR="00326709" w:rsidRPr="006816DA">
        <w:t xml:space="preserve"> utilisé pour l</w:t>
      </w:r>
      <w:r w:rsidR="004F05EE" w:rsidRPr="006816DA">
        <w:t>a</w:t>
      </w:r>
      <w:r w:rsidR="00326709" w:rsidRPr="006816DA">
        <w:t xml:space="preserve"> </w:t>
      </w:r>
      <w:r w:rsidR="004F05EE" w:rsidRPr="006816DA">
        <w:t>manipulation</w:t>
      </w:r>
      <w:r w:rsidR="00326709" w:rsidRPr="006816DA">
        <w:t xml:space="preserve"> des conteneurs présents sur le site.</w:t>
      </w:r>
    </w:p>
    <w:p w14:paraId="5B0E016B" w14:textId="0829A727" w:rsidR="00326709" w:rsidRPr="006816DA" w:rsidRDefault="00EF752A" w:rsidP="00326709">
      <w:pPr>
        <w:pStyle w:val="corpsdedcision"/>
      </w:pPr>
      <w:r w:rsidRPr="006816DA">
        <w:t>Le 17 juin </w:t>
      </w:r>
      <w:r w:rsidR="0001049C" w:rsidRPr="006816DA">
        <w:t xml:space="preserve">2021, </w:t>
      </w:r>
      <w:r w:rsidR="00326709" w:rsidRPr="006816DA">
        <w:t xml:space="preserve">lors d’un déplacement avec le chariot de manutention, le palonnier de celui-ci accroche une pile de conteneurs </w:t>
      </w:r>
      <w:r w:rsidR="002D10C1" w:rsidRPr="006816DA">
        <w:t>situé</w:t>
      </w:r>
      <w:r w:rsidR="00BA60B8" w:rsidRPr="006816DA">
        <w:t>e</w:t>
      </w:r>
      <w:r w:rsidR="002D10C1" w:rsidRPr="006816DA">
        <w:t xml:space="preserve"> à sa droite </w:t>
      </w:r>
      <w:r w:rsidR="00326709" w:rsidRPr="006816DA">
        <w:t>et deux d’entre eux tombent</w:t>
      </w:r>
      <w:r w:rsidR="00BA60B8" w:rsidRPr="006816DA">
        <w:t xml:space="preserve"> au</w:t>
      </w:r>
      <w:r w:rsidR="00326709" w:rsidRPr="006816DA">
        <w:t xml:space="preserve"> sol</w:t>
      </w:r>
      <w:r w:rsidR="002D10C1" w:rsidRPr="006816DA">
        <w:t>,</w:t>
      </w:r>
      <w:r w:rsidR="00326709" w:rsidRPr="006816DA">
        <w:t xml:space="preserve"> à proximité du chariot de manutention d’un autre travailleur. Quelques minutes plus tard s’ensuit une violente altercation physique entre les deux individus</w:t>
      </w:r>
      <w:r w:rsidR="004F05EE" w:rsidRPr="006816DA">
        <w:t xml:space="preserve"> en lien avec cet incident</w:t>
      </w:r>
      <w:r w:rsidR="00326709" w:rsidRPr="006816DA">
        <w:t>.</w:t>
      </w:r>
    </w:p>
    <w:p w14:paraId="43595C68" w14:textId="046810F6" w:rsidR="00EF752A" w:rsidRPr="006816DA" w:rsidRDefault="00326709" w:rsidP="00EF752A">
      <w:pPr>
        <w:pStyle w:val="corpsdedcision"/>
      </w:pPr>
      <w:r w:rsidRPr="006816DA">
        <w:t>Ces événements amènent le travailleur à consulter deux professionnels de la santé qui posent les diagnostics de trauma à la main droite et de trouble anxieux exacerbé.</w:t>
      </w:r>
      <w:r w:rsidR="00EF752A" w:rsidRPr="006816DA">
        <w:t xml:space="preserve"> Ceux-ci sont éventuellement </w:t>
      </w:r>
      <w:r w:rsidRPr="006816DA">
        <w:t>reconnus</w:t>
      </w:r>
      <w:r w:rsidR="00EF752A" w:rsidRPr="006816DA">
        <w:rPr>
          <w:rStyle w:val="Appelnotedebasdep"/>
        </w:rPr>
        <w:footnoteReference w:id="1"/>
      </w:r>
      <w:r w:rsidRPr="006816DA">
        <w:t xml:space="preserve"> par la Commission des normes, de l’équité, de la santé et de la sécurité du travail à titre de lésion</w:t>
      </w:r>
      <w:r w:rsidR="006C146E" w:rsidRPr="006816DA">
        <w:t xml:space="preserve"> professionnelle</w:t>
      </w:r>
      <w:r w:rsidRPr="006816DA">
        <w:t>. L’employeur conteste</w:t>
      </w:r>
      <w:r w:rsidR="00EF752A" w:rsidRPr="006816DA">
        <w:t xml:space="preserve"> cependant cette décision en révision administrative</w:t>
      </w:r>
      <w:bookmarkStart w:id="11" w:name="supprimer_analyse"/>
      <w:r w:rsidR="002D10C1" w:rsidRPr="006816DA">
        <w:t xml:space="preserve"> qui </w:t>
      </w:r>
      <w:r w:rsidR="00EF752A" w:rsidRPr="006816DA">
        <w:t>modifie</w:t>
      </w:r>
      <w:r w:rsidR="00EF752A" w:rsidRPr="006816DA">
        <w:rPr>
          <w:rStyle w:val="Appelnotedebasdep"/>
        </w:rPr>
        <w:footnoteReference w:id="2"/>
      </w:r>
      <w:r w:rsidR="00EF752A" w:rsidRPr="006816DA">
        <w:t xml:space="preserve"> la décision initiale de la Commission et retient uniquement le diagnostic de trouble anxieux exacerbé en lien avec les événements susmentionnés. L’employeur conteste cette </w:t>
      </w:r>
      <w:r w:rsidR="00BA60B8" w:rsidRPr="006816DA">
        <w:t xml:space="preserve">dernière </w:t>
      </w:r>
      <w:r w:rsidR="00EF752A" w:rsidRPr="006816DA">
        <w:t>décision devant le Tribunal</w:t>
      </w:r>
      <w:r w:rsidR="004F05EE" w:rsidRPr="006816DA">
        <w:t xml:space="preserve"> administratif du travail</w:t>
      </w:r>
      <w:r w:rsidR="00EF752A" w:rsidRPr="006816DA">
        <w:t>.</w:t>
      </w:r>
    </w:p>
    <w:p w14:paraId="563AE942" w14:textId="695431B1" w:rsidR="00EF752A" w:rsidRPr="006816DA" w:rsidRDefault="00EF752A" w:rsidP="00EF752A">
      <w:pPr>
        <w:pStyle w:val="corpsdedcision"/>
      </w:pPr>
      <w:r w:rsidRPr="006816DA">
        <w:t xml:space="preserve">L’employeur conteste également la décision de la révision administrative du 3 décembre 2021 qui déclare que le travailleur est apte à exercer son emploi en date du 19 octobre 2021 et que ses droits à l’assistance médicale et au versement d’une indemnité de remplacement du revenu </w:t>
      </w:r>
      <w:r w:rsidR="00BA60B8" w:rsidRPr="006816DA">
        <w:t>se terminent</w:t>
      </w:r>
      <w:r w:rsidRPr="006816DA">
        <w:t xml:space="preserve"> à cette même date.</w:t>
      </w:r>
    </w:p>
    <w:p w14:paraId="2D135CE6" w14:textId="0F17A88B" w:rsidR="00920336" w:rsidRPr="006816DA" w:rsidRDefault="00920336" w:rsidP="00535613">
      <w:pPr>
        <w:pStyle w:val="corpsdedcision"/>
      </w:pPr>
      <w:r w:rsidRPr="006816DA">
        <w:t xml:space="preserve">Lors de l’audience, </w:t>
      </w:r>
      <w:r w:rsidR="004F05EE" w:rsidRPr="006816DA">
        <w:t>il</w:t>
      </w:r>
      <w:r w:rsidRPr="006816DA">
        <w:t xml:space="preserve"> expose que</w:t>
      </w:r>
      <w:r w:rsidR="004F05EE" w:rsidRPr="006816DA">
        <w:t xml:space="preserve"> la série d’incidents du 17</w:t>
      </w:r>
      <w:r w:rsidR="00535613" w:rsidRPr="006816DA">
        <w:t> </w:t>
      </w:r>
      <w:r w:rsidR="004F05EE" w:rsidRPr="006816DA">
        <w:t>juin</w:t>
      </w:r>
      <w:r w:rsidR="00535613" w:rsidRPr="006816DA">
        <w:t> </w:t>
      </w:r>
      <w:r w:rsidR="004F05EE" w:rsidRPr="006816DA">
        <w:t xml:space="preserve">2021 ne constitue pas un événement imprévu et soudain au sens de la </w:t>
      </w:r>
      <w:r w:rsidR="004F05EE" w:rsidRPr="006816DA">
        <w:rPr>
          <w:i/>
          <w:iCs/>
        </w:rPr>
        <w:t>Loi sur les accidents du travail et les maladies professionnelles</w:t>
      </w:r>
      <w:r w:rsidR="004F05EE" w:rsidRPr="006816DA">
        <w:rPr>
          <w:rStyle w:val="Appelnotedebasdep"/>
          <w:i/>
          <w:iCs/>
        </w:rPr>
        <w:footnoteReference w:id="3"/>
      </w:r>
      <w:r w:rsidR="004F05EE" w:rsidRPr="006816DA">
        <w:t>, la Loi, et qu’elle n’est pas responsable de l</w:t>
      </w:r>
      <w:r w:rsidR="00535613" w:rsidRPr="006816DA">
        <w:t xml:space="preserve">’aggravation de la </w:t>
      </w:r>
      <w:r w:rsidR="004F05EE" w:rsidRPr="006816DA">
        <w:t xml:space="preserve">lésion psychologique </w:t>
      </w:r>
      <w:r w:rsidR="00535613" w:rsidRPr="006816DA">
        <w:t>personnelle diagnostiquée chez le travailleur à compter du 2 juillet 2021. Il ajoute, de façon subsidiaire, que si le Tribunal reconnait la survenance d’un accident du travail à la date susmentionnée, la lésion psychologique qui en résulte est</w:t>
      </w:r>
      <w:r w:rsidR="004F05EE" w:rsidRPr="006816DA">
        <w:t xml:space="preserve"> uniquement </w:t>
      </w:r>
      <w:r w:rsidR="00535613" w:rsidRPr="006816DA">
        <w:t>due à la</w:t>
      </w:r>
      <w:r w:rsidR="004F05EE" w:rsidRPr="006816DA">
        <w:t xml:space="preserve"> négligence grossière et volontaire </w:t>
      </w:r>
      <w:r w:rsidR="00535613" w:rsidRPr="006816DA">
        <w:t xml:space="preserve">du travailleur. Il demande donc au Tribunal de conclure que le travailleur n’a pas subi de lésion professionnelle à la date alléguée. Il n’a aucun argument à soumettre concernant </w:t>
      </w:r>
      <w:r w:rsidR="002D10C1" w:rsidRPr="006816DA">
        <w:t>l’autre contestation pendante.</w:t>
      </w:r>
      <w:r w:rsidR="00535613" w:rsidRPr="006816DA">
        <w:t xml:space="preserve"> </w:t>
      </w:r>
    </w:p>
    <w:p w14:paraId="5ADFA7D0" w14:textId="3986D863" w:rsidR="00920336" w:rsidRPr="006816DA" w:rsidRDefault="00920336" w:rsidP="00EF752A">
      <w:pPr>
        <w:pStyle w:val="corpsdedcision"/>
      </w:pPr>
      <w:r w:rsidRPr="006816DA">
        <w:t>Pour sa part, le travailleur argue qu</w:t>
      </w:r>
      <w:r w:rsidR="00535613" w:rsidRPr="006816DA">
        <w:t>’il s’est produit, par le fait et à l’occasion du travail, deux événements imprévus et soudains au sens de la Loi et que ceux-ci sont responsable</w:t>
      </w:r>
      <w:r w:rsidR="002D10C1" w:rsidRPr="006816DA">
        <w:t>s</w:t>
      </w:r>
      <w:r w:rsidR="00535613" w:rsidRPr="006816DA">
        <w:t xml:space="preserve"> de l’exacerbation de son trouble anxieux préexistant. </w:t>
      </w:r>
      <w:r w:rsidR="002D10C1" w:rsidRPr="006816DA">
        <w:t>Il ajoute ne pas avoir volontairement heurté la pile de conteneur</w:t>
      </w:r>
      <w:r w:rsidR="00BA60B8" w:rsidRPr="006816DA">
        <w:t>s</w:t>
      </w:r>
      <w:r w:rsidR="002D10C1" w:rsidRPr="006816DA">
        <w:t xml:space="preserve"> avec le chariot de manutention et ne pas avoir </w:t>
      </w:r>
      <w:r w:rsidR="00BA60B8" w:rsidRPr="006816DA">
        <w:t>amorcé</w:t>
      </w:r>
      <w:r w:rsidR="002D10C1" w:rsidRPr="006816DA">
        <w:t xml:space="preserve"> l’altercation avec son collègue de travail. Il demande au Tribunal de maintenir les deux décisions de la Commission</w:t>
      </w:r>
      <w:r w:rsidR="00BA60B8" w:rsidRPr="006816DA">
        <w:t>.</w:t>
      </w:r>
    </w:p>
    <w:p w14:paraId="5135C29C" w14:textId="652A70B5" w:rsidR="00920336" w:rsidRPr="006816DA" w:rsidRDefault="00920336" w:rsidP="00EF752A">
      <w:pPr>
        <w:pStyle w:val="corpsdedcision"/>
      </w:pPr>
      <w:r w:rsidRPr="006816DA">
        <w:t xml:space="preserve">Après analyse et pour les motifs qui vont suivre, le Tribunal juge que </w:t>
      </w:r>
      <w:r w:rsidR="002D10C1" w:rsidRPr="006816DA">
        <w:t>l’exacerbation du trouble anxieux personnel du travailleur découle des événements imprévus et soudain</w:t>
      </w:r>
      <w:r w:rsidR="00BA60B8" w:rsidRPr="006816DA">
        <w:t>s</w:t>
      </w:r>
      <w:r w:rsidR="002D10C1" w:rsidRPr="006816DA">
        <w:t xml:space="preserve"> du 17</w:t>
      </w:r>
      <w:r w:rsidR="001D0F6A" w:rsidRPr="006816DA">
        <w:t> </w:t>
      </w:r>
      <w:r w:rsidR="002D10C1" w:rsidRPr="006816DA">
        <w:t>juin</w:t>
      </w:r>
      <w:r w:rsidR="001D0F6A" w:rsidRPr="006816DA">
        <w:t> </w:t>
      </w:r>
      <w:r w:rsidR="002D10C1" w:rsidRPr="006816DA">
        <w:t xml:space="preserve">2021. </w:t>
      </w:r>
      <w:r w:rsidR="001D0F6A" w:rsidRPr="006816DA">
        <w:t>M</w:t>
      </w:r>
      <w:r w:rsidR="002D10C1" w:rsidRPr="006816DA">
        <w:t>algré son comportement répréhensible</w:t>
      </w:r>
      <w:r w:rsidR="001D0F6A" w:rsidRPr="006816DA">
        <w:t>,</w:t>
      </w:r>
      <w:r w:rsidR="002D10C1" w:rsidRPr="006816DA">
        <w:t xml:space="preserve"> le travailleur n’a pas fait preuve de négligence grossière et volontaire au sens de la présente Loi. En raison de ces conclusions et de l’absence de demandes des parties visant à modifier la date de capacité de travail, la date de fin </w:t>
      </w:r>
      <w:r w:rsidR="00F776FC" w:rsidRPr="006816DA">
        <w:t>de l’assistance médicale</w:t>
      </w:r>
      <w:r w:rsidR="002D10C1" w:rsidRPr="006816DA">
        <w:t xml:space="preserve"> et la date de fin du droit à l’indemnité de remplacement du revenu, les décisions de la Commission en litige seront confirmées.</w:t>
      </w:r>
    </w:p>
    <w:p w14:paraId="1677B1AB" w14:textId="77777777" w:rsidR="007F1051" w:rsidRPr="006816DA" w:rsidRDefault="00082A97" w:rsidP="007F1051">
      <w:pPr>
        <w:pStyle w:val="corpsdedcision"/>
        <w:numPr>
          <w:ilvl w:val="0"/>
          <w:numId w:val="0"/>
        </w:numPr>
        <w:rPr>
          <w:b/>
          <w:bCs/>
          <w:u w:val="single"/>
        </w:rPr>
      </w:pPr>
      <w:r w:rsidRPr="006816DA">
        <w:rPr>
          <w:b/>
          <w:bCs/>
          <w:u w:val="single"/>
        </w:rPr>
        <w:t>L’ANALYSE</w:t>
      </w:r>
      <w:bookmarkEnd w:id="11"/>
    </w:p>
    <w:p w14:paraId="08E79C2E" w14:textId="2DC13D86" w:rsidR="007F1051" w:rsidRPr="006816DA" w:rsidRDefault="007F1051" w:rsidP="00C93FD1">
      <w:pPr>
        <w:pStyle w:val="corpsdedcision"/>
        <w:spacing w:after="240"/>
      </w:pPr>
      <w:r w:rsidRPr="006816DA">
        <w:t>Le Tribunal doit déterminer si le travailleur a subi une lésion professionnelle de nature psychologique à la suite des événements survenus le 17 juin 2021.</w:t>
      </w:r>
      <w:r w:rsidR="004F05EE" w:rsidRPr="006816DA">
        <w:t xml:space="preserve"> Pour ce faire</w:t>
      </w:r>
      <w:r w:rsidR="00F776FC" w:rsidRPr="006816DA">
        <w:t>,</w:t>
      </w:r>
      <w:r w:rsidR="004F05EE" w:rsidRPr="006816DA">
        <w:t xml:space="preserve"> il doit répondre aux </w:t>
      </w:r>
      <w:r w:rsidR="00520B6A" w:rsidRPr="006816DA">
        <w:t xml:space="preserve">cinq </w:t>
      </w:r>
      <w:r w:rsidR="004F05EE" w:rsidRPr="006816DA">
        <w:t>questions suivantes :</w:t>
      </w:r>
    </w:p>
    <w:p w14:paraId="38BA5944" w14:textId="30D3BA59" w:rsidR="001D0F6A" w:rsidRPr="006816DA" w:rsidRDefault="001D0F6A" w:rsidP="00C93FD1">
      <w:pPr>
        <w:pStyle w:val="corpsdedcision"/>
        <w:numPr>
          <w:ilvl w:val="0"/>
          <w:numId w:val="0"/>
        </w:numPr>
        <w:spacing w:after="240"/>
        <w:ind w:left="1418" w:hanging="1418"/>
        <w:rPr>
          <w:rFonts w:cs="Arial"/>
        </w:rPr>
      </w:pPr>
      <w:r w:rsidRPr="006816DA">
        <w:rPr>
          <w:rFonts w:cs="Arial"/>
        </w:rPr>
        <w:tab/>
        <w:t>●</w:t>
      </w:r>
      <w:r w:rsidRPr="006816DA">
        <w:rPr>
          <w:rFonts w:cs="Arial"/>
        </w:rPr>
        <w:tab/>
        <w:t>Est-ce que la chute du conteneur est un événement imprévu et soudain survenu par le fait du travail?</w:t>
      </w:r>
    </w:p>
    <w:p w14:paraId="31CD52CC" w14:textId="59F41685" w:rsidR="001D0F6A" w:rsidRPr="006816DA" w:rsidRDefault="001D0F6A" w:rsidP="00C93FD1">
      <w:pPr>
        <w:pStyle w:val="corpsdedcision"/>
        <w:numPr>
          <w:ilvl w:val="0"/>
          <w:numId w:val="0"/>
        </w:numPr>
        <w:spacing w:after="240"/>
        <w:ind w:left="1418" w:hanging="1418"/>
        <w:rPr>
          <w:rFonts w:cs="Arial"/>
        </w:rPr>
      </w:pPr>
      <w:r w:rsidRPr="006816DA">
        <w:rPr>
          <w:rFonts w:cs="Arial"/>
        </w:rPr>
        <w:tab/>
        <w:t>●</w:t>
      </w:r>
      <w:r w:rsidRPr="006816DA">
        <w:rPr>
          <w:rFonts w:cs="Arial"/>
        </w:rPr>
        <w:tab/>
        <w:t>Est-ce que l’altercation physique avec le collègue est un événement imprévu et soudain survenu à l’occasion du travail?</w:t>
      </w:r>
    </w:p>
    <w:p w14:paraId="62F9731A" w14:textId="1CE7EE82" w:rsidR="001D0F6A" w:rsidRPr="006816DA" w:rsidRDefault="001D0F6A" w:rsidP="00C93FD1">
      <w:pPr>
        <w:pStyle w:val="corpsdedcision"/>
        <w:numPr>
          <w:ilvl w:val="0"/>
          <w:numId w:val="0"/>
        </w:numPr>
        <w:spacing w:after="240"/>
        <w:ind w:left="1418" w:hanging="1418"/>
        <w:rPr>
          <w:rFonts w:cs="Arial"/>
        </w:rPr>
      </w:pPr>
      <w:r w:rsidRPr="006816DA">
        <w:rPr>
          <w:rFonts w:cs="Arial"/>
        </w:rPr>
        <w:tab/>
        <w:t>●</w:t>
      </w:r>
      <w:r w:rsidRPr="006816DA">
        <w:rPr>
          <w:rFonts w:cs="Arial"/>
        </w:rPr>
        <w:tab/>
        <w:t>Est-ce que ces événements sont la cause de l’exacerbation du trouble anxieux personnel du travailleur?</w:t>
      </w:r>
    </w:p>
    <w:p w14:paraId="42E6E146" w14:textId="3DEE7EDA" w:rsidR="001D0F6A" w:rsidRPr="006816DA" w:rsidRDefault="001D0F6A" w:rsidP="00C93FD1">
      <w:pPr>
        <w:pStyle w:val="corpsdedcision"/>
        <w:numPr>
          <w:ilvl w:val="0"/>
          <w:numId w:val="0"/>
        </w:numPr>
        <w:spacing w:after="240"/>
        <w:ind w:left="1418" w:hanging="1418"/>
        <w:rPr>
          <w:rFonts w:cs="Arial"/>
        </w:rPr>
      </w:pPr>
      <w:r w:rsidRPr="006816DA">
        <w:rPr>
          <w:rFonts w:cs="Arial"/>
        </w:rPr>
        <w:tab/>
        <w:t>●</w:t>
      </w:r>
      <w:r w:rsidRPr="006816DA">
        <w:rPr>
          <w:rFonts w:cs="Arial"/>
        </w:rPr>
        <w:tab/>
        <w:t>Est-ce que la lésion psychologique du travailleur résulte uniquement de sa négligence grossière et volontaire?</w:t>
      </w:r>
    </w:p>
    <w:p w14:paraId="717FAB3B" w14:textId="3EE2E630" w:rsidR="001D0F6A" w:rsidRPr="006816DA" w:rsidRDefault="001D0F6A" w:rsidP="00C93FD1">
      <w:pPr>
        <w:pStyle w:val="corpsdedcision"/>
        <w:numPr>
          <w:ilvl w:val="0"/>
          <w:numId w:val="0"/>
        </w:numPr>
        <w:ind w:left="1418" w:hanging="1418"/>
        <w:rPr>
          <w:rFonts w:cs="Arial"/>
        </w:rPr>
      </w:pPr>
      <w:r w:rsidRPr="006816DA">
        <w:rPr>
          <w:rFonts w:cs="Arial"/>
        </w:rPr>
        <w:tab/>
        <w:t>●</w:t>
      </w:r>
      <w:r w:rsidRPr="006816DA">
        <w:rPr>
          <w:rFonts w:cs="Arial"/>
        </w:rPr>
        <w:tab/>
        <w:t xml:space="preserve">Est-ce qu’il y a lieu de modifier la date de capacité de travail, la date de fin </w:t>
      </w:r>
      <w:r w:rsidR="00F776FC" w:rsidRPr="006816DA">
        <w:rPr>
          <w:rFonts w:cs="Arial"/>
        </w:rPr>
        <w:t>de l’assistance médicale</w:t>
      </w:r>
      <w:r w:rsidRPr="006816DA">
        <w:rPr>
          <w:rFonts w:cs="Arial"/>
        </w:rPr>
        <w:t xml:space="preserve"> et la date de fin du droit à l’indemnité de remplacement du revenu?</w:t>
      </w:r>
    </w:p>
    <w:p w14:paraId="264C272C" w14:textId="7A8651BE" w:rsidR="004F05EE" w:rsidRPr="006816DA" w:rsidRDefault="001B5B6B" w:rsidP="00C93FD1">
      <w:pPr>
        <w:pStyle w:val="corpsdedcision"/>
        <w:numPr>
          <w:ilvl w:val="0"/>
          <w:numId w:val="0"/>
        </w:numPr>
        <w:rPr>
          <w:rFonts w:cs="Arial"/>
          <w:b/>
          <w:bCs/>
        </w:rPr>
      </w:pPr>
      <w:r w:rsidRPr="006816DA">
        <w:rPr>
          <w:rFonts w:cs="Arial"/>
          <w:b/>
          <w:bCs/>
        </w:rPr>
        <w:t>Est-ce que la chute du conteneur est un événement imprévu et soudain survenu par le fait du travail?</w:t>
      </w:r>
    </w:p>
    <w:p w14:paraId="385F46E3" w14:textId="52D2EDEE" w:rsidR="007F1051" w:rsidRPr="006816DA" w:rsidRDefault="007F1051" w:rsidP="007F1051">
      <w:pPr>
        <w:pStyle w:val="corpsdedcision"/>
      </w:pPr>
      <w:r w:rsidRPr="006816DA">
        <w:t>En matière de lésion psychologique, il est reconnu depuis fort longtemps que la présomption de lésion professionnelle prévue à l’article 28 de la Loi ne s’applique pas. Une telle lésion n’est pas considérée comme une blessure au sens de la Loi, mais plutôt comme une maladie</w:t>
      </w:r>
      <w:r w:rsidRPr="006816DA">
        <w:rPr>
          <w:rStyle w:val="Appelnotedebasdep"/>
        </w:rPr>
        <w:footnoteReference w:id="4"/>
      </w:r>
      <w:r w:rsidRPr="006816DA">
        <w:t>. L</w:t>
      </w:r>
      <w:r w:rsidR="001B5B6B" w:rsidRPr="006816DA">
        <w:t>e</w:t>
      </w:r>
      <w:r w:rsidRPr="006816DA">
        <w:t xml:space="preserve"> travaill</w:t>
      </w:r>
      <w:r w:rsidR="001B5B6B" w:rsidRPr="006816DA">
        <w:t>eur</w:t>
      </w:r>
      <w:r w:rsidRPr="006816DA">
        <w:t xml:space="preserve"> doit donc démontrer, à l’aide d’une preuve prépondérante, la survenance, par le fait ou à l’occasion du travail, d’un événement imprévu et soudain ayant occasionné sa lésion psychologique.</w:t>
      </w:r>
    </w:p>
    <w:p w14:paraId="3A2F3274" w14:textId="3FD86FA8" w:rsidR="007F1051" w:rsidRPr="006816DA" w:rsidRDefault="007F1051" w:rsidP="007F1051">
      <w:pPr>
        <w:pStyle w:val="corpsdedcision"/>
      </w:pPr>
      <w:r w:rsidRPr="006816DA">
        <w:t xml:space="preserve">Un accident du travail peut résulter d’un geste précis, mais aussi d’une série d’événements pouvant affecter </w:t>
      </w:r>
      <w:r w:rsidR="001B5B6B" w:rsidRPr="006816DA">
        <w:t>le travailleur</w:t>
      </w:r>
      <w:r w:rsidRPr="006816DA">
        <w:t xml:space="preserve"> dans un contexte donné</w:t>
      </w:r>
      <w:r w:rsidRPr="006816DA">
        <w:rPr>
          <w:rStyle w:val="Appelnotedebasdep"/>
        </w:rPr>
        <w:footnoteReference w:id="5"/>
      </w:r>
      <w:r w:rsidRPr="006816DA">
        <w:t>. Il peut s’agir d’une succession, d’une juxtaposition ou même d’une accumulation d’événements qui, à première vue, peuvent paraître bénins, lorsque considérés isolément, mais qui deviennent significatifs par leur superposition pour ainsi revêtir ce caractère imprévu et soudain prévu à la Loi</w:t>
      </w:r>
      <w:r w:rsidRPr="006816DA">
        <w:rPr>
          <w:rStyle w:val="Appelnotedebasdep"/>
        </w:rPr>
        <w:footnoteReference w:id="6"/>
      </w:r>
      <w:r w:rsidRPr="006816DA">
        <w:t>.</w:t>
      </w:r>
    </w:p>
    <w:p w14:paraId="3FAF6AA0" w14:textId="77777777" w:rsidR="007F1051" w:rsidRPr="006816DA" w:rsidRDefault="007F1051" w:rsidP="004F1F9C">
      <w:pPr>
        <w:pStyle w:val="corpsdedcision"/>
      </w:pPr>
      <w:r w:rsidRPr="006816DA">
        <w:t>Cette interprétation élargie s’apprécie par rapport au cadre normal et habituel du travail</w:t>
      </w:r>
      <w:r w:rsidRPr="006816DA">
        <w:rPr>
          <w:rStyle w:val="Appelnotedebasdep"/>
        </w:rPr>
        <w:footnoteReference w:id="7"/>
      </w:r>
      <w:r w:rsidRPr="006816DA">
        <w:t xml:space="preserve"> ou même en fonction de conditions normales de travail</w:t>
      </w:r>
      <w:r w:rsidRPr="006816DA">
        <w:rPr>
          <w:rStyle w:val="Appelnotedebasdep"/>
        </w:rPr>
        <w:footnoteReference w:id="8"/>
      </w:r>
      <w:r w:rsidRPr="006816DA">
        <w:t>, tant sur le plan du climat que sur le plan de l’organisation du travail.</w:t>
      </w:r>
      <w:r w:rsidR="009B0FC1" w:rsidRPr="006816DA">
        <w:t xml:space="preserve"> </w:t>
      </w:r>
      <w:r w:rsidRPr="006816DA">
        <w:t>Il est reconnu que l’employeur conserve un droit de gérance, mais que ce droit doit être exercé dans le respect des travailleurs et de leurs droits respectifs, dans les limites de ce qui est acceptable, justifié, non discriminatoire et normal dans le milieu de travail</w:t>
      </w:r>
      <w:r w:rsidRPr="006816DA">
        <w:rPr>
          <w:rStyle w:val="Appelnotedebasdep"/>
        </w:rPr>
        <w:footnoteReference w:id="9"/>
      </w:r>
      <w:r w:rsidRPr="006816DA">
        <w:t>.</w:t>
      </w:r>
    </w:p>
    <w:p w14:paraId="479A57D6" w14:textId="77777777" w:rsidR="007F1051" w:rsidRPr="006816DA" w:rsidRDefault="007F1051" w:rsidP="007F1051">
      <w:pPr>
        <w:pStyle w:val="corpsdedcision"/>
        <w:tabs>
          <w:tab w:val="num" w:pos="360"/>
        </w:tabs>
      </w:pPr>
      <w:r w:rsidRPr="006816DA">
        <w:t>La jurisprudence reconnaît également que les relations de travail conflictuelles ne sont généralement pas reconnues comme source de lésion professionnelle. Soulignons ici les conflits de personnalités, les avis disciplinaires, les rencontres disciplinaires, les menaces de mesures disciplinaires, l’hostilité ou même l’insubordination et les problèmes de relations interpersonnelles</w:t>
      </w:r>
      <w:r w:rsidRPr="006816DA">
        <w:rPr>
          <w:rStyle w:val="Appelnotedebasdep"/>
        </w:rPr>
        <w:footnoteReference w:id="10"/>
      </w:r>
      <w:r w:rsidRPr="006816DA">
        <w:t>. D’aucunes sauraient, à elles seules, s’interpréter comme des événements à la base d’une lésion professionnelle.</w:t>
      </w:r>
    </w:p>
    <w:p w14:paraId="5F7C3FD3" w14:textId="769ADE5B" w:rsidR="00D84DC7" w:rsidRPr="006816DA" w:rsidRDefault="00D84DC7" w:rsidP="00D84DC7">
      <w:pPr>
        <w:pStyle w:val="corpsdedcision"/>
      </w:pPr>
      <w:r w:rsidRPr="006816DA">
        <w:t>Depuis plusieurs années, le Tribunal considère que le travailleur doit aussi prouver que les faits allégués sont objectivement traumatisants et qu’il ne s’agit pas de sa seule perception subjective de la situation</w:t>
      </w:r>
      <w:r w:rsidRPr="006816DA">
        <w:rPr>
          <w:rStyle w:val="Appelnotedebasdep"/>
        </w:rPr>
        <w:footnoteReference w:id="11"/>
      </w:r>
      <w:r w:rsidRPr="006816DA">
        <w:t>. Le tout s’apprécie selon le critère de la personne normale et raisonnable, considérant le contexte de travail et la réalité propre vécue par le travailleur</w:t>
      </w:r>
      <w:r w:rsidRPr="006816DA">
        <w:rPr>
          <w:rStyle w:val="Appelnotedebasdep"/>
        </w:rPr>
        <w:footnoteReference w:id="12"/>
      </w:r>
      <w:r w:rsidRPr="006816DA">
        <w:t>.</w:t>
      </w:r>
    </w:p>
    <w:p w14:paraId="649E7629" w14:textId="77777777" w:rsidR="00B74F38" w:rsidRPr="006816DA" w:rsidRDefault="00D84DC7" w:rsidP="00D84DC7">
      <w:pPr>
        <w:pStyle w:val="corpsdedcision"/>
      </w:pPr>
      <w:r w:rsidRPr="006816DA">
        <w:t xml:space="preserve">Récemment, un courant jurisprudentiel alternatif a vu le jour au sein du Tribunal associant uniquement l’événement imprévu et soudain à </w:t>
      </w:r>
      <w:r w:rsidRPr="006816DA">
        <w:rPr>
          <w:rStyle w:val="Citationintgre"/>
        </w:rPr>
        <w:t>« la singularité des situations vécues par le travail au sein de son milieu de travail »</w:t>
      </w:r>
      <w:r w:rsidRPr="006816DA">
        <w:t xml:space="preserve">. </w:t>
      </w:r>
    </w:p>
    <w:p w14:paraId="4993A048" w14:textId="4BF276F5" w:rsidR="008062CB" w:rsidRPr="006816DA" w:rsidRDefault="00D84DC7" w:rsidP="00D84DC7">
      <w:pPr>
        <w:pStyle w:val="corpsdedcision"/>
      </w:pPr>
      <w:r w:rsidRPr="006816DA">
        <w:t xml:space="preserve">Dans la décision </w:t>
      </w:r>
      <w:r w:rsidRPr="006816DA">
        <w:rPr>
          <w:i/>
          <w:iCs/>
        </w:rPr>
        <w:t xml:space="preserve">Preure </w:t>
      </w:r>
      <w:r w:rsidRPr="006816DA">
        <w:t xml:space="preserve">et </w:t>
      </w:r>
      <w:r w:rsidRPr="006816DA">
        <w:rPr>
          <w:i/>
          <w:iCs/>
        </w:rPr>
        <w:t>Centre de services scolaire de Montréal</w:t>
      </w:r>
      <w:r w:rsidRPr="006816DA">
        <w:rPr>
          <w:rStyle w:val="Appelnotedebasdep"/>
        </w:rPr>
        <w:footnoteReference w:id="13"/>
      </w:r>
      <w:r w:rsidRPr="006816DA">
        <w:t>, le juge administratif écarte la recherche du caractère objectivement traumatisant d’une situation</w:t>
      </w:r>
      <w:r w:rsidR="00B74F38" w:rsidRPr="006816DA">
        <w:t xml:space="preserve"> </w:t>
      </w:r>
      <w:r w:rsidRPr="006816DA">
        <w:t xml:space="preserve">puisqu’il considère qu’il </w:t>
      </w:r>
      <w:r w:rsidRPr="006816DA">
        <w:rPr>
          <w:rStyle w:val="Citationintgre"/>
        </w:rPr>
        <w:t>« fait reposer sur les épaules du travailleur un fardeau de preuve plus élevé que la balance des probabilités »</w:t>
      </w:r>
      <w:r w:rsidRPr="006816DA">
        <w:t xml:space="preserve">. </w:t>
      </w:r>
    </w:p>
    <w:p w14:paraId="3CA97CFC" w14:textId="052D7915" w:rsidR="00D84DC7" w:rsidRPr="006816DA" w:rsidRDefault="00D84DC7" w:rsidP="00D84DC7">
      <w:pPr>
        <w:pStyle w:val="corpsdedcision"/>
      </w:pPr>
      <w:r w:rsidRPr="006816DA">
        <w:t xml:space="preserve">Dans la décision </w:t>
      </w:r>
      <w:r w:rsidRPr="006816DA">
        <w:rPr>
          <w:i/>
          <w:iCs/>
        </w:rPr>
        <w:t xml:space="preserve">Hénault </w:t>
      </w:r>
      <w:r w:rsidRPr="006816DA">
        <w:t>et</w:t>
      </w:r>
      <w:r w:rsidRPr="006816DA">
        <w:rPr>
          <w:i/>
          <w:iCs/>
        </w:rPr>
        <w:t xml:space="preserve"> Institut de cardiologie de </w:t>
      </w:r>
      <w:r w:rsidRPr="006816DA">
        <w:t>Montréal</w:t>
      </w:r>
      <w:r w:rsidRPr="006816DA">
        <w:rPr>
          <w:rStyle w:val="Appelnotedebasdep"/>
        </w:rPr>
        <w:footnoteReference w:id="14"/>
      </w:r>
      <w:r w:rsidRPr="006816DA">
        <w:t>, les termes « particulier », « anormal », « inhabituel » ou « singulier » sont utilisés pour décrire</w:t>
      </w:r>
      <w:r w:rsidR="00B74F38" w:rsidRPr="006816DA">
        <w:t xml:space="preserve"> </w:t>
      </w:r>
      <w:r w:rsidRPr="006816DA">
        <w:t>l’événement imprévu et soudain.</w:t>
      </w:r>
    </w:p>
    <w:p w14:paraId="4D2CA8A3" w14:textId="77777777" w:rsidR="00D84DC7" w:rsidRPr="006816DA" w:rsidRDefault="00D84DC7" w:rsidP="00D84DC7">
      <w:pPr>
        <w:pStyle w:val="corpsdedcision"/>
      </w:pPr>
      <w:r w:rsidRPr="006816DA">
        <w:t>Sans rejeter complètement cette nouvelle approche, le soussigné considère que l’événement particulier, anormal, inhabituel ou singulier, doit revêtir un caractère suffisamment important pour affecter objectivement la psyché d’un individu. Il faut comprendre que le concept d’événement imprévu et soudain a initialement été conçu pour des lésions physiques et il faut absolument l’adapter, sans le dénaturer, aux lésions de nature psychologique.</w:t>
      </w:r>
    </w:p>
    <w:p w14:paraId="454E4DEE" w14:textId="1459D20E" w:rsidR="00D84DC7" w:rsidRPr="006816DA" w:rsidRDefault="00D84DC7" w:rsidP="00D84DC7">
      <w:pPr>
        <w:pStyle w:val="corpsdedcision"/>
      </w:pPr>
      <w:r w:rsidRPr="006816DA">
        <w:t xml:space="preserve">L’approche retenue par le Tribunal dans la décision </w:t>
      </w:r>
      <w:r w:rsidRPr="006816DA">
        <w:rPr>
          <w:i/>
        </w:rPr>
        <w:t xml:space="preserve">Vigneault </w:t>
      </w:r>
      <w:r w:rsidRPr="006816DA">
        <w:t xml:space="preserve">et </w:t>
      </w:r>
      <w:r w:rsidRPr="006816DA">
        <w:rPr>
          <w:i/>
        </w:rPr>
        <w:t>Municipalité de Cantley</w:t>
      </w:r>
      <w:r w:rsidRPr="006816DA">
        <w:rPr>
          <w:rStyle w:val="Appelnotedebasdep"/>
        </w:rPr>
        <w:footnoteReference w:id="15"/>
      </w:r>
      <w:r w:rsidRPr="006816DA">
        <w:rPr>
          <w:i/>
        </w:rPr>
        <w:t xml:space="preserve"> </w:t>
      </w:r>
      <w:r w:rsidRPr="006816DA">
        <w:t>répond à cet objectif. Il permet de réconcilier les craintes soulevées par le courant jurisprudentiel émergeant, d’imposer à un travailleur un fardeau de preuve trop élevé, avec l’approche jurisprudentielle traditionnelle qui nécessite la présence d’une circonstance ou d’un comportement « objectivement traumatisant », le juge administratif s’exprimant ainsi :</w:t>
      </w:r>
    </w:p>
    <w:p w14:paraId="68107FB2" w14:textId="77777777" w:rsidR="00D84DC7" w:rsidRPr="006816DA" w:rsidRDefault="00D84DC7" w:rsidP="00D84DC7">
      <w:pPr>
        <w:pStyle w:val="citation"/>
      </w:pPr>
      <w:r w:rsidRPr="006816DA">
        <w:t>[47]</w:t>
      </w:r>
      <w:r w:rsidRPr="006816DA">
        <w:tab/>
        <w:t>Cela étant dit, le présent Tribunal continue à adhérer à l’approche qu’on doive vérifier, si les circonstances ou les comportements subis par un travailleur sont « traumatisants » en soi, et cela d’une perspective relativement neutre, c’est-à-dire de façon objective.</w:t>
      </w:r>
    </w:p>
    <w:p w14:paraId="5BFFC081" w14:textId="77777777" w:rsidR="00D84DC7" w:rsidRPr="006816DA" w:rsidRDefault="00D84DC7" w:rsidP="00D84DC7">
      <w:pPr>
        <w:pStyle w:val="citation"/>
      </w:pPr>
    </w:p>
    <w:p w14:paraId="7D8903D4" w14:textId="77777777" w:rsidR="00D84DC7" w:rsidRPr="006816DA" w:rsidRDefault="00D84DC7" w:rsidP="00D84DC7">
      <w:pPr>
        <w:pStyle w:val="citation"/>
      </w:pPr>
      <w:r w:rsidRPr="006816DA">
        <w:t>[48]</w:t>
      </w:r>
      <w:r w:rsidRPr="006816DA">
        <w:tab/>
        <w:t>À cette fin, le présent Tribunal considère et retient plutôt la définition de l’adjectif « </w:t>
      </w:r>
      <w:r w:rsidRPr="006816DA">
        <w:rPr>
          <w:b/>
          <w:i/>
        </w:rPr>
        <w:t>traumatisant </w:t>
      </w:r>
      <w:r w:rsidRPr="006816DA">
        <w:t>», tel que rapporté par le dictionnaire Le Robert</w:t>
      </w:r>
      <w:r w:rsidRPr="006816DA">
        <w:rPr>
          <w:vertAlign w:val="superscript"/>
        </w:rPr>
        <w:t>18</w:t>
      </w:r>
      <w:r w:rsidRPr="006816DA">
        <w:t>, qui fait appel à quelque chose « </w:t>
      </w:r>
      <w:r w:rsidRPr="006816DA">
        <w:rPr>
          <w:i/>
        </w:rPr>
        <w:t>qui traumatise</w:t>
      </w:r>
      <w:r w:rsidRPr="006816DA">
        <w:t> », soit une « </w:t>
      </w:r>
      <w:r w:rsidRPr="006816DA">
        <w:rPr>
          <w:i/>
        </w:rPr>
        <w:t>expérience traumatisante</w:t>
      </w:r>
      <w:r w:rsidRPr="006816DA">
        <w:t> » et réfère à quelque chose qui est « </w:t>
      </w:r>
      <w:r w:rsidRPr="006816DA">
        <w:rPr>
          <w:i/>
        </w:rPr>
        <w:t>choquant, bouleversant, perturbant</w:t>
      </w:r>
      <w:r w:rsidRPr="006816DA">
        <w:t xml:space="preserve"> ». L’on distingue ici l’idée d’une atteinte </w:t>
      </w:r>
      <w:r w:rsidRPr="006816DA">
        <w:rPr>
          <w:i/>
        </w:rPr>
        <w:t xml:space="preserve">grave, </w:t>
      </w:r>
      <w:r w:rsidRPr="006816DA">
        <w:t>ou</w:t>
      </w:r>
      <w:r w:rsidRPr="006816DA">
        <w:rPr>
          <w:i/>
        </w:rPr>
        <w:t xml:space="preserve"> </w:t>
      </w:r>
      <w:r w:rsidRPr="006816DA">
        <w:t>de la nécessité de démontrer</w:t>
      </w:r>
      <w:r w:rsidRPr="006816DA">
        <w:rPr>
          <w:i/>
        </w:rPr>
        <w:t xml:space="preserve"> </w:t>
      </w:r>
      <w:r w:rsidRPr="006816DA">
        <w:t xml:space="preserve">une certaine </w:t>
      </w:r>
      <w:r w:rsidRPr="006816DA">
        <w:rPr>
          <w:i/>
        </w:rPr>
        <w:t>violence</w:t>
      </w:r>
      <w:r w:rsidRPr="006816DA">
        <w:t xml:space="preserve">, ou encore d’un choc émotionnel </w:t>
      </w:r>
      <w:r w:rsidRPr="006816DA">
        <w:rPr>
          <w:i/>
        </w:rPr>
        <w:t>très</w:t>
      </w:r>
      <w:r w:rsidRPr="006816DA">
        <w:t xml:space="preserve"> violent, s’apparentant beaucoup plus à la définition de « traumatisme » plutôt que d’une expérience qui est « traumatisante »; la distinction est mince, mais elle est importante.</w:t>
      </w:r>
    </w:p>
    <w:p w14:paraId="0C64DC99" w14:textId="77777777" w:rsidR="00D84DC7" w:rsidRPr="006816DA" w:rsidRDefault="00D84DC7" w:rsidP="00D84DC7">
      <w:pPr>
        <w:pStyle w:val="citation"/>
      </w:pPr>
    </w:p>
    <w:p w14:paraId="146F815F" w14:textId="77777777" w:rsidR="00D84DC7" w:rsidRPr="006816DA" w:rsidRDefault="00D84DC7" w:rsidP="00D84DC7">
      <w:pPr>
        <w:pStyle w:val="citation"/>
        <w:spacing w:after="240"/>
      </w:pPr>
      <w:r w:rsidRPr="006816DA">
        <w:t>[49]</w:t>
      </w:r>
      <w:r w:rsidRPr="006816DA">
        <w:tab/>
        <w:t xml:space="preserve">Le présent Tribunal est d’avis que le fardeau de preuve d’un travailleur en semblable situation n’est pas dénaturé par la nécessité de démontrer, de façon prépondérante, qu’il a vécu une situation ou subi des comportements qui sont </w:t>
      </w:r>
      <w:r w:rsidRPr="006816DA">
        <w:rPr>
          <w:i/>
        </w:rPr>
        <w:t>choquants</w:t>
      </w:r>
      <w:r w:rsidRPr="006816DA">
        <w:t xml:space="preserve">, </w:t>
      </w:r>
      <w:r w:rsidRPr="006816DA">
        <w:rPr>
          <w:i/>
        </w:rPr>
        <w:t>bouleversants</w:t>
      </w:r>
      <w:r w:rsidRPr="006816DA">
        <w:t xml:space="preserve"> ou </w:t>
      </w:r>
      <w:r w:rsidRPr="006816DA">
        <w:rPr>
          <w:i/>
        </w:rPr>
        <w:t>perturbants</w:t>
      </w:r>
      <w:r w:rsidRPr="006816DA">
        <w:t xml:space="preserve"> et qui ne sont pas de sa seule perception subjective</w:t>
      </w:r>
      <w:r w:rsidRPr="006816DA">
        <w:rPr>
          <w:vertAlign w:val="superscript"/>
        </w:rPr>
        <w:t>19</w:t>
      </w:r>
      <w:r w:rsidRPr="006816DA">
        <w:t>. Voilà ce qui comporte l’essence du critère dit « objectivement traumatisant ».</w:t>
      </w:r>
    </w:p>
    <w:p w14:paraId="14C2DE4D" w14:textId="77777777" w:rsidR="00D84DC7" w:rsidRPr="006816DA" w:rsidRDefault="00D84DC7" w:rsidP="00D84DC7">
      <w:pPr>
        <w:pStyle w:val="citation"/>
        <w:spacing w:after="360"/>
        <w:rPr>
          <w:sz w:val="22"/>
          <w:szCs w:val="22"/>
        </w:rPr>
      </w:pPr>
      <w:r w:rsidRPr="006816DA">
        <w:rPr>
          <w:sz w:val="22"/>
          <w:szCs w:val="22"/>
        </w:rPr>
        <w:t>[Notes omises]</w:t>
      </w:r>
    </w:p>
    <w:p w14:paraId="12D6D9B6" w14:textId="107AAFE1" w:rsidR="00D84DC7" w:rsidRPr="006816DA" w:rsidRDefault="00D84DC7" w:rsidP="00D84DC7">
      <w:pPr>
        <w:pStyle w:val="corpsdedcision"/>
      </w:pPr>
      <w:r w:rsidRPr="006816DA">
        <w:t>Encore plus récemment, une autre décision</w:t>
      </w:r>
      <w:r w:rsidRPr="006816DA">
        <w:rPr>
          <w:rStyle w:val="Appelnotedebasdep"/>
        </w:rPr>
        <w:footnoteReference w:id="16"/>
      </w:r>
      <w:r w:rsidRPr="006816DA">
        <w:t xml:space="preserve"> du Tribunal est venue remettre en question le cadre d’analyse traditionnel de la détermination de l’existence ou non d’un événement imprévu et soudain pour une lésion psychologique. Dans celle-ci, le Tribunal conclut que la situation rencontrée ou le comportement adopté n’a pas nécessairement à dépasser le cadre normal et habituel du travail pour constituer un événement imprévu et soudain.</w:t>
      </w:r>
    </w:p>
    <w:p w14:paraId="576AD543" w14:textId="77777777" w:rsidR="00D84DC7" w:rsidRPr="006816DA" w:rsidRDefault="00D84DC7" w:rsidP="00D84DC7">
      <w:pPr>
        <w:pStyle w:val="corpsdedcision"/>
      </w:pPr>
      <w:r w:rsidRPr="006816DA">
        <w:t xml:space="preserve">Tout comme le juge administratif dans la décision </w:t>
      </w:r>
      <w:r w:rsidRPr="006816DA">
        <w:rPr>
          <w:i/>
          <w:iCs/>
        </w:rPr>
        <w:t xml:space="preserve">Davidson </w:t>
      </w:r>
      <w:r w:rsidRPr="006816DA">
        <w:t xml:space="preserve">et </w:t>
      </w:r>
      <w:r w:rsidRPr="006816DA">
        <w:rPr>
          <w:i/>
          <w:iCs/>
        </w:rPr>
        <w:t>Institut de cardiologie de Montréal</w:t>
      </w:r>
      <w:r w:rsidRPr="006816DA">
        <w:rPr>
          <w:rStyle w:val="Appelnotedebasdep"/>
        </w:rPr>
        <w:footnoteReference w:id="17"/>
      </w:r>
      <w:r w:rsidRPr="006816DA">
        <w:t>, le soussigné ne partage pas la position susmentionnée du Tribunal qui vise à remettre en cause le cadre d’analyse traditionnel, et ce, pour les mêmes motifs que ceux qui apparaissent à cette décision et qui se lisent comme suit :</w:t>
      </w:r>
    </w:p>
    <w:p w14:paraId="38844362" w14:textId="77777777" w:rsidR="00D84DC7" w:rsidRPr="006816DA" w:rsidRDefault="00D84DC7" w:rsidP="00D84DC7">
      <w:pPr>
        <w:pStyle w:val="citation"/>
      </w:pPr>
      <w:r w:rsidRPr="006816DA">
        <w:t>[27]</w:t>
      </w:r>
      <w:r w:rsidRPr="006816DA">
        <w:tab/>
        <w:t>En tout respect, le soussigné ne souscrit pas à ce nouveau cadre d’analyse alternatif.</w:t>
      </w:r>
    </w:p>
    <w:p w14:paraId="4519CA7D" w14:textId="77777777" w:rsidR="00D84DC7" w:rsidRPr="006816DA" w:rsidRDefault="00D84DC7" w:rsidP="00D84DC7">
      <w:pPr>
        <w:pStyle w:val="citation"/>
      </w:pPr>
    </w:p>
    <w:p w14:paraId="0979E69E" w14:textId="77777777" w:rsidR="00D84DC7" w:rsidRPr="006816DA" w:rsidRDefault="00D84DC7" w:rsidP="00D84DC7">
      <w:pPr>
        <w:pStyle w:val="citation"/>
      </w:pPr>
      <w:r w:rsidRPr="006816DA">
        <w:t>[28]</w:t>
      </w:r>
      <w:r w:rsidRPr="006816DA">
        <w:tab/>
        <w:t>Le concept de « </w:t>
      </w:r>
      <w:r w:rsidRPr="006816DA">
        <w:rPr>
          <w:i/>
        </w:rPr>
        <w:t>cadre normal et habituel de travail</w:t>
      </w:r>
      <w:r w:rsidRPr="006816DA">
        <w:t> » ne substitue pas le terme « </w:t>
      </w:r>
      <w:r w:rsidRPr="006816DA">
        <w:rPr>
          <w:rStyle w:val="Citationintgre"/>
          <w:sz w:val="20"/>
        </w:rPr>
        <w:t>imprévisible</w:t>
      </w:r>
      <w:r w:rsidRPr="006816DA">
        <w:t> » à celui d’imprévu ni n’exige une preuve de la travailleuse allant au-delà de la prépondérance de preuve. Au contraire, ce concept écarte la recherche de l’élément imprévisible, n’impose aucun fardeau de preuve supplémentaire à la travailleuse et permet la recherche de l’événement imprévu et soudain pour ce qu’il doit être, c’est-à-dire un événement singulier, anormal ou inhabituel. Tout ce qui survient au travail n’est pas nécessairement un accident du travail, comme un conflit de personnalités avec sa supérieure, un avis disciplinaire verbal ou écrit, une rencontre avec un supérieur pour discuter de productivité, de manquement au travail et de comportement problématique ou encore, un licenciement ou un congédiement.</w:t>
      </w:r>
    </w:p>
    <w:p w14:paraId="249100A2" w14:textId="77777777" w:rsidR="00D84DC7" w:rsidRPr="006816DA" w:rsidRDefault="00D84DC7" w:rsidP="00D84DC7">
      <w:pPr>
        <w:pStyle w:val="citation"/>
      </w:pPr>
    </w:p>
    <w:p w14:paraId="69D21A65" w14:textId="77777777" w:rsidR="00D84DC7" w:rsidRPr="006816DA" w:rsidRDefault="00D84DC7" w:rsidP="00D84DC7">
      <w:pPr>
        <w:pStyle w:val="citation"/>
      </w:pPr>
      <w:r w:rsidRPr="006816DA">
        <w:t>[29]</w:t>
      </w:r>
      <w:r w:rsidRPr="006816DA">
        <w:tab/>
        <w:t xml:space="preserve">Dès 2008, dans la décision </w:t>
      </w:r>
      <w:r w:rsidRPr="006816DA">
        <w:rPr>
          <w:i/>
        </w:rPr>
        <w:t>Claveau</w:t>
      </w:r>
      <w:r w:rsidRPr="006816DA">
        <w:t xml:space="preserve"> et </w:t>
      </w:r>
      <w:r w:rsidRPr="006816DA">
        <w:rPr>
          <w:i/>
        </w:rPr>
        <w:t>CSSS Chicoutimi – CHSLD Chicoutimi</w:t>
      </w:r>
      <w:r w:rsidRPr="006816DA">
        <w:rPr>
          <w:i/>
          <w:vertAlign w:val="superscript"/>
        </w:rPr>
        <w:t>18</w:t>
      </w:r>
      <w:r w:rsidRPr="006816DA">
        <w:t>, le Tribunal a écarté les critères du risque inhérent et de prévisibilité au bénéfice de l’analyse des « </w:t>
      </w:r>
      <w:r w:rsidRPr="006816DA">
        <w:rPr>
          <w:rStyle w:val="Citationintgre"/>
          <w:sz w:val="20"/>
        </w:rPr>
        <w:t>circonstances particulières de l’événement en tenant compte de la nature du travail effectué et du contexte dans lequel il s’effectue</w:t>
      </w:r>
      <w:r w:rsidRPr="006816DA">
        <w:t xml:space="preserve"> ». Pour le juge administratif, dans cette affaire, le concept de prévisibilité ajoute à la Loi, ou la modifie, </w:t>
      </w:r>
      <w:r w:rsidRPr="006816DA">
        <w:rPr>
          <w:sz w:val="18"/>
          <w:szCs w:val="18"/>
        </w:rPr>
        <w:t>« </w:t>
      </w:r>
      <w:r w:rsidRPr="006816DA">
        <w:rPr>
          <w:rStyle w:val="Citationintgre"/>
          <w:sz w:val="18"/>
          <w:szCs w:val="18"/>
        </w:rPr>
        <w:t>puisque à peu près tout ce qui survient au travail est prévisible d’une façon ou d’une autre et certainement possible puisque la survenance d’un événement constitue la preuve indéniable de la possibilité qu’il avait de survenir</w:t>
      </w:r>
      <w:r w:rsidRPr="006816DA">
        <w:rPr>
          <w:sz w:val="18"/>
          <w:szCs w:val="18"/>
        </w:rPr>
        <w:t> »</w:t>
      </w:r>
      <w:r w:rsidRPr="006816DA">
        <w:t xml:space="preserve">. Un événement peut survenir au travail, même s’il est prévisible et </w:t>
      </w:r>
      <w:r w:rsidRPr="006816DA">
        <w:rPr>
          <w:i/>
          <w:iCs/>
        </w:rPr>
        <w:t>« demeurer imprévu dans sa réalisation et tout aussi soudain dans sa survenance »</w:t>
      </w:r>
      <w:r w:rsidRPr="006816DA">
        <w:t>. Ainsi, la prévisibilité ou non de l’événement ne doit pas être considérée dans l’analyse de son caractère imprévu et soudain</w:t>
      </w:r>
      <w:r w:rsidRPr="006816DA">
        <w:rPr>
          <w:vertAlign w:val="superscript"/>
        </w:rPr>
        <w:t>19</w:t>
      </w:r>
      <w:r w:rsidRPr="006816DA">
        <w:t>.</w:t>
      </w:r>
    </w:p>
    <w:p w14:paraId="3C4B82D6" w14:textId="77777777" w:rsidR="00D84DC7" w:rsidRPr="006816DA" w:rsidRDefault="00D84DC7" w:rsidP="00D84DC7">
      <w:pPr>
        <w:pStyle w:val="citation"/>
      </w:pPr>
    </w:p>
    <w:p w14:paraId="37E72608" w14:textId="77777777" w:rsidR="00D84DC7" w:rsidRPr="006816DA" w:rsidRDefault="00D84DC7" w:rsidP="00D84DC7">
      <w:pPr>
        <w:pStyle w:val="citation"/>
      </w:pPr>
      <w:r w:rsidRPr="006816DA">
        <w:t>[…]</w:t>
      </w:r>
    </w:p>
    <w:p w14:paraId="39AAD607" w14:textId="77777777" w:rsidR="00D84DC7" w:rsidRPr="006816DA" w:rsidRDefault="00D84DC7" w:rsidP="00D84DC7">
      <w:pPr>
        <w:pStyle w:val="citation"/>
      </w:pPr>
    </w:p>
    <w:p w14:paraId="69E18B34" w14:textId="77777777" w:rsidR="00D84DC7" w:rsidRPr="006816DA" w:rsidRDefault="00D84DC7" w:rsidP="005F2799">
      <w:pPr>
        <w:pStyle w:val="citation"/>
        <w:spacing w:after="120"/>
      </w:pPr>
      <w:r w:rsidRPr="006816DA">
        <w:t>[31]</w:t>
      </w:r>
      <w:r w:rsidRPr="006816DA">
        <w:tab/>
        <w:t>Le Tribunal retient donc, conformément à la jurisprudence constante, qu’un événement qui survient dans le « </w:t>
      </w:r>
      <w:r w:rsidRPr="006816DA">
        <w:rPr>
          <w:i/>
        </w:rPr>
        <w:t>cadre normal et habituel du travail</w:t>
      </w:r>
      <w:r w:rsidRPr="006816DA">
        <w:t> » n’est pas un événement imprévu et soudain surtout lorsque celui-ci relève du droit de gérance ou de direction de l’employeur.</w:t>
      </w:r>
    </w:p>
    <w:p w14:paraId="0CA640BB" w14:textId="77777777" w:rsidR="00D84DC7" w:rsidRPr="006816DA" w:rsidRDefault="00D84DC7" w:rsidP="005F2799">
      <w:pPr>
        <w:pStyle w:val="corpsdedcision"/>
        <w:numPr>
          <w:ilvl w:val="0"/>
          <w:numId w:val="0"/>
        </w:numPr>
        <w:spacing w:after="120"/>
        <w:rPr>
          <w:sz w:val="22"/>
          <w:szCs w:val="22"/>
        </w:rPr>
      </w:pPr>
      <w:r w:rsidRPr="006816DA">
        <w:tab/>
      </w:r>
      <w:r w:rsidRPr="006816DA">
        <w:rPr>
          <w:sz w:val="22"/>
          <w:szCs w:val="22"/>
        </w:rPr>
        <w:t>[Notes omises]</w:t>
      </w:r>
    </w:p>
    <w:p w14:paraId="58011A7A" w14:textId="09112721" w:rsidR="001B5B6B" w:rsidRPr="006816DA" w:rsidRDefault="00D84DC7" w:rsidP="00D84DC7">
      <w:pPr>
        <w:pStyle w:val="corpsdedcision"/>
      </w:pPr>
      <w:r w:rsidRPr="006816DA">
        <w:t>Enfin, et peu importe la définition retenue de l’événement imprévu et soudain, le travailleur doit démontrer que celui-ci survient par le fait ou à l’occasion de son travail et qu’il existe un lien causal avec le diagnostic posé.</w:t>
      </w:r>
    </w:p>
    <w:p w14:paraId="35FFE693" w14:textId="77777777" w:rsidR="004C2944" w:rsidRPr="006816DA" w:rsidRDefault="004F1F9C" w:rsidP="004F1F9C">
      <w:pPr>
        <w:pStyle w:val="corpsdedcision"/>
      </w:pPr>
      <w:r w:rsidRPr="006816DA">
        <w:t>Dans son témoignage, le travailleur expose qu’il est débardeur au port de Montréal. Son travail consiste principalement à</w:t>
      </w:r>
      <w:r w:rsidR="009B0FC1" w:rsidRPr="006816DA">
        <w:t xml:space="preserve"> déplacer l</w:t>
      </w:r>
      <w:r w:rsidRPr="006816DA">
        <w:t>es conteneurs</w:t>
      </w:r>
      <w:r w:rsidR="009B0FC1" w:rsidRPr="006816DA">
        <w:t xml:space="preserve"> présents sur le site</w:t>
      </w:r>
      <w:r w:rsidRPr="006816DA">
        <w:t xml:space="preserve"> à l’aide d’un chariot de manutention.</w:t>
      </w:r>
    </w:p>
    <w:p w14:paraId="353D7756" w14:textId="0D17758D" w:rsidR="004F1F9C" w:rsidRPr="006816DA" w:rsidRDefault="008F2488" w:rsidP="004F1F9C">
      <w:pPr>
        <w:pStyle w:val="corpsdedcision"/>
      </w:pPr>
      <w:r w:rsidRPr="006816DA">
        <w:t>Le 17 juin </w:t>
      </w:r>
      <w:r w:rsidR="004F1F9C" w:rsidRPr="006816DA">
        <w:t xml:space="preserve">2021, après avoir terminé sa pause santé, il monte dans son chariot de manutention et il conduit celui-ci sur la voie de circulation vers son lieu de travail. Lors du déplacement, il décide d’ouvrir prématurément le palonnier dont la fonction est d’agripper les conteneurs. </w:t>
      </w:r>
      <w:r w:rsidR="00F776FC" w:rsidRPr="006816DA">
        <w:t>En</w:t>
      </w:r>
      <w:r w:rsidR="00140C42" w:rsidRPr="006816DA">
        <w:t xml:space="preserve"> se faisant, il heurte une pile de conteneurs situé</w:t>
      </w:r>
      <w:r w:rsidR="00F776FC" w:rsidRPr="006816DA">
        <w:t>e</w:t>
      </w:r>
      <w:r w:rsidR="00140C42" w:rsidRPr="006816DA">
        <w:t xml:space="preserve"> à la droite de la voie de circulation. Deux de ceux-ci tombent au sol</w:t>
      </w:r>
      <w:r w:rsidR="0099361A" w:rsidRPr="006816DA">
        <w:t xml:space="preserve"> dont l'un tombe</w:t>
      </w:r>
      <w:r w:rsidR="00140C42" w:rsidRPr="006816DA">
        <w:t xml:space="preserve"> à proximité du chariot de manutention opéré par un autre débardeur.</w:t>
      </w:r>
    </w:p>
    <w:p w14:paraId="2DDB2C98" w14:textId="15AAA763" w:rsidR="002E185C" w:rsidRPr="006816DA" w:rsidRDefault="00140C42" w:rsidP="00140C42">
      <w:pPr>
        <w:pStyle w:val="corpsdedcision"/>
      </w:pPr>
      <w:r w:rsidRPr="006816DA">
        <w:t>Le travailleur sort alors rapidement de son chariot de manutention et s’informe auprès de l’autre débardeur si tout va bien. Quelques minutes plus tard, les agents de sécurité du port arrivent sur les lieux. Le travailleur est alors dirig</w:t>
      </w:r>
      <w:r w:rsidR="002E185C" w:rsidRPr="006816DA">
        <w:t>é</w:t>
      </w:r>
      <w:r w:rsidRPr="006816DA">
        <w:t xml:space="preserve"> vers le garage de service afin de vérifier si le chariot de manutention a subi un bris mécanique.</w:t>
      </w:r>
    </w:p>
    <w:p w14:paraId="64CE81C0" w14:textId="73CC5DA5" w:rsidR="002E185C" w:rsidRPr="006816DA" w:rsidRDefault="002E185C" w:rsidP="00140C42">
      <w:pPr>
        <w:pStyle w:val="corpsdedcision"/>
      </w:pPr>
      <w:r w:rsidRPr="006816DA">
        <w:t>Pour le Tribunal, il n’y a pas lieu de tergiverser longtemps pour déterminer si l’incident impliquant la chute des conteneurs constitue ou non un événement imprévu et soudain. En raison d’une maladresse</w:t>
      </w:r>
      <w:r w:rsidR="0099361A" w:rsidRPr="006816DA">
        <w:t>,</w:t>
      </w:r>
      <w:r w:rsidRPr="006816DA">
        <w:t xml:space="preserve"> </w:t>
      </w:r>
      <w:r w:rsidR="0099361A" w:rsidRPr="006816DA">
        <w:t>le travailleur</w:t>
      </w:r>
      <w:r w:rsidRPr="006816DA">
        <w:t xml:space="preserve"> heurte involontaire</w:t>
      </w:r>
      <w:r w:rsidR="0099361A" w:rsidRPr="006816DA">
        <w:t>ment</w:t>
      </w:r>
      <w:r w:rsidRPr="006816DA">
        <w:t xml:space="preserve"> une pile de conteneur</w:t>
      </w:r>
      <w:r w:rsidR="0099361A" w:rsidRPr="006816DA">
        <w:t>s</w:t>
      </w:r>
      <w:r w:rsidRPr="006816DA">
        <w:t xml:space="preserve"> avec le palonnier de son chariot de manutention. S’ensuit la chute au sol de deux conteneurs dont </w:t>
      </w:r>
      <w:r w:rsidR="0099361A" w:rsidRPr="006816DA">
        <w:t xml:space="preserve">l’un </w:t>
      </w:r>
      <w:r w:rsidRPr="006816DA">
        <w:t>passe près de heurter un collègue. L’événement survient de façon inopinée et impromptue. Il s’agit de la définition même d’un événement imprévu et soudain. Celui-ci survient par le fait du travail. Il se produit sur le lieu de travail alors que le travailleur exécute ses tâches habituelles de travail.</w:t>
      </w:r>
    </w:p>
    <w:p w14:paraId="7E23CC51" w14:textId="5592FB44" w:rsidR="002E185C" w:rsidRPr="006816DA" w:rsidRDefault="002E185C" w:rsidP="00140C42">
      <w:pPr>
        <w:pStyle w:val="corpsdedcision"/>
      </w:pPr>
      <w:r w:rsidRPr="006816DA">
        <w:t xml:space="preserve">Le fait que le travailleur soit responsable de l’événement imprévu et soudain n’est pas pertinent à cette étape de l’analyse. L’article </w:t>
      </w:r>
      <w:r w:rsidR="00717192" w:rsidRPr="006816DA">
        <w:t>25 de la Loi prévoit que les droits confér</w:t>
      </w:r>
      <w:r w:rsidR="0099361A" w:rsidRPr="006816DA">
        <w:t>és</w:t>
      </w:r>
      <w:r w:rsidR="00717192" w:rsidRPr="006816DA">
        <w:t xml:space="preserve"> par la présente Loi le sont sans égard à la faute ou à la responsabilité de quiconque, ce qui inclut nécessairement le travailleur.</w:t>
      </w:r>
    </w:p>
    <w:p w14:paraId="5FFB593C" w14:textId="77777777" w:rsidR="00717192" w:rsidRPr="006816DA" w:rsidRDefault="00717192" w:rsidP="00717192">
      <w:pPr>
        <w:pStyle w:val="corpsdedcision"/>
        <w:numPr>
          <w:ilvl w:val="0"/>
          <w:numId w:val="0"/>
        </w:numPr>
        <w:rPr>
          <w:b/>
          <w:bCs/>
        </w:rPr>
      </w:pPr>
      <w:r w:rsidRPr="006816DA">
        <w:rPr>
          <w:b/>
          <w:bCs/>
        </w:rPr>
        <w:t>Est-ce que l’altercation physique avec le collègue est un événement imprévu et soudain survenu à l’occasion du travail?</w:t>
      </w:r>
    </w:p>
    <w:p w14:paraId="1217E13B" w14:textId="3A4DC6CC" w:rsidR="00140C42" w:rsidRPr="006816DA" w:rsidRDefault="0099361A" w:rsidP="00717192">
      <w:pPr>
        <w:pStyle w:val="corpsdedcision"/>
      </w:pPr>
      <w:r w:rsidRPr="006816DA">
        <w:t>Une fois l</w:t>
      </w:r>
      <w:r w:rsidR="00717192" w:rsidRPr="006816DA">
        <w:t>e chariot de manutention</w:t>
      </w:r>
      <w:r w:rsidR="00140C42" w:rsidRPr="006816DA">
        <w:t xml:space="preserve"> laiss</w:t>
      </w:r>
      <w:r w:rsidR="00717192" w:rsidRPr="006816DA">
        <w:t xml:space="preserve">é au garage pour </w:t>
      </w:r>
      <w:r w:rsidRPr="006816DA">
        <w:t>l’</w:t>
      </w:r>
      <w:r w:rsidR="00717192" w:rsidRPr="006816DA">
        <w:t>inspection, le travailleur</w:t>
      </w:r>
      <w:r w:rsidR="00140C42" w:rsidRPr="006816DA">
        <w:t xml:space="preserve"> se dirige vers le fumoir situé à proximité de la salle de repos.</w:t>
      </w:r>
    </w:p>
    <w:p w14:paraId="392856BF" w14:textId="7FB26657" w:rsidR="008A09E0" w:rsidRPr="006816DA" w:rsidRDefault="00140C42" w:rsidP="009B6DD3">
      <w:pPr>
        <w:pStyle w:val="corpsdedcision"/>
      </w:pPr>
      <w:r w:rsidRPr="006816DA">
        <w:t>Il s’assoi</w:t>
      </w:r>
      <w:r w:rsidR="0099361A" w:rsidRPr="006816DA">
        <w:t>t</w:t>
      </w:r>
      <w:r w:rsidRPr="006816DA">
        <w:t xml:space="preserve"> et constate rapidement que le débardeur impliqué dans l’incident est adossé sur le côté du fumoir à discuter avec d’autres employés. </w:t>
      </w:r>
      <w:r w:rsidR="008A09E0" w:rsidRPr="006816DA">
        <w:t>Le travailleur s’excuse alors à celui-ci pour l’incident. Le débardeur impliqué est mécontent de la situation. Il reproche au travailleur de passer régulièrement à proximité de son chariot de manutention le palonnier ouvert. S’ensui</w:t>
      </w:r>
      <w:r w:rsidR="0099361A" w:rsidRPr="006816DA">
        <w:t>ven</w:t>
      </w:r>
      <w:r w:rsidR="008A09E0" w:rsidRPr="006816DA">
        <w:t>t des reproches mutuels en lien avec cette façon de travailler. Le débardeur impliqué, en colère, fonce alors en direction du travailleur. Une altercation physique s’ensuit lors de laquelle quelques coups de poing sont portés de part et d’autre. Le combat se termine par une salve d’injure</w:t>
      </w:r>
      <w:r w:rsidR="0099361A" w:rsidRPr="006816DA">
        <w:t>s</w:t>
      </w:r>
      <w:r w:rsidR="008A09E0" w:rsidRPr="006816DA">
        <w:t xml:space="preserve"> dont </w:t>
      </w:r>
      <w:r w:rsidR="0099361A" w:rsidRPr="006816DA">
        <w:t>l'</w:t>
      </w:r>
      <w:r w:rsidR="008A09E0" w:rsidRPr="006816DA">
        <w:t xml:space="preserve">une </w:t>
      </w:r>
      <w:r w:rsidR="0099361A" w:rsidRPr="006816DA">
        <w:t xml:space="preserve">d'elles est </w:t>
      </w:r>
      <w:r w:rsidR="008A09E0" w:rsidRPr="006816DA">
        <w:t xml:space="preserve">adressée au travailleur </w:t>
      </w:r>
      <w:r w:rsidR="0099361A" w:rsidRPr="006816DA">
        <w:t>et elle se détaille</w:t>
      </w:r>
      <w:r w:rsidR="008A09E0" w:rsidRPr="006816DA">
        <w:t xml:space="preserve"> comme suit : </w:t>
      </w:r>
      <w:r w:rsidR="008A09E0" w:rsidRPr="006816DA">
        <w:rPr>
          <w:rStyle w:val="Citationintgre"/>
        </w:rPr>
        <w:t>«</w:t>
      </w:r>
      <w:r w:rsidR="0099361A" w:rsidRPr="006816DA">
        <w:rPr>
          <w:rStyle w:val="Citationintgre"/>
        </w:rPr>
        <w:t> </w:t>
      </w:r>
      <w:r w:rsidR="008A09E0" w:rsidRPr="006816DA">
        <w:rPr>
          <w:rStyle w:val="Citationintgre"/>
        </w:rPr>
        <w:t>Je vais te tirer mon sale, tu vas perdre ton emploi</w:t>
      </w:r>
      <w:r w:rsidR="0099361A" w:rsidRPr="006816DA">
        <w:rPr>
          <w:rStyle w:val="Citationintgre"/>
        </w:rPr>
        <w:t> </w:t>
      </w:r>
      <w:r w:rsidR="008A09E0" w:rsidRPr="006816DA">
        <w:rPr>
          <w:rStyle w:val="Citationintgre"/>
        </w:rPr>
        <w:t>»</w:t>
      </w:r>
      <w:r w:rsidR="008A09E0" w:rsidRPr="006816DA">
        <w:t>. Les agents de sécurité accour</w:t>
      </w:r>
      <w:r w:rsidR="0099361A" w:rsidRPr="006816DA">
        <w:t>ent</w:t>
      </w:r>
      <w:r w:rsidR="008A09E0" w:rsidRPr="006816DA">
        <w:t xml:space="preserve"> ensuite sur les lieux et le travailleur est amené à la salle de repos pour être rencontré par un représentant de l’employeur et un représentant syndical.</w:t>
      </w:r>
      <w:r w:rsidR="009B6DD3" w:rsidRPr="006816DA">
        <w:t xml:space="preserve"> Le travailleur se plaint de douleur à la main droite et à la joue gauche. </w:t>
      </w:r>
      <w:r w:rsidR="008A09E0" w:rsidRPr="006816DA">
        <w:t>Vers 13</w:t>
      </w:r>
      <w:r w:rsidR="0099361A" w:rsidRPr="006816DA">
        <w:t> h </w:t>
      </w:r>
      <w:r w:rsidR="008A09E0" w:rsidRPr="006816DA">
        <w:t xml:space="preserve">15, </w:t>
      </w:r>
      <w:r w:rsidR="009B6DD3" w:rsidRPr="006816DA">
        <w:t>il</w:t>
      </w:r>
      <w:r w:rsidR="008A09E0" w:rsidRPr="006816DA">
        <w:t xml:space="preserve"> est invité à retourner chez lui après avoir été avisé de sa suspension pour des fins</w:t>
      </w:r>
      <w:r w:rsidR="009A4C54" w:rsidRPr="006816DA">
        <w:t xml:space="preserve"> </w:t>
      </w:r>
      <w:r w:rsidR="008A09E0" w:rsidRPr="006816DA">
        <w:t>d’enquête.</w:t>
      </w:r>
    </w:p>
    <w:p w14:paraId="7DBEE282" w14:textId="7EA6765F" w:rsidR="008062CB" w:rsidRPr="006816DA" w:rsidRDefault="00C57EA2" w:rsidP="008062CB">
      <w:pPr>
        <w:pStyle w:val="corpsdedcision"/>
      </w:pPr>
      <w:r w:rsidRPr="006816DA">
        <w:t>L’employeur soutien</w:t>
      </w:r>
      <w:r w:rsidR="008062CB" w:rsidRPr="006816DA">
        <w:t>t</w:t>
      </w:r>
      <w:r w:rsidRPr="006816DA">
        <w:t xml:space="preserve"> en argumentation que l’altercation e</w:t>
      </w:r>
      <w:r w:rsidR="00581313" w:rsidRPr="006816DA">
        <w:t>ntre le travailleur et le collègue découle principalement d’un conflit de personnalité</w:t>
      </w:r>
      <w:r w:rsidR="008062CB" w:rsidRPr="006816DA">
        <w:t>s</w:t>
      </w:r>
      <w:r w:rsidR="00581313" w:rsidRPr="006816DA">
        <w:t xml:space="preserve"> entre les deux individus. </w:t>
      </w:r>
      <w:r w:rsidR="008062CB" w:rsidRPr="006816DA">
        <w:t>Il</w:t>
      </w:r>
      <w:r w:rsidR="00581313" w:rsidRPr="006816DA">
        <w:t xml:space="preserve"> n’administre </w:t>
      </w:r>
      <w:r w:rsidR="008062CB" w:rsidRPr="006816DA">
        <w:t xml:space="preserve">cependant </w:t>
      </w:r>
      <w:r w:rsidR="00581313" w:rsidRPr="006816DA">
        <w:t>aucune preuve en ce sens lors de l’audience. Le Tribunal ne possède aucun élément de preuve permettant de conclure qu’il existe un contentieux</w:t>
      </w:r>
      <w:r w:rsidR="00095CD4" w:rsidRPr="006816DA">
        <w:t xml:space="preserve"> préexistant </w:t>
      </w:r>
      <w:r w:rsidR="008062CB" w:rsidRPr="006816DA">
        <w:t xml:space="preserve">quelconque </w:t>
      </w:r>
      <w:r w:rsidR="00095CD4" w:rsidRPr="006816DA">
        <w:t>entre les belligérants.</w:t>
      </w:r>
    </w:p>
    <w:p w14:paraId="68AE9D32" w14:textId="2136710D" w:rsidR="00581313" w:rsidRPr="006816DA" w:rsidRDefault="00581313" w:rsidP="008062CB">
      <w:pPr>
        <w:pStyle w:val="corpsdedcision"/>
      </w:pPr>
      <w:r w:rsidRPr="006816DA">
        <w:t xml:space="preserve">Le </w:t>
      </w:r>
      <w:r w:rsidR="00095CD4" w:rsidRPr="006816DA">
        <w:t>t</w:t>
      </w:r>
      <w:r w:rsidRPr="006816DA">
        <w:t xml:space="preserve">ravailleur </w:t>
      </w:r>
      <w:r w:rsidR="00095CD4" w:rsidRPr="006816DA">
        <w:t xml:space="preserve">indique plutôt </w:t>
      </w:r>
      <w:r w:rsidR="008062CB" w:rsidRPr="006816DA">
        <w:t xml:space="preserve">dans son témoignage </w:t>
      </w:r>
      <w:r w:rsidR="00095CD4" w:rsidRPr="006816DA">
        <w:t>qu’il discutait régulièrement avec ce collègue</w:t>
      </w:r>
      <w:r w:rsidR="008062CB" w:rsidRPr="006816DA">
        <w:t>,</w:t>
      </w:r>
      <w:r w:rsidR="00095CD4" w:rsidRPr="006816DA">
        <w:t xml:space="preserve"> de façon tout à fait cordiale</w:t>
      </w:r>
      <w:r w:rsidR="008062CB" w:rsidRPr="006816DA">
        <w:t>, avant les événements</w:t>
      </w:r>
      <w:r w:rsidR="00095CD4" w:rsidRPr="006816DA">
        <w:t xml:space="preserve">. Il </w:t>
      </w:r>
      <w:r w:rsidR="005F2799" w:rsidRPr="006816DA">
        <w:t>n’est</w:t>
      </w:r>
      <w:r w:rsidR="00095CD4" w:rsidRPr="006816DA">
        <w:t xml:space="preserve"> pas d’un ami proche, mais il ne s’agit </w:t>
      </w:r>
      <w:r w:rsidR="008062CB" w:rsidRPr="006816DA">
        <w:t xml:space="preserve">pas </w:t>
      </w:r>
      <w:r w:rsidR="00095CD4" w:rsidRPr="006816DA">
        <w:t xml:space="preserve">non plus d’une personne qu’il déteste ou </w:t>
      </w:r>
      <w:r w:rsidR="008062CB" w:rsidRPr="006816DA">
        <w:t>pour laquelle</w:t>
      </w:r>
      <w:r w:rsidR="00095CD4" w:rsidRPr="006816DA">
        <w:t xml:space="preserve"> il présente une animosité certaine. Avant le 17</w:t>
      </w:r>
      <w:r w:rsidR="008062CB" w:rsidRPr="006816DA">
        <w:t> </w:t>
      </w:r>
      <w:r w:rsidR="00095CD4" w:rsidRPr="006816DA">
        <w:t>juin</w:t>
      </w:r>
      <w:r w:rsidR="008062CB" w:rsidRPr="006816DA">
        <w:t> </w:t>
      </w:r>
      <w:r w:rsidR="00095CD4" w:rsidRPr="006816DA">
        <w:t>2021, il n’y avait pas d</w:t>
      </w:r>
      <w:r w:rsidR="008062CB" w:rsidRPr="006816DA">
        <w:t>e différends</w:t>
      </w:r>
      <w:r w:rsidR="00095CD4" w:rsidRPr="006816DA">
        <w:t xml:space="preserve"> important</w:t>
      </w:r>
      <w:r w:rsidR="008062CB" w:rsidRPr="006816DA">
        <w:t>s</w:t>
      </w:r>
      <w:r w:rsidR="00095CD4" w:rsidRPr="006816DA">
        <w:t xml:space="preserve"> ou de </w:t>
      </w:r>
      <w:r w:rsidR="008062CB" w:rsidRPr="006816DA">
        <w:t>conflits</w:t>
      </w:r>
      <w:r w:rsidR="00095CD4" w:rsidRPr="006816DA">
        <w:t xml:space="preserve"> marqué</w:t>
      </w:r>
      <w:r w:rsidR="008062CB" w:rsidRPr="006816DA">
        <w:t>s</w:t>
      </w:r>
      <w:r w:rsidR="00095CD4" w:rsidRPr="006816DA">
        <w:t xml:space="preserve"> entre eux.</w:t>
      </w:r>
    </w:p>
    <w:p w14:paraId="151504FB" w14:textId="666601D4" w:rsidR="00581313" w:rsidRPr="006816DA" w:rsidRDefault="00581313" w:rsidP="00C57EA2">
      <w:pPr>
        <w:pStyle w:val="corpsdedcision"/>
      </w:pPr>
      <w:r w:rsidRPr="006816DA">
        <w:t>Pour le Tribunal, les motifs de l’altercation sont clairs et ils sont en lien avec l’événement accidentel survenu quelques minutes</w:t>
      </w:r>
      <w:r w:rsidR="00095CD4" w:rsidRPr="006816DA">
        <w:t xml:space="preserve"> </w:t>
      </w:r>
      <w:r w:rsidR="00BD3F8D" w:rsidRPr="006816DA">
        <w:t xml:space="preserve">avant </w:t>
      </w:r>
      <w:r w:rsidR="008062CB" w:rsidRPr="006816DA">
        <w:t>sur le site</w:t>
      </w:r>
      <w:r w:rsidR="00095CD4" w:rsidRPr="006816DA">
        <w:t xml:space="preserve"> du port de </w:t>
      </w:r>
      <w:r w:rsidR="00BD3F8D" w:rsidRPr="006816DA">
        <w:t>Mo</w:t>
      </w:r>
      <w:r w:rsidR="00095CD4" w:rsidRPr="006816DA">
        <w:t>ntréal</w:t>
      </w:r>
      <w:r w:rsidRPr="006816DA">
        <w:t xml:space="preserve">. La discussion qui précède la rixe fait spécifiquement référence à la chute du conteneur et au fait que le travailleur </w:t>
      </w:r>
      <w:r w:rsidR="00F75391" w:rsidRPr="006816DA">
        <w:t>conduit</w:t>
      </w:r>
      <w:r w:rsidRPr="006816DA">
        <w:t xml:space="preserve"> régulièrement </w:t>
      </w:r>
      <w:r w:rsidR="008062CB" w:rsidRPr="006816DA">
        <w:t>son</w:t>
      </w:r>
      <w:r w:rsidRPr="006816DA">
        <w:t xml:space="preserve"> chariot de manutention </w:t>
      </w:r>
      <w:r w:rsidR="00F75391" w:rsidRPr="006816DA">
        <w:t xml:space="preserve">avec </w:t>
      </w:r>
      <w:r w:rsidRPr="006816DA">
        <w:t>le palonnier ouvert</w:t>
      </w:r>
      <w:r w:rsidR="00F75391" w:rsidRPr="006816DA">
        <w:t xml:space="preserve"> à proximité du collègue en question</w:t>
      </w:r>
      <w:r w:rsidRPr="006816DA">
        <w:t>.</w:t>
      </w:r>
      <w:r w:rsidR="00F75391" w:rsidRPr="006816DA">
        <w:t xml:space="preserve"> Le contenu de cette discussion est confirmé par le témoignage du travailleur, mais aussi par la déclaration</w:t>
      </w:r>
      <w:r w:rsidR="00F75391" w:rsidRPr="006816DA">
        <w:rPr>
          <w:rStyle w:val="Appelnotedebasdep"/>
        </w:rPr>
        <w:footnoteReference w:id="18"/>
      </w:r>
      <w:r w:rsidR="00F75391" w:rsidRPr="006816DA">
        <w:t xml:space="preserve"> faite à l’agent de sécurité immédiatement après l’altercation.</w:t>
      </w:r>
    </w:p>
    <w:p w14:paraId="4DF4C8FD" w14:textId="4B613054" w:rsidR="00BD3F8D" w:rsidRPr="006816DA" w:rsidRDefault="00BD3F8D" w:rsidP="00C57EA2">
      <w:pPr>
        <w:pStyle w:val="corpsdedcision"/>
      </w:pPr>
      <w:r w:rsidRPr="006816DA">
        <w:t xml:space="preserve">Le conflit qui </w:t>
      </w:r>
      <w:r w:rsidR="008062CB" w:rsidRPr="006816DA">
        <w:t>oppose le travailleur au collègue</w:t>
      </w:r>
      <w:r w:rsidRPr="006816DA">
        <w:t xml:space="preserve"> est directement en lien </w:t>
      </w:r>
      <w:r w:rsidR="00065321" w:rsidRPr="006816DA">
        <w:t>avec un événement survenu au travail</w:t>
      </w:r>
      <w:r w:rsidRPr="006816DA">
        <w:t xml:space="preserve"> </w:t>
      </w:r>
      <w:r w:rsidR="008062CB" w:rsidRPr="006816DA">
        <w:t>ainsi qu’aux</w:t>
      </w:r>
      <w:r w:rsidRPr="006816DA">
        <w:t xml:space="preserve"> méthodes de travail </w:t>
      </w:r>
      <w:r w:rsidR="00065321" w:rsidRPr="006816DA">
        <w:t xml:space="preserve">déficientes </w:t>
      </w:r>
      <w:r w:rsidRPr="006816DA">
        <w:t xml:space="preserve">utilisées quotidiennement par le travailleur. L’altercation ne résulte </w:t>
      </w:r>
      <w:r w:rsidR="00F75391" w:rsidRPr="006816DA">
        <w:t xml:space="preserve">donc </w:t>
      </w:r>
      <w:r w:rsidRPr="006816DA">
        <w:t>pas d’un différen</w:t>
      </w:r>
      <w:r w:rsidR="008062CB" w:rsidRPr="006816DA">
        <w:t>d</w:t>
      </w:r>
      <w:r w:rsidRPr="006816DA">
        <w:t xml:space="preserve"> personnel ou d’un conflit de personnalité</w:t>
      </w:r>
      <w:r w:rsidR="008062CB" w:rsidRPr="006816DA">
        <w:t>s</w:t>
      </w:r>
      <w:r w:rsidRPr="006816DA">
        <w:t xml:space="preserve"> comme le prétend l’employeur.</w:t>
      </w:r>
    </w:p>
    <w:p w14:paraId="74CC836E" w14:textId="3B02680F" w:rsidR="00EC03DA" w:rsidRPr="006816DA" w:rsidRDefault="00F75391" w:rsidP="00EC03DA">
      <w:pPr>
        <w:pStyle w:val="corpsdedcision"/>
      </w:pPr>
      <w:r w:rsidRPr="006816DA">
        <w:t xml:space="preserve">Lorsqu’une altercation </w:t>
      </w:r>
      <w:r w:rsidR="00065321" w:rsidRPr="006816DA">
        <w:t xml:space="preserve">physique </w:t>
      </w:r>
      <w:r w:rsidRPr="006816DA">
        <w:t>ou une agr</w:t>
      </w:r>
      <w:r w:rsidR="00065321" w:rsidRPr="006816DA">
        <w:t>e</w:t>
      </w:r>
      <w:r w:rsidRPr="006816DA">
        <w:t>ssion survient sur les lieux d</w:t>
      </w:r>
      <w:r w:rsidR="008062CB" w:rsidRPr="006816DA">
        <w:t>e</w:t>
      </w:r>
      <w:r w:rsidRPr="006816DA">
        <w:t xml:space="preserve"> travail </w:t>
      </w:r>
      <w:r w:rsidR="00065321" w:rsidRPr="006816DA">
        <w:t xml:space="preserve">alors </w:t>
      </w:r>
      <w:r w:rsidR="008062CB" w:rsidRPr="006816DA">
        <w:t>et qu’elle est</w:t>
      </w:r>
      <w:r w:rsidR="00065321" w:rsidRPr="006816DA">
        <w:t xml:space="preserve"> en lien </w:t>
      </w:r>
      <w:r w:rsidR="00613D4C" w:rsidRPr="006816DA">
        <w:t>avec le travail</w:t>
      </w:r>
      <w:r w:rsidR="008062CB" w:rsidRPr="006816DA">
        <w:t>,</w:t>
      </w:r>
      <w:r w:rsidR="00613D4C" w:rsidRPr="006816DA">
        <w:t xml:space="preserve"> elle doit être considér</w:t>
      </w:r>
      <w:r w:rsidR="005F2799" w:rsidRPr="006816DA">
        <w:t>ée</w:t>
      </w:r>
      <w:r w:rsidR="00613D4C" w:rsidRPr="006816DA">
        <w:t xml:space="preserve"> comme un événement imprévu </w:t>
      </w:r>
      <w:r w:rsidR="00CB4F04" w:rsidRPr="006816DA">
        <w:t xml:space="preserve">et soudain </w:t>
      </w:r>
      <w:r w:rsidR="00613D4C" w:rsidRPr="006816DA">
        <w:t xml:space="preserve">survenu à l’occasion du travail. La Cour d’appel du Québec </w:t>
      </w:r>
      <w:r w:rsidR="00EC03DA" w:rsidRPr="006816DA">
        <w:t>dans la</w:t>
      </w:r>
      <w:r w:rsidR="00613D4C" w:rsidRPr="006816DA">
        <w:t xml:space="preserve"> décision phare </w:t>
      </w:r>
      <w:r w:rsidR="00D76C95" w:rsidRPr="006816DA">
        <w:rPr>
          <w:i/>
          <w:iCs/>
        </w:rPr>
        <w:t>Succession Pacheco c. Hôpital de Montréal pour enfants</w:t>
      </w:r>
      <w:r w:rsidR="00D76C95" w:rsidRPr="006816DA">
        <w:rPr>
          <w:rStyle w:val="Appelnotedebasdep"/>
        </w:rPr>
        <w:footnoteReference w:id="19"/>
      </w:r>
      <w:r w:rsidR="00D76C95" w:rsidRPr="006816DA">
        <w:t xml:space="preserve"> </w:t>
      </w:r>
      <w:r w:rsidR="00613D4C" w:rsidRPr="006816DA">
        <w:t>de 1998 énonce</w:t>
      </w:r>
      <w:r w:rsidR="008062CB" w:rsidRPr="006816DA">
        <w:t xml:space="preserve"> les principes suivants</w:t>
      </w:r>
      <w:r w:rsidR="00613D4C" w:rsidRPr="006816DA">
        <w:t> :</w:t>
      </w:r>
    </w:p>
    <w:p w14:paraId="28E25BDC" w14:textId="6C8B6EB8" w:rsidR="00EC03DA" w:rsidRPr="006816DA" w:rsidRDefault="00EC03DA" w:rsidP="00EC03DA">
      <w:pPr>
        <w:pStyle w:val="citation"/>
        <w:spacing w:after="360"/>
      </w:pPr>
      <w:r w:rsidRPr="006816DA">
        <w:rPr>
          <w:shd w:val="clear" w:color="auto" w:fill="FFFFFF"/>
        </w:rPr>
        <w:t>Il convient toutefois de noter que la jurisprudence récente du BRP et de la CALP est pratiquement unanime à considérer comme critère déterminant le lien entre le travail et la raison de l'agression, et non à déterminer si le travailleur blessé a une part de responsabilité dans l'altercation. Le BRP a d'ailleurs énoncé: </w:t>
      </w:r>
      <w:r w:rsidRPr="006816DA">
        <w:rPr>
          <w:b/>
          <w:bCs/>
          <w:shd w:val="clear" w:color="auto" w:fill="FFFFFF"/>
        </w:rPr>
        <w:t>«qu'il importe peu en matière d'un accident de travail de déterminer qui a été l'investigateur d'une querelle; tout ce qu'il faut questionner, c'est le but visé qui, lui doit avoir un lien quelconque avec le travail</w:t>
      </w:r>
      <w:r w:rsidRPr="006816DA">
        <w:rPr>
          <w:b/>
          <w:bCs/>
          <w:shd w:val="clear" w:color="auto" w:fill="FFFFFF"/>
          <w:vertAlign w:val="superscript"/>
        </w:rPr>
        <w:t>(26)</w:t>
      </w:r>
      <w:r w:rsidR="003D721D" w:rsidRPr="006816DA">
        <w:rPr>
          <w:b/>
          <w:bCs/>
          <w:shd w:val="clear" w:color="auto" w:fill="FFFFFF"/>
          <w:vertAlign w:val="superscript"/>
        </w:rPr>
        <w:t> </w:t>
      </w:r>
      <w:r w:rsidR="003D721D" w:rsidRPr="006816DA">
        <w:rPr>
          <w:b/>
          <w:bCs/>
          <w:shd w:val="clear" w:color="auto" w:fill="FFFFFF"/>
        </w:rPr>
        <w:t>»</w:t>
      </w:r>
      <w:r w:rsidRPr="006816DA">
        <w:rPr>
          <w:shd w:val="clear" w:color="auto" w:fill="FFFFFF"/>
        </w:rPr>
        <w:t>. En fait, il faut se questionner sur la cause véritable de l'agression pour déterminer si elle est reliée au travail ou si elle est étrangère à celui-ci</w:t>
      </w:r>
      <w:r w:rsidRPr="006816DA">
        <w:rPr>
          <w:shd w:val="clear" w:color="auto" w:fill="FFFFFF"/>
          <w:vertAlign w:val="superscript"/>
        </w:rPr>
        <w:t>(27)</w:t>
      </w:r>
      <w:r w:rsidRPr="006816DA">
        <w:rPr>
          <w:shd w:val="clear" w:color="auto" w:fill="FFFFFF"/>
        </w:rPr>
        <w:t>. Ainsi, l'absence de connexité entre le travail et l'agression implique nécessairement le rejet d'une réclamation puisque, dès lors, l'accident n'est pas survenu à l'occasion du travail</w:t>
      </w:r>
      <w:r w:rsidRPr="006816DA">
        <w:rPr>
          <w:shd w:val="clear" w:color="auto" w:fill="FFFFFF"/>
          <w:vertAlign w:val="superscript"/>
        </w:rPr>
        <w:t>(28)</w:t>
      </w:r>
      <w:r w:rsidRPr="006816DA">
        <w:rPr>
          <w:shd w:val="clear" w:color="auto" w:fill="FFFFFF"/>
        </w:rPr>
        <w:t>.</w:t>
      </w:r>
    </w:p>
    <w:p w14:paraId="206F23BE" w14:textId="44355B86" w:rsidR="00EC03DA" w:rsidRPr="006816DA" w:rsidRDefault="00D76C95" w:rsidP="00EC03DA">
      <w:pPr>
        <w:pStyle w:val="corpsdedcision"/>
      </w:pPr>
      <w:r w:rsidRPr="006816DA">
        <w:t xml:space="preserve">Ce même raisonnement a été </w:t>
      </w:r>
      <w:r w:rsidR="00700A8B" w:rsidRPr="006816DA">
        <w:t xml:space="preserve">suivi </w:t>
      </w:r>
      <w:r w:rsidR="00122C15" w:rsidRPr="006816DA">
        <w:t>dans l</w:t>
      </w:r>
      <w:r w:rsidR="0074469E" w:rsidRPr="006816DA">
        <w:t>es</w:t>
      </w:r>
      <w:r w:rsidR="00122C15" w:rsidRPr="006816DA">
        <w:t xml:space="preserve"> décision</w:t>
      </w:r>
      <w:r w:rsidR="0074469E" w:rsidRPr="006816DA">
        <w:t>s</w:t>
      </w:r>
      <w:r w:rsidR="00122C15" w:rsidRPr="006816DA">
        <w:t xml:space="preserve"> </w:t>
      </w:r>
      <w:r w:rsidR="00122C15" w:rsidRPr="006816DA">
        <w:rPr>
          <w:i/>
          <w:iCs/>
        </w:rPr>
        <w:t>Ouellet et Sciage et planage Rioux Inc.</w:t>
      </w:r>
      <w:r w:rsidR="00122C15" w:rsidRPr="006816DA">
        <w:rPr>
          <w:rStyle w:val="Appelnotedebasdep"/>
          <w:i/>
          <w:iCs/>
        </w:rPr>
        <w:footnoteReference w:id="20"/>
      </w:r>
      <w:r w:rsidR="0074469E" w:rsidRPr="006816DA">
        <w:t xml:space="preserve">, </w:t>
      </w:r>
      <w:r w:rsidR="00122C15" w:rsidRPr="006816DA">
        <w:rPr>
          <w:i/>
          <w:iCs/>
        </w:rPr>
        <w:t>Durand et Métra Aluminium</w:t>
      </w:r>
      <w:r w:rsidR="00CB22FF" w:rsidRPr="006816DA">
        <w:rPr>
          <w:i/>
          <w:iCs/>
        </w:rPr>
        <w:t xml:space="preserve"> inc.</w:t>
      </w:r>
      <w:r w:rsidR="00700A8B" w:rsidRPr="006816DA">
        <w:rPr>
          <w:rStyle w:val="Appelnotedebasdep"/>
          <w:i/>
          <w:iCs/>
        </w:rPr>
        <w:footnoteReference w:id="21"/>
      </w:r>
      <w:r w:rsidR="00122C15" w:rsidRPr="006816DA">
        <w:t xml:space="preserve"> </w:t>
      </w:r>
      <w:r w:rsidR="0074469E" w:rsidRPr="006816DA">
        <w:t xml:space="preserve">ainsi que </w:t>
      </w:r>
      <w:r w:rsidR="0074469E" w:rsidRPr="006816DA">
        <w:rPr>
          <w:i/>
          <w:iCs/>
        </w:rPr>
        <w:t>Bélisle et Ville de Victoriaville</w:t>
      </w:r>
      <w:r w:rsidR="0074469E" w:rsidRPr="006816DA">
        <w:rPr>
          <w:rStyle w:val="Appelnotedebasdep"/>
        </w:rPr>
        <w:footnoteReference w:id="22"/>
      </w:r>
      <w:r w:rsidR="0074469E" w:rsidRPr="006816DA">
        <w:t xml:space="preserve"> </w:t>
      </w:r>
      <w:r w:rsidR="00122C15" w:rsidRPr="006816DA">
        <w:t>dans l</w:t>
      </w:r>
      <w:r w:rsidR="005F2799" w:rsidRPr="006816DA">
        <w:t>a</w:t>
      </w:r>
      <w:r w:rsidR="00122C15" w:rsidRPr="006816DA">
        <w:t>quelle on peut lire :</w:t>
      </w:r>
    </w:p>
    <w:p w14:paraId="51A7344A" w14:textId="20F44405" w:rsidR="00122C15" w:rsidRPr="006816DA" w:rsidRDefault="00122C15" w:rsidP="00700A8B">
      <w:pPr>
        <w:pStyle w:val="citation"/>
      </w:pPr>
      <w:r w:rsidRPr="006816DA">
        <w:t>[57]</w:t>
      </w:r>
      <w:r w:rsidRPr="006816DA">
        <w:tab/>
        <w:t xml:space="preserve">Ainsi, la Commission d’appel en matière de lésions professionnelles a reconnu la réclamation d’un travailleur qui avait été frappé au visage par un collègue de travail au cours d’une altercation originant d’une mésentente relative </w:t>
      </w:r>
      <w:r w:rsidRPr="006816DA">
        <w:rPr>
          <w:u w:val="single"/>
        </w:rPr>
        <w:t>à l’organisation du travail ou à l’accomplissement du travail</w:t>
      </w:r>
      <w:r w:rsidRPr="006816DA">
        <w:rPr>
          <w:vertAlign w:val="superscript"/>
        </w:rPr>
        <w:t>5</w:t>
      </w:r>
      <w:r w:rsidR="00700A8B" w:rsidRPr="006816DA">
        <w:t>.</w:t>
      </w:r>
    </w:p>
    <w:p w14:paraId="6199C7F1" w14:textId="77777777" w:rsidR="00700A8B" w:rsidRPr="006816DA" w:rsidRDefault="00700A8B" w:rsidP="00700A8B">
      <w:pPr>
        <w:pStyle w:val="citation"/>
      </w:pPr>
    </w:p>
    <w:p w14:paraId="4A153711" w14:textId="0008A3BF" w:rsidR="00122C15" w:rsidRPr="006816DA" w:rsidRDefault="00122C15" w:rsidP="00700A8B">
      <w:pPr>
        <w:pStyle w:val="citation"/>
        <w:spacing w:after="240"/>
      </w:pPr>
      <w:r w:rsidRPr="006816DA">
        <w:t>[58]</w:t>
      </w:r>
      <w:r w:rsidRPr="006816DA">
        <w:tab/>
        <w:t xml:space="preserve">La Commission des lésions professionnelles a également reconnu la réclamation d’un travailleur victime d’une agression à la suite d’une altercation </w:t>
      </w:r>
      <w:r w:rsidRPr="006816DA">
        <w:rPr>
          <w:u w:val="single"/>
        </w:rPr>
        <w:t>portant sur un désaccord sur les tâches de travai</w:t>
      </w:r>
      <w:r w:rsidRPr="006816DA">
        <w:t>l</w:t>
      </w:r>
      <w:r w:rsidR="00700A8B" w:rsidRPr="006816DA">
        <w:rPr>
          <w:vertAlign w:val="superscript"/>
        </w:rPr>
        <w:t>6</w:t>
      </w:r>
      <w:r w:rsidR="00700A8B" w:rsidRPr="006816DA">
        <w:t>, l’agression d’un travailleur par son employeur au motif qu’il avait révélé ses démêlés avec la justice lors d’une assemblée syndicale</w:t>
      </w:r>
      <w:r w:rsidR="00700A8B" w:rsidRPr="006816DA">
        <w:rPr>
          <w:vertAlign w:val="superscript"/>
        </w:rPr>
        <w:t>7</w:t>
      </w:r>
      <w:r w:rsidR="00700A8B" w:rsidRPr="006816DA">
        <w:t xml:space="preserve">, la réclamation d’un travailleur blessé aux côtes lors d’une altercation avec un collègue de travail </w:t>
      </w:r>
      <w:r w:rsidR="00700A8B" w:rsidRPr="006816DA">
        <w:rPr>
          <w:u w:val="single"/>
        </w:rPr>
        <w:t>relativement à l’utilisation d’un chariot motorisé</w:t>
      </w:r>
      <w:r w:rsidR="00700A8B" w:rsidRPr="006816DA">
        <w:rPr>
          <w:vertAlign w:val="superscript"/>
        </w:rPr>
        <w:t>8</w:t>
      </w:r>
      <w:r w:rsidR="00700A8B" w:rsidRPr="006816DA">
        <w:t>, l’agression d’une travailleuse par une collègue relativement à un désaccord quant à la méthode de négociation des contrats</w:t>
      </w:r>
      <w:r w:rsidR="00700A8B" w:rsidRPr="006816DA">
        <w:rPr>
          <w:vertAlign w:val="superscript"/>
        </w:rPr>
        <w:t>9</w:t>
      </w:r>
      <w:r w:rsidR="00700A8B" w:rsidRPr="006816DA">
        <w:t>.</w:t>
      </w:r>
    </w:p>
    <w:p w14:paraId="25AFFBA1" w14:textId="3F342CBE" w:rsidR="00700A8B" w:rsidRPr="006816DA" w:rsidRDefault="00700A8B" w:rsidP="00700A8B">
      <w:pPr>
        <w:pStyle w:val="corpsdedcision"/>
        <w:numPr>
          <w:ilvl w:val="0"/>
          <w:numId w:val="0"/>
        </w:numPr>
        <w:rPr>
          <w:sz w:val="22"/>
          <w:szCs w:val="22"/>
        </w:rPr>
      </w:pPr>
      <w:r w:rsidRPr="006816DA">
        <w:tab/>
      </w:r>
      <w:r w:rsidRPr="006816DA">
        <w:rPr>
          <w:sz w:val="22"/>
          <w:szCs w:val="22"/>
        </w:rPr>
        <w:t>[Notes omises et nos soulignements]</w:t>
      </w:r>
    </w:p>
    <w:p w14:paraId="009340BF" w14:textId="7EE23291" w:rsidR="00613D4C" w:rsidRPr="006816DA" w:rsidRDefault="00613D4C" w:rsidP="00BA59A2">
      <w:pPr>
        <w:pStyle w:val="corpsdedcision"/>
      </w:pPr>
      <w:r w:rsidRPr="006816DA">
        <w:t xml:space="preserve">Ainsi, la prétention de l’employeur voulant que le travailleur soit à l’origine de l’altercation physique ou qu’il ait porté le premier coup </w:t>
      </w:r>
      <w:r w:rsidR="00BA59A2" w:rsidRPr="006816DA">
        <w:t>ne peut réussir. Il ne s’agit pas</w:t>
      </w:r>
      <w:r w:rsidRPr="006816DA">
        <w:t xml:space="preserve"> </w:t>
      </w:r>
      <w:r w:rsidR="005F2799" w:rsidRPr="006816DA">
        <w:t>d’</w:t>
      </w:r>
      <w:r w:rsidRPr="006816DA">
        <w:t xml:space="preserve">éléments pertinents à considérer </w:t>
      </w:r>
      <w:r w:rsidR="00BA59A2" w:rsidRPr="006816DA">
        <w:t>au stade</w:t>
      </w:r>
      <w:r w:rsidRPr="006816DA">
        <w:t xml:space="preserve"> de l’analyse de la survenance </w:t>
      </w:r>
      <w:r w:rsidR="00BA59A2" w:rsidRPr="006816DA">
        <w:t>d’un événement imprévu et soudain qui se produit à l’occasion du travail.</w:t>
      </w:r>
    </w:p>
    <w:p w14:paraId="0B783714" w14:textId="003FB8F6" w:rsidR="005F2799" w:rsidRPr="006816DA" w:rsidRDefault="005F2799" w:rsidP="00BA59A2">
      <w:pPr>
        <w:pStyle w:val="corpsdedcision"/>
      </w:pPr>
      <w:r w:rsidRPr="006816DA">
        <w:t>L’altercation entre le travailleur et le collègue constitue un événement imprévu et soudain au même titre que la chute des conteneurs.</w:t>
      </w:r>
    </w:p>
    <w:p w14:paraId="328DB380" w14:textId="0FA45737" w:rsidR="00717192" w:rsidRPr="006816DA" w:rsidRDefault="00717192" w:rsidP="00717192">
      <w:pPr>
        <w:pStyle w:val="corpsdedcision"/>
        <w:numPr>
          <w:ilvl w:val="0"/>
          <w:numId w:val="0"/>
        </w:numPr>
        <w:rPr>
          <w:rFonts w:cs="Arial"/>
          <w:b/>
          <w:bCs/>
        </w:rPr>
      </w:pPr>
      <w:r w:rsidRPr="006816DA">
        <w:rPr>
          <w:rFonts w:cs="Arial"/>
          <w:b/>
          <w:bCs/>
        </w:rPr>
        <w:t>Est-ce que ces événements sont la cause de l’exacerbation du trouble anxieux personnel du travailleur?</w:t>
      </w:r>
    </w:p>
    <w:p w14:paraId="5B94ADB5" w14:textId="593B2D48" w:rsidR="00140C42" w:rsidRPr="006816DA" w:rsidRDefault="009A4C54" w:rsidP="009A4C54">
      <w:pPr>
        <w:pStyle w:val="corpsdedcision"/>
      </w:pPr>
      <w:r w:rsidRPr="006816DA">
        <w:t xml:space="preserve">Quelques jours </w:t>
      </w:r>
      <w:r w:rsidR="00717192" w:rsidRPr="006816DA">
        <w:t>après</w:t>
      </w:r>
      <w:r w:rsidR="00BA59A2" w:rsidRPr="006816DA">
        <w:t xml:space="preserve"> l</w:t>
      </w:r>
      <w:r w:rsidR="00986C17" w:rsidRPr="006816DA">
        <w:t xml:space="preserve">es </w:t>
      </w:r>
      <w:r w:rsidR="00BA59A2" w:rsidRPr="006816DA">
        <w:t>incident</w:t>
      </w:r>
      <w:r w:rsidR="00986C17" w:rsidRPr="006816DA">
        <w:t>s</w:t>
      </w:r>
      <w:r w:rsidR="00BA59A2" w:rsidRPr="006816DA">
        <w:t xml:space="preserve"> d</w:t>
      </w:r>
      <w:r w:rsidR="005F2799" w:rsidRPr="006816DA">
        <w:t>es</w:t>
      </w:r>
      <w:r w:rsidR="00BA59A2" w:rsidRPr="006816DA">
        <w:t xml:space="preserve"> conteneur</w:t>
      </w:r>
      <w:r w:rsidR="005F2799" w:rsidRPr="006816DA">
        <w:t>s</w:t>
      </w:r>
      <w:r w:rsidR="00BA59A2" w:rsidRPr="006816DA">
        <w:t xml:space="preserve"> et</w:t>
      </w:r>
      <w:r w:rsidR="00717192" w:rsidRPr="006816DA">
        <w:t xml:space="preserve"> </w:t>
      </w:r>
      <w:r w:rsidR="00986C17" w:rsidRPr="006816DA">
        <w:t xml:space="preserve">de </w:t>
      </w:r>
      <w:r w:rsidR="00717192" w:rsidRPr="006816DA">
        <w:t xml:space="preserve">l’altercation </w:t>
      </w:r>
      <w:r w:rsidR="00C93FD1" w:rsidRPr="006816DA">
        <w:t>physique</w:t>
      </w:r>
      <w:r w:rsidRPr="006816DA">
        <w:t xml:space="preserve">, </w:t>
      </w:r>
      <w:r w:rsidR="00717192" w:rsidRPr="006816DA">
        <w:t>le travailleur</w:t>
      </w:r>
      <w:r w:rsidRPr="006816DA">
        <w:t xml:space="preserve"> consulte la docteure Roxane Larivière à la Clinique médicale de Lavaltrie</w:t>
      </w:r>
      <w:r w:rsidR="00C93FD1" w:rsidRPr="006816DA">
        <w:t xml:space="preserve"> en raison d’une douleur persistante à sa main droite</w:t>
      </w:r>
      <w:r w:rsidRPr="006816DA">
        <w:t xml:space="preserve">. </w:t>
      </w:r>
      <w:r w:rsidR="00C93FD1" w:rsidRPr="006816DA">
        <w:t>Celle-ci</w:t>
      </w:r>
      <w:r w:rsidRPr="006816DA">
        <w:t xml:space="preserve"> demande un examen par radiographie </w:t>
      </w:r>
      <w:r w:rsidR="00C93FD1" w:rsidRPr="006816DA">
        <w:t>dont le résultat élimine une possible fracture.</w:t>
      </w:r>
    </w:p>
    <w:p w14:paraId="71D8EE2A" w14:textId="571701D9" w:rsidR="004F1F9C" w:rsidRPr="006816DA" w:rsidRDefault="008F2488" w:rsidP="009B6DD3">
      <w:pPr>
        <w:pStyle w:val="corpsdedcision"/>
      </w:pPr>
      <w:r w:rsidRPr="006816DA">
        <w:t>Le 2 juillet </w:t>
      </w:r>
      <w:r w:rsidR="009A4C54" w:rsidRPr="006816DA">
        <w:t>2021, le travailleur consulte son professionnel de la santé traitant, le</w:t>
      </w:r>
      <w:r w:rsidR="009B6DD3" w:rsidRPr="006816DA">
        <w:t xml:space="preserve"> docteur</w:t>
      </w:r>
      <w:r w:rsidR="009A4C54" w:rsidRPr="006816DA">
        <w:t xml:space="preserve"> Louis Chevrette</w:t>
      </w:r>
      <w:r w:rsidR="009B6DD3" w:rsidRPr="006816DA">
        <w:t>. Il lui rapporte être anxieux depuis les événements</w:t>
      </w:r>
      <w:r w:rsidR="00C93FD1" w:rsidRPr="006816DA">
        <w:t xml:space="preserve"> susmentionnés</w:t>
      </w:r>
      <w:r w:rsidR="009B6DD3" w:rsidRPr="006816DA">
        <w:t>. Il rumine la situation et il fait de l’insomnie. Il présente également de légères difficultés de concentration. Le diagnostic de trouble anxieux exacerbé est alors posé par le docteur Chevrette.</w:t>
      </w:r>
      <w:r w:rsidR="001528C5" w:rsidRPr="006816DA">
        <w:t xml:space="preserve"> La médication prescrite </w:t>
      </w:r>
      <w:r w:rsidR="00986C17" w:rsidRPr="006816DA">
        <w:t xml:space="preserve">depuis 2017 </w:t>
      </w:r>
      <w:r w:rsidR="001528C5" w:rsidRPr="006816DA">
        <w:t xml:space="preserve">pour cette </w:t>
      </w:r>
      <w:r w:rsidR="00F633B8" w:rsidRPr="006816DA">
        <w:t>condition</w:t>
      </w:r>
      <w:r w:rsidR="001528C5" w:rsidRPr="006816DA">
        <w:t xml:space="preserve"> psychologique est augmentée. </w:t>
      </w:r>
      <w:r w:rsidR="001530B2" w:rsidRPr="006816DA">
        <w:t>Un antipsychotique est aussi ajouté pour contrer l’insomnie</w:t>
      </w:r>
      <w:r w:rsidR="00F633B8" w:rsidRPr="006816DA">
        <w:t xml:space="preserve"> nouvelle</w:t>
      </w:r>
      <w:r w:rsidR="00986C17" w:rsidRPr="006816DA">
        <w:t>ment</w:t>
      </w:r>
      <w:r w:rsidR="00F633B8" w:rsidRPr="006816DA">
        <w:t xml:space="preserve"> présente</w:t>
      </w:r>
      <w:r w:rsidR="001530B2" w:rsidRPr="006816DA">
        <w:t>.</w:t>
      </w:r>
    </w:p>
    <w:p w14:paraId="2A35B34D" w14:textId="77777777" w:rsidR="001530B2" w:rsidRPr="006816DA" w:rsidRDefault="009B0FC1" w:rsidP="009B6DD3">
      <w:pPr>
        <w:pStyle w:val="corpsdedcision"/>
      </w:pPr>
      <w:r w:rsidRPr="006816DA">
        <w:t>L</w:t>
      </w:r>
      <w:r w:rsidR="008F2488" w:rsidRPr="006816DA">
        <w:t>ors de la visite médicale du 25 </w:t>
      </w:r>
      <w:r w:rsidRPr="006816DA">
        <w:t>ao</w:t>
      </w:r>
      <w:r w:rsidR="008F2488" w:rsidRPr="006816DA">
        <w:t>ût </w:t>
      </w:r>
      <w:r w:rsidRPr="006816DA">
        <w:t>2021, le problème d’anxié</w:t>
      </w:r>
      <w:r w:rsidR="00476825" w:rsidRPr="006816DA">
        <w:t xml:space="preserve">té du travailleur </w:t>
      </w:r>
      <w:r w:rsidRPr="006816DA">
        <w:t>est stabilisé et il est déclaré apte au travail.</w:t>
      </w:r>
      <w:r w:rsidR="00F633B8" w:rsidRPr="006816DA">
        <w:t xml:space="preserve"> Il réintègre celui-ci quelques jours plus tard.</w:t>
      </w:r>
    </w:p>
    <w:p w14:paraId="692C5621" w14:textId="788D6034" w:rsidR="00182689" w:rsidRPr="006816DA" w:rsidRDefault="00FD5DEF" w:rsidP="009B6DD3">
      <w:pPr>
        <w:pStyle w:val="corpsdedcision"/>
      </w:pPr>
      <w:r w:rsidRPr="006816DA">
        <w:t>Cependant</w:t>
      </w:r>
      <w:r w:rsidR="00182689" w:rsidRPr="006816DA">
        <w:t>, l</w:t>
      </w:r>
      <w:r w:rsidR="008F2488" w:rsidRPr="006816DA">
        <w:t>ors de la visite médicale du 17 septembre </w:t>
      </w:r>
      <w:r w:rsidR="00182689" w:rsidRPr="006816DA">
        <w:t>2021, le docteur Chevrette constate une détérioration notable du trouble anxieux du travailleur à la suite de son retour au travail. Un nouvel arrêt de travail est prescrit jusqu’à la consolidation de la lésion psy</w:t>
      </w:r>
      <w:r w:rsidR="008F2488" w:rsidRPr="006816DA">
        <w:t>chologique le 19 octobre </w:t>
      </w:r>
      <w:r w:rsidR="00182689" w:rsidRPr="006816DA">
        <w:t>2021.</w:t>
      </w:r>
    </w:p>
    <w:p w14:paraId="64F122ED" w14:textId="61891C99" w:rsidR="008F2488" w:rsidRPr="006816DA" w:rsidRDefault="008F2488" w:rsidP="009B6DD3">
      <w:pPr>
        <w:pStyle w:val="corpsdedcision"/>
      </w:pPr>
      <w:r w:rsidRPr="006816DA">
        <w:t>Le travailleur associe l’exacerbation de son trouble anxieux aux événements du 17 juin 2021. Il admet que depuis</w:t>
      </w:r>
      <w:r w:rsidR="00584ED3" w:rsidRPr="006816DA">
        <w:t xml:space="preserve"> </w:t>
      </w:r>
      <w:r w:rsidRPr="006816DA">
        <w:t>2017</w:t>
      </w:r>
      <w:r w:rsidR="00C74E5E" w:rsidRPr="006816DA">
        <w:t>,</w:t>
      </w:r>
      <w:r w:rsidRPr="006816DA">
        <w:t xml:space="preserve"> il est suivi pour un problème d’anxiété en lien avec une rupture amoureuse, mais que celui-ci </w:t>
      </w:r>
      <w:r w:rsidR="00584ED3" w:rsidRPr="006816DA">
        <w:t>était</w:t>
      </w:r>
      <w:r w:rsidRPr="006816DA">
        <w:t xml:space="preserve"> </w:t>
      </w:r>
      <w:r w:rsidR="00C74E5E" w:rsidRPr="006816DA">
        <w:t>ma</w:t>
      </w:r>
      <w:r w:rsidR="000A7926" w:rsidRPr="006816DA">
        <w:t>î</w:t>
      </w:r>
      <w:r w:rsidR="00C74E5E" w:rsidRPr="006816DA">
        <w:t>trisé</w:t>
      </w:r>
      <w:r w:rsidR="00584ED3" w:rsidRPr="006816DA">
        <w:t xml:space="preserve"> avant les événements en question</w:t>
      </w:r>
      <w:r w:rsidR="00986C17" w:rsidRPr="006816DA">
        <w:t>.</w:t>
      </w:r>
      <w:r w:rsidRPr="006816DA">
        <w:t xml:space="preserve"> </w:t>
      </w:r>
      <w:r w:rsidR="00B4448C" w:rsidRPr="006816DA">
        <w:t>Seule une médication sous forme d’antidépresseur, prise le matin, était nécessaire pour assurer la stabilité de sa condition médicale.</w:t>
      </w:r>
      <w:r w:rsidR="00584ED3" w:rsidRPr="006816DA">
        <w:t xml:space="preserve"> Depuis les incidents, il est plus anxieux et il souffre d’insomnie. Sa médication a dû être augmentée et un arrêt de travail </w:t>
      </w:r>
      <w:r w:rsidR="00C74E5E" w:rsidRPr="006816DA">
        <w:t xml:space="preserve">lui a été </w:t>
      </w:r>
      <w:r w:rsidR="00584ED3" w:rsidRPr="006816DA">
        <w:t>prescrit.</w:t>
      </w:r>
    </w:p>
    <w:p w14:paraId="7C6DC712" w14:textId="77777777" w:rsidR="00C74E5E" w:rsidRPr="006816DA" w:rsidRDefault="00584ED3" w:rsidP="00C74E5E">
      <w:pPr>
        <w:pStyle w:val="corpsdedcision"/>
      </w:pPr>
      <w:r w:rsidRPr="006816DA">
        <w:t xml:space="preserve">L’employeur est plutôt d’avis que le trouble anxieux du travailleur s’était déjà exacerbé dans les mois précédents les événements du 17 juin 2021 et que </w:t>
      </w:r>
      <w:r w:rsidR="00C74E5E" w:rsidRPr="006816DA">
        <w:t>celui-ci n’est pas en lien avec les événements en question.</w:t>
      </w:r>
      <w:r w:rsidRPr="006816DA">
        <w:t xml:space="preserve"> </w:t>
      </w:r>
    </w:p>
    <w:p w14:paraId="79503AAB" w14:textId="0AADE376" w:rsidR="00584ED3" w:rsidRPr="006816DA" w:rsidRDefault="00584ED3" w:rsidP="00C74E5E">
      <w:pPr>
        <w:pStyle w:val="corpsdedcision"/>
      </w:pPr>
      <w:r w:rsidRPr="006816DA">
        <w:t>Il réfère premièrement le Tribunal à l’attestation médicale du 22 juin 2021 de la docteure Larivière qui mentionne uniquement une douleur à la main droite</w:t>
      </w:r>
      <w:r w:rsidR="00292797" w:rsidRPr="006816DA">
        <w:t>, sans précisions d’une problématique de nature psychologique.</w:t>
      </w:r>
    </w:p>
    <w:p w14:paraId="7FCF574A" w14:textId="5307FCCA" w:rsidR="00292797" w:rsidRPr="006816DA" w:rsidRDefault="00292797" w:rsidP="00584ED3">
      <w:pPr>
        <w:pStyle w:val="corpsdedcision"/>
      </w:pPr>
      <w:r w:rsidRPr="006816DA">
        <w:t>Ensuite, il commente la note médicale du 2 juillet 2021 du docteur Chevrette qui mentionne que le travailleur vivait du stress au travail et que depuis trois mois, il avait constaté une perte d’efficacité de sa médication actuelle. L’employeur en déduit que l’exacerbation du trouble anxieux du travailleur est reliée à cette période de stress allégué et qu’elle n’est pas en lien avec les événements du 17</w:t>
      </w:r>
      <w:r w:rsidR="00C74E5E" w:rsidRPr="006816DA">
        <w:t> </w:t>
      </w:r>
      <w:r w:rsidRPr="006816DA">
        <w:t>juin</w:t>
      </w:r>
      <w:r w:rsidR="00C74E5E" w:rsidRPr="006816DA">
        <w:t> </w:t>
      </w:r>
      <w:r w:rsidRPr="006816DA">
        <w:t>2021.</w:t>
      </w:r>
    </w:p>
    <w:p w14:paraId="655F8375" w14:textId="2590A4EA" w:rsidR="003B5EDD" w:rsidRPr="006816DA" w:rsidRDefault="00292797" w:rsidP="009D6C90">
      <w:pPr>
        <w:pStyle w:val="corpsdedcision"/>
      </w:pPr>
      <w:r w:rsidRPr="006816DA">
        <w:t>Le Tribunal ne retient pas cette prétention.</w:t>
      </w:r>
      <w:r w:rsidR="009D6C90" w:rsidRPr="006816DA">
        <w:t xml:space="preserve"> </w:t>
      </w:r>
      <w:r w:rsidRPr="006816DA">
        <w:t>Tout d’abord, l’événement qui entra</w:t>
      </w:r>
      <w:r w:rsidR="000A7926" w:rsidRPr="006816DA">
        <w:t>î</w:t>
      </w:r>
      <w:r w:rsidRPr="006816DA">
        <w:t>ne la chute d</w:t>
      </w:r>
      <w:r w:rsidR="00C74E5E" w:rsidRPr="006816DA">
        <w:t>’un des</w:t>
      </w:r>
      <w:r w:rsidRPr="006816DA">
        <w:t xml:space="preserve"> conteneur</w:t>
      </w:r>
      <w:r w:rsidR="00C74E5E" w:rsidRPr="006816DA">
        <w:t>s</w:t>
      </w:r>
      <w:r w:rsidRPr="006816DA">
        <w:t xml:space="preserve"> </w:t>
      </w:r>
      <w:r w:rsidR="00C74E5E" w:rsidRPr="006816DA">
        <w:t>à</w:t>
      </w:r>
      <w:r w:rsidRPr="006816DA">
        <w:t xml:space="preserve"> proximité du collègue revêt assurément un caractère objectivement traumatisant et il est susceptible d’augmenter l’anxiété d’une personne déjà vulnérable. Le travailleur est bien conscient que son imprudence aurait pu causer la vie de son collègue. Il reconnaît le tout dans son témoignage même s’il essai</w:t>
      </w:r>
      <w:r w:rsidR="00C74E5E" w:rsidRPr="006816DA">
        <w:t>e</w:t>
      </w:r>
      <w:r w:rsidRPr="006816DA">
        <w:t xml:space="preserve"> d’en </w:t>
      </w:r>
      <w:r w:rsidR="003B5EDD" w:rsidRPr="006816DA">
        <w:t xml:space="preserve">réduire sa responsabilité. Le comportement qu’il adopte immédiatement après l’incident lorsqu’il s’excuse auprès du collègue </w:t>
      </w:r>
      <w:r w:rsidR="00C74E5E" w:rsidRPr="006816DA">
        <w:t>à</w:t>
      </w:r>
      <w:r w:rsidR="003B5EDD" w:rsidRPr="006816DA">
        <w:t xml:space="preserve"> deux reprises montre la gravité des conséquences potentielle</w:t>
      </w:r>
      <w:r w:rsidR="00C74E5E" w:rsidRPr="006816DA">
        <w:t>s</w:t>
      </w:r>
      <w:r w:rsidR="003B5EDD" w:rsidRPr="006816DA">
        <w:t xml:space="preserve"> de l’événement.</w:t>
      </w:r>
    </w:p>
    <w:p w14:paraId="3D4253B2" w14:textId="417554BC" w:rsidR="00803CF2" w:rsidRPr="006816DA" w:rsidRDefault="00803CF2" w:rsidP="00803CF2">
      <w:pPr>
        <w:pStyle w:val="corpsdedcision"/>
      </w:pPr>
      <w:r w:rsidRPr="006816DA">
        <w:t xml:space="preserve">L’altercation physique qui s’ensuit avec le collègue de travail est également susceptible d’augmenter l’anxiété préexistante du travailleur. Il s’agit d’une situation particulière, anormale, inhabituelle et singulière qui sort du cadre normal du travail. Cela étant, ce deuxième événement semble avoir moins atteint la psyché du travailleur que le premier. Les menaces formulées par le collègue de travail à la suite du combat ne semblent pas avoir laissé un impact psychologique </w:t>
      </w:r>
      <w:r w:rsidR="0055659A" w:rsidRPr="006816DA">
        <w:t xml:space="preserve">aussi </w:t>
      </w:r>
      <w:r w:rsidRPr="006816DA">
        <w:t>important au travailleur</w:t>
      </w:r>
      <w:r w:rsidR="0055659A" w:rsidRPr="006816DA">
        <w:t xml:space="preserve"> que le premier événement</w:t>
      </w:r>
      <w:r w:rsidRPr="006816DA">
        <w:t xml:space="preserve">. La preuve administrée par ce dernier lors de l’audience </w:t>
      </w:r>
      <w:r w:rsidR="00C74E5E" w:rsidRPr="006816DA">
        <w:t>n’</w:t>
      </w:r>
      <w:r w:rsidRPr="006816DA">
        <w:t>en fait que très peu mention.</w:t>
      </w:r>
    </w:p>
    <w:p w14:paraId="198AFBAF" w14:textId="4BFBD632" w:rsidR="00292797" w:rsidRPr="006816DA" w:rsidRDefault="0055659A" w:rsidP="009D6C90">
      <w:pPr>
        <w:pStyle w:val="corpsdedcision"/>
      </w:pPr>
      <w:r w:rsidRPr="006816DA">
        <w:t>Néanmoins, l</w:t>
      </w:r>
      <w:r w:rsidR="003B5EDD" w:rsidRPr="006816DA">
        <w:t>orsque le docteur Chevrette note que le travail</w:t>
      </w:r>
      <w:r w:rsidR="000A7926" w:rsidRPr="006816DA">
        <w:t>leur</w:t>
      </w:r>
      <w:r w:rsidR="003B5EDD" w:rsidRPr="006816DA">
        <w:t xml:space="preserve"> vit de l’anxiété, qu’il présente </w:t>
      </w:r>
      <w:r w:rsidR="00C74E5E" w:rsidRPr="006816DA">
        <w:t>un</w:t>
      </w:r>
      <w:r w:rsidR="003B5EDD" w:rsidRPr="006816DA">
        <w:t xml:space="preserve"> léger trouble de concentration, qu’il souffre d’insomnie depuis l’événement et qu’il rumine celui-ci, il relie la condition médicale actuelle du travailleur </w:t>
      </w:r>
      <w:r w:rsidRPr="006816DA">
        <w:t>à ces événement</w:t>
      </w:r>
      <w:r w:rsidR="00C74E5E" w:rsidRPr="006816DA">
        <w:t>s</w:t>
      </w:r>
      <w:r w:rsidR="003B5EDD" w:rsidRPr="006816DA">
        <w:t xml:space="preserve">. Il s’agit de symptômes nouveaux ou accentués depuis le 17 juin 2021 qui nécessitent maintenant un arrêt de travail et une modification substantielle de sa médication actuelle. En plus </w:t>
      </w:r>
      <w:r w:rsidRPr="006816DA">
        <w:t>d’une augmentation de</w:t>
      </w:r>
      <w:r w:rsidR="003B5EDD" w:rsidRPr="006816DA">
        <w:t xml:space="preserve"> la dose d’Effexor, une dose de Séroquel est ajoutée par le professionnel de la santé pour contrer l’insomnie nouvelle.</w:t>
      </w:r>
      <w:r w:rsidR="00816E3B" w:rsidRPr="006816DA">
        <w:t xml:space="preserve"> Il réitère </w:t>
      </w:r>
      <w:r w:rsidR="009D6C90" w:rsidRPr="006816DA">
        <w:t>la</w:t>
      </w:r>
      <w:r w:rsidR="00816E3B" w:rsidRPr="006816DA">
        <w:t xml:space="preserve"> relation causale </w:t>
      </w:r>
      <w:r w:rsidR="009D6C90" w:rsidRPr="006816DA">
        <w:t xml:space="preserve">probable avec les événements susmentionnés </w:t>
      </w:r>
      <w:r w:rsidR="00816E3B" w:rsidRPr="006816DA">
        <w:t>dans son rapport médical final du 19 octobre 2021</w:t>
      </w:r>
      <w:r w:rsidR="009D6C90" w:rsidRPr="006816DA">
        <w:t>,</w:t>
      </w:r>
      <w:r w:rsidR="00816E3B" w:rsidRPr="006816DA">
        <w:t xml:space="preserve"> lorsqu’il </w:t>
      </w:r>
      <w:r w:rsidR="009D6C90" w:rsidRPr="006816DA">
        <w:t xml:space="preserve">indique </w:t>
      </w:r>
      <w:r w:rsidR="00816E3B" w:rsidRPr="006816DA">
        <w:t>qu’il existe une composante de stress post-traumatique dans le trouble anxieux maintenant résolu.</w:t>
      </w:r>
    </w:p>
    <w:p w14:paraId="3DBA6DE8" w14:textId="23924882" w:rsidR="003B5EDD" w:rsidRPr="006816DA" w:rsidRDefault="003B5EDD" w:rsidP="009D6C90">
      <w:pPr>
        <w:pStyle w:val="corpsdedcision"/>
        <w:spacing w:after="240"/>
      </w:pPr>
      <w:r w:rsidRPr="006816DA">
        <w:t>Le docteur Vladimir Koniou</w:t>
      </w:r>
      <w:r w:rsidR="00033B58" w:rsidRPr="006816DA">
        <w:t>chine, professionnel de la santé désigné</w:t>
      </w:r>
      <w:r w:rsidR="0055659A" w:rsidRPr="006816DA">
        <w:t xml:space="preserve"> de l’employeur,</w:t>
      </w:r>
      <w:r w:rsidR="00033B58" w:rsidRPr="006816DA">
        <w:t xml:space="preserve"> </w:t>
      </w:r>
      <w:r w:rsidR="0055659A" w:rsidRPr="006816DA">
        <w:t xml:space="preserve">relie également l’aggravation de la condition anxieuse actuelle du travailleur à </w:t>
      </w:r>
      <w:r w:rsidR="009D6C90" w:rsidRPr="006816DA">
        <w:t>l’</w:t>
      </w:r>
      <w:r w:rsidR="0055659A" w:rsidRPr="006816DA">
        <w:t>altercation physique avec le collègue. Sa conclusion ne laisse aucune place à l’interprétation lorsqu’il énonce :</w:t>
      </w:r>
    </w:p>
    <w:p w14:paraId="735EE04C" w14:textId="095A9A7F" w:rsidR="0055659A" w:rsidRPr="006816DA" w:rsidRDefault="0055659A" w:rsidP="009D6C90">
      <w:pPr>
        <w:pStyle w:val="citation"/>
      </w:pPr>
      <w:r w:rsidRPr="006816DA">
        <w:t>Considérant la description du présumé mécanisme accidentel;</w:t>
      </w:r>
    </w:p>
    <w:p w14:paraId="494712A9" w14:textId="77777777" w:rsidR="0001619F" w:rsidRPr="006816DA" w:rsidRDefault="0001619F" w:rsidP="009D6C90">
      <w:pPr>
        <w:pStyle w:val="citation"/>
      </w:pPr>
    </w:p>
    <w:p w14:paraId="4BE3817C" w14:textId="2B675A43" w:rsidR="0055659A" w:rsidRPr="006816DA" w:rsidRDefault="0055659A" w:rsidP="0001619F">
      <w:pPr>
        <w:pStyle w:val="citation"/>
      </w:pPr>
      <w:r w:rsidRPr="006816DA">
        <w:t>Considérant l’opinion de son médecin traitant;</w:t>
      </w:r>
    </w:p>
    <w:p w14:paraId="133D5903" w14:textId="77777777" w:rsidR="0001619F" w:rsidRPr="006816DA" w:rsidRDefault="0001619F" w:rsidP="0001619F">
      <w:pPr>
        <w:pStyle w:val="citation"/>
      </w:pPr>
    </w:p>
    <w:p w14:paraId="3238FB26" w14:textId="3DF47A5E" w:rsidR="0001619F" w:rsidRPr="006816DA" w:rsidRDefault="0055659A" w:rsidP="009D6C90">
      <w:pPr>
        <w:pStyle w:val="citation"/>
      </w:pPr>
      <w:r w:rsidRPr="006816DA">
        <w:t>Les diagnostics à retenir en lien avec l’événement du 17 juin 2021 sont :</w:t>
      </w:r>
    </w:p>
    <w:p w14:paraId="419140EB" w14:textId="1164BCE8" w:rsidR="0055659A" w:rsidRPr="006816DA" w:rsidRDefault="0055659A" w:rsidP="0001619F">
      <w:pPr>
        <w:pStyle w:val="citation"/>
        <w:ind w:firstLine="556"/>
        <w:rPr>
          <w:b/>
          <w:bCs/>
          <w:u w:val="single"/>
        </w:rPr>
      </w:pPr>
      <w:r w:rsidRPr="006816DA">
        <w:rPr>
          <w:b/>
          <w:bCs/>
        </w:rPr>
        <w:t xml:space="preserve">- </w:t>
      </w:r>
      <w:r w:rsidRPr="006816DA">
        <w:rPr>
          <w:b/>
          <w:bCs/>
          <w:u w:val="single"/>
        </w:rPr>
        <w:t>Contusion de la main droite résolue</w:t>
      </w:r>
    </w:p>
    <w:p w14:paraId="0D733CE2" w14:textId="77777777" w:rsidR="0001619F" w:rsidRPr="006816DA" w:rsidRDefault="0055659A" w:rsidP="0001619F">
      <w:pPr>
        <w:pStyle w:val="citation"/>
        <w:ind w:left="1276"/>
        <w:rPr>
          <w:b/>
          <w:bCs/>
          <w:u w:val="single"/>
        </w:rPr>
      </w:pPr>
      <w:r w:rsidRPr="006816DA">
        <w:rPr>
          <w:b/>
          <w:bCs/>
          <w:u w:val="single"/>
        </w:rPr>
        <w:t xml:space="preserve">- Trouble de l’adaptation avec humeur anxieuse, condition </w:t>
      </w:r>
    </w:p>
    <w:p w14:paraId="16288D4B" w14:textId="77777777" w:rsidR="0001619F" w:rsidRPr="006816DA" w:rsidRDefault="0001619F" w:rsidP="0001619F">
      <w:pPr>
        <w:pStyle w:val="citation"/>
        <w:ind w:left="1276"/>
        <w:rPr>
          <w:b/>
          <w:bCs/>
          <w:u w:val="single"/>
        </w:rPr>
      </w:pPr>
      <w:r w:rsidRPr="006816DA">
        <w:rPr>
          <w:b/>
          <w:bCs/>
          <w:u w:val="single"/>
        </w:rPr>
        <w:t xml:space="preserve">   </w:t>
      </w:r>
      <w:r w:rsidR="0055659A" w:rsidRPr="006816DA">
        <w:rPr>
          <w:b/>
          <w:bCs/>
          <w:u w:val="single"/>
        </w:rPr>
        <w:t xml:space="preserve">personnelle aggravée suite à l’événement du 17 juin 2021, en </w:t>
      </w:r>
    </w:p>
    <w:p w14:paraId="54CFDA4C" w14:textId="573FC95C" w:rsidR="0055659A" w:rsidRPr="006816DA" w:rsidRDefault="0001619F" w:rsidP="0001619F">
      <w:pPr>
        <w:pStyle w:val="citation"/>
        <w:spacing w:after="360"/>
        <w:ind w:left="1276"/>
        <w:rPr>
          <w:b/>
          <w:bCs/>
          <w:u w:val="single"/>
        </w:rPr>
      </w:pPr>
      <w:r w:rsidRPr="006816DA">
        <w:rPr>
          <w:b/>
          <w:bCs/>
          <w:u w:val="single"/>
        </w:rPr>
        <w:t xml:space="preserve">   </w:t>
      </w:r>
      <w:r w:rsidR="0055659A" w:rsidRPr="006816DA">
        <w:rPr>
          <w:b/>
          <w:bCs/>
          <w:u w:val="single"/>
        </w:rPr>
        <w:t>résolution quasi complète</w:t>
      </w:r>
    </w:p>
    <w:p w14:paraId="11D5D05E" w14:textId="71601715" w:rsidR="00182689" w:rsidRPr="006816DA" w:rsidRDefault="0055659A" w:rsidP="0001619F">
      <w:pPr>
        <w:pStyle w:val="corpsdedcision"/>
      </w:pPr>
      <w:r w:rsidRPr="006816DA">
        <w:t xml:space="preserve">Le Tribunal partage ainsi l’opinion </w:t>
      </w:r>
      <w:r w:rsidR="0001619F" w:rsidRPr="006816DA">
        <w:t>des</w:t>
      </w:r>
      <w:r w:rsidRPr="006816DA">
        <w:t xml:space="preserve"> </w:t>
      </w:r>
      <w:r w:rsidR="00816E3B" w:rsidRPr="006816DA">
        <w:t>deux seuls</w:t>
      </w:r>
      <w:r w:rsidRPr="006816DA">
        <w:t xml:space="preserve"> professionnel</w:t>
      </w:r>
      <w:r w:rsidR="00816E3B" w:rsidRPr="006816DA">
        <w:t>s</w:t>
      </w:r>
      <w:r w:rsidRPr="006816DA">
        <w:t xml:space="preserve"> de la santé qui ont évalué la condition psychologique du travailleur </w:t>
      </w:r>
      <w:r w:rsidR="00816E3B" w:rsidRPr="006816DA">
        <w:t xml:space="preserve">et </w:t>
      </w:r>
      <w:r w:rsidR="0001619F" w:rsidRPr="006816DA">
        <w:t xml:space="preserve">qui ont formulé </w:t>
      </w:r>
      <w:r w:rsidRPr="006816DA">
        <w:t>une opinion sur sa relation causale.</w:t>
      </w:r>
    </w:p>
    <w:p w14:paraId="73BF7F2F" w14:textId="25F00564" w:rsidR="0001619F" w:rsidRPr="006816DA" w:rsidRDefault="0001619F" w:rsidP="0001619F">
      <w:pPr>
        <w:pStyle w:val="corpsdedcision"/>
        <w:rPr>
          <w:rFonts w:cs="Arial"/>
        </w:rPr>
      </w:pPr>
      <w:r w:rsidRPr="006816DA">
        <w:t>Puisqu’il existe un lien causal</w:t>
      </w:r>
      <w:r w:rsidR="00335F2E" w:rsidRPr="006816DA">
        <w:t xml:space="preserve"> entre</w:t>
      </w:r>
      <w:r w:rsidRPr="006816DA">
        <w:t xml:space="preserve"> l’exacerbation du trouble anxieux et les événements du 17</w:t>
      </w:r>
      <w:r w:rsidR="00335F2E" w:rsidRPr="006816DA">
        <w:t> </w:t>
      </w:r>
      <w:r w:rsidRPr="006816DA">
        <w:t>juin</w:t>
      </w:r>
      <w:r w:rsidR="00335F2E" w:rsidRPr="006816DA">
        <w:t> </w:t>
      </w:r>
      <w:r w:rsidRPr="006816DA">
        <w:t xml:space="preserve">2021, le travailleur </w:t>
      </w:r>
      <w:r w:rsidR="00335F2E" w:rsidRPr="006816DA">
        <w:t xml:space="preserve">a donc </w:t>
      </w:r>
      <w:r w:rsidR="0055659A" w:rsidRPr="006816DA">
        <w:t>été victime d’un accident du travail au sens de l’article</w:t>
      </w:r>
      <w:r w:rsidR="00335F2E" w:rsidRPr="006816DA">
        <w:t> </w:t>
      </w:r>
      <w:r w:rsidR="0055659A" w:rsidRPr="006816DA">
        <w:t>2 de la Loi.</w:t>
      </w:r>
      <w:r w:rsidRPr="006816DA">
        <w:rPr>
          <w:rFonts w:cs="Arial"/>
        </w:rPr>
        <w:t xml:space="preserve"> Sa réclamation doit donc être accepté</w:t>
      </w:r>
      <w:r w:rsidR="00335F2E" w:rsidRPr="006816DA">
        <w:rPr>
          <w:rFonts w:cs="Arial"/>
        </w:rPr>
        <w:t>e</w:t>
      </w:r>
      <w:r w:rsidRPr="006816DA">
        <w:rPr>
          <w:rFonts w:cs="Arial"/>
        </w:rPr>
        <w:t xml:space="preserve"> à moins que l’employeur ne démontre, à l’aide d’une preuve prépondérante, que la lésion psychologique qui découle de l’événement imprévu et soudain résulte uniquement de la négligence grossière et volontaire du travailleur.</w:t>
      </w:r>
    </w:p>
    <w:p w14:paraId="05703520" w14:textId="50FC225F" w:rsidR="0001619F" w:rsidRPr="006816DA" w:rsidRDefault="0001619F" w:rsidP="0001619F">
      <w:pPr>
        <w:pStyle w:val="corpsdedcision"/>
        <w:numPr>
          <w:ilvl w:val="0"/>
          <w:numId w:val="0"/>
        </w:numPr>
        <w:spacing w:after="240"/>
        <w:rPr>
          <w:rFonts w:cs="Arial"/>
          <w:b/>
          <w:bCs/>
        </w:rPr>
      </w:pPr>
      <w:r w:rsidRPr="006816DA">
        <w:rPr>
          <w:rFonts w:cs="Arial"/>
          <w:b/>
          <w:bCs/>
        </w:rPr>
        <w:t>Est-ce que la lésion psychologique du travailleur résulte uniquement de sa négligence grossière et volontaire?</w:t>
      </w:r>
    </w:p>
    <w:p w14:paraId="2E51ADD2" w14:textId="77777777" w:rsidR="00335F2E" w:rsidRPr="006816DA" w:rsidRDefault="00EB2A8B" w:rsidP="00EB2A8B">
      <w:pPr>
        <w:pStyle w:val="corpsdedcision"/>
        <w:rPr>
          <w:rFonts w:cs="Arial"/>
        </w:rPr>
      </w:pPr>
      <w:r w:rsidRPr="006816DA">
        <w:t>Le régime d'indemnisation des victimes de lésions professionnelles, comme nous le connaissons aujourd’hui, est un système basé sur l’indemnisation sans égard à la faute</w:t>
      </w:r>
      <w:r w:rsidRPr="006816DA">
        <w:rPr>
          <w:rStyle w:val="Appelnotedebasdep"/>
          <w:szCs w:val="24"/>
        </w:rPr>
        <w:footnoteReference w:id="23"/>
      </w:r>
      <w:r w:rsidRPr="006816DA">
        <w:t xml:space="preserve">. </w:t>
      </w:r>
    </w:p>
    <w:p w14:paraId="6AB01466" w14:textId="21E6CCF6" w:rsidR="00EB2A8B" w:rsidRPr="006816DA" w:rsidRDefault="00EB2A8B" w:rsidP="00EB2A8B">
      <w:pPr>
        <w:pStyle w:val="corpsdedcision"/>
        <w:rPr>
          <w:rFonts w:cs="Arial"/>
        </w:rPr>
      </w:pPr>
      <w:r w:rsidRPr="006816DA">
        <w:rPr>
          <w:rFonts w:cs="Arial"/>
        </w:rPr>
        <w:t xml:space="preserve">La Cour suprême du Canada, en 1996, dans l'affaire </w:t>
      </w:r>
      <w:r w:rsidRPr="006816DA">
        <w:rPr>
          <w:rFonts w:cs="Arial"/>
          <w:i/>
        </w:rPr>
        <w:t>Béliveau St-Jacques</w:t>
      </w:r>
      <w:r w:rsidRPr="006816DA">
        <w:rPr>
          <w:rFonts w:cs="Arial"/>
        </w:rPr>
        <w:t xml:space="preserve"> c. </w:t>
      </w:r>
      <w:r w:rsidRPr="006816DA">
        <w:rPr>
          <w:rFonts w:cs="Arial"/>
          <w:i/>
        </w:rPr>
        <w:t>Fédération des employées et employés de services publics inc.</w:t>
      </w:r>
      <w:r w:rsidRPr="006816DA">
        <w:rPr>
          <w:rStyle w:val="Appelnotedebasdep"/>
          <w:rFonts w:cs="Arial"/>
        </w:rPr>
        <w:footnoteReference w:id="24"/>
      </w:r>
      <w:r w:rsidRPr="006816DA">
        <w:rPr>
          <w:rFonts w:cs="Arial"/>
        </w:rPr>
        <w:t>, est venue confirmer de façon marquée ce principe. Ainsi, une indemnisation ne pourra être refusée à un travailleur au motif qu'il est responsable en totalité ou en partie de la lésion qu'il a subie. Il en sera de même si la faute est attribuable à l'employeur ou à un tiers. Dans le même ordre d'idée, le défaut de l'employeur de se conformer aux obligations que la Loi lui</w:t>
      </w:r>
      <w:r w:rsidRPr="006816DA">
        <w:rPr>
          <w:rFonts w:cs="Arial"/>
          <w:szCs w:val="24"/>
        </w:rPr>
        <w:t xml:space="preserve"> impose</w:t>
      </w:r>
      <w:r w:rsidRPr="006816DA">
        <w:rPr>
          <w:rStyle w:val="Appelnotedebasdep"/>
          <w:rFonts w:cs="Arial"/>
          <w:szCs w:val="24"/>
        </w:rPr>
        <w:footnoteReference w:id="25"/>
      </w:r>
      <w:r w:rsidRPr="006816DA">
        <w:rPr>
          <w:rFonts w:cs="Arial"/>
        </w:rPr>
        <w:t xml:space="preserve"> ne peut porter préjudice au travailleur accidenté.</w:t>
      </w:r>
    </w:p>
    <w:p w14:paraId="000B7CDA" w14:textId="77777777" w:rsidR="00EB2A8B" w:rsidRPr="006816DA" w:rsidRDefault="00EB2A8B" w:rsidP="00EB2A8B">
      <w:pPr>
        <w:pStyle w:val="corpsdedcision"/>
        <w:spacing w:after="240"/>
        <w:rPr>
          <w:rFonts w:cs="Arial"/>
        </w:rPr>
      </w:pPr>
      <w:r w:rsidRPr="006816DA">
        <w:rPr>
          <w:rFonts w:cs="Arial"/>
        </w:rPr>
        <w:t>L’article 27 de la Loi est une exception notable à ce principe puisqu’il prévoit que :</w:t>
      </w:r>
    </w:p>
    <w:p w14:paraId="53C16AF8" w14:textId="77777777" w:rsidR="00EB2A8B" w:rsidRPr="006816DA" w:rsidRDefault="00EB2A8B" w:rsidP="00EB2A8B">
      <w:pPr>
        <w:pStyle w:val="citation"/>
        <w:spacing w:after="360"/>
      </w:pPr>
      <w:r w:rsidRPr="006816DA">
        <w:t>Une blessure ou une maladie qui survient uniquement à cause de la négligence grossière et volontaire du travailleur qui en est victime n’est pas une lésion professionnelle, à moins qu’elle entraîne le décès du travailleur ou qu'elle lui cause une atteinte permanente grave à son intégrité physique ou psychique.</w:t>
      </w:r>
    </w:p>
    <w:p w14:paraId="3E3199A4" w14:textId="3581F978" w:rsidR="00EB2A8B" w:rsidRPr="006816DA" w:rsidRDefault="00EB2A8B" w:rsidP="00EB2A8B">
      <w:pPr>
        <w:pStyle w:val="corpsdedcision"/>
        <w:tabs>
          <w:tab w:val="num" w:pos="360"/>
        </w:tabs>
      </w:pPr>
      <w:r w:rsidRPr="006816DA">
        <w:t>Cette disposition d’exception doit cependant recevoir une interprétation restrictive puisqu’elle va à l’encontre du contrat social mis en place pour l’indemnisation des victimes d’accident du travail et qu’elle limite le droit à l’indemnisation de celles-ci</w:t>
      </w:r>
      <w:r w:rsidRPr="006816DA">
        <w:rPr>
          <w:rStyle w:val="Appelnotedebasdep"/>
        </w:rPr>
        <w:footnoteReference w:id="26"/>
      </w:r>
      <w:r w:rsidRPr="006816DA">
        <w:t>.</w:t>
      </w:r>
    </w:p>
    <w:p w14:paraId="369836F3" w14:textId="77777777" w:rsidR="00FC0BEA" w:rsidRPr="006816DA" w:rsidRDefault="00FC0BEA" w:rsidP="00FC0BEA">
      <w:pPr>
        <w:pStyle w:val="corpsdedcision"/>
      </w:pPr>
      <w:r w:rsidRPr="006816DA">
        <w:t xml:space="preserve">Dans la décision </w:t>
      </w:r>
      <w:r w:rsidRPr="006816DA">
        <w:rPr>
          <w:i/>
          <w:iCs/>
        </w:rPr>
        <w:t>Rona inc. et Lapointe</w:t>
      </w:r>
      <w:r w:rsidRPr="006816DA">
        <w:rPr>
          <w:rStyle w:val="Appelnotedebasdep"/>
        </w:rPr>
        <w:footnoteReference w:id="27"/>
      </w:r>
      <w:r w:rsidRPr="006816DA">
        <w:t xml:space="preserve"> le Tribunal suggère certains paramètres à prendre en compte dans l’analyse de cette disposition légale, on peut y lire :</w:t>
      </w:r>
    </w:p>
    <w:p w14:paraId="0880D442" w14:textId="77777777" w:rsidR="00FC0BEA" w:rsidRPr="006816DA" w:rsidRDefault="00FC0BEA" w:rsidP="00FC0BEA">
      <w:pPr>
        <w:pStyle w:val="Citationendoubleretrait"/>
        <w:ind w:left="709" w:right="713"/>
        <w:rPr>
          <w:sz w:val="20"/>
        </w:rPr>
      </w:pPr>
      <w:r w:rsidRPr="006816DA">
        <w:rPr>
          <w:sz w:val="20"/>
        </w:rPr>
        <w:t>[29] La jurisprudence a déterminé que pour que l’article 27 de la Loi s’applique, il faut qu’il y ait une faute, par action ou par omission, qui revêt un caractère suffisamment grave et important pour qu’elle ne puisse être qualifiée de simple. Cette faute doit résulter d’un acte volontaire et non d’un simple réflexe. La Loi n’exige pas un caractère d’incurie profonde ou de bravade</w:t>
      </w:r>
      <w:r w:rsidRPr="006816DA">
        <w:rPr>
          <w:sz w:val="20"/>
          <w:vertAlign w:val="superscript"/>
        </w:rPr>
        <w:t>11</w:t>
      </w:r>
      <w:r w:rsidRPr="006816DA">
        <w:rPr>
          <w:sz w:val="20"/>
        </w:rPr>
        <w:t>. La notion implique un élément de témérité ou d’insouciance déréglée du travailleur eu égard à sa propre sécurité et non pas seulement un comportement imprudent ou une erreur de jugement</w:t>
      </w:r>
      <w:r w:rsidRPr="006816DA">
        <w:rPr>
          <w:sz w:val="20"/>
          <w:vertAlign w:val="superscript"/>
        </w:rPr>
        <w:t>12</w:t>
      </w:r>
      <w:r w:rsidRPr="006816DA">
        <w:rPr>
          <w:sz w:val="20"/>
        </w:rPr>
        <w:t>. Afin de qualifier de négligence, la prévisibilité des conséquences du geste posé doit être appréciée. S’il est manifeste que le geste risque en lui-même d’entraîner des conséquences fâcheuses graves, cela constitue une négligence grossière</w:t>
      </w:r>
      <w:r w:rsidRPr="006816DA">
        <w:rPr>
          <w:sz w:val="20"/>
          <w:vertAlign w:val="superscript"/>
        </w:rPr>
        <w:t>13</w:t>
      </w:r>
      <w:r w:rsidRPr="006816DA">
        <w:rPr>
          <w:sz w:val="20"/>
        </w:rPr>
        <w:t>.</w:t>
      </w:r>
    </w:p>
    <w:p w14:paraId="515BA27F" w14:textId="77777777" w:rsidR="00FC0BEA" w:rsidRPr="006816DA" w:rsidRDefault="00FC0BEA" w:rsidP="00FC0BEA">
      <w:pPr>
        <w:pStyle w:val="Citationendoubleretrait"/>
        <w:rPr>
          <w:sz w:val="20"/>
        </w:rPr>
      </w:pPr>
    </w:p>
    <w:p w14:paraId="4375B6A8" w14:textId="77777777" w:rsidR="00FC0BEA" w:rsidRPr="006816DA" w:rsidRDefault="00FC0BEA" w:rsidP="00FC0BEA">
      <w:pPr>
        <w:pStyle w:val="Citationendoubleretrait"/>
        <w:spacing w:after="240"/>
        <w:ind w:left="709" w:right="713"/>
        <w:rPr>
          <w:sz w:val="20"/>
        </w:rPr>
      </w:pPr>
      <w:r w:rsidRPr="006816DA">
        <w:rPr>
          <w:sz w:val="20"/>
        </w:rPr>
        <w:t>[30] La notion de négligence grossière et volontaire ne doit pas être interprétée comme équivalant à des tendances suicidaires ou à de l’automutilation volontaire, puisqu’il s’agirait alors d’un événement prévu, souhaité et voulu, ce qui empêcherait de conclure à une lésion professionnelle, à défaut d’événement imprévu et soudain</w:t>
      </w:r>
      <w:r w:rsidRPr="006816DA">
        <w:rPr>
          <w:sz w:val="20"/>
          <w:vertAlign w:val="superscript"/>
        </w:rPr>
        <w:t>14</w:t>
      </w:r>
      <w:r w:rsidRPr="006816DA">
        <w:rPr>
          <w:sz w:val="20"/>
        </w:rPr>
        <w:t>.</w:t>
      </w:r>
    </w:p>
    <w:p w14:paraId="28B8D600" w14:textId="27B8A09A" w:rsidR="00FC0BEA" w:rsidRPr="006816DA" w:rsidRDefault="00FC0BEA" w:rsidP="00FC0BEA">
      <w:pPr>
        <w:pStyle w:val="corpsdedcision"/>
        <w:numPr>
          <w:ilvl w:val="0"/>
          <w:numId w:val="0"/>
        </w:numPr>
        <w:spacing w:after="240"/>
        <w:rPr>
          <w:sz w:val="22"/>
          <w:szCs w:val="22"/>
        </w:rPr>
      </w:pPr>
      <w:r w:rsidRPr="006816DA">
        <w:tab/>
      </w:r>
      <w:r w:rsidRPr="006816DA">
        <w:rPr>
          <w:sz w:val="22"/>
          <w:szCs w:val="22"/>
        </w:rPr>
        <w:t>[Notes omises]</w:t>
      </w:r>
    </w:p>
    <w:p w14:paraId="0FDFFF20" w14:textId="77777777" w:rsidR="00EB2A8B" w:rsidRPr="006816DA" w:rsidRDefault="00EB2A8B" w:rsidP="00EB2A8B">
      <w:pPr>
        <w:pStyle w:val="corpsdedcision"/>
      </w:pPr>
      <w:r w:rsidRPr="006816DA">
        <w:t xml:space="preserve">Dans la décision </w:t>
      </w:r>
      <w:r w:rsidRPr="006816DA">
        <w:rPr>
          <w:i/>
          <w:iCs/>
        </w:rPr>
        <w:t>Express Hâvre St-Pierre ltée</w:t>
      </w:r>
      <w:r w:rsidRPr="006816DA">
        <w:t xml:space="preserve"> et </w:t>
      </w:r>
      <w:r w:rsidRPr="006816DA">
        <w:rPr>
          <w:i/>
        </w:rPr>
        <w:t>Proulx</w:t>
      </w:r>
      <w:r w:rsidRPr="006816DA">
        <w:rPr>
          <w:rStyle w:val="Appelnotedebasdep"/>
        </w:rPr>
        <w:footnoteReference w:id="28"/>
      </w:r>
      <w:r w:rsidRPr="006816DA">
        <w:t>, le Tribunal définit l’article 27 de la Loi de la façon suivante :</w:t>
      </w:r>
    </w:p>
    <w:p w14:paraId="1F4B1A3C" w14:textId="77777777" w:rsidR="00EB2A8B" w:rsidRPr="006816DA" w:rsidRDefault="00EB2A8B" w:rsidP="00EB2A8B">
      <w:pPr>
        <w:pStyle w:val="citation"/>
        <w:tabs>
          <w:tab w:val="left" w:pos="1418"/>
        </w:tabs>
      </w:pPr>
      <w:r w:rsidRPr="006816DA">
        <w:t>[</w:t>
      </w:r>
      <w:bookmarkStart w:id="12" w:name="par56"/>
      <w:r w:rsidRPr="006816DA">
        <w:t>56</w:t>
      </w:r>
      <w:bookmarkEnd w:id="12"/>
      <w:r w:rsidRPr="006816DA">
        <w:t>]</w:t>
      </w:r>
      <w:r w:rsidRPr="006816DA">
        <w:tab/>
        <w:t>La notion de négligence grossière et volontaire réfère à une faute, par action ou par omission, suffisamment grave et importante, qui résulte d’un acte volontaire et non d’un simple réflexe</w:t>
      </w:r>
      <w:r w:rsidRPr="006816DA">
        <w:rPr>
          <w:vertAlign w:val="superscript"/>
        </w:rPr>
        <w:t>8</w:t>
      </w:r>
      <w:r w:rsidRPr="006816DA">
        <w:t>. Elle reflète une insouciance et une témérité plutôt qu’une imprudence ou une erreur de jugement</w:t>
      </w:r>
      <w:r w:rsidRPr="006816DA">
        <w:rPr>
          <w:vertAlign w:val="superscript"/>
        </w:rPr>
        <w:t>9</w:t>
      </w:r>
      <w:r w:rsidRPr="006816DA">
        <w:t>.</w:t>
      </w:r>
    </w:p>
    <w:p w14:paraId="1F3A3EB3" w14:textId="77777777" w:rsidR="00EB2A8B" w:rsidRPr="006816DA" w:rsidRDefault="00EB2A8B" w:rsidP="00EB2A8B">
      <w:pPr>
        <w:pStyle w:val="citation"/>
      </w:pPr>
    </w:p>
    <w:p w14:paraId="188416C5" w14:textId="77777777" w:rsidR="00EB2A8B" w:rsidRPr="006816DA" w:rsidRDefault="00EB2A8B" w:rsidP="00EB2A8B">
      <w:pPr>
        <w:pStyle w:val="citation"/>
      </w:pPr>
      <w:r w:rsidRPr="006816DA">
        <w:t>[</w:t>
      </w:r>
      <w:bookmarkStart w:id="13" w:name="par57"/>
      <w:r w:rsidRPr="006816DA">
        <w:t>57</w:t>
      </w:r>
      <w:bookmarkEnd w:id="13"/>
      <w:r w:rsidRPr="006816DA">
        <w:t>]</w:t>
      </w:r>
      <w:r w:rsidRPr="006816DA">
        <w:tab/>
        <w:t>Par ailleurs, c’est le geste posé qui doit être volontaire et non les conséquences du geste en question</w:t>
      </w:r>
      <w:r w:rsidRPr="006816DA">
        <w:rPr>
          <w:vertAlign w:val="superscript"/>
        </w:rPr>
        <w:t>10</w:t>
      </w:r>
      <w:r w:rsidRPr="006816DA">
        <w:t>.</w:t>
      </w:r>
    </w:p>
    <w:p w14:paraId="1E6A50D2" w14:textId="77777777" w:rsidR="00EB2A8B" w:rsidRPr="006816DA" w:rsidRDefault="00EB2A8B" w:rsidP="00EB2A8B">
      <w:pPr>
        <w:pStyle w:val="citation"/>
      </w:pPr>
    </w:p>
    <w:p w14:paraId="18B02DE7" w14:textId="69FE0F0D" w:rsidR="00EB2A8B" w:rsidRPr="006816DA" w:rsidRDefault="00EB2A8B" w:rsidP="00FC0BEA">
      <w:pPr>
        <w:pStyle w:val="citation"/>
        <w:spacing w:after="240"/>
      </w:pPr>
      <w:r w:rsidRPr="006816DA">
        <w:t>[</w:t>
      </w:r>
      <w:bookmarkStart w:id="14" w:name="par58"/>
      <w:r w:rsidRPr="006816DA">
        <w:t>58</w:t>
      </w:r>
      <w:bookmarkEnd w:id="14"/>
      <w:r w:rsidRPr="006816DA">
        <w:t>]</w:t>
      </w:r>
      <w:r w:rsidRPr="006816DA">
        <w:tab/>
        <w:t>Aussi, toujours selon la jurisprudence, la négligence grossière et volontaire doit être l’unique cause de la blessure ou de la maladie</w:t>
      </w:r>
      <w:r w:rsidRPr="006816DA">
        <w:rPr>
          <w:vertAlign w:val="superscript"/>
        </w:rPr>
        <w:t>11</w:t>
      </w:r>
      <w:r w:rsidRPr="006816DA">
        <w:t>.</w:t>
      </w:r>
    </w:p>
    <w:p w14:paraId="1833CCD5" w14:textId="19BD296F" w:rsidR="00EB2A8B" w:rsidRPr="006816DA" w:rsidRDefault="00EB2A8B" w:rsidP="00FC0BEA">
      <w:pPr>
        <w:pStyle w:val="corpsdedcision"/>
        <w:numPr>
          <w:ilvl w:val="0"/>
          <w:numId w:val="0"/>
        </w:numPr>
        <w:ind w:left="709"/>
        <w:rPr>
          <w:sz w:val="22"/>
          <w:szCs w:val="22"/>
        </w:rPr>
      </w:pPr>
      <w:r w:rsidRPr="006816DA">
        <w:rPr>
          <w:sz w:val="22"/>
          <w:szCs w:val="22"/>
        </w:rPr>
        <w:t>[Notes omises]</w:t>
      </w:r>
    </w:p>
    <w:p w14:paraId="6D41C985" w14:textId="77777777" w:rsidR="00FC0BEA" w:rsidRPr="006816DA" w:rsidRDefault="00FC0BEA" w:rsidP="00FC0BEA">
      <w:pPr>
        <w:pStyle w:val="corpsdedcision"/>
        <w:rPr>
          <w:rFonts w:cs="Arial"/>
          <w:szCs w:val="24"/>
        </w:rPr>
      </w:pPr>
      <w:r w:rsidRPr="006816DA">
        <w:rPr>
          <w:rFonts w:cs="Arial"/>
          <w:szCs w:val="24"/>
        </w:rPr>
        <w:t>Il s’agit d’une interprétation exacte du concept qui a le mérite d'expliquer l'illogisme de la juxtaposition des termes « négligence grossière » et « volontaire ».</w:t>
      </w:r>
    </w:p>
    <w:p w14:paraId="1779ECE9" w14:textId="67CBFBC6" w:rsidR="0001619F" w:rsidRPr="006816DA" w:rsidRDefault="00EF5CD7" w:rsidP="00EF5CD7">
      <w:pPr>
        <w:pStyle w:val="corpsdedcision"/>
      </w:pPr>
      <w:r w:rsidRPr="006816DA">
        <w:t xml:space="preserve">L’employeur est d’avis que les deux événements survenus le 17 juin 2021 </w:t>
      </w:r>
      <w:r w:rsidR="00335F2E" w:rsidRPr="006816DA">
        <w:t>résultent</w:t>
      </w:r>
      <w:r w:rsidRPr="006816DA">
        <w:t xml:space="preserve"> </w:t>
      </w:r>
      <w:r w:rsidR="00335F2E" w:rsidRPr="006816DA">
        <w:t>du</w:t>
      </w:r>
      <w:r w:rsidRPr="006816DA">
        <w:t xml:space="preserve"> manque de discernement du travailleur et que la lésion psychologique qui </w:t>
      </w:r>
      <w:r w:rsidR="008F6F51" w:rsidRPr="006816DA">
        <w:t>en</w:t>
      </w:r>
      <w:r w:rsidRPr="006816DA">
        <w:t xml:space="preserve"> découle </w:t>
      </w:r>
      <w:r w:rsidR="00335F2E" w:rsidRPr="006816DA">
        <w:t xml:space="preserve">est la conséquence </w:t>
      </w:r>
      <w:r w:rsidRPr="006816DA">
        <w:t xml:space="preserve">uniquement de </w:t>
      </w:r>
      <w:r w:rsidR="00335F2E" w:rsidRPr="006816DA">
        <w:t>la</w:t>
      </w:r>
      <w:r w:rsidRPr="006816DA">
        <w:t xml:space="preserve"> négligence grossière et volontaire</w:t>
      </w:r>
      <w:r w:rsidR="00335F2E" w:rsidRPr="006816DA">
        <w:t xml:space="preserve"> de ce dernier</w:t>
      </w:r>
      <w:r w:rsidRPr="006816DA">
        <w:t>.</w:t>
      </w:r>
    </w:p>
    <w:p w14:paraId="159FA2B6" w14:textId="61436DBE" w:rsidR="00987E18" w:rsidRPr="006816DA" w:rsidRDefault="00EF5CD7" w:rsidP="00987E18">
      <w:pPr>
        <w:pStyle w:val="corpsdedcision"/>
      </w:pPr>
      <w:r w:rsidRPr="006816DA">
        <w:t>Pour le premier événement, il expose que le travailleur a volontairement contrevenu à des mesures de sécurité élémentaire</w:t>
      </w:r>
      <w:r w:rsidR="008F6F51" w:rsidRPr="006816DA">
        <w:t>s</w:t>
      </w:r>
      <w:r w:rsidRPr="006816DA">
        <w:t xml:space="preserve">. Un débardeur d’expérience </w:t>
      </w:r>
      <w:r w:rsidR="00987E18" w:rsidRPr="006816DA">
        <w:t xml:space="preserve">et formé sur le sujet, comme le travailleur, sait pertinemment qu’il ne doit pas se déplacer avec le chariot de manutention alors que le palonnier est en position ouverte. Cela présente des dangers certains, comme celui de heurter les piles de conteneurs. C’est donc en toute connaissance de cause et </w:t>
      </w:r>
      <w:r w:rsidR="008F6F51" w:rsidRPr="006816DA">
        <w:t>sans tenir compte des dangers</w:t>
      </w:r>
      <w:r w:rsidR="00987E18" w:rsidRPr="006816DA">
        <w:t xml:space="preserve"> </w:t>
      </w:r>
      <w:r w:rsidR="009E3C43" w:rsidRPr="006816DA">
        <w:t xml:space="preserve">potentiels </w:t>
      </w:r>
      <w:r w:rsidR="00987E18" w:rsidRPr="006816DA">
        <w:t>qu’il a décidé de se déplacer sur</w:t>
      </w:r>
      <w:r w:rsidR="008F6F51" w:rsidRPr="006816DA">
        <w:t xml:space="preserve"> la voie de circulation,</w:t>
      </w:r>
      <w:r w:rsidR="00987E18" w:rsidRPr="006816DA">
        <w:t xml:space="preserve"> le 17</w:t>
      </w:r>
      <w:r w:rsidR="008F6F51" w:rsidRPr="006816DA">
        <w:t> </w:t>
      </w:r>
      <w:r w:rsidR="00987E18" w:rsidRPr="006816DA">
        <w:t>juin</w:t>
      </w:r>
      <w:r w:rsidR="008F6F51" w:rsidRPr="006816DA">
        <w:t> </w:t>
      </w:r>
      <w:r w:rsidR="00987E18" w:rsidRPr="006816DA">
        <w:t>2021</w:t>
      </w:r>
      <w:r w:rsidR="008F6F51" w:rsidRPr="006816DA">
        <w:t>,</w:t>
      </w:r>
      <w:r w:rsidR="00987E18" w:rsidRPr="006816DA">
        <w:t xml:space="preserve"> avec le palonnier du chariot de manutention ouvert.</w:t>
      </w:r>
    </w:p>
    <w:p w14:paraId="641279F8" w14:textId="33DE0C91" w:rsidR="00C64870" w:rsidRPr="006816DA" w:rsidRDefault="00987E18" w:rsidP="000A4DEE">
      <w:pPr>
        <w:pStyle w:val="corpsdedcision"/>
      </w:pPr>
      <w:r w:rsidRPr="006816DA">
        <w:t>Le Tribunal n’accorde pas ici la même importance que l’employeur à la faute commise par le travailleur. Bien qu’il ait été imprudent en ouvrant</w:t>
      </w:r>
      <w:r w:rsidR="009B45A8" w:rsidRPr="006816DA">
        <w:t xml:space="preserve"> précipitamment</w:t>
      </w:r>
      <w:r w:rsidRPr="006816DA">
        <w:t xml:space="preserve"> le palonnier de son chariot de manutention, le Tribunal n’y voit pas un</w:t>
      </w:r>
      <w:r w:rsidR="00572EF9" w:rsidRPr="006816DA">
        <w:t xml:space="preserve"> geste </w:t>
      </w:r>
      <w:r w:rsidR="009B45A8" w:rsidRPr="006816DA">
        <w:t xml:space="preserve">téméraire ou </w:t>
      </w:r>
      <w:r w:rsidR="00572EF9" w:rsidRPr="006816DA">
        <w:t xml:space="preserve">d’insouciance déréglée. Il ne s’agit pas non plus d’un geste </w:t>
      </w:r>
      <w:r w:rsidR="009B45A8" w:rsidRPr="006816DA">
        <w:t xml:space="preserve">fait </w:t>
      </w:r>
      <w:r w:rsidR="00572EF9" w:rsidRPr="006816DA">
        <w:t>volontaire</w:t>
      </w:r>
      <w:r w:rsidR="009B45A8" w:rsidRPr="006816DA">
        <w:t>ment</w:t>
      </w:r>
      <w:r w:rsidR="00572EF9" w:rsidRPr="006816DA">
        <w:t xml:space="preserve"> </w:t>
      </w:r>
      <w:r w:rsidR="009B45A8" w:rsidRPr="006816DA">
        <w:t>dans le but de</w:t>
      </w:r>
      <w:r w:rsidR="00572EF9" w:rsidRPr="006816DA">
        <w:t xml:space="preserve"> mettre en danger sa santé ou la sécurité d’autrui.</w:t>
      </w:r>
    </w:p>
    <w:p w14:paraId="0D424464" w14:textId="5611CF42" w:rsidR="00987E18" w:rsidRPr="006816DA" w:rsidRDefault="00572EF9" w:rsidP="000A4DEE">
      <w:pPr>
        <w:pStyle w:val="corpsdedcision"/>
      </w:pPr>
      <w:r w:rsidRPr="006816DA">
        <w:t xml:space="preserve">La preuve administrée par le travailleur démontre qu’il est fréquent qu’un débardeur déplace son chariot de manutention avec le palonnier ouvert. Le travailleur le fait occasionnellement pour </w:t>
      </w:r>
      <w:r w:rsidR="009B45A8" w:rsidRPr="006816DA">
        <w:t>accélérer la manipulation des conteneurs</w:t>
      </w:r>
      <w:r w:rsidRPr="006816DA">
        <w:t xml:space="preserve"> et il en est de même pour les autres débardeurs. Il n’a jamais été avisé ou sanctionné pour une telle pratique</w:t>
      </w:r>
      <w:r w:rsidR="009B45A8" w:rsidRPr="006816DA">
        <w:t xml:space="preserve"> avant l’événement ni même après celui-ci</w:t>
      </w:r>
      <w:r w:rsidRPr="006816DA">
        <w:t xml:space="preserve">. L’incident survient en raison d’une mauvaise évaluation </w:t>
      </w:r>
      <w:r w:rsidR="008F6F51" w:rsidRPr="006816DA">
        <w:t xml:space="preserve">par le travailleur </w:t>
      </w:r>
      <w:r w:rsidRPr="006816DA">
        <w:t>de la distance entre la pile de conteneur</w:t>
      </w:r>
      <w:r w:rsidR="009B45A8" w:rsidRPr="006816DA">
        <w:t>s</w:t>
      </w:r>
      <w:r w:rsidRPr="006816DA">
        <w:t xml:space="preserve"> et l’extrémité du palonnier</w:t>
      </w:r>
      <w:r w:rsidR="000A4DEE" w:rsidRPr="006816DA">
        <w:t xml:space="preserve"> du chariot de manutention</w:t>
      </w:r>
      <w:r w:rsidRPr="006816DA">
        <w:t>.</w:t>
      </w:r>
    </w:p>
    <w:p w14:paraId="489B5225" w14:textId="3CE58968" w:rsidR="000A4DEE" w:rsidRPr="006816DA" w:rsidRDefault="000A4DEE" w:rsidP="000A4DEE">
      <w:pPr>
        <w:pStyle w:val="corpsdedcision"/>
      </w:pPr>
      <w:r w:rsidRPr="006816DA">
        <w:t>La preuve administrée par l’employeur à l’audience ne permet pas de contredire l’affirmation du travailleur sur cette pratique usuelle discutable, mais tolérée par l’employeur. Le témoignage du directeur logistique reste très général sur les conséquences pour les débardeurs d’adopter cette pratique. Il admet ne jamais avoir entendu parler du travailleur avant l’événement du 17</w:t>
      </w:r>
      <w:r w:rsidR="00C64870" w:rsidRPr="006816DA">
        <w:t> </w:t>
      </w:r>
      <w:r w:rsidRPr="006816DA">
        <w:t>juin</w:t>
      </w:r>
      <w:r w:rsidR="00C64870" w:rsidRPr="006816DA">
        <w:t> </w:t>
      </w:r>
      <w:r w:rsidRPr="006816DA">
        <w:t>2021 et ne pas être responsable de l’application des mesures disciplinaire</w:t>
      </w:r>
      <w:r w:rsidR="008F6F51" w:rsidRPr="006816DA">
        <w:t>s</w:t>
      </w:r>
      <w:r w:rsidRPr="006816DA">
        <w:t xml:space="preserve"> en cas de transgression aux règles de sécurité.</w:t>
      </w:r>
      <w:r w:rsidR="00314E1D" w:rsidRPr="006816DA">
        <w:t xml:space="preserve"> Bref, rien dans ce témoignage et dans le reste de la preuve</w:t>
      </w:r>
      <w:r w:rsidR="00C64870" w:rsidRPr="006816DA">
        <w:t xml:space="preserve"> entendue</w:t>
      </w:r>
      <w:r w:rsidR="00314E1D" w:rsidRPr="006816DA">
        <w:t xml:space="preserve"> ne permet au Tribunal de conclure que le travailleur a fait preuve de négligence grossière et volontaire à la date susmentionnée lors de la conduite du chariot de manutention.</w:t>
      </w:r>
    </w:p>
    <w:p w14:paraId="2DC898CA" w14:textId="1981813F" w:rsidR="00C64870" w:rsidRPr="006816DA" w:rsidRDefault="00C64870" w:rsidP="000A4DEE">
      <w:pPr>
        <w:pStyle w:val="corpsdedcision"/>
      </w:pPr>
      <w:r w:rsidRPr="006816DA">
        <w:t>La présente situation se distin</w:t>
      </w:r>
      <w:r w:rsidR="008F6F51" w:rsidRPr="006816DA">
        <w:t>gue</w:t>
      </w:r>
      <w:r w:rsidR="009B5F91" w:rsidRPr="006816DA">
        <w:t xml:space="preserve"> de façon marquée</w:t>
      </w:r>
      <w:r w:rsidRPr="006816DA">
        <w:t xml:space="preserve"> des décisions de jurisprudence</w:t>
      </w:r>
      <w:r w:rsidR="009B5F91" w:rsidRPr="006816DA">
        <w:t>s</w:t>
      </w:r>
      <w:r w:rsidRPr="006816DA">
        <w:t xml:space="preserve"> produites par l’employeur dans lesquelles un travailleur </w:t>
      </w:r>
      <w:r w:rsidR="009B5F91" w:rsidRPr="006816DA">
        <w:t>a</w:t>
      </w:r>
      <w:r w:rsidRPr="006816DA">
        <w:t xml:space="preserve"> </w:t>
      </w:r>
      <w:r w:rsidR="009B5F91" w:rsidRPr="006816DA">
        <w:t xml:space="preserve">volontairement </w:t>
      </w:r>
      <w:r w:rsidRPr="006816DA">
        <w:t>contrevenu à des règles de sécurité élémentaires</w:t>
      </w:r>
      <w:r w:rsidR="009B5F91" w:rsidRPr="006816DA">
        <w:t xml:space="preserve"> appliquées</w:t>
      </w:r>
      <w:r w:rsidRPr="006816DA">
        <w:t xml:space="preserve"> </w:t>
      </w:r>
      <w:r w:rsidR="009B5F91" w:rsidRPr="006816DA">
        <w:t>concernant l’arrêt d’une machine avant son nettoyage</w:t>
      </w:r>
      <w:r w:rsidR="009B5F91" w:rsidRPr="006816DA">
        <w:rPr>
          <w:rStyle w:val="Appelnotedebasdep"/>
        </w:rPr>
        <w:footnoteReference w:id="29"/>
      </w:r>
      <w:r w:rsidR="009B5F91" w:rsidRPr="006816DA">
        <w:t xml:space="preserve"> et la mise en place d’une procédure de cadenassage avant son débourrage</w:t>
      </w:r>
      <w:r w:rsidR="009B5F91" w:rsidRPr="006816DA">
        <w:rPr>
          <w:rStyle w:val="Appelnotedebasdep"/>
        </w:rPr>
        <w:footnoteReference w:id="30"/>
      </w:r>
      <w:r w:rsidR="009B5F91" w:rsidRPr="006816DA">
        <w:t>.</w:t>
      </w:r>
    </w:p>
    <w:p w14:paraId="4A4BC88E" w14:textId="0767CA50" w:rsidR="00314E1D" w:rsidRPr="006816DA" w:rsidRDefault="00314E1D" w:rsidP="000A4DEE">
      <w:pPr>
        <w:pStyle w:val="corpsdedcision"/>
      </w:pPr>
      <w:r w:rsidRPr="006816DA">
        <w:t xml:space="preserve">En ce qui concerne le deuxième événement, l’employeur </w:t>
      </w:r>
      <w:r w:rsidR="009B5F91" w:rsidRPr="006816DA">
        <w:t xml:space="preserve">argumente que le travailleur a </w:t>
      </w:r>
      <w:r w:rsidR="008F6F51" w:rsidRPr="006816DA">
        <w:t>commencé</w:t>
      </w:r>
      <w:r w:rsidR="009B5F91" w:rsidRPr="006816DA">
        <w:t xml:space="preserve"> la bagarre et qu’il a été le premier à porter un coup à son collègue. Le travailleur a</w:t>
      </w:r>
      <w:r w:rsidR="008F6F51" w:rsidRPr="006816DA">
        <w:t xml:space="preserve"> ainsi</w:t>
      </w:r>
      <w:r w:rsidR="009B5F91" w:rsidRPr="006816DA">
        <w:t xml:space="preserve"> agi promptement de façon violente sans provocation de l’autre </w:t>
      </w:r>
      <w:r w:rsidR="00082520" w:rsidRPr="006816DA">
        <w:t>belligérant</w:t>
      </w:r>
      <w:r w:rsidR="009B5F91" w:rsidRPr="006816DA">
        <w:t>.</w:t>
      </w:r>
    </w:p>
    <w:p w14:paraId="69EF788B" w14:textId="7D707D54" w:rsidR="009B5F91" w:rsidRPr="006816DA" w:rsidRDefault="009B5F91" w:rsidP="000A4DEE">
      <w:pPr>
        <w:pStyle w:val="corpsdedcision"/>
      </w:pPr>
      <w:r w:rsidRPr="006816DA">
        <w:t>La description de cette trame factuelle par l’employeur est inexact</w:t>
      </w:r>
      <w:r w:rsidR="00082520" w:rsidRPr="006816DA">
        <w:t>e</w:t>
      </w:r>
      <w:r w:rsidRPr="006816DA">
        <w:t>.</w:t>
      </w:r>
      <w:r w:rsidR="00082520" w:rsidRPr="006816DA">
        <w:t xml:space="preserve"> Lorsque le travailleur arrive au fumoir, il s’assoi</w:t>
      </w:r>
      <w:r w:rsidR="008F6F51" w:rsidRPr="006816DA">
        <w:t>t</w:t>
      </w:r>
      <w:r w:rsidR="00082520" w:rsidRPr="006816DA">
        <w:t xml:space="preserve"> à bonne distance de son collègue. Il présente ensuite ses excuses, mais celles-ci ne sont pas acceptées. S’ensuit une discussion animée lors de laquelle des reproches sont formulé</w:t>
      </w:r>
      <w:r w:rsidR="008F6F51" w:rsidRPr="006816DA">
        <w:t>s</w:t>
      </w:r>
      <w:r w:rsidR="00082520" w:rsidRPr="006816DA">
        <w:t xml:space="preserve"> de part et d’autre. Mécontent de la situation, le collègue se dirige précipitamment vers le travailleur. Contrairement aux prétentions du travailleur, le collègue ne porte</w:t>
      </w:r>
      <w:r w:rsidR="00B37F61" w:rsidRPr="006816DA">
        <w:t xml:space="preserve"> pas</w:t>
      </w:r>
      <w:r w:rsidR="00082520" w:rsidRPr="006816DA">
        <w:t xml:space="preserve"> les poings dans les airs lorsqu’il se dirige vers lui. Néanmoins, la vidéo des événements déposée en preuve</w:t>
      </w:r>
      <w:r w:rsidR="00C54279" w:rsidRPr="006816DA">
        <w:t xml:space="preserve"> par l’employeur</w:t>
      </w:r>
      <w:r w:rsidR="00082520" w:rsidRPr="006816DA">
        <w:t xml:space="preserve"> confirme que c’est le collègue qui fonce vers le travailleur pour initier l’altercation. Le fait que le travailleur frappe le premier ou </w:t>
      </w:r>
      <w:r w:rsidR="00C54279" w:rsidRPr="006816DA">
        <w:t xml:space="preserve">de façon plus violente </w:t>
      </w:r>
      <w:r w:rsidR="00082520" w:rsidRPr="006816DA">
        <w:t>n’est pas véritablement pertinent puisque les deux acteurs jouent un rôle actif dans l’altercation. Il devient ainsi impossible de prétendre que la lésion psychologique du travailleur découle uniquement de sa négligence grossière et volontaire</w:t>
      </w:r>
      <w:r w:rsidR="00C54279" w:rsidRPr="006816DA">
        <w:t xml:space="preserve"> </w:t>
      </w:r>
      <w:r w:rsidR="008F6F51" w:rsidRPr="006816DA">
        <w:t>lorsque</w:t>
      </w:r>
      <w:r w:rsidR="00C54279" w:rsidRPr="006816DA">
        <w:t xml:space="preserve"> les deux protagonismes en sont</w:t>
      </w:r>
      <w:r w:rsidR="008F6F51" w:rsidRPr="006816DA">
        <w:t xml:space="preserve"> en partie</w:t>
      </w:r>
      <w:r w:rsidR="00C54279" w:rsidRPr="006816DA">
        <w:t xml:space="preserve"> responsable</w:t>
      </w:r>
      <w:r w:rsidR="008F6F51" w:rsidRPr="006816DA">
        <w:t>s</w:t>
      </w:r>
      <w:r w:rsidR="00C54279" w:rsidRPr="006816DA">
        <w:t>.</w:t>
      </w:r>
    </w:p>
    <w:p w14:paraId="697CBA48" w14:textId="0AAF0906" w:rsidR="00B43940" w:rsidRPr="006816DA" w:rsidRDefault="00082520" w:rsidP="000A4DEE">
      <w:pPr>
        <w:pStyle w:val="corpsdedcision"/>
      </w:pPr>
      <w:r w:rsidRPr="006816DA">
        <w:t xml:space="preserve">L’employeur </w:t>
      </w:r>
      <w:r w:rsidR="00B43940" w:rsidRPr="006816DA">
        <w:t>fait valoir</w:t>
      </w:r>
      <w:r w:rsidRPr="006816DA">
        <w:t xml:space="preserve"> </w:t>
      </w:r>
      <w:r w:rsidR="00B43940" w:rsidRPr="006816DA">
        <w:t>qu’il éprouve de sérieux</w:t>
      </w:r>
      <w:r w:rsidRPr="006816DA">
        <w:t xml:space="preserve"> doutes</w:t>
      </w:r>
      <w:r w:rsidR="00AB2B36" w:rsidRPr="006816DA">
        <w:t>, à la vue de la vidéo déposée en preuve,</w:t>
      </w:r>
      <w:r w:rsidRPr="006816DA">
        <w:t xml:space="preserve"> sur la version des faits rapportée par le travailleur</w:t>
      </w:r>
      <w:r w:rsidR="00B43940" w:rsidRPr="006816DA">
        <w:t xml:space="preserve"> en ce qui concerne l’altercation</w:t>
      </w:r>
      <w:r w:rsidRPr="006816DA">
        <w:t xml:space="preserve">. </w:t>
      </w:r>
      <w:r w:rsidR="00B43940" w:rsidRPr="006816DA">
        <w:t>Il précise que le travailleur a tenté de faussement atténuer sa responsabilité lors du premier événement et il en fait de même lorsqu’il</w:t>
      </w:r>
      <w:r w:rsidR="00C54279" w:rsidRPr="006816DA">
        <w:t xml:space="preserve"> fait porter </w:t>
      </w:r>
      <w:r w:rsidR="00B43940" w:rsidRPr="006816DA">
        <w:t>l’odieux de l’altercation sur son collègue.</w:t>
      </w:r>
    </w:p>
    <w:p w14:paraId="60AFA1DE" w14:textId="234A29C0" w:rsidR="00B43940" w:rsidRPr="006816DA" w:rsidRDefault="00AB2B36" w:rsidP="00C54279">
      <w:pPr>
        <w:pStyle w:val="corpsdedcision"/>
      </w:pPr>
      <w:r w:rsidRPr="006816DA">
        <w:t>La preuve</w:t>
      </w:r>
      <w:r w:rsidR="00B43940" w:rsidRPr="006816DA">
        <w:t xml:space="preserve"> entendue </w:t>
      </w:r>
      <w:r w:rsidRPr="006816DA">
        <w:t xml:space="preserve">démontre </w:t>
      </w:r>
      <w:r w:rsidR="00B43940" w:rsidRPr="006816DA">
        <w:t xml:space="preserve">que le travailleur </w:t>
      </w:r>
      <w:r w:rsidRPr="006816DA">
        <w:t>trouve souvent</w:t>
      </w:r>
      <w:r w:rsidR="00B43940" w:rsidRPr="006816DA">
        <w:t xml:space="preserve"> des explications discutables à son comportement </w:t>
      </w:r>
      <w:r w:rsidRPr="006816DA">
        <w:t xml:space="preserve">et qu’il a fréquemment tendance </w:t>
      </w:r>
      <w:r w:rsidR="00B43940" w:rsidRPr="006816DA">
        <w:t xml:space="preserve">à embellir les faits pour ne pas porter la responsabilité de ses actes. Cela étant, la vidéo </w:t>
      </w:r>
      <w:r w:rsidRPr="006816DA">
        <w:t xml:space="preserve">sur laquelle l’employeur appuie ses prétentions </w:t>
      </w:r>
      <w:r w:rsidR="00B43940" w:rsidRPr="006816DA">
        <w:t xml:space="preserve">comporte plusieurs limites. Elle est prise de loin, les images ne sont pas très claires et il n’y a pas de son. Le Tribunal n’a également pas entendu la version du collègue sur les événements et sur les raisons </w:t>
      </w:r>
      <w:r w:rsidR="00C54279" w:rsidRPr="006816DA">
        <w:t xml:space="preserve">pour lesquelles il se </w:t>
      </w:r>
      <w:r w:rsidRPr="006816DA">
        <w:t xml:space="preserve">dirige </w:t>
      </w:r>
      <w:r w:rsidR="00C54279" w:rsidRPr="006816DA">
        <w:t xml:space="preserve">précipitamment vers le travailleur. </w:t>
      </w:r>
      <w:r w:rsidR="00B43940" w:rsidRPr="006816DA">
        <w:t>Le Tribunal se doit donc de considérer comme probante la version présentée par le travailleu</w:t>
      </w:r>
      <w:r w:rsidR="00FC65A7" w:rsidRPr="006816DA">
        <w:t>r lorsqu’il dit qu’il a réagi à la charge de son collègue</w:t>
      </w:r>
      <w:r w:rsidR="00C54279" w:rsidRPr="006816DA">
        <w:t>, d’autant plus que celle-ci est relativement la même que celle rapportée à l’agent de sécurité dans les minutes qui suivent l’altercation.</w:t>
      </w:r>
    </w:p>
    <w:p w14:paraId="1A1EC67C" w14:textId="20BAFCE0" w:rsidR="00EF5CD7" w:rsidRPr="006816DA" w:rsidRDefault="00C54279" w:rsidP="00C54279">
      <w:pPr>
        <w:pStyle w:val="corpsdedcision"/>
      </w:pPr>
      <w:r w:rsidRPr="006816DA">
        <w:t>Pour l’ensemble de ces raisons, il n’y</w:t>
      </w:r>
      <w:r w:rsidR="00AB2B36" w:rsidRPr="006816DA">
        <w:t xml:space="preserve"> a</w:t>
      </w:r>
      <w:r w:rsidRPr="006816DA">
        <w:t xml:space="preserve"> pas lieu d’appliquer l’article 27 de la Loi.</w:t>
      </w:r>
    </w:p>
    <w:p w14:paraId="55114F28" w14:textId="484EC7E3" w:rsidR="00BA60B8" w:rsidRPr="006816DA" w:rsidRDefault="00BA60B8" w:rsidP="00BA60B8">
      <w:pPr>
        <w:pStyle w:val="corpsdedcision"/>
        <w:numPr>
          <w:ilvl w:val="0"/>
          <w:numId w:val="0"/>
        </w:numPr>
        <w:rPr>
          <w:b/>
          <w:bCs/>
        </w:rPr>
      </w:pPr>
      <w:r w:rsidRPr="006816DA">
        <w:rPr>
          <w:b/>
          <w:bCs/>
        </w:rPr>
        <w:t xml:space="preserve">Est-ce qu’il y a lieu de modifier la date de capacité de travail, la date de fin </w:t>
      </w:r>
      <w:r w:rsidR="00F776FC" w:rsidRPr="006816DA">
        <w:rPr>
          <w:b/>
          <w:bCs/>
        </w:rPr>
        <w:t>de l’assistance médicale</w:t>
      </w:r>
      <w:r w:rsidRPr="006816DA">
        <w:rPr>
          <w:b/>
          <w:bCs/>
        </w:rPr>
        <w:t xml:space="preserve"> et la date de fin du droit à l’indemnité de remplacement du revenu?</w:t>
      </w:r>
    </w:p>
    <w:p w14:paraId="0F04B790" w14:textId="02D5C52B" w:rsidR="00BA60B8" w:rsidRPr="006816DA" w:rsidRDefault="00BA60B8" w:rsidP="00BA60B8">
      <w:pPr>
        <w:pStyle w:val="corpsdedcision"/>
      </w:pPr>
      <w:r w:rsidRPr="006816DA">
        <w:t xml:space="preserve">Puisqu’aucune des parties ne demande de modifier la date de capacité de travail, la date de fin </w:t>
      </w:r>
      <w:r w:rsidR="00AB2B36" w:rsidRPr="006816DA">
        <w:t>de l’assistance médicale</w:t>
      </w:r>
      <w:r w:rsidRPr="006816DA">
        <w:t xml:space="preserve"> et la date de fin du droit à l’indemnité de remplacement du revenu, il n’y a pas lieu </w:t>
      </w:r>
      <w:r w:rsidR="00AB2B36" w:rsidRPr="006816DA">
        <w:t xml:space="preserve">pour le Tribunal </w:t>
      </w:r>
      <w:r w:rsidRPr="006816DA">
        <w:t>de le faire.</w:t>
      </w:r>
    </w:p>
    <w:p w14:paraId="42CD3259" w14:textId="73487403" w:rsidR="00BA60B8" w:rsidRPr="006816DA" w:rsidRDefault="00F776FC" w:rsidP="00BA60B8">
      <w:pPr>
        <w:pStyle w:val="corpsdedcision"/>
      </w:pPr>
      <w:r w:rsidRPr="006816DA">
        <w:t>Le rapport médical final du docteur Chevrette confirme que la lésion psychologique est consolidée le 19</w:t>
      </w:r>
      <w:r w:rsidR="00AB2B36" w:rsidRPr="006816DA">
        <w:t> </w:t>
      </w:r>
      <w:r w:rsidRPr="006816DA">
        <w:t>octobre</w:t>
      </w:r>
      <w:r w:rsidR="00AB2B36" w:rsidRPr="006816DA">
        <w:t> </w:t>
      </w:r>
      <w:r w:rsidRPr="006816DA">
        <w:t>2021 sans la nécessité de soins ou traitements supplémentaires et sans séquelles permanentes. Le droit à l’assistance médicale prend donc fin à cette même date.</w:t>
      </w:r>
    </w:p>
    <w:p w14:paraId="6E7FFCCA" w14:textId="4C7FC00C" w:rsidR="00F776FC" w:rsidRPr="006816DA" w:rsidRDefault="00AB2B36" w:rsidP="00BA60B8">
      <w:pPr>
        <w:pStyle w:val="corpsdedcision"/>
      </w:pPr>
      <w:r w:rsidRPr="006816DA">
        <w:t xml:space="preserve">Étant donné que </w:t>
      </w:r>
      <w:r w:rsidR="00F776FC" w:rsidRPr="006816DA">
        <w:t>la lésion professionnelle est consolidée sans limitations fonctionnelles, le travailleur est apte à exercer son emploi le 19</w:t>
      </w:r>
      <w:r w:rsidRPr="006816DA">
        <w:t> </w:t>
      </w:r>
      <w:r w:rsidR="00F776FC" w:rsidRPr="006816DA">
        <w:t>octobre</w:t>
      </w:r>
      <w:r w:rsidRPr="006816DA">
        <w:t xml:space="preserve"> 2021 </w:t>
      </w:r>
      <w:r w:rsidR="00F776FC" w:rsidRPr="006816DA">
        <w:t>et son droit à une indemnité de remplacement du revenu prend fin le jour suivant cette date.</w:t>
      </w:r>
    </w:p>
    <w:p w14:paraId="52A759B3" w14:textId="77777777" w:rsidR="00C74B6F" w:rsidRPr="006816DA" w:rsidRDefault="00C74B6F">
      <w:pPr>
        <w:pStyle w:val="Dispositif"/>
      </w:pPr>
      <w:r w:rsidRPr="006816DA">
        <w:rPr>
          <w:b/>
        </w:rPr>
        <w:t>P</w:t>
      </w:r>
      <w:r w:rsidR="00401325" w:rsidRPr="006816DA">
        <w:rPr>
          <w:b/>
        </w:rPr>
        <w:t>AR</w:t>
      </w:r>
      <w:r w:rsidR="00D07FA6" w:rsidRPr="006816DA">
        <w:rPr>
          <w:b/>
        </w:rPr>
        <w:t xml:space="preserve"> CES MOTIFS, LE TRIBUNAL ADMINISTRATIF DU TRAVAIL</w:t>
      </w:r>
      <w:r w:rsidRPr="006816DA">
        <w:rPr>
          <w:b/>
        </w:rPr>
        <w:t> :</w:t>
      </w:r>
    </w:p>
    <w:p w14:paraId="31DFDD76" w14:textId="578CFEF9" w:rsidR="004A06FF" w:rsidRPr="006816DA" w:rsidRDefault="004A06FF">
      <w:pPr>
        <w:pStyle w:val="Dispositif"/>
      </w:pPr>
      <w:r w:rsidRPr="006816DA">
        <w:t xml:space="preserve">Dossier </w:t>
      </w:r>
      <w:r w:rsidR="00C570A7" w:rsidRPr="006816DA">
        <w:t>1257298-62B-2112</w:t>
      </w:r>
    </w:p>
    <w:p w14:paraId="792900AA" w14:textId="3CA570A9" w:rsidR="00C74B6F" w:rsidRPr="006816DA" w:rsidRDefault="00BA59A2">
      <w:pPr>
        <w:pStyle w:val="Dispositif"/>
      </w:pPr>
      <w:r w:rsidRPr="006816DA">
        <w:rPr>
          <w:b/>
          <w:bCs/>
        </w:rPr>
        <w:t>REJETTE</w:t>
      </w:r>
      <w:r w:rsidRPr="006816DA">
        <w:t xml:space="preserve"> la contestation de la Société Terminaux Montréal Gateway, l’employeur;</w:t>
      </w:r>
    </w:p>
    <w:p w14:paraId="7843BBE7" w14:textId="2BB66CDA" w:rsidR="004A06FF" w:rsidRPr="006816DA" w:rsidRDefault="004A06FF">
      <w:pPr>
        <w:pStyle w:val="Dispositif"/>
      </w:pPr>
      <w:r w:rsidRPr="006816DA">
        <w:rPr>
          <w:b/>
          <w:bCs/>
        </w:rPr>
        <w:t>CONFIRME</w:t>
      </w:r>
      <w:r w:rsidRPr="006816DA">
        <w:t xml:space="preserve"> la décision de la Commission des normes, de l’équité, de la santé et de la sécurité du travail rendue le </w:t>
      </w:r>
      <w:r w:rsidR="00C570A7" w:rsidRPr="006816DA">
        <w:t>5</w:t>
      </w:r>
      <w:r w:rsidR="00314DDC" w:rsidRPr="006816DA">
        <w:t> </w:t>
      </w:r>
      <w:r w:rsidR="00C570A7" w:rsidRPr="006816DA">
        <w:t>novembre</w:t>
      </w:r>
      <w:r w:rsidR="00314DDC" w:rsidRPr="006816DA">
        <w:t> </w:t>
      </w:r>
      <w:r w:rsidR="00C570A7" w:rsidRPr="006816DA">
        <w:t>2021 à la suite d’une révision administrative</w:t>
      </w:r>
      <w:r w:rsidR="00282476" w:rsidRPr="006816DA">
        <w:t>;</w:t>
      </w:r>
    </w:p>
    <w:p w14:paraId="21F240A5" w14:textId="3B7D5E4A" w:rsidR="00C570A7" w:rsidRPr="006816DA" w:rsidRDefault="00C570A7">
      <w:pPr>
        <w:pStyle w:val="Dispositif"/>
      </w:pPr>
      <w:r w:rsidRPr="006816DA">
        <w:rPr>
          <w:b/>
          <w:bCs/>
        </w:rPr>
        <w:t>DÉCLARE</w:t>
      </w:r>
      <w:r w:rsidRPr="006816DA">
        <w:t xml:space="preserve"> que le travailleur, monsieur Stéphane Majeau, a subi une lésion professionnelle le 17</w:t>
      </w:r>
      <w:r w:rsidR="00314DDC" w:rsidRPr="006816DA">
        <w:t> </w:t>
      </w:r>
      <w:r w:rsidRPr="006816DA">
        <w:t>juin</w:t>
      </w:r>
      <w:r w:rsidR="00314DDC" w:rsidRPr="006816DA">
        <w:t> </w:t>
      </w:r>
      <w:r w:rsidRPr="006816DA">
        <w:t>2021, qui consiste en l’exacerbation d’un trouble anxieux, et qu’il a droit aux prestations prévues à la Loi sur les accidents du travail et les maladies professionnelles.</w:t>
      </w:r>
    </w:p>
    <w:p w14:paraId="3307114E" w14:textId="5CD1D44A" w:rsidR="00C570A7" w:rsidRPr="006816DA" w:rsidRDefault="00C570A7">
      <w:pPr>
        <w:pStyle w:val="Dispositif"/>
      </w:pPr>
      <w:r w:rsidRPr="006816DA">
        <w:t>Dossier 1257315-62B-2112</w:t>
      </w:r>
    </w:p>
    <w:p w14:paraId="2D0B23FF" w14:textId="77777777" w:rsidR="00C570A7" w:rsidRPr="006816DA" w:rsidRDefault="00C570A7" w:rsidP="00C570A7">
      <w:pPr>
        <w:pStyle w:val="Dispositif"/>
      </w:pPr>
      <w:r w:rsidRPr="006816DA">
        <w:rPr>
          <w:b/>
          <w:bCs/>
        </w:rPr>
        <w:t>REJETTE</w:t>
      </w:r>
      <w:r w:rsidRPr="006816DA">
        <w:t xml:space="preserve"> la contestation de la Société Terminaux Montréal Gateway, l’employeur;</w:t>
      </w:r>
    </w:p>
    <w:p w14:paraId="1F70C53B" w14:textId="6E267F60" w:rsidR="00C570A7" w:rsidRPr="006816DA" w:rsidRDefault="00C570A7" w:rsidP="00C570A7">
      <w:pPr>
        <w:pStyle w:val="Dispositif"/>
      </w:pPr>
      <w:r w:rsidRPr="006816DA">
        <w:rPr>
          <w:b/>
          <w:bCs/>
        </w:rPr>
        <w:t>CONFIRME</w:t>
      </w:r>
      <w:r w:rsidRPr="006816DA">
        <w:t xml:space="preserve"> la décision de la Commission des normes, de l’équité, de la santé et de la sécurité du travail rendue le </w:t>
      </w:r>
      <w:r w:rsidR="00314DDC" w:rsidRPr="006816DA">
        <w:t>3 décembre 2021</w:t>
      </w:r>
      <w:r w:rsidRPr="006816DA">
        <w:t xml:space="preserve"> à la suite d’une révision administrative</w:t>
      </w:r>
      <w:r w:rsidR="007D4AD6" w:rsidRPr="006816DA">
        <w:t>;</w:t>
      </w:r>
    </w:p>
    <w:p w14:paraId="49C78D35" w14:textId="504C34AD" w:rsidR="00314DDC" w:rsidRPr="006816DA" w:rsidRDefault="00314DDC" w:rsidP="00C570A7">
      <w:pPr>
        <w:pStyle w:val="Dispositif"/>
      </w:pPr>
      <w:r w:rsidRPr="006816DA">
        <w:rPr>
          <w:b/>
          <w:bCs/>
        </w:rPr>
        <w:t xml:space="preserve">DÉCLARE </w:t>
      </w:r>
      <w:r w:rsidRPr="006816DA">
        <w:t xml:space="preserve">que le travailleur est apte </w:t>
      </w:r>
      <w:r w:rsidR="007D4AD6" w:rsidRPr="006816DA">
        <w:t>à</w:t>
      </w:r>
      <w:r w:rsidRPr="006816DA">
        <w:t xml:space="preserve"> exercer son emploi le 19 octobre 2021 et que son droit à une indemnité de remplacement du revenu prend fin le jour suivant cette date;</w:t>
      </w:r>
    </w:p>
    <w:p w14:paraId="350B7564" w14:textId="107B0AA4" w:rsidR="00C74B6F" w:rsidRPr="006816DA" w:rsidRDefault="00314DDC" w:rsidP="006816DA">
      <w:pPr>
        <w:pStyle w:val="Dispositif"/>
        <w:keepNext/>
        <w:keepLines/>
      </w:pPr>
      <w:r w:rsidRPr="006816DA">
        <w:rPr>
          <w:b/>
          <w:bCs/>
        </w:rPr>
        <w:t>DÉCLARE q</w:t>
      </w:r>
      <w:r w:rsidRPr="006816DA">
        <w:t>ue le droit à l’assistance médicale</w:t>
      </w:r>
      <w:r w:rsidR="007D4AD6" w:rsidRPr="006816DA">
        <w:t xml:space="preserve"> en</w:t>
      </w:r>
      <w:r w:rsidRPr="006816DA">
        <w:t xml:space="preserve"> lien avec la lésion professionnelle prend fin le 19 octobre 2021</w:t>
      </w:r>
      <w:r w:rsidR="007D4AD6" w:rsidRPr="006816DA">
        <w:t>.</w:t>
      </w: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rsidRPr="006816DA" w14:paraId="77CE84D0" w14:textId="77777777">
        <w:tc>
          <w:tcPr>
            <w:tcW w:w="4795" w:type="dxa"/>
          </w:tcPr>
          <w:p w14:paraId="13A34C15" w14:textId="77777777" w:rsidR="00C74B6F" w:rsidRPr="006816DA" w:rsidRDefault="00C74B6F" w:rsidP="006816DA">
            <w:pPr>
              <w:keepNext/>
              <w:keepLines/>
            </w:pPr>
          </w:p>
        </w:tc>
        <w:tc>
          <w:tcPr>
            <w:tcW w:w="4795" w:type="dxa"/>
          </w:tcPr>
          <w:p w14:paraId="7AAA716E" w14:textId="5E72DE72" w:rsidR="00C74B6F" w:rsidRPr="006816DA" w:rsidRDefault="00C74B6F" w:rsidP="006816DA">
            <w:pPr>
              <w:keepNext/>
              <w:keepLines/>
            </w:pPr>
            <w:bookmarkStart w:id="15" w:name="signature"/>
            <w:bookmarkEnd w:id="15"/>
            <w:r w:rsidRPr="006816DA">
              <w:t>__________________________________</w:t>
            </w:r>
          </w:p>
        </w:tc>
      </w:tr>
      <w:tr w:rsidR="00C74B6F" w:rsidRPr="006816DA" w14:paraId="3CFBD76C" w14:textId="77777777">
        <w:tc>
          <w:tcPr>
            <w:tcW w:w="4795" w:type="dxa"/>
          </w:tcPr>
          <w:p w14:paraId="48CA2981" w14:textId="77777777" w:rsidR="00C74B6F" w:rsidRPr="006816DA" w:rsidRDefault="00C74B6F" w:rsidP="006816DA">
            <w:pPr>
              <w:keepNext/>
              <w:keepLines/>
            </w:pPr>
          </w:p>
        </w:tc>
        <w:tc>
          <w:tcPr>
            <w:tcW w:w="4795" w:type="dxa"/>
          </w:tcPr>
          <w:p w14:paraId="0EA72324" w14:textId="77777777" w:rsidR="00C74B6F" w:rsidRPr="006816DA" w:rsidRDefault="000E470A" w:rsidP="006816DA">
            <w:pPr>
              <w:keepNext/>
              <w:keepLines/>
            </w:pPr>
            <w:r w:rsidRPr="006816DA">
              <w:t>Hugues Magnan</w:t>
            </w:r>
          </w:p>
        </w:tc>
      </w:tr>
      <w:tr w:rsidR="00C74B6F" w:rsidRPr="006816DA" w14:paraId="7B99C7E2" w14:textId="77777777">
        <w:trPr>
          <w:cantSplit/>
        </w:trPr>
        <w:tc>
          <w:tcPr>
            <w:tcW w:w="9590" w:type="dxa"/>
            <w:gridSpan w:val="2"/>
          </w:tcPr>
          <w:p w14:paraId="24841EAE" w14:textId="77777777" w:rsidR="00C74B6F" w:rsidRPr="006816DA" w:rsidRDefault="00C74B6F"/>
        </w:tc>
      </w:tr>
      <w:tr w:rsidR="00C74B6F" w:rsidRPr="006816DA" w14:paraId="7B233972" w14:textId="77777777">
        <w:trPr>
          <w:cantSplit/>
        </w:trPr>
        <w:tc>
          <w:tcPr>
            <w:tcW w:w="9590" w:type="dxa"/>
            <w:gridSpan w:val="2"/>
          </w:tcPr>
          <w:p w14:paraId="55961EAA" w14:textId="77777777" w:rsidR="00C74B6F" w:rsidRPr="006816DA" w:rsidRDefault="00C74B6F" w:rsidP="00EC5C8D">
            <w:pPr>
              <w:tabs>
                <w:tab w:val="left" w:pos="1592"/>
              </w:tabs>
            </w:pPr>
          </w:p>
        </w:tc>
      </w:tr>
      <w:tr w:rsidR="00C74B6F" w:rsidRPr="006816DA" w14:paraId="1F9CE739" w14:textId="77777777">
        <w:trPr>
          <w:cantSplit/>
        </w:trPr>
        <w:tc>
          <w:tcPr>
            <w:tcW w:w="9590" w:type="dxa"/>
            <w:gridSpan w:val="2"/>
          </w:tcPr>
          <w:p w14:paraId="115FB484" w14:textId="77777777" w:rsidR="00C74B6F" w:rsidRPr="006816DA" w:rsidRDefault="00C74B6F"/>
        </w:tc>
      </w:tr>
      <w:tr w:rsidR="00C74B6F" w:rsidRPr="006816DA" w14:paraId="1EA134DF" w14:textId="77777777">
        <w:trPr>
          <w:cantSplit/>
        </w:trPr>
        <w:tc>
          <w:tcPr>
            <w:tcW w:w="9590" w:type="dxa"/>
            <w:gridSpan w:val="2"/>
          </w:tcPr>
          <w:p w14:paraId="615F432E" w14:textId="77777777" w:rsidR="00C74B6F" w:rsidRPr="006816DA" w:rsidRDefault="000E470A">
            <w:pPr>
              <w:pStyle w:val="zSoquijdatNomProcureurDem"/>
            </w:pPr>
            <w:r w:rsidRPr="006816DA">
              <w:t>M. Dominic Laforest</w:t>
            </w:r>
          </w:p>
        </w:tc>
      </w:tr>
      <w:tr w:rsidR="00C74B6F" w:rsidRPr="006816DA" w14:paraId="336377E1" w14:textId="77777777">
        <w:trPr>
          <w:cantSplit/>
        </w:trPr>
        <w:tc>
          <w:tcPr>
            <w:tcW w:w="9590" w:type="dxa"/>
            <w:gridSpan w:val="2"/>
          </w:tcPr>
          <w:p w14:paraId="29761DD7" w14:textId="77777777" w:rsidR="00C74B6F" w:rsidRPr="006816DA" w:rsidRDefault="000E470A">
            <w:pPr>
              <w:pStyle w:val="zSoquijdatCabinetProcureurDem"/>
            </w:pPr>
            <w:r w:rsidRPr="006816DA">
              <w:t>SYNDICAT CANADIEN DE LA FONCTION PUBLIQUE,</w:t>
            </w:r>
          </w:p>
        </w:tc>
      </w:tr>
      <w:tr w:rsidR="000E470A" w:rsidRPr="006816DA" w14:paraId="74424A0C" w14:textId="77777777">
        <w:trPr>
          <w:cantSplit/>
        </w:trPr>
        <w:tc>
          <w:tcPr>
            <w:tcW w:w="9590" w:type="dxa"/>
            <w:gridSpan w:val="2"/>
          </w:tcPr>
          <w:p w14:paraId="09FAC41D" w14:textId="77777777" w:rsidR="000E470A" w:rsidRPr="006816DA" w:rsidRDefault="000E470A">
            <w:pPr>
              <w:pStyle w:val="zSoquijlblProcureurDem"/>
            </w:pPr>
            <w:r w:rsidRPr="006816DA">
              <w:t>SECTION LOCALE 1459</w:t>
            </w:r>
          </w:p>
        </w:tc>
      </w:tr>
      <w:tr w:rsidR="00C74B6F" w:rsidRPr="006816DA" w14:paraId="11337395" w14:textId="77777777">
        <w:trPr>
          <w:cantSplit/>
        </w:trPr>
        <w:tc>
          <w:tcPr>
            <w:tcW w:w="9590" w:type="dxa"/>
            <w:gridSpan w:val="2"/>
          </w:tcPr>
          <w:p w14:paraId="2E1FB36F" w14:textId="77777777" w:rsidR="00C74B6F" w:rsidRPr="006816DA" w:rsidRDefault="00CB05A7">
            <w:pPr>
              <w:pStyle w:val="zSoquijlblProcureurDem"/>
            </w:pPr>
            <w:r w:rsidRPr="006816DA">
              <w:t>Pour la partie demanderesse</w:t>
            </w:r>
          </w:p>
        </w:tc>
      </w:tr>
      <w:tr w:rsidR="00C74B6F" w:rsidRPr="006816DA" w14:paraId="743C8197" w14:textId="77777777">
        <w:trPr>
          <w:cantSplit/>
        </w:trPr>
        <w:tc>
          <w:tcPr>
            <w:tcW w:w="9590" w:type="dxa"/>
            <w:gridSpan w:val="2"/>
          </w:tcPr>
          <w:p w14:paraId="7DE5CED3" w14:textId="77777777" w:rsidR="00C74B6F" w:rsidRPr="006816DA" w:rsidRDefault="00C74B6F"/>
        </w:tc>
      </w:tr>
      <w:tr w:rsidR="00C74B6F" w:rsidRPr="006816DA" w14:paraId="6CBC2D2E" w14:textId="77777777">
        <w:trPr>
          <w:cantSplit/>
        </w:trPr>
        <w:tc>
          <w:tcPr>
            <w:tcW w:w="9590" w:type="dxa"/>
            <w:gridSpan w:val="2"/>
          </w:tcPr>
          <w:p w14:paraId="50447152" w14:textId="77777777" w:rsidR="00C74B6F" w:rsidRPr="006816DA" w:rsidRDefault="000E470A">
            <w:pPr>
              <w:pStyle w:val="zSoquijdatNomProcureurDef"/>
            </w:pPr>
            <w:r w:rsidRPr="006816DA">
              <w:t>M</w:t>
            </w:r>
            <w:r w:rsidRPr="006816DA">
              <w:rPr>
                <w:vertAlign w:val="superscript"/>
              </w:rPr>
              <w:t>e</w:t>
            </w:r>
            <w:r w:rsidRPr="006816DA">
              <w:t xml:space="preserve"> Joël Brassard-Morissette</w:t>
            </w:r>
          </w:p>
        </w:tc>
      </w:tr>
      <w:tr w:rsidR="00C74B6F" w:rsidRPr="006816DA" w14:paraId="41F59150" w14:textId="77777777">
        <w:trPr>
          <w:cantSplit/>
        </w:trPr>
        <w:tc>
          <w:tcPr>
            <w:tcW w:w="9590" w:type="dxa"/>
            <w:gridSpan w:val="2"/>
          </w:tcPr>
          <w:p w14:paraId="0A1E281D" w14:textId="77777777" w:rsidR="00C74B6F" w:rsidRPr="006816DA" w:rsidRDefault="000E470A">
            <w:pPr>
              <w:pStyle w:val="zSoquijdatCabinetProcureurDef"/>
            </w:pPr>
            <w:r w:rsidRPr="006816DA">
              <w:t>CAIN LAMARRE, S.E.N.C.R.L.</w:t>
            </w:r>
          </w:p>
        </w:tc>
      </w:tr>
      <w:tr w:rsidR="00C74B6F" w:rsidRPr="006816DA" w14:paraId="6942162A" w14:textId="77777777">
        <w:trPr>
          <w:cantSplit/>
        </w:trPr>
        <w:tc>
          <w:tcPr>
            <w:tcW w:w="9590" w:type="dxa"/>
            <w:gridSpan w:val="2"/>
          </w:tcPr>
          <w:p w14:paraId="04D48D6C" w14:textId="77777777" w:rsidR="00C74B6F" w:rsidRPr="006816DA" w:rsidRDefault="00CB05A7" w:rsidP="000E470A">
            <w:pPr>
              <w:pStyle w:val="zSoquijlblProcureurDef"/>
            </w:pPr>
            <w:r w:rsidRPr="006816DA">
              <w:t xml:space="preserve">Pour la partie </w:t>
            </w:r>
            <w:r w:rsidR="000E470A" w:rsidRPr="006816DA">
              <w:t>mise en cause</w:t>
            </w:r>
          </w:p>
        </w:tc>
      </w:tr>
      <w:tr w:rsidR="007569DE" w:rsidRPr="006816DA" w14:paraId="23A110DE" w14:textId="77777777">
        <w:trPr>
          <w:cantSplit/>
        </w:trPr>
        <w:tc>
          <w:tcPr>
            <w:tcW w:w="9590" w:type="dxa"/>
            <w:gridSpan w:val="2"/>
          </w:tcPr>
          <w:p w14:paraId="2759305C" w14:textId="77777777" w:rsidR="007569DE" w:rsidRPr="006816DA" w:rsidRDefault="007569DE"/>
        </w:tc>
      </w:tr>
      <w:tr w:rsidR="00C15A3F" w:rsidRPr="006816DA" w14:paraId="1FB4E6FB" w14:textId="77777777">
        <w:trPr>
          <w:cantSplit/>
        </w:trPr>
        <w:tc>
          <w:tcPr>
            <w:tcW w:w="9590" w:type="dxa"/>
            <w:gridSpan w:val="2"/>
          </w:tcPr>
          <w:p w14:paraId="7510C726" w14:textId="77777777" w:rsidR="00C15A3F" w:rsidRPr="006816DA" w:rsidRDefault="00C15A3F">
            <w:pPr>
              <w:pStyle w:val="zSoquijlblProcureurInt"/>
            </w:pPr>
          </w:p>
        </w:tc>
      </w:tr>
      <w:tr w:rsidR="00C15A3F" w14:paraId="035CF177" w14:textId="77777777">
        <w:trPr>
          <w:cantSplit/>
        </w:trPr>
        <w:tc>
          <w:tcPr>
            <w:tcW w:w="9590" w:type="dxa"/>
            <w:gridSpan w:val="2"/>
          </w:tcPr>
          <w:p w14:paraId="7A0DED7E" w14:textId="19DF5628" w:rsidR="00C15A3F" w:rsidRDefault="00C15A3F" w:rsidP="000E56A6">
            <w:pPr>
              <w:pStyle w:val="zSoquijdatDateAudience"/>
            </w:pPr>
            <w:bookmarkStart w:id="16" w:name="Date_derniere_audience"/>
            <w:bookmarkEnd w:id="16"/>
            <w:r w:rsidRPr="006816DA">
              <w:t xml:space="preserve">Date de la </w:t>
            </w:r>
            <w:r w:rsidR="00CC6338" w:rsidRPr="006816DA">
              <w:t>mise en délibéré</w:t>
            </w:r>
            <w:r w:rsidRPr="006816DA">
              <w:t> :</w:t>
            </w:r>
            <w:r w:rsidR="00597016" w:rsidRPr="006816DA">
              <w:tab/>
            </w:r>
            <w:r w:rsidR="004A06FF" w:rsidRPr="006816DA">
              <w:t>13 novembre 2023</w:t>
            </w:r>
          </w:p>
        </w:tc>
      </w:tr>
    </w:tbl>
    <w:p w14:paraId="1FA80AEB" w14:textId="77777777" w:rsidR="002542E0" w:rsidRDefault="002542E0" w:rsidP="002542E0">
      <w:pPr>
        <w:pStyle w:val="corpsdedcision"/>
        <w:numPr>
          <w:ilvl w:val="0"/>
          <w:numId w:val="0"/>
        </w:numPr>
        <w:tabs>
          <w:tab w:val="clear" w:pos="720"/>
        </w:tabs>
      </w:pPr>
    </w:p>
    <w:sectPr w:rsidR="002542E0">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9570C" w14:textId="77777777" w:rsidR="000E470A" w:rsidRDefault="000E470A">
      <w:r>
        <w:separator/>
      </w:r>
    </w:p>
  </w:endnote>
  <w:endnote w:type="continuationSeparator" w:id="0">
    <w:p w14:paraId="701B8B53" w14:textId="77777777" w:rsidR="000E470A" w:rsidRDefault="000E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A50D" w14:textId="77777777" w:rsidR="000E470A" w:rsidRDefault="000E470A">
      <w:r>
        <w:separator/>
      </w:r>
    </w:p>
  </w:footnote>
  <w:footnote w:type="continuationSeparator" w:id="0">
    <w:p w14:paraId="4AACF2F0" w14:textId="77777777" w:rsidR="000E470A" w:rsidRDefault="000E470A">
      <w:r>
        <w:continuationSeparator/>
      </w:r>
    </w:p>
  </w:footnote>
  <w:footnote w:id="1">
    <w:p w14:paraId="390DBE11" w14:textId="0279D16B" w:rsidR="00EF752A" w:rsidRPr="00EF752A" w:rsidRDefault="00EF752A" w:rsidP="00EF752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Décision du 19</w:t>
      </w:r>
      <w:r w:rsidR="00BA60B8">
        <w:rPr>
          <w:rFonts w:cs="Arial"/>
          <w:sz w:val="20"/>
        </w:rPr>
        <w:t> </w:t>
      </w:r>
      <w:r>
        <w:rPr>
          <w:rFonts w:cs="Arial"/>
          <w:sz w:val="20"/>
        </w:rPr>
        <w:t>août</w:t>
      </w:r>
      <w:r w:rsidR="00BA60B8">
        <w:rPr>
          <w:rFonts w:cs="Arial"/>
          <w:sz w:val="20"/>
        </w:rPr>
        <w:t> </w:t>
      </w:r>
      <w:r>
        <w:rPr>
          <w:rFonts w:cs="Arial"/>
          <w:sz w:val="20"/>
        </w:rPr>
        <w:t>2021.</w:t>
      </w:r>
    </w:p>
  </w:footnote>
  <w:footnote w:id="2">
    <w:p w14:paraId="5F415B9B" w14:textId="0208B4BE" w:rsidR="00EF752A" w:rsidRPr="00EF752A" w:rsidRDefault="00EF752A" w:rsidP="00EF752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Décision du 5</w:t>
      </w:r>
      <w:r w:rsidR="00BA60B8">
        <w:rPr>
          <w:rFonts w:cs="Arial"/>
          <w:sz w:val="20"/>
        </w:rPr>
        <w:t> </w:t>
      </w:r>
      <w:r>
        <w:rPr>
          <w:rFonts w:cs="Arial"/>
          <w:sz w:val="20"/>
        </w:rPr>
        <w:t>novembre</w:t>
      </w:r>
      <w:r w:rsidR="00BA60B8">
        <w:rPr>
          <w:rFonts w:cs="Arial"/>
          <w:sz w:val="20"/>
        </w:rPr>
        <w:t> </w:t>
      </w:r>
      <w:r>
        <w:rPr>
          <w:rFonts w:cs="Arial"/>
          <w:sz w:val="20"/>
        </w:rPr>
        <w:t>2021.</w:t>
      </w:r>
    </w:p>
  </w:footnote>
  <w:footnote w:id="3">
    <w:p w14:paraId="20AD95D9" w14:textId="4FD4DF79" w:rsidR="004F05EE" w:rsidRPr="004F05EE" w:rsidRDefault="004F05EE" w:rsidP="00C93FD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C93FD1">
        <w:rPr>
          <w:rFonts w:cs="Arial"/>
          <w:sz w:val="20"/>
        </w:rPr>
        <w:t>RLRQ, c. A-3.001.</w:t>
      </w:r>
    </w:p>
  </w:footnote>
  <w:footnote w:id="4">
    <w:p w14:paraId="69642372" w14:textId="5A2DF670" w:rsidR="007F1051" w:rsidRDefault="007F1051" w:rsidP="007F1051">
      <w:pPr>
        <w:ind w:left="709" w:hanging="709"/>
        <w:jc w:val="both"/>
      </w:pPr>
      <w:r w:rsidRPr="00FF39EF">
        <w:rPr>
          <w:rStyle w:val="Appelnotedebasdep"/>
          <w:sz w:val="20"/>
        </w:rPr>
        <w:footnoteRef/>
      </w:r>
      <w:r w:rsidRPr="00FF39EF">
        <w:rPr>
          <w:sz w:val="20"/>
        </w:rPr>
        <w:t xml:space="preserve"> </w:t>
      </w:r>
      <w:r w:rsidRPr="00FF39EF">
        <w:rPr>
          <w:sz w:val="20"/>
        </w:rPr>
        <w:tab/>
      </w:r>
      <w:r w:rsidRPr="00C335CD">
        <w:rPr>
          <w:rFonts w:cs="Arial"/>
          <w:i/>
          <w:sz w:val="20"/>
        </w:rPr>
        <w:t xml:space="preserve">Mancuso </w:t>
      </w:r>
      <w:r w:rsidRPr="00C335CD">
        <w:rPr>
          <w:rFonts w:cs="Arial"/>
          <w:sz w:val="20"/>
        </w:rPr>
        <w:t>et</w:t>
      </w:r>
      <w:r w:rsidRPr="00C335CD">
        <w:rPr>
          <w:rFonts w:cs="Arial"/>
          <w:i/>
          <w:sz w:val="20"/>
        </w:rPr>
        <w:t xml:space="preserve"> Air Canada</w:t>
      </w:r>
      <w:r>
        <w:rPr>
          <w:rFonts w:cs="Arial"/>
          <w:i/>
          <w:sz w:val="20"/>
        </w:rPr>
        <w:t xml:space="preserve"> (</w:t>
      </w:r>
      <w:r w:rsidRPr="00282D67">
        <w:rPr>
          <w:rFonts w:cs="Arial"/>
          <w:i/>
          <w:sz w:val="20"/>
        </w:rPr>
        <w:t>Canadian Airlines Int</w:t>
      </w:r>
      <w:r>
        <w:rPr>
          <w:rFonts w:cs="Arial"/>
          <w:i/>
          <w:sz w:val="20"/>
        </w:rPr>
        <w:t>.</w:t>
      </w:r>
      <w:r w:rsidRPr="00282D67">
        <w:rPr>
          <w:rFonts w:cs="Arial"/>
          <w:i/>
          <w:sz w:val="20"/>
        </w:rPr>
        <w:t xml:space="preserve"> </w:t>
      </w:r>
      <w:r>
        <w:rPr>
          <w:rFonts w:cs="Arial"/>
          <w:i/>
          <w:sz w:val="20"/>
        </w:rPr>
        <w:t>L</w:t>
      </w:r>
      <w:r w:rsidRPr="00282D67">
        <w:rPr>
          <w:rFonts w:cs="Arial"/>
          <w:i/>
          <w:sz w:val="20"/>
        </w:rPr>
        <w:t>td</w:t>
      </w:r>
      <w:r>
        <w:rPr>
          <w:rFonts w:cs="Arial"/>
          <w:i/>
          <w:sz w:val="20"/>
        </w:rPr>
        <w:t>)</w:t>
      </w:r>
      <w:r>
        <w:rPr>
          <w:rFonts w:cs="Arial"/>
          <w:sz w:val="20"/>
        </w:rPr>
        <w:t>, C.L.P. </w:t>
      </w:r>
      <w:r w:rsidRPr="003E4270">
        <w:rPr>
          <w:rFonts w:cs="Arial"/>
          <w:sz w:val="20"/>
        </w:rPr>
        <w:t>122614-</w:t>
      </w:r>
      <w:r w:rsidR="00C335CD" w:rsidRPr="003E4270">
        <w:rPr>
          <w:rFonts w:cs="Arial"/>
          <w:sz w:val="20"/>
        </w:rPr>
        <w:t>72</w:t>
      </w:r>
      <w:r w:rsidRPr="003E4270">
        <w:rPr>
          <w:rFonts w:cs="Arial"/>
          <w:sz w:val="20"/>
        </w:rPr>
        <w:t>-9908,</w:t>
      </w:r>
      <w:r w:rsidRPr="00282D67">
        <w:rPr>
          <w:rFonts w:cs="Arial"/>
          <w:sz w:val="20"/>
        </w:rPr>
        <w:t xml:space="preserve"> 25</w:t>
      </w:r>
      <w:r w:rsidR="00C93FD1">
        <w:rPr>
          <w:rFonts w:cs="Arial"/>
          <w:sz w:val="20"/>
        </w:rPr>
        <w:t> </w:t>
      </w:r>
      <w:r w:rsidRPr="00282D67">
        <w:rPr>
          <w:rFonts w:cs="Arial"/>
          <w:sz w:val="20"/>
        </w:rPr>
        <w:t>mai</w:t>
      </w:r>
      <w:r w:rsidR="00C93FD1">
        <w:rPr>
          <w:rFonts w:cs="Arial"/>
          <w:sz w:val="20"/>
        </w:rPr>
        <w:t> </w:t>
      </w:r>
      <w:r w:rsidRPr="00282D67">
        <w:rPr>
          <w:rFonts w:cs="Arial"/>
          <w:sz w:val="20"/>
        </w:rPr>
        <w:t xml:space="preserve">2001, </w:t>
      </w:r>
      <w:r>
        <w:rPr>
          <w:rFonts w:cs="Arial"/>
          <w:sz w:val="20"/>
        </w:rPr>
        <w:t>D. Lévesque</w:t>
      </w:r>
      <w:r w:rsidR="003E4270">
        <w:rPr>
          <w:rFonts w:cs="Arial"/>
          <w:sz w:val="20"/>
        </w:rPr>
        <w:t>,</w:t>
      </w:r>
      <w:r>
        <w:rPr>
          <w:rFonts w:cs="Arial"/>
          <w:sz w:val="20"/>
        </w:rPr>
        <w:t xml:space="preserve"> </w:t>
      </w:r>
      <w:r w:rsidR="003E4270">
        <w:rPr>
          <w:rFonts w:cs="Arial"/>
          <w:sz w:val="20"/>
        </w:rPr>
        <w:t>requête en révision rejetée</w:t>
      </w:r>
      <w:r w:rsidR="00155B24">
        <w:rPr>
          <w:rFonts w:cs="Arial"/>
          <w:sz w:val="20"/>
        </w:rPr>
        <w:t xml:space="preserve"> le</w:t>
      </w:r>
      <w:r w:rsidR="003E4270">
        <w:rPr>
          <w:rFonts w:cs="Arial"/>
          <w:sz w:val="20"/>
        </w:rPr>
        <w:t xml:space="preserve"> 2 août 2002; </w:t>
      </w:r>
      <w:r w:rsidRPr="00BC3245">
        <w:rPr>
          <w:rFonts w:cs="Arial"/>
          <w:i/>
          <w:sz w:val="20"/>
        </w:rPr>
        <w:t>A</w:t>
      </w:r>
      <w:r w:rsidR="00C93FD1">
        <w:rPr>
          <w:rFonts w:cs="Arial"/>
          <w:i/>
          <w:sz w:val="20"/>
        </w:rPr>
        <w:t>.</w:t>
      </w:r>
      <w:r>
        <w:rPr>
          <w:rFonts w:cs="Arial"/>
          <w:i/>
          <w:sz w:val="20"/>
        </w:rPr>
        <w:t xml:space="preserve"> M</w:t>
      </w:r>
      <w:r w:rsidR="00C93FD1">
        <w:rPr>
          <w:rFonts w:cs="Arial"/>
          <w:i/>
          <w:sz w:val="20"/>
        </w:rPr>
        <w:t>.</w:t>
      </w:r>
      <w:r>
        <w:rPr>
          <w:rFonts w:cs="Arial"/>
          <w:i/>
          <w:sz w:val="20"/>
        </w:rPr>
        <w:t xml:space="preserve"> et Commission scolaire A</w:t>
      </w:r>
      <w:r w:rsidRPr="00BC3245">
        <w:rPr>
          <w:rFonts w:cs="Arial"/>
          <w:sz w:val="20"/>
        </w:rPr>
        <w:t>, 2017</w:t>
      </w:r>
      <w:r w:rsidR="003E4270">
        <w:rPr>
          <w:rFonts w:cs="Arial"/>
          <w:sz w:val="20"/>
        </w:rPr>
        <w:t> </w:t>
      </w:r>
      <w:r w:rsidRPr="00BC3245">
        <w:rPr>
          <w:rFonts w:cs="Arial"/>
          <w:sz w:val="20"/>
        </w:rPr>
        <w:t xml:space="preserve">QCTAT 962; </w:t>
      </w:r>
      <w:r w:rsidRPr="00BC3245">
        <w:rPr>
          <w:rFonts w:cs="Arial"/>
          <w:i/>
          <w:sz w:val="20"/>
        </w:rPr>
        <w:t xml:space="preserve">Laberge </w:t>
      </w:r>
      <w:r w:rsidRPr="00BC3245">
        <w:rPr>
          <w:rFonts w:cs="Arial"/>
          <w:sz w:val="20"/>
        </w:rPr>
        <w:t xml:space="preserve">et </w:t>
      </w:r>
      <w:r w:rsidRPr="007B2E00">
        <w:rPr>
          <w:rFonts w:cs="Arial"/>
          <w:i/>
          <w:sz w:val="20"/>
        </w:rPr>
        <w:t>Havre des Femmes,</w:t>
      </w:r>
      <w:r w:rsidRPr="006E220E">
        <w:rPr>
          <w:rFonts w:cs="Arial"/>
          <w:sz w:val="20"/>
        </w:rPr>
        <w:t xml:space="preserve"> 2018 QCTAT 271.</w:t>
      </w:r>
    </w:p>
  </w:footnote>
  <w:footnote w:id="5">
    <w:p w14:paraId="41B0B9F6" w14:textId="67994983" w:rsidR="007F1051" w:rsidRPr="00FF39EF" w:rsidRDefault="007F1051" w:rsidP="007F1051">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282D67">
        <w:rPr>
          <w:rFonts w:cs="Arial"/>
          <w:i/>
          <w:sz w:val="20"/>
        </w:rPr>
        <w:t>A</w:t>
      </w:r>
      <w:r w:rsidR="00C93FD1">
        <w:rPr>
          <w:rFonts w:cs="Arial"/>
          <w:i/>
          <w:sz w:val="20"/>
        </w:rPr>
        <w:t xml:space="preserve">. </w:t>
      </w:r>
      <w:r w:rsidRPr="00282D67">
        <w:rPr>
          <w:rFonts w:cs="Arial"/>
          <w:i/>
          <w:sz w:val="20"/>
        </w:rPr>
        <w:t>M</w:t>
      </w:r>
      <w:r w:rsidR="00C93FD1">
        <w:rPr>
          <w:rFonts w:cs="Arial"/>
          <w:i/>
          <w:sz w:val="20"/>
        </w:rPr>
        <w:t>.</w:t>
      </w:r>
      <w:r w:rsidRPr="00282D67">
        <w:rPr>
          <w:rFonts w:cs="Arial"/>
          <w:i/>
          <w:sz w:val="20"/>
        </w:rPr>
        <w:t xml:space="preserve"> </w:t>
      </w:r>
      <w:r w:rsidRPr="00282D67">
        <w:rPr>
          <w:rFonts w:cs="Arial"/>
          <w:sz w:val="20"/>
        </w:rPr>
        <w:t>et</w:t>
      </w:r>
      <w:r w:rsidRPr="00282D67">
        <w:rPr>
          <w:rFonts w:cs="Arial"/>
          <w:i/>
          <w:sz w:val="20"/>
        </w:rPr>
        <w:t xml:space="preserve"> Commission scolaire A</w:t>
      </w:r>
      <w:r>
        <w:rPr>
          <w:rFonts w:cs="Arial"/>
          <w:sz w:val="20"/>
        </w:rPr>
        <w:t xml:space="preserve">, précitée, note </w:t>
      </w:r>
      <w:r w:rsidR="00C93FD1">
        <w:rPr>
          <w:rFonts w:cs="Arial"/>
          <w:sz w:val="20"/>
        </w:rPr>
        <w:t>4</w:t>
      </w:r>
      <w:r>
        <w:rPr>
          <w:rFonts w:cs="Arial"/>
          <w:sz w:val="20"/>
        </w:rPr>
        <w:t xml:space="preserve">; </w:t>
      </w:r>
      <w:r w:rsidRPr="000645DA">
        <w:rPr>
          <w:i/>
          <w:sz w:val="20"/>
        </w:rPr>
        <w:t>Lafontaine</w:t>
      </w:r>
      <w:r>
        <w:rPr>
          <w:sz w:val="20"/>
        </w:rPr>
        <w:t xml:space="preserve"> et </w:t>
      </w:r>
      <w:r w:rsidRPr="000645DA">
        <w:rPr>
          <w:i/>
          <w:sz w:val="20"/>
        </w:rPr>
        <w:t>Centre Jean Bosco de Maniwaki inc.</w:t>
      </w:r>
      <w:r>
        <w:rPr>
          <w:sz w:val="20"/>
        </w:rPr>
        <w:t>, 2018 QCTAT 5755.</w:t>
      </w:r>
    </w:p>
  </w:footnote>
  <w:footnote w:id="6">
    <w:p w14:paraId="33DADB46" w14:textId="77777777" w:rsidR="007F1051" w:rsidRPr="00FF39EF" w:rsidRDefault="007F1051" w:rsidP="007F1051">
      <w:pPr>
        <w:pStyle w:val="Notedebasdepage"/>
        <w:jc w:val="both"/>
        <w:rPr>
          <w:sz w:val="20"/>
        </w:rPr>
      </w:pPr>
      <w:r w:rsidRPr="00FF39EF">
        <w:rPr>
          <w:rStyle w:val="Appelnotedebasdep"/>
          <w:sz w:val="20"/>
        </w:rPr>
        <w:footnoteRef/>
      </w:r>
      <w:r w:rsidRPr="00FF39EF">
        <w:rPr>
          <w:sz w:val="20"/>
        </w:rPr>
        <w:t xml:space="preserve"> </w:t>
      </w:r>
      <w:r w:rsidRPr="00FF39EF">
        <w:rPr>
          <w:sz w:val="20"/>
        </w:rPr>
        <w:tab/>
      </w:r>
      <w:r w:rsidRPr="00282D67">
        <w:rPr>
          <w:i/>
          <w:sz w:val="20"/>
        </w:rPr>
        <w:t xml:space="preserve">Zuchowski </w:t>
      </w:r>
      <w:r w:rsidRPr="00282D67">
        <w:rPr>
          <w:sz w:val="20"/>
        </w:rPr>
        <w:t>et</w:t>
      </w:r>
      <w:r w:rsidRPr="00282D67">
        <w:rPr>
          <w:i/>
          <w:sz w:val="20"/>
        </w:rPr>
        <w:t xml:space="preserve"> Hôpital Charles-LeMoyne</w:t>
      </w:r>
      <w:r w:rsidRPr="00282D67">
        <w:rPr>
          <w:sz w:val="20"/>
        </w:rPr>
        <w:t>, 2011 QCCLP 5965</w:t>
      </w:r>
      <w:r>
        <w:rPr>
          <w:sz w:val="20"/>
        </w:rPr>
        <w:t>.</w:t>
      </w:r>
    </w:p>
  </w:footnote>
  <w:footnote w:id="7">
    <w:p w14:paraId="6E1ADC27" w14:textId="3E00EBC9" w:rsidR="007F1051" w:rsidRPr="00FF39EF" w:rsidRDefault="007F1051" w:rsidP="007F1051">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282D67">
        <w:rPr>
          <w:i/>
          <w:sz w:val="20"/>
        </w:rPr>
        <w:t>Centre jeunesse Québec</w:t>
      </w:r>
      <w:r w:rsidRPr="00282D67">
        <w:rPr>
          <w:sz w:val="20"/>
        </w:rPr>
        <w:t xml:space="preserve"> et </w:t>
      </w:r>
      <w:r w:rsidRPr="00282D67">
        <w:rPr>
          <w:i/>
          <w:sz w:val="20"/>
        </w:rPr>
        <w:t>Jobin</w:t>
      </w:r>
      <w:r w:rsidRPr="00282D67">
        <w:rPr>
          <w:sz w:val="20"/>
        </w:rPr>
        <w:t xml:space="preserve">, </w:t>
      </w:r>
      <w:r>
        <w:rPr>
          <w:sz w:val="20"/>
        </w:rPr>
        <w:t>[</w:t>
      </w:r>
      <w:r w:rsidRPr="00282D67">
        <w:rPr>
          <w:sz w:val="20"/>
        </w:rPr>
        <w:t>2010</w:t>
      </w:r>
      <w:r>
        <w:rPr>
          <w:sz w:val="20"/>
        </w:rPr>
        <w:t>]</w:t>
      </w:r>
      <w:r w:rsidRPr="00282D67">
        <w:rPr>
          <w:sz w:val="20"/>
        </w:rPr>
        <w:t xml:space="preserve"> </w:t>
      </w:r>
      <w:r>
        <w:rPr>
          <w:sz w:val="20"/>
        </w:rPr>
        <w:t>C.L.P. 335</w:t>
      </w:r>
      <w:r w:rsidRPr="00282D67">
        <w:rPr>
          <w:sz w:val="20"/>
        </w:rPr>
        <w:t xml:space="preserve">; </w:t>
      </w:r>
      <w:r w:rsidRPr="00282D67">
        <w:rPr>
          <w:i/>
          <w:sz w:val="20"/>
        </w:rPr>
        <w:t>Lemieux</w:t>
      </w:r>
      <w:r w:rsidRPr="00282D67">
        <w:rPr>
          <w:sz w:val="20"/>
        </w:rPr>
        <w:t xml:space="preserve"> et </w:t>
      </w:r>
      <w:r w:rsidRPr="00BF358E">
        <w:rPr>
          <w:i/>
          <w:sz w:val="20"/>
        </w:rPr>
        <w:t xml:space="preserve">Commission </w:t>
      </w:r>
      <w:r>
        <w:rPr>
          <w:i/>
          <w:sz w:val="20"/>
        </w:rPr>
        <w:t>s</w:t>
      </w:r>
      <w:r w:rsidRPr="00BF358E">
        <w:rPr>
          <w:i/>
          <w:sz w:val="20"/>
        </w:rPr>
        <w:t>colaire de Montréal</w:t>
      </w:r>
      <w:r w:rsidRPr="00BF358E">
        <w:rPr>
          <w:sz w:val="20"/>
        </w:rPr>
        <w:t>, C.L.P. 255077-62-0</w:t>
      </w:r>
      <w:r>
        <w:rPr>
          <w:sz w:val="20"/>
        </w:rPr>
        <w:t>502, 7</w:t>
      </w:r>
      <w:r w:rsidR="00C93FD1">
        <w:rPr>
          <w:sz w:val="20"/>
        </w:rPr>
        <w:t> </w:t>
      </w:r>
      <w:r>
        <w:rPr>
          <w:sz w:val="20"/>
        </w:rPr>
        <w:t>février</w:t>
      </w:r>
      <w:r w:rsidR="00C93FD1">
        <w:rPr>
          <w:sz w:val="20"/>
        </w:rPr>
        <w:t> </w:t>
      </w:r>
      <w:r>
        <w:rPr>
          <w:sz w:val="20"/>
        </w:rPr>
        <w:t xml:space="preserve">2007, É. Ouellet; </w:t>
      </w:r>
      <w:r w:rsidRPr="000645DA">
        <w:rPr>
          <w:i/>
          <w:sz w:val="20"/>
        </w:rPr>
        <w:t>M.</w:t>
      </w:r>
      <w:r w:rsidR="00C93FD1">
        <w:rPr>
          <w:i/>
          <w:sz w:val="20"/>
        </w:rPr>
        <w:t xml:space="preserve"> </w:t>
      </w:r>
      <w:r w:rsidRPr="000645DA">
        <w:rPr>
          <w:i/>
          <w:sz w:val="20"/>
        </w:rPr>
        <w:t>B.</w:t>
      </w:r>
      <w:r>
        <w:rPr>
          <w:sz w:val="20"/>
        </w:rPr>
        <w:t xml:space="preserve"> et </w:t>
      </w:r>
      <w:r w:rsidRPr="000645DA">
        <w:rPr>
          <w:i/>
          <w:sz w:val="20"/>
        </w:rPr>
        <w:t>Ministère A</w:t>
      </w:r>
      <w:r>
        <w:rPr>
          <w:sz w:val="20"/>
        </w:rPr>
        <w:t>, 2017 QCTAT 409.</w:t>
      </w:r>
    </w:p>
  </w:footnote>
  <w:footnote w:id="8">
    <w:p w14:paraId="177CA833" w14:textId="332F971E" w:rsidR="007F1051" w:rsidRPr="00FF39EF" w:rsidRDefault="007F1051" w:rsidP="007F1051">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282D67">
        <w:rPr>
          <w:rFonts w:cs="Arial"/>
          <w:i/>
          <w:sz w:val="20"/>
        </w:rPr>
        <w:t>St-Martin</w:t>
      </w:r>
      <w:r w:rsidRPr="00282D67">
        <w:rPr>
          <w:rFonts w:cs="Arial"/>
          <w:sz w:val="20"/>
        </w:rPr>
        <w:t xml:space="preserve"> et </w:t>
      </w:r>
      <w:r w:rsidRPr="00282D67">
        <w:rPr>
          <w:rFonts w:cs="Arial"/>
          <w:i/>
          <w:sz w:val="20"/>
        </w:rPr>
        <w:t>Commission scolaire de la Capitale</w:t>
      </w:r>
      <w:r w:rsidRPr="00282D67">
        <w:rPr>
          <w:rFonts w:cs="Arial"/>
          <w:sz w:val="20"/>
        </w:rPr>
        <w:t>, C.L.P. 195077-31-0211, 30</w:t>
      </w:r>
      <w:r w:rsidR="00C93FD1">
        <w:rPr>
          <w:rFonts w:cs="Arial"/>
          <w:sz w:val="20"/>
        </w:rPr>
        <w:t> </w:t>
      </w:r>
      <w:r w:rsidRPr="00282D67">
        <w:rPr>
          <w:rFonts w:cs="Arial"/>
          <w:sz w:val="20"/>
        </w:rPr>
        <w:t>septembre</w:t>
      </w:r>
      <w:r w:rsidR="00C93FD1">
        <w:rPr>
          <w:rFonts w:cs="Arial"/>
          <w:sz w:val="20"/>
        </w:rPr>
        <w:t> </w:t>
      </w:r>
      <w:r w:rsidRPr="00282D67">
        <w:rPr>
          <w:rFonts w:cs="Arial"/>
          <w:sz w:val="20"/>
        </w:rPr>
        <w:t>2004, M. Carignan.</w:t>
      </w:r>
    </w:p>
  </w:footnote>
  <w:footnote w:id="9">
    <w:p w14:paraId="244D72E3" w14:textId="2F082435" w:rsidR="007F1051" w:rsidRPr="00FF39EF" w:rsidRDefault="007F1051" w:rsidP="007F1051">
      <w:pPr>
        <w:pStyle w:val="Notedebasdepage"/>
        <w:jc w:val="both"/>
        <w:rPr>
          <w:sz w:val="20"/>
        </w:rPr>
      </w:pPr>
      <w:r w:rsidRPr="00FF39EF">
        <w:rPr>
          <w:rStyle w:val="Appelnotedebasdep"/>
          <w:sz w:val="20"/>
        </w:rPr>
        <w:footnoteRef/>
      </w:r>
      <w:r w:rsidRPr="00FF39EF">
        <w:rPr>
          <w:sz w:val="20"/>
        </w:rPr>
        <w:t xml:space="preserve"> </w:t>
      </w:r>
      <w:r w:rsidRPr="00FF39EF">
        <w:rPr>
          <w:sz w:val="20"/>
        </w:rPr>
        <w:tab/>
      </w:r>
      <w:r w:rsidRPr="00282D67">
        <w:rPr>
          <w:rFonts w:cs="Arial"/>
          <w:i/>
          <w:sz w:val="20"/>
        </w:rPr>
        <w:t>A</w:t>
      </w:r>
      <w:r w:rsidR="00C93FD1">
        <w:rPr>
          <w:rFonts w:cs="Arial"/>
          <w:i/>
          <w:sz w:val="20"/>
        </w:rPr>
        <w:t>.</w:t>
      </w:r>
      <w:r>
        <w:rPr>
          <w:rFonts w:cs="Arial"/>
          <w:i/>
          <w:sz w:val="20"/>
        </w:rPr>
        <w:t xml:space="preserve"> </w:t>
      </w:r>
      <w:r w:rsidRPr="00282D67">
        <w:rPr>
          <w:rFonts w:cs="Arial"/>
          <w:i/>
          <w:sz w:val="20"/>
        </w:rPr>
        <w:t>M</w:t>
      </w:r>
      <w:r w:rsidR="00C93FD1">
        <w:rPr>
          <w:rFonts w:cs="Arial"/>
          <w:i/>
          <w:sz w:val="20"/>
        </w:rPr>
        <w:t xml:space="preserve">. </w:t>
      </w:r>
      <w:r w:rsidRPr="00282D67">
        <w:rPr>
          <w:rFonts w:cs="Arial"/>
          <w:i/>
          <w:sz w:val="20"/>
        </w:rPr>
        <w:t>et Commission scolaire A</w:t>
      </w:r>
      <w:r>
        <w:rPr>
          <w:rFonts w:cs="Arial"/>
          <w:sz w:val="20"/>
        </w:rPr>
        <w:t>, précitée</w:t>
      </w:r>
      <w:r w:rsidRPr="00282D67">
        <w:rPr>
          <w:rFonts w:cs="Arial"/>
          <w:sz w:val="20"/>
        </w:rPr>
        <w:t xml:space="preserve"> note 4.</w:t>
      </w:r>
    </w:p>
  </w:footnote>
  <w:footnote w:id="10">
    <w:p w14:paraId="4A3D3772" w14:textId="5ED8F4D4" w:rsidR="007F1051" w:rsidRPr="00FF39EF" w:rsidRDefault="007F1051" w:rsidP="007F1051">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BF358E">
        <w:rPr>
          <w:i/>
          <w:sz w:val="20"/>
        </w:rPr>
        <w:t xml:space="preserve">Norampac, division SPB </w:t>
      </w:r>
      <w:r w:rsidRPr="00BF358E">
        <w:rPr>
          <w:sz w:val="20"/>
        </w:rPr>
        <w:t>et</w:t>
      </w:r>
      <w:r w:rsidRPr="00BF358E">
        <w:rPr>
          <w:i/>
          <w:sz w:val="20"/>
        </w:rPr>
        <w:t xml:space="preserve"> Côté, </w:t>
      </w:r>
      <w:r>
        <w:rPr>
          <w:rFonts w:cs="Arial"/>
          <w:sz w:val="20"/>
        </w:rPr>
        <w:t>C.L.P. 245875-71-0410, 8</w:t>
      </w:r>
      <w:r w:rsidR="00F776FC">
        <w:rPr>
          <w:rFonts w:cs="Arial"/>
          <w:sz w:val="20"/>
        </w:rPr>
        <w:t> </w:t>
      </w:r>
      <w:r>
        <w:rPr>
          <w:rFonts w:cs="Arial"/>
          <w:sz w:val="20"/>
        </w:rPr>
        <w:t>août</w:t>
      </w:r>
      <w:r w:rsidR="00F776FC">
        <w:rPr>
          <w:rFonts w:cs="Arial"/>
          <w:sz w:val="20"/>
        </w:rPr>
        <w:t> </w:t>
      </w:r>
      <w:r>
        <w:rPr>
          <w:rFonts w:cs="Arial"/>
          <w:sz w:val="20"/>
        </w:rPr>
        <w:t>2009, J.-C. Danis</w:t>
      </w:r>
      <w:r w:rsidRPr="00BF358E">
        <w:rPr>
          <w:rFonts w:cs="Arial"/>
          <w:sz w:val="20"/>
        </w:rPr>
        <w:t xml:space="preserve">; </w:t>
      </w:r>
      <w:r w:rsidRPr="00BF358E">
        <w:rPr>
          <w:rFonts w:cs="Arial"/>
          <w:i/>
          <w:sz w:val="20"/>
        </w:rPr>
        <w:t>G</w:t>
      </w:r>
      <w:r w:rsidR="00C93FD1">
        <w:rPr>
          <w:rFonts w:cs="Arial"/>
          <w:i/>
          <w:sz w:val="20"/>
        </w:rPr>
        <w:t>.</w:t>
      </w:r>
      <w:r>
        <w:rPr>
          <w:rFonts w:cs="Arial"/>
          <w:i/>
          <w:sz w:val="20"/>
        </w:rPr>
        <w:t xml:space="preserve"> </w:t>
      </w:r>
      <w:r w:rsidRPr="00BF358E">
        <w:rPr>
          <w:rFonts w:cs="Arial"/>
          <w:i/>
          <w:sz w:val="20"/>
        </w:rPr>
        <w:t>G</w:t>
      </w:r>
      <w:r>
        <w:rPr>
          <w:rFonts w:cs="Arial"/>
          <w:i/>
          <w:sz w:val="20"/>
        </w:rPr>
        <w:t>.</w:t>
      </w:r>
      <w:r w:rsidRPr="00BF358E">
        <w:rPr>
          <w:rFonts w:cs="Arial"/>
          <w:i/>
          <w:sz w:val="20"/>
        </w:rPr>
        <w:t xml:space="preserve"> </w:t>
      </w:r>
      <w:r w:rsidRPr="00BF358E">
        <w:rPr>
          <w:rFonts w:cs="Arial"/>
          <w:sz w:val="20"/>
        </w:rPr>
        <w:t>et</w:t>
      </w:r>
      <w:r w:rsidRPr="00BF358E">
        <w:rPr>
          <w:rFonts w:cs="Arial"/>
          <w:i/>
          <w:sz w:val="20"/>
        </w:rPr>
        <w:t xml:space="preserve"> Compagnie A,</w:t>
      </w:r>
      <w:r w:rsidRPr="00BF358E">
        <w:rPr>
          <w:rFonts w:cs="Arial"/>
          <w:sz w:val="20"/>
        </w:rPr>
        <w:t xml:space="preserve"> 2016 QCTAT 3254.</w:t>
      </w:r>
    </w:p>
  </w:footnote>
  <w:footnote w:id="11">
    <w:p w14:paraId="709EBD62" w14:textId="77777777" w:rsidR="00D84DC7" w:rsidRPr="00FF39EF" w:rsidRDefault="00D84DC7" w:rsidP="00D84DC7">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BF358E">
        <w:rPr>
          <w:i/>
          <w:sz w:val="20"/>
        </w:rPr>
        <w:t>S</w:t>
      </w:r>
      <w:r>
        <w:rPr>
          <w:i/>
          <w:sz w:val="20"/>
        </w:rPr>
        <w:t xml:space="preserve">. </w:t>
      </w:r>
      <w:r w:rsidRPr="00BF358E">
        <w:rPr>
          <w:i/>
          <w:sz w:val="20"/>
        </w:rPr>
        <w:t>M</w:t>
      </w:r>
      <w:r>
        <w:rPr>
          <w:i/>
          <w:sz w:val="20"/>
        </w:rPr>
        <w:t>.</w:t>
      </w:r>
      <w:r w:rsidRPr="00BF358E">
        <w:rPr>
          <w:i/>
          <w:sz w:val="20"/>
        </w:rPr>
        <w:t xml:space="preserve"> </w:t>
      </w:r>
      <w:r w:rsidRPr="00BF358E">
        <w:rPr>
          <w:sz w:val="20"/>
        </w:rPr>
        <w:t>et</w:t>
      </w:r>
      <w:r w:rsidRPr="00BF358E">
        <w:rPr>
          <w:i/>
          <w:sz w:val="20"/>
        </w:rPr>
        <w:t xml:space="preserve"> Centre de santé et de services sociaux A</w:t>
      </w:r>
      <w:r w:rsidRPr="00BF358E">
        <w:rPr>
          <w:sz w:val="20"/>
        </w:rPr>
        <w:t xml:space="preserve">, </w:t>
      </w:r>
      <w:r w:rsidRPr="00BF358E">
        <w:rPr>
          <w:rFonts w:cs="Arial"/>
          <w:sz w:val="20"/>
        </w:rPr>
        <w:t xml:space="preserve">2013 QCCLP 185; </w:t>
      </w:r>
      <w:r w:rsidRPr="00BF358E">
        <w:rPr>
          <w:rFonts w:cs="Arial"/>
          <w:i/>
          <w:sz w:val="20"/>
        </w:rPr>
        <w:t>Compagnie A</w:t>
      </w:r>
      <w:r>
        <w:rPr>
          <w:rFonts w:cs="Arial"/>
          <w:i/>
          <w:sz w:val="20"/>
        </w:rPr>
        <w:t xml:space="preserve"> </w:t>
      </w:r>
      <w:r w:rsidRPr="00BF358E">
        <w:rPr>
          <w:rFonts w:cs="Arial"/>
          <w:sz w:val="20"/>
        </w:rPr>
        <w:t>et</w:t>
      </w:r>
      <w:r w:rsidRPr="00BF358E">
        <w:rPr>
          <w:rFonts w:cs="Arial"/>
          <w:i/>
          <w:sz w:val="20"/>
        </w:rPr>
        <w:t xml:space="preserve"> G</w:t>
      </w:r>
      <w:r>
        <w:rPr>
          <w:rFonts w:cs="Arial"/>
          <w:i/>
          <w:sz w:val="20"/>
        </w:rPr>
        <w:t>. L.</w:t>
      </w:r>
      <w:r>
        <w:rPr>
          <w:rFonts w:cs="Arial"/>
          <w:sz w:val="20"/>
        </w:rPr>
        <w:t xml:space="preserve">, 2016 QCTAT </w:t>
      </w:r>
      <w:r w:rsidRPr="00FD5434">
        <w:rPr>
          <w:rFonts w:cs="Arial"/>
          <w:sz w:val="20"/>
        </w:rPr>
        <w:t>2788.</w:t>
      </w:r>
    </w:p>
  </w:footnote>
  <w:footnote w:id="12">
    <w:p w14:paraId="14D444BA" w14:textId="77777777" w:rsidR="00D84DC7" w:rsidRPr="00FF39EF" w:rsidRDefault="00D84DC7" w:rsidP="00D84DC7">
      <w:pPr>
        <w:pStyle w:val="Notedebasdepage"/>
        <w:ind w:left="709" w:hanging="709"/>
        <w:jc w:val="both"/>
        <w:rPr>
          <w:sz w:val="20"/>
        </w:rPr>
      </w:pPr>
      <w:r w:rsidRPr="00FF39EF">
        <w:rPr>
          <w:rStyle w:val="Appelnotedebasdep"/>
          <w:sz w:val="20"/>
        </w:rPr>
        <w:footnoteRef/>
      </w:r>
      <w:r w:rsidRPr="00FF39EF">
        <w:rPr>
          <w:sz w:val="20"/>
        </w:rPr>
        <w:t xml:space="preserve"> </w:t>
      </w:r>
      <w:r w:rsidRPr="00FF39EF">
        <w:rPr>
          <w:sz w:val="20"/>
        </w:rPr>
        <w:tab/>
      </w:r>
      <w:r w:rsidRPr="00BF358E">
        <w:rPr>
          <w:rFonts w:cs="Arial"/>
          <w:i/>
          <w:sz w:val="20"/>
        </w:rPr>
        <w:t xml:space="preserve">Boileau </w:t>
      </w:r>
      <w:r w:rsidRPr="00BF358E">
        <w:rPr>
          <w:rFonts w:cs="Arial"/>
          <w:sz w:val="20"/>
        </w:rPr>
        <w:t>et</w:t>
      </w:r>
      <w:r w:rsidRPr="00BF358E">
        <w:rPr>
          <w:rFonts w:cs="Arial"/>
          <w:i/>
          <w:sz w:val="20"/>
        </w:rPr>
        <w:t xml:space="preserve"> Urgences Santé</w:t>
      </w:r>
      <w:r w:rsidRPr="00BF358E">
        <w:rPr>
          <w:rFonts w:cs="Arial"/>
          <w:sz w:val="20"/>
        </w:rPr>
        <w:t>, C.L.P. 145221-61-0008, 21</w:t>
      </w:r>
      <w:r>
        <w:rPr>
          <w:rFonts w:cs="Arial"/>
          <w:sz w:val="20"/>
        </w:rPr>
        <w:t> </w:t>
      </w:r>
      <w:r w:rsidRPr="00BF358E">
        <w:rPr>
          <w:rFonts w:cs="Arial"/>
          <w:sz w:val="20"/>
        </w:rPr>
        <w:t>décembre</w:t>
      </w:r>
      <w:r>
        <w:rPr>
          <w:rFonts w:cs="Arial"/>
          <w:sz w:val="20"/>
        </w:rPr>
        <w:t> </w:t>
      </w:r>
      <w:r w:rsidRPr="00BF358E">
        <w:rPr>
          <w:rFonts w:cs="Arial"/>
          <w:sz w:val="20"/>
        </w:rPr>
        <w:t xml:space="preserve">2000, L. Nadeau; </w:t>
      </w:r>
      <w:r w:rsidRPr="00BF358E">
        <w:rPr>
          <w:rFonts w:cs="Arial"/>
          <w:i/>
          <w:sz w:val="20"/>
        </w:rPr>
        <w:t>D</w:t>
      </w:r>
      <w:r>
        <w:rPr>
          <w:rFonts w:cs="Arial"/>
          <w:i/>
          <w:sz w:val="20"/>
        </w:rPr>
        <w:t xml:space="preserve">. </w:t>
      </w:r>
      <w:r w:rsidRPr="00BF358E">
        <w:rPr>
          <w:rFonts w:cs="Arial"/>
          <w:i/>
          <w:sz w:val="20"/>
        </w:rPr>
        <w:t>B</w:t>
      </w:r>
      <w:r>
        <w:rPr>
          <w:rFonts w:cs="Arial"/>
          <w:i/>
          <w:sz w:val="20"/>
        </w:rPr>
        <w:t>.</w:t>
      </w:r>
      <w:r w:rsidRPr="00BF358E">
        <w:rPr>
          <w:rFonts w:cs="Arial"/>
          <w:i/>
          <w:sz w:val="20"/>
        </w:rPr>
        <w:t xml:space="preserve"> </w:t>
      </w:r>
      <w:r w:rsidRPr="00BF358E">
        <w:rPr>
          <w:rFonts w:cs="Arial"/>
          <w:sz w:val="20"/>
        </w:rPr>
        <w:t>et</w:t>
      </w:r>
      <w:r w:rsidRPr="00BF358E">
        <w:rPr>
          <w:rFonts w:cs="Arial"/>
          <w:i/>
          <w:sz w:val="20"/>
        </w:rPr>
        <w:t xml:space="preserve"> Compagnie A</w:t>
      </w:r>
      <w:r w:rsidRPr="00FD5434">
        <w:rPr>
          <w:rFonts w:cs="Arial"/>
          <w:i/>
          <w:sz w:val="20"/>
        </w:rPr>
        <w:t>,</w:t>
      </w:r>
      <w:r>
        <w:rPr>
          <w:rFonts w:cs="Arial"/>
          <w:sz w:val="20"/>
        </w:rPr>
        <w:t xml:space="preserve"> 2016 QCTAT </w:t>
      </w:r>
      <w:r w:rsidRPr="00FD5434">
        <w:rPr>
          <w:rFonts w:cs="Arial"/>
          <w:sz w:val="20"/>
        </w:rPr>
        <w:t>3847.</w:t>
      </w:r>
    </w:p>
  </w:footnote>
  <w:footnote w:id="13">
    <w:p w14:paraId="2E5D4B3E" w14:textId="77777777" w:rsidR="00D84DC7" w:rsidRPr="00FD1102" w:rsidRDefault="00D84DC7" w:rsidP="00D84DC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2022 QCTAT 253.</w:t>
      </w:r>
    </w:p>
  </w:footnote>
  <w:footnote w:id="14">
    <w:p w14:paraId="4C1C61CA" w14:textId="77777777" w:rsidR="00D84DC7" w:rsidRPr="002E16D9" w:rsidRDefault="00D84DC7" w:rsidP="00D84DC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2022 QCTAT 5193.</w:t>
      </w:r>
    </w:p>
  </w:footnote>
  <w:footnote w:id="15">
    <w:p w14:paraId="77E05B2B" w14:textId="77777777" w:rsidR="00D84DC7" w:rsidRDefault="00D84DC7" w:rsidP="00D84DC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2023 QCTAT 1788.</w:t>
      </w:r>
    </w:p>
  </w:footnote>
  <w:footnote w:id="16">
    <w:p w14:paraId="75168A30" w14:textId="511AA1A4" w:rsidR="00D84DC7" w:rsidRPr="002E16D9" w:rsidRDefault="00D84DC7" w:rsidP="00D84DC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9A06F0">
        <w:rPr>
          <w:rFonts w:cs="Arial"/>
          <w:i/>
          <w:iCs/>
          <w:sz w:val="20"/>
        </w:rPr>
        <w:t xml:space="preserve">Patenaude </w:t>
      </w:r>
      <w:r>
        <w:rPr>
          <w:rFonts w:cs="Arial"/>
          <w:sz w:val="20"/>
        </w:rPr>
        <w:t xml:space="preserve">et </w:t>
      </w:r>
      <w:r w:rsidRPr="009A06F0">
        <w:rPr>
          <w:rFonts w:cs="Arial"/>
          <w:i/>
          <w:iCs/>
          <w:sz w:val="20"/>
        </w:rPr>
        <w:t xml:space="preserve">Centre de </w:t>
      </w:r>
      <w:r w:rsidRPr="003E4270">
        <w:rPr>
          <w:rFonts w:cs="Arial"/>
          <w:i/>
          <w:iCs/>
          <w:sz w:val="20"/>
        </w:rPr>
        <w:t>service</w:t>
      </w:r>
      <w:r w:rsidR="00420F8A" w:rsidRPr="003E4270">
        <w:rPr>
          <w:rFonts w:cs="Arial"/>
          <w:i/>
          <w:iCs/>
          <w:sz w:val="20"/>
        </w:rPr>
        <w:t>s</w:t>
      </w:r>
      <w:r w:rsidRPr="003E4270">
        <w:rPr>
          <w:rFonts w:cs="Arial"/>
          <w:i/>
          <w:iCs/>
          <w:sz w:val="20"/>
        </w:rPr>
        <w:t xml:space="preserve"> scolaire des Hautes-Riv</w:t>
      </w:r>
      <w:r w:rsidR="00420F8A" w:rsidRPr="003E4270">
        <w:rPr>
          <w:rFonts w:cs="Arial"/>
          <w:i/>
          <w:iCs/>
          <w:sz w:val="20"/>
        </w:rPr>
        <w:t>ière</w:t>
      </w:r>
      <w:r w:rsidRPr="003E4270">
        <w:rPr>
          <w:rFonts w:cs="Arial"/>
          <w:i/>
          <w:iCs/>
          <w:sz w:val="20"/>
        </w:rPr>
        <w:t>s</w:t>
      </w:r>
      <w:r w:rsidRPr="003E4270">
        <w:rPr>
          <w:rFonts w:cs="Arial"/>
          <w:sz w:val="20"/>
        </w:rPr>
        <w:t>,</w:t>
      </w:r>
      <w:r>
        <w:rPr>
          <w:rFonts w:cs="Arial"/>
          <w:sz w:val="20"/>
        </w:rPr>
        <w:t xml:space="preserve"> 2023 QCTAT 2384, requête en révision demandée.</w:t>
      </w:r>
    </w:p>
  </w:footnote>
  <w:footnote w:id="17">
    <w:p w14:paraId="7CC04028" w14:textId="77777777" w:rsidR="00D84DC7" w:rsidRPr="00E06A6F" w:rsidRDefault="00D84DC7" w:rsidP="00D84DC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2023 QCTAT 3845.</w:t>
      </w:r>
    </w:p>
  </w:footnote>
  <w:footnote w:id="18">
    <w:p w14:paraId="3FE96223" w14:textId="53F55B58" w:rsidR="00F75391" w:rsidRPr="00F75391" w:rsidRDefault="00F75391" w:rsidP="00F7539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Celle-ci est présente au rapport d’événement no. 01-011-210617-003098 déposé en preuve sous la cote E-4.</w:t>
      </w:r>
    </w:p>
  </w:footnote>
  <w:footnote w:id="19">
    <w:p w14:paraId="64598710" w14:textId="40B531C9" w:rsidR="00D76C95" w:rsidRPr="00D76C95" w:rsidRDefault="00D76C95" w:rsidP="00122C1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3E4270">
        <w:rPr>
          <w:rFonts w:cs="Arial"/>
          <w:i/>
          <w:iCs/>
          <w:sz w:val="20"/>
        </w:rPr>
        <w:t>Maria De Fatima Gonçalves Da Sylva Pacheco et Succession de feu Éduardo Bento Da Costa Pacheco</w:t>
      </w:r>
      <w:r w:rsidRPr="00065321">
        <w:rPr>
          <w:rFonts w:cs="Arial"/>
          <w:sz w:val="20"/>
        </w:rPr>
        <w:t xml:space="preserve"> C. </w:t>
      </w:r>
      <w:r w:rsidRPr="003E4270">
        <w:rPr>
          <w:rFonts w:cs="Arial"/>
          <w:i/>
          <w:iCs/>
          <w:sz w:val="20"/>
        </w:rPr>
        <w:t>Hôpital de Montréal pour enfants</w:t>
      </w:r>
      <w:r w:rsidRPr="00065321">
        <w:rPr>
          <w:rFonts w:cs="Arial"/>
          <w:sz w:val="20"/>
        </w:rPr>
        <w:t xml:space="preserve"> et </w:t>
      </w:r>
      <w:r w:rsidRPr="003E4270">
        <w:rPr>
          <w:rFonts w:cs="Arial"/>
          <w:i/>
          <w:iCs/>
          <w:sz w:val="20"/>
        </w:rPr>
        <w:t>CSST</w:t>
      </w:r>
      <w:r w:rsidRPr="00065321">
        <w:rPr>
          <w:rFonts w:cs="Arial"/>
          <w:sz w:val="20"/>
        </w:rPr>
        <w:t>, CA 500-09-003289-964, 1998-03-06, Juges Michel Proulx, André Forget et Robert Pidgeon</w:t>
      </w:r>
    </w:p>
  </w:footnote>
  <w:footnote w:id="20">
    <w:p w14:paraId="4463D633" w14:textId="334BF501" w:rsidR="00122C15" w:rsidRPr="00122C15" w:rsidRDefault="00122C15" w:rsidP="00122C1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2018 QCTAT 1945</w:t>
      </w:r>
      <w:r w:rsidR="0074469E">
        <w:rPr>
          <w:rFonts w:cs="Arial"/>
          <w:sz w:val="20"/>
        </w:rPr>
        <w:t>.</w:t>
      </w:r>
    </w:p>
  </w:footnote>
  <w:footnote w:id="21">
    <w:p w14:paraId="716846B0" w14:textId="77A1B171" w:rsidR="00700A8B" w:rsidRPr="00700A8B" w:rsidRDefault="00700A8B" w:rsidP="00700A8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74469E">
        <w:rPr>
          <w:rFonts w:cs="Arial"/>
          <w:sz w:val="20"/>
        </w:rPr>
        <w:t xml:space="preserve">C.L.P. </w:t>
      </w:r>
      <w:r>
        <w:rPr>
          <w:rFonts w:cs="Arial"/>
          <w:sz w:val="20"/>
        </w:rPr>
        <w:t>346197-04B-0804, 14</w:t>
      </w:r>
      <w:r w:rsidR="00C93FD1">
        <w:rPr>
          <w:rFonts w:cs="Arial"/>
          <w:sz w:val="20"/>
        </w:rPr>
        <w:t> </w:t>
      </w:r>
      <w:r>
        <w:rPr>
          <w:rFonts w:cs="Arial"/>
          <w:sz w:val="20"/>
        </w:rPr>
        <w:t>juillet</w:t>
      </w:r>
      <w:r w:rsidR="00C93FD1">
        <w:rPr>
          <w:rFonts w:cs="Arial"/>
          <w:sz w:val="20"/>
        </w:rPr>
        <w:t> </w:t>
      </w:r>
      <w:r>
        <w:rPr>
          <w:rFonts w:cs="Arial"/>
          <w:sz w:val="20"/>
        </w:rPr>
        <w:t>2008, A. Quigley.</w:t>
      </w:r>
    </w:p>
  </w:footnote>
  <w:footnote w:id="22">
    <w:p w14:paraId="45AACA6B" w14:textId="7BACE7F7" w:rsidR="0074469E" w:rsidRPr="0074469E" w:rsidRDefault="0074469E" w:rsidP="0074469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C.L.P. 130812-04B-0001, 26 février 2001, F. Mercure.</w:t>
      </w:r>
    </w:p>
  </w:footnote>
  <w:footnote w:id="23">
    <w:p w14:paraId="0834F27D" w14:textId="77777777" w:rsidR="00EB2A8B" w:rsidRPr="00C31171" w:rsidRDefault="00EB2A8B" w:rsidP="00EB2A8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 25 de la Loi.</w:t>
      </w:r>
    </w:p>
  </w:footnote>
  <w:footnote w:id="24">
    <w:p w14:paraId="72474FE4" w14:textId="77777777" w:rsidR="00EB2A8B" w:rsidRPr="00C31171" w:rsidRDefault="00EB2A8B" w:rsidP="00EB2A8B">
      <w:pPr>
        <w:pStyle w:val="Notedebasdepage"/>
        <w:tabs>
          <w:tab w:val="left" w:pos="720"/>
        </w:tabs>
        <w:rPr>
          <w:rFonts w:cs="Arial"/>
          <w:sz w:val="20"/>
        </w:rPr>
      </w:pPr>
      <w:r>
        <w:rPr>
          <w:rStyle w:val="Appelnotedebasdep"/>
        </w:rPr>
        <w:footnoteRef/>
      </w:r>
      <w:r>
        <w:t xml:space="preserve"> </w:t>
      </w:r>
      <w:r>
        <w:rPr>
          <w:rFonts w:cs="Arial"/>
          <w:sz w:val="20"/>
        </w:rPr>
        <w:tab/>
        <w:t>[1996] 2 R.C.S. 345.</w:t>
      </w:r>
    </w:p>
  </w:footnote>
  <w:footnote w:id="25">
    <w:p w14:paraId="34D0DDA8" w14:textId="77777777" w:rsidR="00EB2A8B" w:rsidRPr="00C31171" w:rsidRDefault="00EB2A8B" w:rsidP="00EB2A8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 26 de la Loi.</w:t>
      </w:r>
    </w:p>
  </w:footnote>
  <w:footnote w:id="26">
    <w:p w14:paraId="4BD44B60" w14:textId="77777777" w:rsidR="00EB2A8B" w:rsidRPr="00421058" w:rsidRDefault="00EB2A8B" w:rsidP="00EB2A8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21058">
        <w:rPr>
          <w:rFonts w:cs="Arial"/>
          <w:i/>
          <w:sz w:val="20"/>
        </w:rPr>
        <w:t>Centre de soins prolongés Grace Dart</w:t>
      </w:r>
      <w:r w:rsidRPr="00421058">
        <w:rPr>
          <w:rFonts w:cs="Arial"/>
          <w:sz w:val="20"/>
        </w:rPr>
        <w:t xml:space="preserve"> et </w:t>
      </w:r>
      <w:r w:rsidRPr="00421058">
        <w:rPr>
          <w:rFonts w:cs="Arial"/>
          <w:i/>
          <w:sz w:val="20"/>
        </w:rPr>
        <w:t>Daghar</w:t>
      </w:r>
      <w:r w:rsidRPr="00421058">
        <w:rPr>
          <w:rFonts w:cs="Arial"/>
          <w:sz w:val="20"/>
        </w:rPr>
        <w:t xml:space="preserve">, 2013 QCCLP 411; </w:t>
      </w:r>
      <w:r w:rsidRPr="00421058">
        <w:rPr>
          <w:rFonts w:cs="Arial"/>
          <w:i/>
          <w:sz w:val="20"/>
        </w:rPr>
        <w:t>La Cie Martin Brower du Canada</w:t>
      </w:r>
      <w:r w:rsidRPr="00421058">
        <w:rPr>
          <w:rFonts w:cs="Arial"/>
          <w:sz w:val="20"/>
        </w:rPr>
        <w:t xml:space="preserve"> et </w:t>
      </w:r>
      <w:r w:rsidRPr="00421058">
        <w:rPr>
          <w:rFonts w:cs="Arial"/>
          <w:i/>
          <w:sz w:val="20"/>
        </w:rPr>
        <w:t>Groleau</w:t>
      </w:r>
      <w:r w:rsidRPr="00421058">
        <w:rPr>
          <w:rFonts w:cs="Arial"/>
          <w:sz w:val="20"/>
        </w:rPr>
        <w:t xml:space="preserve">, 2014 QCCLP 5786; </w:t>
      </w:r>
      <w:r w:rsidRPr="00421058">
        <w:rPr>
          <w:rFonts w:cs="Arial"/>
          <w:i/>
          <w:sz w:val="20"/>
        </w:rPr>
        <w:t>Vent de l’Est inc</w:t>
      </w:r>
      <w:r w:rsidRPr="00421058">
        <w:rPr>
          <w:rFonts w:cs="Arial"/>
          <w:sz w:val="20"/>
        </w:rPr>
        <w:t xml:space="preserve">. et </w:t>
      </w:r>
      <w:r w:rsidRPr="00421058">
        <w:rPr>
          <w:rFonts w:cs="Arial"/>
          <w:i/>
          <w:sz w:val="20"/>
        </w:rPr>
        <w:t>Curadeau</w:t>
      </w:r>
      <w:r w:rsidRPr="00421058">
        <w:rPr>
          <w:rFonts w:cs="Arial"/>
          <w:sz w:val="20"/>
        </w:rPr>
        <w:t>, 2016 QCTAT 5980</w:t>
      </w:r>
      <w:r>
        <w:rPr>
          <w:rFonts w:cs="Arial"/>
          <w:sz w:val="20"/>
        </w:rPr>
        <w:t>.</w:t>
      </w:r>
    </w:p>
  </w:footnote>
  <w:footnote w:id="27">
    <w:p w14:paraId="5F38F916" w14:textId="4CDACDB9" w:rsidR="00FC0BEA" w:rsidRPr="00781AEB" w:rsidRDefault="00FC0BEA" w:rsidP="00FC0BE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94BCB">
        <w:rPr>
          <w:rFonts w:cs="Arial"/>
          <w:sz w:val="20"/>
        </w:rPr>
        <w:t>2018 QCTAT 4296.</w:t>
      </w:r>
    </w:p>
  </w:footnote>
  <w:footnote w:id="28">
    <w:p w14:paraId="2A5C7772" w14:textId="77777777" w:rsidR="00EB2A8B" w:rsidRPr="0008321B" w:rsidRDefault="00EB2A8B" w:rsidP="00EB2A8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08321B">
        <w:rPr>
          <w:rFonts w:cs="Arial"/>
          <w:sz w:val="20"/>
        </w:rPr>
        <w:t>2020 QCTAT 3722</w:t>
      </w:r>
      <w:r>
        <w:rPr>
          <w:rFonts w:cs="Arial"/>
          <w:sz w:val="20"/>
        </w:rPr>
        <w:t>.</w:t>
      </w:r>
    </w:p>
  </w:footnote>
  <w:footnote w:id="29">
    <w:p w14:paraId="5412C548" w14:textId="072CEC9E" w:rsidR="009B5F91" w:rsidRPr="009B5F91" w:rsidRDefault="009B5F91" w:rsidP="009B5F9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9B5F91">
        <w:rPr>
          <w:rFonts w:cs="Arial"/>
          <w:i/>
          <w:iCs/>
          <w:sz w:val="20"/>
        </w:rPr>
        <w:t>Produits forestiers St-Armand</w:t>
      </w:r>
      <w:r>
        <w:rPr>
          <w:rFonts w:cs="Arial"/>
          <w:sz w:val="20"/>
        </w:rPr>
        <w:t xml:space="preserve"> et </w:t>
      </w:r>
      <w:r w:rsidRPr="009B5F91">
        <w:rPr>
          <w:rFonts w:cs="Arial"/>
          <w:i/>
          <w:iCs/>
          <w:sz w:val="20"/>
        </w:rPr>
        <w:t>Beauregard</w:t>
      </w:r>
      <w:r>
        <w:rPr>
          <w:rFonts w:cs="Arial"/>
          <w:sz w:val="20"/>
        </w:rPr>
        <w:t>, 2008 QCCLP 5399.</w:t>
      </w:r>
    </w:p>
  </w:footnote>
  <w:footnote w:id="30">
    <w:p w14:paraId="212D732C" w14:textId="55DC1F26" w:rsidR="009B5F91" w:rsidRPr="009B5F91" w:rsidRDefault="009B5F91" w:rsidP="009B5F9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9B5F91">
        <w:rPr>
          <w:rFonts w:cs="Arial"/>
          <w:i/>
          <w:iCs/>
          <w:sz w:val="20"/>
        </w:rPr>
        <w:t>Bardobec inc.</w:t>
      </w:r>
      <w:r>
        <w:rPr>
          <w:rFonts w:cs="Arial"/>
          <w:sz w:val="20"/>
        </w:rPr>
        <w:t xml:space="preserve"> et </w:t>
      </w:r>
      <w:r w:rsidRPr="009B5F91">
        <w:rPr>
          <w:rFonts w:cs="Arial"/>
          <w:i/>
          <w:iCs/>
          <w:sz w:val="20"/>
        </w:rPr>
        <w:t>Allaire-Royer</w:t>
      </w:r>
      <w:r>
        <w:rPr>
          <w:rFonts w:cs="Arial"/>
          <w:sz w:val="20"/>
        </w:rPr>
        <w:t>, 2022 QCTAT 3067.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7288A195" w14:textId="77777777" w:rsidTr="000E470A">
      <w:tc>
        <w:tcPr>
          <w:tcW w:w="8730" w:type="dxa"/>
        </w:tcPr>
        <w:p w14:paraId="47F861AC" w14:textId="77777777" w:rsidR="00D330B6" w:rsidRDefault="00D330B6">
          <w:pPr>
            <w:pStyle w:val="En-tte"/>
            <w:ind w:left="-90"/>
          </w:pPr>
        </w:p>
      </w:tc>
      <w:tc>
        <w:tcPr>
          <w:tcW w:w="860" w:type="dxa"/>
        </w:tcPr>
        <w:p w14:paraId="1EC7D023" w14:textId="77777777" w:rsidR="00D330B6" w:rsidRDefault="00D330B6">
          <w:pPr>
            <w:pStyle w:val="En-tte"/>
            <w:ind w:left="-90"/>
          </w:pPr>
        </w:p>
      </w:tc>
    </w:tr>
    <w:tr w:rsidR="000E470A" w14:paraId="38DB3376" w14:textId="77777777" w:rsidTr="000E470A">
      <w:tc>
        <w:tcPr>
          <w:tcW w:w="8730" w:type="dxa"/>
        </w:tcPr>
        <w:p w14:paraId="7EABCD48" w14:textId="77777777" w:rsidR="000E470A" w:rsidRDefault="000E470A" w:rsidP="000E470A">
          <w:pPr>
            <w:pStyle w:val="zSoquijdatNoDossier"/>
            <w:tabs>
              <w:tab w:val="left" w:pos="2340"/>
            </w:tabs>
          </w:pPr>
          <w:r>
            <w:t>1257298-62B-2112</w:t>
          </w:r>
          <w:r>
            <w:tab/>
            <w:t>1257315-62B-2112</w:t>
          </w:r>
        </w:p>
      </w:tc>
      <w:tc>
        <w:tcPr>
          <w:tcW w:w="860" w:type="dxa"/>
        </w:tcPr>
        <w:p w14:paraId="1FEF429D" w14:textId="77777777" w:rsidR="000E470A" w:rsidRDefault="000E470A" w:rsidP="000E470A">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1D08D9">
            <w:rPr>
              <w:rStyle w:val="Numrodepage"/>
              <w:noProof/>
            </w:rPr>
            <w:t>2</w:t>
          </w:r>
          <w:r>
            <w:rPr>
              <w:rStyle w:val="Numrodepage"/>
            </w:rPr>
            <w:fldChar w:fldCharType="end"/>
          </w:r>
        </w:p>
      </w:tc>
    </w:tr>
    <w:tr w:rsidR="000E470A" w14:paraId="71483751" w14:textId="77777777" w:rsidTr="000E470A">
      <w:tc>
        <w:tcPr>
          <w:tcW w:w="8730" w:type="dxa"/>
        </w:tcPr>
        <w:p w14:paraId="4C521912" w14:textId="77777777" w:rsidR="000E470A" w:rsidRDefault="000E470A" w:rsidP="000E470A"/>
      </w:tc>
      <w:tc>
        <w:tcPr>
          <w:tcW w:w="860" w:type="dxa"/>
        </w:tcPr>
        <w:p w14:paraId="0498B444" w14:textId="77777777" w:rsidR="000E470A" w:rsidRDefault="000E470A" w:rsidP="000E470A">
          <w:pPr>
            <w:pStyle w:val="En-tte"/>
            <w:ind w:left="-90"/>
            <w:jc w:val="right"/>
          </w:pPr>
        </w:p>
      </w:tc>
    </w:tr>
  </w:tbl>
  <w:p w14:paraId="7A7F1B7A"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3"/>
  </w:num>
  <w:num w:numId="5">
    <w:abstractNumId w:val="9"/>
  </w:num>
  <w:num w:numId="6">
    <w:abstractNumId w:val="9"/>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0A"/>
    <w:rsid w:val="000034B0"/>
    <w:rsid w:val="000041A1"/>
    <w:rsid w:val="00006DD2"/>
    <w:rsid w:val="0001049C"/>
    <w:rsid w:val="0001305E"/>
    <w:rsid w:val="0001619F"/>
    <w:rsid w:val="00016D99"/>
    <w:rsid w:val="00021B30"/>
    <w:rsid w:val="00021E4C"/>
    <w:rsid w:val="00022556"/>
    <w:rsid w:val="00023858"/>
    <w:rsid w:val="00033B58"/>
    <w:rsid w:val="000352CA"/>
    <w:rsid w:val="000366EC"/>
    <w:rsid w:val="00036794"/>
    <w:rsid w:val="00043E4D"/>
    <w:rsid w:val="000536CC"/>
    <w:rsid w:val="000559A8"/>
    <w:rsid w:val="00055A3E"/>
    <w:rsid w:val="00056393"/>
    <w:rsid w:val="00057739"/>
    <w:rsid w:val="00065321"/>
    <w:rsid w:val="0007225E"/>
    <w:rsid w:val="00074ABE"/>
    <w:rsid w:val="00074EAE"/>
    <w:rsid w:val="00076D81"/>
    <w:rsid w:val="00080885"/>
    <w:rsid w:val="00082520"/>
    <w:rsid w:val="00082A97"/>
    <w:rsid w:val="0008378A"/>
    <w:rsid w:val="0008784D"/>
    <w:rsid w:val="00090018"/>
    <w:rsid w:val="00090306"/>
    <w:rsid w:val="00090F69"/>
    <w:rsid w:val="00093ACD"/>
    <w:rsid w:val="00095814"/>
    <w:rsid w:val="00095CD4"/>
    <w:rsid w:val="00097D81"/>
    <w:rsid w:val="00097FCE"/>
    <w:rsid w:val="000A1DAC"/>
    <w:rsid w:val="000A4AD0"/>
    <w:rsid w:val="000A4DEE"/>
    <w:rsid w:val="000A5AD1"/>
    <w:rsid w:val="000A63DF"/>
    <w:rsid w:val="000A77C5"/>
    <w:rsid w:val="000A7926"/>
    <w:rsid w:val="000B6275"/>
    <w:rsid w:val="000B7F1B"/>
    <w:rsid w:val="000C710F"/>
    <w:rsid w:val="000D3948"/>
    <w:rsid w:val="000E0C28"/>
    <w:rsid w:val="000E0C3A"/>
    <w:rsid w:val="000E1320"/>
    <w:rsid w:val="000E3FF6"/>
    <w:rsid w:val="000E470A"/>
    <w:rsid w:val="000E56A6"/>
    <w:rsid w:val="000F20A5"/>
    <w:rsid w:val="000F3423"/>
    <w:rsid w:val="000F5F81"/>
    <w:rsid w:val="00100AB8"/>
    <w:rsid w:val="00104550"/>
    <w:rsid w:val="00104C3D"/>
    <w:rsid w:val="001050B4"/>
    <w:rsid w:val="001144AB"/>
    <w:rsid w:val="0012224D"/>
    <w:rsid w:val="001225BC"/>
    <w:rsid w:val="00122A9E"/>
    <w:rsid w:val="00122C15"/>
    <w:rsid w:val="00122F94"/>
    <w:rsid w:val="0012326A"/>
    <w:rsid w:val="00132622"/>
    <w:rsid w:val="00137E7E"/>
    <w:rsid w:val="001407FC"/>
    <w:rsid w:val="00140C42"/>
    <w:rsid w:val="00144572"/>
    <w:rsid w:val="00146116"/>
    <w:rsid w:val="00147A49"/>
    <w:rsid w:val="00147B8B"/>
    <w:rsid w:val="0015125A"/>
    <w:rsid w:val="00152464"/>
    <w:rsid w:val="001528C5"/>
    <w:rsid w:val="001530B2"/>
    <w:rsid w:val="0015539F"/>
    <w:rsid w:val="00155B24"/>
    <w:rsid w:val="00160597"/>
    <w:rsid w:val="00162ECC"/>
    <w:rsid w:val="001664C8"/>
    <w:rsid w:val="00167AD0"/>
    <w:rsid w:val="00167DEF"/>
    <w:rsid w:val="00167E9D"/>
    <w:rsid w:val="00173184"/>
    <w:rsid w:val="00175079"/>
    <w:rsid w:val="001761B9"/>
    <w:rsid w:val="00182689"/>
    <w:rsid w:val="00183515"/>
    <w:rsid w:val="001846FC"/>
    <w:rsid w:val="001924FE"/>
    <w:rsid w:val="001965E1"/>
    <w:rsid w:val="001A03BE"/>
    <w:rsid w:val="001A067E"/>
    <w:rsid w:val="001A2900"/>
    <w:rsid w:val="001A4081"/>
    <w:rsid w:val="001A65F1"/>
    <w:rsid w:val="001B2B40"/>
    <w:rsid w:val="001B3E9D"/>
    <w:rsid w:val="001B4A40"/>
    <w:rsid w:val="001B5524"/>
    <w:rsid w:val="001B5B6B"/>
    <w:rsid w:val="001B6D8A"/>
    <w:rsid w:val="001C19D4"/>
    <w:rsid w:val="001C2B0B"/>
    <w:rsid w:val="001C436D"/>
    <w:rsid w:val="001D08D9"/>
    <w:rsid w:val="001D0F6A"/>
    <w:rsid w:val="001D63C8"/>
    <w:rsid w:val="001D65D8"/>
    <w:rsid w:val="001E3DFD"/>
    <w:rsid w:val="001E42F0"/>
    <w:rsid w:val="001E497A"/>
    <w:rsid w:val="001E5E3B"/>
    <w:rsid w:val="00225C46"/>
    <w:rsid w:val="00226493"/>
    <w:rsid w:val="00227040"/>
    <w:rsid w:val="00230CFC"/>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2476"/>
    <w:rsid w:val="00286149"/>
    <w:rsid w:val="0028668D"/>
    <w:rsid w:val="00290289"/>
    <w:rsid w:val="00292188"/>
    <w:rsid w:val="002923D9"/>
    <w:rsid w:val="00292797"/>
    <w:rsid w:val="00296645"/>
    <w:rsid w:val="00296A4B"/>
    <w:rsid w:val="00297284"/>
    <w:rsid w:val="002A0077"/>
    <w:rsid w:val="002A07DC"/>
    <w:rsid w:val="002A3573"/>
    <w:rsid w:val="002A374B"/>
    <w:rsid w:val="002A73E9"/>
    <w:rsid w:val="002B132B"/>
    <w:rsid w:val="002B2FC3"/>
    <w:rsid w:val="002B35F0"/>
    <w:rsid w:val="002B58AF"/>
    <w:rsid w:val="002C3748"/>
    <w:rsid w:val="002C5E89"/>
    <w:rsid w:val="002D10C1"/>
    <w:rsid w:val="002D42BC"/>
    <w:rsid w:val="002D71A9"/>
    <w:rsid w:val="002D7846"/>
    <w:rsid w:val="002D7FCB"/>
    <w:rsid w:val="002E05AE"/>
    <w:rsid w:val="002E185C"/>
    <w:rsid w:val="002E38B9"/>
    <w:rsid w:val="002F7507"/>
    <w:rsid w:val="0030059B"/>
    <w:rsid w:val="00302FB4"/>
    <w:rsid w:val="00305273"/>
    <w:rsid w:val="003057FC"/>
    <w:rsid w:val="00305AFB"/>
    <w:rsid w:val="00307C85"/>
    <w:rsid w:val="00312983"/>
    <w:rsid w:val="00314DDC"/>
    <w:rsid w:val="00314E1D"/>
    <w:rsid w:val="00323DC5"/>
    <w:rsid w:val="003248CB"/>
    <w:rsid w:val="00326709"/>
    <w:rsid w:val="00331EA7"/>
    <w:rsid w:val="003332B8"/>
    <w:rsid w:val="00335F2E"/>
    <w:rsid w:val="00337555"/>
    <w:rsid w:val="00343B46"/>
    <w:rsid w:val="00344465"/>
    <w:rsid w:val="0034740A"/>
    <w:rsid w:val="0035375B"/>
    <w:rsid w:val="00362D74"/>
    <w:rsid w:val="003664E9"/>
    <w:rsid w:val="00366D1E"/>
    <w:rsid w:val="003703A5"/>
    <w:rsid w:val="0037112C"/>
    <w:rsid w:val="00373EE5"/>
    <w:rsid w:val="003817E7"/>
    <w:rsid w:val="00382E55"/>
    <w:rsid w:val="00390B55"/>
    <w:rsid w:val="003961B2"/>
    <w:rsid w:val="003A41AD"/>
    <w:rsid w:val="003B0C41"/>
    <w:rsid w:val="003B152B"/>
    <w:rsid w:val="003B1734"/>
    <w:rsid w:val="003B1735"/>
    <w:rsid w:val="003B2D2E"/>
    <w:rsid w:val="003B5EDD"/>
    <w:rsid w:val="003B6CBF"/>
    <w:rsid w:val="003C47A7"/>
    <w:rsid w:val="003D0826"/>
    <w:rsid w:val="003D0EBB"/>
    <w:rsid w:val="003D18FC"/>
    <w:rsid w:val="003D3C93"/>
    <w:rsid w:val="003D71BB"/>
    <w:rsid w:val="003D721D"/>
    <w:rsid w:val="003E00D5"/>
    <w:rsid w:val="003E02BA"/>
    <w:rsid w:val="003E4270"/>
    <w:rsid w:val="003F0578"/>
    <w:rsid w:val="003F7F38"/>
    <w:rsid w:val="00401325"/>
    <w:rsid w:val="004019AA"/>
    <w:rsid w:val="0040399B"/>
    <w:rsid w:val="00404EAE"/>
    <w:rsid w:val="00406F0C"/>
    <w:rsid w:val="004106DB"/>
    <w:rsid w:val="00410A9A"/>
    <w:rsid w:val="00411251"/>
    <w:rsid w:val="00412585"/>
    <w:rsid w:val="0041363B"/>
    <w:rsid w:val="00414FA8"/>
    <w:rsid w:val="00415D5D"/>
    <w:rsid w:val="0041643A"/>
    <w:rsid w:val="00420F8A"/>
    <w:rsid w:val="004232E9"/>
    <w:rsid w:val="0042650F"/>
    <w:rsid w:val="0042684F"/>
    <w:rsid w:val="00427D5D"/>
    <w:rsid w:val="00431E0B"/>
    <w:rsid w:val="004337FE"/>
    <w:rsid w:val="00433E98"/>
    <w:rsid w:val="00435738"/>
    <w:rsid w:val="00437137"/>
    <w:rsid w:val="004403B8"/>
    <w:rsid w:val="004410FC"/>
    <w:rsid w:val="00441ADA"/>
    <w:rsid w:val="004422CA"/>
    <w:rsid w:val="0044274C"/>
    <w:rsid w:val="0044371C"/>
    <w:rsid w:val="0044627E"/>
    <w:rsid w:val="0045114F"/>
    <w:rsid w:val="004529D3"/>
    <w:rsid w:val="00453F31"/>
    <w:rsid w:val="00456B0C"/>
    <w:rsid w:val="00460101"/>
    <w:rsid w:val="0046538B"/>
    <w:rsid w:val="00471C92"/>
    <w:rsid w:val="004739AC"/>
    <w:rsid w:val="00474489"/>
    <w:rsid w:val="00475FEF"/>
    <w:rsid w:val="0047680F"/>
    <w:rsid w:val="00476825"/>
    <w:rsid w:val="00477536"/>
    <w:rsid w:val="0047776F"/>
    <w:rsid w:val="00482D5B"/>
    <w:rsid w:val="004832E2"/>
    <w:rsid w:val="004870EA"/>
    <w:rsid w:val="004873EC"/>
    <w:rsid w:val="00487F13"/>
    <w:rsid w:val="0049595F"/>
    <w:rsid w:val="00496193"/>
    <w:rsid w:val="004A02AF"/>
    <w:rsid w:val="004A06FF"/>
    <w:rsid w:val="004A2D66"/>
    <w:rsid w:val="004A4449"/>
    <w:rsid w:val="004A679B"/>
    <w:rsid w:val="004C0FB4"/>
    <w:rsid w:val="004C1811"/>
    <w:rsid w:val="004C2944"/>
    <w:rsid w:val="004C4555"/>
    <w:rsid w:val="004D16D6"/>
    <w:rsid w:val="004D6CEA"/>
    <w:rsid w:val="004E0E02"/>
    <w:rsid w:val="004E3564"/>
    <w:rsid w:val="004E3D9F"/>
    <w:rsid w:val="004E51C0"/>
    <w:rsid w:val="004E64BE"/>
    <w:rsid w:val="004F05EE"/>
    <w:rsid w:val="004F1F9C"/>
    <w:rsid w:val="004F6293"/>
    <w:rsid w:val="00503B8D"/>
    <w:rsid w:val="00503EE3"/>
    <w:rsid w:val="00505811"/>
    <w:rsid w:val="0051261C"/>
    <w:rsid w:val="00515DE7"/>
    <w:rsid w:val="00517EB0"/>
    <w:rsid w:val="005205CB"/>
    <w:rsid w:val="00520B6A"/>
    <w:rsid w:val="0052430C"/>
    <w:rsid w:val="005348E4"/>
    <w:rsid w:val="00534D8F"/>
    <w:rsid w:val="005352F1"/>
    <w:rsid w:val="00535613"/>
    <w:rsid w:val="00540094"/>
    <w:rsid w:val="00545CFF"/>
    <w:rsid w:val="00547A9C"/>
    <w:rsid w:val="00555800"/>
    <w:rsid w:val="0055659A"/>
    <w:rsid w:val="00556DBB"/>
    <w:rsid w:val="00560781"/>
    <w:rsid w:val="0056268F"/>
    <w:rsid w:val="005662E9"/>
    <w:rsid w:val="005700F8"/>
    <w:rsid w:val="00572AAF"/>
    <w:rsid w:val="00572EF9"/>
    <w:rsid w:val="005801AE"/>
    <w:rsid w:val="00581313"/>
    <w:rsid w:val="00582868"/>
    <w:rsid w:val="00582ECC"/>
    <w:rsid w:val="0058399B"/>
    <w:rsid w:val="00584ED3"/>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E2367"/>
    <w:rsid w:val="005E34D2"/>
    <w:rsid w:val="005E5E90"/>
    <w:rsid w:val="005E654C"/>
    <w:rsid w:val="005F05F6"/>
    <w:rsid w:val="005F0D07"/>
    <w:rsid w:val="005F2799"/>
    <w:rsid w:val="00605734"/>
    <w:rsid w:val="00613D4C"/>
    <w:rsid w:val="0061488E"/>
    <w:rsid w:val="0061574B"/>
    <w:rsid w:val="00615C6C"/>
    <w:rsid w:val="00616406"/>
    <w:rsid w:val="00622670"/>
    <w:rsid w:val="00623328"/>
    <w:rsid w:val="00623A1A"/>
    <w:rsid w:val="00626E8D"/>
    <w:rsid w:val="0063156B"/>
    <w:rsid w:val="006326A9"/>
    <w:rsid w:val="00632DA8"/>
    <w:rsid w:val="00634C4B"/>
    <w:rsid w:val="00634E6E"/>
    <w:rsid w:val="0063651F"/>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4F2C"/>
    <w:rsid w:val="00675E85"/>
    <w:rsid w:val="0067750F"/>
    <w:rsid w:val="00681396"/>
    <w:rsid w:val="006816DA"/>
    <w:rsid w:val="0068171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727F"/>
    <w:rsid w:val="006C146E"/>
    <w:rsid w:val="006C1B57"/>
    <w:rsid w:val="006C6D3A"/>
    <w:rsid w:val="006C7B36"/>
    <w:rsid w:val="006C7B7F"/>
    <w:rsid w:val="006D19E8"/>
    <w:rsid w:val="006D7768"/>
    <w:rsid w:val="006E04B5"/>
    <w:rsid w:val="006E330C"/>
    <w:rsid w:val="006E3DD8"/>
    <w:rsid w:val="006E793F"/>
    <w:rsid w:val="006F0154"/>
    <w:rsid w:val="006F608D"/>
    <w:rsid w:val="006F7944"/>
    <w:rsid w:val="00700A8B"/>
    <w:rsid w:val="00704121"/>
    <w:rsid w:val="00705BB5"/>
    <w:rsid w:val="0071326F"/>
    <w:rsid w:val="007153D7"/>
    <w:rsid w:val="00717192"/>
    <w:rsid w:val="00720ED4"/>
    <w:rsid w:val="00722736"/>
    <w:rsid w:val="0074469E"/>
    <w:rsid w:val="0074488F"/>
    <w:rsid w:val="00745AA8"/>
    <w:rsid w:val="007503E0"/>
    <w:rsid w:val="007510EC"/>
    <w:rsid w:val="0075233C"/>
    <w:rsid w:val="0075256A"/>
    <w:rsid w:val="00752DCD"/>
    <w:rsid w:val="007569DE"/>
    <w:rsid w:val="0075723C"/>
    <w:rsid w:val="0076146A"/>
    <w:rsid w:val="0076350E"/>
    <w:rsid w:val="00763F36"/>
    <w:rsid w:val="00775BDF"/>
    <w:rsid w:val="0077614D"/>
    <w:rsid w:val="00782C8F"/>
    <w:rsid w:val="00785F78"/>
    <w:rsid w:val="0078659D"/>
    <w:rsid w:val="007869EC"/>
    <w:rsid w:val="00791ED8"/>
    <w:rsid w:val="007A1E58"/>
    <w:rsid w:val="007A5C7E"/>
    <w:rsid w:val="007A63F9"/>
    <w:rsid w:val="007A69A9"/>
    <w:rsid w:val="007A6E2F"/>
    <w:rsid w:val="007B0DF2"/>
    <w:rsid w:val="007B1081"/>
    <w:rsid w:val="007B3BC5"/>
    <w:rsid w:val="007B6F8D"/>
    <w:rsid w:val="007C1832"/>
    <w:rsid w:val="007D03DF"/>
    <w:rsid w:val="007D4953"/>
    <w:rsid w:val="007D4AD6"/>
    <w:rsid w:val="007D50F4"/>
    <w:rsid w:val="007D7173"/>
    <w:rsid w:val="007E1216"/>
    <w:rsid w:val="007E32D6"/>
    <w:rsid w:val="007E4CD4"/>
    <w:rsid w:val="007E530C"/>
    <w:rsid w:val="007F0E8E"/>
    <w:rsid w:val="007F1051"/>
    <w:rsid w:val="007F2149"/>
    <w:rsid w:val="007F4E00"/>
    <w:rsid w:val="00803CF2"/>
    <w:rsid w:val="008048CF"/>
    <w:rsid w:val="008062CB"/>
    <w:rsid w:val="008079DD"/>
    <w:rsid w:val="0081130F"/>
    <w:rsid w:val="00813095"/>
    <w:rsid w:val="008145AD"/>
    <w:rsid w:val="008146B2"/>
    <w:rsid w:val="00816E3B"/>
    <w:rsid w:val="00824430"/>
    <w:rsid w:val="00825B1F"/>
    <w:rsid w:val="00827D55"/>
    <w:rsid w:val="00832C84"/>
    <w:rsid w:val="00840EDD"/>
    <w:rsid w:val="0084255F"/>
    <w:rsid w:val="00846FB1"/>
    <w:rsid w:val="00854FB3"/>
    <w:rsid w:val="00857FCA"/>
    <w:rsid w:val="00860F13"/>
    <w:rsid w:val="0086199C"/>
    <w:rsid w:val="00861F8B"/>
    <w:rsid w:val="0086561F"/>
    <w:rsid w:val="00865A7A"/>
    <w:rsid w:val="00865FE1"/>
    <w:rsid w:val="0087069B"/>
    <w:rsid w:val="00874542"/>
    <w:rsid w:val="008748C7"/>
    <w:rsid w:val="0087521A"/>
    <w:rsid w:val="008808C0"/>
    <w:rsid w:val="00882255"/>
    <w:rsid w:val="00890BDE"/>
    <w:rsid w:val="00892AD3"/>
    <w:rsid w:val="00894155"/>
    <w:rsid w:val="008962E7"/>
    <w:rsid w:val="008A09E0"/>
    <w:rsid w:val="008A1118"/>
    <w:rsid w:val="008A281F"/>
    <w:rsid w:val="008A48D2"/>
    <w:rsid w:val="008A4AF6"/>
    <w:rsid w:val="008A4C99"/>
    <w:rsid w:val="008A4FF8"/>
    <w:rsid w:val="008A5ED1"/>
    <w:rsid w:val="008A73CE"/>
    <w:rsid w:val="008A7FD1"/>
    <w:rsid w:val="008B042E"/>
    <w:rsid w:val="008B211E"/>
    <w:rsid w:val="008B6D48"/>
    <w:rsid w:val="008C7660"/>
    <w:rsid w:val="008C79A7"/>
    <w:rsid w:val="008D5521"/>
    <w:rsid w:val="008D555F"/>
    <w:rsid w:val="008D625D"/>
    <w:rsid w:val="008D650E"/>
    <w:rsid w:val="008D6F9F"/>
    <w:rsid w:val="008E673E"/>
    <w:rsid w:val="008E67D1"/>
    <w:rsid w:val="008E6A41"/>
    <w:rsid w:val="008E6FC1"/>
    <w:rsid w:val="008F15D5"/>
    <w:rsid w:val="008F20EA"/>
    <w:rsid w:val="008F2488"/>
    <w:rsid w:val="008F6F51"/>
    <w:rsid w:val="008F79C4"/>
    <w:rsid w:val="00903990"/>
    <w:rsid w:val="009042A8"/>
    <w:rsid w:val="00904950"/>
    <w:rsid w:val="0091442E"/>
    <w:rsid w:val="00915E5E"/>
    <w:rsid w:val="009166B8"/>
    <w:rsid w:val="00916FA5"/>
    <w:rsid w:val="00917915"/>
    <w:rsid w:val="00920336"/>
    <w:rsid w:val="00920684"/>
    <w:rsid w:val="009216E6"/>
    <w:rsid w:val="009224EC"/>
    <w:rsid w:val="00922DB7"/>
    <w:rsid w:val="0092684A"/>
    <w:rsid w:val="00927654"/>
    <w:rsid w:val="00937FAB"/>
    <w:rsid w:val="0094094D"/>
    <w:rsid w:val="00942AB8"/>
    <w:rsid w:val="0094548C"/>
    <w:rsid w:val="00945CAF"/>
    <w:rsid w:val="00946AC9"/>
    <w:rsid w:val="00947448"/>
    <w:rsid w:val="00952B38"/>
    <w:rsid w:val="00952C99"/>
    <w:rsid w:val="00961025"/>
    <w:rsid w:val="009619EB"/>
    <w:rsid w:val="00965333"/>
    <w:rsid w:val="009712EF"/>
    <w:rsid w:val="009727BF"/>
    <w:rsid w:val="00973321"/>
    <w:rsid w:val="00975C2E"/>
    <w:rsid w:val="009770EB"/>
    <w:rsid w:val="00977270"/>
    <w:rsid w:val="009824F2"/>
    <w:rsid w:val="00983080"/>
    <w:rsid w:val="00986AA3"/>
    <w:rsid w:val="00986C17"/>
    <w:rsid w:val="00987E18"/>
    <w:rsid w:val="0099361A"/>
    <w:rsid w:val="00993B24"/>
    <w:rsid w:val="0099611F"/>
    <w:rsid w:val="009A083F"/>
    <w:rsid w:val="009A135C"/>
    <w:rsid w:val="009A4C54"/>
    <w:rsid w:val="009A67E7"/>
    <w:rsid w:val="009B0FC1"/>
    <w:rsid w:val="009B45A8"/>
    <w:rsid w:val="009B4D90"/>
    <w:rsid w:val="009B5F91"/>
    <w:rsid w:val="009B6DD3"/>
    <w:rsid w:val="009C603A"/>
    <w:rsid w:val="009C74CD"/>
    <w:rsid w:val="009D048F"/>
    <w:rsid w:val="009D162F"/>
    <w:rsid w:val="009D23FF"/>
    <w:rsid w:val="009D401F"/>
    <w:rsid w:val="009D5B42"/>
    <w:rsid w:val="009D68FA"/>
    <w:rsid w:val="009D6C90"/>
    <w:rsid w:val="009E1E4F"/>
    <w:rsid w:val="009E32CF"/>
    <w:rsid w:val="009E3C43"/>
    <w:rsid w:val="009E4261"/>
    <w:rsid w:val="009E4FC2"/>
    <w:rsid w:val="009F44AE"/>
    <w:rsid w:val="009F59B9"/>
    <w:rsid w:val="009F6556"/>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71ABD"/>
    <w:rsid w:val="00A72703"/>
    <w:rsid w:val="00A727F6"/>
    <w:rsid w:val="00A72E71"/>
    <w:rsid w:val="00A76432"/>
    <w:rsid w:val="00A770C0"/>
    <w:rsid w:val="00A84FC6"/>
    <w:rsid w:val="00A8528E"/>
    <w:rsid w:val="00A90BD9"/>
    <w:rsid w:val="00A9101B"/>
    <w:rsid w:val="00A94A49"/>
    <w:rsid w:val="00A95C5E"/>
    <w:rsid w:val="00AA1815"/>
    <w:rsid w:val="00AA1D3E"/>
    <w:rsid w:val="00AA20E7"/>
    <w:rsid w:val="00AA39F9"/>
    <w:rsid w:val="00AA79D3"/>
    <w:rsid w:val="00AB0931"/>
    <w:rsid w:val="00AB2B36"/>
    <w:rsid w:val="00AB4DC4"/>
    <w:rsid w:val="00AB5C9B"/>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B0375C"/>
    <w:rsid w:val="00B052CB"/>
    <w:rsid w:val="00B156C3"/>
    <w:rsid w:val="00B15F67"/>
    <w:rsid w:val="00B1624F"/>
    <w:rsid w:val="00B20F5D"/>
    <w:rsid w:val="00B21184"/>
    <w:rsid w:val="00B224C5"/>
    <w:rsid w:val="00B325CD"/>
    <w:rsid w:val="00B36C0F"/>
    <w:rsid w:val="00B37793"/>
    <w:rsid w:val="00B37F61"/>
    <w:rsid w:val="00B41203"/>
    <w:rsid w:val="00B43940"/>
    <w:rsid w:val="00B4448C"/>
    <w:rsid w:val="00B4561E"/>
    <w:rsid w:val="00B4768D"/>
    <w:rsid w:val="00B518E5"/>
    <w:rsid w:val="00B51E1F"/>
    <w:rsid w:val="00B52601"/>
    <w:rsid w:val="00B57032"/>
    <w:rsid w:val="00B5774F"/>
    <w:rsid w:val="00B60222"/>
    <w:rsid w:val="00B62CFB"/>
    <w:rsid w:val="00B662F5"/>
    <w:rsid w:val="00B7000C"/>
    <w:rsid w:val="00B74F38"/>
    <w:rsid w:val="00B760D5"/>
    <w:rsid w:val="00B77495"/>
    <w:rsid w:val="00B83B2C"/>
    <w:rsid w:val="00B92049"/>
    <w:rsid w:val="00B94740"/>
    <w:rsid w:val="00B95002"/>
    <w:rsid w:val="00B97F75"/>
    <w:rsid w:val="00BA0A4F"/>
    <w:rsid w:val="00BA1CAE"/>
    <w:rsid w:val="00BA33BB"/>
    <w:rsid w:val="00BA4830"/>
    <w:rsid w:val="00BA59A2"/>
    <w:rsid w:val="00BA60B8"/>
    <w:rsid w:val="00BA6E22"/>
    <w:rsid w:val="00BB1460"/>
    <w:rsid w:val="00BB362C"/>
    <w:rsid w:val="00BB5942"/>
    <w:rsid w:val="00BC0A03"/>
    <w:rsid w:val="00BC4A42"/>
    <w:rsid w:val="00BC5BB4"/>
    <w:rsid w:val="00BD2ED8"/>
    <w:rsid w:val="00BD3F8D"/>
    <w:rsid w:val="00BD4139"/>
    <w:rsid w:val="00BE059A"/>
    <w:rsid w:val="00BE1981"/>
    <w:rsid w:val="00BE2DA6"/>
    <w:rsid w:val="00BE2E86"/>
    <w:rsid w:val="00BE320B"/>
    <w:rsid w:val="00BE56E9"/>
    <w:rsid w:val="00BE63CF"/>
    <w:rsid w:val="00BE6D96"/>
    <w:rsid w:val="00BE7014"/>
    <w:rsid w:val="00BE7991"/>
    <w:rsid w:val="00BF25C7"/>
    <w:rsid w:val="00C009B7"/>
    <w:rsid w:val="00C025B7"/>
    <w:rsid w:val="00C02B8F"/>
    <w:rsid w:val="00C04E32"/>
    <w:rsid w:val="00C116B1"/>
    <w:rsid w:val="00C15A3F"/>
    <w:rsid w:val="00C20630"/>
    <w:rsid w:val="00C224A4"/>
    <w:rsid w:val="00C22F7A"/>
    <w:rsid w:val="00C2666F"/>
    <w:rsid w:val="00C32020"/>
    <w:rsid w:val="00C32D02"/>
    <w:rsid w:val="00C335CD"/>
    <w:rsid w:val="00C3408C"/>
    <w:rsid w:val="00C3484D"/>
    <w:rsid w:val="00C351CC"/>
    <w:rsid w:val="00C35435"/>
    <w:rsid w:val="00C432FD"/>
    <w:rsid w:val="00C43CDF"/>
    <w:rsid w:val="00C4608E"/>
    <w:rsid w:val="00C512B2"/>
    <w:rsid w:val="00C53B5D"/>
    <w:rsid w:val="00C54279"/>
    <w:rsid w:val="00C570A7"/>
    <w:rsid w:val="00C571FB"/>
    <w:rsid w:val="00C57381"/>
    <w:rsid w:val="00C57EA2"/>
    <w:rsid w:val="00C61D56"/>
    <w:rsid w:val="00C62B69"/>
    <w:rsid w:val="00C644B7"/>
    <w:rsid w:val="00C64564"/>
    <w:rsid w:val="00C64870"/>
    <w:rsid w:val="00C66D6F"/>
    <w:rsid w:val="00C71377"/>
    <w:rsid w:val="00C73C87"/>
    <w:rsid w:val="00C74B6F"/>
    <w:rsid w:val="00C74E5E"/>
    <w:rsid w:val="00C87EF3"/>
    <w:rsid w:val="00C9015F"/>
    <w:rsid w:val="00C912F9"/>
    <w:rsid w:val="00C91B22"/>
    <w:rsid w:val="00C9241B"/>
    <w:rsid w:val="00C9370B"/>
    <w:rsid w:val="00C93FD1"/>
    <w:rsid w:val="00C96DDF"/>
    <w:rsid w:val="00C97569"/>
    <w:rsid w:val="00CA199D"/>
    <w:rsid w:val="00CA4D9C"/>
    <w:rsid w:val="00CB05A7"/>
    <w:rsid w:val="00CB06A4"/>
    <w:rsid w:val="00CB22FF"/>
    <w:rsid w:val="00CB325B"/>
    <w:rsid w:val="00CB3899"/>
    <w:rsid w:val="00CB3EFF"/>
    <w:rsid w:val="00CB4F04"/>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4617"/>
    <w:rsid w:val="00CD6D6E"/>
    <w:rsid w:val="00CD6F23"/>
    <w:rsid w:val="00CF640B"/>
    <w:rsid w:val="00CF6B5A"/>
    <w:rsid w:val="00D027AF"/>
    <w:rsid w:val="00D0323E"/>
    <w:rsid w:val="00D06652"/>
    <w:rsid w:val="00D07FA6"/>
    <w:rsid w:val="00D16ADF"/>
    <w:rsid w:val="00D17C53"/>
    <w:rsid w:val="00D17D57"/>
    <w:rsid w:val="00D2341D"/>
    <w:rsid w:val="00D252DA"/>
    <w:rsid w:val="00D25E0E"/>
    <w:rsid w:val="00D302EB"/>
    <w:rsid w:val="00D31679"/>
    <w:rsid w:val="00D320C8"/>
    <w:rsid w:val="00D330B6"/>
    <w:rsid w:val="00D3672F"/>
    <w:rsid w:val="00D40ABA"/>
    <w:rsid w:val="00D40FE2"/>
    <w:rsid w:val="00D440FA"/>
    <w:rsid w:val="00D44BCF"/>
    <w:rsid w:val="00D46E73"/>
    <w:rsid w:val="00D50FCF"/>
    <w:rsid w:val="00D5548D"/>
    <w:rsid w:val="00D56572"/>
    <w:rsid w:val="00D60F81"/>
    <w:rsid w:val="00D63951"/>
    <w:rsid w:val="00D63BF2"/>
    <w:rsid w:val="00D67348"/>
    <w:rsid w:val="00D70A26"/>
    <w:rsid w:val="00D73BB4"/>
    <w:rsid w:val="00D75FEC"/>
    <w:rsid w:val="00D76B98"/>
    <w:rsid w:val="00D76C95"/>
    <w:rsid w:val="00D82E63"/>
    <w:rsid w:val="00D835A0"/>
    <w:rsid w:val="00D84DC7"/>
    <w:rsid w:val="00D86905"/>
    <w:rsid w:val="00D86F2C"/>
    <w:rsid w:val="00D94301"/>
    <w:rsid w:val="00D96248"/>
    <w:rsid w:val="00DA0680"/>
    <w:rsid w:val="00DA36F6"/>
    <w:rsid w:val="00DA48F0"/>
    <w:rsid w:val="00DB0C8D"/>
    <w:rsid w:val="00DB6AF2"/>
    <w:rsid w:val="00DC1599"/>
    <w:rsid w:val="00DC1611"/>
    <w:rsid w:val="00DD3C53"/>
    <w:rsid w:val="00DD6B73"/>
    <w:rsid w:val="00DE7110"/>
    <w:rsid w:val="00DE745D"/>
    <w:rsid w:val="00DF0774"/>
    <w:rsid w:val="00DF1036"/>
    <w:rsid w:val="00DF4644"/>
    <w:rsid w:val="00DF68F6"/>
    <w:rsid w:val="00DF7A83"/>
    <w:rsid w:val="00E012B4"/>
    <w:rsid w:val="00E05451"/>
    <w:rsid w:val="00E05651"/>
    <w:rsid w:val="00E100F6"/>
    <w:rsid w:val="00E11BA5"/>
    <w:rsid w:val="00E17CBD"/>
    <w:rsid w:val="00E20425"/>
    <w:rsid w:val="00E21768"/>
    <w:rsid w:val="00E25DCB"/>
    <w:rsid w:val="00E2613B"/>
    <w:rsid w:val="00E313DF"/>
    <w:rsid w:val="00E330E0"/>
    <w:rsid w:val="00E36C70"/>
    <w:rsid w:val="00E4156E"/>
    <w:rsid w:val="00E44D61"/>
    <w:rsid w:val="00E453F2"/>
    <w:rsid w:val="00E460AD"/>
    <w:rsid w:val="00E61925"/>
    <w:rsid w:val="00E6363B"/>
    <w:rsid w:val="00E65C0E"/>
    <w:rsid w:val="00E65FB9"/>
    <w:rsid w:val="00E6712A"/>
    <w:rsid w:val="00E730FC"/>
    <w:rsid w:val="00E746F0"/>
    <w:rsid w:val="00E809B9"/>
    <w:rsid w:val="00E82A15"/>
    <w:rsid w:val="00E85445"/>
    <w:rsid w:val="00E87589"/>
    <w:rsid w:val="00E938FF"/>
    <w:rsid w:val="00E93DFE"/>
    <w:rsid w:val="00EA2124"/>
    <w:rsid w:val="00EA2B12"/>
    <w:rsid w:val="00EA34DC"/>
    <w:rsid w:val="00EA456C"/>
    <w:rsid w:val="00EA5017"/>
    <w:rsid w:val="00EA6BED"/>
    <w:rsid w:val="00EB14F0"/>
    <w:rsid w:val="00EB2A8B"/>
    <w:rsid w:val="00EB3844"/>
    <w:rsid w:val="00EB5A9F"/>
    <w:rsid w:val="00EC03DA"/>
    <w:rsid w:val="00EC573F"/>
    <w:rsid w:val="00EC5C8D"/>
    <w:rsid w:val="00ED106C"/>
    <w:rsid w:val="00ED2174"/>
    <w:rsid w:val="00ED2D34"/>
    <w:rsid w:val="00ED4805"/>
    <w:rsid w:val="00ED57F6"/>
    <w:rsid w:val="00ED6C51"/>
    <w:rsid w:val="00ED6DA1"/>
    <w:rsid w:val="00EF0AF8"/>
    <w:rsid w:val="00EF207D"/>
    <w:rsid w:val="00EF4258"/>
    <w:rsid w:val="00EF5CD7"/>
    <w:rsid w:val="00EF6D31"/>
    <w:rsid w:val="00EF752A"/>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50189"/>
    <w:rsid w:val="00F508FC"/>
    <w:rsid w:val="00F510B7"/>
    <w:rsid w:val="00F53571"/>
    <w:rsid w:val="00F54044"/>
    <w:rsid w:val="00F576E7"/>
    <w:rsid w:val="00F633B8"/>
    <w:rsid w:val="00F73D1C"/>
    <w:rsid w:val="00F75391"/>
    <w:rsid w:val="00F763FC"/>
    <w:rsid w:val="00F76B4A"/>
    <w:rsid w:val="00F772C1"/>
    <w:rsid w:val="00F776FC"/>
    <w:rsid w:val="00F8026D"/>
    <w:rsid w:val="00F8245F"/>
    <w:rsid w:val="00F82E40"/>
    <w:rsid w:val="00F91629"/>
    <w:rsid w:val="00F91E2A"/>
    <w:rsid w:val="00F96C39"/>
    <w:rsid w:val="00F96E41"/>
    <w:rsid w:val="00FA153F"/>
    <w:rsid w:val="00FA1D78"/>
    <w:rsid w:val="00FA1F7E"/>
    <w:rsid w:val="00FA280F"/>
    <w:rsid w:val="00FA5289"/>
    <w:rsid w:val="00FA6213"/>
    <w:rsid w:val="00FB2186"/>
    <w:rsid w:val="00FB7E03"/>
    <w:rsid w:val="00FC0BEA"/>
    <w:rsid w:val="00FC65A7"/>
    <w:rsid w:val="00FD0133"/>
    <w:rsid w:val="00FD25FE"/>
    <w:rsid w:val="00FD5DEF"/>
    <w:rsid w:val="00FD6206"/>
    <w:rsid w:val="00FE1318"/>
    <w:rsid w:val="00FE208F"/>
    <w:rsid w:val="00FE54CD"/>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4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link w:val="citationCar"/>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basedOn w:val="Policepardfaut"/>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itationenretraitCar">
    <w:name w:val="Citation en retrait Car"/>
    <w:basedOn w:val="Policepardfaut"/>
    <w:link w:val="Citationenretrait"/>
    <w:rsid w:val="00DB6AF2"/>
    <w:rPr>
      <w:rFonts w:ascii="Arial" w:hAnsi="Arial"/>
      <w:kern w:val="24"/>
      <w:sz w:val="22"/>
      <w:lang w:val="fr-CA" w:eastAsia="fr-FR" w:bidi="ar-SA"/>
    </w:rPr>
  </w:style>
  <w:style w:type="character" w:customStyle="1" w:styleId="CitationendoubleretraitCar">
    <w:name w:val="Citation en double retrait Car"/>
    <w:basedOn w:val="Citationenretrait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7F1051"/>
    <w:rPr>
      <w:rFonts w:ascii="Arial" w:hAnsi="Arial"/>
      <w:sz w:val="24"/>
    </w:rPr>
  </w:style>
  <w:style w:type="character" w:customStyle="1" w:styleId="citationCar">
    <w:name w:val="citation Car"/>
    <w:link w:val="citation"/>
    <w:locked/>
    <w:rsid w:val="00D84D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D9B5-412C-4FE4-9D73-764E839E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6084</Words>
  <Characters>33466</Characters>
  <Application>Microsoft Office Word</Application>
  <DocSecurity>0</DocSecurity>
  <Lines>278</Lines>
  <Paragraphs>78</Paragraphs>
  <ScaleCrop>false</ScaleCrop>
  <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2023-12-11T13:48:00Z</dcterms:created>
  <dcterms:modified xsi:type="dcterms:W3CDTF">2023-12-11T13:48:00Z</dcterms:modified>
</cp:coreProperties>
</file>