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90" w:type="dxa"/>
        <w:tblLayout w:type="fixed"/>
        <w:tblCellMar>
          <w:left w:w="70" w:type="dxa"/>
          <w:right w:w="70" w:type="dxa"/>
        </w:tblCellMar>
        <w:tblLook w:val="0000" w:firstRow="0" w:lastRow="0" w:firstColumn="0" w:lastColumn="0" w:noHBand="0" w:noVBand="0"/>
      </w:tblPr>
      <w:tblGrid>
        <w:gridCol w:w="6323"/>
        <w:gridCol w:w="3267"/>
      </w:tblGrid>
      <w:tr w:rsidR="008A7FD1" w:rsidRPr="008A7FD1" w14:paraId="130DE4AD" w14:textId="77777777">
        <w:trPr>
          <w:cantSplit/>
        </w:trPr>
        <w:tc>
          <w:tcPr>
            <w:tcW w:w="4795" w:type="dxa"/>
          </w:tcPr>
          <w:p w14:paraId="1EA4BFE1" w14:textId="63949D93" w:rsidR="008A7FD1" w:rsidRPr="003B3174" w:rsidRDefault="003B3174" w:rsidP="003B3174">
            <w:pPr>
              <w:pStyle w:val="zSoquijdatRepertorie"/>
              <w:rPr>
                <w:rFonts w:cs="Arial"/>
              </w:rPr>
            </w:pPr>
            <w:bookmarkStart w:id="0" w:name="_GoBack"/>
            <w:bookmarkEnd w:id="0"/>
            <w:r>
              <w:rPr>
                <w:rFonts w:cs="Arial"/>
              </w:rPr>
              <w:t>Teoli et 9207-4087 Québec inc.</w:t>
            </w:r>
          </w:p>
        </w:tc>
        <w:tc>
          <w:tcPr>
            <w:tcW w:w="2477" w:type="dxa"/>
          </w:tcPr>
          <w:p w14:paraId="3161E152" w14:textId="4A2A8AEB" w:rsidR="008A7FD1" w:rsidRPr="000414A9" w:rsidRDefault="000414A9" w:rsidP="000414A9">
            <w:pPr>
              <w:pStyle w:val="zSoquijdatRefNeutre"/>
              <w:rPr>
                <w:rFonts w:cs="Arial"/>
              </w:rPr>
            </w:pPr>
            <w:r w:rsidRPr="000414A9">
              <w:rPr>
                <w:rFonts w:cs="Arial"/>
              </w:rPr>
              <w:t>2025 QCTAT 1283</w:t>
            </w:r>
          </w:p>
        </w:tc>
      </w:tr>
    </w:tbl>
    <w:p w14:paraId="170A8B2E" w14:textId="77777777" w:rsidR="008A7FD1" w:rsidRDefault="008A7FD1"/>
    <w:tbl>
      <w:tblPr>
        <w:tblW w:w="9568" w:type="dxa"/>
        <w:tblLayout w:type="fixed"/>
        <w:tblCellMar>
          <w:left w:w="70" w:type="dxa"/>
          <w:right w:w="70" w:type="dxa"/>
        </w:tblCellMar>
        <w:tblLook w:val="0000" w:firstRow="0" w:lastRow="0" w:firstColumn="0" w:lastColumn="0" w:noHBand="0" w:noVBand="0"/>
      </w:tblPr>
      <w:tblGrid>
        <w:gridCol w:w="3331"/>
        <w:gridCol w:w="1559"/>
        <w:gridCol w:w="993"/>
        <w:gridCol w:w="3685"/>
      </w:tblGrid>
      <w:tr w:rsidR="00C74B6F" w14:paraId="6FBC51B1" w14:textId="77777777" w:rsidTr="00036794">
        <w:trPr>
          <w:cantSplit/>
        </w:trPr>
        <w:tc>
          <w:tcPr>
            <w:tcW w:w="9568" w:type="dxa"/>
            <w:gridSpan w:val="4"/>
          </w:tcPr>
          <w:p w14:paraId="0A8A1E62" w14:textId="77777777" w:rsidR="00C74B6F" w:rsidRPr="00BE1981" w:rsidRDefault="00C74B6F">
            <w:pPr>
              <w:rPr>
                <w:szCs w:val="24"/>
              </w:rPr>
            </w:pPr>
          </w:p>
        </w:tc>
      </w:tr>
      <w:tr w:rsidR="00C74B6F" w14:paraId="062B4315" w14:textId="77777777" w:rsidTr="00036794">
        <w:trPr>
          <w:cantSplit/>
        </w:trPr>
        <w:tc>
          <w:tcPr>
            <w:tcW w:w="9568" w:type="dxa"/>
            <w:gridSpan w:val="4"/>
            <w:vAlign w:val="center"/>
          </w:tcPr>
          <w:p w14:paraId="2696E711" w14:textId="77777777" w:rsidR="00C74B6F" w:rsidRPr="000E1320" w:rsidRDefault="000E1320">
            <w:pPr>
              <w:jc w:val="center"/>
              <w:rPr>
                <w:sz w:val="36"/>
                <w:szCs w:val="36"/>
              </w:rPr>
            </w:pPr>
            <w:r w:rsidRPr="000E1320">
              <w:rPr>
                <w:b/>
                <w:sz w:val="36"/>
                <w:szCs w:val="36"/>
              </w:rPr>
              <w:t>TRIBUNAL ADMINISTRATIF DU TRAVAIL</w:t>
            </w:r>
          </w:p>
        </w:tc>
      </w:tr>
      <w:tr w:rsidR="00C74B6F" w14:paraId="0F7A2D5B" w14:textId="77777777" w:rsidTr="00036794">
        <w:trPr>
          <w:cantSplit/>
        </w:trPr>
        <w:tc>
          <w:tcPr>
            <w:tcW w:w="9568" w:type="dxa"/>
            <w:gridSpan w:val="4"/>
          </w:tcPr>
          <w:p w14:paraId="44B9302E" w14:textId="1F3E2D67" w:rsidR="00C74B6F" w:rsidRPr="00BE7014" w:rsidRDefault="006F0154" w:rsidP="009A67E7">
            <w:pPr>
              <w:pStyle w:val="zSoquijdatDivision"/>
            </w:pPr>
            <w:r w:rsidRPr="00BE7014">
              <w:t>(</w:t>
            </w:r>
            <w:r w:rsidR="00B12A80" w:rsidRPr="00441ADA">
              <w:t>Division de la santé et de la sécurité du travail</w:t>
            </w:r>
            <w:r w:rsidRPr="00BE7014">
              <w:t>)</w:t>
            </w:r>
          </w:p>
        </w:tc>
      </w:tr>
      <w:tr w:rsidR="00C74B6F" w14:paraId="48ED9454" w14:textId="77777777" w:rsidTr="00036794">
        <w:trPr>
          <w:cantSplit/>
        </w:trPr>
        <w:tc>
          <w:tcPr>
            <w:tcW w:w="9568" w:type="dxa"/>
            <w:gridSpan w:val="4"/>
          </w:tcPr>
          <w:p w14:paraId="5D2AAAF6" w14:textId="77777777" w:rsidR="002B2FC3" w:rsidRDefault="002B2FC3" w:rsidP="002B2FC3"/>
        </w:tc>
      </w:tr>
      <w:tr w:rsidR="00A84FC6" w14:paraId="51E194E8" w14:textId="77777777" w:rsidTr="00036794">
        <w:trPr>
          <w:cantSplit/>
        </w:trPr>
        <w:tc>
          <w:tcPr>
            <w:tcW w:w="9568" w:type="dxa"/>
            <w:gridSpan w:val="4"/>
          </w:tcPr>
          <w:p w14:paraId="5D60491C" w14:textId="77777777" w:rsidR="00A84FC6" w:rsidRDefault="00A84FC6" w:rsidP="002B2FC3"/>
        </w:tc>
      </w:tr>
      <w:tr w:rsidR="00C74B6F" w14:paraId="7DD8B333" w14:textId="77777777" w:rsidTr="00036794">
        <w:tc>
          <w:tcPr>
            <w:tcW w:w="3331" w:type="dxa"/>
          </w:tcPr>
          <w:p w14:paraId="561A6B09" w14:textId="77777777" w:rsidR="00C74B6F" w:rsidRDefault="0084255F">
            <w:bookmarkStart w:id="1" w:name="region" w:colFirst="1" w:colLast="1"/>
            <w:r>
              <w:t>Région :</w:t>
            </w:r>
          </w:p>
        </w:tc>
        <w:tc>
          <w:tcPr>
            <w:tcW w:w="6237" w:type="dxa"/>
            <w:gridSpan w:val="3"/>
          </w:tcPr>
          <w:p w14:paraId="4E89218B" w14:textId="238C3138" w:rsidR="00C74B6F" w:rsidRDefault="00B12A80" w:rsidP="00F4095A">
            <w:pPr>
              <w:pStyle w:val="zSoquijdatGreffe"/>
            </w:pPr>
            <w:r>
              <w:t>Montérégie</w:t>
            </w:r>
          </w:p>
        </w:tc>
      </w:tr>
      <w:bookmarkEnd w:id="1"/>
      <w:tr w:rsidR="00C74B6F" w14:paraId="597CFFFE" w14:textId="77777777" w:rsidTr="00036794">
        <w:trPr>
          <w:cantSplit/>
        </w:trPr>
        <w:tc>
          <w:tcPr>
            <w:tcW w:w="9568" w:type="dxa"/>
            <w:gridSpan w:val="4"/>
          </w:tcPr>
          <w:p w14:paraId="7D5FA655" w14:textId="77777777" w:rsidR="00C74B6F" w:rsidRDefault="00C74B6F"/>
        </w:tc>
      </w:tr>
      <w:tr w:rsidR="00C74B6F" w14:paraId="6ABDE6E4" w14:textId="77777777" w:rsidTr="00036794">
        <w:tc>
          <w:tcPr>
            <w:tcW w:w="3331" w:type="dxa"/>
          </w:tcPr>
          <w:p w14:paraId="2B758984" w14:textId="1FB1F5DE" w:rsidR="00C74B6F" w:rsidRDefault="0084255F">
            <w:bookmarkStart w:id="2" w:name="ref_dossier" w:colFirst="1" w:colLast="1"/>
            <w:r>
              <w:t>Dossier</w:t>
            </w:r>
            <w:bookmarkStart w:id="3" w:name="dossiers"/>
            <w:bookmarkEnd w:id="3"/>
            <w:r>
              <w:t> :</w:t>
            </w:r>
          </w:p>
        </w:tc>
        <w:tc>
          <w:tcPr>
            <w:tcW w:w="6237" w:type="dxa"/>
            <w:gridSpan w:val="3"/>
          </w:tcPr>
          <w:p w14:paraId="5729696A" w14:textId="3643035A" w:rsidR="00C74B6F" w:rsidRDefault="00B12A80" w:rsidP="00F4095A">
            <w:pPr>
              <w:pStyle w:val="zSoquijdatNoDossier"/>
            </w:pPr>
            <w:r w:rsidRPr="00B12A80">
              <w:t>1345881</w:t>
            </w:r>
            <w:r>
              <w:t>-</w:t>
            </w:r>
            <w:r w:rsidRPr="00B12A80">
              <w:t>62</w:t>
            </w:r>
            <w:r>
              <w:t>-</w:t>
            </w:r>
            <w:r w:rsidRPr="00B12A80">
              <w:t>2311</w:t>
            </w:r>
          </w:p>
        </w:tc>
      </w:tr>
      <w:bookmarkEnd w:id="2"/>
      <w:tr w:rsidR="00C74B6F" w14:paraId="130ACCAA" w14:textId="77777777" w:rsidTr="00036794">
        <w:trPr>
          <w:cantSplit/>
        </w:trPr>
        <w:tc>
          <w:tcPr>
            <w:tcW w:w="9568" w:type="dxa"/>
            <w:gridSpan w:val="4"/>
          </w:tcPr>
          <w:p w14:paraId="124F9B70" w14:textId="77777777" w:rsidR="00C74B6F" w:rsidRDefault="00D44BCF">
            <w:r>
              <w:fldChar w:fldCharType="begin"/>
            </w:r>
            <w:r>
              <w:instrText xml:space="preserve"> AUTOTEXTLIST  \* Upper  \* MERGEFORMAT </w:instrText>
            </w:r>
            <w:r>
              <w:fldChar w:fldCharType="end"/>
            </w:r>
          </w:p>
        </w:tc>
      </w:tr>
      <w:tr w:rsidR="00C74B6F" w14:paraId="51B0477A" w14:textId="77777777" w:rsidTr="00036794">
        <w:tc>
          <w:tcPr>
            <w:tcW w:w="3331" w:type="dxa"/>
          </w:tcPr>
          <w:p w14:paraId="205A5958" w14:textId="08AFA9BE" w:rsidR="00C74B6F" w:rsidRDefault="008C79A7" w:rsidP="0045114F">
            <w:pPr>
              <w:ind w:right="46"/>
            </w:pPr>
            <w:r>
              <w:t xml:space="preserve">Dossier </w:t>
            </w:r>
            <w:r w:rsidR="00B12A80">
              <w:rPr>
                <w:szCs w:val="24"/>
              </w:rPr>
              <w:t>CNESST</w:t>
            </w:r>
            <w:r w:rsidRPr="008C79A7">
              <w:rPr>
                <w:szCs w:val="24"/>
              </w:rPr>
              <w:t xml:space="preserve"> :</w:t>
            </w:r>
          </w:p>
        </w:tc>
        <w:tc>
          <w:tcPr>
            <w:tcW w:w="6237" w:type="dxa"/>
            <w:gridSpan w:val="3"/>
          </w:tcPr>
          <w:p w14:paraId="452258AA" w14:textId="121EF3CB" w:rsidR="00C74B6F" w:rsidRDefault="00B12A80" w:rsidP="004D6CEA">
            <w:pPr>
              <w:pStyle w:val="zSoquijdatNCSST"/>
            </w:pPr>
            <w:r w:rsidRPr="00B12A80">
              <w:t>513910778</w:t>
            </w:r>
          </w:p>
        </w:tc>
      </w:tr>
      <w:tr w:rsidR="00C74B6F" w14:paraId="54161D04" w14:textId="77777777" w:rsidTr="00036794">
        <w:trPr>
          <w:cantSplit/>
        </w:trPr>
        <w:tc>
          <w:tcPr>
            <w:tcW w:w="9568" w:type="dxa"/>
            <w:gridSpan w:val="4"/>
          </w:tcPr>
          <w:p w14:paraId="72B2E55D" w14:textId="77777777" w:rsidR="00C74B6F" w:rsidRDefault="00C74B6F"/>
        </w:tc>
      </w:tr>
      <w:tr w:rsidR="00C74B6F" w14:paraId="6D282B10" w14:textId="77777777" w:rsidTr="00036794">
        <w:trPr>
          <w:cantSplit/>
        </w:trPr>
        <w:tc>
          <w:tcPr>
            <w:tcW w:w="9568" w:type="dxa"/>
            <w:gridSpan w:val="4"/>
          </w:tcPr>
          <w:p w14:paraId="3859EEBA" w14:textId="77777777" w:rsidR="00C74B6F" w:rsidRDefault="00C74B6F"/>
        </w:tc>
      </w:tr>
      <w:tr w:rsidR="006E3DD8" w14:paraId="1D4104E5" w14:textId="77777777" w:rsidTr="00036794">
        <w:trPr>
          <w:cantSplit/>
        </w:trPr>
        <w:tc>
          <w:tcPr>
            <w:tcW w:w="3331" w:type="dxa"/>
          </w:tcPr>
          <w:p w14:paraId="3908E851" w14:textId="6B92B31E" w:rsidR="006E3DD8" w:rsidRDefault="00B12A80" w:rsidP="0076350E">
            <w:pPr>
              <w:ind w:right="-70"/>
            </w:pPr>
            <w:r>
              <w:t>Québec</w:t>
            </w:r>
            <w:r w:rsidR="00C04E32">
              <w:t>,</w:t>
            </w:r>
          </w:p>
        </w:tc>
        <w:tc>
          <w:tcPr>
            <w:tcW w:w="6237" w:type="dxa"/>
            <w:gridSpan w:val="3"/>
          </w:tcPr>
          <w:p w14:paraId="25C54DA9" w14:textId="28340432" w:rsidR="006E3DD8" w:rsidRDefault="00C04E32" w:rsidP="005B5689">
            <w:pPr>
              <w:pStyle w:val="zSoquijdatDateJugement"/>
            </w:pPr>
            <w:r>
              <w:t xml:space="preserve">le </w:t>
            </w:r>
            <w:r w:rsidR="000C0745">
              <w:t>2</w:t>
            </w:r>
            <w:r w:rsidR="00C5790C">
              <w:t>4</w:t>
            </w:r>
            <w:r w:rsidR="00B12A80">
              <w:t xml:space="preserve"> mars 2025</w:t>
            </w:r>
          </w:p>
        </w:tc>
      </w:tr>
      <w:tr w:rsidR="00942AB8" w14:paraId="6993CCA3" w14:textId="77777777" w:rsidTr="00036794">
        <w:trPr>
          <w:cantSplit/>
        </w:trPr>
        <w:tc>
          <w:tcPr>
            <w:tcW w:w="9568" w:type="dxa"/>
            <w:gridSpan w:val="4"/>
          </w:tcPr>
          <w:p w14:paraId="62657704" w14:textId="77777777" w:rsidR="00942AB8" w:rsidRDefault="00942AB8" w:rsidP="00FA153F">
            <w:r>
              <w:t>______________________________________________________________________</w:t>
            </w:r>
          </w:p>
        </w:tc>
      </w:tr>
      <w:tr w:rsidR="00942AB8" w14:paraId="38D04A7B" w14:textId="77777777" w:rsidTr="00036794">
        <w:trPr>
          <w:cantSplit/>
          <w:trHeight w:val="148"/>
        </w:trPr>
        <w:tc>
          <w:tcPr>
            <w:tcW w:w="9568" w:type="dxa"/>
            <w:gridSpan w:val="4"/>
          </w:tcPr>
          <w:p w14:paraId="661E708A" w14:textId="77777777" w:rsidR="00942AB8" w:rsidRDefault="00942AB8" w:rsidP="00FA153F"/>
        </w:tc>
      </w:tr>
      <w:tr w:rsidR="0035375B" w14:paraId="1AD53D8D" w14:textId="77777777" w:rsidTr="00036794">
        <w:trPr>
          <w:cantSplit/>
          <w:trHeight w:val="148"/>
        </w:trPr>
        <w:tc>
          <w:tcPr>
            <w:tcW w:w="5883" w:type="dxa"/>
            <w:gridSpan w:val="3"/>
          </w:tcPr>
          <w:p w14:paraId="29C61D30" w14:textId="002D48A2" w:rsidR="0035375B" w:rsidRPr="00942AB8" w:rsidRDefault="0035375B">
            <w:pPr>
              <w:rPr>
                <w:b/>
                <w:bCs/>
              </w:rPr>
            </w:pPr>
            <w:bookmarkStart w:id="4" w:name="ref_commissaire" w:colFirst="1" w:colLast="1"/>
            <w:r w:rsidRPr="00942AB8">
              <w:rPr>
                <w:b/>
                <w:bCs/>
              </w:rPr>
              <w:t>DEVANT L</w:t>
            </w:r>
            <w:r w:rsidR="00B12A80">
              <w:rPr>
                <w:b/>
                <w:bCs/>
              </w:rPr>
              <w:t>E</w:t>
            </w:r>
            <w:r w:rsidRPr="00942AB8">
              <w:rPr>
                <w:b/>
                <w:bCs/>
              </w:rPr>
              <w:t xml:space="preserve"> JUGE ADMINISTRATI</w:t>
            </w:r>
            <w:r w:rsidR="00B12A80">
              <w:rPr>
                <w:b/>
                <w:bCs/>
              </w:rPr>
              <w:t>F</w:t>
            </w:r>
            <w:r w:rsidRPr="00942AB8">
              <w:rPr>
                <w:b/>
                <w:bCs/>
              </w:rPr>
              <w:t> :</w:t>
            </w:r>
          </w:p>
        </w:tc>
        <w:tc>
          <w:tcPr>
            <w:tcW w:w="3685" w:type="dxa"/>
          </w:tcPr>
          <w:p w14:paraId="305A7F5F" w14:textId="4AA53AFE" w:rsidR="0035375B" w:rsidRPr="00942AB8" w:rsidRDefault="00B12A80" w:rsidP="005B5689">
            <w:pPr>
              <w:pStyle w:val="zSoquijdatJuge"/>
              <w:rPr>
                <w:bCs/>
              </w:rPr>
            </w:pPr>
            <w:r>
              <w:t>Gaétan Guérard</w:t>
            </w:r>
          </w:p>
        </w:tc>
      </w:tr>
      <w:bookmarkEnd w:id="4"/>
      <w:tr w:rsidR="00942AB8" w14:paraId="7E233069" w14:textId="77777777" w:rsidTr="00036794">
        <w:trPr>
          <w:cantSplit/>
          <w:trHeight w:val="148"/>
        </w:trPr>
        <w:tc>
          <w:tcPr>
            <w:tcW w:w="9568" w:type="dxa"/>
            <w:gridSpan w:val="4"/>
          </w:tcPr>
          <w:p w14:paraId="01A6FC21" w14:textId="77777777" w:rsidR="00942AB8" w:rsidRDefault="00942AB8" w:rsidP="00FA153F">
            <w:r>
              <w:t>______________________________________________________________________</w:t>
            </w:r>
          </w:p>
        </w:tc>
      </w:tr>
      <w:tr w:rsidR="00942AB8" w14:paraId="0DEA7F61" w14:textId="77777777" w:rsidTr="00036794">
        <w:tc>
          <w:tcPr>
            <w:tcW w:w="9568" w:type="dxa"/>
            <w:gridSpan w:val="4"/>
          </w:tcPr>
          <w:p w14:paraId="270535B7" w14:textId="77777777" w:rsidR="00942AB8" w:rsidRDefault="00942AB8"/>
        </w:tc>
      </w:tr>
      <w:tr w:rsidR="00942AB8" w14:paraId="5876BAC8" w14:textId="77777777" w:rsidTr="00E21768">
        <w:tc>
          <w:tcPr>
            <w:tcW w:w="4890" w:type="dxa"/>
            <w:gridSpan w:val="2"/>
          </w:tcPr>
          <w:p w14:paraId="7825742B" w14:textId="77777777" w:rsidR="00942AB8" w:rsidRDefault="00942AB8">
            <w:bookmarkStart w:id="5" w:name="bloc_parties_gauche"/>
            <w:bookmarkEnd w:id="5"/>
          </w:p>
        </w:tc>
        <w:tc>
          <w:tcPr>
            <w:tcW w:w="4678" w:type="dxa"/>
            <w:gridSpan w:val="2"/>
          </w:tcPr>
          <w:p w14:paraId="4FE67DD9" w14:textId="77777777" w:rsidR="00942AB8" w:rsidRDefault="00942AB8"/>
        </w:tc>
      </w:tr>
      <w:tr w:rsidR="00942AB8" w14:paraId="47FB9F15" w14:textId="77777777" w:rsidTr="00E21768">
        <w:tc>
          <w:tcPr>
            <w:tcW w:w="4890" w:type="dxa"/>
            <w:gridSpan w:val="2"/>
          </w:tcPr>
          <w:p w14:paraId="5DE87966" w14:textId="713EBE5A" w:rsidR="00942AB8" w:rsidRDefault="00B12A80">
            <w:pPr>
              <w:pStyle w:val="zSoquijdatNomPartieDem"/>
              <w:rPr>
                <w:b/>
              </w:rPr>
            </w:pPr>
            <w:r>
              <w:rPr>
                <w:b/>
              </w:rPr>
              <w:t>Marcello Teoli</w:t>
            </w:r>
          </w:p>
        </w:tc>
        <w:tc>
          <w:tcPr>
            <w:tcW w:w="4678" w:type="dxa"/>
            <w:gridSpan w:val="2"/>
          </w:tcPr>
          <w:p w14:paraId="3A8629BA" w14:textId="77777777" w:rsidR="00942AB8" w:rsidRDefault="00942AB8"/>
        </w:tc>
      </w:tr>
      <w:tr w:rsidR="00942AB8" w14:paraId="6C132D79" w14:textId="77777777" w:rsidTr="00E21768">
        <w:tc>
          <w:tcPr>
            <w:tcW w:w="4890" w:type="dxa"/>
            <w:gridSpan w:val="2"/>
          </w:tcPr>
          <w:p w14:paraId="1B12D2A8" w14:textId="61521CC7" w:rsidR="00942AB8" w:rsidRDefault="00B12A80" w:rsidP="007B0DF2">
            <w:pPr>
              <w:pStyle w:val="zSoquijdatQtePartieDem"/>
              <w:tabs>
                <w:tab w:val="left" w:pos="3539"/>
              </w:tabs>
              <w:ind w:left="708"/>
            </w:pPr>
            <w:bookmarkStart w:id="6" w:name="partie_demanderesse"/>
            <w:bookmarkEnd w:id="6"/>
            <w:r>
              <w:t>Partie demanderesse</w:t>
            </w:r>
          </w:p>
        </w:tc>
        <w:tc>
          <w:tcPr>
            <w:tcW w:w="4678" w:type="dxa"/>
            <w:gridSpan w:val="2"/>
          </w:tcPr>
          <w:p w14:paraId="3C282B55" w14:textId="77777777" w:rsidR="00942AB8" w:rsidRDefault="00942AB8"/>
        </w:tc>
      </w:tr>
      <w:tr w:rsidR="00942AB8" w14:paraId="706291E3" w14:textId="77777777" w:rsidTr="00E21768">
        <w:tc>
          <w:tcPr>
            <w:tcW w:w="4890" w:type="dxa"/>
            <w:gridSpan w:val="2"/>
          </w:tcPr>
          <w:p w14:paraId="36C473BE" w14:textId="77777777" w:rsidR="00942AB8" w:rsidRDefault="00942AB8" w:rsidP="00E6363B"/>
        </w:tc>
        <w:tc>
          <w:tcPr>
            <w:tcW w:w="4678" w:type="dxa"/>
            <w:gridSpan w:val="2"/>
          </w:tcPr>
          <w:p w14:paraId="2999125F" w14:textId="77777777" w:rsidR="00942AB8" w:rsidRDefault="00942AB8"/>
        </w:tc>
      </w:tr>
      <w:tr w:rsidR="00942AB8" w14:paraId="7B091617" w14:textId="77777777" w:rsidTr="00E21768">
        <w:tc>
          <w:tcPr>
            <w:tcW w:w="4890" w:type="dxa"/>
            <w:gridSpan w:val="2"/>
          </w:tcPr>
          <w:p w14:paraId="1083A755" w14:textId="70363EB1" w:rsidR="00942AB8" w:rsidRDefault="00B12A80" w:rsidP="00D06652">
            <w:pPr>
              <w:pStyle w:val="zSoquijlblLienParties"/>
            </w:pPr>
            <w:r>
              <w:t>et</w:t>
            </w:r>
          </w:p>
        </w:tc>
        <w:tc>
          <w:tcPr>
            <w:tcW w:w="4678" w:type="dxa"/>
            <w:gridSpan w:val="2"/>
          </w:tcPr>
          <w:p w14:paraId="25B710B7" w14:textId="77777777" w:rsidR="00942AB8" w:rsidRDefault="00942AB8"/>
        </w:tc>
      </w:tr>
      <w:tr w:rsidR="00942AB8" w14:paraId="0A7EAA78" w14:textId="77777777" w:rsidTr="00E21768">
        <w:tc>
          <w:tcPr>
            <w:tcW w:w="4890" w:type="dxa"/>
            <w:gridSpan w:val="2"/>
          </w:tcPr>
          <w:p w14:paraId="26A179DA" w14:textId="77777777" w:rsidR="00942AB8" w:rsidRDefault="00942AB8"/>
        </w:tc>
        <w:tc>
          <w:tcPr>
            <w:tcW w:w="4678" w:type="dxa"/>
            <w:gridSpan w:val="2"/>
          </w:tcPr>
          <w:p w14:paraId="1BCC5FAA" w14:textId="77777777" w:rsidR="00942AB8" w:rsidRDefault="00942AB8"/>
        </w:tc>
      </w:tr>
      <w:tr w:rsidR="00942AB8" w14:paraId="17D56D29" w14:textId="77777777" w:rsidTr="00E21768">
        <w:tc>
          <w:tcPr>
            <w:tcW w:w="4890" w:type="dxa"/>
            <w:gridSpan w:val="2"/>
          </w:tcPr>
          <w:p w14:paraId="385E696D" w14:textId="4639E184" w:rsidR="00942AB8" w:rsidRDefault="00B12A80">
            <w:pPr>
              <w:pStyle w:val="zSoquijdatNomPartieDef"/>
              <w:rPr>
                <w:b/>
              </w:rPr>
            </w:pPr>
            <w:r>
              <w:rPr>
                <w:b/>
              </w:rPr>
              <w:t xml:space="preserve">9207-4087 </w:t>
            </w:r>
            <w:r w:rsidR="007B33D3">
              <w:rPr>
                <w:b/>
              </w:rPr>
              <w:t>QUÉBEC INC.</w:t>
            </w:r>
          </w:p>
        </w:tc>
        <w:tc>
          <w:tcPr>
            <w:tcW w:w="4678" w:type="dxa"/>
            <w:gridSpan w:val="2"/>
          </w:tcPr>
          <w:p w14:paraId="18FF5E68" w14:textId="77777777" w:rsidR="00942AB8" w:rsidRDefault="00942AB8"/>
        </w:tc>
      </w:tr>
      <w:tr w:rsidR="00942AB8" w14:paraId="09118AF4" w14:textId="77777777" w:rsidTr="00E21768">
        <w:tc>
          <w:tcPr>
            <w:tcW w:w="4890" w:type="dxa"/>
            <w:gridSpan w:val="2"/>
          </w:tcPr>
          <w:p w14:paraId="2FB47937" w14:textId="5B8DE723" w:rsidR="00942AB8" w:rsidRDefault="00B12A80">
            <w:pPr>
              <w:pStyle w:val="zSoquijdatNomPartieInt"/>
              <w:rPr>
                <w:b/>
              </w:rPr>
            </w:pPr>
            <w:r>
              <w:rPr>
                <w:b/>
              </w:rPr>
              <w:t>Spectra Premium Industries inc.</w:t>
            </w:r>
          </w:p>
        </w:tc>
        <w:tc>
          <w:tcPr>
            <w:tcW w:w="4678" w:type="dxa"/>
            <w:gridSpan w:val="2"/>
          </w:tcPr>
          <w:p w14:paraId="399AF764" w14:textId="37A83B75" w:rsidR="00942AB8" w:rsidRDefault="00942AB8"/>
        </w:tc>
      </w:tr>
      <w:tr w:rsidR="00942AB8" w14:paraId="55A1A89C" w14:textId="77777777" w:rsidTr="00E21768">
        <w:tc>
          <w:tcPr>
            <w:tcW w:w="4890" w:type="dxa"/>
            <w:gridSpan w:val="2"/>
          </w:tcPr>
          <w:p w14:paraId="010C5B08" w14:textId="741BC4B8" w:rsidR="00942AB8" w:rsidRDefault="00B12A80">
            <w:pPr>
              <w:pStyle w:val="zSoquijdatQtePartieInt"/>
              <w:ind w:left="708"/>
            </w:pPr>
            <w:r>
              <w:t>Partie</w:t>
            </w:r>
            <w:r w:rsidR="00BA70D3">
              <w:t>s</w:t>
            </w:r>
            <w:r>
              <w:t xml:space="preserve"> mise</w:t>
            </w:r>
            <w:r w:rsidR="00BA70D3">
              <w:t>s</w:t>
            </w:r>
            <w:r>
              <w:t xml:space="preserve"> en cause</w:t>
            </w:r>
          </w:p>
        </w:tc>
        <w:tc>
          <w:tcPr>
            <w:tcW w:w="4678" w:type="dxa"/>
            <w:gridSpan w:val="2"/>
          </w:tcPr>
          <w:p w14:paraId="520CF1B6" w14:textId="77777777" w:rsidR="00942AB8" w:rsidRDefault="00942AB8"/>
        </w:tc>
      </w:tr>
      <w:tr w:rsidR="00942AB8" w14:paraId="042F21E6" w14:textId="77777777" w:rsidTr="00E21768">
        <w:tc>
          <w:tcPr>
            <w:tcW w:w="4890" w:type="dxa"/>
            <w:gridSpan w:val="2"/>
          </w:tcPr>
          <w:p w14:paraId="35CE57A4" w14:textId="77777777" w:rsidR="00942AB8" w:rsidRDefault="00942AB8"/>
        </w:tc>
        <w:tc>
          <w:tcPr>
            <w:tcW w:w="4678" w:type="dxa"/>
            <w:gridSpan w:val="2"/>
          </w:tcPr>
          <w:p w14:paraId="480508CB" w14:textId="77777777" w:rsidR="00942AB8" w:rsidRDefault="00942AB8"/>
        </w:tc>
      </w:tr>
      <w:tr w:rsidR="00BA70D3" w14:paraId="6A819DB4" w14:textId="77777777" w:rsidTr="00E21768">
        <w:tc>
          <w:tcPr>
            <w:tcW w:w="4890" w:type="dxa"/>
            <w:gridSpan w:val="2"/>
          </w:tcPr>
          <w:p w14:paraId="32AC1389" w14:textId="77777777" w:rsidR="00BA70D3" w:rsidRDefault="00BA70D3"/>
        </w:tc>
        <w:tc>
          <w:tcPr>
            <w:tcW w:w="4678" w:type="dxa"/>
            <w:gridSpan w:val="2"/>
          </w:tcPr>
          <w:p w14:paraId="0E7646AA" w14:textId="77777777" w:rsidR="00BA70D3" w:rsidRDefault="00BA70D3"/>
        </w:tc>
      </w:tr>
    </w:tbl>
    <w:p w14:paraId="1F343957" w14:textId="77777777" w:rsidR="00C74B6F" w:rsidRDefault="00C74B6F">
      <w:r>
        <w:t>______________________________________________________________________</w:t>
      </w:r>
    </w:p>
    <w:p w14:paraId="31888EB4" w14:textId="77777777" w:rsidR="00C74B6F" w:rsidRDefault="00C74B6F"/>
    <w:p w14:paraId="5ED76FE6" w14:textId="77777777" w:rsidR="00C74B6F" w:rsidRPr="005B0612" w:rsidRDefault="00C74B6F" w:rsidP="008B042E">
      <w:pPr>
        <w:jc w:val="center"/>
        <w:rPr>
          <w:b/>
          <w:bCs/>
        </w:rPr>
      </w:pPr>
      <w:bookmarkStart w:id="7" w:name="decision"/>
      <w:r w:rsidRPr="005B0612">
        <w:rPr>
          <w:b/>
          <w:bCs/>
        </w:rPr>
        <w:t>DÉCISION</w:t>
      </w:r>
      <w:bookmarkEnd w:id="7"/>
    </w:p>
    <w:p w14:paraId="09ECA299" w14:textId="77777777" w:rsidR="008F20EA" w:rsidRDefault="008F20EA" w:rsidP="008F20EA">
      <w:bookmarkStart w:id="8" w:name="separation"/>
      <w:bookmarkStart w:id="9" w:name="parag_1"/>
      <w:r>
        <w:t>______________________________________________________________________</w:t>
      </w:r>
    </w:p>
    <w:p w14:paraId="56268B77" w14:textId="77777777" w:rsidR="008F20EA" w:rsidRDefault="008F20EA" w:rsidP="008F20EA">
      <w:pPr>
        <w:pStyle w:val="corpsdedcision"/>
        <w:numPr>
          <w:ilvl w:val="0"/>
          <w:numId w:val="0"/>
        </w:numPr>
        <w:spacing w:before="360"/>
      </w:pPr>
      <w:bookmarkStart w:id="10" w:name="supprimer_apercu"/>
      <w:bookmarkEnd w:id="8"/>
      <w:r>
        <w:rPr>
          <w:b/>
          <w:bCs/>
          <w:u w:val="single"/>
        </w:rPr>
        <w:t>L’APERÇU</w:t>
      </w:r>
    </w:p>
    <w:bookmarkEnd w:id="9"/>
    <w:bookmarkEnd w:id="10"/>
    <w:p w14:paraId="360FE22C" w14:textId="2C7312BE" w:rsidR="00057896" w:rsidRDefault="00057896" w:rsidP="00057896">
      <w:pPr>
        <w:numPr>
          <w:ilvl w:val="0"/>
          <w:numId w:val="1"/>
        </w:numPr>
        <w:tabs>
          <w:tab w:val="clear" w:pos="360"/>
          <w:tab w:val="left" w:pos="720"/>
        </w:tabs>
        <w:spacing w:after="360"/>
        <w:jc w:val="both"/>
      </w:pPr>
      <w:r w:rsidRPr="00575C35">
        <w:t xml:space="preserve">Monsieur </w:t>
      </w:r>
      <w:r>
        <w:t>Marcello Teoli</w:t>
      </w:r>
      <w:r w:rsidRPr="00575C35">
        <w:t>, le travailleur</w:t>
      </w:r>
      <w:r>
        <w:t>,</w:t>
      </w:r>
      <w:r w:rsidRPr="00575C35">
        <w:t xml:space="preserve"> </w:t>
      </w:r>
      <w:r>
        <w:t>a exercé les fonctions d’homme de cour et camionneur chez Spectra Premium Industries inc. de 2001 à 2009</w:t>
      </w:r>
      <w:r w:rsidR="005F0AC7">
        <w:t xml:space="preserve">. De 2009 à ce jour, il est </w:t>
      </w:r>
      <w:r>
        <w:t xml:space="preserve">camionneur pour 9207-4087 </w:t>
      </w:r>
      <w:r w:rsidR="00F74F89">
        <w:t>QUÉBEC INC.</w:t>
      </w:r>
      <w:r w:rsidR="005F0AC7">
        <w:t>, une entreprise dont il est président et copropriétaire avec sa conjointe.</w:t>
      </w:r>
    </w:p>
    <w:p w14:paraId="2035EB9D" w14:textId="6F57D51C" w:rsidR="00057896" w:rsidRPr="00575C35" w:rsidRDefault="00057896" w:rsidP="00D01AE4">
      <w:pPr>
        <w:numPr>
          <w:ilvl w:val="0"/>
          <w:numId w:val="1"/>
        </w:numPr>
        <w:tabs>
          <w:tab w:val="clear" w:pos="360"/>
          <w:tab w:val="left" w:pos="720"/>
        </w:tabs>
        <w:spacing w:after="360"/>
        <w:jc w:val="both"/>
      </w:pPr>
      <w:r>
        <w:t xml:space="preserve">En février </w:t>
      </w:r>
      <w:r w:rsidRPr="00575C35">
        <w:t>20</w:t>
      </w:r>
      <w:r>
        <w:t>23</w:t>
      </w:r>
      <w:r w:rsidRPr="00575C35">
        <w:t xml:space="preserve">, </w:t>
      </w:r>
      <w:r w:rsidR="00F74F89">
        <w:t>le professionnel de la santé qui a charge du travailleur</w:t>
      </w:r>
      <w:r>
        <w:t xml:space="preserve"> pose un diagnostic de surdité neurosensorielle bilatérale causée par le bruit. </w:t>
      </w:r>
      <w:r w:rsidR="009D45AE">
        <w:t>Le travailleur</w:t>
      </w:r>
      <w:r>
        <w:t xml:space="preserve"> </w:t>
      </w:r>
      <w:r w:rsidRPr="00575C35">
        <w:t>produit une réclamation à la Commission des normes, de l’équité, de la santé et de la sécurité du travail pour</w:t>
      </w:r>
      <w:r w:rsidR="00200572">
        <w:t xml:space="preserve"> faire reconnaître</w:t>
      </w:r>
      <w:r w:rsidR="000E214E">
        <w:t xml:space="preserve"> </w:t>
      </w:r>
      <w:r w:rsidRPr="00575C35">
        <w:t>une maladie professionnelle, soit une surdité professionnelle.</w:t>
      </w:r>
    </w:p>
    <w:p w14:paraId="4F9CAD5E" w14:textId="26EEEE69" w:rsidR="00057896" w:rsidRDefault="00057896" w:rsidP="00057896">
      <w:pPr>
        <w:numPr>
          <w:ilvl w:val="0"/>
          <w:numId w:val="1"/>
        </w:numPr>
        <w:tabs>
          <w:tab w:val="clear" w:pos="360"/>
          <w:tab w:val="left" w:pos="720"/>
        </w:tabs>
        <w:spacing w:after="360"/>
        <w:jc w:val="both"/>
      </w:pPr>
      <w:r>
        <w:t xml:space="preserve">Tant dans sa décision initiale qu’en révision, </w:t>
      </w:r>
      <w:r w:rsidRPr="00575C35">
        <w:t xml:space="preserve">la Commission refuse la réclamation du travailleur au motif qu’il </w:t>
      </w:r>
      <w:r>
        <w:t xml:space="preserve">n’a pas produit sa réclamation dans le délai de six mois prévu à la </w:t>
      </w:r>
      <w:r w:rsidRPr="002A587A">
        <w:rPr>
          <w:i/>
        </w:rPr>
        <w:t>Loi sur les accidents du travail et les maladies professionnelles</w:t>
      </w:r>
      <w:r w:rsidRPr="00F74F89">
        <w:rPr>
          <w:rStyle w:val="Appelnotedebasdep"/>
          <w:iCs/>
        </w:rPr>
        <w:footnoteReference w:id="1"/>
      </w:r>
      <w:r>
        <w:t>, la Loi, et qu’il n’a pas démontré un motif raisonnable permettant de le relever de son défaut.</w:t>
      </w:r>
    </w:p>
    <w:p w14:paraId="48B3C5FD" w14:textId="77777777" w:rsidR="00057896" w:rsidRPr="00575C35" w:rsidRDefault="00057896" w:rsidP="00057896">
      <w:pPr>
        <w:numPr>
          <w:ilvl w:val="0"/>
          <w:numId w:val="1"/>
        </w:numPr>
        <w:tabs>
          <w:tab w:val="clear" w:pos="360"/>
          <w:tab w:val="left" w:pos="720"/>
        </w:tabs>
        <w:spacing w:after="360"/>
        <w:jc w:val="both"/>
      </w:pPr>
      <w:r w:rsidRPr="00575C35">
        <w:t xml:space="preserve">Le travailleur conteste cette </w:t>
      </w:r>
      <w:r>
        <w:t xml:space="preserve">dernière </w:t>
      </w:r>
      <w:r w:rsidRPr="00575C35">
        <w:t xml:space="preserve">décision devant le </w:t>
      </w:r>
      <w:r>
        <w:t xml:space="preserve">Tribunal administratif du travail, le </w:t>
      </w:r>
      <w:r w:rsidRPr="00575C35">
        <w:t>Tribunal.</w:t>
      </w:r>
    </w:p>
    <w:p w14:paraId="67B995BC" w14:textId="77777777" w:rsidR="009D45AE" w:rsidRPr="00575C35" w:rsidRDefault="009D45AE" w:rsidP="009D45AE">
      <w:pPr>
        <w:numPr>
          <w:ilvl w:val="0"/>
          <w:numId w:val="1"/>
        </w:numPr>
        <w:tabs>
          <w:tab w:val="clear" w:pos="360"/>
          <w:tab w:val="left" w:pos="720"/>
        </w:tabs>
        <w:spacing w:after="360"/>
        <w:jc w:val="both"/>
      </w:pPr>
      <w:r>
        <w:t>Les questions</w:t>
      </w:r>
      <w:r w:rsidRPr="00575C35">
        <w:t xml:space="preserve"> en litige dans le présent dossier </w:t>
      </w:r>
      <w:r>
        <w:t>sont les suivantes </w:t>
      </w:r>
      <w:r w:rsidRPr="00575C35">
        <w:t>:</w:t>
      </w:r>
    </w:p>
    <w:p w14:paraId="55B24AF3" w14:textId="57C4A644" w:rsidR="009D45AE" w:rsidRDefault="009D45AE" w:rsidP="00C5790C">
      <w:pPr>
        <w:pStyle w:val="Paragraphedeliste"/>
        <w:numPr>
          <w:ilvl w:val="0"/>
          <w:numId w:val="12"/>
        </w:numPr>
        <w:tabs>
          <w:tab w:val="left" w:pos="720"/>
        </w:tabs>
        <w:spacing w:after="360"/>
        <w:ind w:left="1077" w:hanging="357"/>
        <w:jc w:val="both"/>
      </w:pPr>
      <w:r>
        <w:t xml:space="preserve">La réclamation du travailleur est-elle recevable? Cette question se divise en deux sous-questions : </w:t>
      </w:r>
      <w:r w:rsidRPr="00575C35">
        <w:t xml:space="preserve">Le travailleur a-t-il </w:t>
      </w:r>
      <w:r>
        <w:t xml:space="preserve">présenté sa réclamation dans le délai prévu par la Loi? Sinon, présente-t-il un </w:t>
      </w:r>
      <w:r w:rsidRPr="00575C35">
        <w:t xml:space="preserve">motif raisonnable </w:t>
      </w:r>
      <w:r w:rsidR="00A957BB">
        <w:t xml:space="preserve">pour </w:t>
      </w:r>
      <w:r w:rsidR="00A957BB" w:rsidRPr="00575C35">
        <w:t xml:space="preserve">avoir </w:t>
      </w:r>
      <w:r w:rsidRPr="00575C35">
        <w:t xml:space="preserve">tardé à déposer sa </w:t>
      </w:r>
      <w:r>
        <w:t>réclamation</w:t>
      </w:r>
      <w:r w:rsidRPr="00575C35">
        <w:t>?</w:t>
      </w:r>
    </w:p>
    <w:p w14:paraId="2CB12C16" w14:textId="77777777" w:rsidR="00C5790C" w:rsidRPr="00C5790C" w:rsidRDefault="00C5790C" w:rsidP="00C5790C">
      <w:pPr>
        <w:pStyle w:val="Paragraphedeliste"/>
        <w:tabs>
          <w:tab w:val="left" w:pos="720"/>
        </w:tabs>
        <w:spacing w:after="360"/>
        <w:ind w:left="1077"/>
        <w:jc w:val="both"/>
        <w:rPr>
          <w:sz w:val="36"/>
          <w:szCs w:val="36"/>
        </w:rPr>
      </w:pPr>
    </w:p>
    <w:p w14:paraId="6F30D617" w14:textId="77777777" w:rsidR="009D45AE" w:rsidRPr="00575C35" w:rsidRDefault="009D45AE" w:rsidP="00C5790C">
      <w:pPr>
        <w:pStyle w:val="Paragraphedeliste"/>
        <w:numPr>
          <w:ilvl w:val="0"/>
          <w:numId w:val="12"/>
        </w:numPr>
        <w:tabs>
          <w:tab w:val="left" w:pos="720"/>
        </w:tabs>
        <w:spacing w:before="360" w:after="360"/>
        <w:ind w:left="1077" w:hanging="357"/>
        <w:jc w:val="both"/>
      </w:pPr>
      <w:r>
        <w:t xml:space="preserve">Si la réclamation du travailleur est recevable, </w:t>
      </w:r>
      <w:r w:rsidRPr="00575C35">
        <w:t>a-t-il fait la preuve qu’il est atteint d’une maladie professionnelle, soit une surdité professionnelle ?</w:t>
      </w:r>
    </w:p>
    <w:p w14:paraId="1FC143CD" w14:textId="4DB51ACF" w:rsidR="00C74B6F" w:rsidRPr="003C54F0" w:rsidRDefault="00057896" w:rsidP="00C5790C">
      <w:pPr>
        <w:numPr>
          <w:ilvl w:val="0"/>
          <w:numId w:val="1"/>
        </w:numPr>
        <w:tabs>
          <w:tab w:val="clear" w:pos="360"/>
          <w:tab w:val="left" w:pos="720"/>
        </w:tabs>
        <w:spacing w:after="480"/>
        <w:jc w:val="both"/>
      </w:pPr>
      <w:r w:rsidRPr="003C54F0">
        <w:t xml:space="preserve">Le Tribunal conclut que le travailleur a produit sa réclamation en dehors du délai prévu à la Loi. Cependant, le Tribunal relève le travailleur de son défaut puisqu’il a </w:t>
      </w:r>
      <w:r w:rsidR="00A957BB">
        <w:t>présenté</w:t>
      </w:r>
      <w:r w:rsidRPr="003C54F0">
        <w:t xml:space="preserve"> la preuve d’un motif raisonnable pour avoir tardé à produire sa réclamation</w:t>
      </w:r>
      <w:r w:rsidR="003C54F0">
        <w:t>, ayant été induit en erreur par son médecin</w:t>
      </w:r>
      <w:r w:rsidRPr="003C54F0">
        <w:t>. Enfin, le travailleur a fait la preuve qu’il est atteint d’une maladie professionnelle et qu’il a droit aux prestations prévues à la Loi.</w:t>
      </w:r>
    </w:p>
    <w:p w14:paraId="5452D4B5" w14:textId="77777777" w:rsidR="00082A97" w:rsidRDefault="00082A97" w:rsidP="00F10236">
      <w:pPr>
        <w:pStyle w:val="corpsdedcision"/>
        <w:numPr>
          <w:ilvl w:val="0"/>
          <w:numId w:val="0"/>
        </w:numPr>
        <w:rPr>
          <w:b/>
          <w:bCs/>
          <w:u w:val="single"/>
        </w:rPr>
      </w:pPr>
      <w:bookmarkStart w:id="11" w:name="supprimer_analyse"/>
      <w:r w:rsidRPr="00B51F99">
        <w:rPr>
          <w:b/>
          <w:bCs/>
          <w:u w:val="single"/>
        </w:rPr>
        <w:t>L</w:t>
      </w:r>
      <w:r>
        <w:rPr>
          <w:b/>
          <w:bCs/>
          <w:u w:val="single"/>
        </w:rPr>
        <w:t>’ANALYSE</w:t>
      </w:r>
    </w:p>
    <w:bookmarkEnd w:id="11"/>
    <w:p w14:paraId="0BFA93A6" w14:textId="6E4DAB2D" w:rsidR="00876B22" w:rsidRPr="00EB6559" w:rsidRDefault="009D45AE" w:rsidP="00876B22">
      <w:pPr>
        <w:pStyle w:val="corpsdedcision"/>
        <w:numPr>
          <w:ilvl w:val="0"/>
          <w:numId w:val="0"/>
        </w:numPr>
        <w:rPr>
          <w:b/>
        </w:rPr>
      </w:pPr>
      <w:r>
        <w:rPr>
          <w:b/>
        </w:rPr>
        <w:t>Le travailleur a-t-il présenté sa réclamation dans le d</w:t>
      </w:r>
      <w:r w:rsidR="00876B22" w:rsidRPr="00EB6559">
        <w:rPr>
          <w:b/>
        </w:rPr>
        <w:t>élai</w:t>
      </w:r>
      <w:r>
        <w:rPr>
          <w:b/>
        </w:rPr>
        <w:t xml:space="preserve"> prévu par la Loi?</w:t>
      </w:r>
      <w:r w:rsidR="00876B22" w:rsidRPr="00EB6559">
        <w:rPr>
          <w:b/>
        </w:rPr>
        <w:t xml:space="preserve"> </w:t>
      </w:r>
    </w:p>
    <w:p w14:paraId="26FEEF18" w14:textId="5F8DFA9B" w:rsidR="00876B22" w:rsidRDefault="00876B22" w:rsidP="00876B22">
      <w:pPr>
        <w:pStyle w:val="corpsdedcision"/>
        <w:tabs>
          <w:tab w:val="num" w:pos="720"/>
        </w:tabs>
      </w:pPr>
      <w:r>
        <w:t xml:space="preserve">L’article 272 de la Loi prévoit que le travailleur doit produire sa réclamation à la Commission dans les six mois </w:t>
      </w:r>
      <w:r w:rsidR="00A957BB">
        <w:t xml:space="preserve">suivant </w:t>
      </w:r>
      <w:r>
        <w:t>la date où il est porté à la connaissance du travailleur qu’il est atteint d’une maladie professionnelle.</w:t>
      </w:r>
    </w:p>
    <w:p w14:paraId="1D273081" w14:textId="286F31FC" w:rsidR="00876B22" w:rsidRDefault="00876B22" w:rsidP="00876B22">
      <w:pPr>
        <w:pStyle w:val="corpsdedcision"/>
        <w:tabs>
          <w:tab w:val="num" w:pos="720"/>
        </w:tabs>
      </w:pPr>
      <w:r>
        <w:t xml:space="preserve">Le seul fait qu’un travailleur soupçonne être atteint d’une maladie professionnelle n’est pas suffisant pour conclure qu’il a la connaissance d’être atteint d’une maladie professionnelle, </w:t>
      </w:r>
      <w:r w:rsidR="00BA70D3">
        <w:t xml:space="preserve">mais </w:t>
      </w:r>
      <w:r w:rsidR="003D2697">
        <w:t xml:space="preserve">sans besoin </w:t>
      </w:r>
      <w:r>
        <w:t xml:space="preserve">d’en avoir la certitude. À cet égard, le Tribunal, dans l’affaire </w:t>
      </w:r>
      <w:r w:rsidRPr="007C0E44">
        <w:rPr>
          <w:i/>
        </w:rPr>
        <w:t>Air Canada (Ser. des réclamations)</w:t>
      </w:r>
      <w:r>
        <w:t xml:space="preserve"> et </w:t>
      </w:r>
      <w:r w:rsidRPr="007C0E44">
        <w:rPr>
          <w:i/>
        </w:rPr>
        <w:t>Pard</w:t>
      </w:r>
      <w:r w:rsidRPr="004C6416">
        <w:rPr>
          <w:rStyle w:val="Appelnotedebasdep"/>
        </w:rPr>
        <w:footnoteReference w:id="2"/>
      </w:r>
      <w:r>
        <w:t>,</w:t>
      </w:r>
      <w:r>
        <w:rPr>
          <w:i/>
        </w:rPr>
        <w:t xml:space="preserve"> </w:t>
      </w:r>
      <w:r>
        <w:t>retient ce qui suit de la jurisprudence :</w:t>
      </w:r>
    </w:p>
    <w:p w14:paraId="037C94F7" w14:textId="77777777" w:rsidR="00876B22" w:rsidRDefault="00876B22" w:rsidP="00876B22">
      <w:pPr>
        <w:pStyle w:val="citation"/>
        <w:keepNext/>
        <w:keepLines/>
      </w:pPr>
      <w:r w:rsidRPr="007C0E44">
        <w:t>[23]</w:t>
      </w:r>
      <w:r w:rsidRPr="007C0E44">
        <w:tab/>
        <w:t>Le présent tribunal retient de la volumineuse jurisprudence sur le sujet qu’une réclamation visant la reconnaissance d’une maladie professionnelle implique une maladie, donc un diagnostic, ainsi que la reconnaissance du caractère professionnel de cette maladie, donc l’établissement d’une relation causale avec le travail</w:t>
      </w:r>
      <w:r>
        <w:t> </w:t>
      </w:r>
      <w:r w:rsidRPr="007C0E44">
        <w:t>; que les simples soupçons ou les spéculations du travailleur ou de son entourage sur la maladie ou sa relation avec le travail sont insuffisants</w:t>
      </w:r>
      <w:r>
        <w:t> </w:t>
      </w:r>
      <w:r w:rsidRPr="007C0E44">
        <w:t>; que la certitude médicale n’est toutefois pas requise</w:t>
      </w:r>
      <w:r>
        <w:t> </w:t>
      </w:r>
      <w:r w:rsidRPr="007C0E44">
        <w:t>; que l’expression «</w:t>
      </w:r>
      <w:r>
        <w:t> </w:t>
      </w:r>
      <w:r w:rsidRPr="007C0E44">
        <w:t>porté à la connaissance du travailleur</w:t>
      </w:r>
      <w:r>
        <w:t> </w:t>
      </w:r>
      <w:r w:rsidRPr="007C0E44">
        <w:t>» implique une source externe d’informations quant à l’existence de cette relation causale</w:t>
      </w:r>
      <w:r>
        <w:t> </w:t>
      </w:r>
      <w:r w:rsidRPr="007C0E44">
        <w:t>; qu’il doit s’agir d’une possibilité sérieuse de relation causale avancée par un médecin ou, selon le cas, par un professionnel de la santé ou un intervenant du domaine de la santé.</w:t>
      </w:r>
    </w:p>
    <w:p w14:paraId="5D6B81E0" w14:textId="77777777" w:rsidR="00876B22" w:rsidRDefault="00876B22" w:rsidP="00876B22">
      <w:pPr>
        <w:pStyle w:val="citation"/>
      </w:pPr>
    </w:p>
    <w:p w14:paraId="0062466C" w14:textId="77777777" w:rsidR="00876B22" w:rsidRDefault="00876B22" w:rsidP="00876B22">
      <w:pPr>
        <w:pStyle w:val="citation"/>
      </w:pPr>
    </w:p>
    <w:p w14:paraId="55343AC1" w14:textId="333E2DAA" w:rsidR="00876B22" w:rsidRDefault="00876B22" w:rsidP="00876B22">
      <w:pPr>
        <w:pStyle w:val="corpsdedcision"/>
      </w:pPr>
      <w:r>
        <w:t xml:space="preserve">La preuve prépondérante permet au Tribunal de considérer que le travailleur </w:t>
      </w:r>
      <w:r w:rsidR="00E165CB">
        <w:t>n’</w:t>
      </w:r>
      <w:r>
        <w:t>a</w:t>
      </w:r>
      <w:r w:rsidR="00E165CB">
        <w:t xml:space="preserve"> pas</w:t>
      </w:r>
      <w:r>
        <w:t xml:space="preserve"> soumis sa réclamation dans le délai prévu à la Loi, et ce, pour les motifs suivants.</w:t>
      </w:r>
    </w:p>
    <w:p w14:paraId="7FB6612D" w14:textId="3D3F04EE" w:rsidR="00864AF4" w:rsidRDefault="009D45AE" w:rsidP="004C2944">
      <w:pPr>
        <w:pStyle w:val="corpsdedcision"/>
      </w:pPr>
      <w:r>
        <w:t xml:space="preserve">Le travailleur n’a jamais produit de réclamation pour un accident du travail ou une maladie professionnelle. De plus, </w:t>
      </w:r>
      <w:r w:rsidR="003C54F0">
        <w:t xml:space="preserve">depuis 2009, </w:t>
      </w:r>
      <w:r>
        <w:t xml:space="preserve">c’est à titre de travailleur autonome qu’il exerce ses fonctions de chauffeur de camion, classe 1. </w:t>
      </w:r>
    </w:p>
    <w:p w14:paraId="08B6F74D" w14:textId="3FA51AD8" w:rsidR="004C2944" w:rsidRDefault="00864AF4" w:rsidP="004C2944">
      <w:pPr>
        <w:pStyle w:val="corpsdedcision"/>
      </w:pPr>
      <w:r>
        <w:t>En 2017, la Société de l’assurance automobile du Québec exige que le travailleur se soumette à un examen médical</w:t>
      </w:r>
      <w:r w:rsidR="0066449B">
        <w:t xml:space="preserve"> tel </w:t>
      </w:r>
      <w:r w:rsidR="003D2697">
        <w:t xml:space="preserve">qu’il est </w:t>
      </w:r>
      <w:r w:rsidR="0066449B">
        <w:t xml:space="preserve">prévu à l’article 73 du </w:t>
      </w:r>
      <w:r w:rsidR="0066449B" w:rsidRPr="0066449B">
        <w:rPr>
          <w:i/>
          <w:iCs/>
        </w:rPr>
        <w:t>Code de la sécurité routière</w:t>
      </w:r>
      <w:r w:rsidR="0066449B">
        <w:rPr>
          <w:rStyle w:val="Appelnotedebasdep"/>
          <w:i/>
          <w:iCs/>
        </w:rPr>
        <w:footnoteReference w:id="3"/>
      </w:r>
      <w:r w:rsidR="0066449B">
        <w:t xml:space="preserve">. </w:t>
      </w:r>
      <w:r w:rsidR="005F0AC7">
        <w:t xml:space="preserve">Il apprend alors qu’il souffre de surdité et qu’il doit obligatoirement porter des appareils auditifs pour maintenir son admissibilité à </w:t>
      </w:r>
      <w:r w:rsidR="003D2697">
        <w:t>l’obtention d’</w:t>
      </w:r>
      <w:r w:rsidR="005F0AC7">
        <w:t xml:space="preserve">un permis de conduire de classe 1. Il se procure donc les appareils à ses frais sans hésitation puisqu’ils sont nécessaires à l’exercice de son gagne-pain. Il dépose une lettre de la Société de l’assurance automobile du Québec du </w:t>
      </w:r>
      <w:r w:rsidR="005F0AC7" w:rsidRPr="00CA2B37">
        <w:t xml:space="preserve">29 novembre 2017 </w:t>
      </w:r>
      <w:r w:rsidR="005F0AC7">
        <w:t xml:space="preserve">qui confirme son obligation de porter des aides auditives pour </w:t>
      </w:r>
      <w:r w:rsidR="00FC3344">
        <w:t>conduire certains véhicules.</w:t>
      </w:r>
    </w:p>
    <w:p w14:paraId="04860247" w14:textId="344BEBD5" w:rsidR="005F0AC7" w:rsidRDefault="00E165CB" w:rsidP="004C2944">
      <w:pPr>
        <w:pStyle w:val="corpsdedcision"/>
      </w:pPr>
      <w:r>
        <w:t>Lorsqu’il dépose sa réclamation en 2023, il admet à un agent de la Commission qu’il avait la connaissance, dès 2017, que sa surdité était reliée à son travail.</w:t>
      </w:r>
      <w:r w:rsidR="00DD3BD7">
        <w:t xml:space="preserve"> À l’audience</w:t>
      </w:r>
      <w:r w:rsidR="00633841">
        <w:t>,</w:t>
      </w:r>
      <w:r w:rsidR="00DD3BD7">
        <w:t xml:space="preserve"> le travailleur admet avoir </w:t>
      </w:r>
      <w:r w:rsidR="00FC3344">
        <w:t>acquis</w:t>
      </w:r>
      <w:r w:rsidR="00DD3BD7">
        <w:t xml:space="preserve"> cette connaissance par le docteur </w:t>
      </w:r>
      <w:r w:rsidR="00633841">
        <w:t>Rickul</w:t>
      </w:r>
      <w:r w:rsidR="00DD3BD7">
        <w:t xml:space="preserve"> Varshney, otorhinolaryngologiste.</w:t>
      </w:r>
    </w:p>
    <w:p w14:paraId="14673E88" w14:textId="5F383FFE" w:rsidR="00DD3BD7" w:rsidRDefault="00DD3BD7" w:rsidP="00DD3BD7">
      <w:pPr>
        <w:pStyle w:val="corpsdedcision"/>
        <w:tabs>
          <w:tab w:val="num" w:pos="360"/>
        </w:tabs>
      </w:pPr>
      <w:r>
        <w:t xml:space="preserve">Le Tribunal est d’avis qu’à cette date il est porté à la connaissance du travailleur qu’il est atteint d’une maladie professionnelle. Conformément à l’article 272 de la Loi, le travailleur doit donc produire sa réclamation dans les six mois </w:t>
      </w:r>
      <w:r w:rsidR="00C94E49">
        <w:t xml:space="preserve">suivant </w:t>
      </w:r>
      <w:r>
        <w:t xml:space="preserve">cette date </w:t>
      </w:r>
      <w:r w:rsidR="00C94E49">
        <w:t>située aux environs de</w:t>
      </w:r>
      <w:r>
        <w:t xml:space="preserve"> l’automne 2017.</w:t>
      </w:r>
    </w:p>
    <w:p w14:paraId="5F9258E0" w14:textId="0759DD34" w:rsidR="00DD3BD7" w:rsidRDefault="00DD3BD7" w:rsidP="00C5790C">
      <w:pPr>
        <w:pStyle w:val="corpsdedcision"/>
        <w:tabs>
          <w:tab w:val="num" w:pos="360"/>
        </w:tabs>
        <w:spacing w:after="480"/>
      </w:pPr>
      <w:r>
        <w:t>Or, le travailleur ne produit sa réclamation à la Commission</w:t>
      </w:r>
      <w:r w:rsidRPr="00AF504B">
        <w:t xml:space="preserve"> que le 2 </w:t>
      </w:r>
      <w:r>
        <w:t>février</w:t>
      </w:r>
      <w:r w:rsidRPr="00AF504B">
        <w:t xml:space="preserve"> 20</w:t>
      </w:r>
      <w:r>
        <w:t xml:space="preserve">23. </w:t>
      </w:r>
      <w:r w:rsidR="004723D4">
        <w:t>Il</w:t>
      </w:r>
      <w:r>
        <w:t xml:space="preserve"> n’a pas produit sa réclamation dans le délai prévu à la Loi. </w:t>
      </w:r>
    </w:p>
    <w:p w14:paraId="6C7C4BB0" w14:textId="0AF1113C" w:rsidR="00DD3BD7" w:rsidRPr="00DD3BD7" w:rsidRDefault="00DD3BD7" w:rsidP="00C5790C">
      <w:pPr>
        <w:pStyle w:val="corpsdedcision"/>
        <w:numPr>
          <w:ilvl w:val="0"/>
          <w:numId w:val="0"/>
        </w:numPr>
        <w:spacing w:before="120"/>
        <w:rPr>
          <w:b/>
          <w:bCs/>
        </w:rPr>
      </w:pPr>
      <w:r w:rsidRPr="00DD3BD7">
        <w:rPr>
          <w:b/>
          <w:bCs/>
        </w:rPr>
        <w:t xml:space="preserve">Le travailleur présente-t-il un motif raisonnable </w:t>
      </w:r>
      <w:r w:rsidR="004723D4">
        <w:rPr>
          <w:b/>
          <w:bCs/>
        </w:rPr>
        <w:t xml:space="preserve">pour </w:t>
      </w:r>
      <w:r w:rsidR="004723D4" w:rsidRPr="00DD3BD7">
        <w:rPr>
          <w:b/>
          <w:bCs/>
        </w:rPr>
        <w:t xml:space="preserve">avoir </w:t>
      </w:r>
      <w:r w:rsidRPr="00DD3BD7">
        <w:rPr>
          <w:b/>
          <w:bCs/>
        </w:rPr>
        <w:t>tardé à déposer sa réclamation?</w:t>
      </w:r>
    </w:p>
    <w:p w14:paraId="6454BE4D" w14:textId="77777777" w:rsidR="00DD3BD7" w:rsidRDefault="00DD3BD7" w:rsidP="00DD3BD7">
      <w:pPr>
        <w:pStyle w:val="corpsdedcision"/>
        <w:tabs>
          <w:tab w:val="num" w:pos="360"/>
        </w:tabs>
      </w:pPr>
      <w:r>
        <w:t>L’article 352 de la Loi permet de prolonger le délai de production de la réclamation ou de relever une personne des conséquences de son défaut de le respecter lorsqu’il existe un motif raisonnable. </w:t>
      </w:r>
    </w:p>
    <w:p w14:paraId="22158E01" w14:textId="77777777" w:rsidR="00DD3BD7" w:rsidRDefault="00DD3BD7" w:rsidP="00DD3BD7">
      <w:pPr>
        <w:pStyle w:val="corpsdedcision"/>
        <w:tabs>
          <w:tab w:val="num" w:pos="360"/>
        </w:tabs>
      </w:pPr>
      <w:r>
        <w:t>L</w:t>
      </w:r>
      <w:r w:rsidRPr="0004203C">
        <w:t>a jurisprudence</w:t>
      </w:r>
      <w:r>
        <w:rPr>
          <w:rStyle w:val="Appelnotedebasdep"/>
        </w:rPr>
        <w:footnoteReference w:id="4"/>
      </w:r>
      <w:r>
        <w:t xml:space="preserve"> </w:t>
      </w:r>
      <w:r w:rsidRPr="0004203C">
        <w:t xml:space="preserve">a établi qu’un motif raisonnable est un motif non farfelu, crédible et qui fait preuve de bon sens, de mesures et de réflexion. </w:t>
      </w:r>
      <w:r>
        <w:t>Aussi,</w:t>
      </w:r>
      <w:r w:rsidRPr="0004203C">
        <w:t xml:space="preserve"> l</w:t>
      </w:r>
      <w:r>
        <w:t>e</w:t>
      </w:r>
      <w:r w:rsidRPr="0004203C">
        <w:t xml:space="preserve"> travailleu</w:t>
      </w:r>
      <w:r>
        <w:t>r</w:t>
      </w:r>
      <w:r w:rsidRPr="0004203C">
        <w:t xml:space="preserve"> doit faire preuve de diligence dans l’exercice de ses droits </w:t>
      </w:r>
      <w:r>
        <w:t>et</w:t>
      </w:r>
      <w:r w:rsidRPr="0004203C">
        <w:t xml:space="preserve"> dans la conduite de son dossier.</w:t>
      </w:r>
    </w:p>
    <w:p w14:paraId="78CCFA60" w14:textId="77777777" w:rsidR="00DD3BD7" w:rsidRDefault="00DD3BD7" w:rsidP="00DD3BD7">
      <w:pPr>
        <w:pStyle w:val="corpsdedcision"/>
        <w:tabs>
          <w:tab w:val="num" w:pos="360"/>
        </w:tabs>
      </w:pPr>
      <w:r>
        <w:t xml:space="preserve">La Cour d’appel, dans l’affaire </w:t>
      </w:r>
      <w:r w:rsidRPr="00C34577">
        <w:rPr>
          <w:i/>
        </w:rPr>
        <w:t>Boissonneault</w:t>
      </w:r>
      <w:r w:rsidRPr="00C34577">
        <w:t xml:space="preserve"> c. </w:t>
      </w:r>
      <w:r w:rsidRPr="00C34577">
        <w:rPr>
          <w:i/>
        </w:rPr>
        <w:t>Constructions Marquis Laflamme inc.</w:t>
      </w:r>
      <w:r w:rsidRPr="00422356">
        <w:rPr>
          <w:rStyle w:val="Appelnotedebasdep"/>
        </w:rPr>
        <w:footnoteReference w:id="5"/>
      </w:r>
      <w:r>
        <w:t>, interprète cette disposition de manière à protéger les droits du justiciable :</w:t>
      </w:r>
    </w:p>
    <w:p w14:paraId="6AAE1E99" w14:textId="77777777" w:rsidR="00DD3BD7" w:rsidRDefault="00DD3BD7" w:rsidP="00DD3BD7">
      <w:pPr>
        <w:pStyle w:val="citation"/>
      </w:pPr>
      <w:r w:rsidRPr="0004203C">
        <w:t>[28]</w:t>
      </w:r>
      <w:r w:rsidRPr="0004203C">
        <w:tab/>
        <w:t>La L.a.t.m.p., législation d’ordre public à vocation hautement sociale, doit recevoir «</w:t>
      </w:r>
      <w:r>
        <w:t> </w:t>
      </w:r>
      <w:r w:rsidRPr="0004203C">
        <w:t>une interprétation large et libérale, qui assure l’accomplissement de son objet et l’exécution de ses prescriptions suivant leurs véritables sens, esprit et fin</w:t>
      </w:r>
      <w:r>
        <w:t> </w:t>
      </w:r>
      <w:r w:rsidRPr="0004203C">
        <w:t>». Par ailleurs, en matière de déchéance de droit, il paraît raisonnable d</w:t>
      </w:r>
      <w:r>
        <w:t>’</w:t>
      </w:r>
      <w:r w:rsidRPr="0004203C">
        <w:t>interpréter les dispositions de la loi de manière à protéger les droits du justiciable. C’est certes le cas lorsque la législation dont il s’agit en est une, comme en l’espèce, à vocation sociale.</w:t>
      </w:r>
    </w:p>
    <w:p w14:paraId="34D8B8D0" w14:textId="77777777" w:rsidR="00DD3BD7" w:rsidRDefault="00DD3BD7" w:rsidP="00DD3BD7">
      <w:pPr>
        <w:pStyle w:val="citation"/>
      </w:pPr>
    </w:p>
    <w:p w14:paraId="7936C63F" w14:textId="77777777" w:rsidR="00DD3BD7" w:rsidRPr="00733957" w:rsidRDefault="00DD3BD7" w:rsidP="00DD3BD7">
      <w:pPr>
        <w:pStyle w:val="citation"/>
        <w:rPr>
          <w:sz w:val="24"/>
          <w:szCs w:val="24"/>
        </w:rPr>
      </w:pPr>
      <w:r w:rsidRPr="00733957">
        <w:rPr>
          <w:sz w:val="24"/>
          <w:szCs w:val="24"/>
        </w:rPr>
        <w:t xml:space="preserve">[Notes omises] </w:t>
      </w:r>
    </w:p>
    <w:p w14:paraId="4560520D" w14:textId="77777777" w:rsidR="00DD3BD7" w:rsidRDefault="00DD3BD7" w:rsidP="00DD3BD7">
      <w:pPr>
        <w:pStyle w:val="citation"/>
      </w:pPr>
    </w:p>
    <w:p w14:paraId="1B389D9C" w14:textId="77777777" w:rsidR="00DD3BD7" w:rsidRDefault="00DD3BD7" w:rsidP="00DD3BD7">
      <w:pPr>
        <w:pStyle w:val="citation"/>
      </w:pPr>
    </w:p>
    <w:p w14:paraId="660317D3" w14:textId="77777777" w:rsidR="00DD3BD7" w:rsidRPr="003A21D4" w:rsidRDefault="00DD3BD7" w:rsidP="00DD3BD7">
      <w:pPr>
        <w:pStyle w:val="corpsdedcision"/>
      </w:pPr>
      <w:r w:rsidRPr="003A21D4">
        <w:t>La négligence d’un représentant</w:t>
      </w:r>
      <w:r>
        <w:t>,</w:t>
      </w:r>
      <w:r w:rsidRPr="003A21D4">
        <w:t xml:space="preserve"> alors que l</w:t>
      </w:r>
      <w:r>
        <w:t>e</w:t>
      </w:r>
      <w:r w:rsidRPr="003A21D4">
        <w:t xml:space="preserve"> travailleu</w:t>
      </w:r>
      <w:r>
        <w:t>r</w:t>
      </w:r>
      <w:r w:rsidRPr="003A21D4">
        <w:t xml:space="preserve"> a </w:t>
      </w:r>
      <w:r>
        <w:t>lui</w:t>
      </w:r>
      <w:r w:rsidRPr="003A21D4">
        <w:t>-même fait preuve de diligence</w:t>
      </w:r>
      <w:r>
        <w:t>,</w:t>
      </w:r>
      <w:r w:rsidRPr="003A21D4">
        <w:t xml:space="preserve"> constitue un motif raisonnable selon une jurisprudence constante du Tribunal</w:t>
      </w:r>
      <w:r w:rsidRPr="003A21D4">
        <w:rPr>
          <w:vertAlign w:val="superscript"/>
        </w:rPr>
        <w:footnoteReference w:id="6"/>
      </w:r>
      <w:r w:rsidRPr="003A21D4">
        <w:t xml:space="preserve">. </w:t>
      </w:r>
    </w:p>
    <w:p w14:paraId="1FB5F5A9" w14:textId="64BC0547" w:rsidR="00DD3BD7" w:rsidRDefault="00DD3BD7" w:rsidP="00DD3BD7">
      <w:pPr>
        <w:pStyle w:val="corpsdedcision"/>
        <w:tabs>
          <w:tab w:val="num" w:pos="360"/>
        </w:tabs>
      </w:pPr>
      <w:r>
        <w:t xml:space="preserve">En appliquant ces principes </w:t>
      </w:r>
      <w:r w:rsidR="004723D4">
        <w:t>à la trame factuelle</w:t>
      </w:r>
      <w:r>
        <w:t xml:space="preserve"> du dossier du travailleur, le Tribunal conclut </w:t>
      </w:r>
      <w:r w:rsidR="004723D4">
        <w:t>qu’il</w:t>
      </w:r>
      <w:r>
        <w:t xml:space="preserve"> a établi, par une preuve prépondérante, un motif raisonnable pour avoir tardé à déposer sa réclamation à la Commission, et ce, pour les motifs suivants.</w:t>
      </w:r>
    </w:p>
    <w:p w14:paraId="229E1F7A" w14:textId="2C64CEEC" w:rsidR="00DD3BD7" w:rsidRDefault="00DD3BD7" w:rsidP="00DD3BD7">
      <w:pPr>
        <w:pStyle w:val="corpsdedcision"/>
        <w:tabs>
          <w:tab w:val="num" w:pos="360"/>
        </w:tabs>
      </w:pPr>
      <w:r>
        <w:t>Le travailleur a offert un témoignage sincère et crédible. Il répondait spontanément aux questions du Tribunal.</w:t>
      </w:r>
      <w:r w:rsidR="00E57A37">
        <w:t xml:space="preserve"> Rappelons également que le travailleur n’est pas familier avec la Loi, n’ayant jamais déposé de réclamation auparavant pour un accident du travail ou une maladie professionnelle. </w:t>
      </w:r>
    </w:p>
    <w:p w14:paraId="502A1DC4" w14:textId="5D59CDDC" w:rsidR="00DD3BD7" w:rsidRDefault="00E57A37" w:rsidP="004C2944">
      <w:pPr>
        <w:pStyle w:val="corpsdedcision"/>
      </w:pPr>
      <w:r>
        <w:t xml:space="preserve">Lorsque l’agente de la Commission apprend que le travailleur a eu la connaissance, lors de sa visite médicale avec le docteur </w:t>
      </w:r>
      <w:r w:rsidRPr="00E57A37">
        <w:t>Varshney</w:t>
      </w:r>
      <w:r>
        <w:t>, que sa surdité était relié</w:t>
      </w:r>
      <w:r w:rsidR="003C54F0">
        <w:t>e</w:t>
      </w:r>
      <w:r>
        <w:t xml:space="preserve"> à son travail, elle lui demande </w:t>
      </w:r>
      <w:r w:rsidR="004723D4">
        <w:t xml:space="preserve">la raison pour laquelle </w:t>
      </w:r>
      <w:r>
        <w:t xml:space="preserve">il n’a pas déposé une réclamation. Sa réponse indique qu’il a été involontairement induit en erreur par son médecin qui lui a laissé croire qu’il n’avait pas droit aux prestations prévues par la Loi vu qu’il était travailleur autonome. Cet extrait des notes évolutives est révélateur : «  </w:t>
      </w:r>
      <w:r w:rsidRPr="00F27B86">
        <w:rPr>
          <w:i/>
          <w:iCs/>
          <w:sz w:val="22"/>
          <w:szCs w:val="22"/>
        </w:rPr>
        <w:t>T m’indique que le médecin lui avait indiqué qu’il était travailleur autonome</w:t>
      </w:r>
      <w:r>
        <w:t> ».</w:t>
      </w:r>
    </w:p>
    <w:p w14:paraId="4A645028" w14:textId="54326562" w:rsidR="00E57A37" w:rsidRDefault="00E57A37" w:rsidP="004C2944">
      <w:pPr>
        <w:pStyle w:val="corpsdedcision"/>
      </w:pPr>
      <w:r>
        <w:t>À l’audience, le travailleur explique avoir revu le docteur Varshney en 2022</w:t>
      </w:r>
      <w:r w:rsidR="00013243">
        <w:t xml:space="preserve"> qui lui prescrit un nouvel audiogramme mais ne produit pas d’attestation médicale. C’est l’audiologiste qui lui propose de déposer une réclamation et le réfère au docteur Youssef Haikal</w:t>
      </w:r>
      <w:r w:rsidR="00096510">
        <w:t>,otorhinolaryngologiste.</w:t>
      </w:r>
      <w:r w:rsidR="00013243">
        <w:t xml:space="preserve"> </w:t>
      </w:r>
      <w:r w:rsidR="00096510">
        <w:t xml:space="preserve">Ce dernier </w:t>
      </w:r>
      <w:r w:rsidR="00013243">
        <w:t xml:space="preserve">produit l’attestation médicale du 9 février 2023 à </w:t>
      </w:r>
      <w:r w:rsidR="00096510">
        <w:t>l’origine</w:t>
      </w:r>
      <w:r w:rsidR="00013243">
        <w:t xml:space="preserve"> de la réclamation en litige.</w:t>
      </w:r>
    </w:p>
    <w:p w14:paraId="5F68ED15" w14:textId="4A2DA86F" w:rsidR="00013243" w:rsidRDefault="00832A15" w:rsidP="00013243">
      <w:pPr>
        <w:pStyle w:val="corpsdedcision"/>
        <w:tabs>
          <w:tab w:val="num" w:pos="360"/>
        </w:tabs>
      </w:pPr>
      <w:r>
        <w:t>Le travailleur ne connaît pas la Loi</w:t>
      </w:r>
      <w:r w:rsidR="00013243">
        <w:t>. Il a fait preuve de diligence dans la recherche de soins et traitements pour sa condition</w:t>
      </w:r>
      <w:r>
        <w:t xml:space="preserve">. En 2017, </w:t>
      </w:r>
      <w:r w:rsidR="00096510">
        <w:t xml:space="preserve">le docteur </w:t>
      </w:r>
      <w:r w:rsidR="000E214E">
        <w:t>Varschney</w:t>
      </w:r>
      <w:r>
        <w:t xml:space="preserve">, lui laisse </w:t>
      </w:r>
      <w:r w:rsidR="00096510">
        <w:t xml:space="preserve">entendre </w:t>
      </w:r>
      <w:r>
        <w:t xml:space="preserve">qu’il n’a pas droit aux prestations </w:t>
      </w:r>
      <w:r w:rsidR="00096510">
        <w:t>prévues par</w:t>
      </w:r>
      <w:r>
        <w:t xml:space="preserve"> la Loi. Ce n’est qu’à l’automne 2022 et au début de 2023</w:t>
      </w:r>
      <w:r w:rsidR="00013243">
        <w:t xml:space="preserve"> qu’il a reçu l’information légale appropriée</w:t>
      </w:r>
      <w:r>
        <w:t xml:space="preserve">. Il </w:t>
      </w:r>
      <w:r w:rsidR="00013243">
        <w:t xml:space="preserve">a </w:t>
      </w:r>
      <w:r>
        <w:t xml:space="preserve">alors </w:t>
      </w:r>
      <w:r w:rsidR="00013243">
        <w:t>présenté sa réclamation dans un court délai.</w:t>
      </w:r>
    </w:p>
    <w:p w14:paraId="396B51E1" w14:textId="60F085EA" w:rsidR="00024582" w:rsidRPr="00024582" w:rsidRDefault="00832A15" w:rsidP="00024582">
      <w:pPr>
        <w:pStyle w:val="corpsdedcision"/>
        <w:tabs>
          <w:tab w:val="num" w:pos="360"/>
        </w:tabs>
        <w:spacing w:after="400"/>
      </w:pPr>
      <w:r>
        <w:t>Est-ce que cette croyance erronée, qui repose nécessairement sur une ignorance d’une particularité de la Loi</w:t>
      </w:r>
      <w:r w:rsidR="00277734">
        <w:t>,</w:t>
      </w:r>
      <w:r>
        <w:t xml:space="preserve"> doit lui être fatale? </w:t>
      </w:r>
      <w:r w:rsidR="00024582" w:rsidRPr="00024582">
        <w:t>La réponse est non. Le Tribunal apporte un bémol au vieil adage « </w:t>
      </w:r>
      <w:r w:rsidR="00024582" w:rsidRPr="00024582">
        <w:rPr>
          <w:i/>
          <w:sz w:val="22"/>
          <w:szCs w:val="22"/>
        </w:rPr>
        <w:t>nul n’est censé ignorer la loi</w:t>
      </w:r>
      <w:r w:rsidR="00024582" w:rsidRPr="00024582">
        <w:t xml:space="preserve"> » dans l’affaire </w:t>
      </w:r>
      <w:r w:rsidR="00024582" w:rsidRPr="00024582">
        <w:rPr>
          <w:i/>
        </w:rPr>
        <w:t>Hamel</w:t>
      </w:r>
      <w:r w:rsidR="00024582" w:rsidRPr="00024582">
        <w:t xml:space="preserve"> et </w:t>
      </w:r>
      <w:r w:rsidR="00024582" w:rsidRPr="00024582">
        <w:rPr>
          <w:i/>
        </w:rPr>
        <w:t>Produits Chanteclerc inc. Extra</w:t>
      </w:r>
      <w:r w:rsidR="00024582" w:rsidRPr="00024582">
        <w:rPr>
          <w:vertAlign w:val="superscript"/>
        </w:rPr>
        <w:footnoteReference w:id="7"/>
      </w:r>
      <w:r w:rsidR="00024582" w:rsidRPr="00024582">
        <w:t>. On y cite cet extrait d’un discours du ministre de la Justice portant sur le sujet : « </w:t>
      </w:r>
      <w:r w:rsidR="00024582" w:rsidRPr="00024582">
        <w:rPr>
          <w:i/>
          <w:sz w:val="22"/>
        </w:rPr>
        <w:t>Cette prémisse ne signifie pas que l’on doit attendre de chacun qu’il ait une connaissance adéquate de toutes les règles de droit qui régissent la vie en société tant celles-ci sont nombreuses et souvent complexes</w:t>
      </w:r>
      <w:r w:rsidR="00024582" w:rsidRPr="00024582">
        <w:t>. »</w:t>
      </w:r>
    </w:p>
    <w:p w14:paraId="6530EF11" w14:textId="77777777" w:rsidR="00024582" w:rsidRPr="00024582" w:rsidRDefault="00024582" w:rsidP="00024582">
      <w:pPr>
        <w:numPr>
          <w:ilvl w:val="0"/>
          <w:numId w:val="1"/>
        </w:numPr>
        <w:tabs>
          <w:tab w:val="left" w:pos="720"/>
        </w:tabs>
        <w:spacing w:after="360"/>
        <w:jc w:val="both"/>
      </w:pPr>
      <w:r w:rsidRPr="00024582">
        <w:t>La citation</w:t>
      </w:r>
      <w:r w:rsidRPr="00024582">
        <w:rPr>
          <w:vertAlign w:val="superscript"/>
        </w:rPr>
        <w:footnoteReference w:id="8"/>
      </w:r>
      <w:r w:rsidRPr="00024582">
        <w:t xml:space="preserve"> suivante est également souvent reprise : « </w:t>
      </w:r>
      <w:r w:rsidRPr="00024582">
        <w:rPr>
          <w:i/>
          <w:iCs/>
          <w:sz w:val="22"/>
          <w:szCs w:val="22"/>
        </w:rPr>
        <w:t>Il faut être prudent avant de disposer des droits d’un justiciable, surtout lorsqu’il n’est pas au courant de l’étendue de ses droits et qu’on ne peut présumer qu’il le soit </w:t>
      </w:r>
      <w:r w:rsidRPr="00024582">
        <w:t xml:space="preserve">». </w:t>
      </w:r>
    </w:p>
    <w:p w14:paraId="3E81748B" w14:textId="194F8F07" w:rsidR="00832A15" w:rsidRDefault="00832A15" w:rsidP="00381429">
      <w:pPr>
        <w:pStyle w:val="corpsdedcision"/>
        <w:tabs>
          <w:tab w:val="num" w:pos="360"/>
        </w:tabs>
      </w:pPr>
      <w:r>
        <w:t xml:space="preserve">Le statut de travailleur autonome est une notion complexe qui n’est pas à la portée de chacun. </w:t>
      </w:r>
      <w:r w:rsidR="00024582">
        <w:t>Le travailleur n’a aucune raison de mettre en doute l’information</w:t>
      </w:r>
      <w:r w:rsidR="00733548">
        <w:t xml:space="preserve"> malheureusement erronée</w:t>
      </w:r>
      <w:r w:rsidR="00024582">
        <w:t xml:space="preserve"> provenan</w:t>
      </w:r>
      <w:r w:rsidR="00733548">
        <w:t>t</w:t>
      </w:r>
      <w:r w:rsidR="00024582">
        <w:t xml:space="preserve"> de son médecin </w:t>
      </w:r>
      <w:r w:rsidR="00733548">
        <w:t xml:space="preserve">dont la spécialité comprend la surdité professionnelle. </w:t>
      </w:r>
      <w:r w:rsidR="00677D52">
        <w:t xml:space="preserve">Le </w:t>
      </w:r>
      <w:r>
        <w:t>Tribunal arrive à la conclusion que le travailleur a démontré un motif raisonnable permettant de le relever de son défaut d’avoir produit tardivement sa réclamation pour une lésion professionnelle. En conséquence, la réclamation du travailleur est recevable.</w:t>
      </w:r>
    </w:p>
    <w:p w14:paraId="1131E81D" w14:textId="1CAC1522" w:rsidR="00832A15" w:rsidRPr="00832A15" w:rsidRDefault="00832A15" w:rsidP="00C5790C">
      <w:pPr>
        <w:pStyle w:val="corpsdedcision"/>
        <w:numPr>
          <w:ilvl w:val="0"/>
          <w:numId w:val="0"/>
        </w:numPr>
        <w:spacing w:after="480"/>
        <w:rPr>
          <w:b/>
          <w:bCs/>
        </w:rPr>
      </w:pPr>
      <w:r w:rsidRPr="00832A15">
        <w:rPr>
          <w:b/>
          <w:bCs/>
        </w:rPr>
        <w:t>Le travailleur a-t-il fait la preuve qu’il est atteint d’une maladie professionnelle, soit une surdité professionnelle ?</w:t>
      </w:r>
    </w:p>
    <w:p w14:paraId="007102A2" w14:textId="77777777" w:rsidR="009867BB" w:rsidRPr="0046699C" w:rsidRDefault="009867BB" w:rsidP="009867BB">
      <w:pPr>
        <w:pStyle w:val="corpsdedcision"/>
        <w:tabs>
          <w:tab w:val="num" w:pos="360"/>
        </w:tabs>
      </w:pPr>
      <w:r w:rsidRPr="0046699C">
        <w:t>Le Tribunal conclut que le travailleur est atteint d’une maladie professionnelle pour les motifs qui suivent.</w:t>
      </w:r>
    </w:p>
    <w:p w14:paraId="0A7EB827" w14:textId="77777777" w:rsidR="009867BB" w:rsidRPr="0046699C" w:rsidRDefault="009867BB" w:rsidP="009867BB">
      <w:pPr>
        <w:pStyle w:val="corpsdedcision"/>
        <w:tabs>
          <w:tab w:val="num" w:pos="360"/>
        </w:tabs>
      </w:pPr>
      <w:r w:rsidRPr="0046699C">
        <w:t>L’article 28.1 de la Loi concerne les maladies professionnelles dont le diagnostic est une atteinte auditive</w:t>
      </w:r>
      <w:r>
        <w:t>. Il</w:t>
      </w:r>
      <w:r w:rsidRPr="0046699C">
        <w:t xml:space="preserve"> est entré en vigueur le 6 octobre 2021</w:t>
      </w:r>
      <w:r w:rsidRPr="0046699C">
        <w:rPr>
          <w:rStyle w:val="Appelnotedebasdep"/>
        </w:rPr>
        <w:footnoteReference w:id="9"/>
      </w:r>
      <w:r w:rsidRPr="0046699C">
        <w:t xml:space="preserve"> et prévoit ce qui suit : « </w:t>
      </w:r>
      <w:r w:rsidRPr="008D4C84">
        <w:rPr>
          <w:rStyle w:val="Citationintgre"/>
        </w:rPr>
        <w:t>Un travailleur atteint d’une maladie dont le diagnostic est une atteinte auditive causée par le bruit peut produire une réclamation pour maladie professionnelle s’il satisfait aux critères d’admissibilité prévus par règlement</w:t>
      </w:r>
      <w:r w:rsidRPr="0046699C">
        <w:t>. »</w:t>
      </w:r>
    </w:p>
    <w:p w14:paraId="3A6B6598" w14:textId="77777777" w:rsidR="009867BB" w:rsidRPr="0046699C" w:rsidRDefault="009867BB" w:rsidP="009867BB">
      <w:pPr>
        <w:pStyle w:val="corpsdedcision"/>
        <w:tabs>
          <w:tab w:val="num" w:pos="360"/>
        </w:tabs>
      </w:pPr>
      <w:r w:rsidRPr="0046699C">
        <w:t>Cette disposition de droit nouveau ne s’applique pas puisqu’aucun « critère d’admissibilité prévu par règlement » n’a encore été adopté. Par conséquent, le cadre d’analyse développé par le Tribunal dans l’interprétation de l’article 29 de la Loi continue de s’appliquer</w:t>
      </w:r>
      <w:r w:rsidRPr="0046699C">
        <w:rPr>
          <w:rStyle w:val="Appelnotedebasdep"/>
        </w:rPr>
        <w:footnoteReference w:id="10"/>
      </w:r>
      <w:r w:rsidRPr="0046699C">
        <w:t>. Cet article a pour but de faciliter la preuve de la survenance d’une maladie professionnelle. Il se lit comme suit :</w:t>
      </w:r>
    </w:p>
    <w:p w14:paraId="45254AC1" w14:textId="77777777" w:rsidR="009867BB" w:rsidRPr="0046699C" w:rsidRDefault="009867BB" w:rsidP="009867BB">
      <w:pPr>
        <w:pStyle w:val="articlesdelaLATMP"/>
        <w:spacing w:after="360"/>
        <w:rPr>
          <w:bCs/>
        </w:rPr>
      </w:pPr>
      <w:r w:rsidRPr="00277693">
        <w:rPr>
          <w:b/>
        </w:rPr>
        <w:t xml:space="preserve">29. </w:t>
      </w:r>
      <w:r w:rsidRPr="00277693">
        <w:rPr>
          <w:bCs/>
        </w:rPr>
        <w:t>Un travailleur est présumé atteint d’une maladie professionnelle s’il est atteint d’une maladie prévue par règlement et si, au jour où il reçoit le diagnostic de cette maladie, il rencontre les conditions particulières en lien avec cette maladie prévues par règlement.</w:t>
      </w:r>
    </w:p>
    <w:p w14:paraId="42B197B1" w14:textId="7D39C944" w:rsidR="009867BB" w:rsidRPr="0046699C" w:rsidRDefault="009867BB" w:rsidP="009867BB">
      <w:pPr>
        <w:pStyle w:val="corpsdedcision"/>
        <w:tabs>
          <w:tab w:val="num" w:pos="360"/>
        </w:tabs>
      </w:pPr>
      <w:r w:rsidRPr="0046699C">
        <w:t xml:space="preserve">L’annexe A du </w:t>
      </w:r>
      <w:r w:rsidRPr="0046699C">
        <w:rPr>
          <w:i/>
        </w:rPr>
        <w:t>Règlement sur les maladies professionnelles</w:t>
      </w:r>
      <w:r w:rsidRPr="0046699C">
        <w:rPr>
          <w:rStyle w:val="Appelnotedebasdep"/>
          <w:iCs/>
        </w:rPr>
        <w:footnoteReference w:id="11"/>
      </w:r>
      <w:r w:rsidRPr="0046699C">
        <w:t xml:space="preserve"> prévoit l’atteinte auditive causée par le bruit </w:t>
      </w:r>
      <w:r w:rsidR="00733548">
        <w:t xml:space="preserve">dans la </w:t>
      </w:r>
      <w:r w:rsidRPr="0046699C">
        <w:t xml:space="preserve">liste des maladies. Le travail correspondant </w:t>
      </w:r>
      <w:r>
        <w:t xml:space="preserve">en </w:t>
      </w:r>
      <w:r w:rsidRPr="0046699C">
        <w:t xml:space="preserve">est un </w:t>
      </w:r>
      <w:r>
        <w:t>qui</w:t>
      </w:r>
      <w:r w:rsidRPr="0046699C">
        <w:t xml:space="preserve"> impliqu</w:t>
      </w:r>
      <w:r>
        <w:t>e</w:t>
      </w:r>
      <w:r w:rsidRPr="0046699C">
        <w:t xml:space="preserve"> une exposition à un bruit excessif.</w:t>
      </w:r>
    </w:p>
    <w:p w14:paraId="1EB00A84" w14:textId="77777777" w:rsidR="00733548" w:rsidRPr="0046699C" w:rsidRDefault="00733548" w:rsidP="00733548">
      <w:pPr>
        <w:pStyle w:val="corpsdedcision"/>
        <w:tabs>
          <w:tab w:val="num" w:pos="360"/>
        </w:tabs>
      </w:pPr>
      <w:r w:rsidRPr="0046699C">
        <w:t xml:space="preserve">Ainsi, pour établir qu’il est atteint d’une surdité professionnelle, le travailleur doit démontrer par une preuve prépondérante qu’il </w:t>
      </w:r>
      <w:r w:rsidRPr="004F2107">
        <w:t xml:space="preserve">est </w:t>
      </w:r>
      <w:r w:rsidRPr="008D4C84">
        <w:t>affecté</w:t>
      </w:r>
      <w:r w:rsidRPr="004F2107">
        <w:t xml:space="preserve"> d’une </w:t>
      </w:r>
      <w:r w:rsidRPr="008D4C84">
        <w:t>atteinte</w:t>
      </w:r>
      <w:r w:rsidRPr="004F2107">
        <w:t xml:space="preserve"> auditive causée par le bruit et qu’il a exercé un travail impliquant une exposition à un bruit</w:t>
      </w:r>
      <w:r w:rsidRPr="0046699C">
        <w:t xml:space="preserve"> excessif.</w:t>
      </w:r>
    </w:p>
    <w:p w14:paraId="62901BA1" w14:textId="77777777" w:rsidR="00733548" w:rsidRPr="0046699C" w:rsidRDefault="00733548" w:rsidP="00733548">
      <w:pPr>
        <w:pStyle w:val="Titre4"/>
        <w:spacing w:after="360"/>
      </w:pPr>
      <w:r w:rsidRPr="0046699C">
        <w:t>Atteinte auditive causée par le bruit</w:t>
      </w:r>
    </w:p>
    <w:p w14:paraId="4D80D9BC" w14:textId="77777777" w:rsidR="00733548" w:rsidRPr="0046699C" w:rsidRDefault="00733548" w:rsidP="00733548">
      <w:pPr>
        <w:pStyle w:val="corpsdedcision"/>
        <w:tabs>
          <w:tab w:val="num" w:pos="360"/>
          <w:tab w:val="num" w:pos="720"/>
        </w:tabs>
      </w:pPr>
      <w:r w:rsidRPr="0046699C">
        <w:t xml:space="preserve">Au stade de l’application de la présomption, le travailleur </w:t>
      </w:r>
      <w:r>
        <w:t xml:space="preserve">doit </w:t>
      </w:r>
      <w:r w:rsidRPr="0046699C">
        <w:t>démontrer que sa surdité est compatible avec une atteinte auditive causée par une exposition au bruit, soit une surdité neurosensorielle bilatérale, symétrique et plus sévère dans les hautes fréquences.</w:t>
      </w:r>
    </w:p>
    <w:p w14:paraId="747E39E1" w14:textId="4D5F77E8" w:rsidR="00733548" w:rsidRPr="0046699C" w:rsidRDefault="00733548" w:rsidP="0073682E">
      <w:pPr>
        <w:pStyle w:val="corpsdedcision"/>
        <w:tabs>
          <w:tab w:val="num" w:pos="360"/>
          <w:tab w:val="num" w:pos="720"/>
        </w:tabs>
      </w:pPr>
      <w:r w:rsidRPr="0046699C">
        <w:t xml:space="preserve">Le Tribunal est d’avis que le travailleur a démontré par une preuve prépondérante qu’il </w:t>
      </w:r>
      <w:r w:rsidR="00677D52">
        <w:t>souffre d’</w:t>
      </w:r>
      <w:r w:rsidRPr="0046699C">
        <w:t>une atteinte auditive causée par le bruit</w:t>
      </w:r>
      <w:r w:rsidR="00FC3344">
        <w:t xml:space="preserve">. </w:t>
      </w:r>
      <w:r w:rsidRPr="0046699C">
        <w:t xml:space="preserve">Dans son rapport du </w:t>
      </w:r>
      <w:r w:rsidRPr="00D03E78">
        <w:t>12 juillet 2022, l’audiologiste écrit notamment que le travailleur a été exposé au bruit dans son</w:t>
      </w:r>
      <w:r w:rsidRPr="0046699C">
        <w:t xml:space="preserve"> travail </w:t>
      </w:r>
      <w:r>
        <w:t xml:space="preserve">de camionneur depuis environ 25 ans. Il </w:t>
      </w:r>
      <w:r w:rsidRPr="0046699C">
        <w:t xml:space="preserve">conclut à une surdité neurosensorielle </w:t>
      </w:r>
      <w:r w:rsidR="003C03B9">
        <w:t>bilatérale p</w:t>
      </w:r>
      <w:r w:rsidRPr="0046699C">
        <w:t>lus importante dans les hautes fréquences</w:t>
      </w:r>
      <w:r w:rsidR="003C03B9">
        <w:t xml:space="preserve">. Le Tribunal constate que l’audiogramme présente une encoche caractéristique </w:t>
      </w:r>
      <w:r w:rsidRPr="0046699C">
        <w:t xml:space="preserve">compatible avec une exposition au bruit. </w:t>
      </w:r>
    </w:p>
    <w:p w14:paraId="297F66A6" w14:textId="4DF08F11" w:rsidR="00733548" w:rsidRPr="0046699C" w:rsidRDefault="00733548" w:rsidP="00733548">
      <w:pPr>
        <w:pStyle w:val="corpsdedcision"/>
        <w:tabs>
          <w:tab w:val="num" w:pos="360"/>
        </w:tabs>
      </w:pPr>
      <w:r w:rsidRPr="0046699C">
        <w:t xml:space="preserve">Le </w:t>
      </w:r>
      <w:r w:rsidR="003C03B9">
        <w:t>9 février</w:t>
      </w:r>
      <w:r>
        <w:t xml:space="preserve"> </w:t>
      </w:r>
      <w:r w:rsidRPr="0046699C">
        <w:t>202</w:t>
      </w:r>
      <w:r w:rsidR="003C03B9">
        <w:t>3</w:t>
      </w:r>
      <w:r w:rsidRPr="0046699C">
        <w:t xml:space="preserve">, le docteur </w:t>
      </w:r>
      <w:r w:rsidR="003C03B9">
        <w:t>Haikal</w:t>
      </w:r>
      <w:r w:rsidRPr="0046699C">
        <w:t xml:space="preserve"> remplit une attestation médicale sur le formulaire de la Commission indiquant que le travailleur est atteint de surdité </w:t>
      </w:r>
      <w:r w:rsidR="003C03B9">
        <w:t xml:space="preserve">neurosensorielle bilatérale causée par le </w:t>
      </w:r>
      <w:r w:rsidRPr="0046699C">
        <w:t>bruit</w:t>
      </w:r>
      <w:r w:rsidR="003C03B9">
        <w:t>.</w:t>
      </w:r>
    </w:p>
    <w:p w14:paraId="1791B62A" w14:textId="77777777" w:rsidR="00733548" w:rsidRPr="0046699C" w:rsidRDefault="00733548" w:rsidP="00733548">
      <w:pPr>
        <w:pStyle w:val="Titre4"/>
      </w:pPr>
      <w:r w:rsidRPr="0046699C">
        <w:t>Travail impliquant une exposition à un bruit excessif</w:t>
      </w:r>
    </w:p>
    <w:p w14:paraId="4C062427" w14:textId="77777777" w:rsidR="00733548" w:rsidRPr="0046699C" w:rsidRDefault="00733548" w:rsidP="00733548">
      <w:pPr>
        <w:pStyle w:val="corpsdedcision"/>
        <w:tabs>
          <w:tab w:val="num" w:pos="360"/>
        </w:tabs>
      </w:pPr>
      <w:r w:rsidRPr="0046699C">
        <w:t>Le Tribunal conclut que l</w:t>
      </w:r>
      <w:r>
        <w:t>’e</w:t>
      </w:r>
      <w:r w:rsidRPr="0046699C">
        <w:t xml:space="preserve">mploi </w:t>
      </w:r>
      <w:r>
        <w:t>de camionneur exercé par le</w:t>
      </w:r>
      <w:r w:rsidRPr="0046699C">
        <w:t xml:space="preserve"> travailleur </w:t>
      </w:r>
      <w:r>
        <w:t>l’a</w:t>
      </w:r>
      <w:r w:rsidRPr="0046699C">
        <w:t xml:space="preserve"> exposé à un bruit excessif pour les motifs qui suivent.</w:t>
      </w:r>
    </w:p>
    <w:p w14:paraId="22A5BD2B" w14:textId="1F296C28" w:rsidR="00733548" w:rsidRPr="0046699C" w:rsidRDefault="00733548" w:rsidP="00733548">
      <w:pPr>
        <w:pStyle w:val="corpsdedcision"/>
        <w:tabs>
          <w:tab w:val="num" w:pos="360"/>
        </w:tabs>
      </w:pPr>
      <w:r w:rsidRPr="0046699C">
        <w:t xml:space="preserve">La notion de </w:t>
      </w:r>
      <w:r>
        <w:t>« </w:t>
      </w:r>
      <w:r w:rsidRPr="0046699C">
        <w:t>bruit excessif</w:t>
      </w:r>
      <w:r>
        <w:t> »</w:t>
      </w:r>
      <w:r w:rsidRPr="0046699C">
        <w:t xml:space="preserve"> n’est pas définie </w:t>
      </w:r>
      <w:r w:rsidR="00516922">
        <w:t>par</w:t>
      </w:r>
      <w:r w:rsidR="00516922" w:rsidRPr="0046699C">
        <w:t xml:space="preserve"> </w:t>
      </w:r>
      <w:r w:rsidRPr="0046699C">
        <w:t>la Loi. La jurisprudence du Tribunal</w:t>
      </w:r>
      <w:r w:rsidRPr="0046699C">
        <w:rPr>
          <w:rStyle w:val="Appelnotedebasdep"/>
        </w:rPr>
        <w:footnoteReference w:id="12"/>
      </w:r>
      <w:r w:rsidRPr="0046699C">
        <w:t xml:space="preserve"> s’en remet au sens commun qu</w:t>
      </w:r>
      <w:r>
        <w:t>e l</w:t>
      </w:r>
      <w:r w:rsidRPr="0046699C">
        <w:t xml:space="preserve">’on retrouve dans les dictionnaires de la langue française, soit : un bruit </w:t>
      </w:r>
      <w:r w:rsidRPr="0046699C">
        <w:rPr>
          <w:rStyle w:val="Citationintgre"/>
          <w:i w:val="0"/>
          <w:sz w:val="24"/>
          <w:szCs w:val="24"/>
        </w:rPr>
        <w:t>«</w:t>
      </w:r>
      <w:r w:rsidRPr="0046699C">
        <w:rPr>
          <w:rStyle w:val="Citationintgre"/>
        </w:rPr>
        <w:t> qui dépasse la mesure souhaitable ou permise ; qui est trop grand, trop important </w:t>
      </w:r>
      <w:r w:rsidRPr="0046699C">
        <w:rPr>
          <w:rStyle w:val="Citationintgre"/>
          <w:i w:val="0"/>
          <w:sz w:val="24"/>
          <w:szCs w:val="24"/>
        </w:rPr>
        <w:t>»</w:t>
      </w:r>
      <w:r>
        <w:rPr>
          <w:rStyle w:val="Appelnotedebasdep"/>
          <w:szCs w:val="24"/>
        </w:rPr>
        <w:footnoteReference w:id="13"/>
      </w:r>
      <w:r>
        <w:t xml:space="preserve">, </w:t>
      </w:r>
      <w:r w:rsidRPr="0046699C">
        <w:rPr>
          <w:rStyle w:val="Citationintgre"/>
          <w:i w:val="0"/>
          <w:sz w:val="24"/>
          <w:szCs w:val="24"/>
        </w:rPr>
        <w:t>« </w:t>
      </w:r>
      <w:r w:rsidRPr="0046699C">
        <w:rPr>
          <w:rStyle w:val="Citationintgre"/>
        </w:rPr>
        <w:t>qui excède la mesure, exagéré, exorbitant </w:t>
      </w:r>
      <w:r w:rsidRPr="0046699C">
        <w:rPr>
          <w:rStyle w:val="Citationintgre"/>
          <w:i w:val="0"/>
          <w:sz w:val="24"/>
          <w:szCs w:val="24"/>
        </w:rPr>
        <w:t>»</w:t>
      </w:r>
      <w:r>
        <w:rPr>
          <w:rStyle w:val="Appelnotedebasdep"/>
          <w:szCs w:val="24"/>
        </w:rPr>
        <w:footnoteReference w:id="14"/>
      </w:r>
      <w:r w:rsidRPr="0046699C">
        <w:t>.</w:t>
      </w:r>
    </w:p>
    <w:p w14:paraId="4B56DBA9" w14:textId="77777777" w:rsidR="00733548" w:rsidRPr="0046699C" w:rsidRDefault="00733548" w:rsidP="00733548">
      <w:pPr>
        <w:pStyle w:val="corpsdedcision"/>
        <w:tabs>
          <w:tab w:val="num" w:pos="360"/>
        </w:tabs>
      </w:pPr>
      <w:r w:rsidRPr="0046699C">
        <w:t xml:space="preserve">Le législateur a cependant édicté le </w:t>
      </w:r>
      <w:r w:rsidRPr="0046699C">
        <w:rPr>
          <w:i/>
        </w:rPr>
        <w:t>Règlement sur la santé et la sécurité du travail</w:t>
      </w:r>
      <w:r w:rsidRPr="0046699C">
        <w:rPr>
          <w:rStyle w:val="Appelnotedebasdep"/>
        </w:rPr>
        <w:footnoteReference w:id="15"/>
      </w:r>
      <w:r w:rsidRPr="0046699C">
        <w:rPr>
          <w:i/>
        </w:rPr>
        <w:t xml:space="preserve"> </w:t>
      </w:r>
      <w:r w:rsidRPr="0046699C">
        <w:rPr>
          <w:iCs/>
        </w:rPr>
        <w:t>qui</w:t>
      </w:r>
      <w:r w:rsidRPr="0046699C">
        <w:t xml:space="preserve"> prévoit aux articles 130 et suivants, des dispositions relatives au niveau de bruit auquel un travailleur ne doit pas être exposé. Si le législateur avait voulu que la notion de « bruit excessif » soit déterminée selon ces normes, il lui aurait été facile de l’écrire, ce qu’il n’a pas fait. La jurisprudence établit clairement que ces normes réglementaires ne peuvent servir à déterminer ce qu’est un bruit excessif et ne doivent tout au plus que servir d’indicateur</w:t>
      </w:r>
      <w:r w:rsidRPr="0046699C">
        <w:rPr>
          <w:rStyle w:val="Appelnotedebasdep"/>
        </w:rPr>
        <w:footnoteReference w:id="16"/>
      </w:r>
      <w:r w:rsidRPr="0046699C">
        <w:t xml:space="preserve">. </w:t>
      </w:r>
    </w:p>
    <w:p w14:paraId="5E35AF58" w14:textId="77777777" w:rsidR="00733548" w:rsidRPr="0046699C" w:rsidRDefault="00733548" w:rsidP="00733548">
      <w:pPr>
        <w:pStyle w:val="corpsdedcision"/>
        <w:tabs>
          <w:tab w:val="num" w:pos="360"/>
        </w:tabs>
      </w:pPr>
      <w:r w:rsidRPr="0046699C">
        <w:t xml:space="preserve">Le </w:t>
      </w:r>
      <w:r w:rsidRPr="0046699C">
        <w:rPr>
          <w:i/>
          <w:iCs/>
        </w:rPr>
        <w:t>Manuel d’hygiène du travail</w:t>
      </w:r>
      <w:r w:rsidRPr="0046699C">
        <w:rPr>
          <w:rStyle w:val="Appelnotedebasdep"/>
        </w:rPr>
        <w:footnoteReference w:id="17"/>
      </w:r>
      <w:r w:rsidRPr="0046699C">
        <w:t>, cité avec approbation par le Tribunal</w:t>
      </w:r>
      <w:r w:rsidRPr="0046699C">
        <w:rPr>
          <w:rStyle w:val="Appelnotedebasdep"/>
        </w:rPr>
        <w:footnoteReference w:id="18"/>
      </w:r>
      <w:r w:rsidRPr="0046699C">
        <w:t xml:space="preserve">, confirme que le risque de surdité augmente avec la dose d’exposition et qu’il apparaît dès 75 dBA : </w:t>
      </w:r>
    </w:p>
    <w:p w14:paraId="4C94B1B6" w14:textId="77777777" w:rsidR="00733548" w:rsidRPr="0046699C" w:rsidRDefault="00733548" w:rsidP="00733548">
      <w:pPr>
        <w:pStyle w:val="citation"/>
      </w:pPr>
      <w:r w:rsidRPr="0046699C">
        <w:t>Certaines études démontrent que des niveaux de bruit quotidiens de 70 dBA ou moins ne présentent pas de danger pour l’oreille humaine</w:t>
      </w:r>
      <w:r w:rsidRPr="0046699C">
        <w:rPr>
          <w:vertAlign w:val="superscript"/>
        </w:rPr>
        <w:t>11</w:t>
      </w:r>
      <w:r w:rsidRPr="0046699C">
        <w:t xml:space="preserve">. À partir de 85 dBA, pour une exposition de huit heures, un risque important existe pour la plupart des personnes exposées. Il y a donc un certain consensus scientifique : </w:t>
      </w:r>
      <w:r w:rsidRPr="0046699C">
        <w:rPr>
          <w:u w:val="single"/>
        </w:rPr>
        <w:t>le risque augmente avec la dose d’exposition et il apparaît dès 75 dBA à 80 dBA</w:t>
      </w:r>
      <w:r w:rsidRPr="0046699C">
        <w:t>.</w:t>
      </w:r>
    </w:p>
    <w:p w14:paraId="7F727EC9" w14:textId="77777777" w:rsidR="00733548" w:rsidRPr="0046699C" w:rsidRDefault="00733548" w:rsidP="00733548">
      <w:pPr>
        <w:pStyle w:val="citation"/>
      </w:pPr>
    </w:p>
    <w:p w14:paraId="6676E5E5" w14:textId="77777777" w:rsidR="00733548" w:rsidRPr="0046699C" w:rsidRDefault="00733548" w:rsidP="00733548">
      <w:pPr>
        <w:pStyle w:val="corpsdedcision"/>
        <w:numPr>
          <w:ilvl w:val="0"/>
          <w:numId w:val="0"/>
        </w:numPr>
        <w:rPr>
          <w:szCs w:val="24"/>
        </w:rPr>
      </w:pPr>
      <w:r w:rsidRPr="0046699C">
        <w:rPr>
          <w:szCs w:val="24"/>
        </w:rPr>
        <w:tab/>
        <w:t>[Note omise</w:t>
      </w:r>
      <w:r>
        <w:rPr>
          <w:szCs w:val="24"/>
        </w:rPr>
        <w:t xml:space="preserve"> et </w:t>
      </w:r>
      <w:r w:rsidRPr="0046699C">
        <w:rPr>
          <w:szCs w:val="24"/>
        </w:rPr>
        <w:t>notre soulignement]</w:t>
      </w:r>
    </w:p>
    <w:p w14:paraId="7A5E6C36" w14:textId="77777777" w:rsidR="00733548" w:rsidRPr="0046699C" w:rsidRDefault="00733548" w:rsidP="00733548">
      <w:pPr>
        <w:pStyle w:val="corpsdedcision"/>
        <w:tabs>
          <w:tab w:val="num" w:pos="360"/>
        </w:tabs>
      </w:pPr>
      <w:r w:rsidRPr="0046699C">
        <w:t>Il n’est pas nécessaire que le travailleur fasse la preuve du nombre de décibels auxquels il a été exposé dans chacun de</w:t>
      </w:r>
      <w:r>
        <w:t xml:space="preserve"> </w:t>
      </w:r>
      <w:r w:rsidRPr="0046699C">
        <w:t>s</w:t>
      </w:r>
      <w:r>
        <w:t>es</w:t>
      </w:r>
      <w:r w:rsidRPr="0046699C">
        <w:t xml:space="preserve"> emplois ou en fonction des outils utilisés, afin de conclure qu’il est exposé à un bruit excessif au sens de la Loi. Une telle exigence rendrait l’application de la présomption impossible pour un grand nombre de travailleurs</w:t>
      </w:r>
      <w:r w:rsidRPr="0046699C">
        <w:rPr>
          <w:rStyle w:val="Appelnotedebasdep"/>
        </w:rPr>
        <w:footnoteReference w:id="19"/>
      </w:r>
      <w:r w:rsidRPr="0046699C">
        <w:t>. En l’absence d’études de bruits spécifiques chez les employeurs où le travailleur a exercé ses fonctions, le caractère excessif du bruit peut se déduire des faits.</w:t>
      </w:r>
    </w:p>
    <w:p w14:paraId="66F5DE65" w14:textId="0712B2C1" w:rsidR="003C03B9" w:rsidRPr="003C03B9" w:rsidRDefault="00733548" w:rsidP="00733548">
      <w:pPr>
        <w:pStyle w:val="corpsdedcision"/>
        <w:rPr>
          <w:rFonts w:cs="Arial"/>
        </w:rPr>
      </w:pPr>
      <w:r w:rsidRPr="008D4C84">
        <w:rPr>
          <w:rFonts w:cs="Arial"/>
          <w:color w:val="000016"/>
          <w:spacing w:val="2"/>
          <w:shd w:val="clear" w:color="auto" w:fill="FFFFFF"/>
        </w:rPr>
        <w:t xml:space="preserve">Le travailleur conduit des camions depuis </w:t>
      </w:r>
      <w:r w:rsidR="003C03B9">
        <w:rPr>
          <w:rFonts w:cs="Arial"/>
          <w:color w:val="000016"/>
          <w:spacing w:val="2"/>
          <w:shd w:val="clear" w:color="auto" w:fill="FFFFFF"/>
        </w:rPr>
        <w:t>2001</w:t>
      </w:r>
      <w:r w:rsidRPr="008D4C84">
        <w:rPr>
          <w:rFonts w:cs="Arial"/>
          <w:color w:val="000016"/>
          <w:spacing w:val="2"/>
          <w:shd w:val="clear" w:color="auto" w:fill="FFFFFF"/>
        </w:rPr>
        <w:t xml:space="preserve"> et il travaille encore à ce jour. </w:t>
      </w:r>
      <w:r w:rsidR="003C03B9">
        <w:rPr>
          <w:rFonts w:cs="Arial"/>
          <w:color w:val="000016"/>
          <w:spacing w:val="2"/>
          <w:shd w:val="clear" w:color="auto" w:fill="FFFFFF"/>
        </w:rPr>
        <w:t>De</w:t>
      </w:r>
      <w:r w:rsidR="00516922">
        <w:rPr>
          <w:rFonts w:cs="Arial"/>
          <w:color w:val="000016"/>
          <w:spacing w:val="2"/>
          <w:shd w:val="clear" w:color="auto" w:fill="FFFFFF"/>
        </w:rPr>
        <w:t> </w:t>
      </w:r>
      <w:r w:rsidR="003C03B9">
        <w:rPr>
          <w:rFonts w:cs="Arial"/>
          <w:color w:val="000016"/>
          <w:spacing w:val="2"/>
          <w:shd w:val="clear" w:color="auto" w:fill="FFFFFF"/>
        </w:rPr>
        <w:t>2001 à 2009 à titre d’homme de cour, il conduisait un vieux camion avec lequel il reculait des remorques aux quais de réception et d’expédition. Il y avait six portes pour la réception et 12 à 15 portes pour l’expédition. Il passait 75</w:t>
      </w:r>
      <w:r w:rsidR="00516922">
        <w:rPr>
          <w:rFonts w:cs="Arial"/>
          <w:color w:val="000016"/>
          <w:spacing w:val="2"/>
          <w:shd w:val="clear" w:color="auto" w:fill="FFFFFF"/>
        </w:rPr>
        <w:t> </w:t>
      </w:r>
      <w:r w:rsidR="003C03B9">
        <w:rPr>
          <w:rFonts w:cs="Arial"/>
          <w:color w:val="000016"/>
          <w:spacing w:val="2"/>
          <w:shd w:val="clear" w:color="auto" w:fill="FFFFFF"/>
        </w:rPr>
        <w:t>% du temps dans le camion. De plus</w:t>
      </w:r>
      <w:r w:rsidR="0090633A">
        <w:rPr>
          <w:rFonts w:cs="Arial"/>
          <w:color w:val="000016"/>
          <w:spacing w:val="2"/>
          <w:shd w:val="clear" w:color="auto" w:fill="FFFFFF"/>
        </w:rPr>
        <w:t>,</w:t>
      </w:r>
      <w:r w:rsidR="003C03B9">
        <w:rPr>
          <w:rFonts w:cs="Arial"/>
          <w:color w:val="000016"/>
          <w:spacing w:val="2"/>
          <w:shd w:val="clear" w:color="auto" w:fill="FFFFFF"/>
        </w:rPr>
        <w:t xml:space="preserve"> régulièrement, il faisait un transfert de remorque de Boucherville à Laval la nuit, et ce</w:t>
      </w:r>
      <w:r w:rsidR="00516922">
        <w:rPr>
          <w:rFonts w:cs="Arial"/>
          <w:color w:val="000016"/>
          <w:spacing w:val="2"/>
          <w:shd w:val="clear" w:color="auto" w:fill="FFFFFF"/>
        </w:rPr>
        <w:t>,</w:t>
      </w:r>
      <w:r w:rsidR="003C03B9">
        <w:rPr>
          <w:rFonts w:cs="Arial"/>
          <w:color w:val="000016"/>
          <w:spacing w:val="2"/>
          <w:shd w:val="clear" w:color="auto" w:fill="FFFFFF"/>
        </w:rPr>
        <w:t xml:space="preserve"> avant le début de son quart d’homme de cour. Il conduisait</w:t>
      </w:r>
      <w:r w:rsidR="0090633A">
        <w:rPr>
          <w:rFonts w:cs="Arial"/>
          <w:color w:val="000016"/>
          <w:spacing w:val="2"/>
          <w:shd w:val="clear" w:color="auto" w:fill="FFFFFF"/>
        </w:rPr>
        <w:t xml:space="preserve"> également des véhicules pour l’enlèvement de la neige, selon les besoins, avant ou après son quart pour dégager la cour. Enfin, il travaillait régulièrement la fin de semaine également afin de conduire des camions à Stratford en Ontario.</w:t>
      </w:r>
    </w:p>
    <w:p w14:paraId="5F9A4D0F" w14:textId="7192BBD1" w:rsidR="0090633A" w:rsidRPr="0090633A" w:rsidRDefault="0090633A" w:rsidP="00733548">
      <w:pPr>
        <w:pStyle w:val="corpsdedcision"/>
        <w:rPr>
          <w:rFonts w:cs="Arial"/>
        </w:rPr>
      </w:pPr>
      <w:r>
        <w:rPr>
          <w:rFonts w:cs="Arial"/>
        </w:rPr>
        <w:t xml:space="preserve">En 2009, il achète un camion et </w:t>
      </w:r>
      <w:r w:rsidR="00516922">
        <w:rPr>
          <w:rFonts w:cs="Arial"/>
        </w:rPr>
        <w:t xml:space="preserve">parcourt </w:t>
      </w:r>
      <w:r>
        <w:rPr>
          <w:rFonts w:cs="Arial"/>
        </w:rPr>
        <w:t>alors des routes vers Laval, Québec et Boucherville. Travailleur autonome, il travaille environ 60 heures par semaine. De 2009 à 2021, il n’a pas pris de vacances.</w:t>
      </w:r>
    </w:p>
    <w:p w14:paraId="74ECB34B" w14:textId="3F558E17" w:rsidR="00733548" w:rsidRPr="0046699C" w:rsidRDefault="00733548" w:rsidP="00733548">
      <w:pPr>
        <w:pStyle w:val="corpsdedcision"/>
      </w:pPr>
      <w:r w:rsidRPr="008D4C84">
        <w:rPr>
          <w:rFonts w:cs="Arial"/>
          <w:color w:val="000016"/>
          <w:spacing w:val="2"/>
          <w:shd w:val="clear" w:color="auto" w:fill="FFFFFF"/>
        </w:rPr>
        <w:t xml:space="preserve">Le Tribunal a reconnu que le travail d’un camionneur </w:t>
      </w:r>
      <w:r w:rsidR="00DD0E35">
        <w:rPr>
          <w:rFonts w:cs="Arial"/>
          <w:color w:val="000016"/>
          <w:spacing w:val="2"/>
          <w:shd w:val="clear" w:color="auto" w:fill="FFFFFF"/>
        </w:rPr>
        <w:t>est susceptible de</w:t>
      </w:r>
      <w:r w:rsidRPr="008D4C84">
        <w:rPr>
          <w:rFonts w:cs="Arial"/>
          <w:color w:val="000016"/>
          <w:spacing w:val="2"/>
          <w:shd w:val="clear" w:color="auto" w:fill="FFFFFF"/>
        </w:rPr>
        <w:t xml:space="preserve"> l’exposer à des bruits excessifs</w:t>
      </w:r>
      <w:r w:rsidRPr="00786AEF">
        <w:rPr>
          <w:rStyle w:val="Appelnotedebasdep"/>
          <w:rFonts w:cs="Arial"/>
          <w:color w:val="000016"/>
          <w:spacing w:val="2"/>
          <w:shd w:val="clear" w:color="auto" w:fill="FFFFFF"/>
        </w:rPr>
        <w:footnoteReference w:id="20"/>
      </w:r>
      <w:r w:rsidRPr="008D4C84">
        <w:rPr>
          <w:rFonts w:cs="Arial"/>
          <w:color w:val="000016"/>
          <w:spacing w:val="2"/>
          <w:shd w:val="clear" w:color="auto" w:fill="FFFFFF"/>
        </w:rPr>
        <w:t xml:space="preserve">. </w:t>
      </w:r>
      <w:r w:rsidRPr="00786AEF">
        <w:rPr>
          <w:rFonts w:cs="Arial"/>
        </w:rPr>
        <w:t>Le Tribunal est d’avis que le travailleur a démontré par une preuve prépondérante qu’il a effectué un travail où il a été</w:t>
      </w:r>
      <w:r w:rsidRPr="0046699C">
        <w:t xml:space="preserve"> exposé à un bruit excessif et </w:t>
      </w:r>
      <w:r>
        <w:t>en conséquence, i</w:t>
      </w:r>
      <w:r w:rsidRPr="0046699C">
        <w:t>l peut bénéficier de la présomption de l’article 29 de la Loi.</w:t>
      </w:r>
    </w:p>
    <w:p w14:paraId="37A734DD" w14:textId="77777777" w:rsidR="00733548" w:rsidRPr="0046699C" w:rsidRDefault="00733548" w:rsidP="00733548">
      <w:pPr>
        <w:pStyle w:val="corpsdedcision"/>
        <w:tabs>
          <w:tab w:val="num" w:pos="360"/>
        </w:tabs>
      </w:pPr>
      <w:r w:rsidRPr="0046699C">
        <w:t xml:space="preserve">La présomption peut être renversée par une preuve qui démontre que le travail ne peut avoir été la cause de la maladie ou par une preuve démontrant que le niveau d’exposition n’a pas été suffisant pour engendrer la maladie. </w:t>
      </w:r>
    </w:p>
    <w:p w14:paraId="255CDBFE" w14:textId="469B4C00" w:rsidR="00013243" w:rsidRDefault="00733548" w:rsidP="0090633A">
      <w:pPr>
        <w:pStyle w:val="corpsdedcision"/>
        <w:tabs>
          <w:tab w:val="num" w:pos="360"/>
        </w:tabs>
        <w:spacing w:after="480"/>
      </w:pPr>
      <w:r w:rsidRPr="0046699C">
        <w:t xml:space="preserve">Aucun des employeurs du travailleur, absents à l’audience, n’a soumis une telle preuve. Au contraire, le Tribunal est d’avis que non seulement le travailleur a été exposé à des </w:t>
      </w:r>
      <w:r>
        <w:t>bruits excessifs,</w:t>
      </w:r>
      <w:r w:rsidRPr="0046699C">
        <w:t xml:space="preserve"> mais que sa période d’exposition à des bruits excessifs est particulièrement longue, soit de </w:t>
      </w:r>
      <w:r w:rsidR="0090633A">
        <w:t>2001</w:t>
      </w:r>
      <w:r>
        <w:t xml:space="preserve"> à ce jour, en plus de l’exposer pendant </w:t>
      </w:r>
      <w:r w:rsidR="0090633A">
        <w:t>une douzaine d’années</w:t>
      </w:r>
      <w:r>
        <w:t xml:space="preserve"> continues, </w:t>
      </w:r>
      <w:r w:rsidR="0090633A">
        <w:t xml:space="preserve">sans vacances, </w:t>
      </w:r>
      <w:r>
        <w:t xml:space="preserve">et ce, </w:t>
      </w:r>
      <w:r w:rsidR="0090633A">
        <w:t>au rythme de 60 heures par semaines.</w:t>
      </w:r>
    </w:p>
    <w:p w14:paraId="094ACA6F" w14:textId="77777777" w:rsidR="0090633A" w:rsidRDefault="0090633A" w:rsidP="00516922">
      <w:pPr>
        <w:pStyle w:val="corpsdedcision"/>
        <w:tabs>
          <w:tab w:val="num" w:pos="360"/>
        </w:tabs>
        <w:spacing w:after="600"/>
      </w:pPr>
      <w:r>
        <w:t>Le Tribunal arrive à la conclusion que la surdité dont est atteint le travailleur est une maladie professionnelle et qu’il a droit aux prestations prévues à la Loi.</w:t>
      </w:r>
    </w:p>
    <w:p w14:paraId="6E3A0CC0" w14:textId="77777777" w:rsidR="00C74B6F" w:rsidRDefault="00C74B6F">
      <w:pPr>
        <w:pStyle w:val="Dispositif"/>
      </w:pPr>
      <w:r>
        <w:rPr>
          <w:b/>
        </w:rPr>
        <w:t>P</w:t>
      </w:r>
      <w:r w:rsidR="00401325">
        <w:rPr>
          <w:b/>
        </w:rPr>
        <w:t>AR</w:t>
      </w:r>
      <w:r w:rsidR="00D07FA6">
        <w:rPr>
          <w:b/>
        </w:rPr>
        <w:t xml:space="preserve"> CES MOTIFS, LE TRIBUNAL ADMINISTRATIF DU TRAVAIL</w:t>
      </w:r>
      <w:r>
        <w:rPr>
          <w:b/>
        </w:rPr>
        <w:t> :</w:t>
      </w:r>
    </w:p>
    <w:p w14:paraId="67482994" w14:textId="2AF8E44C" w:rsidR="00CE6E88" w:rsidRDefault="00CE6E88" w:rsidP="00CE6E88">
      <w:pPr>
        <w:pStyle w:val="Dispositif"/>
      </w:pPr>
      <w:bookmarkStart w:id="12" w:name="dispositif"/>
      <w:r>
        <w:rPr>
          <w:b/>
        </w:rPr>
        <w:t xml:space="preserve">ACCUEILLE </w:t>
      </w:r>
      <w:r>
        <w:t>la contestation de monsieur Marcello Teoli, le travailleur ;</w:t>
      </w:r>
    </w:p>
    <w:p w14:paraId="56700A33" w14:textId="13E892E8" w:rsidR="00CE6E88" w:rsidRPr="001E74B3" w:rsidRDefault="00CE6E88" w:rsidP="00CE6E88">
      <w:pPr>
        <w:pStyle w:val="Dispositif"/>
      </w:pPr>
      <w:r w:rsidRPr="001E74B3">
        <w:rPr>
          <w:b/>
        </w:rPr>
        <w:t>INFIRME</w:t>
      </w:r>
      <w:r w:rsidRPr="001E74B3">
        <w:t xml:space="preserve"> la décision de la Commission des normes, de l’équité, de la santé et de la sécurité du travail rendue le </w:t>
      </w:r>
      <w:r>
        <w:t>13 novembre 2023</w:t>
      </w:r>
      <w:r w:rsidR="002C7BAB">
        <w:t>,</w:t>
      </w:r>
      <w:r>
        <w:t xml:space="preserve"> </w:t>
      </w:r>
      <w:r w:rsidRPr="001E74B3">
        <w:t>à la suite d’une révision administrative</w:t>
      </w:r>
      <w:r>
        <w:t> </w:t>
      </w:r>
      <w:r w:rsidRPr="001E74B3">
        <w:t>;</w:t>
      </w:r>
    </w:p>
    <w:p w14:paraId="234434E6" w14:textId="24026720" w:rsidR="00CE6E88" w:rsidRDefault="00CE6E88" w:rsidP="00CE6E88">
      <w:pPr>
        <w:pStyle w:val="Dispositif"/>
      </w:pPr>
      <w:r w:rsidRPr="001E74B3">
        <w:rPr>
          <w:b/>
        </w:rPr>
        <w:t>DÉCLARE</w:t>
      </w:r>
      <w:r w:rsidRPr="001E74B3">
        <w:t xml:space="preserve"> recevable </w:t>
      </w:r>
      <w:r w:rsidR="007863E1">
        <w:t>la réclamation du travailleur</w:t>
      </w:r>
      <w:r w:rsidR="007B37B7">
        <w:t xml:space="preserve"> produite</w:t>
      </w:r>
      <w:r w:rsidR="007863E1">
        <w:t xml:space="preserve"> </w:t>
      </w:r>
      <w:r w:rsidR="007B37B7">
        <w:t>le</w:t>
      </w:r>
      <w:r w:rsidRPr="001E74B3">
        <w:t xml:space="preserve"> </w:t>
      </w:r>
      <w:r w:rsidR="007863E1">
        <w:t>13</w:t>
      </w:r>
      <w:r>
        <w:t xml:space="preserve"> février 2023 </w:t>
      </w:r>
      <w:r w:rsidRPr="001E74B3">
        <w:t>;</w:t>
      </w:r>
    </w:p>
    <w:p w14:paraId="5CF324FE" w14:textId="142E1AFC" w:rsidR="00CE6E88" w:rsidRDefault="00CE6E88" w:rsidP="00CE6E88">
      <w:pPr>
        <w:pStyle w:val="Dispositif"/>
      </w:pPr>
      <w:r>
        <w:rPr>
          <w:b/>
        </w:rPr>
        <w:t>DÉCLARE</w:t>
      </w:r>
      <w:r>
        <w:t xml:space="preserve"> que le travailleur a été </w:t>
      </w:r>
      <w:r>
        <w:rPr>
          <w:lang w:val="fr-FR"/>
        </w:rPr>
        <w:t>victime</w:t>
      </w:r>
      <w:r>
        <w:t xml:space="preserve"> d’une maladie professionnelle le 9 février 2023, soit une surdité, et qu’il a droit aux indemnités prévues à la </w:t>
      </w:r>
      <w:r w:rsidRPr="00A40DDE">
        <w:rPr>
          <w:i/>
        </w:rPr>
        <w:t>Loi sur les accidents du travail et les maladies professionnelles</w:t>
      </w:r>
      <w:r>
        <w:t>.</w:t>
      </w:r>
    </w:p>
    <w:bookmarkEnd w:id="12"/>
    <w:p w14:paraId="071C9E9E" w14:textId="77777777" w:rsidR="00C74B6F" w:rsidRDefault="00C74B6F">
      <w:pPr>
        <w:pStyle w:val="Dispositif"/>
      </w:pPr>
    </w:p>
    <w:tbl>
      <w:tblPr>
        <w:tblW w:w="9590" w:type="dxa"/>
        <w:tblLayout w:type="fixed"/>
        <w:tblCellMar>
          <w:left w:w="70" w:type="dxa"/>
          <w:right w:w="70" w:type="dxa"/>
        </w:tblCellMar>
        <w:tblLook w:val="0000" w:firstRow="0" w:lastRow="0" w:firstColumn="0" w:lastColumn="0" w:noHBand="0" w:noVBand="0"/>
      </w:tblPr>
      <w:tblGrid>
        <w:gridCol w:w="4795"/>
        <w:gridCol w:w="4795"/>
      </w:tblGrid>
      <w:tr w:rsidR="00C74B6F" w14:paraId="34328F65" w14:textId="77777777">
        <w:tc>
          <w:tcPr>
            <w:tcW w:w="4795" w:type="dxa"/>
          </w:tcPr>
          <w:p w14:paraId="6FFDB4AA" w14:textId="77777777" w:rsidR="00C74B6F" w:rsidRDefault="00C74B6F"/>
        </w:tc>
        <w:tc>
          <w:tcPr>
            <w:tcW w:w="4795" w:type="dxa"/>
          </w:tcPr>
          <w:p w14:paraId="7308D078" w14:textId="77777777" w:rsidR="00C74B6F" w:rsidRDefault="00C74B6F">
            <w:bookmarkStart w:id="13" w:name="signature"/>
            <w:bookmarkEnd w:id="13"/>
            <w:r>
              <w:t>__________________________________</w:t>
            </w:r>
          </w:p>
        </w:tc>
      </w:tr>
      <w:tr w:rsidR="00C74B6F" w14:paraId="2E1ACA36" w14:textId="77777777">
        <w:tc>
          <w:tcPr>
            <w:tcW w:w="4795" w:type="dxa"/>
          </w:tcPr>
          <w:p w14:paraId="12B3DCA7" w14:textId="77777777" w:rsidR="00C74B6F" w:rsidRDefault="00C74B6F"/>
        </w:tc>
        <w:tc>
          <w:tcPr>
            <w:tcW w:w="4795" w:type="dxa"/>
          </w:tcPr>
          <w:p w14:paraId="1924A6AC" w14:textId="217030B7" w:rsidR="00C74B6F" w:rsidRDefault="00B12A80">
            <w:r>
              <w:t>Gaétan Guérard</w:t>
            </w:r>
          </w:p>
        </w:tc>
      </w:tr>
      <w:tr w:rsidR="00C74B6F" w14:paraId="394693BE" w14:textId="77777777">
        <w:trPr>
          <w:cantSplit/>
        </w:trPr>
        <w:tc>
          <w:tcPr>
            <w:tcW w:w="9590" w:type="dxa"/>
            <w:gridSpan w:val="2"/>
          </w:tcPr>
          <w:p w14:paraId="54CC3629" w14:textId="77777777" w:rsidR="00C74B6F" w:rsidRDefault="00C74B6F"/>
        </w:tc>
      </w:tr>
      <w:tr w:rsidR="00C74B6F" w14:paraId="5B3EC59A" w14:textId="77777777">
        <w:trPr>
          <w:cantSplit/>
        </w:trPr>
        <w:tc>
          <w:tcPr>
            <w:tcW w:w="9590" w:type="dxa"/>
            <w:gridSpan w:val="2"/>
          </w:tcPr>
          <w:p w14:paraId="639EB97C" w14:textId="77777777" w:rsidR="00C74B6F" w:rsidRPr="00C912F9" w:rsidRDefault="00C74B6F" w:rsidP="00EC5C8D">
            <w:pPr>
              <w:tabs>
                <w:tab w:val="left" w:pos="1592"/>
              </w:tabs>
            </w:pPr>
          </w:p>
        </w:tc>
      </w:tr>
      <w:tr w:rsidR="00C74B6F" w14:paraId="4624F3E7" w14:textId="77777777">
        <w:trPr>
          <w:cantSplit/>
        </w:trPr>
        <w:tc>
          <w:tcPr>
            <w:tcW w:w="9590" w:type="dxa"/>
            <w:gridSpan w:val="2"/>
          </w:tcPr>
          <w:p w14:paraId="122F92F1" w14:textId="77777777" w:rsidR="00C74B6F" w:rsidRDefault="00C74B6F"/>
        </w:tc>
      </w:tr>
      <w:tr w:rsidR="00861F8B" w14:paraId="2F030412" w14:textId="77777777">
        <w:trPr>
          <w:cantSplit/>
        </w:trPr>
        <w:tc>
          <w:tcPr>
            <w:tcW w:w="9590" w:type="dxa"/>
            <w:gridSpan w:val="2"/>
          </w:tcPr>
          <w:p w14:paraId="12ADC248" w14:textId="2831CD3F" w:rsidR="00596AB2" w:rsidRPr="00596AB2" w:rsidRDefault="00B12A80" w:rsidP="00596AB2">
            <w:r>
              <w:t>M.</w:t>
            </w:r>
            <w:r w:rsidR="00F30267">
              <w:t xml:space="preserve"> </w:t>
            </w:r>
            <w:r>
              <w:rPr>
                <w:lang w:val="en-CA"/>
              </w:rPr>
              <w:t>Marcell</w:t>
            </w:r>
            <w:r w:rsidR="002C7BAB">
              <w:rPr>
                <w:lang w:val="en-CA"/>
              </w:rPr>
              <w:t>o</w:t>
            </w:r>
            <w:r>
              <w:rPr>
                <w:lang w:val="en-CA"/>
              </w:rPr>
              <w:t xml:space="preserve"> Teoli</w:t>
            </w:r>
          </w:p>
        </w:tc>
      </w:tr>
      <w:tr w:rsidR="00861F8B" w14:paraId="5D823EEB" w14:textId="77777777">
        <w:trPr>
          <w:cantSplit/>
        </w:trPr>
        <w:tc>
          <w:tcPr>
            <w:tcW w:w="9590" w:type="dxa"/>
            <w:gridSpan w:val="2"/>
          </w:tcPr>
          <w:p w14:paraId="21BFFE0F" w14:textId="43BD16CA" w:rsidR="00861F8B" w:rsidRDefault="00E25DCB">
            <w:r>
              <w:fldChar w:fldCharType="begin"/>
            </w:r>
            <w:r>
              <w:instrText xml:space="preserve"> MACROBUTTON  AbaisserNiveauListe </w:instrText>
            </w:r>
            <w:r>
              <w:fldChar w:fldCharType="end"/>
            </w:r>
            <w:r w:rsidR="00B12A80">
              <w:t>Pour lui-même</w:t>
            </w:r>
          </w:p>
        </w:tc>
      </w:tr>
      <w:tr w:rsidR="00C74B6F" w14:paraId="74EE4F35" w14:textId="77777777">
        <w:trPr>
          <w:cantSplit/>
        </w:trPr>
        <w:tc>
          <w:tcPr>
            <w:tcW w:w="9590" w:type="dxa"/>
            <w:gridSpan w:val="2"/>
          </w:tcPr>
          <w:p w14:paraId="68B4A36C" w14:textId="77777777" w:rsidR="00C74B6F" w:rsidRDefault="00C74B6F"/>
        </w:tc>
      </w:tr>
      <w:tr w:rsidR="00C74B6F" w14:paraId="3AEF70B5" w14:textId="77777777">
        <w:trPr>
          <w:cantSplit/>
        </w:trPr>
        <w:tc>
          <w:tcPr>
            <w:tcW w:w="9590" w:type="dxa"/>
            <w:gridSpan w:val="2"/>
          </w:tcPr>
          <w:p w14:paraId="75619073" w14:textId="7408B903" w:rsidR="00C74B6F" w:rsidRDefault="00B12A80">
            <w:pPr>
              <w:pStyle w:val="zSoquijdatNomProcureurDem"/>
            </w:pPr>
            <w:r>
              <w:t>M</w:t>
            </w:r>
            <w:r w:rsidRPr="002C7BAB">
              <w:rPr>
                <w:vertAlign w:val="superscript"/>
              </w:rPr>
              <w:t>me</w:t>
            </w:r>
            <w:r>
              <w:t xml:space="preserve"> Concettina Galasso</w:t>
            </w:r>
            <w:r w:rsidR="00F30267">
              <w:t xml:space="preserve"> </w:t>
            </w:r>
          </w:p>
        </w:tc>
      </w:tr>
      <w:tr w:rsidR="00C74B6F" w14:paraId="016B139F" w14:textId="77777777">
        <w:trPr>
          <w:cantSplit/>
        </w:trPr>
        <w:tc>
          <w:tcPr>
            <w:tcW w:w="9590" w:type="dxa"/>
            <w:gridSpan w:val="2"/>
          </w:tcPr>
          <w:p w14:paraId="0EC39D02" w14:textId="6B01353A" w:rsidR="00C74B6F" w:rsidRDefault="002C7BAB">
            <w:pPr>
              <w:pStyle w:val="zSoquijdatCabinetProcureurDem"/>
            </w:pPr>
            <w:r>
              <w:t>Pour la partie mise en cause (9207-4087 Québec inc.)</w:t>
            </w:r>
          </w:p>
        </w:tc>
      </w:tr>
      <w:tr w:rsidR="00C74B6F" w14:paraId="14F8BCA0" w14:textId="77777777">
        <w:trPr>
          <w:cantSplit/>
        </w:trPr>
        <w:tc>
          <w:tcPr>
            <w:tcW w:w="9590" w:type="dxa"/>
            <w:gridSpan w:val="2"/>
          </w:tcPr>
          <w:p w14:paraId="4CC0A14C" w14:textId="77777777" w:rsidR="00C74B6F" w:rsidRDefault="00C74B6F"/>
        </w:tc>
      </w:tr>
      <w:tr w:rsidR="00C15A3F" w14:paraId="15C8738C" w14:textId="77777777">
        <w:trPr>
          <w:cantSplit/>
        </w:trPr>
        <w:tc>
          <w:tcPr>
            <w:tcW w:w="9590" w:type="dxa"/>
            <w:gridSpan w:val="2"/>
          </w:tcPr>
          <w:p w14:paraId="29A0B83B" w14:textId="0B34763F" w:rsidR="00C15A3F" w:rsidRDefault="00C15A3F" w:rsidP="000E56A6">
            <w:pPr>
              <w:pStyle w:val="zSoquijdatDateAudience"/>
            </w:pPr>
            <w:bookmarkStart w:id="14" w:name="Date_derniere_audience"/>
            <w:bookmarkEnd w:id="14"/>
            <w:r>
              <w:t xml:space="preserve">Date de la </w:t>
            </w:r>
            <w:r w:rsidR="00CC6338">
              <w:t>mise en délibéré</w:t>
            </w:r>
            <w:r>
              <w:t> :</w:t>
            </w:r>
            <w:r w:rsidR="00597016">
              <w:tab/>
            </w:r>
            <w:r w:rsidR="00B12A80">
              <w:t>24 février 2025</w:t>
            </w:r>
          </w:p>
        </w:tc>
      </w:tr>
    </w:tbl>
    <w:p w14:paraId="4605799B" w14:textId="77777777" w:rsidR="00F76B4A" w:rsidRDefault="00F76B4A" w:rsidP="005E2546"/>
    <w:sectPr w:rsidR="00F76B4A">
      <w:headerReference w:type="default" r:id="rId8"/>
      <w:pgSz w:w="12240" w:h="15840" w:code="1"/>
      <w:pgMar w:top="1152" w:right="1440" w:bottom="1440" w:left="1440" w:header="706"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B5ABED" w14:textId="77777777" w:rsidR="002E6B47" w:rsidRDefault="002E6B47">
      <w:r>
        <w:separator/>
      </w:r>
    </w:p>
  </w:endnote>
  <w:endnote w:type="continuationSeparator" w:id="0">
    <w:p w14:paraId="3BA129D0" w14:textId="77777777" w:rsidR="002E6B47" w:rsidRDefault="002E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5BD83F" w14:textId="77777777" w:rsidR="002E6B47" w:rsidRDefault="002E6B47">
      <w:r>
        <w:separator/>
      </w:r>
    </w:p>
  </w:footnote>
  <w:footnote w:type="continuationSeparator" w:id="0">
    <w:p w14:paraId="65A0CAE9" w14:textId="77777777" w:rsidR="002E6B47" w:rsidRDefault="002E6B47">
      <w:r>
        <w:continuationSeparator/>
      </w:r>
    </w:p>
  </w:footnote>
  <w:footnote w:id="1">
    <w:p w14:paraId="512298E4" w14:textId="77777777" w:rsidR="00057896" w:rsidRPr="002A587A" w:rsidRDefault="00057896" w:rsidP="00057896">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RLRQ, c. A-3.001.</w:t>
      </w:r>
    </w:p>
  </w:footnote>
  <w:footnote w:id="2">
    <w:p w14:paraId="4FBEEDAF" w14:textId="77777777" w:rsidR="00876B22" w:rsidRPr="007C0E44" w:rsidRDefault="00876B22" w:rsidP="00876B22">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7C0E44">
        <w:rPr>
          <w:rFonts w:cs="Arial"/>
          <w:sz w:val="20"/>
        </w:rPr>
        <w:t>2012 QCCLP</w:t>
      </w:r>
      <w:r>
        <w:rPr>
          <w:rFonts w:cs="Arial"/>
          <w:sz w:val="20"/>
        </w:rPr>
        <w:t> </w:t>
      </w:r>
      <w:r w:rsidRPr="007C0E44">
        <w:rPr>
          <w:rFonts w:cs="Arial"/>
          <w:sz w:val="20"/>
        </w:rPr>
        <w:t>7859</w:t>
      </w:r>
      <w:r>
        <w:rPr>
          <w:rFonts w:cs="Arial"/>
          <w:sz w:val="20"/>
        </w:rPr>
        <w:t>.</w:t>
      </w:r>
    </w:p>
  </w:footnote>
  <w:footnote w:id="3">
    <w:p w14:paraId="73166560" w14:textId="3F1E1C29" w:rsidR="0066449B" w:rsidRPr="0066449B" w:rsidRDefault="0066449B" w:rsidP="0066449B">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RLRQ, c. C-24.2.</w:t>
      </w:r>
    </w:p>
  </w:footnote>
  <w:footnote w:id="4">
    <w:p w14:paraId="272A3EF3" w14:textId="77777777" w:rsidR="00DD3BD7" w:rsidRPr="00C34577" w:rsidRDefault="00DD3BD7" w:rsidP="00DD3BD7">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34577">
        <w:rPr>
          <w:rFonts w:cs="Arial"/>
          <w:i/>
          <w:sz w:val="20"/>
        </w:rPr>
        <w:t>Autocar du Lac</w:t>
      </w:r>
      <w:r w:rsidRPr="00C34577">
        <w:rPr>
          <w:rFonts w:cs="Arial"/>
          <w:sz w:val="20"/>
        </w:rPr>
        <w:t xml:space="preserve"> et </w:t>
      </w:r>
      <w:r w:rsidRPr="00C34577">
        <w:rPr>
          <w:rFonts w:cs="Arial"/>
          <w:i/>
          <w:sz w:val="20"/>
        </w:rPr>
        <w:t>Lavoie</w:t>
      </w:r>
      <w:r w:rsidRPr="00C34577">
        <w:rPr>
          <w:rFonts w:cs="Arial"/>
          <w:sz w:val="20"/>
        </w:rPr>
        <w:t>, 2017 QCTAT</w:t>
      </w:r>
      <w:r>
        <w:rPr>
          <w:rFonts w:cs="Arial"/>
          <w:sz w:val="20"/>
        </w:rPr>
        <w:t> </w:t>
      </w:r>
      <w:r w:rsidRPr="00C34577">
        <w:rPr>
          <w:rFonts w:cs="Arial"/>
          <w:sz w:val="20"/>
        </w:rPr>
        <w:t>1268</w:t>
      </w:r>
      <w:r>
        <w:rPr>
          <w:rFonts w:cs="Arial"/>
          <w:sz w:val="20"/>
        </w:rPr>
        <w:t> </w:t>
      </w:r>
      <w:r w:rsidRPr="00C34577">
        <w:rPr>
          <w:rFonts w:cs="Arial"/>
          <w:sz w:val="20"/>
        </w:rPr>
        <w:t xml:space="preserve">; </w:t>
      </w:r>
      <w:r w:rsidRPr="00C34577">
        <w:rPr>
          <w:rFonts w:cs="Arial"/>
          <w:i/>
          <w:sz w:val="20"/>
        </w:rPr>
        <w:t>Cloutier</w:t>
      </w:r>
      <w:r w:rsidRPr="00C34577">
        <w:rPr>
          <w:rFonts w:cs="Arial"/>
          <w:sz w:val="20"/>
        </w:rPr>
        <w:t xml:space="preserve"> et </w:t>
      </w:r>
      <w:r w:rsidRPr="00C34577">
        <w:rPr>
          <w:rFonts w:cs="Arial"/>
          <w:i/>
          <w:sz w:val="20"/>
        </w:rPr>
        <w:t>Cytech Corbin inc.</w:t>
      </w:r>
      <w:r w:rsidRPr="00C34577">
        <w:rPr>
          <w:rFonts w:cs="Arial"/>
          <w:sz w:val="20"/>
        </w:rPr>
        <w:t>, 2017 QCTAT</w:t>
      </w:r>
      <w:r>
        <w:rPr>
          <w:rFonts w:cs="Arial"/>
          <w:sz w:val="20"/>
        </w:rPr>
        <w:t> </w:t>
      </w:r>
      <w:r w:rsidRPr="00C34577">
        <w:rPr>
          <w:rFonts w:cs="Arial"/>
          <w:sz w:val="20"/>
        </w:rPr>
        <w:t>497</w:t>
      </w:r>
      <w:r>
        <w:rPr>
          <w:rFonts w:cs="Arial"/>
          <w:sz w:val="20"/>
        </w:rPr>
        <w:t> </w:t>
      </w:r>
      <w:r w:rsidRPr="00C34577">
        <w:rPr>
          <w:rFonts w:cs="Arial"/>
          <w:sz w:val="20"/>
        </w:rPr>
        <w:t xml:space="preserve">; </w:t>
      </w:r>
      <w:r w:rsidRPr="00C34577">
        <w:rPr>
          <w:rFonts w:cs="Arial"/>
          <w:i/>
          <w:sz w:val="20"/>
        </w:rPr>
        <w:t>Dionne</w:t>
      </w:r>
      <w:r w:rsidRPr="00C34577">
        <w:rPr>
          <w:rFonts w:cs="Arial"/>
          <w:sz w:val="20"/>
        </w:rPr>
        <w:t xml:space="preserve"> et </w:t>
      </w:r>
      <w:r w:rsidRPr="00C34577">
        <w:rPr>
          <w:rFonts w:cs="Arial"/>
          <w:i/>
          <w:sz w:val="20"/>
        </w:rPr>
        <w:t>Hydro-Québec (gestion des accidents du travail)</w:t>
      </w:r>
      <w:r w:rsidRPr="00C34577">
        <w:rPr>
          <w:rFonts w:cs="Arial"/>
          <w:sz w:val="20"/>
        </w:rPr>
        <w:t>, 2018 QCTAT</w:t>
      </w:r>
      <w:r>
        <w:rPr>
          <w:rFonts w:cs="Arial"/>
          <w:sz w:val="20"/>
        </w:rPr>
        <w:t> </w:t>
      </w:r>
      <w:r w:rsidRPr="00C34577">
        <w:rPr>
          <w:rFonts w:cs="Arial"/>
          <w:sz w:val="20"/>
        </w:rPr>
        <w:t>3.</w:t>
      </w:r>
    </w:p>
  </w:footnote>
  <w:footnote w:id="5">
    <w:p w14:paraId="1ABDA986" w14:textId="77777777" w:rsidR="00DD3BD7" w:rsidRPr="00C34577" w:rsidRDefault="00DD3BD7" w:rsidP="00DD3BD7">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34577">
        <w:rPr>
          <w:rFonts w:cs="Arial"/>
          <w:sz w:val="20"/>
        </w:rPr>
        <w:t>2017 QCCA</w:t>
      </w:r>
      <w:r>
        <w:rPr>
          <w:rFonts w:cs="Arial"/>
          <w:sz w:val="20"/>
        </w:rPr>
        <w:t> </w:t>
      </w:r>
      <w:r w:rsidRPr="00C34577">
        <w:rPr>
          <w:rFonts w:cs="Arial"/>
          <w:sz w:val="20"/>
        </w:rPr>
        <w:t>826.</w:t>
      </w:r>
    </w:p>
  </w:footnote>
  <w:footnote w:id="6">
    <w:p w14:paraId="791D4AD3" w14:textId="58284CED" w:rsidR="00DD3BD7" w:rsidRPr="002114D5" w:rsidRDefault="00DD3BD7" w:rsidP="00DD3BD7">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Pr>
          <w:i/>
          <w:sz w:val="20"/>
        </w:rPr>
        <w:t xml:space="preserve">Cité de Dorval </w:t>
      </w:r>
      <w:r w:rsidRPr="00201B36">
        <w:rPr>
          <w:sz w:val="20"/>
        </w:rPr>
        <w:t>et</w:t>
      </w:r>
      <w:r>
        <w:rPr>
          <w:i/>
          <w:sz w:val="20"/>
        </w:rPr>
        <w:t xml:space="preserve"> Latreille</w:t>
      </w:r>
      <w:r>
        <w:rPr>
          <w:sz w:val="20"/>
        </w:rPr>
        <w:t xml:space="preserve">, [1995] C.A.L.P. 1572 ; </w:t>
      </w:r>
      <w:r>
        <w:rPr>
          <w:i/>
          <w:sz w:val="20"/>
        </w:rPr>
        <w:t xml:space="preserve">Szekely </w:t>
      </w:r>
      <w:r w:rsidRPr="00D22658">
        <w:rPr>
          <w:sz w:val="20"/>
        </w:rPr>
        <w:t>et</w:t>
      </w:r>
      <w:r>
        <w:rPr>
          <w:i/>
          <w:sz w:val="20"/>
        </w:rPr>
        <w:t xml:space="preserve"> Techmire ltée</w:t>
      </w:r>
      <w:r>
        <w:rPr>
          <w:sz w:val="20"/>
        </w:rPr>
        <w:t xml:space="preserve">, C.A.L.P. 88615-62-9705, 4 février 1998, B. Roy ; </w:t>
      </w:r>
      <w:r>
        <w:rPr>
          <w:i/>
          <w:sz w:val="20"/>
        </w:rPr>
        <w:t xml:space="preserve">Preston </w:t>
      </w:r>
      <w:r w:rsidRPr="00201B36">
        <w:rPr>
          <w:sz w:val="20"/>
        </w:rPr>
        <w:t>et</w:t>
      </w:r>
      <w:r>
        <w:rPr>
          <w:i/>
          <w:sz w:val="20"/>
        </w:rPr>
        <w:t xml:space="preserve"> Samuel</w:t>
      </w:r>
      <w:r>
        <w:rPr>
          <w:sz w:val="20"/>
        </w:rPr>
        <w:t xml:space="preserve">, C.L.P. 148905-01B-0010, 25 avril </w:t>
      </w:r>
      <w:smartTag w:uri="urn:schemas-microsoft-com:office:smarttags" w:element="metricconverter">
        <w:smartTagPr>
          <w:attr w:name="ProductID" w:val="2001, L"/>
        </w:smartTagPr>
        <w:r>
          <w:rPr>
            <w:sz w:val="20"/>
          </w:rPr>
          <w:t>2001, L</w:t>
        </w:r>
      </w:smartTag>
      <w:r>
        <w:rPr>
          <w:sz w:val="20"/>
        </w:rPr>
        <w:t xml:space="preserve">. Desbois ; </w:t>
      </w:r>
      <w:r>
        <w:rPr>
          <w:i/>
          <w:sz w:val="20"/>
        </w:rPr>
        <w:t xml:space="preserve">Mttamer </w:t>
      </w:r>
      <w:r>
        <w:rPr>
          <w:sz w:val="20"/>
        </w:rPr>
        <w:t xml:space="preserve">et </w:t>
      </w:r>
      <w:r>
        <w:rPr>
          <w:i/>
          <w:sz w:val="20"/>
        </w:rPr>
        <w:t>Centre de protection Côte-Nord</w:t>
      </w:r>
      <w:r>
        <w:rPr>
          <w:sz w:val="20"/>
        </w:rPr>
        <w:t xml:space="preserve">, 2013 QCCLP 1607 ; </w:t>
      </w:r>
      <w:r>
        <w:rPr>
          <w:i/>
          <w:sz w:val="20"/>
        </w:rPr>
        <w:t>Johannette</w:t>
      </w:r>
      <w:r>
        <w:rPr>
          <w:sz w:val="20"/>
        </w:rPr>
        <w:t xml:space="preserve"> et </w:t>
      </w:r>
      <w:r>
        <w:rPr>
          <w:i/>
          <w:sz w:val="20"/>
        </w:rPr>
        <w:t>Manoir de Lorette</w:t>
      </w:r>
      <w:r>
        <w:rPr>
          <w:sz w:val="20"/>
        </w:rPr>
        <w:t xml:space="preserve">, 2015 QCCLP 1496 ; </w:t>
      </w:r>
      <w:r w:rsidRPr="00B6694E">
        <w:rPr>
          <w:i/>
          <w:sz w:val="20"/>
        </w:rPr>
        <w:t>Lemus</w:t>
      </w:r>
      <w:r>
        <w:rPr>
          <w:sz w:val="20"/>
        </w:rPr>
        <w:t xml:space="preserve"> et </w:t>
      </w:r>
      <w:r w:rsidRPr="00B6694E">
        <w:rPr>
          <w:i/>
          <w:sz w:val="20"/>
        </w:rPr>
        <w:t>Entreprises porcines CSL inc. (fermée)</w:t>
      </w:r>
      <w:r>
        <w:rPr>
          <w:sz w:val="20"/>
        </w:rPr>
        <w:t>, 2015 QCCLP 4835.</w:t>
      </w:r>
    </w:p>
  </w:footnote>
  <w:footnote w:id="7">
    <w:p w14:paraId="1EBC13B6" w14:textId="77777777" w:rsidR="00024582" w:rsidRPr="00D80245" w:rsidRDefault="00024582" w:rsidP="00024582">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D80245">
        <w:rPr>
          <w:rFonts w:cs="Arial"/>
          <w:sz w:val="20"/>
        </w:rPr>
        <w:t>C.L.P.</w:t>
      </w:r>
      <w:r>
        <w:rPr>
          <w:rFonts w:cs="Arial"/>
          <w:sz w:val="20"/>
        </w:rPr>
        <w:t> </w:t>
      </w:r>
      <w:r w:rsidRPr="00D80245">
        <w:rPr>
          <w:rFonts w:cs="Arial"/>
          <w:sz w:val="20"/>
        </w:rPr>
        <w:t>195104-07-0211, 2</w:t>
      </w:r>
      <w:r>
        <w:rPr>
          <w:rFonts w:cs="Arial"/>
          <w:sz w:val="20"/>
        </w:rPr>
        <w:t>0 </w:t>
      </w:r>
      <w:r w:rsidRPr="00D80245">
        <w:rPr>
          <w:rFonts w:cs="Arial"/>
          <w:sz w:val="20"/>
        </w:rPr>
        <w:t>août 2003, N.</w:t>
      </w:r>
      <w:r>
        <w:rPr>
          <w:rFonts w:cs="Arial"/>
          <w:sz w:val="20"/>
        </w:rPr>
        <w:t> </w:t>
      </w:r>
      <w:r w:rsidRPr="00D80245">
        <w:rPr>
          <w:rFonts w:cs="Arial"/>
          <w:sz w:val="20"/>
        </w:rPr>
        <w:t>Lacroix</w:t>
      </w:r>
      <w:r>
        <w:rPr>
          <w:rFonts w:cs="Arial"/>
          <w:sz w:val="20"/>
        </w:rPr>
        <w:t>, décision rejetant la requête en révision.</w:t>
      </w:r>
    </w:p>
  </w:footnote>
  <w:footnote w:id="8">
    <w:p w14:paraId="304CFA85" w14:textId="77777777" w:rsidR="00024582" w:rsidRPr="00F01765" w:rsidRDefault="00024582" w:rsidP="00024582">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F01765">
        <w:rPr>
          <w:rFonts w:cs="Arial"/>
          <w:i/>
          <w:sz w:val="20"/>
        </w:rPr>
        <w:t xml:space="preserve">Cardinal </w:t>
      </w:r>
      <w:r>
        <w:rPr>
          <w:rFonts w:cs="Arial"/>
          <w:sz w:val="20"/>
        </w:rPr>
        <w:t xml:space="preserve">et </w:t>
      </w:r>
      <w:r w:rsidRPr="00F01765">
        <w:rPr>
          <w:rFonts w:cs="Arial"/>
          <w:i/>
          <w:sz w:val="20"/>
        </w:rPr>
        <w:t>Laf</w:t>
      </w:r>
      <w:r>
        <w:rPr>
          <w:rFonts w:cs="Arial"/>
          <w:i/>
          <w:sz w:val="20"/>
        </w:rPr>
        <w:t>a</w:t>
      </w:r>
      <w:r w:rsidRPr="00F01765">
        <w:rPr>
          <w:rFonts w:cs="Arial"/>
          <w:i/>
          <w:sz w:val="20"/>
        </w:rPr>
        <w:t>rge Groupe Matériaux de construction</w:t>
      </w:r>
      <w:r>
        <w:rPr>
          <w:rFonts w:cs="Arial"/>
          <w:sz w:val="20"/>
        </w:rPr>
        <w:t xml:space="preserve">, </w:t>
      </w:r>
      <w:r w:rsidRPr="00F01765">
        <w:rPr>
          <w:rFonts w:cs="Arial"/>
          <w:sz w:val="20"/>
        </w:rPr>
        <w:t>C.L.P.</w:t>
      </w:r>
      <w:r>
        <w:rPr>
          <w:rFonts w:cs="Arial"/>
          <w:sz w:val="20"/>
        </w:rPr>
        <w:t> </w:t>
      </w:r>
      <w:r w:rsidRPr="00F01765">
        <w:rPr>
          <w:rFonts w:cs="Arial"/>
          <w:sz w:val="20"/>
        </w:rPr>
        <w:t>206713-72-0304, 9</w:t>
      </w:r>
      <w:r>
        <w:rPr>
          <w:rFonts w:cs="Arial"/>
          <w:sz w:val="20"/>
        </w:rPr>
        <w:t> juin </w:t>
      </w:r>
      <w:r w:rsidRPr="00F01765">
        <w:rPr>
          <w:rFonts w:cs="Arial"/>
          <w:sz w:val="20"/>
        </w:rPr>
        <w:t>2005, G.</w:t>
      </w:r>
      <w:r>
        <w:rPr>
          <w:rFonts w:cs="Arial"/>
          <w:sz w:val="20"/>
        </w:rPr>
        <w:t> </w:t>
      </w:r>
      <w:r w:rsidRPr="00F01765">
        <w:rPr>
          <w:rFonts w:cs="Arial"/>
          <w:sz w:val="20"/>
        </w:rPr>
        <w:t>Robichaud</w:t>
      </w:r>
      <w:r>
        <w:rPr>
          <w:rFonts w:cs="Arial"/>
          <w:sz w:val="20"/>
        </w:rPr>
        <w:t xml:space="preserve">; Voir également : </w:t>
      </w:r>
      <w:r w:rsidRPr="00F01765">
        <w:rPr>
          <w:rFonts w:cs="Arial"/>
          <w:i/>
          <w:sz w:val="20"/>
        </w:rPr>
        <w:t>Travers</w:t>
      </w:r>
      <w:r w:rsidRPr="00F01765">
        <w:rPr>
          <w:rFonts w:cs="Arial"/>
          <w:sz w:val="20"/>
        </w:rPr>
        <w:t xml:space="preserve"> et </w:t>
      </w:r>
      <w:r w:rsidRPr="00F01765">
        <w:rPr>
          <w:rFonts w:cs="Arial"/>
          <w:i/>
          <w:sz w:val="20"/>
        </w:rPr>
        <w:t>Messagerie Courriertel inc.</w:t>
      </w:r>
      <w:r>
        <w:rPr>
          <w:rFonts w:cs="Arial"/>
          <w:sz w:val="20"/>
        </w:rPr>
        <w:t xml:space="preserve">, </w:t>
      </w:r>
      <w:r w:rsidRPr="00F01765">
        <w:rPr>
          <w:rFonts w:cs="Arial"/>
          <w:sz w:val="20"/>
        </w:rPr>
        <w:t>C.L.P.</w:t>
      </w:r>
      <w:r>
        <w:rPr>
          <w:rFonts w:cs="Arial"/>
          <w:sz w:val="20"/>
        </w:rPr>
        <w:t> 252931</w:t>
      </w:r>
      <w:r>
        <w:rPr>
          <w:rFonts w:cs="Arial"/>
          <w:sz w:val="20"/>
        </w:rPr>
        <w:noBreakHyphen/>
        <w:t>64</w:t>
      </w:r>
      <w:r>
        <w:rPr>
          <w:rFonts w:cs="Arial"/>
          <w:sz w:val="20"/>
        </w:rPr>
        <w:noBreakHyphen/>
      </w:r>
      <w:r w:rsidRPr="00F01765">
        <w:rPr>
          <w:rFonts w:cs="Arial"/>
          <w:sz w:val="20"/>
        </w:rPr>
        <w:t>0501, 10</w:t>
      </w:r>
      <w:r>
        <w:rPr>
          <w:rFonts w:cs="Arial"/>
          <w:sz w:val="20"/>
        </w:rPr>
        <w:t> </w:t>
      </w:r>
      <w:r w:rsidRPr="00F01765">
        <w:rPr>
          <w:rFonts w:cs="Arial"/>
          <w:sz w:val="20"/>
        </w:rPr>
        <w:t>juillet 2007, S. Di</w:t>
      </w:r>
      <w:r>
        <w:rPr>
          <w:rFonts w:cs="Arial"/>
          <w:sz w:val="20"/>
        </w:rPr>
        <w:t> </w:t>
      </w:r>
      <w:r w:rsidRPr="00F01765">
        <w:rPr>
          <w:rFonts w:cs="Arial"/>
          <w:sz w:val="20"/>
        </w:rPr>
        <w:t>Pascale;</w:t>
      </w:r>
      <w:r w:rsidRPr="00F01765">
        <w:t xml:space="preserve"> </w:t>
      </w:r>
      <w:r w:rsidRPr="00F23FA7">
        <w:rPr>
          <w:rFonts w:cs="Arial"/>
          <w:i/>
          <w:sz w:val="20"/>
        </w:rPr>
        <w:t>Jmyi</w:t>
      </w:r>
      <w:r w:rsidRPr="00F01765">
        <w:rPr>
          <w:rFonts w:cs="Arial"/>
          <w:sz w:val="20"/>
        </w:rPr>
        <w:t xml:space="preserve"> et </w:t>
      </w:r>
      <w:r w:rsidRPr="00F23FA7">
        <w:rPr>
          <w:rFonts w:cs="Arial"/>
          <w:i/>
          <w:sz w:val="20"/>
        </w:rPr>
        <w:t>Cégep de l</w:t>
      </w:r>
      <w:r>
        <w:rPr>
          <w:rFonts w:cs="Arial"/>
          <w:i/>
          <w:sz w:val="20"/>
        </w:rPr>
        <w:t>’</w:t>
      </w:r>
      <w:r w:rsidRPr="00F23FA7">
        <w:rPr>
          <w:rFonts w:cs="Arial"/>
          <w:i/>
          <w:sz w:val="20"/>
        </w:rPr>
        <w:t>Outaouais</w:t>
      </w:r>
      <w:r w:rsidRPr="00F01765">
        <w:rPr>
          <w:rFonts w:cs="Arial"/>
          <w:sz w:val="20"/>
        </w:rPr>
        <w:t>, C</w:t>
      </w:r>
      <w:r>
        <w:rPr>
          <w:rFonts w:cs="Arial"/>
          <w:sz w:val="20"/>
        </w:rPr>
        <w:t>.</w:t>
      </w:r>
      <w:r w:rsidRPr="00F01765">
        <w:rPr>
          <w:rFonts w:cs="Arial"/>
          <w:sz w:val="20"/>
        </w:rPr>
        <w:t>L</w:t>
      </w:r>
      <w:r>
        <w:rPr>
          <w:rFonts w:cs="Arial"/>
          <w:sz w:val="20"/>
        </w:rPr>
        <w:t>.</w:t>
      </w:r>
      <w:r w:rsidRPr="00F01765">
        <w:rPr>
          <w:rFonts w:cs="Arial"/>
          <w:sz w:val="20"/>
        </w:rPr>
        <w:t>P</w:t>
      </w:r>
      <w:r>
        <w:rPr>
          <w:rFonts w:cs="Arial"/>
          <w:sz w:val="20"/>
        </w:rPr>
        <w:t xml:space="preserve">. 360051-07-0809, M. Gagnon Grégoire; </w:t>
      </w:r>
      <w:r w:rsidRPr="00F23FA7">
        <w:rPr>
          <w:rFonts w:cs="Arial"/>
          <w:i/>
          <w:sz w:val="20"/>
        </w:rPr>
        <w:t>J.M.</w:t>
      </w:r>
      <w:r w:rsidRPr="00F01765">
        <w:rPr>
          <w:rFonts w:cs="Arial"/>
          <w:sz w:val="20"/>
        </w:rPr>
        <w:t xml:space="preserve"> et </w:t>
      </w:r>
      <w:r w:rsidRPr="00F23FA7">
        <w:rPr>
          <w:rFonts w:cs="Arial"/>
          <w:i/>
          <w:sz w:val="20"/>
        </w:rPr>
        <w:t>Commission scolaire A</w:t>
      </w:r>
      <w:r w:rsidRPr="00F01765">
        <w:rPr>
          <w:rFonts w:cs="Arial"/>
          <w:sz w:val="20"/>
        </w:rPr>
        <w:t>, 2015</w:t>
      </w:r>
      <w:r>
        <w:rPr>
          <w:rFonts w:cs="Arial"/>
          <w:sz w:val="20"/>
        </w:rPr>
        <w:t> </w:t>
      </w:r>
      <w:r w:rsidRPr="00F01765">
        <w:rPr>
          <w:rFonts w:cs="Arial"/>
          <w:sz w:val="20"/>
        </w:rPr>
        <w:t>QCCLP</w:t>
      </w:r>
      <w:r>
        <w:rPr>
          <w:rFonts w:cs="Arial"/>
          <w:sz w:val="20"/>
        </w:rPr>
        <w:t> </w:t>
      </w:r>
      <w:r w:rsidRPr="00F01765">
        <w:rPr>
          <w:rFonts w:cs="Arial"/>
          <w:sz w:val="20"/>
        </w:rPr>
        <w:t>2734</w:t>
      </w:r>
      <w:r>
        <w:rPr>
          <w:rFonts w:cs="Arial"/>
          <w:sz w:val="20"/>
        </w:rPr>
        <w:t>;</w:t>
      </w:r>
      <w:r w:rsidRPr="00F01765">
        <w:t xml:space="preserve"> </w:t>
      </w:r>
      <w:r w:rsidRPr="00F23FA7">
        <w:rPr>
          <w:rFonts w:cs="Arial"/>
          <w:i/>
          <w:sz w:val="20"/>
        </w:rPr>
        <w:t>M.M.</w:t>
      </w:r>
      <w:r w:rsidRPr="00F01765">
        <w:rPr>
          <w:rFonts w:cs="Arial"/>
          <w:sz w:val="20"/>
        </w:rPr>
        <w:t xml:space="preserve"> et </w:t>
      </w:r>
      <w:r w:rsidRPr="00F23FA7">
        <w:rPr>
          <w:rFonts w:cs="Arial"/>
          <w:i/>
          <w:sz w:val="20"/>
        </w:rPr>
        <w:t>Compagnie A</w:t>
      </w:r>
      <w:r w:rsidRPr="00F01765">
        <w:rPr>
          <w:rFonts w:cs="Arial"/>
          <w:sz w:val="20"/>
        </w:rPr>
        <w:t>, 2018</w:t>
      </w:r>
      <w:r>
        <w:rPr>
          <w:rFonts w:cs="Arial"/>
          <w:sz w:val="20"/>
        </w:rPr>
        <w:t> </w:t>
      </w:r>
      <w:r w:rsidRPr="00F01765">
        <w:rPr>
          <w:rFonts w:cs="Arial"/>
          <w:sz w:val="20"/>
        </w:rPr>
        <w:t>QCTAT</w:t>
      </w:r>
      <w:r>
        <w:rPr>
          <w:rFonts w:cs="Arial"/>
          <w:sz w:val="20"/>
        </w:rPr>
        <w:t> </w:t>
      </w:r>
      <w:r w:rsidRPr="00F01765">
        <w:rPr>
          <w:rFonts w:cs="Arial"/>
          <w:sz w:val="20"/>
        </w:rPr>
        <w:t>1002</w:t>
      </w:r>
      <w:r>
        <w:rPr>
          <w:rFonts w:cs="Arial"/>
          <w:sz w:val="20"/>
        </w:rPr>
        <w:t>.</w:t>
      </w:r>
    </w:p>
  </w:footnote>
  <w:footnote w:id="9">
    <w:p w14:paraId="32154961" w14:textId="77777777" w:rsidR="009867BB" w:rsidRPr="009A3803" w:rsidRDefault="009867BB" w:rsidP="009867BB">
      <w:pPr>
        <w:pStyle w:val="Notedebasdepage"/>
        <w:tabs>
          <w:tab w:val="left" w:pos="720"/>
        </w:tabs>
        <w:ind w:left="720" w:hanging="720"/>
        <w:jc w:val="both"/>
        <w:rPr>
          <w:rFonts w:cs="Arial"/>
          <w:sz w:val="20"/>
        </w:rPr>
      </w:pPr>
      <w:r>
        <w:rPr>
          <w:rStyle w:val="Appelnotedebasdep"/>
        </w:rPr>
        <w:footnoteRef/>
      </w:r>
      <w:r w:rsidRPr="009A3803">
        <w:t xml:space="preserve"> </w:t>
      </w:r>
      <w:r w:rsidRPr="009A3803">
        <w:rPr>
          <w:rFonts w:cs="Arial"/>
          <w:sz w:val="20"/>
        </w:rPr>
        <w:tab/>
      </w:r>
      <w:r w:rsidRPr="009A3803">
        <w:rPr>
          <w:rFonts w:cs="Arial"/>
          <w:i/>
          <w:iCs/>
          <w:sz w:val="20"/>
        </w:rPr>
        <w:t>Loi modernisant le régime de santé et de sécurité du travail</w:t>
      </w:r>
      <w:r w:rsidRPr="009A3803">
        <w:rPr>
          <w:rFonts w:cs="Arial"/>
          <w:sz w:val="20"/>
        </w:rPr>
        <w:t>, L.Q. 2021</w:t>
      </w:r>
      <w:r>
        <w:rPr>
          <w:rFonts w:cs="Arial"/>
          <w:sz w:val="20"/>
        </w:rPr>
        <w:t>,</w:t>
      </w:r>
      <w:r w:rsidRPr="009A3803">
        <w:rPr>
          <w:rFonts w:cs="Arial"/>
          <w:sz w:val="20"/>
        </w:rPr>
        <w:t xml:space="preserve"> c.</w:t>
      </w:r>
      <w:r>
        <w:rPr>
          <w:rFonts w:cs="Arial"/>
          <w:sz w:val="20"/>
        </w:rPr>
        <w:t> </w:t>
      </w:r>
      <w:r w:rsidRPr="009A3803">
        <w:rPr>
          <w:rFonts w:cs="Arial"/>
          <w:sz w:val="20"/>
        </w:rPr>
        <w:t>27</w:t>
      </w:r>
      <w:r>
        <w:rPr>
          <w:rFonts w:cs="Arial"/>
          <w:sz w:val="20"/>
        </w:rPr>
        <w:t>,</w:t>
      </w:r>
      <w:r w:rsidRPr="009A3803">
        <w:rPr>
          <w:rFonts w:cs="Arial"/>
          <w:sz w:val="20"/>
        </w:rPr>
        <w:t xml:space="preserve"> </w:t>
      </w:r>
      <w:r>
        <w:rPr>
          <w:rFonts w:cs="Arial"/>
          <w:sz w:val="20"/>
        </w:rPr>
        <w:t>a</w:t>
      </w:r>
      <w:r w:rsidRPr="009A3803">
        <w:rPr>
          <w:rFonts w:cs="Arial"/>
          <w:sz w:val="20"/>
        </w:rPr>
        <w:t>rt.</w:t>
      </w:r>
      <w:r>
        <w:rPr>
          <w:rFonts w:cs="Arial"/>
          <w:sz w:val="20"/>
        </w:rPr>
        <w:t> </w:t>
      </w:r>
      <w:r w:rsidRPr="009A3803">
        <w:rPr>
          <w:rFonts w:cs="Arial"/>
          <w:sz w:val="20"/>
        </w:rPr>
        <w:t>313.</w:t>
      </w:r>
    </w:p>
  </w:footnote>
  <w:footnote w:id="10">
    <w:p w14:paraId="75ACCD2D" w14:textId="77777777" w:rsidR="009867BB" w:rsidRPr="009A3803" w:rsidRDefault="009867BB" w:rsidP="009867BB">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C4325D">
        <w:rPr>
          <w:rFonts w:cs="Arial"/>
          <w:i/>
          <w:iCs/>
          <w:sz w:val="20"/>
        </w:rPr>
        <w:t>Tadros</w:t>
      </w:r>
      <w:r w:rsidRPr="009A3803">
        <w:rPr>
          <w:rFonts w:cs="Arial"/>
          <w:sz w:val="20"/>
        </w:rPr>
        <w:t xml:space="preserve"> et </w:t>
      </w:r>
      <w:r w:rsidRPr="00C4325D">
        <w:rPr>
          <w:rFonts w:cs="Arial"/>
          <w:i/>
          <w:iCs/>
          <w:sz w:val="20"/>
        </w:rPr>
        <w:t>Bombardier inc. (Bombardier Aérospace)</w:t>
      </w:r>
      <w:r>
        <w:rPr>
          <w:rFonts w:cs="Arial"/>
          <w:sz w:val="20"/>
        </w:rPr>
        <w:t xml:space="preserve">, </w:t>
      </w:r>
      <w:r w:rsidRPr="00C4325D">
        <w:rPr>
          <w:rFonts w:cs="Arial"/>
          <w:sz w:val="20"/>
        </w:rPr>
        <w:t>2022</w:t>
      </w:r>
      <w:r>
        <w:rPr>
          <w:rFonts w:cs="Arial"/>
          <w:sz w:val="20"/>
        </w:rPr>
        <w:t> </w:t>
      </w:r>
      <w:r w:rsidRPr="00C4325D">
        <w:rPr>
          <w:rFonts w:cs="Arial"/>
          <w:sz w:val="20"/>
        </w:rPr>
        <w:t>QCTAT</w:t>
      </w:r>
      <w:r>
        <w:rPr>
          <w:rFonts w:cs="Arial"/>
          <w:sz w:val="20"/>
        </w:rPr>
        <w:t> </w:t>
      </w:r>
      <w:r w:rsidRPr="00C4325D">
        <w:rPr>
          <w:rFonts w:cs="Arial"/>
          <w:sz w:val="20"/>
        </w:rPr>
        <w:t>3528</w:t>
      </w:r>
      <w:r>
        <w:rPr>
          <w:rFonts w:cs="Arial"/>
          <w:sz w:val="20"/>
        </w:rPr>
        <w:t xml:space="preserve">; </w:t>
      </w:r>
      <w:r w:rsidRPr="00C4325D">
        <w:rPr>
          <w:rFonts w:cs="Arial"/>
          <w:i/>
          <w:iCs/>
          <w:sz w:val="20"/>
        </w:rPr>
        <w:t>Rousseau</w:t>
      </w:r>
      <w:r w:rsidRPr="00C4325D">
        <w:rPr>
          <w:rFonts w:cs="Arial"/>
          <w:sz w:val="20"/>
        </w:rPr>
        <w:t xml:space="preserve"> 2023</w:t>
      </w:r>
      <w:r>
        <w:rPr>
          <w:rFonts w:cs="Arial"/>
          <w:sz w:val="20"/>
        </w:rPr>
        <w:t> </w:t>
      </w:r>
      <w:r w:rsidRPr="00C4325D">
        <w:rPr>
          <w:rFonts w:cs="Arial"/>
          <w:sz w:val="20"/>
        </w:rPr>
        <w:t>QCTAT</w:t>
      </w:r>
      <w:r>
        <w:rPr>
          <w:rFonts w:cs="Arial"/>
          <w:sz w:val="20"/>
        </w:rPr>
        <w:t> </w:t>
      </w:r>
      <w:r w:rsidRPr="00C4325D">
        <w:rPr>
          <w:rFonts w:cs="Arial"/>
          <w:sz w:val="20"/>
        </w:rPr>
        <w:t>24</w:t>
      </w:r>
      <w:r>
        <w:rPr>
          <w:rFonts w:cs="Arial"/>
          <w:sz w:val="20"/>
        </w:rPr>
        <w:t xml:space="preserve">; </w:t>
      </w:r>
      <w:r w:rsidRPr="00C4325D">
        <w:rPr>
          <w:rFonts w:cs="Arial"/>
          <w:i/>
          <w:iCs/>
          <w:sz w:val="20"/>
        </w:rPr>
        <w:t>Pelletier</w:t>
      </w:r>
      <w:r w:rsidRPr="00C4325D">
        <w:rPr>
          <w:rFonts w:cs="Arial"/>
          <w:sz w:val="20"/>
        </w:rPr>
        <w:t xml:space="preserve"> et </w:t>
      </w:r>
      <w:r w:rsidRPr="00C4325D">
        <w:rPr>
          <w:rFonts w:cs="Arial"/>
          <w:i/>
          <w:iCs/>
          <w:sz w:val="20"/>
        </w:rPr>
        <w:t>Thiro Construction ltée</w:t>
      </w:r>
      <w:r>
        <w:rPr>
          <w:rFonts w:cs="Arial"/>
          <w:i/>
          <w:iCs/>
          <w:sz w:val="20"/>
        </w:rPr>
        <w:t>,</w:t>
      </w:r>
      <w:r w:rsidRPr="00C4325D">
        <w:rPr>
          <w:rFonts w:cs="Arial"/>
          <w:sz w:val="20"/>
        </w:rPr>
        <w:t xml:space="preserve"> 2023</w:t>
      </w:r>
      <w:r>
        <w:rPr>
          <w:rFonts w:cs="Arial"/>
          <w:sz w:val="20"/>
        </w:rPr>
        <w:t> </w:t>
      </w:r>
      <w:r w:rsidRPr="00C4325D">
        <w:rPr>
          <w:rFonts w:cs="Arial"/>
          <w:sz w:val="20"/>
        </w:rPr>
        <w:t>QCTAT</w:t>
      </w:r>
      <w:r>
        <w:rPr>
          <w:rFonts w:cs="Arial"/>
          <w:sz w:val="20"/>
        </w:rPr>
        <w:t> </w:t>
      </w:r>
      <w:r w:rsidRPr="00C4325D">
        <w:rPr>
          <w:rFonts w:cs="Arial"/>
          <w:sz w:val="20"/>
        </w:rPr>
        <w:t>557</w:t>
      </w:r>
      <w:r>
        <w:rPr>
          <w:rFonts w:cs="Arial"/>
          <w:sz w:val="20"/>
        </w:rPr>
        <w:t>.</w:t>
      </w:r>
    </w:p>
  </w:footnote>
  <w:footnote w:id="11">
    <w:p w14:paraId="0148275F" w14:textId="77777777" w:rsidR="009867BB" w:rsidRPr="009A3803" w:rsidRDefault="009867BB" w:rsidP="009867BB">
      <w:pPr>
        <w:pStyle w:val="Notedebasdepage"/>
        <w:tabs>
          <w:tab w:val="left" w:pos="720"/>
        </w:tabs>
        <w:ind w:left="720" w:hanging="720"/>
        <w:jc w:val="both"/>
        <w:rPr>
          <w:rFonts w:cs="Arial"/>
          <w:sz w:val="20"/>
        </w:rPr>
      </w:pPr>
      <w:r>
        <w:rPr>
          <w:rStyle w:val="Appelnotedebasdep"/>
        </w:rPr>
        <w:footnoteRef/>
      </w:r>
      <w:r w:rsidRPr="009A3803">
        <w:t xml:space="preserve"> </w:t>
      </w:r>
      <w:r w:rsidRPr="009A3803">
        <w:rPr>
          <w:rFonts w:cs="Arial"/>
          <w:sz w:val="20"/>
        </w:rPr>
        <w:tab/>
        <w:t>RLRQ, c. A-3.001, r.</w:t>
      </w:r>
      <w:r>
        <w:rPr>
          <w:rFonts w:cs="Arial"/>
          <w:sz w:val="20"/>
        </w:rPr>
        <w:t> </w:t>
      </w:r>
      <w:r w:rsidRPr="009A3803">
        <w:rPr>
          <w:rFonts w:cs="Arial"/>
          <w:sz w:val="20"/>
        </w:rPr>
        <w:t>8.1.</w:t>
      </w:r>
    </w:p>
  </w:footnote>
  <w:footnote w:id="12">
    <w:p w14:paraId="3D4C08C8" w14:textId="77777777" w:rsidR="00733548" w:rsidRPr="004226A3" w:rsidRDefault="00733548" w:rsidP="0073354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4226A3">
        <w:rPr>
          <w:rFonts w:cs="Arial"/>
          <w:i/>
          <w:sz w:val="20"/>
        </w:rPr>
        <w:t>Thuot</w:t>
      </w:r>
      <w:r w:rsidRPr="004226A3">
        <w:rPr>
          <w:rFonts w:cs="Arial"/>
          <w:sz w:val="20"/>
        </w:rPr>
        <w:t xml:space="preserve"> et </w:t>
      </w:r>
      <w:r w:rsidRPr="004226A3">
        <w:rPr>
          <w:rFonts w:cs="Arial"/>
          <w:i/>
          <w:sz w:val="20"/>
        </w:rPr>
        <w:t>Multi-Marques Distribution inc.</w:t>
      </w:r>
      <w:r w:rsidRPr="004226A3">
        <w:rPr>
          <w:rFonts w:cs="Arial"/>
          <w:sz w:val="20"/>
        </w:rPr>
        <w:t>,</w:t>
      </w:r>
      <w:r>
        <w:rPr>
          <w:rFonts w:cs="Arial"/>
          <w:sz w:val="20"/>
        </w:rPr>
        <w:t xml:space="preserve"> </w:t>
      </w:r>
      <w:r w:rsidRPr="004226A3">
        <w:rPr>
          <w:rFonts w:cs="Arial"/>
          <w:sz w:val="20"/>
        </w:rPr>
        <w:t>C.L.P.</w:t>
      </w:r>
      <w:r>
        <w:rPr>
          <w:rFonts w:cs="Arial"/>
          <w:sz w:val="20"/>
        </w:rPr>
        <w:t> </w:t>
      </w:r>
      <w:r w:rsidRPr="004226A3">
        <w:rPr>
          <w:rFonts w:cs="Arial"/>
          <w:sz w:val="20"/>
        </w:rPr>
        <w:t>144647-61-0008, 17</w:t>
      </w:r>
      <w:r>
        <w:rPr>
          <w:rFonts w:cs="Arial"/>
          <w:sz w:val="20"/>
        </w:rPr>
        <w:t> </w:t>
      </w:r>
      <w:r w:rsidRPr="004226A3">
        <w:rPr>
          <w:rFonts w:cs="Arial"/>
          <w:sz w:val="20"/>
        </w:rPr>
        <w:t>janvier 2001, B.</w:t>
      </w:r>
      <w:r>
        <w:rPr>
          <w:rFonts w:cs="Arial"/>
          <w:sz w:val="20"/>
        </w:rPr>
        <w:t> </w:t>
      </w:r>
      <w:r w:rsidRPr="004226A3">
        <w:rPr>
          <w:rFonts w:cs="Arial"/>
          <w:sz w:val="20"/>
        </w:rPr>
        <w:t>Lemay</w:t>
      </w:r>
      <w:r>
        <w:rPr>
          <w:rFonts w:cs="Arial"/>
          <w:sz w:val="20"/>
        </w:rPr>
        <w:t xml:space="preserve">; </w:t>
      </w:r>
      <w:r w:rsidRPr="004226A3">
        <w:rPr>
          <w:rFonts w:cs="Arial"/>
          <w:i/>
          <w:sz w:val="20"/>
        </w:rPr>
        <w:t xml:space="preserve">Laurin </w:t>
      </w:r>
      <w:r w:rsidRPr="004226A3">
        <w:rPr>
          <w:rFonts w:cs="Arial"/>
          <w:sz w:val="20"/>
        </w:rPr>
        <w:t xml:space="preserve">et </w:t>
      </w:r>
      <w:r w:rsidRPr="004226A3">
        <w:rPr>
          <w:rFonts w:cs="Arial"/>
          <w:i/>
          <w:sz w:val="20"/>
        </w:rPr>
        <w:t>Purolator courrier ltée</w:t>
      </w:r>
      <w:r w:rsidRPr="004226A3">
        <w:rPr>
          <w:rFonts w:cs="Arial"/>
          <w:sz w:val="20"/>
        </w:rPr>
        <w:t>,</w:t>
      </w:r>
      <w:r>
        <w:rPr>
          <w:rFonts w:cs="Arial"/>
          <w:sz w:val="20"/>
        </w:rPr>
        <w:t xml:space="preserve"> </w:t>
      </w:r>
      <w:r w:rsidRPr="004226A3">
        <w:rPr>
          <w:rFonts w:cs="Arial"/>
          <w:sz w:val="20"/>
        </w:rPr>
        <w:t>C.L.P.</w:t>
      </w:r>
      <w:r>
        <w:rPr>
          <w:rFonts w:cs="Arial"/>
          <w:sz w:val="20"/>
        </w:rPr>
        <w:t> </w:t>
      </w:r>
      <w:r w:rsidRPr="004226A3">
        <w:rPr>
          <w:rFonts w:cs="Arial"/>
          <w:sz w:val="20"/>
        </w:rPr>
        <w:t>190107-07-0209, 1</w:t>
      </w:r>
      <w:r w:rsidRPr="00F00E8C">
        <w:rPr>
          <w:rFonts w:cs="Arial"/>
          <w:sz w:val="20"/>
          <w:vertAlign w:val="superscript"/>
        </w:rPr>
        <w:t>er</w:t>
      </w:r>
      <w:r>
        <w:rPr>
          <w:rFonts w:cs="Arial"/>
          <w:sz w:val="20"/>
        </w:rPr>
        <w:t> </w:t>
      </w:r>
      <w:r w:rsidRPr="004226A3">
        <w:rPr>
          <w:rFonts w:cs="Arial"/>
          <w:sz w:val="20"/>
        </w:rPr>
        <w:t>mars 2004, A.</w:t>
      </w:r>
      <w:r>
        <w:rPr>
          <w:rFonts w:cs="Arial"/>
          <w:sz w:val="20"/>
        </w:rPr>
        <w:t> </w:t>
      </w:r>
      <w:r w:rsidRPr="004226A3">
        <w:rPr>
          <w:rFonts w:cs="Arial"/>
          <w:sz w:val="20"/>
        </w:rPr>
        <w:t>Suicco.</w:t>
      </w:r>
    </w:p>
  </w:footnote>
  <w:footnote w:id="13">
    <w:p w14:paraId="28F9A990" w14:textId="77777777" w:rsidR="00733548" w:rsidRPr="008D4C84" w:rsidRDefault="00733548" w:rsidP="0073354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6254FD">
        <w:rPr>
          <w:rFonts w:cs="Arial"/>
          <w:sz w:val="20"/>
        </w:rPr>
        <w:t>«</w:t>
      </w:r>
      <w:r>
        <w:rPr>
          <w:rFonts w:cs="Arial"/>
          <w:sz w:val="20"/>
        </w:rPr>
        <w:t> bruit </w:t>
      </w:r>
      <w:r w:rsidRPr="006254FD">
        <w:rPr>
          <w:rFonts w:cs="Arial"/>
          <w:sz w:val="20"/>
        </w:rPr>
        <w:t xml:space="preserve">», dans </w:t>
      </w:r>
      <w:r w:rsidRPr="006254FD">
        <w:rPr>
          <w:rFonts w:cs="Arial"/>
          <w:i/>
          <w:iCs/>
          <w:sz w:val="20"/>
        </w:rPr>
        <w:t>Le Petit Robert 2020,</w:t>
      </w:r>
      <w:r>
        <w:rPr>
          <w:rFonts w:cs="Arial"/>
          <w:i/>
          <w:iCs/>
          <w:sz w:val="20"/>
        </w:rPr>
        <w:t xml:space="preserve"> </w:t>
      </w:r>
      <w:r w:rsidRPr="006254FD">
        <w:rPr>
          <w:rFonts w:cs="Arial"/>
          <w:sz w:val="20"/>
        </w:rPr>
        <w:t>Paris, Éditions Le Robert, [En ligne], &lt;</w:t>
      </w:r>
      <w:hyperlink r:id="rId1" w:history="1">
        <w:r w:rsidRPr="006254FD">
          <w:rPr>
            <w:rStyle w:val="Lienhypertexte"/>
            <w:rFonts w:cs="Arial"/>
            <w:sz w:val="20"/>
          </w:rPr>
          <w:t>https://www.lerobert.com/</w:t>
        </w:r>
      </w:hyperlink>
      <w:r w:rsidRPr="006254FD">
        <w:rPr>
          <w:rFonts w:cs="Arial"/>
          <w:sz w:val="20"/>
        </w:rPr>
        <w:t xml:space="preserve">&gt; (Page consultée le </w:t>
      </w:r>
      <w:r>
        <w:rPr>
          <w:rFonts w:cs="Arial"/>
          <w:sz w:val="20"/>
        </w:rPr>
        <w:t>2 août 2024</w:t>
      </w:r>
      <w:r w:rsidRPr="006254FD">
        <w:rPr>
          <w:rFonts w:cs="Arial"/>
          <w:sz w:val="20"/>
        </w:rPr>
        <w:t>).</w:t>
      </w:r>
    </w:p>
  </w:footnote>
  <w:footnote w:id="14">
    <w:p w14:paraId="0CEAC90A" w14:textId="77777777" w:rsidR="00733548" w:rsidRPr="008D4C84" w:rsidRDefault="00733548" w:rsidP="0073354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Pr>
          <w:rFonts w:cs="Arial"/>
          <w:i/>
          <w:iCs/>
          <w:sz w:val="20"/>
        </w:rPr>
        <w:t>Le Petit Larousse illustré, 2015</w:t>
      </w:r>
      <w:r>
        <w:rPr>
          <w:rFonts w:cs="Arial"/>
          <w:sz w:val="20"/>
        </w:rPr>
        <w:t>, Paris, Larousse, 2014.</w:t>
      </w:r>
    </w:p>
  </w:footnote>
  <w:footnote w:id="15">
    <w:p w14:paraId="262F424D" w14:textId="77777777" w:rsidR="00733548" w:rsidRPr="00B42406" w:rsidRDefault="00733548" w:rsidP="0073354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t>RLRQ, c. S-2,1, r. 13.</w:t>
      </w:r>
    </w:p>
  </w:footnote>
  <w:footnote w:id="16">
    <w:p w14:paraId="7E0F4A40" w14:textId="77777777" w:rsidR="00733548" w:rsidRPr="00F1323A" w:rsidRDefault="00733548" w:rsidP="0073354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F00E8C">
        <w:rPr>
          <w:rFonts w:cs="Arial"/>
          <w:i/>
          <w:sz w:val="20"/>
        </w:rPr>
        <w:t>Salvatore</w:t>
      </w:r>
      <w:r w:rsidRPr="00F1323A">
        <w:rPr>
          <w:rFonts w:cs="Arial"/>
          <w:sz w:val="20"/>
        </w:rPr>
        <w:t xml:space="preserve"> et </w:t>
      </w:r>
      <w:r w:rsidRPr="00F00E8C">
        <w:rPr>
          <w:rFonts w:cs="Arial"/>
          <w:i/>
          <w:sz w:val="20"/>
        </w:rPr>
        <w:t>Piquage Canada CQ ltée</w:t>
      </w:r>
      <w:r>
        <w:rPr>
          <w:rFonts w:cs="Arial"/>
          <w:i/>
          <w:sz w:val="20"/>
        </w:rPr>
        <w:t xml:space="preserve"> </w:t>
      </w:r>
      <w:r w:rsidRPr="008D4C84">
        <w:rPr>
          <w:rFonts w:cs="Arial"/>
          <w:i/>
          <w:sz w:val="20"/>
        </w:rPr>
        <w:t>(Fermée)</w:t>
      </w:r>
      <w:r w:rsidRPr="006254FD">
        <w:rPr>
          <w:rFonts w:cs="Arial"/>
          <w:sz w:val="20"/>
        </w:rPr>
        <w:t>,</w:t>
      </w:r>
      <w:r>
        <w:rPr>
          <w:rFonts w:cs="Arial"/>
          <w:sz w:val="20"/>
        </w:rPr>
        <w:t xml:space="preserve"> </w:t>
      </w:r>
      <w:r w:rsidRPr="00F1323A">
        <w:rPr>
          <w:rFonts w:cs="Arial"/>
          <w:sz w:val="20"/>
        </w:rPr>
        <w:t>2011</w:t>
      </w:r>
      <w:r>
        <w:rPr>
          <w:rFonts w:cs="Arial"/>
          <w:sz w:val="20"/>
        </w:rPr>
        <w:t> </w:t>
      </w:r>
      <w:r w:rsidRPr="00F1323A">
        <w:rPr>
          <w:rFonts w:cs="Arial"/>
          <w:sz w:val="20"/>
        </w:rPr>
        <w:t>QCCLP</w:t>
      </w:r>
      <w:r>
        <w:rPr>
          <w:rFonts w:cs="Arial"/>
          <w:sz w:val="20"/>
        </w:rPr>
        <w:t> </w:t>
      </w:r>
      <w:r w:rsidRPr="00F1323A">
        <w:rPr>
          <w:rFonts w:cs="Arial"/>
          <w:sz w:val="20"/>
        </w:rPr>
        <w:t>6471</w:t>
      </w:r>
      <w:r>
        <w:rPr>
          <w:rFonts w:cs="Arial"/>
          <w:sz w:val="20"/>
        </w:rPr>
        <w:t xml:space="preserve">; </w:t>
      </w:r>
      <w:r w:rsidRPr="00F00E8C">
        <w:rPr>
          <w:rFonts w:cs="Arial"/>
          <w:i/>
          <w:sz w:val="20"/>
        </w:rPr>
        <w:t>Denis</w:t>
      </w:r>
      <w:r w:rsidRPr="00F1323A">
        <w:rPr>
          <w:rFonts w:cs="Arial"/>
          <w:sz w:val="20"/>
        </w:rPr>
        <w:t xml:space="preserve"> et </w:t>
      </w:r>
      <w:r w:rsidRPr="00AD7CA0">
        <w:rPr>
          <w:rFonts w:cs="Arial"/>
          <w:i/>
          <w:sz w:val="20"/>
        </w:rPr>
        <w:t>Mapei inc.</w:t>
      </w:r>
      <w:r w:rsidRPr="00F1323A">
        <w:rPr>
          <w:rFonts w:cs="Arial"/>
          <w:sz w:val="20"/>
        </w:rPr>
        <w:t>,</w:t>
      </w:r>
      <w:r>
        <w:rPr>
          <w:rFonts w:cs="Arial"/>
          <w:sz w:val="20"/>
        </w:rPr>
        <w:t xml:space="preserve"> 2015 QCCLP 1314; </w:t>
      </w:r>
      <w:r w:rsidRPr="00F00E8C">
        <w:rPr>
          <w:rFonts w:cs="Arial"/>
          <w:i/>
          <w:sz w:val="20"/>
        </w:rPr>
        <w:t>Rodrigue</w:t>
      </w:r>
      <w:r w:rsidRPr="00F1323A">
        <w:rPr>
          <w:rFonts w:cs="Arial"/>
          <w:sz w:val="20"/>
        </w:rPr>
        <w:t xml:space="preserve"> et </w:t>
      </w:r>
      <w:r w:rsidRPr="00F00E8C">
        <w:rPr>
          <w:rFonts w:cs="Arial"/>
          <w:i/>
          <w:sz w:val="20"/>
        </w:rPr>
        <w:t>Telus Communications inc.</w:t>
      </w:r>
      <w:r w:rsidRPr="00F1323A">
        <w:rPr>
          <w:rFonts w:cs="Arial"/>
          <w:sz w:val="20"/>
        </w:rPr>
        <w:t>,</w:t>
      </w:r>
      <w:r>
        <w:rPr>
          <w:rFonts w:cs="Arial"/>
          <w:sz w:val="20"/>
        </w:rPr>
        <w:t xml:space="preserve"> </w:t>
      </w:r>
      <w:r w:rsidRPr="00F1323A">
        <w:rPr>
          <w:rFonts w:cs="Arial"/>
          <w:sz w:val="20"/>
        </w:rPr>
        <w:t>2016</w:t>
      </w:r>
      <w:r>
        <w:rPr>
          <w:rFonts w:cs="Arial"/>
          <w:sz w:val="20"/>
        </w:rPr>
        <w:t> </w:t>
      </w:r>
      <w:r w:rsidRPr="00F1323A">
        <w:rPr>
          <w:rFonts w:cs="Arial"/>
          <w:sz w:val="20"/>
        </w:rPr>
        <w:t>QCTAT</w:t>
      </w:r>
      <w:r>
        <w:rPr>
          <w:rFonts w:cs="Arial"/>
          <w:sz w:val="20"/>
        </w:rPr>
        <w:t> </w:t>
      </w:r>
      <w:r w:rsidRPr="00F1323A">
        <w:rPr>
          <w:rFonts w:cs="Arial"/>
          <w:sz w:val="20"/>
        </w:rPr>
        <w:t>6627</w:t>
      </w:r>
      <w:r>
        <w:rPr>
          <w:rFonts w:cs="Arial"/>
          <w:sz w:val="20"/>
        </w:rPr>
        <w:t>;</w:t>
      </w:r>
      <w:r w:rsidRPr="00F1323A">
        <w:t xml:space="preserve"> </w:t>
      </w:r>
      <w:r w:rsidRPr="00F00E8C">
        <w:rPr>
          <w:rFonts w:cs="Arial"/>
          <w:i/>
          <w:sz w:val="20"/>
        </w:rPr>
        <w:t>Leblond</w:t>
      </w:r>
      <w:r w:rsidRPr="00F1323A">
        <w:rPr>
          <w:rFonts w:cs="Arial"/>
          <w:sz w:val="20"/>
        </w:rPr>
        <w:t xml:space="preserve"> et </w:t>
      </w:r>
      <w:r w:rsidRPr="00F00E8C">
        <w:rPr>
          <w:rFonts w:cs="Arial"/>
          <w:i/>
          <w:sz w:val="20"/>
        </w:rPr>
        <w:t>RTC Chauffeurs</w:t>
      </w:r>
      <w:r w:rsidRPr="00F00E8C">
        <w:rPr>
          <w:rFonts w:cs="Arial"/>
          <w:sz w:val="20"/>
        </w:rPr>
        <w:t>,</w:t>
      </w:r>
      <w:r w:rsidRPr="00F1323A">
        <w:rPr>
          <w:rFonts w:cs="Arial"/>
          <w:sz w:val="20"/>
        </w:rPr>
        <w:t xml:space="preserve"> 2018 QCTAT</w:t>
      </w:r>
      <w:r>
        <w:rPr>
          <w:rFonts w:cs="Arial"/>
          <w:sz w:val="20"/>
        </w:rPr>
        <w:t> </w:t>
      </w:r>
      <w:r w:rsidRPr="00F1323A">
        <w:rPr>
          <w:rFonts w:cs="Arial"/>
          <w:sz w:val="20"/>
        </w:rPr>
        <w:t>3420</w:t>
      </w:r>
      <w:r>
        <w:rPr>
          <w:rFonts w:cs="Arial"/>
          <w:sz w:val="20"/>
        </w:rPr>
        <w:t>;</w:t>
      </w:r>
      <w:r w:rsidRPr="00F1323A">
        <w:t xml:space="preserve"> </w:t>
      </w:r>
      <w:r w:rsidRPr="00F00E8C">
        <w:rPr>
          <w:rFonts w:cs="Arial"/>
          <w:i/>
          <w:sz w:val="20"/>
        </w:rPr>
        <w:t>Cauchon</w:t>
      </w:r>
      <w:r w:rsidRPr="00F1323A">
        <w:rPr>
          <w:rFonts w:cs="Arial"/>
          <w:sz w:val="20"/>
        </w:rPr>
        <w:t xml:space="preserve"> et </w:t>
      </w:r>
      <w:r w:rsidRPr="00F00E8C">
        <w:rPr>
          <w:rFonts w:cs="Arial"/>
          <w:i/>
          <w:sz w:val="20"/>
        </w:rPr>
        <w:t>Intercar</w:t>
      </w:r>
      <w:r w:rsidRPr="00F00E8C">
        <w:rPr>
          <w:rFonts w:cs="Arial"/>
          <w:sz w:val="20"/>
        </w:rPr>
        <w:t>,</w:t>
      </w:r>
      <w:r w:rsidRPr="00F1323A">
        <w:rPr>
          <w:rFonts w:cs="Arial"/>
          <w:sz w:val="20"/>
        </w:rPr>
        <w:t xml:space="preserve"> 2021</w:t>
      </w:r>
      <w:r>
        <w:rPr>
          <w:rFonts w:cs="Arial"/>
          <w:sz w:val="20"/>
        </w:rPr>
        <w:t> </w:t>
      </w:r>
      <w:r w:rsidRPr="00F1323A">
        <w:rPr>
          <w:rFonts w:cs="Arial"/>
          <w:sz w:val="20"/>
        </w:rPr>
        <w:t>QCTAT</w:t>
      </w:r>
      <w:r>
        <w:rPr>
          <w:rFonts w:cs="Arial"/>
          <w:sz w:val="20"/>
        </w:rPr>
        <w:t> </w:t>
      </w:r>
      <w:r w:rsidRPr="00F1323A">
        <w:rPr>
          <w:rFonts w:cs="Arial"/>
          <w:sz w:val="20"/>
        </w:rPr>
        <w:t>2035</w:t>
      </w:r>
      <w:r>
        <w:rPr>
          <w:rFonts w:cs="Arial"/>
          <w:sz w:val="20"/>
        </w:rPr>
        <w:t>.</w:t>
      </w:r>
    </w:p>
  </w:footnote>
  <w:footnote w:id="17">
    <w:p w14:paraId="2BA087FD" w14:textId="77777777" w:rsidR="00733548" w:rsidRPr="00413C57" w:rsidRDefault="00733548" w:rsidP="0073354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Pr>
          <w:rFonts w:cs="Arial"/>
          <w:color w:val="000000"/>
          <w:sz w:val="20"/>
        </w:rPr>
        <w:t xml:space="preserve">M. TROTTIER, T. LEROUX et J.-E. DEADMAN, chap. 10 : «  Bruit  », dans ASSOCIATION QUÉBÉCOISE POUR L’HYGIÈNE, LA SANTÉ ET LA SÉCURITÉ DU TRAVAIL, Brigitte ROBERGE </w:t>
      </w:r>
      <w:r>
        <w:rPr>
          <w:rFonts w:cs="Arial"/>
          <w:i/>
          <w:iCs/>
          <w:color w:val="000000"/>
          <w:sz w:val="20"/>
        </w:rPr>
        <w:t xml:space="preserve">et al., Manuel d’hygiène du travail : du diagnostic à la maîtrise des facteurs de risque, </w:t>
      </w:r>
      <w:r>
        <w:rPr>
          <w:rFonts w:cs="Arial"/>
          <w:color w:val="000000"/>
          <w:sz w:val="20"/>
        </w:rPr>
        <w:t>Mont-Royal, Modulo-Griffon, 2004, pp. 160-183.</w:t>
      </w:r>
    </w:p>
  </w:footnote>
  <w:footnote w:id="18">
    <w:p w14:paraId="488DCFCC" w14:textId="77777777" w:rsidR="00733548" w:rsidRPr="00785358" w:rsidRDefault="00733548" w:rsidP="0073354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785358">
        <w:rPr>
          <w:rFonts w:cs="Arial"/>
          <w:i/>
          <w:sz w:val="20"/>
        </w:rPr>
        <w:t>Hansen</w:t>
      </w:r>
      <w:r w:rsidRPr="00785358">
        <w:rPr>
          <w:rFonts w:cs="Arial"/>
          <w:sz w:val="20"/>
        </w:rPr>
        <w:t xml:space="preserve"> et </w:t>
      </w:r>
      <w:r w:rsidRPr="00785358">
        <w:rPr>
          <w:rFonts w:cs="Arial"/>
          <w:i/>
          <w:sz w:val="20"/>
        </w:rPr>
        <w:t>Commission scolaire Riverside</w:t>
      </w:r>
      <w:r>
        <w:rPr>
          <w:rFonts w:cs="Arial"/>
          <w:sz w:val="20"/>
        </w:rPr>
        <w:t xml:space="preserve">, </w:t>
      </w:r>
      <w:r w:rsidRPr="00785358">
        <w:rPr>
          <w:rFonts w:cs="Arial"/>
          <w:sz w:val="20"/>
        </w:rPr>
        <w:t>2010</w:t>
      </w:r>
      <w:r>
        <w:rPr>
          <w:rFonts w:cs="Arial"/>
          <w:sz w:val="20"/>
        </w:rPr>
        <w:t> </w:t>
      </w:r>
      <w:r w:rsidRPr="00785358">
        <w:rPr>
          <w:rFonts w:cs="Arial"/>
          <w:sz w:val="20"/>
        </w:rPr>
        <w:t>QCCLP</w:t>
      </w:r>
      <w:r>
        <w:rPr>
          <w:rFonts w:cs="Arial"/>
          <w:sz w:val="20"/>
        </w:rPr>
        <w:t> </w:t>
      </w:r>
      <w:r w:rsidRPr="00785358">
        <w:rPr>
          <w:rFonts w:cs="Arial"/>
          <w:sz w:val="20"/>
        </w:rPr>
        <w:t>8781</w:t>
      </w:r>
      <w:r>
        <w:rPr>
          <w:rFonts w:cs="Arial"/>
          <w:sz w:val="20"/>
        </w:rPr>
        <w:t xml:space="preserve">, </w:t>
      </w:r>
      <w:r w:rsidRPr="00785358">
        <w:rPr>
          <w:rFonts w:cs="Arial"/>
          <w:i/>
          <w:sz w:val="20"/>
        </w:rPr>
        <w:t>Bray</w:t>
      </w:r>
      <w:r>
        <w:rPr>
          <w:rFonts w:cs="Arial"/>
          <w:sz w:val="20"/>
        </w:rPr>
        <w:t xml:space="preserve"> </w:t>
      </w:r>
      <w:r w:rsidRPr="00785358">
        <w:rPr>
          <w:rFonts w:cs="Arial"/>
          <w:sz w:val="20"/>
        </w:rPr>
        <w:t xml:space="preserve">et </w:t>
      </w:r>
      <w:r w:rsidRPr="00785358">
        <w:rPr>
          <w:rFonts w:cs="Arial"/>
          <w:i/>
          <w:sz w:val="20"/>
        </w:rPr>
        <w:t>Société de transport de Laval</w:t>
      </w:r>
      <w:r>
        <w:rPr>
          <w:rFonts w:cs="Arial"/>
          <w:sz w:val="20"/>
        </w:rPr>
        <w:t xml:space="preserve">, </w:t>
      </w:r>
      <w:r w:rsidRPr="00785358">
        <w:rPr>
          <w:rFonts w:cs="Arial"/>
          <w:sz w:val="20"/>
        </w:rPr>
        <w:t>2021</w:t>
      </w:r>
      <w:r>
        <w:rPr>
          <w:rFonts w:cs="Arial"/>
          <w:sz w:val="20"/>
        </w:rPr>
        <w:t> </w:t>
      </w:r>
      <w:r w:rsidRPr="00785358">
        <w:rPr>
          <w:rFonts w:cs="Arial"/>
          <w:sz w:val="20"/>
        </w:rPr>
        <w:t>QCTAT</w:t>
      </w:r>
      <w:r>
        <w:rPr>
          <w:rFonts w:cs="Arial"/>
          <w:sz w:val="20"/>
        </w:rPr>
        <w:t> </w:t>
      </w:r>
      <w:r w:rsidRPr="00785358">
        <w:rPr>
          <w:rFonts w:cs="Arial"/>
          <w:sz w:val="20"/>
        </w:rPr>
        <w:t>5840</w:t>
      </w:r>
      <w:r>
        <w:rPr>
          <w:rFonts w:cs="Arial"/>
          <w:sz w:val="20"/>
        </w:rPr>
        <w:t>.</w:t>
      </w:r>
    </w:p>
  </w:footnote>
  <w:footnote w:id="19">
    <w:p w14:paraId="0369AB9E" w14:textId="77777777" w:rsidR="00733548" w:rsidRPr="00802BA5" w:rsidRDefault="00733548" w:rsidP="0073354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6A5081">
        <w:rPr>
          <w:rFonts w:cs="Arial"/>
          <w:i/>
          <w:sz w:val="20"/>
        </w:rPr>
        <w:t>Isolation Trifluvienne inc.</w:t>
      </w:r>
      <w:r w:rsidRPr="00802BA5">
        <w:rPr>
          <w:rFonts w:cs="Arial"/>
          <w:sz w:val="20"/>
        </w:rPr>
        <w:t xml:space="preserve"> et </w:t>
      </w:r>
      <w:r w:rsidRPr="006A5081">
        <w:rPr>
          <w:rFonts w:cs="Arial"/>
          <w:i/>
          <w:sz w:val="20"/>
        </w:rPr>
        <w:t>Lebreton</w:t>
      </w:r>
      <w:r w:rsidRPr="00802BA5">
        <w:rPr>
          <w:rFonts w:cs="Arial"/>
          <w:sz w:val="20"/>
        </w:rPr>
        <w:t>,</w:t>
      </w:r>
      <w:r>
        <w:rPr>
          <w:rFonts w:cs="Arial"/>
          <w:sz w:val="20"/>
        </w:rPr>
        <w:t xml:space="preserve"> </w:t>
      </w:r>
      <w:r w:rsidRPr="00F1767A">
        <w:rPr>
          <w:rFonts w:cs="Arial"/>
          <w:sz w:val="20"/>
        </w:rPr>
        <w:t>C.L.P.</w:t>
      </w:r>
      <w:r>
        <w:rPr>
          <w:rFonts w:cs="Arial"/>
          <w:sz w:val="20"/>
        </w:rPr>
        <w:t> 366038-04-0812, 1</w:t>
      </w:r>
      <w:r w:rsidRPr="0028155E">
        <w:rPr>
          <w:rFonts w:cs="Arial"/>
          <w:sz w:val="20"/>
          <w:vertAlign w:val="superscript"/>
        </w:rPr>
        <w:t>er</w:t>
      </w:r>
      <w:r>
        <w:rPr>
          <w:rFonts w:cs="Arial"/>
          <w:sz w:val="20"/>
        </w:rPr>
        <w:t> </w:t>
      </w:r>
      <w:r w:rsidRPr="00F1767A">
        <w:rPr>
          <w:rFonts w:cs="Arial"/>
          <w:sz w:val="20"/>
        </w:rPr>
        <w:t>octobre</w:t>
      </w:r>
      <w:r>
        <w:rPr>
          <w:rFonts w:cs="Arial"/>
          <w:sz w:val="20"/>
        </w:rPr>
        <w:t> </w:t>
      </w:r>
      <w:r w:rsidRPr="00F1767A">
        <w:rPr>
          <w:rFonts w:cs="Arial"/>
          <w:sz w:val="20"/>
        </w:rPr>
        <w:t>2009, M.</w:t>
      </w:r>
      <w:r>
        <w:rPr>
          <w:rFonts w:cs="Arial"/>
          <w:sz w:val="20"/>
        </w:rPr>
        <w:t> </w:t>
      </w:r>
      <w:r w:rsidRPr="00F1767A">
        <w:rPr>
          <w:rFonts w:cs="Arial"/>
          <w:sz w:val="20"/>
        </w:rPr>
        <w:t>Carignan</w:t>
      </w:r>
      <w:r>
        <w:rPr>
          <w:rFonts w:cs="Arial"/>
          <w:sz w:val="20"/>
        </w:rPr>
        <w:t xml:space="preserve">; </w:t>
      </w:r>
      <w:r w:rsidRPr="006A5081">
        <w:rPr>
          <w:rFonts w:cs="Arial"/>
          <w:i/>
          <w:sz w:val="20"/>
        </w:rPr>
        <w:t>Lamoureux</w:t>
      </w:r>
      <w:r w:rsidRPr="00802BA5">
        <w:rPr>
          <w:rFonts w:cs="Arial"/>
          <w:sz w:val="20"/>
        </w:rPr>
        <w:t xml:space="preserve"> et </w:t>
      </w:r>
      <w:r w:rsidRPr="006A5081">
        <w:rPr>
          <w:rFonts w:cs="Arial"/>
          <w:i/>
          <w:sz w:val="20"/>
        </w:rPr>
        <w:t>Adanac Démolition inc.</w:t>
      </w:r>
      <w:r w:rsidRPr="00802BA5">
        <w:rPr>
          <w:rFonts w:cs="Arial"/>
          <w:sz w:val="20"/>
        </w:rPr>
        <w:t>,</w:t>
      </w:r>
      <w:r>
        <w:rPr>
          <w:rFonts w:cs="Arial"/>
          <w:sz w:val="20"/>
        </w:rPr>
        <w:t xml:space="preserve"> </w:t>
      </w:r>
      <w:r w:rsidRPr="00F1767A">
        <w:rPr>
          <w:rFonts w:cs="Arial"/>
          <w:sz w:val="20"/>
        </w:rPr>
        <w:t>2011 QCCLP</w:t>
      </w:r>
      <w:r>
        <w:rPr>
          <w:rFonts w:cs="Arial"/>
          <w:sz w:val="20"/>
        </w:rPr>
        <w:t> </w:t>
      </w:r>
      <w:r w:rsidRPr="00F1767A">
        <w:rPr>
          <w:rFonts w:cs="Arial"/>
          <w:sz w:val="20"/>
        </w:rPr>
        <w:t>3365</w:t>
      </w:r>
      <w:r>
        <w:rPr>
          <w:rFonts w:cs="Arial"/>
          <w:sz w:val="20"/>
        </w:rPr>
        <w:t xml:space="preserve">; </w:t>
      </w:r>
      <w:r w:rsidRPr="006A5081">
        <w:rPr>
          <w:rFonts w:cs="Arial"/>
          <w:i/>
          <w:sz w:val="20"/>
        </w:rPr>
        <w:t>Ville de Québec</w:t>
      </w:r>
      <w:r w:rsidRPr="00F375C6">
        <w:rPr>
          <w:rFonts w:cs="Arial"/>
          <w:sz w:val="20"/>
        </w:rPr>
        <w:t xml:space="preserve"> et </w:t>
      </w:r>
      <w:r w:rsidRPr="006A5081">
        <w:rPr>
          <w:rFonts w:cs="Arial"/>
          <w:i/>
          <w:sz w:val="20"/>
        </w:rPr>
        <w:t>Duhamel</w:t>
      </w:r>
      <w:r w:rsidRPr="00F375C6">
        <w:rPr>
          <w:rFonts w:cs="Arial"/>
          <w:sz w:val="20"/>
        </w:rPr>
        <w:t>,</w:t>
      </w:r>
      <w:r>
        <w:rPr>
          <w:rFonts w:cs="Arial"/>
          <w:sz w:val="20"/>
        </w:rPr>
        <w:t xml:space="preserve"> 2011 QCCLP 5127; </w:t>
      </w:r>
      <w:r w:rsidRPr="006A5081">
        <w:rPr>
          <w:rFonts w:cs="Arial"/>
          <w:i/>
          <w:sz w:val="20"/>
        </w:rPr>
        <w:t>Patry</w:t>
      </w:r>
      <w:r w:rsidRPr="00F375C6">
        <w:rPr>
          <w:rFonts w:cs="Arial"/>
          <w:sz w:val="20"/>
        </w:rPr>
        <w:t xml:space="preserve"> et </w:t>
      </w:r>
      <w:r w:rsidRPr="006A5081">
        <w:rPr>
          <w:rFonts w:cs="Arial"/>
          <w:i/>
          <w:sz w:val="20"/>
        </w:rPr>
        <w:t>Atl Réadaptation Travail Beauce inc.</w:t>
      </w:r>
      <w:r>
        <w:rPr>
          <w:rFonts w:cs="Arial"/>
          <w:sz w:val="20"/>
        </w:rPr>
        <w:t xml:space="preserve">, </w:t>
      </w:r>
      <w:r w:rsidRPr="00F375C6">
        <w:rPr>
          <w:rFonts w:cs="Arial"/>
          <w:sz w:val="20"/>
        </w:rPr>
        <w:t>2019</w:t>
      </w:r>
      <w:r>
        <w:rPr>
          <w:rFonts w:cs="Arial"/>
          <w:sz w:val="20"/>
        </w:rPr>
        <w:t> </w:t>
      </w:r>
      <w:r w:rsidRPr="00F375C6">
        <w:rPr>
          <w:rFonts w:cs="Arial"/>
          <w:sz w:val="20"/>
        </w:rPr>
        <w:t>QCTAT</w:t>
      </w:r>
      <w:r>
        <w:rPr>
          <w:rFonts w:cs="Arial"/>
          <w:sz w:val="20"/>
        </w:rPr>
        <w:t> </w:t>
      </w:r>
      <w:r w:rsidRPr="00F375C6">
        <w:rPr>
          <w:rFonts w:cs="Arial"/>
          <w:sz w:val="20"/>
        </w:rPr>
        <w:t>2353</w:t>
      </w:r>
      <w:r>
        <w:rPr>
          <w:rFonts w:cs="Arial"/>
          <w:sz w:val="20"/>
        </w:rPr>
        <w:t>.</w:t>
      </w:r>
    </w:p>
  </w:footnote>
  <w:footnote w:id="20">
    <w:p w14:paraId="07E96C19" w14:textId="77777777" w:rsidR="00733548" w:rsidRPr="00A44355" w:rsidRDefault="00733548" w:rsidP="00733548">
      <w:pPr>
        <w:pStyle w:val="Notedebasdepage"/>
        <w:tabs>
          <w:tab w:val="left" w:pos="720"/>
        </w:tabs>
        <w:ind w:left="720" w:hanging="720"/>
        <w:jc w:val="both"/>
        <w:rPr>
          <w:rFonts w:cs="Arial"/>
          <w:sz w:val="20"/>
        </w:rPr>
      </w:pPr>
      <w:r>
        <w:rPr>
          <w:rStyle w:val="Appelnotedebasdep"/>
        </w:rPr>
        <w:footnoteRef/>
      </w:r>
      <w:r>
        <w:t xml:space="preserve"> </w:t>
      </w:r>
      <w:r>
        <w:rPr>
          <w:rFonts w:cs="Arial"/>
          <w:sz w:val="20"/>
        </w:rPr>
        <w:tab/>
      </w:r>
      <w:r w:rsidRPr="00A44355">
        <w:rPr>
          <w:rFonts w:cs="Arial"/>
          <w:i/>
          <w:iCs/>
          <w:sz w:val="20"/>
        </w:rPr>
        <w:t>Chadwick</w:t>
      </w:r>
      <w:r w:rsidRPr="00A44355">
        <w:rPr>
          <w:rFonts w:cs="Arial"/>
          <w:sz w:val="20"/>
        </w:rPr>
        <w:t xml:space="preserve"> et </w:t>
      </w:r>
      <w:r w:rsidRPr="00A44355">
        <w:rPr>
          <w:rFonts w:cs="Arial"/>
          <w:i/>
          <w:iCs/>
          <w:sz w:val="20"/>
        </w:rPr>
        <w:t>Transport Rhéal Beaudry inc.</w:t>
      </w:r>
      <w:r w:rsidRPr="00A44355">
        <w:rPr>
          <w:rFonts w:cs="Arial"/>
          <w:sz w:val="20"/>
        </w:rPr>
        <w:t>,</w:t>
      </w:r>
      <w:r>
        <w:rPr>
          <w:rFonts w:cs="Arial"/>
          <w:sz w:val="20"/>
        </w:rPr>
        <w:t xml:space="preserve"> </w:t>
      </w:r>
      <w:r w:rsidRPr="00A44355">
        <w:rPr>
          <w:rFonts w:cs="Arial"/>
          <w:sz w:val="20"/>
        </w:rPr>
        <w:t>C.L.P. 291871-04B-0606, 8 septembre 2006, A.</w:t>
      </w:r>
      <w:r>
        <w:rPr>
          <w:rFonts w:cs="Arial"/>
          <w:sz w:val="20"/>
        </w:rPr>
        <w:t> </w:t>
      </w:r>
      <w:r w:rsidRPr="00A44355">
        <w:rPr>
          <w:rFonts w:cs="Arial"/>
          <w:sz w:val="20"/>
        </w:rPr>
        <w:t>Quigley</w:t>
      </w:r>
      <w:r w:rsidRPr="008D4C84">
        <w:rPr>
          <w:rFonts w:cs="Arial"/>
          <w:i/>
          <w:iCs/>
          <w:sz w:val="20"/>
        </w:rPr>
        <w:t>; Boucher</w:t>
      </w:r>
      <w:r w:rsidRPr="00A44355">
        <w:rPr>
          <w:rFonts w:cs="Arial"/>
          <w:sz w:val="20"/>
        </w:rPr>
        <w:t xml:space="preserve"> et </w:t>
      </w:r>
      <w:r w:rsidRPr="008D4C84">
        <w:rPr>
          <w:rFonts w:cs="Arial"/>
          <w:i/>
          <w:iCs/>
          <w:sz w:val="20"/>
        </w:rPr>
        <w:t>Centre de rénovation P E Giroux inc</w:t>
      </w:r>
      <w:r w:rsidRPr="00A44355">
        <w:rPr>
          <w:rFonts w:cs="Arial"/>
          <w:sz w:val="20"/>
        </w:rPr>
        <w:t>.</w:t>
      </w:r>
      <w:r>
        <w:rPr>
          <w:rFonts w:cs="Arial"/>
          <w:sz w:val="20"/>
        </w:rPr>
        <w:t xml:space="preserve">, C.L.P. </w:t>
      </w:r>
      <w:r w:rsidRPr="00A44355">
        <w:rPr>
          <w:rFonts w:cs="Arial"/>
          <w:sz w:val="20"/>
        </w:rPr>
        <w:t>369687-62A-0902-C</w:t>
      </w:r>
      <w:r>
        <w:rPr>
          <w:rFonts w:cs="Arial"/>
          <w:sz w:val="20"/>
        </w:rPr>
        <w:t>, 1</w:t>
      </w:r>
      <w:r w:rsidRPr="00A44355">
        <w:rPr>
          <w:rFonts w:cs="Arial"/>
          <w:sz w:val="20"/>
          <w:vertAlign w:val="superscript"/>
        </w:rPr>
        <w:t>er</w:t>
      </w:r>
      <w:r>
        <w:rPr>
          <w:rFonts w:cs="Arial"/>
          <w:sz w:val="20"/>
        </w:rPr>
        <w:t xml:space="preserve"> février 2010, E. Malo.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90" w:type="dxa"/>
      <w:tblInd w:w="-20" w:type="dxa"/>
      <w:tblLayout w:type="fixed"/>
      <w:tblCellMar>
        <w:left w:w="70" w:type="dxa"/>
        <w:right w:w="70" w:type="dxa"/>
      </w:tblCellMar>
      <w:tblLook w:val="0000" w:firstRow="0" w:lastRow="0" w:firstColumn="0" w:lastColumn="0" w:noHBand="0" w:noVBand="0"/>
    </w:tblPr>
    <w:tblGrid>
      <w:gridCol w:w="8730"/>
      <w:gridCol w:w="860"/>
    </w:tblGrid>
    <w:tr w:rsidR="00D330B6" w14:paraId="6C810AE3" w14:textId="77777777" w:rsidTr="00B12A80">
      <w:tc>
        <w:tcPr>
          <w:tcW w:w="8730" w:type="dxa"/>
        </w:tcPr>
        <w:p w14:paraId="35C625DE" w14:textId="77777777" w:rsidR="00D330B6" w:rsidRDefault="00D330B6">
          <w:pPr>
            <w:pStyle w:val="En-tte"/>
            <w:ind w:left="-90"/>
          </w:pPr>
        </w:p>
      </w:tc>
      <w:tc>
        <w:tcPr>
          <w:tcW w:w="860" w:type="dxa"/>
        </w:tcPr>
        <w:p w14:paraId="0DA776B1" w14:textId="77777777" w:rsidR="00D330B6" w:rsidRDefault="00D330B6">
          <w:pPr>
            <w:pStyle w:val="En-tte"/>
            <w:ind w:left="-90"/>
          </w:pPr>
        </w:p>
      </w:tc>
    </w:tr>
    <w:tr w:rsidR="003D2697" w14:paraId="050B075B" w14:textId="77777777" w:rsidTr="00B12A80">
      <w:tc>
        <w:tcPr>
          <w:tcW w:w="8730" w:type="dxa"/>
        </w:tcPr>
        <w:p w14:paraId="2D8B9536" w14:textId="5F03779A" w:rsidR="003D2697" w:rsidRDefault="003D2697" w:rsidP="003D2697">
          <w:r w:rsidRPr="00B12A80">
            <w:t>1345881</w:t>
          </w:r>
          <w:r>
            <w:t>-</w:t>
          </w:r>
          <w:r w:rsidRPr="00B12A80">
            <w:t>62</w:t>
          </w:r>
          <w:r>
            <w:t>-</w:t>
          </w:r>
          <w:r w:rsidRPr="00B12A80">
            <w:t>2311</w:t>
          </w:r>
        </w:p>
      </w:tc>
      <w:tc>
        <w:tcPr>
          <w:tcW w:w="860" w:type="dxa"/>
        </w:tcPr>
        <w:p w14:paraId="5EE7FE13" w14:textId="77777777" w:rsidR="003D2697" w:rsidRDefault="003D2697" w:rsidP="003D2697">
          <w:pPr>
            <w:pStyle w:val="En-tte"/>
            <w:ind w:left="-9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2629C1">
            <w:rPr>
              <w:rStyle w:val="Numrodepage"/>
              <w:noProof/>
            </w:rPr>
            <w:t>2</w:t>
          </w:r>
          <w:r>
            <w:rPr>
              <w:rStyle w:val="Numrodepage"/>
            </w:rPr>
            <w:fldChar w:fldCharType="end"/>
          </w:r>
        </w:p>
      </w:tc>
    </w:tr>
    <w:tr w:rsidR="003D2697" w14:paraId="71739ED9" w14:textId="77777777" w:rsidTr="00B12A80">
      <w:tc>
        <w:tcPr>
          <w:tcW w:w="8730" w:type="dxa"/>
        </w:tcPr>
        <w:p w14:paraId="1325E97B" w14:textId="77777777" w:rsidR="003D2697" w:rsidRDefault="003D2697" w:rsidP="003D2697"/>
      </w:tc>
      <w:tc>
        <w:tcPr>
          <w:tcW w:w="860" w:type="dxa"/>
        </w:tcPr>
        <w:p w14:paraId="307AC8BC" w14:textId="77777777" w:rsidR="003D2697" w:rsidRDefault="003D2697" w:rsidP="003D2697">
          <w:pPr>
            <w:pStyle w:val="En-tte"/>
            <w:ind w:left="-90"/>
            <w:jc w:val="right"/>
          </w:pPr>
        </w:p>
      </w:tc>
    </w:tr>
  </w:tbl>
  <w:p w14:paraId="7BA1E0C4" w14:textId="77777777" w:rsidR="00D330B6" w:rsidRDefault="00D330B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93D91"/>
    <w:multiLevelType w:val="multilevel"/>
    <w:tmpl w:val="4240187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31CE60E0"/>
    <w:multiLevelType w:val="singleLevel"/>
    <w:tmpl w:val="0C0C000F"/>
    <w:lvl w:ilvl="0">
      <w:start w:val="1"/>
      <w:numFmt w:val="decimal"/>
      <w:lvlText w:val="%1."/>
      <w:lvlJc w:val="left"/>
      <w:pPr>
        <w:tabs>
          <w:tab w:val="num" w:pos="360"/>
        </w:tabs>
        <w:ind w:left="360" w:hanging="360"/>
      </w:pPr>
    </w:lvl>
  </w:abstractNum>
  <w:abstractNum w:abstractNumId="2" w15:restartNumberingAfterBreak="0">
    <w:nsid w:val="4FA52AA0"/>
    <w:multiLevelType w:val="hybridMultilevel"/>
    <w:tmpl w:val="0598E93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 w15:restartNumberingAfterBreak="0">
    <w:nsid w:val="6DD1284B"/>
    <w:multiLevelType w:val="hybridMultilevel"/>
    <w:tmpl w:val="1AFED00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4" w15:restartNumberingAfterBreak="0">
    <w:nsid w:val="6F030813"/>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732348AF"/>
    <w:multiLevelType w:val="hybridMultilevel"/>
    <w:tmpl w:val="54C694AE"/>
    <w:lvl w:ilvl="0" w:tplc="0C0C0001">
      <w:start w:val="1"/>
      <w:numFmt w:val="bullet"/>
      <w:lvlText w:val=""/>
      <w:lvlJc w:val="left"/>
      <w:pPr>
        <w:ind w:left="1440" w:hanging="360"/>
      </w:pPr>
      <w:rPr>
        <w:rFonts w:ascii="Symbol" w:hAnsi="Symbol" w:hint="default"/>
      </w:rPr>
    </w:lvl>
    <w:lvl w:ilvl="1" w:tplc="0C0C0003">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6" w15:restartNumberingAfterBreak="0">
    <w:nsid w:val="737A6EAF"/>
    <w:multiLevelType w:val="multilevel"/>
    <w:tmpl w:val="0C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5917C39"/>
    <w:multiLevelType w:val="multilevel"/>
    <w:tmpl w:val="0042494C"/>
    <w:lvl w:ilvl="0">
      <w:start w:val="1"/>
      <w:numFmt w:val="decimal"/>
      <w:lvlText w:val="[%1]"/>
      <w:lvlJc w:val="left"/>
      <w:pPr>
        <w:tabs>
          <w:tab w:val="num" w:pos="720"/>
        </w:tabs>
        <w:ind w:left="720" w:hanging="72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Titre5"/>
      <w:suff w:val="nothing"/>
      <w:lvlText w:val=""/>
      <w:lvlJc w:val="left"/>
      <w:pPr>
        <w:ind w:left="0" w:firstLine="0"/>
      </w:pPr>
      <w:rPr>
        <w:rFonts w:hint="default"/>
      </w:rPr>
    </w:lvl>
    <w:lvl w:ilvl="5">
      <w:start w:val="1"/>
      <w:numFmt w:val="none"/>
      <w:pStyle w:val="Titre6"/>
      <w:suff w:val="nothing"/>
      <w:lvlText w:val=""/>
      <w:lvlJc w:val="left"/>
      <w:pPr>
        <w:ind w:left="0" w:firstLine="0"/>
      </w:pPr>
      <w:rPr>
        <w:rFonts w:hint="default"/>
      </w:rPr>
    </w:lvl>
    <w:lvl w:ilvl="6">
      <w:start w:val="1"/>
      <w:numFmt w:val="none"/>
      <w:pStyle w:val="Titre7"/>
      <w:suff w:val="nothing"/>
      <w:lvlText w:val=""/>
      <w:lvlJc w:val="left"/>
      <w:pPr>
        <w:ind w:left="0" w:firstLine="0"/>
      </w:pPr>
      <w:rPr>
        <w:rFonts w:hint="default"/>
      </w:rPr>
    </w:lvl>
    <w:lvl w:ilvl="7">
      <w:start w:val="1"/>
      <w:numFmt w:val="none"/>
      <w:pStyle w:val="Titre8"/>
      <w:suff w:val="nothing"/>
      <w:lvlText w:val=""/>
      <w:lvlJc w:val="left"/>
      <w:pPr>
        <w:ind w:left="0" w:firstLine="0"/>
      </w:pPr>
      <w:rPr>
        <w:rFonts w:hint="default"/>
      </w:rPr>
    </w:lvl>
    <w:lvl w:ilvl="8">
      <w:start w:val="1"/>
      <w:numFmt w:val="none"/>
      <w:pStyle w:val="Titre9"/>
      <w:suff w:val="nothing"/>
      <w:lvlText w:val=""/>
      <w:lvlJc w:val="left"/>
      <w:pPr>
        <w:ind w:left="0" w:firstLine="0"/>
      </w:pPr>
      <w:rPr>
        <w:rFonts w:hint="default"/>
      </w:rPr>
    </w:lvl>
  </w:abstractNum>
  <w:abstractNum w:abstractNumId="8" w15:restartNumberingAfterBreak="0">
    <w:nsid w:val="76556088"/>
    <w:multiLevelType w:val="multilevel"/>
    <w:tmpl w:val="74FA30DC"/>
    <w:lvl w:ilvl="0">
      <w:start w:val="1"/>
      <w:numFmt w:val="decimal"/>
      <w:pStyle w:val="corpsdedcision"/>
      <w:lvlText w:val="[%1]"/>
      <w:lvlJc w:val="left"/>
      <w:pPr>
        <w:tabs>
          <w:tab w:val="num" w:pos="360"/>
        </w:tabs>
        <w:ind w:left="0" w:firstLine="0"/>
      </w:pPr>
    </w:lvl>
    <w:lvl w:ilvl="1">
      <w:start w:val="1"/>
      <w:numFmt w:val="decimal"/>
      <w:lvlRestart w:val="0"/>
      <w:lvlText w:val="[%1.%2]"/>
      <w:lvlJc w:val="left"/>
      <w:pPr>
        <w:tabs>
          <w:tab w:val="num" w:pos="1080"/>
        </w:tabs>
        <w:ind w:left="360" w:firstLine="0"/>
      </w:pPr>
    </w:lvl>
    <w:lvl w:ilvl="2">
      <w:start w:val="1"/>
      <w:numFmt w:val="decimal"/>
      <w:lvlRestart w:val="0"/>
      <w:lvlText w:val="[%1.%2.%3]"/>
      <w:lvlJc w:val="left"/>
      <w:pPr>
        <w:tabs>
          <w:tab w:val="num" w:pos="1440"/>
        </w:tabs>
        <w:ind w:left="720" w:firstLine="0"/>
      </w:pPr>
    </w:lvl>
    <w:lvl w:ilvl="3">
      <w:start w:val="1"/>
      <w:numFmt w:val="decimal"/>
      <w:lvlRestart w:val="0"/>
      <w:lvlText w:val="[%1.%2.%3.%4]"/>
      <w:lvlJc w:val="left"/>
      <w:pPr>
        <w:tabs>
          <w:tab w:val="num" w:pos="2160"/>
        </w:tabs>
        <w:ind w:left="1080" w:firstLine="0"/>
      </w:pPr>
    </w:lvl>
    <w:lvl w:ilvl="4">
      <w:start w:val="1"/>
      <w:numFmt w:val="decimal"/>
      <w:lvlRestart w:val="0"/>
      <w:lvlText w:val="[%1.%2.%3.%4.%5]"/>
      <w:lvlJc w:val="left"/>
      <w:pPr>
        <w:tabs>
          <w:tab w:val="num" w:pos="2520"/>
        </w:tabs>
        <w:ind w:left="2232" w:hanging="792"/>
      </w:pPr>
    </w:lvl>
    <w:lvl w:ilvl="5">
      <w:start w:val="1"/>
      <w:numFmt w:val="decimal"/>
      <w:lvlRestart w:val="0"/>
      <w:lvlText w:val="[%1.%2.%3.%4.%5.%6]"/>
      <w:lvlJc w:val="left"/>
      <w:pPr>
        <w:tabs>
          <w:tab w:val="num" w:pos="3240"/>
        </w:tabs>
        <w:ind w:left="2736" w:hanging="936"/>
      </w:pPr>
    </w:lvl>
    <w:lvl w:ilvl="6">
      <w:start w:val="1"/>
      <w:numFmt w:val="decimal"/>
      <w:lvlRestart w:val="0"/>
      <w:lvlText w:val="[%1.%2.%3.%4.%5.%6.%7]"/>
      <w:lvlJc w:val="left"/>
      <w:pPr>
        <w:tabs>
          <w:tab w:val="num" w:pos="3600"/>
        </w:tabs>
        <w:ind w:left="3240" w:hanging="1080"/>
      </w:pPr>
    </w:lvl>
    <w:lvl w:ilvl="7">
      <w:start w:val="1"/>
      <w:numFmt w:val="decimal"/>
      <w:lvlRestart w:val="0"/>
      <w:lvlText w:val="[%1.%2.%3.%4.%5.%6.%7.%8]"/>
      <w:lvlJc w:val="left"/>
      <w:pPr>
        <w:tabs>
          <w:tab w:val="num" w:pos="4320"/>
        </w:tabs>
        <w:ind w:left="3744" w:hanging="1224"/>
      </w:pPr>
    </w:lvl>
    <w:lvl w:ilvl="8">
      <w:start w:val="1"/>
      <w:numFmt w:val="decimal"/>
      <w:lvlRestart w:val="0"/>
      <w:lvlText w:val="[%1.%2.%3.%4.%5.%6.%7.%8.%9]"/>
      <w:lvlJc w:val="left"/>
      <w:pPr>
        <w:tabs>
          <w:tab w:val="num" w:pos="4680"/>
        </w:tabs>
        <w:ind w:left="4320" w:hanging="1440"/>
      </w:pPr>
    </w:lvl>
  </w:abstractNum>
  <w:abstractNum w:abstractNumId="9" w15:restartNumberingAfterBreak="0">
    <w:nsid w:val="78D6079A"/>
    <w:multiLevelType w:val="hybridMultilevel"/>
    <w:tmpl w:val="80AE0E1E"/>
    <w:lvl w:ilvl="0" w:tplc="22AEE0D8">
      <w:start w:val="1"/>
      <w:numFmt w:val="lowerLetter"/>
      <w:lvlText w:val="%1."/>
      <w:lvlJc w:val="left"/>
      <w:pPr>
        <w:ind w:left="1210" w:hanging="360"/>
      </w:pPr>
      <w:rPr>
        <w:rFonts w:hint="default"/>
      </w:rPr>
    </w:lvl>
    <w:lvl w:ilvl="1" w:tplc="0C0C0019" w:tentative="1">
      <w:start w:val="1"/>
      <w:numFmt w:val="lowerLetter"/>
      <w:lvlText w:val="%2."/>
      <w:lvlJc w:val="left"/>
      <w:pPr>
        <w:ind w:left="1930" w:hanging="360"/>
      </w:pPr>
    </w:lvl>
    <w:lvl w:ilvl="2" w:tplc="0C0C001B" w:tentative="1">
      <w:start w:val="1"/>
      <w:numFmt w:val="lowerRoman"/>
      <w:lvlText w:val="%3."/>
      <w:lvlJc w:val="right"/>
      <w:pPr>
        <w:ind w:left="2650" w:hanging="180"/>
      </w:pPr>
    </w:lvl>
    <w:lvl w:ilvl="3" w:tplc="0C0C000F" w:tentative="1">
      <w:start w:val="1"/>
      <w:numFmt w:val="decimal"/>
      <w:lvlText w:val="%4."/>
      <w:lvlJc w:val="left"/>
      <w:pPr>
        <w:ind w:left="3370" w:hanging="360"/>
      </w:pPr>
    </w:lvl>
    <w:lvl w:ilvl="4" w:tplc="0C0C0019" w:tentative="1">
      <w:start w:val="1"/>
      <w:numFmt w:val="lowerLetter"/>
      <w:lvlText w:val="%5."/>
      <w:lvlJc w:val="left"/>
      <w:pPr>
        <w:ind w:left="4090" w:hanging="360"/>
      </w:pPr>
    </w:lvl>
    <w:lvl w:ilvl="5" w:tplc="0C0C001B" w:tentative="1">
      <w:start w:val="1"/>
      <w:numFmt w:val="lowerRoman"/>
      <w:lvlText w:val="%6."/>
      <w:lvlJc w:val="right"/>
      <w:pPr>
        <w:ind w:left="4810" w:hanging="180"/>
      </w:pPr>
    </w:lvl>
    <w:lvl w:ilvl="6" w:tplc="0C0C000F" w:tentative="1">
      <w:start w:val="1"/>
      <w:numFmt w:val="decimal"/>
      <w:lvlText w:val="%7."/>
      <w:lvlJc w:val="left"/>
      <w:pPr>
        <w:ind w:left="5530" w:hanging="360"/>
      </w:pPr>
    </w:lvl>
    <w:lvl w:ilvl="7" w:tplc="0C0C0019" w:tentative="1">
      <w:start w:val="1"/>
      <w:numFmt w:val="lowerLetter"/>
      <w:lvlText w:val="%8."/>
      <w:lvlJc w:val="left"/>
      <w:pPr>
        <w:ind w:left="6250" w:hanging="360"/>
      </w:pPr>
    </w:lvl>
    <w:lvl w:ilvl="8" w:tplc="0C0C001B" w:tentative="1">
      <w:start w:val="1"/>
      <w:numFmt w:val="lowerRoman"/>
      <w:lvlText w:val="%9."/>
      <w:lvlJc w:val="right"/>
      <w:pPr>
        <w:ind w:left="6970" w:hanging="180"/>
      </w:pPr>
    </w:lvl>
  </w:abstractNum>
  <w:abstractNum w:abstractNumId="10" w15:restartNumberingAfterBreak="0">
    <w:nsid w:val="7BB76507"/>
    <w:multiLevelType w:val="multilevel"/>
    <w:tmpl w:val="F20E889A"/>
    <w:lvl w:ilvl="0">
      <w:start w:val="1"/>
      <w:numFmt w:val="decimal"/>
      <w:pStyle w:val="Paragraphe"/>
      <w:lvlText w:val="[%1]"/>
      <w:lvlJc w:val="left"/>
      <w:pPr>
        <w:tabs>
          <w:tab w:val="num" w:pos="720"/>
        </w:tabs>
        <w:ind w:left="720" w:hanging="720"/>
      </w:pPr>
      <w:rPr>
        <w:rFonts w:hint="default"/>
      </w:rPr>
    </w:lvl>
    <w:lvl w:ilvl="1">
      <w:start w:val="1"/>
      <w:numFmt w:val="decimal"/>
      <w:pStyle w:val="Sous-paragraphe"/>
      <w:lvlText w:val="%1.%2."/>
      <w:lvlJc w:val="left"/>
      <w:pPr>
        <w:tabs>
          <w:tab w:val="num" w:pos="792"/>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8"/>
  </w:num>
  <w:num w:numId="2">
    <w:abstractNumId w:val="7"/>
  </w:num>
  <w:num w:numId="3">
    <w:abstractNumId w:val="6"/>
  </w:num>
  <w:num w:numId="4">
    <w:abstractNumId w:val="4"/>
  </w:num>
  <w:num w:numId="5">
    <w:abstractNumId w:val="10"/>
  </w:num>
  <w:num w:numId="6">
    <w:abstractNumId w:val="10"/>
  </w:num>
  <w:num w:numId="7">
    <w:abstractNumId w:val="0"/>
  </w:num>
  <w:num w:numId="8">
    <w:abstractNumId w:val="3"/>
  </w:num>
  <w:num w:numId="9">
    <w:abstractNumId w:val="1"/>
  </w:num>
  <w:num w:numId="10">
    <w:abstractNumId w:val="9"/>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A80"/>
    <w:rsid w:val="000034B0"/>
    <w:rsid w:val="000041A1"/>
    <w:rsid w:val="00006DD2"/>
    <w:rsid w:val="0001305E"/>
    <w:rsid w:val="00013243"/>
    <w:rsid w:val="00016D99"/>
    <w:rsid w:val="00021B30"/>
    <w:rsid w:val="00021E4C"/>
    <w:rsid w:val="00022556"/>
    <w:rsid w:val="00023858"/>
    <w:rsid w:val="00024582"/>
    <w:rsid w:val="000352CA"/>
    <w:rsid w:val="000366EC"/>
    <w:rsid w:val="00036794"/>
    <w:rsid w:val="000414A9"/>
    <w:rsid w:val="00043E4D"/>
    <w:rsid w:val="000536CC"/>
    <w:rsid w:val="000559A8"/>
    <w:rsid w:val="00055A3E"/>
    <w:rsid w:val="00056393"/>
    <w:rsid w:val="00057739"/>
    <w:rsid w:val="00057896"/>
    <w:rsid w:val="0007225E"/>
    <w:rsid w:val="00074ABE"/>
    <w:rsid w:val="00074EAE"/>
    <w:rsid w:val="000756D0"/>
    <w:rsid w:val="00076D81"/>
    <w:rsid w:val="00080885"/>
    <w:rsid w:val="00082A97"/>
    <w:rsid w:val="0008378A"/>
    <w:rsid w:val="0008784D"/>
    <w:rsid w:val="00090018"/>
    <w:rsid w:val="00090306"/>
    <w:rsid w:val="00090F69"/>
    <w:rsid w:val="00093ACD"/>
    <w:rsid w:val="00094202"/>
    <w:rsid w:val="00095814"/>
    <w:rsid w:val="00096510"/>
    <w:rsid w:val="00097D81"/>
    <w:rsid w:val="00097FCE"/>
    <w:rsid w:val="000A1DAC"/>
    <w:rsid w:val="000A4AD0"/>
    <w:rsid w:val="000A5AD1"/>
    <w:rsid w:val="000A63DF"/>
    <w:rsid w:val="000A77C5"/>
    <w:rsid w:val="000B6275"/>
    <w:rsid w:val="000B7F1B"/>
    <w:rsid w:val="000C0745"/>
    <w:rsid w:val="000C710F"/>
    <w:rsid w:val="000D3948"/>
    <w:rsid w:val="000D4F9A"/>
    <w:rsid w:val="000E0C28"/>
    <w:rsid w:val="000E0C3A"/>
    <w:rsid w:val="000E1320"/>
    <w:rsid w:val="000E214E"/>
    <w:rsid w:val="000E3FF6"/>
    <w:rsid w:val="000E56A6"/>
    <w:rsid w:val="000F20A5"/>
    <w:rsid w:val="000F3423"/>
    <w:rsid w:val="000F5F81"/>
    <w:rsid w:val="00100AB8"/>
    <w:rsid w:val="00104550"/>
    <w:rsid w:val="00104C3D"/>
    <w:rsid w:val="001050B4"/>
    <w:rsid w:val="001144AB"/>
    <w:rsid w:val="0012224D"/>
    <w:rsid w:val="001225BC"/>
    <w:rsid w:val="00122A9E"/>
    <w:rsid w:val="00122F94"/>
    <w:rsid w:val="0012326A"/>
    <w:rsid w:val="00132622"/>
    <w:rsid w:val="00137E7E"/>
    <w:rsid w:val="001407FC"/>
    <w:rsid w:val="00144572"/>
    <w:rsid w:val="00146116"/>
    <w:rsid w:val="00147A49"/>
    <w:rsid w:val="00147B8B"/>
    <w:rsid w:val="0015125A"/>
    <w:rsid w:val="00152464"/>
    <w:rsid w:val="0015539F"/>
    <w:rsid w:val="00160597"/>
    <w:rsid w:val="00162ECC"/>
    <w:rsid w:val="001664C8"/>
    <w:rsid w:val="00167AD0"/>
    <w:rsid w:val="00167DEF"/>
    <w:rsid w:val="00167E9D"/>
    <w:rsid w:val="00173184"/>
    <w:rsid w:val="00175079"/>
    <w:rsid w:val="001761B9"/>
    <w:rsid w:val="00181C97"/>
    <w:rsid w:val="00183515"/>
    <w:rsid w:val="001846FC"/>
    <w:rsid w:val="001924FE"/>
    <w:rsid w:val="001965E1"/>
    <w:rsid w:val="001A03BE"/>
    <w:rsid w:val="001A067E"/>
    <w:rsid w:val="001A2900"/>
    <w:rsid w:val="001A4081"/>
    <w:rsid w:val="001A65F1"/>
    <w:rsid w:val="001B2B40"/>
    <w:rsid w:val="001B3E9D"/>
    <w:rsid w:val="001B4A40"/>
    <w:rsid w:val="001B5524"/>
    <w:rsid w:val="001B6D8A"/>
    <w:rsid w:val="001C19D4"/>
    <w:rsid w:val="001C2B0B"/>
    <w:rsid w:val="001C436D"/>
    <w:rsid w:val="001D63C8"/>
    <w:rsid w:val="001D65D8"/>
    <w:rsid w:val="001E3DFD"/>
    <w:rsid w:val="001E42F0"/>
    <w:rsid w:val="001E497A"/>
    <w:rsid w:val="001E5E3B"/>
    <w:rsid w:val="00200572"/>
    <w:rsid w:val="00225C46"/>
    <w:rsid w:val="00226493"/>
    <w:rsid w:val="00227040"/>
    <w:rsid w:val="00230CFC"/>
    <w:rsid w:val="0023162A"/>
    <w:rsid w:val="00231C1D"/>
    <w:rsid w:val="00233532"/>
    <w:rsid w:val="00234BC8"/>
    <w:rsid w:val="00241CED"/>
    <w:rsid w:val="00242FB4"/>
    <w:rsid w:val="002441A7"/>
    <w:rsid w:val="00245605"/>
    <w:rsid w:val="002542E0"/>
    <w:rsid w:val="002563F0"/>
    <w:rsid w:val="00256DBB"/>
    <w:rsid w:val="00260119"/>
    <w:rsid w:val="002629C1"/>
    <w:rsid w:val="00266064"/>
    <w:rsid w:val="00267C8D"/>
    <w:rsid w:val="002701DD"/>
    <w:rsid w:val="002710FD"/>
    <w:rsid w:val="00273F49"/>
    <w:rsid w:val="002769B5"/>
    <w:rsid w:val="00276B25"/>
    <w:rsid w:val="00276B59"/>
    <w:rsid w:val="00277734"/>
    <w:rsid w:val="00281319"/>
    <w:rsid w:val="00286149"/>
    <w:rsid w:val="0028668D"/>
    <w:rsid w:val="00290289"/>
    <w:rsid w:val="00292188"/>
    <w:rsid w:val="002923D9"/>
    <w:rsid w:val="00296645"/>
    <w:rsid w:val="00296A4B"/>
    <w:rsid w:val="00297284"/>
    <w:rsid w:val="002A0077"/>
    <w:rsid w:val="002A07DC"/>
    <w:rsid w:val="002A3573"/>
    <w:rsid w:val="002A374B"/>
    <w:rsid w:val="002A4CD2"/>
    <w:rsid w:val="002A73E9"/>
    <w:rsid w:val="002B132B"/>
    <w:rsid w:val="002B2FC3"/>
    <w:rsid w:val="002B35F0"/>
    <w:rsid w:val="002B58AF"/>
    <w:rsid w:val="002C3748"/>
    <w:rsid w:val="002C5E89"/>
    <w:rsid w:val="002C7BAB"/>
    <w:rsid w:val="002D42BC"/>
    <w:rsid w:val="002D71A9"/>
    <w:rsid w:val="002D7846"/>
    <w:rsid w:val="002D7FCB"/>
    <w:rsid w:val="002E05AE"/>
    <w:rsid w:val="002E6B47"/>
    <w:rsid w:val="002F7507"/>
    <w:rsid w:val="0030059B"/>
    <w:rsid w:val="00302FB4"/>
    <w:rsid w:val="00305273"/>
    <w:rsid w:val="003057FC"/>
    <w:rsid w:val="00305AFB"/>
    <w:rsid w:val="00307C85"/>
    <w:rsid w:val="00312983"/>
    <w:rsid w:val="00323DC5"/>
    <w:rsid w:val="003248CB"/>
    <w:rsid w:val="00331EA7"/>
    <w:rsid w:val="003332B8"/>
    <w:rsid w:val="00337555"/>
    <w:rsid w:val="00343B46"/>
    <w:rsid w:val="00344465"/>
    <w:rsid w:val="0034740A"/>
    <w:rsid w:val="0035375B"/>
    <w:rsid w:val="00362D74"/>
    <w:rsid w:val="003658A0"/>
    <w:rsid w:val="003664E9"/>
    <w:rsid w:val="00366D1E"/>
    <w:rsid w:val="003703A5"/>
    <w:rsid w:val="0037112C"/>
    <w:rsid w:val="00373EE5"/>
    <w:rsid w:val="00381429"/>
    <w:rsid w:val="003817E7"/>
    <w:rsid w:val="00382E55"/>
    <w:rsid w:val="00383F38"/>
    <w:rsid w:val="00390B55"/>
    <w:rsid w:val="003961B2"/>
    <w:rsid w:val="003A41AD"/>
    <w:rsid w:val="003B0C41"/>
    <w:rsid w:val="003B152B"/>
    <w:rsid w:val="003B1734"/>
    <w:rsid w:val="003B1735"/>
    <w:rsid w:val="003B2D2E"/>
    <w:rsid w:val="003B3174"/>
    <w:rsid w:val="003B6CBF"/>
    <w:rsid w:val="003C03B9"/>
    <w:rsid w:val="003C47A7"/>
    <w:rsid w:val="003C54F0"/>
    <w:rsid w:val="003D0826"/>
    <w:rsid w:val="003D18FC"/>
    <w:rsid w:val="003D2697"/>
    <w:rsid w:val="003D3C93"/>
    <w:rsid w:val="003D71BB"/>
    <w:rsid w:val="003E00D5"/>
    <w:rsid w:val="003E02BA"/>
    <w:rsid w:val="003F0578"/>
    <w:rsid w:val="003F7F38"/>
    <w:rsid w:val="00401325"/>
    <w:rsid w:val="004019AA"/>
    <w:rsid w:val="0040399B"/>
    <w:rsid w:val="00406F0C"/>
    <w:rsid w:val="004106DB"/>
    <w:rsid w:val="00410A9A"/>
    <w:rsid w:val="00411251"/>
    <w:rsid w:val="00412585"/>
    <w:rsid w:val="0041363B"/>
    <w:rsid w:val="00414FA8"/>
    <w:rsid w:val="00415D5D"/>
    <w:rsid w:val="0041643A"/>
    <w:rsid w:val="004232E9"/>
    <w:rsid w:val="0042650F"/>
    <w:rsid w:val="0042684F"/>
    <w:rsid w:val="00427D5D"/>
    <w:rsid w:val="00431E0B"/>
    <w:rsid w:val="004337FE"/>
    <w:rsid w:val="00433E98"/>
    <w:rsid w:val="00435738"/>
    <w:rsid w:val="00437137"/>
    <w:rsid w:val="004403B8"/>
    <w:rsid w:val="00441ADA"/>
    <w:rsid w:val="004422CA"/>
    <w:rsid w:val="0044274C"/>
    <w:rsid w:val="0044371C"/>
    <w:rsid w:val="0044627E"/>
    <w:rsid w:val="0045114F"/>
    <w:rsid w:val="004529D3"/>
    <w:rsid w:val="00453F31"/>
    <w:rsid w:val="00456B0C"/>
    <w:rsid w:val="00460101"/>
    <w:rsid w:val="0046538B"/>
    <w:rsid w:val="00471C92"/>
    <w:rsid w:val="004723D4"/>
    <w:rsid w:val="004739AC"/>
    <w:rsid w:val="00474489"/>
    <w:rsid w:val="00475FEF"/>
    <w:rsid w:val="0047680F"/>
    <w:rsid w:val="00477536"/>
    <w:rsid w:val="0047776F"/>
    <w:rsid w:val="00482D5B"/>
    <w:rsid w:val="004832E2"/>
    <w:rsid w:val="004870EA"/>
    <w:rsid w:val="004873EC"/>
    <w:rsid w:val="00487D29"/>
    <w:rsid w:val="00487F13"/>
    <w:rsid w:val="0049595F"/>
    <w:rsid w:val="00496193"/>
    <w:rsid w:val="004A02AF"/>
    <w:rsid w:val="004A2D66"/>
    <w:rsid w:val="004A4449"/>
    <w:rsid w:val="004A679B"/>
    <w:rsid w:val="004C0FB4"/>
    <w:rsid w:val="004C1811"/>
    <w:rsid w:val="004C2944"/>
    <w:rsid w:val="004C4555"/>
    <w:rsid w:val="004D16D6"/>
    <w:rsid w:val="004D6CEA"/>
    <w:rsid w:val="004E0E02"/>
    <w:rsid w:val="004E3564"/>
    <w:rsid w:val="004E3D9F"/>
    <w:rsid w:val="004E51C0"/>
    <w:rsid w:val="004E64BE"/>
    <w:rsid w:val="004F6293"/>
    <w:rsid w:val="00503B8D"/>
    <w:rsid w:val="00503EE3"/>
    <w:rsid w:val="00505811"/>
    <w:rsid w:val="0051261C"/>
    <w:rsid w:val="00515DE7"/>
    <w:rsid w:val="00516922"/>
    <w:rsid w:val="00517EB0"/>
    <w:rsid w:val="005205CB"/>
    <w:rsid w:val="0052430C"/>
    <w:rsid w:val="00526E07"/>
    <w:rsid w:val="005348E4"/>
    <w:rsid w:val="00534D8F"/>
    <w:rsid w:val="005352F1"/>
    <w:rsid w:val="00540094"/>
    <w:rsid w:val="00545CFF"/>
    <w:rsid w:val="00547A9C"/>
    <w:rsid w:val="00555800"/>
    <w:rsid w:val="00556DBB"/>
    <w:rsid w:val="00560781"/>
    <w:rsid w:val="0056268F"/>
    <w:rsid w:val="005662E9"/>
    <w:rsid w:val="005700F8"/>
    <w:rsid w:val="00572AAF"/>
    <w:rsid w:val="005801AE"/>
    <w:rsid w:val="00582868"/>
    <w:rsid w:val="00582ECC"/>
    <w:rsid w:val="0058399B"/>
    <w:rsid w:val="005866E4"/>
    <w:rsid w:val="0058692F"/>
    <w:rsid w:val="00587045"/>
    <w:rsid w:val="00587C22"/>
    <w:rsid w:val="005907BE"/>
    <w:rsid w:val="0059436D"/>
    <w:rsid w:val="005945C0"/>
    <w:rsid w:val="00596AB2"/>
    <w:rsid w:val="00597016"/>
    <w:rsid w:val="005974B7"/>
    <w:rsid w:val="005A0D51"/>
    <w:rsid w:val="005A181B"/>
    <w:rsid w:val="005A1CB3"/>
    <w:rsid w:val="005A3073"/>
    <w:rsid w:val="005A33A5"/>
    <w:rsid w:val="005A37D7"/>
    <w:rsid w:val="005A5437"/>
    <w:rsid w:val="005A6969"/>
    <w:rsid w:val="005A70A0"/>
    <w:rsid w:val="005B0612"/>
    <w:rsid w:val="005B13F0"/>
    <w:rsid w:val="005B2E0C"/>
    <w:rsid w:val="005B30F6"/>
    <w:rsid w:val="005B45BA"/>
    <w:rsid w:val="005B5689"/>
    <w:rsid w:val="005B6680"/>
    <w:rsid w:val="005B6774"/>
    <w:rsid w:val="005C0A89"/>
    <w:rsid w:val="005C3BC4"/>
    <w:rsid w:val="005D26CC"/>
    <w:rsid w:val="005D4711"/>
    <w:rsid w:val="005D59B1"/>
    <w:rsid w:val="005D764B"/>
    <w:rsid w:val="005E2367"/>
    <w:rsid w:val="005E2546"/>
    <w:rsid w:val="005E34D2"/>
    <w:rsid w:val="005E5E90"/>
    <w:rsid w:val="005E62C7"/>
    <w:rsid w:val="005E654C"/>
    <w:rsid w:val="005F05F6"/>
    <w:rsid w:val="005F0AC7"/>
    <w:rsid w:val="005F0D07"/>
    <w:rsid w:val="00605734"/>
    <w:rsid w:val="0061488E"/>
    <w:rsid w:val="0061574B"/>
    <w:rsid w:val="00616406"/>
    <w:rsid w:val="00621D89"/>
    <w:rsid w:val="00622670"/>
    <w:rsid w:val="00623328"/>
    <w:rsid w:val="00623A1A"/>
    <w:rsid w:val="00626E8D"/>
    <w:rsid w:val="0063156B"/>
    <w:rsid w:val="006326A9"/>
    <w:rsid w:val="00632DA8"/>
    <w:rsid w:val="00633841"/>
    <w:rsid w:val="00634C4B"/>
    <w:rsid w:val="00634E6E"/>
    <w:rsid w:val="0063651F"/>
    <w:rsid w:val="0064342A"/>
    <w:rsid w:val="00643A28"/>
    <w:rsid w:val="006452FA"/>
    <w:rsid w:val="0065093D"/>
    <w:rsid w:val="00652A16"/>
    <w:rsid w:val="00655193"/>
    <w:rsid w:val="00655459"/>
    <w:rsid w:val="00656FB2"/>
    <w:rsid w:val="00657A70"/>
    <w:rsid w:val="00661454"/>
    <w:rsid w:val="006620AA"/>
    <w:rsid w:val="006626AF"/>
    <w:rsid w:val="0066449B"/>
    <w:rsid w:val="0066642D"/>
    <w:rsid w:val="006722E2"/>
    <w:rsid w:val="00675E85"/>
    <w:rsid w:val="0067750F"/>
    <w:rsid w:val="00677D52"/>
    <w:rsid w:val="00681396"/>
    <w:rsid w:val="0068171F"/>
    <w:rsid w:val="0068401E"/>
    <w:rsid w:val="006841A4"/>
    <w:rsid w:val="0068643F"/>
    <w:rsid w:val="006877A1"/>
    <w:rsid w:val="00692150"/>
    <w:rsid w:val="00692F0C"/>
    <w:rsid w:val="006944B0"/>
    <w:rsid w:val="00696E7C"/>
    <w:rsid w:val="00696EF2"/>
    <w:rsid w:val="006A0C54"/>
    <w:rsid w:val="006A3E54"/>
    <w:rsid w:val="006A7C53"/>
    <w:rsid w:val="006B140A"/>
    <w:rsid w:val="006B309C"/>
    <w:rsid w:val="006B4316"/>
    <w:rsid w:val="006B727F"/>
    <w:rsid w:val="006C1B57"/>
    <w:rsid w:val="006C6D3A"/>
    <w:rsid w:val="006C7B36"/>
    <w:rsid w:val="006C7B7F"/>
    <w:rsid w:val="006D19E8"/>
    <w:rsid w:val="006D7768"/>
    <w:rsid w:val="006E04B5"/>
    <w:rsid w:val="006E330C"/>
    <w:rsid w:val="006E3DD8"/>
    <w:rsid w:val="006E793F"/>
    <w:rsid w:val="006F0154"/>
    <w:rsid w:val="006F608D"/>
    <w:rsid w:val="006F7944"/>
    <w:rsid w:val="00704121"/>
    <w:rsid w:val="00705BB5"/>
    <w:rsid w:val="0071326F"/>
    <w:rsid w:val="007153D7"/>
    <w:rsid w:val="00720ED4"/>
    <w:rsid w:val="00722736"/>
    <w:rsid w:val="00722BFD"/>
    <w:rsid w:val="00733548"/>
    <w:rsid w:val="0074488F"/>
    <w:rsid w:val="00745AA8"/>
    <w:rsid w:val="007503E0"/>
    <w:rsid w:val="007510EC"/>
    <w:rsid w:val="0075233C"/>
    <w:rsid w:val="0075256A"/>
    <w:rsid w:val="00752DCD"/>
    <w:rsid w:val="007569DE"/>
    <w:rsid w:val="0075723C"/>
    <w:rsid w:val="0076146A"/>
    <w:rsid w:val="0076350E"/>
    <w:rsid w:val="00763F36"/>
    <w:rsid w:val="00775BDF"/>
    <w:rsid w:val="0077614D"/>
    <w:rsid w:val="00782C8F"/>
    <w:rsid w:val="00785F78"/>
    <w:rsid w:val="007863E1"/>
    <w:rsid w:val="0078659D"/>
    <w:rsid w:val="007869EC"/>
    <w:rsid w:val="00791ED8"/>
    <w:rsid w:val="007A1E58"/>
    <w:rsid w:val="007A5C7E"/>
    <w:rsid w:val="007A63F9"/>
    <w:rsid w:val="007A69A9"/>
    <w:rsid w:val="007A6E2F"/>
    <w:rsid w:val="007B0DF2"/>
    <w:rsid w:val="007B33D3"/>
    <w:rsid w:val="007B37B7"/>
    <w:rsid w:val="007B3BC5"/>
    <w:rsid w:val="007B6F8D"/>
    <w:rsid w:val="007C1832"/>
    <w:rsid w:val="007D03DF"/>
    <w:rsid w:val="007D4953"/>
    <w:rsid w:val="007D50F4"/>
    <w:rsid w:val="007D7173"/>
    <w:rsid w:val="007E1216"/>
    <w:rsid w:val="007E4CD4"/>
    <w:rsid w:val="007E530C"/>
    <w:rsid w:val="007F0E8E"/>
    <w:rsid w:val="007F2149"/>
    <w:rsid w:val="007F4E00"/>
    <w:rsid w:val="008048CF"/>
    <w:rsid w:val="008079DD"/>
    <w:rsid w:val="0081130F"/>
    <w:rsid w:val="00813095"/>
    <w:rsid w:val="008145AD"/>
    <w:rsid w:val="008146B2"/>
    <w:rsid w:val="00824430"/>
    <w:rsid w:val="00825B1F"/>
    <w:rsid w:val="00827D55"/>
    <w:rsid w:val="00832A15"/>
    <w:rsid w:val="00832C84"/>
    <w:rsid w:val="00840EDD"/>
    <w:rsid w:val="0084255F"/>
    <w:rsid w:val="00846FB1"/>
    <w:rsid w:val="00854FB3"/>
    <w:rsid w:val="00857FCA"/>
    <w:rsid w:val="00860F13"/>
    <w:rsid w:val="0086199C"/>
    <w:rsid w:val="00861F8B"/>
    <w:rsid w:val="00864AF4"/>
    <w:rsid w:val="0086561F"/>
    <w:rsid w:val="00865A7A"/>
    <w:rsid w:val="00865FE1"/>
    <w:rsid w:val="0087069B"/>
    <w:rsid w:val="00874542"/>
    <w:rsid w:val="008748C7"/>
    <w:rsid w:val="0087521A"/>
    <w:rsid w:val="00876B22"/>
    <w:rsid w:val="008808C0"/>
    <w:rsid w:val="00882255"/>
    <w:rsid w:val="00890BDE"/>
    <w:rsid w:val="00892AD3"/>
    <w:rsid w:val="00894155"/>
    <w:rsid w:val="008962E7"/>
    <w:rsid w:val="008A1118"/>
    <w:rsid w:val="008A281F"/>
    <w:rsid w:val="008A48D2"/>
    <w:rsid w:val="008A4AF6"/>
    <w:rsid w:val="008A4FF8"/>
    <w:rsid w:val="008A5ED1"/>
    <w:rsid w:val="008A73CE"/>
    <w:rsid w:val="008A7FD1"/>
    <w:rsid w:val="008B042E"/>
    <w:rsid w:val="008B211E"/>
    <w:rsid w:val="008B6D48"/>
    <w:rsid w:val="008C7660"/>
    <w:rsid w:val="008C79A7"/>
    <w:rsid w:val="008D5521"/>
    <w:rsid w:val="008D555F"/>
    <w:rsid w:val="008D625D"/>
    <w:rsid w:val="008D650E"/>
    <w:rsid w:val="008D6F9F"/>
    <w:rsid w:val="008E673E"/>
    <w:rsid w:val="008E67D1"/>
    <w:rsid w:val="008E6A41"/>
    <w:rsid w:val="008E6FC1"/>
    <w:rsid w:val="008F15D5"/>
    <w:rsid w:val="008F20EA"/>
    <w:rsid w:val="008F79C4"/>
    <w:rsid w:val="00903990"/>
    <w:rsid w:val="009042A8"/>
    <w:rsid w:val="00904950"/>
    <w:rsid w:val="0090633A"/>
    <w:rsid w:val="0091442E"/>
    <w:rsid w:val="00915E5E"/>
    <w:rsid w:val="009166B8"/>
    <w:rsid w:val="00916FA5"/>
    <w:rsid w:val="00917915"/>
    <w:rsid w:val="00920684"/>
    <w:rsid w:val="009216E6"/>
    <w:rsid w:val="009224EC"/>
    <w:rsid w:val="00922DB7"/>
    <w:rsid w:val="0092684A"/>
    <w:rsid w:val="00927654"/>
    <w:rsid w:val="00937FAB"/>
    <w:rsid w:val="0094094D"/>
    <w:rsid w:val="00942AB8"/>
    <w:rsid w:val="0094548C"/>
    <w:rsid w:val="00945CAF"/>
    <w:rsid w:val="00946AC9"/>
    <w:rsid w:val="00947448"/>
    <w:rsid w:val="00952B38"/>
    <w:rsid w:val="00952C99"/>
    <w:rsid w:val="009619EB"/>
    <w:rsid w:val="00965333"/>
    <w:rsid w:val="009712EF"/>
    <w:rsid w:val="009727BF"/>
    <w:rsid w:val="00973321"/>
    <w:rsid w:val="009738D8"/>
    <w:rsid w:val="00975C2E"/>
    <w:rsid w:val="009770EB"/>
    <w:rsid w:val="00977270"/>
    <w:rsid w:val="009824F2"/>
    <w:rsid w:val="00983080"/>
    <w:rsid w:val="009867BB"/>
    <w:rsid w:val="00986AA3"/>
    <w:rsid w:val="00993B24"/>
    <w:rsid w:val="0099611F"/>
    <w:rsid w:val="009A083F"/>
    <w:rsid w:val="009A135C"/>
    <w:rsid w:val="009A67E7"/>
    <w:rsid w:val="009C603A"/>
    <w:rsid w:val="009C74CD"/>
    <w:rsid w:val="009D048F"/>
    <w:rsid w:val="009D162F"/>
    <w:rsid w:val="009D23FF"/>
    <w:rsid w:val="009D401F"/>
    <w:rsid w:val="009D45AE"/>
    <w:rsid w:val="009D5B42"/>
    <w:rsid w:val="009D68FA"/>
    <w:rsid w:val="009E1E4F"/>
    <w:rsid w:val="009E32CF"/>
    <w:rsid w:val="009E4261"/>
    <w:rsid w:val="009E4FC2"/>
    <w:rsid w:val="009F44AE"/>
    <w:rsid w:val="009F59B9"/>
    <w:rsid w:val="00A02529"/>
    <w:rsid w:val="00A02EF2"/>
    <w:rsid w:val="00A04D5E"/>
    <w:rsid w:val="00A10DDF"/>
    <w:rsid w:val="00A11172"/>
    <w:rsid w:val="00A1219E"/>
    <w:rsid w:val="00A12E55"/>
    <w:rsid w:val="00A168D7"/>
    <w:rsid w:val="00A20F81"/>
    <w:rsid w:val="00A2411A"/>
    <w:rsid w:val="00A242E4"/>
    <w:rsid w:val="00A24437"/>
    <w:rsid w:val="00A24CA0"/>
    <w:rsid w:val="00A25D4B"/>
    <w:rsid w:val="00A33601"/>
    <w:rsid w:val="00A3362A"/>
    <w:rsid w:val="00A34251"/>
    <w:rsid w:val="00A35278"/>
    <w:rsid w:val="00A36257"/>
    <w:rsid w:val="00A37045"/>
    <w:rsid w:val="00A37B70"/>
    <w:rsid w:val="00A40AC7"/>
    <w:rsid w:val="00A435C7"/>
    <w:rsid w:val="00A55607"/>
    <w:rsid w:val="00A569B2"/>
    <w:rsid w:val="00A60CDA"/>
    <w:rsid w:val="00A611A4"/>
    <w:rsid w:val="00A61F09"/>
    <w:rsid w:val="00A6282C"/>
    <w:rsid w:val="00A637ED"/>
    <w:rsid w:val="00A63E1A"/>
    <w:rsid w:val="00A643DC"/>
    <w:rsid w:val="00A6695B"/>
    <w:rsid w:val="00A72703"/>
    <w:rsid w:val="00A727F6"/>
    <w:rsid w:val="00A72E71"/>
    <w:rsid w:val="00A76432"/>
    <w:rsid w:val="00A770C0"/>
    <w:rsid w:val="00A84FC6"/>
    <w:rsid w:val="00A8528E"/>
    <w:rsid w:val="00A90BD9"/>
    <w:rsid w:val="00A9101B"/>
    <w:rsid w:val="00A94A49"/>
    <w:rsid w:val="00A957BB"/>
    <w:rsid w:val="00A95C5E"/>
    <w:rsid w:val="00AA1815"/>
    <w:rsid w:val="00AA1D3E"/>
    <w:rsid w:val="00AA20E7"/>
    <w:rsid w:val="00AA39F9"/>
    <w:rsid w:val="00AA79D3"/>
    <w:rsid w:val="00AB0931"/>
    <w:rsid w:val="00AB4DC4"/>
    <w:rsid w:val="00AB5C9B"/>
    <w:rsid w:val="00AC0159"/>
    <w:rsid w:val="00AC0276"/>
    <w:rsid w:val="00AC0312"/>
    <w:rsid w:val="00AC0449"/>
    <w:rsid w:val="00AC0DC3"/>
    <w:rsid w:val="00AC4FEE"/>
    <w:rsid w:val="00AD035F"/>
    <w:rsid w:val="00AD2497"/>
    <w:rsid w:val="00AD5C04"/>
    <w:rsid w:val="00AD5EB4"/>
    <w:rsid w:val="00AD667B"/>
    <w:rsid w:val="00AE63E2"/>
    <w:rsid w:val="00AE7976"/>
    <w:rsid w:val="00AF04C9"/>
    <w:rsid w:val="00AF0A91"/>
    <w:rsid w:val="00AF19A2"/>
    <w:rsid w:val="00AF1DC4"/>
    <w:rsid w:val="00AF26B6"/>
    <w:rsid w:val="00AF2979"/>
    <w:rsid w:val="00AF3189"/>
    <w:rsid w:val="00AF5BF8"/>
    <w:rsid w:val="00B0375C"/>
    <w:rsid w:val="00B052CB"/>
    <w:rsid w:val="00B12A80"/>
    <w:rsid w:val="00B156C3"/>
    <w:rsid w:val="00B15F67"/>
    <w:rsid w:val="00B1624F"/>
    <w:rsid w:val="00B20F5D"/>
    <w:rsid w:val="00B21184"/>
    <w:rsid w:val="00B224C5"/>
    <w:rsid w:val="00B325CD"/>
    <w:rsid w:val="00B36C0F"/>
    <w:rsid w:val="00B37793"/>
    <w:rsid w:val="00B41203"/>
    <w:rsid w:val="00B4561E"/>
    <w:rsid w:val="00B4768D"/>
    <w:rsid w:val="00B518E5"/>
    <w:rsid w:val="00B51E1F"/>
    <w:rsid w:val="00B52601"/>
    <w:rsid w:val="00B57032"/>
    <w:rsid w:val="00B60222"/>
    <w:rsid w:val="00B62CFB"/>
    <w:rsid w:val="00B662F5"/>
    <w:rsid w:val="00B7000C"/>
    <w:rsid w:val="00B760D5"/>
    <w:rsid w:val="00B77495"/>
    <w:rsid w:val="00B83B2C"/>
    <w:rsid w:val="00B92049"/>
    <w:rsid w:val="00B94740"/>
    <w:rsid w:val="00B95002"/>
    <w:rsid w:val="00B97F75"/>
    <w:rsid w:val="00BA0A4F"/>
    <w:rsid w:val="00BA1CAE"/>
    <w:rsid w:val="00BA33BB"/>
    <w:rsid w:val="00BA4830"/>
    <w:rsid w:val="00BA6E22"/>
    <w:rsid w:val="00BA70D3"/>
    <w:rsid w:val="00BB1460"/>
    <w:rsid w:val="00BB362C"/>
    <w:rsid w:val="00BB5942"/>
    <w:rsid w:val="00BC0A03"/>
    <w:rsid w:val="00BC1906"/>
    <w:rsid w:val="00BC4A42"/>
    <w:rsid w:val="00BC5BB4"/>
    <w:rsid w:val="00BD4139"/>
    <w:rsid w:val="00BE059A"/>
    <w:rsid w:val="00BE1981"/>
    <w:rsid w:val="00BE2DA6"/>
    <w:rsid w:val="00BE2E86"/>
    <w:rsid w:val="00BE320B"/>
    <w:rsid w:val="00BE56E9"/>
    <w:rsid w:val="00BE63CF"/>
    <w:rsid w:val="00BE7014"/>
    <w:rsid w:val="00BE7991"/>
    <w:rsid w:val="00BF25C7"/>
    <w:rsid w:val="00BF4F50"/>
    <w:rsid w:val="00C009B7"/>
    <w:rsid w:val="00C02B8F"/>
    <w:rsid w:val="00C04E32"/>
    <w:rsid w:val="00C116B1"/>
    <w:rsid w:val="00C15A3F"/>
    <w:rsid w:val="00C20630"/>
    <w:rsid w:val="00C224A4"/>
    <w:rsid w:val="00C22F7A"/>
    <w:rsid w:val="00C2666F"/>
    <w:rsid w:val="00C32020"/>
    <w:rsid w:val="00C32D02"/>
    <w:rsid w:val="00C3408C"/>
    <w:rsid w:val="00C3484D"/>
    <w:rsid w:val="00C351CC"/>
    <w:rsid w:val="00C35435"/>
    <w:rsid w:val="00C432FD"/>
    <w:rsid w:val="00C43CDF"/>
    <w:rsid w:val="00C4608E"/>
    <w:rsid w:val="00C512B2"/>
    <w:rsid w:val="00C53B5D"/>
    <w:rsid w:val="00C571FB"/>
    <w:rsid w:val="00C57381"/>
    <w:rsid w:val="00C5790C"/>
    <w:rsid w:val="00C61D56"/>
    <w:rsid w:val="00C62B69"/>
    <w:rsid w:val="00C644B7"/>
    <w:rsid w:val="00C64564"/>
    <w:rsid w:val="00C66D6F"/>
    <w:rsid w:val="00C71377"/>
    <w:rsid w:val="00C73C87"/>
    <w:rsid w:val="00C74B6F"/>
    <w:rsid w:val="00C87EF3"/>
    <w:rsid w:val="00C9015F"/>
    <w:rsid w:val="00C912F9"/>
    <w:rsid w:val="00C91B22"/>
    <w:rsid w:val="00C9241B"/>
    <w:rsid w:val="00C9370B"/>
    <w:rsid w:val="00C94E49"/>
    <w:rsid w:val="00C96DDF"/>
    <w:rsid w:val="00C97569"/>
    <w:rsid w:val="00CA199D"/>
    <w:rsid w:val="00CA2B37"/>
    <w:rsid w:val="00CA4D9C"/>
    <w:rsid w:val="00CB05A7"/>
    <w:rsid w:val="00CB06A4"/>
    <w:rsid w:val="00CB325B"/>
    <w:rsid w:val="00CB3EFF"/>
    <w:rsid w:val="00CB64FF"/>
    <w:rsid w:val="00CB7078"/>
    <w:rsid w:val="00CB711D"/>
    <w:rsid w:val="00CB7902"/>
    <w:rsid w:val="00CC014B"/>
    <w:rsid w:val="00CC0E81"/>
    <w:rsid w:val="00CC21D8"/>
    <w:rsid w:val="00CC3369"/>
    <w:rsid w:val="00CC5343"/>
    <w:rsid w:val="00CC59D7"/>
    <w:rsid w:val="00CC6338"/>
    <w:rsid w:val="00CC78DE"/>
    <w:rsid w:val="00CD04D9"/>
    <w:rsid w:val="00CD0F93"/>
    <w:rsid w:val="00CD6D6E"/>
    <w:rsid w:val="00CD6F23"/>
    <w:rsid w:val="00CE6E88"/>
    <w:rsid w:val="00CF2562"/>
    <w:rsid w:val="00CF640B"/>
    <w:rsid w:val="00CF6B5A"/>
    <w:rsid w:val="00D027AF"/>
    <w:rsid w:val="00D0323E"/>
    <w:rsid w:val="00D03E78"/>
    <w:rsid w:val="00D06652"/>
    <w:rsid w:val="00D07FA6"/>
    <w:rsid w:val="00D16ADF"/>
    <w:rsid w:val="00D17C53"/>
    <w:rsid w:val="00D17D57"/>
    <w:rsid w:val="00D2341D"/>
    <w:rsid w:val="00D252DA"/>
    <w:rsid w:val="00D25E0E"/>
    <w:rsid w:val="00D302EB"/>
    <w:rsid w:val="00D31679"/>
    <w:rsid w:val="00D320C8"/>
    <w:rsid w:val="00D330B6"/>
    <w:rsid w:val="00D3672F"/>
    <w:rsid w:val="00D40ABA"/>
    <w:rsid w:val="00D40FE2"/>
    <w:rsid w:val="00D440FA"/>
    <w:rsid w:val="00D44BCF"/>
    <w:rsid w:val="00D46E73"/>
    <w:rsid w:val="00D5548D"/>
    <w:rsid w:val="00D56572"/>
    <w:rsid w:val="00D60F81"/>
    <w:rsid w:val="00D63951"/>
    <w:rsid w:val="00D63BF2"/>
    <w:rsid w:val="00D67348"/>
    <w:rsid w:val="00D70A26"/>
    <w:rsid w:val="00D73BB4"/>
    <w:rsid w:val="00D75FEC"/>
    <w:rsid w:val="00D76B98"/>
    <w:rsid w:val="00D82E63"/>
    <w:rsid w:val="00D835A0"/>
    <w:rsid w:val="00D86905"/>
    <w:rsid w:val="00D86F2C"/>
    <w:rsid w:val="00D94301"/>
    <w:rsid w:val="00D96248"/>
    <w:rsid w:val="00DA0680"/>
    <w:rsid w:val="00DA36F6"/>
    <w:rsid w:val="00DA48F0"/>
    <w:rsid w:val="00DB0C8D"/>
    <w:rsid w:val="00DB6AF2"/>
    <w:rsid w:val="00DC1599"/>
    <w:rsid w:val="00DC1611"/>
    <w:rsid w:val="00DD0E35"/>
    <w:rsid w:val="00DD3BD7"/>
    <w:rsid w:val="00DD3C53"/>
    <w:rsid w:val="00DD6B73"/>
    <w:rsid w:val="00DE745D"/>
    <w:rsid w:val="00DF0774"/>
    <w:rsid w:val="00DF1036"/>
    <w:rsid w:val="00DF4644"/>
    <w:rsid w:val="00DF68F6"/>
    <w:rsid w:val="00DF7A83"/>
    <w:rsid w:val="00E012B4"/>
    <w:rsid w:val="00E05451"/>
    <w:rsid w:val="00E05651"/>
    <w:rsid w:val="00E059A2"/>
    <w:rsid w:val="00E100F6"/>
    <w:rsid w:val="00E11BA5"/>
    <w:rsid w:val="00E165CB"/>
    <w:rsid w:val="00E17CBD"/>
    <w:rsid w:val="00E20425"/>
    <w:rsid w:val="00E21768"/>
    <w:rsid w:val="00E25DCB"/>
    <w:rsid w:val="00E2613B"/>
    <w:rsid w:val="00E313DF"/>
    <w:rsid w:val="00E32663"/>
    <w:rsid w:val="00E330E0"/>
    <w:rsid w:val="00E36C70"/>
    <w:rsid w:val="00E4156E"/>
    <w:rsid w:val="00E44D61"/>
    <w:rsid w:val="00E453F2"/>
    <w:rsid w:val="00E460AD"/>
    <w:rsid w:val="00E57A37"/>
    <w:rsid w:val="00E61925"/>
    <w:rsid w:val="00E6363B"/>
    <w:rsid w:val="00E65C0E"/>
    <w:rsid w:val="00E65FB9"/>
    <w:rsid w:val="00E730FC"/>
    <w:rsid w:val="00E746F0"/>
    <w:rsid w:val="00E809B9"/>
    <w:rsid w:val="00E82A15"/>
    <w:rsid w:val="00E85445"/>
    <w:rsid w:val="00E87589"/>
    <w:rsid w:val="00E938FF"/>
    <w:rsid w:val="00E93DFE"/>
    <w:rsid w:val="00EA2124"/>
    <w:rsid w:val="00EA2B12"/>
    <w:rsid w:val="00EA34DC"/>
    <w:rsid w:val="00EA456C"/>
    <w:rsid w:val="00EA5017"/>
    <w:rsid w:val="00EA6BED"/>
    <w:rsid w:val="00EB14F0"/>
    <w:rsid w:val="00EB3844"/>
    <w:rsid w:val="00EB5A9F"/>
    <w:rsid w:val="00EC573F"/>
    <w:rsid w:val="00EC5C8D"/>
    <w:rsid w:val="00ED106C"/>
    <w:rsid w:val="00ED2D34"/>
    <w:rsid w:val="00ED4805"/>
    <w:rsid w:val="00ED57F6"/>
    <w:rsid w:val="00ED6C51"/>
    <w:rsid w:val="00ED6DA1"/>
    <w:rsid w:val="00EF0AF8"/>
    <w:rsid w:val="00EF207D"/>
    <w:rsid w:val="00EF4258"/>
    <w:rsid w:val="00EF6D31"/>
    <w:rsid w:val="00F02237"/>
    <w:rsid w:val="00F046F1"/>
    <w:rsid w:val="00F072E2"/>
    <w:rsid w:val="00F079A6"/>
    <w:rsid w:val="00F10236"/>
    <w:rsid w:val="00F15811"/>
    <w:rsid w:val="00F22423"/>
    <w:rsid w:val="00F24C72"/>
    <w:rsid w:val="00F27B86"/>
    <w:rsid w:val="00F30267"/>
    <w:rsid w:val="00F31D22"/>
    <w:rsid w:val="00F348B2"/>
    <w:rsid w:val="00F34BF0"/>
    <w:rsid w:val="00F34ED8"/>
    <w:rsid w:val="00F4095A"/>
    <w:rsid w:val="00F452CC"/>
    <w:rsid w:val="00F45845"/>
    <w:rsid w:val="00F50189"/>
    <w:rsid w:val="00F508FC"/>
    <w:rsid w:val="00F510B7"/>
    <w:rsid w:val="00F53571"/>
    <w:rsid w:val="00F54044"/>
    <w:rsid w:val="00F576E7"/>
    <w:rsid w:val="00F62FB4"/>
    <w:rsid w:val="00F73D1C"/>
    <w:rsid w:val="00F74F89"/>
    <w:rsid w:val="00F763FC"/>
    <w:rsid w:val="00F76B4A"/>
    <w:rsid w:val="00F772C1"/>
    <w:rsid w:val="00F8026D"/>
    <w:rsid w:val="00F8245F"/>
    <w:rsid w:val="00F82E40"/>
    <w:rsid w:val="00F90C45"/>
    <w:rsid w:val="00F91629"/>
    <w:rsid w:val="00F91E2A"/>
    <w:rsid w:val="00F96C39"/>
    <w:rsid w:val="00F96E41"/>
    <w:rsid w:val="00FA153F"/>
    <w:rsid w:val="00FA1D78"/>
    <w:rsid w:val="00FA1F7E"/>
    <w:rsid w:val="00FA280F"/>
    <w:rsid w:val="00FA5289"/>
    <w:rsid w:val="00FA6213"/>
    <w:rsid w:val="00FB2186"/>
    <w:rsid w:val="00FB7E03"/>
    <w:rsid w:val="00FC3344"/>
    <w:rsid w:val="00FD0133"/>
    <w:rsid w:val="00FD25FE"/>
    <w:rsid w:val="00FD6206"/>
    <w:rsid w:val="00FE1318"/>
    <w:rsid w:val="00FE208F"/>
    <w:rsid w:val="00FE428D"/>
    <w:rsid w:val="00FE54CD"/>
    <w:rsid w:val="00FE6DF6"/>
    <w:rsid w:val="00FF32C3"/>
    <w:rsid w:val="00FF3F8B"/>
    <w:rsid w:val="00FF616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B81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Titre1">
    <w:name w:val="heading 1"/>
    <w:basedOn w:val="Normal"/>
    <w:next w:val="corpsdedcision"/>
    <w:link w:val="Titre1Car"/>
    <w:qFormat/>
    <w:rsid w:val="00F96E41"/>
    <w:pPr>
      <w:keepNext/>
      <w:spacing w:before="240" w:after="240"/>
      <w:outlineLvl w:val="0"/>
    </w:pPr>
    <w:rPr>
      <w:rFonts w:cs="Arial"/>
      <w:b/>
      <w:bCs/>
      <w:caps/>
      <w:kern w:val="32"/>
      <w:szCs w:val="32"/>
      <w:u w:val="single"/>
      <w:lang w:eastAsia="fr-FR"/>
    </w:rPr>
  </w:style>
  <w:style w:type="paragraph" w:styleId="Titre2">
    <w:name w:val="heading 2"/>
    <w:basedOn w:val="Normal"/>
    <w:next w:val="corpsdedcision"/>
    <w:qFormat/>
    <w:rsid w:val="0047680F"/>
    <w:pPr>
      <w:keepNext/>
      <w:spacing w:before="240" w:after="240"/>
      <w:outlineLvl w:val="1"/>
    </w:pPr>
    <w:rPr>
      <w:rFonts w:cs="Arial"/>
      <w:bCs/>
      <w:iCs/>
      <w:caps/>
      <w:szCs w:val="28"/>
      <w:lang w:eastAsia="fr-FR"/>
    </w:rPr>
  </w:style>
  <w:style w:type="paragraph" w:styleId="Titre3">
    <w:name w:val="heading 3"/>
    <w:basedOn w:val="Normal"/>
    <w:next w:val="corpsdedcision"/>
    <w:qFormat/>
    <w:rsid w:val="00EA456C"/>
    <w:pPr>
      <w:keepNext/>
      <w:spacing w:before="240" w:after="240"/>
      <w:outlineLvl w:val="2"/>
    </w:pPr>
    <w:rPr>
      <w:rFonts w:cs="Arial"/>
      <w:b/>
      <w:szCs w:val="24"/>
      <w:lang w:eastAsia="fr-FR"/>
    </w:rPr>
  </w:style>
  <w:style w:type="paragraph" w:styleId="Titre4">
    <w:name w:val="heading 4"/>
    <w:basedOn w:val="Normal"/>
    <w:next w:val="corpsdedcision"/>
    <w:qFormat/>
    <w:rsid w:val="008F15D5"/>
    <w:pPr>
      <w:keepNext/>
      <w:spacing w:before="240" w:after="240"/>
      <w:outlineLvl w:val="3"/>
    </w:pPr>
    <w:rPr>
      <w:rFonts w:cs="Arial"/>
      <w:szCs w:val="24"/>
      <w:u w:val="single"/>
      <w:lang w:eastAsia="fr-FR"/>
    </w:rPr>
  </w:style>
  <w:style w:type="paragraph" w:styleId="Titre5">
    <w:name w:val="heading 5"/>
    <w:basedOn w:val="Normal"/>
    <w:next w:val="Normal"/>
    <w:qFormat/>
    <w:rsid w:val="005E2367"/>
    <w:pPr>
      <w:numPr>
        <w:ilvl w:val="4"/>
        <w:numId w:val="2"/>
      </w:numPr>
      <w:spacing w:before="240" w:after="60"/>
      <w:outlineLvl w:val="4"/>
    </w:pPr>
    <w:rPr>
      <w:b/>
      <w:bCs/>
      <w:i/>
      <w:iCs/>
      <w:sz w:val="26"/>
      <w:szCs w:val="26"/>
    </w:rPr>
  </w:style>
  <w:style w:type="paragraph" w:styleId="Titre6">
    <w:name w:val="heading 6"/>
    <w:basedOn w:val="Normal"/>
    <w:next w:val="Normal"/>
    <w:qFormat/>
    <w:rsid w:val="005E2367"/>
    <w:pPr>
      <w:numPr>
        <w:ilvl w:val="5"/>
        <w:numId w:val="2"/>
      </w:numPr>
      <w:spacing w:before="240" w:after="60"/>
      <w:outlineLvl w:val="5"/>
    </w:pPr>
    <w:rPr>
      <w:rFonts w:ascii="Times New Roman" w:hAnsi="Times New Roman"/>
      <w:b/>
      <w:bCs/>
      <w:sz w:val="22"/>
      <w:szCs w:val="22"/>
    </w:rPr>
  </w:style>
  <w:style w:type="paragraph" w:styleId="Titre7">
    <w:name w:val="heading 7"/>
    <w:basedOn w:val="Normal"/>
    <w:next w:val="Normal"/>
    <w:qFormat/>
    <w:rsid w:val="005E2367"/>
    <w:pPr>
      <w:numPr>
        <w:ilvl w:val="6"/>
        <w:numId w:val="2"/>
      </w:numPr>
      <w:spacing w:before="240" w:after="60"/>
      <w:outlineLvl w:val="6"/>
    </w:pPr>
    <w:rPr>
      <w:rFonts w:ascii="Times New Roman" w:hAnsi="Times New Roman"/>
      <w:szCs w:val="24"/>
    </w:rPr>
  </w:style>
  <w:style w:type="paragraph" w:styleId="Titre8">
    <w:name w:val="heading 8"/>
    <w:basedOn w:val="Normal"/>
    <w:next w:val="Normal"/>
    <w:qFormat/>
    <w:rsid w:val="005E2367"/>
    <w:pPr>
      <w:numPr>
        <w:ilvl w:val="7"/>
        <w:numId w:val="2"/>
      </w:numPr>
      <w:spacing w:before="240" w:after="60"/>
      <w:outlineLvl w:val="7"/>
    </w:pPr>
    <w:rPr>
      <w:rFonts w:ascii="Times New Roman" w:hAnsi="Times New Roman"/>
      <w:i/>
      <w:iCs/>
      <w:szCs w:val="24"/>
    </w:rPr>
  </w:style>
  <w:style w:type="paragraph" w:styleId="Titre9">
    <w:name w:val="heading 9"/>
    <w:basedOn w:val="Normal"/>
    <w:next w:val="Normal"/>
    <w:qFormat/>
    <w:rsid w:val="005E2367"/>
    <w:pPr>
      <w:numPr>
        <w:ilvl w:val="8"/>
        <w:numId w:val="2"/>
      </w:num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zSoquijdatAssesseurs">
    <w:name w:val="zSoquij_datAssesseurs"/>
    <w:basedOn w:val="Normal"/>
  </w:style>
  <w:style w:type="paragraph" w:customStyle="1" w:styleId="zSoquijdatCabinetProcureurDef">
    <w:name w:val="zSoquij_datCabinetProcureurDef"/>
    <w:basedOn w:val="Normal"/>
  </w:style>
  <w:style w:type="paragraph" w:customStyle="1" w:styleId="zSoquijdatCabinetProcureurDem">
    <w:name w:val="zSoquij_datCabinetProcureurDem"/>
    <w:basedOn w:val="Normal"/>
  </w:style>
  <w:style w:type="paragraph" w:customStyle="1" w:styleId="zSoquijdatDateJugement">
    <w:name w:val="zSoquij_datDateJugement"/>
    <w:basedOn w:val="Normal"/>
    <w:rsid w:val="005B5689"/>
  </w:style>
  <w:style w:type="paragraph" w:customStyle="1" w:styleId="zSoquijdatGreffe">
    <w:name w:val="zSoquij_datGreffe"/>
    <w:basedOn w:val="Normal"/>
  </w:style>
  <w:style w:type="paragraph" w:customStyle="1" w:styleId="zSoquijdatJuge">
    <w:name w:val="zSoquij_datJuge"/>
    <w:basedOn w:val="Normal"/>
    <w:rsid w:val="005B5689"/>
    <w:rPr>
      <w:b/>
    </w:rPr>
  </w:style>
  <w:style w:type="paragraph" w:customStyle="1" w:styleId="zSoquijdatMembreE">
    <w:name w:val="zSoquij_datMembreE"/>
    <w:basedOn w:val="Normal"/>
  </w:style>
  <w:style w:type="paragraph" w:customStyle="1" w:styleId="zSoquijdatMembreS">
    <w:name w:val="zSoquij_datMembreS"/>
    <w:basedOn w:val="Normal"/>
  </w:style>
  <w:style w:type="paragraph" w:customStyle="1" w:styleId="articlesdelaLSST">
    <w:name w:val="articles de la LSST"/>
    <w:basedOn w:val="Normal"/>
    <w:pPr>
      <w:ind w:left="720" w:right="720"/>
      <w:jc w:val="both"/>
    </w:pPr>
    <w:rPr>
      <w:sz w:val="20"/>
    </w:rPr>
  </w:style>
  <w:style w:type="paragraph" w:customStyle="1" w:styleId="zSoquijdatNCSST">
    <w:name w:val="zSoquij_datNCSST"/>
    <w:basedOn w:val="Normal"/>
  </w:style>
  <w:style w:type="paragraph" w:customStyle="1" w:styleId="zSoquijdatNoDossier">
    <w:name w:val="zSoquij_datNoDossier"/>
    <w:basedOn w:val="Normal"/>
  </w:style>
  <w:style w:type="paragraph" w:customStyle="1" w:styleId="zSoquijdatNomPartieDef">
    <w:name w:val="zSoquij_datNomPartieDef"/>
    <w:basedOn w:val="Normal"/>
  </w:style>
  <w:style w:type="paragraph" w:customStyle="1" w:styleId="zSoquijdatNomPartieDem">
    <w:name w:val="zSoquij_datNomPartieDem"/>
    <w:basedOn w:val="Normal"/>
  </w:style>
  <w:style w:type="paragraph" w:customStyle="1" w:styleId="zSoquijdatNomPartieInt">
    <w:name w:val="zSoquij_datNomPartieInt"/>
    <w:basedOn w:val="Normal"/>
  </w:style>
  <w:style w:type="paragraph" w:customStyle="1" w:styleId="zSoquijdatNomProcureurDef">
    <w:name w:val="zSoquij_datNomProcureurDef"/>
    <w:basedOn w:val="Normal"/>
  </w:style>
  <w:style w:type="paragraph" w:customStyle="1" w:styleId="zSoquijdatNomProcureurDem">
    <w:name w:val="zSoquij_datNomProcureurDem"/>
    <w:basedOn w:val="Normal"/>
  </w:style>
  <w:style w:type="paragraph" w:customStyle="1" w:styleId="zSoquijdatQtePartieDef">
    <w:name w:val="zSoquij_datQtePartieDef"/>
    <w:basedOn w:val="Normal"/>
  </w:style>
  <w:style w:type="paragraph" w:customStyle="1" w:styleId="zSoquijdatQtePartieDem">
    <w:name w:val="zSoquij_datQtePartieDem"/>
    <w:basedOn w:val="Normal"/>
  </w:style>
  <w:style w:type="paragraph" w:customStyle="1" w:styleId="zSoquijdatQtePartieInt">
    <w:name w:val="zSoquij_datQtePartieInt"/>
    <w:basedOn w:val="Normal"/>
  </w:style>
  <w:style w:type="paragraph" w:customStyle="1" w:styleId="zSoquijlblProcureurDef">
    <w:name w:val="zSoquij_lblProcureurDef"/>
    <w:basedOn w:val="Normal"/>
  </w:style>
  <w:style w:type="paragraph" w:customStyle="1" w:styleId="zSoquijlblProcureurDem">
    <w:name w:val="zSoquij_lblProcureurDem"/>
    <w:basedOn w:val="Normal"/>
  </w:style>
  <w:style w:type="character" w:styleId="Appelnotedebasdep">
    <w:name w:val="footnote reference"/>
    <w:rPr>
      <w:rFonts w:ascii="Arial" w:hAnsi="Arial"/>
      <w:vertAlign w:val="superscript"/>
    </w:rPr>
  </w:style>
  <w:style w:type="paragraph" w:customStyle="1" w:styleId="citation">
    <w:name w:val="citation"/>
    <w:basedOn w:val="Normal"/>
    <w:pPr>
      <w:ind w:left="720" w:right="720"/>
      <w:jc w:val="both"/>
    </w:pPr>
    <w:rPr>
      <w:sz w:val="20"/>
    </w:rPr>
  </w:style>
  <w:style w:type="paragraph" w:customStyle="1" w:styleId="corpsdedcision">
    <w:name w:val="corps de décision"/>
    <w:basedOn w:val="Normal"/>
    <w:link w:val="corpsdedcisionCar"/>
    <w:pPr>
      <w:numPr>
        <w:numId w:val="1"/>
      </w:numPr>
      <w:tabs>
        <w:tab w:val="clear" w:pos="360"/>
        <w:tab w:val="left" w:pos="720"/>
      </w:tabs>
      <w:spacing w:after="360"/>
      <w:jc w:val="both"/>
    </w:pPr>
  </w:style>
  <w:style w:type="paragraph" w:customStyle="1" w:styleId="Dfinitions">
    <w:name w:val="Définitions"/>
    <w:basedOn w:val="citation"/>
  </w:style>
  <w:style w:type="paragraph" w:customStyle="1" w:styleId="Dispositif">
    <w:name w:val="Dispositif"/>
    <w:basedOn w:val="Normal"/>
    <w:pPr>
      <w:spacing w:after="360"/>
      <w:jc w:val="both"/>
    </w:pPr>
  </w:style>
  <w:style w:type="paragraph" w:styleId="Notedebasdepage">
    <w:name w:val="footnote text"/>
    <w:aliases w:val="Note de bas de page art 65,Note de bas de page + 10pt,Car,Car Car Car Car Car,Car Car Car Car,Car Car Car,Car Car Car Car Car Car Car Car Car,Car Car, Car, Car Car Car Car Car, Car Car Car Car, Car Car Car"/>
    <w:basedOn w:val="Normal"/>
    <w:link w:val="NotedebasdepageCar"/>
  </w:style>
  <w:style w:type="paragraph" w:styleId="En-tte">
    <w:name w:val="header"/>
    <w:basedOn w:val="Normal"/>
    <w:pPr>
      <w:tabs>
        <w:tab w:val="center" w:pos="4320"/>
        <w:tab w:val="right" w:pos="8640"/>
      </w:tabs>
    </w:pPr>
  </w:style>
  <w:style w:type="character" w:styleId="Numrodepage">
    <w:name w:val="page number"/>
    <w:rPr>
      <w:rFonts w:ascii="Arial" w:hAnsi="Arial"/>
      <w:sz w:val="24"/>
    </w:rPr>
  </w:style>
  <w:style w:type="paragraph" w:styleId="Pieddepage">
    <w:name w:val="footer"/>
    <w:basedOn w:val="Normal"/>
    <w:pPr>
      <w:tabs>
        <w:tab w:val="center" w:pos="4320"/>
        <w:tab w:val="right" w:pos="8640"/>
      </w:tabs>
    </w:pPr>
  </w:style>
  <w:style w:type="paragraph" w:customStyle="1" w:styleId="zSoquijlblProcureurInt">
    <w:name w:val="zSoquij_lblProcureurInt"/>
    <w:basedOn w:val="Normal"/>
  </w:style>
  <w:style w:type="paragraph" w:customStyle="1" w:styleId="articlesdelaLATMP">
    <w:name w:val="articles de la LATMP"/>
    <w:basedOn w:val="Normal"/>
    <w:pPr>
      <w:ind w:left="720" w:right="720"/>
      <w:jc w:val="both"/>
    </w:pPr>
    <w:rPr>
      <w:sz w:val="20"/>
    </w:rPr>
  </w:style>
  <w:style w:type="paragraph" w:customStyle="1" w:styleId="Annexes">
    <w:name w:val="Annexes"/>
    <w:basedOn w:val="citation"/>
  </w:style>
  <w:style w:type="paragraph" w:customStyle="1" w:styleId="zSoquijdatNomProcureurInt">
    <w:name w:val="zSoquij_datNomProcureurInt"/>
    <w:basedOn w:val="Normal"/>
  </w:style>
  <w:style w:type="paragraph" w:customStyle="1" w:styleId="zSoquijdatCabinetProcureurInt">
    <w:name w:val="zSoquij_datCabinetProcureurInt"/>
    <w:basedOn w:val="Normal"/>
  </w:style>
  <w:style w:type="paragraph" w:customStyle="1" w:styleId="zSoquijdatRefNeutre">
    <w:name w:val="zSoquij_datRefNeutre"/>
    <w:basedOn w:val="Normal"/>
    <w:rsid w:val="00E20425"/>
    <w:pPr>
      <w:jc w:val="right"/>
    </w:pPr>
    <w:rPr>
      <w:b/>
      <w:sz w:val="22"/>
      <w:szCs w:val="22"/>
    </w:rPr>
  </w:style>
  <w:style w:type="paragraph" w:customStyle="1" w:styleId="zSoquijdatRepertorie">
    <w:name w:val="zSoquij_datRepertorie"/>
    <w:basedOn w:val="Normal"/>
    <w:rsid w:val="00E20425"/>
    <w:rPr>
      <w:b/>
      <w:sz w:val="22"/>
      <w:szCs w:val="22"/>
    </w:rPr>
  </w:style>
  <w:style w:type="paragraph" w:customStyle="1" w:styleId="corpsdetexte">
    <w:name w:val="corps de texte"/>
    <w:basedOn w:val="Normal"/>
    <w:rsid w:val="00ED2D34"/>
    <w:pPr>
      <w:tabs>
        <w:tab w:val="left" w:pos="720"/>
      </w:tabs>
      <w:spacing w:after="360"/>
      <w:jc w:val="both"/>
    </w:pPr>
  </w:style>
  <w:style w:type="paragraph" w:customStyle="1" w:styleId="articlesdelaLATMPnouveaux">
    <w:name w:val="articles de la LATMP (nouveaux)"/>
    <w:basedOn w:val="Normal"/>
    <w:rsid w:val="00D44BCF"/>
    <w:pPr>
      <w:ind w:left="720" w:right="720"/>
      <w:jc w:val="both"/>
    </w:pPr>
    <w:rPr>
      <w:sz w:val="20"/>
    </w:rPr>
  </w:style>
  <w:style w:type="character" w:customStyle="1" w:styleId="NotedebasdepageCar">
    <w:name w:val="Note de bas de page Car"/>
    <w:aliases w:val="Note de bas de page art 65 Car,Note de bas de page + 10pt Car,Car Car4,Car Car Car Car Car Car,Car Car Car Car Car1,Car Car Car Car1,Car Car Car Car Car Car Car Car Car Car,Car Car Car1, Car Car, Car Car Car Car Car Car"/>
    <w:link w:val="Notedebasdepage"/>
    <w:locked/>
    <w:rsid w:val="00BC0A03"/>
    <w:rPr>
      <w:rFonts w:ascii="Arial" w:hAnsi="Arial"/>
      <w:sz w:val="24"/>
      <w:lang w:val="fr-CA" w:eastAsia="fr-CA" w:bidi="ar-SA"/>
    </w:rPr>
  </w:style>
  <w:style w:type="character" w:customStyle="1" w:styleId="CarCar3">
    <w:name w:val="Car Car3"/>
    <w:semiHidden/>
    <w:locked/>
    <w:rsid w:val="007F2149"/>
    <w:rPr>
      <w:rFonts w:ascii="Arial" w:hAnsi="Arial"/>
      <w:sz w:val="24"/>
      <w:lang w:val="fr-CA" w:eastAsia="fr-CA" w:bidi="ar-SA"/>
    </w:rPr>
  </w:style>
  <w:style w:type="paragraph" w:customStyle="1" w:styleId="Citationenretrait">
    <w:name w:val="Citation en retrait"/>
    <w:basedOn w:val="Normal"/>
    <w:link w:val="CitationenretraitCar"/>
    <w:rsid w:val="006A7C53"/>
    <w:pPr>
      <w:spacing w:before="120" w:after="120"/>
      <w:ind w:left="720" w:right="720"/>
      <w:jc w:val="both"/>
    </w:pPr>
    <w:rPr>
      <w:kern w:val="24"/>
      <w:sz w:val="22"/>
      <w:lang w:eastAsia="fr-FR"/>
    </w:rPr>
  </w:style>
  <w:style w:type="paragraph" w:customStyle="1" w:styleId="Citationendoubleretrait">
    <w:name w:val="Citation en double retrait"/>
    <w:basedOn w:val="Citationenretrait"/>
    <w:link w:val="CitationendoubleretraitCar"/>
    <w:rsid w:val="008048CF"/>
    <w:pPr>
      <w:spacing w:before="0" w:after="0"/>
      <w:ind w:left="1440" w:right="1440"/>
    </w:pPr>
    <w:rPr>
      <w:sz w:val="18"/>
    </w:rPr>
  </w:style>
  <w:style w:type="character" w:customStyle="1" w:styleId="Citationintgre">
    <w:name w:val="Citation intégrée"/>
    <w:rsid w:val="006A7C53"/>
    <w:rPr>
      <w:rFonts w:ascii="Arial" w:hAnsi="Arial"/>
      <w:i/>
      <w:noProof w:val="0"/>
      <w:sz w:val="22"/>
      <w:lang w:val="fr-CA"/>
    </w:rPr>
  </w:style>
  <w:style w:type="paragraph" w:customStyle="1" w:styleId="Paragraphe">
    <w:name w:val="Paragraphe"/>
    <w:basedOn w:val="Normal"/>
    <w:rsid w:val="006A7C53"/>
    <w:pPr>
      <w:numPr>
        <w:numId w:val="6"/>
      </w:numPr>
      <w:spacing w:before="160" w:after="160"/>
      <w:jc w:val="both"/>
    </w:pPr>
    <w:rPr>
      <w:kern w:val="28"/>
      <w:lang w:eastAsia="fr-FR"/>
    </w:rPr>
  </w:style>
  <w:style w:type="paragraph" w:customStyle="1" w:styleId="ParagAlaMarge">
    <w:name w:val="ParagAlaMarge"/>
    <w:basedOn w:val="Paragraphe"/>
    <w:rsid w:val="006A7C53"/>
    <w:pPr>
      <w:numPr>
        <w:numId w:val="0"/>
      </w:numPr>
    </w:pPr>
  </w:style>
  <w:style w:type="paragraph" w:customStyle="1" w:styleId="ParagNonNum">
    <w:name w:val="ParagNonNum"/>
    <w:basedOn w:val="Paragraphe"/>
    <w:rsid w:val="006A7C53"/>
    <w:pPr>
      <w:numPr>
        <w:numId w:val="0"/>
      </w:numPr>
      <w:ind w:firstLine="720"/>
    </w:pPr>
  </w:style>
  <w:style w:type="paragraph" w:customStyle="1" w:styleId="Sous-paragraphe">
    <w:name w:val="Sous-paragraphe"/>
    <w:basedOn w:val="Normal"/>
    <w:rsid w:val="000E0C28"/>
    <w:pPr>
      <w:numPr>
        <w:ilvl w:val="1"/>
        <w:numId w:val="6"/>
      </w:numPr>
      <w:spacing w:before="120" w:after="120"/>
      <w:ind w:left="1440" w:hanging="720"/>
    </w:pPr>
    <w:rPr>
      <w:szCs w:val="24"/>
      <w:lang w:eastAsia="fr-FR"/>
    </w:rPr>
  </w:style>
  <w:style w:type="paragraph" w:customStyle="1" w:styleId="zSoquijdatDivision">
    <w:name w:val="zSoquij_datDivision"/>
    <w:basedOn w:val="Normal"/>
    <w:rsid w:val="00F772C1"/>
    <w:pPr>
      <w:jc w:val="center"/>
    </w:pPr>
    <w:rPr>
      <w:b/>
      <w:bCs/>
      <w:sz w:val="22"/>
      <w:szCs w:val="22"/>
    </w:rPr>
  </w:style>
  <w:style w:type="paragraph" w:customStyle="1" w:styleId="zSoquijlblLienParties">
    <w:name w:val="zSoquij_lblLienParties"/>
    <w:basedOn w:val="Normal"/>
    <w:rsid w:val="00D06652"/>
  </w:style>
  <w:style w:type="paragraph" w:customStyle="1" w:styleId="zSoquijdatDateAudience">
    <w:name w:val="zSoquij_datDateAudience"/>
    <w:basedOn w:val="Normal"/>
    <w:rsid w:val="000E56A6"/>
  </w:style>
  <w:style w:type="character" w:customStyle="1" w:styleId="Titre1Car">
    <w:name w:val="Titre 1 Car"/>
    <w:link w:val="Titre1"/>
    <w:rsid w:val="00F96E41"/>
    <w:rPr>
      <w:rFonts w:ascii="Arial" w:hAnsi="Arial" w:cs="Arial"/>
      <w:b/>
      <w:bCs/>
      <w:caps/>
      <w:kern w:val="32"/>
      <w:sz w:val="24"/>
      <w:szCs w:val="32"/>
      <w:u w:val="single"/>
      <w:lang w:val="fr-CA" w:eastAsia="fr-FR" w:bidi="ar-SA"/>
    </w:rPr>
  </w:style>
  <w:style w:type="paragraph" w:customStyle="1" w:styleId="ParagConclusion">
    <w:name w:val="ParagConclusion"/>
    <w:basedOn w:val="Normal"/>
    <w:rsid w:val="003D18FC"/>
    <w:pPr>
      <w:spacing w:before="160" w:after="160"/>
      <w:ind w:left="2448" w:hanging="2448"/>
    </w:pPr>
    <w:rPr>
      <w:rFonts w:eastAsia="Calibri" w:cs="Arial"/>
      <w:szCs w:val="24"/>
      <w:lang w:eastAsia="fr-FR"/>
    </w:rPr>
  </w:style>
  <w:style w:type="paragraph" w:customStyle="1" w:styleId="yChPInterv">
    <w:name w:val="yCh_PInterv"/>
    <w:rsid w:val="00474489"/>
    <w:rPr>
      <w:rFonts w:ascii="Arial" w:hAnsi="Arial"/>
      <w:sz w:val="24"/>
    </w:rPr>
  </w:style>
  <w:style w:type="character" w:styleId="Lienhypertexte">
    <w:name w:val="Hyperlink"/>
    <w:unhideWhenUsed/>
    <w:rsid w:val="00AF3189"/>
    <w:rPr>
      <w:color w:val="0563C1"/>
      <w:u w:val="single"/>
    </w:rPr>
  </w:style>
  <w:style w:type="character" w:customStyle="1" w:styleId="CarCar1">
    <w:name w:val="Car Car1"/>
    <w:semiHidden/>
    <w:rsid w:val="00D73BB4"/>
    <w:rPr>
      <w:rFonts w:ascii="Arial" w:eastAsia="Times New Roman" w:hAnsi="Arial"/>
      <w:sz w:val="24"/>
    </w:rPr>
  </w:style>
  <w:style w:type="paragraph" w:styleId="Paragraphedeliste">
    <w:name w:val="List Paragraph"/>
    <w:basedOn w:val="Normal"/>
    <w:uiPriority w:val="34"/>
    <w:qFormat/>
    <w:rsid w:val="00D73BB4"/>
    <w:pPr>
      <w:ind w:left="720"/>
      <w:contextualSpacing/>
    </w:pPr>
  </w:style>
  <w:style w:type="character" w:customStyle="1" w:styleId="CarCar2">
    <w:name w:val="Car Car2"/>
    <w:rsid w:val="00CD04D9"/>
    <w:rPr>
      <w:rFonts w:ascii="Arial" w:hAnsi="Arial"/>
      <w:sz w:val="24"/>
    </w:rPr>
  </w:style>
  <w:style w:type="character" w:customStyle="1" w:styleId="FootnoteTextChar">
    <w:name w:val="Footnote Text Char"/>
    <w:locked/>
    <w:rsid w:val="00ED57F6"/>
    <w:rPr>
      <w:rFonts w:ascii="Arial" w:hAnsi="Arial" w:cs="Times New Roman"/>
      <w:sz w:val="24"/>
    </w:rPr>
  </w:style>
  <w:style w:type="character" w:customStyle="1" w:styleId="CitationenretraitCar">
    <w:name w:val="Citation en retrait Car"/>
    <w:link w:val="Citationenretrait"/>
    <w:rsid w:val="00DB6AF2"/>
    <w:rPr>
      <w:rFonts w:ascii="Arial" w:hAnsi="Arial"/>
      <w:kern w:val="24"/>
      <w:sz w:val="22"/>
      <w:lang w:val="fr-CA" w:eastAsia="fr-FR" w:bidi="ar-SA"/>
    </w:rPr>
  </w:style>
  <w:style w:type="character" w:customStyle="1" w:styleId="CitationendoubleretraitCar">
    <w:name w:val="Citation en double retrait Car"/>
    <w:link w:val="Citationendoubleretrait"/>
    <w:rsid w:val="00DB6AF2"/>
    <w:rPr>
      <w:rFonts w:ascii="Arial" w:hAnsi="Arial"/>
      <w:kern w:val="24"/>
      <w:sz w:val="18"/>
      <w:lang w:val="fr-CA" w:eastAsia="fr-FR" w:bidi="ar-SA"/>
    </w:rPr>
  </w:style>
  <w:style w:type="character" w:customStyle="1" w:styleId="corpsdedcisionCar">
    <w:name w:val="corps de décision Car"/>
    <w:link w:val="corpsdedcision"/>
    <w:rsid w:val="00013243"/>
    <w:rPr>
      <w:rFonts w:ascii="Arial" w:hAnsi="Arial"/>
      <w:sz w:val="24"/>
    </w:rPr>
  </w:style>
  <w:style w:type="paragraph" w:styleId="Rvision">
    <w:name w:val="Revision"/>
    <w:hidden/>
    <w:uiPriority w:val="99"/>
    <w:semiHidden/>
    <w:rsid w:val="007B33D3"/>
    <w:rPr>
      <w:rFonts w:ascii="Arial" w:hAnsi="Arial"/>
      <w:sz w:val="24"/>
    </w:rPr>
  </w:style>
  <w:style w:type="character" w:styleId="Marquedecommentaire">
    <w:name w:val="annotation reference"/>
    <w:basedOn w:val="Policepardfaut"/>
    <w:rsid w:val="00F74F89"/>
    <w:rPr>
      <w:sz w:val="16"/>
      <w:szCs w:val="16"/>
    </w:rPr>
  </w:style>
  <w:style w:type="paragraph" w:styleId="Commentaire">
    <w:name w:val="annotation text"/>
    <w:basedOn w:val="Normal"/>
    <w:link w:val="CommentaireCar"/>
    <w:rsid w:val="00F74F89"/>
    <w:rPr>
      <w:sz w:val="20"/>
    </w:rPr>
  </w:style>
  <w:style w:type="character" w:customStyle="1" w:styleId="CommentaireCar">
    <w:name w:val="Commentaire Car"/>
    <w:basedOn w:val="Policepardfaut"/>
    <w:link w:val="Commentaire"/>
    <w:rsid w:val="00F74F89"/>
    <w:rPr>
      <w:rFonts w:ascii="Arial" w:hAnsi="Arial"/>
    </w:rPr>
  </w:style>
  <w:style w:type="paragraph" w:styleId="Objetducommentaire">
    <w:name w:val="annotation subject"/>
    <w:basedOn w:val="Commentaire"/>
    <w:next w:val="Commentaire"/>
    <w:link w:val="ObjetducommentaireCar"/>
    <w:rsid w:val="00F74F89"/>
    <w:rPr>
      <w:b/>
      <w:bCs/>
    </w:rPr>
  </w:style>
  <w:style w:type="character" w:customStyle="1" w:styleId="ObjetducommentaireCar">
    <w:name w:val="Objet du commentaire Car"/>
    <w:basedOn w:val="CommentaireCar"/>
    <w:link w:val="Objetducommentaire"/>
    <w:rsid w:val="00F74F89"/>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98449">
      <w:bodyDiv w:val="1"/>
      <w:marLeft w:val="0"/>
      <w:marRight w:val="0"/>
      <w:marTop w:val="0"/>
      <w:marBottom w:val="0"/>
      <w:divBdr>
        <w:top w:val="none" w:sz="0" w:space="0" w:color="auto"/>
        <w:left w:val="none" w:sz="0" w:space="0" w:color="auto"/>
        <w:bottom w:val="none" w:sz="0" w:space="0" w:color="auto"/>
        <w:right w:val="none" w:sz="0" w:space="0" w:color="auto"/>
      </w:divBdr>
    </w:div>
    <w:div w:id="70144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lerober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B46AA-F28F-4EE2-A7B5-B4B062AB4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2899</Words>
  <Characters>15948</Characters>
  <Application>Microsoft Office Word</Application>
  <DocSecurity>0</DocSecurity>
  <Lines>132</Lines>
  <Paragraphs>37</Paragraphs>
  <ScaleCrop>false</ScaleCrop>
  <Company/>
  <LinksUpToDate>false</LinksUpToDate>
  <CharactersWithSpaces>18810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2025-03-28T13:48:00Z</dcterms:created>
  <dcterms:modified xsi:type="dcterms:W3CDTF">2025-03-28T13:48:00Z</dcterms:modified>
</cp:coreProperties>
</file>