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trPr>
          <w:cantSplit/>
        </w:trPr>
        <w:tc>
          <w:tcPr>
            <w:tcW w:w="4795" w:type="dxa"/>
          </w:tcPr>
          <w:p w:rsidR="008A7FD1" w:rsidRPr="003D2C4E" w:rsidRDefault="003D2C4E" w:rsidP="003D2C4E">
            <w:pPr>
              <w:pStyle w:val="zSoquijdatRepertorie"/>
              <w:rPr>
                <w:rFonts w:cs="Arial"/>
              </w:rPr>
            </w:pPr>
            <w:bookmarkStart w:id="0" w:name="_GoBack"/>
            <w:bookmarkEnd w:id="0"/>
            <w:r>
              <w:rPr>
                <w:rFonts w:cs="Arial"/>
              </w:rPr>
              <w:t>St-Martin et Ville de Sherbrooke (Pompier)</w:t>
            </w:r>
          </w:p>
        </w:tc>
        <w:tc>
          <w:tcPr>
            <w:tcW w:w="2477" w:type="dxa"/>
          </w:tcPr>
          <w:p w:rsidR="008A7FD1" w:rsidRPr="00DC730B" w:rsidRDefault="00DC730B" w:rsidP="00DC730B">
            <w:pPr>
              <w:pStyle w:val="zSoquijdatRefNeutre"/>
              <w:rPr>
                <w:rFonts w:cs="Arial"/>
              </w:rPr>
            </w:pPr>
            <w:r w:rsidRPr="00DC730B">
              <w:rPr>
                <w:rFonts w:cs="Arial"/>
              </w:rPr>
              <w:t>2021 QCTAT 6024</w:t>
            </w:r>
          </w:p>
        </w:tc>
      </w:tr>
    </w:tbl>
    <w:p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rsidTr="002A374B">
        <w:trPr>
          <w:cantSplit/>
        </w:trPr>
        <w:tc>
          <w:tcPr>
            <w:tcW w:w="9568" w:type="dxa"/>
            <w:gridSpan w:val="4"/>
          </w:tcPr>
          <w:p w:rsidR="00C74B6F" w:rsidRPr="00BE1981" w:rsidRDefault="00C74B6F">
            <w:pPr>
              <w:rPr>
                <w:szCs w:val="24"/>
              </w:rPr>
            </w:pPr>
          </w:p>
        </w:tc>
      </w:tr>
      <w:tr w:rsidR="00C74B6F" w:rsidTr="002A374B">
        <w:trPr>
          <w:cantSplit/>
        </w:trPr>
        <w:tc>
          <w:tcPr>
            <w:tcW w:w="9568" w:type="dxa"/>
            <w:gridSpan w:val="4"/>
            <w:vAlign w:val="center"/>
          </w:tcPr>
          <w:p w:rsidR="00C74B6F" w:rsidRPr="000E1320" w:rsidRDefault="000E1320">
            <w:pPr>
              <w:jc w:val="center"/>
              <w:rPr>
                <w:sz w:val="36"/>
                <w:szCs w:val="36"/>
              </w:rPr>
            </w:pPr>
            <w:r w:rsidRPr="000E1320">
              <w:rPr>
                <w:b/>
                <w:sz w:val="36"/>
                <w:szCs w:val="36"/>
              </w:rPr>
              <w:t>TRIBUNAL ADMINISTRATIF DU TRAVAIL</w:t>
            </w:r>
          </w:p>
        </w:tc>
      </w:tr>
      <w:tr w:rsidR="00C74B6F" w:rsidTr="002A374B">
        <w:trPr>
          <w:cantSplit/>
        </w:trPr>
        <w:tc>
          <w:tcPr>
            <w:tcW w:w="9568" w:type="dxa"/>
            <w:gridSpan w:val="4"/>
          </w:tcPr>
          <w:p w:rsidR="00C74B6F" w:rsidRPr="00BE7014" w:rsidRDefault="006F0154" w:rsidP="009A67E7">
            <w:pPr>
              <w:pStyle w:val="zSoquijdatDivision"/>
            </w:pPr>
            <w:r w:rsidRPr="00BE7014">
              <w:t>(</w:t>
            </w:r>
            <w:r w:rsidR="003E613D" w:rsidRPr="00441ADA">
              <w:t>Division de la santé et de la sécurité du travail</w:t>
            </w:r>
            <w:r w:rsidRPr="00BE7014">
              <w:t>)</w:t>
            </w:r>
          </w:p>
        </w:tc>
      </w:tr>
      <w:tr w:rsidR="00C74B6F" w:rsidTr="002A374B">
        <w:trPr>
          <w:cantSplit/>
        </w:trPr>
        <w:tc>
          <w:tcPr>
            <w:tcW w:w="9568" w:type="dxa"/>
            <w:gridSpan w:val="4"/>
          </w:tcPr>
          <w:p w:rsidR="002B2FC3" w:rsidRDefault="002B2FC3" w:rsidP="002B2FC3"/>
        </w:tc>
      </w:tr>
      <w:tr w:rsidR="00A84FC6" w:rsidTr="002A374B">
        <w:trPr>
          <w:cantSplit/>
        </w:trPr>
        <w:tc>
          <w:tcPr>
            <w:tcW w:w="9568" w:type="dxa"/>
            <w:gridSpan w:val="4"/>
          </w:tcPr>
          <w:p w:rsidR="00A84FC6" w:rsidRDefault="00A84FC6" w:rsidP="002B2FC3"/>
        </w:tc>
      </w:tr>
      <w:tr w:rsidR="00C74B6F" w:rsidTr="005E654C">
        <w:tc>
          <w:tcPr>
            <w:tcW w:w="3614" w:type="dxa"/>
          </w:tcPr>
          <w:p w:rsidR="00C74B6F" w:rsidRDefault="0084255F">
            <w:bookmarkStart w:id="1" w:name="region" w:colFirst="1" w:colLast="1"/>
            <w:r>
              <w:t>Région :</w:t>
            </w:r>
          </w:p>
        </w:tc>
        <w:tc>
          <w:tcPr>
            <w:tcW w:w="5954" w:type="dxa"/>
            <w:gridSpan w:val="3"/>
          </w:tcPr>
          <w:p w:rsidR="00C74B6F" w:rsidRDefault="003E613D" w:rsidP="00F4095A">
            <w:pPr>
              <w:pStyle w:val="zSoquijdatGreffe"/>
            </w:pPr>
            <w:r>
              <w:t>Estrie</w:t>
            </w:r>
          </w:p>
        </w:tc>
      </w:tr>
      <w:bookmarkEnd w:id="1"/>
      <w:tr w:rsidR="00C74B6F" w:rsidTr="002A374B">
        <w:trPr>
          <w:cantSplit/>
        </w:trPr>
        <w:tc>
          <w:tcPr>
            <w:tcW w:w="9568" w:type="dxa"/>
            <w:gridSpan w:val="4"/>
          </w:tcPr>
          <w:p w:rsidR="00C74B6F" w:rsidRDefault="00C74B6F"/>
        </w:tc>
      </w:tr>
      <w:tr w:rsidR="00C74B6F" w:rsidTr="005E654C">
        <w:tc>
          <w:tcPr>
            <w:tcW w:w="3614" w:type="dxa"/>
          </w:tcPr>
          <w:p w:rsidR="00C74B6F" w:rsidRDefault="0084255F">
            <w:bookmarkStart w:id="2" w:name="ref_dossier" w:colFirst="1" w:colLast="1"/>
            <w:r>
              <w:t>Dossier</w:t>
            </w:r>
            <w:bookmarkStart w:id="3" w:name="dossiers"/>
            <w:bookmarkEnd w:id="3"/>
            <w:r>
              <w:t> :</w:t>
            </w:r>
          </w:p>
        </w:tc>
        <w:tc>
          <w:tcPr>
            <w:tcW w:w="5954" w:type="dxa"/>
            <w:gridSpan w:val="3"/>
          </w:tcPr>
          <w:p w:rsidR="00C74B6F" w:rsidRDefault="00D568FA" w:rsidP="00F4095A">
            <w:pPr>
              <w:pStyle w:val="zSoquijdatNoDossier"/>
            </w:pPr>
            <w:r>
              <w:t>1206544-05-2011</w:t>
            </w:r>
          </w:p>
        </w:tc>
      </w:tr>
      <w:bookmarkEnd w:id="2"/>
      <w:tr w:rsidR="00C74B6F" w:rsidTr="002A374B">
        <w:trPr>
          <w:cantSplit/>
        </w:trPr>
        <w:tc>
          <w:tcPr>
            <w:tcW w:w="9568" w:type="dxa"/>
            <w:gridSpan w:val="4"/>
          </w:tcPr>
          <w:p w:rsidR="00C74B6F" w:rsidRDefault="00D44BCF">
            <w:r>
              <w:fldChar w:fldCharType="begin"/>
            </w:r>
            <w:r>
              <w:instrText xml:space="preserve"> AUTOTEXTLIST  \* Upper  \* MERGEFORMAT </w:instrText>
            </w:r>
            <w:r>
              <w:fldChar w:fldCharType="end"/>
            </w:r>
          </w:p>
        </w:tc>
      </w:tr>
      <w:tr w:rsidR="00C74B6F" w:rsidTr="005E654C">
        <w:tc>
          <w:tcPr>
            <w:tcW w:w="3614" w:type="dxa"/>
          </w:tcPr>
          <w:p w:rsidR="00C74B6F" w:rsidRDefault="008C79A7" w:rsidP="003E613D">
            <w:pPr>
              <w:ind w:right="46"/>
            </w:pPr>
            <w:r>
              <w:t xml:space="preserve">Dossier </w:t>
            </w:r>
            <w:r w:rsidR="003E613D">
              <w:rPr>
                <w:szCs w:val="24"/>
              </w:rPr>
              <w:t>CNESST</w:t>
            </w:r>
            <w:r w:rsidRPr="008C79A7">
              <w:rPr>
                <w:szCs w:val="24"/>
              </w:rPr>
              <w:t xml:space="preserve"> :</w:t>
            </w:r>
          </w:p>
        </w:tc>
        <w:tc>
          <w:tcPr>
            <w:tcW w:w="5954" w:type="dxa"/>
            <w:gridSpan w:val="3"/>
          </w:tcPr>
          <w:p w:rsidR="00C74B6F" w:rsidRDefault="003E613D" w:rsidP="004D6CEA">
            <w:pPr>
              <w:pStyle w:val="zSoquijdatNCSST"/>
            </w:pPr>
            <w:r w:rsidRPr="003E613D">
              <w:t>506176098</w:t>
            </w:r>
          </w:p>
        </w:tc>
      </w:tr>
      <w:tr w:rsidR="00C74B6F" w:rsidTr="002A374B">
        <w:trPr>
          <w:cantSplit/>
        </w:trPr>
        <w:tc>
          <w:tcPr>
            <w:tcW w:w="9568" w:type="dxa"/>
            <w:gridSpan w:val="4"/>
          </w:tcPr>
          <w:p w:rsidR="00C74B6F" w:rsidRDefault="00C74B6F"/>
        </w:tc>
      </w:tr>
      <w:tr w:rsidR="00C74B6F" w:rsidTr="002A374B">
        <w:trPr>
          <w:cantSplit/>
        </w:trPr>
        <w:tc>
          <w:tcPr>
            <w:tcW w:w="9568" w:type="dxa"/>
            <w:gridSpan w:val="4"/>
          </w:tcPr>
          <w:p w:rsidR="00C74B6F" w:rsidRDefault="00C74B6F"/>
        </w:tc>
      </w:tr>
      <w:tr w:rsidR="006E3DD8" w:rsidTr="005E654C">
        <w:trPr>
          <w:cantSplit/>
        </w:trPr>
        <w:tc>
          <w:tcPr>
            <w:tcW w:w="3614" w:type="dxa"/>
          </w:tcPr>
          <w:p w:rsidR="006E3DD8" w:rsidRDefault="003E613D" w:rsidP="006E3DD8">
            <w:pPr>
              <w:tabs>
                <w:tab w:val="left" w:pos="2672"/>
              </w:tabs>
            </w:pPr>
            <w:r>
              <w:t>Sherbrooke</w:t>
            </w:r>
            <w:r w:rsidR="00C04E32">
              <w:t>,</w:t>
            </w:r>
          </w:p>
        </w:tc>
        <w:tc>
          <w:tcPr>
            <w:tcW w:w="5954" w:type="dxa"/>
            <w:gridSpan w:val="3"/>
          </w:tcPr>
          <w:p w:rsidR="006E3DD8" w:rsidRDefault="00C04E32" w:rsidP="003E613D">
            <w:pPr>
              <w:pStyle w:val="zSoquijdatDateJugement"/>
            </w:pPr>
            <w:r>
              <w:t xml:space="preserve">le </w:t>
            </w:r>
            <w:r w:rsidR="00505DF3">
              <w:t>16</w:t>
            </w:r>
            <w:r w:rsidR="003E613D">
              <w:t xml:space="preserve"> décembre 2021</w:t>
            </w:r>
          </w:p>
        </w:tc>
      </w:tr>
      <w:tr w:rsidR="00942AB8" w:rsidTr="002A374B">
        <w:trPr>
          <w:cantSplit/>
        </w:trPr>
        <w:tc>
          <w:tcPr>
            <w:tcW w:w="9568" w:type="dxa"/>
            <w:gridSpan w:val="4"/>
          </w:tcPr>
          <w:p w:rsidR="00942AB8" w:rsidRDefault="00942AB8" w:rsidP="00FA153F">
            <w:r>
              <w:t>______________________________________________________________________</w:t>
            </w:r>
          </w:p>
        </w:tc>
      </w:tr>
      <w:tr w:rsidR="00942AB8" w:rsidTr="002A374B">
        <w:trPr>
          <w:cantSplit/>
          <w:trHeight w:val="148"/>
        </w:trPr>
        <w:tc>
          <w:tcPr>
            <w:tcW w:w="9568" w:type="dxa"/>
            <w:gridSpan w:val="4"/>
          </w:tcPr>
          <w:p w:rsidR="00942AB8" w:rsidRDefault="00942AB8" w:rsidP="00FA153F"/>
        </w:tc>
      </w:tr>
      <w:tr w:rsidR="0035375B" w:rsidTr="00A12E55">
        <w:trPr>
          <w:cantSplit/>
          <w:trHeight w:val="148"/>
        </w:trPr>
        <w:tc>
          <w:tcPr>
            <w:tcW w:w="5457" w:type="dxa"/>
            <w:gridSpan w:val="3"/>
          </w:tcPr>
          <w:p w:rsidR="0035375B" w:rsidRPr="00942AB8" w:rsidRDefault="0035375B" w:rsidP="003E613D">
            <w:pPr>
              <w:rPr>
                <w:b/>
                <w:bCs/>
              </w:rPr>
            </w:pPr>
            <w:bookmarkStart w:id="4" w:name="ref_commissaire" w:colFirst="1" w:colLast="1"/>
            <w:r w:rsidRPr="00942AB8">
              <w:rPr>
                <w:b/>
                <w:bCs/>
              </w:rPr>
              <w:t>DEVANT L</w:t>
            </w:r>
            <w:r w:rsidR="003E613D">
              <w:rPr>
                <w:b/>
                <w:bCs/>
              </w:rPr>
              <w:t>E</w:t>
            </w:r>
            <w:r w:rsidRPr="00942AB8">
              <w:rPr>
                <w:b/>
                <w:bCs/>
              </w:rPr>
              <w:t xml:space="preserve"> JUGE ADMINISTRATI</w:t>
            </w:r>
            <w:r w:rsidR="003E613D">
              <w:rPr>
                <w:b/>
                <w:bCs/>
              </w:rPr>
              <w:t>F</w:t>
            </w:r>
            <w:r w:rsidRPr="00942AB8">
              <w:rPr>
                <w:b/>
                <w:bCs/>
              </w:rPr>
              <w:t> :</w:t>
            </w:r>
          </w:p>
        </w:tc>
        <w:tc>
          <w:tcPr>
            <w:tcW w:w="4111" w:type="dxa"/>
          </w:tcPr>
          <w:p w:rsidR="0035375B" w:rsidRPr="00942AB8" w:rsidRDefault="003E613D" w:rsidP="005B5689">
            <w:pPr>
              <w:pStyle w:val="zSoquijdatJuge"/>
              <w:rPr>
                <w:bCs/>
              </w:rPr>
            </w:pPr>
            <w:r>
              <w:t>François Ranger</w:t>
            </w:r>
          </w:p>
        </w:tc>
      </w:tr>
      <w:bookmarkEnd w:id="4"/>
      <w:tr w:rsidR="00942AB8" w:rsidTr="002A374B">
        <w:trPr>
          <w:cantSplit/>
          <w:trHeight w:val="148"/>
        </w:trPr>
        <w:tc>
          <w:tcPr>
            <w:tcW w:w="9568" w:type="dxa"/>
            <w:gridSpan w:val="4"/>
          </w:tcPr>
          <w:p w:rsidR="00942AB8" w:rsidRDefault="00942AB8" w:rsidP="00FA153F">
            <w:r>
              <w:t>______________________________________________________________________</w:t>
            </w:r>
          </w:p>
        </w:tc>
      </w:tr>
      <w:tr w:rsidR="00942AB8" w:rsidTr="002A374B">
        <w:tc>
          <w:tcPr>
            <w:tcW w:w="9568" w:type="dxa"/>
            <w:gridSpan w:val="4"/>
          </w:tcPr>
          <w:p w:rsidR="00942AB8" w:rsidRDefault="00942AB8"/>
        </w:tc>
      </w:tr>
      <w:tr w:rsidR="00942AB8" w:rsidTr="00D40ABA">
        <w:tc>
          <w:tcPr>
            <w:tcW w:w="4748" w:type="dxa"/>
            <w:gridSpan w:val="2"/>
          </w:tcPr>
          <w:p w:rsidR="00942AB8" w:rsidRDefault="00942AB8">
            <w:bookmarkStart w:id="5" w:name="bloc_parties_gauche"/>
            <w:bookmarkEnd w:id="5"/>
          </w:p>
        </w:tc>
        <w:tc>
          <w:tcPr>
            <w:tcW w:w="4820" w:type="dxa"/>
            <w:gridSpan w:val="2"/>
          </w:tcPr>
          <w:p w:rsidR="00942AB8" w:rsidRDefault="00942AB8"/>
        </w:tc>
      </w:tr>
      <w:tr w:rsidR="00942AB8" w:rsidTr="00D40ABA">
        <w:tc>
          <w:tcPr>
            <w:tcW w:w="4748" w:type="dxa"/>
            <w:gridSpan w:val="2"/>
          </w:tcPr>
          <w:p w:rsidR="00942AB8" w:rsidRDefault="003E613D">
            <w:pPr>
              <w:pStyle w:val="zSoquijdatNomPartieDem"/>
              <w:rPr>
                <w:b/>
              </w:rPr>
            </w:pPr>
            <w:r w:rsidRPr="003E613D">
              <w:rPr>
                <w:b/>
              </w:rPr>
              <w:t>Olivier St-Martin</w:t>
            </w:r>
          </w:p>
        </w:tc>
        <w:tc>
          <w:tcPr>
            <w:tcW w:w="4820" w:type="dxa"/>
            <w:gridSpan w:val="2"/>
          </w:tcPr>
          <w:p w:rsidR="00942AB8" w:rsidRDefault="00942AB8"/>
        </w:tc>
      </w:tr>
      <w:tr w:rsidR="00942AB8" w:rsidTr="00D40ABA">
        <w:tc>
          <w:tcPr>
            <w:tcW w:w="4748" w:type="dxa"/>
            <w:gridSpan w:val="2"/>
          </w:tcPr>
          <w:p w:rsidR="00942AB8" w:rsidRDefault="003E613D" w:rsidP="003E613D">
            <w:pPr>
              <w:pStyle w:val="zSoquijdatQtePartieDem"/>
              <w:tabs>
                <w:tab w:val="left" w:pos="3539"/>
              </w:tabs>
              <w:ind w:left="708"/>
            </w:pPr>
            <w:bookmarkStart w:id="6" w:name="partie_demanderesse"/>
            <w:bookmarkEnd w:id="6"/>
            <w:r>
              <w:t>Partie demanderesse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3E613D" w:rsidP="00D06652">
            <w:pPr>
              <w:pStyle w:val="zSoquijlblLienParties"/>
            </w:pPr>
            <w:r>
              <w:t>et</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3E613D">
            <w:pPr>
              <w:pStyle w:val="zSoquijdatNomPartieDef"/>
              <w:rPr>
                <w:b/>
              </w:rPr>
            </w:pPr>
            <w:r w:rsidRPr="003E613D">
              <w:rPr>
                <w:b/>
              </w:rPr>
              <w:t>Ville de Sherbrooke (Pompier)</w:t>
            </w:r>
          </w:p>
          <w:p w:rsidR="00256CA3" w:rsidRDefault="00256CA3">
            <w:pPr>
              <w:pStyle w:val="zSoquijdatNomPartieDef"/>
              <w:rPr>
                <w:b/>
              </w:rPr>
            </w:pPr>
            <w:r w:rsidRPr="00256CA3">
              <w:rPr>
                <w:b/>
              </w:rPr>
              <w:t>Ville de East Angus (Régie intermunicipale Incendie)</w:t>
            </w:r>
          </w:p>
        </w:tc>
        <w:tc>
          <w:tcPr>
            <w:tcW w:w="4820" w:type="dxa"/>
            <w:gridSpan w:val="2"/>
          </w:tcPr>
          <w:p w:rsidR="00942AB8" w:rsidRDefault="00942AB8"/>
        </w:tc>
      </w:tr>
      <w:tr w:rsidR="00942AB8" w:rsidTr="00D40ABA">
        <w:tc>
          <w:tcPr>
            <w:tcW w:w="4748" w:type="dxa"/>
            <w:gridSpan w:val="2"/>
          </w:tcPr>
          <w:p w:rsidR="00942AB8" w:rsidRDefault="003E613D">
            <w:pPr>
              <w:pStyle w:val="zSoquijdatQtePartieDef"/>
              <w:ind w:left="708"/>
            </w:pPr>
            <w:r>
              <w:t>Partie</w:t>
            </w:r>
            <w:r w:rsidR="00256CA3">
              <w:t>s</w:t>
            </w:r>
            <w:r>
              <w:t xml:space="preserve"> mise</w:t>
            </w:r>
            <w:r w:rsidR="00256CA3">
              <w:t>s</w:t>
            </w:r>
            <w:r>
              <w:t xml:space="preserve"> en cause</w:t>
            </w:r>
          </w:p>
        </w:tc>
        <w:tc>
          <w:tcPr>
            <w:tcW w:w="4820" w:type="dxa"/>
            <w:gridSpan w:val="2"/>
          </w:tcPr>
          <w:p w:rsidR="00942AB8" w:rsidRDefault="00942AB8"/>
        </w:tc>
      </w:tr>
      <w:tr w:rsidR="003E613D" w:rsidTr="00D40ABA">
        <w:tc>
          <w:tcPr>
            <w:tcW w:w="4748" w:type="dxa"/>
            <w:gridSpan w:val="2"/>
          </w:tcPr>
          <w:p w:rsidR="003E613D" w:rsidRDefault="003E613D"/>
        </w:tc>
        <w:tc>
          <w:tcPr>
            <w:tcW w:w="4820" w:type="dxa"/>
            <w:gridSpan w:val="2"/>
          </w:tcPr>
          <w:p w:rsidR="003E613D" w:rsidRDefault="003E613D"/>
        </w:tc>
      </w:tr>
      <w:tr w:rsidR="003E613D" w:rsidTr="00D40ABA">
        <w:tc>
          <w:tcPr>
            <w:tcW w:w="4748" w:type="dxa"/>
            <w:gridSpan w:val="2"/>
          </w:tcPr>
          <w:p w:rsidR="003E613D" w:rsidRDefault="003E613D">
            <w:r>
              <w:t>et</w:t>
            </w:r>
          </w:p>
        </w:tc>
        <w:tc>
          <w:tcPr>
            <w:tcW w:w="4820" w:type="dxa"/>
            <w:gridSpan w:val="2"/>
          </w:tcPr>
          <w:p w:rsidR="003E613D" w:rsidRDefault="003E613D"/>
        </w:tc>
      </w:tr>
      <w:tr w:rsidR="0065093D" w:rsidTr="00D40ABA">
        <w:tc>
          <w:tcPr>
            <w:tcW w:w="4748" w:type="dxa"/>
            <w:gridSpan w:val="2"/>
          </w:tcPr>
          <w:p w:rsidR="0065093D" w:rsidRDefault="0065093D"/>
        </w:tc>
        <w:tc>
          <w:tcPr>
            <w:tcW w:w="4820" w:type="dxa"/>
            <w:gridSpan w:val="2"/>
          </w:tcPr>
          <w:p w:rsidR="0065093D" w:rsidRDefault="0065093D"/>
        </w:tc>
      </w:tr>
      <w:tr w:rsidR="00942AB8" w:rsidTr="00D40ABA">
        <w:tc>
          <w:tcPr>
            <w:tcW w:w="4748" w:type="dxa"/>
            <w:gridSpan w:val="2"/>
          </w:tcPr>
          <w:p w:rsidR="00942AB8" w:rsidRDefault="002B2ED0">
            <w:pPr>
              <w:pStyle w:val="zSoquijdatNomPartieInt"/>
              <w:rPr>
                <w:b/>
              </w:rPr>
            </w:pPr>
            <w:r>
              <w:rPr>
                <w:b/>
              </w:rPr>
              <w:t>Commission des normes, de l’équité, de la santé et de la sécurité du travail</w:t>
            </w:r>
          </w:p>
        </w:tc>
        <w:tc>
          <w:tcPr>
            <w:tcW w:w="4820" w:type="dxa"/>
            <w:gridSpan w:val="2"/>
          </w:tcPr>
          <w:p w:rsidR="00942AB8" w:rsidRDefault="00942AB8"/>
        </w:tc>
      </w:tr>
      <w:tr w:rsidR="00942AB8" w:rsidTr="00D40ABA">
        <w:tc>
          <w:tcPr>
            <w:tcW w:w="4748" w:type="dxa"/>
            <w:gridSpan w:val="2"/>
          </w:tcPr>
          <w:p w:rsidR="00942AB8" w:rsidRDefault="003E613D">
            <w:pPr>
              <w:pStyle w:val="zSoquijdatQtePartieInt"/>
              <w:ind w:left="708"/>
            </w:pPr>
            <w:r>
              <w:t>Partie intervenante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bl>
    <w:p w:rsidR="00C74B6F" w:rsidRDefault="00C74B6F">
      <w:r>
        <w:t>______________________________________________________________________</w:t>
      </w:r>
    </w:p>
    <w:p w:rsidR="00C74B6F" w:rsidRDefault="00C74B6F"/>
    <w:p w:rsidR="00C74B6F" w:rsidRPr="005B0612" w:rsidRDefault="00C74B6F" w:rsidP="008B042E">
      <w:pPr>
        <w:jc w:val="center"/>
        <w:rPr>
          <w:b/>
          <w:bCs/>
        </w:rPr>
      </w:pPr>
      <w:bookmarkStart w:id="7" w:name="decision"/>
      <w:r w:rsidRPr="005B0612">
        <w:rPr>
          <w:b/>
          <w:bCs/>
        </w:rPr>
        <w:t>DÉCISION</w:t>
      </w:r>
      <w:bookmarkEnd w:id="7"/>
    </w:p>
    <w:p w:rsidR="00C74B6F" w:rsidRDefault="00C74B6F">
      <w:pPr>
        <w:jc w:val="center"/>
      </w:pPr>
      <w:r>
        <w:t>______________________________________________________________________</w:t>
      </w:r>
    </w:p>
    <w:p w:rsidR="00C74B6F" w:rsidRDefault="00C74B6F"/>
    <w:p w:rsidR="00D568FA" w:rsidRPr="00DE4DF0" w:rsidRDefault="00D568FA" w:rsidP="00D568FA">
      <w:pPr>
        <w:pStyle w:val="corpsdedcision"/>
      </w:pPr>
      <w:r>
        <w:t>Le 24 novembre 2020</w:t>
      </w:r>
      <w:r w:rsidRPr="00DE4DF0">
        <w:t>, m</w:t>
      </w:r>
      <w:r>
        <w:t>onsieur Olivier St-Martin, le travailleur,</w:t>
      </w:r>
      <w:r w:rsidRPr="00DE4DF0">
        <w:t xml:space="preserve"> dépose un acte introductif au Tribunal administratif du tra</w:t>
      </w:r>
      <w:r>
        <w:t>vail, le Tribunal, par lequel il</w:t>
      </w:r>
      <w:r w:rsidRPr="00DE4DF0">
        <w:t xml:space="preserve"> conteste la déc</w:t>
      </w:r>
      <w:r>
        <w:t xml:space="preserve">ision rendue le 13 novembre 2019 </w:t>
      </w:r>
      <w:r w:rsidRPr="00DE4DF0">
        <w:t>par la Commission des normes, de l’équité, de la santé et de la sécurité du travail, la Commission, à la suite d’une révision administrative.</w:t>
      </w:r>
    </w:p>
    <w:p w:rsidR="00D568FA" w:rsidRPr="002955AE" w:rsidRDefault="00D568FA" w:rsidP="00D568FA">
      <w:pPr>
        <w:pStyle w:val="corpsdedcision"/>
      </w:pPr>
      <w:r w:rsidRPr="00DE4DF0">
        <w:t>Au moyen de celle-ci, la Commission confirme celle qu’e</w:t>
      </w:r>
      <w:r w:rsidR="00946929">
        <w:t>lle a initialement adoptée</w:t>
      </w:r>
      <w:r>
        <w:t xml:space="preserve"> le 10 avril 2019 en </w:t>
      </w:r>
      <w:r w:rsidR="00A2167D">
        <w:t xml:space="preserve">concluant que le travailleur n’est pas victime </w:t>
      </w:r>
      <w:r>
        <w:t>d’une lésion professionnelle le 1</w:t>
      </w:r>
      <w:r w:rsidRPr="00D568FA">
        <w:rPr>
          <w:vertAlign w:val="superscript"/>
        </w:rPr>
        <w:t>er</w:t>
      </w:r>
      <w:r>
        <w:t xml:space="preserve"> novembre 2018.</w:t>
      </w:r>
    </w:p>
    <w:p w:rsidR="00D568FA" w:rsidRDefault="00A2167D" w:rsidP="00D568FA">
      <w:pPr>
        <w:pStyle w:val="corpsdedcision"/>
      </w:pPr>
      <w:r>
        <w:t>Le 2 décembre</w:t>
      </w:r>
      <w:r w:rsidR="00D568FA">
        <w:t xml:space="preserve"> 2021, l’audience est tenue à Sherbrooke. Le travailleur est présent</w:t>
      </w:r>
      <w:r>
        <w:t xml:space="preserve"> et représenté par M</w:t>
      </w:r>
      <w:r w:rsidRPr="00A2167D">
        <w:rPr>
          <w:vertAlign w:val="superscript"/>
        </w:rPr>
        <w:t>e</w:t>
      </w:r>
      <w:r>
        <w:t xml:space="preserve"> Julien David Hobson. Alors que l’avocate de la Commission est absente, Ville de Sherbrooke (Pompier)</w:t>
      </w:r>
      <w:r w:rsidR="004869F0">
        <w:t>, un des employeurs,</w:t>
      </w:r>
      <w:r>
        <w:t xml:space="preserve"> est </w:t>
      </w:r>
      <w:r w:rsidRPr="00A435A4">
        <w:t>représenté</w:t>
      </w:r>
      <w:r>
        <w:t xml:space="preserve"> par M</w:t>
      </w:r>
      <w:r w:rsidRPr="00A2167D">
        <w:rPr>
          <w:vertAlign w:val="superscript"/>
        </w:rPr>
        <w:t>e</w:t>
      </w:r>
      <w:r w:rsidR="004869F0">
        <w:t> Serge </w:t>
      </w:r>
      <w:r>
        <w:t>Cormier et Ville de East Angus (Régie intermunicipale Incendie) par M</w:t>
      </w:r>
      <w:r w:rsidRPr="00A2167D">
        <w:rPr>
          <w:vertAlign w:val="superscript"/>
        </w:rPr>
        <w:t>e</w:t>
      </w:r>
      <w:r>
        <w:t xml:space="preserve"> Martin Brunet.</w:t>
      </w:r>
    </w:p>
    <w:p w:rsidR="00D568FA" w:rsidRPr="00DE4DF0" w:rsidRDefault="00D568FA" w:rsidP="00D568FA">
      <w:pPr>
        <w:pStyle w:val="corpsdedcision"/>
        <w:numPr>
          <w:ilvl w:val="0"/>
          <w:numId w:val="0"/>
        </w:numPr>
        <w:rPr>
          <w:u w:val="single"/>
        </w:rPr>
      </w:pPr>
      <w:r w:rsidRPr="00DE4DF0">
        <w:rPr>
          <w:b/>
          <w:bCs/>
          <w:u w:val="single"/>
        </w:rPr>
        <w:t>L’OBJET DE LA CONTESTATION</w:t>
      </w:r>
    </w:p>
    <w:p w:rsidR="00D568FA" w:rsidRPr="00A2167D" w:rsidRDefault="00D568FA" w:rsidP="00D568FA">
      <w:pPr>
        <w:pStyle w:val="corpsdedcision"/>
        <w:rPr>
          <w:u w:val="single"/>
        </w:rPr>
      </w:pPr>
      <w:r>
        <w:t>Le travailleur</w:t>
      </w:r>
      <w:r w:rsidRPr="00DE4DF0">
        <w:t xml:space="preserve"> demande </w:t>
      </w:r>
      <w:r w:rsidR="00C71C75">
        <w:t>de déclarer</w:t>
      </w:r>
      <w:r w:rsidR="00A2167D">
        <w:t xml:space="preserve"> </w:t>
      </w:r>
      <w:r w:rsidR="00D86620">
        <w:t>sa contestation recevable puis</w:t>
      </w:r>
      <w:r w:rsidR="00245B30">
        <w:t xml:space="preserve"> de conclure </w:t>
      </w:r>
      <w:r w:rsidR="00A2167D">
        <w:t>qu’il est victime d’une lésion professionnelle le 1</w:t>
      </w:r>
      <w:r w:rsidR="00A2167D" w:rsidRPr="00A2167D">
        <w:rPr>
          <w:vertAlign w:val="superscript"/>
        </w:rPr>
        <w:t>er</w:t>
      </w:r>
      <w:r w:rsidR="00A2167D">
        <w:t xml:space="preserve"> novembre 2018, à savoir d’une tumeur testiculaire gauche.</w:t>
      </w:r>
    </w:p>
    <w:p w:rsidR="00A2167D" w:rsidRDefault="00A2167D" w:rsidP="00A2167D">
      <w:pPr>
        <w:pStyle w:val="corpsdedcision"/>
        <w:rPr>
          <w:rFonts w:cs="Arial"/>
        </w:rPr>
      </w:pPr>
      <w:r>
        <w:t>À la demande des parties, il est convenu de limiter le débat à la recevabilité de</w:t>
      </w:r>
      <w:r w:rsidR="00245B30">
        <w:t xml:space="preserve"> la contestation </w:t>
      </w:r>
      <w:r>
        <w:t xml:space="preserve">en regard du délai prescrit par la </w:t>
      </w:r>
      <w:r w:rsidRPr="002955AE">
        <w:rPr>
          <w:rFonts w:cs="Arial"/>
          <w:i/>
        </w:rPr>
        <w:t>Loi sur les accidents du travail et les maladies professionnelles</w:t>
      </w:r>
      <w:r w:rsidRPr="004869F0">
        <w:rPr>
          <w:rStyle w:val="Appelnotedebasdep"/>
          <w:rFonts w:cs="Arial"/>
        </w:rPr>
        <w:footnoteReference w:id="1"/>
      </w:r>
      <w:r w:rsidRPr="004869F0">
        <w:rPr>
          <w:rFonts w:cs="Arial"/>
        </w:rPr>
        <w:t>, l</w:t>
      </w:r>
      <w:r w:rsidRPr="002955AE">
        <w:rPr>
          <w:rFonts w:cs="Arial"/>
        </w:rPr>
        <w:t>a Loi</w:t>
      </w:r>
      <w:r>
        <w:rPr>
          <w:rFonts w:cs="Arial"/>
        </w:rPr>
        <w:t>, en cette matière.</w:t>
      </w:r>
    </w:p>
    <w:p w:rsidR="00D5298A" w:rsidRPr="002955AE" w:rsidRDefault="00245B30" w:rsidP="00A2167D">
      <w:pPr>
        <w:pStyle w:val="corpsdedcision"/>
        <w:rPr>
          <w:rFonts w:cs="Arial"/>
        </w:rPr>
      </w:pPr>
      <w:r>
        <w:t>Sur cette question préliminaire</w:t>
      </w:r>
      <w:r w:rsidR="00D5298A">
        <w:t xml:space="preserve">, le </w:t>
      </w:r>
      <w:r w:rsidR="00D5298A" w:rsidRPr="00A435A4">
        <w:t>travailleur</w:t>
      </w:r>
      <w:r w:rsidR="00D5298A">
        <w:t xml:space="preserve"> </w:t>
      </w:r>
      <w:r w:rsidR="00C71C75">
        <w:t>admet</w:t>
      </w:r>
      <w:r w:rsidR="00D5298A">
        <w:t xml:space="preserve"> avoir contesté t</w:t>
      </w:r>
      <w:r w:rsidR="00BC05E2">
        <w:t>ardivement</w:t>
      </w:r>
      <w:r w:rsidR="00D5298A">
        <w:t xml:space="preserve">. </w:t>
      </w:r>
      <w:r w:rsidR="001954C0">
        <w:t xml:space="preserve">Quant aux parties mises en cause, elles reconnaissent ne subir aucun préjudice grave advenant </w:t>
      </w:r>
      <w:r w:rsidR="00C71C75">
        <w:t>qu’il</w:t>
      </w:r>
      <w:r w:rsidR="001954C0">
        <w:t xml:space="preserve"> soit </w:t>
      </w:r>
      <w:r w:rsidR="000E2565">
        <w:t>relevé</w:t>
      </w:r>
      <w:r w:rsidR="00C71C75">
        <w:t xml:space="preserve"> de ce</w:t>
      </w:r>
      <w:r w:rsidR="001954C0">
        <w:t xml:space="preserve"> défaut</w:t>
      </w:r>
      <w:r w:rsidR="000E2565">
        <w:t xml:space="preserve"> par le Tribunal</w:t>
      </w:r>
      <w:r w:rsidR="001954C0">
        <w:t>.</w:t>
      </w:r>
    </w:p>
    <w:p w:rsidR="00A2167D" w:rsidRPr="00976F4E" w:rsidRDefault="00A2167D" w:rsidP="00D568FA">
      <w:pPr>
        <w:pStyle w:val="corpsdedcision"/>
        <w:rPr>
          <w:u w:val="single"/>
        </w:rPr>
      </w:pPr>
      <w:r>
        <w:t>Si la contestation est</w:t>
      </w:r>
      <w:r w:rsidR="007B0254">
        <w:t xml:space="preserve"> jugée recevable, il est entendu</w:t>
      </w:r>
      <w:r>
        <w:t xml:space="preserve"> que les parties seront convoquées de nouveau pour l’examen du fond du litige.</w:t>
      </w:r>
    </w:p>
    <w:p w:rsidR="00D568FA" w:rsidRDefault="00D568FA" w:rsidP="00D568FA">
      <w:pPr>
        <w:pStyle w:val="corpsdedcision"/>
        <w:numPr>
          <w:ilvl w:val="0"/>
          <w:numId w:val="0"/>
        </w:numPr>
        <w:rPr>
          <w:b/>
          <w:bCs/>
          <w:u w:val="single"/>
        </w:rPr>
      </w:pPr>
      <w:r>
        <w:rPr>
          <w:b/>
          <w:bCs/>
          <w:u w:val="single"/>
        </w:rPr>
        <w:t>LA PREUVE</w:t>
      </w:r>
      <w:r w:rsidR="00A2167D">
        <w:rPr>
          <w:b/>
          <w:bCs/>
          <w:u w:val="single"/>
        </w:rPr>
        <w:t xml:space="preserve"> SUR LA QUESTION PRÉLIMINAIRE</w:t>
      </w:r>
    </w:p>
    <w:p w:rsidR="006D0D32" w:rsidRDefault="006D0D32" w:rsidP="00A2167D">
      <w:pPr>
        <w:pStyle w:val="corpsdedcision"/>
      </w:pPr>
      <w:r>
        <w:t xml:space="preserve">Le </w:t>
      </w:r>
      <w:r w:rsidRPr="00A435A4">
        <w:t>travailleur</w:t>
      </w:r>
      <w:r>
        <w:t xml:space="preserve"> est âgé de 32 ans et exerce l’emploi de pompier depuis 2009. Jusqu’en 2012, il travaille pour</w:t>
      </w:r>
      <w:r w:rsidRPr="006D0D32">
        <w:t xml:space="preserve"> </w:t>
      </w:r>
      <w:r>
        <w:t>la Ville de East Angus (Régie intermunicipale Incendie) à</w:t>
      </w:r>
      <w:r w:rsidR="00BC05E2">
        <w:t xml:space="preserve"> temps partiel et </w:t>
      </w:r>
      <w:r>
        <w:t>il est à l’emploi de la Ville de Sherbrooke à temps plein</w:t>
      </w:r>
      <w:r w:rsidR="00BC05E2">
        <w:t xml:space="preserve"> depuis 2010</w:t>
      </w:r>
      <w:r>
        <w:t>.</w:t>
      </w:r>
    </w:p>
    <w:p w:rsidR="00296259" w:rsidRDefault="006D0D32" w:rsidP="00296259">
      <w:pPr>
        <w:pStyle w:val="corpsdedcision"/>
      </w:pPr>
      <w:r>
        <w:t>Le 6 novembre 2018, il est pris en charge par le docteur Yves P</w:t>
      </w:r>
      <w:r w:rsidR="00296259">
        <w:t>onsot,</w:t>
      </w:r>
      <w:r>
        <w:t xml:space="preserve"> uro</w:t>
      </w:r>
      <w:r w:rsidR="004869F0">
        <w:noBreakHyphen/>
      </w:r>
      <w:r>
        <w:t>oncologue</w:t>
      </w:r>
      <w:r w:rsidR="00296259">
        <w:t>, après l’apparition d’une m</w:t>
      </w:r>
      <w:r w:rsidR="009E7951">
        <w:t>asse au testicule gauche</w:t>
      </w:r>
      <w:r w:rsidR="00296259">
        <w:t>.</w:t>
      </w:r>
      <w:r>
        <w:t xml:space="preserve"> </w:t>
      </w:r>
      <w:r w:rsidR="00652B52">
        <w:t xml:space="preserve">Ce médecin </w:t>
      </w:r>
      <w:r w:rsidR="00296259">
        <w:t>diagnostique un</w:t>
      </w:r>
      <w:r w:rsidR="008817BB">
        <w:t>e tumeur testiculaire</w:t>
      </w:r>
      <w:r w:rsidR="00652B52">
        <w:t xml:space="preserve"> gauche</w:t>
      </w:r>
      <w:r w:rsidR="008817BB">
        <w:t xml:space="preserve"> et procède à</w:t>
      </w:r>
      <w:r w:rsidR="00296259">
        <w:t xml:space="preserve"> une chirurgie.</w:t>
      </w:r>
      <w:r w:rsidR="000621BC">
        <w:t xml:space="preserve"> Il spécifie que l’examen </w:t>
      </w:r>
      <w:r w:rsidR="00652B52">
        <w:t xml:space="preserve">de </w:t>
      </w:r>
      <w:r w:rsidR="000621BC">
        <w:t>pathologie montre qu’il s’agit d’un séminome de stade I sans aucun envahissement</w:t>
      </w:r>
      <w:r w:rsidR="00652B52">
        <w:t>,</w:t>
      </w:r>
      <w:r w:rsidR="00652B52" w:rsidRPr="00652B52">
        <w:t xml:space="preserve"> </w:t>
      </w:r>
      <w:r w:rsidR="004869F0">
        <w:t>c’est</w:t>
      </w:r>
      <w:r w:rsidR="004869F0">
        <w:noBreakHyphen/>
        <w:t>à</w:t>
      </w:r>
      <w:r w:rsidR="004869F0">
        <w:noBreakHyphen/>
      </w:r>
      <w:r w:rsidR="00652B52">
        <w:t xml:space="preserve">dire d’un cancer du testicule. </w:t>
      </w:r>
      <w:r w:rsidR="000621BC">
        <w:t>Pour la suite</w:t>
      </w:r>
      <w:r w:rsidR="008817BB">
        <w:t>, il prescrit</w:t>
      </w:r>
      <w:r w:rsidR="000621BC">
        <w:t xml:space="preserve"> une surveillance active.</w:t>
      </w:r>
    </w:p>
    <w:p w:rsidR="00296259" w:rsidRDefault="0000458C" w:rsidP="00296259">
      <w:pPr>
        <w:pStyle w:val="corpsdedcision"/>
      </w:pPr>
      <w:r>
        <w:t>Étant donné</w:t>
      </w:r>
      <w:r w:rsidR="00652B52">
        <w:t xml:space="preserve"> l’évolution de la maladie</w:t>
      </w:r>
      <w:r w:rsidR="00296259">
        <w:t xml:space="preserve">, le </w:t>
      </w:r>
      <w:r w:rsidR="00296259" w:rsidRPr="00A435A4">
        <w:t>travailleur</w:t>
      </w:r>
      <w:r w:rsidR="005B6223">
        <w:t xml:space="preserve"> est capable</w:t>
      </w:r>
      <w:r w:rsidR="00296259">
        <w:t xml:space="preserve"> de recommencer à exercer ses activités professionnelles le 14 décembre 2018. I</w:t>
      </w:r>
      <w:r w:rsidR="00773C91">
        <w:t xml:space="preserve">l avait </w:t>
      </w:r>
      <w:r w:rsidR="00F272CA">
        <w:t>dû</w:t>
      </w:r>
      <w:r w:rsidR="00773C91">
        <w:t xml:space="preserve"> cesser</w:t>
      </w:r>
      <w:r w:rsidR="00296259">
        <w:t xml:space="preserve"> celles-ci le 1</w:t>
      </w:r>
      <w:r w:rsidR="00296259" w:rsidRPr="00296259">
        <w:rPr>
          <w:vertAlign w:val="superscript"/>
        </w:rPr>
        <w:t>er</w:t>
      </w:r>
      <w:r w:rsidR="00296259">
        <w:t xml:space="preserve"> novembre 2018 à cause de sa lésion.</w:t>
      </w:r>
    </w:p>
    <w:p w:rsidR="00773C91" w:rsidRDefault="00296259" w:rsidP="00296259">
      <w:pPr>
        <w:pStyle w:val="corpsdedcision"/>
      </w:pPr>
      <w:r>
        <w:t>Disant qu’il est conn</w:t>
      </w:r>
      <w:r w:rsidR="005B6223">
        <w:t>u dans son milieu de travail qu’il exerce un</w:t>
      </w:r>
      <w:r>
        <w:t xml:space="preserve"> emploi </w:t>
      </w:r>
      <w:r w:rsidR="005B6223">
        <w:t xml:space="preserve">qui </w:t>
      </w:r>
      <w:r>
        <w:t xml:space="preserve">l’expose à des risques de contracter un cancer, le travailleur </w:t>
      </w:r>
      <w:r w:rsidR="009E7951">
        <w:t>joint</w:t>
      </w:r>
      <w:r w:rsidR="00773C91">
        <w:t xml:space="preserve"> </w:t>
      </w:r>
      <w:r w:rsidR="00EB3A69">
        <w:t xml:space="preserve">un </w:t>
      </w:r>
      <w:r w:rsidR="00EB3A69" w:rsidRPr="00A435A4">
        <w:t>représentant</w:t>
      </w:r>
      <w:r w:rsidR="005B6223">
        <w:t xml:space="preserve"> syndical du</w:t>
      </w:r>
      <w:r w:rsidR="00EB3A69">
        <w:t xml:space="preserve"> comité de santé et de sécurité</w:t>
      </w:r>
      <w:r w:rsidR="008824C0">
        <w:t>, le CSS,</w:t>
      </w:r>
      <w:r w:rsidR="005B6223">
        <w:t xml:space="preserve"> en place chez son employeur</w:t>
      </w:r>
      <w:r w:rsidR="007B0254">
        <w:t xml:space="preserve"> pour exercer</w:t>
      </w:r>
      <w:r w:rsidR="005B6223">
        <w:t xml:space="preserve"> son </w:t>
      </w:r>
      <w:r w:rsidR="0000458C">
        <w:t xml:space="preserve">potentiel </w:t>
      </w:r>
      <w:r w:rsidR="005B6223">
        <w:t>droit à une indemnisation</w:t>
      </w:r>
      <w:r w:rsidR="00773C91">
        <w:t xml:space="preserve">. À partir de là, il </w:t>
      </w:r>
      <w:r w:rsidR="0000458C">
        <w:t>bénéfic</w:t>
      </w:r>
      <w:r w:rsidR="008A54FD">
        <w:t>i</w:t>
      </w:r>
      <w:r w:rsidR="0000458C">
        <w:t xml:space="preserve">e du soutien de M. </w:t>
      </w:r>
      <w:r w:rsidR="00773C91">
        <w:t xml:space="preserve">Vincent </w:t>
      </w:r>
      <w:r w:rsidR="003B0BF5">
        <w:t>Letourneau</w:t>
      </w:r>
      <w:r w:rsidR="00773C91">
        <w:t xml:space="preserve"> dans les démarches qu’il f</w:t>
      </w:r>
      <w:r w:rsidR="00F272CA">
        <w:t>ait pour être reconnu atteint d’une maladie professionnelle.</w:t>
      </w:r>
      <w:r w:rsidR="007B0254">
        <w:t xml:space="preserve"> M. </w:t>
      </w:r>
      <w:r w:rsidR="003B0BF5">
        <w:t>Letourneau</w:t>
      </w:r>
      <w:r w:rsidR="0000458C">
        <w:t>, qui</w:t>
      </w:r>
      <w:r w:rsidR="007B0254">
        <w:t xml:space="preserve"> est </w:t>
      </w:r>
      <w:r w:rsidR="0000458C">
        <w:t xml:space="preserve">également pompier, est </w:t>
      </w:r>
      <w:r w:rsidR="007B0254">
        <w:t>un des trois membres qui siègent à titre de représentant</w:t>
      </w:r>
      <w:r w:rsidR="00D9333B">
        <w:t>s</w:t>
      </w:r>
      <w:r w:rsidR="007B0254">
        <w:t xml:space="preserve"> </w:t>
      </w:r>
      <w:r w:rsidR="00D9333B">
        <w:t>syndicaux</w:t>
      </w:r>
      <w:r w:rsidR="007B0254">
        <w:t xml:space="preserve"> sur le </w:t>
      </w:r>
      <w:r w:rsidR="00D9333B">
        <w:t>CSS</w:t>
      </w:r>
      <w:r w:rsidR="007B0254">
        <w:t xml:space="preserve"> en question.</w:t>
      </w:r>
      <w:r w:rsidR="0000458C">
        <w:t xml:space="preserve"> Il compte une douzaine d’années d’expérience à ce titre.</w:t>
      </w:r>
      <w:r w:rsidR="007B0254">
        <w:t xml:space="preserve"> </w:t>
      </w:r>
    </w:p>
    <w:p w:rsidR="009E7951" w:rsidRDefault="008A54FD" w:rsidP="00296259">
      <w:pPr>
        <w:pStyle w:val="corpsdedcision"/>
      </w:pPr>
      <w:r>
        <w:t xml:space="preserve">Dans un premier temps, M. </w:t>
      </w:r>
      <w:r w:rsidR="003B0BF5">
        <w:t>Letourneau</w:t>
      </w:r>
      <w:r w:rsidR="00773C91">
        <w:t xml:space="preserve"> fournit au </w:t>
      </w:r>
      <w:r w:rsidR="00773C91" w:rsidRPr="00A435A4">
        <w:t>travailleur</w:t>
      </w:r>
      <w:r w:rsidR="00773C91">
        <w:t xml:space="preserve"> de la littérature pour appuyer l’hypothèse d’un lien entre le travail et la maladie. Il invite ce dernier à montrer cette documentation au docteur Ponsot</w:t>
      </w:r>
      <w:r w:rsidR="00652B52">
        <w:t>.</w:t>
      </w:r>
    </w:p>
    <w:p w:rsidR="00652B52" w:rsidRDefault="009E7951" w:rsidP="00296259">
      <w:pPr>
        <w:pStyle w:val="corpsdedcision"/>
      </w:pPr>
      <w:r>
        <w:t>Le 1</w:t>
      </w:r>
      <w:r w:rsidRPr="009E7951">
        <w:rPr>
          <w:vertAlign w:val="superscript"/>
        </w:rPr>
        <w:t>er</w:t>
      </w:r>
      <w:r>
        <w:t xml:space="preserve"> </w:t>
      </w:r>
      <w:r w:rsidR="000621BC">
        <w:t xml:space="preserve">février 2019, </w:t>
      </w:r>
      <w:r>
        <w:t>le docteur Po</w:t>
      </w:r>
      <w:r w:rsidR="000621BC">
        <w:t>nsot rédige un rapport médical qu’il destine à</w:t>
      </w:r>
      <w:r>
        <w:t xml:space="preserve"> la Commission. Il diagno</w:t>
      </w:r>
      <w:r w:rsidR="00652B52">
        <w:t>stique une tumeur testiculaire en précisant</w:t>
      </w:r>
      <w:r w:rsidR="000621BC">
        <w:t xml:space="preserve"> qu</w:t>
      </w:r>
      <w:r w:rsidR="00652B52">
        <w:t>’il s’agit d’un séminome.</w:t>
      </w:r>
    </w:p>
    <w:p w:rsidR="000621BC" w:rsidRDefault="000621BC" w:rsidP="00296259">
      <w:pPr>
        <w:pStyle w:val="corpsdedcision"/>
      </w:pPr>
      <w:r>
        <w:t xml:space="preserve">Le 18 février 2019, le travailleur dépose une réclamation à la Commission avec </w:t>
      </w:r>
      <w:r w:rsidR="008A54FD">
        <w:t>l’aide de M.</w:t>
      </w:r>
      <w:r>
        <w:t xml:space="preserve"> </w:t>
      </w:r>
      <w:r w:rsidR="003B0BF5">
        <w:t>Letourneau</w:t>
      </w:r>
      <w:r>
        <w:t xml:space="preserve">. </w:t>
      </w:r>
      <w:r w:rsidR="00F73D61">
        <w:t>Il allègue que sa maladie</w:t>
      </w:r>
      <w:r w:rsidR="00C57B48">
        <w:t xml:space="preserve"> est conséc</w:t>
      </w:r>
      <w:r w:rsidR="008A54FD">
        <w:t>utive à l’exercice de ses tâches</w:t>
      </w:r>
      <w:r w:rsidR="00C57B48">
        <w:t xml:space="preserve"> de pompier.</w:t>
      </w:r>
    </w:p>
    <w:p w:rsidR="00C57B48" w:rsidRDefault="00C57B48" w:rsidP="00296259">
      <w:pPr>
        <w:pStyle w:val="corpsdedcision"/>
      </w:pPr>
      <w:r>
        <w:t xml:space="preserve">Le 10 avril 2019, la Commission refuse de reconnaître le </w:t>
      </w:r>
      <w:r w:rsidRPr="00A435A4">
        <w:t>travailleur</w:t>
      </w:r>
      <w:r>
        <w:t xml:space="preserve"> victime d’une lésion professionnelle. Elle considère que la tumeur testiculaire diagnost</w:t>
      </w:r>
      <w:r w:rsidR="008A54FD">
        <w:t>iquée est étrangère au travail</w:t>
      </w:r>
      <w:r>
        <w:t>.</w:t>
      </w:r>
    </w:p>
    <w:p w:rsidR="00C57B48" w:rsidRDefault="00C57B48" w:rsidP="00296259">
      <w:pPr>
        <w:pStyle w:val="corpsdedcision"/>
      </w:pPr>
      <w:r>
        <w:t xml:space="preserve">Suite à cette décision, le </w:t>
      </w:r>
      <w:r w:rsidRPr="00A435A4">
        <w:t>travailleur</w:t>
      </w:r>
      <w:r w:rsidR="008A54FD">
        <w:t xml:space="preserve"> donne mandat à M.</w:t>
      </w:r>
      <w:r>
        <w:t xml:space="preserve"> </w:t>
      </w:r>
      <w:r w:rsidR="003B0BF5">
        <w:t>Letourneau</w:t>
      </w:r>
      <w:r>
        <w:t xml:space="preserve"> de déposer une demande de révision et de le représent</w:t>
      </w:r>
      <w:r w:rsidR="00F73D61">
        <w:t xml:space="preserve">er </w:t>
      </w:r>
      <w:r>
        <w:t xml:space="preserve">devant la Commission. Il transmet aussi à son </w:t>
      </w:r>
      <w:r w:rsidRPr="00A435A4">
        <w:t>représentant</w:t>
      </w:r>
      <w:r>
        <w:t xml:space="preserve"> les documents nécessaires à ce mandat, dont son dossier médical.</w:t>
      </w:r>
    </w:p>
    <w:p w:rsidR="00F716AD" w:rsidRDefault="00F716AD" w:rsidP="00296259">
      <w:pPr>
        <w:pStyle w:val="corpsdedcision"/>
      </w:pPr>
      <w:r>
        <w:t xml:space="preserve">Le 6 mai 2019, le </w:t>
      </w:r>
      <w:r w:rsidRPr="00A435A4">
        <w:t>travailleur</w:t>
      </w:r>
      <w:r>
        <w:t xml:space="preserve"> envoie un message électronique à M. </w:t>
      </w:r>
      <w:r w:rsidR="003B0BF5">
        <w:t>Letourneau</w:t>
      </w:r>
      <w:r>
        <w:t xml:space="preserve"> pour s’assurer que la demande de révision soit déposée dans le délai</w:t>
      </w:r>
      <w:r w:rsidR="00F73D61">
        <w:t xml:space="preserve"> prescrit par la Loi</w:t>
      </w:r>
      <w:r>
        <w:t>.</w:t>
      </w:r>
    </w:p>
    <w:p w:rsidR="00F716AD" w:rsidRDefault="00F716AD" w:rsidP="00296259">
      <w:pPr>
        <w:pStyle w:val="corpsdedcision"/>
      </w:pPr>
      <w:r>
        <w:t xml:space="preserve">Le 7 mai 2019, M. </w:t>
      </w:r>
      <w:r w:rsidR="003B0BF5">
        <w:t>Letourneau</w:t>
      </w:r>
      <w:r w:rsidR="00F73D61">
        <w:t xml:space="preserve"> produit</w:t>
      </w:r>
      <w:r>
        <w:t xml:space="preserve"> au nom du travailleu</w:t>
      </w:r>
      <w:r w:rsidR="00652B52">
        <w:t>r une demande de révision</w:t>
      </w:r>
      <w:r>
        <w:t>. Cette contestation est accompagnée d’un mandat de représentation qui confirme qu’il est habilité à agir au nom du travaille</w:t>
      </w:r>
      <w:r w:rsidR="00F73D61">
        <w:t>ur devant la Commission</w:t>
      </w:r>
      <w:r>
        <w:t xml:space="preserve">. M. </w:t>
      </w:r>
      <w:r w:rsidR="003B0BF5">
        <w:t>Letourneau</w:t>
      </w:r>
      <w:r>
        <w:t xml:space="preserve"> fait également parvenir une copie de cette documentation au travailleur.</w:t>
      </w:r>
    </w:p>
    <w:p w:rsidR="00F716AD" w:rsidRDefault="0053485E" w:rsidP="00296259">
      <w:pPr>
        <w:pStyle w:val="corpsdedcision"/>
      </w:pPr>
      <w:r>
        <w:t>Le 24 septembre 2019, le travailleur transm</w:t>
      </w:r>
      <w:r w:rsidR="004869F0">
        <w:t>et un message électronique à M. </w:t>
      </w:r>
      <w:r w:rsidR="003B0BF5">
        <w:t>Letourneau</w:t>
      </w:r>
      <w:r>
        <w:t xml:space="preserve"> pour savoir o</w:t>
      </w:r>
      <w:r w:rsidR="00F73D61">
        <w:t>ù en est sa demande de révision</w:t>
      </w:r>
      <w:r>
        <w:t xml:space="preserve">. Ce dernier lui répond qu’il </w:t>
      </w:r>
      <w:r w:rsidRPr="0053485E">
        <w:rPr>
          <w:rStyle w:val="Citationintgre"/>
        </w:rPr>
        <w:t>« travaille la dessus</w:t>
      </w:r>
      <w:r w:rsidR="004869F0">
        <w:rPr>
          <w:rStyle w:val="Citationintgre"/>
          <w:rFonts w:cs="Arial"/>
        </w:rPr>
        <w:t xml:space="preserve"> </w:t>
      </w:r>
      <w:r w:rsidR="004869F0" w:rsidRPr="004869F0">
        <w:rPr>
          <w:rStyle w:val="Citationintgre"/>
          <w:rFonts w:cs="Arial"/>
          <w:i w:val="0"/>
          <w:sz w:val="24"/>
          <w:szCs w:val="24"/>
        </w:rPr>
        <w:t>[</w:t>
      </w:r>
      <w:r w:rsidR="004869F0" w:rsidRPr="004869F0">
        <w:rPr>
          <w:rStyle w:val="Citationintgre"/>
          <w:i w:val="0"/>
          <w:sz w:val="24"/>
          <w:szCs w:val="24"/>
        </w:rPr>
        <w:t>Transcription textuelle</w:t>
      </w:r>
      <w:r w:rsidR="004869F0" w:rsidRPr="004869F0">
        <w:rPr>
          <w:rStyle w:val="Citationintgre"/>
          <w:rFonts w:cs="Arial"/>
          <w:i w:val="0"/>
          <w:sz w:val="24"/>
          <w:szCs w:val="24"/>
        </w:rPr>
        <w:t>]</w:t>
      </w:r>
      <w:r w:rsidR="004869F0">
        <w:rPr>
          <w:rStyle w:val="Citationintgre"/>
          <w:rFonts w:cs="Arial"/>
        </w:rPr>
        <w:t> »</w:t>
      </w:r>
      <w:r>
        <w:t xml:space="preserve">. Incidemment, les notes du réviseur de la Commission qui est chargé du dossier confirment quelques échanges </w:t>
      </w:r>
      <w:r w:rsidR="00F73D61">
        <w:t xml:space="preserve">en ce sens </w:t>
      </w:r>
      <w:r>
        <w:t>par l’intermédiaire de messages vocaux.</w:t>
      </w:r>
    </w:p>
    <w:p w:rsidR="00F73D61" w:rsidRDefault="0053485E" w:rsidP="00296259">
      <w:pPr>
        <w:pStyle w:val="corpsdedcision"/>
      </w:pPr>
      <w:r>
        <w:t xml:space="preserve">Le </w:t>
      </w:r>
      <w:r w:rsidR="00396644">
        <w:t>13 novem</w:t>
      </w:r>
      <w:r w:rsidR="00F73D61">
        <w:t>bre 2019, la Commission maintient</w:t>
      </w:r>
      <w:r w:rsidR="00396644">
        <w:t xml:space="preserve"> sa décision initiale du 10 avril 2019 à la suite d’</w:t>
      </w:r>
      <w:r w:rsidR="00396644" w:rsidRPr="00A435A4">
        <w:t>une</w:t>
      </w:r>
      <w:r w:rsidR="00396644">
        <w:t xml:space="preserve"> révision administrative. </w:t>
      </w:r>
    </w:p>
    <w:p w:rsidR="0053485E" w:rsidRDefault="00396644" w:rsidP="00296259">
      <w:pPr>
        <w:pStyle w:val="corpsdedcision"/>
      </w:pPr>
      <w:r>
        <w:t xml:space="preserve">Le travailleur et M. </w:t>
      </w:r>
      <w:r w:rsidR="003B0BF5">
        <w:t>Letourneau</w:t>
      </w:r>
      <w:r>
        <w:t xml:space="preserve"> confirment recevoir une copie de cette décision</w:t>
      </w:r>
      <w:r w:rsidR="00F73D61">
        <w:t xml:space="preserve"> dans les jours suivants</w:t>
      </w:r>
      <w:r>
        <w:t>. S</w:t>
      </w:r>
      <w:r w:rsidR="00F73D61">
        <w:t>elon d</w:t>
      </w:r>
      <w:r>
        <w:t>es messages électroniques</w:t>
      </w:r>
      <w:r w:rsidR="003B0BF5">
        <w:t xml:space="preserve"> échangés entre eux</w:t>
      </w:r>
      <w:r w:rsidR="004869F0">
        <w:t xml:space="preserve"> le 20 novembre </w:t>
      </w:r>
      <w:r w:rsidR="00F73D61">
        <w:t>2019</w:t>
      </w:r>
      <w:r>
        <w:t xml:space="preserve">, la notification </w:t>
      </w:r>
      <w:r w:rsidRPr="00A435A4">
        <w:t>de la</w:t>
      </w:r>
      <w:r>
        <w:t xml:space="preserve"> décision se f</w:t>
      </w:r>
      <w:r w:rsidR="004869F0">
        <w:t>ait probablement le 21 ou le 22 novembre </w:t>
      </w:r>
      <w:r>
        <w:t>2019.</w:t>
      </w:r>
    </w:p>
    <w:p w:rsidR="00CB1BAB" w:rsidRDefault="00F73D61" w:rsidP="002F1E42">
      <w:pPr>
        <w:pStyle w:val="corpsdedcision"/>
      </w:pPr>
      <w:r>
        <w:t>Lorsqu’ils témoignent</w:t>
      </w:r>
      <w:r w:rsidR="003B0BF5">
        <w:t xml:space="preserve">, le travailleur et M. </w:t>
      </w:r>
      <w:r>
        <w:t>Letourneau indiquent</w:t>
      </w:r>
      <w:r w:rsidR="003B0BF5">
        <w:t xml:space="preserve"> qu’il est alors </w:t>
      </w:r>
      <w:r w:rsidR="0049337A">
        <w:t xml:space="preserve">convenu </w:t>
      </w:r>
      <w:r w:rsidR="003B0BF5">
        <w:t xml:space="preserve">de contester la décision du 13 novembre 2019 devant le Tribunal. Ils disent qu’il est </w:t>
      </w:r>
      <w:r>
        <w:t xml:space="preserve">verbalement </w:t>
      </w:r>
      <w:r w:rsidR="003B0BF5">
        <w:t xml:space="preserve">entendu </w:t>
      </w:r>
      <w:r>
        <w:t>q</w:t>
      </w:r>
      <w:r w:rsidR="003B0BF5">
        <w:t xml:space="preserve">ue le second fera ce qu’il </w:t>
      </w:r>
      <w:r w:rsidR="002F1E42">
        <w:t>faut pour la conduite du recours</w:t>
      </w:r>
      <w:r w:rsidR="003B0BF5">
        <w:t xml:space="preserve">. </w:t>
      </w:r>
      <w:r w:rsidR="002F1E42">
        <w:t>À cette fin</w:t>
      </w:r>
      <w:r w:rsidR="008824C0">
        <w:t xml:space="preserve">, M. </w:t>
      </w:r>
      <w:r w:rsidR="00CB1BAB">
        <w:t>Letourneau explique</w:t>
      </w:r>
      <w:r w:rsidR="00424C04">
        <w:t xml:space="preserve"> qu’il entend</w:t>
      </w:r>
      <w:r w:rsidR="008824C0">
        <w:t xml:space="preserve"> mandater un avocat du Syndicat des pompiers du Québec parce que son rôle </w:t>
      </w:r>
      <w:r w:rsidR="00CB1BAB">
        <w:t xml:space="preserve">de soutien </w:t>
      </w:r>
      <w:r w:rsidR="008824C0">
        <w:t xml:space="preserve">en tant que représentant syndical du CSS </w:t>
      </w:r>
      <w:r w:rsidR="00CB1BAB">
        <w:t>se termine a</w:t>
      </w:r>
      <w:r w:rsidR="00BB5C4B">
        <w:t xml:space="preserve">vec la décision rendue à l’étape de la </w:t>
      </w:r>
      <w:r w:rsidR="00CB1BAB">
        <w:t xml:space="preserve">révision administrative. Il précise que ce mandat de représentation est autorisé par le président du syndicat local. Lors de son </w:t>
      </w:r>
      <w:r w:rsidR="00BB5C4B">
        <w:t>té</w:t>
      </w:r>
      <w:r w:rsidR="00652B52">
        <w:t xml:space="preserve">moignage, M. Letourneau dit </w:t>
      </w:r>
      <w:r w:rsidR="00BB5C4B">
        <w:t>aviser</w:t>
      </w:r>
      <w:r w:rsidR="00CB1BAB">
        <w:t xml:space="preserve"> le </w:t>
      </w:r>
      <w:r w:rsidR="00CB1BAB" w:rsidRPr="00A435A4">
        <w:t>travailleur</w:t>
      </w:r>
      <w:r w:rsidR="00CB1BAB">
        <w:t xml:space="preserve"> </w:t>
      </w:r>
      <w:r w:rsidR="00BB5C4B">
        <w:t>de cette façon de procéder</w:t>
      </w:r>
      <w:r w:rsidR="00CB1BAB">
        <w:t xml:space="preserve"> tout en l’assurant qu’il verra à ce que son droit de contestation au Tribunal soit exercé.</w:t>
      </w:r>
      <w:r w:rsidR="00652B52">
        <w:t xml:space="preserve"> Ceci est confirmé par le travailleur.</w:t>
      </w:r>
    </w:p>
    <w:p w:rsidR="000058A4" w:rsidRDefault="004918C5" w:rsidP="00CB1BAB">
      <w:pPr>
        <w:pStyle w:val="corpsdedcision"/>
      </w:pPr>
      <w:r>
        <w:t>A</w:t>
      </w:r>
      <w:r w:rsidR="00CB1BAB">
        <w:t>lors qu’il était</w:t>
      </w:r>
      <w:r w:rsidR="004B43E5">
        <w:t xml:space="preserve"> certain</w:t>
      </w:r>
      <w:r w:rsidR="002F1E42">
        <w:t xml:space="preserve"> à l’époque d’avoir posé </w:t>
      </w:r>
      <w:r w:rsidR="004B43E5">
        <w:t>les actions requises</w:t>
      </w:r>
      <w:r w:rsidR="00CB1BAB">
        <w:t xml:space="preserve"> pour qu’un avocat du Syndicat des pompiers du Québec dépose le recours du travailleur et qu’il le représente par la suite, </w:t>
      </w:r>
      <w:r w:rsidR="000058A4">
        <w:t>M. L</w:t>
      </w:r>
      <w:r w:rsidR="004B43E5">
        <w:t>etourneau dit</w:t>
      </w:r>
      <w:r w:rsidR="000058A4">
        <w:t xml:space="preserve"> </w:t>
      </w:r>
      <w:r w:rsidR="004B43E5">
        <w:t xml:space="preserve">réaliser plus tard </w:t>
      </w:r>
      <w:r w:rsidR="000058A4">
        <w:t>n’</w:t>
      </w:r>
      <w:r w:rsidR="004B43E5">
        <w:t>avoir rien fait de tel tout en étant</w:t>
      </w:r>
      <w:r w:rsidR="000058A4">
        <w:t xml:space="preserve"> incapable d’expliquer pourquoi il a </w:t>
      </w:r>
      <w:r w:rsidR="002F1E42">
        <w:t>échoué</w:t>
      </w:r>
      <w:r w:rsidR="000058A4">
        <w:t xml:space="preserve"> de la sorte.</w:t>
      </w:r>
    </w:p>
    <w:p w:rsidR="007B225A" w:rsidRDefault="007B225A" w:rsidP="00CB1BAB">
      <w:pPr>
        <w:pStyle w:val="corpsdedcision"/>
      </w:pPr>
      <w:r>
        <w:t>Pendant ce temps, le travailleur</w:t>
      </w:r>
      <w:r w:rsidR="00652B52">
        <w:t xml:space="preserve"> raconte</w:t>
      </w:r>
      <w:r>
        <w:t xml:space="preserve"> être convaincu que M. Letourneau fait ce qui est nécessaire pour que son droit de contestation soit exercé. Il dit ne pas exiger de </w:t>
      </w:r>
      <w:r w:rsidR="00424C04">
        <w:t xml:space="preserve">documents qui confirment le tout </w:t>
      </w:r>
      <w:r>
        <w:t>puisqu’il accorde toute sa confiance à M. Letourneau.</w:t>
      </w:r>
    </w:p>
    <w:p w:rsidR="009578B6" w:rsidRDefault="009578B6" w:rsidP="007335CA">
      <w:pPr>
        <w:pStyle w:val="corpsdedcision"/>
      </w:pPr>
      <w:r>
        <w:t>Le 26 février 2020, le travailleur transm</w:t>
      </w:r>
      <w:r w:rsidR="004869F0">
        <w:t>et un message électronique à M. </w:t>
      </w:r>
      <w:r>
        <w:t>Letourneau pour savoir s’il a des nouv</w:t>
      </w:r>
      <w:r w:rsidR="007335CA">
        <w:t>elles de son dossier</w:t>
      </w:r>
      <w:r>
        <w:t xml:space="preserve">. Étant </w:t>
      </w:r>
      <w:r w:rsidR="007335CA">
        <w:t>sur le point de partir</w:t>
      </w:r>
      <w:r w:rsidR="001C1988">
        <w:t xml:space="preserve"> en vacances, celui-ci</w:t>
      </w:r>
      <w:r>
        <w:t xml:space="preserve"> l’avise qu’il va s’informer à son retour.</w:t>
      </w:r>
      <w:r w:rsidR="00652B52">
        <w:t xml:space="preserve"> Cependant, lors de</w:t>
      </w:r>
      <w:r w:rsidR="002F1E42">
        <w:t> l’audience</w:t>
      </w:r>
      <w:r w:rsidR="00652B52">
        <w:t>, il</w:t>
      </w:r>
      <w:r w:rsidR="007335CA">
        <w:t xml:space="preserve"> </w:t>
      </w:r>
      <w:r w:rsidR="00652B52">
        <w:t xml:space="preserve">dit </w:t>
      </w:r>
      <w:r>
        <w:t>n</w:t>
      </w:r>
      <w:r w:rsidR="00652B52">
        <w:t xml:space="preserve">e </w:t>
      </w:r>
      <w:r w:rsidR="007335CA">
        <w:t>trouver</w:t>
      </w:r>
      <w:r>
        <w:t xml:space="preserve"> aucune note personnelle qui confirme qu’</w:t>
      </w:r>
      <w:r w:rsidR="00424C04">
        <w:t>il a fait des</w:t>
      </w:r>
      <w:r w:rsidR="001C1988">
        <w:t xml:space="preserve"> démarche</w:t>
      </w:r>
      <w:r w:rsidR="00424C04">
        <w:t>s</w:t>
      </w:r>
      <w:r w:rsidR="001C1988">
        <w:t xml:space="preserve"> en ce sens</w:t>
      </w:r>
      <w:r w:rsidR="002F1E42">
        <w:t>.</w:t>
      </w:r>
    </w:p>
    <w:p w:rsidR="00806578" w:rsidRDefault="00424C04" w:rsidP="002B2ED0">
      <w:pPr>
        <w:pStyle w:val="corpsdedcision"/>
      </w:pPr>
      <w:r>
        <w:t xml:space="preserve">Au cours </w:t>
      </w:r>
      <w:r w:rsidR="0049337A">
        <w:t xml:space="preserve">des </w:t>
      </w:r>
      <w:r w:rsidR="009578B6">
        <w:t xml:space="preserve">mois </w:t>
      </w:r>
      <w:r w:rsidR="001C1988">
        <w:t>subséquents, le travailleur croise</w:t>
      </w:r>
      <w:r w:rsidR="009578B6">
        <w:t xml:space="preserve"> M. Letourneau sur les lieux du travail</w:t>
      </w:r>
      <w:r w:rsidR="00806578">
        <w:t xml:space="preserve"> à quelques occasions</w:t>
      </w:r>
      <w:r w:rsidR="009578B6">
        <w:t xml:space="preserve">. À </w:t>
      </w:r>
      <w:r w:rsidR="009578B6" w:rsidRPr="00A435A4">
        <w:t>deux</w:t>
      </w:r>
      <w:r w:rsidR="009578B6">
        <w:t xml:space="preserve"> ou trois reprises, </w:t>
      </w:r>
      <w:r w:rsidR="00806578">
        <w:t>il affirme le questionner sur l’évolution de son dossier. Ne souhaitant pas h</w:t>
      </w:r>
      <w:r w:rsidR="007335CA">
        <w:t>arceler M. Letourneau</w:t>
      </w:r>
      <w:r w:rsidR="002F1E42">
        <w:t>, le travailleur</w:t>
      </w:r>
      <w:r w:rsidR="001C1988">
        <w:t xml:space="preserve"> estime</w:t>
      </w:r>
      <w:r w:rsidR="00806578">
        <w:t xml:space="preserve"> </w:t>
      </w:r>
      <w:r w:rsidR="001C1988">
        <w:t xml:space="preserve">lui </w:t>
      </w:r>
      <w:r w:rsidR="00806578">
        <w:t xml:space="preserve">parler </w:t>
      </w:r>
      <w:r w:rsidR="001C1988">
        <w:t xml:space="preserve">de l’affaire aux trois mois. Il mentionne </w:t>
      </w:r>
      <w:r w:rsidR="00806578">
        <w:t xml:space="preserve">aussi lui téléphoner une ou deux fois. </w:t>
      </w:r>
      <w:r w:rsidR="00990B1F">
        <w:t>En répon</w:t>
      </w:r>
      <w:r w:rsidR="001C1988">
        <w:t>se à ses interrogations</w:t>
      </w:r>
      <w:r w:rsidR="00990B1F">
        <w:t>, il ra</w:t>
      </w:r>
      <w:r>
        <w:t xml:space="preserve">conte que M. Letourneau </w:t>
      </w:r>
      <w:r w:rsidR="001C1988">
        <w:t xml:space="preserve">dit </w:t>
      </w:r>
      <w:r w:rsidR="00990B1F">
        <w:t xml:space="preserve">qu’il fera des </w:t>
      </w:r>
      <w:r w:rsidR="004869F0">
        <w:t>« </w:t>
      </w:r>
      <w:r w:rsidR="00990B1F" w:rsidRPr="00703B2C">
        <w:rPr>
          <w:rStyle w:val="Citationintgre"/>
        </w:rPr>
        <w:t>téléphones</w:t>
      </w:r>
      <w:r w:rsidR="004869F0">
        <w:t> »</w:t>
      </w:r>
      <w:r w:rsidR="00990B1F">
        <w:t xml:space="preserve"> pour savoir ce qu’il en est.</w:t>
      </w:r>
      <w:r w:rsidR="001C1988">
        <w:t xml:space="preserve"> Le témoignage de ce dernier va dans le même sens.</w:t>
      </w:r>
    </w:p>
    <w:p w:rsidR="00806578" w:rsidRDefault="001C1988" w:rsidP="00CB1BAB">
      <w:pPr>
        <w:pStyle w:val="corpsdedcision"/>
      </w:pPr>
      <w:r>
        <w:t xml:space="preserve">Pensant </w:t>
      </w:r>
      <w:r w:rsidR="00424C04">
        <w:t xml:space="preserve">donc </w:t>
      </w:r>
      <w:r>
        <w:t>que sa contestation est dûment logée, le travailleur relate</w:t>
      </w:r>
      <w:r w:rsidR="00806578">
        <w:t xml:space="preserve"> ne pas s’inquiéter de ne </w:t>
      </w:r>
      <w:r>
        <w:t xml:space="preserve">pas recevoir de </w:t>
      </w:r>
      <w:r w:rsidR="00806578">
        <w:t>document qui confirme que son dossier est actif.</w:t>
      </w:r>
      <w:r>
        <w:t xml:space="preserve"> D’ailleurs</w:t>
      </w:r>
      <w:r w:rsidR="007335CA">
        <w:t>,</w:t>
      </w:r>
      <w:r w:rsidR="00806578">
        <w:t xml:space="preserve"> </w:t>
      </w:r>
      <w:r w:rsidR="007335CA">
        <w:t>i</w:t>
      </w:r>
      <w:r w:rsidR="00806578">
        <w:t>l ajoute ne rien connaître du fonctionnement du Tribunal.</w:t>
      </w:r>
    </w:p>
    <w:p w:rsidR="00990B1F" w:rsidRDefault="00990B1F" w:rsidP="00B8264C">
      <w:pPr>
        <w:pStyle w:val="corpsdedcision"/>
      </w:pPr>
      <w:r>
        <w:t>Le</w:t>
      </w:r>
      <w:r w:rsidR="002F1E42">
        <w:t xml:space="preserve"> 20 octobre 2020, il</w:t>
      </w:r>
      <w:r>
        <w:t xml:space="preserve"> envoie un message électronique à M. Letourneau pour savoir s’il y a des développements. </w:t>
      </w:r>
      <w:r w:rsidR="00806578">
        <w:t xml:space="preserve"> </w:t>
      </w:r>
      <w:r w:rsidR="00B8264C">
        <w:t>Six jours plus tard</w:t>
      </w:r>
      <w:r>
        <w:t>, M. L</w:t>
      </w:r>
      <w:r w:rsidR="00DC3F34">
        <w:t>etourneau lui écrit</w:t>
      </w:r>
      <w:r>
        <w:t xml:space="preserve"> qu’il a </w:t>
      </w:r>
      <w:r w:rsidRPr="00990B1F">
        <w:rPr>
          <w:rStyle w:val="Citationintgre"/>
        </w:rPr>
        <w:t>« laissé un message à la personne qui s’occupe de ton dossier la semaine dernière »</w:t>
      </w:r>
      <w:r>
        <w:t>. Questionné à ce sujet, M. Leto</w:t>
      </w:r>
      <w:r w:rsidR="001C1988">
        <w:t>urneau explique joindre</w:t>
      </w:r>
      <w:r w:rsidR="002F1E42">
        <w:t xml:space="preserve"> la boîte vocale</w:t>
      </w:r>
      <w:r>
        <w:t xml:space="preserve"> </w:t>
      </w:r>
      <w:r w:rsidR="002F1E42">
        <w:t>d’</w:t>
      </w:r>
      <w:r>
        <w:t xml:space="preserve">un intervenant de la Commission. </w:t>
      </w:r>
      <w:r w:rsidR="003C1AE8">
        <w:t>Pour justifier cette démarche, qu’il répète</w:t>
      </w:r>
      <w:r w:rsidR="00BC0B66">
        <w:t>ra</w:t>
      </w:r>
      <w:r w:rsidR="003C1AE8">
        <w:t xml:space="preserve"> le 2 novembre 2020, </w:t>
      </w:r>
      <w:r w:rsidR="001C1988">
        <w:t>il affirme</w:t>
      </w:r>
      <w:r w:rsidR="00B8264C">
        <w:t xml:space="preserve"> penser</w:t>
      </w:r>
      <w:r w:rsidR="0063059B">
        <w:t xml:space="preserve"> à cette époque</w:t>
      </w:r>
      <w:r w:rsidR="001C1988">
        <w:t xml:space="preserve"> </w:t>
      </w:r>
      <w:r w:rsidR="003C1AE8">
        <w:t>que le Tribunal et la Commission</w:t>
      </w:r>
      <w:r w:rsidR="00B8264C">
        <w:t xml:space="preserve"> font partie d’un</w:t>
      </w:r>
      <w:r w:rsidR="003C1AE8">
        <w:t xml:space="preserve"> même organisme. </w:t>
      </w:r>
      <w:r w:rsidR="001C1988">
        <w:t>E</w:t>
      </w:r>
      <w:r w:rsidR="007335CA">
        <w:t>n contactant la Commission, il dit croire qu’il s’</w:t>
      </w:r>
      <w:r w:rsidR="00BC0B66">
        <w:t>adresse également</w:t>
      </w:r>
      <w:r w:rsidR="007335CA">
        <w:t xml:space="preserve"> au Tribunal.</w:t>
      </w:r>
    </w:p>
    <w:p w:rsidR="003C1AE8" w:rsidRDefault="003C1AE8" w:rsidP="002B2ED0">
      <w:pPr>
        <w:pStyle w:val="corpsdedcision"/>
        <w:spacing w:after="600"/>
      </w:pPr>
      <w:r>
        <w:t>Le 13 n</w:t>
      </w:r>
      <w:r w:rsidR="002F1E42">
        <w:t>ovembre 2020, M. Letourneau raconte</w:t>
      </w:r>
      <w:r>
        <w:t xml:space="preserve"> apprendre d’un intervenant de la Commission que celle-ci n’a aucun dossier actif au nom du travailleur. </w:t>
      </w:r>
      <w:r w:rsidR="00BC0B66">
        <w:t>Dans le message</w:t>
      </w:r>
      <w:r w:rsidR="004C1C52">
        <w:t xml:space="preserve"> électronique qu’</w:t>
      </w:r>
      <w:r w:rsidR="00BC0B66">
        <w:t>il adresse</w:t>
      </w:r>
      <w:r w:rsidR="002F1E42">
        <w:t xml:space="preserve"> à ce dernier</w:t>
      </w:r>
      <w:r w:rsidR="004C1C52">
        <w:t>, il l’</w:t>
      </w:r>
      <w:r w:rsidR="002F1E42">
        <w:t xml:space="preserve">avise de cette situation. Il </w:t>
      </w:r>
      <w:r w:rsidR="00BC0B66">
        <w:t>ajoute ce qui suit</w:t>
      </w:r>
      <w:r w:rsidR="004C1C52">
        <w:t> :</w:t>
      </w:r>
    </w:p>
    <w:p w:rsidR="004C1C52" w:rsidRDefault="004C1C52" w:rsidP="004C1C52">
      <w:pPr>
        <w:pStyle w:val="citation"/>
      </w:pPr>
      <w:r w:rsidRPr="004C1C52">
        <w:t>Je me souviens avoir parlé à l’avocat dans ton dossier et il devait faire la requête pour le tribunal administratif. La cnesst dit ne rien avoir reçu en ce sens. Je tente de communiquer avec l’avocat pour démêler tout cela Je te tiens informer de la suite.</w:t>
      </w:r>
    </w:p>
    <w:p w:rsidR="004C1C52" w:rsidRDefault="004C1C52" w:rsidP="004C1C52">
      <w:pPr>
        <w:pStyle w:val="citation"/>
      </w:pPr>
    </w:p>
    <w:p w:rsidR="004869F0" w:rsidRPr="004E7386" w:rsidRDefault="004869F0" w:rsidP="004E7386">
      <w:pPr>
        <w:pStyle w:val="citation"/>
        <w:rPr>
          <w:rFonts w:ascii="Arial Narrow" w:hAnsi="Arial Narrow"/>
          <w:sz w:val="24"/>
          <w:szCs w:val="24"/>
        </w:rPr>
      </w:pPr>
      <w:r w:rsidRPr="004E7386">
        <w:rPr>
          <w:rFonts w:ascii="Arial Narrow" w:hAnsi="Arial Narrow"/>
          <w:sz w:val="24"/>
          <w:szCs w:val="24"/>
        </w:rPr>
        <w:t>[</w:t>
      </w:r>
      <w:r w:rsidRPr="004E7386">
        <w:rPr>
          <w:sz w:val="24"/>
          <w:szCs w:val="24"/>
        </w:rPr>
        <w:t>Transcription textuelle</w:t>
      </w:r>
      <w:r w:rsidRPr="004E7386">
        <w:rPr>
          <w:rFonts w:ascii="Arial Narrow" w:hAnsi="Arial Narrow"/>
          <w:sz w:val="24"/>
          <w:szCs w:val="24"/>
        </w:rPr>
        <w:t>]</w:t>
      </w:r>
    </w:p>
    <w:p w:rsidR="004869F0" w:rsidRPr="004E7386" w:rsidRDefault="004869F0" w:rsidP="004E7386">
      <w:pPr>
        <w:pStyle w:val="citation"/>
        <w:rPr>
          <w:rFonts w:cs="Arial"/>
        </w:rPr>
      </w:pPr>
    </w:p>
    <w:p w:rsidR="004869F0" w:rsidRDefault="004869F0" w:rsidP="004C1C52">
      <w:pPr>
        <w:pStyle w:val="citation"/>
      </w:pPr>
    </w:p>
    <w:p w:rsidR="005818AA" w:rsidRDefault="00090F33" w:rsidP="00424C04">
      <w:pPr>
        <w:pStyle w:val="corpsdedcision"/>
      </w:pPr>
      <w:r>
        <w:t xml:space="preserve">Questionné à </w:t>
      </w:r>
      <w:r w:rsidR="00424C04">
        <w:t xml:space="preserve">ce </w:t>
      </w:r>
      <w:r>
        <w:t>propos</w:t>
      </w:r>
      <w:r w:rsidR="005818AA">
        <w:t xml:space="preserve">, </w:t>
      </w:r>
      <w:r>
        <w:t>M. Letourneau dit commettre l’</w:t>
      </w:r>
      <w:r w:rsidR="005818AA">
        <w:t xml:space="preserve">erreur </w:t>
      </w:r>
      <w:r>
        <w:t>de c</w:t>
      </w:r>
      <w:r w:rsidR="00424C04">
        <w:t>roire qu’un avocat est mandaté</w:t>
      </w:r>
      <w:r>
        <w:t xml:space="preserve">. </w:t>
      </w:r>
      <w:r w:rsidR="005818AA">
        <w:t>I</w:t>
      </w:r>
      <w:r w:rsidR="00BC0B66">
        <w:t>l justifie cette méprise</w:t>
      </w:r>
      <w:r w:rsidR="005818AA">
        <w:t xml:space="preserve"> en </w:t>
      </w:r>
      <w:r w:rsidR="00BC0B66">
        <w:t>exposant avoir confondu le dossier du travailleur avec celui</w:t>
      </w:r>
      <w:r w:rsidR="005818AA">
        <w:t xml:space="preserve"> d’un autre pompier.</w:t>
      </w:r>
      <w:r>
        <w:t xml:space="preserve"> </w:t>
      </w:r>
      <w:r w:rsidR="002B2ED0">
        <w:t>À la</w:t>
      </w:r>
      <w:r>
        <w:t xml:space="preserve"> réception de ce message, le travailleur</w:t>
      </w:r>
      <w:r w:rsidR="005818AA">
        <w:t xml:space="preserve"> manifeste une certaine inquiétude et demande à M. Letourneau d’être tenu au courant </w:t>
      </w:r>
      <w:r w:rsidR="005818AA" w:rsidRPr="005818AA">
        <w:rPr>
          <w:rStyle w:val="Citationintgre"/>
        </w:rPr>
        <w:t>« aussitôt que tu as des nouvelles »</w:t>
      </w:r>
      <w:r w:rsidR="005818AA">
        <w:t>.</w:t>
      </w:r>
    </w:p>
    <w:p w:rsidR="007A0016" w:rsidRDefault="005818AA" w:rsidP="005818AA">
      <w:pPr>
        <w:pStyle w:val="corpsdedcision"/>
      </w:pPr>
      <w:r>
        <w:t xml:space="preserve">Le 24 novembre 2020, le </w:t>
      </w:r>
      <w:r w:rsidRPr="00A435A4">
        <w:t>travailleur</w:t>
      </w:r>
      <w:r>
        <w:t xml:space="preserve"> profite d’une rencontre avec un autre </w:t>
      </w:r>
      <w:r w:rsidRPr="00A435A4">
        <w:t>représentant</w:t>
      </w:r>
      <w:r w:rsidR="00424C04">
        <w:t xml:space="preserve"> syndical du</w:t>
      </w:r>
      <w:r>
        <w:t xml:space="preserve"> CSS, M. </w:t>
      </w:r>
      <w:r w:rsidR="007A0016">
        <w:t>F</w:t>
      </w:r>
      <w:r w:rsidR="00BC0B66">
        <w:t>erragne, pour parler</w:t>
      </w:r>
      <w:r w:rsidR="007A0016">
        <w:t xml:space="preserve"> de son dossier. En sa présence,</w:t>
      </w:r>
      <w:r w:rsidR="00BC0B66">
        <w:t xml:space="preserve"> il explique que</w:t>
      </w:r>
      <w:r w:rsidR="007A0016">
        <w:t xml:space="preserve"> M. Ferragne téléphone à M. Letourneau pour apprendre qu’il n’y</w:t>
      </w:r>
      <w:r w:rsidR="004869F0">
        <w:t xml:space="preserve"> a jamais eu d’avocat de désigné</w:t>
      </w:r>
      <w:r w:rsidR="007A0016">
        <w:t xml:space="preserve"> </w:t>
      </w:r>
      <w:r w:rsidR="00BC0B66">
        <w:t xml:space="preserve">pour lui </w:t>
      </w:r>
      <w:r w:rsidR="007A0016">
        <w:t>de sorte que l</w:t>
      </w:r>
      <w:r w:rsidR="00A85C4C">
        <w:t>e</w:t>
      </w:r>
      <w:r w:rsidR="007A0016">
        <w:t xml:space="preserve"> Tribunal n’a jamais reçu une contestation visant la décision </w:t>
      </w:r>
      <w:r w:rsidR="00BC0B66">
        <w:t xml:space="preserve">de la Commission </w:t>
      </w:r>
      <w:r w:rsidR="007A0016">
        <w:t>du 13 novembre 2019.</w:t>
      </w:r>
    </w:p>
    <w:p w:rsidR="00E76A1F" w:rsidRDefault="007A0016" w:rsidP="007A0016">
      <w:pPr>
        <w:pStyle w:val="corpsdedcision"/>
      </w:pPr>
      <w:r>
        <w:t>Le même jo</w:t>
      </w:r>
      <w:r w:rsidR="00424C04">
        <w:t>ur, le travailleur achemine</w:t>
      </w:r>
      <w:r w:rsidR="00E76A1F">
        <w:t xml:space="preserve"> au T</w:t>
      </w:r>
      <w:r>
        <w:t>ribunal la contest</w:t>
      </w:r>
      <w:r w:rsidR="00090F33">
        <w:t xml:space="preserve">ation à l’origine du litige. Dans cette procédure, il </w:t>
      </w:r>
      <w:r>
        <w:t>justifie le r</w:t>
      </w:r>
      <w:r w:rsidR="00424C04">
        <w:t>etard</w:t>
      </w:r>
      <w:r w:rsidR="00E76A1F">
        <w:t xml:space="preserve"> en expliquant que le représentant du CSS</w:t>
      </w:r>
      <w:r>
        <w:t xml:space="preserve"> </w:t>
      </w:r>
      <w:r w:rsidR="00BC0B66">
        <w:t xml:space="preserve">qui devait s’occuper </w:t>
      </w:r>
      <w:r w:rsidR="00E76A1F">
        <w:t>de son dossier ne s’est pas acquitté de son mandat.</w:t>
      </w:r>
    </w:p>
    <w:p w:rsidR="00946929" w:rsidRPr="00B51F99" w:rsidRDefault="00946929" w:rsidP="00BC0B66">
      <w:pPr>
        <w:pStyle w:val="corpsdedcision"/>
        <w:numPr>
          <w:ilvl w:val="0"/>
          <w:numId w:val="0"/>
        </w:numPr>
        <w:rPr>
          <w:u w:val="single"/>
        </w:rPr>
      </w:pPr>
      <w:r>
        <w:rPr>
          <w:b/>
          <w:bCs/>
          <w:u w:val="single"/>
        </w:rPr>
        <w:t>LES MOTIFS SUR LA QUESTION PRÉLIMINAIRE</w:t>
      </w:r>
    </w:p>
    <w:p w:rsidR="00946929" w:rsidRDefault="009C5ABE" w:rsidP="007A0016">
      <w:pPr>
        <w:pStyle w:val="corpsdedcision"/>
      </w:pPr>
      <w:r>
        <w:t>L</w:t>
      </w:r>
      <w:r w:rsidR="005E7F1C">
        <w:t>’</w:t>
      </w:r>
      <w:r w:rsidR="00F325BB">
        <w:t xml:space="preserve">article 359 </w:t>
      </w:r>
      <w:r>
        <w:t>de la Loi prescrit</w:t>
      </w:r>
      <w:r w:rsidR="00F325BB">
        <w:t xml:space="preserve"> </w:t>
      </w:r>
      <w:r>
        <w:t>qu’</w:t>
      </w:r>
      <w:r w:rsidR="00F325BB">
        <w:t xml:space="preserve">une personne qui se croit lésée par une décision comme celle rendue le 13 novembre 2019 par la Commission </w:t>
      </w:r>
      <w:r w:rsidR="00F325BB" w:rsidRPr="00F325BB">
        <w:rPr>
          <w:rStyle w:val="Citationintgre"/>
        </w:rPr>
        <w:t>« peut la contester devant le Tribunal dans les 45 jours de sa notification »</w:t>
      </w:r>
      <w:r w:rsidR="00F325BB">
        <w:t>.</w:t>
      </w:r>
    </w:p>
    <w:p w:rsidR="005E7F1C" w:rsidRDefault="0040249B" w:rsidP="007A0016">
      <w:pPr>
        <w:pStyle w:val="corpsdedcision"/>
      </w:pPr>
      <w:r>
        <w:t xml:space="preserve">Ici, le travailleur admet ne pas avoir respecté ce délai de 45 jours. En fait, ayant transmis sa contestation le 24 novembre 2020 après avoir été notifié de la décision en question autour du 21 novembre 2019, il a réagi </w:t>
      </w:r>
      <w:r w:rsidR="009C5ABE">
        <w:t xml:space="preserve">avec </w:t>
      </w:r>
      <w:r w:rsidR="0004523D">
        <w:t>un peu plus de 10 mois de retard</w:t>
      </w:r>
      <w:r>
        <w:t>.</w:t>
      </w:r>
    </w:p>
    <w:p w:rsidR="0040249B" w:rsidRDefault="0040249B" w:rsidP="0040249B">
      <w:pPr>
        <w:pStyle w:val="corpsdedcision"/>
      </w:pPr>
      <w:r>
        <w:t xml:space="preserve">Dans ces circonstances, le Tribunal doit déterminer s’il peut </w:t>
      </w:r>
      <w:r w:rsidR="00837E20">
        <w:t xml:space="preserve">excuser </w:t>
      </w:r>
      <w:r>
        <w:t xml:space="preserve">ce défaut en vertu de l’article 15 de la </w:t>
      </w:r>
      <w:r>
        <w:rPr>
          <w:i/>
        </w:rPr>
        <w:t>Loi instituant le Tribunal administratif du travail</w:t>
      </w:r>
      <w:r w:rsidRPr="004869F0">
        <w:rPr>
          <w:rStyle w:val="Appelnotedebasdep"/>
        </w:rPr>
        <w:footnoteReference w:id="2"/>
      </w:r>
      <w:r w:rsidR="00233ACA" w:rsidRPr="004869F0">
        <w:t>,</w:t>
      </w:r>
      <w:r w:rsidR="00233ACA">
        <w:t xml:space="preserve"> la LITAT.</w:t>
      </w:r>
      <w:r>
        <w:t xml:space="preserve"> </w:t>
      </w:r>
      <w:r w:rsidR="002F39F0">
        <w:t>C</w:t>
      </w:r>
      <w:r>
        <w:t>ette disposit</w:t>
      </w:r>
      <w:r w:rsidR="002F39F0">
        <w:t>ion l’</w:t>
      </w:r>
      <w:r>
        <w:t>ha</w:t>
      </w:r>
      <w:r w:rsidR="002F39F0">
        <w:t>bilite</w:t>
      </w:r>
      <w:r>
        <w:t xml:space="preserve"> à relever le travailleur des conséquences de son défaut s’il</w:t>
      </w:r>
      <w:r w:rsidR="00D758D3">
        <w:t xml:space="preserve"> démontre qu’il</w:t>
      </w:r>
      <w:r>
        <w:t xml:space="preserve"> n’a p</w:t>
      </w:r>
      <w:r w:rsidR="00837E20">
        <w:t>u respecter l</w:t>
      </w:r>
      <w:r>
        <w:t xml:space="preserve">e délai </w:t>
      </w:r>
      <w:r w:rsidR="00837E20">
        <w:t xml:space="preserve">en cause </w:t>
      </w:r>
      <w:r>
        <w:t>pour un motif raisonnable et si, de l’avis du Tribunal, aucune autre partie n’en subit de préjudice grave.</w:t>
      </w:r>
    </w:p>
    <w:p w:rsidR="002F39F0" w:rsidRDefault="009C5ABE" w:rsidP="009C5ABE">
      <w:pPr>
        <w:pStyle w:val="corpsdedcision"/>
      </w:pPr>
      <w:r>
        <w:t>En ce domaine</w:t>
      </w:r>
      <w:r w:rsidR="00D758D3">
        <w:t>, il est courant de définir un motif raisonnable comme étant </w:t>
      </w:r>
      <w:r w:rsidR="00D758D3" w:rsidRPr="00D758D3">
        <w:rPr>
          <w:rStyle w:val="Citationintgre"/>
        </w:rPr>
        <w:t>« un motif non farfelu, crédible et qui fait preuve de bon sens, de mesure et de réflexion »</w:t>
      </w:r>
      <w:r w:rsidR="00D758D3" w:rsidRPr="004869F0">
        <w:rPr>
          <w:rStyle w:val="Appelnotedebasdep"/>
          <w:sz w:val="22"/>
        </w:rPr>
        <w:footnoteReference w:id="3"/>
      </w:r>
      <w:r w:rsidR="00D758D3">
        <w:rPr>
          <w:rStyle w:val="Citationintgre"/>
          <w:i w:val="0"/>
          <w:sz w:val="24"/>
          <w:szCs w:val="24"/>
        </w:rPr>
        <w:t>, ce qui laisse une lar</w:t>
      </w:r>
      <w:r w:rsidR="004869F0">
        <w:rPr>
          <w:rStyle w:val="Citationintgre"/>
          <w:i w:val="0"/>
          <w:sz w:val="24"/>
          <w:szCs w:val="24"/>
        </w:rPr>
        <w:t>ge discrétion au décideur saisi</w:t>
      </w:r>
      <w:r w:rsidR="00D758D3">
        <w:rPr>
          <w:rStyle w:val="Citationintgre"/>
          <w:i w:val="0"/>
          <w:sz w:val="24"/>
          <w:szCs w:val="24"/>
        </w:rPr>
        <w:t xml:space="preserve"> d</w:t>
      </w:r>
      <w:r>
        <w:rPr>
          <w:rStyle w:val="Citationintgre"/>
          <w:i w:val="0"/>
          <w:sz w:val="24"/>
          <w:szCs w:val="24"/>
        </w:rPr>
        <w:t>e l’affaire</w:t>
      </w:r>
      <w:r w:rsidR="00E27634">
        <w:rPr>
          <w:rStyle w:val="Citationintgre"/>
          <w:i w:val="0"/>
          <w:sz w:val="24"/>
          <w:szCs w:val="24"/>
        </w:rPr>
        <w:t xml:space="preserve">. </w:t>
      </w:r>
      <w:r w:rsidR="00837E20">
        <w:rPr>
          <w:rStyle w:val="Citationintgre"/>
          <w:i w:val="0"/>
          <w:sz w:val="24"/>
          <w:szCs w:val="24"/>
        </w:rPr>
        <w:t>D</w:t>
      </w:r>
      <w:r w:rsidR="00E27634">
        <w:rPr>
          <w:rStyle w:val="Citationintgre"/>
          <w:i w:val="0"/>
          <w:sz w:val="24"/>
          <w:szCs w:val="24"/>
        </w:rPr>
        <w:t xml:space="preserve">es auteures enseignent </w:t>
      </w:r>
      <w:r w:rsidR="00837E20">
        <w:rPr>
          <w:rStyle w:val="Citationintgre"/>
          <w:i w:val="0"/>
          <w:sz w:val="24"/>
          <w:szCs w:val="24"/>
        </w:rPr>
        <w:t xml:space="preserve">toutefois </w:t>
      </w:r>
      <w:r w:rsidR="00E27634">
        <w:rPr>
          <w:rStyle w:val="Citationintgre"/>
          <w:i w:val="0"/>
          <w:sz w:val="24"/>
          <w:szCs w:val="24"/>
        </w:rPr>
        <w:t>qu</w:t>
      </w:r>
      <w:r w:rsidR="00AA23D8">
        <w:rPr>
          <w:rStyle w:val="Citationintgre"/>
          <w:i w:val="0"/>
          <w:sz w:val="24"/>
          <w:szCs w:val="24"/>
        </w:rPr>
        <w:t>e ce dernier</w:t>
      </w:r>
      <w:r w:rsidR="00E27634">
        <w:rPr>
          <w:rStyle w:val="Citationintgre"/>
          <w:i w:val="0"/>
          <w:sz w:val="24"/>
          <w:szCs w:val="24"/>
        </w:rPr>
        <w:t xml:space="preserve"> devra éviter de faire preuve de trop de sévérité ou de rigidité</w:t>
      </w:r>
      <w:r w:rsidR="00837E20">
        <w:t xml:space="preserve"> </w:t>
      </w:r>
      <w:r w:rsidR="00837E20">
        <w:rPr>
          <w:rStyle w:val="Citationintgre"/>
          <w:i w:val="0"/>
          <w:sz w:val="24"/>
          <w:szCs w:val="24"/>
        </w:rPr>
        <w:t xml:space="preserve">puisqu’elles soulignent </w:t>
      </w:r>
      <w:r w:rsidR="00D758D3" w:rsidRPr="00E27634">
        <w:rPr>
          <w:rStyle w:val="Citationintgre"/>
          <w:i w:val="0"/>
          <w:sz w:val="24"/>
          <w:szCs w:val="24"/>
        </w:rPr>
        <w:t>que</w:t>
      </w:r>
      <w:r w:rsidR="00E27634" w:rsidRPr="00E27634">
        <w:rPr>
          <w:rStyle w:val="Citationintgre"/>
          <w:i w:val="0"/>
          <w:sz w:val="24"/>
          <w:szCs w:val="24"/>
        </w:rPr>
        <w:t xml:space="preserve"> la jurisprudence récente du Tribunal </w:t>
      </w:r>
      <w:r w:rsidR="00E27634" w:rsidRPr="00E27634">
        <w:rPr>
          <w:rStyle w:val="Citationintgre"/>
        </w:rPr>
        <w:t>« semble à ce sujet fortement influencée par certaines décisions émanant des tribunaux supérieurs, dans lesquelles la flexibilité requise se fonde, sans grande surprise, sur le cadre social dans lequel s’</w:t>
      </w:r>
      <w:r w:rsidR="00837E20" w:rsidRPr="00E27634">
        <w:rPr>
          <w:rStyle w:val="Citationintgre"/>
        </w:rPr>
        <w:t>inscrit</w:t>
      </w:r>
      <w:r w:rsidR="00E27634" w:rsidRPr="00E27634">
        <w:rPr>
          <w:rStyle w:val="Citationintgre"/>
        </w:rPr>
        <w:t xml:space="preserve"> la LATMP (la Loi) »</w:t>
      </w:r>
      <w:r w:rsidR="000C3768">
        <w:rPr>
          <w:rStyle w:val="Appelnotedebasdep"/>
          <w:i/>
          <w:sz w:val="22"/>
        </w:rPr>
        <w:footnoteReference w:id="4"/>
      </w:r>
      <w:r w:rsidR="0004523D" w:rsidRPr="004869F0">
        <w:rPr>
          <w:rStyle w:val="Citationintgre"/>
        </w:rPr>
        <w:t>.</w:t>
      </w:r>
      <w:r w:rsidR="0004523D">
        <w:rPr>
          <w:rStyle w:val="Citationintgre"/>
          <w:i w:val="0"/>
        </w:rPr>
        <w:t xml:space="preserve"> </w:t>
      </w:r>
      <w:r w:rsidRPr="009C5ABE">
        <w:rPr>
          <w:rStyle w:val="Citationintgre"/>
          <w:i w:val="0"/>
          <w:sz w:val="24"/>
          <w:szCs w:val="24"/>
        </w:rPr>
        <w:t>Un exemple de cela est donné</w:t>
      </w:r>
      <w:r w:rsidR="002F39F0">
        <w:t xml:space="preserve"> </w:t>
      </w:r>
      <w:r>
        <w:t xml:space="preserve">en 2009 </w:t>
      </w:r>
      <w:r w:rsidR="002F39F0">
        <w:t xml:space="preserve">dans la décision </w:t>
      </w:r>
      <w:r w:rsidR="002F39F0" w:rsidRPr="009C5ABE">
        <w:rPr>
          <w:i/>
        </w:rPr>
        <w:t xml:space="preserve">Cormier </w:t>
      </w:r>
      <w:r w:rsidR="002F39F0" w:rsidRPr="0059371D">
        <w:t>c.</w:t>
      </w:r>
      <w:r w:rsidR="002F39F0" w:rsidRPr="009C5ABE">
        <w:rPr>
          <w:i/>
        </w:rPr>
        <w:t xml:space="preserve"> Commission des lésions professionnelles </w:t>
      </w:r>
      <w:r w:rsidR="002F39F0" w:rsidRPr="0059371D">
        <w:t>et</w:t>
      </w:r>
      <w:r w:rsidR="002F39F0" w:rsidRPr="009C5ABE">
        <w:rPr>
          <w:i/>
        </w:rPr>
        <w:t xml:space="preserve"> Commission de la santé et de la sécurité du travail</w:t>
      </w:r>
      <w:r w:rsidR="002F39F0" w:rsidRPr="0059371D">
        <w:rPr>
          <w:rStyle w:val="Appelnotedebasdep"/>
        </w:rPr>
        <w:footnoteReference w:id="5"/>
      </w:r>
      <w:r w:rsidR="00C94359">
        <w:t>. À cette occasion</w:t>
      </w:r>
      <w:r>
        <w:t>,</w:t>
      </w:r>
      <w:r w:rsidR="002F39F0">
        <w:t xml:space="preserve"> la Cour supérieure rappelle qu’il faut se garder de faire perd</w:t>
      </w:r>
      <w:r w:rsidR="00C94359">
        <w:t>re des droits à une personne</w:t>
      </w:r>
      <w:r w:rsidR="00EC1AB0">
        <w:t xml:space="preserve"> pour </w:t>
      </w:r>
      <w:r w:rsidR="002F39F0">
        <w:t>une question de délai</w:t>
      </w:r>
      <w:r>
        <w:t>. Elle</w:t>
      </w:r>
      <w:r w:rsidR="00C94359">
        <w:t xml:space="preserve"> s’exprime ainsi </w:t>
      </w:r>
      <w:r w:rsidR="002F39F0">
        <w:t>:</w:t>
      </w:r>
    </w:p>
    <w:p w:rsidR="002F39F0" w:rsidRDefault="002F39F0" w:rsidP="002F39F0">
      <w:pPr>
        <w:pStyle w:val="citation"/>
      </w:pPr>
      <w:r>
        <w:t>[57]</w:t>
      </w:r>
      <w:r>
        <w:tab/>
        <w:t>Il faut que les organismes administratifs cessent d’être plus rigides que les tribunaux de droit commun quant à la procédure. Rarement devant un tribunal ordinaire, un justiciable perd un droit à cause de la procédure. L’article 352 de ladite loi permet de prolonger un délai lorsqu’on a des motifs raisonnables. Tout cet imbroglio dans lequel se trouve la demanderesse n’est-il pas un motif raisonnable ?</w:t>
      </w:r>
    </w:p>
    <w:p w:rsidR="002F39F0" w:rsidRDefault="002F39F0" w:rsidP="002F39F0">
      <w:pPr>
        <w:pStyle w:val="citation"/>
      </w:pPr>
    </w:p>
    <w:p w:rsidR="002B2ED0" w:rsidRDefault="002B2ED0" w:rsidP="002F39F0">
      <w:pPr>
        <w:pStyle w:val="citation"/>
      </w:pPr>
    </w:p>
    <w:p w:rsidR="009C5ABE" w:rsidRDefault="009C5ABE" w:rsidP="00AA23D8">
      <w:pPr>
        <w:pStyle w:val="corpsdedcision"/>
      </w:pPr>
      <w:r>
        <w:t>Plus récemm</w:t>
      </w:r>
      <w:r w:rsidR="0004523D">
        <w:t>ent, la Cour Supérieure a rappelé</w:t>
      </w:r>
      <w:r>
        <w:t xml:space="preserve"> qu’il faut donner une interprétation généreuse de la Loi </w:t>
      </w:r>
      <w:r w:rsidRPr="009E5747">
        <w:rPr>
          <w:rStyle w:val="Citationintgre"/>
        </w:rPr>
        <w:t>« et, en particulier, du droit de demander une prolongation de délai de révision »</w:t>
      </w:r>
      <w:r w:rsidR="009E5747">
        <w:rPr>
          <w:rStyle w:val="Appelnotedebasdep"/>
        </w:rPr>
        <w:footnoteReference w:id="6"/>
      </w:r>
      <w:r w:rsidR="009E5747">
        <w:t>,</w:t>
      </w:r>
      <w:r w:rsidR="006C0B2A">
        <w:t xml:space="preserve"> ce qui inclut forcément le pouvoir du Tribunal de relever un</w:t>
      </w:r>
      <w:r w:rsidR="009E5747">
        <w:t xml:space="preserve"> </w:t>
      </w:r>
      <w:r w:rsidR="009E5747" w:rsidRPr="00A435A4">
        <w:t>travailleur</w:t>
      </w:r>
      <w:r w:rsidR="009E5747">
        <w:t xml:space="preserve"> de </w:t>
      </w:r>
      <w:r w:rsidR="006C0B2A">
        <w:t xml:space="preserve">son </w:t>
      </w:r>
      <w:r w:rsidR="009E5747">
        <w:t>défaut d’avoir respecté le délai de 45 jours prévu à l’article 359 de la Loi.</w:t>
      </w:r>
      <w:r>
        <w:t xml:space="preserve"> </w:t>
      </w:r>
    </w:p>
    <w:p w:rsidR="00AA23D8" w:rsidRDefault="00AA23D8" w:rsidP="00AA23D8">
      <w:pPr>
        <w:pStyle w:val="corpsdedcision"/>
      </w:pPr>
      <w:r>
        <w:t xml:space="preserve">Somme toute, comme l’indique l’affaire </w:t>
      </w:r>
      <w:r w:rsidRPr="006C0B2A">
        <w:rPr>
          <w:rFonts w:cs="Arial"/>
          <w:i/>
        </w:rPr>
        <w:t xml:space="preserve">Osses </w:t>
      </w:r>
      <w:r w:rsidRPr="006C0B2A">
        <w:rPr>
          <w:rFonts w:cs="Arial"/>
        </w:rPr>
        <w:t>et</w:t>
      </w:r>
      <w:r w:rsidRPr="006C0B2A">
        <w:rPr>
          <w:rFonts w:cs="Arial"/>
          <w:i/>
        </w:rPr>
        <w:t xml:space="preserve"> Hotellus Canada Holdings Inc.</w:t>
      </w:r>
      <w:r>
        <w:rPr>
          <w:rStyle w:val="Appelnotedebasdep"/>
          <w:rFonts w:cs="Arial"/>
        </w:rPr>
        <w:footnoteReference w:id="7"/>
      </w:r>
      <w:r w:rsidR="00062F0F">
        <w:rPr>
          <w:rFonts w:cs="Arial"/>
        </w:rPr>
        <w:t xml:space="preserve"> où un retard de 5 mois est </w:t>
      </w:r>
      <w:r w:rsidR="00AD25B8">
        <w:rPr>
          <w:rFonts w:cs="Arial"/>
        </w:rPr>
        <w:t>en cause</w:t>
      </w:r>
      <w:r>
        <w:t>, chaque cas doit s’apprécier en fonction des faits qui</w:t>
      </w:r>
      <w:r w:rsidR="006C0B2A">
        <w:t xml:space="preserve"> le caractérisent</w:t>
      </w:r>
      <w:r>
        <w:t xml:space="preserve"> et le Tribunal </w:t>
      </w:r>
      <w:r w:rsidRPr="00AD25B8">
        <w:rPr>
          <w:rStyle w:val="Citationintgre"/>
        </w:rPr>
        <w:t>« doit donc éviter tout automatisme en cette matière, évaluer le ou les motifs proposés avec largesse et vérifier si ceux-ci ne sont pas farfelus, sont crédibles et font preuve de bon sens, de mesure et de réflexion</w:t>
      </w:r>
      <w:r w:rsidR="00AD25B8" w:rsidRPr="00AD25B8">
        <w:rPr>
          <w:rStyle w:val="Citationintgre"/>
        </w:rPr>
        <w:t> »</w:t>
      </w:r>
      <w:r>
        <w:t xml:space="preserve">. </w:t>
      </w:r>
    </w:p>
    <w:p w:rsidR="00837E20" w:rsidRDefault="00C94359" w:rsidP="00AA23D8">
      <w:pPr>
        <w:pStyle w:val="corpsdedcision"/>
      </w:pPr>
      <w:r>
        <w:t>Pour les raisons</w:t>
      </w:r>
      <w:r w:rsidR="002A694D">
        <w:t xml:space="preserve"> qui suivent, le Tribunal conclut que le défaut du </w:t>
      </w:r>
      <w:r w:rsidR="002A694D" w:rsidRPr="00A435A4">
        <w:t>travailleur</w:t>
      </w:r>
      <w:r w:rsidR="002A694D">
        <w:t xml:space="preserve"> doit être</w:t>
      </w:r>
      <w:r>
        <w:t xml:space="preserve"> excusé</w:t>
      </w:r>
      <w:r w:rsidR="002A694D">
        <w:t>.</w:t>
      </w:r>
    </w:p>
    <w:p w:rsidR="002A694D" w:rsidRDefault="002A694D" w:rsidP="002A694D">
      <w:pPr>
        <w:pStyle w:val="corpsdedcision"/>
      </w:pPr>
      <w:r>
        <w:t>D’abord, il est en pre</w:t>
      </w:r>
      <w:r w:rsidR="00C94359">
        <w:t>uve que M. Letourneau s’est</w:t>
      </w:r>
      <w:r>
        <w:t xml:space="preserve"> engagé auprès du </w:t>
      </w:r>
      <w:r w:rsidRPr="00A435A4">
        <w:t>travailleur</w:t>
      </w:r>
      <w:r>
        <w:t xml:space="preserve"> à retenir les services d’un avocat désigné par le Syndicat des pompiers du Québec pour déposer et piloter une contestation devant le Tribunal à l’encontre de la décision rendue le 13 novembre 2019 par la Commission à la suite d’une révision administrative. Sur cette question, les témoignages de M. Letourneau et du travailleur concordent. Or, il n’existe aucune raison de douter de la crédibilité et de la fiabilité de ceux-ci. L’absence d’un mandat écr</w:t>
      </w:r>
      <w:r w:rsidR="00062F0F">
        <w:t>it en ce sens ne change</w:t>
      </w:r>
      <w:r w:rsidR="00C94359">
        <w:t xml:space="preserve"> rien</w:t>
      </w:r>
      <w:r w:rsidR="00013C66">
        <w:t xml:space="preserve"> </w:t>
      </w:r>
      <w:r w:rsidR="00062F0F">
        <w:t xml:space="preserve">à </w:t>
      </w:r>
      <w:r>
        <w:t>cette réalité.</w:t>
      </w:r>
    </w:p>
    <w:p w:rsidR="002A694D" w:rsidRDefault="002A694D" w:rsidP="002B2ED0">
      <w:pPr>
        <w:pStyle w:val="corpsdedcision"/>
      </w:pPr>
      <w:r>
        <w:t xml:space="preserve">Ensuite, il est clair que M. Letourneau a </w:t>
      </w:r>
      <w:r w:rsidR="00934500">
        <w:t xml:space="preserve">lourdement </w:t>
      </w:r>
      <w:r>
        <w:t>failli à l</w:t>
      </w:r>
      <w:r w:rsidR="004869F0">
        <w:t>a tâche. Il a non seulement omis</w:t>
      </w:r>
      <w:r>
        <w:t xml:space="preserve"> de faire le nécessaire pour </w:t>
      </w:r>
      <w:r w:rsidR="00934500">
        <w:t xml:space="preserve">garantir </w:t>
      </w:r>
      <w:r>
        <w:t>les services d’un avocat</w:t>
      </w:r>
      <w:r w:rsidR="00013C66">
        <w:t xml:space="preserve"> au travailleur</w:t>
      </w:r>
      <w:r w:rsidR="00F47C65">
        <w:t>,</w:t>
      </w:r>
      <w:r>
        <w:t xml:space="preserve"> mais il s’est aussi adressé au mauvais organisme pour ass</w:t>
      </w:r>
      <w:r w:rsidR="00013C66">
        <w:t xml:space="preserve">urer le suivi du dossier une fois </w:t>
      </w:r>
      <w:r>
        <w:t>l’étape de la révision administrative</w:t>
      </w:r>
      <w:r w:rsidR="00013C66">
        <w:t xml:space="preserve"> passée</w:t>
      </w:r>
      <w:r w:rsidR="00062F0F">
        <w:t xml:space="preserve">. Par ignorance, il croyait </w:t>
      </w:r>
      <w:r>
        <w:t xml:space="preserve">que </w:t>
      </w:r>
      <w:r w:rsidR="00F47C65">
        <w:t>la Commission et le Tribunal faisaient</w:t>
      </w:r>
      <w:r>
        <w:t xml:space="preserve"> partie d’une même entité</w:t>
      </w:r>
      <w:r w:rsidR="00062F0F">
        <w:t xml:space="preserve"> à l’époque pertinente</w:t>
      </w:r>
      <w:r>
        <w:t xml:space="preserve">. </w:t>
      </w:r>
      <w:r w:rsidR="00F47C65">
        <w:t>Aussi, c’est auprès de la Commission qu’il a cherché à connaître l’évolution de la contestation qu’il croyait erronément déposée par un avocat du syndicat des pompiers du Québec. Encore</w:t>
      </w:r>
      <w:r w:rsidR="00A85C4C">
        <w:t xml:space="preserve"> </w:t>
      </w:r>
      <w:r w:rsidR="00F47C65">
        <w:t>là, il n’y a pas de motif de remettre en caus</w:t>
      </w:r>
      <w:r w:rsidR="00062F0F">
        <w:t xml:space="preserve">e l’authenticité des assertions </w:t>
      </w:r>
      <w:r w:rsidR="00C94359">
        <w:t>de M. Letourneau bien qu’il soit surprenant</w:t>
      </w:r>
      <w:r w:rsidR="00062F0F">
        <w:t xml:space="preserve"> qu’</w:t>
      </w:r>
      <w:r w:rsidR="00F47C65">
        <w:t>une personne ayant plus de 10 années d’expérience en tant que représentant syndical d’un CSS</w:t>
      </w:r>
      <w:r w:rsidR="00062F0F">
        <w:t xml:space="preserve"> confonde la Commission et le Tribunal. Ce dernier</w:t>
      </w:r>
      <w:r w:rsidR="00F47C65">
        <w:t xml:space="preserve"> a eu l’avantage d’entendre M. Letourneau et </w:t>
      </w:r>
      <w:r w:rsidR="00C94359">
        <w:t xml:space="preserve">il n’a décelé aucun élément susceptible de </w:t>
      </w:r>
      <w:r w:rsidR="00F47C65">
        <w:t>mine</w:t>
      </w:r>
      <w:r w:rsidR="00C94359">
        <w:t>r</w:t>
      </w:r>
      <w:r w:rsidR="00F47C65">
        <w:t xml:space="preserve"> sa crédibilité.</w:t>
      </w:r>
    </w:p>
    <w:p w:rsidR="00934500" w:rsidRDefault="00934500" w:rsidP="002B2ED0">
      <w:pPr>
        <w:pStyle w:val="corpsdedcision"/>
      </w:pPr>
      <w:r>
        <w:t>Tout compte f</w:t>
      </w:r>
      <w:r w:rsidR="00361713">
        <w:t xml:space="preserve">ait, ce sont les agissements, les </w:t>
      </w:r>
      <w:r>
        <w:t xml:space="preserve">omissions </w:t>
      </w:r>
      <w:r w:rsidR="00361713">
        <w:t xml:space="preserve">et les méconnaissances </w:t>
      </w:r>
      <w:r>
        <w:t>de M. Letour</w:t>
      </w:r>
      <w:r w:rsidR="00E876A5">
        <w:t>neau qui expliquent le retard</w:t>
      </w:r>
      <w:r>
        <w:t xml:space="preserve"> </w:t>
      </w:r>
      <w:r w:rsidR="00233ACA">
        <w:t xml:space="preserve">de plus de 10 mois </w:t>
      </w:r>
      <w:r>
        <w:t>à produire la contestation à l’origine de l’affaire.</w:t>
      </w:r>
      <w:r w:rsidR="00E876A5">
        <w:t xml:space="preserve"> Par ces faits et gestes, il a laissé croire au </w:t>
      </w:r>
      <w:r w:rsidR="00E876A5" w:rsidRPr="00A435A4">
        <w:t>travailleur</w:t>
      </w:r>
      <w:r w:rsidR="00E876A5">
        <w:t xml:space="preserve"> que les mesures appropri</w:t>
      </w:r>
      <w:r w:rsidR="00C94359">
        <w:t>ées étai</w:t>
      </w:r>
      <w:r w:rsidR="00361713">
        <w:t>ent prise</w:t>
      </w:r>
      <w:r w:rsidR="00A85C4C">
        <w:t>s</w:t>
      </w:r>
      <w:r w:rsidR="00361713">
        <w:t xml:space="preserve"> alors qu’il n’en était rien.</w:t>
      </w:r>
    </w:p>
    <w:p w:rsidR="00E876A5" w:rsidRDefault="00233ACA" w:rsidP="002A694D">
      <w:pPr>
        <w:pStyle w:val="corpsdedcision"/>
      </w:pPr>
      <w:r>
        <w:t>Suivant la jurisprudence, l’erreur</w:t>
      </w:r>
      <w:r w:rsidR="00760EBE">
        <w:t>, l’ignorance</w:t>
      </w:r>
      <w:r>
        <w:t xml:space="preserve"> ou la négligence du </w:t>
      </w:r>
      <w:r w:rsidRPr="00A435A4">
        <w:t>représentant</w:t>
      </w:r>
      <w:r>
        <w:t xml:space="preserve"> d</w:t>
      </w:r>
      <w:r w:rsidR="00C94359">
        <w:t>’</w:t>
      </w:r>
      <w:r>
        <w:t>u</w:t>
      </w:r>
      <w:r w:rsidR="00C94359">
        <w:t>n</w:t>
      </w:r>
      <w:r>
        <w:t xml:space="preserve"> travailleur constitue généralement un motif raisonnable au sens de l’article 15 de la LITAT si le travailleur n’est pas </w:t>
      </w:r>
      <w:r w:rsidR="00F10484">
        <w:t xml:space="preserve">lui-même </w:t>
      </w:r>
      <w:r w:rsidR="00760EBE">
        <w:t xml:space="preserve">insouciant </w:t>
      </w:r>
      <w:r>
        <w:t>dans la conduite de son dossier</w:t>
      </w:r>
      <w:r>
        <w:rPr>
          <w:rStyle w:val="Appelnotedebasdep"/>
        </w:rPr>
        <w:footnoteReference w:id="8"/>
      </w:r>
      <w:r w:rsidR="00AD4923">
        <w:t>.</w:t>
      </w:r>
    </w:p>
    <w:p w:rsidR="00760EBE" w:rsidRPr="00760EBE" w:rsidRDefault="00AD4923" w:rsidP="002A694D">
      <w:pPr>
        <w:pStyle w:val="corpsdedcision"/>
      </w:pPr>
      <w:r>
        <w:t xml:space="preserve">S’appuyant particulièrement sur la décision rendue dans l’affaire </w:t>
      </w:r>
      <w:r w:rsidRPr="00F4749C">
        <w:rPr>
          <w:rFonts w:cs="Arial"/>
          <w:i/>
        </w:rPr>
        <w:t xml:space="preserve">Adeclat </w:t>
      </w:r>
      <w:r w:rsidRPr="004869F0">
        <w:rPr>
          <w:rFonts w:cs="Arial"/>
        </w:rPr>
        <w:t>et</w:t>
      </w:r>
      <w:r w:rsidRPr="00F4749C">
        <w:rPr>
          <w:rFonts w:cs="Arial"/>
          <w:i/>
        </w:rPr>
        <w:t xml:space="preserve"> Swissport Canada inc.</w:t>
      </w:r>
      <w:r>
        <w:rPr>
          <w:rStyle w:val="Appelnotedebasdep"/>
          <w:rFonts w:cs="Arial"/>
        </w:rPr>
        <w:footnoteReference w:id="9"/>
      </w:r>
      <w:r>
        <w:rPr>
          <w:rFonts w:cs="Arial"/>
        </w:rPr>
        <w:t xml:space="preserve">, les mises en cause prétendent que le </w:t>
      </w:r>
      <w:r w:rsidRPr="00AD4923">
        <w:rPr>
          <w:rFonts w:cs="Arial"/>
        </w:rPr>
        <w:t>travailleur</w:t>
      </w:r>
      <w:r>
        <w:rPr>
          <w:rFonts w:cs="Arial"/>
        </w:rPr>
        <w:t xml:space="preserve"> a fait preuve de négligence et d’un désintéressement de son dossier en s’en remettant </w:t>
      </w:r>
      <w:r w:rsidR="00760EBE">
        <w:rPr>
          <w:rFonts w:cs="Arial"/>
        </w:rPr>
        <w:t xml:space="preserve">exclusivement </w:t>
      </w:r>
      <w:r>
        <w:rPr>
          <w:rFonts w:cs="Arial"/>
        </w:rPr>
        <w:t xml:space="preserve">à M. Letourneau. Elles plaident qu’il aurait dû exiger des documents de son </w:t>
      </w:r>
      <w:r w:rsidRPr="00AD4923">
        <w:rPr>
          <w:rFonts w:cs="Arial"/>
        </w:rPr>
        <w:t>représentant</w:t>
      </w:r>
      <w:r>
        <w:rPr>
          <w:rFonts w:cs="Arial"/>
        </w:rPr>
        <w:t xml:space="preserve"> ou du Tribunal qui confirment qu’</w:t>
      </w:r>
      <w:r w:rsidR="00C94359">
        <w:rPr>
          <w:rFonts w:cs="Arial"/>
        </w:rPr>
        <w:t xml:space="preserve">une contestation était </w:t>
      </w:r>
      <w:r w:rsidR="004869F0">
        <w:rPr>
          <w:rFonts w:cs="Arial"/>
        </w:rPr>
        <w:t>déposée</w:t>
      </w:r>
      <w:r>
        <w:rPr>
          <w:rFonts w:cs="Arial"/>
        </w:rPr>
        <w:t>. Elles rappellent qu’il n’a rien fait de semblable</w:t>
      </w:r>
      <w:r w:rsidR="00C94359">
        <w:rPr>
          <w:rFonts w:cs="Arial"/>
        </w:rPr>
        <w:t xml:space="preserve"> au cours de la période qui a</w:t>
      </w:r>
      <w:r>
        <w:rPr>
          <w:rFonts w:cs="Arial"/>
        </w:rPr>
        <w:t xml:space="preserve"> suivi la notification de la décision en litige tout en ajoutant que ses messages électroniques à M. Letourneau</w:t>
      </w:r>
      <w:r w:rsidR="00760EBE">
        <w:rPr>
          <w:rFonts w:cs="Arial"/>
        </w:rPr>
        <w:t xml:space="preserve"> sont espacés</w:t>
      </w:r>
      <w:r w:rsidR="00C94359">
        <w:rPr>
          <w:rFonts w:cs="Arial"/>
        </w:rPr>
        <w:t xml:space="preserve"> de plusieurs mois à l’époque pertinente.</w:t>
      </w:r>
    </w:p>
    <w:p w:rsidR="00934500" w:rsidRPr="00760EBE" w:rsidRDefault="00760EBE" w:rsidP="002A694D">
      <w:pPr>
        <w:pStyle w:val="corpsdedcision"/>
      </w:pPr>
      <w:r>
        <w:rPr>
          <w:rFonts w:cs="Arial"/>
        </w:rPr>
        <w:t>Le Tribunal n’est pas d’accord.</w:t>
      </w:r>
    </w:p>
    <w:p w:rsidR="00760EBE" w:rsidRDefault="00760EBE" w:rsidP="002A694D">
      <w:pPr>
        <w:pStyle w:val="corpsdedcision"/>
      </w:pPr>
      <w:r>
        <w:t xml:space="preserve">Étant donné sa longue expérience de </w:t>
      </w:r>
      <w:r w:rsidRPr="00A435A4">
        <w:t>représentant</w:t>
      </w:r>
      <w:r>
        <w:t xml:space="preserve"> syndical </w:t>
      </w:r>
      <w:r w:rsidR="004869F0">
        <w:t>a sein du</w:t>
      </w:r>
      <w:r>
        <w:t xml:space="preserve"> CSS, le </w:t>
      </w:r>
      <w:r w:rsidRPr="00A435A4">
        <w:t>travailleur</w:t>
      </w:r>
      <w:r>
        <w:t xml:space="preserve"> était justifié de croire que M. Letourneau possédait les connaissances nécessaires pour assurer l’ex</w:t>
      </w:r>
      <w:r w:rsidR="00F4749C">
        <w:t>écution des mandats qu</w:t>
      </w:r>
      <w:r w:rsidR="004869F0">
        <w:t>’</w:t>
      </w:r>
      <w:r w:rsidR="00F4749C">
        <w:t>i</w:t>
      </w:r>
      <w:r w:rsidR="004869F0">
        <w:t>l</w:t>
      </w:r>
      <w:r w:rsidR="00F4749C">
        <w:t xml:space="preserve"> lui a</w:t>
      </w:r>
      <w:r>
        <w:t xml:space="preserve"> confié</w:t>
      </w:r>
      <w:r w:rsidR="004869F0">
        <w:t>s</w:t>
      </w:r>
      <w:r>
        <w:t>.</w:t>
      </w:r>
    </w:p>
    <w:p w:rsidR="00361713" w:rsidRDefault="00F4749C" w:rsidP="00F4749C">
      <w:pPr>
        <w:pStyle w:val="corpsdedcision"/>
      </w:pPr>
      <w:r>
        <w:t>De même, l</w:t>
      </w:r>
      <w:r w:rsidR="00760EBE">
        <w:t xml:space="preserve">es premières interventions de M. Letourneau étaient de nature à prouver qu’il n’allait pas faillir à la tâche. Il a fourni au travailleur de la littérature pour obtenir un rapport médical du docteur </w:t>
      </w:r>
      <w:r>
        <w:t xml:space="preserve">Ponsot, </w:t>
      </w:r>
      <w:r w:rsidR="001F0249">
        <w:t>épaulé</w:t>
      </w:r>
      <w:r>
        <w:t xml:space="preserve"> celui-ci pour le dépôt de sa demande d’indemnisation, produit la demande de révision dans le délai</w:t>
      </w:r>
      <w:r w:rsidR="001F0249">
        <w:t xml:space="preserve"> pre</w:t>
      </w:r>
      <w:r>
        <w:t>s</w:t>
      </w:r>
      <w:r w:rsidR="001F0249">
        <w:t>crit</w:t>
      </w:r>
      <w:r>
        <w:t xml:space="preserve"> et fait </w:t>
      </w:r>
      <w:r w:rsidR="001F0249" w:rsidRPr="00A435A4">
        <w:t>d’</w:t>
      </w:r>
      <w:r w:rsidR="001F0249">
        <w:t>autres interventions</w:t>
      </w:r>
      <w:r>
        <w:t xml:space="preserve"> </w:t>
      </w:r>
      <w:r w:rsidR="001F0249">
        <w:t>au stade</w:t>
      </w:r>
      <w:r>
        <w:t xml:space="preserve"> de la révision administrative. Dans ces circonstances, le travailleur ne pouvait raisonnablement anticiper que M. L</w:t>
      </w:r>
      <w:r w:rsidR="001F0249">
        <w:t>etourneau n’allait pas</w:t>
      </w:r>
      <w:r>
        <w:t xml:space="preserve"> s’acquitter de son engagement de fournir un avocat po</w:t>
      </w:r>
      <w:r w:rsidR="001F0249">
        <w:t>ur déposer puis piloter sa</w:t>
      </w:r>
      <w:r>
        <w:t xml:space="preserve"> contestation devant le Tribunal.</w:t>
      </w:r>
      <w:r w:rsidR="001F0249">
        <w:t xml:space="preserve"> </w:t>
      </w:r>
    </w:p>
    <w:p w:rsidR="00760EBE" w:rsidRDefault="001F0249" w:rsidP="00F4749C">
      <w:pPr>
        <w:pStyle w:val="corpsdedcision"/>
      </w:pPr>
      <w:r>
        <w:t>Dans ce contexte,</w:t>
      </w:r>
      <w:r w:rsidR="005B6776">
        <w:t xml:space="preserve"> il devient déraisonnable de reprocher au </w:t>
      </w:r>
      <w:r w:rsidR="005B6776" w:rsidRPr="00A435A4">
        <w:t>travailleur</w:t>
      </w:r>
      <w:r w:rsidR="005B6776">
        <w:t xml:space="preserve"> </w:t>
      </w:r>
      <w:r>
        <w:t>de ne pas avoir exigé</w:t>
      </w:r>
      <w:r w:rsidR="005B6776">
        <w:t xml:space="preserve"> un quelconque écrit qui aurait confirmé l’exécution des engagements pris par M. Letourneau après la notification de la décision du 13 novembre 2019.</w:t>
      </w:r>
    </w:p>
    <w:p w:rsidR="00B5416E" w:rsidRDefault="00F4749C" w:rsidP="00F4749C">
      <w:pPr>
        <w:pStyle w:val="corpsdedcision"/>
      </w:pPr>
      <w:r>
        <w:t xml:space="preserve">Par ailleurs, le </w:t>
      </w:r>
      <w:r w:rsidRPr="00A435A4">
        <w:t>travailleur</w:t>
      </w:r>
      <w:r>
        <w:t xml:space="preserve"> a fait plusieurs interventions auprès de M. Letourneau pour savoir où en était son dossier</w:t>
      </w:r>
      <w:r w:rsidR="00B5416E">
        <w:t xml:space="preserve"> dans la période en cause</w:t>
      </w:r>
      <w:r>
        <w:t xml:space="preserve">. </w:t>
      </w:r>
      <w:r w:rsidR="00B5416E">
        <w:t xml:space="preserve">Cette conduite </w:t>
      </w:r>
      <w:r w:rsidR="00361713">
        <w:t xml:space="preserve">se démarque </w:t>
      </w:r>
      <w:r w:rsidR="00B5416E">
        <w:t xml:space="preserve">d’ailleurs </w:t>
      </w:r>
      <w:r w:rsidR="00361713">
        <w:t>de la situation qui est décrite</w:t>
      </w:r>
      <w:r>
        <w:t xml:space="preserve"> dans la décision invoquée par les mises en cause</w:t>
      </w:r>
      <w:r>
        <w:rPr>
          <w:rStyle w:val="Appelnotedebasdep"/>
        </w:rPr>
        <w:footnoteReference w:id="10"/>
      </w:r>
      <w:r w:rsidR="00413602">
        <w:t xml:space="preserve">. </w:t>
      </w:r>
    </w:p>
    <w:p w:rsidR="00F4749C" w:rsidRDefault="00413602" w:rsidP="002B2ED0">
      <w:pPr>
        <w:pStyle w:val="corpsdedcision"/>
        <w:spacing w:after="480"/>
      </w:pPr>
      <w:r>
        <w:t>En plus des messages électroniques des 26 février et du 20 octobre 2020, il est en preuve qu</w:t>
      </w:r>
      <w:r w:rsidR="00B5416E">
        <w:t xml:space="preserve">e le travailleur </w:t>
      </w:r>
      <w:r w:rsidR="002B2ED0">
        <w:t xml:space="preserve">a </w:t>
      </w:r>
      <w:r w:rsidR="00B5416E">
        <w:t xml:space="preserve">interrogé M. Letourneau </w:t>
      </w:r>
      <w:r>
        <w:t>à deux ou trois</w:t>
      </w:r>
      <w:r w:rsidR="00B5416E">
        <w:t xml:space="preserve"> reprise</w:t>
      </w:r>
      <w:r w:rsidR="00A85C4C">
        <w:t>s</w:t>
      </w:r>
      <w:r w:rsidR="00B5416E">
        <w:t xml:space="preserve"> </w:t>
      </w:r>
      <w:r>
        <w:t xml:space="preserve">lorsque </w:t>
      </w:r>
      <w:r w:rsidR="00B5416E">
        <w:t>ceux-ci</w:t>
      </w:r>
      <w:r>
        <w:t xml:space="preserve"> se sont croisés au travail. </w:t>
      </w:r>
      <w:r w:rsidR="00B5416E">
        <w:t xml:space="preserve">Un tel </w:t>
      </w:r>
      <w:r>
        <w:t>comportement n’est pas celui de la personne qui s’est désintéressé de son dossier. D’</w:t>
      </w:r>
      <w:r w:rsidR="00B5416E">
        <w:t>ailleurs, l</w:t>
      </w:r>
      <w:r>
        <w:t xml:space="preserve">a réaction </w:t>
      </w:r>
      <w:r w:rsidR="00B5416E">
        <w:t xml:space="preserve">du travailleur </w:t>
      </w:r>
      <w:r>
        <w:t>au message électronique du 13 novembre 2020 de M. Letourneau témoigne de son inquiétude pour la suite des choses.</w:t>
      </w:r>
      <w:r w:rsidR="00B5416E">
        <w:t xml:space="preserve"> En outre, il a promptement transmis sa contestation au Tribunal après</w:t>
      </w:r>
      <w:r w:rsidR="00361713">
        <w:t xml:space="preserve"> l’intervention de M. Ferragne.</w:t>
      </w:r>
    </w:p>
    <w:p w:rsidR="005B6776" w:rsidRDefault="005B6776" w:rsidP="002B2ED0">
      <w:pPr>
        <w:pStyle w:val="corpsdedcision"/>
        <w:spacing w:after="480"/>
      </w:pPr>
      <w:r>
        <w:t xml:space="preserve">Peut-on reprocher au </w:t>
      </w:r>
      <w:r w:rsidRPr="00A435A4">
        <w:t>travailleur</w:t>
      </w:r>
      <w:r>
        <w:t xml:space="preserve"> de ne pas d’être inquiété du fait que le Tribunal ne lui a</w:t>
      </w:r>
      <w:r w:rsidR="00B5416E">
        <w:t xml:space="preserve"> pas transmis à l’époque un</w:t>
      </w:r>
      <w:r>
        <w:t xml:space="preserve"> document attestant de l’ouverture de son dossier (accusé de réception, date d’audience, copie du dossier, etc.)?</w:t>
      </w:r>
    </w:p>
    <w:p w:rsidR="005B6776" w:rsidRDefault="00B5416E" w:rsidP="002B2ED0">
      <w:pPr>
        <w:pStyle w:val="corpsdedcision"/>
        <w:spacing w:after="480"/>
      </w:pPr>
      <w:r>
        <w:t>Le Tribunal écarte cette idée.</w:t>
      </w:r>
    </w:p>
    <w:p w:rsidR="00A93D3E" w:rsidRDefault="005B6776" w:rsidP="002B2ED0">
      <w:pPr>
        <w:pStyle w:val="corpsdedcision"/>
        <w:spacing w:after="480"/>
      </w:pPr>
      <w:r>
        <w:t xml:space="preserve">Parce que le </w:t>
      </w:r>
      <w:r w:rsidRPr="00A435A4">
        <w:t>travailleur</w:t>
      </w:r>
      <w:r>
        <w:t xml:space="preserve"> n’est pas un familier avec le Tribunal, il est normal qu’il ne connaisse pas son mod</w:t>
      </w:r>
      <w:r w:rsidR="00B5416E">
        <w:t>e de fonctionnement, dont</w:t>
      </w:r>
      <w:r>
        <w:t xml:space="preserve"> ses dél</w:t>
      </w:r>
      <w:r w:rsidR="00361713">
        <w:t>ais de convocation</w:t>
      </w:r>
      <w:r>
        <w:t>.</w:t>
      </w:r>
      <w:r w:rsidR="000A0EA1">
        <w:t xml:space="preserve"> Moins d’une année étant en cause, i</w:t>
      </w:r>
      <w:r w:rsidR="00361713">
        <w:t>l pouvait ne pas s’être préoccupé</w:t>
      </w:r>
      <w:r w:rsidR="000A0EA1">
        <w:t xml:space="preserve"> de la situation.</w:t>
      </w:r>
    </w:p>
    <w:p w:rsidR="00413602" w:rsidRPr="00B51F99" w:rsidRDefault="00361713" w:rsidP="002B2ED0">
      <w:pPr>
        <w:pStyle w:val="corpsdedcision"/>
        <w:spacing w:after="480"/>
      </w:pPr>
      <w:r>
        <w:t xml:space="preserve">À </w:t>
      </w:r>
      <w:r w:rsidR="00A93D3E">
        <w:t>la lum</w:t>
      </w:r>
      <w:r w:rsidR="000A0EA1">
        <w:t>ière des faits propres au</w:t>
      </w:r>
      <w:r w:rsidR="00A93D3E">
        <w:t xml:space="preserve"> dossier et des enseignements des tribunaux supérieurs e</w:t>
      </w:r>
      <w:r>
        <w:t xml:space="preserve">n ce domaine, le Tribunal est justifié </w:t>
      </w:r>
      <w:r w:rsidR="000A0EA1">
        <w:t>de</w:t>
      </w:r>
      <w:r w:rsidR="00A93D3E">
        <w:t xml:space="preserve"> ne pas priver le </w:t>
      </w:r>
      <w:r w:rsidR="00A93D3E" w:rsidRPr="00A435A4">
        <w:t>travailleur</w:t>
      </w:r>
      <w:r w:rsidR="00A93D3E">
        <w:t xml:space="preserve"> de son droit de tenter d’établir qu’il présente une maladie professionnelle pour une simple question de délai. Cette conclusion s’impose d’autant plus que les mises en cause admettent ne subir aucun p</w:t>
      </w:r>
      <w:r w:rsidR="000A0EA1">
        <w:t>réjudice si l’affaire est entendu</w:t>
      </w:r>
      <w:r w:rsidR="00A85C4C">
        <w:t>e</w:t>
      </w:r>
      <w:r w:rsidR="000A0EA1">
        <w:t xml:space="preserve"> sur le fond</w:t>
      </w:r>
      <w:r>
        <w:t xml:space="preserve"> alors que les enjeux</w:t>
      </w:r>
      <w:r w:rsidR="00A93D3E">
        <w:t xml:space="preserve"> sont importants puisqu’il</w:t>
      </w:r>
      <w:r>
        <w:t>s</w:t>
      </w:r>
      <w:r w:rsidR="00A93D3E">
        <w:t xml:space="preserve"> concerne</w:t>
      </w:r>
      <w:r>
        <w:t>nt</w:t>
      </w:r>
      <w:r w:rsidR="00A93D3E">
        <w:t xml:space="preserve"> l’admissibilité d’une tumeur testiculaire (</w:t>
      </w:r>
      <w:r w:rsidR="00E34513">
        <w:t>sé</w:t>
      </w:r>
      <w:r w:rsidR="00A93D3E">
        <w:t>minome de stade I</w:t>
      </w:r>
      <w:r w:rsidR="00E34513">
        <w:t> ).</w:t>
      </w:r>
    </w:p>
    <w:p w:rsidR="00C74B6F" w:rsidRDefault="00C74B6F" w:rsidP="002B2ED0">
      <w:pPr>
        <w:pStyle w:val="Dispositif"/>
        <w:spacing w:after="720"/>
      </w:pPr>
      <w:r>
        <w:rPr>
          <w:b/>
        </w:rPr>
        <w:t>P</w:t>
      </w:r>
      <w:r w:rsidR="00D07FA6">
        <w:rPr>
          <w:b/>
        </w:rPr>
        <w:t>AR CES MOTIFS, LE TRIBUNAL ADMINISTRATIF DU TRAVAIL</w:t>
      </w:r>
      <w:r>
        <w:rPr>
          <w:b/>
        </w:rPr>
        <w:t> :</w:t>
      </w:r>
    </w:p>
    <w:p w:rsidR="00E34513" w:rsidRPr="00E34513" w:rsidRDefault="00E34513" w:rsidP="002B2ED0">
      <w:pPr>
        <w:pStyle w:val="corpsdedcision"/>
        <w:numPr>
          <w:ilvl w:val="0"/>
          <w:numId w:val="0"/>
        </w:numPr>
        <w:spacing w:after="480"/>
        <w:rPr>
          <w:rFonts w:cs="Arial"/>
        </w:rPr>
      </w:pPr>
      <w:r>
        <w:rPr>
          <w:b/>
        </w:rPr>
        <w:t>DÉCLARE</w:t>
      </w:r>
      <w:r>
        <w:t xml:space="preserve"> la contestation du 24 novembre 2020 du t</w:t>
      </w:r>
      <w:r w:rsidR="002B2ED0">
        <w:t>ravailleur, monsieur Olivier St</w:t>
      </w:r>
      <w:r w:rsidR="002B2ED0">
        <w:noBreakHyphen/>
      </w:r>
      <w:r>
        <w:t xml:space="preserve">Martin, tardive en regard du délai prescrit par la </w:t>
      </w:r>
      <w:r w:rsidRPr="002955AE">
        <w:rPr>
          <w:rFonts w:cs="Arial"/>
          <w:i/>
        </w:rPr>
        <w:t>Loi sur les accidents du travail et les maladies professionnelles</w:t>
      </w:r>
      <w:r w:rsidR="00E86256">
        <w:rPr>
          <w:rFonts w:cs="Arial"/>
        </w:rPr>
        <w:t xml:space="preserve"> pour agir;</w:t>
      </w:r>
    </w:p>
    <w:p w:rsidR="00E34513" w:rsidRDefault="00E34513" w:rsidP="002B2ED0">
      <w:pPr>
        <w:pStyle w:val="Dispositif"/>
        <w:spacing w:after="480"/>
        <w:rPr>
          <w:iCs/>
        </w:rPr>
      </w:pPr>
      <w:r w:rsidRPr="00913063">
        <w:rPr>
          <w:b/>
          <w:iCs/>
        </w:rPr>
        <w:t>DÉCLARE</w:t>
      </w:r>
      <w:r>
        <w:rPr>
          <w:iCs/>
        </w:rPr>
        <w:t xml:space="preserve"> que le travailleur </w:t>
      </w:r>
      <w:r w:rsidR="00B41682">
        <w:rPr>
          <w:iCs/>
        </w:rPr>
        <w:t xml:space="preserve">a démontré </w:t>
      </w:r>
      <w:r>
        <w:rPr>
          <w:iCs/>
        </w:rPr>
        <w:t>un motif raisonnable excusant ce défaut;</w:t>
      </w:r>
    </w:p>
    <w:p w:rsidR="00E34513" w:rsidRDefault="00E34513" w:rsidP="002B2ED0">
      <w:pPr>
        <w:pStyle w:val="Dispositif"/>
        <w:spacing w:after="480"/>
      </w:pPr>
      <w:r w:rsidRPr="00913063">
        <w:rPr>
          <w:b/>
        </w:rPr>
        <w:t>DÉCLARE</w:t>
      </w:r>
      <w:r>
        <w:t xml:space="preserve"> la contestation du 24 novembre 2020 du travailleur recevable</w:t>
      </w:r>
      <w:r w:rsidR="00E86256">
        <w:t xml:space="preserve"> en ce qui a trait au délai pour exercer ce recours;</w:t>
      </w:r>
    </w:p>
    <w:p w:rsidR="00C74B6F" w:rsidRDefault="00E34513" w:rsidP="002B2ED0">
      <w:pPr>
        <w:pStyle w:val="Dispositif"/>
        <w:keepNext/>
        <w:keepLines/>
        <w:spacing w:after="480"/>
      </w:pPr>
      <w:r>
        <w:rPr>
          <w:b/>
        </w:rPr>
        <w:t>RETOURNE</w:t>
      </w:r>
      <w:r>
        <w:t xml:space="preserve"> le dossier </w:t>
      </w:r>
      <w:r w:rsidR="002B2ED0">
        <w:t>au</w:t>
      </w:r>
      <w:r>
        <w:t xml:space="preserve"> maître des rôles pour que les parties soient convoquées à une audience sur le fond.</w:t>
      </w: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tc>
          <w:tcPr>
            <w:tcW w:w="4795" w:type="dxa"/>
          </w:tcPr>
          <w:p w:rsidR="00C74B6F" w:rsidRDefault="00C74B6F" w:rsidP="002B2ED0">
            <w:pPr>
              <w:keepNext/>
              <w:keepLines/>
            </w:pPr>
          </w:p>
        </w:tc>
        <w:tc>
          <w:tcPr>
            <w:tcW w:w="4795" w:type="dxa"/>
          </w:tcPr>
          <w:p w:rsidR="00C74B6F" w:rsidRDefault="00C74B6F" w:rsidP="002B2ED0">
            <w:pPr>
              <w:keepNext/>
              <w:keepLines/>
            </w:pPr>
            <w:bookmarkStart w:id="8" w:name="signature"/>
            <w:bookmarkEnd w:id="8"/>
            <w:r>
              <w:t>__________________________________</w:t>
            </w:r>
          </w:p>
        </w:tc>
      </w:tr>
      <w:tr w:rsidR="00C74B6F">
        <w:tc>
          <w:tcPr>
            <w:tcW w:w="4795" w:type="dxa"/>
          </w:tcPr>
          <w:p w:rsidR="00C74B6F" w:rsidRDefault="00C74B6F" w:rsidP="002B2ED0">
            <w:pPr>
              <w:keepNext/>
              <w:keepLines/>
            </w:pPr>
          </w:p>
        </w:tc>
        <w:tc>
          <w:tcPr>
            <w:tcW w:w="4795" w:type="dxa"/>
          </w:tcPr>
          <w:p w:rsidR="00C74B6F" w:rsidRDefault="00B84A92" w:rsidP="002B2ED0">
            <w:pPr>
              <w:keepNext/>
              <w:keepLines/>
            </w:pPr>
            <w:r>
              <w:t>François Ranger</w:t>
            </w:r>
          </w:p>
        </w:tc>
      </w:tr>
      <w:tr w:rsidR="00C74B6F">
        <w:trPr>
          <w:cantSplit/>
        </w:trPr>
        <w:tc>
          <w:tcPr>
            <w:tcW w:w="9590" w:type="dxa"/>
            <w:gridSpan w:val="2"/>
          </w:tcPr>
          <w:p w:rsidR="00C74B6F" w:rsidRDefault="00C74B6F" w:rsidP="002B2ED0">
            <w:pPr>
              <w:keepNext/>
              <w:keepLines/>
            </w:pPr>
          </w:p>
        </w:tc>
      </w:tr>
      <w:tr w:rsidR="00C74B6F">
        <w:trPr>
          <w:cantSplit/>
        </w:trPr>
        <w:tc>
          <w:tcPr>
            <w:tcW w:w="9590" w:type="dxa"/>
            <w:gridSpan w:val="2"/>
          </w:tcPr>
          <w:p w:rsidR="00C74B6F" w:rsidRPr="00C912F9" w:rsidRDefault="00C74B6F" w:rsidP="002B2ED0">
            <w:pPr>
              <w:keepNext/>
              <w:keepLines/>
              <w:tabs>
                <w:tab w:val="left" w:pos="1592"/>
              </w:tabs>
            </w:pPr>
          </w:p>
        </w:tc>
      </w:tr>
      <w:tr w:rsidR="00C74B6F">
        <w:trPr>
          <w:cantSplit/>
        </w:trPr>
        <w:tc>
          <w:tcPr>
            <w:tcW w:w="9590" w:type="dxa"/>
            <w:gridSpan w:val="2"/>
          </w:tcPr>
          <w:p w:rsidR="00C74B6F" w:rsidRDefault="00C74B6F" w:rsidP="002B2ED0">
            <w:pPr>
              <w:keepNext/>
              <w:keepLines/>
            </w:pPr>
          </w:p>
        </w:tc>
      </w:tr>
      <w:tr w:rsidR="00C74B6F">
        <w:trPr>
          <w:cantSplit/>
        </w:trPr>
        <w:tc>
          <w:tcPr>
            <w:tcW w:w="9590" w:type="dxa"/>
            <w:gridSpan w:val="2"/>
          </w:tcPr>
          <w:p w:rsidR="00C74B6F" w:rsidRDefault="00B84A92" w:rsidP="002B2ED0">
            <w:pPr>
              <w:pStyle w:val="zSoquijdatNomProcureurDem"/>
              <w:keepNext/>
              <w:keepLines/>
            </w:pPr>
            <w:r w:rsidRPr="00B84A92">
              <w:t>Me Julien David Hobson</w:t>
            </w:r>
          </w:p>
        </w:tc>
      </w:tr>
      <w:tr w:rsidR="00C74B6F" w:rsidRPr="00B84A92">
        <w:trPr>
          <w:cantSplit/>
        </w:trPr>
        <w:tc>
          <w:tcPr>
            <w:tcW w:w="9590" w:type="dxa"/>
            <w:gridSpan w:val="2"/>
          </w:tcPr>
          <w:p w:rsidR="00C74B6F" w:rsidRPr="00B84A92" w:rsidRDefault="00B84A92" w:rsidP="002B2ED0">
            <w:pPr>
              <w:pStyle w:val="zSoquijdatCabinetProcureurDem"/>
              <w:keepNext/>
              <w:keepLines/>
              <w:rPr>
                <w:caps/>
              </w:rPr>
            </w:pPr>
            <w:r w:rsidRPr="00B84A92">
              <w:rPr>
                <w:caps/>
              </w:rPr>
              <w:t>Roy Bélanger Avocats s.e.n.c.r.l.</w:t>
            </w:r>
          </w:p>
        </w:tc>
      </w:tr>
      <w:tr w:rsidR="00C74B6F">
        <w:trPr>
          <w:cantSplit/>
        </w:trPr>
        <w:tc>
          <w:tcPr>
            <w:tcW w:w="9590" w:type="dxa"/>
            <w:gridSpan w:val="2"/>
          </w:tcPr>
          <w:p w:rsidR="00C74B6F" w:rsidRDefault="00CB05A7" w:rsidP="002B2ED0">
            <w:pPr>
              <w:pStyle w:val="zSoquijlblProcureurDem"/>
              <w:keepNext/>
              <w:keepLines/>
            </w:pPr>
            <w:r>
              <w:t>Pour la partie demanderesse</w:t>
            </w:r>
          </w:p>
        </w:tc>
      </w:tr>
      <w:tr w:rsidR="00C74B6F">
        <w:trPr>
          <w:cantSplit/>
        </w:trPr>
        <w:tc>
          <w:tcPr>
            <w:tcW w:w="9590" w:type="dxa"/>
            <w:gridSpan w:val="2"/>
          </w:tcPr>
          <w:p w:rsidR="00C74B6F" w:rsidRDefault="00C74B6F" w:rsidP="002B2ED0">
            <w:pPr>
              <w:keepNext/>
              <w:keepLines/>
            </w:pPr>
          </w:p>
        </w:tc>
      </w:tr>
      <w:tr w:rsidR="00256CA3">
        <w:trPr>
          <w:cantSplit/>
        </w:trPr>
        <w:tc>
          <w:tcPr>
            <w:tcW w:w="9590" w:type="dxa"/>
            <w:gridSpan w:val="2"/>
          </w:tcPr>
          <w:p w:rsidR="00256CA3" w:rsidRDefault="00256CA3" w:rsidP="00256CA3">
            <w:r w:rsidRPr="00256CA3">
              <w:t>Me Serge Cormier</w:t>
            </w:r>
          </w:p>
          <w:p w:rsidR="00256CA3" w:rsidRDefault="00256CA3" w:rsidP="00256CA3">
            <w:r w:rsidRPr="00256CA3">
              <w:t>Chabot Cormier Martel &amp; Associés</w:t>
            </w:r>
          </w:p>
          <w:p w:rsidR="00256CA3" w:rsidRDefault="00256CA3" w:rsidP="00256CA3">
            <w:r>
              <w:t xml:space="preserve">Pour </w:t>
            </w:r>
            <w:r w:rsidRPr="00256CA3">
              <w:t>Ville de Sherbrooke (Pompier)</w:t>
            </w:r>
          </w:p>
          <w:p w:rsidR="00256CA3" w:rsidRDefault="00256CA3"/>
        </w:tc>
      </w:tr>
      <w:tr w:rsidR="00C74B6F">
        <w:trPr>
          <w:cantSplit/>
        </w:trPr>
        <w:tc>
          <w:tcPr>
            <w:tcW w:w="9590" w:type="dxa"/>
            <w:gridSpan w:val="2"/>
          </w:tcPr>
          <w:p w:rsidR="00C74B6F" w:rsidRDefault="00B84A92">
            <w:pPr>
              <w:pStyle w:val="zSoquijdatNomProcureurDef"/>
            </w:pPr>
            <w:r w:rsidRPr="00B84A92">
              <w:t>Me Martin Brunet</w:t>
            </w:r>
          </w:p>
        </w:tc>
      </w:tr>
      <w:tr w:rsidR="00C74B6F" w:rsidRPr="00B84A92">
        <w:trPr>
          <w:cantSplit/>
        </w:trPr>
        <w:tc>
          <w:tcPr>
            <w:tcW w:w="9590" w:type="dxa"/>
            <w:gridSpan w:val="2"/>
          </w:tcPr>
          <w:p w:rsidR="00C74B6F" w:rsidRPr="00B84A92" w:rsidRDefault="00B84A92">
            <w:pPr>
              <w:pStyle w:val="zSoquijdatCabinetProcureurDef"/>
              <w:rPr>
                <w:caps/>
              </w:rPr>
            </w:pPr>
            <w:r w:rsidRPr="00B84A92">
              <w:rPr>
                <w:caps/>
              </w:rPr>
              <w:t>Cain Lamarre, s.e.n.c.r.l.</w:t>
            </w:r>
          </w:p>
        </w:tc>
      </w:tr>
      <w:tr w:rsidR="00C74B6F">
        <w:trPr>
          <w:cantSplit/>
        </w:trPr>
        <w:tc>
          <w:tcPr>
            <w:tcW w:w="9590" w:type="dxa"/>
            <w:gridSpan w:val="2"/>
          </w:tcPr>
          <w:p w:rsidR="00C74B6F" w:rsidRDefault="00CB05A7" w:rsidP="00B84A92">
            <w:pPr>
              <w:pStyle w:val="zSoquijlblProcureurDef"/>
            </w:pPr>
            <w:r>
              <w:t xml:space="preserve">Pour </w:t>
            </w:r>
            <w:r w:rsidR="00351071" w:rsidRPr="00351071">
              <w:t>Ville de East Angus (Régie intermunicipale Incendie)</w:t>
            </w:r>
          </w:p>
        </w:tc>
      </w:tr>
      <w:tr w:rsidR="007569DE">
        <w:trPr>
          <w:cantSplit/>
        </w:trPr>
        <w:tc>
          <w:tcPr>
            <w:tcW w:w="9590" w:type="dxa"/>
            <w:gridSpan w:val="2"/>
          </w:tcPr>
          <w:p w:rsidR="007569DE" w:rsidRDefault="007569DE"/>
        </w:tc>
      </w:tr>
      <w:tr w:rsidR="00C74B6F">
        <w:trPr>
          <w:cantSplit/>
        </w:trPr>
        <w:tc>
          <w:tcPr>
            <w:tcW w:w="9590" w:type="dxa"/>
            <w:gridSpan w:val="2"/>
          </w:tcPr>
          <w:p w:rsidR="00C74B6F" w:rsidRDefault="00B84A92">
            <w:pPr>
              <w:pStyle w:val="zSoquijdatNomProcureurInt"/>
            </w:pPr>
            <w:r w:rsidRPr="00B84A92">
              <w:t>Me Sophie Lessard</w:t>
            </w:r>
          </w:p>
        </w:tc>
      </w:tr>
      <w:tr w:rsidR="00C74B6F" w:rsidRPr="00B84A92">
        <w:trPr>
          <w:cantSplit/>
        </w:trPr>
        <w:tc>
          <w:tcPr>
            <w:tcW w:w="9590" w:type="dxa"/>
            <w:gridSpan w:val="2"/>
          </w:tcPr>
          <w:p w:rsidR="00C74B6F" w:rsidRPr="00B84A92" w:rsidRDefault="00B84A92" w:rsidP="00B84A92">
            <w:pPr>
              <w:pStyle w:val="zSoquijdatCabinetProcureurInt"/>
              <w:rPr>
                <w:caps/>
              </w:rPr>
            </w:pPr>
            <w:r w:rsidRPr="00B84A92">
              <w:rPr>
                <w:caps/>
              </w:rPr>
              <w:t>Pineault Avocats CNESST</w:t>
            </w:r>
          </w:p>
        </w:tc>
      </w:tr>
      <w:tr w:rsidR="00C74B6F">
        <w:trPr>
          <w:cantSplit/>
        </w:trPr>
        <w:tc>
          <w:tcPr>
            <w:tcW w:w="9590" w:type="dxa"/>
            <w:gridSpan w:val="2"/>
          </w:tcPr>
          <w:p w:rsidR="00C74B6F" w:rsidRDefault="007569DE" w:rsidP="00B84A92">
            <w:pPr>
              <w:pStyle w:val="zSoquijlblProcureurInt"/>
            </w:pPr>
            <w:r>
              <w:t xml:space="preserve">Pour la partie </w:t>
            </w:r>
            <w:r w:rsidR="00B84A92">
              <w:t>intervenante</w:t>
            </w:r>
          </w:p>
        </w:tc>
      </w:tr>
      <w:tr w:rsidR="00C15A3F">
        <w:trPr>
          <w:cantSplit/>
        </w:trPr>
        <w:tc>
          <w:tcPr>
            <w:tcW w:w="9590" w:type="dxa"/>
            <w:gridSpan w:val="2"/>
          </w:tcPr>
          <w:p w:rsidR="00C15A3F" w:rsidRDefault="00C15A3F">
            <w:pPr>
              <w:pStyle w:val="zSoquijlblProcureurInt"/>
            </w:pPr>
          </w:p>
        </w:tc>
      </w:tr>
      <w:tr w:rsidR="00C15A3F">
        <w:trPr>
          <w:cantSplit/>
        </w:trPr>
        <w:tc>
          <w:tcPr>
            <w:tcW w:w="9590" w:type="dxa"/>
            <w:gridSpan w:val="2"/>
          </w:tcPr>
          <w:p w:rsidR="00C15A3F" w:rsidRDefault="00C15A3F" w:rsidP="00B84A92">
            <w:pPr>
              <w:pStyle w:val="zSoquijdatDateAudience"/>
            </w:pPr>
            <w:bookmarkStart w:id="9" w:name="Date_derniere_audience"/>
            <w:bookmarkEnd w:id="9"/>
            <w:r>
              <w:t xml:space="preserve">Date de la </w:t>
            </w:r>
            <w:r w:rsidR="00CC6338">
              <w:t>mise en délibéré</w:t>
            </w:r>
            <w:r>
              <w:t> :</w:t>
            </w:r>
            <w:r w:rsidR="00597016">
              <w:tab/>
            </w:r>
            <w:r w:rsidR="00B84A92">
              <w:t>2 décembre 2021</w:t>
            </w:r>
          </w:p>
        </w:tc>
      </w:tr>
    </w:tbl>
    <w:p w:rsidR="00F510B7" w:rsidRDefault="00F510B7" w:rsidP="00F73D1C"/>
    <w:p w:rsidR="00A770C0" w:rsidRPr="00F73D1C" w:rsidRDefault="00A770C0" w:rsidP="008145AD"/>
    <w:sectPr w:rsidR="00A770C0" w:rsidRPr="00F73D1C">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C9D" w:rsidRDefault="00AA3C9D">
      <w:r>
        <w:separator/>
      </w:r>
    </w:p>
  </w:endnote>
  <w:endnote w:type="continuationSeparator" w:id="0">
    <w:p w:rsidR="00AA3C9D" w:rsidRDefault="00AA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C9D" w:rsidRDefault="00AA3C9D">
      <w:r>
        <w:separator/>
      </w:r>
    </w:p>
  </w:footnote>
  <w:footnote w:type="continuationSeparator" w:id="0">
    <w:p w:rsidR="00AA3C9D" w:rsidRDefault="00AA3C9D">
      <w:r>
        <w:continuationSeparator/>
      </w:r>
    </w:p>
  </w:footnote>
  <w:footnote w:id="1">
    <w:p w:rsidR="00DC3F34" w:rsidRPr="0004523D" w:rsidRDefault="00DC3F34" w:rsidP="00A2167D">
      <w:pPr>
        <w:pStyle w:val="Notedebasdepage"/>
        <w:tabs>
          <w:tab w:val="left" w:pos="720"/>
        </w:tabs>
        <w:ind w:left="720" w:hanging="720"/>
        <w:jc w:val="both"/>
        <w:rPr>
          <w:sz w:val="20"/>
        </w:rPr>
      </w:pPr>
      <w:r w:rsidRPr="00304604">
        <w:rPr>
          <w:rStyle w:val="Appelnotedebasdep"/>
          <w:sz w:val="20"/>
        </w:rPr>
        <w:footnoteRef/>
      </w:r>
      <w:r w:rsidRPr="0004523D">
        <w:rPr>
          <w:sz w:val="20"/>
        </w:rPr>
        <w:t xml:space="preserve"> </w:t>
      </w:r>
      <w:r w:rsidRPr="0004523D">
        <w:rPr>
          <w:sz w:val="20"/>
        </w:rPr>
        <w:tab/>
        <w:t>RLRQ, c. A-3.001.</w:t>
      </w:r>
    </w:p>
  </w:footnote>
  <w:footnote w:id="2">
    <w:p w:rsidR="00DC3F34" w:rsidRDefault="00DC3F34" w:rsidP="0040249B">
      <w:pPr>
        <w:pStyle w:val="Notedebasdepage"/>
        <w:rPr>
          <w:sz w:val="20"/>
        </w:rPr>
      </w:pPr>
      <w:r>
        <w:rPr>
          <w:rStyle w:val="Appelnotedebasdep"/>
        </w:rPr>
        <w:footnoteRef/>
      </w:r>
      <w:r>
        <w:t xml:space="preserve"> </w:t>
      </w:r>
      <w:r>
        <w:tab/>
      </w:r>
      <w:r>
        <w:rPr>
          <w:sz w:val="20"/>
        </w:rPr>
        <w:t>RLRQ, c. T -15.1.</w:t>
      </w:r>
    </w:p>
  </w:footnote>
  <w:footnote w:id="3">
    <w:p w:rsidR="00DC3F34" w:rsidRDefault="00DC3F34">
      <w:pPr>
        <w:pStyle w:val="Notedebasdepage"/>
      </w:pPr>
      <w:r>
        <w:rPr>
          <w:rStyle w:val="Appelnotedebasdep"/>
        </w:rPr>
        <w:footnoteRef/>
      </w:r>
      <w:r>
        <w:t xml:space="preserve"> </w:t>
      </w:r>
      <w:r>
        <w:tab/>
      </w:r>
      <w:r w:rsidRPr="00D758D3">
        <w:rPr>
          <w:rFonts w:cs="Arial"/>
          <w:i/>
          <w:sz w:val="20"/>
        </w:rPr>
        <w:t>Rovibec inc</w:t>
      </w:r>
      <w:r w:rsidRPr="00D758D3">
        <w:rPr>
          <w:rFonts w:cs="Arial"/>
          <w:sz w:val="20"/>
        </w:rPr>
        <w:t>. 2012 QCCLP 5749.</w:t>
      </w:r>
    </w:p>
  </w:footnote>
  <w:footnote w:id="4">
    <w:p w:rsidR="000C3768" w:rsidRPr="000C3768" w:rsidRDefault="000C3768" w:rsidP="000C376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0C3768">
        <w:rPr>
          <w:rFonts w:cs="Arial"/>
          <w:sz w:val="20"/>
        </w:rPr>
        <w:t>Catherine PRONOVOST et Audrey ALARIE, « Délais de contestation d'une décision rendue en vertu de la Loi sur les accidents du travail et les maladies professionnelles : ce qui est raisonnable pour l'un l'est-il pour l'autre? », dans Barreau du Québec, Service de la qualité de la profession, Développements récents en droit de la santé et la sécurité au travail,vol. 470, Montréal, Yvon Blais, 2020, pp. 177-226.</w:t>
      </w:r>
    </w:p>
  </w:footnote>
  <w:footnote w:id="5">
    <w:p w:rsidR="00DC3F34" w:rsidRPr="0059371D" w:rsidRDefault="00DC3F34" w:rsidP="002F39F0">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2009 QCCS 730, 12 février 2009, j. R.W. Pronovost.</w:t>
      </w:r>
    </w:p>
  </w:footnote>
  <w:footnote w:id="6">
    <w:p w:rsidR="00DC3F34" w:rsidRDefault="00DC3F34">
      <w:pPr>
        <w:pStyle w:val="Notedebasdepage"/>
      </w:pPr>
      <w:r>
        <w:rPr>
          <w:rStyle w:val="Appelnotedebasdep"/>
        </w:rPr>
        <w:footnoteRef/>
      </w:r>
      <w:r>
        <w:t xml:space="preserve"> </w:t>
      </w:r>
      <w:r>
        <w:tab/>
      </w:r>
      <w:r w:rsidRPr="00C94359">
        <w:rPr>
          <w:i/>
          <w:sz w:val="20"/>
        </w:rPr>
        <w:t>Torres c</w:t>
      </w:r>
      <w:r w:rsidR="000C3768">
        <w:rPr>
          <w:i/>
          <w:sz w:val="20"/>
        </w:rPr>
        <w:t xml:space="preserve">. </w:t>
      </w:r>
      <w:r w:rsidRPr="00C94359">
        <w:rPr>
          <w:i/>
          <w:sz w:val="20"/>
        </w:rPr>
        <w:t>Commission des lésions professionnelles</w:t>
      </w:r>
      <w:r w:rsidR="00F43B1A">
        <w:rPr>
          <w:i/>
          <w:sz w:val="20"/>
        </w:rPr>
        <w:t>,</w:t>
      </w:r>
      <w:r w:rsidRPr="00C94359">
        <w:rPr>
          <w:sz w:val="20"/>
        </w:rPr>
        <w:t xml:space="preserve"> 2016 QCCS 119.</w:t>
      </w:r>
    </w:p>
  </w:footnote>
  <w:footnote w:id="7">
    <w:p w:rsidR="00DC3F34" w:rsidRDefault="00DC3F34">
      <w:pPr>
        <w:pStyle w:val="Notedebasdepage"/>
      </w:pPr>
      <w:r>
        <w:rPr>
          <w:rStyle w:val="Appelnotedebasdep"/>
        </w:rPr>
        <w:footnoteRef/>
      </w:r>
      <w:r>
        <w:t xml:space="preserve"> </w:t>
      </w:r>
      <w:r>
        <w:tab/>
      </w:r>
      <w:r w:rsidRPr="0004523D">
        <w:rPr>
          <w:rFonts w:cs="Arial"/>
          <w:sz w:val="20"/>
        </w:rPr>
        <w:t>20</w:t>
      </w:r>
      <w:r w:rsidRPr="00AD4923">
        <w:rPr>
          <w:rFonts w:cs="Arial"/>
          <w:sz w:val="20"/>
        </w:rPr>
        <w:t>16 QCTAT 6079</w:t>
      </w:r>
      <w:r w:rsidR="004869F0">
        <w:rPr>
          <w:rFonts w:cs="Arial"/>
          <w:sz w:val="20"/>
        </w:rPr>
        <w:t>.</w:t>
      </w:r>
    </w:p>
  </w:footnote>
  <w:footnote w:id="8">
    <w:p w:rsidR="00DC3F34" w:rsidRDefault="00DC3F34">
      <w:pPr>
        <w:pStyle w:val="Notedebasdepage"/>
      </w:pPr>
      <w:r>
        <w:rPr>
          <w:rStyle w:val="Appelnotedebasdep"/>
        </w:rPr>
        <w:footnoteRef/>
      </w:r>
      <w:r>
        <w:t xml:space="preserve"> </w:t>
      </w:r>
      <w:r>
        <w:tab/>
      </w:r>
      <w:r w:rsidRPr="00F10484">
        <w:rPr>
          <w:i/>
          <w:iCs/>
          <w:sz w:val="20"/>
        </w:rPr>
        <w:t xml:space="preserve">Guimond </w:t>
      </w:r>
      <w:r w:rsidRPr="00F10484">
        <w:rPr>
          <w:sz w:val="20"/>
        </w:rPr>
        <w:t>et</w:t>
      </w:r>
      <w:r w:rsidRPr="00F10484">
        <w:rPr>
          <w:i/>
          <w:iCs/>
          <w:sz w:val="20"/>
        </w:rPr>
        <w:t xml:space="preserve"> Transport</w:t>
      </w:r>
      <w:r w:rsidRPr="00F10484">
        <w:rPr>
          <w:sz w:val="20"/>
        </w:rPr>
        <w:t xml:space="preserve"> </w:t>
      </w:r>
      <w:r w:rsidRPr="00F10484">
        <w:rPr>
          <w:i/>
          <w:iCs/>
          <w:sz w:val="20"/>
        </w:rPr>
        <w:t xml:space="preserve">Igloolik inc. </w:t>
      </w:r>
      <w:r w:rsidRPr="00F10484">
        <w:rPr>
          <w:sz w:val="20"/>
        </w:rPr>
        <w:t>et</w:t>
      </w:r>
      <w:r w:rsidRPr="00F10484">
        <w:rPr>
          <w:i/>
          <w:iCs/>
          <w:sz w:val="20"/>
        </w:rPr>
        <w:t xml:space="preserve"> CSST</w:t>
      </w:r>
      <w:r>
        <w:rPr>
          <w:i/>
          <w:iCs/>
        </w:rPr>
        <w:t xml:space="preserve"> </w:t>
      </w:r>
      <w:r>
        <w:rPr>
          <w:rFonts w:cs="Arial"/>
          <w:color w:val="444444"/>
          <w:sz w:val="20"/>
        </w:rPr>
        <w:t>2014 QCCLP 1985.</w:t>
      </w:r>
    </w:p>
  </w:footnote>
  <w:footnote w:id="9">
    <w:p w:rsidR="00DC3F34" w:rsidRDefault="00DC3F34">
      <w:pPr>
        <w:pStyle w:val="Notedebasdepage"/>
      </w:pPr>
      <w:r>
        <w:rPr>
          <w:rStyle w:val="Appelnotedebasdep"/>
        </w:rPr>
        <w:footnoteRef/>
      </w:r>
      <w:r>
        <w:t xml:space="preserve"> </w:t>
      </w:r>
      <w:r>
        <w:tab/>
      </w:r>
      <w:r w:rsidRPr="00413602">
        <w:rPr>
          <w:rFonts w:cs="Arial"/>
          <w:sz w:val="20"/>
        </w:rPr>
        <w:t>2016 QCTAT 4766</w:t>
      </w:r>
      <w:r w:rsidR="004869F0">
        <w:rPr>
          <w:rFonts w:cs="Arial"/>
          <w:sz w:val="20"/>
        </w:rPr>
        <w:t>.</w:t>
      </w:r>
    </w:p>
  </w:footnote>
  <w:footnote w:id="10">
    <w:p w:rsidR="00DC3F34" w:rsidRDefault="00DC3F34">
      <w:pPr>
        <w:pStyle w:val="Notedebasdepage"/>
      </w:pPr>
      <w:r>
        <w:rPr>
          <w:rStyle w:val="Appelnotedebasdep"/>
        </w:rPr>
        <w:footnoteRef/>
      </w:r>
      <w:r>
        <w:t xml:space="preserve"> </w:t>
      </w:r>
      <w:r>
        <w:tab/>
      </w:r>
      <w:r w:rsidR="004869F0">
        <w:rPr>
          <w:rFonts w:cs="Arial"/>
          <w:sz w:val="20"/>
        </w:rPr>
        <w:t>Précitée, note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C3F34" w:rsidTr="00D568FA">
      <w:tc>
        <w:tcPr>
          <w:tcW w:w="8730" w:type="dxa"/>
        </w:tcPr>
        <w:p w:rsidR="00DC3F34" w:rsidRDefault="00DC3F34">
          <w:pPr>
            <w:pStyle w:val="En-tte"/>
            <w:ind w:left="-90"/>
          </w:pPr>
        </w:p>
      </w:tc>
      <w:tc>
        <w:tcPr>
          <w:tcW w:w="860" w:type="dxa"/>
        </w:tcPr>
        <w:p w:rsidR="00DC3F34" w:rsidRDefault="00DC3F34">
          <w:pPr>
            <w:pStyle w:val="En-tte"/>
            <w:ind w:left="-90"/>
          </w:pPr>
        </w:p>
      </w:tc>
    </w:tr>
    <w:tr w:rsidR="00DC3F34" w:rsidTr="00D568FA">
      <w:tc>
        <w:tcPr>
          <w:tcW w:w="8730" w:type="dxa"/>
        </w:tcPr>
        <w:p w:rsidR="00DC3F34" w:rsidRDefault="00DC3F34" w:rsidP="00D568FA">
          <w:pPr>
            <w:pStyle w:val="zSoquijdatNoDossier"/>
          </w:pPr>
          <w:r>
            <w:t>1206544-05-2011</w:t>
          </w:r>
        </w:p>
      </w:tc>
      <w:tc>
        <w:tcPr>
          <w:tcW w:w="860" w:type="dxa"/>
        </w:tcPr>
        <w:p w:rsidR="00DC3F34" w:rsidRDefault="00DC3F34" w:rsidP="00D568FA">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DC730B">
            <w:rPr>
              <w:rStyle w:val="Numrodepage"/>
              <w:noProof/>
            </w:rPr>
            <w:t>4</w:t>
          </w:r>
          <w:r>
            <w:rPr>
              <w:rStyle w:val="Numrodepage"/>
            </w:rPr>
            <w:fldChar w:fldCharType="end"/>
          </w:r>
        </w:p>
      </w:tc>
    </w:tr>
    <w:tr w:rsidR="00DC3F34" w:rsidTr="00D568FA">
      <w:tc>
        <w:tcPr>
          <w:tcW w:w="8730" w:type="dxa"/>
        </w:tcPr>
        <w:p w:rsidR="00DC3F34" w:rsidRDefault="00DC3F34" w:rsidP="00D568FA"/>
      </w:tc>
      <w:tc>
        <w:tcPr>
          <w:tcW w:w="860" w:type="dxa"/>
        </w:tcPr>
        <w:p w:rsidR="00DC3F34" w:rsidRDefault="00DC3F34" w:rsidP="00D568FA">
          <w:pPr>
            <w:pStyle w:val="En-tte"/>
            <w:ind w:left="-90"/>
            <w:jc w:val="right"/>
          </w:pPr>
        </w:p>
      </w:tc>
    </w:tr>
  </w:tbl>
  <w:p w:rsidR="00DC3F34" w:rsidRDefault="00DC3F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9"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7"/>
  </w:num>
  <w:num w:numId="2">
    <w:abstractNumId w:val="6"/>
  </w:num>
  <w:num w:numId="3">
    <w:abstractNumId w:val="5"/>
  </w:num>
  <w:num w:numId="4">
    <w:abstractNumId w:val="3"/>
  </w:num>
  <w:num w:numId="5">
    <w:abstractNumId w:val="9"/>
  </w:num>
  <w:num w:numId="6">
    <w:abstractNumId w:val="9"/>
  </w:num>
  <w:num w:numId="7">
    <w:abstractNumId w:val="0"/>
  </w:num>
  <w:num w:numId="8">
    <w:abstractNumId w:val="2"/>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FA"/>
    <w:rsid w:val="000034B0"/>
    <w:rsid w:val="000041A1"/>
    <w:rsid w:val="0000458C"/>
    <w:rsid w:val="000058A4"/>
    <w:rsid w:val="0001305E"/>
    <w:rsid w:val="00013C66"/>
    <w:rsid w:val="00021B30"/>
    <w:rsid w:val="00021E4C"/>
    <w:rsid w:val="00022556"/>
    <w:rsid w:val="00023858"/>
    <w:rsid w:val="000352CA"/>
    <w:rsid w:val="00035452"/>
    <w:rsid w:val="000366EC"/>
    <w:rsid w:val="00043E4D"/>
    <w:rsid w:val="0004523D"/>
    <w:rsid w:val="00056393"/>
    <w:rsid w:val="000621BC"/>
    <w:rsid w:val="00062F0F"/>
    <w:rsid w:val="0007225E"/>
    <w:rsid w:val="00074EAE"/>
    <w:rsid w:val="00076D81"/>
    <w:rsid w:val="00080885"/>
    <w:rsid w:val="00082A97"/>
    <w:rsid w:val="0008378A"/>
    <w:rsid w:val="0008784D"/>
    <w:rsid w:val="00090018"/>
    <w:rsid w:val="00090306"/>
    <w:rsid w:val="00090F33"/>
    <w:rsid w:val="00093ACD"/>
    <w:rsid w:val="00095814"/>
    <w:rsid w:val="00096651"/>
    <w:rsid w:val="00097D81"/>
    <w:rsid w:val="00097FCE"/>
    <w:rsid w:val="000A0EA1"/>
    <w:rsid w:val="000A4AD0"/>
    <w:rsid w:val="000A5AD1"/>
    <w:rsid w:val="000A77C5"/>
    <w:rsid w:val="000B7F1B"/>
    <w:rsid w:val="000C3768"/>
    <w:rsid w:val="000C710F"/>
    <w:rsid w:val="000D3948"/>
    <w:rsid w:val="000E0C28"/>
    <w:rsid w:val="000E1320"/>
    <w:rsid w:val="000E2565"/>
    <w:rsid w:val="000E3FF6"/>
    <w:rsid w:val="000E56A6"/>
    <w:rsid w:val="000F3423"/>
    <w:rsid w:val="000F5F81"/>
    <w:rsid w:val="00104550"/>
    <w:rsid w:val="00104C3D"/>
    <w:rsid w:val="001050B4"/>
    <w:rsid w:val="001144AB"/>
    <w:rsid w:val="0012224D"/>
    <w:rsid w:val="001225BC"/>
    <w:rsid w:val="00122A9E"/>
    <w:rsid w:val="00122F94"/>
    <w:rsid w:val="0012326A"/>
    <w:rsid w:val="00137E7E"/>
    <w:rsid w:val="001407FC"/>
    <w:rsid w:val="00144572"/>
    <w:rsid w:val="00147A49"/>
    <w:rsid w:val="00147B8B"/>
    <w:rsid w:val="0015125A"/>
    <w:rsid w:val="00152464"/>
    <w:rsid w:val="0015539F"/>
    <w:rsid w:val="00160597"/>
    <w:rsid w:val="001664C8"/>
    <w:rsid w:val="00167AD0"/>
    <w:rsid w:val="00167E9D"/>
    <w:rsid w:val="00173184"/>
    <w:rsid w:val="00175079"/>
    <w:rsid w:val="00183515"/>
    <w:rsid w:val="00192957"/>
    <w:rsid w:val="001954C0"/>
    <w:rsid w:val="001A03BE"/>
    <w:rsid w:val="001A067E"/>
    <w:rsid w:val="001A2900"/>
    <w:rsid w:val="001A4081"/>
    <w:rsid w:val="001A65F1"/>
    <w:rsid w:val="001B2B40"/>
    <w:rsid w:val="001B3E9D"/>
    <w:rsid w:val="001B4A40"/>
    <w:rsid w:val="001B5524"/>
    <w:rsid w:val="001C1988"/>
    <w:rsid w:val="001C19D4"/>
    <w:rsid w:val="001C2B0B"/>
    <w:rsid w:val="001C436D"/>
    <w:rsid w:val="001D65D8"/>
    <w:rsid w:val="001E42F0"/>
    <w:rsid w:val="001F0249"/>
    <w:rsid w:val="00226493"/>
    <w:rsid w:val="00227040"/>
    <w:rsid w:val="00230CFC"/>
    <w:rsid w:val="00231C1D"/>
    <w:rsid w:val="00233ACA"/>
    <w:rsid w:val="00241CED"/>
    <w:rsid w:val="00242FB4"/>
    <w:rsid w:val="00245605"/>
    <w:rsid w:val="00245B30"/>
    <w:rsid w:val="002563F0"/>
    <w:rsid w:val="00256CA3"/>
    <w:rsid w:val="00256DBB"/>
    <w:rsid w:val="00266064"/>
    <w:rsid w:val="00267C8D"/>
    <w:rsid w:val="002701DD"/>
    <w:rsid w:val="00273F49"/>
    <w:rsid w:val="002769B5"/>
    <w:rsid w:val="00276B59"/>
    <w:rsid w:val="0027756D"/>
    <w:rsid w:val="00281319"/>
    <w:rsid w:val="00286149"/>
    <w:rsid w:val="0028668D"/>
    <w:rsid w:val="00290289"/>
    <w:rsid w:val="00292188"/>
    <w:rsid w:val="00296259"/>
    <w:rsid w:val="00296645"/>
    <w:rsid w:val="00296A4B"/>
    <w:rsid w:val="00297284"/>
    <w:rsid w:val="002A0077"/>
    <w:rsid w:val="002A07DC"/>
    <w:rsid w:val="002A3573"/>
    <w:rsid w:val="002A374B"/>
    <w:rsid w:val="002A694D"/>
    <w:rsid w:val="002A73E9"/>
    <w:rsid w:val="002B2ED0"/>
    <w:rsid w:val="002B2FC3"/>
    <w:rsid w:val="002B35F0"/>
    <w:rsid w:val="002B58AF"/>
    <w:rsid w:val="002C3748"/>
    <w:rsid w:val="002C5E89"/>
    <w:rsid w:val="002D42BC"/>
    <w:rsid w:val="002D71A9"/>
    <w:rsid w:val="002D7846"/>
    <w:rsid w:val="002D7FCB"/>
    <w:rsid w:val="002E05AE"/>
    <w:rsid w:val="002F1E42"/>
    <w:rsid w:val="002F39F0"/>
    <w:rsid w:val="002F7507"/>
    <w:rsid w:val="00302FB4"/>
    <w:rsid w:val="00305273"/>
    <w:rsid w:val="003057FC"/>
    <w:rsid w:val="00307C85"/>
    <w:rsid w:val="00312983"/>
    <w:rsid w:val="003248CB"/>
    <w:rsid w:val="00331EA7"/>
    <w:rsid w:val="003332B8"/>
    <w:rsid w:val="00337555"/>
    <w:rsid w:val="00344465"/>
    <w:rsid w:val="0034740A"/>
    <w:rsid w:val="00351071"/>
    <w:rsid w:val="0035375B"/>
    <w:rsid w:val="003546A2"/>
    <w:rsid w:val="00361713"/>
    <w:rsid w:val="00362D74"/>
    <w:rsid w:val="003664E9"/>
    <w:rsid w:val="00366D1E"/>
    <w:rsid w:val="0037112C"/>
    <w:rsid w:val="00373EE5"/>
    <w:rsid w:val="003817E7"/>
    <w:rsid w:val="00382E55"/>
    <w:rsid w:val="00390B55"/>
    <w:rsid w:val="003961B2"/>
    <w:rsid w:val="00396644"/>
    <w:rsid w:val="003A23C6"/>
    <w:rsid w:val="003A41AD"/>
    <w:rsid w:val="003B0BF5"/>
    <w:rsid w:val="003B152B"/>
    <w:rsid w:val="003B1734"/>
    <w:rsid w:val="003B1735"/>
    <w:rsid w:val="003B6CBF"/>
    <w:rsid w:val="003C1AE8"/>
    <w:rsid w:val="003C47A7"/>
    <w:rsid w:val="003D0826"/>
    <w:rsid w:val="003D18FC"/>
    <w:rsid w:val="003D2C4E"/>
    <w:rsid w:val="003D3C93"/>
    <w:rsid w:val="003E00D5"/>
    <w:rsid w:val="003E02BA"/>
    <w:rsid w:val="003E613D"/>
    <w:rsid w:val="003F0578"/>
    <w:rsid w:val="003F7F38"/>
    <w:rsid w:val="0040249B"/>
    <w:rsid w:val="0040399B"/>
    <w:rsid w:val="00406F0C"/>
    <w:rsid w:val="00411251"/>
    <w:rsid w:val="00412585"/>
    <w:rsid w:val="00413602"/>
    <w:rsid w:val="0041363B"/>
    <w:rsid w:val="00415D5D"/>
    <w:rsid w:val="004232E9"/>
    <w:rsid w:val="00424C04"/>
    <w:rsid w:val="0042650F"/>
    <w:rsid w:val="0042684F"/>
    <w:rsid w:val="00427D5D"/>
    <w:rsid w:val="00431E0B"/>
    <w:rsid w:val="004337FE"/>
    <w:rsid w:val="00433E98"/>
    <w:rsid w:val="00435738"/>
    <w:rsid w:val="00437137"/>
    <w:rsid w:val="004403B8"/>
    <w:rsid w:val="00441ADA"/>
    <w:rsid w:val="004422CA"/>
    <w:rsid w:val="0044371C"/>
    <w:rsid w:val="0044627E"/>
    <w:rsid w:val="0045114F"/>
    <w:rsid w:val="004529D3"/>
    <w:rsid w:val="00453F31"/>
    <w:rsid w:val="00455616"/>
    <w:rsid w:val="00456B0C"/>
    <w:rsid w:val="0046538B"/>
    <w:rsid w:val="00471C92"/>
    <w:rsid w:val="004739AC"/>
    <w:rsid w:val="00474489"/>
    <w:rsid w:val="00475FEF"/>
    <w:rsid w:val="0047776F"/>
    <w:rsid w:val="00481827"/>
    <w:rsid w:val="00482D5B"/>
    <w:rsid w:val="004869F0"/>
    <w:rsid w:val="004870EA"/>
    <w:rsid w:val="00487F13"/>
    <w:rsid w:val="004918C5"/>
    <w:rsid w:val="0049337A"/>
    <w:rsid w:val="0049595F"/>
    <w:rsid w:val="00496193"/>
    <w:rsid w:val="004A02AF"/>
    <w:rsid w:val="004A4449"/>
    <w:rsid w:val="004A679B"/>
    <w:rsid w:val="004B43E5"/>
    <w:rsid w:val="004C0FB4"/>
    <w:rsid w:val="004C1811"/>
    <w:rsid w:val="004C1C52"/>
    <w:rsid w:val="004C2944"/>
    <w:rsid w:val="004C4555"/>
    <w:rsid w:val="004D16D6"/>
    <w:rsid w:val="004D6CEA"/>
    <w:rsid w:val="004E3564"/>
    <w:rsid w:val="004E51C0"/>
    <w:rsid w:val="004E64BE"/>
    <w:rsid w:val="004F6293"/>
    <w:rsid w:val="00503B8D"/>
    <w:rsid w:val="00503EE3"/>
    <w:rsid w:val="00505811"/>
    <w:rsid w:val="00505DF3"/>
    <w:rsid w:val="0051261C"/>
    <w:rsid w:val="00515DE7"/>
    <w:rsid w:val="00517EB0"/>
    <w:rsid w:val="005205CB"/>
    <w:rsid w:val="0053485E"/>
    <w:rsid w:val="005348E4"/>
    <w:rsid w:val="005352F1"/>
    <w:rsid w:val="00540094"/>
    <w:rsid w:val="00545CFF"/>
    <w:rsid w:val="00555800"/>
    <w:rsid w:val="00556DBB"/>
    <w:rsid w:val="00560781"/>
    <w:rsid w:val="0056268F"/>
    <w:rsid w:val="005662E9"/>
    <w:rsid w:val="005700F8"/>
    <w:rsid w:val="00572AAF"/>
    <w:rsid w:val="005801AE"/>
    <w:rsid w:val="005818AA"/>
    <w:rsid w:val="00582868"/>
    <w:rsid w:val="00582ECC"/>
    <w:rsid w:val="0058399B"/>
    <w:rsid w:val="0058692F"/>
    <w:rsid w:val="00587045"/>
    <w:rsid w:val="00587C22"/>
    <w:rsid w:val="005907BE"/>
    <w:rsid w:val="0059436D"/>
    <w:rsid w:val="005945C0"/>
    <w:rsid w:val="00597016"/>
    <w:rsid w:val="005974B7"/>
    <w:rsid w:val="005A0D51"/>
    <w:rsid w:val="005A181B"/>
    <w:rsid w:val="005A1CB3"/>
    <w:rsid w:val="005A3073"/>
    <w:rsid w:val="005A33A5"/>
    <w:rsid w:val="005A70A0"/>
    <w:rsid w:val="005B0612"/>
    <w:rsid w:val="005B13BF"/>
    <w:rsid w:val="005B13F0"/>
    <w:rsid w:val="005B2E0C"/>
    <w:rsid w:val="005B30F6"/>
    <w:rsid w:val="005B45BA"/>
    <w:rsid w:val="005B5689"/>
    <w:rsid w:val="005B6223"/>
    <w:rsid w:val="005B6680"/>
    <w:rsid w:val="005B6774"/>
    <w:rsid w:val="005B6776"/>
    <w:rsid w:val="005C0A89"/>
    <w:rsid w:val="005C3BC4"/>
    <w:rsid w:val="005D26CC"/>
    <w:rsid w:val="005D59B1"/>
    <w:rsid w:val="005D764B"/>
    <w:rsid w:val="005E2367"/>
    <w:rsid w:val="005E5B23"/>
    <w:rsid w:val="005E5E90"/>
    <w:rsid w:val="005E654C"/>
    <w:rsid w:val="005E7F1C"/>
    <w:rsid w:val="005F05F6"/>
    <w:rsid w:val="00605734"/>
    <w:rsid w:val="0061488E"/>
    <w:rsid w:val="0061574B"/>
    <w:rsid w:val="00622670"/>
    <w:rsid w:val="00623A1A"/>
    <w:rsid w:val="00626E8D"/>
    <w:rsid w:val="0063059B"/>
    <w:rsid w:val="0063156B"/>
    <w:rsid w:val="006326A9"/>
    <w:rsid w:val="00632DA8"/>
    <w:rsid w:val="00634E6E"/>
    <w:rsid w:val="0064342A"/>
    <w:rsid w:val="00643A28"/>
    <w:rsid w:val="006452FA"/>
    <w:rsid w:val="0065093D"/>
    <w:rsid w:val="00652A16"/>
    <w:rsid w:val="00652B52"/>
    <w:rsid w:val="00655193"/>
    <w:rsid w:val="00655459"/>
    <w:rsid w:val="00656FB2"/>
    <w:rsid w:val="00657A70"/>
    <w:rsid w:val="00661454"/>
    <w:rsid w:val="006620AA"/>
    <w:rsid w:val="0066642D"/>
    <w:rsid w:val="00675E85"/>
    <w:rsid w:val="0067750F"/>
    <w:rsid w:val="00681396"/>
    <w:rsid w:val="0068171F"/>
    <w:rsid w:val="0068401E"/>
    <w:rsid w:val="006841A4"/>
    <w:rsid w:val="0068643F"/>
    <w:rsid w:val="006877A1"/>
    <w:rsid w:val="00692150"/>
    <w:rsid w:val="00692F0C"/>
    <w:rsid w:val="00696E7C"/>
    <w:rsid w:val="006A0C54"/>
    <w:rsid w:val="006A7C53"/>
    <w:rsid w:val="006B140A"/>
    <w:rsid w:val="006B309C"/>
    <w:rsid w:val="006B727F"/>
    <w:rsid w:val="006C0B2A"/>
    <w:rsid w:val="006C6D3A"/>
    <w:rsid w:val="006C7B36"/>
    <w:rsid w:val="006C7B7F"/>
    <w:rsid w:val="006D0D32"/>
    <w:rsid w:val="006D19E8"/>
    <w:rsid w:val="006E04B5"/>
    <w:rsid w:val="006E330C"/>
    <w:rsid w:val="006E3DD8"/>
    <w:rsid w:val="006E793F"/>
    <w:rsid w:val="006F0154"/>
    <w:rsid w:val="006F1138"/>
    <w:rsid w:val="006F608D"/>
    <w:rsid w:val="006F7944"/>
    <w:rsid w:val="00703B2C"/>
    <w:rsid w:val="00704121"/>
    <w:rsid w:val="00705BB5"/>
    <w:rsid w:val="0071326F"/>
    <w:rsid w:val="007153D7"/>
    <w:rsid w:val="00720ED4"/>
    <w:rsid w:val="007335CA"/>
    <w:rsid w:val="0074488F"/>
    <w:rsid w:val="00745AA8"/>
    <w:rsid w:val="007503E0"/>
    <w:rsid w:val="007510EC"/>
    <w:rsid w:val="0075233C"/>
    <w:rsid w:val="0075256A"/>
    <w:rsid w:val="00752DCD"/>
    <w:rsid w:val="007569DE"/>
    <w:rsid w:val="0075723C"/>
    <w:rsid w:val="00760EBE"/>
    <w:rsid w:val="00773C91"/>
    <w:rsid w:val="00775BDF"/>
    <w:rsid w:val="0077614D"/>
    <w:rsid w:val="00782C8F"/>
    <w:rsid w:val="00785F78"/>
    <w:rsid w:val="0078659D"/>
    <w:rsid w:val="007869EC"/>
    <w:rsid w:val="007A0016"/>
    <w:rsid w:val="007A1E58"/>
    <w:rsid w:val="007A5C7E"/>
    <w:rsid w:val="007A6E2F"/>
    <w:rsid w:val="007B0254"/>
    <w:rsid w:val="007B0DF2"/>
    <w:rsid w:val="007B225A"/>
    <w:rsid w:val="007B3BC5"/>
    <w:rsid w:val="007D03DF"/>
    <w:rsid w:val="007D4953"/>
    <w:rsid w:val="007D50F4"/>
    <w:rsid w:val="007D7173"/>
    <w:rsid w:val="007E1216"/>
    <w:rsid w:val="007E4CD4"/>
    <w:rsid w:val="007E530C"/>
    <w:rsid w:val="007F0E8E"/>
    <w:rsid w:val="007F2149"/>
    <w:rsid w:val="007F4E00"/>
    <w:rsid w:val="008048CF"/>
    <w:rsid w:val="00806578"/>
    <w:rsid w:val="008079DD"/>
    <w:rsid w:val="0081130F"/>
    <w:rsid w:val="00813095"/>
    <w:rsid w:val="008145AD"/>
    <w:rsid w:val="008146B2"/>
    <w:rsid w:val="00824430"/>
    <w:rsid w:val="00825B1F"/>
    <w:rsid w:val="00827D55"/>
    <w:rsid w:val="00837E20"/>
    <w:rsid w:val="00840EDD"/>
    <w:rsid w:val="0084255F"/>
    <w:rsid w:val="00854FB3"/>
    <w:rsid w:val="00860F13"/>
    <w:rsid w:val="00861F8B"/>
    <w:rsid w:val="0086561F"/>
    <w:rsid w:val="00865A7A"/>
    <w:rsid w:val="00865FE1"/>
    <w:rsid w:val="0087069B"/>
    <w:rsid w:val="008748C7"/>
    <w:rsid w:val="0087521A"/>
    <w:rsid w:val="008808C0"/>
    <w:rsid w:val="008817BB"/>
    <w:rsid w:val="008824C0"/>
    <w:rsid w:val="00890BDE"/>
    <w:rsid w:val="00892AD3"/>
    <w:rsid w:val="008962E7"/>
    <w:rsid w:val="008A1118"/>
    <w:rsid w:val="008A281F"/>
    <w:rsid w:val="008A48D2"/>
    <w:rsid w:val="008A4AF6"/>
    <w:rsid w:val="008A4FF8"/>
    <w:rsid w:val="008A5182"/>
    <w:rsid w:val="008A54FD"/>
    <w:rsid w:val="008A5ED1"/>
    <w:rsid w:val="008A73CE"/>
    <w:rsid w:val="008A7FD1"/>
    <w:rsid w:val="008B042E"/>
    <w:rsid w:val="008B211E"/>
    <w:rsid w:val="008B6D48"/>
    <w:rsid w:val="008C7660"/>
    <w:rsid w:val="008C79A7"/>
    <w:rsid w:val="008D5521"/>
    <w:rsid w:val="008D555F"/>
    <w:rsid w:val="008D625D"/>
    <w:rsid w:val="008D650E"/>
    <w:rsid w:val="008E6A41"/>
    <w:rsid w:val="008F15D5"/>
    <w:rsid w:val="00903990"/>
    <w:rsid w:val="009042A8"/>
    <w:rsid w:val="00904950"/>
    <w:rsid w:val="00915E5E"/>
    <w:rsid w:val="009166B8"/>
    <w:rsid w:val="00917915"/>
    <w:rsid w:val="00920684"/>
    <w:rsid w:val="009216E6"/>
    <w:rsid w:val="00922DB7"/>
    <w:rsid w:val="0092684A"/>
    <w:rsid w:val="00934500"/>
    <w:rsid w:val="00937FAB"/>
    <w:rsid w:val="0094094D"/>
    <w:rsid w:val="00942AB8"/>
    <w:rsid w:val="0094548C"/>
    <w:rsid w:val="00945CAF"/>
    <w:rsid w:val="00946929"/>
    <w:rsid w:val="00946AC9"/>
    <w:rsid w:val="00947448"/>
    <w:rsid w:val="00952B38"/>
    <w:rsid w:val="00952C99"/>
    <w:rsid w:val="009578B6"/>
    <w:rsid w:val="00965333"/>
    <w:rsid w:val="009712EF"/>
    <w:rsid w:val="009727BF"/>
    <w:rsid w:val="00973321"/>
    <w:rsid w:val="00975C2E"/>
    <w:rsid w:val="00977270"/>
    <w:rsid w:val="009824F2"/>
    <w:rsid w:val="00983080"/>
    <w:rsid w:val="00986AA3"/>
    <w:rsid w:val="00990B1F"/>
    <w:rsid w:val="00993B24"/>
    <w:rsid w:val="0099611F"/>
    <w:rsid w:val="009A083F"/>
    <w:rsid w:val="009A135C"/>
    <w:rsid w:val="009A67E7"/>
    <w:rsid w:val="009C5ABE"/>
    <w:rsid w:val="009C603A"/>
    <w:rsid w:val="009C74CD"/>
    <w:rsid w:val="009D048F"/>
    <w:rsid w:val="009D162F"/>
    <w:rsid w:val="009D401F"/>
    <w:rsid w:val="009D68FA"/>
    <w:rsid w:val="009E32CF"/>
    <w:rsid w:val="009E4FC2"/>
    <w:rsid w:val="009E5747"/>
    <w:rsid w:val="009E7951"/>
    <w:rsid w:val="009F44AE"/>
    <w:rsid w:val="00A02529"/>
    <w:rsid w:val="00A02EF2"/>
    <w:rsid w:val="00A04D5E"/>
    <w:rsid w:val="00A10DDF"/>
    <w:rsid w:val="00A11172"/>
    <w:rsid w:val="00A1219E"/>
    <w:rsid w:val="00A12E55"/>
    <w:rsid w:val="00A2167D"/>
    <w:rsid w:val="00A2411A"/>
    <w:rsid w:val="00A242E4"/>
    <w:rsid w:val="00A24437"/>
    <w:rsid w:val="00A24CA0"/>
    <w:rsid w:val="00A26804"/>
    <w:rsid w:val="00A33601"/>
    <w:rsid w:val="00A3362A"/>
    <w:rsid w:val="00A37B70"/>
    <w:rsid w:val="00A40AC7"/>
    <w:rsid w:val="00A435C7"/>
    <w:rsid w:val="00A569B2"/>
    <w:rsid w:val="00A611A4"/>
    <w:rsid w:val="00A61F09"/>
    <w:rsid w:val="00A6695B"/>
    <w:rsid w:val="00A72703"/>
    <w:rsid w:val="00A727F6"/>
    <w:rsid w:val="00A72E71"/>
    <w:rsid w:val="00A76432"/>
    <w:rsid w:val="00A770C0"/>
    <w:rsid w:val="00A84FC6"/>
    <w:rsid w:val="00A8528E"/>
    <w:rsid w:val="00A85C4C"/>
    <w:rsid w:val="00A90BD9"/>
    <w:rsid w:val="00A93D3E"/>
    <w:rsid w:val="00A94A49"/>
    <w:rsid w:val="00A95C5E"/>
    <w:rsid w:val="00AA1815"/>
    <w:rsid w:val="00AA1D3E"/>
    <w:rsid w:val="00AA23D8"/>
    <w:rsid w:val="00AA39F9"/>
    <w:rsid w:val="00AA3C9D"/>
    <w:rsid w:val="00AA79D3"/>
    <w:rsid w:val="00AB0931"/>
    <w:rsid w:val="00AB5C9B"/>
    <w:rsid w:val="00AC0276"/>
    <w:rsid w:val="00AC0312"/>
    <w:rsid w:val="00AC0449"/>
    <w:rsid w:val="00AC0DC3"/>
    <w:rsid w:val="00AD2497"/>
    <w:rsid w:val="00AD25B8"/>
    <w:rsid w:val="00AD4923"/>
    <w:rsid w:val="00AD5EB4"/>
    <w:rsid w:val="00AD667B"/>
    <w:rsid w:val="00AE63E2"/>
    <w:rsid w:val="00AF04C9"/>
    <w:rsid w:val="00AF1DC4"/>
    <w:rsid w:val="00AF26B6"/>
    <w:rsid w:val="00AF2979"/>
    <w:rsid w:val="00AF3189"/>
    <w:rsid w:val="00B0375C"/>
    <w:rsid w:val="00B052CB"/>
    <w:rsid w:val="00B156C3"/>
    <w:rsid w:val="00B15F67"/>
    <w:rsid w:val="00B1624F"/>
    <w:rsid w:val="00B20F5D"/>
    <w:rsid w:val="00B21184"/>
    <w:rsid w:val="00B224C5"/>
    <w:rsid w:val="00B2278B"/>
    <w:rsid w:val="00B325CD"/>
    <w:rsid w:val="00B41682"/>
    <w:rsid w:val="00B4561E"/>
    <w:rsid w:val="00B4768D"/>
    <w:rsid w:val="00B518E5"/>
    <w:rsid w:val="00B51E1F"/>
    <w:rsid w:val="00B5416E"/>
    <w:rsid w:val="00B57032"/>
    <w:rsid w:val="00B60222"/>
    <w:rsid w:val="00B62CFB"/>
    <w:rsid w:val="00B662F5"/>
    <w:rsid w:val="00B7000C"/>
    <w:rsid w:val="00B760D5"/>
    <w:rsid w:val="00B8264C"/>
    <w:rsid w:val="00B83B2C"/>
    <w:rsid w:val="00B84A92"/>
    <w:rsid w:val="00B92049"/>
    <w:rsid w:val="00B94740"/>
    <w:rsid w:val="00B95002"/>
    <w:rsid w:val="00B97F75"/>
    <w:rsid w:val="00BA0A4F"/>
    <w:rsid w:val="00BA1CAE"/>
    <w:rsid w:val="00BA33BB"/>
    <w:rsid w:val="00BA4830"/>
    <w:rsid w:val="00BA5C50"/>
    <w:rsid w:val="00BA6E22"/>
    <w:rsid w:val="00BB362C"/>
    <w:rsid w:val="00BB5942"/>
    <w:rsid w:val="00BB5C4B"/>
    <w:rsid w:val="00BC05E2"/>
    <w:rsid w:val="00BC0A03"/>
    <w:rsid w:val="00BC0B66"/>
    <w:rsid w:val="00BC5BB4"/>
    <w:rsid w:val="00BD4139"/>
    <w:rsid w:val="00BE059A"/>
    <w:rsid w:val="00BE1981"/>
    <w:rsid w:val="00BE2DA6"/>
    <w:rsid w:val="00BE320B"/>
    <w:rsid w:val="00BE56E9"/>
    <w:rsid w:val="00BE63CF"/>
    <w:rsid w:val="00BE7014"/>
    <w:rsid w:val="00BE7991"/>
    <w:rsid w:val="00BF25C7"/>
    <w:rsid w:val="00C009B7"/>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512B2"/>
    <w:rsid w:val="00C57B48"/>
    <w:rsid w:val="00C61D56"/>
    <w:rsid w:val="00C62B69"/>
    <w:rsid w:val="00C644B7"/>
    <w:rsid w:val="00C64564"/>
    <w:rsid w:val="00C71C75"/>
    <w:rsid w:val="00C73C87"/>
    <w:rsid w:val="00C74B6F"/>
    <w:rsid w:val="00C87EF3"/>
    <w:rsid w:val="00C9015F"/>
    <w:rsid w:val="00C912F9"/>
    <w:rsid w:val="00C9241B"/>
    <w:rsid w:val="00C94359"/>
    <w:rsid w:val="00C96087"/>
    <w:rsid w:val="00C96DDF"/>
    <w:rsid w:val="00C97569"/>
    <w:rsid w:val="00CA199D"/>
    <w:rsid w:val="00CA4D9C"/>
    <w:rsid w:val="00CB05A7"/>
    <w:rsid w:val="00CB06A4"/>
    <w:rsid w:val="00CB1BAB"/>
    <w:rsid w:val="00CB325B"/>
    <w:rsid w:val="00CB64FF"/>
    <w:rsid w:val="00CB7078"/>
    <w:rsid w:val="00CC014B"/>
    <w:rsid w:val="00CC21D8"/>
    <w:rsid w:val="00CC3369"/>
    <w:rsid w:val="00CC5343"/>
    <w:rsid w:val="00CC6338"/>
    <w:rsid w:val="00CC78DE"/>
    <w:rsid w:val="00CD04D9"/>
    <w:rsid w:val="00CD0F93"/>
    <w:rsid w:val="00CD6D6E"/>
    <w:rsid w:val="00CD6F23"/>
    <w:rsid w:val="00CF640B"/>
    <w:rsid w:val="00CF6B5A"/>
    <w:rsid w:val="00D027AF"/>
    <w:rsid w:val="00D0323E"/>
    <w:rsid w:val="00D06652"/>
    <w:rsid w:val="00D07FA6"/>
    <w:rsid w:val="00D16ADF"/>
    <w:rsid w:val="00D17C53"/>
    <w:rsid w:val="00D17D57"/>
    <w:rsid w:val="00D2341D"/>
    <w:rsid w:val="00D25E0E"/>
    <w:rsid w:val="00D302EB"/>
    <w:rsid w:val="00D31679"/>
    <w:rsid w:val="00D320C8"/>
    <w:rsid w:val="00D321D2"/>
    <w:rsid w:val="00D3672F"/>
    <w:rsid w:val="00D40ABA"/>
    <w:rsid w:val="00D40FE2"/>
    <w:rsid w:val="00D440FA"/>
    <w:rsid w:val="00D44BCF"/>
    <w:rsid w:val="00D46E73"/>
    <w:rsid w:val="00D5298A"/>
    <w:rsid w:val="00D5548D"/>
    <w:rsid w:val="00D568FA"/>
    <w:rsid w:val="00D60F81"/>
    <w:rsid w:val="00D63951"/>
    <w:rsid w:val="00D63BF2"/>
    <w:rsid w:val="00D67348"/>
    <w:rsid w:val="00D70A26"/>
    <w:rsid w:val="00D73BB4"/>
    <w:rsid w:val="00D758D3"/>
    <w:rsid w:val="00D75FEC"/>
    <w:rsid w:val="00D76B98"/>
    <w:rsid w:val="00D835A0"/>
    <w:rsid w:val="00D86620"/>
    <w:rsid w:val="00D86F2C"/>
    <w:rsid w:val="00D9333B"/>
    <w:rsid w:val="00DA0680"/>
    <w:rsid w:val="00DA36F6"/>
    <w:rsid w:val="00DB0C8D"/>
    <w:rsid w:val="00DC1611"/>
    <w:rsid w:val="00DC3F34"/>
    <w:rsid w:val="00DC730B"/>
    <w:rsid w:val="00DD3C53"/>
    <w:rsid w:val="00DE745D"/>
    <w:rsid w:val="00DF0774"/>
    <w:rsid w:val="00DF1036"/>
    <w:rsid w:val="00DF4644"/>
    <w:rsid w:val="00E012B4"/>
    <w:rsid w:val="00E05451"/>
    <w:rsid w:val="00E05651"/>
    <w:rsid w:val="00E11BA5"/>
    <w:rsid w:val="00E20425"/>
    <w:rsid w:val="00E25DCB"/>
    <w:rsid w:val="00E27634"/>
    <w:rsid w:val="00E34513"/>
    <w:rsid w:val="00E4156E"/>
    <w:rsid w:val="00E44D61"/>
    <w:rsid w:val="00E453F2"/>
    <w:rsid w:val="00E460AD"/>
    <w:rsid w:val="00E61925"/>
    <w:rsid w:val="00E65C0E"/>
    <w:rsid w:val="00E730FC"/>
    <w:rsid w:val="00E746F0"/>
    <w:rsid w:val="00E76A1F"/>
    <w:rsid w:val="00E809B9"/>
    <w:rsid w:val="00E82A15"/>
    <w:rsid w:val="00E85445"/>
    <w:rsid w:val="00E86256"/>
    <w:rsid w:val="00E87589"/>
    <w:rsid w:val="00E876A5"/>
    <w:rsid w:val="00E938FF"/>
    <w:rsid w:val="00E93DFE"/>
    <w:rsid w:val="00EA2124"/>
    <w:rsid w:val="00EA2B12"/>
    <w:rsid w:val="00EA34DC"/>
    <w:rsid w:val="00EA5017"/>
    <w:rsid w:val="00EA6BED"/>
    <w:rsid w:val="00EB14F0"/>
    <w:rsid w:val="00EB3844"/>
    <w:rsid w:val="00EB3A69"/>
    <w:rsid w:val="00EB5A9F"/>
    <w:rsid w:val="00EC1AB0"/>
    <w:rsid w:val="00EC573F"/>
    <w:rsid w:val="00EC5C8D"/>
    <w:rsid w:val="00ED106C"/>
    <w:rsid w:val="00ED2D34"/>
    <w:rsid w:val="00ED4805"/>
    <w:rsid w:val="00ED57F6"/>
    <w:rsid w:val="00ED6C51"/>
    <w:rsid w:val="00ED6DA1"/>
    <w:rsid w:val="00EF207D"/>
    <w:rsid w:val="00EF4258"/>
    <w:rsid w:val="00EF6D31"/>
    <w:rsid w:val="00F02237"/>
    <w:rsid w:val="00F079A6"/>
    <w:rsid w:val="00F10236"/>
    <w:rsid w:val="00F10484"/>
    <w:rsid w:val="00F15811"/>
    <w:rsid w:val="00F22423"/>
    <w:rsid w:val="00F24C72"/>
    <w:rsid w:val="00F272CA"/>
    <w:rsid w:val="00F31D22"/>
    <w:rsid w:val="00F325BB"/>
    <w:rsid w:val="00F348B2"/>
    <w:rsid w:val="00F34BF0"/>
    <w:rsid w:val="00F34ED8"/>
    <w:rsid w:val="00F4095A"/>
    <w:rsid w:val="00F43B1A"/>
    <w:rsid w:val="00F45845"/>
    <w:rsid w:val="00F4749C"/>
    <w:rsid w:val="00F47C65"/>
    <w:rsid w:val="00F50189"/>
    <w:rsid w:val="00F508FC"/>
    <w:rsid w:val="00F510B7"/>
    <w:rsid w:val="00F53571"/>
    <w:rsid w:val="00F54044"/>
    <w:rsid w:val="00F576E7"/>
    <w:rsid w:val="00F716AD"/>
    <w:rsid w:val="00F73D1C"/>
    <w:rsid w:val="00F73D61"/>
    <w:rsid w:val="00F763FC"/>
    <w:rsid w:val="00F772C1"/>
    <w:rsid w:val="00F8026D"/>
    <w:rsid w:val="00F8245F"/>
    <w:rsid w:val="00F82E40"/>
    <w:rsid w:val="00F91629"/>
    <w:rsid w:val="00F91E2A"/>
    <w:rsid w:val="00F939F8"/>
    <w:rsid w:val="00F96C39"/>
    <w:rsid w:val="00F96E41"/>
    <w:rsid w:val="00FA153F"/>
    <w:rsid w:val="00FA1D78"/>
    <w:rsid w:val="00FA1F7E"/>
    <w:rsid w:val="00FA280F"/>
    <w:rsid w:val="00FB2186"/>
    <w:rsid w:val="00FD0133"/>
    <w:rsid w:val="00FD25FE"/>
    <w:rsid w:val="00FD6206"/>
    <w:rsid w:val="00FE1318"/>
    <w:rsid w:val="00FE208F"/>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uiPriority w:val="9"/>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8F15D5"/>
    <w:pPr>
      <w:keepNext/>
      <w:spacing w:before="240" w:after="240"/>
      <w:outlineLvl w:val="2"/>
    </w:pPr>
    <w:rPr>
      <w:rFonts w:cs="Arial"/>
      <w:b/>
      <w:bCs/>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 Car, Car Car Car Car Car, Car Car Car Car, Car Car Car, Car Car Car Car Car Car Car Car Car,Car Car,Car Car Car,Car,Car Car Car Car Car,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 Car Car, Car Car Car Car Car Car, Car Car Car Car Car1, Car Car Car Car1, Car Car Car Car Car Car Car Car Car Car,Car Car Car1,Car Car Car Car,Car Car4"/>
    <w:basedOn w:val="Policepardfaut"/>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uiPriority w:val="9"/>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 w:type="character" w:customStyle="1" w:styleId="corpsdedcisionCar">
    <w:name w:val="corps de décision Car"/>
    <w:link w:val="corpsdedcision"/>
    <w:locked/>
    <w:rsid w:val="00D568FA"/>
    <w:rPr>
      <w:rFonts w:ascii="Arial" w:hAnsi="Arial"/>
      <w:sz w:val="24"/>
    </w:rPr>
  </w:style>
  <w:style w:type="character" w:styleId="lev">
    <w:name w:val="Strong"/>
    <w:basedOn w:val="Policepardfaut"/>
    <w:uiPriority w:val="22"/>
    <w:qFormat/>
    <w:rsid w:val="00E27634"/>
    <w:rPr>
      <w:b/>
      <w:bCs/>
    </w:rPr>
  </w:style>
  <w:style w:type="paragraph" w:styleId="Textedebulles">
    <w:name w:val="Balloon Text"/>
    <w:basedOn w:val="Normal"/>
    <w:link w:val="TextedebullesCar"/>
    <w:rsid w:val="0004523D"/>
    <w:rPr>
      <w:rFonts w:ascii="Segoe UI" w:hAnsi="Segoe UI" w:cs="Segoe UI"/>
      <w:sz w:val="18"/>
      <w:szCs w:val="18"/>
    </w:rPr>
  </w:style>
  <w:style w:type="character" w:customStyle="1" w:styleId="TextedebullesCar">
    <w:name w:val="Texte de bulles Car"/>
    <w:basedOn w:val="Policepardfaut"/>
    <w:link w:val="Textedebulles"/>
    <w:rsid w:val="00045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 w:id="13541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8079-1293-4330-AF46-F706826A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3254</Words>
  <Characters>17901</Characters>
  <Application>Microsoft Office Word</Application>
  <DocSecurity>0</DocSecurity>
  <Lines>149</Lines>
  <Paragraphs>42</Paragraphs>
  <ScaleCrop>false</ScaleCrop>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2021-12-22T13:47:00Z</dcterms:created>
  <dcterms:modified xsi:type="dcterms:W3CDTF">2021-12-22T13:47:00Z</dcterms:modified>
</cp:coreProperties>
</file>