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14:paraId="2FCD0CA3" w14:textId="77777777">
        <w:trPr>
          <w:cantSplit/>
        </w:trPr>
        <w:tc>
          <w:tcPr>
            <w:tcW w:w="4795" w:type="dxa"/>
          </w:tcPr>
          <w:p w14:paraId="11D19437" w14:textId="77777777" w:rsidR="008A7FD1" w:rsidRPr="006C7434" w:rsidRDefault="006C7434" w:rsidP="006C7434">
            <w:pPr>
              <w:pStyle w:val="zSoquijdatRepertorie"/>
              <w:rPr>
                <w:rFonts w:cs="Arial"/>
              </w:rPr>
            </w:pPr>
            <w:r>
              <w:rPr>
                <w:rFonts w:cs="Arial"/>
              </w:rPr>
              <w:t xml:space="preserve">Services préhospitaliers </w:t>
            </w:r>
            <w:proofErr w:type="spellStart"/>
            <w:r>
              <w:rPr>
                <w:rFonts w:cs="Arial"/>
              </w:rPr>
              <w:t>Paraxion</w:t>
            </w:r>
            <w:proofErr w:type="spellEnd"/>
            <w:r>
              <w:rPr>
                <w:rFonts w:cs="Arial"/>
              </w:rPr>
              <w:t xml:space="preserve"> </w:t>
            </w:r>
            <w:proofErr w:type="spellStart"/>
            <w:r>
              <w:rPr>
                <w:rFonts w:cs="Arial"/>
              </w:rPr>
              <w:t>inc.</w:t>
            </w:r>
            <w:proofErr w:type="spellEnd"/>
            <w:r>
              <w:rPr>
                <w:rFonts w:cs="Arial"/>
              </w:rPr>
              <w:t xml:space="preserve"> et Boudreau</w:t>
            </w:r>
          </w:p>
        </w:tc>
        <w:tc>
          <w:tcPr>
            <w:tcW w:w="2477" w:type="dxa"/>
          </w:tcPr>
          <w:p w14:paraId="302FAB58" w14:textId="04EBE23B" w:rsidR="008A7FD1" w:rsidRPr="00B30766" w:rsidRDefault="00B30766" w:rsidP="00B30766">
            <w:pPr>
              <w:pStyle w:val="zSoquijdatRefNeutre"/>
              <w:rPr>
                <w:rFonts w:cs="Arial"/>
              </w:rPr>
            </w:pPr>
            <w:r w:rsidRPr="00B30766">
              <w:rPr>
                <w:rFonts w:cs="Arial"/>
              </w:rPr>
              <w:t>2023 QCTAT 3654</w:t>
            </w:r>
          </w:p>
        </w:tc>
      </w:tr>
    </w:tbl>
    <w:p w14:paraId="686A8F7F" w14:textId="77777777" w:rsidR="008A7FD1" w:rsidRDefault="008A7FD1"/>
    <w:tbl>
      <w:tblPr>
        <w:tblW w:w="9568" w:type="dxa"/>
        <w:tblLayout w:type="fixed"/>
        <w:tblCellMar>
          <w:left w:w="70" w:type="dxa"/>
          <w:right w:w="70" w:type="dxa"/>
        </w:tblCellMar>
        <w:tblLook w:val="0000" w:firstRow="0" w:lastRow="0" w:firstColumn="0" w:lastColumn="0" w:noHBand="0" w:noVBand="0"/>
      </w:tblPr>
      <w:tblGrid>
        <w:gridCol w:w="3331"/>
        <w:gridCol w:w="1559"/>
        <w:gridCol w:w="993"/>
        <w:gridCol w:w="3685"/>
      </w:tblGrid>
      <w:tr w:rsidR="00C74B6F" w14:paraId="0B97F368" w14:textId="77777777" w:rsidTr="00036794">
        <w:trPr>
          <w:cantSplit/>
        </w:trPr>
        <w:tc>
          <w:tcPr>
            <w:tcW w:w="9568" w:type="dxa"/>
            <w:gridSpan w:val="4"/>
          </w:tcPr>
          <w:p w14:paraId="5B0FE383" w14:textId="77777777" w:rsidR="00C74B6F" w:rsidRPr="00BE1981" w:rsidRDefault="00C74B6F">
            <w:pPr>
              <w:rPr>
                <w:szCs w:val="24"/>
              </w:rPr>
            </w:pPr>
          </w:p>
        </w:tc>
      </w:tr>
      <w:tr w:rsidR="00C74B6F" w14:paraId="3DC27BD2" w14:textId="77777777" w:rsidTr="00036794">
        <w:trPr>
          <w:cantSplit/>
        </w:trPr>
        <w:tc>
          <w:tcPr>
            <w:tcW w:w="9568" w:type="dxa"/>
            <w:gridSpan w:val="4"/>
            <w:vAlign w:val="center"/>
          </w:tcPr>
          <w:p w14:paraId="5F6195F3" w14:textId="77777777" w:rsidR="00C74B6F" w:rsidRPr="000E1320" w:rsidRDefault="000E1320">
            <w:pPr>
              <w:jc w:val="center"/>
              <w:rPr>
                <w:sz w:val="36"/>
                <w:szCs w:val="36"/>
              </w:rPr>
            </w:pPr>
            <w:r w:rsidRPr="000E1320">
              <w:rPr>
                <w:b/>
                <w:sz w:val="36"/>
                <w:szCs w:val="36"/>
              </w:rPr>
              <w:t>TRIBUNAL ADMINISTRATIF DU TRAVAIL</w:t>
            </w:r>
          </w:p>
        </w:tc>
      </w:tr>
      <w:tr w:rsidR="00C74B6F" w14:paraId="64D66C4C" w14:textId="77777777" w:rsidTr="00036794">
        <w:trPr>
          <w:cantSplit/>
        </w:trPr>
        <w:tc>
          <w:tcPr>
            <w:tcW w:w="9568" w:type="dxa"/>
            <w:gridSpan w:val="4"/>
          </w:tcPr>
          <w:p w14:paraId="6914FA62" w14:textId="77777777" w:rsidR="00C74B6F" w:rsidRPr="00BE7014" w:rsidRDefault="006F0154" w:rsidP="009A67E7">
            <w:pPr>
              <w:pStyle w:val="zSoquijdatDivision"/>
            </w:pPr>
            <w:r w:rsidRPr="00BE7014">
              <w:t>(</w:t>
            </w:r>
            <w:r w:rsidR="006C2A06" w:rsidRPr="00441ADA">
              <w:t>Division de la santé et de la sécurité du travail</w:t>
            </w:r>
            <w:r w:rsidRPr="00BE7014">
              <w:t>)</w:t>
            </w:r>
          </w:p>
        </w:tc>
      </w:tr>
      <w:tr w:rsidR="00C74B6F" w14:paraId="1DD6D700" w14:textId="77777777" w:rsidTr="00036794">
        <w:trPr>
          <w:cantSplit/>
        </w:trPr>
        <w:tc>
          <w:tcPr>
            <w:tcW w:w="9568" w:type="dxa"/>
            <w:gridSpan w:val="4"/>
          </w:tcPr>
          <w:p w14:paraId="110592A1" w14:textId="77777777" w:rsidR="002B2FC3" w:rsidRDefault="002B2FC3" w:rsidP="002B2FC3"/>
        </w:tc>
      </w:tr>
      <w:tr w:rsidR="00A84FC6" w14:paraId="441CB6FA" w14:textId="77777777" w:rsidTr="00036794">
        <w:trPr>
          <w:cantSplit/>
        </w:trPr>
        <w:tc>
          <w:tcPr>
            <w:tcW w:w="9568" w:type="dxa"/>
            <w:gridSpan w:val="4"/>
          </w:tcPr>
          <w:p w14:paraId="5602CA6E" w14:textId="77777777" w:rsidR="00A84FC6" w:rsidRDefault="00A84FC6" w:rsidP="002B2FC3"/>
        </w:tc>
      </w:tr>
      <w:tr w:rsidR="00C74B6F" w14:paraId="10048860" w14:textId="77777777" w:rsidTr="00036794">
        <w:tc>
          <w:tcPr>
            <w:tcW w:w="3331" w:type="dxa"/>
          </w:tcPr>
          <w:p w14:paraId="1CA46692" w14:textId="77777777" w:rsidR="00C74B6F" w:rsidRDefault="0084255F">
            <w:bookmarkStart w:id="0" w:name="region" w:colFirst="1" w:colLast="1"/>
            <w:r>
              <w:t>Région :</w:t>
            </w:r>
          </w:p>
        </w:tc>
        <w:tc>
          <w:tcPr>
            <w:tcW w:w="6237" w:type="dxa"/>
            <w:gridSpan w:val="3"/>
          </w:tcPr>
          <w:p w14:paraId="69FFA908" w14:textId="77777777" w:rsidR="00C74B6F" w:rsidRDefault="006C2A06" w:rsidP="00F4095A">
            <w:pPr>
              <w:pStyle w:val="zSoquijdatGreffe"/>
            </w:pPr>
            <w:r>
              <w:t>Gaspésie–Îles-de-la-Madeleine, Bas-Saint-Laurent et Côte</w:t>
            </w:r>
            <w:r>
              <w:noBreakHyphen/>
              <w:t>Nord</w:t>
            </w:r>
          </w:p>
        </w:tc>
      </w:tr>
      <w:bookmarkEnd w:id="0"/>
      <w:tr w:rsidR="00C74B6F" w14:paraId="60DDC9D1" w14:textId="77777777" w:rsidTr="00036794">
        <w:trPr>
          <w:cantSplit/>
        </w:trPr>
        <w:tc>
          <w:tcPr>
            <w:tcW w:w="9568" w:type="dxa"/>
            <w:gridSpan w:val="4"/>
          </w:tcPr>
          <w:p w14:paraId="18F09701" w14:textId="77777777" w:rsidR="00C74B6F" w:rsidRDefault="00C74B6F"/>
        </w:tc>
      </w:tr>
      <w:tr w:rsidR="00C74B6F" w14:paraId="2C767493" w14:textId="77777777" w:rsidTr="00036794">
        <w:tc>
          <w:tcPr>
            <w:tcW w:w="3331" w:type="dxa"/>
          </w:tcPr>
          <w:p w14:paraId="37944991" w14:textId="77777777" w:rsidR="00C74B6F" w:rsidRDefault="0084255F" w:rsidP="006C2A06">
            <w:bookmarkStart w:id="1" w:name="ref_dossier" w:colFirst="1" w:colLast="1"/>
            <w:r>
              <w:t>Dossier</w:t>
            </w:r>
            <w:bookmarkStart w:id="2" w:name="dossiers"/>
            <w:bookmarkEnd w:id="2"/>
            <w:r>
              <w:t> :</w:t>
            </w:r>
          </w:p>
        </w:tc>
        <w:tc>
          <w:tcPr>
            <w:tcW w:w="6237" w:type="dxa"/>
            <w:gridSpan w:val="3"/>
          </w:tcPr>
          <w:p w14:paraId="4ED71611" w14:textId="77777777" w:rsidR="00C74B6F" w:rsidRDefault="006C2A06" w:rsidP="00F4095A">
            <w:pPr>
              <w:pStyle w:val="zSoquijdatNoDossier"/>
            </w:pPr>
            <w:r>
              <w:t>1269604-09-2203</w:t>
            </w:r>
          </w:p>
        </w:tc>
      </w:tr>
      <w:bookmarkEnd w:id="1"/>
      <w:tr w:rsidR="00C74B6F" w14:paraId="0C6571DB" w14:textId="77777777" w:rsidTr="00036794">
        <w:trPr>
          <w:cantSplit/>
        </w:trPr>
        <w:tc>
          <w:tcPr>
            <w:tcW w:w="9568" w:type="dxa"/>
            <w:gridSpan w:val="4"/>
          </w:tcPr>
          <w:p w14:paraId="5763028B" w14:textId="77777777" w:rsidR="00C74B6F" w:rsidRDefault="00D44BCF">
            <w:r>
              <w:fldChar w:fldCharType="begin"/>
            </w:r>
            <w:r>
              <w:instrText xml:space="preserve"> AUTOTEXTLIST  \* Upper  \* MERGEFORMAT </w:instrText>
            </w:r>
            <w:r>
              <w:fldChar w:fldCharType="end"/>
            </w:r>
          </w:p>
        </w:tc>
      </w:tr>
      <w:tr w:rsidR="00C74B6F" w14:paraId="77693F07" w14:textId="77777777" w:rsidTr="00036794">
        <w:tc>
          <w:tcPr>
            <w:tcW w:w="3331" w:type="dxa"/>
          </w:tcPr>
          <w:p w14:paraId="2ACD8C7E" w14:textId="77777777" w:rsidR="00C74B6F" w:rsidRDefault="008C79A7" w:rsidP="006C2A06">
            <w:pPr>
              <w:ind w:right="46"/>
            </w:pPr>
            <w:r>
              <w:t xml:space="preserve">Dossier </w:t>
            </w:r>
            <w:r w:rsidR="006C2A06" w:rsidRPr="006C2A06">
              <w:rPr>
                <w:szCs w:val="24"/>
              </w:rPr>
              <w:t>CNESST</w:t>
            </w:r>
            <w:r w:rsidRPr="008C79A7">
              <w:rPr>
                <w:szCs w:val="24"/>
              </w:rPr>
              <w:t xml:space="preserve"> :</w:t>
            </w:r>
          </w:p>
        </w:tc>
        <w:tc>
          <w:tcPr>
            <w:tcW w:w="6237" w:type="dxa"/>
            <w:gridSpan w:val="3"/>
          </w:tcPr>
          <w:p w14:paraId="2A937E83" w14:textId="77777777" w:rsidR="00C74B6F" w:rsidRDefault="006C2A06" w:rsidP="004D6CEA">
            <w:pPr>
              <w:pStyle w:val="zSoquijdatNCSST"/>
            </w:pPr>
            <w:r>
              <w:t>510</w:t>
            </w:r>
            <w:r w:rsidR="000F00E3">
              <w:t>4</w:t>
            </w:r>
            <w:r>
              <w:t>6</w:t>
            </w:r>
            <w:r w:rsidR="000F00E3">
              <w:t>9</w:t>
            </w:r>
            <w:r>
              <w:t>372</w:t>
            </w:r>
          </w:p>
        </w:tc>
      </w:tr>
      <w:tr w:rsidR="00C74B6F" w14:paraId="7B0BE5E3" w14:textId="77777777" w:rsidTr="00036794">
        <w:trPr>
          <w:cantSplit/>
        </w:trPr>
        <w:tc>
          <w:tcPr>
            <w:tcW w:w="9568" w:type="dxa"/>
            <w:gridSpan w:val="4"/>
          </w:tcPr>
          <w:p w14:paraId="1BA3EEC6" w14:textId="77777777" w:rsidR="00C74B6F" w:rsidRDefault="00C74B6F"/>
        </w:tc>
      </w:tr>
      <w:tr w:rsidR="006E3DD8" w14:paraId="167452FC" w14:textId="77777777" w:rsidTr="00036794">
        <w:trPr>
          <w:cantSplit/>
        </w:trPr>
        <w:tc>
          <w:tcPr>
            <w:tcW w:w="3331" w:type="dxa"/>
          </w:tcPr>
          <w:p w14:paraId="127F2C01" w14:textId="77777777" w:rsidR="006E3DD8" w:rsidRDefault="006C2A06" w:rsidP="0076350E">
            <w:pPr>
              <w:ind w:right="-70"/>
            </w:pPr>
            <w:r>
              <w:t>Sept-Îles</w:t>
            </w:r>
            <w:r w:rsidR="00C04E32">
              <w:t>,</w:t>
            </w:r>
          </w:p>
        </w:tc>
        <w:tc>
          <w:tcPr>
            <w:tcW w:w="6237" w:type="dxa"/>
            <w:gridSpan w:val="3"/>
          </w:tcPr>
          <w:p w14:paraId="33C7E3A0" w14:textId="77777777" w:rsidR="006E3DD8" w:rsidRDefault="00C04E32">
            <w:pPr>
              <w:pStyle w:val="zSoquijdatDateJugement"/>
            </w:pPr>
            <w:proofErr w:type="gramStart"/>
            <w:r>
              <w:t>le</w:t>
            </w:r>
            <w:proofErr w:type="gramEnd"/>
            <w:r>
              <w:t xml:space="preserve"> </w:t>
            </w:r>
            <w:r w:rsidR="006D05FE">
              <w:t>3</w:t>
            </w:r>
            <w:r w:rsidR="001D32D2">
              <w:t xml:space="preserve"> </w:t>
            </w:r>
            <w:r w:rsidR="00CF5C66">
              <w:t>août</w:t>
            </w:r>
            <w:r w:rsidR="006C2A06">
              <w:t xml:space="preserve"> 2023</w:t>
            </w:r>
          </w:p>
        </w:tc>
      </w:tr>
      <w:tr w:rsidR="00942AB8" w14:paraId="2B33061C" w14:textId="77777777" w:rsidTr="00036794">
        <w:trPr>
          <w:cantSplit/>
        </w:trPr>
        <w:tc>
          <w:tcPr>
            <w:tcW w:w="9568" w:type="dxa"/>
            <w:gridSpan w:val="4"/>
          </w:tcPr>
          <w:p w14:paraId="07A04991" w14:textId="77777777" w:rsidR="00942AB8" w:rsidRDefault="00942AB8" w:rsidP="00FA153F">
            <w:r>
              <w:t>______________________________________________________________________</w:t>
            </w:r>
          </w:p>
        </w:tc>
      </w:tr>
      <w:tr w:rsidR="00942AB8" w14:paraId="0708E7D6" w14:textId="77777777" w:rsidTr="00036794">
        <w:trPr>
          <w:cantSplit/>
          <w:trHeight w:val="148"/>
        </w:trPr>
        <w:tc>
          <w:tcPr>
            <w:tcW w:w="9568" w:type="dxa"/>
            <w:gridSpan w:val="4"/>
          </w:tcPr>
          <w:p w14:paraId="5F7E301E" w14:textId="77777777" w:rsidR="00942AB8" w:rsidRDefault="00942AB8" w:rsidP="00FA153F"/>
        </w:tc>
      </w:tr>
      <w:tr w:rsidR="0035375B" w14:paraId="7EA9D370" w14:textId="77777777" w:rsidTr="00036794">
        <w:trPr>
          <w:cantSplit/>
          <w:trHeight w:val="148"/>
        </w:trPr>
        <w:tc>
          <w:tcPr>
            <w:tcW w:w="5883" w:type="dxa"/>
            <w:gridSpan w:val="3"/>
          </w:tcPr>
          <w:p w14:paraId="7BB2B6A9" w14:textId="77777777" w:rsidR="0035375B" w:rsidRPr="00942AB8" w:rsidRDefault="0035375B" w:rsidP="006C2A06">
            <w:pPr>
              <w:rPr>
                <w:b/>
                <w:bCs/>
              </w:rPr>
            </w:pPr>
            <w:bookmarkStart w:id="3" w:name="ref_commissaire" w:colFirst="1" w:colLast="1"/>
            <w:r w:rsidRPr="00942AB8">
              <w:rPr>
                <w:b/>
                <w:bCs/>
              </w:rPr>
              <w:t>DEVANT L</w:t>
            </w:r>
            <w:r w:rsidR="006C2A06">
              <w:rPr>
                <w:b/>
                <w:bCs/>
              </w:rPr>
              <w:t>A</w:t>
            </w:r>
            <w:r w:rsidRPr="00942AB8">
              <w:rPr>
                <w:b/>
                <w:bCs/>
              </w:rPr>
              <w:t xml:space="preserve"> JUGE ADMINISTRATI</w:t>
            </w:r>
            <w:r w:rsidR="006C2A06">
              <w:rPr>
                <w:b/>
                <w:bCs/>
              </w:rPr>
              <w:t>VE</w:t>
            </w:r>
            <w:r w:rsidRPr="00942AB8">
              <w:rPr>
                <w:b/>
                <w:bCs/>
              </w:rPr>
              <w:t> :</w:t>
            </w:r>
          </w:p>
        </w:tc>
        <w:tc>
          <w:tcPr>
            <w:tcW w:w="3685" w:type="dxa"/>
          </w:tcPr>
          <w:p w14:paraId="12165AE6" w14:textId="77777777" w:rsidR="0035375B" w:rsidRPr="00942AB8" w:rsidRDefault="006C2A06" w:rsidP="005B5689">
            <w:pPr>
              <w:pStyle w:val="zSoquijdatJuge"/>
              <w:rPr>
                <w:bCs/>
              </w:rPr>
            </w:pPr>
            <w:r>
              <w:t>Sophie Moulin</w:t>
            </w:r>
          </w:p>
        </w:tc>
      </w:tr>
      <w:bookmarkEnd w:id="3"/>
      <w:tr w:rsidR="00942AB8" w14:paraId="1F250E4D" w14:textId="77777777" w:rsidTr="00036794">
        <w:trPr>
          <w:cantSplit/>
          <w:trHeight w:val="148"/>
        </w:trPr>
        <w:tc>
          <w:tcPr>
            <w:tcW w:w="9568" w:type="dxa"/>
            <w:gridSpan w:val="4"/>
          </w:tcPr>
          <w:p w14:paraId="54215E22" w14:textId="77777777" w:rsidR="00942AB8" w:rsidRDefault="00942AB8" w:rsidP="00FA153F">
            <w:r>
              <w:t>______________________________________________________________________</w:t>
            </w:r>
          </w:p>
        </w:tc>
      </w:tr>
      <w:tr w:rsidR="00942AB8" w14:paraId="52111EC7" w14:textId="77777777" w:rsidTr="00036794">
        <w:tc>
          <w:tcPr>
            <w:tcW w:w="9568" w:type="dxa"/>
            <w:gridSpan w:val="4"/>
          </w:tcPr>
          <w:p w14:paraId="6BA2728B" w14:textId="77777777" w:rsidR="00942AB8" w:rsidRDefault="00942AB8"/>
        </w:tc>
      </w:tr>
      <w:tr w:rsidR="00942AB8" w14:paraId="6C51409B" w14:textId="77777777" w:rsidTr="00E21768">
        <w:tc>
          <w:tcPr>
            <w:tcW w:w="4890" w:type="dxa"/>
            <w:gridSpan w:val="2"/>
          </w:tcPr>
          <w:p w14:paraId="75D6A1DD" w14:textId="77777777" w:rsidR="00942AB8" w:rsidRDefault="00942AB8">
            <w:bookmarkStart w:id="4" w:name="bloc_parties_gauche"/>
            <w:bookmarkEnd w:id="4"/>
          </w:p>
        </w:tc>
        <w:tc>
          <w:tcPr>
            <w:tcW w:w="4678" w:type="dxa"/>
            <w:gridSpan w:val="2"/>
          </w:tcPr>
          <w:p w14:paraId="460C98DD" w14:textId="77777777" w:rsidR="00942AB8" w:rsidRDefault="00942AB8"/>
        </w:tc>
      </w:tr>
      <w:tr w:rsidR="00942AB8" w14:paraId="6156D893" w14:textId="77777777" w:rsidTr="00E21768">
        <w:tc>
          <w:tcPr>
            <w:tcW w:w="4890" w:type="dxa"/>
            <w:gridSpan w:val="2"/>
          </w:tcPr>
          <w:p w14:paraId="042870D9" w14:textId="77777777" w:rsidR="00942AB8" w:rsidRDefault="006C2A06">
            <w:pPr>
              <w:pStyle w:val="zSoquijdatNomPartieDem"/>
              <w:rPr>
                <w:b/>
              </w:rPr>
            </w:pPr>
            <w:r>
              <w:rPr>
                <w:b/>
              </w:rPr>
              <w:t xml:space="preserve">Services Préhospitaliers </w:t>
            </w:r>
            <w:proofErr w:type="spellStart"/>
            <w:r>
              <w:rPr>
                <w:b/>
              </w:rPr>
              <w:t>Paraxion</w:t>
            </w:r>
            <w:proofErr w:type="spellEnd"/>
            <w:r>
              <w:rPr>
                <w:b/>
              </w:rPr>
              <w:t xml:space="preserve"> </w:t>
            </w:r>
            <w:proofErr w:type="spellStart"/>
            <w:r>
              <w:rPr>
                <w:b/>
              </w:rPr>
              <w:t>inc.</w:t>
            </w:r>
            <w:proofErr w:type="spellEnd"/>
          </w:p>
        </w:tc>
        <w:tc>
          <w:tcPr>
            <w:tcW w:w="4678" w:type="dxa"/>
            <w:gridSpan w:val="2"/>
          </w:tcPr>
          <w:p w14:paraId="1E7DF619" w14:textId="77777777" w:rsidR="00942AB8" w:rsidRDefault="00942AB8"/>
        </w:tc>
      </w:tr>
      <w:tr w:rsidR="00942AB8" w14:paraId="0A918C18" w14:textId="77777777" w:rsidTr="00E21768">
        <w:tc>
          <w:tcPr>
            <w:tcW w:w="4890" w:type="dxa"/>
            <w:gridSpan w:val="2"/>
          </w:tcPr>
          <w:p w14:paraId="5BBF61C8" w14:textId="77777777" w:rsidR="00942AB8" w:rsidRDefault="006C2A06" w:rsidP="007B0DF2">
            <w:pPr>
              <w:pStyle w:val="zSoquijdatQtePartieDem"/>
              <w:tabs>
                <w:tab w:val="left" w:pos="3539"/>
              </w:tabs>
              <w:ind w:left="708"/>
            </w:pPr>
            <w:bookmarkStart w:id="5" w:name="partie_demanderesse"/>
            <w:bookmarkEnd w:id="5"/>
            <w:r>
              <w:t>Partie demanderesse</w:t>
            </w:r>
          </w:p>
        </w:tc>
        <w:tc>
          <w:tcPr>
            <w:tcW w:w="4678" w:type="dxa"/>
            <w:gridSpan w:val="2"/>
          </w:tcPr>
          <w:p w14:paraId="58172273" w14:textId="77777777" w:rsidR="00942AB8" w:rsidRDefault="00942AB8"/>
        </w:tc>
      </w:tr>
      <w:tr w:rsidR="00942AB8" w14:paraId="76B8E6BC" w14:textId="77777777" w:rsidTr="00E21768">
        <w:tc>
          <w:tcPr>
            <w:tcW w:w="4890" w:type="dxa"/>
            <w:gridSpan w:val="2"/>
          </w:tcPr>
          <w:p w14:paraId="0CB820EE" w14:textId="77777777" w:rsidR="00942AB8" w:rsidRDefault="00942AB8" w:rsidP="00E6363B"/>
        </w:tc>
        <w:tc>
          <w:tcPr>
            <w:tcW w:w="4678" w:type="dxa"/>
            <w:gridSpan w:val="2"/>
          </w:tcPr>
          <w:p w14:paraId="0ED40462" w14:textId="77777777" w:rsidR="00942AB8" w:rsidRDefault="00942AB8"/>
        </w:tc>
      </w:tr>
      <w:tr w:rsidR="00942AB8" w14:paraId="769D693D" w14:textId="77777777" w:rsidTr="00E21768">
        <w:tc>
          <w:tcPr>
            <w:tcW w:w="4890" w:type="dxa"/>
            <w:gridSpan w:val="2"/>
          </w:tcPr>
          <w:p w14:paraId="2E78B0E9" w14:textId="77777777" w:rsidR="00942AB8" w:rsidRDefault="006C2A06" w:rsidP="00D06652">
            <w:pPr>
              <w:pStyle w:val="zSoquijlblLienParties"/>
            </w:pPr>
            <w:proofErr w:type="gramStart"/>
            <w:r>
              <w:t>et</w:t>
            </w:r>
            <w:proofErr w:type="gramEnd"/>
          </w:p>
        </w:tc>
        <w:tc>
          <w:tcPr>
            <w:tcW w:w="4678" w:type="dxa"/>
            <w:gridSpan w:val="2"/>
          </w:tcPr>
          <w:p w14:paraId="6727A2CC" w14:textId="77777777" w:rsidR="00942AB8" w:rsidRDefault="00942AB8"/>
        </w:tc>
      </w:tr>
      <w:tr w:rsidR="00942AB8" w14:paraId="2298E0B9" w14:textId="77777777" w:rsidTr="00E21768">
        <w:tc>
          <w:tcPr>
            <w:tcW w:w="4890" w:type="dxa"/>
            <w:gridSpan w:val="2"/>
          </w:tcPr>
          <w:p w14:paraId="0FDB300A" w14:textId="77777777" w:rsidR="00942AB8" w:rsidRDefault="00942AB8"/>
        </w:tc>
        <w:tc>
          <w:tcPr>
            <w:tcW w:w="4678" w:type="dxa"/>
            <w:gridSpan w:val="2"/>
          </w:tcPr>
          <w:p w14:paraId="66CEB23E" w14:textId="77777777" w:rsidR="00942AB8" w:rsidRDefault="00942AB8"/>
        </w:tc>
      </w:tr>
      <w:tr w:rsidR="00942AB8" w14:paraId="7F11AD17" w14:textId="77777777" w:rsidTr="00E21768">
        <w:tc>
          <w:tcPr>
            <w:tcW w:w="4890" w:type="dxa"/>
            <w:gridSpan w:val="2"/>
          </w:tcPr>
          <w:p w14:paraId="5DF1D7C5" w14:textId="77777777" w:rsidR="00942AB8" w:rsidRDefault="006C2A06">
            <w:pPr>
              <w:pStyle w:val="zSoquijdatNomPartieDef"/>
              <w:rPr>
                <w:b/>
              </w:rPr>
            </w:pPr>
            <w:r>
              <w:rPr>
                <w:b/>
              </w:rPr>
              <w:t>Conrad Boudreau</w:t>
            </w:r>
          </w:p>
        </w:tc>
        <w:tc>
          <w:tcPr>
            <w:tcW w:w="4678" w:type="dxa"/>
            <w:gridSpan w:val="2"/>
          </w:tcPr>
          <w:p w14:paraId="21EF941C" w14:textId="77777777" w:rsidR="00942AB8" w:rsidRDefault="00942AB8"/>
        </w:tc>
      </w:tr>
      <w:tr w:rsidR="00942AB8" w14:paraId="707FF161" w14:textId="77777777" w:rsidTr="00E21768">
        <w:tc>
          <w:tcPr>
            <w:tcW w:w="4890" w:type="dxa"/>
            <w:gridSpan w:val="2"/>
          </w:tcPr>
          <w:p w14:paraId="642A5107" w14:textId="77777777" w:rsidR="00942AB8" w:rsidRDefault="006C2A06">
            <w:pPr>
              <w:pStyle w:val="zSoquijdatQtePartieDef"/>
              <w:ind w:left="708"/>
            </w:pPr>
            <w:r>
              <w:t>Partie mise en cause</w:t>
            </w:r>
          </w:p>
          <w:p w14:paraId="4673552E" w14:textId="77777777" w:rsidR="006C2A06" w:rsidRDefault="006C2A06" w:rsidP="006C2A06">
            <w:pPr>
              <w:pStyle w:val="zSoquijdatQtePartieDef"/>
            </w:pPr>
          </w:p>
          <w:p w14:paraId="5197A52B" w14:textId="77777777" w:rsidR="006C2A06" w:rsidRDefault="006C2A06" w:rsidP="006C2A06">
            <w:pPr>
              <w:pStyle w:val="zSoquijdatQtePartieDef"/>
            </w:pPr>
            <w:proofErr w:type="gramStart"/>
            <w:r>
              <w:t>et</w:t>
            </w:r>
            <w:proofErr w:type="gramEnd"/>
          </w:p>
        </w:tc>
        <w:tc>
          <w:tcPr>
            <w:tcW w:w="4678" w:type="dxa"/>
            <w:gridSpan w:val="2"/>
          </w:tcPr>
          <w:p w14:paraId="41A84C32" w14:textId="77777777" w:rsidR="00942AB8" w:rsidRDefault="00942AB8"/>
        </w:tc>
      </w:tr>
      <w:tr w:rsidR="0065093D" w14:paraId="34B4B078" w14:textId="77777777" w:rsidTr="00E21768">
        <w:tc>
          <w:tcPr>
            <w:tcW w:w="4890" w:type="dxa"/>
            <w:gridSpan w:val="2"/>
          </w:tcPr>
          <w:p w14:paraId="775C008F" w14:textId="77777777" w:rsidR="0065093D" w:rsidRDefault="0065093D"/>
        </w:tc>
        <w:tc>
          <w:tcPr>
            <w:tcW w:w="4678" w:type="dxa"/>
            <w:gridSpan w:val="2"/>
          </w:tcPr>
          <w:p w14:paraId="1F8E6490" w14:textId="77777777" w:rsidR="0065093D" w:rsidRDefault="0065093D"/>
        </w:tc>
      </w:tr>
      <w:tr w:rsidR="00942AB8" w14:paraId="652E8E82" w14:textId="77777777" w:rsidTr="00E21768">
        <w:tc>
          <w:tcPr>
            <w:tcW w:w="4890" w:type="dxa"/>
            <w:gridSpan w:val="2"/>
          </w:tcPr>
          <w:p w14:paraId="12E2C25D" w14:textId="77777777" w:rsidR="00942AB8" w:rsidRDefault="006C2A06">
            <w:pPr>
              <w:pStyle w:val="zSoquijdatNomPartieInt"/>
              <w:rPr>
                <w:b/>
              </w:rPr>
            </w:pPr>
            <w:r w:rsidRPr="006C2A06">
              <w:rPr>
                <w:b/>
              </w:rPr>
              <w:t>Commission des normes, de l’équité, de la santé et de la sécurité du travail</w:t>
            </w:r>
          </w:p>
        </w:tc>
        <w:tc>
          <w:tcPr>
            <w:tcW w:w="4678" w:type="dxa"/>
            <w:gridSpan w:val="2"/>
          </w:tcPr>
          <w:p w14:paraId="20472A4D" w14:textId="77777777" w:rsidR="00942AB8" w:rsidRDefault="00942AB8"/>
        </w:tc>
      </w:tr>
      <w:tr w:rsidR="00942AB8" w14:paraId="2A5B899B" w14:textId="77777777" w:rsidTr="00E21768">
        <w:tc>
          <w:tcPr>
            <w:tcW w:w="4890" w:type="dxa"/>
            <w:gridSpan w:val="2"/>
          </w:tcPr>
          <w:p w14:paraId="461DF674" w14:textId="77777777" w:rsidR="00942AB8" w:rsidRDefault="006C2A06">
            <w:pPr>
              <w:pStyle w:val="zSoquijdatQtePartieInt"/>
              <w:ind w:left="708"/>
            </w:pPr>
            <w:r>
              <w:t>Partie intervenante</w:t>
            </w:r>
          </w:p>
        </w:tc>
        <w:tc>
          <w:tcPr>
            <w:tcW w:w="4678" w:type="dxa"/>
            <w:gridSpan w:val="2"/>
          </w:tcPr>
          <w:p w14:paraId="0684A932" w14:textId="77777777" w:rsidR="00942AB8" w:rsidRDefault="00942AB8"/>
        </w:tc>
      </w:tr>
      <w:tr w:rsidR="00942AB8" w14:paraId="52F4C985" w14:textId="77777777" w:rsidTr="00E21768">
        <w:tc>
          <w:tcPr>
            <w:tcW w:w="4890" w:type="dxa"/>
            <w:gridSpan w:val="2"/>
          </w:tcPr>
          <w:p w14:paraId="14BAB9C1" w14:textId="77777777" w:rsidR="00942AB8" w:rsidRDefault="00942AB8"/>
        </w:tc>
        <w:tc>
          <w:tcPr>
            <w:tcW w:w="4678" w:type="dxa"/>
            <w:gridSpan w:val="2"/>
          </w:tcPr>
          <w:p w14:paraId="5A74EEAA" w14:textId="77777777" w:rsidR="00942AB8" w:rsidRDefault="00942AB8"/>
        </w:tc>
      </w:tr>
    </w:tbl>
    <w:p w14:paraId="13E3E463" w14:textId="77777777" w:rsidR="00C74B6F" w:rsidRDefault="00C74B6F">
      <w:r>
        <w:t>______________________________________________________________________</w:t>
      </w:r>
    </w:p>
    <w:p w14:paraId="28BD611D" w14:textId="77777777" w:rsidR="00C74B6F" w:rsidRDefault="00C74B6F"/>
    <w:p w14:paraId="04436364" w14:textId="77777777" w:rsidR="00C74B6F" w:rsidRPr="005B0612" w:rsidRDefault="00C74B6F" w:rsidP="008B042E">
      <w:pPr>
        <w:jc w:val="center"/>
        <w:rPr>
          <w:b/>
          <w:bCs/>
        </w:rPr>
      </w:pPr>
      <w:bookmarkStart w:id="6" w:name="decision"/>
      <w:r w:rsidRPr="005B0612">
        <w:rPr>
          <w:b/>
          <w:bCs/>
        </w:rPr>
        <w:t>DÉCISION</w:t>
      </w:r>
      <w:bookmarkEnd w:id="6"/>
    </w:p>
    <w:p w14:paraId="28489C3E" w14:textId="77777777" w:rsidR="008F20EA" w:rsidRDefault="008F20EA" w:rsidP="008F20EA">
      <w:bookmarkStart w:id="7" w:name="separation"/>
      <w:bookmarkStart w:id="8" w:name="parag_1"/>
      <w:r>
        <w:t>______________________________________________________________________</w:t>
      </w:r>
    </w:p>
    <w:p w14:paraId="049EB0BF" w14:textId="77777777" w:rsidR="008F20EA" w:rsidRDefault="008F20EA" w:rsidP="008F20EA">
      <w:pPr>
        <w:pStyle w:val="corpsdedcision"/>
        <w:numPr>
          <w:ilvl w:val="0"/>
          <w:numId w:val="0"/>
        </w:numPr>
        <w:spacing w:before="360"/>
      </w:pPr>
      <w:bookmarkStart w:id="9" w:name="supprimer_apercu"/>
      <w:bookmarkEnd w:id="7"/>
      <w:r>
        <w:rPr>
          <w:b/>
          <w:bCs/>
          <w:u w:val="single"/>
        </w:rPr>
        <w:t>L’APERÇU</w:t>
      </w:r>
    </w:p>
    <w:bookmarkEnd w:id="8"/>
    <w:bookmarkEnd w:id="9"/>
    <w:p w14:paraId="56EF4808" w14:textId="77777777" w:rsidR="00C74B6F" w:rsidRDefault="00CF5C66">
      <w:pPr>
        <w:pStyle w:val="corpsdedcision"/>
      </w:pPr>
      <w:r>
        <w:t>Monsieur Conrad Boudreau</w:t>
      </w:r>
      <w:r w:rsidR="00EC0820">
        <w:t xml:space="preserve"> occupe un emploi de technicien ambulancier</w:t>
      </w:r>
      <w:r w:rsidR="00411402">
        <w:t xml:space="preserve"> </w:t>
      </w:r>
      <w:proofErr w:type="spellStart"/>
      <w:r w:rsidR="00C05B46">
        <w:t>paramédic</w:t>
      </w:r>
      <w:proofErr w:type="spellEnd"/>
      <w:r w:rsidR="00520115">
        <w:t xml:space="preserve"> chez Services Pré</w:t>
      </w:r>
      <w:r w:rsidR="003A0825">
        <w:t xml:space="preserve">hospitaliers </w:t>
      </w:r>
      <w:proofErr w:type="spellStart"/>
      <w:r w:rsidR="003A0825">
        <w:t>Paraxion</w:t>
      </w:r>
      <w:proofErr w:type="spellEnd"/>
      <w:r w:rsidR="003A0825">
        <w:t xml:space="preserve"> </w:t>
      </w:r>
      <w:proofErr w:type="spellStart"/>
      <w:r w:rsidR="003A0825">
        <w:t>inc.</w:t>
      </w:r>
      <w:proofErr w:type="spellEnd"/>
      <w:r w:rsidR="00520115">
        <w:t xml:space="preserve"> Il allègue avoir subi une lésion professionnelle de nature psychique, en février 2021.</w:t>
      </w:r>
    </w:p>
    <w:p w14:paraId="34AB4109" w14:textId="77777777" w:rsidR="00520115" w:rsidRDefault="00520115" w:rsidP="00520115">
      <w:pPr>
        <w:pStyle w:val="corpsdedcision"/>
        <w:tabs>
          <w:tab w:val="num" w:pos="720"/>
        </w:tabs>
      </w:pPr>
      <w:r>
        <w:lastRenderedPageBreak/>
        <w:t>La Commission des normes, de l’équité, de la santé et de la sécurité du travail refuse la réclamation et</w:t>
      </w:r>
      <w:r w:rsidR="0042400A">
        <w:t xml:space="preserve"> déclare que le travailleur n’</w:t>
      </w:r>
      <w:r>
        <w:t xml:space="preserve">a </w:t>
      </w:r>
      <w:r w:rsidR="0042400A">
        <w:t xml:space="preserve">pas </w:t>
      </w:r>
      <w:r>
        <w:t>subi d’accident du travail. En révision administrative, la Commission infirme sa décision</w:t>
      </w:r>
      <w:r>
        <w:rPr>
          <w:rStyle w:val="Appelnotedebasdep"/>
        </w:rPr>
        <w:footnoteReference w:id="1"/>
      </w:r>
      <w:r>
        <w:t xml:space="preserve"> </w:t>
      </w:r>
      <w:r w:rsidR="003A0825">
        <w:t>et accepte la réclamation pour lésion professionnelle en raison d’un état de stress post-traumatique. L</w:t>
      </w:r>
      <w:r>
        <w:t>’employeur la conteste.</w:t>
      </w:r>
    </w:p>
    <w:p w14:paraId="28EABFDA" w14:textId="77777777" w:rsidR="0042400A" w:rsidRPr="00263717" w:rsidRDefault="0042400A" w:rsidP="0042400A">
      <w:pPr>
        <w:pStyle w:val="corpsdedcision"/>
      </w:pPr>
      <w:r>
        <w:t>Le représentant du travailleur soutient que ce dernier a subi</w:t>
      </w:r>
      <w:r w:rsidR="003A0825">
        <w:t xml:space="preserve"> soit </w:t>
      </w:r>
      <w:r w:rsidRPr="00263717">
        <w:t xml:space="preserve">un accident de travail </w:t>
      </w:r>
      <w:r w:rsidR="000B4C61">
        <w:rPr>
          <w:iCs/>
        </w:rPr>
        <w:t>soit une maladie professionnelle</w:t>
      </w:r>
      <w:r w:rsidR="000B4C61">
        <w:t xml:space="preserve">, </w:t>
      </w:r>
      <w:r w:rsidRPr="00263717">
        <w:t xml:space="preserve">en vertu de l’article 2 de la </w:t>
      </w:r>
      <w:r w:rsidRPr="00263717">
        <w:rPr>
          <w:i/>
          <w:iCs/>
        </w:rPr>
        <w:t>Loi sur les accidents du travail et les maladies professionnelles</w:t>
      </w:r>
      <w:r w:rsidRPr="00263717">
        <w:rPr>
          <w:vertAlign w:val="superscript"/>
        </w:rPr>
        <w:footnoteReference w:id="2"/>
      </w:r>
      <w:r w:rsidR="001512AD">
        <w:rPr>
          <w:iCs/>
        </w:rPr>
        <w:t>, la Loi</w:t>
      </w:r>
      <w:r w:rsidR="00C05B46">
        <w:rPr>
          <w:iCs/>
        </w:rPr>
        <w:t>.</w:t>
      </w:r>
    </w:p>
    <w:p w14:paraId="50CECFE8" w14:textId="77777777" w:rsidR="0042400A" w:rsidRDefault="00C05B46" w:rsidP="0042400A">
      <w:pPr>
        <w:pStyle w:val="corpsdedcision"/>
        <w:tabs>
          <w:tab w:val="num" w:pos="720"/>
        </w:tabs>
      </w:pPr>
      <w:r>
        <w:t>La</w:t>
      </w:r>
      <w:r w:rsidR="0042400A">
        <w:t xml:space="preserve"> représentant</w:t>
      </w:r>
      <w:r>
        <w:t>e</w:t>
      </w:r>
      <w:r w:rsidR="0042400A">
        <w:t xml:space="preserve"> de l’employeur soutient que les circonstances alléguées</w:t>
      </w:r>
      <w:r>
        <w:t xml:space="preserve"> en février 2021 </w:t>
      </w:r>
      <w:r w:rsidR="0042400A">
        <w:t>ne peuvent pas se qualifier d’événement imprévu et soudain au sens de la Loi.</w:t>
      </w:r>
      <w:r>
        <w:t xml:space="preserve"> De plus, elle allègue que le travailleur ne peut bénéficier de la présomption de maladie professionnelle.</w:t>
      </w:r>
    </w:p>
    <w:p w14:paraId="290ADC96" w14:textId="77777777" w:rsidR="00C05B46" w:rsidRDefault="00C05B46" w:rsidP="0042400A">
      <w:pPr>
        <w:pStyle w:val="corpsdedcision"/>
        <w:tabs>
          <w:tab w:val="num" w:pos="720"/>
        </w:tabs>
      </w:pPr>
      <w:r>
        <w:t>La représentante de la partie intervenante soutient que le travailleur a subi, en février 2021, une lésion professionnelle.</w:t>
      </w:r>
    </w:p>
    <w:p w14:paraId="20BD3026" w14:textId="77777777" w:rsidR="0042400A" w:rsidRDefault="00C05B46" w:rsidP="0042400A">
      <w:pPr>
        <w:pStyle w:val="corpsdedcision"/>
        <w:tabs>
          <w:tab w:val="num" w:pos="720"/>
        </w:tabs>
      </w:pPr>
      <w:r>
        <w:t xml:space="preserve">Pour déterminer si le travailleur a subi </w:t>
      </w:r>
      <w:r w:rsidR="0042400A">
        <w:t>une lésion professionnelle</w:t>
      </w:r>
      <w:r w:rsidR="0013080F">
        <w:t>, le Tribunal doit répondre à la</w:t>
      </w:r>
      <w:r w:rsidR="002248FB">
        <w:t xml:space="preserve"> </w:t>
      </w:r>
      <w:r w:rsidR="0042400A">
        <w:t>question suivante :</w:t>
      </w:r>
    </w:p>
    <w:p w14:paraId="14ECEA7D" w14:textId="77777777" w:rsidR="002248FB" w:rsidRDefault="00E37689" w:rsidP="00E37689">
      <w:pPr>
        <w:pStyle w:val="corpsdedcision"/>
        <w:tabs>
          <w:tab w:val="num" w:pos="720"/>
        </w:tabs>
      </w:pPr>
      <w:r>
        <w:t>Le travailleur a-t-il établi la survenance d’un accident du travail au sens de l’article</w:t>
      </w:r>
      <w:r w:rsidR="00CB4B93">
        <w:t> </w:t>
      </w:r>
      <w:r>
        <w:t>2 de la</w:t>
      </w:r>
      <w:r w:rsidR="00CB4B93">
        <w:t xml:space="preserve"> Loi</w:t>
      </w:r>
      <w:r w:rsidRPr="00E37689">
        <w:rPr>
          <w:iCs/>
        </w:rPr>
        <w:t>?</w:t>
      </w:r>
    </w:p>
    <w:p w14:paraId="5FEC783A" w14:textId="77777777" w:rsidR="00EC0820" w:rsidRDefault="0013080F" w:rsidP="00A365BD">
      <w:pPr>
        <w:pStyle w:val="corpsdedcision"/>
      </w:pPr>
      <w:r>
        <w:t xml:space="preserve">Le Tribunal considère que le </w:t>
      </w:r>
      <w:r w:rsidR="00A365BD">
        <w:t>travail</w:t>
      </w:r>
      <w:r w:rsidR="00CB4B93">
        <w:t>leur</w:t>
      </w:r>
      <w:r w:rsidR="00A365BD">
        <w:t xml:space="preserve"> a subi une lésion professionnelle en février</w:t>
      </w:r>
      <w:r w:rsidR="00CB4B93">
        <w:t> </w:t>
      </w:r>
      <w:r w:rsidR="00A365BD">
        <w:t>2021.</w:t>
      </w:r>
    </w:p>
    <w:p w14:paraId="0DCD3977" w14:textId="77777777" w:rsidR="00A365BD" w:rsidRPr="00BA57B4" w:rsidRDefault="00082A97" w:rsidP="00BA57B4">
      <w:pPr>
        <w:pStyle w:val="corpsdedcision"/>
        <w:numPr>
          <w:ilvl w:val="0"/>
          <w:numId w:val="0"/>
        </w:numPr>
        <w:rPr>
          <w:b/>
          <w:bCs/>
          <w:u w:val="single"/>
        </w:rPr>
      </w:pPr>
      <w:bookmarkStart w:id="10" w:name="supprimer_analyse"/>
      <w:r w:rsidRPr="00B51F99">
        <w:rPr>
          <w:b/>
          <w:bCs/>
          <w:u w:val="single"/>
        </w:rPr>
        <w:t>L</w:t>
      </w:r>
      <w:r>
        <w:rPr>
          <w:b/>
          <w:bCs/>
          <w:u w:val="single"/>
        </w:rPr>
        <w:t>’ANALYSE</w:t>
      </w:r>
      <w:bookmarkEnd w:id="10"/>
    </w:p>
    <w:p w14:paraId="15224F64" w14:textId="77777777" w:rsidR="00A365BD" w:rsidRPr="00705711" w:rsidRDefault="005D25D5" w:rsidP="00A365BD">
      <w:pPr>
        <w:pStyle w:val="corpsdedcision"/>
        <w:tabs>
          <w:tab w:val="num" w:pos="720"/>
        </w:tabs>
        <w:rPr>
          <w:b/>
        </w:rPr>
      </w:pPr>
      <w:r>
        <w:t>Tout d’abord, l</w:t>
      </w:r>
      <w:r w:rsidR="00A365BD">
        <w:t xml:space="preserve">e Tribunal doit déterminer si le travailleur a subi une lésion professionnelle à titre d’accident du travail. </w:t>
      </w:r>
    </w:p>
    <w:p w14:paraId="604C7BE7" w14:textId="77777777" w:rsidR="00A365BD" w:rsidRPr="003C6B71" w:rsidRDefault="00A365BD" w:rsidP="00A365BD">
      <w:pPr>
        <w:pStyle w:val="corpsdedcision"/>
        <w:tabs>
          <w:tab w:val="num" w:pos="720"/>
        </w:tabs>
        <w:rPr>
          <w:b/>
        </w:rPr>
      </w:pPr>
      <w:r>
        <w:t>L</w:t>
      </w:r>
      <w:r w:rsidRPr="00705711">
        <w:t>a jurisprudence constante</w:t>
      </w:r>
      <w:r w:rsidRPr="00705711">
        <w:rPr>
          <w:vertAlign w:val="superscript"/>
        </w:rPr>
        <w:footnoteReference w:id="3"/>
      </w:r>
      <w:r w:rsidRPr="00705711">
        <w:t xml:space="preserve"> de ce Tr</w:t>
      </w:r>
      <w:r>
        <w:t xml:space="preserve">ibunal établit qu’une lésion de </w:t>
      </w:r>
      <w:r w:rsidRPr="00705711">
        <w:t>nature psychique n</w:t>
      </w:r>
      <w:r w:rsidR="0007151A">
        <w:t>e constitue pas une blessure puis</w:t>
      </w:r>
      <w:r w:rsidRPr="00705711">
        <w:t>qu’il s’agit d’un diagnostic de maladie.</w:t>
      </w:r>
      <w:r>
        <w:t xml:space="preserve">  Ainsi, en l’espèce, l</w:t>
      </w:r>
      <w:r w:rsidRPr="00CA4C0D">
        <w:t>e</w:t>
      </w:r>
      <w:r w:rsidR="00AE302C">
        <w:t>s</w:t>
      </w:r>
      <w:r w:rsidRPr="00CA4C0D">
        <w:t xml:space="preserve"> diagnostic</w:t>
      </w:r>
      <w:r w:rsidR="00AE302C">
        <w:t>s</w:t>
      </w:r>
      <w:r w:rsidR="005D25D5">
        <w:t xml:space="preserve"> de choc post-traumatique et de dépression majeure </w:t>
      </w:r>
      <w:r w:rsidRPr="00E94AA4">
        <w:lastRenderedPageBreak/>
        <w:t>ne constitue</w:t>
      </w:r>
      <w:r w:rsidR="005D25D5">
        <w:t>nt pas des</w:t>
      </w:r>
      <w:r w:rsidRPr="00E94AA4">
        <w:t xml:space="preserve"> diagnostic</w:t>
      </w:r>
      <w:r w:rsidR="005D25D5">
        <w:t>s</w:t>
      </w:r>
      <w:r w:rsidRPr="00E94AA4">
        <w:t xml:space="preserve"> de blessure, </w:t>
      </w:r>
      <w:r>
        <w:t xml:space="preserve">et </w:t>
      </w:r>
      <w:r w:rsidRPr="00E94AA4">
        <w:t xml:space="preserve">la présomption de l’article 28 de la Loi ne peut s’appliquer. </w:t>
      </w:r>
      <w:r w:rsidR="003C6B71">
        <w:t>D’ailleurs, les représentants le reconnaissent.</w:t>
      </w:r>
    </w:p>
    <w:p w14:paraId="713A3F2E" w14:textId="77777777" w:rsidR="003C6B71" w:rsidRPr="003C6B71" w:rsidRDefault="003C6B71" w:rsidP="003C6B71">
      <w:pPr>
        <w:pStyle w:val="corpsdedcision"/>
        <w:tabs>
          <w:tab w:val="num" w:pos="720"/>
        </w:tabs>
        <w:rPr>
          <w:b/>
        </w:rPr>
      </w:pPr>
      <w:r>
        <w:t xml:space="preserve">En l’absence d’une contestation, le Tribunal est lié par les diagnostics retenus par le professionnel de la santé qui a charge du travailleur puisque ni l’employeur ni la Commission </w:t>
      </w:r>
      <w:r w:rsidR="00CB4B93">
        <w:t xml:space="preserve">ne </w:t>
      </w:r>
      <w:r>
        <w:t>l</w:t>
      </w:r>
      <w:r w:rsidR="00CB4B93">
        <w:t xml:space="preserve">es </w:t>
      </w:r>
      <w:r>
        <w:t>ont valablement contesté</w:t>
      </w:r>
      <w:r w:rsidR="00CB4B93">
        <w:t>s</w:t>
      </w:r>
      <w:r>
        <w:rPr>
          <w:rStyle w:val="Appelnotedebasdep"/>
        </w:rPr>
        <w:footnoteReference w:id="4"/>
      </w:r>
      <w:r>
        <w:t>.</w:t>
      </w:r>
    </w:p>
    <w:p w14:paraId="6296C7FD" w14:textId="77777777" w:rsidR="003C6B71" w:rsidRPr="007B7109" w:rsidRDefault="00435170" w:rsidP="00A365BD">
      <w:pPr>
        <w:pStyle w:val="corpsdedcision"/>
        <w:tabs>
          <w:tab w:val="num" w:pos="720"/>
        </w:tabs>
        <w:rPr>
          <w:b/>
        </w:rPr>
      </w:pPr>
      <w:r>
        <w:t xml:space="preserve">Dans le présent dossier, </w:t>
      </w:r>
      <w:r w:rsidR="00EA7530">
        <w:t>quelques semaines après la</w:t>
      </w:r>
      <w:r w:rsidR="0072412C">
        <w:t xml:space="preserve"> première consultation médicale, au début de mars 2021, le professionnel de la santé qui a charge du travailleur, le docteur Roger Dubé</w:t>
      </w:r>
      <w:r w:rsidR="00A37B9F">
        <w:t>,</w:t>
      </w:r>
      <w:r w:rsidR="0072412C">
        <w:t xml:space="preserve"> retient le diagnostic de dépression majeure sévère. À la deuxième consultation médicale, il ajoute le diagnostic d’état de stress post</w:t>
      </w:r>
      <w:r w:rsidR="00A37B9F">
        <w:t>-</w:t>
      </w:r>
      <w:r w:rsidR="0072412C">
        <w:t xml:space="preserve">traumatique. </w:t>
      </w:r>
    </w:p>
    <w:p w14:paraId="4D830D8D" w14:textId="77777777" w:rsidR="007B7109" w:rsidRPr="002D1396" w:rsidRDefault="007B7109" w:rsidP="00A365BD">
      <w:pPr>
        <w:pStyle w:val="corpsdedcision"/>
        <w:tabs>
          <w:tab w:val="num" w:pos="720"/>
        </w:tabs>
        <w:rPr>
          <w:b/>
        </w:rPr>
      </w:pPr>
      <w:r>
        <w:t>À la fin mai 2021, à la demande du professionnel de la santé qui a charge, le travailleur consulte une psychiatre, la docteure Lulia Caterina Gîtlan. Cette dernière retient les diagnostics de syndrome de stress post</w:t>
      </w:r>
      <w:r w:rsidR="00A37B9F">
        <w:t>-</w:t>
      </w:r>
      <w:r>
        <w:t xml:space="preserve">traumatique et de trouble dépressif non spécifié. En juin 2021, le docteur Dubé </w:t>
      </w:r>
      <w:r w:rsidR="00E6035E">
        <w:t>m</w:t>
      </w:r>
      <w:r w:rsidR="00492E13">
        <w:t>aintient les deux diagnostics</w:t>
      </w:r>
      <w:r w:rsidR="00A37B9F">
        <w:t>,</w:t>
      </w:r>
      <w:r w:rsidR="00492E13">
        <w:t xml:space="preserve"> soit celui de</w:t>
      </w:r>
      <w:r w:rsidR="00E6035E">
        <w:t xml:space="preserve"> dépression majeure et </w:t>
      </w:r>
      <w:r w:rsidR="00492E13">
        <w:t xml:space="preserve">celui </w:t>
      </w:r>
      <w:r w:rsidR="00E6035E">
        <w:t>d’état de stress post</w:t>
      </w:r>
      <w:r w:rsidR="00A37B9F">
        <w:t>-</w:t>
      </w:r>
      <w:r w:rsidR="00E6035E">
        <w:t>traumatique.</w:t>
      </w:r>
      <w:r w:rsidR="00EA46F9">
        <w:t xml:space="preserve"> Par la suite, aux notes cliniques</w:t>
      </w:r>
      <w:r w:rsidR="00EA46F9">
        <w:rPr>
          <w:rStyle w:val="Appelnotedebasdep"/>
        </w:rPr>
        <w:footnoteReference w:id="5"/>
      </w:r>
      <w:r w:rsidR="00EA46F9">
        <w:t>, aux certificats d’assignation temporaire et à certains rapports médicaux</w:t>
      </w:r>
      <w:r w:rsidR="00977F2D">
        <w:rPr>
          <w:rStyle w:val="Appelnotedebasdep"/>
        </w:rPr>
        <w:footnoteReference w:id="6"/>
      </w:r>
      <w:r w:rsidR="00EA46F9">
        <w:t xml:space="preserve"> de la Commission, il maintient ces deux diagnostics. </w:t>
      </w:r>
    </w:p>
    <w:p w14:paraId="37ABAF7E" w14:textId="77777777" w:rsidR="002D1396" w:rsidRPr="00977F2D" w:rsidRDefault="002D1396" w:rsidP="00A365BD">
      <w:pPr>
        <w:pStyle w:val="corpsdedcision"/>
        <w:tabs>
          <w:tab w:val="num" w:pos="720"/>
        </w:tabs>
        <w:rPr>
          <w:b/>
        </w:rPr>
      </w:pPr>
      <w:r>
        <w:t>De plus, en mai 2022, la docteure Lorraine Bond, psychiatre et professionnelle de la santé dé</w:t>
      </w:r>
      <w:r w:rsidR="00492E13">
        <w:t>signé</w:t>
      </w:r>
      <w:r w:rsidR="00AE302C">
        <w:t>e</w:t>
      </w:r>
      <w:r w:rsidR="00492E13">
        <w:t xml:space="preserve"> de l’employeur</w:t>
      </w:r>
      <w:r w:rsidR="00A37B9F">
        <w:t>,</w:t>
      </w:r>
      <w:r w:rsidR="00492E13">
        <w:t xml:space="preserve"> retient</w:t>
      </w:r>
      <w:r>
        <w:t xml:space="preserve"> </w:t>
      </w:r>
      <w:r w:rsidR="00492E13">
        <w:t>deux diagnostics</w:t>
      </w:r>
      <w:r w:rsidR="00A37B9F">
        <w:t>,</w:t>
      </w:r>
      <w:r w:rsidR="00492E13">
        <w:t xml:space="preserve"> soit un</w:t>
      </w:r>
      <w:r w:rsidR="00517727">
        <w:t xml:space="preserve"> syndrome </w:t>
      </w:r>
      <w:r w:rsidR="00492E13">
        <w:t xml:space="preserve">de stress post-traumatique et </w:t>
      </w:r>
      <w:r w:rsidR="00517727">
        <w:t xml:space="preserve">un épisode dépressif majeur. </w:t>
      </w:r>
    </w:p>
    <w:p w14:paraId="5078435F" w14:textId="77777777" w:rsidR="00977F2D" w:rsidRPr="00CF22D2" w:rsidRDefault="00CF22D2" w:rsidP="00A365BD">
      <w:pPr>
        <w:pStyle w:val="corpsdedcision"/>
        <w:tabs>
          <w:tab w:val="num" w:pos="720"/>
        </w:tabs>
        <w:rPr>
          <w:b/>
        </w:rPr>
      </w:pPr>
      <w:r>
        <w:t>E</w:t>
      </w:r>
      <w:r w:rsidR="00977F2D">
        <w:t xml:space="preserve">n février 2022, la Commission accepte la réclamation du travailleur </w:t>
      </w:r>
      <w:r w:rsidR="00654B73">
        <w:t>uniquement pour le diagnostic d’état de stress post</w:t>
      </w:r>
      <w:r w:rsidR="00FE0882">
        <w:t>-</w:t>
      </w:r>
      <w:r w:rsidR="00654B73">
        <w:t>traumatique, sans autre explication.</w:t>
      </w:r>
    </w:p>
    <w:p w14:paraId="30BD821B" w14:textId="77777777" w:rsidR="00CF22D2" w:rsidRDefault="00CF22D2" w:rsidP="00CF22D2">
      <w:pPr>
        <w:pStyle w:val="corpsdedcision"/>
        <w:spacing w:after="480"/>
      </w:pPr>
      <w:r>
        <w:t>Or, bien que la Commission ne se prononce pas sur le diagnostic de dépression majeure en lien ou non avec la lésion professionnelle, le Tribunal siégeant de novo considère avoir le pouvoir d’analyser</w:t>
      </w:r>
      <w:r w:rsidR="002D1396">
        <w:t xml:space="preserve"> toute question de droit ou de fait nécessaire à l’exercice de sa compétence</w:t>
      </w:r>
      <w:r>
        <w:t xml:space="preserve"> </w:t>
      </w:r>
      <w:r w:rsidR="002D1396">
        <w:t>en regard de la réclamation du travailleur, incluant les diagnostics</w:t>
      </w:r>
      <w:r>
        <w:rPr>
          <w:rStyle w:val="Appelnotedebasdep"/>
        </w:rPr>
        <w:footnoteReference w:id="7"/>
      </w:r>
      <w:r>
        <w:t>.</w:t>
      </w:r>
    </w:p>
    <w:p w14:paraId="7135238B" w14:textId="77777777" w:rsidR="002D1396" w:rsidRDefault="00394468" w:rsidP="00CF22D2">
      <w:pPr>
        <w:pStyle w:val="corpsdedcision"/>
        <w:spacing w:after="480"/>
      </w:pPr>
      <w:r>
        <w:t xml:space="preserve">Le Tribunal considère que </w:t>
      </w:r>
      <w:r w:rsidR="00F10C4D">
        <w:t>les deux diagnostics d’ordre psychique</w:t>
      </w:r>
      <w:r w:rsidR="00D2402E">
        <w:t>,</w:t>
      </w:r>
      <w:r w:rsidR="003124E1">
        <w:t xml:space="preserve"> </w:t>
      </w:r>
      <w:r w:rsidR="00F10C4D">
        <w:t>soit le syndrome de stress post-traumatique et la dépression majeure</w:t>
      </w:r>
      <w:r w:rsidR="00D2402E">
        <w:t>,</w:t>
      </w:r>
      <w:r w:rsidR="00F10C4D">
        <w:t xml:space="preserve"> le lient puisque ni l’employeur ni la Commission n’ont contesté ces diagnostics.</w:t>
      </w:r>
    </w:p>
    <w:p w14:paraId="1EA16E41" w14:textId="77777777" w:rsidR="005D25D5" w:rsidRPr="005D25D5" w:rsidRDefault="005D25D5" w:rsidP="005D25D5">
      <w:pPr>
        <w:pStyle w:val="corpsdedcision"/>
        <w:numPr>
          <w:ilvl w:val="0"/>
          <w:numId w:val="0"/>
        </w:numPr>
        <w:tabs>
          <w:tab w:val="clear" w:pos="720"/>
        </w:tabs>
        <w:rPr>
          <w:b/>
        </w:rPr>
      </w:pPr>
      <w:r w:rsidRPr="005D25D5">
        <w:rPr>
          <w:b/>
        </w:rPr>
        <w:lastRenderedPageBreak/>
        <w:t>Le</w:t>
      </w:r>
      <w:r>
        <w:t xml:space="preserve"> </w:t>
      </w:r>
      <w:r w:rsidRPr="005D25D5">
        <w:rPr>
          <w:b/>
        </w:rPr>
        <w:t>travailleur a-t-il établi la survenance d’un accident du travail au sens de l’article</w:t>
      </w:r>
      <w:r w:rsidR="00D2402E">
        <w:rPr>
          <w:b/>
        </w:rPr>
        <w:t> </w:t>
      </w:r>
      <w:r w:rsidRPr="005D25D5">
        <w:rPr>
          <w:b/>
        </w:rPr>
        <w:t>2 de la Loi</w:t>
      </w:r>
      <w:r w:rsidRPr="005D25D5">
        <w:rPr>
          <w:b/>
          <w:iCs/>
        </w:rPr>
        <w:t>?</w:t>
      </w:r>
    </w:p>
    <w:p w14:paraId="320F76AD" w14:textId="77777777" w:rsidR="00A365BD" w:rsidRPr="00705711" w:rsidRDefault="00A365BD" w:rsidP="00A365BD">
      <w:pPr>
        <w:numPr>
          <w:ilvl w:val="0"/>
          <w:numId w:val="1"/>
        </w:numPr>
        <w:tabs>
          <w:tab w:val="left" w:pos="720"/>
        </w:tabs>
        <w:spacing w:after="360"/>
        <w:jc w:val="both"/>
      </w:pPr>
      <w:r w:rsidRPr="00705711">
        <w:t xml:space="preserve">Pour établir </w:t>
      </w:r>
      <w:r w:rsidR="00EA7530">
        <w:t xml:space="preserve">que le travailleur a subi un accident du travail ayant entraîné une lésion psychique, il doit prouver les </w:t>
      </w:r>
      <w:r w:rsidR="0072412C">
        <w:t>c</w:t>
      </w:r>
      <w:r w:rsidRPr="00705711">
        <w:t>onditions suivantes :</w:t>
      </w:r>
    </w:p>
    <w:p w14:paraId="16489421" w14:textId="77777777" w:rsidR="00A365BD" w:rsidRPr="00705711" w:rsidRDefault="00A365BD" w:rsidP="00A365BD">
      <w:pPr>
        <w:numPr>
          <w:ilvl w:val="0"/>
          <w:numId w:val="12"/>
        </w:numPr>
        <w:tabs>
          <w:tab w:val="left" w:pos="720"/>
        </w:tabs>
        <w:spacing w:after="120"/>
        <w:ind w:left="714" w:hanging="357"/>
        <w:jc w:val="both"/>
      </w:pPr>
      <w:proofErr w:type="gramStart"/>
      <w:r w:rsidRPr="00705711">
        <w:t>un</w:t>
      </w:r>
      <w:proofErr w:type="gramEnd"/>
      <w:r w:rsidRPr="00705711">
        <w:t xml:space="preserve"> événement imprévu et soudain, attribuable à toute cause;</w:t>
      </w:r>
    </w:p>
    <w:p w14:paraId="79678230" w14:textId="77777777" w:rsidR="00A365BD" w:rsidRPr="00705711" w:rsidRDefault="00A365BD" w:rsidP="00A365BD">
      <w:pPr>
        <w:numPr>
          <w:ilvl w:val="0"/>
          <w:numId w:val="12"/>
        </w:numPr>
        <w:tabs>
          <w:tab w:val="left" w:pos="720"/>
        </w:tabs>
        <w:spacing w:after="120"/>
        <w:ind w:left="714" w:hanging="357"/>
        <w:jc w:val="both"/>
      </w:pPr>
      <w:proofErr w:type="gramStart"/>
      <w:r w:rsidRPr="00705711">
        <w:t>qui</w:t>
      </w:r>
      <w:proofErr w:type="gramEnd"/>
      <w:r w:rsidRPr="00705711">
        <w:t xml:space="preserve"> survient par le fait ou à l’occasion du travail;</w:t>
      </w:r>
    </w:p>
    <w:p w14:paraId="12FA613A" w14:textId="77777777" w:rsidR="00A365BD" w:rsidRPr="00705711" w:rsidRDefault="00A365BD" w:rsidP="00A365BD">
      <w:pPr>
        <w:numPr>
          <w:ilvl w:val="0"/>
          <w:numId w:val="12"/>
        </w:numPr>
        <w:tabs>
          <w:tab w:val="left" w:pos="720"/>
        </w:tabs>
        <w:spacing w:after="120"/>
        <w:ind w:left="714" w:hanging="357"/>
        <w:jc w:val="both"/>
      </w:pPr>
      <w:proofErr w:type="gramStart"/>
      <w:r w:rsidRPr="00705711">
        <w:t>qui</w:t>
      </w:r>
      <w:proofErr w:type="gramEnd"/>
      <w:r w:rsidRPr="00705711">
        <w:t xml:space="preserve"> entraîne une lésion professionnelle.</w:t>
      </w:r>
    </w:p>
    <w:p w14:paraId="2A70B63A" w14:textId="77777777" w:rsidR="00A365BD" w:rsidRPr="00705711" w:rsidRDefault="00A365BD" w:rsidP="00A365BD">
      <w:pPr>
        <w:tabs>
          <w:tab w:val="left" w:pos="720"/>
        </w:tabs>
        <w:spacing w:after="120"/>
        <w:ind w:left="714"/>
        <w:jc w:val="both"/>
      </w:pPr>
    </w:p>
    <w:p w14:paraId="410BA5D6" w14:textId="77777777" w:rsidR="00A365BD" w:rsidRDefault="00A365BD" w:rsidP="00A365BD">
      <w:pPr>
        <w:numPr>
          <w:ilvl w:val="0"/>
          <w:numId w:val="1"/>
        </w:numPr>
        <w:tabs>
          <w:tab w:val="clear" w:pos="360"/>
          <w:tab w:val="num" w:pos="720"/>
        </w:tabs>
        <w:spacing w:after="360"/>
        <w:jc w:val="both"/>
      </w:pPr>
      <w:r>
        <w:t>Sur le plan des lésions à caractère psychique, u</w:t>
      </w:r>
      <w:r w:rsidRPr="00705711">
        <w:t>n événement imprévu et soudain peut être un événement unique ou un cumul d’événements. Il est reconnu que des événements qui, pris isolément, paraissent bénins peuvent devenir significatifs par leur superposition et être assimilés à un événement imprévu et soudain au sens de la définition de la Loi</w:t>
      </w:r>
      <w:r w:rsidRPr="00705711">
        <w:rPr>
          <w:vertAlign w:val="superscript"/>
        </w:rPr>
        <w:footnoteReference w:id="8"/>
      </w:r>
      <w:r w:rsidRPr="00705711">
        <w:t xml:space="preserve">. </w:t>
      </w:r>
    </w:p>
    <w:p w14:paraId="76E5E99E" w14:textId="77777777" w:rsidR="00A365BD" w:rsidRPr="001A346C" w:rsidRDefault="00A365BD" w:rsidP="00A365BD">
      <w:pPr>
        <w:pStyle w:val="corpsdedcision"/>
        <w:spacing w:line="233" w:lineRule="auto"/>
        <w:rPr>
          <w:b/>
        </w:rPr>
      </w:pPr>
      <w:r>
        <w:t xml:space="preserve">Or, la Loi </w:t>
      </w:r>
      <w:r w:rsidRPr="00705711">
        <w:t>n’établit pas de distinction entre les lésions physiques et les lésions de nature psychologique.</w:t>
      </w:r>
      <w:r w:rsidRPr="00DA4ADB">
        <w:t xml:space="preserve"> </w:t>
      </w:r>
      <w:r>
        <w:t xml:space="preserve">Certaines décisions récentes </w:t>
      </w:r>
      <w:r w:rsidRPr="00705711">
        <w:t>du Tribunal</w:t>
      </w:r>
      <w:r w:rsidRPr="00705711">
        <w:rPr>
          <w:vertAlign w:val="superscript"/>
        </w:rPr>
        <w:footnoteReference w:id="9"/>
      </w:r>
      <w:r>
        <w:t xml:space="preserve"> tendent à abandonner la recherche d’un caractère objectivement traumatisant de l’événement ou des circonstances allégués par un travailleur puisque d’une part, cela dénature la notion d’événement imprévu et soudain en exigeant une preuve plus élevé</w:t>
      </w:r>
      <w:r w:rsidR="00D2402E">
        <w:t>e</w:t>
      </w:r>
      <w:r>
        <w:t xml:space="preserve"> qu’en matière physique et d’autre part, cela introduit, à cette étape, une dimension de causalité devant être appréciée postérieurement lorsque l’événement imprévu et soudain est démontré. Il faut davantage rechercher le caractère objectivement particulier, singulier, anormal ou inhabituel de l’événement.</w:t>
      </w:r>
    </w:p>
    <w:p w14:paraId="6D403B4C" w14:textId="77777777" w:rsidR="001A346C" w:rsidRPr="00B51D45" w:rsidRDefault="001A346C" w:rsidP="00A365BD">
      <w:pPr>
        <w:pStyle w:val="corpsdedcision"/>
        <w:spacing w:line="233" w:lineRule="auto"/>
        <w:rPr>
          <w:b/>
        </w:rPr>
      </w:pPr>
      <w:r>
        <w:t xml:space="preserve">Le Tribunal </w:t>
      </w:r>
      <w:r w:rsidR="00CA534D">
        <w:t>adhère à ce courant qui considère que l’exigence du</w:t>
      </w:r>
      <w:r w:rsidR="00CA534D" w:rsidRPr="00350829">
        <w:t xml:space="preserve"> caractère objectivement traumatisant de l’événeme</w:t>
      </w:r>
      <w:r w:rsidR="00CA534D">
        <w:t>nt</w:t>
      </w:r>
      <w:r w:rsidR="00CA534D" w:rsidRPr="00350829">
        <w:t xml:space="preserve"> dénature la notion d’événement imprévu et soudain</w:t>
      </w:r>
      <w:r w:rsidR="00CA534D">
        <w:t>.</w:t>
      </w:r>
    </w:p>
    <w:p w14:paraId="542FB7D6" w14:textId="77777777" w:rsidR="001C0CA0" w:rsidRDefault="00A365BD" w:rsidP="00A365BD">
      <w:pPr>
        <w:pStyle w:val="corpsdedcision"/>
        <w:tabs>
          <w:tab w:val="num" w:pos="360"/>
        </w:tabs>
      </w:pPr>
      <w:proofErr w:type="gramStart"/>
      <w:r>
        <w:t>De par</w:t>
      </w:r>
      <w:proofErr w:type="gramEnd"/>
      <w:r>
        <w:t xml:space="preserve"> sa nature, la lésion psychologique est difficilement objectivable et comporte une certaine part de subjectivité</w:t>
      </w:r>
      <w:r>
        <w:rPr>
          <w:rStyle w:val="Appelnotedebasdep"/>
        </w:rPr>
        <w:footnoteReference w:id="10"/>
      </w:r>
      <w:r>
        <w:t xml:space="preserve">. Or, le Tribunal doit effectuer un exercice </w:t>
      </w:r>
      <w:r>
        <w:lastRenderedPageBreak/>
        <w:t>de pondération entre l’appréciation de la trame factuelle et la perception</w:t>
      </w:r>
      <w:r w:rsidR="001C0CA0">
        <w:t xml:space="preserve"> subjective que peut en avoir le travailleur</w:t>
      </w:r>
      <w:r>
        <w:rPr>
          <w:rStyle w:val="Appelnotedebasdep"/>
        </w:rPr>
        <w:footnoteReference w:id="11"/>
      </w:r>
      <w:r w:rsidR="00CA534D">
        <w:t>. Ainsi, l</w:t>
      </w:r>
      <w:r>
        <w:t xml:space="preserve">e Tribunal recherche </w:t>
      </w:r>
      <w:r w:rsidR="00EA5913">
        <w:t xml:space="preserve">un événement ou </w:t>
      </w:r>
      <w:r>
        <w:t>une série d’événements particuliers, anormaux, inhabituels ou singuliers</w:t>
      </w:r>
      <w:r>
        <w:rPr>
          <w:rStyle w:val="Appelnotedebasdep"/>
        </w:rPr>
        <w:footnoteReference w:id="12"/>
      </w:r>
      <w:r w:rsidR="00CA534D">
        <w:t xml:space="preserve"> pour décrire l’événement imprévu et soudain</w:t>
      </w:r>
      <w:r w:rsidR="00FE5640">
        <w:t>.</w:t>
      </w:r>
    </w:p>
    <w:p w14:paraId="45AC75DE" w14:textId="77777777" w:rsidR="00A365BD" w:rsidRDefault="001A0B7E" w:rsidP="00A365BD">
      <w:pPr>
        <w:pStyle w:val="corpsdedcision"/>
        <w:tabs>
          <w:tab w:val="num" w:pos="360"/>
        </w:tabs>
      </w:pPr>
      <w:r>
        <w:t>E</w:t>
      </w:r>
      <w:r w:rsidR="00A365BD">
        <w:t>n matière psychique, la détermination d’un événement imprévu et soudain repose sur une appréciation de l’ensemble des circonstances, qu’elles soient prévisible</w:t>
      </w:r>
      <w:r w:rsidR="00D2402E">
        <w:t>s</w:t>
      </w:r>
      <w:r w:rsidR="00A365BD">
        <w:t xml:space="preserve"> ou non. Néanmoins, les faits </w:t>
      </w:r>
      <w:r w:rsidR="00A365BD" w:rsidRPr="0073337B">
        <w:rPr>
          <w:rStyle w:val="Citationintgre"/>
          <w:i w:val="0"/>
          <w:sz w:val="24"/>
          <w:szCs w:val="24"/>
        </w:rPr>
        <w:t>doivent dépasser la perception, les attentes ou les exigences personnelles d</w:t>
      </w:r>
      <w:r w:rsidR="001C0CA0">
        <w:rPr>
          <w:rStyle w:val="Citationintgre"/>
          <w:i w:val="0"/>
          <w:sz w:val="24"/>
          <w:szCs w:val="24"/>
        </w:rPr>
        <w:t>u travailleur</w:t>
      </w:r>
      <w:r w:rsidR="00A365BD">
        <w:rPr>
          <w:rStyle w:val="Appelnotedebasdep"/>
        </w:rPr>
        <w:footnoteReference w:id="13"/>
      </w:r>
      <w:r w:rsidR="00D2402E">
        <w:rPr>
          <w:rStyle w:val="Citationintgre"/>
          <w:i w:val="0"/>
          <w:sz w:val="24"/>
          <w:szCs w:val="24"/>
        </w:rPr>
        <w:t>,</w:t>
      </w:r>
      <w:r w:rsidR="00FE5640">
        <w:t xml:space="preserve"> en tenant compte de la nature du milieu de travail et </w:t>
      </w:r>
      <w:r w:rsidR="00D2402E">
        <w:t xml:space="preserve">de </w:t>
      </w:r>
      <w:r w:rsidR="00FE5640">
        <w:t>ses particularités.</w:t>
      </w:r>
    </w:p>
    <w:p w14:paraId="0432996C" w14:textId="77777777" w:rsidR="005A75C7" w:rsidRDefault="005A75C7" w:rsidP="00A365BD">
      <w:pPr>
        <w:pStyle w:val="corpsdedcision"/>
        <w:tabs>
          <w:tab w:val="num" w:pos="360"/>
        </w:tabs>
      </w:pPr>
      <w:r>
        <w:t>En l’espèce, le représentant du travailleur invoque essentielle</w:t>
      </w:r>
      <w:r w:rsidR="001020DC">
        <w:t>ment</w:t>
      </w:r>
      <w:r>
        <w:t xml:space="preserve"> la survenance de trois événements, le premier en juin 2018 et les deux autre</w:t>
      </w:r>
      <w:r w:rsidR="00A53031">
        <w:t>s, le même jour, en février 2021</w:t>
      </w:r>
      <w:r>
        <w:t>.</w:t>
      </w:r>
    </w:p>
    <w:p w14:paraId="24347A8F" w14:textId="77777777" w:rsidR="000D0F07" w:rsidRDefault="00BD642B" w:rsidP="00BD642B">
      <w:pPr>
        <w:tabs>
          <w:tab w:val="left" w:pos="720"/>
        </w:tabs>
        <w:spacing w:after="120"/>
        <w:jc w:val="both"/>
        <w:rPr>
          <w:u w:val="single"/>
        </w:rPr>
      </w:pPr>
      <w:r w:rsidRPr="00BD642B">
        <w:rPr>
          <w:u w:val="single"/>
        </w:rPr>
        <w:t>Événements imprévus et soudains, attribuables à toute cause</w:t>
      </w:r>
    </w:p>
    <w:p w14:paraId="0C4E8DE1" w14:textId="77777777" w:rsidR="00BD642B" w:rsidRPr="00BD642B" w:rsidRDefault="00BD642B" w:rsidP="00BD642B">
      <w:pPr>
        <w:tabs>
          <w:tab w:val="left" w:pos="720"/>
        </w:tabs>
        <w:spacing w:after="120"/>
        <w:jc w:val="both"/>
        <w:rPr>
          <w:u w:val="single"/>
        </w:rPr>
      </w:pPr>
    </w:p>
    <w:p w14:paraId="3CA5A09E" w14:textId="77777777" w:rsidR="00FE5640" w:rsidRPr="001020DC" w:rsidRDefault="004F65EA" w:rsidP="005A75C7">
      <w:pPr>
        <w:pStyle w:val="corpsdedcision"/>
        <w:numPr>
          <w:ilvl w:val="0"/>
          <w:numId w:val="0"/>
        </w:numPr>
        <w:rPr>
          <w:u w:val="single"/>
        </w:rPr>
      </w:pPr>
      <w:r w:rsidRPr="001020DC">
        <w:rPr>
          <w:u w:val="single"/>
        </w:rPr>
        <w:t>Év</w:t>
      </w:r>
      <w:r w:rsidR="000B4C61">
        <w:rPr>
          <w:u w:val="single"/>
        </w:rPr>
        <w:t>é</w:t>
      </w:r>
      <w:r w:rsidRPr="001020DC">
        <w:rPr>
          <w:u w:val="single"/>
        </w:rPr>
        <w:t>nement du 24 juin 2018</w:t>
      </w:r>
    </w:p>
    <w:p w14:paraId="390FA9DC" w14:textId="77777777" w:rsidR="00A365BD" w:rsidRDefault="007322B7" w:rsidP="004C2944">
      <w:pPr>
        <w:pStyle w:val="corpsdedcision"/>
      </w:pPr>
      <w:r>
        <w:t xml:space="preserve">À l’audience, </w:t>
      </w:r>
      <w:r w:rsidR="00105D54">
        <w:t xml:space="preserve">toutes les parties </w:t>
      </w:r>
      <w:r>
        <w:t xml:space="preserve">admettent que l’événement </w:t>
      </w:r>
      <w:r w:rsidR="00964F15">
        <w:t xml:space="preserve">du 24 juin 2018 est </w:t>
      </w:r>
      <w:r w:rsidR="00105D54">
        <w:t>un événement traumatisant.</w:t>
      </w:r>
      <w:r>
        <w:t xml:space="preserve"> </w:t>
      </w:r>
    </w:p>
    <w:p w14:paraId="28F43C4F" w14:textId="77777777" w:rsidR="00105D54" w:rsidRDefault="004706FB" w:rsidP="004C2944">
      <w:pPr>
        <w:pStyle w:val="corpsdedcision"/>
      </w:pPr>
      <w:r>
        <w:t>Le travailleu</w:t>
      </w:r>
      <w:r w:rsidR="00E63194">
        <w:t>r témoigne d’une façon crédible et</w:t>
      </w:r>
      <w:r>
        <w:t xml:space="preserve"> </w:t>
      </w:r>
      <w:r w:rsidR="00B821A6">
        <w:t>sincère</w:t>
      </w:r>
      <w:r w:rsidR="00E63194">
        <w:t>,</w:t>
      </w:r>
      <w:r w:rsidR="00B821A6">
        <w:t xml:space="preserve"> </w:t>
      </w:r>
      <w:r>
        <w:t xml:space="preserve">avec émotion et sans exagération. </w:t>
      </w:r>
      <w:r w:rsidR="00E63194">
        <w:t>Questionné sur l’</w:t>
      </w:r>
      <w:r w:rsidR="00101EC9">
        <w:t xml:space="preserve">intervention </w:t>
      </w:r>
      <w:r w:rsidR="00E63194">
        <w:t>du 24 juin 2018</w:t>
      </w:r>
      <w:r w:rsidR="00101EC9">
        <w:t xml:space="preserve">, </w:t>
      </w:r>
      <w:r w:rsidR="009F0E4E">
        <w:t>i</w:t>
      </w:r>
      <w:r w:rsidR="00101EC9">
        <w:t xml:space="preserve">l </w:t>
      </w:r>
      <w:r w:rsidR="00101EC9" w:rsidRPr="00F948F6">
        <w:t>affirme</w:t>
      </w:r>
      <w:r w:rsidR="00101EC9">
        <w:t xml:space="preserve"> d’emblée</w:t>
      </w:r>
      <w:r w:rsidR="00594B8A">
        <w:t xml:space="preserve"> que</w:t>
      </w:r>
      <w:r w:rsidR="00101EC9">
        <w:t xml:space="preserve"> </w:t>
      </w:r>
      <w:r w:rsidR="00F948F6">
        <w:t xml:space="preserve">c’est </w:t>
      </w:r>
      <w:r w:rsidR="00101EC9" w:rsidRPr="00101EC9">
        <w:rPr>
          <w:i/>
        </w:rPr>
        <w:t>« </w:t>
      </w:r>
      <w:r w:rsidR="00101EC9" w:rsidRPr="008841B8">
        <w:rPr>
          <w:rStyle w:val="Citationintgre"/>
        </w:rPr>
        <w:t>l’intervention pour laquelle je suis ici aujourd’hui</w:t>
      </w:r>
      <w:r w:rsidR="00101EC9">
        <w:t> ».</w:t>
      </w:r>
    </w:p>
    <w:p w14:paraId="3CBA5EF1" w14:textId="77777777" w:rsidR="001F43C2" w:rsidRDefault="005921FE" w:rsidP="001F43C2">
      <w:pPr>
        <w:pStyle w:val="corpsdedcision"/>
        <w:tabs>
          <w:tab w:val="num" w:pos="360"/>
        </w:tabs>
      </w:pPr>
      <w:r>
        <w:t>Le travailleur exerce le métier de technicien ambulancier</w:t>
      </w:r>
      <w:r w:rsidR="00F948F6">
        <w:t xml:space="preserve"> </w:t>
      </w:r>
      <w:proofErr w:type="spellStart"/>
      <w:r w:rsidR="001F43C2">
        <w:t>paramédic</w:t>
      </w:r>
      <w:proofErr w:type="spellEnd"/>
      <w:r>
        <w:t xml:space="preserve"> depuis près de 35 ans. Il </w:t>
      </w:r>
      <w:r w:rsidR="001F43C2">
        <w:t>témoigne devoir prodiguer des soins urgents et non</w:t>
      </w:r>
      <w:r w:rsidR="00F948F6">
        <w:t xml:space="preserve"> </w:t>
      </w:r>
      <w:r w:rsidR="001F43C2">
        <w:t>urgents et assurer les transports en ambulance. Son horair</w:t>
      </w:r>
      <w:r w:rsidR="00711E88">
        <w:t>e de travail est de 12 heures par</w:t>
      </w:r>
      <w:r w:rsidR="001F43C2">
        <w:t xml:space="preserve"> jour, sur une séquence alternée </w:t>
      </w:r>
      <w:r w:rsidR="0029430C">
        <w:t xml:space="preserve">de </w:t>
      </w:r>
      <w:r w:rsidR="001F43C2">
        <w:t>travail</w:t>
      </w:r>
      <w:r w:rsidR="0029430C">
        <w:t>/</w:t>
      </w:r>
      <w:r w:rsidR="001F43C2">
        <w:t>repos</w:t>
      </w:r>
      <w:r w:rsidR="001F43C2">
        <w:rPr>
          <w:rStyle w:val="Appelnotedebasdep"/>
        </w:rPr>
        <w:footnoteReference w:id="14"/>
      </w:r>
      <w:r w:rsidR="001F43C2">
        <w:t>.</w:t>
      </w:r>
    </w:p>
    <w:p w14:paraId="54D91EE3" w14:textId="77777777" w:rsidR="001F43C2" w:rsidRDefault="001F43C2" w:rsidP="001F43C2">
      <w:pPr>
        <w:pStyle w:val="corpsdedcision"/>
        <w:tabs>
          <w:tab w:val="num" w:pos="360"/>
        </w:tabs>
      </w:pPr>
      <w:r>
        <w:lastRenderedPageBreak/>
        <w:t xml:space="preserve">Le 24 juin 2018, lui et son collègue reçoivent un appel </w:t>
      </w:r>
      <w:r w:rsidR="00EA5913">
        <w:t>du centre</w:t>
      </w:r>
      <w:r>
        <w:t xml:space="preserve"> </w:t>
      </w:r>
      <w:r w:rsidR="007D142C">
        <w:t>de répartition</w:t>
      </w:r>
      <w:r w:rsidR="00E63194">
        <w:t xml:space="preserve"> </w:t>
      </w:r>
      <w:r w:rsidR="00B17328">
        <w:t xml:space="preserve">des </w:t>
      </w:r>
      <w:r w:rsidR="00E63194">
        <w:t>ambulanc</w:t>
      </w:r>
      <w:r w:rsidR="00B17328">
        <w:t>es</w:t>
      </w:r>
      <w:r w:rsidR="00E63194">
        <w:t xml:space="preserve"> </w:t>
      </w:r>
      <w:r>
        <w:t>afin qu’ils interviennent</w:t>
      </w:r>
      <w:r w:rsidR="007D142C">
        <w:t xml:space="preserve"> </w:t>
      </w:r>
      <w:r w:rsidR="00AA2383">
        <w:t>pour un accident qui implique</w:t>
      </w:r>
      <w:r w:rsidR="007D142C">
        <w:t xml:space="preserve"> une femme qui s’est infligé des brûlures. À leur arrivée, la femme est allongée au sol, </w:t>
      </w:r>
      <w:r w:rsidR="00E63194">
        <w:t>hurlante</w:t>
      </w:r>
      <w:r w:rsidR="00711E88">
        <w:t>. S</w:t>
      </w:r>
      <w:r w:rsidR="00E63194">
        <w:t xml:space="preserve">on corps </w:t>
      </w:r>
      <w:r w:rsidR="00711E88">
        <w:t xml:space="preserve">est </w:t>
      </w:r>
      <w:r w:rsidR="00E63194">
        <w:t>brulé à 90</w:t>
      </w:r>
      <w:r w:rsidR="0029430C">
        <w:t xml:space="preserve"> </w:t>
      </w:r>
      <w:r w:rsidR="00E63194">
        <w:t>%</w:t>
      </w:r>
      <w:r w:rsidR="00C4516D">
        <w:t>, de la</w:t>
      </w:r>
      <w:r w:rsidR="00BB738C" w:rsidRPr="00EA5913">
        <w:t> </w:t>
      </w:r>
      <w:r w:rsidR="00C4516D" w:rsidRPr="00EA5913">
        <w:rPr>
          <w:i/>
        </w:rPr>
        <w:t>boucane</w:t>
      </w:r>
      <w:r w:rsidR="00C4516D">
        <w:t xml:space="preserve"> s’échappant de ses cheveux. </w:t>
      </w:r>
      <w:r w:rsidR="00476FE9">
        <w:t>Elle</w:t>
      </w:r>
      <w:r w:rsidR="00C4516D">
        <w:t xml:space="preserve"> s’est immolée en se renversant de l’h</w:t>
      </w:r>
      <w:r w:rsidR="00711E88">
        <w:t xml:space="preserve">uile à fondue sur </w:t>
      </w:r>
      <w:r w:rsidR="0029430C">
        <w:t>le</w:t>
      </w:r>
      <w:r w:rsidR="00711E88">
        <w:t xml:space="preserve"> corps et en</w:t>
      </w:r>
      <w:r w:rsidR="00C4516D">
        <w:t xml:space="preserve"> y mettant le feu.</w:t>
      </w:r>
    </w:p>
    <w:p w14:paraId="2882D46A" w14:textId="77777777" w:rsidR="00622D26" w:rsidRDefault="00C4516D" w:rsidP="001F43C2">
      <w:pPr>
        <w:pStyle w:val="corpsdedcision"/>
        <w:tabs>
          <w:tab w:val="num" w:pos="360"/>
        </w:tabs>
      </w:pPr>
      <w:r>
        <w:t>Pendant le transport en ambulance, sur une distance d’environ vingt-deux kilomètres, la dame hurle</w:t>
      </w:r>
      <w:r w:rsidR="00711E88">
        <w:t>.</w:t>
      </w:r>
      <w:r>
        <w:t xml:space="preserve"> </w:t>
      </w:r>
      <w:r w:rsidR="00711E88">
        <w:t>Le travailleur doit l’</w:t>
      </w:r>
      <w:r w:rsidR="00622D26">
        <w:t>asperge</w:t>
      </w:r>
      <w:r w:rsidR="00711E88">
        <w:t>r</w:t>
      </w:r>
      <w:r w:rsidR="00622D26">
        <w:t xml:space="preserve"> de liquide pour tenter de la soulag</w:t>
      </w:r>
      <w:r w:rsidR="00BB738C">
        <w:t>er</w:t>
      </w:r>
      <w:r w:rsidR="00622D26">
        <w:t>. Il mentionne que c’est « </w:t>
      </w:r>
      <w:r w:rsidR="00622D26" w:rsidRPr="008841B8">
        <w:rPr>
          <w:rStyle w:val="Citationintgre"/>
        </w:rPr>
        <w:t>le summum de la souffrance physique</w:t>
      </w:r>
      <w:r w:rsidR="00622D26">
        <w:t> »</w:t>
      </w:r>
      <w:r w:rsidR="00E63194">
        <w:t xml:space="preserve">. Il </w:t>
      </w:r>
      <w:r w:rsidR="00FD1FB7">
        <w:t xml:space="preserve">mentionne aussi qu’il </w:t>
      </w:r>
      <w:r w:rsidR="00E63194">
        <w:t xml:space="preserve">s’est </w:t>
      </w:r>
      <w:r w:rsidR="009F0E4E">
        <w:t xml:space="preserve">senti démuni </w:t>
      </w:r>
      <w:r w:rsidR="00097D57">
        <w:t>face à sa souffrance</w:t>
      </w:r>
      <w:r w:rsidR="00FD1FB7">
        <w:t xml:space="preserve"> et</w:t>
      </w:r>
      <w:r w:rsidR="00097D57">
        <w:t xml:space="preserve"> que ce jour-là</w:t>
      </w:r>
      <w:r w:rsidR="00F8654A">
        <w:t>,</w:t>
      </w:r>
      <w:r w:rsidR="00097D57">
        <w:t xml:space="preserve"> « </w:t>
      </w:r>
      <w:r w:rsidR="00097D57" w:rsidRPr="00B06CD2">
        <w:rPr>
          <w:rStyle w:val="Citationintgre"/>
        </w:rPr>
        <w:t xml:space="preserve">son bouclier a cédé, bien qu’il </w:t>
      </w:r>
      <w:proofErr w:type="gramStart"/>
      <w:r w:rsidR="00097D57" w:rsidRPr="00B06CD2">
        <w:rPr>
          <w:rStyle w:val="Citationintgre"/>
        </w:rPr>
        <w:t>pensait</w:t>
      </w:r>
      <w:proofErr w:type="gramEnd"/>
      <w:r w:rsidR="00097D57" w:rsidRPr="00B06CD2">
        <w:rPr>
          <w:rStyle w:val="Citationintgre"/>
        </w:rPr>
        <w:t xml:space="preserve"> avoir tout vu</w:t>
      </w:r>
      <w:r w:rsidR="00097D57">
        <w:t> »</w:t>
      </w:r>
      <w:r w:rsidR="0029430C">
        <w:t>.</w:t>
      </w:r>
      <w:r w:rsidR="00622D26">
        <w:t xml:space="preserve"> L</w:t>
      </w:r>
      <w:r w:rsidR="00B821A6">
        <w:t>a dame décède dans les jours suivants.</w:t>
      </w:r>
    </w:p>
    <w:p w14:paraId="3E1BBA34" w14:textId="77777777" w:rsidR="00C609D3" w:rsidRDefault="00622D26" w:rsidP="00720752">
      <w:pPr>
        <w:pStyle w:val="corpsdedcision"/>
        <w:tabs>
          <w:tab w:val="num" w:pos="360"/>
        </w:tabs>
      </w:pPr>
      <w:r>
        <w:t xml:space="preserve">Il </w:t>
      </w:r>
      <w:r w:rsidR="00FD1FB7">
        <w:t xml:space="preserve">témoigne </w:t>
      </w:r>
      <w:r>
        <w:t xml:space="preserve">ne </w:t>
      </w:r>
      <w:r w:rsidR="00B821A6">
        <w:t xml:space="preserve">plus </w:t>
      </w:r>
      <w:r w:rsidR="00FD1FB7">
        <w:t xml:space="preserve">se souvenir </w:t>
      </w:r>
      <w:r w:rsidR="00B821A6">
        <w:t>comment s’est terminé</w:t>
      </w:r>
      <w:r w:rsidR="00BB738C">
        <w:t>e</w:t>
      </w:r>
      <w:r w:rsidR="00B821A6">
        <w:t xml:space="preserve"> sa journée. </w:t>
      </w:r>
      <w:r w:rsidR="009F0E4E">
        <w:t xml:space="preserve">Dans les jours qui suivent, </w:t>
      </w:r>
      <w:r w:rsidR="00F32957">
        <w:t>il éprouve des troubles du</w:t>
      </w:r>
      <w:r w:rsidR="00AB65CD">
        <w:t xml:space="preserve"> sommeil et</w:t>
      </w:r>
      <w:r w:rsidR="00097D57">
        <w:t xml:space="preserve"> </w:t>
      </w:r>
      <w:r w:rsidR="00911422">
        <w:t>revit l’événement sous la forme de</w:t>
      </w:r>
      <w:r w:rsidR="00AB65CD">
        <w:t xml:space="preserve"> </w:t>
      </w:r>
      <w:r w:rsidR="00AB65CD" w:rsidRPr="00FD1FB7">
        <w:rPr>
          <w:i/>
        </w:rPr>
        <w:t>flashback.</w:t>
      </w:r>
      <w:r w:rsidR="00AB65CD">
        <w:t xml:space="preserve"> S’installe la peur d’en parler et de consulter un professionnel de la santé, il se dit</w:t>
      </w:r>
      <w:r w:rsidR="00A53031">
        <w:t xml:space="preserve"> que</w:t>
      </w:r>
      <w:r w:rsidR="00AB65CD">
        <w:t xml:space="preserve"> </w:t>
      </w:r>
      <w:r w:rsidR="00AB65CD" w:rsidRPr="00AB65CD">
        <w:rPr>
          <w:i/>
        </w:rPr>
        <w:t>«</w:t>
      </w:r>
      <w:r w:rsidR="00AB65CD" w:rsidRPr="000B4C61">
        <w:t xml:space="preserve"> ç</w:t>
      </w:r>
      <w:r w:rsidR="00AB65CD" w:rsidRPr="00B06CD2">
        <w:rPr>
          <w:rStyle w:val="Citationintgre"/>
        </w:rPr>
        <w:t xml:space="preserve">a passera </w:t>
      </w:r>
      <w:r w:rsidR="00AB65CD" w:rsidRPr="00B06CD2">
        <w:rPr>
          <w:rStyle w:val="Citationintgre"/>
          <w:i w:val="0"/>
        </w:rPr>
        <w:t>[…]</w:t>
      </w:r>
      <w:r w:rsidR="00AB65CD" w:rsidRPr="00B06CD2">
        <w:rPr>
          <w:rStyle w:val="Citationintgre"/>
        </w:rPr>
        <w:t xml:space="preserve"> il tient le phare</w:t>
      </w:r>
      <w:r w:rsidR="00AB65CD">
        <w:t> ».</w:t>
      </w:r>
      <w:r w:rsidR="000333BC">
        <w:t xml:space="preserve"> De retour au travail régulier, à</w:t>
      </w:r>
      <w:r w:rsidR="00664A04">
        <w:t xml:space="preserve"> chaque app</w:t>
      </w:r>
      <w:r w:rsidR="00DC0B15">
        <w:t xml:space="preserve">el </w:t>
      </w:r>
      <w:r w:rsidR="00A67809">
        <w:t>du centre</w:t>
      </w:r>
      <w:r w:rsidR="00DC0B15">
        <w:t xml:space="preserve"> </w:t>
      </w:r>
      <w:r w:rsidR="00664A04">
        <w:t>de répart</w:t>
      </w:r>
      <w:r w:rsidR="00C36640">
        <w:t xml:space="preserve">ition </w:t>
      </w:r>
      <w:r w:rsidR="00873721">
        <w:t xml:space="preserve">des </w:t>
      </w:r>
      <w:r w:rsidR="00C36640">
        <w:t>ambulanc</w:t>
      </w:r>
      <w:r w:rsidR="00873721">
        <w:t>es</w:t>
      </w:r>
      <w:r w:rsidR="00C36640">
        <w:t>, son cœur se</w:t>
      </w:r>
      <w:r w:rsidR="00664A04">
        <w:t xml:space="preserve"> serre.</w:t>
      </w:r>
    </w:p>
    <w:p w14:paraId="48C3329C" w14:textId="77777777" w:rsidR="00386D9D" w:rsidRDefault="00386D9D" w:rsidP="00720752">
      <w:pPr>
        <w:pStyle w:val="corpsdedcision"/>
        <w:tabs>
          <w:tab w:val="num" w:pos="360"/>
        </w:tabs>
      </w:pPr>
      <w:r>
        <w:t>Questionné à l’audience, le directeur aux opérations</w:t>
      </w:r>
      <w:r>
        <w:rPr>
          <w:rStyle w:val="Appelnotedebasdep"/>
        </w:rPr>
        <w:footnoteReference w:id="15"/>
      </w:r>
      <w:r w:rsidR="00043967">
        <w:t>, confirme qu’au moment de cet événement, aucune procédure de suivi des appels intenses n’est disponible chez l’employeur.</w:t>
      </w:r>
    </w:p>
    <w:p w14:paraId="03795CB9" w14:textId="77777777" w:rsidR="00720752" w:rsidRDefault="00DC0B15" w:rsidP="0058636A">
      <w:pPr>
        <w:pStyle w:val="corpsdedcision"/>
        <w:tabs>
          <w:tab w:val="num" w:pos="360"/>
        </w:tabs>
      </w:pPr>
      <w:r>
        <w:t>Pendant plus de deux années et demi</w:t>
      </w:r>
      <w:r w:rsidR="00301F16">
        <w:t>e</w:t>
      </w:r>
      <w:r>
        <w:t>, le</w:t>
      </w:r>
      <w:r w:rsidR="009124C5">
        <w:t xml:space="preserve"> travailleur ne cesse pas de travailler</w:t>
      </w:r>
      <w:r>
        <w:t>,</w:t>
      </w:r>
      <w:r w:rsidR="0090530A">
        <w:t xml:space="preserve"> n</w:t>
      </w:r>
      <w:r w:rsidR="00664A04">
        <w:t>’en discute pas avec son employeur ou son entourage</w:t>
      </w:r>
      <w:r w:rsidR="00664A04">
        <w:rPr>
          <w:rStyle w:val="Appelnotedebasdep"/>
        </w:rPr>
        <w:footnoteReference w:id="16"/>
      </w:r>
      <w:r w:rsidR="00664A04">
        <w:t>,</w:t>
      </w:r>
      <w:r>
        <w:t xml:space="preserve"> ni ne consulte</w:t>
      </w:r>
      <w:r w:rsidR="00720752">
        <w:t xml:space="preserve"> d’</w:t>
      </w:r>
      <w:r w:rsidR="00071A82">
        <w:t xml:space="preserve">intervenant </w:t>
      </w:r>
      <w:r w:rsidR="00720752">
        <w:t>d’un programme d’aide aux employés ou</w:t>
      </w:r>
      <w:r>
        <w:t xml:space="preserve"> de professionnel de la santé relativement aux symptômes ressentis.</w:t>
      </w:r>
    </w:p>
    <w:p w14:paraId="61E6D4B6" w14:textId="77777777" w:rsidR="006D05FE" w:rsidRDefault="006D05FE" w:rsidP="0058636A">
      <w:pPr>
        <w:pStyle w:val="corpsdedcision"/>
        <w:tabs>
          <w:tab w:val="num" w:pos="360"/>
        </w:tabs>
      </w:pPr>
      <w:r>
        <w:t>Le Tribunal considère que les circonstances entourant la survena</w:t>
      </w:r>
      <w:r w:rsidR="00A53031">
        <w:t>nce de</w:t>
      </w:r>
      <w:r>
        <w:t xml:space="preserve"> cet événement sortent du cadre normal et habituel du travail de l’emploi de technicien ambulancier. La preuve démontre que l’incident du 24 juin 2018</w:t>
      </w:r>
      <w:r w:rsidR="0084441A">
        <w:t xml:space="preserve">, </w:t>
      </w:r>
      <w:r w:rsidR="00A53031">
        <w:t xml:space="preserve">par </w:t>
      </w:r>
      <w:r w:rsidR="0084441A">
        <w:t xml:space="preserve">les </w:t>
      </w:r>
      <w:r w:rsidR="0058636A">
        <w:t xml:space="preserve">circonstances de l’événement </w:t>
      </w:r>
      <w:r w:rsidR="006F03AF">
        <w:t>elles</w:t>
      </w:r>
      <w:r w:rsidR="0058636A">
        <w:t>-même</w:t>
      </w:r>
      <w:r w:rsidR="00C609D3">
        <w:t>s</w:t>
      </w:r>
      <w:r w:rsidR="0058636A">
        <w:t xml:space="preserve">, soit </w:t>
      </w:r>
      <w:r w:rsidR="00386D9D">
        <w:t xml:space="preserve">la </w:t>
      </w:r>
      <w:r w:rsidR="0058636A">
        <w:t>douleur extr</w:t>
      </w:r>
      <w:r w:rsidR="00386D9D">
        <w:t>ême et</w:t>
      </w:r>
      <w:r w:rsidR="0058636A">
        <w:t xml:space="preserve"> </w:t>
      </w:r>
      <w:r w:rsidR="00386D9D">
        <w:t>l’</w:t>
      </w:r>
      <w:r w:rsidR="0058636A">
        <w:t xml:space="preserve">immolation de la dame, </w:t>
      </w:r>
      <w:r w:rsidR="006F03AF">
        <w:t xml:space="preserve">de même </w:t>
      </w:r>
      <w:r w:rsidR="0058636A">
        <w:t>que par les sentiments ressentis par le travailleur</w:t>
      </w:r>
      <w:r w:rsidR="006F03AF">
        <w:t>,</w:t>
      </w:r>
      <w:r w:rsidR="0058636A">
        <w:t xml:space="preserve"> </w:t>
      </w:r>
      <w:r w:rsidR="00386D9D">
        <w:t>es</w:t>
      </w:r>
      <w:r w:rsidR="0058636A">
        <w:t>t</w:t>
      </w:r>
      <w:r>
        <w:t xml:space="preserve"> une situation singulière</w:t>
      </w:r>
      <w:r w:rsidR="0058636A">
        <w:t>, inhabituelle</w:t>
      </w:r>
      <w:r>
        <w:t xml:space="preserve"> et particulière.</w:t>
      </w:r>
    </w:p>
    <w:p w14:paraId="6F7B2A19" w14:textId="77777777" w:rsidR="006D05FE" w:rsidRDefault="00386D9D" w:rsidP="006D05FE">
      <w:pPr>
        <w:pStyle w:val="corpsdedcision"/>
        <w:tabs>
          <w:tab w:val="num" w:pos="360"/>
        </w:tabs>
      </w:pPr>
      <w:r>
        <w:t>D’ailleurs, l</w:t>
      </w:r>
      <w:r w:rsidR="006D05FE">
        <w:t>e travailleur décrit bien avoir ressenti, pour la première fois, une détresse humaine élevée et s’être senti démuni dans ce contexte.</w:t>
      </w:r>
    </w:p>
    <w:p w14:paraId="630AF512" w14:textId="77777777" w:rsidR="006D05FE" w:rsidRDefault="0090530A" w:rsidP="0090530A">
      <w:pPr>
        <w:pStyle w:val="corpsdedcision"/>
        <w:tabs>
          <w:tab w:val="num" w:pos="360"/>
        </w:tabs>
      </w:pPr>
      <w:r>
        <w:t> L’analyse de cette situation permet de la qualifier d</w:t>
      </w:r>
      <w:r w:rsidR="00476FE9">
        <w:t>’événement</w:t>
      </w:r>
      <w:r>
        <w:rPr>
          <w:lang w:val="fr-FR"/>
        </w:rPr>
        <w:t xml:space="preserve"> imprévu et soudain, il s’agit d’une intervention objectivement</w:t>
      </w:r>
      <w:r>
        <w:t xml:space="preserve"> particulière</w:t>
      </w:r>
      <w:r w:rsidR="00476FE9">
        <w:t>, anormal</w:t>
      </w:r>
      <w:r>
        <w:t>e</w:t>
      </w:r>
      <w:r w:rsidR="00476FE9">
        <w:t>, inhabituel</w:t>
      </w:r>
      <w:r>
        <w:t>le et singulière</w:t>
      </w:r>
      <w:r w:rsidR="00354704">
        <w:t>, tenant compte du milieu dans lequel le travailleur évolue.</w:t>
      </w:r>
      <w:r w:rsidR="00755C9A">
        <w:t xml:space="preserve"> </w:t>
      </w:r>
    </w:p>
    <w:p w14:paraId="36689446" w14:textId="77777777" w:rsidR="00476FE9" w:rsidRDefault="006D05FE" w:rsidP="00202D80">
      <w:pPr>
        <w:pStyle w:val="corpsdedcision"/>
        <w:tabs>
          <w:tab w:val="num" w:pos="360"/>
        </w:tabs>
      </w:pPr>
      <w:r>
        <w:lastRenderedPageBreak/>
        <w:t>D’ailleurs, l</w:t>
      </w:r>
      <w:r w:rsidR="00755C9A">
        <w:t>es représentants des parties le reconnaissent.</w:t>
      </w:r>
      <w:r w:rsidRPr="006D05FE">
        <w:t xml:space="preserve"> </w:t>
      </w:r>
      <w:r>
        <w:t xml:space="preserve">En effet, tant la représentante de l’employeur que celle de la Commission soutiennent que l’événement du 24 juin 2018 déborde du cadre normal du travail. Or, </w:t>
      </w:r>
      <w:r w:rsidR="00202D80">
        <w:t xml:space="preserve">elles ne soutiennent pas les mêmes prétentions </w:t>
      </w:r>
      <w:r>
        <w:t>concernant les deux autres événements de février 202</w:t>
      </w:r>
      <w:r w:rsidR="00202D80">
        <w:t>1.</w:t>
      </w:r>
    </w:p>
    <w:p w14:paraId="650D0803" w14:textId="77777777" w:rsidR="009124C5" w:rsidRPr="009124C5" w:rsidRDefault="009124C5" w:rsidP="009124C5">
      <w:pPr>
        <w:pStyle w:val="corpsdedcision"/>
        <w:numPr>
          <w:ilvl w:val="0"/>
          <w:numId w:val="0"/>
        </w:numPr>
        <w:rPr>
          <w:i/>
        </w:rPr>
      </w:pPr>
      <w:r w:rsidRPr="009124C5">
        <w:rPr>
          <w:i/>
        </w:rPr>
        <w:t>Les deux événement</w:t>
      </w:r>
      <w:r>
        <w:rPr>
          <w:i/>
        </w:rPr>
        <w:t>s</w:t>
      </w:r>
      <w:r w:rsidRPr="009124C5">
        <w:rPr>
          <w:i/>
        </w:rPr>
        <w:t xml:space="preserve"> du 22 février 2021</w:t>
      </w:r>
    </w:p>
    <w:p w14:paraId="3FF938FA" w14:textId="77777777" w:rsidR="0039224C" w:rsidRDefault="0039224C" w:rsidP="004C2944">
      <w:pPr>
        <w:pStyle w:val="corpsdedcision"/>
      </w:pPr>
      <w:r>
        <w:t xml:space="preserve">Le représentant du travailleur soutient que les deux événements survenus la même journée </w:t>
      </w:r>
      <w:r w:rsidR="00755C9A">
        <w:t>en</w:t>
      </w:r>
      <w:r w:rsidR="00871491">
        <w:t xml:space="preserve"> février 2021 </w:t>
      </w:r>
      <w:r w:rsidR="004B28A2">
        <w:t>constituent un événement imprévu et soudain puisqu’ils sont traumatisants et inhabituels</w:t>
      </w:r>
      <w:r w:rsidR="00755C9A">
        <w:t xml:space="preserve"> et</w:t>
      </w:r>
      <w:r w:rsidR="00871491">
        <w:t xml:space="preserve"> </w:t>
      </w:r>
      <w:r w:rsidR="005A0A2F">
        <w:t xml:space="preserve">se </w:t>
      </w:r>
      <w:r w:rsidR="00871491">
        <w:t>produisen</w:t>
      </w:r>
      <w:r w:rsidR="005A0A2F">
        <w:t xml:space="preserve">t </w:t>
      </w:r>
      <w:r w:rsidR="00C03F4D">
        <w:t>l’</w:t>
      </w:r>
      <w:r w:rsidR="00BA57B4">
        <w:t>un immédiatement après l’autre</w:t>
      </w:r>
      <w:r w:rsidR="00871491">
        <w:rPr>
          <w:rStyle w:val="Appelnotedebasdep"/>
        </w:rPr>
        <w:footnoteReference w:id="17"/>
      </w:r>
      <w:r w:rsidR="004B28A2">
        <w:t>.</w:t>
      </w:r>
    </w:p>
    <w:p w14:paraId="570B9926" w14:textId="77777777" w:rsidR="00101EC9" w:rsidRDefault="0039224C" w:rsidP="004C2944">
      <w:pPr>
        <w:pStyle w:val="corpsdedcision"/>
      </w:pPr>
      <w:r>
        <w:t>La représentante</w:t>
      </w:r>
      <w:r w:rsidR="004B28A2">
        <w:t xml:space="preserve"> de l’employeur soutient que les deux événements de février 2</w:t>
      </w:r>
      <w:r w:rsidR="00871491">
        <w:t>021</w:t>
      </w:r>
      <w:r w:rsidR="004B28A2">
        <w:t xml:space="preserve"> sont des interventions normales et courantes </w:t>
      </w:r>
      <w:r w:rsidR="0031672A">
        <w:t>d’un technicien</w:t>
      </w:r>
      <w:r w:rsidR="00336EF2">
        <w:t xml:space="preserve"> </w:t>
      </w:r>
      <w:r w:rsidR="0031672A">
        <w:t>ambulancier</w:t>
      </w:r>
      <w:r w:rsidR="00C61AAA">
        <w:t xml:space="preserve"> </w:t>
      </w:r>
      <w:proofErr w:type="spellStart"/>
      <w:r w:rsidR="0031672A">
        <w:t>paramédic</w:t>
      </w:r>
      <w:proofErr w:type="spellEnd"/>
      <w:r w:rsidR="0031672A">
        <w:t xml:space="preserve"> et </w:t>
      </w:r>
      <w:r w:rsidR="006C5E46">
        <w:t>qu’</w:t>
      </w:r>
      <w:r w:rsidR="0031672A">
        <w:t>elles ne débordent pas du cadre habituel, normal et prévisible du milieu de travail.</w:t>
      </w:r>
    </w:p>
    <w:p w14:paraId="72FF27D6" w14:textId="77777777" w:rsidR="0031672A" w:rsidRDefault="0031672A" w:rsidP="004C2944">
      <w:pPr>
        <w:pStyle w:val="corpsdedcision"/>
      </w:pPr>
      <w:r>
        <w:t>La représentante de la partie intervenante prétend que les événements de février</w:t>
      </w:r>
      <w:r w:rsidR="00C61AAA">
        <w:t> </w:t>
      </w:r>
      <w:r>
        <w:t>2021</w:t>
      </w:r>
      <w:r w:rsidR="005B4C23">
        <w:t xml:space="preserve"> constituent des événements imprévus et soudains qui amènent une augmentation de la symptomatologie du</w:t>
      </w:r>
      <w:r w:rsidR="000F1F22">
        <w:t xml:space="preserve"> travailleur</w:t>
      </w:r>
      <w:r w:rsidR="00871491">
        <w:t xml:space="preserve"> </w:t>
      </w:r>
      <w:r w:rsidR="00C03F4D">
        <w:t xml:space="preserve">et </w:t>
      </w:r>
      <w:r w:rsidR="00871491">
        <w:t>qui l’incite</w:t>
      </w:r>
      <w:r w:rsidR="00C03F4D">
        <w:t>nt</w:t>
      </w:r>
      <w:r w:rsidR="000F1F22">
        <w:t xml:space="preserve"> </w:t>
      </w:r>
      <w:r w:rsidR="00871491">
        <w:t>à</w:t>
      </w:r>
      <w:r w:rsidR="005B4C23">
        <w:t xml:space="preserve"> consult</w:t>
      </w:r>
      <w:r w:rsidR="00871491">
        <w:t>er</w:t>
      </w:r>
      <w:r w:rsidR="000F1F22">
        <w:t xml:space="preserve"> un professionnel de la santé.</w:t>
      </w:r>
    </w:p>
    <w:p w14:paraId="41A81F33" w14:textId="77777777" w:rsidR="000F1F22" w:rsidRDefault="000F1F22" w:rsidP="004C2944">
      <w:pPr>
        <w:pStyle w:val="corpsdedcision"/>
      </w:pPr>
      <w:r>
        <w:t xml:space="preserve">Le premier événement se produit en début de matinée. L’ambulance du travailleur doit se déplacer </w:t>
      </w:r>
      <w:r w:rsidR="00C61AAA">
        <w:t>en urgence</w:t>
      </w:r>
      <w:r w:rsidR="00C61AAA">
        <w:rPr>
          <w:rStyle w:val="Appelnotedebasdep"/>
        </w:rPr>
        <w:footnoteReference w:id="18"/>
      </w:r>
      <w:r w:rsidR="00C61AAA">
        <w:t xml:space="preserve"> </w:t>
      </w:r>
      <w:r>
        <w:t>chez un patient en arrêt cardio-respiratoire</w:t>
      </w:r>
      <w:r w:rsidR="00871491">
        <w:t xml:space="preserve">. </w:t>
      </w:r>
      <w:r w:rsidR="00874FCF">
        <w:t>Arrivé sur le lieu, l’homme est assis</w:t>
      </w:r>
      <w:r w:rsidR="00EA7AA3">
        <w:t xml:space="preserve">, inanimé. Le travailleur constate la rigidité cadavérique et ne procède à aucune manœuvre de réanimation. </w:t>
      </w:r>
      <w:r w:rsidR="001D6631">
        <w:t>Le logement est insalubre, avec une mauvaise</w:t>
      </w:r>
      <w:r w:rsidR="00EA7AA3">
        <w:t xml:space="preserve"> odeur </w:t>
      </w:r>
      <w:r w:rsidR="001D6631">
        <w:t>et une température</w:t>
      </w:r>
      <w:r w:rsidR="001D6631">
        <w:rPr>
          <w:rStyle w:val="Appelnotedebasdep"/>
        </w:rPr>
        <w:footnoteReference w:id="19"/>
      </w:r>
      <w:r w:rsidR="001D6631">
        <w:t xml:space="preserve"> inadéquate pour la saison hivernale.</w:t>
      </w:r>
    </w:p>
    <w:p w14:paraId="69C1B513" w14:textId="77777777" w:rsidR="001D6631" w:rsidRDefault="001D6631" w:rsidP="004C2944">
      <w:pPr>
        <w:pStyle w:val="corpsdedcision"/>
      </w:pPr>
      <w:r>
        <w:t xml:space="preserve">Le travailleur reconnaît l’homme qui a déjà </w:t>
      </w:r>
      <w:r w:rsidR="00B31DC4">
        <w:t xml:space="preserve">été son garagiste. La fin de vie de ce dernier </w:t>
      </w:r>
      <w:r w:rsidR="00354704">
        <w:t xml:space="preserve">le </w:t>
      </w:r>
      <w:r w:rsidR="00B31DC4">
        <w:t>bouleverse. Il mentionne ne plus avoir « </w:t>
      </w:r>
      <w:r w:rsidR="00B31DC4" w:rsidRPr="00B06CD2">
        <w:rPr>
          <w:rStyle w:val="Citationintgre"/>
        </w:rPr>
        <w:t>son bouclier émotionnel</w:t>
      </w:r>
      <w:r w:rsidR="00B31DC4" w:rsidRPr="00B31DC4">
        <w:rPr>
          <w:i/>
        </w:rPr>
        <w:t> </w:t>
      </w:r>
      <w:r w:rsidR="00B31DC4">
        <w:t>».</w:t>
      </w:r>
    </w:p>
    <w:p w14:paraId="474C9A08" w14:textId="77777777" w:rsidR="005A1F5D" w:rsidRDefault="00822E4C" w:rsidP="00FC58B9">
      <w:pPr>
        <w:pStyle w:val="corpsdedcision"/>
      </w:pPr>
      <w:r>
        <w:t xml:space="preserve">Le deuxième événement se déroule </w:t>
      </w:r>
      <w:r w:rsidR="00974AEC">
        <w:t>le même jour</w:t>
      </w:r>
      <w:r w:rsidR="00BB738C">
        <w:t xml:space="preserve">, </w:t>
      </w:r>
      <w:r w:rsidR="00C61AAA">
        <w:t>alors que l</w:t>
      </w:r>
      <w:r w:rsidR="001D45D5">
        <w:t>’ambulance du travailleur est affectée</w:t>
      </w:r>
      <w:r w:rsidR="00974AEC">
        <w:t xml:space="preserve"> sur une intervention immédiate</w:t>
      </w:r>
      <w:r w:rsidR="00974AEC">
        <w:rPr>
          <w:rStyle w:val="Appelnotedebasdep"/>
        </w:rPr>
        <w:footnoteReference w:id="20"/>
      </w:r>
      <w:r w:rsidR="005A1F5D">
        <w:t xml:space="preserve"> </w:t>
      </w:r>
      <w:r w:rsidR="00974AEC">
        <w:t>d’</w:t>
      </w:r>
      <w:r w:rsidR="005A1F5D">
        <w:t xml:space="preserve">un </w:t>
      </w:r>
      <w:r w:rsidR="00A85293">
        <w:t>client présentant une</w:t>
      </w:r>
      <w:r w:rsidR="005A1F5D">
        <w:t xml:space="preserve"> douleur thoracique.</w:t>
      </w:r>
      <w:r w:rsidR="00A73940">
        <w:t xml:space="preserve"> </w:t>
      </w:r>
      <w:r w:rsidR="005A1F5D">
        <w:t xml:space="preserve">Arrivé au logement du client, </w:t>
      </w:r>
      <w:r w:rsidR="007E50A0">
        <w:t>l’homme</w:t>
      </w:r>
      <w:r w:rsidR="005A1F5D">
        <w:t xml:space="preserve"> est </w:t>
      </w:r>
      <w:r w:rsidR="00D426EA">
        <w:t>allongé par terre</w:t>
      </w:r>
      <w:r w:rsidR="00BB738C">
        <w:t>,</w:t>
      </w:r>
      <w:r w:rsidR="00D426EA">
        <w:t xml:space="preserve"> sali d’</w:t>
      </w:r>
      <w:r w:rsidR="00974AEC">
        <w:t>excréments</w:t>
      </w:r>
      <w:r w:rsidR="00974AEC">
        <w:rPr>
          <w:rStyle w:val="Appelnotedebasdep"/>
        </w:rPr>
        <w:footnoteReference w:id="21"/>
      </w:r>
      <w:r w:rsidR="00974AEC">
        <w:t>. Le travaille</w:t>
      </w:r>
      <w:r w:rsidR="00AE1862">
        <w:t>ur doit</w:t>
      </w:r>
      <w:r w:rsidR="007E50A0">
        <w:t xml:space="preserve"> nettoyer</w:t>
      </w:r>
      <w:r w:rsidR="00974AEC">
        <w:t xml:space="preserve"> </w:t>
      </w:r>
      <w:r w:rsidR="007E50A0">
        <w:t>un passage pour se rendre à l’homme puisque le logement est insalubre</w:t>
      </w:r>
      <w:r w:rsidR="00F9621B">
        <w:t>, d</w:t>
      </w:r>
      <w:r w:rsidR="00AE1862">
        <w:t>es excréments,</w:t>
      </w:r>
      <w:r w:rsidR="00F9621B">
        <w:t xml:space="preserve"> de </w:t>
      </w:r>
      <w:r w:rsidR="00AE1862">
        <w:t xml:space="preserve">la </w:t>
      </w:r>
      <w:r w:rsidR="00F9621B">
        <w:t>nourriture</w:t>
      </w:r>
      <w:r w:rsidR="00AE1862">
        <w:t xml:space="preserve"> et des</w:t>
      </w:r>
      <w:r w:rsidR="002D008D">
        <w:t xml:space="preserve"> détritus se </w:t>
      </w:r>
      <w:r w:rsidR="002D008D">
        <w:lastRenderedPageBreak/>
        <w:t>retrouvent au sol et sur le bas des murs</w:t>
      </w:r>
      <w:r w:rsidR="00F9621B">
        <w:t xml:space="preserve">. D’ailleurs, le </w:t>
      </w:r>
      <w:r w:rsidR="004643BA">
        <w:t xml:space="preserve">travailleur l’inscrit au </w:t>
      </w:r>
      <w:r w:rsidR="00F9621B">
        <w:t>rapport d’intervention p</w:t>
      </w:r>
      <w:r w:rsidR="004643BA">
        <w:t>ré</w:t>
      </w:r>
      <w:r w:rsidR="00F9621B">
        <w:t xml:space="preserve">hospitalière </w:t>
      </w:r>
      <w:r w:rsidR="004643BA">
        <w:t>daté du jour même.</w:t>
      </w:r>
    </w:p>
    <w:p w14:paraId="60BDEF9C" w14:textId="77777777" w:rsidR="00397D2E" w:rsidRDefault="004C6CB4" w:rsidP="004C6CB4">
      <w:pPr>
        <w:pStyle w:val="corpsdedcision"/>
      </w:pPr>
      <w:r>
        <w:t>L</w:t>
      </w:r>
      <w:r w:rsidR="00397D2E">
        <w:t>e directeur aux opérations chez l’employeur</w:t>
      </w:r>
      <w:r>
        <w:t xml:space="preserve"> affirme que bien que les techniciens</w:t>
      </w:r>
      <w:r w:rsidR="00336EF2">
        <w:t xml:space="preserve"> </w:t>
      </w:r>
      <w:r>
        <w:t xml:space="preserve">ambulanciers </w:t>
      </w:r>
      <w:r w:rsidR="00AE1862">
        <w:t xml:space="preserve">soient confrontés à des logements insalubres, il est </w:t>
      </w:r>
      <w:r>
        <w:t>« </w:t>
      </w:r>
      <w:r w:rsidRPr="00B06CD2">
        <w:rPr>
          <w:rStyle w:val="Citationintgre"/>
        </w:rPr>
        <w:t>rare </w:t>
      </w:r>
      <w:r>
        <w:t xml:space="preserve">» </w:t>
      </w:r>
      <w:r w:rsidR="00AE1862">
        <w:t>qu</w:t>
      </w:r>
      <w:r w:rsidR="00D426EA">
        <w:t>e le sol soit</w:t>
      </w:r>
      <w:r w:rsidR="00AE1862">
        <w:t xml:space="preserve"> jonché d’excréments.</w:t>
      </w:r>
      <w:r>
        <w:t xml:space="preserve"> </w:t>
      </w:r>
    </w:p>
    <w:p w14:paraId="719E112E" w14:textId="77777777" w:rsidR="004643BA" w:rsidRDefault="004643BA" w:rsidP="004C2944">
      <w:pPr>
        <w:pStyle w:val="corpsdedcision"/>
      </w:pPr>
      <w:r>
        <w:t xml:space="preserve">À la suite de ces deux interventions, le travailleur est bouleversé. </w:t>
      </w:r>
      <w:r w:rsidR="00397D2E">
        <w:t>Le jour même et l</w:t>
      </w:r>
      <w:r>
        <w:t>e lendemain, il poursuit ses tâches</w:t>
      </w:r>
      <w:r w:rsidR="00397D2E">
        <w:t xml:space="preserve"> régulières. </w:t>
      </w:r>
      <w:r w:rsidR="002D008D">
        <w:t>Ensuite, il est</w:t>
      </w:r>
      <w:r w:rsidR="00397D2E">
        <w:t xml:space="preserve"> en congé planifié</w:t>
      </w:r>
      <w:r w:rsidR="002D008D">
        <w:t xml:space="preserve"> pour deux jours</w:t>
      </w:r>
      <w:r w:rsidR="00397D2E">
        <w:t>.</w:t>
      </w:r>
      <w:r w:rsidR="003E716C">
        <w:t xml:space="preserve"> </w:t>
      </w:r>
    </w:p>
    <w:p w14:paraId="580605EC" w14:textId="77777777" w:rsidR="003E716C" w:rsidRDefault="00526F1B" w:rsidP="00E72BAF">
      <w:pPr>
        <w:pStyle w:val="corpsdedcision"/>
      </w:pPr>
      <w:r>
        <w:t xml:space="preserve">Lors de ce congé, </w:t>
      </w:r>
      <w:r w:rsidR="002D1752">
        <w:t>il pleure, vit</w:t>
      </w:r>
      <w:r w:rsidR="00D426EA">
        <w:t xml:space="preserve"> des crises de panique et d’angoisse,</w:t>
      </w:r>
      <w:r w:rsidR="00E72BAF">
        <w:t xml:space="preserve"> </w:t>
      </w:r>
      <w:r w:rsidR="00AA1F56">
        <w:t xml:space="preserve">pense au suicide et </w:t>
      </w:r>
      <w:r w:rsidR="00E72BAF">
        <w:t>ressent</w:t>
      </w:r>
      <w:r w:rsidR="00D426EA">
        <w:t xml:space="preserve"> un serrement à </w:t>
      </w:r>
      <w:r w:rsidR="00E72BAF">
        <w:t>l</w:t>
      </w:r>
      <w:r w:rsidR="00D426EA">
        <w:t>a poitrine</w:t>
      </w:r>
      <w:r w:rsidR="00E72BAF">
        <w:t>.</w:t>
      </w:r>
    </w:p>
    <w:p w14:paraId="7A1E2472" w14:textId="77777777" w:rsidR="00397D2E" w:rsidRDefault="002D008D" w:rsidP="004C2944">
      <w:pPr>
        <w:pStyle w:val="corpsdedcision"/>
      </w:pPr>
      <w:r>
        <w:t xml:space="preserve">Au matin du vendredi 26 février 2021, </w:t>
      </w:r>
      <w:r w:rsidR="002D1752">
        <w:t>moment de son</w:t>
      </w:r>
      <w:r w:rsidR="00E72BAF">
        <w:t xml:space="preserve"> retour au travail, </w:t>
      </w:r>
      <w:r>
        <w:t xml:space="preserve">le travailleur consulte un professionnel de la santé à l’urgence de sa municipalité. </w:t>
      </w:r>
      <w:r w:rsidR="002D1752">
        <w:t>Ce dernier recommande un arrêt de travail.</w:t>
      </w:r>
    </w:p>
    <w:p w14:paraId="716910F6" w14:textId="77777777" w:rsidR="006A1092" w:rsidRDefault="006A1092" w:rsidP="004C2944">
      <w:pPr>
        <w:pStyle w:val="corpsdedcision"/>
      </w:pPr>
      <w:r>
        <w:t xml:space="preserve">La représentante de l’employeur </w:t>
      </w:r>
      <w:r w:rsidR="00C7246A">
        <w:t>soutient que les événements du 22 février</w:t>
      </w:r>
      <w:r w:rsidR="00D339FC">
        <w:t xml:space="preserve"> 2021 sont d</w:t>
      </w:r>
      <w:r w:rsidR="00C7246A">
        <w:t>es interventions courantes et prévisibles dans le cadre des fonctions d’un technicien ambulancier</w:t>
      </w:r>
      <w:r w:rsidR="00336EF2">
        <w:t xml:space="preserve"> </w:t>
      </w:r>
      <w:proofErr w:type="spellStart"/>
      <w:r w:rsidR="00C7246A">
        <w:t>paramédic</w:t>
      </w:r>
      <w:proofErr w:type="spellEnd"/>
      <w:r w:rsidR="00C7246A">
        <w:t xml:space="preserve">. </w:t>
      </w:r>
    </w:p>
    <w:p w14:paraId="66BCAEC4" w14:textId="77777777" w:rsidR="00C002A7" w:rsidRDefault="003D0F9D" w:rsidP="00E6254D">
      <w:pPr>
        <w:pStyle w:val="corpsdedcision"/>
      </w:pPr>
      <w:r>
        <w:t>En ce qui concerne la notion de « risque inhérent »</w:t>
      </w:r>
      <w:r w:rsidR="00C002A7">
        <w:t>,</w:t>
      </w:r>
      <w:r>
        <w:t xml:space="preserve"> dans l’affaire </w:t>
      </w:r>
      <w:r w:rsidRPr="00C002A7">
        <w:rPr>
          <w:i/>
        </w:rPr>
        <w:t>Hamelin</w:t>
      </w:r>
      <w:r>
        <w:t xml:space="preserve"> et </w:t>
      </w:r>
      <w:r w:rsidRPr="00C002A7">
        <w:rPr>
          <w:i/>
        </w:rPr>
        <w:t>Corporation d’Urgences-Santé</w:t>
      </w:r>
      <w:r>
        <w:rPr>
          <w:rStyle w:val="Appelnotedebasdep"/>
        </w:rPr>
        <w:footnoteReference w:id="22"/>
      </w:r>
      <w:r>
        <w:t xml:space="preserve">, le Tribunal </w:t>
      </w:r>
      <w:r w:rsidR="00C002A7">
        <w:t>énonce</w:t>
      </w:r>
      <w:r w:rsidR="004129CA">
        <w:t xml:space="preserve"> ce</w:t>
      </w:r>
      <w:r w:rsidR="00F34ED7">
        <w:t xml:space="preserve"> qui suit</w:t>
      </w:r>
      <w:r w:rsidR="00C002A7">
        <w:t> : </w:t>
      </w:r>
    </w:p>
    <w:p w14:paraId="6F8989B7" w14:textId="77777777" w:rsidR="00C002A7" w:rsidRDefault="00C002A7" w:rsidP="00C002A7">
      <w:pPr>
        <w:pStyle w:val="citation"/>
      </w:pPr>
      <w:r w:rsidRPr="000472B0">
        <w:rPr>
          <w:rFonts w:cs="Arial"/>
        </w:rPr>
        <w:t>[</w:t>
      </w:r>
      <w:r w:rsidRPr="000472B0">
        <w:t>46</w:t>
      </w:r>
      <w:r w:rsidRPr="000472B0">
        <w:rPr>
          <w:rFonts w:cs="Arial"/>
        </w:rPr>
        <w:t>]</w:t>
      </w:r>
      <w:r>
        <w:tab/>
      </w:r>
      <w:r>
        <w:rPr>
          <w:rFonts w:cs="Arial"/>
          <w:color w:val="000000"/>
        </w:rPr>
        <w:t xml:space="preserve">À cet égard, le Tribunal tient d’abord à souligner que ce n’est pas </w:t>
      </w:r>
      <w:r w:rsidRPr="00C002A7">
        <w:rPr>
          <w:rFonts w:cs="Arial"/>
          <w:color w:val="000000"/>
          <w:u w:val="single"/>
        </w:rPr>
        <w:t>parce qu’un événement est susceptible de survenir dans le cadre d’un emploi, et que par conséquent, il revêt un certain caractère de prévisibilité, qu’il ne peut constituer un événement imprévu et soudain lorsqu’il survient.</w:t>
      </w:r>
      <w:r>
        <w:rPr>
          <w:rFonts w:cs="Arial"/>
          <w:color w:val="000000"/>
        </w:rPr>
        <w:t xml:space="preserve"> Ce constat qui apparaît s’imposer de soi lorsqu’on est en présence d’une lésion physique semble parfois être occulté lorsqu’on se retrouve face à une lésion psychologique.</w:t>
      </w:r>
    </w:p>
    <w:p w14:paraId="0A751CA2" w14:textId="77777777" w:rsidR="00C002A7" w:rsidRDefault="00C002A7" w:rsidP="00C002A7">
      <w:pPr>
        <w:pStyle w:val="citation"/>
      </w:pPr>
    </w:p>
    <w:p w14:paraId="49D81CBC" w14:textId="77777777" w:rsidR="00C002A7" w:rsidRDefault="00C002A7" w:rsidP="00C002A7">
      <w:pPr>
        <w:pStyle w:val="citation"/>
        <w:spacing w:after="360"/>
      </w:pPr>
      <w:r w:rsidRPr="000472B0">
        <w:rPr>
          <w:rFonts w:cs="Arial"/>
          <w:color w:val="000000"/>
        </w:rPr>
        <w:t>[47]</w:t>
      </w:r>
      <w:r>
        <w:rPr>
          <w:rFonts w:cs="Arial"/>
          <w:color w:val="000000"/>
        </w:rPr>
        <w:tab/>
        <w:t xml:space="preserve">En effet, qui oserait prétendre que le technicien ambulancier qui est victime d’un accident de la circulation lui causant une fracture n’a pas été victime d’un événement imprévu et soudain, survenu par le fait de son travail, parce qu’un tel accident est prévisible dans le cadre de ses fonctions puisque celles-ci impliquent la conduite d’un véhicule d’urgence. </w:t>
      </w:r>
      <w:r w:rsidRPr="00C002A7">
        <w:rPr>
          <w:rFonts w:cs="Arial"/>
          <w:color w:val="000000"/>
          <w:u w:val="single"/>
        </w:rPr>
        <w:t>Le Tribunal est d’avis que ce même raisonnement doit s’appliquer dans le cas d’une lésion psychique et qu’en conséquence, la théorie qualifiée par certains de « risques inhérents au travail » doit être appliquée avec beaucoup de circonspection</w:t>
      </w:r>
      <w:r>
        <w:rPr>
          <w:rFonts w:cs="Arial"/>
          <w:color w:val="000000"/>
        </w:rPr>
        <w:t>.</w:t>
      </w:r>
    </w:p>
    <w:p w14:paraId="02D346BF" w14:textId="77777777" w:rsidR="00C7246A" w:rsidRDefault="00F34ED7" w:rsidP="00C002A7">
      <w:pPr>
        <w:pStyle w:val="corpsdedcision"/>
        <w:numPr>
          <w:ilvl w:val="0"/>
          <w:numId w:val="0"/>
        </w:numPr>
      </w:pPr>
      <w:r>
        <w:lastRenderedPageBreak/>
        <w:tab/>
      </w:r>
      <w:r w:rsidR="00C002A7">
        <w:t>[Nos soulignements]</w:t>
      </w:r>
    </w:p>
    <w:p w14:paraId="7E4DB6D2" w14:textId="77777777" w:rsidR="00E6254D" w:rsidRDefault="0049095C" w:rsidP="004C2944">
      <w:pPr>
        <w:pStyle w:val="corpsdedcision"/>
      </w:pPr>
      <w:r>
        <w:t>L</w:t>
      </w:r>
      <w:r w:rsidR="00E6254D">
        <w:t xml:space="preserve">e fait qu’un événement </w:t>
      </w:r>
      <w:r w:rsidR="00A00780">
        <w:t>s’inscrit dans le cadre normal et habituel du travail est pertinent tant</w:t>
      </w:r>
      <w:r w:rsidR="00B4016D">
        <w:t xml:space="preserve"> lors de</w:t>
      </w:r>
      <w:r w:rsidR="00A00780">
        <w:t xml:space="preserve"> l’analyse de la présence d’</w:t>
      </w:r>
      <w:r w:rsidR="008F7A67">
        <w:t>un</w:t>
      </w:r>
      <w:r w:rsidR="00A00780">
        <w:t xml:space="preserve"> événement imprévu et soudain que lors de l’évaluation du lien de causalité entre l’événement et la lésion.</w:t>
      </w:r>
      <w:r w:rsidR="00091991">
        <w:t xml:space="preserve"> E</w:t>
      </w:r>
      <w:r>
        <w:t xml:space="preserve">n effet, </w:t>
      </w:r>
      <w:r w:rsidR="00091991">
        <w:t xml:space="preserve">un événement </w:t>
      </w:r>
      <w:r>
        <w:t xml:space="preserve">normal </w:t>
      </w:r>
      <w:r w:rsidR="00B4016D">
        <w:t xml:space="preserve">ou anormal </w:t>
      </w:r>
      <w:r>
        <w:t xml:space="preserve">peut être imprévu </w:t>
      </w:r>
      <w:r w:rsidR="000921CC">
        <w:t xml:space="preserve">et soudain </w:t>
      </w:r>
      <w:r>
        <w:t>et la gravité d</w:t>
      </w:r>
      <w:r w:rsidR="00B4016D">
        <w:t>e cet</w:t>
      </w:r>
      <w:r>
        <w:t xml:space="preserve"> événement est </w:t>
      </w:r>
      <w:r w:rsidR="00B4016D">
        <w:t>un élément pertinent à l’évaluation du lien de causalité.</w:t>
      </w:r>
      <w:r>
        <w:t xml:space="preserve"> </w:t>
      </w:r>
    </w:p>
    <w:p w14:paraId="066B814B" w14:textId="77777777" w:rsidR="00354704" w:rsidRDefault="00C002A7" w:rsidP="004C2944">
      <w:pPr>
        <w:pStyle w:val="corpsdedcision"/>
      </w:pPr>
      <w:r>
        <w:t>Ainsi, b</w:t>
      </w:r>
      <w:r w:rsidR="00A426AF">
        <w:t>ien que les deux interventions de février 2021 relèvent du travail d’un technicien ambulancier, l</w:t>
      </w:r>
      <w:r w:rsidR="007F04F9">
        <w:t>e cumul</w:t>
      </w:r>
      <w:r w:rsidR="00124516">
        <w:t xml:space="preserve"> de ces deux événements</w:t>
      </w:r>
      <w:r w:rsidR="007F04F9">
        <w:t xml:space="preserve"> </w:t>
      </w:r>
      <w:r w:rsidR="000D0F07">
        <w:t xml:space="preserve">de nature psychosociale </w:t>
      </w:r>
      <w:r w:rsidR="007F04F9">
        <w:t>survenus le même jour</w:t>
      </w:r>
      <w:r w:rsidR="00124516">
        <w:t xml:space="preserve"> </w:t>
      </w:r>
      <w:r w:rsidR="00A42564">
        <w:t>est significatif</w:t>
      </w:r>
      <w:r w:rsidR="007F04F9" w:rsidRPr="00705711">
        <w:t xml:space="preserve"> par leur superposition et </w:t>
      </w:r>
      <w:r w:rsidR="00A42564">
        <w:t>revêt un caractère particulier, singulier, anormal ou inhabituel. Ils</w:t>
      </w:r>
      <w:r w:rsidR="00A42564" w:rsidRPr="00705711">
        <w:t xml:space="preserve"> </w:t>
      </w:r>
      <w:r w:rsidR="00A42564">
        <w:t>sont</w:t>
      </w:r>
      <w:r w:rsidR="007F04F9" w:rsidRPr="00705711">
        <w:t xml:space="preserve"> assimilés à un événement imprévu et soudain</w:t>
      </w:r>
      <w:r w:rsidR="00A42564">
        <w:t>.</w:t>
      </w:r>
    </w:p>
    <w:p w14:paraId="654BCD1F" w14:textId="77777777" w:rsidR="00202D80" w:rsidRDefault="00202D80" w:rsidP="00202D80">
      <w:pPr>
        <w:pStyle w:val="corpsdedcision"/>
      </w:pPr>
      <w:r>
        <w:t>Le Tribunal considère que les circonstances entourant la journée du 21</w:t>
      </w:r>
      <w:r w:rsidR="0023115A">
        <w:t> </w:t>
      </w:r>
      <w:r>
        <w:t>février 2021 sortent du cadre normal et habituel de l’emploi du travailleur.</w:t>
      </w:r>
    </w:p>
    <w:p w14:paraId="280904EA" w14:textId="77777777" w:rsidR="00E6254D" w:rsidRDefault="00BD642B" w:rsidP="000921CC">
      <w:pPr>
        <w:pStyle w:val="corpsdedcision"/>
      </w:pPr>
      <w:r>
        <w:t>En effet, assurer les premiers soins et le déplacement en ambulance relève de l’emploi du travailleur</w:t>
      </w:r>
      <w:r w:rsidR="004129CA">
        <w:t>,</w:t>
      </w:r>
      <w:r>
        <w:t xml:space="preserve"> mais </w:t>
      </w:r>
      <w:r w:rsidR="007D1C1F">
        <w:t>être confronté à deux situations de « </w:t>
      </w:r>
      <w:r w:rsidR="007D1C1F" w:rsidRPr="004129CA">
        <w:t>misère humaine</w:t>
      </w:r>
      <w:r w:rsidR="007D1C1F">
        <w:t> », de logements insalubres</w:t>
      </w:r>
      <w:r w:rsidR="004129CA">
        <w:t xml:space="preserve"> et</w:t>
      </w:r>
      <w:r w:rsidR="007D1C1F">
        <w:t xml:space="preserve"> de désordres extrêmes </w:t>
      </w:r>
      <w:r w:rsidR="00016945">
        <w:t>le même jour démontre objectivement un caractère anormal ou inhabituel.</w:t>
      </w:r>
    </w:p>
    <w:p w14:paraId="7D0E5900" w14:textId="77777777" w:rsidR="000D0F07" w:rsidRPr="00016945" w:rsidRDefault="000D0F07" w:rsidP="000D0F07">
      <w:pPr>
        <w:pStyle w:val="corpsdedcision"/>
        <w:numPr>
          <w:ilvl w:val="0"/>
          <w:numId w:val="0"/>
        </w:numPr>
        <w:rPr>
          <w:i/>
        </w:rPr>
      </w:pPr>
      <w:r w:rsidRPr="00016945">
        <w:rPr>
          <w:i/>
        </w:rPr>
        <w:t>Qui survient par le fait ou à l’occasion du travail</w:t>
      </w:r>
    </w:p>
    <w:p w14:paraId="2A794698" w14:textId="77777777" w:rsidR="00807077" w:rsidRDefault="00807077" w:rsidP="00807077">
      <w:pPr>
        <w:pStyle w:val="corpsdedcision"/>
        <w:tabs>
          <w:tab w:val="num" w:pos="360"/>
        </w:tabs>
      </w:pPr>
      <w:r>
        <w:t>Lorsqu’un événement imprévu et soudain attribuable à toute cause</w:t>
      </w:r>
      <w:r w:rsidRPr="00011B7D">
        <w:t xml:space="preserve"> </w:t>
      </w:r>
      <w:r>
        <w:t>est survenu chez l’employeur, le travailleur doit établir que cet événement est survenu par le</w:t>
      </w:r>
      <w:r w:rsidRPr="00DE1757">
        <w:t xml:space="preserve"> </w:t>
      </w:r>
      <w:r>
        <w:t>fait ou à l’occasion de son travail</w:t>
      </w:r>
      <w:r w:rsidRPr="00DE1757">
        <w:t xml:space="preserve">. </w:t>
      </w:r>
    </w:p>
    <w:p w14:paraId="0995F6C9" w14:textId="77777777" w:rsidR="00807077" w:rsidRPr="00DE1757" w:rsidRDefault="00807077" w:rsidP="00807077">
      <w:pPr>
        <w:pStyle w:val="corpsdedcision"/>
        <w:tabs>
          <w:tab w:val="num" w:pos="360"/>
        </w:tabs>
      </w:pPr>
      <w:r w:rsidRPr="00DE1757">
        <w:t xml:space="preserve">Les termes </w:t>
      </w:r>
      <w:r>
        <w:t>« </w:t>
      </w:r>
      <w:r w:rsidRPr="00DE1757">
        <w:t>à l’occasion du travail</w:t>
      </w:r>
      <w:r>
        <w:t> »</w:t>
      </w:r>
      <w:r w:rsidRPr="00DE1757">
        <w:t xml:space="preserve"> ne sont pas définis à la Loi. À plusieurs reprises, ils ont été interprétés par la jurisprudence. Ainsi, le Tribunal doit déterminer le lien plus ou moins étroit entre l’activité exercée au moment de l’accident et le travail.</w:t>
      </w:r>
    </w:p>
    <w:p w14:paraId="59292E05" w14:textId="77777777" w:rsidR="009B148F" w:rsidRDefault="00807077" w:rsidP="000A625C">
      <w:pPr>
        <w:pStyle w:val="corpsdedcision"/>
        <w:tabs>
          <w:tab w:val="num" w:pos="360"/>
          <w:tab w:val="num" w:pos="720"/>
        </w:tabs>
      </w:pPr>
      <w:r>
        <w:t>En l’espèce, la preuv</w:t>
      </w:r>
      <w:r w:rsidR="009B148F">
        <w:t>e prépondérante démontre que lors des événements du</w:t>
      </w:r>
      <w:r>
        <w:t xml:space="preserve"> 24</w:t>
      </w:r>
      <w:r w:rsidR="0023115A">
        <w:t> </w:t>
      </w:r>
      <w:r>
        <w:t xml:space="preserve">juin 2018 et </w:t>
      </w:r>
      <w:r w:rsidR="009B148F">
        <w:t xml:space="preserve">du </w:t>
      </w:r>
      <w:r>
        <w:t>21 février 2021, le travailleur exerce ses tâches de technicien</w:t>
      </w:r>
      <w:r w:rsidR="006C5E46">
        <w:t xml:space="preserve"> </w:t>
      </w:r>
      <w:r>
        <w:t>ambulancier</w:t>
      </w:r>
      <w:r w:rsidR="006C5E46">
        <w:t xml:space="preserve"> </w:t>
      </w:r>
      <w:proofErr w:type="spellStart"/>
      <w:r>
        <w:t>paramédic</w:t>
      </w:r>
      <w:proofErr w:type="spellEnd"/>
      <w:r>
        <w:t xml:space="preserve"> chez l’employeur</w:t>
      </w:r>
      <w:r w:rsidR="009B148F">
        <w:t>,</w:t>
      </w:r>
      <w:r w:rsidR="009B148F" w:rsidRPr="009B148F">
        <w:t xml:space="preserve"> </w:t>
      </w:r>
      <w:r w:rsidR="009B148F">
        <w:t>qu’il est rémunéré</w:t>
      </w:r>
      <w:r w:rsidR="009B148F" w:rsidRPr="00DE1757">
        <w:t xml:space="preserve"> et que</w:t>
      </w:r>
      <w:r w:rsidR="009B148F">
        <w:t xml:space="preserve"> la</w:t>
      </w:r>
      <w:r w:rsidR="009B148F" w:rsidRPr="00910ABF">
        <w:t xml:space="preserve"> </w:t>
      </w:r>
      <w:r w:rsidR="009B148F" w:rsidRPr="00DE1757">
        <w:t>finalité de l’activité ex</w:t>
      </w:r>
      <w:r w:rsidR="009B148F">
        <w:t>ercée au moment de l’événement est incidente</w:t>
      </w:r>
      <w:r w:rsidR="009B148F" w:rsidRPr="00DE1757">
        <w:t xml:space="preserve"> à ses conditions de travail</w:t>
      </w:r>
      <w:r w:rsidR="009B148F">
        <w:t>.</w:t>
      </w:r>
    </w:p>
    <w:p w14:paraId="1BD76E14" w14:textId="77777777" w:rsidR="009B148F" w:rsidRDefault="009B148F" w:rsidP="000A625C">
      <w:pPr>
        <w:pStyle w:val="corpsdedcision"/>
        <w:tabs>
          <w:tab w:val="num" w:pos="360"/>
          <w:tab w:val="num" w:pos="720"/>
        </w:tabs>
      </w:pPr>
      <w:r>
        <w:t>D’ailleurs, la représentante de l’employeur ne le conteste pas.</w:t>
      </w:r>
    </w:p>
    <w:p w14:paraId="32A6BD33" w14:textId="77777777" w:rsidR="000D0F07" w:rsidRPr="00705711" w:rsidRDefault="009B148F" w:rsidP="009B148F">
      <w:pPr>
        <w:pStyle w:val="corpsdedcision"/>
        <w:tabs>
          <w:tab w:val="num" w:pos="720"/>
        </w:tabs>
      </w:pPr>
      <w:r>
        <w:t>Le Tribunal conclut que l’événement imprévu et soudain est survenu à l’occasion du travail.</w:t>
      </w:r>
    </w:p>
    <w:p w14:paraId="41B50F64" w14:textId="77777777" w:rsidR="000D0F07" w:rsidRPr="009B148F" w:rsidRDefault="000D0F07" w:rsidP="000D0F07">
      <w:pPr>
        <w:rPr>
          <w:i/>
        </w:rPr>
      </w:pPr>
      <w:r w:rsidRPr="009B148F">
        <w:rPr>
          <w:i/>
        </w:rPr>
        <w:lastRenderedPageBreak/>
        <w:t>Qui entraîne une lésion professionnelle</w:t>
      </w:r>
    </w:p>
    <w:p w14:paraId="5A1C3C34" w14:textId="77777777" w:rsidR="000D0F07" w:rsidRDefault="000D0F07" w:rsidP="000D0F07"/>
    <w:p w14:paraId="083E7EAC" w14:textId="77777777" w:rsidR="009B148F" w:rsidRDefault="009B148F" w:rsidP="009B148F">
      <w:pPr>
        <w:pStyle w:val="corpsdedcision"/>
        <w:tabs>
          <w:tab w:val="num" w:pos="360"/>
          <w:tab w:val="num" w:pos="720"/>
        </w:tabs>
      </w:pPr>
      <w:r>
        <w:t xml:space="preserve">Enfin, le travailleur doit démontrer que les événements </w:t>
      </w:r>
      <w:r w:rsidR="00DC44E5">
        <w:t xml:space="preserve">entraînent la dépression majeure et le syndrome de stress post-traumatique. </w:t>
      </w:r>
      <w:r>
        <w:t xml:space="preserve"> </w:t>
      </w:r>
    </w:p>
    <w:p w14:paraId="608E2F8D" w14:textId="77777777" w:rsidR="00627968" w:rsidRDefault="00DC44E5" w:rsidP="009B148F">
      <w:pPr>
        <w:pStyle w:val="corpsdedcision"/>
        <w:tabs>
          <w:tab w:val="num" w:pos="360"/>
          <w:tab w:val="num" w:pos="720"/>
        </w:tabs>
        <w:rPr>
          <w:szCs w:val="24"/>
        </w:rPr>
      </w:pPr>
      <w:proofErr w:type="gramStart"/>
      <w:r w:rsidRPr="00627968">
        <w:rPr>
          <w:szCs w:val="24"/>
        </w:rPr>
        <w:t>En</w:t>
      </w:r>
      <w:proofErr w:type="gramEnd"/>
      <w:r w:rsidRPr="00627968">
        <w:rPr>
          <w:szCs w:val="24"/>
        </w:rPr>
        <w:t xml:space="preserve"> regard de la relation causale, </w:t>
      </w:r>
      <w:r w:rsidR="00627968" w:rsidRPr="00627968">
        <w:rPr>
          <w:szCs w:val="24"/>
        </w:rPr>
        <w:t xml:space="preserve">le Tribunal doit </w:t>
      </w:r>
      <w:bookmarkStart w:id="11" w:name="_Toc273364801"/>
      <w:bookmarkStart w:id="12" w:name="_Toc377990695"/>
      <w:r w:rsidR="00627968" w:rsidRPr="00627968">
        <w:rPr>
          <w:szCs w:val="24"/>
        </w:rPr>
        <w:t xml:space="preserve">décider de </w:t>
      </w:r>
      <w:bookmarkEnd w:id="11"/>
      <w:bookmarkEnd w:id="12"/>
      <w:r w:rsidR="00627968" w:rsidRPr="00627968">
        <w:rPr>
          <w:rStyle w:val="CorpsCar"/>
          <w:sz w:val="24"/>
          <w:szCs w:val="24"/>
        </w:rPr>
        <w:t>l’existence d’une relation entre la lésion d’ordre psychologique et la succession d’événements imprévus et soudains survenus au travail</w:t>
      </w:r>
      <w:r w:rsidR="00627968" w:rsidRPr="00627968">
        <w:rPr>
          <w:noProof/>
          <w:szCs w:val="24"/>
        </w:rPr>
        <w:t>. Cette relation est de nature juridique et le niveau de preuve demeure le même qu’en matière de lésions physiques</w:t>
      </w:r>
      <w:r w:rsidR="00627968" w:rsidRPr="0017500C">
        <w:rPr>
          <w:rStyle w:val="Appelnotedebasdep"/>
          <w:noProof/>
          <w:szCs w:val="24"/>
        </w:rPr>
        <w:footnoteReference w:id="23"/>
      </w:r>
      <w:r w:rsidR="00627968">
        <w:rPr>
          <w:noProof/>
          <w:szCs w:val="24"/>
        </w:rPr>
        <w:t>.</w:t>
      </w:r>
      <w:r w:rsidR="00627968" w:rsidRPr="0017500C">
        <w:rPr>
          <w:noProof/>
          <w:szCs w:val="24"/>
        </w:rPr>
        <w:t> </w:t>
      </w:r>
    </w:p>
    <w:p w14:paraId="49C30E5C" w14:textId="77777777" w:rsidR="00DC44E5" w:rsidRPr="004F6971" w:rsidRDefault="00B707BE" w:rsidP="00AE302C">
      <w:pPr>
        <w:pStyle w:val="corpsdedcision"/>
        <w:tabs>
          <w:tab w:val="num" w:pos="360"/>
          <w:tab w:val="num" w:pos="720"/>
        </w:tabs>
        <w:rPr>
          <w:szCs w:val="24"/>
        </w:rPr>
      </w:pPr>
      <w:r>
        <w:rPr>
          <w:noProof/>
          <w:szCs w:val="24"/>
        </w:rPr>
        <w:t>Au stade de l’analyse de la causalité entre les événements imprévus et soudains et les diagnostics du travailleur</w:t>
      </w:r>
      <w:r w:rsidR="00627968">
        <w:rPr>
          <w:noProof/>
          <w:szCs w:val="24"/>
        </w:rPr>
        <w:t xml:space="preserve">, il </w:t>
      </w:r>
      <w:r>
        <w:rPr>
          <w:noProof/>
          <w:szCs w:val="24"/>
        </w:rPr>
        <w:t>revient à ce dernier</w:t>
      </w:r>
      <w:r w:rsidR="00627968">
        <w:rPr>
          <w:noProof/>
          <w:szCs w:val="24"/>
        </w:rPr>
        <w:t xml:space="preserve"> de faire la preuve prépondérante que la série d’événements est la cause de la lésion diagnostiquée.</w:t>
      </w:r>
      <w:r w:rsidR="005304B6">
        <w:rPr>
          <w:noProof/>
          <w:szCs w:val="24"/>
        </w:rPr>
        <w:t xml:space="preserve"> L</w:t>
      </w:r>
      <w:r>
        <w:rPr>
          <w:noProof/>
          <w:szCs w:val="24"/>
        </w:rPr>
        <w:t>es faits allégués</w:t>
      </w:r>
      <w:r w:rsidR="005304B6">
        <w:rPr>
          <w:noProof/>
          <w:szCs w:val="24"/>
        </w:rPr>
        <w:t xml:space="preserve"> doivent prése</w:t>
      </w:r>
      <w:r>
        <w:rPr>
          <w:noProof/>
          <w:szCs w:val="24"/>
        </w:rPr>
        <w:t>nter une gravité objective</w:t>
      </w:r>
      <w:r>
        <w:rPr>
          <w:rStyle w:val="Appelnotedebasdep"/>
          <w:noProof/>
          <w:szCs w:val="24"/>
        </w:rPr>
        <w:footnoteReference w:id="24"/>
      </w:r>
      <w:r w:rsidR="000921CC">
        <w:rPr>
          <w:noProof/>
          <w:szCs w:val="24"/>
        </w:rPr>
        <w:t xml:space="preserve"> pour mener à la lésion</w:t>
      </w:r>
      <w:r w:rsidR="000921CC" w:rsidRPr="004F6971">
        <w:rPr>
          <w:noProof/>
          <w:szCs w:val="24"/>
        </w:rPr>
        <w:t xml:space="preserve"> diagnostiquée.</w:t>
      </w:r>
    </w:p>
    <w:p w14:paraId="5B0ACCF7" w14:textId="77777777" w:rsidR="00C2114B" w:rsidRDefault="00C2114B" w:rsidP="009B148F">
      <w:pPr>
        <w:pStyle w:val="corpsdedcision"/>
        <w:tabs>
          <w:tab w:val="num" w:pos="360"/>
          <w:tab w:val="num" w:pos="720"/>
        </w:tabs>
        <w:rPr>
          <w:szCs w:val="24"/>
        </w:rPr>
      </w:pPr>
      <w:r>
        <w:rPr>
          <w:noProof/>
          <w:szCs w:val="24"/>
        </w:rPr>
        <w:t>La causalité constitue une question de nature juridique qui s’appuie sur la preuve médicale et factuelle.</w:t>
      </w:r>
    </w:p>
    <w:p w14:paraId="48660F00" w14:textId="77777777" w:rsidR="00627968" w:rsidRDefault="002A47D2" w:rsidP="009B148F">
      <w:pPr>
        <w:pStyle w:val="corpsdedcision"/>
        <w:tabs>
          <w:tab w:val="num" w:pos="360"/>
          <w:tab w:val="num" w:pos="720"/>
        </w:tabs>
        <w:rPr>
          <w:szCs w:val="24"/>
        </w:rPr>
      </w:pPr>
      <w:r>
        <w:rPr>
          <w:szCs w:val="24"/>
        </w:rPr>
        <w:t>En l’espèce, l</w:t>
      </w:r>
      <w:r w:rsidR="00092D2F">
        <w:rPr>
          <w:szCs w:val="24"/>
        </w:rPr>
        <w:t>a preuve prépondérante démontre que certains symptômes apparaissent de manière contemporaine à l’événement d</w:t>
      </w:r>
      <w:r w:rsidR="00F27BB5">
        <w:rPr>
          <w:szCs w:val="24"/>
        </w:rPr>
        <w:t>e juin</w:t>
      </w:r>
      <w:r w:rsidR="001A1CD9">
        <w:rPr>
          <w:szCs w:val="24"/>
        </w:rPr>
        <w:t xml:space="preserve"> 2018</w:t>
      </w:r>
      <w:r w:rsidR="00092D2F">
        <w:rPr>
          <w:szCs w:val="24"/>
        </w:rPr>
        <w:t xml:space="preserve"> et certains autres</w:t>
      </w:r>
      <w:r w:rsidR="00E2792B">
        <w:rPr>
          <w:szCs w:val="24"/>
        </w:rPr>
        <w:t xml:space="preserve"> symptômes apparaissent </w:t>
      </w:r>
      <w:r w:rsidR="0023115A">
        <w:rPr>
          <w:szCs w:val="24"/>
        </w:rPr>
        <w:t>ou</w:t>
      </w:r>
      <w:r>
        <w:rPr>
          <w:szCs w:val="24"/>
        </w:rPr>
        <w:t xml:space="preserve"> sont exacerbés </w:t>
      </w:r>
      <w:r w:rsidR="00E2792B">
        <w:rPr>
          <w:szCs w:val="24"/>
        </w:rPr>
        <w:t>lors des</w:t>
      </w:r>
      <w:r w:rsidR="00092D2F">
        <w:rPr>
          <w:szCs w:val="24"/>
        </w:rPr>
        <w:t xml:space="preserve"> événements de février 2021.</w:t>
      </w:r>
    </w:p>
    <w:p w14:paraId="0E5A42BA" w14:textId="77777777" w:rsidR="00F27BB5" w:rsidRDefault="00F27BB5" w:rsidP="00F27BB5">
      <w:pPr>
        <w:pStyle w:val="corpsdedcision"/>
        <w:tabs>
          <w:tab w:val="num" w:pos="360"/>
        </w:tabs>
      </w:pPr>
      <w:r>
        <w:rPr>
          <w:szCs w:val="24"/>
        </w:rPr>
        <w:t xml:space="preserve">Rappelons que </w:t>
      </w:r>
      <w:r w:rsidR="00BB738C">
        <w:rPr>
          <w:szCs w:val="24"/>
        </w:rPr>
        <w:t xml:space="preserve">le </w:t>
      </w:r>
      <w:r>
        <w:rPr>
          <w:szCs w:val="24"/>
        </w:rPr>
        <w:t xml:space="preserve">travailleur explique à l’audience avoir </w:t>
      </w:r>
      <w:r w:rsidR="00E2740F">
        <w:rPr>
          <w:szCs w:val="24"/>
        </w:rPr>
        <w:t xml:space="preserve">vécu, </w:t>
      </w:r>
      <w:r>
        <w:rPr>
          <w:szCs w:val="24"/>
        </w:rPr>
        <w:t>en juin 2018</w:t>
      </w:r>
      <w:r w:rsidR="00E2740F">
        <w:rPr>
          <w:szCs w:val="24"/>
        </w:rPr>
        <w:t>,</w:t>
      </w:r>
      <w:r>
        <w:rPr>
          <w:szCs w:val="24"/>
        </w:rPr>
        <w:t xml:space="preserve"> </w:t>
      </w:r>
      <w:r>
        <w:t xml:space="preserve">des troubles du sommeil et </w:t>
      </w:r>
      <w:r w:rsidR="00E2740F">
        <w:t xml:space="preserve">des épisodes </w:t>
      </w:r>
      <w:r>
        <w:t>de</w:t>
      </w:r>
      <w:r w:rsidR="00E2740F">
        <w:t xml:space="preserve"> </w:t>
      </w:r>
      <w:r w:rsidR="00E2740F" w:rsidRPr="0023115A">
        <w:rPr>
          <w:i/>
        </w:rPr>
        <w:t>flashback</w:t>
      </w:r>
      <w:r w:rsidR="00E2740F">
        <w:t xml:space="preserve"> et en février 2021, des pleurs, des crises de panique et d’angoisse</w:t>
      </w:r>
      <w:r w:rsidR="00C11212">
        <w:t>, des idées suicidaires</w:t>
      </w:r>
      <w:r w:rsidR="00E2740F">
        <w:t xml:space="preserve"> et un serrement à la poitrine.</w:t>
      </w:r>
    </w:p>
    <w:p w14:paraId="37BE973D" w14:textId="77777777" w:rsidR="00E2740F" w:rsidRDefault="00E2740F" w:rsidP="00F27BB5">
      <w:pPr>
        <w:pStyle w:val="corpsdedcision"/>
        <w:tabs>
          <w:tab w:val="num" w:pos="360"/>
        </w:tabs>
      </w:pPr>
      <w:r>
        <w:t>À la note de consultation de la pre</w:t>
      </w:r>
      <w:r w:rsidR="00CB08C3">
        <w:t>mière consultation médicale du travailleur avec son professionnel de la santé qui a charge, au début mars</w:t>
      </w:r>
      <w:r>
        <w:t xml:space="preserve"> 2021, </w:t>
      </w:r>
      <w:r w:rsidR="00C11212">
        <w:t>ce dernier rapporte l’apparition de trouble</w:t>
      </w:r>
      <w:r w:rsidR="0023115A">
        <w:t>s</w:t>
      </w:r>
      <w:r w:rsidR="00C11212">
        <w:t xml:space="preserve"> de concentration et de sommeil, d’instabilité émotive et d’idéation suicidaire.</w:t>
      </w:r>
    </w:p>
    <w:p w14:paraId="25BCC572" w14:textId="77777777" w:rsidR="00AA1F56" w:rsidRDefault="00AA1F56" w:rsidP="00F27BB5">
      <w:pPr>
        <w:pStyle w:val="corpsdedcision"/>
        <w:tabs>
          <w:tab w:val="num" w:pos="360"/>
        </w:tabs>
      </w:pPr>
      <w:r>
        <w:t xml:space="preserve">Un mois plus tard, en avril 2021, le professionnel de la santé </w:t>
      </w:r>
      <w:r w:rsidR="002A47D2">
        <w:t xml:space="preserve">qui a charge </w:t>
      </w:r>
      <w:r w:rsidR="002E7E2A">
        <w:t xml:space="preserve">réfère </w:t>
      </w:r>
      <w:r w:rsidR="000B3800">
        <w:t>le travailleur à un autre professionnel</w:t>
      </w:r>
      <w:r w:rsidR="002A47D2">
        <w:t>, soit un psychiatre</w:t>
      </w:r>
      <w:r w:rsidR="002F41FE">
        <w:t>,</w:t>
      </w:r>
      <w:r w:rsidR="002A47D2">
        <w:t xml:space="preserve"> afin d’obtenir un</w:t>
      </w:r>
      <w:r w:rsidR="000B3800">
        <w:t xml:space="preserve"> avis en lien avec un stress post-traumatique.</w:t>
      </w:r>
    </w:p>
    <w:p w14:paraId="55EF686D" w14:textId="77777777" w:rsidR="009C7E1A" w:rsidRDefault="000B3800" w:rsidP="00F27BB5">
      <w:pPr>
        <w:pStyle w:val="corpsdedcision"/>
        <w:tabs>
          <w:tab w:val="num" w:pos="360"/>
        </w:tabs>
      </w:pPr>
      <w:r>
        <w:t xml:space="preserve">Ainsi, le 26 mai 2021, la docteure </w:t>
      </w:r>
      <w:proofErr w:type="spellStart"/>
      <w:r>
        <w:t>Gîtlan</w:t>
      </w:r>
      <w:proofErr w:type="spellEnd"/>
      <w:r w:rsidR="00710750">
        <w:t>, psychiatre et profe</w:t>
      </w:r>
      <w:r w:rsidR="00223379">
        <w:t>ssionnelle de la santé</w:t>
      </w:r>
      <w:r w:rsidR="002F41FE">
        <w:t>,</w:t>
      </w:r>
      <w:r w:rsidR="00223379">
        <w:t xml:space="preserve"> examine</w:t>
      </w:r>
      <w:r w:rsidR="00710750">
        <w:t xml:space="preserve"> le travailleur. À </w:t>
      </w:r>
      <w:r w:rsidR="00223379">
        <w:t xml:space="preserve">son évaluation psychiatrique, elle rapporte que le travailleur se sent déprimé, émotif et sensible </w:t>
      </w:r>
      <w:r w:rsidR="00B41138">
        <w:t>depuis deux ans</w:t>
      </w:r>
      <w:r w:rsidR="00BB738C">
        <w:t>,</w:t>
      </w:r>
      <w:r w:rsidR="00B41138">
        <w:t xml:space="preserve"> mais qu’il a continué à </w:t>
      </w:r>
      <w:r w:rsidR="00B41138">
        <w:lastRenderedPageBreak/>
        <w:t xml:space="preserve">travailler </w:t>
      </w:r>
      <w:r w:rsidR="00B41138" w:rsidRPr="00B41138">
        <w:rPr>
          <w:i/>
        </w:rPr>
        <w:t>« </w:t>
      </w:r>
      <w:r w:rsidR="00B41138" w:rsidRPr="007602FE">
        <w:rPr>
          <w:rStyle w:val="Citationintgre"/>
        </w:rPr>
        <w:t>malgré la présence de plus en plus envahissante des souvenirs des interventions de travail traumatisantes</w:t>
      </w:r>
      <w:r w:rsidR="00B41138" w:rsidRPr="00B41138">
        <w:rPr>
          <w:i/>
        </w:rPr>
        <w:t> </w:t>
      </w:r>
      <w:r w:rsidR="00B41138">
        <w:t>»</w:t>
      </w:r>
      <w:r w:rsidR="002F41FE">
        <w:t>.</w:t>
      </w:r>
      <w:r w:rsidR="00B41138">
        <w:t xml:space="preserve"> </w:t>
      </w:r>
    </w:p>
    <w:p w14:paraId="5C85F869" w14:textId="77777777" w:rsidR="000B3800" w:rsidRDefault="007F7380" w:rsidP="00F27BB5">
      <w:pPr>
        <w:pStyle w:val="corpsdedcision"/>
        <w:tabs>
          <w:tab w:val="num" w:pos="360"/>
        </w:tabs>
      </w:pPr>
      <w:r>
        <w:t>Après avoir résumé les événements de juin 2018 et ceux de février 2021, elle rapporte les symptômes qui affligent le travailleur</w:t>
      </w:r>
      <w:r w:rsidR="002F41FE">
        <w:t>,</w:t>
      </w:r>
      <w:r>
        <w:t xml:space="preserve"> </w:t>
      </w:r>
      <w:r w:rsidR="000C60CD">
        <w:t xml:space="preserve">soit </w:t>
      </w:r>
      <w:r>
        <w:t>de l’anxiété, de l’hypervigilance</w:t>
      </w:r>
      <w:r w:rsidR="00C27D9D">
        <w:t xml:space="preserve"> et</w:t>
      </w:r>
      <w:r>
        <w:t xml:space="preserve"> </w:t>
      </w:r>
      <w:r w:rsidR="000C60CD">
        <w:t xml:space="preserve">un sentiment d’insécurité et de détresse psychique lorsque le travailleur est confronté à des situations </w:t>
      </w:r>
      <w:r w:rsidR="00A302DC">
        <w:t xml:space="preserve">qui </w:t>
      </w:r>
      <w:r w:rsidR="00C27D9D">
        <w:t xml:space="preserve">lui </w:t>
      </w:r>
      <w:r w:rsidR="000C60CD">
        <w:t>évoque</w:t>
      </w:r>
      <w:r w:rsidR="00C27D9D">
        <w:t>nt</w:t>
      </w:r>
      <w:r w:rsidR="000C60CD">
        <w:t xml:space="preserve"> son travail. Elle diagnostique un syndrome de stress post-traumatique, un trouble dépressif et des traits de personnalité obsessionnelle.</w:t>
      </w:r>
    </w:p>
    <w:p w14:paraId="1A97B3AE" w14:textId="77777777" w:rsidR="00AA1F56" w:rsidRDefault="000C60CD" w:rsidP="00F27BB5">
      <w:pPr>
        <w:pStyle w:val="corpsdedcision"/>
        <w:tabs>
          <w:tab w:val="num" w:pos="360"/>
        </w:tabs>
      </w:pPr>
      <w:r>
        <w:t>Au suivi médical subséquent, le professionnel de la santé qui a charge, le docteur</w:t>
      </w:r>
      <w:r w:rsidR="00150C18">
        <w:t xml:space="preserve"> Dubé</w:t>
      </w:r>
      <w:r w:rsidR="00C27D9D">
        <w:t>,</w:t>
      </w:r>
      <w:r w:rsidR="00150C18">
        <w:t xml:space="preserve"> reprend les diagnostics</w:t>
      </w:r>
      <w:r>
        <w:t xml:space="preserve"> </w:t>
      </w:r>
      <w:r w:rsidR="00150C18">
        <w:t>d’état de stress post-traumatique et de dépression majeure.</w:t>
      </w:r>
    </w:p>
    <w:p w14:paraId="48D4E464" w14:textId="77777777" w:rsidR="00092D2F" w:rsidRDefault="00150C18" w:rsidP="009B148F">
      <w:pPr>
        <w:pStyle w:val="corpsdedcision"/>
        <w:tabs>
          <w:tab w:val="num" w:pos="360"/>
          <w:tab w:val="num" w:pos="720"/>
        </w:tabs>
        <w:rPr>
          <w:szCs w:val="24"/>
        </w:rPr>
      </w:pPr>
      <w:r>
        <w:rPr>
          <w:szCs w:val="24"/>
        </w:rPr>
        <w:t xml:space="preserve">En mai 2022, la professionnelle de la santé désignée de l’employeur, la docteure Bond, examine le travailleur. </w:t>
      </w:r>
      <w:r w:rsidR="006B39F2">
        <w:rPr>
          <w:szCs w:val="24"/>
        </w:rPr>
        <w:t>À son rapport, elle rapporte que le travailleur « </w:t>
      </w:r>
      <w:r w:rsidR="006B39F2" w:rsidRPr="007602FE">
        <w:rPr>
          <w:rStyle w:val="Citationintgre"/>
        </w:rPr>
        <w:t>est resté accroché sur l’événement</w:t>
      </w:r>
      <w:r w:rsidR="007445BC">
        <w:rPr>
          <w:i/>
          <w:szCs w:val="24"/>
        </w:rPr>
        <w:t xml:space="preserve"> </w:t>
      </w:r>
      <w:r w:rsidR="006B39F2">
        <w:rPr>
          <w:szCs w:val="24"/>
        </w:rPr>
        <w:t xml:space="preserve">» de juin 2018. Depuis cet événement, il vit des </w:t>
      </w:r>
      <w:r w:rsidR="00983BB9" w:rsidRPr="00A302DC">
        <w:rPr>
          <w:i/>
          <w:szCs w:val="24"/>
        </w:rPr>
        <w:t>flashbacks</w:t>
      </w:r>
      <w:r w:rsidR="00983BB9">
        <w:rPr>
          <w:szCs w:val="24"/>
        </w:rPr>
        <w:t xml:space="preserve">, se replie sur lui-même, ressent un sentiment de culpabilité et </w:t>
      </w:r>
      <w:r w:rsidR="00E27C72">
        <w:rPr>
          <w:szCs w:val="24"/>
        </w:rPr>
        <w:t xml:space="preserve">il </w:t>
      </w:r>
      <w:r w:rsidR="00983BB9">
        <w:rPr>
          <w:szCs w:val="24"/>
        </w:rPr>
        <w:t>survient l’apparition de crise</w:t>
      </w:r>
      <w:r w:rsidR="00BA39A8">
        <w:rPr>
          <w:szCs w:val="24"/>
        </w:rPr>
        <w:t>s</w:t>
      </w:r>
      <w:r w:rsidR="00983BB9">
        <w:rPr>
          <w:szCs w:val="24"/>
        </w:rPr>
        <w:t xml:space="preserve"> de panique, très imprévisible</w:t>
      </w:r>
      <w:r w:rsidR="00BA39A8">
        <w:rPr>
          <w:szCs w:val="24"/>
        </w:rPr>
        <w:t>s</w:t>
      </w:r>
      <w:r w:rsidR="00983BB9">
        <w:rPr>
          <w:szCs w:val="24"/>
        </w:rPr>
        <w:t xml:space="preserve"> et incommodante</w:t>
      </w:r>
      <w:r w:rsidR="00BA39A8">
        <w:rPr>
          <w:szCs w:val="24"/>
        </w:rPr>
        <w:t>s</w:t>
      </w:r>
      <w:r w:rsidR="00983BB9">
        <w:rPr>
          <w:szCs w:val="24"/>
        </w:rPr>
        <w:t>.</w:t>
      </w:r>
      <w:r w:rsidR="00BB48FA">
        <w:rPr>
          <w:szCs w:val="24"/>
        </w:rPr>
        <w:t xml:space="preserve"> À la suite des événements du 22</w:t>
      </w:r>
      <w:r w:rsidR="00983BB9">
        <w:rPr>
          <w:szCs w:val="24"/>
        </w:rPr>
        <w:t xml:space="preserve"> février 2021, </w:t>
      </w:r>
      <w:r w:rsidR="00BA39A8">
        <w:rPr>
          <w:szCs w:val="24"/>
        </w:rPr>
        <w:t xml:space="preserve">il y a </w:t>
      </w:r>
      <w:r w:rsidR="00BB48FA">
        <w:rPr>
          <w:szCs w:val="24"/>
        </w:rPr>
        <w:t>« </w:t>
      </w:r>
      <w:r w:rsidR="00BB48FA" w:rsidRPr="007602FE">
        <w:rPr>
          <w:rStyle w:val="Citationintgre"/>
        </w:rPr>
        <w:t>un apogée d’une symptomatologie qui s’accentuera</w:t>
      </w:r>
      <w:r w:rsidR="00BB48FA">
        <w:rPr>
          <w:szCs w:val="24"/>
        </w:rPr>
        <w:t> »</w:t>
      </w:r>
      <w:r w:rsidR="00BA39A8">
        <w:rPr>
          <w:szCs w:val="24"/>
        </w:rPr>
        <w:t>,</w:t>
      </w:r>
      <w:r w:rsidR="00E27C72">
        <w:rPr>
          <w:szCs w:val="24"/>
        </w:rPr>
        <w:t xml:space="preserve"> tel</w:t>
      </w:r>
      <w:r w:rsidR="00BA39A8">
        <w:rPr>
          <w:szCs w:val="24"/>
        </w:rPr>
        <w:t>s</w:t>
      </w:r>
      <w:r w:rsidR="00E27C72">
        <w:rPr>
          <w:szCs w:val="24"/>
        </w:rPr>
        <w:t xml:space="preserve"> une </w:t>
      </w:r>
      <w:r w:rsidR="00BB48FA">
        <w:rPr>
          <w:szCs w:val="24"/>
        </w:rPr>
        <w:t xml:space="preserve">anxiété, </w:t>
      </w:r>
      <w:r w:rsidR="00E27C72">
        <w:rPr>
          <w:szCs w:val="24"/>
        </w:rPr>
        <w:t>une</w:t>
      </w:r>
      <w:r w:rsidR="00DC72CD">
        <w:rPr>
          <w:szCs w:val="24"/>
        </w:rPr>
        <w:t xml:space="preserve"> déprime, un </w:t>
      </w:r>
      <w:r w:rsidR="00BB48FA">
        <w:rPr>
          <w:szCs w:val="24"/>
        </w:rPr>
        <w:t>trouble du sommeil perturbé par des cauchemars</w:t>
      </w:r>
      <w:r w:rsidR="00DC72CD">
        <w:rPr>
          <w:szCs w:val="24"/>
        </w:rPr>
        <w:t xml:space="preserve"> et des idées noires. Elle retient l</w:t>
      </w:r>
      <w:r w:rsidR="00E2792B">
        <w:rPr>
          <w:szCs w:val="24"/>
        </w:rPr>
        <w:t>e</w:t>
      </w:r>
      <w:r w:rsidR="00DC72CD">
        <w:rPr>
          <w:szCs w:val="24"/>
        </w:rPr>
        <w:t>s diagnostics de syndrome de stress post-traumatique, d’évolution chronique depuis juin 2018, d’</w:t>
      </w:r>
      <w:r w:rsidR="00E2792B">
        <w:rPr>
          <w:szCs w:val="24"/>
        </w:rPr>
        <w:t xml:space="preserve">un </w:t>
      </w:r>
      <w:r w:rsidR="00DC72CD">
        <w:rPr>
          <w:szCs w:val="24"/>
        </w:rPr>
        <w:t>épisode dépressif majeur</w:t>
      </w:r>
      <w:r w:rsidR="00E2792B">
        <w:rPr>
          <w:szCs w:val="24"/>
        </w:rPr>
        <w:t xml:space="preserve"> et des traits obsessionnels.</w:t>
      </w:r>
    </w:p>
    <w:p w14:paraId="2A4AA36D" w14:textId="77777777" w:rsidR="00A56D76" w:rsidRPr="00AE302C" w:rsidRDefault="00A56D76" w:rsidP="00AE302C">
      <w:pPr>
        <w:pStyle w:val="corpsdedcision"/>
        <w:tabs>
          <w:tab w:val="num" w:pos="360"/>
          <w:tab w:val="num" w:pos="720"/>
        </w:tabs>
        <w:rPr>
          <w:szCs w:val="24"/>
        </w:rPr>
      </w:pPr>
      <w:r>
        <w:rPr>
          <w:szCs w:val="24"/>
        </w:rPr>
        <w:t xml:space="preserve">La représentante de l’employeur invoque l’hospitalisation de la mère du travailleur durant la période des fêtes </w:t>
      </w:r>
      <w:r w:rsidR="00D27F36">
        <w:rPr>
          <w:szCs w:val="24"/>
        </w:rPr>
        <w:t xml:space="preserve">de </w:t>
      </w:r>
      <w:r>
        <w:rPr>
          <w:szCs w:val="24"/>
        </w:rPr>
        <w:t xml:space="preserve">2020 et le décès de son chien en février 2021 comme étant des éléments extrinsèques qui peuvent avoir </w:t>
      </w:r>
      <w:proofErr w:type="gramStart"/>
      <w:r>
        <w:rPr>
          <w:szCs w:val="24"/>
        </w:rPr>
        <w:t>eu</w:t>
      </w:r>
      <w:proofErr w:type="gramEnd"/>
      <w:r>
        <w:rPr>
          <w:szCs w:val="24"/>
        </w:rPr>
        <w:t xml:space="preserve"> une influence sur la condition psychique du travailleur. Or, le travailleur explique que sa mère a eu une période d’hospitalisation pour une infection et que son chien âgé a dû être euthanasié. Il témoigne que ces deux événements ont peu contribué à sa lésion diagnostiquée en</w:t>
      </w:r>
      <w:r w:rsidRPr="00AE302C">
        <w:rPr>
          <w:szCs w:val="24"/>
        </w:rPr>
        <w:t xml:space="preserve"> février 2021.</w:t>
      </w:r>
    </w:p>
    <w:p w14:paraId="0C6C50F0" w14:textId="77777777" w:rsidR="00E27C72" w:rsidRDefault="00F55050" w:rsidP="009B148F">
      <w:pPr>
        <w:pStyle w:val="corpsdedcision"/>
        <w:tabs>
          <w:tab w:val="num" w:pos="360"/>
          <w:tab w:val="num" w:pos="720"/>
        </w:tabs>
        <w:rPr>
          <w:szCs w:val="24"/>
        </w:rPr>
      </w:pPr>
      <w:r>
        <w:rPr>
          <w:szCs w:val="24"/>
        </w:rPr>
        <w:t xml:space="preserve">D’ailleurs, les deux professionnelles de la santé ayant examiné le travailleur, les docteures </w:t>
      </w:r>
      <w:proofErr w:type="spellStart"/>
      <w:r>
        <w:t>Gîtlan</w:t>
      </w:r>
      <w:proofErr w:type="spellEnd"/>
      <w:r>
        <w:rPr>
          <w:szCs w:val="24"/>
        </w:rPr>
        <w:t xml:space="preserve"> et Bond, ne retiennent pas ces éléments </w:t>
      </w:r>
      <w:r w:rsidR="00A56D76">
        <w:rPr>
          <w:szCs w:val="24"/>
        </w:rPr>
        <w:t xml:space="preserve">extrinsèques </w:t>
      </w:r>
      <w:r>
        <w:rPr>
          <w:szCs w:val="24"/>
        </w:rPr>
        <w:t>en lien avec les diagnostics de stress post-traumatique et de dépression majeure.</w:t>
      </w:r>
    </w:p>
    <w:p w14:paraId="3269AD7A" w14:textId="77777777" w:rsidR="00E2792B" w:rsidRDefault="00F55050" w:rsidP="00705D02">
      <w:pPr>
        <w:pStyle w:val="corpsdedcision"/>
        <w:tabs>
          <w:tab w:val="num" w:pos="360"/>
          <w:tab w:val="num" w:pos="720"/>
        </w:tabs>
        <w:rPr>
          <w:szCs w:val="24"/>
        </w:rPr>
      </w:pPr>
      <w:r>
        <w:rPr>
          <w:szCs w:val="24"/>
        </w:rPr>
        <w:t>L</w:t>
      </w:r>
      <w:r w:rsidR="00E2792B">
        <w:rPr>
          <w:szCs w:val="24"/>
        </w:rPr>
        <w:t xml:space="preserve">a </w:t>
      </w:r>
      <w:r w:rsidR="00E27C72">
        <w:rPr>
          <w:szCs w:val="24"/>
        </w:rPr>
        <w:t xml:space="preserve">preuve démontre </w:t>
      </w:r>
      <w:r>
        <w:rPr>
          <w:szCs w:val="24"/>
        </w:rPr>
        <w:t xml:space="preserve">d’une part </w:t>
      </w:r>
      <w:r w:rsidR="00D649D7">
        <w:rPr>
          <w:szCs w:val="24"/>
        </w:rPr>
        <w:t>qu’avant l’événement de juin 2018, il y a absence de problématique psychiatrique chez le travailleur</w:t>
      </w:r>
      <w:r w:rsidR="00705D02">
        <w:rPr>
          <w:szCs w:val="24"/>
        </w:rPr>
        <w:t xml:space="preserve">. Or, à partir </w:t>
      </w:r>
      <w:r w:rsidR="00A56D76">
        <w:rPr>
          <w:szCs w:val="24"/>
        </w:rPr>
        <w:t>de l’</w:t>
      </w:r>
      <w:r w:rsidR="00705D02">
        <w:rPr>
          <w:szCs w:val="24"/>
        </w:rPr>
        <w:t>intervention</w:t>
      </w:r>
      <w:r w:rsidR="00A56D76">
        <w:rPr>
          <w:szCs w:val="24"/>
        </w:rPr>
        <w:t xml:space="preserve"> de juin 2018</w:t>
      </w:r>
      <w:r w:rsidR="00D649D7" w:rsidRPr="00705D02">
        <w:rPr>
          <w:szCs w:val="24"/>
        </w:rPr>
        <w:t>, le travailleur</w:t>
      </w:r>
      <w:r w:rsidR="00705D02">
        <w:rPr>
          <w:szCs w:val="24"/>
        </w:rPr>
        <w:t xml:space="preserve"> ressent des symptômes </w:t>
      </w:r>
      <w:r w:rsidR="000A48A5">
        <w:rPr>
          <w:szCs w:val="24"/>
        </w:rPr>
        <w:t>importants</w:t>
      </w:r>
      <w:r w:rsidR="00BB738C">
        <w:rPr>
          <w:szCs w:val="24"/>
        </w:rPr>
        <w:t>,</w:t>
      </w:r>
      <w:r w:rsidR="000A48A5">
        <w:rPr>
          <w:szCs w:val="24"/>
        </w:rPr>
        <w:t xml:space="preserve"> lesqu</w:t>
      </w:r>
      <w:r w:rsidR="009C7E1A">
        <w:rPr>
          <w:szCs w:val="24"/>
        </w:rPr>
        <w:t>el</w:t>
      </w:r>
      <w:r w:rsidR="000A48A5">
        <w:rPr>
          <w:szCs w:val="24"/>
        </w:rPr>
        <w:t>s</w:t>
      </w:r>
      <w:r w:rsidR="00705D02">
        <w:rPr>
          <w:szCs w:val="24"/>
        </w:rPr>
        <w:t xml:space="preserve">, </w:t>
      </w:r>
      <w:proofErr w:type="gramStart"/>
      <w:r w:rsidR="00705D02">
        <w:rPr>
          <w:szCs w:val="24"/>
        </w:rPr>
        <w:t>de par</w:t>
      </w:r>
      <w:proofErr w:type="gramEnd"/>
      <w:r w:rsidR="00705D02">
        <w:rPr>
          <w:szCs w:val="24"/>
        </w:rPr>
        <w:t xml:space="preserve"> sa personnalité, ne le rendent pas invalide. </w:t>
      </w:r>
    </w:p>
    <w:p w14:paraId="1B30F432" w14:textId="77777777" w:rsidR="00705D02" w:rsidRPr="00462557" w:rsidRDefault="00705D02" w:rsidP="00462557">
      <w:pPr>
        <w:pStyle w:val="corpsdedcision"/>
        <w:tabs>
          <w:tab w:val="num" w:pos="360"/>
          <w:tab w:val="num" w:pos="720"/>
        </w:tabs>
        <w:rPr>
          <w:szCs w:val="24"/>
        </w:rPr>
      </w:pPr>
      <w:r>
        <w:rPr>
          <w:szCs w:val="24"/>
        </w:rPr>
        <w:t xml:space="preserve">D’autre part, à la suite des deux interventions du 22 février 2021, les symptômes s’accentuent et amènent le travailleur </w:t>
      </w:r>
      <w:r w:rsidR="00BB738C">
        <w:rPr>
          <w:szCs w:val="24"/>
        </w:rPr>
        <w:t>à</w:t>
      </w:r>
      <w:r>
        <w:rPr>
          <w:szCs w:val="24"/>
        </w:rPr>
        <w:t xml:space="preserve"> consult</w:t>
      </w:r>
      <w:r w:rsidR="00BB738C">
        <w:rPr>
          <w:szCs w:val="24"/>
        </w:rPr>
        <w:t>er</w:t>
      </w:r>
      <w:r>
        <w:rPr>
          <w:szCs w:val="24"/>
        </w:rPr>
        <w:t xml:space="preserve"> un professionnel de la santé</w:t>
      </w:r>
      <w:r w:rsidRPr="00462557">
        <w:rPr>
          <w:szCs w:val="24"/>
        </w:rPr>
        <w:t xml:space="preserve"> à l’urgence. </w:t>
      </w:r>
    </w:p>
    <w:p w14:paraId="4014D198" w14:textId="58AB6797" w:rsidR="000D0F07" w:rsidRPr="00705711" w:rsidRDefault="00004B67" w:rsidP="00004B67">
      <w:pPr>
        <w:pStyle w:val="corpsdedcision"/>
      </w:pPr>
      <w:r>
        <w:lastRenderedPageBreak/>
        <w:t xml:space="preserve">En conséquence, </w:t>
      </w:r>
      <w:r w:rsidR="002D2237">
        <w:t>les événements de juin 2018</w:t>
      </w:r>
      <w:r w:rsidR="009158F1">
        <w:t xml:space="preserve"> et de février 2021 sont la cause la plus probable de la lésion psychologique. Ainsi,</w:t>
      </w:r>
      <w:r>
        <w:t xml:space="preserve"> le travailleur a subi une lésion professionnelle en février 2021.</w:t>
      </w:r>
    </w:p>
    <w:p w14:paraId="79B98D3B" w14:textId="77777777" w:rsidR="00AD578C" w:rsidRPr="00B51F99" w:rsidRDefault="00AD578C" w:rsidP="000D0F07">
      <w:pPr>
        <w:pStyle w:val="corpsdedcision"/>
        <w:numPr>
          <w:ilvl w:val="0"/>
          <w:numId w:val="0"/>
        </w:numPr>
      </w:pPr>
    </w:p>
    <w:p w14:paraId="5E6C088B" w14:textId="77777777" w:rsidR="00C74B6F" w:rsidRDefault="00C74B6F">
      <w:pPr>
        <w:pStyle w:val="Dispositif"/>
      </w:pPr>
      <w:r>
        <w:rPr>
          <w:b/>
        </w:rPr>
        <w:t>P</w:t>
      </w:r>
      <w:r w:rsidR="00401325">
        <w:rPr>
          <w:b/>
        </w:rPr>
        <w:t>AR</w:t>
      </w:r>
      <w:r w:rsidR="00D07FA6">
        <w:rPr>
          <w:b/>
        </w:rPr>
        <w:t xml:space="preserve"> CES MOTIFS, LE TRIBUNAL ADMINISTRATIF DU TRAVAIL</w:t>
      </w:r>
      <w:r>
        <w:rPr>
          <w:b/>
        </w:rPr>
        <w:t> :</w:t>
      </w:r>
    </w:p>
    <w:p w14:paraId="71909CED" w14:textId="77777777" w:rsidR="00C74B6F" w:rsidRDefault="000A48A5">
      <w:pPr>
        <w:pStyle w:val="Dispositif"/>
      </w:pPr>
      <w:r w:rsidRPr="00145E34">
        <w:rPr>
          <w:b/>
        </w:rPr>
        <w:t>REJETTE</w:t>
      </w:r>
      <w:r>
        <w:t xml:space="preserve"> la </w:t>
      </w:r>
      <w:r w:rsidRPr="000A48A5">
        <w:t xml:space="preserve">contestation de Services Préhospitaliers </w:t>
      </w:r>
      <w:proofErr w:type="spellStart"/>
      <w:r w:rsidRPr="000A48A5">
        <w:t>Paraxion</w:t>
      </w:r>
      <w:proofErr w:type="spellEnd"/>
      <w:r w:rsidRPr="000A48A5">
        <w:t xml:space="preserve"> </w:t>
      </w:r>
      <w:proofErr w:type="spellStart"/>
      <w:r w:rsidRPr="000A48A5">
        <w:t>inc.</w:t>
      </w:r>
      <w:proofErr w:type="spellEnd"/>
      <w:r>
        <w:t>, l’employeur;</w:t>
      </w:r>
    </w:p>
    <w:p w14:paraId="53E12788" w14:textId="77777777" w:rsidR="000A48A5" w:rsidRDefault="000A48A5">
      <w:pPr>
        <w:pStyle w:val="Dispositif"/>
      </w:pPr>
      <w:r w:rsidRPr="00145E34">
        <w:rPr>
          <w:b/>
        </w:rPr>
        <w:t>CONFIRME</w:t>
      </w:r>
      <w:r>
        <w:t xml:space="preserve"> la décision de la Commission des normes, de l’équité, de la santé et de la sécurité du travail rendue le 14 février 2022, à la suite d’une révision administrative</w:t>
      </w:r>
      <w:r w:rsidR="0053247C">
        <w:t>;</w:t>
      </w:r>
    </w:p>
    <w:p w14:paraId="7FB67AEC" w14:textId="77777777" w:rsidR="000A48A5" w:rsidRDefault="000A48A5">
      <w:pPr>
        <w:pStyle w:val="Dispositif"/>
      </w:pPr>
      <w:r w:rsidRPr="00145E34">
        <w:rPr>
          <w:b/>
        </w:rPr>
        <w:t>DÉCLARE</w:t>
      </w:r>
      <w:r>
        <w:t xml:space="preserve"> que les diagnostics </w:t>
      </w:r>
      <w:r w:rsidR="00145E34">
        <w:t xml:space="preserve">en lien avec la lésion professionnelle </w:t>
      </w:r>
      <w:r>
        <w:t>sont</w:t>
      </w:r>
      <w:r w:rsidR="00145E34">
        <w:t xml:space="preserve"> le syndrome de stress post-traumatique et la dépression majeure;</w:t>
      </w:r>
    </w:p>
    <w:p w14:paraId="1696ACDE" w14:textId="77777777" w:rsidR="00BE06A4" w:rsidRDefault="00BE06A4">
      <w:pPr>
        <w:pStyle w:val="Dispositif"/>
      </w:pPr>
      <w:r w:rsidRPr="00BE06A4">
        <w:rPr>
          <w:b/>
        </w:rPr>
        <w:t>DÉCLARE</w:t>
      </w:r>
      <w:r>
        <w:t xml:space="preserve"> que le tra</w:t>
      </w:r>
      <w:r w:rsidR="009C7E1A">
        <w:t>vailleur a subi, en février 2021</w:t>
      </w:r>
      <w:r>
        <w:t>, une lésion professionnelle;</w:t>
      </w:r>
    </w:p>
    <w:p w14:paraId="2D728150" w14:textId="77777777" w:rsidR="000A48A5" w:rsidRDefault="000A48A5" w:rsidP="0053247C">
      <w:pPr>
        <w:pStyle w:val="Dispositif"/>
        <w:spacing w:after="1200"/>
      </w:pPr>
      <w:r w:rsidRPr="003E3FFB">
        <w:rPr>
          <w:b/>
        </w:rPr>
        <w:t>DÉCLARE</w:t>
      </w:r>
      <w:r w:rsidR="00145E34">
        <w:t xml:space="preserve"> que le travailleur</w:t>
      </w:r>
      <w:r w:rsidRPr="003E3FFB">
        <w:t xml:space="preserve"> a droit a</w:t>
      </w:r>
      <w:r>
        <w:t xml:space="preserve">ux prestations prévues à la </w:t>
      </w:r>
      <w:r w:rsidRPr="00C57EEB">
        <w:rPr>
          <w:i/>
          <w:iCs/>
        </w:rPr>
        <w:t>Loi sur les accidents du travail et les maladies professionnelles</w:t>
      </w:r>
      <w:r>
        <w:t>.</w:t>
      </w: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14:paraId="1EF9A3EA" w14:textId="77777777">
        <w:tc>
          <w:tcPr>
            <w:tcW w:w="4795" w:type="dxa"/>
          </w:tcPr>
          <w:p w14:paraId="1CD7AA8A" w14:textId="77777777" w:rsidR="00C74B6F" w:rsidRDefault="000A48A5">
            <w:r>
              <w:t xml:space="preserve"> </w:t>
            </w:r>
          </w:p>
        </w:tc>
        <w:tc>
          <w:tcPr>
            <w:tcW w:w="4795" w:type="dxa"/>
          </w:tcPr>
          <w:p w14:paraId="18B626C2" w14:textId="77777777" w:rsidR="00C74B6F" w:rsidRDefault="00C74B6F">
            <w:bookmarkStart w:id="13" w:name="signature"/>
            <w:bookmarkEnd w:id="13"/>
            <w:r>
              <w:t>__________________________________</w:t>
            </w:r>
          </w:p>
        </w:tc>
      </w:tr>
      <w:tr w:rsidR="00C74B6F" w14:paraId="0D3E7A8F" w14:textId="77777777">
        <w:tc>
          <w:tcPr>
            <w:tcW w:w="4795" w:type="dxa"/>
          </w:tcPr>
          <w:p w14:paraId="6A120DC4" w14:textId="77777777" w:rsidR="00C74B6F" w:rsidRDefault="00C74B6F"/>
        </w:tc>
        <w:tc>
          <w:tcPr>
            <w:tcW w:w="4795" w:type="dxa"/>
          </w:tcPr>
          <w:p w14:paraId="51A6F62A" w14:textId="77777777" w:rsidR="00C74B6F" w:rsidRDefault="006C2A06">
            <w:r>
              <w:t>Sophie Moulin</w:t>
            </w:r>
          </w:p>
        </w:tc>
      </w:tr>
      <w:tr w:rsidR="00C74B6F" w14:paraId="13FEC8F8" w14:textId="77777777">
        <w:trPr>
          <w:cantSplit/>
        </w:trPr>
        <w:tc>
          <w:tcPr>
            <w:tcW w:w="9590" w:type="dxa"/>
            <w:gridSpan w:val="2"/>
          </w:tcPr>
          <w:p w14:paraId="30F07680" w14:textId="77777777" w:rsidR="00C74B6F" w:rsidRDefault="00C74B6F"/>
        </w:tc>
      </w:tr>
      <w:tr w:rsidR="00C74B6F" w14:paraId="6B1C7D0A" w14:textId="77777777">
        <w:trPr>
          <w:cantSplit/>
        </w:trPr>
        <w:tc>
          <w:tcPr>
            <w:tcW w:w="9590" w:type="dxa"/>
            <w:gridSpan w:val="2"/>
          </w:tcPr>
          <w:p w14:paraId="30709BF9" w14:textId="77777777" w:rsidR="00C74B6F" w:rsidRPr="00C912F9" w:rsidRDefault="00C74B6F" w:rsidP="00EC5C8D">
            <w:pPr>
              <w:tabs>
                <w:tab w:val="left" w:pos="1592"/>
              </w:tabs>
            </w:pPr>
          </w:p>
        </w:tc>
      </w:tr>
      <w:tr w:rsidR="00C74B6F" w14:paraId="7A319413" w14:textId="77777777">
        <w:trPr>
          <w:cantSplit/>
        </w:trPr>
        <w:tc>
          <w:tcPr>
            <w:tcW w:w="9590" w:type="dxa"/>
            <w:gridSpan w:val="2"/>
          </w:tcPr>
          <w:p w14:paraId="3EF5E3D1" w14:textId="77777777" w:rsidR="00C74B6F" w:rsidRDefault="005C0DE8" w:rsidP="005C0DE8">
            <w:pPr>
              <w:pStyle w:val="zSoquijdatNomProcureurDem"/>
            </w:pPr>
            <w:r>
              <w:t>Mme Mireille Carrier</w:t>
            </w:r>
          </w:p>
        </w:tc>
      </w:tr>
      <w:tr w:rsidR="00C74B6F" w14:paraId="424AFA58" w14:textId="77777777">
        <w:trPr>
          <w:cantSplit/>
        </w:trPr>
        <w:tc>
          <w:tcPr>
            <w:tcW w:w="9590" w:type="dxa"/>
            <w:gridSpan w:val="2"/>
          </w:tcPr>
          <w:p w14:paraId="5B0AA439" w14:textId="77777777" w:rsidR="00C74B6F" w:rsidRDefault="005C0DE8">
            <w:pPr>
              <w:pStyle w:val="zSoquijdatCabinetProcureurDem"/>
            </w:pPr>
            <w:r>
              <w:t>MEDIAL CONSEIL SANTÉ SÉCURITÉ INC.</w:t>
            </w:r>
          </w:p>
        </w:tc>
      </w:tr>
      <w:tr w:rsidR="00C74B6F" w14:paraId="3F3EFC2C" w14:textId="77777777">
        <w:trPr>
          <w:cantSplit/>
        </w:trPr>
        <w:tc>
          <w:tcPr>
            <w:tcW w:w="9590" w:type="dxa"/>
            <w:gridSpan w:val="2"/>
          </w:tcPr>
          <w:p w14:paraId="5172E16D" w14:textId="77777777" w:rsidR="00C74B6F" w:rsidRDefault="00CB05A7">
            <w:pPr>
              <w:pStyle w:val="zSoquijlblProcureurDem"/>
            </w:pPr>
            <w:r>
              <w:t>Pour la partie demanderesse</w:t>
            </w:r>
          </w:p>
        </w:tc>
      </w:tr>
      <w:tr w:rsidR="00C74B6F" w14:paraId="001DBDDB" w14:textId="77777777">
        <w:trPr>
          <w:cantSplit/>
        </w:trPr>
        <w:tc>
          <w:tcPr>
            <w:tcW w:w="9590" w:type="dxa"/>
            <w:gridSpan w:val="2"/>
          </w:tcPr>
          <w:p w14:paraId="6E5CFB33" w14:textId="77777777" w:rsidR="00C74B6F" w:rsidRDefault="00C74B6F"/>
        </w:tc>
      </w:tr>
      <w:tr w:rsidR="00C74B6F" w14:paraId="49C7F17F" w14:textId="77777777">
        <w:trPr>
          <w:cantSplit/>
        </w:trPr>
        <w:tc>
          <w:tcPr>
            <w:tcW w:w="9590" w:type="dxa"/>
            <w:gridSpan w:val="2"/>
          </w:tcPr>
          <w:p w14:paraId="10092472" w14:textId="77777777" w:rsidR="00C74B6F" w:rsidRDefault="005C0DE8" w:rsidP="005C0DE8">
            <w:pPr>
              <w:pStyle w:val="zSoquijdatNomProcureurDef"/>
            </w:pPr>
            <w:r>
              <w:t>Me Julien David Hobson</w:t>
            </w:r>
          </w:p>
        </w:tc>
      </w:tr>
      <w:tr w:rsidR="00C74B6F" w14:paraId="0BBC3F0C" w14:textId="77777777">
        <w:trPr>
          <w:cantSplit/>
        </w:trPr>
        <w:tc>
          <w:tcPr>
            <w:tcW w:w="9590" w:type="dxa"/>
            <w:gridSpan w:val="2"/>
          </w:tcPr>
          <w:p w14:paraId="1688734E" w14:textId="77777777" w:rsidR="00C74B6F" w:rsidRDefault="005C0DE8">
            <w:pPr>
              <w:pStyle w:val="zSoquijdatCabinetProcureurDef"/>
            </w:pPr>
            <w:r>
              <w:t>ROY BÉLANGER AVOCATS S.E.N.C.R.L.</w:t>
            </w:r>
          </w:p>
        </w:tc>
      </w:tr>
      <w:tr w:rsidR="00C74B6F" w14:paraId="47A168AA" w14:textId="77777777">
        <w:trPr>
          <w:cantSplit/>
        </w:trPr>
        <w:tc>
          <w:tcPr>
            <w:tcW w:w="9590" w:type="dxa"/>
            <w:gridSpan w:val="2"/>
          </w:tcPr>
          <w:p w14:paraId="4FCB5C51" w14:textId="77777777" w:rsidR="00C74B6F" w:rsidRDefault="00CB05A7" w:rsidP="005C0DE8">
            <w:pPr>
              <w:pStyle w:val="zSoquijlblProcureurDef"/>
            </w:pPr>
            <w:r>
              <w:t xml:space="preserve">Pour la partie </w:t>
            </w:r>
            <w:r w:rsidR="005C0DE8">
              <w:t>mise en cause</w:t>
            </w:r>
          </w:p>
        </w:tc>
      </w:tr>
      <w:tr w:rsidR="007569DE" w14:paraId="29D01824" w14:textId="77777777">
        <w:trPr>
          <w:cantSplit/>
        </w:trPr>
        <w:tc>
          <w:tcPr>
            <w:tcW w:w="9590" w:type="dxa"/>
            <w:gridSpan w:val="2"/>
          </w:tcPr>
          <w:p w14:paraId="1639286A" w14:textId="77777777" w:rsidR="007569DE" w:rsidRDefault="007569DE"/>
        </w:tc>
      </w:tr>
      <w:tr w:rsidR="00C74B6F" w14:paraId="01EEE044" w14:textId="77777777">
        <w:trPr>
          <w:cantSplit/>
        </w:trPr>
        <w:tc>
          <w:tcPr>
            <w:tcW w:w="9590" w:type="dxa"/>
            <w:gridSpan w:val="2"/>
          </w:tcPr>
          <w:p w14:paraId="2F3AE84F" w14:textId="77777777" w:rsidR="00C74B6F" w:rsidRDefault="005C0DE8" w:rsidP="005C0DE8">
            <w:pPr>
              <w:pStyle w:val="zSoquijdatNomProcureurInt"/>
            </w:pPr>
            <w:r>
              <w:t>Me Cathy Morin</w:t>
            </w:r>
          </w:p>
        </w:tc>
      </w:tr>
      <w:tr w:rsidR="00C74B6F" w14:paraId="57CB8EA7" w14:textId="77777777">
        <w:trPr>
          <w:cantSplit/>
        </w:trPr>
        <w:tc>
          <w:tcPr>
            <w:tcW w:w="9590" w:type="dxa"/>
            <w:gridSpan w:val="2"/>
          </w:tcPr>
          <w:p w14:paraId="441E41B5" w14:textId="77777777" w:rsidR="00C74B6F" w:rsidRDefault="005C0DE8">
            <w:pPr>
              <w:pStyle w:val="zSoquijdatCabinetProcureurInt"/>
            </w:pPr>
            <w:r>
              <w:t>PINEAULT AVOCATS CNESST</w:t>
            </w:r>
          </w:p>
        </w:tc>
      </w:tr>
      <w:tr w:rsidR="00C74B6F" w14:paraId="408EA21B" w14:textId="77777777">
        <w:trPr>
          <w:cantSplit/>
        </w:trPr>
        <w:tc>
          <w:tcPr>
            <w:tcW w:w="9590" w:type="dxa"/>
            <w:gridSpan w:val="2"/>
          </w:tcPr>
          <w:p w14:paraId="372C7B9A" w14:textId="77777777" w:rsidR="00C74B6F" w:rsidRDefault="007569DE" w:rsidP="005C0DE8">
            <w:pPr>
              <w:pStyle w:val="zSoquijlblProcureurInt"/>
            </w:pPr>
            <w:r>
              <w:t>Pour la partie</w:t>
            </w:r>
            <w:r w:rsidR="005C0DE8">
              <w:t xml:space="preserve"> intervenante</w:t>
            </w:r>
          </w:p>
        </w:tc>
      </w:tr>
      <w:tr w:rsidR="00C15A3F" w14:paraId="4C0C69ED" w14:textId="77777777">
        <w:trPr>
          <w:cantSplit/>
        </w:trPr>
        <w:tc>
          <w:tcPr>
            <w:tcW w:w="9590" w:type="dxa"/>
            <w:gridSpan w:val="2"/>
          </w:tcPr>
          <w:p w14:paraId="3AEDB383" w14:textId="77777777" w:rsidR="00C15A3F" w:rsidRDefault="00C15A3F">
            <w:pPr>
              <w:pStyle w:val="zSoquijlblProcureurInt"/>
            </w:pPr>
          </w:p>
        </w:tc>
      </w:tr>
      <w:tr w:rsidR="00C15A3F" w14:paraId="6212E8FE" w14:textId="77777777">
        <w:trPr>
          <w:cantSplit/>
        </w:trPr>
        <w:tc>
          <w:tcPr>
            <w:tcW w:w="9590" w:type="dxa"/>
            <w:gridSpan w:val="2"/>
          </w:tcPr>
          <w:p w14:paraId="134891ED" w14:textId="77777777" w:rsidR="00C15A3F" w:rsidRDefault="00C15A3F" w:rsidP="0001768E">
            <w:pPr>
              <w:pStyle w:val="zSoquijdatDateAudience"/>
            </w:pPr>
            <w:bookmarkStart w:id="14" w:name="Date_derniere_audience"/>
            <w:bookmarkEnd w:id="14"/>
            <w:r>
              <w:t xml:space="preserve">Date de la </w:t>
            </w:r>
            <w:r w:rsidR="00CC6338">
              <w:t>mise en délibéré</w:t>
            </w:r>
            <w:r>
              <w:t> :</w:t>
            </w:r>
            <w:r w:rsidR="00597016">
              <w:tab/>
            </w:r>
            <w:r w:rsidR="0001768E">
              <w:t>28 juin 2023</w:t>
            </w:r>
          </w:p>
        </w:tc>
      </w:tr>
    </w:tbl>
    <w:p w14:paraId="0A814573" w14:textId="77777777" w:rsidR="00F76B4A" w:rsidRDefault="00F76B4A" w:rsidP="00F73D1C"/>
    <w:p w14:paraId="1C51F2D8" w14:textId="77777777" w:rsidR="002542E0" w:rsidRDefault="002542E0" w:rsidP="002542E0">
      <w:pPr>
        <w:pStyle w:val="corpsdedcision"/>
        <w:numPr>
          <w:ilvl w:val="0"/>
          <w:numId w:val="0"/>
        </w:numPr>
        <w:tabs>
          <w:tab w:val="clear" w:pos="720"/>
        </w:tabs>
      </w:pPr>
    </w:p>
    <w:sectPr w:rsidR="002542E0">
      <w:headerReference w:type="default" r:id="rId7"/>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666E0" w14:textId="77777777" w:rsidR="002F34CD" w:rsidRDefault="002F34CD">
      <w:r>
        <w:separator/>
      </w:r>
    </w:p>
  </w:endnote>
  <w:endnote w:type="continuationSeparator" w:id="0">
    <w:p w14:paraId="740E0074" w14:textId="77777777" w:rsidR="002F34CD" w:rsidRDefault="002F3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4ABDB" w14:textId="77777777" w:rsidR="002F34CD" w:rsidRDefault="002F34CD">
      <w:r>
        <w:separator/>
      </w:r>
    </w:p>
  </w:footnote>
  <w:footnote w:type="continuationSeparator" w:id="0">
    <w:p w14:paraId="4182E24A" w14:textId="77777777" w:rsidR="002F34CD" w:rsidRDefault="002F34CD">
      <w:r>
        <w:continuationSeparator/>
      </w:r>
    </w:p>
  </w:footnote>
  <w:footnote w:id="1">
    <w:p w14:paraId="7E89F96E" w14:textId="77777777" w:rsidR="00520115" w:rsidRPr="00340C5C" w:rsidRDefault="00520115" w:rsidP="00520115">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 xml:space="preserve">Décision datée du </w:t>
      </w:r>
      <w:r w:rsidR="00C2735B">
        <w:rPr>
          <w:rFonts w:cs="Arial"/>
          <w:sz w:val="20"/>
        </w:rPr>
        <w:t>14 février 2022</w:t>
      </w:r>
      <w:r>
        <w:rPr>
          <w:rFonts w:cs="Arial"/>
          <w:sz w:val="20"/>
        </w:rPr>
        <w:t>.</w:t>
      </w:r>
    </w:p>
  </w:footnote>
  <w:footnote w:id="2">
    <w:p w14:paraId="0E32F344" w14:textId="77777777" w:rsidR="0042400A" w:rsidRDefault="0042400A" w:rsidP="0042400A">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RLRQ, c. A-3.001.</w:t>
      </w:r>
    </w:p>
  </w:footnote>
  <w:footnote w:id="3">
    <w:p w14:paraId="53AB2662" w14:textId="77777777" w:rsidR="00A365BD" w:rsidRPr="009E1756" w:rsidRDefault="00A365BD" w:rsidP="00A365BD">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5F415F">
        <w:rPr>
          <w:rFonts w:cs="Arial"/>
          <w:i/>
          <w:sz w:val="20"/>
        </w:rPr>
        <w:t>Mansour</w:t>
      </w:r>
      <w:r>
        <w:rPr>
          <w:rFonts w:cs="Arial"/>
          <w:sz w:val="20"/>
        </w:rPr>
        <w:t xml:space="preserve"> et </w:t>
      </w:r>
      <w:r w:rsidRPr="005F415F">
        <w:rPr>
          <w:rFonts w:cs="Arial"/>
          <w:i/>
          <w:sz w:val="20"/>
        </w:rPr>
        <w:t>Service correctionnel Canada</w:t>
      </w:r>
      <w:r>
        <w:rPr>
          <w:rFonts w:cs="Arial"/>
          <w:sz w:val="20"/>
        </w:rPr>
        <w:t xml:space="preserve">, 2017 QCTAT 5161; </w:t>
      </w:r>
      <w:r w:rsidRPr="009F4AE2">
        <w:rPr>
          <w:rFonts w:cs="Arial"/>
          <w:i/>
          <w:sz w:val="20"/>
        </w:rPr>
        <w:t>P.B.</w:t>
      </w:r>
      <w:r>
        <w:rPr>
          <w:rFonts w:cs="Arial"/>
          <w:sz w:val="20"/>
        </w:rPr>
        <w:t xml:space="preserve"> et </w:t>
      </w:r>
      <w:r w:rsidRPr="009F4AE2">
        <w:rPr>
          <w:rFonts w:cs="Arial"/>
          <w:i/>
          <w:sz w:val="20"/>
        </w:rPr>
        <w:t>Sécurité-Policiers Ville A</w:t>
      </w:r>
      <w:r>
        <w:rPr>
          <w:rFonts w:cs="Arial"/>
          <w:sz w:val="20"/>
        </w:rPr>
        <w:t xml:space="preserve">, 2017 QCTAT 3735; </w:t>
      </w:r>
      <w:r w:rsidRPr="009C535F">
        <w:rPr>
          <w:rFonts w:cs="Arial"/>
          <w:i/>
          <w:sz w:val="20"/>
        </w:rPr>
        <w:t>Tremblay</w:t>
      </w:r>
      <w:r>
        <w:rPr>
          <w:rFonts w:cs="Arial"/>
          <w:sz w:val="20"/>
        </w:rPr>
        <w:t xml:space="preserve"> et </w:t>
      </w:r>
      <w:r w:rsidRPr="009C535F">
        <w:rPr>
          <w:rFonts w:cs="Arial"/>
          <w:i/>
          <w:sz w:val="20"/>
        </w:rPr>
        <w:t xml:space="preserve">Boutique Marie-Claire </w:t>
      </w:r>
      <w:proofErr w:type="spellStart"/>
      <w:r w:rsidRPr="009C535F">
        <w:rPr>
          <w:rFonts w:cs="Arial"/>
          <w:i/>
          <w:sz w:val="20"/>
        </w:rPr>
        <w:t>inc</w:t>
      </w:r>
      <w:r>
        <w:rPr>
          <w:rFonts w:cs="Arial"/>
          <w:sz w:val="20"/>
        </w:rPr>
        <w:t>.</w:t>
      </w:r>
      <w:proofErr w:type="spellEnd"/>
      <w:r>
        <w:rPr>
          <w:rFonts w:cs="Arial"/>
          <w:sz w:val="20"/>
        </w:rPr>
        <w:t xml:space="preserve">, 2018 QCTAT 3887; </w:t>
      </w:r>
      <w:r w:rsidRPr="009F4AE2">
        <w:rPr>
          <w:rFonts w:cs="Arial"/>
          <w:i/>
          <w:sz w:val="20"/>
        </w:rPr>
        <w:t>Houssein Aden</w:t>
      </w:r>
      <w:r>
        <w:rPr>
          <w:rFonts w:cs="Arial"/>
          <w:sz w:val="20"/>
        </w:rPr>
        <w:t xml:space="preserve"> et </w:t>
      </w:r>
      <w:r w:rsidRPr="009F4AE2">
        <w:rPr>
          <w:rFonts w:cs="Arial"/>
          <w:i/>
          <w:sz w:val="20"/>
        </w:rPr>
        <w:t xml:space="preserve">Rebuts Solides Canadiens </w:t>
      </w:r>
      <w:proofErr w:type="spellStart"/>
      <w:r w:rsidRPr="009F4AE2">
        <w:rPr>
          <w:rFonts w:cs="Arial"/>
          <w:i/>
          <w:sz w:val="20"/>
        </w:rPr>
        <w:t>inc.</w:t>
      </w:r>
      <w:proofErr w:type="spellEnd"/>
      <w:r w:rsidRPr="009F4AE2">
        <w:rPr>
          <w:rFonts w:cs="Arial"/>
          <w:i/>
          <w:sz w:val="20"/>
        </w:rPr>
        <w:t>,</w:t>
      </w:r>
      <w:r>
        <w:rPr>
          <w:rFonts w:cs="Arial"/>
          <w:sz w:val="20"/>
        </w:rPr>
        <w:t xml:space="preserve"> 2018 QCTAT 4129; </w:t>
      </w:r>
      <w:r w:rsidRPr="009F4AE2">
        <w:rPr>
          <w:rFonts w:cs="Arial"/>
          <w:i/>
          <w:sz w:val="20"/>
        </w:rPr>
        <w:t>S.C.</w:t>
      </w:r>
      <w:r>
        <w:rPr>
          <w:rFonts w:cs="Arial"/>
          <w:sz w:val="20"/>
        </w:rPr>
        <w:t xml:space="preserve"> et </w:t>
      </w:r>
      <w:r w:rsidRPr="009F4AE2">
        <w:rPr>
          <w:rFonts w:cs="Arial"/>
          <w:i/>
          <w:sz w:val="20"/>
        </w:rPr>
        <w:t>Commission scolaire A</w:t>
      </w:r>
      <w:r>
        <w:rPr>
          <w:rFonts w:cs="Arial"/>
          <w:sz w:val="20"/>
        </w:rPr>
        <w:t xml:space="preserve">, 2019 QCTAT 130; </w:t>
      </w:r>
      <w:r w:rsidRPr="005C003C">
        <w:rPr>
          <w:rFonts w:cs="Arial"/>
          <w:i/>
          <w:sz w:val="20"/>
        </w:rPr>
        <w:t>Bélisle</w:t>
      </w:r>
      <w:r>
        <w:rPr>
          <w:rFonts w:cs="Arial"/>
          <w:sz w:val="20"/>
        </w:rPr>
        <w:t xml:space="preserve"> et </w:t>
      </w:r>
      <w:r w:rsidRPr="005C003C">
        <w:rPr>
          <w:rFonts w:cs="Arial"/>
          <w:i/>
          <w:sz w:val="20"/>
        </w:rPr>
        <w:t>Société québécoise du cannabis</w:t>
      </w:r>
      <w:r>
        <w:rPr>
          <w:rFonts w:cs="Arial"/>
          <w:sz w:val="20"/>
        </w:rPr>
        <w:t>, 2022 QCTAT 1894.</w:t>
      </w:r>
    </w:p>
  </w:footnote>
  <w:footnote w:id="4">
    <w:p w14:paraId="67EC5DA8" w14:textId="77777777" w:rsidR="003C6B71" w:rsidRPr="00865C1F" w:rsidRDefault="003C6B71" w:rsidP="003C6B71">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Art</w:t>
      </w:r>
      <w:r w:rsidR="00F51F45">
        <w:rPr>
          <w:rFonts w:cs="Arial"/>
          <w:sz w:val="20"/>
        </w:rPr>
        <w:t>.</w:t>
      </w:r>
      <w:r>
        <w:rPr>
          <w:rFonts w:cs="Arial"/>
          <w:sz w:val="20"/>
        </w:rPr>
        <w:t xml:space="preserve"> 224 de la </w:t>
      </w:r>
      <w:r w:rsidRPr="00865C1F">
        <w:rPr>
          <w:rFonts w:cs="Arial"/>
          <w:i/>
          <w:iCs/>
          <w:sz w:val="20"/>
        </w:rPr>
        <w:t>Loi</w:t>
      </w:r>
      <w:r>
        <w:rPr>
          <w:rFonts w:cs="Arial"/>
          <w:i/>
          <w:iCs/>
          <w:sz w:val="20"/>
        </w:rPr>
        <w:t>.</w:t>
      </w:r>
    </w:p>
  </w:footnote>
  <w:footnote w:id="5">
    <w:p w14:paraId="71D1F0FC" w14:textId="77777777" w:rsidR="00EA46F9" w:rsidRPr="00EA46F9" w:rsidRDefault="00EA46F9" w:rsidP="00EA46F9">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00F078A9">
        <w:rPr>
          <w:rFonts w:cs="Arial"/>
          <w:sz w:val="20"/>
        </w:rPr>
        <w:t>Notes</w:t>
      </w:r>
      <w:r>
        <w:rPr>
          <w:rFonts w:cs="Arial"/>
          <w:sz w:val="20"/>
        </w:rPr>
        <w:t xml:space="preserve"> datées d</w:t>
      </w:r>
      <w:r w:rsidR="00F078A9">
        <w:rPr>
          <w:rFonts w:cs="Arial"/>
          <w:sz w:val="20"/>
        </w:rPr>
        <w:t>es</w:t>
      </w:r>
      <w:r>
        <w:rPr>
          <w:rFonts w:cs="Arial"/>
          <w:sz w:val="20"/>
        </w:rPr>
        <w:t xml:space="preserve"> 8 avril, 29 juin</w:t>
      </w:r>
      <w:r w:rsidR="00F078A9">
        <w:rPr>
          <w:rFonts w:cs="Arial"/>
          <w:sz w:val="20"/>
        </w:rPr>
        <w:t xml:space="preserve"> et</w:t>
      </w:r>
      <w:r>
        <w:rPr>
          <w:rFonts w:cs="Arial"/>
          <w:sz w:val="20"/>
        </w:rPr>
        <w:t xml:space="preserve"> 18 août</w:t>
      </w:r>
      <w:r w:rsidR="00977F2D">
        <w:rPr>
          <w:rFonts w:cs="Arial"/>
          <w:sz w:val="20"/>
        </w:rPr>
        <w:t xml:space="preserve"> 2022.</w:t>
      </w:r>
    </w:p>
  </w:footnote>
  <w:footnote w:id="6">
    <w:p w14:paraId="1E16F686" w14:textId="77777777" w:rsidR="00977F2D" w:rsidRPr="00977F2D" w:rsidRDefault="00977F2D" w:rsidP="00977F2D">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00F078A9">
        <w:rPr>
          <w:rFonts w:cs="Arial"/>
          <w:sz w:val="20"/>
        </w:rPr>
        <w:t>Rapports datés des</w:t>
      </w:r>
      <w:r>
        <w:rPr>
          <w:rFonts w:cs="Arial"/>
          <w:sz w:val="20"/>
        </w:rPr>
        <w:t xml:space="preserve"> 21 mars, 2 mai</w:t>
      </w:r>
      <w:r w:rsidR="00F078A9">
        <w:rPr>
          <w:rFonts w:cs="Arial"/>
          <w:sz w:val="20"/>
        </w:rPr>
        <w:t>,</w:t>
      </w:r>
      <w:r>
        <w:rPr>
          <w:rFonts w:cs="Arial"/>
          <w:sz w:val="20"/>
        </w:rPr>
        <w:t xml:space="preserve"> 30 juin, 17 août, 18 octobre</w:t>
      </w:r>
      <w:r w:rsidR="00F078A9">
        <w:rPr>
          <w:rFonts w:cs="Arial"/>
          <w:sz w:val="20"/>
        </w:rPr>
        <w:t xml:space="preserve"> et</w:t>
      </w:r>
      <w:r>
        <w:rPr>
          <w:rFonts w:cs="Arial"/>
          <w:sz w:val="20"/>
        </w:rPr>
        <w:t xml:space="preserve"> 5 décembre 2022</w:t>
      </w:r>
      <w:r w:rsidR="00F078A9">
        <w:rPr>
          <w:rFonts w:cs="Arial"/>
          <w:sz w:val="20"/>
        </w:rPr>
        <w:t xml:space="preserve"> et des</w:t>
      </w:r>
      <w:r>
        <w:rPr>
          <w:rFonts w:cs="Arial"/>
          <w:sz w:val="20"/>
        </w:rPr>
        <w:t xml:space="preserve"> 2 février, 15 mars</w:t>
      </w:r>
      <w:r w:rsidR="00F078A9">
        <w:rPr>
          <w:rFonts w:cs="Arial"/>
          <w:sz w:val="20"/>
        </w:rPr>
        <w:t xml:space="preserve"> et</w:t>
      </w:r>
      <w:r>
        <w:rPr>
          <w:rFonts w:cs="Arial"/>
          <w:sz w:val="20"/>
        </w:rPr>
        <w:t xml:space="preserve"> 22 mai 2023</w:t>
      </w:r>
      <w:r w:rsidR="00F078A9">
        <w:rPr>
          <w:rFonts w:cs="Arial"/>
          <w:sz w:val="20"/>
        </w:rPr>
        <w:t>.</w:t>
      </w:r>
    </w:p>
  </w:footnote>
  <w:footnote w:id="7">
    <w:p w14:paraId="71FC39A2" w14:textId="77777777" w:rsidR="00CF22D2" w:rsidRPr="001D6C77" w:rsidRDefault="00CF22D2" w:rsidP="00CF22D2">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1D6C77">
        <w:rPr>
          <w:rFonts w:cs="Arial"/>
          <w:i/>
          <w:sz w:val="20"/>
        </w:rPr>
        <w:t>Loi instituant le Tribunal administratif du travail</w:t>
      </w:r>
      <w:r>
        <w:rPr>
          <w:rFonts w:cs="Arial"/>
          <w:sz w:val="20"/>
        </w:rPr>
        <w:t>, RLRQ, c. T-15.1 art.9.</w:t>
      </w:r>
    </w:p>
  </w:footnote>
  <w:footnote w:id="8">
    <w:p w14:paraId="743BFC93" w14:textId="77777777" w:rsidR="00A365BD" w:rsidRPr="00BA410E" w:rsidRDefault="00A365BD" w:rsidP="00A365BD">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7640CC">
        <w:rPr>
          <w:i/>
          <w:sz w:val="20"/>
        </w:rPr>
        <w:t>Rodier</w:t>
      </w:r>
      <w:r>
        <w:rPr>
          <w:sz w:val="20"/>
        </w:rPr>
        <w:t xml:space="preserve"> et </w:t>
      </w:r>
      <w:r w:rsidRPr="007640CC">
        <w:rPr>
          <w:i/>
          <w:sz w:val="20"/>
        </w:rPr>
        <w:t xml:space="preserve">Systèmes Urbains </w:t>
      </w:r>
      <w:proofErr w:type="spellStart"/>
      <w:r w:rsidRPr="007640CC">
        <w:rPr>
          <w:i/>
          <w:sz w:val="20"/>
        </w:rPr>
        <w:t>inc</w:t>
      </w:r>
      <w:r>
        <w:rPr>
          <w:sz w:val="20"/>
        </w:rPr>
        <w:t>.</w:t>
      </w:r>
      <w:proofErr w:type="spellEnd"/>
      <w:r>
        <w:rPr>
          <w:sz w:val="20"/>
        </w:rPr>
        <w:t xml:space="preserve">, 2016 QCTAT 137; </w:t>
      </w:r>
      <w:proofErr w:type="spellStart"/>
      <w:r w:rsidRPr="00BA410E">
        <w:rPr>
          <w:i/>
          <w:sz w:val="20"/>
        </w:rPr>
        <w:t>Estpharm</w:t>
      </w:r>
      <w:proofErr w:type="spellEnd"/>
      <w:r w:rsidRPr="00BA410E">
        <w:rPr>
          <w:i/>
          <w:sz w:val="20"/>
        </w:rPr>
        <w:t xml:space="preserve"> </w:t>
      </w:r>
      <w:proofErr w:type="spellStart"/>
      <w:r w:rsidRPr="00BA410E">
        <w:rPr>
          <w:i/>
          <w:sz w:val="20"/>
        </w:rPr>
        <w:t>inc.</w:t>
      </w:r>
      <w:proofErr w:type="spellEnd"/>
      <w:r>
        <w:rPr>
          <w:sz w:val="20"/>
        </w:rPr>
        <w:t xml:space="preserve"> et </w:t>
      </w:r>
      <w:r w:rsidRPr="00BA410E">
        <w:rPr>
          <w:i/>
          <w:sz w:val="20"/>
        </w:rPr>
        <w:t>Sheehan</w:t>
      </w:r>
      <w:r>
        <w:rPr>
          <w:i/>
          <w:sz w:val="20"/>
        </w:rPr>
        <w:t>,</w:t>
      </w:r>
      <w:r>
        <w:rPr>
          <w:sz w:val="20"/>
        </w:rPr>
        <w:t xml:space="preserve"> 2019 QCTAT 4022.</w:t>
      </w:r>
    </w:p>
  </w:footnote>
  <w:footnote w:id="9">
    <w:p w14:paraId="3C559601" w14:textId="77777777" w:rsidR="00A365BD" w:rsidRPr="00A4400E" w:rsidRDefault="00A365BD" w:rsidP="00A365BD">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60576D">
        <w:rPr>
          <w:rFonts w:cs="Arial"/>
          <w:i/>
          <w:sz w:val="20"/>
        </w:rPr>
        <w:t>S</w:t>
      </w:r>
      <w:r>
        <w:rPr>
          <w:rFonts w:cs="Arial"/>
          <w:sz w:val="20"/>
        </w:rPr>
        <w:t>…</w:t>
      </w:r>
      <w:r w:rsidRPr="0060576D">
        <w:rPr>
          <w:rFonts w:cs="Arial"/>
          <w:i/>
          <w:sz w:val="20"/>
        </w:rPr>
        <w:t>M</w:t>
      </w:r>
      <w:r>
        <w:rPr>
          <w:rFonts w:cs="Arial"/>
          <w:sz w:val="20"/>
        </w:rPr>
        <w:t xml:space="preserve">… et </w:t>
      </w:r>
      <w:r w:rsidRPr="0060576D">
        <w:rPr>
          <w:rFonts w:cs="Arial"/>
          <w:i/>
          <w:sz w:val="20"/>
        </w:rPr>
        <w:t>Centre de santé et de services sociaux A</w:t>
      </w:r>
      <w:r>
        <w:rPr>
          <w:rFonts w:cs="Arial"/>
          <w:sz w:val="20"/>
        </w:rPr>
        <w:t xml:space="preserve">, 2013 QCCLP 185; </w:t>
      </w:r>
      <w:r w:rsidRPr="0060576D">
        <w:rPr>
          <w:rFonts w:cs="Arial"/>
          <w:i/>
          <w:sz w:val="20"/>
        </w:rPr>
        <w:t>P.D</w:t>
      </w:r>
      <w:r>
        <w:rPr>
          <w:rFonts w:cs="Arial"/>
          <w:sz w:val="20"/>
        </w:rPr>
        <w:t xml:space="preserve">. et </w:t>
      </w:r>
      <w:r w:rsidRPr="0060576D">
        <w:rPr>
          <w:rFonts w:cs="Arial"/>
          <w:i/>
          <w:sz w:val="20"/>
        </w:rPr>
        <w:t>Compagnie A</w:t>
      </w:r>
      <w:r>
        <w:rPr>
          <w:rFonts w:cs="Arial"/>
          <w:sz w:val="20"/>
        </w:rPr>
        <w:t>, 2016 QCTAT 4205.</w:t>
      </w:r>
    </w:p>
  </w:footnote>
  <w:footnote w:id="10">
    <w:p w14:paraId="3A686EEB" w14:textId="77777777" w:rsidR="00A365BD" w:rsidRPr="004F4E0F" w:rsidRDefault="00A365BD" w:rsidP="00A365BD">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proofErr w:type="spellStart"/>
      <w:r w:rsidRPr="00E30512">
        <w:rPr>
          <w:rFonts w:cs="Arial"/>
          <w:i/>
          <w:sz w:val="20"/>
        </w:rPr>
        <w:t>Preure</w:t>
      </w:r>
      <w:proofErr w:type="spellEnd"/>
      <w:r w:rsidRPr="00E30512">
        <w:rPr>
          <w:rFonts w:cs="Arial"/>
          <w:i/>
          <w:sz w:val="20"/>
        </w:rPr>
        <w:t xml:space="preserve"> </w:t>
      </w:r>
      <w:r>
        <w:rPr>
          <w:rFonts w:cs="Arial"/>
          <w:sz w:val="20"/>
        </w:rPr>
        <w:t xml:space="preserve">et </w:t>
      </w:r>
      <w:r w:rsidRPr="00E30512">
        <w:rPr>
          <w:rFonts w:cs="Arial"/>
          <w:i/>
          <w:sz w:val="20"/>
        </w:rPr>
        <w:t>Centre de services scolaire de Montréal</w:t>
      </w:r>
      <w:r>
        <w:rPr>
          <w:rFonts w:cs="Arial"/>
          <w:sz w:val="20"/>
        </w:rPr>
        <w:t xml:space="preserve">, 2022 QCTAT 253; </w:t>
      </w:r>
      <w:r w:rsidRPr="00281D78">
        <w:rPr>
          <w:rFonts w:cs="Arial"/>
          <w:i/>
          <w:sz w:val="20"/>
        </w:rPr>
        <w:t>Charron</w:t>
      </w:r>
      <w:r w:rsidRPr="00281D78">
        <w:rPr>
          <w:rFonts w:cs="Arial"/>
          <w:sz w:val="20"/>
        </w:rPr>
        <w:t xml:space="preserve"> et </w:t>
      </w:r>
      <w:r w:rsidRPr="00281D78">
        <w:rPr>
          <w:rFonts w:cs="Arial"/>
          <w:i/>
          <w:sz w:val="20"/>
        </w:rPr>
        <w:t xml:space="preserve">Centre intégré universitaire de santé et de services sociaux du </w:t>
      </w:r>
      <w:proofErr w:type="spellStart"/>
      <w:r w:rsidRPr="00281D78">
        <w:rPr>
          <w:rFonts w:cs="Arial"/>
          <w:i/>
          <w:sz w:val="20"/>
        </w:rPr>
        <w:t>Centre-Sud-de-l'Île-de-Montréal</w:t>
      </w:r>
      <w:proofErr w:type="spellEnd"/>
      <w:r w:rsidRPr="00281D78">
        <w:rPr>
          <w:rFonts w:cs="Arial"/>
          <w:i/>
          <w:sz w:val="20"/>
        </w:rPr>
        <w:t xml:space="preserve"> - Centre hospitalier de Verdun</w:t>
      </w:r>
      <w:r>
        <w:rPr>
          <w:rFonts w:cs="Arial"/>
          <w:sz w:val="20"/>
        </w:rPr>
        <w:t xml:space="preserve">, 2022 QCTAT 4663; </w:t>
      </w:r>
      <w:r w:rsidRPr="005C3801">
        <w:rPr>
          <w:rFonts w:cs="Arial"/>
          <w:i/>
          <w:sz w:val="20"/>
        </w:rPr>
        <w:t>Hernandez</w:t>
      </w:r>
      <w:r w:rsidRPr="005C3801">
        <w:rPr>
          <w:rFonts w:cs="Arial"/>
          <w:sz w:val="20"/>
        </w:rPr>
        <w:t xml:space="preserve"> et </w:t>
      </w:r>
      <w:r w:rsidRPr="005C3801">
        <w:rPr>
          <w:rFonts w:cs="Arial"/>
          <w:i/>
          <w:sz w:val="20"/>
        </w:rPr>
        <w:t xml:space="preserve">Boulangerie Canada Bread </w:t>
      </w:r>
      <w:proofErr w:type="spellStart"/>
      <w:r w:rsidRPr="005C3801">
        <w:rPr>
          <w:rFonts w:cs="Arial"/>
          <w:i/>
          <w:sz w:val="20"/>
        </w:rPr>
        <w:t>ltée</w:t>
      </w:r>
      <w:proofErr w:type="spellEnd"/>
      <w:r>
        <w:rPr>
          <w:rFonts w:cs="Arial"/>
          <w:sz w:val="20"/>
        </w:rPr>
        <w:t xml:space="preserve">, 2022 QCTAT 5068; </w:t>
      </w:r>
      <w:r w:rsidRPr="003D5528">
        <w:rPr>
          <w:rFonts w:cs="Arial"/>
          <w:i/>
          <w:sz w:val="20"/>
        </w:rPr>
        <w:t>Hénault</w:t>
      </w:r>
      <w:r w:rsidRPr="003D5528">
        <w:rPr>
          <w:rFonts w:cs="Arial"/>
          <w:sz w:val="20"/>
        </w:rPr>
        <w:t xml:space="preserve"> et </w:t>
      </w:r>
      <w:r w:rsidRPr="003D5528">
        <w:rPr>
          <w:rFonts w:cs="Arial"/>
          <w:i/>
          <w:sz w:val="20"/>
        </w:rPr>
        <w:t>Institut de cardiologie de Montréal</w:t>
      </w:r>
      <w:r>
        <w:rPr>
          <w:rFonts w:cs="Arial"/>
          <w:sz w:val="20"/>
        </w:rPr>
        <w:t xml:space="preserve">, 2022 QCTAT 5193; </w:t>
      </w:r>
      <w:proofErr w:type="spellStart"/>
      <w:r w:rsidRPr="005C3801">
        <w:rPr>
          <w:rFonts w:cs="Arial"/>
          <w:i/>
          <w:sz w:val="20"/>
        </w:rPr>
        <w:t>Annab</w:t>
      </w:r>
      <w:proofErr w:type="spellEnd"/>
      <w:r w:rsidRPr="005C3801">
        <w:rPr>
          <w:rFonts w:cs="Arial"/>
          <w:sz w:val="20"/>
        </w:rPr>
        <w:t xml:space="preserve"> et </w:t>
      </w:r>
      <w:r w:rsidRPr="005C3801">
        <w:rPr>
          <w:rFonts w:cs="Arial"/>
          <w:i/>
          <w:sz w:val="20"/>
        </w:rPr>
        <w:t>Société canadienne des postes</w:t>
      </w:r>
      <w:r>
        <w:rPr>
          <w:rFonts w:cs="Arial"/>
          <w:sz w:val="20"/>
        </w:rPr>
        <w:t xml:space="preserve">, 2022 QCTAT 5561; </w:t>
      </w:r>
      <w:r w:rsidRPr="00462A3A">
        <w:rPr>
          <w:rFonts w:cs="Arial"/>
          <w:i/>
          <w:sz w:val="20"/>
        </w:rPr>
        <w:t>Dupras-Tessier</w:t>
      </w:r>
      <w:r>
        <w:rPr>
          <w:rFonts w:cs="Arial"/>
          <w:sz w:val="20"/>
        </w:rPr>
        <w:t xml:space="preserve"> et </w:t>
      </w:r>
      <w:r w:rsidRPr="00462A3A">
        <w:rPr>
          <w:rFonts w:cs="Arial"/>
          <w:i/>
          <w:sz w:val="20"/>
        </w:rPr>
        <w:t xml:space="preserve">Production </w:t>
      </w:r>
      <w:proofErr w:type="spellStart"/>
      <w:r w:rsidRPr="00462A3A">
        <w:rPr>
          <w:rFonts w:cs="Arial"/>
          <w:i/>
          <w:sz w:val="20"/>
        </w:rPr>
        <w:t>Moonfall</w:t>
      </w:r>
      <w:proofErr w:type="spellEnd"/>
      <w:r w:rsidRPr="00462A3A">
        <w:rPr>
          <w:rFonts w:cs="Arial"/>
          <w:i/>
          <w:sz w:val="20"/>
        </w:rPr>
        <w:t xml:space="preserve"> </w:t>
      </w:r>
      <w:proofErr w:type="spellStart"/>
      <w:r w:rsidRPr="00462A3A">
        <w:rPr>
          <w:rFonts w:cs="Arial"/>
          <w:i/>
          <w:sz w:val="20"/>
        </w:rPr>
        <w:t>Qubec</w:t>
      </w:r>
      <w:proofErr w:type="spellEnd"/>
      <w:r>
        <w:rPr>
          <w:rFonts w:cs="Arial"/>
          <w:sz w:val="20"/>
        </w:rPr>
        <w:t xml:space="preserve"> </w:t>
      </w:r>
      <w:proofErr w:type="spellStart"/>
      <w:r w:rsidRPr="00462A3A">
        <w:rPr>
          <w:rFonts w:cs="Arial"/>
          <w:i/>
          <w:sz w:val="20"/>
        </w:rPr>
        <w:t>inc</w:t>
      </w:r>
      <w:r>
        <w:rPr>
          <w:rFonts w:cs="Arial"/>
          <w:sz w:val="20"/>
        </w:rPr>
        <w:t>.</w:t>
      </w:r>
      <w:proofErr w:type="spellEnd"/>
      <w:r>
        <w:rPr>
          <w:rFonts w:cs="Arial"/>
          <w:sz w:val="20"/>
        </w:rPr>
        <w:t xml:space="preserve">, 2023 QCTAT 267; </w:t>
      </w:r>
      <w:r w:rsidRPr="00FB148B">
        <w:rPr>
          <w:rFonts w:cs="Arial"/>
          <w:i/>
          <w:sz w:val="20"/>
        </w:rPr>
        <w:t xml:space="preserve">Charbonneau </w:t>
      </w:r>
      <w:r>
        <w:rPr>
          <w:rFonts w:cs="Arial"/>
          <w:sz w:val="20"/>
        </w:rPr>
        <w:t xml:space="preserve">et </w:t>
      </w:r>
      <w:r w:rsidRPr="00FB148B">
        <w:rPr>
          <w:rFonts w:cs="Arial"/>
          <w:i/>
          <w:sz w:val="20"/>
        </w:rPr>
        <w:t>Commission des droits de la personne et des droits de la jeunesse</w:t>
      </w:r>
      <w:r>
        <w:rPr>
          <w:rFonts w:cs="Arial"/>
          <w:sz w:val="20"/>
        </w:rPr>
        <w:t xml:space="preserve">, 2023 QCTAT 490; </w:t>
      </w:r>
      <w:r w:rsidRPr="004C3488">
        <w:rPr>
          <w:rFonts w:cs="Arial"/>
          <w:i/>
          <w:sz w:val="20"/>
        </w:rPr>
        <w:t>St-Gelais</w:t>
      </w:r>
      <w:r>
        <w:rPr>
          <w:rFonts w:cs="Arial"/>
          <w:sz w:val="20"/>
        </w:rPr>
        <w:t xml:space="preserve"> et </w:t>
      </w:r>
      <w:r w:rsidRPr="004C3488">
        <w:rPr>
          <w:rFonts w:cs="Arial"/>
          <w:i/>
          <w:sz w:val="20"/>
        </w:rPr>
        <w:t>Haute-Côte-Nord-Manicouagan</w:t>
      </w:r>
      <w:r>
        <w:rPr>
          <w:rFonts w:cs="Arial"/>
          <w:i/>
          <w:sz w:val="20"/>
        </w:rPr>
        <w:t xml:space="preserve"> CH-CHSLD</w:t>
      </w:r>
      <w:r w:rsidR="006B0437">
        <w:rPr>
          <w:rFonts w:cs="Arial"/>
          <w:sz w:val="20"/>
        </w:rPr>
        <w:t xml:space="preserve">, 2023 QCTAT 2214; </w:t>
      </w:r>
      <w:r w:rsidR="006B0437" w:rsidRPr="006B0437">
        <w:rPr>
          <w:rFonts w:cs="Arial"/>
          <w:i/>
          <w:sz w:val="20"/>
        </w:rPr>
        <w:t>Patenaude</w:t>
      </w:r>
      <w:r w:rsidR="006B0437">
        <w:rPr>
          <w:rFonts w:cs="Arial"/>
          <w:sz w:val="20"/>
        </w:rPr>
        <w:t xml:space="preserve"> et </w:t>
      </w:r>
      <w:r w:rsidR="006B0437" w:rsidRPr="006B0437">
        <w:rPr>
          <w:rFonts w:cs="Arial"/>
          <w:i/>
          <w:sz w:val="20"/>
        </w:rPr>
        <w:t>Centre de service scolaire des Hautes-Rivières</w:t>
      </w:r>
      <w:r w:rsidR="006B0437">
        <w:rPr>
          <w:rFonts w:cs="Arial"/>
          <w:sz w:val="20"/>
        </w:rPr>
        <w:t>, 2023 QCTAT 2384.</w:t>
      </w:r>
    </w:p>
  </w:footnote>
  <w:footnote w:id="11">
    <w:p w14:paraId="5373FCF2" w14:textId="77777777" w:rsidR="00A365BD" w:rsidRPr="00C97156" w:rsidRDefault="00A365BD" w:rsidP="00A365BD">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Id.</w:t>
      </w:r>
    </w:p>
  </w:footnote>
  <w:footnote w:id="12">
    <w:p w14:paraId="23BBA602" w14:textId="77777777" w:rsidR="00A365BD" w:rsidRPr="006664ED" w:rsidRDefault="00A365BD" w:rsidP="00A365BD">
      <w:pPr>
        <w:pStyle w:val="Notedebasdepage"/>
        <w:ind w:left="708" w:hanging="708"/>
        <w:rPr>
          <w:rFonts w:cs="Arial"/>
          <w:sz w:val="20"/>
        </w:rPr>
      </w:pPr>
      <w:r>
        <w:rPr>
          <w:rStyle w:val="Appelnotedebasdep"/>
        </w:rPr>
        <w:footnoteRef/>
      </w:r>
      <w:r>
        <w:t xml:space="preserve"> </w:t>
      </w:r>
      <w:r>
        <w:rPr>
          <w:rFonts w:cs="Arial"/>
          <w:sz w:val="20"/>
        </w:rPr>
        <w:tab/>
      </w:r>
      <w:proofErr w:type="spellStart"/>
      <w:r w:rsidRPr="00E30512">
        <w:rPr>
          <w:rFonts w:cs="Arial"/>
          <w:i/>
          <w:sz w:val="20"/>
        </w:rPr>
        <w:t>Preure</w:t>
      </w:r>
      <w:proofErr w:type="spellEnd"/>
      <w:r w:rsidRPr="00E30512">
        <w:rPr>
          <w:rFonts w:cs="Arial"/>
          <w:i/>
          <w:sz w:val="20"/>
        </w:rPr>
        <w:t xml:space="preserve"> </w:t>
      </w:r>
      <w:r>
        <w:rPr>
          <w:rFonts w:cs="Arial"/>
          <w:sz w:val="20"/>
        </w:rPr>
        <w:t xml:space="preserve">et </w:t>
      </w:r>
      <w:r w:rsidRPr="00E30512">
        <w:rPr>
          <w:rFonts w:cs="Arial"/>
          <w:i/>
          <w:sz w:val="20"/>
        </w:rPr>
        <w:t>Centre de services scolaire de Montréal</w:t>
      </w:r>
      <w:r>
        <w:rPr>
          <w:rFonts w:cs="Arial"/>
          <w:sz w:val="20"/>
        </w:rPr>
        <w:t>, précitée</w:t>
      </w:r>
      <w:r w:rsidR="0000703C">
        <w:rPr>
          <w:rFonts w:cs="Arial"/>
          <w:sz w:val="20"/>
        </w:rPr>
        <w:t>,</w:t>
      </w:r>
      <w:r>
        <w:rPr>
          <w:rFonts w:cs="Arial"/>
          <w:sz w:val="20"/>
        </w:rPr>
        <w:t xml:space="preserve"> note </w:t>
      </w:r>
      <w:r w:rsidR="0000703C">
        <w:rPr>
          <w:rFonts w:cs="Arial"/>
          <w:sz w:val="20"/>
        </w:rPr>
        <w:t>1</w:t>
      </w:r>
      <w:r w:rsidR="00DA6DB1">
        <w:rPr>
          <w:rFonts w:cs="Arial"/>
          <w:sz w:val="20"/>
        </w:rPr>
        <w:t>0</w:t>
      </w:r>
      <w:r>
        <w:rPr>
          <w:rFonts w:cs="Arial"/>
          <w:sz w:val="20"/>
        </w:rPr>
        <w:t xml:space="preserve">; </w:t>
      </w:r>
      <w:r w:rsidRPr="003E1D6B">
        <w:rPr>
          <w:rFonts w:cs="Arial"/>
          <w:i/>
          <w:sz w:val="20"/>
        </w:rPr>
        <w:t xml:space="preserve">Hénault </w:t>
      </w:r>
      <w:r>
        <w:rPr>
          <w:rFonts w:cs="Arial"/>
          <w:sz w:val="20"/>
        </w:rPr>
        <w:t xml:space="preserve">et </w:t>
      </w:r>
      <w:r w:rsidRPr="003E1D6B">
        <w:rPr>
          <w:rFonts w:cs="Arial"/>
          <w:i/>
          <w:sz w:val="20"/>
        </w:rPr>
        <w:t xml:space="preserve">Institut de cardiologie de Montréal </w:t>
      </w:r>
      <w:r>
        <w:rPr>
          <w:rFonts w:cs="Arial"/>
          <w:sz w:val="20"/>
        </w:rPr>
        <w:t xml:space="preserve">et </w:t>
      </w:r>
      <w:r w:rsidRPr="003E1D6B">
        <w:rPr>
          <w:rFonts w:cs="Arial"/>
          <w:i/>
          <w:sz w:val="20"/>
        </w:rPr>
        <w:t>Commission des normes, de l’équité, de la santé et de la sécurité du travail</w:t>
      </w:r>
      <w:r>
        <w:rPr>
          <w:rFonts w:cs="Arial"/>
          <w:sz w:val="20"/>
        </w:rPr>
        <w:t>, 2022 QCTAT, 5193.</w:t>
      </w:r>
    </w:p>
  </w:footnote>
  <w:footnote w:id="13">
    <w:p w14:paraId="70DC6940" w14:textId="77777777" w:rsidR="00A365BD" w:rsidRPr="00281D78" w:rsidRDefault="00A365BD" w:rsidP="00A365BD">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281D78">
        <w:rPr>
          <w:rFonts w:cs="Arial"/>
          <w:i/>
          <w:sz w:val="20"/>
        </w:rPr>
        <w:t>Charron</w:t>
      </w:r>
      <w:r w:rsidRPr="00281D78">
        <w:rPr>
          <w:rFonts w:cs="Arial"/>
          <w:sz w:val="20"/>
        </w:rPr>
        <w:t xml:space="preserve"> et </w:t>
      </w:r>
      <w:r w:rsidRPr="00281D78">
        <w:rPr>
          <w:rFonts w:cs="Arial"/>
          <w:i/>
          <w:sz w:val="20"/>
        </w:rPr>
        <w:t xml:space="preserve">Centre intégré universitaire de santé et de services sociaux du </w:t>
      </w:r>
      <w:proofErr w:type="spellStart"/>
      <w:r w:rsidRPr="00281D78">
        <w:rPr>
          <w:rFonts w:cs="Arial"/>
          <w:i/>
          <w:sz w:val="20"/>
        </w:rPr>
        <w:t>Centre-Sud-de-l'Île-de-Montréal</w:t>
      </w:r>
      <w:proofErr w:type="spellEnd"/>
      <w:r w:rsidRPr="00281D78">
        <w:rPr>
          <w:rFonts w:cs="Arial"/>
          <w:i/>
          <w:sz w:val="20"/>
        </w:rPr>
        <w:t xml:space="preserve"> - Centre hospitalier de Verdun</w:t>
      </w:r>
      <w:r>
        <w:rPr>
          <w:rFonts w:cs="Arial"/>
          <w:sz w:val="20"/>
        </w:rPr>
        <w:t xml:space="preserve">, précitée, </w:t>
      </w:r>
      <w:r w:rsidRPr="008474F4">
        <w:rPr>
          <w:rFonts w:cs="Arial"/>
          <w:sz w:val="20"/>
        </w:rPr>
        <w:t xml:space="preserve">note </w:t>
      </w:r>
      <w:r w:rsidR="0000703C">
        <w:rPr>
          <w:rFonts w:cs="Arial"/>
          <w:sz w:val="20"/>
        </w:rPr>
        <w:t>1</w:t>
      </w:r>
      <w:r w:rsidR="00DA6DB1">
        <w:rPr>
          <w:rFonts w:cs="Arial"/>
          <w:sz w:val="20"/>
        </w:rPr>
        <w:t>0</w:t>
      </w:r>
      <w:r w:rsidR="00FA38EE">
        <w:rPr>
          <w:rFonts w:cs="Arial"/>
          <w:sz w:val="20"/>
        </w:rPr>
        <w:t xml:space="preserve">; </w:t>
      </w:r>
      <w:r w:rsidR="00FA38EE" w:rsidRPr="00FA38EE">
        <w:rPr>
          <w:rFonts w:cs="Arial"/>
          <w:i/>
          <w:sz w:val="20"/>
        </w:rPr>
        <w:t>Leclerc</w:t>
      </w:r>
      <w:r w:rsidR="00FA38EE">
        <w:rPr>
          <w:rFonts w:cs="Arial"/>
          <w:sz w:val="20"/>
        </w:rPr>
        <w:t xml:space="preserve"> et </w:t>
      </w:r>
      <w:r w:rsidR="00FA38EE" w:rsidRPr="00FA38EE">
        <w:rPr>
          <w:rFonts w:cs="Arial"/>
          <w:i/>
          <w:sz w:val="20"/>
        </w:rPr>
        <w:t xml:space="preserve">Minganie Équipement </w:t>
      </w:r>
      <w:proofErr w:type="spellStart"/>
      <w:r w:rsidR="00FA38EE" w:rsidRPr="00FA38EE">
        <w:rPr>
          <w:rFonts w:cs="Arial"/>
          <w:i/>
          <w:sz w:val="20"/>
        </w:rPr>
        <w:t>inc</w:t>
      </w:r>
      <w:r w:rsidR="00FA38EE">
        <w:rPr>
          <w:rFonts w:cs="Arial"/>
          <w:sz w:val="20"/>
        </w:rPr>
        <w:t>.</w:t>
      </w:r>
      <w:proofErr w:type="spellEnd"/>
      <w:r w:rsidR="00FA38EE">
        <w:rPr>
          <w:rFonts w:cs="Arial"/>
          <w:sz w:val="20"/>
        </w:rPr>
        <w:t>, 2023 QCTAT 2281.</w:t>
      </w:r>
    </w:p>
  </w:footnote>
  <w:footnote w:id="14">
    <w:p w14:paraId="52BEA3E0" w14:textId="77777777" w:rsidR="001F43C2" w:rsidRPr="00426FD7" w:rsidRDefault="001F43C2" w:rsidP="001F43C2">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3 jours de travail</w:t>
      </w:r>
      <w:r w:rsidR="00711E88">
        <w:rPr>
          <w:rFonts w:cs="Arial"/>
          <w:sz w:val="20"/>
        </w:rPr>
        <w:t xml:space="preserve"> de jour</w:t>
      </w:r>
      <w:r>
        <w:rPr>
          <w:rFonts w:cs="Arial"/>
          <w:sz w:val="20"/>
        </w:rPr>
        <w:t>, 2 jours de repos; 2 jours de travai</w:t>
      </w:r>
      <w:r w:rsidR="001D45D5">
        <w:rPr>
          <w:rFonts w:cs="Arial"/>
          <w:sz w:val="20"/>
        </w:rPr>
        <w:t>l</w:t>
      </w:r>
      <w:r w:rsidR="00711E88">
        <w:rPr>
          <w:rFonts w:cs="Arial"/>
          <w:sz w:val="20"/>
        </w:rPr>
        <w:t xml:space="preserve"> de jour</w:t>
      </w:r>
      <w:r w:rsidR="001D45D5">
        <w:rPr>
          <w:rFonts w:cs="Arial"/>
          <w:sz w:val="20"/>
        </w:rPr>
        <w:t>, 3 jours de repos.</w:t>
      </w:r>
      <w:r>
        <w:rPr>
          <w:rFonts w:cs="Arial"/>
          <w:sz w:val="20"/>
        </w:rPr>
        <w:t xml:space="preserve"> </w:t>
      </w:r>
    </w:p>
  </w:footnote>
  <w:footnote w:id="15">
    <w:p w14:paraId="76A1AA4E" w14:textId="77777777" w:rsidR="00386D9D" w:rsidRPr="00397D2E" w:rsidRDefault="00386D9D" w:rsidP="00386D9D">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Au moment des événements de février 2021, il est le superviseur du travailleur.</w:t>
      </w:r>
    </w:p>
  </w:footnote>
  <w:footnote w:id="16">
    <w:p w14:paraId="330F5BB0" w14:textId="77777777" w:rsidR="00664A04" w:rsidRPr="00664A04" w:rsidRDefault="00664A04" w:rsidP="00664A04">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À l’exception d’une soirée entre amis, où il raconte l’intervention difficile de juin 2018.</w:t>
      </w:r>
    </w:p>
  </w:footnote>
  <w:footnote w:id="17">
    <w:p w14:paraId="6F3D3165" w14:textId="77777777" w:rsidR="00871491" w:rsidRPr="00755C9A" w:rsidRDefault="00871491" w:rsidP="00871491">
      <w:pPr>
        <w:pStyle w:val="Notedebasdepage"/>
        <w:tabs>
          <w:tab w:val="left" w:pos="720"/>
        </w:tabs>
        <w:ind w:left="720" w:hanging="720"/>
        <w:jc w:val="both"/>
        <w:rPr>
          <w:rFonts w:cs="Arial"/>
          <w:sz w:val="20"/>
        </w:rPr>
      </w:pPr>
      <w:r>
        <w:rPr>
          <w:rStyle w:val="Appelnotedebasdep"/>
        </w:rPr>
        <w:footnoteRef/>
      </w:r>
      <w:r w:rsidRPr="00755C9A">
        <w:t xml:space="preserve"> </w:t>
      </w:r>
      <w:r w:rsidR="00BA57B4" w:rsidRPr="00755C9A">
        <w:rPr>
          <w:rFonts w:cs="Arial"/>
          <w:sz w:val="20"/>
        </w:rPr>
        <w:tab/>
      </w:r>
      <w:r w:rsidR="000B4C61">
        <w:rPr>
          <w:rFonts w:cs="Arial"/>
          <w:sz w:val="20"/>
        </w:rPr>
        <w:t>L’e</w:t>
      </w:r>
      <w:r w:rsidR="00BA57B4" w:rsidRPr="00755C9A">
        <w:rPr>
          <w:rFonts w:cs="Arial"/>
          <w:sz w:val="20"/>
        </w:rPr>
        <w:t>xpression utilisée</w:t>
      </w:r>
      <w:r w:rsidR="00755C9A" w:rsidRPr="00755C9A">
        <w:rPr>
          <w:rFonts w:cs="Arial"/>
          <w:sz w:val="20"/>
        </w:rPr>
        <w:t xml:space="preserve"> par le représentant du travailleur</w:t>
      </w:r>
      <w:r w:rsidR="006F03AF">
        <w:rPr>
          <w:rFonts w:cs="Arial"/>
          <w:sz w:val="20"/>
        </w:rPr>
        <w:t xml:space="preserve"> </w:t>
      </w:r>
      <w:r w:rsidR="000B4C61">
        <w:rPr>
          <w:rFonts w:cs="Arial"/>
          <w:sz w:val="20"/>
        </w:rPr>
        <w:t>est</w:t>
      </w:r>
      <w:r w:rsidR="00BA57B4" w:rsidRPr="00755C9A">
        <w:rPr>
          <w:rFonts w:cs="Arial"/>
          <w:sz w:val="20"/>
        </w:rPr>
        <w:t xml:space="preserve"> « back to</w:t>
      </w:r>
      <w:r w:rsidRPr="00755C9A">
        <w:rPr>
          <w:rFonts w:cs="Arial"/>
          <w:sz w:val="20"/>
        </w:rPr>
        <w:t xml:space="preserve"> bac</w:t>
      </w:r>
      <w:r w:rsidR="00BA57B4" w:rsidRPr="00755C9A">
        <w:rPr>
          <w:rFonts w:cs="Arial"/>
          <w:sz w:val="20"/>
        </w:rPr>
        <w:t>k</w:t>
      </w:r>
      <w:r w:rsidRPr="00755C9A">
        <w:rPr>
          <w:rFonts w:cs="Arial"/>
          <w:sz w:val="20"/>
        </w:rPr>
        <w:t> »</w:t>
      </w:r>
    </w:p>
  </w:footnote>
  <w:footnote w:id="18">
    <w:p w14:paraId="199CF451" w14:textId="77777777" w:rsidR="00C61AAA" w:rsidRPr="007602FE" w:rsidRDefault="00C61AAA" w:rsidP="007602FE">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Priorité 0 (urgence) sur une échelle de 8.</w:t>
      </w:r>
    </w:p>
  </w:footnote>
  <w:footnote w:id="19">
    <w:p w14:paraId="35558E62" w14:textId="77777777" w:rsidR="001D6631" w:rsidRPr="001D6631" w:rsidRDefault="001D6631" w:rsidP="001D6631">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Environ 12 degré</w:t>
      </w:r>
      <w:r w:rsidR="00DA6DB1">
        <w:rPr>
          <w:rFonts w:cs="Arial"/>
          <w:sz w:val="20"/>
        </w:rPr>
        <w:t>s</w:t>
      </w:r>
      <w:r>
        <w:rPr>
          <w:rFonts w:cs="Arial"/>
          <w:sz w:val="20"/>
        </w:rPr>
        <w:t>.</w:t>
      </w:r>
    </w:p>
  </w:footnote>
  <w:footnote w:id="20">
    <w:p w14:paraId="2E441FF7" w14:textId="77777777" w:rsidR="00974AEC" w:rsidRPr="00974AEC" w:rsidRDefault="00974AEC" w:rsidP="00974AEC">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Priorité entre urgent et non-urgent.</w:t>
      </w:r>
    </w:p>
  </w:footnote>
  <w:footnote w:id="21">
    <w:p w14:paraId="068B22D2" w14:textId="77777777" w:rsidR="00974AEC" w:rsidRPr="00974AEC" w:rsidRDefault="00974AEC" w:rsidP="00974AEC">
      <w:pPr>
        <w:pStyle w:val="Notedebasdepage"/>
        <w:tabs>
          <w:tab w:val="left" w:pos="720"/>
        </w:tabs>
        <w:ind w:left="720" w:hanging="720"/>
        <w:jc w:val="both"/>
        <w:rPr>
          <w:rFonts w:cs="Arial"/>
          <w:sz w:val="20"/>
        </w:rPr>
      </w:pPr>
      <w:r>
        <w:rPr>
          <w:rStyle w:val="Appelnotedebasdep"/>
        </w:rPr>
        <w:footnoteRef/>
      </w:r>
      <w:r>
        <w:t xml:space="preserve"> </w:t>
      </w:r>
      <w:r w:rsidR="005053BF">
        <w:rPr>
          <w:rFonts w:cs="Arial"/>
          <w:sz w:val="20"/>
        </w:rPr>
        <w:tab/>
        <w:t>Urines et selles.</w:t>
      </w:r>
    </w:p>
  </w:footnote>
  <w:footnote w:id="22">
    <w:p w14:paraId="22C38ED5" w14:textId="77777777" w:rsidR="003D0F9D" w:rsidRPr="003D0F9D" w:rsidRDefault="003D0F9D" w:rsidP="003D0F9D">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 xml:space="preserve">2016 QCTAT 3958; </w:t>
      </w:r>
      <w:r w:rsidR="00E6254D" w:rsidRPr="00E6254D">
        <w:rPr>
          <w:i/>
          <w:sz w:val="20"/>
        </w:rPr>
        <w:t xml:space="preserve">Lafortune </w:t>
      </w:r>
      <w:r w:rsidR="00E6254D" w:rsidRPr="00E6254D">
        <w:rPr>
          <w:sz w:val="20"/>
        </w:rPr>
        <w:t>et</w:t>
      </w:r>
      <w:r w:rsidR="00E6254D" w:rsidRPr="00E6254D">
        <w:rPr>
          <w:i/>
          <w:sz w:val="20"/>
        </w:rPr>
        <w:t xml:space="preserve"> Hôpital Louis</w:t>
      </w:r>
      <w:r w:rsidR="00E6254D" w:rsidRPr="00E6254D">
        <w:rPr>
          <w:i/>
          <w:sz w:val="20"/>
        </w:rPr>
        <w:noBreakHyphen/>
        <w:t>H. Lafontaine</w:t>
      </w:r>
      <w:r w:rsidR="00E6254D">
        <w:rPr>
          <w:i/>
          <w:sz w:val="20"/>
        </w:rPr>
        <w:t>,</w:t>
      </w:r>
      <w:r w:rsidR="00E6254D">
        <w:rPr>
          <w:rFonts w:cs="Arial"/>
          <w:sz w:val="20"/>
        </w:rPr>
        <w:t xml:space="preserve"> </w:t>
      </w:r>
      <w:r w:rsidR="00E6254D" w:rsidRPr="00E6254D">
        <w:rPr>
          <w:rFonts w:cs="Arial"/>
          <w:sz w:val="20"/>
        </w:rPr>
        <w:t>C.A.L.P. 19744-63-9</w:t>
      </w:r>
      <w:r w:rsidR="00E6254D" w:rsidRPr="005456F0">
        <w:rPr>
          <w:rFonts w:cs="Arial"/>
          <w:sz w:val="20"/>
        </w:rPr>
        <w:t xml:space="preserve">005, </w:t>
      </w:r>
      <w:r w:rsidR="00E6254D">
        <w:rPr>
          <w:rFonts w:cs="Arial"/>
          <w:sz w:val="20"/>
        </w:rPr>
        <w:t xml:space="preserve">6 juillet </w:t>
      </w:r>
      <w:r w:rsidR="00E6254D" w:rsidRPr="005456F0">
        <w:rPr>
          <w:rFonts w:cs="Arial"/>
          <w:sz w:val="20"/>
        </w:rPr>
        <w:t>1992, J</w:t>
      </w:r>
      <w:r w:rsidR="00E6254D">
        <w:rPr>
          <w:rFonts w:cs="Arial"/>
          <w:sz w:val="20"/>
        </w:rPr>
        <w:t xml:space="preserve">. L'Heureux; </w:t>
      </w:r>
      <w:r>
        <w:rPr>
          <w:rFonts w:cs="Arial"/>
          <w:sz w:val="20"/>
        </w:rPr>
        <w:t xml:space="preserve">voir également : </w:t>
      </w:r>
      <w:r w:rsidR="00004B67" w:rsidRPr="00004B67">
        <w:rPr>
          <w:rFonts w:cs="Arial"/>
          <w:i/>
          <w:sz w:val="20"/>
        </w:rPr>
        <w:t>Moulins</w:t>
      </w:r>
      <w:r w:rsidR="00004B67">
        <w:rPr>
          <w:rFonts w:cs="Arial"/>
          <w:sz w:val="20"/>
        </w:rPr>
        <w:t xml:space="preserve"> et </w:t>
      </w:r>
      <w:r w:rsidR="00004B67" w:rsidRPr="00004B67">
        <w:rPr>
          <w:rFonts w:cs="Arial"/>
          <w:i/>
          <w:sz w:val="20"/>
        </w:rPr>
        <w:t>Coopérative des ambulanciers de la Mauricie</w:t>
      </w:r>
      <w:r w:rsidR="00E6254D">
        <w:rPr>
          <w:rFonts w:cs="Arial"/>
          <w:sz w:val="20"/>
        </w:rPr>
        <w:t xml:space="preserve">, 2021 QCTAT 2962; </w:t>
      </w:r>
      <w:r w:rsidR="00E6254D" w:rsidRPr="006B0437">
        <w:rPr>
          <w:rFonts w:cs="Arial"/>
          <w:i/>
          <w:sz w:val="20"/>
        </w:rPr>
        <w:t>Patenaude</w:t>
      </w:r>
      <w:r w:rsidR="00E6254D">
        <w:rPr>
          <w:rFonts w:cs="Arial"/>
          <w:sz w:val="20"/>
        </w:rPr>
        <w:t xml:space="preserve"> et </w:t>
      </w:r>
      <w:r w:rsidR="00E6254D" w:rsidRPr="006B0437">
        <w:rPr>
          <w:rFonts w:cs="Arial"/>
          <w:i/>
          <w:sz w:val="20"/>
        </w:rPr>
        <w:t>Centre de service scolaire des Hautes-Rivières</w:t>
      </w:r>
      <w:r w:rsidR="00E6254D">
        <w:rPr>
          <w:rFonts w:cs="Arial"/>
          <w:sz w:val="20"/>
        </w:rPr>
        <w:t>, précitée</w:t>
      </w:r>
      <w:r w:rsidR="0000703C">
        <w:rPr>
          <w:rFonts w:cs="Arial"/>
          <w:sz w:val="20"/>
        </w:rPr>
        <w:t>,</w:t>
      </w:r>
      <w:r w:rsidR="00E6254D">
        <w:rPr>
          <w:rFonts w:cs="Arial"/>
          <w:sz w:val="20"/>
        </w:rPr>
        <w:t xml:space="preserve"> note 1</w:t>
      </w:r>
      <w:r w:rsidR="00F51F45">
        <w:rPr>
          <w:rFonts w:cs="Arial"/>
          <w:sz w:val="20"/>
        </w:rPr>
        <w:t>0</w:t>
      </w:r>
      <w:r w:rsidR="00E6254D">
        <w:rPr>
          <w:rFonts w:cs="Arial"/>
          <w:sz w:val="20"/>
        </w:rPr>
        <w:t>.</w:t>
      </w:r>
    </w:p>
  </w:footnote>
  <w:footnote w:id="23">
    <w:p w14:paraId="434B523A" w14:textId="77777777" w:rsidR="00627968" w:rsidRPr="00431665" w:rsidRDefault="00627968" w:rsidP="00627968">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proofErr w:type="spellStart"/>
      <w:r w:rsidRPr="00DF1F8A">
        <w:rPr>
          <w:rFonts w:cs="Arial"/>
          <w:i/>
          <w:iCs/>
          <w:sz w:val="20"/>
        </w:rPr>
        <w:t>Hallée</w:t>
      </w:r>
      <w:proofErr w:type="spellEnd"/>
      <w:r w:rsidRPr="00DF1F8A">
        <w:rPr>
          <w:rFonts w:cs="Arial"/>
          <w:i/>
          <w:iCs/>
          <w:sz w:val="20"/>
        </w:rPr>
        <w:t xml:space="preserve"> </w:t>
      </w:r>
      <w:r w:rsidRPr="00DF1F8A">
        <w:rPr>
          <w:rFonts w:cs="Arial"/>
          <w:sz w:val="20"/>
        </w:rPr>
        <w:t>et</w:t>
      </w:r>
      <w:r w:rsidRPr="00DF1F8A">
        <w:rPr>
          <w:rFonts w:cs="Arial"/>
          <w:i/>
          <w:iCs/>
          <w:sz w:val="20"/>
        </w:rPr>
        <w:t xml:space="preserve"> RRSSS Montérégie, </w:t>
      </w:r>
      <w:r>
        <w:rPr>
          <w:rFonts w:cs="Arial"/>
          <w:sz w:val="20"/>
        </w:rPr>
        <w:t>C.L.P. 237374-62-0406, 26 juin 2006, S. Mathieu;</w:t>
      </w:r>
      <w:r w:rsidRPr="00DF1F8A">
        <w:rPr>
          <w:rFonts w:cs="Arial"/>
          <w:sz w:val="20"/>
        </w:rPr>
        <w:t xml:space="preserve"> </w:t>
      </w:r>
      <w:r w:rsidRPr="00DF1F8A">
        <w:rPr>
          <w:rFonts w:cs="Arial"/>
          <w:i/>
          <w:iCs/>
          <w:sz w:val="20"/>
        </w:rPr>
        <w:t xml:space="preserve">Hébert </w:t>
      </w:r>
      <w:r w:rsidRPr="00DF1F8A">
        <w:rPr>
          <w:rFonts w:cs="Arial"/>
          <w:sz w:val="20"/>
        </w:rPr>
        <w:t>et</w:t>
      </w:r>
      <w:r w:rsidRPr="00DF1F8A">
        <w:rPr>
          <w:rFonts w:cs="Arial"/>
          <w:i/>
          <w:iCs/>
          <w:sz w:val="20"/>
        </w:rPr>
        <w:t xml:space="preserve"> Carrière St</w:t>
      </w:r>
      <w:r w:rsidRPr="00DF1F8A">
        <w:rPr>
          <w:rFonts w:cs="Arial"/>
          <w:i/>
          <w:iCs/>
          <w:sz w:val="20"/>
        </w:rPr>
        <w:noBreakHyphen/>
        <w:t>Jacques inc.,</w:t>
      </w:r>
      <w:r>
        <w:rPr>
          <w:rFonts w:cs="Arial"/>
          <w:i/>
          <w:iCs/>
          <w:sz w:val="20"/>
        </w:rPr>
        <w:t xml:space="preserve"> </w:t>
      </w:r>
      <w:r w:rsidRPr="007A0B05">
        <w:rPr>
          <w:rFonts w:cs="Arial"/>
          <w:iCs/>
          <w:sz w:val="20"/>
        </w:rPr>
        <w:t>C.L.P. 347591-62A-0805, 16 février 2009, C. Burdett.</w:t>
      </w:r>
    </w:p>
  </w:footnote>
  <w:footnote w:id="24">
    <w:p w14:paraId="3B9E5489" w14:textId="77777777" w:rsidR="00B707BE" w:rsidRPr="00AC4E32" w:rsidRDefault="00B707BE" w:rsidP="00B707BE">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6B0437">
        <w:rPr>
          <w:rFonts w:cs="Arial"/>
          <w:i/>
          <w:sz w:val="20"/>
        </w:rPr>
        <w:t>Patenaude</w:t>
      </w:r>
      <w:r>
        <w:rPr>
          <w:rFonts w:cs="Arial"/>
          <w:sz w:val="20"/>
        </w:rPr>
        <w:t xml:space="preserve"> et </w:t>
      </w:r>
      <w:r w:rsidRPr="006B0437">
        <w:rPr>
          <w:rFonts w:cs="Arial"/>
          <w:i/>
          <w:sz w:val="20"/>
        </w:rPr>
        <w:t>Centre de service scolaire des Hautes-Rivières</w:t>
      </w:r>
      <w:r w:rsidR="00AC4E32">
        <w:rPr>
          <w:rFonts w:cs="Arial"/>
          <w:sz w:val="20"/>
        </w:rPr>
        <w:t>, précitée</w:t>
      </w:r>
      <w:r w:rsidR="0000703C">
        <w:rPr>
          <w:rFonts w:cs="Arial"/>
          <w:sz w:val="20"/>
        </w:rPr>
        <w:t>,</w:t>
      </w:r>
      <w:r w:rsidR="00AC4E32">
        <w:rPr>
          <w:rFonts w:cs="Arial"/>
          <w:sz w:val="20"/>
        </w:rPr>
        <w:t xml:space="preserve"> note 1</w:t>
      </w:r>
      <w:r w:rsidR="00DA6DB1">
        <w:rPr>
          <w:rFonts w:cs="Arial"/>
          <w:sz w:val="20"/>
        </w:rPr>
        <w:t>0</w:t>
      </w:r>
      <w:r w:rsidR="00AC4E32">
        <w:rPr>
          <w:rFonts w:cs="Arial"/>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D330B6" w14:paraId="7CAAB0E0" w14:textId="77777777" w:rsidTr="006C2A06">
      <w:tc>
        <w:tcPr>
          <w:tcW w:w="8730" w:type="dxa"/>
        </w:tcPr>
        <w:p w14:paraId="1490563A" w14:textId="77777777" w:rsidR="00D330B6" w:rsidRDefault="00D330B6">
          <w:pPr>
            <w:pStyle w:val="En-tte"/>
            <w:ind w:left="-90"/>
          </w:pPr>
        </w:p>
      </w:tc>
      <w:tc>
        <w:tcPr>
          <w:tcW w:w="860" w:type="dxa"/>
        </w:tcPr>
        <w:p w14:paraId="00489C8E" w14:textId="77777777" w:rsidR="00D330B6" w:rsidRDefault="00D330B6">
          <w:pPr>
            <w:pStyle w:val="En-tte"/>
            <w:ind w:left="-90"/>
          </w:pPr>
        </w:p>
      </w:tc>
    </w:tr>
    <w:tr w:rsidR="006C2A06" w14:paraId="3C6ED084" w14:textId="77777777" w:rsidTr="006C2A06">
      <w:tc>
        <w:tcPr>
          <w:tcW w:w="8730" w:type="dxa"/>
        </w:tcPr>
        <w:p w14:paraId="3B50718B" w14:textId="77777777" w:rsidR="006C2A06" w:rsidRDefault="006C2A06" w:rsidP="006C2A06">
          <w:pPr>
            <w:pStyle w:val="zSoquijdatNoDossier"/>
          </w:pPr>
          <w:r>
            <w:t>1269604-09-2203</w:t>
          </w:r>
        </w:p>
      </w:tc>
      <w:tc>
        <w:tcPr>
          <w:tcW w:w="860" w:type="dxa"/>
        </w:tcPr>
        <w:p w14:paraId="1820C694" w14:textId="77777777" w:rsidR="006C2A06" w:rsidRDefault="006C2A06" w:rsidP="006C2A06">
          <w:pPr>
            <w:pStyle w:val="En-tte"/>
            <w:ind w:left="-90"/>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sidR="00221492">
            <w:rPr>
              <w:rStyle w:val="Numrodepage"/>
              <w:noProof/>
            </w:rPr>
            <w:t>2</w:t>
          </w:r>
          <w:r>
            <w:rPr>
              <w:rStyle w:val="Numrodepage"/>
            </w:rPr>
            <w:fldChar w:fldCharType="end"/>
          </w:r>
        </w:p>
      </w:tc>
    </w:tr>
    <w:tr w:rsidR="006C2A06" w14:paraId="066B0B44" w14:textId="77777777" w:rsidTr="006C2A06">
      <w:tc>
        <w:tcPr>
          <w:tcW w:w="8730" w:type="dxa"/>
        </w:tcPr>
        <w:p w14:paraId="02422D00" w14:textId="77777777" w:rsidR="006C2A06" w:rsidRDefault="006C2A06" w:rsidP="006C2A06"/>
      </w:tc>
      <w:tc>
        <w:tcPr>
          <w:tcW w:w="860" w:type="dxa"/>
        </w:tcPr>
        <w:p w14:paraId="3FC512B2" w14:textId="77777777" w:rsidR="006C2A06" w:rsidRDefault="006C2A06" w:rsidP="006C2A06">
          <w:pPr>
            <w:pStyle w:val="En-tte"/>
            <w:ind w:left="-90"/>
            <w:jc w:val="right"/>
          </w:pPr>
        </w:p>
      </w:tc>
    </w:tr>
  </w:tbl>
  <w:p w14:paraId="539BD697" w14:textId="77777777" w:rsidR="00D330B6" w:rsidRDefault="00D330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372B9"/>
    <w:multiLevelType w:val="hybridMultilevel"/>
    <w:tmpl w:val="E28460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CD93D91"/>
    <w:multiLevelType w:val="multilevel"/>
    <w:tmpl w:val="4240187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31CE60E0"/>
    <w:multiLevelType w:val="singleLevel"/>
    <w:tmpl w:val="0C0C000F"/>
    <w:lvl w:ilvl="0">
      <w:start w:val="1"/>
      <w:numFmt w:val="decimal"/>
      <w:lvlText w:val="%1."/>
      <w:lvlJc w:val="left"/>
      <w:pPr>
        <w:tabs>
          <w:tab w:val="num" w:pos="360"/>
        </w:tabs>
        <w:ind w:left="360" w:hanging="360"/>
      </w:pPr>
    </w:lvl>
  </w:abstractNum>
  <w:abstractNum w:abstractNumId="3" w15:restartNumberingAfterBreak="0">
    <w:nsid w:val="6DD1284B"/>
    <w:multiLevelType w:val="hybridMultilevel"/>
    <w:tmpl w:val="1AFED00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 w15:restartNumberingAfterBreak="0">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732348AF"/>
    <w:multiLevelType w:val="hybridMultilevel"/>
    <w:tmpl w:val="54C694AE"/>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 w15:restartNumberingAfterBreak="0">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8" w15:restartNumberingAfterBreak="0">
    <w:nsid w:val="76556088"/>
    <w:multiLevelType w:val="multilevel"/>
    <w:tmpl w:val="BD389C02"/>
    <w:lvl w:ilvl="0">
      <w:start w:val="1"/>
      <w:numFmt w:val="decimal"/>
      <w:pStyle w:val="corpsdedcision"/>
      <w:lvlText w:val="[%1]"/>
      <w:lvlJc w:val="left"/>
      <w:pPr>
        <w:tabs>
          <w:tab w:val="num" w:pos="360"/>
        </w:tabs>
        <w:ind w:left="0" w:firstLine="0"/>
      </w:pPr>
      <w:rPr>
        <w:b w:val="0"/>
      </w:r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9" w15:restartNumberingAfterBreak="0">
    <w:nsid w:val="78D6079A"/>
    <w:multiLevelType w:val="hybridMultilevel"/>
    <w:tmpl w:val="80AE0E1E"/>
    <w:lvl w:ilvl="0" w:tplc="22AEE0D8">
      <w:start w:val="1"/>
      <w:numFmt w:val="lowerLetter"/>
      <w:lvlText w:val="%1."/>
      <w:lvlJc w:val="left"/>
      <w:pPr>
        <w:ind w:left="1210" w:hanging="360"/>
      </w:pPr>
      <w:rPr>
        <w:rFonts w:hint="default"/>
      </w:rPr>
    </w:lvl>
    <w:lvl w:ilvl="1" w:tplc="0C0C0019" w:tentative="1">
      <w:start w:val="1"/>
      <w:numFmt w:val="lowerLetter"/>
      <w:lvlText w:val="%2."/>
      <w:lvlJc w:val="left"/>
      <w:pPr>
        <w:ind w:left="1930" w:hanging="360"/>
      </w:pPr>
    </w:lvl>
    <w:lvl w:ilvl="2" w:tplc="0C0C001B" w:tentative="1">
      <w:start w:val="1"/>
      <w:numFmt w:val="lowerRoman"/>
      <w:lvlText w:val="%3."/>
      <w:lvlJc w:val="right"/>
      <w:pPr>
        <w:ind w:left="2650" w:hanging="180"/>
      </w:pPr>
    </w:lvl>
    <w:lvl w:ilvl="3" w:tplc="0C0C000F" w:tentative="1">
      <w:start w:val="1"/>
      <w:numFmt w:val="decimal"/>
      <w:lvlText w:val="%4."/>
      <w:lvlJc w:val="left"/>
      <w:pPr>
        <w:ind w:left="3370" w:hanging="360"/>
      </w:pPr>
    </w:lvl>
    <w:lvl w:ilvl="4" w:tplc="0C0C0019" w:tentative="1">
      <w:start w:val="1"/>
      <w:numFmt w:val="lowerLetter"/>
      <w:lvlText w:val="%5."/>
      <w:lvlJc w:val="left"/>
      <w:pPr>
        <w:ind w:left="4090" w:hanging="360"/>
      </w:pPr>
    </w:lvl>
    <w:lvl w:ilvl="5" w:tplc="0C0C001B" w:tentative="1">
      <w:start w:val="1"/>
      <w:numFmt w:val="lowerRoman"/>
      <w:lvlText w:val="%6."/>
      <w:lvlJc w:val="right"/>
      <w:pPr>
        <w:ind w:left="4810" w:hanging="180"/>
      </w:pPr>
    </w:lvl>
    <w:lvl w:ilvl="6" w:tplc="0C0C000F" w:tentative="1">
      <w:start w:val="1"/>
      <w:numFmt w:val="decimal"/>
      <w:lvlText w:val="%7."/>
      <w:lvlJc w:val="left"/>
      <w:pPr>
        <w:ind w:left="5530" w:hanging="360"/>
      </w:pPr>
    </w:lvl>
    <w:lvl w:ilvl="7" w:tplc="0C0C0019" w:tentative="1">
      <w:start w:val="1"/>
      <w:numFmt w:val="lowerLetter"/>
      <w:lvlText w:val="%8."/>
      <w:lvlJc w:val="left"/>
      <w:pPr>
        <w:ind w:left="6250" w:hanging="360"/>
      </w:pPr>
    </w:lvl>
    <w:lvl w:ilvl="8" w:tplc="0C0C001B" w:tentative="1">
      <w:start w:val="1"/>
      <w:numFmt w:val="lowerRoman"/>
      <w:lvlText w:val="%9."/>
      <w:lvlJc w:val="right"/>
      <w:pPr>
        <w:ind w:left="6970" w:hanging="180"/>
      </w:pPr>
    </w:lvl>
  </w:abstractNum>
  <w:abstractNum w:abstractNumId="10" w15:restartNumberingAfterBreak="0">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16cid:durableId="449862954">
    <w:abstractNumId w:val="8"/>
  </w:num>
  <w:num w:numId="2" w16cid:durableId="1545169914">
    <w:abstractNumId w:val="7"/>
  </w:num>
  <w:num w:numId="3" w16cid:durableId="1814521255">
    <w:abstractNumId w:val="6"/>
  </w:num>
  <w:num w:numId="4" w16cid:durableId="1242984650">
    <w:abstractNumId w:val="4"/>
  </w:num>
  <w:num w:numId="5" w16cid:durableId="590118425">
    <w:abstractNumId w:val="10"/>
  </w:num>
  <w:num w:numId="6" w16cid:durableId="229729538">
    <w:abstractNumId w:val="10"/>
  </w:num>
  <w:num w:numId="7" w16cid:durableId="775949874">
    <w:abstractNumId w:val="1"/>
  </w:num>
  <w:num w:numId="8" w16cid:durableId="1324117971">
    <w:abstractNumId w:val="3"/>
  </w:num>
  <w:num w:numId="9" w16cid:durableId="319893373">
    <w:abstractNumId w:val="2"/>
  </w:num>
  <w:num w:numId="10" w16cid:durableId="2033611007">
    <w:abstractNumId w:val="9"/>
  </w:num>
  <w:num w:numId="11" w16cid:durableId="392774174">
    <w:abstractNumId w:val="5"/>
  </w:num>
  <w:num w:numId="12" w16cid:durableId="1219128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2B61"/>
    <w:rsid w:val="000034B0"/>
    <w:rsid w:val="000041A1"/>
    <w:rsid w:val="00004B67"/>
    <w:rsid w:val="00006DD2"/>
    <w:rsid w:val="0000703C"/>
    <w:rsid w:val="0001305E"/>
    <w:rsid w:val="00016945"/>
    <w:rsid w:val="00016D99"/>
    <w:rsid w:val="0001768E"/>
    <w:rsid w:val="00021B30"/>
    <w:rsid w:val="00021E4C"/>
    <w:rsid w:val="00022556"/>
    <w:rsid w:val="00023858"/>
    <w:rsid w:val="0003073E"/>
    <w:rsid w:val="000333BC"/>
    <w:rsid w:val="000352CA"/>
    <w:rsid w:val="000366EC"/>
    <w:rsid w:val="00036794"/>
    <w:rsid w:val="00043967"/>
    <w:rsid w:val="00043E4D"/>
    <w:rsid w:val="000536CC"/>
    <w:rsid w:val="000559A8"/>
    <w:rsid w:val="00055A3E"/>
    <w:rsid w:val="00056393"/>
    <w:rsid w:val="00057739"/>
    <w:rsid w:val="0007151A"/>
    <w:rsid w:val="00071A82"/>
    <w:rsid w:val="0007225E"/>
    <w:rsid w:val="00074ABE"/>
    <w:rsid w:val="00074EAE"/>
    <w:rsid w:val="00076D81"/>
    <w:rsid w:val="00080885"/>
    <w:rsid w:val="00082A97"/>
    <w:rsid w:val="0008378A"/>
    <w:rsid w:val="0008784D"/>
    <w:rsid w:val="00090018"/>
    <w:rsid w:val="00090306"/>
    <w:rsid w:val="00090F69"/>
    <w:rsid w:val="00091991"/>
    <w:rsid w:val="000921CC"/>
    <w:rsid w:val="00092D2F"/>
    <w:rsid w:val="00093ACD"/>
    <w:rsid w:val="00095814"/>
    <w:rsid w:val="00097D57"/>
    <w:rsid w:val="00097D81"/>
    <w:rsid w:val="00097FCE"/>
    <w:rsid w:val="000A1DAC"/>
    <w:rsid w:val="000A48A5"/>
    <w:rsid w:val="000A4AD0"/>
    <w:rsid w:val="000A5AD1"/>
    <w:rsid w:val="000A63DF"/>
    <w:rsid w:val="000A77C5"/>
    <w:rsid w:val="000B3800"/>
    <w:rsid w:val="000B4C61"/>
    <w:rsid w:val="000B6275"/>
    <w:rsid w:val="000B7F1B"/>
    <w:rsid w:val="000C60CD"/>
    <w:rsid w:val="000C710F"/>
    <w:rsid w:val="000D0F07"/>
    <w:rsid w:val="000D3948"/>
    <w:rsid w:val="000E0C28"/>
    <w:rsid w:val="000E0C3A"/>
    <w:rsid w:val="000E1320"/>
    <w:rsid w:val="000E3FF6"/>
    <w:rsid w:val="000E56A6"/>
    <w:rsid w:val="000F00E3"/>
    <w:rsid w:val="000F1F22"/>
    <w:rsid w:val="000F20A5"/>
    <w:rsid w:val="000F3423"/>
    <w:rsid w:val="000F5F81"/>
    <w:rsid w:val="00100AB8"/>
    <w:rsid w:val="00101EC9"/>
    <w:rsid w:val="001020DC"/>
    <w:rsid w:val="00104550"/>
    <w:rsid w:val="00104C3D"/>
    <w:rsid w:val="001050B4"/>
    <w:rsid w:val="00105D54"/>
    <w:rsid w:val="001137B5"/>
    <w:rsid w:val="001144AB"/>
    <w:rsid w:val="0012224D"/>
    <w:rsid w:val="001225BC"/>
    <w:rsid w:val="00122A9E"/>
    <w:rsid w:val="00122F94"/>
    <w:rsid w:val="0012326A"/>
    <w:rsid w:val="00124516"/>
    <w:rsid w:val="0013080F"/>
    <w:rsid w:val="00132622"/>
    <w:rsid w:val="00137E7E"/>
    <w:rsid w:val="001407FC"/>
    <w:rsid w:val="00144572"/>
    <w:rsid w:val="00145E34"/>
    <w:rsid w:val="00146116"/>
    <w:rsid w:val="00147A49"/>
    <w:rsid w:val="00147B8B"/>
    <w:rsid w:val="00150C18"/>
    <w:rsid w:val="0015125A"/>
    <w:rsid w:val="001512AD"/>
    <w:rsid w:val="00152464"/>
    <w:rsid w:val="0015539F"/>
    <w:rsid w:val="001603CE"/>
    <w:rsid w:val="00160597"/>
    <w:rsid w:val="00162ECC"/>
    <w:rsid w:val="001664C8"/>
    <w:rsid w:val="001676FD"/>
    <w:rsid w:val="00167AD0"/>
    <w:rsid w:val="00167DEF"/>
    <w:rsid w:val="00167E9D"/>
    <w:rsid w:val="00173184"/>
    <w:rsid w:val="00175079"/>
    <w:rsid w:val="001761B9"/>
    <w:rsid w:val="00183515"/>
    <w:rsid w:val="001846FC"/>
    <w:rsid w:val="001924FE"/>
    <w:rsid w:val="001965E1"/>
    <w:rsid w:val="001A03BE"/>
    <w:rsid w:val="001A067E"/>
    <w:rsid w:val="001A0B7E"/>
    <w:rsid w:val="001A1CD9"/>
    <w:rsid w:val="001A2900"/>
    <w:rsid w:val="001A346C"/>
    <w:rsid w:val="001A4081"/>
    <w:rsid w:val="001A65F1"/>
    <w:rsid w:val="001B2B40"/>
    <w:rsid w:val="001B3E9D"/>
    <w:rsid w:val="001B4A40"/>
    <w:rsid w:val="001B5524"/>
    <w:rsid w:val="001B6D8A"/>
    <w:rsid w:val="001C0CA0"/>
    <w:rsid w:val="001C19D4"/>
    <w:rsid w:val="001C2B0B"/>
    <w:rsid w:val="001C436D"/>
    <w:rsid w:val="001D32D2"/>
    <w:rsid w:val="001D45D5"/>
    <w:rsid w:val="001D63C8"/>
    <w:rsid w:val="001D65D8"/>
    <w:rsid w:val="001D6631"/>
    <w:rsid w:val="001E3DFD"/>
    <w:rsid w:val="001E42F0"/>
    <w:rsid w:val="001E497A"/>
    <w:rsid w:val="001E5E3B"/>
    <w:rsid w:val="001E7FB3"/>
    <w:rsid w:val="001F43C2"/>
    <w:rsid w:val="00202D80"/>
    <w:rsid w:val="00221492"/>
    <w:rsid w:val="00223379"/>
    <w:rsid w:val="002248FB"/>
    <w:rsid w:val="00225C46"/>
    <w:rsid w:val="00226493"/>
    <w:rsid w:val="00227040"/>
    <w:rsid w:val="00230CFC"/>
    <w:rsid w:val="0023115A"/>
    <w:rsid w:val="0023162A"/>
    <w:rsid w:val="00231C1D"/>
    <w:rsid w:val="00233532"/>
    <w:rsid w:val="00234BC8"/>
    <w:rsid w:val="00241CED"/>
    <w:rsid w:val="00242FB4"/>
    <w:rsid w:val="00245605"/>
    <w:rsid w:val="002542E0"/>
    <w:rsid w:val="002563F0"/>
    <w:rsid w:val="00256DBB"/>
    <w:rsid w:val="00260119"/>
    <w:rsid w:val="00266064"/>
    <w:rsid w:val="00267C8D"/>
    <w:rsid w:val="002701DD"/>
    <w:rsid w:val="002710FD"/>
    <w:rsid w:val="00273F49"/>
    <w:rsid w:val="002769B5"/>
    <w:rsid w:val="00276B25"/>
    <w:rsid w:val="00276B59"/>
    <w:rsid w:val="00281319"/>
    <w:rsid w:val="00286149"/>
    <w:rsid w:val="0028668D"/>
    <w:rsid w:val="00290289"/>
    <w:rsid w:val="002902A0"/>
    <w:rsid w:val="00292188"/>
    <w:rsid w:val="002923D9"/>
    <w:rsid w:val="0029430C"/>
    <w:rsid w:val="00296645"/>
    <w:rsid w:val="00296A4B"/>
    <w:rsid w:val="00297284"/>
    <w:rsid w:val="002A0077"/>
    <w:rsid w:val="002A07DC"/>
    <w:rsid w:val="002A3573"/>
    <w:rsid w:val="002A374B"/>
    <w:rsid w:val="002A47D2"/>
    <w:rsid w:val="002A73E9"/>
    <w:rsid w:val="002B132B"/>
    <w:rsid w:val="002B2FC3"/>
    <w:rsid w:val="002B35F0"/>
    <w:rsid w:val="002B58AF"/>
    <w:rsid w:val="002C3748"/>
    <w:rsid w:val="002C5E89"/>
    <w:rsid w:val="002D008D"/>
    <w:rsid w:val="002D1396"/>
    <w:rsid w:val="002D1752"/>
    <w:rsid w:val="002D2237"/>
    <w:rsid w:val="002D42BC"/>
    <w:rsid w:val="002D71A9"/>
    <w:rsid w:val="002D7846"/>
    <w:rsid w:val="002D7FCB"/>
    <w:rsid w:val="002E05AE"/>
    <w:rsid w:val="002E7E2A"/>
    <w:rsid w:val="002F34CD"/>
    <w:rsid w:val="002F41FE"/>
    <w:rsid w:val="002F7507"/>
    <w:rsid w:val="0030059B"/>
    <w:rsid w:val="00301F16"/>
    <w:rsid w:val="00302FB4"/>
    <w:rsid w:val="00305273"/>
    <w:rsid w:val="003057FC"/>
    <w:rsid w:val="00305AFB"/>
    <w:rsid w:val="00307C85"/>
    <w:rsid w:val="003124E1"/>
    <w:rsid w:val="00312983"/>
    <w:rsid w:val="0031672A"/>
    <w:rsid w:val="00323DC5"/>
    <w:rsid w:val="003248CB"/>
    <w:rsid w:val="00331EA7"/>
    <w:rsid w:val="003332B8"/>
    <w:rsid w:val="00336EF2"/>
    <w:rsid w:val="00337555"/>
    <w:rsid w:val="00343B46"/>
    <w:rsid w:val="00344465"/>
    <w:rsid w:val="00345862"/>
    <w:rsid w:val="0034740A"/>
    <w:rsid w:val="00352192"/>
    <w:rsid w:val="0035375B"/>
    <w:rsid w:val="00354704"/>
    <w:rsid w:val="00362D74"/>
    <w:rsid w:val="003664E9"/>
    <w:rsid w:val="00366D1E"/>
    <w:rsid w:val="003703A5"/>
    <w:rsid w:val="0037112C"/>
    <w:rsid w:val="00373EE5"/>
    <w:rsid w:val="003817E7"/>
    <w:rsid w:val="00382E55"/>
    <w:rsid w:val="00386D9D"/>
    <w:rsid w:val="00390B55"/>
    <w:rsid w:val="0039224C"/>
    <w:rsid w:val="00394468"/>
    <w:rsid w:val="003961B2"/>
    <w:rsid w:val="00397D2E"/>
    <w:rsid w:val="003A0825"/>
    <w:rsid w:val="003A41AD"/>
    <w:rsid w:val="003B0C41"/>
    <w:rsid w:val="003B152B"/>
    <w:rsid w:val="003B1734"/>
    <w:rsid w:val="003B1735"/>
    <w:rsid w:val="003B2D2E"/>
    <w:rsid w:val="003B6CBF"/>
    <w:rsid w:val="003C47A7"/>
    <w:rsid w:val="003C6B71"/>
    <w:rsid w:val="003D0826"/>
    <w:rsid w:val="003D0F9D"/>
    <w:rsid w:val="003D18FC"/>
    <w:rsid w:val="003D3C93"/>
    <w:rsid w:val="003D71BB"/>
    <w:rsid w:val="003E00D5"/>
    <w:rsid w:val="003E02BA"/>
    <w:rsid w:val="003E716C"/>
    <w:rsid w:val="003F0578"/>
    <w:rsid w:val="003F564E"/>
    <w:rsid w:val="003F7F38"/>
    <w:rsid w:val="00401325"/>
    <w:rsid w:val="004019AA"/>
    <w:rsid w:val="0040399B"/>
    <w:rsid w:val="00406F0C"/>
    <w:rsid w:val="004106DB"/>
    <w:rsid w:val="00410A9A"/>
    <w:rsid w:val="00411251"/>
    <w:rsid w:val="00411402"/>
    <w:rsid w:val="00412585"/>
    <w:rsid w:val="004129CA"/>
    <w:rsid w:val="0041363B"/>
    <w:rsid w:val="00414FA8"/>
    <w:rsid w:val="00415D5D"/>
    <w:rsid w:val="0041643A"/>
    <w:rsid w:val="004232E9"/>
    <w:rsid w:val="0042400A"/>
    <w:rsid w:val="0042650F"/>
    <w:rsid w:val="0042684F"/>
    <w:rsid w:val="00427D5D"/>
    <w:rsid w:val="00431E0B"/>
    <w:rsid w:val="004337FE"/>
    <w:rsid w:val="00433E98"/>
    <w:rsid w:val="00435170"/>
    <w:rsid w:val="00435738"/>
    <w:rsid w:val="00437137"/>
    <w:rsid w:val="004403B8"/>
    <w:rsid w:val="00441ADA"/>
    <w:rsid w:val="004422CA"/>
    <w:rsid w:val="0044274C"/>
    <w:rsid w:val="0044371C"/>
    <w:rsid w:val="0044627E"/>
    <w:rsid w:val="0045114F"/>
    <w:rsid w:val="004529D3"/>
    <w:rsid w:val="00453F31"/>
    <w:rsid w:val="00456B0C"/>
    <w:rsid w:val="00460101"/>
    <w:rsid w:val="00462557"/>
    <w:rsid w:val="004643BA"/>
    <w:rsid w:val="00464D25"/>
    <w:rsid w:val="0046538B"/>
    <w:rsid w:val="004706FB"/>
    <w:rsid w:val="00471C92"/>
    <w:rsid w:val="004739AC"/>
    <w:rsid w:val="00474489"/>
    <w:rsid w:val="00475FEF"/>
    <w:rsid w:val="0047680F"/>
    <w:rsid w:val="00476FE9"/>
    <w:rsid w:val="00477536"/>
    <w:rsid w:val="0047776F"/>
    <w:rsid w:val="00482D5B"/>
    <w:rsid w:val="004832E2"/>
    <w:rsid w:val="004870EA"/>
    <w:rsid w:val="004873EC"/>
    <w:rsid w:val="00487F13"/>
    <w:rsid w:val="0049095C"/>
    <w:rsid w:val="00492E13"/>
    <w:rsid w:val="0049595F"/>
    <w:rsid w:val="00496193"/>
    <w:rsid w:val="004A02AF"/>
    <w:rsid w:val="004A2D66"/>
    <w:rsid w:val="004A4449"/>
    <w:rsid w:val="004A679B"/>
    <w:rsid w:val="004B28A2"/>
    <w:rsid w:val="004C0FB4"/>
    <w:rsid w:val="004C1811"/>
    <w:rsid w:val="004C2944"/>
    <w:rsid w:val="004C4555"/>
    <w:rsid w:val="004C6CB4"/>
    <w:rsid w:val="004D16D6"/>
    <w:rsid w:val="004D6CEA"/>
    <w:rsid w:val="004E0E02"/>
    <w:rsid w:val="004E3564"/>
    <w:rsid w:val="004E3D9F"/>
    <w:rsid w:val="004E51C0"/>
    <w:rsid w:val="004E64BE"/>
    <w:rsid w:val="004F6293"/>
    <w:rsid w:val="004F65EA"/>
    <w:rsid w:val="004F6971"/>
    <w:rsid w:val="00503B8D"/>
    <w:rsid w:val="00503EE3"/>
    <w:rsid w:val="005053BF"/>
    <w:rsid w:val="00505811"/>
    <w:rsid w:val="0051261C"/>
    <w:rsid w:val="00515DE7"/>
    <w:rsid w:val="00517727"/>
    <w:rsid w:val="00517EB0"/>
    <w:rsid w:val="00520115"/>
    <w:rsid w:val="005205CB"/>
    <w:rsid w:val="0052430C"/>
    <w:rsid w:val="00526F1B"/>
    <w:rsid w:val="005304B6"/>
    <w:rsid w:val="0053247C"/>
    <w:rsid w:val="005348E4"/>
    <w:rsid w:val="00534D8F"/>
    <w:rsid w:val="005352F1"/>
    <w:rsid w:val="00540094"/>
    <w:rsid w:val="00542101"/>
    <w:rsid w:val="00545CFF"/>
    <w:rsid w:val="00547A9C"/>
    <w:rsid w:val="005531BE"/>
    <w:rsid w:val="00555800"/>
    <w:rsid w:val="00556DBB"/>
    <w:rsid w:val="00560781"/>
    <w:rsid w:val="0056268F"/>
    <w:rsid w:val="005662E9"/>
    <w:rsid w:val="005700F8"/>
    <w:rsid w:val="00572AAF"/>
    <w:rsid w:val="005801AE"/>
    <w:rsid w:val="00582868"/>
    <w:rsid w:val="00582ECC"/>
    <w:rsid w:val="0058399B"/>
    <w:rsid w:val="0058636A"/>
    <w:rsid w:val="0058692F"/>
    <w:rsid w:val="00587045"/>
    <w:rsid w:val="00587C22"/>
    <w:rsid w:val="005907BE"/>
    <w:rsid w:val="005921FE"/>
    <w:rsid w:val="0059436D"/>
    <w:rsid w:val="005945C0"/>
    <w:rsid w:val="00594B8A"/>
    <w:rsid w:val="00596AB2"/>
    <w:rsid w:val="00597016"/>
    <w:rsid w:val="005974B7"/>
    <w:rsid w:val="005A0A2F"/>
    <w:rsid w:val="005A0D51"/>
    <w:rsid w:val="005A181B"/>
    <w:rsid w:val="005A1CB3"/>
    <w:rsid w:val="005A1F5D"/>
    <w:rsid w:val="005A3073"/>
    <w:rsid w:val="005A33A5"/>
    <w:rsid w:val="005A37D7"/>
    <w:rsid w:val="005A5437"/>
    <w:rsid w:val="005A6969"/>
    <w:rsid w:val="005A70A0"/>
    <w:rsid w:val="005A75C7"/>
    <w:rsid w:val="005B0612"/>
    <w:rsid w:val="005B13F0"/>
    <w:rsid w:val="005B2E0C"/>
    <w:rsid w:val="005B30F6"/>
    <w:rsid w:val="005B45BA"/>
    <w:rsid w:val="005B4C23"/>
    <w:rsid w:val="005B5689"/>
    <w:rsid w:val="005B6680"/>
    <w:rsid w:val="005B6774"/>
    <w:rsid w:val="005C0A89"/>
    <w:rsid w:val="005C0DE8"/>
    <w:rsid w:val="005C3BC4"/>
    <w:rsid w:val="005D25D5"/>
    <w:rsid w:val="005D26CC"/>
    <w:rsid w:val="005D4711"/>
    <w:rsid w:val="005D59B1"/>
    <w:rsid w:val="005D764B"/>
    <w:rsid w:val="005E2367"/>
    <w:rsid w:val="005E34D2"/>
    <w:rsid w:val="005E5E90"/>
    <w:rsid w:val="005E654C"/>
    <w:rsid w:val="005F05F6"/>
    <w:rsid w:val="005F0D07"/>
    <w:rsid w:val="00605734"/>
    <w:rsid w:val="0061488E"/>
    <w:rsid w:val="0061574B"/>
    <w:rsid w:val="00616406"/>
    <w:rsid w:val="00622670"/>
    <w:rsid w:val="00622D26"/>
    <w:rsid w:val="00623328"/>
    <w:rsid w:val="00623A1A"/>
    <w:rsid w:val="00626E8D"/>
    <w:rsid w:val="00627968"/>
    <w:rsid w:val="0063156B"/>
    <w:rsid w:val="006326A9"/>
    <w:rsid w:val="00632DA8"/>
    <w:rsid w:val="00634C4B"/>
    <w:rsid w:val="00634E6E"/>
    <w:rsid w:val="0063651F"/>
    <w:rsid w:val="0064342A"/>
    <w:rsid w:val="00643A28"/>
    <w:rsid w:val="006452FA"/>
    <w:rsid w:val="0065093D"/>
    <w:rsid w:val="00652A16"/>
    <w:rsid w:val="00654B73"/>
    <w:rsid w:val="00655193"/>
    <w:rsid w:val="00655459"/>
    <w:rsid w:val="00656FB2"/>
    <w:rsid w:val="00657A70"/>
    <w:rsid w:val="00661454"/>
    <w:rsid w:val="006620AA"/>
    <w:rsid w:val="006626AF"/>
    <w:rsid w:val="00664A04"/>
    <w:rsid w:val="0066642D"/>
    <w:rsid w:val="006722E2"/>
    <w:rsid w:val="00672B61"/>
    <w:rsid w:val="00675E85"/>
    <w:rsid w:val="0067750F"/>
    <w:rsid w:val="00681396"/>
    <w:rsid w:val="0068171F"/>
    <w:rsid w:val="00682D5E"/>
    <w:rsid w:val="0068401E"/>
    <w:rsid w:val="006841A4"/>
    <w:rsid w:val="00686426"/>
    <w:rsid w:val="0068643F"/>
    <w:rsid w:val="006877A1"/>
    <w:rsid w:val="00692150"/>
    <w:rsid w:val="00692F0C"/>
    <w:rsid w:val="006944B0"/>
    <w:rsid w:val="00696E7C"/>
    <w:rsid w:val="00696EF2"/>
    <w:rsid w:val="006A0C54"/>
    <w:rsid w:val="006A1092"/>
    <w:rsid w:val="006A3E54"/>
    <w:rsid w:val="006A4576"/>
    <w:rsid w:val="006A7C53"/>
    <w:rsid w:val="006B0437"/>
    <w:rsid w:val="006B140A"/>
    <w:rsid w:val="006B2330"/>
    <w:rsid w:val="006B309C"/>
    <w:rsid w:val="006B39F2"/>
    <w:rsid w:val="006B4316"/>
    <w:rsid w:val="006B727F"/>
    <w:rsid w:val="006C1B57"/>
    <w:rsid w:val="006C2A06"/>
    <w:rsid w:val="006C4B57"/>
    <w:rsid w:val="006C5E46"/>
    <w:rsid w:val="006C6D3A"/>
    <w:rsid w:val="006C7434"/>
    <w:rsid w:val="006C7B36"/>
    <w:rsid w:val="006C7B7F"/>
    <w:rsid w:val="006D05FE"/>
    <w:rsid w:val="006D19E8"/>
    <w:rsid w:val="006D6DF5"/>
    <w:rsid w:val="006D7768"/>
    <w:rsid w:val="006E04B5"/>
    <w:rsid w:val="006E330C"/>
    <w:rsid w:val="006E3DD8"/>
    <w:rsid w:val="006E793F"/>
    <w:rsid w:val="006F0154"/>
    <w:rsid w:val="006F03AF"/>
    <w:rsid w:val="006F608D"/>
    <w:rsid w:val="006F7944"/>
    <w:rsid w:val="00704121"/>
    <w:rsid w:val="00705BB5"/>
    <w:rsid w:val="00705D02"/>
    <w:rsid w:val="00710750"/>
    <w:rsid w:val="00711E88"/>
    <w:rsid w:val="00712EA1"/>
    <w:rsid w:val="0071326F"/>
    <w:rsid w:val="00714BBF"/>
    <w:rsid w:val="007153D7"/>
    <w:rsid w:val="00720752"/>
    <w:rsid w:val="00720ED4"/>
    <w:rsid w:val="00722736"/>
    <w:rsid w:val="0072412C"/>
    <w:rsid w:val="007322B7"/>
    <w:rsid w:val="00737A63"/>
    <w:rsid w:val="007445BC"/>
    <w:rsid w:val="0074488F"/>
    <w:rsid w:val="00745AA8"/>
    <w:rsid w:val="007503E0"/>
    <w:rsid w:val="007510EC"/>
    <w:rsid w:val="0075233C"/>
    <w:rsid w:val="0075256A"/>
    <w:rsid w:val="00752DCD"/>
    <w:rsid w:val="00755C9A"/>
    <w:rsid w:val="007569DE"/>
    <w:rsid w:val="0075723C"/>
    <w:rsid w:val="007602FE"/>
    <w:rsid w:val="0076146A"/>
    <w:rsid w:val="0076350E"/>
    <w:rsid w:val="00763F36"/>
    <w:rsid w:val="00775BDF"/>
    <w:rsid w:val="0077614D"/>
    <w:rsid w:val="00782B82"/>
    <w:rsid w:val="00782C8F"/>
    <w:rsid w:val="00785F78"/>
    <w:rsid w:val="0078659D"/>
    <w:rsid w:val="007869EC"/>
    <w:rsid w:val="00791ED8"/>
    <w:rsid w:val="007A1E58"/>
    <w:rsid w:val="007A5C7E"/>
    <w:rsid w:val="007A63F9"/>
    <w:rsid w:val="007A69A9"/>
    <w:rsid w:val="007A6E2F"/>
    <w:rsid w:val="007B0DF2"/>
    <w:rsid w:val="007B3BC5"/>
    <w:rsid w:val="007B6F8D"/>
    <w:rsid w:val="007B7109"/>
    <w:rsid w:val="007C1832"/>
    <w:rsid w:val="007D03DF"/>
    <w:rsid w:val="007D142C"/>
    <w:rsid w:val="007D1C1F"/>
    <w:rsid w:val="007D4953"/>
    <w:rsid w:val="007D50F4"/>
    <w:rsid w:val="007D66C6"/>
    <w:rsid w:val="007D7173"/>
    <w:rsid w:val="007E1216"/>
    <w:rsid w:val="007E4CD4"/>
    <w:rsid w:val="007E50A0"/>
    <w:rsid w:val="007E530C"/>
    <w:rsid w:val="007F04F9"/>
    <w:rsid w:val="007F0E8E"/>
    <w:rsid w:val="007F2149"/>
    <w:rsid w:val="007F4E00"/>
    <w:rsid w:val="007F7380"/>
    <w:rsid w:val="008048CF"/>
    <w:rsid w:val="00807077"/>
    <w:rsid w:val="008079DD"/>
    <w:rsid w:val="0081130F"/>
    <w:rsid w:val="00813095"/>
    <w:rsid w:val="008145AD"/>
    <w:rsid w:val="008146B2"/>
    <w:rsid w:val="00822E4C"/>
    <w:rsid w:val="00824430"/>
    <w:rsid w:val="00825B1F"/>
    <w:rsid w:val="008279EA"/>
    <w:rsid w:val="00827D55"/>
    <w:rsid w:val="00832C84"/>
    <w:rsid w:val="00840EDD"/>
    <w:rsid w:val="0084255F"/>
    <w:rsid w:val="0084441A"/>
    <w:rsid w:val="00846FB1"/>
    <w:rsid w:val="00854FB3"/>
    <w:rsid w:val="00857FCA"/>
    <w:rsid w:val="00860F13"/>
    <w:rsid w:val="0086199C"/>
    <w:rsid w:val="00861F8B"/>
    <w:rsid w:val="00863FC5"/>
    <w:rsid w:val="0086561F"/>
    <w:rsid w:val="00865A7A"/>
    <w:rsid w:val="00865FE1"/>
    <w:rsid w:val="0087069B"/>
    <w:rsid w:val="00871491"/>
    <w:rsid w:val="00873721"/>
    <w:rsid w:val="00874542"/>
    <w:rsid w:val="008748C7"/>
    <w:rsid w:val="00874FCF"/>
    <w:rsid w:val="0087521A"/>
    <w:rsid w:val="008808C0"/>
    <w:rsid w:val="00882255"/>
    <w:rsid w:val="008841B8"/>
    <w:rsid w:val="00890BDE"/>
    <w:rsid w:val="00892AD3"/>
    <w:rsid w:val="00894155"/>
    <w:rsid w:val="008962E7"/>
    <w:rsid w:val="008A1118"/>
    <w:rsid w:val="008A281F"/>
    <w:rsid w:val="008A3C76"/>
    <w:rsid w:val="008A48D2"/>
    <w:rsid w:val="008A4AF6"/>
    <w:rsid w:val="008A4FF8"/>
    <w:rsid w:val="008A5ED1"/>
    <w:rsid w:val="008A73CE"/>
    <w:rsid w:val="008A7FD1"/>
    <w:rsid w:val="008B042E"/>
    <w:rsid w:val="008B211E"/>
    <w:rsid w:val="008B6D48"/>
    <w:rsid w:val="008C7660"/>
    <w:rsid w:val="008C79A7"/>
    <w:rsid w:val="008D1951"/>
    <w:rsid w:val="008D5521"/>
    <w:rsid w:val="008D555F"/>
    <w:rsid w:val="008D625D"/>
    <w:rsid w:val="008D650E"/>
    <w:rsid w:val="008D6F9F"/>
    <w:rsid w:val="008E2E73"/>
    <w:rsid w:val="008E673E"/>
    <w:rsid w:val="008E67D1"/>
    <w:rsid w:val="008E6A41"/>
    <w:rsid w:val="008E6FC1"/>
    <w:rsid w:val="008F15D5"/>
    <w:rsid w:val="008F20EA"/>
    <w:rsid w:val="008F79C4"/>
    <w:rsid w:val="008F7A67"/>
    <w:rsid w:val="00903990"/>
    <w:rsid w:val="009042A8"/>
    <w:rsid w:val="00904950"/>
    <w:rsid w:val="0090530A"/>
    <w:rsid w:val="00911422"/>
    <w:rsid w:val="009124C5"/>
    <w:rsid w:val="0091442E"/>
    <w:rsid w:val="009158F1"/>
    <w:rsid w:val="00915E5E"/>
    <w:rsid w:val="009166B8"/>
    <w:rsid w:val="00916FA5"/>
    <w:rsid w:val="00917915"/>
    <w:rsid w:val="00920684"/>
    <w:rsid w:val="009216E6"/>
    <w:rsid w:val="009224EC"/>
    <w:rsid w:val="00922DB7"/>
    <w:rsid w:val="0092684A"/>
    <w:rsid w:val="00927654"/>
    <w:rsid w:val="00937FAB"/>
    <w:rsid w:val="0094094D"/>
    <w:rsid w:val="00942AB8"/>
    <w:rsid w:val="009438E4"/>
    <w:rsid w:val="0094548C"/>
    <w:rsid w:val="00945CAF"/>
    <w:rsid w:val="00946AC9"/>
    <w:rsid w:val="00947448"/>
    <w:rsid w:val="00952B38"/>
    <w:rsid w:val="00952C99"/>
    <w:rsid w:val="009619EB"/>
    <w:rsid w:val="00964F15"/>
    <w:rsid w:val="00965333"/>
    <w:rsid w:val="00967ACF"/>
    <w:rsid w:val="009712EF"/>
    <w:rsid w:val="009727BF"/>
    <w:rsid w:val="00973321"/>
    <w:rsid w:val="00974AEC"/>
    <w:rsid w:val="00975C2E"/>
    <w:rsid w:val="009770EB"/>
    <w:rsid w:val="00977270"/>
    <w:rsid w:val="00977F2D"/>
    <w:rsid w:val="0098065C"/>
    <w:rsid w:val="009824F2"/>
    <w:rsid w:val="00983080"/>
    <w:rsid w:val="00983BB9"/>
    <w:rsid w:val="00986AA3"/>
    <w:rsid w:val="00993B24"/>
    <w:rsid w:val="0099611F"/>
    <w:rsid w:val="009A083F"/>
    <w:rsid w:val="009A135C"/>
    <w:rsid w:val="009A67E7"/>
    <w:rsid w:val="009B148F"/>
    <w:rsid w:val="009C1BC5"/>
    <w:rsid w:val="009C2F1A"/>
    <w:rsid w:val="009C603A"/>
    <w:rsid w:val="009C74CD"/>
    <w:rsid w:val="009C7E1A"/>
    <w:rsid w:val="009D048F"/>
    <w:rsid w:val="009D162F"/>
    <w:rsid w:val="009D23FF"/>
    <w:rsid w:val="009D401F"/>
    <w:rsid w:val="009D5B42"/>
    <w:rsid w:val="009D68FA"/>
    <w:rsid w:val="009E1E4F"/>
    <w:rsid w:val="009E32CF"/>
    <w:rsid w:val="009E4261"/>
    <w:rsid w:val="009E4FC2"/>
    <w:rsid w:val="009F0E4E"/>
    <w:rsid w:val="009F44AE"/>
    <w:rsid w:val="009F59B9"/>
    <w:rsid w:val="00A00780"/>
    <w:rsid w:val="00A02529"/>
    <w:rsid w:val="00A02EF2"/>
    <w:rsid w:val="00A04D5E"/>
    <w:rsid w:val="00A07B7A"/>
    <w:rsid w:val="00A10DDF"/>
    <w:rsid w:val="00A11172"/>
    <w:rsid w:val="00A1219E"/>
    <w:rsid w:val="00A12E55"/>
    <w:rsid w:val="00A168D7"/>
    <w:rsid w:val="00A20F81"/>
    <w:rsid w:val="00A2411A"/>
    <w:rsid w:val="00A242E4"/>
    <w:rsid w:val="00A24437"/>
    <w:rsid w:val="00A24CA0"/>
    <w:rsid w:val="00A25D4B"/>
    <w:rsid w:val="00A260DF"/>
    <w:rsid w:val="00A302DC"/>
    <w:rsid w:val="00A30B59"/>
    <w:rsid w:val="00A33601"/>
    <w:rsid w:val="00A3362A"/>
    <w:rsid w:val="00A34251"/>
    <w:rsid w:val="00A35278"/>
    <w:rsid w:val="00A36257"/>
    <w:rsid w:val="00A365BD"/>
    <w:rsid w:val="00A37045"/>
    <w:rsid w:val="00A37B70"/>
    <w:rsid w:val="00A37B9F"/>
    <w:rsid w:val="00A40AC7"/>
    <w:rsid w:val="00A42564"/>
    <w:rsid w:val="00A426AF"/>
    <w:rsid w:val="00A429ED"/>
    <w:rsid w:val="00A435C7"/>
    <w:rsid w:val="00A53031"/>
    <w:rsid w:val="00A55607"/>
    <w:rsid w:val="00A569B2"/>
    <w:rsid w:val="00A56D76"/>
    <w:rsid w:val="00A60CDA"/>
    <w:rsid w:val="00A611A4"/>
    <w:rsid w:val="00A61F09"/>
    <w:rsid w:val="00A637ED"/>
    <w:rsid w:val="00A63E1A"/>
    <w:rsid w:val="00A643DC"/>
    <w:rsid w:val="00A6695B"/>
    <w:rsid w:val="00A67809"/>
    <w:rsid w:val="00A715FD"/>
    <w:rsid w:val="00A72703"/>
    <w:rsid w:val="00A727F6"/>
    <w:rsid w:val="00A72E71"/>
    <w:rsid w:val="00A73940"/>
    <w:rsid w:val="00A76432"/>
    <w:rsid w:val="00A770C0"/>
    <w:rsid w:val="00A84FC6"/>
    <w:rsid w:val="00A8528E"/>
    <w:rsid w:val="00A85293"/>
    <w:rsid w:val="00A90BD9"/>
    <w:rsid w:val="00A9101B"/>
    <w:rsid w:val="00A94A49"/>
    <w:rsid w:val="00A95C5E"/>
    <w:rsid w:val="00AA1815"/>
    <w:rsid w:val="00AA1D3E"/>
    <w:rsid w:val="00AA1F56"/>
    <w:rsid w:val="00AA20E7"/>
    <w:rsid w:val="00AA2383"/>
    <w:rsid w:val="00AA39F9"/>
    <w:rsid w:val="00AA79D3"/>
    <w:rsid w:val="00AB0931"/>
    <w:rsid w:val="00AB4DC4"/>
    <w:rsid w:val="00AB5C9B"/>
    <w:rsid w:val="00AB65CD"/>
    <w:rsid w:val="00AC0159"/>
    <w:rsid w:val="00AC0276"/>
    <w:rsid w:val="00AC0312"/>
    <w:rsid w:val="00AC0449"/>
    <w:rsid w:val="00AC0DC3"/>
    <w:rsid w:val="00AC4E32"/>
    <w:rsid w:val="00AD035F"/>
    <w:rsid w:val="00AD2497"/>
    <w:rsid w:val="00AD578C"/>
    <w:rsid w:val="00AD58C9"/>
    <w:rsid w:val="00AD5C04"/>
    <w:rsid w:val="00AD5EB4"/>
    <w:rsid w:val="00AD667B"/>
    <w:rsid w:val="00AE1862"/>
    <w:rsid w:val="00AE302C"/>
    <w:rsid w:val="00AE63E2"/>
    <w:rsid w:val="00AE7976"/>
    <w:rsid w:val="00AF04C9"/>
    <w:rsid w:val="00AF19A2"/>
    <w:rsid w:val="00AF1DC4"/>
    <w:rsid w:val="00AF26B6"/>
    <w:rsid w:val="00AF2979"/>
    <w:rsid w:val="00AF3189"/>
    <w:rsid w:val="00AF5BF8"/>
    <w:rsid w:val="00B0375C"/>
    <w:rsid w:val="00B052CB"/>
    <w:rsid w:val="00B06CD2"/>
    <w:rsid w:val="00B156C3"/>
    <w:rsid w:val="00B15F67"/>
    <w:rsid w:val="00B1624F"/>
    <w:rsid w:val="00B17328"/>
    <w:rsid w:val="00B20F5D"/>
    <w:rsid w:val="00B21184"/>
    <w:rsid w:val="00B224C5"/>
    <w:rsid w:val="00B30766"/>
    <w:rsid w:val="00B31DC4"/>
    <w:rsid w:val="00B325CD"/>
    <w:rsid w:val="00B36C0F"/>
    <w:rsid w:val="00B37793"/>
    <w:rsid w:val="00B4016D"/>
    <w:rsid w:val="00B41138"/>
    <w:rsid w:val="00B41203"/>
    <w:rsid w:val="00B42B7F"/>
    <w:rsid w:val="00B4561E"/>
    <w:rsid w:val="00B4768D"/>
    <w:rsid w:val="00B518E5"/>
    <w:rsid w:val="00B51E1F"/>
    <w:rsid w:val="00B52601"/>
    <w:rsid w:val="00B57032"/>
    <w:rsid w:val="00B60222"/>
    <w:rsid w:val="00B62CFB"/>
    <w:rsid w:val="00B659B1"/>
    <w:rsid w:val="00B662F5"/>
    <w:rsid w:val="00B7000C"/>
    <w:rsid w:val="00B707BE"/>
    <w:rsid w:val="00B760D5"/>
    <w:rsid w:val="00B77495"/>
    <w:rsid w:val="00B821A6"/>
    <w:rsid w:val="00B83B2C"/>
    <w:rsid w:val="00B92049"/>
    <w:rsid w:val="00B94740"/>
    <w:rsid w:val="00B95002"/>
    <w:rsid w:val="00B97F75"/>
    <w:rsid w:val="00BA0A4F"/>
    <w:rsid w:val="00BA1CAE"/>
    <w:rsid w:val="00BA33BB"/>
    <w:rsid w:val="00BA39A8"/>
    <w:rsid w:val="00BA4830"/>
    <w:rsid w:val="00BA57B4"/>
    <w:rsid w:val="00BA6E22"/>
    <w:rsid w:val="00BB1460"/>
    <w:rsid w:val="00BB362C"/>
    <w:rsid w:val="00BB48FA"/>
    <w:rsid w:val="00BB5942"/>
    <w:rsid w:val="00BB738C"/>
    <w:rsid w:val="00BC0A03"/>
    <w:rsid w:val="00BC4A42"/>
    <w:rsid w:val="00BC5BB4"/>
    <w:rsid w:val="00BD4139"/>
    <w:rsid w:val="00BD642B"/>
    <w:rsid w:val="00BD726D"/>
    <w:rsid w:val="00BE059A"/>
    <w:rsid w:val="00BE06A4"/>
    <w:rsid w:val="00BE1981"/>
    <w:rsid w:val="00BE2DA6"/>
    <w:rsid w:val="00BE2E86"/>
    <w:rsid w:val="00BE320B"/>
    <w:rsid w:val="00BE56E9"/>
    <w:rsid w:val="00BE63CF"/>
    <w:rsid w:val="00BE7014"/>
    <w:rsid w:val="00BE7991"/>
    <w:rsid w:val="00BE7B48"/>
    <w:rsid w:val="00BF25C7"/>
    <w:rsid w:val="00C002A7"/>
    <w:rsid w:val="00C009B7"/>
    <w:rsid w:val="00C02B8F"/>
    <w:rsid w:val="00C03F4D"/>
    <w:rsid w:val="00C04E32"/>
    <w:rsid w:val="00C05B46"/>
    <w:rsid w:val="00C11212"/>
    <w:rsid w:val="00C116B1"/>
    <w:rsid w:val="00C13635"/>
    <w:rsid w:val="00C15A3F"/>
    <w:rsid w:val="00C20630"/>
    <w:rsid w:val="00C2114B"/>
    <w:rsid w:val="00C224A4"/>
    <w:rsid w:val="00C22F7A"/>
    <w:rsid w:val="00C2666F"/>
    <w:rsid w:val="00C2735B"/>
    <w:rsid w:val="00C27D9D"/>
    <w:rsid w:val="00C32020"/>
    <w:rsid w:val="00C32D02"/>
    <w:rsid w:val="00C3408C"/>
    <w:rsid w:val="00C3484D"/>
    <w:rsid w:val="00C351CC"/>
    <w:rsid w:val="00C35435"/>
    <w:rsid w:val="00C36640"/>
    <w:rsid w:val="00C432FD"/>
    <w:rsid w:val="00C43CDF"/>
    <w:rsid w:val="00C44CDC"/>
    <w:rsid w:val="00C4516D"/>
    <w:rsid w:val="00C4608E"/>
    <w:rsid w:val="00C512B2"/>
    <w:rsid w:val="00C53B5D"/>
    <w:rsid w:val="00C571FB"/>
    <w:rsid w:val="00C57381"/>
    <w:rsid w:val="00C609D3"/>
    <w:rsid w:val="00C61AAA"/>
    <w:rsid w:val="00C61D56"/>
    <w:rsid w:val="00C62B69"/>
    <w:rsid w:val="00C644B7"/>
    <w:rsid w:val="00C64564"/>
    <w:rsid w:val="00C66D6F"/>
    <w:rsid w:val="00C71377"/>
    <w:rsid w:val="00C7246A"/>
    <w:rsid w:val="00C73C87"/>
    <w:rsid w:val="00C74B6F"/>
    <w:rsid w:val="00C85E2E"/>
    <w:rsid w:val="00C87EF3"/>
    <w:rsid w:val="00C9015F"/>
    <w:rsid w:val="00C912F9"/>
    <w:rsid w:val="00C91B22"/>
    <w:rsid w:val="00C9241B"/>
    <w:rsid w:val="00C9370B"/>
    <w:rsid w:val="00C96DDF"/>
    <w:rsid w:val="00C97569"/>
    <w:rsid w:val="00CA199D"/>
    <w:rsid w:val="00CA4D9C"/>
    <w:rsid w:val="00CA534D"/>
    <w:rsid w:val="00CB05A7"/>
    <w:rsid w:val="00CB06A4"/>
    <w:rsid w:val="00CB08C3"/>
    <w:rsid w:val="00CB325B"/>
    <w:rsid w:val="00CB3EFF"/>
    <w:rsid w:val="00CB4B93"/>
    <w:rsid w:val="00CB64FF"/>
    <w:rsid w:val="00CB7078"/>
    <w:rsid w:val="00CB711D"/>
    <w:rsid w:val="00CB7902"/>
    <w:rsid w:val="00CC014B"/>
    <w:rsid w:val="00CC0E81"/>
    <w:rsid w:val="00CC21D8"/>
    <w:rsid w:val="00CC3369"/>
    <w:rsid w:val="00CC5343"/>
    <w:rsid w:val="00CC59D7"/>
    <w:rsid w:val="00CC6338"/>
    <w:rsid w:val="00CC78DE"/>
    <w:rsid w:val="00CD04D9"/>
    <w:rsid w:val="00CD0F93"/>
    <w:rsid w:val="00CD6D6E"/>
    <w:rsid w:val="00CD6F23"/>
    <w:rsid w:val="00CF22D2"/>
    <w:rsid w:val="00CF5C66"/>
    <w:rsid w:val="00CF640B"/>
    <w:rsid w:val="00CF6B5A"/>
    <w:rsid w:val="00D027AF"/>
    <w:rsid w:val="00D0323E"/>
    <w:rsid w:val="00D06652"/>
    <w:rsid w:val="00D07FA6"/>
    <w:rsid w:val="00D16ADF"/>
    <w:rsid w:val="00D17C53"/>
    <w:rsid w:val="00D17D57"/>
    <w:rsid w:val="00D2341D"/>
    <w:rsid w:val="00D2402E"/>
    <w:rsid w:val="00D252DA"/>
    <w:rsid w:val="00D25E0E"/>
    <w:rsid w:val="00D27F36"/>
    <w:rsid w:val="00D302EB"/>
    <w:rsid w:val="00D31679"/>
    <w:rsid w:val="00D320C8"/>
    <w:rsid w:val="00D330B6"/>
    <w:rsid w:val="00D339FC"/>
    <w:rsid w:val="00D3672F"/>
    <w:rsid w:val="00D406F4"/>
    <w:rsid w:val="00D40ABA"/>
    <w:rsid w:val="00D40FE2"/>
    <w:rsid w:val="00D426EA"/>
    <w:rsid w:val="00D440FA"/>
    <w:rsid w:val="00D44BCF"/>
    <w:rsid w:val="00D46E73"/>
    <w:rsid w:val="00D5548D"/>
    <w:rsid w:val="00D56572"/>
    <w:rsid w:val="00D60F81"/>
    <w:rsid w:val="00D63951"/>
    <w:rsid w:val="00D63BF2"/>
    <w:rsid w:val="00D649D7"/>
    <w:rsid w:val="00D67348"/>
    <w:rsid w:val="00D70A26"/>
    <w:rsid w:val="00D73BB4"/>
    <w:rsid w:val="00D75FEC"/>
    <w:rsid w:val="00D76B98"/>
    <w:rsid w:val="00D82E63"/>
    <w:rsid w:val="00D835A0"/>
    <w:rsid w:val="00D86905"/>
    <w:rsid w:val="00D86F2C"/>
    <w:rsid w:val="00D9371C"/>
    <w:rsid w:val="00D94301"/>
    <w:rsid w:val="00D96248"/>
    <w:rsid w:val="00DA0680"/>
    <w:rsid w:val="00DA36F6"/>
    <w:rsid w:val="00DA48F0"/>
    <w:rsid w:val="00DA6DB1"/>
    <w:rsid w:val="00DB0C8D"/>
    <w:rsid w:val="00DB49AD"/>
    <w:rsid w:val="00DB6AF2"/>
    <w:rsid w:val="00DC0B15"/>
    <w:rsid w:val="00DC1599"/>
    <w:rsid w:val="00DC1611"/>
    <w:rsid w:val="00DC44E5"/>
    <w:rsid w:val="00DC72CD"/>
    <w:rsid w:val="00DD3C53"/>
    <w:rsid w:val="00DD6B73"/>
    <w:rsid w:val="00DE745D"/>
    <w:rsid w:val="00DF0774"/>
    <w:rsid w:val="00DF1036"/>
    <w:rsid w:val="00DF4644"/>
    <w:rsid w:val="00DF68F6"/>
    <w:rsid w:val="00DF7A83"/>
    <w:rsid w:val="00E012B4"/>
    <w:rsid w:val="00E05451"/>
    <w:rsid w:val="00E05651"/>
    <w:rsid w:val="00E100F6"/>
    <w:rsid w:val="00E11BA5"/>
    <w:rsid w:val="00E121FA"/>
    <w:rsid w:val="00E17CBD"/>
    <w:rsid w:val="00E20425"/>
    <w:rsid w:val="00E21768"/>
    <w:rsid w:val="00E25DCB"/>
    <w:rsid w:val="00E2613B"/>
    <w:rsid w:val="00E2740F"/>
    <w:rsid w:val="00E2792B"/>
    <w:rsid w:val="00E27C72"/>
    <w:rsid w:val="00E313DF"/>
    <w:rsid w:val="00E330E0"/>
    <w:rsid w:val="00E36C70"/>
    <w:rsid w:val="00E37689"/>
    <w:rsid w:val="00E4156E"/>
    <w:rsid w:val="00E44D61"/>
    <w:rsid w:val="00E453F2"/>
    <w:rsid w:val="00E460AD"/>
    <w:rsid w:val="00E6035E"/>
    <w:rsid w:val="00E61925"/>
    <w:rsid w:val="00E6254D"/>
    <w:rsid w:val="00E63194"/>
    <w:rsid w:val="00E6363B"/>
    <w:rsid w:val="00E65C0E"/>
    <w:rsid w:val="00E65FB9"/>
    <w:rsid w:val="00E7205A"/>
    <w:rsid w:val="00E72BAF"/>
    <w:rsid w:val="00E730FC"/>
    <w:rsid w:val="00E746F0"/>
    <w:rsid w:val="00E809B9"/>
    <w:rsid w:val="00E82A15"/>
    <w:rsid w:val="00E85445"/>
    <w:rsid w:val="00E87589"/>
    <w:rsid w:val="00E938FF"/>
    <w:rsid w:val="00E93DFE"/>
    <w:rsid w:val="00EA2124"/>
    <w:rsid w:val="00EA2B12"/>
    <w:rsid w:val="00EA34DC"/>
    <w:rsid w:val="00EA456C"/>
    <w:rsid w:val="00EA46F9"/>
    <w:rsid w:val="00EA5017"/>
    <w:rsid w:val="00EA5913"/>
    <w:rsid w:val="00EA6BED"/>
    <w:rsid w:val="00EA7530"/>
    <w:rsid w:val="00EA7AA3"/>
    <w:rsid w:val="00EB14F0"/>
    <w:rsid w:val="00EB3844"/>
    <w:rsid w:val="00EB48EF"/>
    <w:rsid w:val="00EB5A9F"/>
    <w:rsid w:val="00EB75D2"/>
    <w:rsid w:val="00EC0820"/>
    <w:rsid w:val="00EC573F"/>
    <w:rsid w:val="00EC5C8D"/>
    <w:rsid w:val="00ED106C"/>
    <w:rsid w:val="00ED2D34"/>
    <w:rsid w:val="00ED4805"/>
    <w:rsid w:val="00ED57F6"/>
    <w:rsid w:val="00ED6C51"/>
    <w:rsid w:val="00ED6DA1"/>
    <w:rsid w:val="00EE1392"/>
    <w:rsid w:val="00EF0AF8"/>
    <w:rsid w:val="00EF207D"/>
    <w:rsid w:val="00EF4258"/>
    <w:rsid w:val="00EF6D31"/>
    <w:rsid w:val="00F02237"/>
    <w:rsid w:val="00F046F1"/>
    <w:rsid w:val="00F072E2"/>
    <w:rsid w:val="00F078A9"/>
    <w:rsid w:val="00F079A6"/>
    <w:rsid w:val="00F10236"/>
    <w:rsid w:val="00F10C4D"/>
    <w:rsid w:val="00F15811"/>
    <w:rsid w:val="00F22423"/>
    <w:rsid w:val="00F24C72"/>
    <w:rsid w:val="00F27BB5"/>
    <w:rsid w:val="00F30267"/>
    <w:rsid w:val="00F31D22"/>
    <w:rsid w:val="00F32957"/>
    <w:rsid w:val="00F348B2"/>
    <w:rsid w:val="00F34BF0"/>
    <w:rsid w:val="00F34ED7"/>
    <w:rsid w:val="00F34ED8"/>
    <w:rsid w:val="00F4095A"/>
    <w:rsid w:val="00F452CC"/>
    <w:rsid w:val="00F45845"/>
    <w:rsid w:val="00F50189"/>
    <w:rsid w:val="00F508FC"/>
    <w:rsid w:val="00F510B7"/>
    <w:rsid w:val="00F51F45"/>
    <w:rsid w:val="00F53571"/>
    <w:rsid w:val="00F54044"/>
    <w:rsid w:val="00F55050"/>
    <w:rsid w:val="00F576E7"/>
    <w:rsid w:val="00F73D1C"/>
    <w:rsid w:val="00F763FC"/>
    <w:rsid w:val="00F76B4A"/>
    <w:rsid w:val="00F772C1"/>
    <w:rsid w:val="00F8026D"/>
    <w:rsid w:val="00F8245F"/>
    <w:rsid w:val="00F82E40"/>
    <w:rsid w:val="00F8654A"/>
    <w:rsid w:val="00F91629"/>
    <w:rsid w:val="00F91E2A"/>
    <w:rsid w:val="00F948F6"/>
    <w:rsid w:val="00F9621B"/>
    <w:rsid w:val="00F96C39"/>
    <w:rsid w:val="00F96E41"/>
    <w:rsid w:val="00F96F98"/>
    <w:rsid w:val="00FA153F"/>
    <w:rsid w:val="00FA1D78"/>
    <w:rsid w:val="00FA1F7E"/>
    <w:rsid w:val="00FA280F"/>
    <w:rsid w:val="00FA38EE"/>
    <w:rsid w:val="00FA5289"/>
    <w:rsid w:val="00FA6213"/>
    <w:rsid w:val="00FB2186"/>
    <w:rsid w:val="00FB7E03"/>
    <w:rsid w:val="00FD0133"/>
    <w:rsid w:val="00FD1FB7"/>
    <w:rsid w:val="00FD25FE"/>
    <w:rsid w:val="00FD6206"/>
    <w:rsid w:val="00FE0882"/>
    <w:rsid w:val="00FE1318"/>
    <w:rsid w:val="00FE208F"/>
    <w:rsid w:val="00FE54CD"/>
    <w:rsid w:val="00FE5640"/>
    <w:rsid w:val="00FE6DF6"/>
    <w:rsid w:val="00FF32C3"/>
    <w:rsid w:val="00FF3F8B"/>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8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Titre1">
    <w:name w:val="heading 1"/>
    <w:basedOn w:val="Normal"/>
    <w:next w:val="corpsdedcision"/>
    <w:link w:val="Titre1Car"/>
    <w:qFormat/>
    <w:rsid w:val="00F96E41"/>
    <w:pPr>
      <w:keepNext/>
      <w:spacing w:before="240" w:after="240"/>
      <w:outlineLvl w:val="0"/>
    </w:pPr>
    <w:rPr>
      <w:rFonts w:cs="Arial"/>
      <w:b/>
      <w:bCs/>
      <w:caps/>
      <w:kern w:val="32"/>
      <w:szCs w:val="32"/>
      <w:u w:val="single"/>
      <w:lang w:eastAsia="fr-FR"/>
    </w:rPr>
  </w:style>
  <w:style w:type="paragraph" w:styleId="Titre2">
    <w:name w:val="heading 2"/>
    <w:basedOn w:val="Normal"/>
    <w:next w:val="corpsdedcision"/>
    <w:qFormat/>
    <w:rsid w:val="0047680F"/>
    <w:pPr>
      <w:keepNext/>
      <w:spacing w:before="240" w:after="240"/>
      <w:outlineLvl w:val="1"/>
    </w:pPr>
    <w:rPr>
      <w:rFonts w:cs="Arial"/>
      <w:bCs/>
      <w:iCs/>
      <w:caps/>
      <w:szCs w:val="28"/>
      <w:lang w:eastAsia="fr-FR"/>
    </w:rPr>
  </w:style>
  <w:style w:type="paragraph" w:styleId="Titre3">
    <w:name w:val="heading 3"/>
    <w:basedOn w:val="Normal"/>
    <w:next w:val="corpsdedcision"/>
    <w:qFormat/>
    <w:rsid w:val="00EA456C"/>
    <w:pPr>
      <w:keepNext/>
      <w:spacing w:before="240" w:after="240"/>
      <w:outlineLvl w:val="2"/>
    </w:pPr>
    <w:rPr>
      <w:rFonts w:cs="Arial"/>
      <w:b/>
      <w:szCs w:val="24"/>
      <w:lang w:eastAsia="fr-FR"/>
    </w:rPr>
  </w:style>
  <w:style w:type="paragraph" w:styleId="Titre4">
    <w:name w:val="heading 4"/>
    <w:basedOn w:val="Normal"/>
    <w:next w:val="corpsdedcision"/>
    <w:qFormat/>
    <w:rsid w:val="008F15D5"/>
    <w:pPr>
      <w:keepNext/>
      <w:spacing w:before="240" w:after="240"/>
      <w:outlineLvl w:val="3"/>
    </w:pPr>
    <w:rPr>
      <w:rFonts w:cs="Arial"/>
      <w:szCs w:val="24"/>
      <w:u w:val="single"/>
      <w:lang w:eastAsia="fr-FR"/>
    </w:rPr>
  </w:style>
  <w:style w:type="paragraph" w:styleId="Titre5">
    <w:name w:val="heading 5"/>
    <w:basedOn w:val="Normal"/>
    <w:next w:val="Normal"/>
    <w:qFormat/>
    <w:rsid w:val="005E2367"/>
    <w:pPr>
      <w:numPr>
        <w:ilvl w:val="4"/>
        <w:numId w:val="2"/>
      </w:numPr>
      <w:spacing w:before="240" w:after="60"/>
      <w:outlineLvl w:val="4"/>
    </w:pPr>
    <w:rPr>
      <w:b/>
      <w:bCs/>
      <w:i/>
      <w:iCs/>
      <w:sz w:val="26"/>
      <w:szCs w:val="26"/>
    </w:rPr>
  </w:style>
  <w:style w:type="paragraph" w:styleId="Titre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Titre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Titre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Titre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Appelnotedebasdep">
    <w:name w:val="footnote reference"/>
    <w:basedOn w:val="Policepardfaut"/>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link w:val="corpsdedcisionCar"/>
    <w:pPr>
      <w:numPr>
        <w:numId w:val="1"/>
      </w:numPr>
      <w:tabs>
        <w:tab w:val="clear" w:pos="360"/>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Notedebasdepage">
    <w:name w:val="footnote text"/>
    <w:aliases w:val="Note de bas de page art 65,Note de bas de page + 10pt,Car,Car Car Car Car Car,Car Car Car Car,Car Car Car,Car Car Car Car Car Car Car Car Car,Car Car, Car, Car Car Car Car Car, Car Car Car Car, Car Car Car"/>
    <w:basedOn w:val="Normal"/>
    <w:link w:val="NotedebasdepageCar"/>
    <w:uiPriority w:val="99"/>
  </w:style>
  <w:style w:type="paragraph" w:styleId="En-tte">
    <w:name w:val="header"/>
    <w:basedOn w:val="Normal"/>
    <w:pPr>
      <w:tabs>
        <w:tab w:val="center" w:pos="4320"/>
        <w:tab w:val="right" w:pos="8640"/>
      </w:tabs>
    </w:pPr>
  </w:style>
  <w:style w:type="character" w:styleId="Numrodepage">
    <w:name w:val="page number"/>
    <w:basedOn w:val="Policepardfaut"/>
    <w:rPr>
      <w:rFonts w:ascii="Arial" w:hAnsi="Arial"/>
      <w:sz w:val="24"/>
    </w:rPr>
  </w:style>
  <w:style w:type="paragraph" w:styleId="Pieddepage">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NotedebasdepageCar">
    <w:name w:val="Note de bas de page Car"/>
    <w:aliases w:val="Note de bas de page art 65 Car,Note de bas de page + 10pt Car,Car Car4,Car Car Car Car Car Car,Car Car Car Car Car1,Car Car Car Car1,Car Car Car Car Car Car Car Car Car Car,Car Car Car1, Car Car, Car Car Car Car Car Car"/>
    <w:basedOn w:val="Policepardfaut"/>
    <w:link w:val="Notedebasdepage"/>
    <w:uiPriority w:val="99"/>
    <w:locked/>
    <w:rsid w:val="00BC0A03"/>
    <w:rPr>
      <w:rFonts w:ascii="Arial" w:hAnsi="Arial"/>
      <w:sz w:val="24"/>
      <w:lang w:val="fr-CA" w:eastAsia="fr-CA" w:bidi="ar-SA"/>
    </w:rPr>
  </w:style>
  <w:style w:type="character" w:customStyle="1" w:styleId="CarCar3">
    <w:name w:val="Car Car3"/>
    <w:semiHidden/>
    <w:locked/>
    <w:rsid w:val="007F2149"/>
    <w:rPr>
      <w:rFonts w:ascii="Arial" w:hAnsi="Arial"/>
      <w:sz w:val="24"/>
      <w:lang w:val="fr-CA" w:eastAsia="fr-CA" w:bidi="ar-SA"/>
    </w:rPr>
  </w:style>
  <w:style w:type="paragraph" w:customStyle="1" w:styleId="Citationenretrait">
    <w:name w:val="Citation en retrait"/>
    <w:basedOn w:val="Normal"/>
    <w:link w:val="CitationenretraitCar"/>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link w:val="CitationendoubleretraitCar"/>
    <w:rsid w:val="008048CF"/>
    <w:pPr>
      <w:spacing w:before="0" w:after="0"/>
      <w:ind w:left="1440" w:right="1440"/>
    </w:pPr>
    <w:rPr>
      <w:sz w:val="18"/>
    </w:rPr>
  </w:style>
  <w:style w:type="character" w:customStyle="1" w:styleId="Citationintgre">
    <w:name w:val="Citation intégrée"/>
    <w:basedOn w:val="Policepardfaut"/>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Titre1Car">
    <w:name w:val="Titre 1 Car"/>
    <w:link w:val="Titre1"/>
    <w:rsid w:val="00F96E41"/>
    <w:rPr>
      <w:rFonts w:ascii="Arial" w:hAnsi="Arial" w:cs="Arial"/>
      <w:b/>
      <w:bCs/>
      <w:caps/>
      <w:kern w:val="32"/>
      <w:sz w:val="24"/>
      <w:szCs w:val="32"/>
      <w:u w:val="single"/>
      <w:lang w:val="fr-CA" w:eastAsia="fr-FR" w:bidi="ar-SA"/>
    </w:rPr>
  </w:style>
  <w:style w:type="paragraph" w:customStyle="1" w:styleId="ParagConclusion">
    <w:name w:val="ParagConclusion"/>
    <w:basedOn w:val="Normal"/>
    <w:rsid w:val="003D18FC"/>
    <w:pPr>
      <w:spacing w:before="160" w:after="160"/>
      <w:ind w:left="2448" w:hanging="2448"/>
    </w:pPr>
    <w:rPr>
      <w:rFonts w:eastAsia="Calibri" w:cs="Arial"/>
      <w:szCs w:val="24"/>
      <w:lang w:eastAsia="fr-FR"/>
    </w:rPr>
  </w:style>
  <w:style w:type="paragraph" w:customStyle="1" w:styleId="yChPInterv">
    <w:name w:val="yCh_PInterv"/>
    <w:rsid w:val="00474489"/>
    <w:rPr>
      <w:rFonts w:ascii="Arial" w:hAnsi="Arial"/>
      <w:sz w:val="24"/>
    </w:rPr>
  </w:style>
  <w:style w:type="character" w:styleId="Lienhypertexte">
    <w:name w:val="Hyperlink"/>
    <w:unhideWhenUsed/>
    <w:rsid w:val="00AF3189"/>
    <w:rPr>
      <w:color w:val="0563C1"/>
      <w:u w:val="single"/>
    </w:rPr>
  </w:style>
  <w:style w:type="character" w:customStyle="1" w:styleId="CarCar1">
    <w:name w:val="Car Car1"/>
    <w:semiHidden/>
    <w:rsid w:val="00D73BB4"/>
    <w:rPr>
      <w:rFonts w:ascii="Arial" w:eastAsia="Times New Roman" w:hAnsi="Arial"/>
      <w:sz w:val="24"/>
    </w:rPr>
  </w:style>
  <w:style w:type="paragraph" w:styleId="Paragraphedeliste">
    <w:name w:val="List Paragraph"/>
    <w:basedOn w:val="Normal"/>
    <w:qFormat/>
    <w:rsid w:val="00D73BB4"/>
    <w:pPr>
      <w:ind w:left="720"/>
      <w:contextualSpacing/>
    </w:pPr>
  </w:style>
  <w:style w:type="character" w:customStyle="1" w:styleId="CarCar2">
    <w:name w:val="Car Car2"/>
    <w:rsid w:val="00CD04D9"/>
    <w:rPr>
      <w:rFonts w:ascii="Arial" w:hAnsi="Arial"/>
      <w:sz w:val="24"/>
    </w:rPr>
  </w:style>
  <w:style w:type="character" w:customStyle="1" w:styleId="FootnoteTextChar">
    <w:name w:val="Footnote Text Char"/>
    <w:basedOn w:val="Policepardfaut"/>
    <w:locked/>
    <w:rsid w:val="00ED57F6"/>
    <w:rPr>
      <w:rFonts w:ascii="Arial" w:hAnsi="Arial" w:cs="Times New Roman"/>
      <w:sz w:val="24"/>
    </w:rPr>
  </w:style>
  <w:style w:type="character" w:customStyle="1" w:styleId="CitationenretraitCar">
    <w:name w:val="Citation en retrait Car"/>
    <w:basedOn w:val="Policepardfaut"/>
    <w:link w:val="Citationenretrait"/>
    <w:rsid w:val="00DB6AF2"/>
    <w:rPr>
      <w:rFonts w:ascii="Arial" w:hAnsi="Arial"/>
      <w:kern w:val="24"/>
      <w:sz w:val="22"/>
      <w:lang w:val="fr-CA" w:eastAsia="fr-FR" w:bidi="ar-SA"/>
    </w:rPr>
  </w:style>
  <w:style w:type="character" w:customStyle="1" w:styleId="CitationendoubleretraitCar">
    <w:name w:val="Citation en double retrait Car"/>
    <w:basedOn w:val="CitationenretraitCar"/>
    <w:link w:val="Citationendoubleretrait"/>
    <w:rsid w:val="00DB6AF2"/>
    <w:rPr>
      <w:rFonts w:ascii="Arial" w:hAnsi="Arial"/>
      <w:kern w:val="24"/>
      <w:sz w:val="18"/>
      <w:lang w:val="fr-CA" w:eastAsia="fr-FR" w:bidi="ar-SA"/>
    </w:rPr>
  </w:style>
  <w:style w:type="character" w:customStyle="1" w:styleId="corpsdedcisionCar">
    <w:name w:val="corps de décision Car"/>
    <w:link w:val="corpsdedcision"/>
    <w:rsid w:val="00520115"/>
    <w:rPr>
      <w:rFonts w:ascii="Arial" w:hAnsi="Arial"/>
      <w:sz w:val="24"/>
    </w:rPr>
  </w:style>
  <w:style w:type="paragraph" w:customStyle="1" w:styleId="Corps">
    <w:name w:val="Corps"/>
    <w:basedOn w:val="Normal"/>
    <w:link w:val="CorpsCar"/>
    <w:rsid w:val="00627968"/>
    <w:pPr>
      <w:spacing w:line="360" w:lineRule="auto"/>
      <w:jc w:val="both"/>
    </w:pPr>
    <w:rPr>
      <w:rFonts w:cs="Arial"/>
      <w:sz w:val="22"/>
    </w:rPr>
  </w:style>
  <w:style w:type="character" w:customStyle="1" w:styleId="CorpsCar">
    <w:name w:val="Corps Car"/>
    <w:link w:val="Corps"/>
    <w:rsid w:val="00627968"/>
    <w:rPr>
      <w:rFonts w:ascii="Arial" w:hAnsi="Arial" w:cs="Arial"/>
      <w:sz w:val="22"/>
    </w:rPr>
  </w:style>
  <w:style w:type="paragraph" w:styleId="Textedebulles">
    <w:name w:val="Balloon Text"/>
    <w:basedOn w:val="Normal"/>
    <w:link w:val="TextedebullesCar"/>
    <w:rsid w:val="00DB49AD"/>
    <w:rPr>
      <w:rFonts w:ascii="Segoe UI" w:hAnsi="Segoe UI" w:cs="Segoe UI"/>
      <w:sz w:val="18"/>
      <w:szCs w:val="18"/>
    </w:rPr>
  </w:style>
  <w:style w:type="character" w:customStyle="1" w:styleId="TextedebullesCar">
    <w:name w:val="Texte de bulles Car"/>
    <w:basedOn w:val="Policepardfaut"/>
    <w:link w:val="Textedebulles"/>
    <w:rsid w:val="00DB49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44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3623</Words>
  <Characters>19928</Characters>
  <Application>Microsoft Office Word</Application>
  <DocSecurity>0</DocSecurity>
  <Lines>166</Lines>
  <Paragraphs>47</Paragraphs>
  <ScaleCrop>false</ScaleCrop>
  <Company/>
  <LinksUpToDate>false</LinksUpToDate>
  <CharactersWithSpaces>23504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2023-08-09T12:54:00Z</dcterms:created>
  <dcterms:modified xsi:type="dcterms:W3CDTF">2026-06-02T10:36:00Z</dcterms:modified>
</cp:coreProperties>
</file>