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6F5FD832" w14:textId="77777777">
        <w:trPr>
          <w:cantSplit/>
        </w:trPr>
        <w:tc>
          <w:tcPr>
            <w:tcW w:w="4795" w:type="dxa"/>
          </w:tcPr>
          <w:p w14:paraId="78197E83" w14:textId="77777777" w:rsidR="008A7FD1" w:rsidRPr="00746BD7" w:rsidRDefault="00746BD7" w:rsidP="00746BD7">
            <w:pPr>
              <w:pStyle w:val="zSoquijdatRepertorie"/>
              <w:rPr>
                <w:rFonts w:cs="Arial"/>
              </w:rPr>
            </w:pPr>
            <w:r>
              <w:rPr>
                <w:rFonts w:cs="Arial"/>
              </w:rPr>
              <w:t xml:space="preserve">Rivera Jimenez et Canards du Lac Brome </w:t>
            </w:r>
            <w:proofErr w:type="spellStart"/>
            <w:r>
              <w:rPr>
                <w:rFonts w:cs="Arial"/>
              </w:rPr>
              <w:t>ltée</w:t>
            </w:r>
            <w:proofErr w:type="spellEnd"/>
          </w:p>
        </w:tc>
        <w:tc>
          <w:tcPr>
            <w:tcW w:w="2477" w:type="dxa"/>
          </w:tcPr>
          <w:p w14:paraId="0517713D" w14:textId="77777777" w:rsidR="008A7FD1" w:rsidRPr="00780703" w:rsidRDefault="00780703" w:rsidP="00780703">
            <w:pPr>
              <w:pStyle w:val="zSoquijdatRefNeutre"/>
              <w:rPr>
                <w:rFonts w:cs="Arial"/>
              </w:rPr>
            </w:pPr>
            <w:r w:rsidRPr="00780703">
              <w:rPr>
                <w:rFonts w:cs="Arial"/>
              </w:rPr>
              <w:t>2021 QCTAT 4340</w:t>
            </w:r>
          </w:p>
        </w:tc>
      </w:tr>
    </w:tbl>
    <w:p w14:paraId="4AF5E85B"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614"/>
        <w:gridCol w:w="1134"/>
        <w:gridCol w:w="709"/>
        <w:gridCol w:w="4111"/>
      </w:tblGrid>
      <w:tr w:rsidR="00C74B6F" w14:paraId="6089091F" w14:textId="77777777" w:rsidTr="002A374B">
        <w:trPr>
          <w:cantSplit/>
        </w:trPr>
        <w:tc>
          <w:tcPr>
            <w:tcW w:w="9568" w:type="dxa"/>
            <w:gridSpan w:val="4"/>
          </w:tcPr>
          <w:p w14:paraId="56DFBE01" w14:textId="77777777" w:rsidR="00C74B6F" w:rsidRPr="00BE1981" w:rsidRDefault="00C74B6F">
            <w:pPr>
              <w:rPr>
                <w:szCs w:val="24"/>
              </w:rPr>
            </w:pPr>
          </w:p>
        </w:tc>
      </w:tr>
      <w:tr w:rsidR="00C74B6F" w14:paraId="3C84F170" w14:textId="77777777" w:rsidTr="002A374B">
        <w:trPr>
          <w:cantSplit/>
        </w:trPr>
        <w:tc>
          <w:tcPr>
            <w:tcW w:w="9568" w:type="dxa"/>
            <w:gridSpan w:val="4"/>
            <w:vAlign w:val="center"/>
          </w:tcPr>
          <w:p w14:paraId="042FE586" w14:textId="77777777" w:rsidR="00C74B6F" w:rsidRPr="000E1320" w:rsidRDefault="000E1320">
            <w:pPr>
              <w:jc w:val="center"/>
              <w:rPr>
                <w:sz w:val="36"/>
                <w:szCs w:val="36"/>
              </w:rPr>
            </w:pPr>
            <w:r w:rsidRPr="000E1320">
              <w:rPr>
                <w:b/>
                <w:sz w:val="36"/>
                <w:szCs w:val="36"/>
              </w:rPr>
              <w:t>TRIBUNAL ADMINISTRATIF DU TRAVAIL</w:t>
            </w:r>
          </w:p>
        </w:tc>
      </w:tr>
      <w:tr w:rsidR="00C74B6F" w14:paraId="54B21A8A" w14:textId="77777777" w:rsidTr="002A374B">
        <w:trPr>
          <w:cantSplit/>
        </w:trPr>
        <w:tc>
          <w:tcPr>
            <w:tcW w:w="9568" w:type="dxa"/>
            <w:gridSpan w:val="4"/>
          </w:tcPr>
          <w:p w14:paraId="532F3286" w14:textId="77777777" w:rsidR="00C74B6F" w:rsidRPr="00BE7014" w:rsidRDefault="006F0154" w:rsidP="009A67E7">
            <w:pPr>
              <w:pStyle w:val="zSoquijdatDivision"/>
            </w:pPr>
            <w:r w:rsidRPr="00BE7014">
              <w:t>(</w:t>
            </w:r>
            <w:r w:rsidR="00BC2749" w:rsidRPr="00441ADA">
              <w:t>Division de la santé et de la sécurité du travail</w:t>
            </w:r>
            <w:r w:rsidRPr="00BE7014">
              <w:t>)</w:t>
            </w:r>
          </w:p>
        </w:tc>
      </w:tr>
      <w:tr w:rsidR="00C74B6F" w14:paraId="576C2959" w14:textId="77777777" w:rsidTr="002A374B">
        <w:trPr>
          <w:cantSplit/>
        </w:trPr>
        <w:tc>
          <w:tcPr>
            <w:tcW w:w="9568" w:type="dxa"/>
            <w:gridSpan w:val="4"/>
          </w:tcPr>
          <w:p w14:paraId="4FB1147F" w14:textId="77777777" w:rsidR="002B2FC3" w:rsidRDefault="002B2FC3" w:rsidP="002B2FC3"/>
        </w:tc>
      </w:tr>
      <w:tr w:rsidR="00A84FC6" w14:paraId="6BAE8D3E" w14:textId="77777777" w:rsidTr="002A374B">
        <w:trPr>
          <w:cantSplit/>
        </w:trPr>
        <w:tc>
          <w:tcPr>
            <w:tcW w:w="9568" w:type="dxa"/>
            <w:gridSpan w:val="4"/>
          </w:tcPr>
          <w:p w14:paraId="6B7B13AC" w14:textId="77777777" w:rsidR="00A84FC6" w:rsidRDefault="00A84FC6" w:rsidP="002B2FC3"/>
        </w:tc>
      </w:tr>
      <w:tr w:rsidR="00C74B6F" w14:paraId="3C47581C" w14:textId="77777777" w:rsidTr="005E654C">
        <w:tc>
          <w:tcPr>
            <w:tcW w:w="3614" w:type="dxa"/>
          </w:tcPr>
          <w:p w14:paraId="226D629C" w14:textId="77777777" w:rsidR="00C74B6F" w:rsidRDefault="0084255F">
            <w:bookmarkStart w:id="0" w:name="region" w:colFirst="1" w:colLast="1"/>
            <w:r>
              <w:t>Région :</w:t>
            </w:r>
          </w:p>
        </w:tc>
        <w:tc>
          <w:tcPr>
            <w:tcW w:w="5954" w:type="dxa"/>
            <w:gridSpan w:val="3"/>
          </w:tcPr>
          <w:p w14:paraId="596CC17A" w14:textId="77777777" w:rsidR="00C74B6F" w:rsidRDefault="00BC2749" w:rsidP="00F4095A">
            <w:pPr>
              <w:pStyle w:val="zSoquijdatGreffe"/>
            </w:pPr>
            <w:r>
              <w:t>Yamaska</w:t>
            </w:r>
          </w:p>
        </w:tc>
      </w:tr>
      <w:bookmarkEnd w:id="0"/>
      <w:tr w:rsidR="00C74B6F" w14:paraId="219526A9" w14:textId="77777777" w:rsidTr="002A374B">
        <w:trPr>
          <w:cantSplit/>
        </w:trPr>
        <w:tc>
          <w:tcPr>
            <w:tcW w:w="9568" w:type="dxa"/>
            <w:gridSpan w:val="4"/>
          </w:tcPr>
          <w:p w14:paraId="180C0E81" w14:textId="77777777" w:rsidR="00C74B6F" w:rsidRDefault="00C74B6F"/>
        </w:tc>
      </w:tr>
      <w:tr w:rsidR="00C74B6F" w14:paraId="019691D0" w14:textId="77777777" w:rsidTr="005E654C">
        <w:tc>
          <w:tcPr>
            <w:tcW w:w="3614" w:type="dxa"/>
          </w:tcPr>
          <w:p w14:paraId="71F8D2EB" w14:textId="77777777" w:rsidR="00C74B6F" w:rsidRDefault="0084255F">
            <w:bookmarkStart w:id="1" w:name="ref_dossier" w:colFirst="1" w:colLast="1"/>
            <w:r>
              <w:t>Dossier</w:t>
            </w:r>
            <w:bookmarkStart w:id="2" w:name="dossiers"/>
            <w:bookmarkEnd w:id="2"/>
            <w:r>
              <w:t> :</w:t>
            </w:r>
          </w:p>
        </w:tc>
        <w:tc>
          <w:tcPr>
            <w:tcW w:w="5954" w:type="dxa"/>
            <w:gridSpan w:val="3"/>
          </w:tcPr>
          <w:p w14:paraId="71C0840B" w14:textId="77777777" w:rsidR="00C74B6F" w:rsidRDefault="00BC2749" w:rsidP="00F4095A">
            <w:pPr>
              <w:pStyle w:val="zSoquijdatNoDossier"/>
            </w:pPr>
            <w:r>
              <w:t>703335-62B-1906</w:t>
            </w:r>
          </w:p>
        </w:tc>
      </w:tr>
      <w:bookmarkEnd w:id="1"/>
      <w:tr w:rsidR="00C74B6F" w14:paraId="112CD20A" w14:textId="77777777" w:rsidTr="002A374B">
        <w:trPr>
          <w:cantSplit/>
        </w:trPr>
        <w:tc>
          <w:tcPr>
            <w:tcW w:w="9568" w:type="dxa"/>
            <w:gridSpan w:val="4"/>
          </w:tcPr>
          <w:p w14:paraId="086476C3" w14:textId="77777777" w:rsidR="00C74B6F" w:rsidRDefault="00D44BCF">
            <w:r>
              <w:fldChar w:fldCharType="begin"/>
            </w:r>
            <w:r>
              <w:instrText xml:space="preserve"> AUTOTEXTLIST  \* Upper  \* MERGEFORMAT </w:instrText>
            </w:r>
            <w:r>
              <w:fldChar w:fldCharType="end"/>
            </w:r>
          </w:p>
        </w:tc>
      </w:tr>
      <w:tr w:rsidR="00C74B6F" w14:paraId="29CC3A53" w14:textId="77777777" w:rsidTr="005E654C">
        <w:tc>
          <w:tcPr>
            <w:tcW w:w="3614" w:type="dxa"/>
          </w:tcPr>
          <w:p w14:paraId="7F827546" w14:textId="77777777" w:rsidR="00C74B6F" w:rsidRDefault="008C79A7" w:rsidP="0045114F">
            <w:pPr>
              <w:ind w:right="46"/>
            </w:pPr>
            <w:r>
              <w:t xml:space="preserve">Dossier </w:t>
            </w:r>
            <w:r w:rsidR="00BC2749" w:rsidRPr="00BC2749">
              <w:rPr>
                <w:szCs w:val="24"/>
              </w:rPr>
              <w:t>CNESST</w:t>
            </w:r>
            <w:r w:rsidR="00913ADF">
              <w:rPr>
                <w:szCs w:val="24"/>
              </w:rPr>
              <w:t> :</w:t>
            </w:r>
          </w:p>
        </w:tc>
        <w:tc>
          <w:tcPr>
            <w:tcW w:w="5954" w:type="dxa"/>
            <w:gridSpan w:val="3"/>
          </w:tcPr>
          <w:p w14:paraId="4ADA0A5C" w14:textId="77777777" w:rsidR="00C74B6F" w:rsidRDefault="00BC2749" w:rsidP="004D6CEA">
            <w:pPr>
              <w:pStyle w:val="zSoquijdatNCSST"/>
            </w:pPr>
            <w:r>
              <w:t>501469423</w:t>
            </w:r>
          </w:p>
        </w:tc>
      </w:tr>
      <w:tr w:rsidR="00C74B6F" w14:paraId="0E2E0172" w14:textId="77777777" w:rsidTr="002A374B">
        <w:trPr>
          <w:cantSplit/>
        </w:trPr>
        <w:tc>
          <w:tcPr>
            <w:tcW w:w="9568" w:type="dxa"/>
            <w:gridSpan w:val="4"/>
          </w:tcPr>
          <w:p w14:paraId="1AE63FE5" w14:textId="77777777" w:rsidR="00C74B6F" w:rsidRDefault="00C74B6F"/>
        </w:tc>
      </w:tr>
      <w:tr w:rsidR="00C74B6F" w14:paraId="5E8D1FB1" w14:textId="77777777" w:rsidTr="005E654C">
        <w:tc>
          <w:tcPr>
            <w:tcW w:w="3614" w:type="dxa"/>
          </w:tcPr>
          <w:p w14:paraId="15FA304F" w14:textId="77777777" w:rsidR="00C74B6F" w:rsidRDefault="00BC2749">
            <w:bookmarkStart w:id="3" w:name="assesseur"/>
            <w:bookmarkEnd w:id="3"/>
            <w:r>
              <w:t>Assesseur :</w:t>
            </w:r>
          </w:p>
        </w:tc>
        <w:tc>
          <w:tcPr>
            <w:tcW w:w="5954" w:type="dxa"/>
            <w:gridSpan w:val="3"/>
          </w:tcPr>
          <w:p w14:paraId="3A1BFB86" w14:textId="77777777" w:rsidR="00C74B6F" w:rsidRDefault="00BC2749" w:rsidP="00F4095A">
            <w:pPr>
              <w:pStyle w:val="zSoquijdatAssesseurs"/>
            </w:pPr>
            <w:r>
              <w:t>Jean-Yves Dansereau, médecin</w:t>
            </w:r>
          </w:p>
        </w:tc>
      </w:tr>
      <w:tr w:rsidR="00C74B6F" w14:paraId="5EA0EA21" w14:textId="77777777" w:rsidTr="002A374B">
        <w:trPr>
          <w:cantSplit/>
        </w:trPr>
        <w:tc>
          <w:tcPr>
            <w:tcW w:w="9568" w:type="dxa"/>
            <w:gridSpan w:val="4"/>
          </w:tcPr>
          <w:p w14:paraId="6705A53C" w14:textId="77777777" w:rsidR="00C74B6F" w:rsidRDefault="00C74B6F"/>
        </w:tc>
      </w:tr>
      <w:tr w:rsidR="00C74B6F" w14:paraId="43C250FB" w14:textId="77777777" w:rsidTr="002A374B">
        <w:trPr>
          <w:cantSplit/>
        </w:trPr>
        <w:tc>
          <w:tcPr>
            <w:tcW w:w="9568" w:type="dxa"/>
            <w:gridSpan w:val="4"/>
          </w:tcPr>
          <w:p w14:paraId="5E42CD14" w14:textId="77777777" w:rsidR="00C74B6F" w:rsidRDefault="00C74B6F"/>
        </w:tc>
      </w:tr>
      <w:tr w:rsidR="006E3DD8" w14:paraId="37E63B16" w14:textId="77777777" w:rsidTr="005E654C">
        <w:trPr>
          <w:cantSplit/>
        </w:trPr>
        <w:tc>
          <w:tcPr>
            <w:tcW w:w="3614" w:type="dxa"/>
          </w:tcPr>
          <w:p w14:paraId="10A9896C" w14:textId="77777777" w:rsidR="006E3DD8" w:rsidRDefault="00BC2749" w:rsidP="006E3DD8">
            <w:pPr>
              <w:tabs>
                <w:tab w:val="left" w:pos="2672"/>
              </w:tabs>
            </w:pPr>
            <w:r>
              <w:t>Saint-Hyacinthe</w:t>
            </w:r>
            <w:r w:rsidR="00C04E32">
              <w:t>,</w:t>
            </w:r>
          </w:p>
        </w:tc>
        <w:tc>
          <w:tcPr>
            <w:tcW w:w="5954" w:type="dxa"/>
            <w:gridSpan w:val="3"/>
          </w:tcPr>
          <w:p w14:paraId="5309BEB6" w14:textId="77777777" w:rsidR="006E3DD8" w:rsidRDefault="00C04E32" w:rsidP="00E0033E">
            <w:pPr>
              <w:pStyle w:val="zSoquijdatDateJugement"/>
            </w:pPr>
            <w:proofErr w:type="gramStart"/>
            <w:r>
              <w:t>le</w:t>
            </w:r>
            <w:proofErr w:type="gramEnd"/>
            <w:r>
              <w:t xml:space="preserve"> </w:t>
            </w:r>
            <w:r w:rsidR="00E0033E">
              <w:t>8 septembre 2021</w:t>
            </w:r>
          </w:p>
        </w:tc>
      </w:tr>
      <w:tr w:rsidR="00942AB8" w14:paraId="37E9E068" w14:textId="77777777" w:rsidTr="002A374B">
        <w:trPr>
          <w:cantSplit/>
        </w:trPr>
        <w:tc>
          <w:tcPr>
            <w:tcW w:w="9568" w:type="dxa"/>
            <w:gridSpan w:val="4"/>
          </w:tcPr>
          <w:p w14:paraId="16759535" w14:textId="77777777" w:rsidR="00942AB8" w:rsidRDefault="00942AB8" w:rsidP="00FA153F">
            <w:r>
              <w:t>______________________________________________________________________</w:t>
            </w:r>
          </w:p>
        </w:tc>
      </w:tr>
      <w:tr w:rsidR="00942AB8" w14:paraId="5ACC1CC6" w14:textId="77777777" w:rsidTr="002A374B">
        <w:trPr>
          <w:cantSplit/>
          <w:trHeight w:val="148"/>
        </w:trPr>
        <w:tc>
          <w:tcPr>
            <w:tcW w:w="9568" w:type="dxa"/>
            <w:gridSpan w:val="4"/>
          </w:tcPr>
          <w:p w14:paraId="2252BA91" w14:textId="77777777" w:rsidR="00942AB8" w:rsidRDefault="00942AB8" w:rsidP="00FA153F"/>
        </w:tc>
      </w:tr>
      <w:tr w:rsidR="0035375B" w14:paraId="5C4C61D1" w14:textId="77777777" w:rsidTr="00A12E55">
        <w:trPr>
          <w:cantSplit/>
          <w:trHeight w:val="148"/>
        </w:trPr>
        <w:tc>
          <w:tcPr>
            <w:tcW w:w="5457" w:type="dxa"/>
            <w:gridSpan w:val="3"/>
          </w:tcPr>
          <w:p w14:paraId="6378B86F" w14:textId="77777777" w:rsidR="0035375B" w:rsidRPr="00942AB8" w:rsidRDefault="0035375B" w:rsidP="00BC2749">
            <w:pPr>
              <w:rPr>
                <w:b/>
                <w:bCs/>
              </w:rPr>
            </w:pPr>
            <w:bookmarkStart w:id="4" w:name="ref_commissaire" w:colFirst="1" w:colLast="1"/>
            <w:r w:rsidRPr="00942AB8">
              <w:rPr>
                <w:b/>
                <w:bCs/>
              </w:rPr>
              <w:t>DEVANT L</w:t>
            </w:r>
            <w:r w:rsidR="00BC2749">
              <w:rPr>
                <w:b/>
                <w:bCs/>
              </w:rPr>
              <w:t>A</w:t>
            </w:r>
            <w:r w:rsidRPr="00942AB8">
              <w:rPr>
                <w:b/>
                <w:bCs/>
              </w:rPr>
              <w:t xml:space="preserve"> JUGE ADMINISTRATI</w:t>
            </w:r>
            <w:r w:rsidR="00BC2749">
              <w:rPr>
                <w:b/>
                <w:bCs/>
              </w:rPr>
              <w:t>VE</w:t>
            </w:r>
            <w:r w:rsidRPr="00942AB8">
              <w:rPr>
                <w:b/>
                <w:bCs/>
              </w:rPr>
              <w:t> :</w:t>
            </w:r>
          </w:p>
        </w:tc>
        <w:tc>
          <w:tcPr>
            <w:tcW w:w="4111" w:type="dxa"/>
          </w:tcPr>
          <w:p w14:paraId="294878BB" w14:textId="77777777" w:rsidR="0035375B" w:rsidRPr="00942AB8" w:rsidRDefault="00BC2749" w:rsidP="005B5689">
            <w:pPr>
              <w:pStyle w:val="zSoquijdatJuge"/>
              <w:rPr>
                <w:bCs/>
              </w:rPr>
            </w:pPr>
            <w:r>
              <w:t>Karine Savard</w:t>
            </w:r>
          </w:p>
        </w:tc>
      </w:tr>
      <w:bookmarkEnd w:id="4"/>
      <w:tr w:rsidR="00942AB8" w14:paraId="466E935F" w14:textId="77777777" w:rsidTr="002A374B">
        <w:trPr>
          <w:cantSplit/>
          <w:trHeight w:val="148"/>
        </w:trPr>
        <w:tc>
          <w:tcPr>
            <w:tcW w:w="9568" w:type="dxa"/>
            <w:gridSpan w:val="4"/>
          </w:tcPr>
          <w:p w14:paraId="79517E7E" w14:textId="77777777" w:rsidR="00942AB8" w:rsidRDefault="00942AB8" w:rsidP="00FA153F">
            <w:r>
              <w:t>______________________________________________________________________</w:t>
            </w:r>
          </w:p>
        </w:tc>
      </w:tr>
      <w:tr w:rsidR="00942AB8" w14:paraId="149C423C" w14:textId="77777777" w:rsidTr="002A374B">
        <w:tc>
          <w:tcPr>
            <w:tcW w:w="9568" w:type="dxa"/>
            <w:gridSpan w:val="4"/>
          </w:tcPr>
          <w:p w14:paraId="1B18770F" w14:textId="77777777" w:rsidR="00942AB8" w:rsidRDefault="00942AB8"/>
        </w:tc>
      </w:tr>
      <w:tr w:rsidR="00942AB8" w14:paraId="353B302E" w14:textId="77777777" w:rsidTr="00D40ABA">
        <w:tc>
          <w:tcPr>
            <w:tcW w:w="4748" w:type="dxa"/>
            <w:gridSpan w:val="2"/>
          </w:tcPr>
          <w:p w14:paraId="49A5ABB9" w14:textId="77777777" w:rsidR="00942AB8" w:rsidRDefault="00942AB8">
            <w:bookmarkStart w:id="5" w:name="bloc_parties_gauche"/>
            <w:bookmarkEnd w:id="5"/>
          </w:p>
        </w:tc>
        <w:tc>
          <w:tcPr>
            <w:tcW w:w="4820" w:type="dxa"/>
            <w:gridSpan w:val="2"/>
          </w:tcPr>
          <w:p w14:paraId="73B9AD53" w14:textId="77777777" w:rsidR="00942AB8" w:rsidRDefault="00942AB8"/>
        </w:tc>
      </w:tr>
      <w:tr w:rsidR="00942AB8" w14:paraId="05C2E824" w14:textId="77777777" w:rsidTr="00D40ABA">
        <w:tc>
          <w:tcPr>
            <w:tcW w:w="4748" w:type="dxa"/>
            <w:gridSpan w:val="2"/>
          </w:tcPr>
          <w:p w14:paraId="3AB42542" w14:textId="77777777" w:rsidR="00942AB8" w:rsidRDefault="00BC2749">
            <w:pPr>
              <w:pStyle w:val="zSoquijdatNomPartieDem"/>
              <w:rPr>
                <w:b/>
              </w:rPr>
            </w:pPr>
            <w:proofErr w:type="spellStart"/>
            <w:r>
              <w:rPr>
                <w:b/>
              </w:rPr>
              <w:t>Nurth</w:t>
            </w:r>
            <w:proofErr w:type="spellEnd"/>
            <w:r>
              <w:rPr>
                <w:b/>
              </w:rPr>
              <w:t xml:space="preserve"> Rivera Jimenez</w:t>
            </w:r>
          </w:p>
        </w:tc>
        <w:tc>
          <w:tcPr>
            <w:tcW w:w="4820" w:type="dxa"/>
            <w:gridSpan w:val="2"/>
          </w:tcPr>
          <w:p w14:paraId="2C0638EF" w14:textId="77777777" w:rsidR="00942AB8" w:rsidRDefault="00942AB8"/>
        </w:tc>
      </w:tr>
      <w:tr w:rsidR="00942AB8" w14:paraId="67A83124" w14:textId="77777777" w:rsidTr="00D40ABA">
        <w:tc>
          <w:tcPr>
            <w:tcW w:w="4748" w:type="dxa"/>
            <w:gridSpan w:val="2"/>
          </w:tcPr>
          <w:p w14:paraId="21507337" w14:textId="77777777" w:rsidR="00942AB8" w:rsidRDefault="00BC2749" w:rsidP="007B0DF2">
            <w:pPr>
              <w:pStyle w:val="zSoquijdatQtePartieDem"/>
              <w:tabs>
                <w:tab w:val="left" w:pos="3539"/>
              </w:tabs>
              <w:ind w:left="708"/>
            </w:pPr>
            <w:bookmarkStart w:id="6" w:name="partie_demanderesse"/>
            <w:bookmarkEnd w:id="6"/>
            <w:r>
              <w:t>Partie demanderesse</w:t>
            </w:r>
          </w:p>
        </w:tc>
        <w:tc>
          <w:tcPr>
            <w:tcW w:w="4820" w:type="dxa"/>
            <w:gridSpan w:val="2"/>
          </w:tcPr>
          <w:p w14:paraId="2660B90F" w14:textId="77777777" w:rsidR="00942AB8" w:rsidRDefault="00942AB8"/>
        </w:tc>
      </w:tr>
      <w:tr w:rsidR="00942AB8" w14:paraId="55A8B42B" w14:textId="77777777" w:rsidTr="00D40ABA">
        <w:tc>
          <w:tcPr>
            <w:tcW w:w="4748" w:type="dxa"/>
            <w:gridSpan w:val="2"/>
          </w:tcPr>
          <w:p w14:paraId="3A7210DD" w14:textId="77777777" w:rsidR="00942AB8" w:rsidRDefault="00942AB8"/>
        </w:tc>
        <w:tc>
          <w:tcPr>
            <w:tcW w:w="4820" w:type="dxa"/>
            <w:gridSpan w:val="2"/>
          </w:tcPr>
          <w:p w14:paraId="44FDBF82" w14:textId="77777777" w:rsidR="00942AB8" w:rsidRDefault="00942AB8"/>
        </w:tc>
      </w:tr>
      <w:tr w:rsidR="00942AB8" w14:paraId="28C8D164" w14:textId="77777777" w:rsidTr="00D40ABA">
        <w:tc>
          <w:tcPr>
            <w:tcW w:w="4748" w:type="dxa"/>
            <w:gridSpan w:val="2"/>
          </w:tcPr>
          <w:p w14:paraId="4414BC93" w14:textId="77777777" w:rsidR="00942AB8" w:rsidRDefault="00BC2749" w:rsidP="00D06652">
            <w:pPr>
              <w:pStyle w:val="zSoquijlblLienParties"/>
            </w:pPr>
            <w:proofErr w:type="gramStart"/>
            <w:r>
              <w:t>et</w:t>
            </w:r>
            <w:proofErr w:type="gramEnd"/>
          </w:p>
        </w:tc>
        <w:tc>
          <w:tcPr>
            <w:tcW w:w="4820" w:type="dxa"/>
            <w:gridSpan w:val="2"/>
          </w:tcPr>
          <w:p w14:paraId="6A931CE8" w14:textId="77777777" w:rsidR="00942AB8" w:rsidRDefault="00942AB8"/>
        </w:tc>
      </w:tr>
      <w:tr w:rsidR="00942AB8" w14:paraId="4B78C9E0" w14:textId="77777777" w:rsidTr="00D40ABA">
        <w:tc>
          <w:tcPr>
            <w:tcW w:w="4748" w:type="dxa"/>
            <w:gridSpan w:val="2"/>
          </w:tcPr>
          <w:p w14:paraId="3B15AC64" w14:textId="77777777" w:rsidR="00942AB8" w:rsidRDefault="00942AB8"/>
        </w:tc>
        <w:tc>
          <w:tcPr>
            <w:tcW w:w="4820" w:type="dxa"/>
            <w:gridSpan w:val="2"/>
          </w:tcPr>
          <w:p w14:paraId="4983419C" w14:textId="77777777" w:rsidR="00942AB8" w:rsidRDefault="00942AB8"/>
        </w:tc>
      </w:tr>
      <w:tr w:rsidR="00942AB8" w14:paraId="249FC455" w14:textId="77777777" w:rsidTr="00D40ABA">
        <w:tc>
          <w:tcPr>
            <w:tcW w:w="4748" w:type="dxa"/>
            <w:gridSpan w:val="2"/>
          </w:tcPr>
          <w:p w14:paraId="73E565CC" w14:textId="77777777" w:rsidR="00942AB8" w:rsidRDefault="00BC2749">
            <w:pPr>
              <w:pStyle w:val="zSoquijdatNomPartieDef"/>
              <w:rPr>
                <w:b/>
              </w:rPr>
            </w:pPr>
            <w:r>
              <w:rPr>
                <w:b/>
              </w:rPr>
              <w:t xml:space="preserve">Canards du Lac Brome </w:t>
            </w:r>
            <w:proofErr w:type="spellStart"/>
            <w:r>
              <w:rPr>
                <w:b/>
              </w:rPr>
              <w:t>ltée</w:t>
            </w:r>
            <w:proofErr w:type="spellEnd"/>
          </w:p>
        </w:tc>
        <w:tc>
          <w:tcPr>
            <w:tcW w:w="4820" w:type="dxa"/>
            <w:gridSpan w:val="2"/>
          </w:tcPr>
          <w:p w14:paraId="427F31A1" w14:textId="77777777" w:rsidR="00942AB8" w:rsidRDefault="00942AB8"/>
        </w:tc>
      </w:tr>
      <w:tr w:rsidR="00942AB8" w14:paraId="17553822" w14:textId="77777777" w:rsidTr="00D40ABA">
        <w:tc>
          <w:tcPr>
            <w:tcW w:w="4748" w:type="dxa"/>
            <w:gridSpan w:val="2"/>
          </w:tcPr>
          <w:p w14:paraId="203BB85D" w14:textId="77777777" w:rsidR="00942AB8" w:rsidRDefault="00BC2749">
            <w:pPr>
              <w:pStyle w:val="zSoquijdatQtePartieDef"/>
              <w:ind w:left="708"/>
            </w:pPr>
            <w:r>
              <w:t>Partie mise en cause</w:t>
            </w:r>
          </w:p>
        </w:tc>
        <w:tc>
          <w:tcPr>
            <w:tcW w:w="4820" w:type="dxa"/>
            <w:gridSpan w:val="2"/>
          </w:tcPr>
          <w:p w14:paraId="2E1C8634" w14:textId="77777777" w:rsidR="00942AB8" w:rsidRDefault="00942AB8"/>
        </w:tc>
      </w:tr>
      <w:tr w:rsidR="0065093D" w14:paraId="54C7B945" w14:textId="77777777" w:rsidTr="00D40ABA">
        <w:tc>
          <w:tcPr>
            <w:tcW w:w="4748" w:type="dxa"/>
            <w:gridSpan w:val="2"/>
          </w:tcPr>
          <w:p w14:paraId="3B572F84" w14:textId="77777777" w:rsidR="0065093D" w:rsidRDefault="0065093D"/>
        </w:tc>
        <w:tc>
          <w:tcPr>
            <w:tcW w:w="4820" w:type="dxa"/>
            <w:gridSpan w:val="2"/>
          </w:tcPr>
          <w:p w14:paraId="1AC6B984" w14:textId="77777777" w:rsidR="0065093D" w:rsidRDefault="0065093D"/>
        </w:tc>
      </w:tr>
    </w:tbl>
    <w:p w14:paraId="0D1B6E60" w14:textId="77777777" w:rsidR="00C74B6F" w:rsidRDefault="00C74B6F">
      <w:r>
        <w:t>______________________________________________________________________</w:t>
      </w:r>
    </w:p>
    <w:p w14:paraId="70661856" w14:textId="77777777" w:rsidR="00C74B6F" w:rsidRDefault="00C74B6F"/>
    <w:p w14:paraId="17C095AE" w14:textId="77777777" w:rsidR="00C74B6F" w:rsidRPr="005B0612" w:rsidRDefault="00C74B6F" w:rsidP="008B042E">
      <w:pPr>
        <w:jc w:val="center"/>
        <w:rPr>
          <w:b/>
          <w:bCs/>
        </w:rPr>
      </w:pPr>
      <w:bookmarkStart w:id="7" w:name="decision"/>
      <w:r w:rsidRPr="005B0612">
        <w:rPr>
          <w:b/>
          <w:bCs/>
        </w:rPr>
        <w:t>DÉCISION</w:t>
      </w:r>
      <w:bookmarkEnd w:id="7"/>
    </w:p>
    <w:p w14:paraId="523AE00B" w14:textId="77777777" w:rsidR="00C74B6F" w:rsidRDefault="00C74B6F">
      <w:pPr>
        <w:jc w:val="center"/>
      </w:pPr>
      <w:r>
        <w:t>______________________________________________________________________</w:t>
      </w:r>
    </w:p>
    <w:p w14:paraId="37B1E9CD" w14:textId="77777777" w:rsidR="00C74B6F" w:rsidRDefault="00C74B6F"/>
    <w:p w14:paraId="3F633537" w14:textId="77777777" w:rsidR="00082A97" w:rsidRPr="00B51F99" w:rsidRDefault="00082A97" w:rsidP="00F10236">
      <w:pPr>
        <w:pStyle w:val="corpsdedcision"/>
        <w:numPr>
          <w:ilvl w:val="0"/>
          <w:numId w:val="0"/>
        </w:numPr>
        <w:rPr>
          <w:u w:val="single"/>
        </w:rPr>
      </w:pPr>
      <w:r>
        <w:rPr>
          <w:b/>
          <w:bCs/>
          <w:u w:val="single"/>
        </w:rPr>
        <w:t>L’APERÇU</w:t>
      </w:r>
    </w:p>
    <w:p w14:paraId="5BFD4D5B" w14:textId="77777777" w:rsidR="00C74B6F" w:rsidRPr="00523A13" w:rsidRDefault="007C105F" w:rsidP="00E746E6">
      <w:pPr>
        <w:pStyle w:val="corpsdedcision"/>
        <w:tabs>
          <w:tab w:val="clear" w:pos="360"/>
          <w:tab w:val="num" w:pos="720"/>
        </w:tabs>
      </w:pPr>
      <w:r>
        <w:t xml:space="preserve">Madame Nurth Rivera Jimenez, la travailleuse, </w:t>
      </w:r>
      <w:r w:rsidR="00913ADF">
        <w:t xml:space="preserve">est journalière depuis </w:t>
      </w:r>
      <w:r w:rsidR="00913ADF" w:rsidRPr="00523A13">
        <w:t>décembre </w:t>
      </w:r>
      <w:r w:rsidRPr="00523A13">
        <w:t xml:space="preserve">2011 pour le compte de Canards du Lac Brome </w:t>
      </w:r>
      <w:proofErr w:type="spellStart"/>
      <w:r w:rsidRPr="00523A13">
        <w:t>ltée</w:t>
      </w:r>
      <w:proofErr w:type="spellEnd"/>
      <w:r w:rsidRPr="00523A13">
        <w:t>, l’employeur.</w:t>
      </w:r>
    </w:p>
    <w:p w14:paraId="1F8D75C0" w14:textId="77777777" w:rsidR="007C105F" w:rsidRDefault="007C105F" w:rsidP="00E746E6">
      <w:pPr>
        <w:pStyle w:val="corpsdedcision"/>
        <w:tabs>
          <w:tab w:val="clear" w:pos="360"/>
          <w:tab w:val="num" w:pos="720"/>
        </w:tabs>
      </w:pPr>
      <w:r w:rsidRPr="00523A13">
        <w:t>Le 19 janvier 2016, elle sub</w:t>
      </w:r>
      <w:r w:rsidR="00913ADF" w:rsidRPr="00523A13">
        <w:t xml:space="preserve">it une lésion professionnelle. </w:t>
      </w:r>
      <w:r w:rsidR="00E26EC9" w:rsidRPr="00523A13">
        <w:t xml:space="preserve">Alors qu’elle se trouve à proximité d’un collègue, ce dernier </w:t>
      </w:r>
      <w:r w:rsidR="009C3C7A" w:rsidRPr="00523A13">
        <w:t>frappe accidentellement la travail</w:t>
      </w:r>
      <w:r w:rsidR="00913ADF" w:rsidRPr="00523A13">
        <w:t xml:space="preserve">leuse en enlevant son sarrau. </w:t>
      </w:r>
      <w:r w:rsidR="009C3C7A" w:rsidRPr="00523A13">
        <w:t>La travailleuse reçoit un coup de poing sur le côté gauche de la tête au niveau de la tempe</w:t>
      </w:r>
      <w:r w:rsidR="009C3C7A">
        <w:t xml:space="preserve"> et de l’oreille.</w:t>
      </w:r>
    </w:p>
    <w:p w14:paraId="10EB0A7D" w14:textId="77777777" w:rsidR="008404A0" w:rsidRDefault="00193D14" w:rsidP="00E746E6">
      <w:pPr>
        <w:pStyle w:val="corpsdedcision"/>
        <w:tabs>
          <w:tab w:val="clear" w:pos="360"/>
          <w:tab w:val="num" w:pos="720"/>
        </w:tabs>
      </w:pPr>
      <w:r>
        <w:lastRenderedPageBreak/>
        <w:t xml:space="preserve">Au départ, la Commission des normes, de l’équité, de la santé et de </w:t>
      </w:r>
      <w:r w:rsidR="00EB16F8">
        <w:t>la sécurité du travail reconnaît</w:t>
      </w:r>
      <w:r>
        <w:t>, à titre de lésion profess</w:t>
      </w:r>
      <w:r w:rsidR="00EB16F8">
        <w:t>ionnelle, les diagnostics de trauma</w:t>
      </w:r>
      <w:r w:rsidR="00913ADF">
        <w:t xml:space="preserve">tisme </w:t>
      </w:r>
      <w:proofErr w:type="spellStart"/>
      <w:r w:rsidR="00913ADF">
        <w:t>cr</w:t>
      </w:r>
      <w:r w:rsidR="00110687">
        <w:t>â</w:t>
      </w:r>
      <w:r w:rsidR="00913ADF">
        <w:t>nio</w:t>
      </w:r>
      <w:proofErr w:type="spellEnd"/>
      <w:r w:rsidR="00913ADF">
        <w:noBreakHyphen/>
      </w:r>
      <w:r w:rsidR="00913ADF" w:rsidRPr="00523A13">
        <w:t>cérébral (TCC)</w:t>
      </w:r>
      <w:r w:rsidR="005D5969">
        <w:t xml:space="preserve"> </w:t>
      </w:r>
      <w:r>
        <w:t xml:space="preserve">léger, de contusion de l’oreille </w:t>
      </w:r>
      <w:r w:rsidRPr="00523A13">
        <w:t xml:space="preserve">gauche et </w:t>
      </w:r>
      <w:r w:rsidR="00523A13" w:rsidRPr="00523A13">
        <w:t>temporo-</w:t>
      </w:r>
      <w:r w:rsidRPr="00523A13">
        <w:t>mandibulaire</w:t>
      </w:r>
      <w:r>
        <w:t xml:space="preserve"> gauche</w:t>
      </w:r>
      <w:r>
        <w:rPr>
          <w:rStyle w:val="FootnoteReference"/>
        </w:rPr>
        <w:footnoteReference w:id="1"/>
      </w:r>
      <w:r w:rsidR="00913ADF">
        <w:t xml:space="preserve">. </w:t>
      </w:r>
      <w:r>
        <w:t xml:space="preserve">Par la suite, les diagnostics de surdité neurosensorielle gauche traumatique et de trauma </w:t>
      </w:r>
      <w:proofErr w:type="spellStart"/>
      <w:r>
        <w:t>vestibulo</w:t>
      </w:r>
      <w:proofErr w:type="spellEnd"/>
      <w:r>
        <w:t>-cochléaire gauche ont également été acceptés</w:t>
      </w:r>
      <w:r>
        <w:rPr>
          <w:rStyle w:val="FootnoteReference"/>
        </w:rPr>
        <w:footnoteReference w:id="2"/>
      </w:r>
      <w:r>
        <w:t>.</w:t>
      </w:r>
    </w:p>
    <w:p w14:paraId="23FE18AE" w14:textId="77777777" w:rsidR="00193D14" w:rsidRPr="00DA5029" w:rsidRDefault="00193D14" w:rsidP="00E746E6">
      <w:pPr>
        <w:pStyle w:val="corpsdedcision"/>
        <w:tabs>
          <w:tab w:val="clear" w:pos="360"/>
          <w:tab w:val="num" w:pos="720"/>
        </w:tabs>
      </w:pPr>
      <w:r w:rsidRPr="009D7299">
        <w:t xml:space="preserve">Dans le cadre </w:t>
      </w:r>
      <w:r>
        <w:t>du traitement de son dossier, la travailleuse est</w:t>
      </w:r>
      <w:r w:rsidRPr="009D7299">
        <w:t xml:space="preserve"> examiné</w:t>
      </w:r>
      <w:r>
        <w:t>e</w:t>
      </w:r>
      <w:r w:rsidRPr="009D7299">
        <w:t xml:space="preserve"> par un médecin désigné de l’employeur. Considérant qu’il y a divergence d’opinions entre celui</w:t>
      </w:r>
      <w:r w:rsidRPr="009D7299">
        <w:noBreakHyphen/>
        <w:t>ci et le médecin traitant, le dossier est acheminé au Bureau d'évaluation médicale afin qu’un membre rende un avis sur l</w:t>
      </w:r>
      <w:r>
        <w:t>e diagnostic</w:t>
      </w:r>
      <w:r w:rsidR="00EB16F8">
        <w:rPr>
          <w:rStyle w:val="FootnoteReference"/>
        </w:rPr>
        <w:footnoteReference w:id="3"/>
      </w:r>
      <w:r>
        <w:t>, la consolidation,</w:t>
      </w:r>
      <w:r w:rsidRPr="009D7299">
        <w:t xml:space="preserve"> la nécessité de soins et </w:t>
      </w:r>
      <w:r>
        <w:t xml:space="preserve">de </w:t>
      </w:r>
      <w:r w:rsidRPr="009D7299">
        <w:t>traitements</w:t>
      </w:r>
      <w:r w:rsidRPr="00523A13">
        <w:t xml:space="preserve">, les limitations fonctionnelles et l’atteinte permanente à l’intégrité physique ou psychique de la </w:t>
      </w:r>
      <w:r w:rsidRPr="00DA5029">
        <w:t xml:space="preserve">travailleuse, le tout conformément à la procédure d’évaluation médicale prévue à la </w:t>
      </w:r>
      <w:r w:rsidRPr="00DA5029">
        <w:rPr>
          <w:i/>
        </w:rPr>
        <w:t>Loi sur les accidents du travail et les maladies professionnelles</w:t>
      </w:r>
      <w:r w:rsidRPr="00DA5029">
        <w:rPr>
          <w:rStyle w:val="FootnoteReference"/>
        </w:rPr>
        <w:footnoteReference w:id="4"/>
      </w:r>
      <w:r w:rsidR="00442E44" w:rsidRPr="00DA5029">
        <w:t>,</w:t>
      </w:r>
      <w:r w:rsidR="00442E44" w:rsidRPr="00DA5029">
        <w:rPr>
          <w:i/>
        </w:rPr>
        <w:t xml:space="preserve"> </w:t>
      </w:r>
      <w:r w:rsidR="00442E44" w:rsidRPr="00DA5029">
        <w:t>la Loi</w:t>
      </w:r>
      <w:r w:rsidR="00913ADF" w:rsidRPr="00DA5029">
        <w:t>.</w:t>
      </w:r>
    </w:p>
    <w:p w14:paraId="660598AF" w14:textId="77777777" w:rsidR="00193D14" w:rsidRDefault="00193D14" w:rsidP="00E746E6">
      <w:pPr>
        <w:pStyle w:val="corpsdedcision"/>
        <w:tabs>
          <w:tab w:val="clear" w:pos="360"/>
          <w:tab w:val="num" w:pos="720"/>
        </w:tabs>
      </w:pPr>
      <w:r w:rsidRPr="0096296E">
        <w:t>À la suite de cet avis, la Commission rend une décision par laquelle elle statue</w:t>
      </w:r>
      <w:r w:rsidR="00835509" w:rsidRPr="0096296E">
        <w:t>,</w:t>
      </w:r>
      <w:r w:rsidRPr="0096296E">
        <w:t xml:space="preserve"> notamment</w:t>
      </w:r>
      <w:r w:rsidR="00835509" w:rsidRPr="0096296E">
        <w:t>,</w:t>
      </w:r>
      <w:r w:rsidRPr="0096296E">
        <w:t xml:space="preserve"> </w:t>
      </w:r>
      <w:r w:rsidR="004005E9" w:rsidRPr="0096296E">
        <w:t xml:space="preserve">sur </w:t>
      </w:r>
      <w:r w:rsidRPr="0096296E">
        <w:t>les diagnostics de la lésion professionnelle</w:t>
      </w:r>
      <w:r w:rsidR="004325C6" w:rsidRPr="0096296E">
        <w:t>,</w:t>
      </w:r>
      <w:r w:rsidRPr="0096296E">
        <w:t xml:space="preserve"> so</w:t>
      </w:r>
      <w:r w:rsidR="004005E9" w:rsidRPr="0096296E">
        <w:t xml:space="preserve">it </w:t>
      </w:r>
      <w:r w:rsidRPr="0096296E">
        <w:t>u</w:t>
      </w:r>
      <w:r w:rsidR="00913ADF" w:rsidRPr="0096296E">
        <w:t xml:space="preserve">ne contusion </w:t>
      </w:r>
      <w:proofErr w:type="spellStart"/>
      <w:r w:rsidR="00913ADF" w:rsidRPr="0096296E">
        <w:t>cochléo</w:t>
      </w:r>
      <w:proofErr w:type="spellEnd"/>
      <w:r w:rsidR="00913ADF" w:rsidRPr="0096296E">
        <w:noBreakHyphen/>
      </w:r>
      <w:r w:rsidRPr="0096296E">
        <w:t>vestibulaire gauche, une contusion de l’ATM</w:t>
      </w:r>
      <w:r w:rsidR="00FB03DF" w:rsidRPr="0096296E">
        <w:rPr>
          <w:rStyle w:val="FootnoteReference"/>
        </w:rPr>
        <w:footnoteReference w:id="5"/>
      </w:r>
      <w:r w:rsidR="00835509" w:rsidRPr="0096296E">
        <w:t xml:space="preserve"> </w:t>
      </w:r>
      <w:r w:rsidRPr="0096296E">
        <w:t>gauche ainsi qu’une audition dans les limites inférieures de la normale et ajoute que la lésion professionnelle est consolidée</w:t>
      </w:r>
      <w:r w:rsidR="00EE5152" w:rsidRPr="0096296E">
        <w:t xml:space="preserve"> le 12 janvier 2017 avec suffisance de soins et de traitements</w:t>
      </w:r>
      <w:r w:rsidR="00EE5152">
        <w:t>.</w:t>
      </w:r>
      <w:r w:rsidR="00172853">
        <w:t xml:space="preserve"> Cette décision</w:t>
      </w:r>
      <w:r w:rsidR="00172853">
        <w:rPr>
          <w:rStyle w:val="FootnoteReference"/>
        </w:rPr>
        <w:footnoteReference w:id="6"/>
      </w:r>
      <w:r w:rsidR="00172853">
        <w:t xml:space="preserve"> est contestée par la travailleuse devant le Tribunal.</w:t>
      </w:r>
    </w:p>
    <w:p w14:paraId="7FBF6ABB" w14:textId="77777777" w:rsidR="00193D14" w:rsidRPr="00523A13" w:rsidRDefault="00B0654D" w:rsidP="00E746E6">
      <w:pPr>
        <w:pStyle w:val="corpsdedcision"/>
        <w:tabs>
          <w:tab w:val="clear" w:pos="360"/>
          <w:tab w:val="num" w:pos="720"/>
        </w:tabs>
      </w:pPr>
      <w:r>
        <w:t xml:space="preserve">Malgré la consolidation déterminée dans l’avis du Bureau d’évaluation médicale, le suivi </w:t>
      </w:r>
      <w:r w:rsidRPr="00523A13">
        <w:t xml:space="preserve">médical de la travailleuse se poursuit, notamment en raison de </w:t>
      </w:r>
      <w:r w:rsidR="000F4A3D" w:rsidRPr="00523A13">
        <w:t>sa</w:t>
      </w:r>
      <w:r w:rsidRPr="00523A13">
        <w:t xml:space="preserve"> surdité qui s’aggrave et de</w:t>
      </w:r>
      <w:r w:rsidR="00110687" w:rsidRPr="00523A13">
        <w:t xml:space="preserve"> </w:t>
      </w:r>
      <w:r w:rsidRPr="00523A13">
        <w:t>no</w:t>
      </w:r>
      <w:r w:rsidR="00913ADF" w:rsidRPr="00523A13">
        <w:t xml:space="preserve">uveaux diagnostics sont posés. </w:t>
      </w:r>
      <w:r w:rsidRPr="00523A13">
        <w:t xml:space="preserve">Afin de faire reconnaître ces diagnostics </w:t>
      </w:r>
      <w:r w:rsidRPr="004325C6">
        <w:t xml:space="preserve">et </w:t>
      </w:r>
      <w:r w:rsidR="00591130" w:rsidRPr="004325C6">
        <w:t>considérant</w:t>
      </w:r>
      <w:r w:rsidRPr="00523A13">
        <w:t xml:space="preserve"> la consolidation</w:t>
      </w:r>
      <w:r w:rsidR="003664EC" w:rsidRPr="00523A13">
        <w:t xml:space="preserve"> déterminée par l’avis du membre du Bureau d’évaluation médicale</w:t>
      </w:r>
      <w:r w:rsidRPr="00523A13">
        <w:t>, la travailleuse produit</w:t>
      </w:r>
      <w:r w:rsidR="00835509" w:rsidRPr="00523A13">
        <w:t>,</w:t>
      </w:r>
      <w:r w:rsidR="001F2111" w:rsidRPr="00523A13">
        <w:t xml:space="preserve"> le 10 mai 2018,</w:t>
      </w:r>
      <w:r w:rsidRPr="00523A13">
        <w:t xml:space="preserve"> une réclamation </w:t>
      </w:r>
      <w:r w:rsidR="001F2111" w:rsidRPr="00523A13">
        <w:t>pour</w:t>
      </w:r>
      <w:r w:rsidRPr="00523A13">
        <w:t xml:space="preserve"> une r</w:t>
      </w:r>
      <w:r w:rsidR="001F2111" w:rsidRPr="00523A13">
        <w:t>écidive, rechute</w:t>
      </w:r>
      <w:r w:rsidR="00913ADF" w:rsidRPr="00523A13">
        <w:t xml:space="preserve"> ou aggravation.</w:t>
      </w:r>
    </w:p>
    <w:p w14:paraId="6D6E7D1E" w14:textId="77777777" w:rsidR="008404A0" w:rsidRDefault="00172853" w:rsidP="003664EC">
      <w:pPr>
        <w:pStyle w:val="corpsdedcision"/>
        <w:tabs>
          <w:tab w:val="clear" w:pos="360"/>
          <w:tab w:val="num" w:pos="720"/>
        </w:tabs>
      </w:pPr>
      <w:r>
        <w:t xml:space="preserve">Après étude du dossier, la Commission </w:t>
      </w:r>
      <w:r w:rsidR="001F2111">
        <w:t>rend une décision par laquelle elle refuse de reconnaître que la travailleuse a subi une récidive, re</w:t>
      </w:r>
      <w:r w:rsidR="00913ADF">
        <w:t xml:space="preserve">chute ou aggravation le 27 mars 2018. </w:t>
      </w:r>
      <w:r w:rsidR="001F2111">
        <w:t>Les diagnostics refusés sont</w:t>
      </w:r>
      <w:r>
        <w:t> </w:t>
      </w:r>
      <w:r w:rsidRPr="00523A13">
        <w:t>:</w:t>
      </w:r>
      <w:r w:rsidR="001F2111" w:rsidRPr="00523A13">
        <w:t xml:space="preserve"> </w:t>
      </w:r>
      <w:r w:rsidRPr="00523A13">
        <w:t xml:space="preserve">séquelle de trauma crânien avec contusion </w:t>
      </w:r>
      <w:proofErr w:type="spellStart"/>
      <w:r w:rsidRPr="00523A13">
        <w:t>cochléo</w:t>
      </w:r>
      <w:proofErr w:type="spellEnd"/>
      <w:r w:rsidRPr="00523A13">
        <w:t xml:space="preserve">-vestibulaire gauche et articulation temporo-mandibulaire gauche, labyrinthite </w:t>
      </w:r>
      <w:r w:rsidRPr="00523A13">
        <w:lastRenderedPageBreak/>
        <w:t xml:space="preserve">secondaire, surdité oreille gauche, fistule </w:t>
      </w:r>
      <w:proofErr w:type="spellStart"/>
      <w:r w:rsidRPr="00523A13">
        <w:t>périlymphatiq</w:t>
      </w:r>
      <w:r w:rsidR="00913ADF" w:rsidRPr="00523A13">
        <w:t>ue</w:t>
      </w:r>
      <w:proofErr w:type="spellEnd"/>
      <w:r w:rsidR="00913ADF" w:rsidRPr="00523A13">
        <w:t>, névralgie au niveau temporo</w:t>
      </w:r>
      <w:r w:rsidR="00913ADF" w:rsidRPr="00523A13">
        <w:noBreakHyphen/>
      </w:r>
      <w:r w:rsidRPr="00523A13">
        <w:t>mandibulaire, déséquilibre et anacousie gauche</w:t>
      </w:r>
      <w:r w:rsidRPr="004325C6">
        <w:t>.</w:t>
      </w:r>
    </w:p>
    <w:p w14:paraId="42C2EB66" w14:textId="77777777" w:rsidR="00172853" w:rsidRPr="00DA5029" w:rsidRDefault="00172853" w:rsidP="00E746E6">
      <w:pPr>
        <w:pStyle w:val="corpsdedcision"/>
        <w:tabs>
          <w:tab w:val="clear" w:pos="360"/>
          <w:tab w:val="num" w:pos="720"/>
        </w:tabs>
      </w:pPr>
      <w:r>
        <w:t xml:space="preserve">La travailleuse conteste </w:t>
      </w:r>
      <w:r w:rsidRPr="00DA5029">
        <w:t>cette décision</w:t>
      </w:r>
      <w:r w:rsidRPr="00DA5029">
        <w:rPr>
          <w:rStyle w:val="FootnoteReference"/>
        </w:rPr>
        <w:footnoteReference w:id="7"/>
      </w:r>
      <w:r w:rsidRPr="00DA5029">
        <w:t xml:space="preserve"> devant le Tribunal ce qui donne lieu au présent litige.</w:t>
      </w:r>
    </w:p>
    <w:p w14:paraId="4ACD7980" w14:textId="77777777" w:rsidR="003351B9" w:rsidRPr="00DA5029" w:rsidRDefault="003351B9" w:rsidP="00E746E6">
      <w:pPr>
        <w:pStyle w:val="corpsdedcision"/>
        <w:tabs>
          <w:tab w:val="clear" w:pos="360"/>
          <w:tab w:val="num" w:pos="720"/>
        </w:tabs>
      </w:pPr>
      <w:r w:rsidRPr="00DA5029">
        <w:t xml:space="preserve">Entre le moment où la travailleuse </w:t>
      </w:r>
      <w:r w:rsidR="00442E44" w:rsidRPr="00DA5029">
        <w:t xml:space="preserve">loge </w:t>
      </w:r>
      <w:r w:rsidRPr="00DA5029">
        <w:t>cette contestation et la tenue de la présente audience, une autre formation du Tribunal a rendu une décision portant sur les contestations relatives à l’avis rendu par le membre d</w:t>
      </w:r>
      <w:r w:rsidR="003664EC" w:rsidRPr="00DA5029">
        <w:t>u Bureau d’évaluation médicale e</w:t>
      </w:r>
      <w:r w:rsidRPr="00DA5029">
        <w:t>t par laquelle il modifie les conc</w:t>
      </w:r>
      <w:r w:rsidR="00913ADF" w:rsidRPr="00DA5029">
        <w:t xml:space="preserve">lusions contenues dans l’avis. </w:t>
      </w:r>
      <w:r w:rsidRPr="00DA5029">
        <w:t xml:space="preserve">Ainsi, le Tribunal déclare que les diagnostics de la lésion professionnelle sont une contusion de l’articulation </w:t>
      </w:r>
      <w:r w:rsidR="00523A13" w:rsidRPr="00DA5029">
        <w:t>temporo-</w:t>
      </w:r>
      <w:r w:rsidRPr="00DA5029">
        <w:t>mandibulaire gauche, une surdité neurosensorielle gauche et un déséquilibre</w:t>
      </w:r>
      <w:r w:rsidR="00E746E6" w:rsidRPr="00DA5029">
        <w:rPr>
          <w:rStyle w:val="FootnoteReference"/>
        </w:rPr>
        <w:footnoteReference w:id="8"/>
      </w:r>
      <w:r w:rsidR="00913ADF" w:rsidRPr="00DA5029">
        <w:t xml:space="preserve">. </w:t>
      </w:r>
      <w:r w:rsidRPr="00DA5029">
        <w:t xml:space="preserve">Le Tribunal déclare que seule la contusion </w:t>
      </w:r>
      <w:r w:rsidR="00523A13" w:rsidRPr="00DA5029">
        <w:t>temporo-</w:t>
      </w:r>
      <w:r w:rsidRPr="00DA5029">
        <w:t>mandibulaire gauche est consolidée</w:t>
      </w:r>
      <w:r w:rsidR="004325C6" w:rsidRPr="00DA5029">
        <w:t>,</w:t>
      </w:r>
      <w:r w:rsidR="00523A13" w:rsidRPr="00DA5029">
        <w:t xml:space="preserve"> </w:t>
      </w:r>
      <w:r w:rsidR="00835509" w:rsidRPr="00DA5029">
        <w:t>car la surdité neurosensorielle et le déséquilibre de la travailleuse nécessitent tou</w:t>
      </w:r>
      <w:r w:rsidR="00523A13" w:rsidRPr="00DA5029">
        <w:t>jours des soins et traitements.</w:t>
      </w:r>
    </w:p>
    <w:p w14:paraId="47BB0E59" w14:textId="77777777" w:rsidR="00832B3E" w:rsidRPr="00523A13" w:rsidRDefault="003664EC">
      <w:pPr>
        <w:pStyle w:val="corpsdedcision"/>
      </w:pPr>
      <w:r w:rsidRPr="00523A13">
        <w:t xml:space="preserve">Dans le présent dossier, </w:t>
      </w:r>
      <w:r w:rsidR="00832B3E" w:rsidRPr="00523A13">
        <w:t>la trav</w:t>
      </w:r>
      <w:r w:rsidRPr="00523A13">
        <w:t xml:space="preserve">ailleuse veut faire reconnaître, par le biais de sa contestation, </w:t>
      </w:r>
      <w:r w:rsidR="00832B3E" w:rsidRPr="00523A13">
        <w:t xml:space="preserve">les diagnostics d’anacousie gauche, de fistule </w:t>
      </w:r>
      <w:proofErr w:type="spellStart"/>
      <w:r w:rsidR="00832B3E" w:rsidRPr="00523A13">
        <w:t>périlymphatique</w:t>
      </w:r>
      <w:proofErr w:type="spellEnd"/>
      <w:r w:rsidR="00832B3E" w:rsidRPr="00523A13">
        <w:t xml:space="preserve"> et de trauma crânien.</w:t>
      </w:r>
    </w:p>
    <w:p w14:paraId="6E2246EB" w14:textId="77777777" w:rsidR="008404A0" w:rsidRPr="00523A13" w:rsidRDefault="00832B3E" w:rsidP="00C80EC9">
      <w:pPr>
        <w:pStyle w:val="corpsdedcision"/>
      </w:pPr>
      <w:r w:rsidRPr="00523A13">
        <w:t xml:space="preserve">Pour les motifs qui vont suivre, le Tribunal juge que les diagnostics d’anacousie gauche et de fistule </w:t>
      </w:r>
      <w:proofErr w:type="spellStart"/>
      <w:r w:rsidRPr="00523A13">
        <w:t>périlymphatique</w:t>
      </w:r>
      <w:proofErr w:type="spellEnd"/>
      <w:r w:rsidRPr="00523A13">
        <w:t xml:space="preserve"> sont en relation</w:t>
      </w:r>
      <w:r w:rsidR="00913ADF" w:rsidRPr="00523A13">
        <w:t xml:space="preserve"> avec l’événement du 19 janvier </w:t>
      </w:r>
      <w:r w:rsidRPr="00523A13">
        <w:t>2016</w:t>
      </w:r>
      <w:r w:rsidRPr="00523A13">
        <w:rPr>
          <w:rStyle w:val="FootnoteReference"/>
        </w:rPr>
        <w:footnoteReference w:id="9"/>
      </w:r>
      <w:r w:rsidRPr="00523A13">
        <w:t>. Par ailleurs, le Tribunal n’a pas à se prononce</w:t>
      </w:r>
      <w:r w:rsidR="003664EC" w:rsidRPr="00523A13">
        <w:t>r sur le diagnostic de</w:t>
      </w:r>
      <w:r w:rsidRPr="00523A13">
        <w:t xml:space="preserve"> trauma</w:t>
      </w:r>
      <w:r w:rsidR="003664EC" w:rsidRPr="00523A13">
        <w:t>tisme</w:t>
      </w:r>
      <w:r w:rsidRPr="00523A13">
        <w:t xml:space="preserve"> </w:t>
      </w:r>
      <w:proofErr w:type="spellStart"/>
      <w:r w:rsidRPr="00523A13">
        <w:t>crânio</w:t>
      </w:r>
      <w:proofErr w:type="spellEnd"/>
      <w:r w:rsidRPr="00523A13">
        <w:t>-cérébral</w:t>
      </w:r>
      <w:r w:rsidR="003664EC" w:rsidRPr="00523A13">
        <w:rPr>
          <w:rStyle w:val="FootnoteReference"/>
        </w:rPr>
        <w:footnoteReference w:id="10"/>
      </w:r>
      <w:r w:rsidRPr="00523A13">
        <w:t xml:space="preserve"> </w:t>
      </w:r>
      <w:r w:rsidR="00C80EC9" w:rsidRPr="00523A13">
        <w:t>puisqu’il s’agit de l’un des diagnostics déjà reconnus au dossier.</w:t>
      </w:r>
    </w:p>
    <w:p w14:paraId="3407965D" w14:textId="77777777" w:rsidR="00082A97" w:rsidRPr="00523A13" w:rsidRDefault="00082A97" w:rsidP="00F10236">
      <w:pPr>
        <w:pStyle w:val="corpsdedcision"/>
        <w:numPr>
          <w:ilvl w:val="0"/>
          <w:numId w:val="0"/>
        </w:numPr>
        <w:rPr>
          <w:b/>
          <w:bCs/>
          <w:u w:val="single"/>
        </w:rPr>
      </w:pPr>
      <w:r w:rsidRPr="00523A13">
        <w:rPr>
          <w:b/>
          <w:bCs/>
          <w:u w:val="single"/>
        </w:rPr>
        <w:t>L’ANALYSE</w:t>
      </w:r>
    </w:p>
    <w:p w14:paraId="22204454" w14:textId="77777777" w:rsidR="004C2944" w:rsidRPr="00523A13" w:rsidRDefault="003664EC" w:rsidP="003664EC">
      <w:pPr>
        <w:pStyle w:val="corpsdedcision"/>
        <w:tabs>
          <w:tab w:val="clear" w:pos="360"/>
          <w:tab w:val="num" w:pos="720"/>
        </w:tabs>
      </w:pPr>
      <w:r w:rsidRPr="00523A13">
        <w:t>L</w:t>
      </w:r>
      <w:r w:rsidR="005072F4" w:rsidRPr="00523A13">
        <w:t xml:space="preserve">e Tribunal doit déterminer si les diagnostics d’anacousie gauche, de fistule </w:t>
      </w:r>
      <w:proofErr w:type="spellStart"/>
      <w:r w:rsidR="005072F4" w:rsidRPr="00523A13">
        <w:t>périlymphatique</w:t>
      </w:r>
      <w:proofErr w:type="spellEnd"/>
      <w:r w:rsidR="005072F4" w:rsidRPr="00523A13">
        <w:t xml:space="preserve"> et de trauma crânien sont en relation</w:t>
      </w:r>
      <w:r w:rsidR="00913ADF" w:rsidRPr="00523A13">
        <w:t xml:space="preserve"> avec l’événement du 19 janvier </w:t>
      </w:r>
      <w:r w:rsidR="005072F4" w:rsidRPr="00523A13">
        <w:t>2016.</w:t>
      </w:r>
    </w:p>
    <w:p w14:paraId="4AEA1C7D" w14:textId="77777777" w:rsidR="005072F4" w:rsidRPr="00523A13" w:rsidRDefault="005072F4" w:rsidP="004C2944">
      <w:pPr>
        <w:pStyle w:val="corpsdedcision"/>
      </w:pPr>
      <w:r>
        <w:lastRenderedPageBreak/>
        <w:t xml:space="preserve">Comme mentionné </w:t>
      </w:r>
      <w:r w:rsidRPr="00523A13">
        <w:t xml:space="preserve">précédemment, </w:t>
      </w:r>
      <w:r w:rsidR="00835509" w:rsidRPr="00523A13">
        <w:t>la travailleuse a produit une réclamation pour une récidive, rechute ou aggravation afin de fai</w:t>
      </w:r>
      <w:r w:rsidR="00523A13" w:rsidRPr="00523A13">
        <w:t>re reconnaître ces diagnostics.</w:t>
      </w:r>
      <w:r w:rsidR="00835509" w:rsidRPr="00523A13">
        <w:t xml:space="preserve"> </w:t>
      </w:r>
      <w:r w:rsidRPr="00523A13">
        <w:t>En effet, rappelons qu’à l’époque</w:t>
      </w:r>
      <w:r w:rsidR="00835509" w:rsidRPr="00523A13">
        <w:t>,</w:t>
      </w:r>
      <w:r w:rsidRPr="00523A13">
        <w:t xml:space="preserve"> la lésion professionnelle de la travailleuse était consolidée</w:t>
      </w:r>
      <w:r w:rsidR="00D11260" w:rsidRPr="00523A13">
        <w:rPr>
          <w:rStyle w:val="FootnoteReference"/>
        </w:rPr>
        <w:footnoteReference w:id="11"/>
      </w:r>
      <w:r w:rsidR="00D11260" w:rsidRPr="00523A13">
        <w:t>.</w:t>
      </w:r>
    </w:p>
    <w:p w14:paraId="1253B650" w14:textId="77777777" w:rsidR="00D11260" w:rsidRPr="00523A13" w:rsidRDefault="003664EC" w:rsidP="004C2944">
      <w:pPr>
        <w:pStyle w:val="corpsdedcision"/>
      </w:pPr>
      <w:r w:rsidRPr="00523A13">
        <w:t>Toutefois, dans le cadre du</w:t>
      </w:r>
      <w:r w:rsidR="00D11260" w:rsidRPr="00523A13">
        <w:t xml:space="preserve"> litige portant notamment sur la décision rendue par la Commission à la suite d’un avis du </w:t>
      </w:r>
      <w:r w:rsidRPr="00523A13">
        <w:t>Bureau d’évaluation médicale, une autre formation du</w:t>
      </w:r>
      <w:r w:rsidR="00D11260" w:rsidRPr="00523A13">
        <w:t xml:space="preserve"> Tribunal a rendu une </w:t>
      </w:r>
      <w:r w:rsidR="004B132C" w:rsidRPr="00523A13">
        <w:t xml:space="preserve">décision </w:t>
      </w:r>
      <w:r w:rsidR="00D11260" w:rsidRPr="00523A13">
        <w:t>le 22 octobre 2018 déclarant que les diagnostics de surdité neurosensorielle gauche et de déséquil</w:t>
      </w:r>
      <w:r w:rsidR="00913ADF" w:rsidRPr="00523A13">
        <w:t xml:space="preserve">ibre n’étaient pas consolidés. </w:t>
      </w:r>
      <w:r w:rsidR="00D11260" w:rsidRPr="00523A13">
        <w:t xml:space="preserve">Ainsi, compte tenu de cette décision, </w:t>
      </w:r>
      <w:r w:rsidR="004B132C" w:rsidRPr="00523A13">
        <w:t xml:space="preserve">le présent Tribunal est d’avis que </w:t>
      </w:r>
      <w:r w:rsidR="00D11260" w:rsidRPr="00523A13">
        <w:t>les diagnostics analysés par la Commission à titre de récidive, rechute ou aggravation, alors qu’elle considérait la lésion consolidée, doivent maintenant plutôt être analysés à titre de nouveaux diagnostics en relation avec l’événement d’origine.</w:t>
      </w:r>
    </w:p>
    <w:p w14:paraId="3085D8CE" w14:textId="77777777" w:rsidR="00FE0996" w:rsidRPr="00523A13" w:rsidRDefault="00856120" w:rsidP="00EB16F8">
      <w:pPr>
        <w:pStyle w:val="corpsdedcision"/>
      </w:pPr>
      <w:r w:rsidRPr="00523A13">
        <w:t xml:space="preserve">En effet, l’article 9 de la </w:t>
      </w:r>
      <w:r w:rsidRPr="00523A13">
        <w:rPr>
          <w:i/>
        </w:rPr>
        <w:t>Loi instituant le Tribunal administratif du travail</w:t>
      </w:r>
      <w:r w:rsidRPr="00523A13">
        <w:rPr>
          <w:rStyle w:val="FootnoteReference"/>
        </w:rPr>
        <w:footnoteReference w:id="12"/>
      </w:r>
      <w:r w:rsidRPr="00523A13">
        <w:t xml:space="preserve"> confère au Tribunal le pouvoir de décider de toute question de droit ou de fait nécessaire</w:t>
      </w:r>
      <w:r w:rsidR="00913ADF" w:rsidRPr="00523A13">
        <w:t xml:space="preserve"> à l’exercice de sa compétence.</w:t>
      </w:r>
      <w:r w:rsidRPr="00523A13">
        <w:t xml:space="preserve"> Le </w:t>
      </w:r>
      <w:r w:rsidR="00913ADF" w:rsidRPr="00523A13">
        <w:t>T</w:t>
      </w:r>
      <w:r w:rsidRPr="00523A13">
        <w:t xml:space="preserve">ribunal dispose </w:t>
      </w:r>
      <w:r w:rsidRPr="00523A13">
        <w:rPr>
          <w:i/>
        </w:rPr>
        <w:t>de novo</w:t>
      </w:r>
      <w:r w:rsidR="00F85F0F" w:rsidRPr="00523A13">
        <w:t xml:space="preserve"> des contestations</w:t>
      </w:r>
      <w:r w:rsidR="00913ADF" w:rsidRPr="00523A13">
        <w:t xml:space="preserve">. </w:t>
      </w:r>
      <w:r w:rsidR="00FE0996" w:rsidRPr="00523A13">
        <w:t xml:space="preserve">Comme le mentionne la juge administrative dans l’affaire </w:t>
      </w:r>
      <w:r w:rsidR="00FE0996" w:rsidRPr="00523A13">
        <w:rPr>
          <w:i/>
        </w:rPr>
        <w:t xml:space="preserve">Laplante </w:t>
      </w:r>
      <w:r w:rsidR="00FE0996" w:rsidRPr="00523A13">
        <w:t xml:space="preserve">et </w:t>
      </w:r>
      <w:r w:rsidR="00523A13" w:rsidRPr="00523A13">
        <w:rPr>
          <w:i/>
        </w:rPr>
        <w:t>Monsanto</w:t>
      </w:r>
      <w:r w:rsidR="00FE0996" w:rsidRPr="00523A13">
        <w:rPr>
          <w:i/>
        </w:rPr>
        <w:t xml:space="preserve"> Canada </w:t>
      </w:r>
      <w:proofErr w:type="spellStart"/>
      <w:r w:rsidR="00FE0996" w:rsidRPr="00523A13">
        <w:rPr>
          <w:i/>
        </w:rPr>
        <w:t>inc</w:t>
      </w:r>
      <w:proofErr w:type="spellEnd"/>
      <w:r w:rsidR="00FE0996" w:rsidRPr="00523A13">
        <w:rPr>
          <w:rStyle w:val="FootnoteReference"/>
        </w:rPr>
        <w:footnoteReference w:id="13"/>
      </w:r>
      <w:r w:rsidR="00FE0996" w:rsidRPr="00523A13">
        <w:t>.</w:t>
      </w:r>
      <w:r w:rsidR="00F85F0F" w:rsidRPr="00523A13">
        <w:t xml:space="preserve">, </w:t>
      </w:r>
      <w:r w:rsidR="00FE0996" w:rsidRPr="00523A13">
        <w:t>« </w:t>
      </w:r>
      <w:r w:rsidR="00835509" w:rsidRPr="00523A13">
        <w:rPr>
          <w:i/>
          <w:sz w:val="22"/>
          <w:szCs w:val="22"/>
        </w:rPr>
        <w:t xml:space="preserve">[…] </w:t>
      </w:r>
      <w:r w:rsidR="00FE0996" w:rsidRPr="00523A13">
        <w:rPr>
          <w:rStyle w:val="Citationintgre"/>
        </w:rPr>
        <w:t>il a</w:t>
      </w:r>
      <w:r w:rsidR="00835509" w:rsidRPr="00523A13">
        <w:rPr>
          <w:rStyle w:val="Citationintgre"/>
        </w:rPr>
        <w:t xml:space="preserve"> </w:t>
      </w:r>
      <w:r w:rsidR="00F85F0F" w:rsidRPr="00523A13">
        <w:rPr>
          <w:rStyle w:val="Citationintgre"/>
        </w:rPr>
        <w:t xml:space="preserve">le pouvoir d’entendre </w:t>
      </w:r>
      <w:r w:rsidR="00523A13" w:rsidRPr="00523A13">
        <w:rPr>
          <w:rStyle w:val="Citationintgre"/>
        </w:rPr>
        <w:t>de la</w:t>
      </w:r>
      <w:r w:rsidR="00F85F0F" w:rsidRPr="00523A13">
        <w:rPr>
          <w:rStyle w:val="Citationintgre"/>
        </w:rPr>
        <w:t xml:space="preserve"> nouvelle preuve, de trancher des arguments qui n’avaient pas été invoqués en première instance et de rendre la décision qui aurait dû être rendue</w:t>
      </w:r>
      <w:r w:rsidR="00913ADF" w:rsidRPr="00523A13">
        <w:t> ».</w:t>
      </w:r>
      <w:r w:rsidR="00F85F0F" w:rsidRPr="00523A13">
        <w:t xml:space="preserve"> </w:t>
      </w:r>
      <w:r w:rsidR="00FE0996" w:rsidRPr="00523A13">
        <w:t>La juge ajoute que « </w:t>
      </w:r>
      <w:r w:rsidR="00FE0996" w:rsidRPr="00523A13">
        <w:rPr>
          <w:rStyle w:val="Citationintgre"/>
        </w:rPr>
        <w:t>Le Tribunal n’est donc pas lié par l’analyse effectuée par la Commission et il a le pouvoir de qualifier une lésion professionnelle sous une forme ou sous une autre</w:t>
      </w:r>
      <w:r w:rsidR="00FE0996" w:rsidRPr="00523A13">
        <w:t>. »</w:t>
      </w:r>
    </w:p>
    <w:p w14:paraId="19DB2417" w14:textId="77777777" w:rsidR="00FE0996" w:rsidRPr="00523A13" w:rsidRDefault="004B132C" w:rsidP="00EB16F8">
      <w:pPr>
        <w:pStyle w:val="corpsdedcision"/>
      </w:pPr>
      <w:r w:rsidRPr="00523A13">
        <w:t xml:space="preserve">Dans l’affaire </w:t>
      </w:r>
      <w:r w:rsidRPr="00523A13">
        <w:rPr>
          <w:i/>
        </w:rPr>
        <w:t xml:space="preserve">Thibault </w:t>
      </w:r>
      <w:r w:rsidRPr="00523A13">
        <w:t>et</w:t>
      </w:r>
      <w:r w:rsidRPr="00523A13">
        <w:rPr>
          <w:i/>
        </w:rPr>
        <w:t xml:space="preserve"> </w:t>
      </w:r>
      <w:proofErr w:type="spellStart"/>
      <w:r w:rsidRPr="00523A13">
        <w:rPr>
          <w:i/>
        </w:rPr>
        <w:t>Kolostat</w:t>
      </w:r>
      <w:proofErr w:type="spellEnd"/>
      <w:r w:rsidRPr="00523A13">
        <w:rPr>
          <w:i/>
        </w:rPr>
        <w:t xml:space="preserve"> </w:t>
      </w:r>
      <w:proofErr w:type="spellStart"/>
      <w:r w:rsidRPr="00523A13">
        <w:rPr>
          <w:i/>
        </w:rPr>
        <w:t>inc</w:t>
      </w:r>
      <w:r w:rsidRPr="00523A13">
        <w:t>.</w:t>
      </w:r>
      <w:proofErr w:type="spellEnd"/>
      <w:r w:rsidRPr="00523A13">
        <w:rPr>
          <w:rStyle w:val="FootnoteReference"/>
        </w:rPr>
        <w:footnoteReference w:id="14"/>
      </w:r>
      <w:r w:rsidRPr="00523A13">
        <w:t>, le Tribunal était saisi du refus d’une réc</w:t>
      </w:r>
      <w:r w:rsidR="00913ADF" w:rsidRPr="00523A13">
        <w:t xml:space="preserve">idive, rechute ou aggravation. </w:t>
      </w:r>
      <w:r w:rsidR="00880A07" w:rsidRPr="00523A13">
        <w:t>Compte tenu de la preuve administrée à l’audience, la juge a</w:t>
      </w:r>
      <w:r w:rsidR="00491692" w:rsidRPr="00523A13">
        <w:t>dministrative</w:t>
      </w:r>
      <w:r w:rsidR="00880A07" w:rsidRPr="00523A13">
        <w:t xml:space="preserve"> a considéré que le diagnostic</w:t>
      </w:r>
      <w:r w:rsidR="001E181B" w:rsidRPr="00523A13">
        <w:t xml:space="preserve"> de déchirure du labrum</w:t>
      </w:r>
      <w:r w:rsidR="00880A07" w:rsidRPr="00523A13">
        <w:t xml:space="preserve"> que le travailleur cherchait à faire reconnaître était présent </w:t>
      </w:r>
      <w:r w:rsidR="001E181B" w:rsidRPr="00523A13">
        <w:t>depuis le jour de l’événement même s’il n’a été posé que trois ans plus tard. La juge administrative mentionne :</w:t>
      </w:r>
    </w:p>
    <w:p w14:paraId="07044440" w14:textId="77777777" w:rsidR="001E181B" w:rsidRPr="00A35385" w:rsidRDefault="001E181B" w:rsidP="00A35385">
      <w:pPr>
        <w:pStyle w:val="citation"/>
      </w:pPr>
      <w:r w:rsidRPr="00523A13">
        <w:t>[42]</w:t>
      </w:r>
      <w:r w:rsidRPr="00523A13">
        <w:rPr>
          <w:sz w:val="14"/>
          <w:szCs w:val="14"/>
          <w:shd w:val="clear" w:color="auto" w:fill="FFFFFF"/>
        </w:rPr>
        <w:tab/>
      </w:r>
      <w:r w:rsidRPr="00523A13">
        <w:rPr>
          <w:shd w:val="clear" w:color="auto" w:fill="FFFFFF"/>
        </w:rPr>
        <w:t xml:space="preserve">Même si la CSST a analysé la réclamation du travailleur sous l’angle d’une récidive, rechute ou aggravation, le tribunal dispose de vastes pouvoirs qui lui permettent de rendre la décision qui aurait dû être rendue en premier lieu, </w:t>
      </w:r>
      <w:r w:rsidRPr="00523A13">
        <w:rPr>
          <w:u w:val="single"/>
          <w:shd w:val="clear" w:color="auto" w:fill="FFFFFF"/>
        </w:rPr>
        <w:t>ce qui implique notamment de déterminer si un nouveau diagnostic est relié à l’événement initial plutôt que sous l’angle d’une récidive, rechute ou aggravation</w:t>
      </w:r>
      <w:r w:rsidR="004065F3" w:rsidRPr="00523A13">
        <w:rPr>
          <w:vertAlign w:val="superscript"/>
        </w:rPr>
        <w:t>2</w:t>
      </w:r>
      <w:r w:rsidRPr="00523A13">
        <w:t xml:space="preserve"> </w:t>
      </w:r>
      <w:r w:rsidR="004065F3" w:rsidRPr="00523A13">
        <w:t>[…]</w:t>
      </w:r>
    </w:p>
    <w:p w14:paraId="49BB0013" w14:textId="77777777" w:rsidR="001E181B" w:rsidRDefault="001E181B" w:rsidP="00A35385">
      <w:pPr>
        <w:pStyle w:val="citation"/>
        <w:keepNext/>
      </w:pPr>
      <w:r w:rsidRPr="004065F3">
        <w:rPr>
          <w:rFonts w:cs="Arial"/>
          <w:color w:val="000016"/>
          <w:spacing w:val="2"/>
          <w:shd w:val="clear" w:color="auto" w:fill="FFFFFF"/>
        </w:rPr>
        <w:lastRenderedPageBreak/>
        <w:t>[43]</w:t>
      </w:r>
      <w:r w:rsidRPr="004065F3">
        <w:rPr>
          <w:rFonts w:cs="Arial"/>
          <w:color w:val="000016"/>
          <w:spacing w:val="2"/>
          <w:sz w:val="24"/>
          <w:shd w:val="clear" w:color="auto" w:fill="FFFFFF"/>
        </w:rPr>
        <w:tab/>
      </w:r>
      <w:r w:rsidRPr="001E181B">
        <w:t xml:space="preserve">La </w:t>
      </w:r>
      <w:r w:rsidRPr="00523A13">
        <w:t>jurisprudence</w:t>
      </w:r>
      <w:r w:rsidR="004065F3" w:rsidRPr="00523A13">
        <w:rPr>
          <w:vertAlign w:val="superscript"/>
        </w:rPr>
        <w:t>3</w:t>
      </w:r>
      <w:r w:rsidR="004065F3" w:rsidRPr="00523A13">
        <w:t xml:space="preserve"> </w:t>
      </w:r>
      <w:r w:rsidRPr="00523A13">
        <w:t>a d’ailleurs maintes fois reconnu que la Commission des lésions professionnelles peut rendre</w:t>
      </w:r>
      <w:r w:rsidRPr="001E181B">
        <w:t xml:space="preserve"> une décision d’admissibilité sur une forme de lésion professionnelle différente que celle qui est initialement envisagée par la CSST.</w:t>
      </w:r>
    </w:p>
    <w:p w14:paraId="25FEB4EB" w14:textId="77777777" w:rsidR="00491692" w:rsidRDefault="00491692" w:rsidP="00A35385">
      <w:pPr>
        <w:pStyle w:val="citation"/>
        <w:keepNext/>
      </w:pPr>
    </w:p>
    <w:p w14:paraId="376F50F2" w14:textId="77777777" w:rsidR="00913ADF" w:rsidRDefault="00913ADF" w:rsidP="00A35385">
      <w:pPr>
        <w:pStyle w:val="citation"/>
        <w:keepNext/>
      </w:pPr>
    </w:p>
    <w:p w14:paraId="448128E2" w14:textId="77777777" w:rsidR="001E181B" w:rsidRPr="00523A13" w:rsidRDefault="00491692" w:rsidP="00A35385">
      <w:pPr>
        <w:pStyle w:val="citation"/>
        <w:keepNext/>
        <w:spacing w:after="360"/>
        <w:rPr>
          <w:sz w:val="24"/>
          <w:szCs w:val="24"/>
        </w:rPr>
      </w:pPr>
      <w:r w:rsidRPr="00491692">
        <w:rPr>
          <w:sz w:val="24"/>
          <w:szCs w:val="24"/>
        </w:rPr>
        <w:t xml:space="preserve">[Notre </w:t>
      </w:r>
      <w:r w:rsidRPr="00523A13">
        <w:rPr>
          <w:sz w:val="24"/>
          <w:szCs w:val="24"/>
        </w:rPr>
        <w:t>soulignement et notes omises]</w:t>
      </w:r>
    </w:p>
    <w:p w14:paraId="2A0A3F31" w14:textId="77777777" w:rsidR="00DD289F" w:rsidRPr="00523A13" w:rsidRDefault="001E181B" w:rsidP="004C2944">
      <w:pPr>
        <w:pStyle w:val="corpsdedcision"/>
      </w:pPr>
      <w:r w:rsidRPr="00523A13">
        <w:t xml:space="preserve">En conséquence, dans le présent dossier, </w:t>
      </w:r>
      <w:r w:rsidRPr="004325C6">
        <w:t>le Tribunal estime que la contestation d</w:t>
      </w:r>
      <w:r w:rsidR="00523A13" w:rsidRPr="004325C6">
        <w:t>e la travailleuse</w:t>
      </w:r>
      <w:r w:rsidR="004065F3" w:rsidRPr="004325C6">
        <w:t xml:space="preserve"> </w:t>
      </w:r>
      <w:r w:rsidRPr="004325C6">
        <w:t xml:space="preserve">doit être analysée sous l’angle de </w:t>
      </w:r>
      <w:r w:rsidR="00591130" w:rsidRPr="004325C6">
        <w:t>l’admissibilité de</w:t>
      </w:r>
      <w:r w:rsidR="00591130">
        <w:t xml:space="preserve"> </w:t>
      </w:r>
      <w:r w:rsidRPr="00523A13">
        <w:t>nouveaux diagnostics en relation avec l’événement initial.</w:t>
      </w:r>
    </w:p>
    <w:p w14:paraId="66271384" w14:textId="77777777" w:rsidR="005072F4" w:rsidRPr="00523A13" w:rsidRDefault="005072F4" w:rsidP="005072F4">
      <w:pPr>
        <w:pStyle w:val="corpsdedcision"/>
      </w:pPr>
      <w:r w:rsidRPr="00523A13">
        <w:t xml:space="preserve">La jurisprudence a élaboré certains critères permettant au Tribunal de faire l’analyse d’une relation causale entre un nouveau diagnostic et une lésion professionnelle. Dans l’affaire </w:t>
      </w:r>
      <w:r w:rsidRPr="00523A13">
        <w:rPr>
          <w:i/>
          <w:lang w:val="fr-FR"/>
        </w:rPr>
        <w:t xml:space="preserve">Beauséjour </w:t>
      </w:r>
      <w:r w:rsidRPr="00523A13">
        <w:rPr>
          <w:lang w:val="fr-FR"/>
        </w:rPr>
        <w:t>et</w:t>
      </w:r>
      <w:r w:rsidRPr="00523A13">
        <w:rPr>
          <w:i/>
          <w:lang w:val="fr-FR"/>
        </w:rPr>
        <w:t xml:space="preserve"> Benoît Dupuis Extincteurs</w:t>
      </w:r>
      <w:r w:rsidRPr="00523A13">
        <w:rPr>
          <w:rStyle w:val="FootnoteReference"/>
          <w:lang w:val="fr-FR"/>
        </w:rPr>
        <w:footnoteReference w:id="15"/>
      </w:r>
      <w:r w:rsidRPr="00523A13">
        <w:rPr>
          <w:lang w:val="fr-FR"/>
        </w:rPr>
        <w:t xml:space="preserve">, on retrouve une revue de la jurisprudence portant sur cette question ainsi que les balises qui doivent guider le Tribunal. Ainsi, doivent être pris en compte : la concomitance entre l’événement et le diagnostic, la contemporanéité de celui-ci, l’existence d’antécédents, la présence ou non de consultations médicales et l’existence d’un suivi médical. Le Tribunal ajoute que </w:t>
      </w:r>
      <w:r w:rsidRPr="00523A13">
        <w:t>la preuve médicale et l’opinion des experts sont importantes,</w:t>
      </w:r>
      <w:r w:rsidRPr="00523A13">
        <w:rPr>
          <w:lang w:val="fr-FR"/>
        </w:rPr>
        <w:t xml:space="preserve"> mais précise que </w:t>
      </w:r>
      <w:r w:rsidRPr="00523A13">
        <w:t>la question de la relation n’est pas une question médicale proprement dite, mais plutôt une question d’ordre juridique qui relève du Tribunal.</w:t>
      </w:r>
    </w:p>
    <w:p w14:paraId="04248B32" w14:textId="77777777" w:rsidR="005072F4" w:rsidRPr="00523A13" w:rsidRDefault="005072F4" w:rsidP="005072F4">
      <w:pPr>
        <w:pStyle w:val="corpsdedcision"/>
      </w:pPr>
      <w:r w:rsidRPr="00523A13">
        <w:t xml:space="preserve">Après l’analyse de la preuve médicale et factuelle, le Tribunal </w:t>
      </w:r>
      <w:r w:rsidR="001F451A" w:rsidRPr="00523A13">
        <w:t>est d’avis que le</w:t>
      </w:r>
      <w:r w:rsidR="00523A13" w:rsidRPr="00523A13">
        <w:t>s diagnostics</w:t>
      </w:r>
      <w:r w:rsidR="00215AC3" w:rsidRPr="00523A13">
        <w:t xml:space="preserve"> </w:t>
      </w:r>
      <w:r w:rsidR="001F451A" w:rsidRPr="00523A13">
        <w:t xml:space="preserve">d’anacousie gauche et de fistule </w:t>
      </w:r>
      <w:proofErr w:type="spellStart"/>
      <w:r w:rsidR="001F451A" w:rsidRPr="00523A13">
        <w:t>périlymphatique</w:t>
      </w:r>
      <w:proofErr w:type="spellEnd"/>
      <w:r w:rsidR="001F451A" w:rsidRPr="00523A13">
        <w:t xml:space="preserve"> sont </w:t>
      </w:r>
      <w:r w:rsidRPr="00523A13">
        <w:t>en relation avec l’événement du</w:t>
      </w:r>
      <w:r w:rsidR="001F451A" w:rsidRPr="00523A13">
        <w:t xml:space="preserve"> 19 janvier 2016</w:t>
      </w:r>
      <w:r w:rsidRPr="00523A13">
        <w:t xml:space="preserve"> et voici pourquoi.</w:t>
      </w:r>
    </w:p>
    <w:p w14:paraId="08FCA148" w14:textId="77777777" w:rsidR="007D1B66" w:rsidRDefault="007D1B66" w:rsidP="004C2944">
      <w:pPr>
        <w:pStyle w:val="corpsdedcision"/>
      </w:pPr>
      <w:r w:rsidRPr="00523A13">
        <w:t xml:space="preserve">Lors de l’événement du 19 janvier 2016, la travailleuse </w:t>
      </w:r>
      <w:r w:rsidR="004F0876" w:rsidRPr="00523A13">
        <w:t>reçoit</w:t>
      </w:r>
      <w:r w:rsidRPr="00523A13">
        <w:t xml:space="preserve"> un coup au</w:t>
      </w:r>
      <w:r>
        <w:t xml:space="preserve"> niveau de </w:t>
      </w:r>
      <w:r w:rsidR="004F0876">
        <w:t xml:space="preserve">la tempe et de </w:t>
      </w:r>
      <w:r w:rsidR="00913ADF">
        <w:t xml:space="preserve">l’oreille gauche. </w:t>
      </w:r>
      <w:r w:rsidR="004F0876">
        <w:t>Elle ressent immédiatement une forte douleur et se plaint d’un bruit lancinant</w:t>
      </w:r>
      <w:r w:rsidR="00913ADF">
        <w:t xml:space="preserve"> à l’intérieur de son oreille. </w:t>
      </w:r>
      <w:r w:rsidR="004F0876">
        <w:t>Des troubles d’audition sont rapidement notés et ils sont confirmés lors de l’audiogramme du 16 mai 2016.</w:t>
      </w:r>
    </w:p>
    <w:p w14:paraId="5EC40FC3" w14:textId="77777777" w:rsidR="004F0876" w:rsidRDefault="004F0876" w:rsidP="004C2944">
      <w:pPr>
        <w:pStyle w:val="corpsdedcision"/>
      </w:pPr>
      <w:r>
        <w:t>Comme déjà mentionné</w:t>
      </w:r>
      <w:r w:rsidR="00491692">
        <w:t xml:space="preserve">, </w:t>
      </w:r>
      <w:r w:rsidR="00AA07E2">
        <w:t>dans le cadre d</w:t>
      </w:r>
      <w:r w:rsidR="00491692">
        <w:t xml:space="preserve">u litige portant sur l’avis du Bureau d’évaluation médicale, </w:t>
      </w:r>
      <w:r>
        <w:t>la surdité neurosensorielle gauche est reconnue par le Tribunal</w:t>
      </w:r>
      <w:r w:rsidR="00913ADF">
        <w:t xml:space="preserve">. </w:t>
      </w:r>
      <w:r w:rsidR="00491692">
        <w:t>Ce dernier déclare toutefois</w:t>
      </w:r>
      <w:r>
        <w:t xml:space="preserve"> que cette condition n’est pas consolidée</w:t>
      </w:r>
      <w:r w:rsidR="00491692">
        <w:t xml:space="preserve"> contrairement au docteur</w:t>
      </w:r>
      <w:r>
        <w:t xml:space="preserve"> Abboud du Bureau d’évaluation médicale</w:t>
      </w:r>
      <w:r w:rsidR="00491692">
        <w:t xml:space="preserve"> qui considérait les diagnostics reconnus comme étant consolidés le 12 janvier 2017</w:t>
      </w:r>
      <w:r>
        <w:t>.</w:t>
      </w:r>
    </w:p>
    <w:p w14:paraId="229D860E" w14:textId="77777777" w:rsidR="007843D0" w:rsidRDefault="004F0876" w:rsidP="00EB16F8">
      <w:pPr>
        <w:pStyle w:val="corpsdedcision"/>
      </w:pPr>
      <w:r>
        <w:t xml:space="preserve">Le suivi médical se poursuit et il est notamment assuré par le </w:t>
      </w:r>
      <w:r w:rsidR="007D1B66">
        <w:t>docteur Issam Sal</w:t>
      </w:r>
      <w:r w:rsidR="00913ADF">
        <w:t>iba, oto-rhino-laryngologiste.</w:t>
      </w:r>
    </w:p>
    <w:p w14:paraId="102C953D" w14:textId="77777777" w:rsidR="005072F4" w:rsidRPr="00523A13" w:rsidRDefault="004F0876" w:rsidP="00EB16F8">
      <w:pPr>
        <w:pStyle w:val="corpsdedcision"/>
      </w:pPr>
      <w:r>
        <w:t>Le 4 mai 2017</w:t>
      </w:r>
      <w:r w:rsidR="007843D0">
        <w:t>, le docteur Saliba</w:t>
      </w:r>
      <w:r>
        <w:t xml:space="preserve"> examine la travailleuse et note </w:t>
      </w:r>
      <w:r w:rsidR="00AA07E2">
        <w:t>que</w:t>
      </w:r>
      <w:r w:rsidR="007843D0">
        <w:t xml:space="preserve"> depuis l’événement du 19 janvier 2016, </w:t>
      </w:r>
      <w:r w:rsidR="00481AA6">
        <w:t xml:space="preserve">elle </w:t>
      </w:r>
      <w:r w:rsidR="007843D0" w:rsidRPr="00481AA6">
        <w:t>présente des</w:t>
      </w:r>
      <w:r w:rsidR="00AA07E2" w:rsidRPr="00481AA6">
        <w:t xml:space="preserve"> vertiges, des étourdissements et des </w:t>
      </w:r>
      <w:r w:rsidR="00AA07E2" w:rsidRPr="00481AA6">
        <w:lastRenderedPageBreak/>
        <w:t>nausées</w:t>
      </w:r>
      <w:r w:rsidR="007843D0" w:rsidRPr="00481AA6">
        <w:t xml:space="preserve"> lorsqu’elle bouge la tête</w:t>
      </w:r>
      <w:r w:rsidR="00913ADF" w:rsidRPr="00481AA6">
        <w:t xml:space="preserve">. </w:t>
      </w:r>
      <w:r w:rsidR="007843D0" w:rsidRPr="00481AA6">
        <w:t xml:space="preserve">Il pose les diagnostics de déséquilibre et d’hypoacousie gauche et contrairement </w:t>
      </w:r>
      <w:r w:rsidR="00523A13" w:rsidRPr="00481AA6">
        <w:t>aux docteurs</w:t>
      </w:r>
      <w:r w:rsidR="004065F3" w:rsidRPr="00481AA6">
        <w:t xml:space="preserve"> </w:t>
      </w:r>
      <w:r w:rsidR="00362E8F" w:rsidRPr="00481AA6">
        <w:t>Rober</w:t>
      </w:r>
      <w:r w:rsidR="00481AA6" w:rsidRPr="00481AA6">
        <w:t>t</w:t>
      </w:r>
      <w:r w:rsidR="00362E8F" w:rsidRPr="00481AA6">
        <w:t xml:space="preserve"> </w:t>
      </w:r>
      <w:r w:rsidR="007843D0" w:rsidRPr="00481AA6">
        <w:t xml:space="preserve">St-Onge et </w:t>
      </w:r>
      <w:r w:rsidR="00481AA6" w:rsidRPr="00481AA6">
        <w:t>Jean-Luc</w:t>
      </w:r>
      <w:r w:rsidR="00362E8F" w:rsidRPr="00481AA6">
        <w:t xml:space="preserve"> </w:t>
      </w:r>
      <w:r w:rsidR="007843D0" w:rsidRPr="00481AA6">
        <w:t>Lanctôt,</w:t>
      </w:r>
      <w:r w:rsidR="007843D0" w:rsidRPr="00523A13">
        <w:t xml:space="preserve"> il ne retient pas le diagnostic de labyrinthite traumati</w:t>
      </w:r>
      <w:r w:rsidR="00913ADF" w:rsidRPr="00523A13">
        <w:t>que.</w:t>
      </w:r>
      <w:r w:rsidR="007843D0" w:rsidRPr="00523A13">
        <w:t xml:space="preserve"> Le docteur</w:t>
      </w:r>
      <w:r w:rsidR="007843D0">
        <w:t xml:space="preserve"> Saliba suspecte plutôt une </w:t>
      </w:r>
      <w:r w:rsidR="007843D0" w:rsidRPr="00523A13">
        <w:t xml:space="preserve">fistule </w:t>
      </w:r>
      <w:proofErr w:type="spellStart"/>
      <w:r w:rsidR="007843D0" w:rsidRPr="00523A13">
        <w:t>périlymphatique</w:t>
      </w:r>
      <w:proofErr w:type="spellEnd"/>
      <w:r w:rsidR="007843D0" w:rsidRPr="00523A13">
        <w:t xml:space="preserve"> pour laquelle il prescrit un test</w:t>
      </w:r>
      <w:r w:rsidR="00491692" w:rsidRPr="00523A13">
        <w:t xml:space="preserve"> de dépistage</w:t>
      </w:r>
      <w:r w:rsidR="007843D0" w:rsidRPr="00523A13">
        <w:t xml:space="preserve"> ainsi qu’</w:t>
      </w:r>
      <w:r w:rsidR="00AA07E2" w:rsidRPr="00523A13">
        <w:t>un audiogramme</w:t>
      </w:r>
      <w:r w:rsidR="007843D0" w:rsidRPr="00523A13">
        <w:t>.</w:t>
      </w:r>
    </w:p>
    <w:p w14:paraId="196609F2" w14:textId="77777777" w:rsidR="00AA07E2" w:rsidRPr="00523A13" w:rsidRDefault="00491692" w:rsidP="00EB16F8">
      <w:pPr>
        <w:pStyle w:val="corpsdedcision"/>
      </w:pPr>
      <w:r w:rsidRPr="00523A13">
        <w:t xml:space="preserve">Au terme </w:t>
      </w:r>
      <w:r w:rsidRPr="00481AA6">
        <w:t xml:space="preserve">de </w:t>
      </w:r>
      <w:r w:rsidR="00874F59" w:rsidRPr="00481AA6">
        <w:t>ces examens médicaux</w:t>
      </w:r>
      <w:r w:rsidRPr="00481AA6">
        <w:t>, les médecins</w:t>
      </w:r>
      <w:r w:rsidRPr="00523A13">
        <w:t xml:space="preserve"> constatent </w:t>
      </w:r>
      <w:r w:rsidR="00AA07E2" w:rsidRPr="00523A13">
        <w:t xml:space="preserve">non seulement une détérioration de </w:t>
      </w:r>
      <w:r w:rsidR="007843D0" w:rsidRPr="00523A13">
        <w:t>l</w:t>
      </w:r>
      <w:r w:rsidR="00AA07E2" w:rsidRPr="00523A13">
        <w:t xml:space="preserve">a surdité </w:t>
      </w:r>
      <w:r w:rsidR="007843D0" w:rsidRPr="00523A13">
        <w:t>de la travailleuse</w:t>
      </w:r>
      <w:r w:rsidR="004065F3" w:rsidRPr="00523A13">
        <w:t>,</w:t>
      </w:r>
      <w:r w:rsidR="007843D0" w:rsidRPr="00523A13">
        <w:t xml:space="preserve"> </w:t>
      </w:r>
      <w:r w:rsidR="00AA07E2" w:rsidRPr="00523A13">
        <w:t xml:space="preserve">mais également la présence d’une fistule </w:t>
      </w:r>
      <w:proofErr w:type="spellStart"/>
      <w:r w:rsidR="00523A13" w:rsidRPr="00523A13">
        <w:t>péri</w:t>
      </w:r>
      <w:r w:rsidR="00AA07E2" w:rsidRPr="00523A13">
        <w:t>lymphatique</w:t>
      </w:r>
      <w:proofErr w:type="spellEnd"/>
      <w:r w:rsidR="004065F3" w:rsidRPr="00523A13">
        <w:t xml:space="preserve"> </w:t>
      </w:r>
      <w:r w:rsidR="00AA07E2" w:rsidRPr="00523A13">
        <w:t>gauche pour laquelle le docteur Saliba prévoit une chirurgie.</w:t>
      </w:r>
      <w:r w:rsidR="00913ADF" w:rsidRPr="00523A13">
        <w:t xml:space="preserve"> Celle-ci a lieu le 10 août </w:t>
      </w:r>
      <w:r w:rsidR="00AA07E2" w:rsidRPr="00523A13">
        <w:t>2017</w:t>
      </w:r>
      <w:r w:rsidR="007F4C29" w:rsidRPr="00523A13">
        <w:t>.</w:t>
      </w:r>
    </w:p>
    <w:p w14:paraId="7A985902" w14:textId="77777777" w:rsidR="000B1F30" w:rsidRPr="00523A13" w:rsidRDefault="007843D0" w:rsidP="000B1F30">
      <w:pPr>
        <w:pStyle w:val="corpsdedcision"/>
      </w:pPr>
      <w:r w:rsidRPr="00523A13">
        <w:t>Après la chirurgie, l</w:t>
      </w:r>
      <w:r w:rsidR="007F4C29" w:rsidRPr="00523A13">
        <w:t>e suivi médical se poursuit avec l</w:t>
      </w:r>
      <w:r w:rsidR="00913ADF" w:rsidRPr="00523A13">
        <w:t xml:space="preserve">es docteurs St-Onge et Saliba. </w:t>
      </w:r>
      <w:r w:rsidR="007F4C29" w:rsidRPr="00523A13">
        <w:t xml:space="preserve">La travailleuse se plaint </w:t>
      </w:r>
      <w:r w:rsidRPr="00523A13">
        <w:t xml:space="preserve">toujours </w:t>
      </w:r>
      <w:r w:rsidR="007F4C29" w:rsidRPr="00523A13">
        <w:t>d’une diminution de son audition</w:t>
      </w:r>
      <w:r w:rsidR="00913ADF" w:rsidRPr="00523A13">
        <w:t xml:space="preserve">. </w:t>
      </w:r>
      <w:r w:rsidRPr="00523A13">
        <w:t xml:space="preserve">Celle-ci </w:t>
      </w:r>
      <w:r w:rsidR="007F4C29" w:rsidRPr="00523A13">
        <w:t>est confirmée lors d’un</w:t>
      </w:r>
      <w:r w:rsidR="00913ADF" w:rsidRPr="00523A13">
        <w:t xml:space="preserve"> audiogramme du 23 avril 2018. </w:t>
      </w:r>
      <w:r w:rsidR="007F4C29" w:rsidRPr="00523A13">
        <w:t>La surdité est telle que le docteur Saliba pose alors le diagnostic d’anacousie gauche.</w:t>
      </w:r>
    </w:p>
    <w:p w14:paraId="419BA899" w14:textId="77777777" w:rsidR="007F4C29" w:rsidRDefault="007F4C29" w:rsidP="00EB16F8">
      <w:pPr>
        <w:pStyle w:val="corpsdedcision"/>
      </w:pPr>
      <w:r w:rsidRPr="00523A13">
        <w:t xml:space="preserve">Il appert de la preuve que la fistule </w:t>
      </w:r>
      <w:proofErr w:type="spellStart"/>
      <w:r w:rsidRPr="00523A13">
        <w:t>périlymphatique</w:t>
      </w:r>
      <w:proofErr w:type="spellEnd"/>
      <w:r w:rsidRPr="00523A13">
        <w:t>, qualifiée de traumatique par les médecins, a été causée par le coup reçu à l’oreil</w:t>
      </w:r>
      <w:r w:rsidR="00913ADF" w:rsidRPr="00523A13">
        <w:t xml:space="preserve">le gauche par la travailleuse. </w:t>
      </w:r>
      <w:r w:rsidRPr="00523A13">
        <w:t xml:space="preserve">Cette fistule </w:t>
      </w:r>
      <w:proofErr w:type="spellStart"/>
      <w:r w:rsidRPr="00523A13">
        <w:t>périlymphatique</w:t>
      </w:r>
      <w:proofErr w:type="spellEnd"/>
      <w:r w:rsidRPr="00523A13">
        <w:t xml:space="preserve"> explique non seulement les vertiges</w:t>
      </w:r>
      <w:r w:rsidR="007F155A" w:rsidRPr="00523A13">
        <w:t xml:space="preserve"> et</w:t>
      </w:r>
      <w:r w:rsidRPr="00523A13">
        <w:t xml:space="preserve"> le déséquilibre</w:t>
      </w:r>
      <w:r w:rsidR="007F155A" w:rsidRPr="00523A13">
        <w:t xml:space="preserve"> de la travailleuse</w:t>
      </w:r>
      <w:r w:rsidR="00491692" w:rsidRPr="00523A13">
        <w:t>, lequel a été reconnu à titre de lésion professionnelle,</w:t>
      </w:r>
      <w:r w:rsidR="007F155A" w:rsidRPr="00523A13">
        <w:t xml:space="preserve"> mais également</w:t>
      </w:r>
      <w:r w:rsidR="007F155A">
        <w:t xml:space="preserve"> la</w:t>
      </w:r>
      <w:r w:rsidR="00913ADF">
        <w:t xml:space="preserve"> perte progressive d’audition.</w:t>
      </w:r>
    </w:p>
    <w:p w14:paraId="0B9FCDA0" w14:textId="77777777" w:rsidR="007F155A" w:rsidRPr="00CA2B42" w:rsidRDefault="007F155A" w:rsidP="00EB16F8">
      <w:pPr>
        <w:pStyle w:val="corpsdedcision"/>
      </w:pPr>
      <w:r>
        <w:t xml:space="preserve">La preuve médicale démontre </w:t>
      </w:r>
      <w:r w:rsidR="00491692">
        <w:t xml:space="preserve">que la </w:t>
      </w:r>
      <w:r w:rsidR="00491692" w:rsidRPr="00CA2B42">
        <w:t xml:space="preserve">surdité neurosensorielle, elle aussi </w:t>
      </w:r>
      <w:r w:rsidRPr="00CA2B42">
        <w:t>déjà reconnue à titre de lésion professionnelle</w:t>
      </w:r>
      <w:r w:rsidR="00491692" w:rsidRPr="00CA2B42">
        <w:t>,</w:t>
      </w:r>
      <w:r w:rsidRPr="00CA2B42">
        <w:t xml:space="preserve"> s’est aggravée au point où la travailleuse présente maintenant une anacousie de l’oreille gauche.</w:t>
      </w:r>
    </w:p>
    <w:p w14:paraId="0CA03703" w14:textId="77777777" w:rsidR="001812C3" w:rsidRPr="00481AA6" w:rsidRDefault="001812C3" w:rsidP="00EB16F8">
      <w:pPr>
        <w:pStyle w:val="corpsdedcision"/>
      </w:pPr>
      <w:r w:rsidRPr="00CA2B42">
        <w:t>Le 20 juillet 2018, dans un rapport destiné à la Commission, le docteur St-Onge</w:t>
      </w:r>
      <w:r w:rsidR="000B1F30" w:rsidRPr="00CA2B42">
        <w:t xml:space="preserve"> mentionne</w:t>
      </w:r>
      <w:r w:rsidRPr="00CA2B42">
        <w:t xml:space="preserve"> </w:t>
      </w:r>
      <w:r w:rsidR="000B1F30" w:rsidRPr="00CA2B42">
        <w:t>que le problème touchant la condition oto-rhino-lar</w:t>
      </w:r>
      <w:r w:rsidR="00CA2B42" w:rsidRPr="00CA2B42">
        <w:t>yngologique</w:t>
      </w:r>
      <w:r w:rsidR="000B1F30" w:rsidRPr="00CA2B42">
        <w:t xml:space="preserve"> de la </w:t>
      </w:r>
      <w:r w:rsidR="00913ADF" w:rsidRPr="00CA2B42">
        <w:t>travailleuse est fort complexe.</w:t>
      </w:r>
      <w:r w:rsidR="000B1F30" w:rsidRPr="00CA2B42">
        <w:t xml:space="preserve"> Il explique que la fistule </w:t>
      </w:r>
      <w:proofErr w:type="spellStart"/>
      <w:r w:rsidR="00CA2B42" w:rsidRPr="00CA2B42">
        <w:t>péri</w:t>
      </w:r>
      <w:r w:rsidR="000B1F30" w:rsidRPr="00CA2B42">
        <w:t>lymphatique</w:t>
      </w:r>
      <w:proofErr w:type="spellEnd"/>
      <w:r w:rsidR="000B1F30" w:rsidRPr="00CA2B42">
        <w:t xml:space="preserve"> a été objectivée tardivement et ajoute que la surdité de la travailleuse, qui n’était pas présente avant l’événement du </w:t>
      </w:r>
      <w:r w:rsidR="00CA2B42" w:rsidRPr="00CA2B42">
        <w:t>19</w:t>
      </w:r>
      <w:r w:rsidR="000B1F30" w:rsidRPr="00CA2B42">
        <w:t xml:space="preserve"> janvier 2016, s’est </w:t>
      </w:r>
      <w:r w:rsidR="000B1F30" w:rsidRPr="00481AA6">
        <w:t>développée tardivement.</w:t>
      </w:r>
    </w:p>
    <w:p w14:paraId="796B374B" w14:textId="77777777" w:rsidR="000B1F30" w:rsidRPr="00481AA6" w:rsidRDefault="002B3BAA" w:rsidP="00EB16F8">
      <w:pPr>
        <w:pStyle w:val="corpsdedcision"/>
      </w:pPr>
      <w:r w:rsidRPr="00481AA6">
        <w:t>Par ailleurs, l</w:t>
      </w:r>
      <w:r w:rsidR="000B1F30" w:rsidRPr="00481AA6">
        <w:t xml:space="preserve">e docteur Saliba élimine toute forme de condition otologique </w:t>
      </w:r>
      <w:r w:rsidRPr="00481AA6">
        <w:t xml:space="preserve">personnelle </w:t>
      </w:r>
      <w:r w:rsidR="00913ADF" w:rsidRPr="00481AA6">
        <w:t>antérieure à l’événement.</w:t>
      </w:r>
      <w:r w:rsidR="000B1F30" w:rsidRPr="00481AA6">
        <w:t xml:space="preserve"> La travailleuse n’a jamais présenté d’hypoacousie, d’otalg</w:t>
      </w:r>
      <w:r w:rsidR="00913ADF" w:rsidRPr="00481AA6">
        <w:t>ie, d’</w:t>
      </w:r>
      <w:r w:rsidR="00215AC3" w:rsidRPr="00481AA6">
        <w:t>otorrhée</w:t>
      </w:r>
      <w:r w:rsidR="0096296E">
        <w:t>,</w:t>
      </w:r>
      <w:r w:rsidR="00913ADF" w:rsidRPr="00481AA6">
        <w:t xml:space="preserve"> d’acouphène</w:t>
      </w:r>
      <w:r w:rsidR="0096296E">
        <w:t xml:space="preserve"> </w:t>
      </w:r>
      <w:r w:rsidR="0096296E" w:rsidRPr="00997503">
        <w:t xml:space="preserve">ou </w:t>
      </w:r>
      <w:r w:rsidR="000B1F30" w:rsidRPr="00997503">
        <w:t>subi de chirurgie otologique</w:t>
      </w:r>
      <w:r w:rsidR="00997503" w:rsidRPr="00997503">
        <w:t>.</w:t>
      </w:r>
    </w:p>
    <w:p w14:paraId="213523D8" w14:textId="77777777" w:rsidR="00E55161" w:rsidRPr="00481AA6" w:rsidRDefault="000B1F30" w:rsidP="00EB16F8">
      <w:pPr>
        <w:pStyle w:val="corpsdedcision"/>
      </w:pPr>
      <w:r w:rsidRPr="00481AA6">
        <w:t xml:space="preserve">Certes, les diagnostics de fistule </w:t>
      </w:r>
      <w:proofErr w:type="spellStart"/>
      <w:r w:rsidRPr="00481AA6">
        <w:t>périlymphatique</w:t>
      </w:r>
      <w:proofErr w:type="spellEnd"/>
      <w:r w:rsidRPr="00481AA6">
        <w:t xml:space="preserve"> et d’anacousie ont été posés plus d’un an après le fait accidentel</w:t>
      </w:r>
      <w:r w:rsidR="00913ADF" w:rsidRPr="00481AA6">
        <w:t>,</w:t>
      </w:r>
      <w:r w:rsidRPr="00481AA6">
        <w:t xml:space="preserve"> mais le Tribunal considère que cela s’explique </w:t>
      </w:r>
      <w:r w:rsidR="00E55161" w:rsidRPr="00481AA6">
        <w:t xml:space="preserve">à la fois </w:t>
      </w:r>
      <w:r w:rsidRPr="00481AA6">
        <w:t>par l</w:t>
      </w:r>
      <w:r w:rsidR="00591130" w:rsidRPr="00481AA6">
        <w:t>a complexité du dossier médical</w:t>
      </w:r>
      <w:r w:rsidR="00D505F3" w:rsidRPr="00481AA6">
        <w:t xml:space="preserve"> et</w:t>
      </w:r>
      <w:r w:rsidR="00591130" w:rsidRPr="00481AA6">
        <w:t xml:space="preserve"> </w:t>
      </w:r>
      <w:r w:rsidR="00E55161" w:rsidRPr="00481AA6">
        <w:t>par le suivi méd</w:t>
      </w:r>
      <w:r w:rsidR="00913ADF" w:rsidRPr="00481AA6">
        <w:t xml:space="preserve">ical dont </w:t>
      </w:r>
      <w:r w:rsidR="00481AA6" w:rsidRPr="00481AA6">
        <w:t>la travailleuse</w:t>
      </w:r>
      <w:r w:rsidR="00874F59" w:rsidRPr="00481AA6">
        <w:t xml:space="preserve"> </w:t>
      </w:r>
      <w:r w:rsidR="00913ADF" w:rsidRPr="00481AA6">
        <w:t>a fait l’objet.</w:t>
      </w:r>
    </w:p>
    <w:p w14:paraId="0EACE904" w14:textId="77777777" w:rsidR="001812C3" w:rsidRPr="00481AA6" w:rsidRDefault="00E55161" w:rsidP="00E55161">
      <w:pPr>
        <w:pStyle w:val="corpsdedcision"/>
      </w:pPr>
      <w:r w:rsidRPr="00481AA6">
        <w:t>Compte tenu de l’absence d’antécédent</w:t>
      </w:r>
      <w:r w:rsidR="00CA2B42" w:rsidRPr="00481AA6">
        <w:t>s</w:t>
      </w:r>
      <w:r w:rsidRPr="00481AA6">
        <w:t xml:space="preserve"> de la travailleuse, de la nature du trauma qu’elle a subi</w:t>
      </w:r>
      <w:r w:rsidR="002B3BAA" w:rsidRPr="00481AA6">
        <w:t xml:space="preserve"> et</w:t>
      </w:r>
      <w:r w:rsidRPr="00481AA6">
        <w:t xml:space="preserve"> de l’évolution de sa condition médicale, le Tribunal estime que la preuve </w:t>
      </w:r>
      <w:r w:rsidRPr="00481AA6">
        <w:lastRenderedPageBreak/>
        <w:t xml:space="preserve">médicale prépondérante démontre que la fistule </w:t>
      </w:r>
      <w:proofErr w:type="spellStart"/>
      <w:r w:rsidRPr="00481AA6">
        <w:t>périlymphatique</w:t>
      </w:r>
      <w:proofErr w:type="spellEnd"/>
      <w:r w:rsidRPr="00481AA6">
        <w:t xml:space="preserve"> gauche et l’anacousie</w:t>
      </w:r>
      <w:r w:rsidR="00D505F3" w:rsidRPr="00481AA6">
        <w:t xml:space="preserve"> gauche qui en découle</w:t>
      </w:r>
      <w:r w:rsidR="00481AA6" w:rsidRPr="00481AA6">
        <w:t>nt</w:t>
      </w:r>
      <w:r w:rsidR="00D505F3" w:rsidRPr="00481AA6">
        <w:t xml:space="preserve"> s</w:t>
      </w:r>
      <w:r w:rsidRPr="00481AA6">
        <w:t>ont en relation avec l’événement du 19 janvier 2016.</w:t>
      </w:r>
    </w:p>
    <w:p w14:paraId="1A74063D" w14:textId="77777777" w:rsidR="00E55161" w:rsidRDefault="00E55161" w:rsidP="00E55161">
      <w:pPr>
        <w:pStyle w:val="corpsdedcision"/>
      </w:pPr>
      <w:r>
        <w:t>Maintenant qu’en est-il du diagnostic de traumatisme crânien que la travailleuse souhaite faire reconnaître?</w:t>
      </w:r>
    </w:p>
    <w:p w14:paraId="70200615" w14:textId="77777777" w:rsidR="00147739" w:rsidRDefault="00147739" w:rsidP="00E55161">
      <w:pPr>
        <w:pStyle w:val="corpsdedcision"/>
      </w:pPr>
      <w:r>
        <w:t>Le diagnostic de traumatisme crânien est posé lors de la première consultation médicale</w:t>
      </w:r>
      <w:r w:rsidR="002B3BAA">
        <w:t xml:space="preserve"> et </w:t>
      </w:r>
      <w:r>
        <w:t>fait partie des diagnostics reconnus dans la décision d’admissibilité rendue par la Commission.</w:t>
      </w:r>
    </w:p>
    <w:p w14:paraId="17964F1D" w14:textId="77777777" w:rsidR="00147739" w:rsidRPr="00CA2B42" w:rsidRDefault="00147739" w:rsidP="00E55161">
      <w:pPr>
        <w:pStyle w:val="corpsdedcision"/>
      </w:pPr>
      <w:r w:rsidRPr="00CA2B42">
        <w:t>Le</w:t>
      </w:r>
      <w:r w:rsidR="002B3BAA" w:rsidRPr="00CA2B42">
        <w:t>s 30 et</w:t>
      </w:r>
      <w:r w:rsidRPr="00CA2B42">
        <w:t xml:space="preserve"> 31 août 2016, à la demande de l’employeur, la Commission adresse </w:t>
      </w:r>
      <w:r w:rsidR="002B3BAA" w:rsidRPr="00CA2B42">
        <w:t xml:space="preserve">deux demandes d’avis </w:t>
      </w:r>
      <w:r w:rsidRPr="00CA2B42">
        <w:t>au Bureau d’évaluation médicale</w:t>
      </w:r>
      <w:r w:rsidR="00913ADF" w:rsidRPr="00CA2B42">
        <w:t xml:space="preserve">. </w:t>
      </w:r>
      <w:r w:rsidR="00C8529B" w:rsidRPr="00CA2B42">
        <w:t>La première</w:t>
      </w:r>
      <w:r w:rsidR="002B3BAA" w:rsidRPr="00CA2B42">
        <w:t xml:space="preserve"> porte </w:t>
      </w:r>
      <w:r w:rsidRPr="00CA2B42">
        <w:t>sur le diagnostic de TCC léger</w:t>
      </w:r>
      <w:r w:rsidR="00C8529B" w:rsidRPr="00CA2B42">
        <w:t xml:space="preserve"> et l</w:t>
      </w:r>
      <w:r w:rsidRPr="00CA2B42">
        <w:t>a</w:t>
      </w:r>
      <w:r w:rsidR="00C8529B" w:rsidRPr="00CA2B42">
        <w:t xml:space="preserve"> spécialité suggérée est la </w:t>
      </w:r>
      <w:r w:rsidRPr="00CA2B42">
        <w:t>neurologie.</w:t>
      </w:r>
    </w:p>
    <w:p w14:paraId="7C65CC32" w14:textId="77777777" w:rsidR="002B3BAA" w:rsidRPr="00CA2B42" w:rsidRDefault="002B3BAA" w:rsidP="00E55161">
      <w:pPr>
        <w:pStyle w:val="corpsdedcision"/>
      </w:pPr>
      <w:r w:rsidRPr="00CA2B42">
        <w:t xml:space="preserve">La seconde </w:t>
      </w:r>
      <w:r w:rsidR="00C8529B" w:rsidRPr="00CA2B42">
        <w:t xml:space="preserve">demande </w:t>
      </w:r>
      <w:r w:rsidRPr="00CA2B42">
        <w:t xml:space="preserve">porte sur les diagnostics de contusion à l’oreille gauche, contusion temporo-mandibulaire gauche, surdité neurosensorielle gauche, trauma </w:t>
      </w:r>
      <w:proofErr w:type="spellStart"/>
      <w:r w:rsidRPr="00CA2B42">
        <w:t>vestibulo</w:t>
      </w:r>
      <w:proofErr w:type="spellEnd"/>
      <w:r w:rsidR="004065F3" w:rsidRPr="00CA2B42">
        <w:t>-</w:t>
      </w:r>
      <w:r w:rsidRPr="00CA2B42">
        <w:t>coc</w:t>
      </w:r>
      <w:r w:rsidR="00CA2B42" w:rsidRPr="00CA2B42">
        <w:t>hléaire</w:t>
      </w:r>
      <w:r w:rsidR="00913ADF" w:rsidRPr="00CA2B42">
        <w:t xml:space="preserve"> et labyrinthite traumatique. </w:t>
      </w:r>
      <w:r w:rsidRPr="00CA2B42">
        <w:t>La Commission indique que la spécialité suggérée est l’oto-rhino-laryngologie</w:t>
      </w:r>
      <w:r w:rsidR="00913ADF" w:rsidRPr="00CA2B42">
        <w:t>.</w:t>
      </w:r>
    </w:p>
    <w:p w14:paraId="68579100" w14:textId="77777777" w:rsidR="00147739" w:rsidRPr="00CA2B42" w:rsidRDefault="00147739" w:rsidP="00E55161">
      <w:pPr>
        <w:pStyle w:val="corpsdedcision"/>
      </w:pPr>
      <w:r w:rsidRPr="00362E8F">
        <w:t>Avant même</w:t>
      </w:r>
      <w:r w:rsidRPr="00CA2B42">
        <w:t xml:space="preserve"> que le Bureau d’évaluation médicale convoque la travailleuse, le docteur </w:t>
      </w:r>
      <w:proofErr w:type="spellStart"/>
      <w:r w:rsidRPr="00CA2B42">
        <w:t>Lanctôt</w:t>
      </w:r>
      <w:proofErr w:type="spellEnd"/>
      <w:r w:rsidRPr="00CA2B42">
        <w:t xml:space="preserve"> produit un rapport final consolidant le TCC léger</w:t>
      </w:r>
      <w:r w:rsidR="00480AF8" w:rsidRPr="00CA2B42">
        <w:t xml:space="preserve"> le 26 août 2016</w:t>
      </w:r>
      <w:r w:rsidRPr="00CA2B42">
        <w:t xml:space="preserve"> sans atteinte permanente à l’intégrité physique ou psychique de la travailleuse et sans limitations fonctionnelles.</w:t>
      </w:r>
    </w:p>
    <w:p w14:paraId="026289FD" w14:textId="77777777" w:rsidR="007843D0" w:rsidRPr="00CA2B42" w:rsidRDefault="00480AF8" w:rsidP="00EB16F8">
      <w:pPr>
        <w:pStyle w:val="corpsdedcision"/>
      </w:pPr>
      <w:r w:rsidRPr="00CA2B42">
        <w:t>Le 2 septembre 2016, l’agente d’indemnisation de la Commission appelle l’employeur pour l’informer de la réception du rapport final ainsi que de son contenu</w:t>
      </w:r>
      <w:r w:rsidR="004065F3" w:rsidRPr="00CA2B42">
        <w:t>,</w:t>
      </w:r>
      <w:r w:rsidR="00C8529B" w:rsidRPr="00CA2B42">
        <w:t xml:space="preserve"> ce qui </w:t>
      </w:r>
      <w:r w:rsidR="004065F3" w:rsidRPr="00CA2B42">
        <w:t xml:space="preserve">amène ce dernier à se désister </w:t>
      </w:r>
      <w:r w:rsidR="007C3914" w:rsidRPr="00CA2B42">
        <w:t>de sa demande</w:t>
      </w:r>
      <w:r w:rsidRPr="00CA2B42">
        <w:t xml:space="preserve"> au Bureau d’évaluation médicale</w:t>
      </w:r>
      <w:r w:rsidR="00C8529B" w:rsidRPr="00CA2B42">
        <w:t xml:space="preserve"> qui porte sur le diagnostic de TCC léger</w:t>
      </w:r>
      <w:r w:rsidRPr="00CA2B42">
        <w:t>.</w:t>
      </w:r>
    </w:p>
    <w:p w14:paraId="19547259" w14:textId="77777777" w:rsidR="00480AF8" w:rsidRDefault="00480AF8" w:rsidP="00EB16F8">
      <w:pPr>
        <w:pStyle w:val="corpsdedcision"/>
      </w:pPr>
      <w:r>
        <w:t xml:space="preserve">En conséquence, le diagnostic de traumatisme </w:t>
      </w:r>
      <w:proofErr w:type="spellStart"/>
      <w:r>
        <w:t>crâni</w:t>
      </w:r>
      <w:r w:rsidR="00C8529B">
        <w:t>o</w:t>
      </w:r>
      <w:proofErr w:type="spellEnd"/>
      <w:r w:rsidR="00C8529B">
        <w:t xml:space="preserve">-cérébral </w:t>
      </w:r>
      <w:r>
        <w:t>ou de TCC léger n’</w:t>
      </w:r>
      <w:r w:rsidR="00913ADF">
        <w:t xml:space="preserve">a pas été </w:t>
      </w:r>
      <w:r w:rsidR="00913ADF" w:rsidRPr="0098773D">
        <w:t>con</w:t>
      </w:r>
      <w:r w:rsidR="00C8529B" w:rsidRPr="0098773D">
        <w:t>testé</w:t>
      </w:r>
      <w:r w:rsidR="00D505F3" w:rsidRPr="0098773D">
        <w:t xml:space="preserve"> et il </w:t>
      </w:r>
      <w:r w:rsidRPr="0098773D">
        <w:t>demeure accepté par la Commission</w:t>
      </w:r>
      <w:r w:rsidR="0098773D" w:rsidRPr="0098773D">
        <w:t xml:space="preserve">. </w:t>
      </w:r>
      <w:r w:rsidR="00D505F3" w:rsidRPr="0098773D">
        <w:t>Il a toutefois</w:t>
      </w:r>
      <w:r w:rsidR="00913ADF" w:rsidRPr="0098773D">
        <w:t xml:space="preserve"> été</w:t>
      </w:r>
      <w:r w:rsidR="00913ADF">
        <w:t xml:space="preserve"> consolidé sans séquelles. </w:t>
      </w:r>
      <w:r w:rsidR="00215AC3">
        <w:t>Il</w:t>
      </w:r>
      <w:r>
        <w:t xml:space="preserve"> n’a d’ailleurs pas été remis en question par le Tribunal dans le cadre du précédent litige portant sur le diagnostic de la lésion professionnelle</w:t>
      </w:r>
      <w:r w:rsidR="0033479C">
        <w:rPr>
          <w:rStyle w:val="FootnoteReference"/>
        </w:rPr>
        <w:footnoteReference w:id="16"/>
      </w:r>
      <w:r>
        <w:t>.</w:t>
      </w:r>
    </w:p>
    <w:p w14:paraId="57B38617" w14:textId="77777777" w:rsidR="00913ADF" w:rsidRDefault="007C3914" w:rsidP="00A35385">
      <w:pPr>
        <w:pStyle w:val="corpsdedcision"/>
      </w:pPr>
      <w:r>
        <w:t xml:space="preserve">Puisque le diagnostic de traumatisme crânien a été reconnu et qu’il l’est toujours, le présent Tribunal n’a pas à se prononcer de nouveau à l’égard </w:t>
      </w:r>
      <w:r w:rsidRPr="0098773D">
        <w:t xml:space="preserve">de </w:t>
      </w:r>
      <w:r w:rsidR="00D505F3" w:rsidRPr="0098773D">
        <w:t xml:space="preserve">l’admissibilité de </w:t>
      </w:r>
      <w:r w:rsidRPr="0098773D">
        <w:t>celui-ci</w:t>
      </w:r>
      <w:r w:rsidR="00C8529B" w:rsidRPr="0098773D">
        <w:t>.</w:t>
      </w:r>
    </w:p>
    <w:p w14:paraId="1D2C1552" w14:textId="77777777" w:rsidR="00C74B6F" w:rsidRDefault="00C74B6F" w:rsidP="00A35385">
      <w:pPr>
        <w:pStyle w:val="Dispositif"/>
      </w:pPr>
      <w:r>
        <w:rPr>
          <w:b/>
        </w:rPr>
        <w:lastRenderedPageBreak/>
        <w:t>P</w:t>
      </w:r>
      <w:r w:rsidR="00D07FA6">
        <w:rPr>
          <w:b/>
        </w:rPr>
        <w:t>AR CES MOTIFS, LE TRIBUNAL ADMINISTRATIF DU TRAVAIL</w:t>
      </w:r>
      <w:r>
        <w:rPr>
          <w:b/>
        </w:rPr>
        <w:t> :</w:t>
      </w:r>
    </w:p>
    <w:p w14:paraId="3F3AB305" w14:textId="77777777" w:rsidR="007C3914" w:rsidRPr="00A637F5" w:rsidRDefault="007D1B66" w:rsidP="00A35385">
      <w:pPr>
        <w:pStyle w:val="Dispositif"/>
      </w:pPr>
      <w:r>
        <w:rPr>
          <w:b/>
        </w:rPr>
        <w:t>ACCUEILLE</w:t>
      </w:r>
      <w:r w:rsidR="007C3914" w:rsidRPr="007C3914">
        <w:t xml:space="preserve"> </w:t>
      </w:r>
      <w:r w:rsidR="007C3914">
        <w:t>la contestation de madame Nurth Rivera Jimenez, la travailleuse</w:t>
      </w:r>
      <w:r w:rsidR="007C3914" w:rsidRPr="00A637F5">
        <w:t>;</w:t>
      </w:r>
    </w:p>
    <w:p w14:paraId="49F2A48D" w14:textId="77777777" w:rsidR="007C3914" w:rsidRPr="00A637F5" w:rsidRDefault="007C3914" w:rsidP="007C3914">
      <w:pPr>
        <w:pStyle w:val="Dispositif"/>
      </w:pPr>
      <w:r w:rsidRPr="00CA14FC">
        <w:rPr>
          <w:b/>
        </w:rPr>
        <w:t>INFIRME</w:t>
      </w:r>
      <w:r>
        <w:rPr>
          <w:b/>
        </w:rPr>
        <w:t xml:space="preserve"> </w:t>
      </w:r>
      <w:r w:rsidRPr="00A637F5">
        <w:t>la décision de la Commission des normes, de l’équité, de la santé et de la séc</w:t>
      </w:r>
      <w:r>
        <w:t xml:space="preserve">urité du travail rendue le 20 juin 2019 </w:t>
      </w:r>
      <w:r w:rsidRPr="00A637F5">
        <w:t>à la suite d’une révision administrative;</w:t>
      </w:r>
    </w:p>
    <w:p w14:paraId="7C9F97FA" w14:textId="77777777" w:rsidR="007C3914" w:rsidRDefault="007C3914" w:rsidP="007C3914">
      <w:pPr>
        <w:pStyle w:val="Dispositif"/>
      </w:pPr>
      <w:r w:rsidRPr="00A637F5">
        <w:rPr>
          <w:b/>
        </w:rPr>
        <w:t xml:space="preserve">DÉCLARE </w:t>
      </w:r>
      <w:r w:rsidRPr="00A637F5">
        <w:t>que le</w:t>
      </w:r>
      <w:r>
        <w:t>s</w:t>
      </w:r>
      <w:r w:rsidRPr="00A637F5">
        <w:t xml:space="preserve"> diagnostic</w:t>
      </w:r>
      <w:r>
        <w:t>s</w:t>
      </w:r>
      <w:r w:rsidRPr="00A637F5">
        <w:t xml:space="preserve"> de </w:t>
      </w:r>
      <w:r w:rsidR="003F61A3" w:rsidRPr="00CA2B42">
        <w:t xml:space="preserve">fistule </w:t>
      </w:r>
      <w:proofErr w:type="spellStart"/>
      <w:r w:rsidR="003F61A3" w:rsidRPr="00CA2B42">
        <w:t>périlymphatique</w:t>
      </w:r>
      <w:proofErr w:type="spellEnd"/>
      <w:r w:rsidR="003F61A3" w:rsidRPr="00CA2B42">
        <w:t xml:space="preserve"> et d’anacousie gauche sont </w:t>
      </w:r>
      <w:r w:rsidRPr="00CA2B42">
        <w:t>en</w:t>
      </w:r>
      <w:r w:rsidR="003F61A3" w:rsidRPr="00CA2B42">
        <w:t xml:space="preserve"> relation avec l’événement du 19</w:t>
      </w:r>
      <w:r w:rsidRPr="00CA2B42">
        <w:t xml:space="preserve"> janvier 2016.</w:t>
      </w:r>
    </w:p>
    <w:p w14:paraId="11963B19" w14:textId="77777777" w:rsidR="00C74B6F" w:rsidRDefault="00C74B6F">
      <w:pPr>
        <w:pStyle w:val="Dispositif"/>
      </w:pPr>
    </w:p>
    <w:p w14:paraId="4B65E980" w14:textId="77777777" w:rsidR="00C74B6F" w:rsidRDefault="00C74B6F">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61D890E2" w14:textId="77777777">
        <w:tc>
          <w:tcPr>
            <w:tcW w:w="4795" w:type="dxa"/>
          </w:tcPr>
          <w:p w14:paraId="1FBBAEEA" w14:textId="77777777" w:rsidR="00C74B6F" w:rsidRDefault="00C74B6F"/>
        </w:tc>
        <w:tc>
          <w:tcPr>
            <w:tcW w:w="4795" w:type="dxa"/>
          </w:tcPr>
          <w:p w14:paraId="7E32118F" w14:textId="77777777" w:rsidR="00C74B6F" w:rsidRDefault="00C74B6F">
            <w:bookmarkStart w:id="8" w:name="signature"/>
            <w:bookmarkEnd w:id="8"/>
            <w:r>
              <w:t>__________________________________</w:t>
            </w:r>
          </w:p>
        </w:tc>
      </w:tr>
      <w:tr w:rsidR="00C74B6F" w14:paraId="69ECCF95" w14:textId="77777777">
        <w:tc>
          <w:tcPr>
            <w:tcW w:w="4795" w:type="dxa"/>
          </w:tcPr>
          <w:p w14:paraId="4C3B2A8F" w14:textId="77777777" w:rsidR="00C74B6F" w:rsidRDefault="00C74B6F"/>
        </w:tc>
        <w:tc>
          <w:tcPr>
            <w:tcW w:w="4795" w:type="dxa"/>
          </w:tcPr>
          <w:p w14:paraId="14DC7E7A" w14:textId="77777777" w:rsidR="00C74B6F" w:rsidRDefault="00BC2749">
            <w:r>
              <w:t>Karine Savard</w:t>
            </w:r>
          </w:p>
        </w:tc>
      </w:tr>
      <w:tr w:rsidR="00C74B6F" w14:paraId="219C6DEE" w14:textId="77777777">
        <w:trPr>
          <w:cantSplit/>
        </w:trPr>
        <w:tc>
          <w:tcPr>
            <w:tcW w:w="9590" w:type="dxa"/>
            <w:gridSpan w:val="2"/>
          </w:tcPr>
          <w:p w14:paraId="3CE468FC" w14:textId="77777777" w:rsidR="00C74B6F" w:rsidRDefault="00C74B6F"/>
        </w:tc>
      </w:tr>
      <w:tr w:rsidR="00C74B6F" w14:paraId="5FB26623" w14:textId="77777777">
        <w:trPr>
          <w:cantSplit/>
        </w:trPr>
        <w:tc>
          <w:tcPr>
            <w:tcW w:w="9590" w:type="dxa"/>
            <w:gridSpan w:val="2"/>
          </w:tcPr>
          <w:p w14:paraId="093209E6" w14:textId="77777777" w:rsidR="00C74B6F" w:rsidRPr="00C912F9" w:rsidRDefault="00C74B6F" w:rsidP="00EC5C8D">
            <w:pPr>
              <w:tabs>
                <w:tab w:val="left" w:pos="1592"/>
              </w:tabs>
            </w:pPr>
          </w:p>
        </w:tc>
      </w:tr>
      <w:tr w:rsidR="00C74B6F" w14:paraId="174DD197" w14:textId="77777777">
        <w:trPr>
          <w:cantSplit/>
        </w:trPr>
        <w:tc>
          <w:tcPr>
            <w:tcW w:w="9590" w:type="dxa"/>
            <w:gridSpan w:val="2"/>
          </w:tcPr>
          <w:p w14:paraId="5A0545A6" w14:textId="77777777" w:rsidR="00C74B6F" w:rsidRDefault="00C74B6F"/>
        </w:tc>
      </w:tr>
      <w:tr w:rsidR="00C74B6F" w14:paraId="6625F085" w14:textId="77777777">
        <w:trPr>
          <w:cantSplit/>
        </w:trPr>
        <w:tc>
          <w:tcPr>
            <w:tcW w:w="9590" w:type="dxa"/>
            <w:gridSpan w:val="2"/>
          </w:tcPr>
          <w:p w14:paraId="1F6E50FE" w14:textId="77777777" w:rsidR="00C74B6F" w:rsidRDefault="00BC2749">
            <w:pPr>
              <w:pStyle w:val="zSoquijdatNomProcureurDem"/>
            </w:pPr>
            <w:r>
              <w:t>M</w:t>
            </w:r>
            <w:r w:rsidRPr="00913ADF">
              <w:rPr>
                <w:vertAlign w:val="superscript"/>
              </w:rPr>
              <w:t>e</w:t>
            </w:r>
            <w:r>
              <w:t xml:space="preserve"> Teodora Manova</w:t>
            </w:r>
          </w:p>
        </w:tc>
      </w:tr>
      <w:tr w:rsidR="00C74B6F" w14:paraId="1CBB64A4" w14:textId="77777777">
        <w:trPr>
          <w:cantSplit/>
        </w:trPr>
        <w:tc>
          <w:tcPr>
            <w:tcW w:w="9590" w:type="dxa"/>
            <w:gridSpan w:val="2"/>
          </w:tcPr>
          <w:p w14:paraId="58890CC2" w14:textId="77777777" w:rsidR="00C74B6F" w:rsidRDefault="00BC2749">
            <w:pPr>
              <w:pStyle w:val="zSoquijdatCabinetProcureurDem"/>
            </w:pPr>
            <w:r>
              <w:t>NEXUS LEGAL SERVICES INC.</w:t>
            </w:r>
          </w:p>
        </w:tc>
      </w:tr>
      <w:tr w:rsidR="00C74B6F" w14:paraId="06AB7C25" w14:textId="77777777">
        <w:trPr>
          <w:cantSplit/>
        </w:trPr>
        <w:tc>
          <w:tcPr>
            <w:tcW w:w="9590" w:type="dxa"/>
            <w:gridSpan w:val="2"/>
          </w:tcPr>
          <w:p w14:paraId="5C10AC36" w14:textId="77777777" w:rsidR="00C74B6F" w:rsidRDefault="00CB05A7">
            <w:pPr>
              <w:pStyle w:val="zSoquijlblProcureurDem"/>
            </w:pPr>
            <w:r>
              <w:t>Pour la partie demanderesse</w:t>
            </w:r>
          </w:p>
        </w:tc>
      </w:tr>
      <w:tr w:rsidR="00C74B6F" w14:paraId="0370F150" w14:textId="77777777">
        <w:trPr>
          <w:cantSplit/>
        </w:trPr>
        <w:tc>
          <w:tcPr>
            <w:tcW w:w="9590" w:type="dxa"/>
            <w:gridSpan w:val="2"/>
          </w:tcPr>
          <w:p w14:paraId="7BC659D3" w14:textId="77777777" w:rsidR="00C74B6F" w:rsidRDefault="00C74B6F"/>
        </w:tc>
      </w:tr>
      <w:tr w:rsidR="00C74B6F" w14:paraId="7F9A8268" w14:textId="77777777">
        <w:trPr>
          <w:cantSplit/>
        </w:trPr>
        <w:tc>
          <w:tcPr>
            <w:tcW w:w="9590" w:type="dxa"/>
            <w:gridSpan w:val="2"/>
          </w:tcPr>
          <w:p w14:paraId="1EE62EB4" w14:textId="77777777" w:rsidR="00C74B6F" w:rsidRDefault="00BC2749">
            <w:pPr>
              <w:pStyle w:val="zSoquijdatNomProcureurDef"/>
            </w:pPr>
            <w:r>
              <w:t>M. Gérald Corneau</w:t>
            </w:r>
          </w:p>
        </w:tc>
      </w:tr>
      <w:tr w:rsidR="00C74B6F" w14:paraId="74783738" w14:textId="77777777">
        <w:trPr>
          <w:cantSplit/>
        </w:trPr>
        <w:tc>
          <w:tcPr>
            <w:tcW w:w="9590" w:type="dxa"/>
            <w:gridSpan w:val="2"/>
          </w:tcPr>
          <w:p w14:paraId="6589D9DF" w14:textId="77777777" w:rsidR="00C74B6F" w:rsidRDefault="00BC2749">
            <w:pPr>
              <w:pStyle w:val="zSoquijdatCabinetProcureurDef"/>
            </w:pPr>
            <w:r>
              <w:t>GCO CONSEIL INC.</w:t>
            </w:r>
          </w:p>
        </w:tc>
      </w:tr>
      <w:tr w:rsidR="00C74B6F" w14:paraId="5AAEF02D" w14:textId="77777777">
        <w:trPr>
          <w:cantSplit/>
        </w:trPr>
        <w:tc>
          <w:tcPr>
            <w:tcW w:w="9590" w:type="dxa"/>
            <w:gridSpan w:val="2"/>
          </w:tcPr>
          <w:p w14:paraId="42EB5F2C" w14:textId="77777777" w:rsidR="00C74B6F" w:rsidRDefault="007C3914">
            <w:pPr>
              <w:pStyle w:val="zSoquijlblProcureurDef"/>
            </w:pPr>
            <w:r>
              <w:t>Pour la partie mise en cause</w:t>
            </w:r>
          </w:p>
        </w:tc>
      </w:tr>
      <w:tr w:rsidR="007569DE" w14:paraId="4751E852" w14:textId="77777777">
        <w:trPr>
          <w:cantSplit/>
        </w:trPr>
        <w:tc>
          <w:tcPr>
            <w:tcW w:w="9590" w:type="dxa"/>
            <w:gridSpan w:val="2"/>
          </w:tcPr>
          <w:p w14:paraId="0440DC59" w14:textId="77777777" w:rsidR="007569DE" w:rsidRDefault="007569DE"/>
        </w:tc>
      </w:tr>
      <w:tr w:rsidR="00913ADF" w14:paraId="3E96EB15" w14:textId="77777777">
        <w:trPr>
          <w:cantSplit/>
        </w:trPr>
        <w:tc>
          <w:tcPr>
            <w:tcW w:w="9590" w:type="dxa"/>
            <w:gridSpan w:val="2"/>
          </w:tcPr>
          <w:p w14:paraId="2C4A6F27" w14:textId="77777777" w:rsidR="00913ADF" w:rsidRDefault="00913ADF"/>
        </w:tc>
      </w:tr>
      <w:tr w:rsidR="00C15A3F" w14:paraId="346CD747" w14:textId="77777777">
        <w:trPr>
          <w:cantSplit/>
        </w:trPr>
        <w:tc>
          <w:tcPr>
            <w:tcW w:w="9590" w:type="dxa"/>
            <w:gridSpan w:val="2"/>
          </w:tcPr>
          <w:p w14:paraId="3EC55C25" w14:textId="77777777" w:rsidR="00C15A3F" w:rsidRDefault="00C15A3F" w:rsidP="00BC2749">
            <w:pPr>
              <w:pStyle w:val="zSoquijdatDateAudience"/>
            </w:pPr>
            <w:bookmarkStart w:id="9" w:name="Date_derniere_audience"/>
            <w:bookmarkEnd w:id="9"/>
            <w:r>
              <w:t xml:space="preserve">Date de la </w:t>
            </w:r>
            <w:r w:rsidR="00CC6338">
              <w:t>mise en délibéré</w:t>
            </w:r>
            <w:r>
              <w:t> :</w:t>
            </w:r>
            <w:r w:rsidR="00597016">
              <w:tab/>
            </w:r>
            <w:r w:rsidR="00BC2749">
              <w:t>21 juillet 2021</w:t>
            </w:r>
          </w:p>
        </w:tc>
      </w:tr>
    </w:tbl>
    <w:p w14:paraId="4E8B7E7B" w14:textId="77777777" w:rsidR="00F73D1C" w:rsidRPr="00F73D1C" w:rsidRDefault="00F73D1C" w:rsidP="00F73D1C"/>
    <w:sectPr w:rsidR="00F73D1C" w:rsidRPr="00F73D1C">
      <w:headerReference w:type="default" r:id="rId8"/>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AF44B" w14:textId="77777777" w:rsidR="004B2791" w:rsidRDefault="004B2791">
      <w:r>
        <w:separator/>
      </w:r>
    </w:p>
  </w:endnote>
  <w:endnote w:type="continuationSeparator" w:id="0">
    <w:p w14:paraId="4B0784F8" w14:textId="77777777" w:rsidR="004B2791" w:rsidRDefault="004B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FAEB0" w14:textId="77777777" w:rsidR="004B2791" w:rsidRDefault="004B2791">
      <w:r>
        <w:separator/>
      </w:r>
    </w:p>
  </w:footnote>
  <w:footnote w:type="continuationSeparator" w:id="0">
    <w:p w14:paraId="00DCC006" w14:textId="77777777" w:rsidR="004B2791" w:rsidRDefault="004B2791">
      <w:r>
        <w:continuationSeparator/>
      </w:r>
    </w:p>
  </w:footnote>
  <w:footnote w:id="1">
    <w:p w14:paraId="4D0358C2" w14:textId="77777777" w:rsidR="00EB16F8" w:rsidRPr="00193D14" w:rsidRDefault="00EB16F8" w:rsidP="00193D14">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Voir la décision rendue le 2 mars 2016.</w:t>
      </w:r>
    </w:p>
  </w:footnote>
  <w:footnote w:id="2">
    <w:p w14:paraId="1470F34E" w14:textId="77777777" w:rsidR="00EB16F8" w:rsidRPr="00193D14" w:rsidRDefault="00EB16F8" w:rsidP="00193D14">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Voir la décision rendue le 21 juillet 2016.</w:t>
      </w:r>
    </w:p>
  </w:footnote>
  <w:footnote w:id="3">
    <w:p w14:paraId="4C32AF3B" w14:textId="77777777" w:rsidR="00EB16F8" w:rsidRPr="0096296E" w:rsidRDefault="00EB16F8" w:rsidP="00EB16F8">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 xml:space="preserve">Le diagnostic de </w:t>
      </w:r>
      <w:r w:rsidRPr="0096296E">
        <w:rPr>
          <w:rFonts w:cs="Arial"/>
          <w:sz w:val="20"/>
        </w:rPr>
        <w:t>traum</w:t>
      </w:r>
      <w:r w:rsidR="00913ADF" w:rsidRPr="0096296E">
        <w:rPr>
          <w:rFonts w:cs="Arial"/>
          <w:sz w:val="20"/>
        </w:rPr>
        <w:t>a</w:t>
      </w:r>
      <w:r w:rsidRPr="0096296E">
        <w:rPr>
          <w:rFonts w:cs="Arial"/>
          <w:sz w:val="20"/>
        </w:rPr>
        <w:t>tisme crânio-cérébral n’a toutefois pas fait l’objet d’une contestation de l’employeur puisque ce dernier, lorsque mis au courant de la consolidation de ce diagnostic sans séquelles, s’est désisté de sa demande auprès du Bureau d’évaluation médicale.</w:t>
      </w:r>
    </w:p>
  </w:footnote>
  <w:footnote w:id="4">
    <w:p w14:paraId="4F79579A" w14:textId="77777777" w:rsidR="00EB16F8" w:rsidRPr="0096296E" w:rsidRDefault="00EB16F8" w:rsidP="00193D14">
      <w:pPr>
        <w:pStyle w:val="FootnoteText"/>
        <w:tabs>
          <w:tab w:val="left" w:pos="720"/>
        </w:tabs>
        <w:ind w:left="720" w:hanging="720"/>
        <w:jc w:val="both"/>
        <w:rPr>
          <w:rFonts w:cs="Arial"/>
          <w:sz w:val="20"/>
        </w:rPr>
      </w:pPr>
      <w:r w:rsidRPr="0096296E">
        <w:rPr>
          <w:rStyle w:val="FootnoteReference"/>
          <w:szCs w:val="24"/>
        </w:rPr>
        <w:footnoteRef/>
      </w:r>
      <w:r w:rsidRPr="0096296E">
        <w:rPr>
          <w:szCs w:val="24"/>
        </w:rPr>
        <w:t xml:space="preserve"> </w:t>
      </w:r>
      <w:r w:rsidRPr="0096296E">
        <w:rPr>
          <w:rFonts w:cs="Arial"/>
          <w:sz w:val="20"/>
        </w:rPr>
        <w:tab/>
        <w:t>RLRQ, c. A-3.001.</w:t>
      </w:r>
    </w:p>
  </w:footnote>
  <w:footnote w:id="5">
    <w:p w14:paraId="7D22A1BB" w14:textId="77777777" w:rsidR="00FB03DF" w:rsidRPr="0096296E" w:rsidRDefault="00FB03DF">
      <w:pPr>
        <w:pStyle w:val="FootnoteText"/>
        <w:rPr>
          <w:sz w:val="20"/>
        </w:rPr>
      </w:pPr>
      <w:r w:rsidRPr="0096296E">
        <w:rPr>
          <w:rStyle w:val="FootnoteReference"/>
        </w:rPr>
        <w:footnoteRef/>
      </w:r>
      <w:r w:rsidRPr="0096296E">
        <w:t xml:space="preserve"> </w:t>
      </w:r>
      <w:r w:rsidRPr="0096296E">
        <w:tab/>
      </w:r>
      <w:r w:rsidRPr="0096296E">
        <w:rPr>
          <w:sz w:val="20"/>
        </w:rPr>
        <w:t>Articulation temporo-mandibulaire.</w:t>
      </w:r>
    </w:p>
  </w:footnote>
  <w:footnote w:id="6">
    <w:p w14:paraId="34A38DA0" w14:textId="77777777" w:rsidR="00EB16F8" w:rsidRPr="00172853" w:rsidRDefault="00EB16F8" w:rsidP="00172853">
      <w:pPr>
        <w:pStyle w:val="FootnoteText"/>
        <w:tabs>
          <w:tab w:val="left" w:pos="720"/>
        </w:tabs>
        <w:ind w:left="720" w:hanging="720"/>
        <w:jc w:val="both"/>
        <w:rPr>
          <w:rFonts w:cs="Arial"/>
          <w:sz w:val="20"/>
        </w:rPr>
      </w:pPr>
      <w:r w:rsidRPr="0096296E">
        <w:rPr>
          <w:rStyle w:val="FootnoteReference"/>
        </w:rPr>
        <w:footnoteRef/>
      </w:r>
      <w:r w:rsidRPr="0096296E">
        <w:t xml:space="preserve"> </w:t>
      </w:r>
      <w:r w:rsidRPr="0096296E">
        <w:rPr>
          <w:rFonts w:cs="Arial"/>
          <w:sz w:val="20"/>
        </w:rPr>
        <w:tab/>
        <w:t>Voir la décision rendue le 24 février</w:t>
      </w:r>
      <w:r>
        <w:rPr>
          <w:rFonts w:cs="Arial"/>
          <w:sz w:val="20"/>
        </w:rPr>
        <w:t xml:space="preserve"> 2017 par la Commission en</w:t>
      </w:r>
      <w:r w:rsidR="00913ADF">
        <w:rPr>
          <w:rFonts w:cs="Arial"/>
          <w:sz w:val="20"/>
        </w:rPr>
        <w:t xml:space="preserve"> première instance et le 25 mai </w:t>
      </w:r>
      <w:r>
        <w:rPr>
          <w:rFonts w:cs="Arial"/>
          <w:sz w:val="20"/>
        </w:rPr>
        <w:t>2017 en révision administrative.</w:t>
      </w:r>
    </w:p>
  </w:footnote>
  <w:footnote w:id="7">
    <w:p w14:paraId="017D155C" w14:textId="77777777" w:rsidR="00EB16F8" w:rsidRPr="00172853" w:rsidRDefault="00EB16F8" w:rsidP="00172853">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 xml:space="preserve">Voir la décision rendue le 10 octobre 2018 par la Commission en </w:t>
      </w:r>
      <w:r w:rsidR="00913ADF">
        <w:rPr>
          <w:rFonts w:cs="Arial"/>
          <w:sz w:val="20"/>
        </w:rPr>
        <w:t>première instance et le 20 juin </w:t>
      </w:r>
      <w:r>
        <w:rPr>
          <w:rFonts w:cs="Arial"/>
          <w:sz w:val="20"/>
        </w:rPr>
        <w:t>2019 en révision administrative.</w:t>
      </w:r>
    </w:p>
  </w:footnote>
  <w:footnote w:id="8">
    <w:p w14:paraId="36A922EB" w14:textId="77777777" w:rsidR="00EB16F8" w:rsidRPr="00E746E6" w:rsidRDefault="00EB16F8" w:rsidP="00E746E6">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 xml:space="preserve">Le Tribunal note également que </w:t>
      </w:r>
      <w:r w:rsidR="00215AC3">
        <w:rPr>
          <w:rFonts w:cs="Arial"/>
          <w:sz w:val="20"/>
        </w:rPr>
        <w:t>le diagnostic de traumatisme crâ</w:t>
      </w:r>
      <w:r>
        <w:rPr>
          <w:rFonts w:cs="Arial"/>
          <w:sz w:val="20"/>
        </w:rPr>
        <w:t>nio-cérébral léger est reconnu et qu’il n’est pas en litige.</w:t>
      </w:r>
    </w:p>
  </w:footnote>
  <w:footnote w:id="9">
    <w:p w14:paraId="11AD6991" w14:textId="77777777" w:rsidR="00EB16F8" w:rsidRPr="00832B3E" w:rsidRDefault="00EB16F8" w:rsidP="00832B3E">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 xml:space="preserve">Pour des raisons qui sont détaillées </w:t>
      </w:r>
      <w:r w:rsidRPr="004325C6">
        <w:rPr>
          <w:rFonts w:cs="Arial"/>
          <w:sz w:val="20"/>
        </w:rPr>
        <w:t xml:space="preserve">dans </w:t>
      </w:r>
      <w:r w:rsidR="00523A13" w:rsidRPr="00DA5029">
        <w:rPr>
          <w:rFonts w:cs="Arial"/>
          <w:sz w:val="20"/>
        </w:rPr>
        <w:t xml:space="preserve">la </w:t>
      </w:r>
      <w:r w:rsidR="00523A13" w:rsidRPr="0096296E">
        <w:rPr>
          <w:rFonts w:cs="Arial"/>
          <w:sz w:val="20"/>
        </w:rPr>
        <w:t xml:space="preserve">section </w:t>
      </w:r>
      <w:r w:rsidR="004325C6" w:rsidRPr="0096296E">
        <w:rPr>
          <w:rFonts w:cs="Arial"/>
          <w:sz w:val="20"/>
        </w:rPr>
        <w:t>« </w:t>
      </w:r>
      <w:r w:rsidR="00FB03DF" w:rsidRPr="0096296E">
        <w:rPr>
          <w:rFonts w:cs="Arial"/>
          <w:sz w:val="20"/>
        </w:rPr>
        <w:t>A</w:t>
      </w:r>
      <w:r w:rsidR="00835509" w:rsidRPr="0096296E">
        <w:rPr>
          <w:rFonts w:cs="Arial"/>
          <w:sz w:val="20"/>
        </w:rPr>
        <w:t>na</w:t>
      </w:r>
      <w:r w:rsidR="004325C6" w:rsidRPr="0096296E">
        <w:rPr>
          <w:rFonts w:cs="Arial"/>
          <w:sz w:val="20"/>
        </w:rPr>
        <w:t>lyse</w:t>
      </w:r>
      <w:r w:rsidR="004325C6" w:rsidRPr="00DA5029">
        <w:rPr>
          <w:rFonts w:cs="Arial"/>
          <w:sz w:val="20"/>
        </w:rPr>
        <w:t xml:space="preserve"> » </w:t>
      </w:r>
      <w:r w:rsidR="00523A13" w:rsidRPr="00DA5029">
        <w:rPr>
          <w:rFonts w:cs="Arial"/>
          <w:sz w:val="20"/>
        </w:rPr>
        <w:t>de la présente</w:t>
      </w:r>
      <w:r w:rsidR="00523A13" w:rsidRPr="004325C6">
        <w:rPr>
          <w:rFonts w:cs="Arial"/>
          <w:sz w:val="20"/>
        </w:rPr>
        <w:t xml:space="preserve"> décision, le Tribunal a étudié</w:t>
      </w:r>
      <w:r w:rsidRPr="004325C6">
        <w:rPr>
          <w:rFonts w:cs="Arial"/>
          <w:sz w:val="20"/>
        </w:rPr>
        <w:t xml:space="preserve"> l’admissibilité de ces diagnostics</w:t>
      </w:r>
      <w:r>
        <w:rPr>
          <w:rFonts w:cs="Arial"/>
          <w:sz w:val="20"/>
        </w:rPr>
        <w:t xml:space="preserve"> sous l’angle de la relation</w:t>
      </w:r>
      <w:r w:rsidR="004325C6">
        <w:rPr>
          <w:rFonts w:cs="Arial"/>
          <w:sz w:val="20"/>
        </w:rPr>
        <w:t xml:space="preserve"> avec l’événement du 19 janvier </w:t>
      </w:r>
      <w:r>
        <w:rPr>
          <w:rFonts w:cs="Arial"/>
          <w:sz w:val="20"/>
        </w:rPr>
        <w:t>2016 plutôt que sous l’angle de la ré</w:t>
      </w:r>
      <w:r w:rsidR="00835509">
        <w:rPr>
          <w:rFonts w:cs="Arial"/>
          <w:sz w:val="20"/>
        </w:rPr>
        <w:t>cidive, rechute ou aggravation.</w:t>
      </w:r>
    </w:p>
  </w:footnote>
  <w:footnote w:id="10">
    <w:p w14:paraId="44B79699" w14:textId="77777777" w:rsidR="003664EC" w:rsidRPr="003664EC" w:rsidRDefault="003664EC" w:rsidP="003664EC">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 xml:space="preserve">Aussi </w:t>
      </w:r>
      <w:r w:rsidRPr="00523A13">
        <w:rPr>
          <w:rFonts w:cs="Arial"/>
          <w:sz w:val="20"/>
        </w:rPr>
        <w:t xml:space="preserve">désigné </w:t>
      </w:r>
      <w:r w:rsidR="00913ADF" w:rsidRPr="00523A13">
        <w:rPr>
          <w:rFonts w:cs="Arial"/>
          <w:sz w:val="20"/>
        </w:rPr>
        <w:t>« </w:t>
      </w:r>
      <w:r w:rsidRPr="00523A13">
        <w:rPr>
          <w:rFonts w:cs="Arial"/>
          <w:sz w:val="20"/>
        </w:rPr>
        <w:t>TCC</w:t>
      </w:r>
      <w:r w:rsidR="00913ADF" w:rsidRPr="00523A13">
        <w:rPr>
          <w:rFonts w:cs="Arial"/>
          <w:sz w:val="20"/>
        </w:rPr>
        <w:t> »</w:t>
      </w:r>
      <w:r w:rsidRPr="00523A13">
        <w:rPr>
          <w:rFonts w:cs="Arial"/>
          <w:sz w:val="20"/>
        </w:rPr>
        <w:t xml:space="preserve"> par la Commission</w:t>
      </w:r>
      <w:r>
        <w:rPr>
          <w:rFonts w:cs="Arial"/>
          <w:sz w:val="20"/>
        </w:rPr>
        <w:t>.</w:t>
      </w:r>
    </w:p>
  </w:footnote>
  <w:footnote w:id="11">
    <w:p w14:paraId="52194AE4" w14:textId="77777777" w:rsidR="00EB16F8" w:rsidRPr="00481AA6" w:rsidRDefault="00EB16F8" w:rsidP="00D11260">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 xml:space="preserve">Voir l’avis rendu le 12 janvier 2017 par </w:t>
      </w:r>
      <w:r w:rsidRPr="00481AA6">
        <w:rPr>
          <w:rFonts w:cs="Arial"/>
          <w:sz w:val="20"/>
        </w:rPr>
        <w:t>le docteur Samir Abboud</w:t>
      </w:r>
      <w:r w:rsidR="00442E44" w:rsidRPr="00481AA6">
        <w:rPr>
          <w:rFonts w:cs="Arial"/>
          <w:sz w:val="20"/>
        </w:rPr>
        <w:t>,</w:t>
      </w:r>
      <w:r w:rsidRPr="00481AA6">
        <w:rPr>
          <w:rFonts w:cs="Arial"/>
          <w:sz w:val="20"/>
        </w:rPr>
        <w:t xml:space="preserve"> membre du Bureau d’évaluation</w:t>
      </w:r>
      <w:r w:rsidR="00442E44" w:rsidRPr="00481AA6">
        <w:rPr>
          <w:rFonts w:cs="Arial"/>
          <w:sz w:val="20"/>
        </w:rPr>
        <w:t xml:space="preserve"> </w:t>
      </w:r>
      <w:r w:rsidR="00481AA6" w:rsidRPr="00481AA6">
        <w:rPr>
          <w:rFonts w:cs="Arial"/>
          <w:sz w:val="20"/>
        </w:rPr>
        <w:t>médicale,</w:t>
      </w:r>
      <w:r w:rsidRPr="00481AA6">
        <w:rPr>
          <w:rFonts w:cs="Arial"/>
          <w:sz w:val="20"/>
        </w:rPr>
        <w:t xml:space="preserve"> qui consolidait la lésion le même jour.</w:t>
      </w:r>
    </w:p>
  </w:footnote>
  <w:footnote w:id="12">
    <w:p w14:paraId="2F5AE877" w14:textId="77777777" w:rsidR="00EB16F8" w:rsidRPr="00856120" w:rsidRDefault="00EB16F8" w:rsidP="00856120">
      <w:pPr>
        <w:pStyle w:val="FootnoteText"/>
        <w:tabs>
          <w:tab w:val="left" w:pos="720"/>
        </w:tabs>
        <w:ind w:left="720" w:hanging="720"/>
        <w:jc w:val="both"/>
        <w:rPr>
          <w:rFonts w:cs="Arial"/>
          <w:sz w:val="20"/>
        </w:rPr>
      </w:pPr>
      <w:r w:rsidRPr="00481AA6">
        <w:rPr>
          <w:rStyle w:val="FootnoteReference"/>
        </w:rPr>
        <w:footnoteRef/>
      </w:r>
      <w:r w:rsidRPr="00481AA6">
        <w:t xml:space="preserve"> </w:t>
      </w:r>
      <w:r w:rsidRPr="00481AA6">
        <w:rPr>
          <w:rFonts w:cs="Arial"/>
          <w:sz w:val="20"/>
        </w:rPr>
        <w:tab/>
        <w:t>RLRQ, c.T-15.1.</w:t>
      </w:r>
    </w:p>
  </w:footnote>
  <w:footnote w:id="13">
    <w:p w14:paraId="4D94FCB0" w14:textId="77777777" w:rsidR="00EB16F8" w:rsidRPr="00FE0996" w:rsidRDefault="00EB16F8" w:rsidP="00FE0996">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2019 QCTAT 5377.</w:t>
      </w:r>
    </w:p>
  </w:footnote>
  <w:footnote w:id="14">
    <w:p w14:paraId="67AED582" w14:textId="77777777" w:rsidR="00EB16F8" w:rsidRPr="004B132C" w:rsidRDefault="00EB16F8" w:rsidP="004B132C">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2015 QCCLP 5242.</w:t>
      </w:r>
    </w:p>
  </w:footnote>
  <w:footnote w:id="15">
    <w:p w14:paraId="3941D9CF" w14:textId="77777777" w:rsidR="00EB16F8" w:rsidRPr="001E3798" w:rsidRDefault="00EB16F8" w:rsidP="005072F4">
      <w:pPr>
        <w:pStyle w:val="FootnoteText"/>
        <w:tabs>
          <w:tab w:val="left" w:pos="720"/>
        </w:tabs>
        <w:ind w:left="720" w:hanging="720"/>
        <w:jc w:val="both"/>
        <w:rPr>
          <w:rFonts w:cs="Arial"/>
          <w:sz w:val="20"/>
        </w:rPr>
      </w:pPr>
      <w:r w:rsidRPr="008F7BFA">
        <w:rPr>
          <w:rStyle w:val="FootnoteReference"/>
        </w:rPr>
        <w:footnoteRef/>
      </w:r>
      <w:r w:rsidRPr="008F7BFA">
        <w:t xml:space="preserve"> </w:t>
      </w:r>
      <w:r w:rsidRPr="008F7BFA">
        <w:rPr>
          <w:rFonts w:cs="Arial"/>
          <w:sz w:val="20"/>
        </w:rPr>
        <w:tab/>
        <w:t>2014 QCCLP 5754.</w:t>
      </w:r>
    </w:p>
  </w:footnote>
  <w:footnote w:id="16">
    <w:p w14:paraId="2E4D9E29" w14:textId="77777777" w:rsidR="00EB16F8" w:rsidRPr="0033479C" w:rsidRDefault="00EB16F8" w:rsidP="0033479C">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Appelée à se prononcer sur les diagnostics de la lésion professionnelle, cette formation du Tribunal note que le traumatisme crânien (TCC) léger est reconnu par la Commission et ajoute que compte tenu du désistement de l’employeur de sa demande au Bureau d’évaluation méd</w:t>
      </w:r>
      <w:r w:rsidR="00913ADF">
        <w:rPr>
          <w:rFonts w:cs="Arial"/>
          <w:sz w:val="20"/>
        </w:rPr>
        <w:t>icale, il n’est pas en litige.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EB16F8" w14:paraId="0CB06143" w14:textId="77777777" w:rsidTr="00BC2749">
      <w:tc>
        <w:tcPr>
          <w:tcW w:w="8730" w:type="dxa"/>
        </w:tcPr>
        <w:p w14:paraId="19972B83" w14:textId="77777777" w:rsidR="00EB16F8" w:rsidRDefault="00EB16F8">
          <w:pPr>
            <w:pStyle w:val="Header"/>
            <w:ind w:left="-90"/>
          </w:pPr>
        </w:p>
      </w:tc>
      <w:tc>
        <w:tcPr>
          <w:tcW w:w="860" w:type="dxa"/>
        </w:tcPr>
        <w:p w14:paraId="576D06F2" w14:textId="77777777" w:rsidR="00EB16F8" w:rsidRDefault="00EB16F8">
          <w:pPr>
            <w:pStyle w:val="Header"/>
            <w:ind w:left="-90"/>
          </w:pPr>
        </w:p>
      </w:tc>
    </w:tr>
    <w:tr w:rsidR="00EB16F8" w14:paraId="7F6E688F" w14:textId="77777777" w:rsidTr="00BC2749">
      <w:tc>
        <w:tcPr>
          <w:tcW w:w="8730" w:type="dxa"/>
        </w:tcPr>
        <w:p w14:paraId="658FF7AB" w14:textId="77777777" w:rsidR="00EB16F8" w:rsidRDefault="00EB16F8" w:rsidP="00BC2749">
          <w:pPr>
            <w:pStyle w:val="zSoquijdatNoDossier"/>
          </w:pPr>
          <w:r>
            <w:t>703335-62B-1906</w:t>
          </w:r>
        </w:p>
      </w:tc>
      <w:tc>
        <w:tcPr>
          <w:tcW w:w="860" w:type="dxa"/>
        </w:tcPr>
        <w:p w14:paraId="5F1D3B07" w14:textId="77777777" w:rsidR="00EB16F8" w:rsidRDefault="00EB16F8" w:rsidP="00BC2749">
          <w:pPr>
            <w:pStyle w:val="Header"/>
            <w:ind w:left="-9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F00B3">
            <w:rPr>
              <w:rStyle w:val="PageNumber"/>
              <w:noProof/>
            </w:rPr>
            <w:t>2</w:t>
          </w:r>
          <w:r>
            <w:rPr>
              <w:rStyle w:val="PageNumber"/>
            </w:rPr>
            <w:fldChar w:fldCharType="end"/>
          </w:r>
        </w:p>
      </w:tc>
    </w:tr>
    <w:tr w:rsidR="00EB16F8" w14:paraId="4A1FAA6C" w14:textId="77777777" w:rsidTr="00BC2749">
      <w:tc>
        <w:tcPr>
          <w:tcW w:w="8730" w:type="dxa"/>
        </w:tcPr>
        <w:p w14:paraId="49AE412A" w14:textId="77777777" w:rsidR="00EB16F8" w:rsidRDefault="00EB16F8" w:rsidP="00BC2749"/>
      </w:tc>
      <w:tc>
        <w:tcPr>
          <w:tcW w:w="860" w:type="dxa"/>
        </w:tcPr>
        <w:p w14:paraId="3D06D4D4" w14:textId="77777777" w:rsidR="00EB16F8" w:rsidRDefault="00EB16F8" w:rsidP="00BC2749">
          <w:pPr>
            <w:pStyle w:val="Header"/>
            <w:ind w:left="-90"/>
            <w:jc w:val="right"/>
          </w:pPr>
        </w:p>
      </w:tc>
    </w:tr>
  </w:tbl>
  <w:p w14:paraId="3BD9D02B" w14:textId="77777777" w:rsidR="00EB16F8" w:rsidRDefault="00EB1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2"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8"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9"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1681812732">
    <w:abstractNumId w:val="7"/>
  </w:num>
  <w:num w:numId="2" w16cid:durableId="1874876315">
    <w:abstractNumId w:val="6"/>
  </w:num>
  <w:num w:numId="3" w16cid:durableId="1471828231">
    <w:abstractNumId w:val="5"/>
  </w:num>
  <w:num w:numId="4" w16cid:durableId="1029647820">
    <w:abstractNumId w:val="3"/>
  </w:num>
  <w:num w:numId="5" w16cid:durableId="956645360">
    <w:abstractNumId w:val="9"/>
  </w:num>
  <w:num w:numId="6" w16cid:durableId="473452456">
    <w:abstractNumId w:val="9"/>
  </w:num>
  <w:num w:numId="7" w16cid:durableId="1725713151">
    <w:abstractNumId w:val="0"/>
  </w:num>
  <w:num w:numId="8" w16cid:durableId="1523133006">
    <w:abstractNumId w:val="2"/>
  </w:num>
  <w:num w:numId="9" w16cid:durableId="1254509046">
    <w:abstractNumId w:val="1"/>
  </w:num>
  <w:num w:numId="10" w16cid:durableId="2038115835">
    <w:abstractNumId w:val="8"/>
  </w:num>
  <w:num w:numId="11" w16cid:durableId="1261723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30"/>
    <w:rsid w:val="0000234B"/>
    <w:rsid w:val="000034B0"/>
    <w:rsid w:val="000041A1"/>
    <w:rsid w:val="00006CFA"/>
    <w:rsid w:val="0001305E"/>
    <w:rsid w:val="00021B30"/>
    <w:rsid w:val="00021E4C"/>
    <w:rsid w:val="00022556"/>
    <w:rsid w:val="000352CA"/>
    <w:rsid w:val="000366EC"/>
    <w:rsid w:val="00043E4D"/>
    <w:rsid w:val="00056393"/>
    <w:rsid w:val="0007225E"/>
    <w:rsid w:val="00074EAE"/>
    <w:rsid w:val="00076D81"/>
    <w:rsid w:val="00080885"/>
    <w:rsid w:val="00082A97"/>
    <w:rsid w:val="0008378A"/>
    <w:rsid w:val="0008784D"/>
    <w:rsid w:val="00090018"/>
    <w:rsid w:val="00090306"/>
    <w:rsid w:val="00093ACD"/>
    <w:rsid w:val="00095814"/>
    <w:rsid w:val="00097D81"/>
    <w:rsid w:val="00097FCE"/>
    <w:rsid w:val="000A4AD0"/>
    <w:rsid w:val="000A5AD1"/>
    <w:rsid w:val="000A77C5"/>
    <w:rsid w:val="000B1F30"/>
    <w:rsid w:val="000B7F1B"/>
    <w:rsid w:val="000C710F"/>
    <w:rsid w:val="000D3948"/>
    <w:rsid w:val="000E0C28"/>
    <w:rsid w:val="000E1320"/>
    <w:rsid w:val="000E3FF6"/>
    <w:rsid w:val="000E56A6"/>
    <w:rsid w:val="000E67FD"/>
    <w:rsid w:val="000F3423"/>
    <w:rsid w:val="000F4A3D"/>
    <w:rsid w:val="000F5F81"/>
    <w:rsid w:val="000F7DE3"/>
    <w:rsid w:val="00104550"/>
    <w:rsid w:val="00104C3D"/>
    <w:rsid w:val="001050B4"/>
    <w:rsid w:val="00110687"/>
    <w:rsid w:val="00111CED"/>
    <w:rsid w:val="001144AB"/>
    <w:rsid w:val="0012224D"/>
    <w:rsid w:val="001225BC"/>
    <w:rsid w:val="00122A9E"/>
    <w:rsid w:val="00122F94"/>
    <w:rsid w:val="0012326A"/>
    <w:rsid w:val="00137E7E"/>
    <w:rsid w:val="001407FC"/>
    <w:rsid w:val="00144572"/>
    <w:rsid w:val="00147739"/>
    <w:rsid w:val="00147A49"/>
    <w:rsid w:val="00147B8B"/>
    <w:rsid w:val="0015125A"/>
    <w:rsid w:val="00152464"/>
    <w:rsid w:val="0015539F"/>
    <w:rsid w:val="00160597"/>
    <w:rsid w:val="001664C8"/>
    <w:rsid w:val="00167AD0"/>
    <w:rsid w:val="00167E9D"/>
    <w:rsid w:val="00172853"/>
    <w:rsid w:val="00173184"/>
    <w:rsid w:val="00175079"/>
    <w:rsid w:val="001812C3"/>
    <w:rsid w:val="00183515"/>
    <w:rsid w:val="00193D14"/>
    <w:rsid w:val="001A03BE"/>
    <w:rsid w:val="001A067E"/>
    <w:rsid w:val="001A2900"/>
    <w:rsid w:val="001A4081"/>
    <w:rsid w:val="001A65F1"/>
    <w:rsid w:val="001B2B40"/>
    <w:rsid w:val="001B3E9D"/>
    <w:rsid w:val="001B4A40"/>
    <w:rsid w:val="001B5524"/>
    <w:rsid w:val="001C19D4"/>
    <w:rsid w:val="001C2B0B"/>
    <w:rsid w:val="001C3B59"/>
    <w:rsid w:val="001C436D"/>
    <w:rsid w:val="001D65D8"/>
    <w:rsid w:val="001E181B"/>
    <w:rsid w:val="001E42F0"/>
    <w:rsid w:val="001F2111"/>
    <w:rsid w:val="001F3372"/>
    <w:rsid w:val="001F451A"/>
    <w:rsid w:val="00214167"/>
    <w:rsid w:val="00215AC3"/>
    <w:rsid w:val="00221BB3"/>
    <w:rsid w:val="00226493"/>
    <w:rsid w:val="00227040"/>
    <w:rsid w:val="00230CFC"/>
    <w:rsid w:val="00231C1D"/>
    <w:rsid w:val="00241CED"/>
    <w:rsid w:val="00242FB4"/>
    <w:rsid w:val="00245605"/>
    <w:rsid w:val="002554A6"/>
    <w:rsid w:val="002563F0"/>
    <w:rsid w:val="00256DBB"/>
    <w:rsid w:val="00266064"/>
    <w:rsid w:val="00267C8D"/>
    <w:rsid w:val="002701DD"/>
    <w:rsid w:val="00273F49"/>
    <w:rsid w:val="002769B5"/>
    <w:rsid w:val="00276B59"/>
    <w:rsid w:val="00281319"/>
    <w:rsid w:val="00286149"/>
    <w:rsid w:val="0028668D"/>
    <w:rsid w:val="00290289"/>
    <w:rsid w:val="00292188"/>
    <w:rsid w:val="00296645"/>
    <w:rsid w:val="00296A4B"/>
    <w:rsid w:val="00297284"/>
    <w:rsid w:val="002A0077"/>
    <w:rsid w:val="002A07DC"/>
    <w:rsid w:val="002A3573"/>
    <w:rsid w:val="002A374B"/>
    <w:rsid w:val="002A73E9"/>
    <w:rsid w:val="002B2FC3"/>
    <w:rsid w:val="002B35F0"/>
    <w:rsid w:val="002B3BAA"/>
    <w:rsid w:val="002B58AF"/>
    <w:rsid w:val="002C3748"/>
    <w:rsid w:val="002C5E89"/>
    <w:rsid w:val="002D42BC"/>
    <w:rsid w:val="002D71A9"/>
    <w:rsid w:val="002D7846"/>
    <w:rsid w:val="002D7FCB"/>
    <w:rsid w:val="002E05AE"/>
    <w:rsid w:val="002F7507"/>
    <w:rsid w:val="00302FB4"/>
    <w:rsid w:val="00305273"/>
    <w:rsid w:val="003057FC"/>
    <w:rsid w:val="00307C85"/>
    <w:rsid w:val="00312983"/>
    <w:rsid w:val="003248CB"/>
    <w:rsid w:val="00331EA7"/>
    <w:rsid w:val="003332B8"/>
    <w:rsid w:val="0033479C"/>
    <w:rsid w:val="003351B9"/>
    <w:rsid w:val="00337555"/>
    <w:rsid w:val="00344465"/>
    <w:rsid w:val="0034740A"/>
    <w:rsid w:val="0035375B"/>
    <w:rsid w:val="00362D74"/>
    <w:rsid w:val="00362E8F"/>
    <w:rsid w:val="003664E9"/>
    <w:rsid w:val="003664EC"/>
    <w:rsid w:val="00366D1E"/>
    <w:rsid w:val="0037112C"/>
    <w:rsid w:val="00373EE5"/>
    <w:rsid w:val="00373F0E"/>
    <w:rsid w:val="003817E7"/>
    <w:rsid w:val="00382E55"/>
    <w:rsid w:val="00390B55"/>
    <w:rsid w:val="003961B2"/>
    <w:rsid w:val="003A3B56"/>
    <w:rsid w:val="003A41AD"/>
    <w:rsid w:val="003B152B"/>
    <w:rsid w:val="003B1734"/>
    <w:rsid w:val="003B1735"/>
    <w:rsid w:val="003B6CBF"/>
    <w:rsid w:val="003C47A7"/>
    <w:rsid w:val="003D0826"/>
    <w:rsid w:val="003D18FC"/>
    <w:rsid w:val="003D3C93"/>
    <w:rsid w:val="003E00D5"/>
    <w:rsid w:val="003E02BA"/>
    <w:rsid w:val="003F0578"/>
    <w:rsid w:val="003F61A3"/>
    <w:rsid w:val="003F7F38"/>
    <w:rsid w:val="004005E9"/>
    <w:rsid w:val="0040399B"/>
    <w:rsid w:val="004065F3"/>
    <w:rsid w:val="00406F0C"/>
    <w:rsid w:val="00411251"/>
    <w:rsid w:val="00412585"/>
    <w:rsid w:val="0041363B"/>
    <w:rsid w:val="00415D5D"/>
    <w:rsid w:val="004232E9"/>
    <w:rsid w:val="0042650F"/>
    <w:rsid w:val="0042684F"/>
    <w:rsid w:val="00427D5D"/>
    <w:rsid w:val="00431E0B"/>
    <w:rsid w:val="004325C6"/>
    <w:rsid w:val="004337FE"/>
    <w:rsid w:val="00433E98"/>
    <w:rsid w:val="00435738"/>
    <w:rsid w:val="00437137"/>
    <w:rsid w:val="004403B8"/>
    <w:rsid w:val="00441ADA"/>
    <w:rsid w:val="004422CA"/>
    <w:rsid w:val="00442E44"/>
    <w:rsid w:val="0044371C"/>
    <w:rsid w:val="0044627E"/>
    <w:rsid w:val="0045114F"/>
    <w:rsid w:val="00451CE6"/>
    <w:rsid w:val="004529D3"/>
    <w:rsid w:val="00453F31"/>
    <w:rsid w:val="00456B0C"/>
    <w:rsid w:val="0046538B"/>
    <w:rsid w:val="00471C92"/>
    <w:rsid w:val="004739AC"/>
    <w:rsid w:val="00474489"/>
    <w:rsid w:val="00475FEF"/>
    <w:rsid w:val="00476FA2"/>
    <w:rsid w:val="0047776F"/>
    <w:rsid w:val="00480AF8"/>
    <w:rsid w:val="00481AA6"/>
    <w:rsid w:val="00482D5B"/>
    <w:rsid w:val="004870EA"/>
    <w:rsid w:val="00487F13"/>
    <w:rsid w:val="00491692"/>
    <w:rsid w:val="0049595F"/>
    <w:rsid w:val="00496193"/>
    <w:rsid w:val="004A02AF"/>
    <w:rsid w:val="004A4449"/>
    <w:rsid w:val="004A679B"/>
    <w:rsid w:val="004B132C"/>
    <w:rsid w:val="004B2791"/>
    <w:rsid w:val="004C0FB4"/>
    <w:rsid w:val="004C1811"/>
    <w:rsid w:val="004C2944"/>
    <w:rsid w:val="004C4555"/>
    <w:rsid w:val="004D16D6"/>
    <w:rsid w:val="004D6CEA"/>
    <w:rsid w:val="004E3564"/>
    <w:rsid w:val="004E51C0"/>
    <w:rsid w:val="004E64BE"/>
    <w:rsid w:val="004F0876"/>
    <w:rsid w:val="004F6293"/>
    <w:rsid w:val="00503B8D"/>
    <w:rsid w:val="00503EE3"/>
    <w:rsid w:val="00505811"/>
    <w:rsid w:val="005072F4"/>
    <w:rsid w:val="00515DE7"/>
    <w:rsid w:val="00517EB0"/>
    <w:rsid w:val="005205CB"/>
    <w:rsid w:val="00523A13"/>
    <w:rsid w:val="00523BC2"/>
    <w:rsid w:val="00525A06"/>
    <w:rsid w:val="005348E4"/>
    <w:rsid w:val="005352F1"/>
    <w:rsid w:val="00540094"/>
    <w:rsid w:val="00545CFF"/>
    <w:rsid w:val="00555800"/>
    <w:rsid w:val="00556DBB"/>
    <w:rsid w:val="00560781"/>
    <w:rsid w:val="0056268F"/>
    <w:rsid w:val="005662E9"/>
    <w:rsid w:val="005700F8"/>
    <w:rsid w:val="00572AAF"/>
    <w:rsid w:val="005801AE"/>
    <w:rsid w:val="00582868"/>
    <w:rsid w:val="00582ECC"/>
    <w:rsid w:val="0058399B"/>
    <w:rsid w:val="0058692F"/>
    <w:rsid w:val="00587045"/>
    <w:rsid w:val="00587C22"/>
    <w:rsid w:val="005907BE"/>
    <w:rsid w:val="00591130"/>
    <w:rsid w:val="0059436D"/>
    <w:rsid w:val="005945C0"/>
    <w:rsid w:val="00597016"/>
    <w:rsid w:val="005974B7"/>
    <w:rsid w:val="005A0D51"/>
    <w:rsid w:val="005A181B"/>
    <w:rsid w:val="005A1CB3"/>
    <w:rsid w:val="005A3073"/>
    <w:rsid w:val="005A33A5"/>
    <w:rsid w:val="005A70A0"/>
    <w:rsid w:val="005B0612"/>
    <w:rsid w:val="005B13F0"/>
    <w:rsid w:val="005B2E0C"/>
    <w:rsid w:val="005B30F6"/>
    <w:rsid w:val="005B45BA"/>
    <w:rsid w:val="005B5689"/>
    <w:rsid w:val="005B6680"/>
    <w:rsid w:val="005B6774"/>
    <w:rsid w:val="005C0A89"/>
    <w:rsid w:val="005C3BC4"/>
    <w:rsid w:val="005D26CC"/>
    <w:rsid w:val="005D5969"/>
    <w:rsid w:val="005D59B1"/>
    <w:rsid w:val="005D764B"/>
    <w:rsid w:val="005E2367"/>
    <w:rsid w:val="005E5E90"/>
    <w:rsid w:val="005E654C"/>
    <w:rsid w:val="005E6DC3"/>
    <w:rsid w:val="005F05F6"/>
    <w:rsid w:val="00605734"/>
    <w:rsid w:val="0061488E"/>
    <w:rsid w:val="0061574B"/>
    <w:rsid w:val="00622670"/>
    <w:rsid w:val="00623A1A"/>
    <w:rsid w:val="00626E8D"/>
    <w:rsid w:val="0063156B"/>
    <w:rsid w:val="006326A9"/>
    <w:rsid w:val="00632DA8"/>
    <w:rsid w:val="00634E6E"/>
    <w:rsid w:val="00637C4A"/>
    <w:rsid w:val="0064342A"/>
    <w:rsid w:val="00643A28"/>
    <w:rsid w:val="006452FA"/>
    <w:rsid w:val="0065093D"/>
    <w:rsid w:val="00652A16"/>
    <w:rsid w:val="00655193"/>
    <w:rsid w:val="00655459"/>
    <w:rsid w:val="00656FB2"/>
    <w:rsid w:val="00657A70"/>
    <w:rsid w:val="00661454"/>
    <w:rsid w:val="006620AA"/>
    <w:rsid w:val="0066642D"/>
    <w:rsid w:val="00675E85"/>
    <w:rsid w:val="0067750F"/>
    <w:rsid w:val="00681396"/>
    <w:rsid w:val="0068171F"/>
    <w:rsid w:val="0068401E"/>
    <w:rsid w:val="006841A4"/>
    <w:rsid w:val="0068643F"/>
    <w:rsid w:val="006877A1"/>
    <w:rsid w:val="00692150"/>
    <w:rsid w:val="00692F0C"/>
    <w:rsid w:val="00696E7C"/>
    <w:rsid w:val="006A0C54"/>
    <w:rsid w:val="006A7C53"/>
    <w:rsid w:val="006B140A"/>
    <w:rsid w:val="006B309C"/>
    <w:rsid w:val="006B727F"/>
    <w:rsid w:val="006C6D3A"/>
    <w:rsid w:val="006C7B36"/>
    <w:rsid w:val="006C7B7F"/>
    <w:rsid w:val="006D19E8"/>
    <w:rsid w:val="006E04B5"/>
    <w:rsid w:val="006E330C"/>
    <w:rsid w:val="006E3DD8"/>
    <w:rsid w:val="006E793F"/>
    <w:rsid w:val="006F00B3"/>
    <w:rsid w:val="006F0154"/>
    <w:rsid w:val="006F608D"/>
    <w:rsid w:val="006F7944"/>
    <w:rsid w:val="00704121"/>
    <w:rsid w:val="00705BB5"/>
    <w:rsid w:val="0071326F"/>
    <w:rsid w:val="007153D7"/>
    <w:rsid w:val="00715F36"/>
    <w:rsid w:val="00720ED4"/>
    <w:rsid w:val="0074488F"/>
    <w:rsid w:val="00745AA8"/>
    <w:rsid w:val="00746BD7"/>
    <w:rsid w:val="007503E0"/>
    <w:rsid w:val="007510EC"/>
    <w:rsid w:val="0075233C"/>
    <w:rsid w:val="0075256A"/>
    <w:rsid w:val="00752DCD"/>
    <w:rsid w:val="007569DE"/>
    <w:rsid w:val="0075723C"/>
    <w:rsid w:val="00775BDF"/>
    <w:rsid w:val="0077614D"/>
    <w:rsid w:val="00780703"/>
    <w:rsid w:val="00782C8F"/>
    <w:rsid w:val="007843D0"/>
    <w:rsid w:val="00785F78"/>
    <w:rsid w:val="0078659D"/>
    <w:rsid w:val="007869EC"/>
    <w:rsid w:val="007A1E58"/>
    <w:rsid w:val="007A5C7E"/>
    <w:rsid w:val="007A6E2F"/>
    <w:rsid w:val="007B0DF2"/>
    <w:rsid w:val="007B3BC5"/>
    <w:rsid w:val="007B6627"/>
    <w:rsid w:val="007B7FAF"/>
    <w:rsid w:val="007C105F"/>
    <w:rsid w:val="007C3914"/>
    <w:rsid w:val="007C5B8E"/>
    <w:rsid w:val="007D03DF"/>
    <w:rsid w:val="007D1B66"/>
    <w:rsid w:val="007D4953"/>
    <w:rsid w:val="007D50F4"/>
    <w:rsid w:val="007D7173"/>
    <w:rsid w:val="007E1216"/>
    <w:rsid w:val="007E4CD4"/>
    <w:rsid w:val="007E530C"/>
    <w:rsid w:val="007F0E8E"/>
    <w:rsid w:val="007F155A"/>
    <w:rsid w:val="007F2149"/>
    <w:rsid w:val="007F4C29"/>
    <w:rsid w:val="007F4E00"/>
    <w:rsid w:val="008048CF"/>
    <w:rsid w:val="008079DD"/>
    <w:rsid w:val="0081130F"/>
    <w:rsid w:val="00813095"/>
    <w:rsid w:val="008146B2"/>
    <w:rsid w:val="00824430"/>
    <w:rsid w:val="00825B1F"/>
    <w:rsid w:val="00827D55"/>
    <w:rsid w:val="00832B3E"/>
    <w:rsid w:val="00835509"/>
    <w:rsid w:val="008404A0"/>
    <w:rsid w:val="00840EDD"/>
    <w:rsid w:val="0084255F"/>
    <w:rsid w:val="00854C50"/>
    <w:rsid w:val="00854FB3"/>
    <w:rsid w:val="00856120"/>
    <w:rsid w:val="00860F13"/>
    <w:rsid w:val="00861F8B"/>
    <w:rsid w:val="0086561F"/>
    <w:rsid w:val="00865A7A"/>
    <w:rsid w:val="00865FE1"/>
    <w:rsid w:val="0087069B"/>
    <w:rsid w:val="008748C7"/>
    <w:rsid w:val="00874F59"/>
    <w:rsid w:val="0087521A"/>
    <w:rsid w:val="008808C0"/>
    <w:rsid w:val="00880A07"/>
    <w:rsid w:val="00890BDE"/>
    <w:rsid w:val="00892AD3"/>
    <w:rsid w:val="008962E7"/>
    <w:rsid w:val="008A1118"/>
    <w:rsid w:val="008A281F"/>
    <w:rsid w:val="008A48D2"/>
    <w:rsid w:val="008A4AF6"/>
    <w:rsid w:val="008A4FF8"/>
    <w:rsid w:val="008A5ED1"/>
    <w:rsid w:val="008A73CE"/>
    <w:rsid w:val="008A7FD1"/>
    <w:rsid w:val="008B042E"/>
    <w:rsid w:val="008B211E"/>
    <w:rsid w:val="008B6D48"/>
    <w:rsid w:val="008C7660"/>
    <w:rsid w:val="008C79A7"/>
    <w:rsid w:val="008D2430"/>
    <w:rsid w:val="008D5437"/>
    <w:rsid w:val="008D5521"/>
    <w:rsid w:val="008D555F"/>
    <w:rsid w:val="008D625D"/>
    <w:rsid w:val="008D650E"/>
    <w:rsid w:val="008E6A41"/>
    <w:rsid w:val="008F15D5"/>
    <w:rsid w:val="00903990"/>
    <w:rsid w:val="009042A8"/>
    <w:rsid w:val="00904950"/>
    <w:rsid w:val="00913ADF"/>
    <w:rsid w:val="00915E5E"/>
    <w:rsid w:val="009166B8"/>
    <w:rsid w:val="00917915"/>
    <w:rsid w:val="00920684"/>
    <w:rsid w:val="009216E6"/>
    <w:rsid w:val="00922DB7"/>
    <w:rsid w:val="0092684A"/>
    <w:rsid w:val="00937FAB"/>
    <w:rsid w:val="0094094D"/>
    <w:rsid w:val="00942AB8"/>
    <w:rsid w:val="0094548C"/>
    <w:rsid w:val="00945CAF"/>
    <w:rsid w:val="00946AC9"/>
    <w:rsid w:val="00947448"/>
    <w:rsid w:val="00952B38"/>
    <w:rsid w:val="00952C99"/>
    <w:rsid w:val="0095755D"/>
    <w:rsid w:val="0096296E"/>
    <w:rsid w:val="00965333"/>
    <w:rsid w:val="009712EF"/>
    <w:rsid w:val="009727BF"/>
    <w:rsid w:val="00973321"/>
    <w:rsid w:val="00975C2E"/>
    <w:rsid w:val="00977270"/>
    <w:rsid w:val="009824F2"/>
    <w:rsid w:val="00983080"/>
    <w:rsid w:val="00986AA3"/>
    <w:rsid w:val="0098773D"/>
    <w:rsid w:val="00993B24"/>
    <w:rsid w:val="0099611F"/>
    <w:rsid w:val="00997503"/>
    <w:rsid w:val="009A083F"/>
    <w:rsid w:val="009A135C"/>
    <w:rsid w:val="009A67E7"/>
    <w:rsid w:val="009C3C7A"/>
    <w:rsid w:val="009C603A"/>
    <w:rsid w:val="009C74CD"/>
    <w:rsid w:val="009D048F"/>
    <w:rsid w:val="009D162F"/>
    <w:rsid w:val="009D3C1D"/>
    <w:rsid w:val="009D401F"/>
    <w:rsid w:val="009D68FA"/>
    <w:rsid w:val="009E32CF"/>
    <w:rsid w:val="009E4FC2"/>
    <w:rsid w:val="009F44AE"/>
    <w:rsid w:val="00A02529"/>
    <w:rsid w:val="00A02EF2"/>
    <w:rsid w:val="00A04D5E"/>
    <w:rsid w:val="00A10DDF"/>
    <w:rsid w:val="00A11172"/>
    <w:rsid w:val="00A1142C"/>
    <w:rsid w:val="00A1219E"/>
    <w:rsid w:val="00A12B42"/>
    <w:rsid w:val="00A12E55"/>
    <w:rsid w:val="00A2411A"/>
    <w:rsid w:val="00A242E4"/>
    <w:rsid w:val="00A24437"/>
    <w:rsid w:val="00A24CA0"/>
    <w:rsid w:val="00A33601"/>
    <w:rsid w:val="00A3362A"/>
    <w:rsid w:val="00A35385"/>
    <w:rsid w:val="00A35BC6"/>
    <w:rsid w:val="00A37B70"/>
    <w:rsid w:val="00A40AC7"/>
    <w:rsid w:val="00A435C7"/>
    <w:rsid w:val="00A569B2"/>
    <w:rsid w:val="00A611A4"/>
    <w:rsid w:val="00A61F09"/>
    <w:rsid w:val="00A6695B"/>
    <w:rsid w:val="00A72703"/>
    <w:rsid w:val="00A727F6"/>
    <w:rsid w:val="00A72E71"/>
    <w:rsid w:val="00A76432"/>
    <w:rsid w:val="00A84FC6"/>
    <w:rsid w:val="00A8528E"/>
    <w:rsid w:val="00A90BD9"/>
    <w:rsid w:val="00A94A49"/>
    <w:rsid w:val="00AA07E2"/>
    <w:rsid w:val="00AA1815"/>
    <w:rsid w:val="00AA1D3E"/>
    <w:rsid w:val="00AA39F9"/>
    <w:rsid w:val="00AA79D3"/>
    <w:rsid w:val="00AB0931"/>
    <w:rsid w:val="00AB5C9B"/>
    <w:rsid w:val="00AC0276"/>
    <w:rsid w:val="00AC0312"/>
    <w:rsid w:val="00AC0449"/>
    <w:rsid w:val="00AC0DC3"/>
    <w:rsid w:val="00AD2497"/>
    <w:rsid w:val="00AD5EB4"/>
    <w:rsid w:val="00AD667B"/>
    <w:rsid w:val="00AE63E2"/>
    <w:rsid w:val="00AF04C9"/>
    <w:rsid w:val="00AF070E"/>
    <w:rsid w:val="00AF1DC4"/>
    <w:rsid w:val="00AF26B6"/>
    <w:rsid w:val="00AF2979"/>
    <w:rsid w:val="00AF3189"/>
    <w:rsid w:val="00B0375C"/>
    <w:rsid w:val="00B052CB"/>
    <w:rsid w:val="00B0654D"/>
    <w:rsid w:val="00B156C3"/>
    <w:rsid w:val="00B15F67"/>
    <w:rsid w:val="00B1624F"/>
    <w:rsid w:val="00B20E25"/>
    <w:rsid w:val="00B20F5D"/>
    <w:rsid w:val="00B21184"/>
    <w:rsid w:val="00B224C5"/>
    <w:rsid w:val="00B23D8D"/>
    <w:rsid w:val="00B325CD"/>
    <w:rsid w:val="00B4561E"/>
    <w:rsid w:val="00B4768D"/>
    <w:rsid w:val="00B518E5"/>
    <w:rsid w:val="00B51E1F"/>
    <w:rsid w:val="00B57032"/>
    <w:rsid w:val="00B60222"/>
    <w:rsid w:val="00B62CFB"/>
    <w:rsid w:val="00B662F5"/>
    <w:rsid w:val="00B7000C"/>
    <w:rsid w:val="00B760D5"/>
    <w:rsid w:val="00B83B2C"/>
    <w:rsid w:val="00B92049"/>
    <w:rsid w:val="00B94740"/>
    <w:rsid w:val="00B95002"/>
    <w:rsid w:val="00B97F75"/>
    <w:rsid w:val="00BA0A4F"/>
    <w:rsid w:val="00BA1CAE"/>
    <w:rsid w:val="00BA33BB"/>
    <w:rsid w:val="00BA4830"/>
    <w:rsid w:val="00BA6E22"/>
    <w:rsid w:val="00BB0A1F"/>
    <w:rsid w:val="00BB362C"/>
    <w:rsid w:val="00BB5942"/>
    <w:rsid w:val="00BC0A03"/>
    <w:rsid w:val="00BC2749"/>
    <w:rsid w:val="00BC5BB4"/>
    <w:rsid w:val="00BD4139"/>
    <w:rsid w:val="00BE059A"/>
    <w:rsid w:val="00BE1981"/>
    <w:rsid w:val="00BE2DA6"/>
    <w:rsid w:val="00BE320B"/>
    <w:rsid w:val="00BE56E9"/>
    <w:rsid w:val="00BE63CF"/>
    <w:rsid w:val="00BE7014"/>
    <w:rsid w:val="00BE7991"/>
    <w:rsid w:val="00BF25C7"/>
    <w:rsid w:val="00C009B7"/>
    <w:rsid w:val="00C04E32"/>
    <w:rsid w:val="00C116B1"/>
    <w:rsid w:val="00C15A3F"/>
    <w:rsid w:val="00C20630"/>
    <w:rsid w:val="00C224A4"/>
    <w:rsid w:val="00C22F7A"/>
    <w:rsid w:val="00C2666F"/>
    <w:rsid w:val="00C32020"/>
    <w:rsid w:val="00C32D02"/>
    <w:rsid w:val="00C3408C"/>
    <w:rsid w:val="00C3484D"/>
    <w:rsid w:val="00C351CC"/>
    <w:rsid w:val="00C35435"/>
    <w:rsid w:val="00C432FD"/>
    <w:rsid w:val="00C43CDF"/>
    <w:rsid w:val="00C512B2"/>
    <w:rsid w:val="00C62B69"/>
    <w:rsid w:val="00C644B7"/>
    <w:rsid w:val="00C64564"/>
    <w:rsid w:val="00C73C87"/>
    <w:rsid w:val="00C74B6F"/>
    <w:rsid w:val="00C80EC9"/>
    <w:rsid w:val="00C8529B"/>
    <w:rsid w:val="00C87EF3"/>
    <w:rsid w:val="00C9015F"/>
    <w:rsid w:val="00C912F9"/>
    <w:rsid w:val="00C9241B"/>
    <w:rsid w:val="00C96DDF"/>
    <w:rsid w:val="00C97569"/>
    <w:rsid w:val="00CA199D"/>
    <w:rsid w:val="00CA2B42"/>
    <w:rsid w:val="00CA4D9C"/>
    <w:rsid w:val="00CB05A7"/>
    <w:rsid w:val="00CB06A4"/>
    <w:rsid w:val="00CB325B"/>
    <w:rsid w:val="00CB64FF"/>
    <w:rsid w:val="00CB7078"/>
    <w:rsid w:val="00CC014B"/>
    <w:rsid w:val="00CC21D8"/>
    <w:rsid w:val="00CC3369"/>
    <w:rsid w:val="00CC5343"/>
    <w:rsid w:val="00CC6338"/>
    <w:rsid w:val="00CC78DE"/>
    <w:rsid w:val="00CD04D9"/>
    <w:rsid w:val="00CD0F93"/>
    <w:rsid w:val="00CD6D6E"/>
    <w:rsid w:val="00CD6F23"/>
    <w:rsid w:val="00CF08A4"/>
    <w:rsid w:val="00CF640B"/>
    <w:rsid w:val="00CF6B5A"/>
    <w:rsid w:val="00D027AF"/>
    <w:rsid w:val="00D0323E"/>
    <w:rsid w:val="00D06652"/>
    <w:rsid w:val="00D075E7"/>
    <w:rsid w:val="00D07FA6"/>
    <w:rsid w:val="00D11260"/>
    <w:rsid w:val="00D16ADF"/>
    <w:rsid w:val="00D17C53"/>
    <w:rsid w:val="00D17D57"/>
    <w:rsid w:val="00D2341D"/>
    <w:rsid w:val="00D25E0E"/>
    <w:rsid w:val="00D302EB"/>
    <w:rsid w:val="00D31679"/>
    <w:rsid w:val="00D320C8"/>
    <w:rsid w:val="00D3672F"/>
    <w:rsid w:val="00D40ABA"/>
    <w:rsid w:val="00D40FE2"/>
    <w:rsid w:val="00D440FA"/>
    <w:rsid w:val="00D44BCF"/>
    <w:rsid w:val="00D46E73"/>
    <w:rsid w:val="00D505F3"/>
    <w:rsid w:val="00D5548D"/>
    <w:rsid w:val="00D60F81"/>
    <w:rsid w:val="00D63951"/>
    <w:rsid w:val="00D63BF2"/>
    <w:rsid w:val="00D67348"/>
    <w:rsid w:val="00D70A26"/>
    <w:rsid w:val="00D73BB4"/>
    <w:rsid w:val="00D75FEC"/>
    <w:rsid w:val="00D76B98"/>
    <w:rsid w:val="00D835A0"/>
    <w:rsid w:val="00D86F2C"/>
    <w:rsid w:val="00DA0680"/>
    <w:rsid w:val="00DA36F6"/>
    <w:rsid w:val="00DA5029"/>
    <w:rsid w:val="00DB0C8D"/>
    <w:rsid w:val="00DC1611"/>
    <w:rsid w:val="00DD289F"/>
    <w:rsid w:val="00DD3C53"/>
    <w:rsid w:val="00DF0774"/>
    <w:rsid w:val="00DF1036"/>
    <w:rsid w:val="00DF4644"/>
    <w:rsid w:val="00E0033E"/>
    <w:rsid w:val="00E05451"/>
    <w:rsid w:val="00E05651"/>
    <w:rsid w:val="00E11BA5"/>
    <w:rsid w:val="00E20425"/>
    <w:rsid w:val="00E25DCB"/>
    <w:rsid w:val="00E26EC9"/>
    <w:rsid w:val="00E4156E"/>
    <w:rsid w:val="00E44D61"/>
    <w:rsid w:val="00E453F2"/>
    <w:rsid w:val="00E460AD"/>
    <w:rsid w:val="00E55161"/>
    <w:rsid w:val="00E61925"/>
    <w:rsid w:val="00E65C0E"/>
    <w:rsid w:val="00E730FC"/>
    <w:rsid w:val="00E746E6"/>
    <w:rsid w:val="00E746F0"/>
    <w:rsid w:val="00E809B9"/>
    <w:rsid w:val="00E82A15"/>
    <w:rsid w:val="00E85445"/>
    <w:rsid w:val="00E87589"/>
    <w:rsid w:val="00E938FF"/>
    <w:rsid w:val="00E93DFE"/>
    <w:rsid w:val="00EA2124"/>
    <w:rsid w:val="00EA2B12"/>
    <w:rsid w:val="00EA34DC"/>
    <w:rsid w:val="00EA5017"/>
    <w:rsid w:val="00EA6BED"/>
    <w:rsid w:val="00EB14F0"/>
    <w:rsid w:val="00EB16F8"/>
    <w:rsid w:val="00EB3844"/>
    <w:rsid w:val="00EB5A9F"/>
    <w:rsid w:val="00EC573F"/>
    <w:rsid w:val="00EC5C8D"/>
    <w:rsid w:val="00ED106C"/>
    <w:rsid w:val="00ED2D34"/>
    <w:rsid w:val="00ED4805"/>
    <w:rsid w:val="00ED57F6"/>
    <w:rsid w:val="00ED6C51"/>
    <w:rsid w:val="00ED6DA1"/>
    <w:rsid w:val="00EE5152"/>
    <w:rsid w:val="00EF207D"/>
    <w:rsid w:val="00EF4258"/>
    <w:rsid w:val="00EF6D31"/>
    <w:rsid w:val="00F02237"/>
    <w:rsid w:val="00F079A6"/>
    <w:rsid w:val="00F10236"/>
    <w:rsid w:val="00F15811"/>
    <w:rsid w:val="00F22423"/>
    <w:rsid w:val="00F24C72"/>
    <w:rsid w:val="00F26318"/>
    <w:rsid w:val="00F31D22"/>
    <w:rsid w:val="00F348B2"/>
    <w:rsid w:val="00F34BF0"/>
    <w:rsid w:val="00F34ED8"/>
    <w:rsid w:val="00F4095A"/>
    <w:rsid w:val="00F45845"/>
    <w:rsid w:val="00F50189"/>
    <w:rsid w:val="00F508FC"/>
    <w:rsid w:val="00F53571"/>
    <w:rsid w:val="00F54044"/>
    <w:rsid w:val="00F576E7"/>
    <w:rsid w:val="00F6359D"/>
    <w:rsid w:val="00F73D1C"/>
    <w:rsid w:val="00F763FC"/>
    <w:rsid w:val="00F772C1"/>
    <w:rsid w:val="00F80218"/>
    <w:rsid w:val="00F8026D"/>
    <w:rsid w:val="00F8245F"/>
    <w:rsid w:val="00F85F0F"/>
    <w:rsid w:val="00F91629"/>
    <w:rsid w:val="00F91E2A"/>
    <w:rsid w:val="00F96C39"/>
    <w:rsid w:val="00F96E41"/>
    <w:rsid w:val="00FA153F"/>
    <w:rsid w:val="00FA1D78"/>
    <w:rsid w:val="00FA1F7E"/>
    <w:rsid w:val="00FA280F"/>
    <w:rsid w:val="00FB03DF"/>
    <w:rsid w:val="00FB2186"/>
    <w:rsid w:val="00FD0133"/>
    <w:rsid w:val="00FD25FE"/>
    <w:rsid w:val="00FD6206"/>
    <w:rsid w:val="00FE0996"/>
    <w:rsid w:val="00FE1318"/>
    <w:rsid w:val="00FE208F"/>
    <w:rsid w:val="00FF32C3"/>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C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corpsdedcision"/>
    <w:link w:val="Heading1Char"/>
    <w:qFormat/>
    <w:rsid w:val="00F96E41"/>
    <w:pPr>
      <w:keepNext/>
      <w:spacing w:before="240" w:after="240"/>
      <w:outlineLvl w:val="0"/>
    </w:pPr>
    <w:rPr>
      <w:rFonts w:cs="Arial"/>
      <w:b/>
      <w:bCs/>
      <w:caps/>
      <w:kern w:val="32"/>
      <w:szCs w:val="32"/>
      <w:u w:val="single"/>
      <w:lang w:eastAsia="fr-FR"/>
    </w:rPr>
  </w:style>
  <w:style w:type="paragraph" w:styleId="Heading2">
    <w:name w:val="heading 2"/>
    <w:basedOn w:val="Normal"/>
    <w:next w:val="corpsdedcision"/>
    <w:qFormat/>
    <w:rsid w:val="0034740A"/>
    <w:pPr>
      <w:keepNext/>
      <w:spacing w:before="240" w:after="240"/>
      <w:outlineLvl w:val="1"/>
    </w:pPr>
    <w:rPr>
      <w:rFonts w:cs="Arial"/>
      <w:bCs/>
      <w:iCs/>
      <w:caps/>
      <w:szCs w:val="28"/>
      <w:lang w:eastAsia="fr-FR"/>
    </w:rPr>
  </w:style>
  <w:style w:type="paragraph" w:styleId="Heading3">
    <w:name w:val="heading 3"/>
    <w:basedOn w:val="Normal"/>
    <w:next w:val="corpsdedcision"/>
    <w:qFormat/>
    <w:rsid w:val="008F15D5"/>
    <w:pPr>
      <w:keepNext/>
      <w:spacing w:before="240" w:after="240"/>
      <w:outlineLvl w:val="2"/>
    </w:pPr>
    <w:rPr>
      <w:rFonts w:cs="Arial"/>
      <w:b/>
      <w:bCs/>
      <w:szCs w:val="24"/>
      <w:lang w:eastAsia="fr-FR"/>
    </w:rPr>
  </w:style>
  <w:style w:type="paragraph" w:styleId="Heading4">
    <w:name w:val="heading 4"/>
    <w:basedOn w:val="Normal"/>
    <w:next w:val="corpsdedcision"/>
    <w:qFormat/>
    <w:rsid w:val="008F15D5"/>
    <w:pPr>
      <w:keepNext/>
      <w:spacing w:before="240" w:after="240"/>
      <w:outlineLvl w:val="3"/>
    </w:pPr>
    <w:rPr>
      <w:rFonts w:cs="Arial"/>
      <w:szCs w:val="24"/>
      <w:u w:val="single"/>
      <w:lang w:eastAsia="fr-FR"/>
    </w:rPr>
  </w:style>
  <w:style w:type="paragraph" w:styleId="Heading5">
    <w:name w:val="heading 5"/>
    <w:basedOn w:val="Normal"/>
    <w:next w:val="Normal"/>
    <w:qFormat/>
    <w:rsid w:val="005E2367"/>
    <w:pPr>
      <w:numPr>
        <w:ilvl w:val="4"/>
        <w:numId w:val="2"/>
      </w:numPr>
      <w:spacing w:before="240" w:after="60"/>
      <w:outlineLvl w:val="4"/>
    </w:pPr>
    <w:rPr>
      <w:b/>
      <w:bCs/>
      <w:i/>
      <w:iCs/>
      <w:sz w:val="26"/>
      <w:szCs w:val="26"/>
    </w:rPr>
  </w:style>
  <w:style w:type="paragraph" w:styleId="Heading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Heading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Heading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FootnoteReference">
    <w:name w:val="footnote reference"/>
    <w:basedOn w:val="DefaultParagraphFont"/>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FootnoteText">
    <w:name w:val="footnote text"/>
    <w:aliases w:val="Note de bas de page art 65,Note de bas de page + 10pt"/>
    <w:basedOn w:val="Normal"/>
    <w:link w:val="FootnoteTextChar1"/>
  </w:style>
  <w:style w:type="paragraph" w:styleId="Header">
    <w:name w:val="header"/>
    <w:basedOn w:val="Normal"/>
    <w:pPr>
      <w:tabs>
        <w:tab w:val="center" w:pos="4320"/>
        <w:tab w:val="right" w:pos="8640"/>
      </w:tabs>
    </w:pPr>
  </w:style>
  <w:style w:type="character" w:styleId="PageNumber">
    <w:name w:val="page number"/>
    <w:basedOn w:val="DefaultParagraphFont"/>
    <w:rPr>
      <w:rFonts w:ascii="Arial" w:hAnsi="Arial"/>
      <w:sz w:val="24"/>
    </w:rPr>
  </w:style>
  <w:style w:type="paragraph" w:styleId="Footer">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FootnoteTextChar1">
    <w:name w:val="Footnote Text Char1"/>
    <w:aliases w:val="Note de bas de page art 65 Char,Note de bas de page + 10pt Char"/>
    <w:basedOn w:val="DefaultParagraphFont"/>
    <w:link w:val="FootnoteText"/>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rsid w:val="008048CF"/>
    <w:pPr>
      <w:spacing w:before="0" w:after="0"/>
      <w:ind w:left="1440" w:right="1440"/>
    </w:pPr>
    <w:rPr>
      <w:sz w:val="18"/>
    </w:rPr>
  </w:style>
  <w:style w:type="character" w:customStyle="1" w:styleId="Citationintgre">
    <w:name w:val="Citation intégrée"/>
    <w:basedOn w:val="DefaultParagraphFon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Heading1Char">
    <w:name w:val="Heading 1 Char"/>
    <w:link w:val="Heading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Hyperlink">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ListParagraph">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basedOn w:val="DefaultParagraphFont"/>
    <w:locked/>
    <w:rsid w:val="00ED57F6"/>
    <w:rPr>
      <w:rFonts w:ascii="Arial" w:hAnsi="Arial" w:cs="Times New Roman"/>
      <w:sz w:val="24"/>
    </w:rPr>
  </w:style>
  <w:style w:type="character" w:customStyle="1" w:styleId="corpsdedcisionCar">
    <w:name w:val="corps de décision Car"/>
    <w:link w:val="corpsdedcision"/>
    <w:rsid w:val="00CF08A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F3F7-9BC8-48E2-A996-17F4D2FE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2319</Words>
  <Characters>13219</Characters>
  <Application>Microsoft Office Word</Application>
  <DocSecurity>0</DocSecurity>
  <Lines>110</Lines>
  <Paragraphs>31</Paragraphs>
  <ScaleCrop>false</ScaleCrop>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2026-06-30T16:03:00Z</dcterms:created>
  <dcterms:modified xsi:type="dcterms:W3CDTF">2026-06-30T16:03:00Z</dcterms:modified>
</cp:coreProperties>
</file>