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trPr>
          <w:cantSplit/>
        </w:trPr>
        <w:tc>
          <w:tcPr>
            <w:tcW w:w="4795" w:type="dxa"/>
          </w:tcPr>
          <w:p w:rsidR="008A7FD1" w:rsidRPr="00CA235B" w:rsidRDefault="00CA235B" w:rsidP="00CA235B">
            <w:pPr>
              <w:pStyle w:val="zSoquijdatRepertorie"/>
              <w:rPr>
                <w:rFonts w:cs="Arial"/>
              </w:rPr>
            </w:pPr>
            <w:bookmarkStart w:id="0" w:name="_GoBack"/>
            <w:bookmarkEnd w:id="0"/>
            <w:r>
              <w:rPr>
                <w:rFonts w:cs="Arial"/>
              </w:rPr>
              <w:t>Rivas et ExpertFortier</w:t>
            </w:r>
          </w:p>
        </w:tc>
        <w:tc>
          <w:tcPr>
            <w:tcW w:w="2477" w:type="dxa"/>
          </w:tcPr>
          <w:p w:rsidR="008A7FD1" w:rsidRPr="0044725A" w:rsidRDefault="0044725A" w:rsidP="0044725A">
            <w:pPr>
              <w:pStyle w:val="zSoquijdatRefNeutre"/>
              <w:rPr>
                <w:rFonts w:cs="Arial"/>
              </w:rPr>
            </w:pPr>
            <w:r w:rsidRPr="0044725A">
              <w:rPr>
                <w:rFonts w:cs="Arial"/>
              </w:rPr>
              <w:t>2021 QCTAT 3860</w:t>
            </w:r>
          </w:p>
        </w:tc>
      </w:tr>
    </w:tbl>
    <w:p w:rsidR="008A7FD1" w:rsidRDefault="008A7FD1"/>
    <w:tbl>
      <w:tblPr>
        <w:tblW w:w="9568" w:type="dxa"/>
        <w:tblLayout w:type="fixed"/>
        <w:tblCellMar>
          <w:left w:w="70" w:type="dxa"/>
          <w:right w:w="70" w:type="dxa"/>
        </w:tblCellMar>
        <w:tblLook w:val="0000" w:firstRow="0" w:lastRow="0" w:firstColumn="0" w:lastColumn="0" w:noHBand="0" w:noVBand="0"/>
      </w:tblPr>
      <w:tblGrid>
        <w:gridCol w:w="3614"/>
        <w:gridCol w:w="1134"/>
        <w:gridCol w:w="709"/>
        <w:gridCol w:w="4111"/>
      </w:tblGrid>
      <w:tr w:rsidR="00C74B6F" w:rsidTr="002A374B">
        <w:trPr>
          <w:cantSplit/>
        </w:trPr>
        <w:tc>
          <w:tcPr>
            <w:tcW w:w="9568" w:type="dxa"/>
            <w:gridSpan w:val="4"/>
          </w:tcPr>
          <w:p w:rsidR="00C74B6F" w:rsidRPr="00BE1981" w:rsidRDefault="00C74B6F">
            <w:pPr>
              <w:rPr>
                <w:szCs w:val="24"/>
              </w:rPr>
            </w:pPr>
          </w:p>
        </w:tc>
      </w:tr>
      <w:tr w:rsidR="00C74B6F" w:rsidTr="002A374B">
        <w:trPr>
          <w:cantSplit/>
        </w:trPr>
        <w:tc>
          <w:tcPr>
            <w:tcW w:w="9568" w:type="dxa"/>
            <w:gridSpan w:val="4"/>
            <w:vAlign w:val="center"/>
          </w:tcPr>
          <w:p w:rsidR="00C74B6F" w:rsidRPr="000E1320" w:rsidRDefault="000E1320">
            <w:pPr>
              <w:jc w:val="center"/>
              <w:rPr>
                <w:sz w:val="36"/>
                <w:szCs w:val="36"/>
              </w:rPr>
            </w:pPr>
            <w:r w:rsidRPr="000E1320">
              <w:rPr>
                <w:b/>
                <w:sz w:val="36"/>
                <w:szCs w:val="36"/>
              </w:rPr>
              <w:t>TRIBUNAL ADMINISTRATIF DU TRAVAIL</w:t>
            </w:r>
          </w:p>
        </w:tc>
      </w:tr>
      <w:tr w:rsidR="00C74B6F" w:rsidTr="002A374B">
        <w:trPr>
          <w:cantSplit/>
        </w:trPr>
        <w:tc>
          <w:tcPr>
            <w:tcW w:w="9568" w:type="dxa"/>
            <w:gridSpan w:val="4"/>
          </w:tcPr>
          <w:p w:rsidR="00C74B6F" w:rsidRPr="00BE7014" w:rsidRDefault="006F0154" w:rsidP="009A67E7">
            <w:pPr>
              <w:pStyle w:val="zSoquijdatDivision"/>
            </w:pPr>
            <w:r w:rsidRPr="00BE7014">
              <w:t>(</w:t>
            </w:r>
            <w:r w:rsidR="009E2435" w:rsidRPr="00441ADA">
              <w:t>Division de la santé et de la sécurité du travail</w:t>
            </w:r>
            <w:r w:rsidRPr="00BE7014">
              <w:t>)</w:t>
            </w:r>
          </w:p>
        </w:tc>
      </w:tr>
      <w:tr w:rsidR="00C74B6F" w:rsidTr="002A374B">
        <w:trPr>
          <w:cantSplit/>
        </w:trPr>
        <w:tc>
          <w:tcPr>
            <w:tcW w:w="9568" w:type="dxa"/>
            <w:gridSpan w:val="4"/>
          </w:tcPr>
          <w:p w:rsidR="002B2FC3" w:rsidRDefault="002B2FC3" w:rsidP="002B2FC3"/>
        </w:tc>
      </w:tr>
      <w:tr w:rsidR="00A84FC6" w:rsidTr="002A374B">
        <w:trPr>
          <w:cantSplit/>
        </w:trPr>
        <w:tc>
          <w:tcPr>
            <w:tcW w:w="9568" w:type="dxa"/>
            <w:gridSpan w:val="4"/>
          </w:tcPr>
          <w:p w:rsidR="00A84FC6" w:rsidRDefault="00A84FC6" w:rsidP="002B2FC3"/>
        </w:tc>
      </w:tr>
      <w:tr w:rsidR="00C74B6F" w:rsidTr="005E654C">
        <w:tc>
          <w:tcPr>
            <w:tcW w:w="3614" w:type="dxa"/>
          </w:tcPr>
          <w:p w:rsidR="00C74B6F" w:rsidRDefault="0084255F">
            <w:bookmarkStart w:id="1" w:name="region" w:colFirst="1" w:colLast="1"/>
            <w:r>
              <w:t>Région :</w:t>
            </w:r>
          </w:p>
        </w:tc>
        <w:tc>
          <w:tcPr>
            <w:tcW w:w="5954" w:type="dxa"/>
            <w:gridSpan w:val="3"/>
          </w:tcPr>
          <w:p w:rsidR="00C74B6F" w:rsidRDefault="003B6940" w:rsidP="00F4095A">
            <w:pPr>
              <w:pStyle w:val="zSoquijdatGreffe"/>
            </w:pPr>
            <w:r>
              <w:t>Québec</w:t>
            </w:r>
          </w:p>
        </w:tc>
      </w:tr>
      <w:bookmarkEnd w:id="1"/>
      <w:tr w:rsidR="00C74B6F" w:rsidTr="002A374B">
        <w:trPr>
          <w:cantSplit/>
        </w:trPr>
        <w:tc>
          <w:tcPr>
            <w:tcW w:w="9568" w:type="dxa"/>
            <w:gridSpan w:val="4"/>
          </w:tcPr>
          <w:p w:rsidR="00C74B6F" w:rsidRDefault="00C74B6F"/>
        </w:tc>
      </w:tr>
      <w:tr w:rsidR="00C74B6F" w:rsidTr="005E654C">
        <w:tc>
          <w:tcPr>
            <w:tcW w:w="3614" w:type="dxa"/>
          </w:tcPr>
          <w:p w:rsidR="00C74B6F" w:rsidRDefault="0084255F">
            <w:bookmarkStart w:id="2" w:name="ref_dossier" w:colFirst="1" w:colLast="1"/>
            <w:r>
              <w:t>Dossier</w:t>
            </w:r>
            <w:bookmarkStart w:id="3" w:name="dossiers"/>
            <w:bookmarkEnd w:id="3"/>
            <w:r>
              <w:t> :</w:t>
            </w:r>
          </w:p>
        </w:tc>
        <w:tc>
          <w:tcPr>
            <w:tcW w:w="5954" w:type="dxa"/>
            <w:gridSpan w:val="3"/>
          </w:tcPr>
          <w:p w:rsidR="00C74B6F" w:rsidRDefault="009E2435" w:rsidP="00F4095A">
            <w:pPr>
              <w:pStyle w:val="zSoquijdatNoDossier"/>
            </w:pPr>
            <w:r>
              <w:t>1211390-31-2101</w:t>
            </w:r>
          </w:p>
        </w:tc>
      </w:tr>
      <w:bookmarkEnd w:id="2"/>
      <w:tr w:rsidR="00C74B6F" w:rsidTr="002A374B">
        <w:trPr>
          <w:cantSplit/>
        </w:trPr>
        <w:tc>
          <w:tcPr>
            <w:tcW w:w="9568" w:type="dxa"/>
            <w:gridSpan w:val="4"/>
          </w:tcPr>
          <w:p w:rsidR="00C74B6F" w:rsidRDefault="00D44BCF">
            <w:r>
              <w:fldChar w:fldCharType="begin"/>
            </w:r>
            <w:r>
              <w:instrText xml:space="preserve"> AUTOTEXTLIST  \* Upper  \* MERGEFORMAT </w:instrText>
            </w:r>
            <w:r>
              <w:fldChar w:fldCharType="end"/>
            </w:r>
          </w:p>
        </w:tc>
      </w:tr>
      <w:tr w:rsidR="00C74B6F" w:rsidTr="005E654C">
        <w:tc>
          <w:tcPr>
            <w:tcW w:w="3614" w:type="dxa"/>
          </w:tcPr>
          <w:p w:rsidR="00C74B6F" w:rsidRDefault="008C79A7" w:rsidP="009E2435">
            <w:pPr>
              <w:ind w:right="46"/>
            </w:pPr>
            <w:r>
              <w:t xml:space="preserve">Dossier </w:t>
            </w:r>
            <w:r w:rsidR="009E2435">
              <w:rPr>
                <w:szCs w:val="24"/>
              </w:rPr>
              <w:t>CNESST</w:t>
            </w:r>
            <w:r w:rsidRPr="008C79A7">
              <w:rPr>
                <w:szCs w:val="24"/>
              </w:rPr>
              <w:t xml:space="preserve"> :</w:t>
            </w:r>
          </w:p>
        </w:tc>
        <w:tc>
          <w:tcPr>
            <w:tcW w:w="5954" w:type="dxa"/>
            <w:gridSpan w:val="3"/>
          </w:tcPr>
          <w:p w:rsidR="00C74B6F" w:rsidRDefault="009E2435" w:rsidP="004D6CEA">
            <w:pPr>
              <w:pStyle w:val="zSoquijdatNCSST"/>
            </w:pPr>
            <w:r>
              <w:t>506214030</w:t>
            </w:r>
          </w:p>
        </w:tc>
      </w:tr>
      <w:tr w:rsidR="00C74B6F" w:rsidTr="002A374B">
        <w:trPr>
          <w:cantSplit/>
        </w:trPr>
        <w:tc>
          <w:tcPr>
            <w:tcW w:w="9568" w:type="dxa"/>
            <w:gridSpan w:val="4"/>
          </w:tcPr>
          <w:p w:rsidR="00C74B6F" w:rsidRDefault="00C74B6F"/>
        </w:tc>
      </w:tr>
      <w:tr w:rsidR="00C74B6F" w:rsidTr="002A374B">
        <w:trPr>
          <w:cantSplit/>
        </w:trPr>
        <w:tc>
          <w:tcPr>
            <w:tcW w:w="9568" w:type="dxa"/>
            <w:gridSpan w:val="4"/>
          </w:tcPr>
          <w:p w:rsidR="00C74B6F" w:rsidRDefault="00C74B6F"/>
        </w:tc>
      </w:tr>
      <w:tr w:rsidR="006E3DD8" w:rsidTr="005E654C">
        <w:trPr>
          <w:cantSplit/>
        </w:trPr>
        <w:tc>
          <w:tcPr>
            <w:tcW w:w="3614" w:type="dxa"/>
          </w:tcPr>
          <w:p w:rsidR="006E3DD8" w:rsidRDefault="009E2435" w:rsidP="006E3DD8">
            <w:pPr>
              <w:tabs>
                <w:tab w:val="left" w:pos="2672"/>
              </w:tabs>
            </w:pPr>
            <w:r>
              <w:t>Québec</w:t>
            </w:r>
            <w:r w:rsidR="00C04E32">
              <w:t>,</w:t>
            </w:r>
          </w:p>
        </w:tc>
        <w:tc>
          <w:tcPr>
            <w:tcW w:w="5954" w:type="dxa"/>
            <w:gridSpan w:val="3"/>
          </w:tcPr>
          <w:p w:rsidR="006E3DD8" w:rsidRDefault="00C04E32" w:rsidP="009E2435">
            <w:pPr>
              <w:pStyle w:val="zSoquijdatDateJugement"/>
            </w:pPr>
            <w:r>
              <w:t xml:space="preserve">le </w:t>
            </w:r>
            <w:r w:rsidR="00963683">
              <w:t>4</w:t>
            </w:r>
            <w:r w:rsidR="009E2435">
              <w:t xml:space="preserve"> août 2021</w:t>
            </w:r>
          </w:p>
        </w:tc>
      </w:tr>
      <w:tr w:rsidR="00942AB8" w:rsidTr="002A374B">
        <w:trPr>
          <w:cantSplit/>
        </w:trPr>
        <w:tc>
          <w:tcPr>
            <w:tcW w:w="9568" w:type="dxa"/>
            <w:gridSpan w:val="4"/>
          </w:tcPr>
          <w:p w:rsidR="00942AB8" w:rsidRDefault="00942AB8" w:rsidP="00FA153F">
            <w:r>
              <w:t>______________________________________________________________________</w:t>
            </w:r>
          </w:p>
        </w:tc>
      </w:tr>
      <w:tr w:rsidR="00942AB8" w:rsidTr="002A374B">
        <w:trPr>
          <w:cantSplit/>
          <w:trHeight w:val="148"/>
        </w:trPr>
        <w:tc>
          <w:tcPr>
            <w:tcW w:w="9568" w:type="dxa"/>
            <w:gridSpan w:val="4"/>
          </w:tcPr>
          <w:p w:rsidR="00942AB8" w:rsidRDefault="00942AB8" w:rsidP="00FA153F"/>
        </w:tc>
      </w:tr>
      <w:tr w:rsidR="0035375B" w:rsidTr="00A12E55">
        <w:trPr>
          <w:cantSplit/>
          <w:trHeight w:val="148"/>
        </w:trPr>
        <w:tc>
          <w:tcPr>
            <w:tcW w:w="5457" w:type="dxa"/>
            <w:gridSpan w:val="3"/>
          </w:tcPr>
          <w:p w:rsidR="0035375B" w:rsidRPr="00942AB8" w:rsidRDefault="0035375B" w:rsidP="009E2435">
            <w:pPr>
              <w:rPr>
                <w:b/>
                <w:bCs/>
              </w:rPr>
            </w:pPr>
            <w:bookmarkStart w:id="4" w:name="ref_commissaire" w:colFirst="1" w:colLast="1"/>
            <w:r w:rsidRPr="00942AB8">
              <w:rPr>
                <w:b/>
                <w:bCs/>
              </w:rPr>
              <w:t>DEVANT L</w:t>
            </w:r>
            <w:r w:rsidR="009E2435">
              <w:rPr>
                <w:b/>
                <w:bCs/>
              </w:rPr>
              <w:t>E</w:t>
            </w:r>
            <w:r w:rsidRPr="00942AB8">
              <w:rPr>
                <w:b/>
                <w:bCs/>
              </w:rPr>
              <w:t xml:space="preserve"> JUGE ADMINISTRATI</w:t>
            </w:r>
            <w:r w:rsidR="009E2435">
              <w:rPr>
                <w:b/>
                <w:bCs/>
              </w:rPr>
              <w:t>F</w:t>
            </w:r>
            <w:r w:rsidRPr="00942AB8">
              <w:rPr>
                <w:b/>
                <w:bCs/>
              </w:rPr>
              <w:t> :</w:t>
            </w:r>
          </w:p>
        </w:tc>
        <w:tc>
          <w:tcPr>
            <w:tcW w:w="4111" w:type="dxa"/>
          </w:tcPr>
          <w:p w:rsidR="0035375B" w:rsidRPr="00942AB8" w:rsidRDefault="009E2435" w:rsidP="005B5689">
            <w:pPr>
              <w:pStyle w:val="zSoquijdatJuge"/>
              <w:rPr>
                <w:bCs/>
              </w:rPr>
            </w:pPr>
            <w:r>
              <w:t>Guy Grantham</w:t>
            </w:r>
          </w:p>
        </w:tc>
      </w:tr>
      <w:bookmarkEnd w:id="4"/>
      <w:tr w:rsidR="00942AB8" w:rsidTr="002A374B">
        <w:trPr>
          <w:cantSplit/>
          <w:trHeight w:val="148"/>
        </w:trPr>
        <w:tc>
          <w:tcPr>
            <w:tcW w:w="9568" w:type="dxa"/>
            <w:gridSpan w:val="4"/>
          </w:tcPr>
          <w:p w:rsidR="00942AB8" w:rsidRDefault="00942AB8" w:rsidP="00FA153F">
            <w:r>
              <w:t>______________________________________________________________________</w:t>
            </w:r>
          </w:p>
        </w:tc>
      </w:tr>
      <w:tr w:rsidR="00942AB8" w:rsidTr="002A374B">
        <w:tc>
          <w:tcPr>
            <w:tcW w:w="9568" w:type="dxa"/>
            <w:gridSpan w:val="4"/>
          </w:tcPr>
          <w:p w:rsidR="00942AB8" w:rsidRDefault="00942AB8"/>
        </w:tc>
      </w:tr>
      <w:tr w:rsidR="00942AB8" w:rsidTr="00D40ABA">
        <w:tc>
          <w:tcPr>
            <w:tcW w:w="4748" w:type="dxa"/>
            <w:gridSpan w:val="2"/>
          </w:tcPr>
          <w:p w:rsidR="00942AB8" w:rsidRDefault="00942AB8">
            <w:bookmarkStart w:id="5" w:name="bloc_parties_gauche"/>
            <w:bookmarkEnd w:id="5"/>
          </w:p>
        </w:tc>
        <w:tc>
          <w:tcPr>
            <w:tcW w:w="4820" w:type="dxa"/>
            <w:gridSpan w:val="2"/>
          </w:tcPr>
          <w:p w:rsidR="00942AB8" w:rsidRDefault="00942AB8"/>
        </w:tc>
      </w:tr>
      <w:tr w:rsidR="00942AB8" w:rsidTr="00D40ABA">
        <w:tc>
          <w:tcPr>
            <w:tcW w:w="4748" w:type="dxa"/>
            <w:gridSpan w:val="2"/>
          </w:tcPr>
          <w:p w:rsidR="00942AB8" w:rsidRDefault="009E2435">
            <w:pPr>
              <w:pStyle w:val="zSoquijdatNomPartieDem"/>
              <w:rPr>
                <w:b/>
              </w:rPr>
            </w:pPr>
            <w:r>
              <w:rPr>
                <w:b/>
              </w:rPr>
              <w:t>Alfredo Rivas</w:t>
            </w:r>
          </w:p>
        </w:tc>
        <w:tc>
          <w:tcPr>
            <w:tcW w:w="4820" w:type="dxa"/>
            <w:gridSpan w:val="2"/>
          </w:tcPr>
          <w:p w:rsidR="00942AB8" w:rsidRDefault="00942AB8"/>
        </w:tc>
      </w:tr>
      <w:tr w:rsidR="00942AB8" w:rsidTr="00D40ABA">
        <w:tc>
          <w:tcPr>
            <w:tcW w:w="4748" w:type="dxa"/>
            <w:gridSpan w:val="2"/>
          </w:tcPr>
          <w:p w:rsidR="00942AB8" w:rsidRDefault="009E2435" w:rsidP="009E2435">
            <w:pPr>
              <w:pStyle w:val="zSoquijdatQtePartieDem"/>
              <w:tabs>
                <w:tab w:val="left" w:pos="3539"/>
              </w:tabs>
              <w:ind w:left="708"/>
            </w:pPr>
            <w:bookmarkStart w:id="6" w:name="partie_demanderesse"/>
            <w:bookmarkEnd w:id="6"/>
            <w:r>
              <w:t>Partie demanderesse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9E2435" w:rsidP="00D06652">
            <w:pPr>
              <w:pStyle w:val="zSoquijlblLienParties"/>
            </w:pPr>
            <w:r>
              <w:t>et</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942AB8" w:rsidTr="00D40ABA">
        <w:tc>
          <w:tcPr>
            <w:tcW w:w="4748" w:type="dxa"/>
            <w:gridSpan w:val="2"/>
          </w:tcPr>
          <w:p w:rsidR="00942AB8" w:rsidRDefault="009E2435">
            <w:pPr>
              <w:pStyle w:val="zSoquijdatNomPartieDef"/>
              <w:rPr>
                <w:b/>
              </w:rPr>
            </w:pPr>
            <w:r>
              <w:rPr>
                <w:b/>
              </w:rPr>
              <w:t>ExpertFortier</w:t>
            </w:r>
          </w:p>
        </w:tc>
        <w:tc>
          <w:tcPr>
            <w:tcW w:w="4820" w:type="dxa"/>
            <w:gridSpan w:val="2"/>
          </w:tcPr>
          <w:p w:rsidR="00942AB8" w:rsidRDefault="00942AB8"/>
        </w:tc>
      </w:tr>
      <w:tr w:rsidR="00942AB8" w:rsidTr="00D40ABA">
        <w:tc>
          <w:tcPr>
            <w:tcW w:w="4748" w:type="dxa"/>
            <w:gridSpan w:val="2"/>
          </w:tcPr>
          <w:p w:rsidR="00942AB8" w:rsidRDefault="009E2435">
            <w:pPr>
              <w:pStyle w:val="zSoquijdatQtePartieDef"/>
              <w:ind w:left="708"/>
            </w:pPr>
            <w:r>
              <w:t>Partie mise en cause</w:t>
            </w:r>
          </w:p>
        </w:tc>
        <w:tc>
          <w:tcPr>
            <w:tcW w:w="4820" w:type="dxa"/>
            <w:gridSpan w:val="2"/>
          </w:tcPr>
          <w:p w:rsidR="00942AB8" w:rsidRDefault="00942AB8"/>
        </w:tc>
      </w:tr>
      <w:tr w:rsidR="009E2435" w:rsidTr="00D40ABA">
        <w:tc>
          <w:tcPr>
            <w:tcW w:w="4748" w:type="dxa"/>
            <w:gridSpan w:val="2"/>
          </w:tcPr>
          <w:p w:rsidR="009E2435" w:rsidRDefault="009E2435"/>
        </w:tc>
        <w:tc>
          <w:tcPr>
            <w:tcW w:w="4820" w:type="dxa"/>
            <w:gridSpan w:val="2"/>
          </w:tcPr>
          <w:p w:rsidR="009E2435" w:rsidRDefault="009E2435"/>
        </w:tc>
      </w:tr>
      <w:tr w:rsidR="009E2435" w:rsidTr="00D40ABA">
        <w:tc>
          <w:tcPr>
            <w:tcW w:w="4748" w:type="dxa"/>
            <w:gridSpan w:val="2"/>
          </w:tcPr>
          <w:p w:rsidR="009E2435" w:rsidRDefault="009E2435">
            <w:r>
              <w:t>et</w:t>
            </w:r>
          </w:p>
        </w:tc>
        <w:tc>
          <w:tcPr>
            <w:tcW w:w="4820" w:type="dxa"/>
            <w:gridSpan w:val="2"/>
          </w:tcPr>
          <w:p w:rsidR="009E2435" w:rsidRDefault="009E2435"/>
        </w:tc>
      </w:tr>
      <w:tr w:rsidR="0065093D" w:rsidTr="00D40ABA">
        <w:tc>
          <w:tcPr>
            <w:tcW w:w="4748" w:type="dxa"/>
            <w:gridSpan w:val="2"/>
          </w:tcPr>
          <w:p w:rsidR="0065093D" w:rsidRDefault="0065093D"/>
        </w:tc>
        <w:tc>
          <w:tcPr>
            <w:tcW w:w="4820" w:type="dxa"/>
            <w:gridSpan w:val="2"/>
          </w:tcPr>
          <w:p w:rsidR="0065093D" w:rsidRDefault="0065093D"/>
        </w:tc>
      </w:tr>
      <w:tr w:rsidR="00942AB8" w:rsidTr="00D40ABA">
        <w:tc>
          <w:tcPr>
            <w:tcW w:w="4748" w:type="dxa"/>
            <w:gridSpan w:val="2"/>
          </w:tcPr>
          <w:p w:rsidR="00942AB8" w:rsidRDefault="009E2435">
            <w:pPr>
              <w:pStyle w:val="zSoquijdatNomPartieInt"/>
              <w:rPr>
                <w:b/>
              </w:rPr>
            </w:pPr>
            <w:r>
              <w:rPr>
                <w:b/>
              </w:rPr>
              <w:t>Commission des normes, de l’équité, de la santé et de la sécurité du travail</w:t>
            </w:r>
          </w:p>
        </w:tc>
        <w:tc>
          <w:tcPr>
            <w:tcW w:w="4820" w:type="dxa"/>
            <w:gridSpan w:val="2"/>
          </w:tcPr>
          <w:p w:rsidR="00942AB8" w:rsidRDefault="00942AB8"/>
        </w:tc>
      </w:tr>
      <w:tr w:rsidR="00942AB8" w:rsidTr="00D40ABA">
        <w:tc>
          <w:tcPr>
            <w:tcW w:w="4748" w:type="dxa"/>
            <w:gridSpan w:val="2"/>
          </w:tcPr>
          <w:p w:rsidR="00942AB8" w:rsidRDefault="009E2435" w:rsidP="003B6940">
            <w:pPr>
              <w:pStyle w:val="zSoquijdatQtePartieInt"/>
              <w:ind w:left="708"/>
            </w:pPr>
            <w:r>
              <w:t>Partie in</w:t>
            </w:r>
            <w:r w:rsidR="003B6940">
              <w:t>t</w:t>
            </w:r>
            <w:r>
              <w:t>er</w:t>
            </w:r>
            <w:r w:rsidR="003B6940">
              <w:t>v</w:t>
            </w:r>
            <w:r>
              <w:t>enante</w:t>
            </w:r>
          </w:p>
        </w:tc>
        <w:tc>
          <w:tcPr>
            <w:tcW w:w="4820" w:type="dxa"/>
            <w:gridSpan w:val="2"/>
          </w:tcPr>
          <w:p w:rsidR="00942AB8" w:rsidRDefault="00942AB8"/>
        </w:tc>
      </w:tr>
      <w:tr w:rsidR="00942AB8" w:rsidTr="00D40ABA">
        <w:tc>
          <w:tcPr>
            <w:tcW w:w="4748" w:type="dxa"/>
            <w:gridSpan w:val="2"/>
          </w:tcPr>
          <w:p w:rsidR="00942AB8" w:rsidRDefault="00942AB8"/>
        </w:tc>
        <w:tc>
          <w:tcPr>
            <w:tcW w:w="4820" w:type="dxa"/>
            <w:gridSpan w:val="2"/>
          </w:tcPr>
          <w:p w:rsidR="00942AB8" w:rsidRDefault="00942AB8"/>
        </w:tc>
      </w:tr>
      <w:tr w:rsidR="007744E3" w:rsidTr="00D40ABA">
        <w:tc>
          <w:tcPr>
            <w:tcW w:w="4748" w:type="dxa"/>
            <w:gridSpan w:val="2"/>
          </w:tcPr>
          <w:p w:rsidR="007744E3" w:rsidRDefault="007744E3"/>
        </w:tc>
        <w:tc>
          <w:tcPr>
            <w:tcW w:w="4820" w:type="dxa"/>
            <w:gridSpan w:val="2"/>
          </w:tcPr>
          <w:p w:rsidR="007744E3" w:rsidRDefault="007744E3"/>
        </w:tc>
      </w:tr>
    </w:tbl>
    <w:p w:rsidR="00C74B6F" w:rsidRDefault="00C74B6F">
      <w:r>
        <w:t>______________________________________________________________________</w:t>
      </w:r>
    </w:p>
    <w:p w:rsidR="00C74B6F" w:rsidRDefault="00C74B6F"/>
    <w:p w:rsidR="00C74B6F" w:rsidRPr="005B0612" w:rsidRDefault="00C74B6F" w:rsidP="008B042E">
      <w:pPr>
        <w:jc w:val="center"/>
        <w:rPr>
          <w:b/>
          <w:bCs/>
        </w:rPr>
      </w:pPr>
      <w:bookmarkStart w:id="7" w:name="decision"/>
      <w:r w:rsidRPr="005B0612">
        <w:rPr>
          <w:b/>
          <w:bCs/>
        </w:rPr>
        <w:t>DÉCISION</w:t>
      </w:r>
      <w:bookmarkEnd w:id="7"/>
    </w:p>
    <w:p w:rsidR="00C74B6F" w:rsidRDefault="00C74B6F">
      <w:pPr>
        <w:jc w:val="center"/>
      </w:pPr>
      <w:r>
        <w:t>______________________________________________________________________</w:t>
      </w:r>
    </w:p>
    <w:p w:rsidR="00C74B6F" w:rsidRDefault="00C74B6F"/>
    <w:p w:rsidR="00082A97" w:rsidRPr="00B51F99" w:rsidRDefault="00082A97" w:rsidP="00F10236">
      <w:pPr>
        <w:pStyle w:val="corpsdedcision"/>
        <w:numPr>
          <w:ilvl w:val="0"/>
          <w:numId w:val="0"/>
        </w:numPr>
        <w:rPr>
          <w:u w:val="single"/>
        </w:rPr>
      </w:pPr>
      <w:r>
        <w:rPr>
          <w:b/>
          <w:bCs/>
          <w:u w:val="single"/>
        </w:rPr>
        <w:t>L’APERÇU</w:t>
      </w:r>
    </w:p>
    <w:p w:rsidR="00C74B6F" w:rsidRDefault="003F7001">
      <w:pPr>
        <w:pStyle w:val="corpsdedcision"/>
      </w:pPr>
      <w:r>
        <w:t>Le travailleur, m</w:t>
      </w:r>
      <w:r w:rsidR="003B6940">
        <w:t>onsieur Alfredo Rivas</w:t>
      </w:r>
      <w:r>
        <w:t>,</w:t>
      </w:r>
      <w:r w:rsidR="003B6940">
        <w:t xml:space="preserve"> qui exerce le métier de préposé à l’entretien au</w:t>
      </w:r>
      <w:r w:rsidR="005E67E2">
        <w:t xml:space="preserve"> sein de </w:t>
      </w:r>
      <w:r w:rsidR="003B6940">
        <w:t>ExpertFortier,</w:t>
      </w:r>
      <w:r w:rsidR="00963683">
        <w:t xml:space="preserve"> l’employeur,</w:t>
      </w:r>
      <w:r w:rsidR="003B6940">
        <w:t xml:space="preserve"> subit le 20 février 2019 une lésion professionnelle que reconnaît la Commission des normes, de l’équité, de la santé et de la sécurité du travail, la Commission, dont les diagnostics sont une entorse au genou droit et une entorse dorsolombaire.</w:t>
      </w:r>
    </w:p>
    <w:p w:rsidR="003B6940" w:rsidRDefault="003B6940">
      <w:pPr>
        <w:pStyle w:val="corpsdedcision"/>
      </w:pPr>
      <w:r>
        <w:t>Le 17 mars 2020, la Commission refuse le nouveau diagnostic de hernie discale L5-S1.</w:t>
      </w:r>
      <w:r w:rsidR="00963683">
        <w:t xml:space="preserve"> Le 5 juin 2020, elle confirme cette</w:t>
      </w:r>
      <w:r>
        <w:t xml:space="preserve"> décision de refus de reconnaître la relation entre ce diagnostic et l’événement du 20 février 2019, à la suite d’une révision administrative.</w:t>
      </w:r>
    </w:p>
    <w:p w:rsidR="003B6940" w:rsidRDefault="003B6940">
      <w:pPr>
        <w:pStyle w:val="corpsdedcision"/>
      </w:pPr>
      <w:r>
        <w:t>Le 4 janvier 2021, le travailleur transmet au Tribunal une contestation de la décision de la Commission.</w:t>
      </w:r>
    </w:p>
    <w:p w:rsidR="003B6940" w:rsidRDefault="003B6940">
      <w:pPr>
        <w:pStyle w:val="corpsdedcision"/>
      </w:pPr>
      <w:r>
        <w:t>Le travailleur soumet que sa contestation est recevable et demande de pouvoir faire valoir ses droits</w:t>
      </w:r>
      <w:r w:rsidR="005E67E2">
        <w:t xml:space="preserve"> sur le fond de sa réclamation. La Commission soumet que la contestation est irrecevable et qu’aucun motif raisonnable permettant de prolonger le délai légal est démontré.</w:t>
      </w:r>
    </w:p>
    <w:p w:rsidR="005E67E2" w:rsidRDefault="005E67E2">
      <w:pPr>
        <w:pStyle w:val="corpsdedcision"/>
      </w:pPr>
      <w:r>
        <w:t>Pour les motifs qui suivent, le Tribunal conclut qu’il y a lieu de déclarer recevable la contestation du travailleur.</w:t>
      </w:r>
    </w:p>
    <w:p w:rsidR="00082A97" w:rsidRDefault="00082A97" w:rsidP="00F10236">
      <w:pPr>
        <w:pStyle w:val="corpsdedcision"/>
        <w:numPr>
          <w:ilvl w:val="0"/>
          <w:numId w:val="0"/>
        </w:numPr>
        <w:rPr>
          <w:b/>
          <w:bCs/>
          <w:u w:val="single"/>
        </w:rPr>
      </w:pPr>
      <w:r w:rsidRPr="00B51F99">
        <w:rPr>
          <w:b/>
          <w:bCs/>
          <w:u w:val="single"/>
        </w:rPr>
        <w:t>L</w:t>
      </w:r>
      <w:r>
        <w:rPr>
          <w:b/>
          <w:bCs/>
          <w:u w:val="single"/>
        </w:rPr>
        <w:t>’ANALYSE</w:t>
      </w:r>
    </w:p>
    <w:p w:rsidR="004C2944" w:rsidRDefault="005E67E2" w:rsidP="004C2944">
      <w:pPr>
        <w:pStyle w:val="corpsdedcision"/>
      </w:pPr>
      <w:r>
        <w:t xml:space="preserve">Le premier paragraphe de l’article 359 de la </w:t>
      </w:r>
      <w:r w:rsidRPr="00C55104">
        <w:rPr>
          <w:i/>
        </w:rPr>
        <w:t>Loi sur les accidents du travail et les maladies professionnelles</w:t>
      </w:r>
      <w:r w:rsidRPr="00C55104">
        <w:rPr>
          <w:rStyle w:val="Appelnotedebasdep"/>
        </w:rPr>
        <w:footnoteReference w:id="1"/>
      </w:r>
      <w:r>
        <w:rPr>
          <w:i/>
        </w:rPr>
        <w:t>,</w:t>
      </w:r>
      <w:r w:rsidRPr="00C55104">
        <w:t xml:space="preserve"> la Loi</w:t>
      </w:r>
      <w:r>
        <w:t>, édicte ce qui suit :</w:t>
      </w:r>
    </w:p>
    <w:p w:rsidR="005E67E2" w:rsidRDefault="005E67E2">
      <w:pPr>
        <w:pStyle w:val="citation"/>
      </w:pPr>
      <w:r w:rsidRPr="00F4548E">
        <w:rPr>
          <w:b/>
          <w:bCs/>
        </w:rPr>
        <w:t>359.</w:t>
      </w:r>
      <w:r>
        <w:t xml:space="preserve">  Une personne qui se croit lésée par une décision rendue à la suite d'une demande faite en vertu de l'article 358 peut la contester devant le Tribunal dans les 45 jours de sa notification.</w:t>
      </w:r>
    </w:p>
    <w:p w:rsidR="005E67E2" w:rsidRDefault="005E67E2">
      <w:pPr>
        <w:pStyle w:val="citation"/>
      </w:pPr>
    </w:p>
    <w:p w:rsidR="005E67E2" w:rsidRDefault="005E67E2">
      <w:pPr>
        <w:pStyle w:val="citation"/>
      </w:pPr>
      <w:r>
        <w:t>[...]</w:t>
      </w:r>
    </w:p>
    <w:p w:rsidR="005E67E2" w:rsidRDefault="005E67E2">
      <w:pPr>
        <w:pStyle w:val="articlesdelaLSST"/>
      </w:pPr>
    </w:p>
    <w:p w:rsidR="005E67E2" w:rsidRPr="006A3216" w:rsidRDefault="005E67E2">
      <w:pPr>
        <w:pStyle w:val="articlesdelaLSST"/>
      </w:pPr>
    </w:p>
    <w:p w:rsidR="005E67E2" w:rsidRDefault="005E67E2" w:rsidP="004C2944">
      <w:pPr>
        <w:pStyle w:val="corpsdedcision"/>
      </w:pPr>
      <w:r>
        <w:t xml:space="preserve">Par ailleurs, la prolongation du délai de 45 jours est possible selon l’article 15 de la </w:t>
      </w:r>
      <w:r w:rsidRPr="00C57EEB">
        <w:rPr>
          <w:i/>
        </w:rPr>
        <w:t>Loi instituant le Tribunal administratif du travail</w:t>
      </w:r>
      <w:r>
        <w:rPr>
          <w:rStyle w:val="Appelnotedebasdep"/>
        </w:rPr>
        <w:footnoteReference w:id="2"/>
      </w:r>
      <w:r>
        <w:rPr>
          <w:i/>
        </w:rPr>
        <w:t> :</w:t>
      </w:r>
    </w:p>
    <w:p w:rsidR="00283144" w:rsidRDefault="00283144">
      <w:pPr>
        <w:pStyle w:val="articlesdelaLSST"/>
      </w:pPr>
      <w:r w:rsidRPr="001D357F">
        <w:rPr>
          <w:b/>
          <w:bCs/>
        </w:rPr>
        <w:t>15.</w:t>
      </w:r>
      <w:r>
        <w:t xml:space="preserve"> Le Tribunal peut prolonger un délai ou relever une personne des conséquences de son défaut de le respecter, s'il est démontré que celle-ci n'a pu respecter le délai prescrit pour un motif raisonnable et si, de l'avis du Tribunal, aucune autre partie n'en subit de préjudice grave.</w:t>
      </w:r>
    </w:p>
    <w:p w:rsidR="00283144" w:rsidRPr="00EC06C3" w:rsidRDefault="00283144">
      <w:pPr>
        <w:pStyle w:val="citation"/>
      </w:pPr>
    </w:p>
    <w:p w:rsidR="00283144" w:rsidRPr="00EC06C3" w:rsidRDefault="00283144">
      <w:pPr>
        <w:pStyle w:val="citation"/>
      </w:pPr>
    </w:p>
    <w:p w:rsidR="007744E3" w:rsidRDefault="007744E3" w:rsidP="007744E3">
      <w:pPr>
        <w:pStyle w:val="corpsdedcision"/>
        <w:numPr>
          <w:ilvl w:val="0"/>
          <w:numId w:val="0"/>
        </w:numPr>
      </w:pPr>
    </w:p>
    <w:p w:rsidR="005E67E2" w:rsidRDefault="00283144" w:rsidP="004C2944">
      <w:pPr>
        <w:pStyle w:val="corpsdedcision"/>
      </w:pPr>
      <w:r>
        <w:t>La question essentielle porte ici sur la notification de la décision du 5 juin 2020.</w:t>
      </w:r>
    </w:p>
    <w:p w:rsidR="00283144" w:rsidRDefault="00283144" w:rsidP="004C2944">
      <w:pPr>
        <w:pStyle w:val="corpsdedcision"/>
      </w:pPr>
      <w:r>
        <w:t xml:space="preserve">La notion de </w:t>
      </w:r>
      <w:r w:rsidRPr="00283144">
        <w:rPr>
          <w:i/>
        </w:rPr>
        <w:t>notificatio</w:t>
      </w:r>
      <w:r>
        <w:t>n réfère à « l’action de notifier », à « un texte qui notifie quelque chose ».</w:t>
      </w:r>
      <w:r>
        <w:rPr>
          <w:rStyle w:val="Appelnotedebasdep"/>
        </w:rPr>
        <w:footnoteReference w:id="3"/>
      </w:r>
      <w:r>
        <w:t xml:space="preserve"> Elle réfère donc à l’action « de faire connaître expressément quelque chose à quelqu’un » et, en matière judiciaire, à une « pièce par laquelle on notifie quelque chose ».</w:t>
      </w:r>
      <w:r>
        <w:rPr>
          <w:rStyle w:val="Appelnotedebasdep"/>
        </w:rPr>
        <w:footnoteReference w:id="4"/>
      </w:r>
    </w:p>
    <w:p w:rsidR="00283144" w:rsidRDefault="00283144" w:rsidP="004C2944">
      <w:pPr>
        <w:pStyle w:val="corpsdedcision"/>
      </w:pPr>
      <w:r>
        <w:t>Le travailleur témoigne à l’audience.</w:t>
      </w:r>
    </w:p>
    <w:p w:rsidR="00283144" w:rsidRDefault="00283144" w:rsidP="004C2944">
      <w:pPr>
        <w:pStyle w:val="corpsdedcision"/>
      </w:pPr>
      <w:r>
        <w:t xml:space="preserve">Il explique avoir reçu la décision écrite du </w:t>
      </w:r>
      <w:r w:rsidR="003F7001">
        <w:t>5</w:t>
      </w:r>
      <w:r>
        <w:t xml:space="preserve"> juin</w:t>
      </w:r>
      <w:r w:rsidR="00637B98">
        <w:t xml:space="preserve"> </w:t>
      </w:r>
      <w:r>
        <w:t>2020 à la fin décembre 2020.</w:t>
      </w:r>
    </w:p>
    <w:p w:rsidR="00283144" w:rsidRDefault="00637B98" w:rsidP="004C2944">
      <w:pPr>
        <w:pStyle w:val="corpsdedcision"/>
      </w:pPr>
      <w:r>
        <w:t xml:space="preserve">Il admet que la réviseure de la direction de la révision administrative de la Commission avait verbalement communiqué avec lui en début juin 2020 pour l’informer de la décision négative et </w:t>
      </w:r>
      <w:r w:rsidR="003F7001">
        <w:t xml:space="preserve">lui annoncer </w:t>
      </w:r>
      <w:r>
        <w:t>qu’il la recevrait dans les prochains jours. On l’avait alors informé qu’il pouvait contester cette décision auprès du Tribunal.</w:t>
      </w:r>
    </w:p>
    <w:p w:rsidR="003F7001" w:rsidRDefault="003F7001" w:rsidP="003F7001">
      <w:pPr>
        <w:pStyle w:val="corpsdedcision"/>
      </w:pPr>
      <w:r>
        <w:t>Notons qu’il est en preuve que l’adresse de résidence du travailleur indiquée au bas de la décision du 5 juin 2020 est bien alors valide.</w:t>
      </w:r>
    </w:p>
    <w:p w:rsidR="00637B98" w:rsidRDefault="00637B98" w:rsidP="004C2944">
      <w:pPr>
        <w:pStyle w:val="corpsdedcision"/>
      </w:pPr>
      <w:r>
        <w:t>Le travailleur explique être alors demeuré dans l’attente de recevoir la décision écrite, qu’il entendait contester.</w:t>
      </w:r>
    </w:p>
    <w:p w:rsidR="00637B98" w:rsidRDefault="00637B98" w:rsidP="004C2944">
      <w:pPr>
        <w:pStyle w:val="corpsdedcision"/>
      </w:pPr>
      <w:r>
        <w:t>Malgré une condition médicale qu’il dit être préoccupante voire partiellement invalidante</w:t>
      </w:r>
      <w:r w:rsidR="003F7001">
        <w:t xml:space="preserve"> à l’époque</w:t>
      </w:r>
      <w:r>
        <w:t>, le travailleur dit avoir communiqué à deux ou trois reprises avec la Commission, sans toutefois pouvoir préciser les moments.</w:t>
      </w:r>
    </w:p>
    <w:p w:rsidR="00637B98" w:rsidRDefault="00637B98" w:rsidP="004C2944">
      <w:pPr>
        <w:pStyle w:val="corpsdedcision"/>
      </w:pPr>
      <w:r>
        <w:t>De par la teneur des notes évolutives de la Commission, on constate que le travailleur et la Commission ont eu cinq ou six échanges téléphonique</w:t>
      </w:r>
      <w:r w:rsidR="001D6B27">
        <w:t>s</w:t>
      </w:r>
      <w:r>
        <w:t xml:space="preserve"> entre juin et décembre 2020</w:t>
      </w:r>
      <w:r w:rsidR="001D6B27">
        <w:t>. Notamment, le 2 juillet 2020, alors que le travailleur demande un remboursement pour un examen médical, il semble lui être rappelé que le nouveau diagnostic de hernie discale L5-S1 a été refusé. À l'audience, le travailleur maintient qu’il était dans l’attente d’une décision écrite, afin de la contester.</w:t>
      </w:r>
    </w:p>
    <w:p w:rsidR="007744E3" w:rsidRDefault="007744E3" w:rsidP="007744E3">
      <w:pPr>
        <w:pStyle w:val="corpsdedcision"/>
        <w:numPr>
          <w:ilvl w:val="0"/>
          <w:numId w:val="0"/>
        </w:numPr>
      </w:pPr>
    </w:p>
    <w:p w:rsidR="007744E3" w:rsidRDefault="007744E3" w:rsidP="007744E3">
      <w:pPr>
        <w:pStyle w:val="corpsdedcision"/>
        <w:numPr>
          <w:ilvl w:val="0"/>
          <w:numId w:val="0"/>
        </w:numPr>
      </w:pPr>
    </w:p>
    <w:p w:rsidR="001D6B27" w:rsidRDefault="001D6B27" w:rsidP="004C2944">
      <w:pPr>
        <w:pStyle w:val="corpsdedcision"/>
      </w:pPr>
      <w:r>
        <w:t>Le Tribunal observe que la preuve documentaire fait état de diverses décisions dont le demandeur a lui-même demandé la révision au fil du temps, apparemment dans les délais légaux.</w:t>
      </w:r>
    </w:p>
    <w:p w:rsidR="001D6B27" w:rsidRDefault="001D6B27" w:rsidP="004C2944">
      <w:pPr>
        <w:pStyle w:val="corpsdedcision"/>
      </w:pPr>
      <w:r>
        <w:t>Le 18 décembre 2020, le travailleur consulte</w:t>
      </w:r>
      <w:r w:rsidR="003F7001">
        <w:t xml:space="preserve"> finalement</w:t>
      </w:r>
      <w:r>
        <w:t xml:space="preserve"> un avocat. </w:t>
      </w:r>
      <w:r w:rsidR="003F7001">
        <w:t xml:space="preserve">Il </w:t>
      </w:r>
      <w:r>
        <w:t xml:space="preserve">explique qu’il n’avait toujours pas en main la décision de juin 2020. </w:t>
      </w:r>
      <w:r w:rsidR="003F7001">
        <w:t>Il</w:t>
      </w:r>
      <w:r>
        <w:t xml:space="preserve"> demande aussi conseil concernant ses prétentions d’une relation entre une intervention chirurgicale subie le 4 novembre 2020 et l’événement d’origine. C’est ainsi que l’avocat prépare le même jour une lettre manuscrite, signée par le travailleur, indiquant « je demande une copie du dossier. Il y a un lien entre la chirurgie du 4 novembre 2020 et l’accident. Je conteste toute décision à l’effet contraire. »</w:t>
      </w:r>
    </w:p>
    <w:p w:rsidR="001D6B27" w:rsidRDefault="001D6B27" w:rsidP="004C2944">
      <w:pPr>
        <w:pStyle w:val="corpsdedcision"/>
      </w:pPr>
      <w:r>
        <w:t xml:space="preserve">Selon les </w:t>
      </w:r>
      <w:r w:rsidR="003F7001">
        <w:t>inscript</w:t>
      </w:r>
      <w:r>
        <w:t>ions indiquées dans la portion supérieure de cette lettre, celle-ci est transmise à la Commission par télécopieur le 18 décembre 2020</w:t>
      </w:r>
      <w:r w:rsidR="003F7001">
        <w:t xml:space="preserve"> à partir du cabinet de l’avocat.</w:t>
      </w:r>
    </w:p>
    <w:p w:rsidR="001D6B27" w:rsidRDefault="001D6B27" w:rsidP="004C2944">
      <w:pPr>
        <w:pStyle w:val="corpsdedcision"/>
      </w:pPr>
      <w:r>
        <w:t>Selon son témoignage, le travailleur reçoit ensuite de la Commission une copie de son dossier</w:t>
      </w:r>
      <w:r w:rsidR="003F7001">
        <w:t xml:space="preserve"> par la poste</w:t>
      </w:r>
      <w:r>
        <w:t>. Il prend alors connaissance de la décision écrite du 5 juin 2020.</w:t>
      </w:r>
    </w:p>
    <w:p w:rsidR="001D6B27" w:rsidRDefault="001D6B27" w:rsidP="004C2944">
      <w:pPr>
        <w:pStyle w:val="corpsdedcision"/>
      </w:pPr>
      <w:r>
        <w:t xml:space="preserve">Le travailleur revoit </w:t>
      </w:r>
      <w:r w:rsidR="003F7001">
        <w:t xml:space="preserve">ainsi </w:t>
      </w:r>
      <w:r>
        <w:t xml:space="preserve">l’avocat le 4 janvier 2021. Ce dernier indique à la main, </w:t>
      </w:r>
      <w:r w:rsidR="00FB50D7">
        <w:t>sur la décision du 5 juin 2020, les mentions suivantes : « Contestation TAT, je conteste cette décision, QC, 4 janvier 2021</w:t>
      </w:r>
      <w:r w:rsidR="003F7001">
        <w:t> »</w:t>
      </w:r>
      <w:r w:rsidR="00FB50D7">
        <w:t xml:space="preserve">. Le travailleur </w:t>
      </w:r>
      <w:r w:rsidR="003F7001">
        <w:t xml:space="preserve">y </w:t>
      </w:r>
      <w:r w:rsidR="00FB50D7">
        <w:t>appose sa signature</w:t>
      </w:r>
      <w:r w:rsidR="003F7001">
        <w:t xml:space="preserve">, </w:t>
      </w:r>
      <w:r w:rsidR="00FB50D7">
        <w:t>en indiquant son numéro de téléphone de l’époque. Selon l</w:t>
      </w:r>
      <w:r w:rsidR="003F7001">
        <w:t xml:space="preserve">es inscriptions </w:t>
      </w:r>
      <w:r w:rsidR="00FB50D7">
        <w:t>qui se trouve</w:t>
      </w:r>
      <w:r w:rsidR="003F7001">
        <w:t>nt</w:t>
      </w:r>
      <w:r w:rsidR="00FB50D7">
        <w:t xml:space="preserve"> dans la portion supérieure de ce document, celui-ci est transmis par télécopieur</w:t>
      </w:r>
      <w:r w:rsidR="003F7001">
        <w:t xml:space="preserve"> le 4 janvier 2021, à partir du cabinet de l’avocat</w:t>
      </w:r>
      <w:r w:rsidR="00FB50D7">
        <w:t>.</w:t>
      </w:r>
    </w:p>
    <w:p w:rsidR="00FB50D7" w:rsidRDefault="00A10DCE" w:rsidP="004C2944">
      <w:pPr>
        <w:pStyle w:val="corpsdedcision"/>
      </w:pPr>
      <w:r>
        <w:t>La Commission soumet que le travailleur s’est vu notifier la décision dès le 5 juin 2020 et qu’il n’a pas fait preuve de diligence par la suite.</w:t>
      </w:r>
    </w:p>
    <w:p w:rsidR="00A10DCE" w:rsidRDefault="00A10DCE" w:rsidP="004C2944">
      <w:pPr>
        <w:pStyle w:val="corpsdedcision"/>
      </w:pPr>
      <w:r>
        <w:t xml:space="preserve">Avec égard, </w:t>
      </w:r>
      <w:r w:rsidR="003F7001">
        <w:t xml:space="preserve">en regard des éléments factuels soumis, </w:t>
      </w:r>
      <w:r>
        <w:t>le Tribunal n’est pas de cet avis.</w:t>
      </w:r>
    </w:p>
    <w:p w:rsidR="00A10DCE" w:rsidRDefault="00A10DCE" w:rsidP="004C2944">
      <w:pPr>
        <w:pStyle w:val="corpsdedcision"/>
      </w:pPr>
      <w:r>
        <w:t>Le Tribunal doit garder à l’esprit qu’il est « ... essentiel de trouver un compromis entre la sauvegarde des droits des administrés et l’efficacité du régime recherché par tous. »</w:t>
      </w:r>
      <w:r>
        <w:rPr>
          <w:rStyle w:val="Appelnotedebasdep"/>
        </w:rPr>
        <w:footnoteReference w:id="5"/>
      </w:r>
    </w:p>
    <w:p w:rsidR="00283144" w:rsidRDefault="00A10DCE" w:rsidP="004C2944">
      <w:pPr>
        <w:pStyle w:val="corpsdedcision"/>
      </w:pPr>
      <w:r>
        <w:t>De même, le Tribunal est d’avis qu’il n’est pas déraisonnable d’exiger du travailleur une preuve de ne pas avoir été notifié. « Comme c’est le cas pour toute décision relative à la preuve devant le Tribunal, il s’agit d’une question de prépondérance de preuve. »</w:t>
      </w:r>
      <w:r>
        <w:rPr>
          <w:rStyle w:val="Appelnotedebasdep"/>
        </w:rPr>
        <w:footnoteReference w:id="6"/>
      </w:r>
    </w:p>
    <w:p w:rsidR="00A10DCE" w:rsidRDefault="00A10DCE" w:rsidP="004C2944">
      <w:pPr>
        <w:pStyle w:val="corpsdedcision"/>
      </w:pPr>
      <w:r>
        <w:t xml:space="preserve">Il s’agit donc d’une question dont la réponse repose sur l’évaluation des faits particuliers de chaque cas. La preuve documentaire et le témoignage du travailleur doivent être </w:t>
      </w:r>
      <w:r w:rsidR="003F7001">
        <w:t>considéré</w:t>
      </w:r>
      <w:r>
        <w:t>s.</w:t>
      </w:r>
    </w:p>
    <w:p w:rsidR="00A10DCE" w:rsidRDefault="00A10DCE" w:rsidP="004C2944">
      <w:pPr>
        <w:pStyle w:val="corpsdedcision"/>
      </w:pPr>
      <w:r>
        <w:t>« Il faut également garder à l’esprit qu’en droit administratif, il sied de privilégier une interprétation souple des questions de nature procédurales, surtout lorsqu’un administré risque</w:t>
      </w:r>
      <w:r w:rsidR="003F7001">
        <w:t xml:space="preserve"> de perdre un droit ».</w:t>
      </w:r>
      <w:r w:rsidR="00980D5A">
        <w:rPr>
          <w:rStyle w:val="Appelnotedebasdep"/>
        </w:rPr>
        <w:footnoteReference w:id="7"/>
      </w:r>
    </w:p>
    <w:p w:rsidR="00980D5A" w:rsidRDefault="00980D5A" w:rsidP="004C2944">
      <w:pPr>
        <w:pStyle w:val="corpsdedcision"/>
      </w:pPr>
      <w:r>
        <w:t>Dans ce dossier, même si le travailleur est informé verbalement de la décision négative dès le 5 juin 2020, le Tribunal constate que la preuve ne tend pas à démontrer qu’il est alors informé de tous les détails de la décision</w:t>
      </w:r>
      <w:r w:rsidR="00963683">
        <w:t xml:space="preserve"> écrite</w:t>
      </w:r>
      <w:r>
        <w:t xml:space="preserve"> et particulièrement du délai de 45 jours pour la contester.</w:t>
      </w:r>
    </w:p>
    <w:p w:rsidR="00980D5A" w:rsidRDefault="00980D5A" w:rsidP="004C2944">
      <w:pPr>
        <w:pStyle w:val="corpsdedcision"/>
      </w:pPr>
      <w:r>
        <w:t xml:space="preserve">Le Tribunal estime que la preuve </w:t>
      </w:r>
      <w:r w:rsidR="003F7001">
        <w:t xml:space="preserve">indique essentiellement </w:t>
      </w:r>
      <w:r>
        <w:t xml:space="preserve">que le travailleur était dans l’attente de recevoir la décision écrite et qu’il avait l’intention de la contester. La preuve ne permet pas de faire la lumière sur la transmission </w:t>
      </w:r>
      <w:r w:rsidR="003F7001">
        <w:t>et la réception</w:t>
      </w:r>
      <w:r>
        <w:t xml:space="preserve"> de la décision écrite par la poste</w:t>
      </w:r>
      <w:r w:rsidR="003F7001">
        <w:t xml:space="preserve"> avant décembre 2020.</w:t>
      </w:r>
    </w:p>
    <w:p w:rsidR="00980D5A" w:rsidRDefault="00980D5A" w:rsidP="004C2944">
      <w:pPr>
        <w:pStyle w:val="corpsdedcision"/>
      </w:pPr>
      <w:r>
        <w:t xml:space="preserve">À tout événement, lorsque le travailleur a demandé à la Commission une copie de son dossier dans le cadre de sa consultation juridique du 18 décembre 2020, la preuve disponible tend à démontrer qu’une copie de son dossier lui a ensuite été transmise, incluant la copie de la décision du </w:t>
      </w:r>
      <w:r w:rsidR="00E57014">
        <w:t>5</w:t>
      </w:r>
      <w:r>
        <w:t xml:space="preserve"> juin 2020 qu’il a alors contesté</w:t>
      </w:r>
      <w:r w:rsidR="00E57014">
        <w:t>e</w:t>
      </w:r>
      <w:r>
        <w:t xml:space="preserve"> auprès du Tribunal dans le délai requis, le 4 janvier 2021.</w:t>
      </w:r>
    </w:p>
    <w:p w:rsidR="00980D5A" w:rsidRDefault="00980D5A" w:rsidP="004C2944">
      <w:pPr>
        <w:pStyle w:val="corpsdedcision"/>
      </w:pPr>
      <w:r>
        <w:t>Le Tribunal estime que l’ensemble des éléments de preuve disponible</w:t>
      </w:r>
      <w:r w:rsidR="00E57014">
        <w:t>s</w:t>
      </w:r>
      <w:r>
        <w:t>, particulièrement les mentions manuscrites</w:t>
      </w:r>
      <w:r w:rsidR="00963683">
        <w:t xml:space="preserve"> et les inscriptions</w:t>
      </w:r>
      <w:r>
        <w:t xml:space="preserve"> du 18 décembre 2020 et du 4 janvier 2021 qui corroborent essentiellement le témoignage du travailleur, rendent davantage probable la trame factuelle soumise par le travailleur.</w:t>
      </w:r>
    </w:p>
    <w:p w:rsidR="00980D5A" w:rsidRDefault="00980D5A" w:rsidP="004C2944">
      <w:pPr>
        <w:pStyle w:val="corpsdedcision"/>
      </w:pPr>
      <w:r>
        <w:t xml:space="preserve">Bien sûr, on pourrait être tenté de voir dans le délai écoulé un certain manque de diligence du travailleur qui est resté « en attente ». Toutefois, le Tribunal estime que les explications </w:t>
      </w:r>
      <w:r w:rsidR="00911DDE">
        <w:t xml:space="preserve">fournies par le travailleur sont </w:t>
      </w:r>
      <w:r w:rsidR="00E57014">
        <w:t>ici acceptables et ne peuvent être écarté</w:t>
      </w:r>
      <w:r w:rsidR="00963683">
        <w:t>e</w:t>
      </w:r>
      <w:r w:rsidR="00E57014">
        <w:t>s.</w:t>
      </w:r>
    </w:p>
    <w:p w:rsidR="00911DDE" w:rsidRDefault="00911DDE" w:rsidP="004C2944">
      <w:pPr>
        <w:pStyle w:val="corpsdedcision"/>
      </w:pPr>
      <w:r>
        <w:t>Gardant à l’esprit que la Loi en cause en est une à vocation hautement sociale qui doit être interprétée de manière à protéger les droits du justiciable en matière de déchéance de droit</w:t>
      </w:r>
      <w:r>
        <w:rPr>
          <w:rStyle w:val="Appelnotedebasdep"/>
        </w:rPr>
        <w:footnoteReference w:id="8"/>
      </w:r>
      <w:r>
        <w:t xml:space="preserve">, le Tribunal </w:t>
      </w:r>
      <w:r w:rsidR="00A614BD">
        <w:t>conclut, considérant les explications suffisantes avancées par le travailleur et la preuve documentaire disponible, que sa contestation est recevable.</w:t>
      </w:r>
    </w:p>
    <w:p w:rsidR="00980D5A" w:rsidRPr="00B51F99" w:rsidRDefault="00980D5A" w:rsidP="00A614BD">
      <w:pPr>
        <w:pStyle w:val="corpsdedcision"/>
        <w:numPr>
          <w:ilvl w:val="0"/>
          <w:numId w:val="0"/>
        </w:numPr>
      </w:pPr>
    </w:p>
    <w:p w:rsidR="00C74B6F" w:rsidRDefault="00C74B6F">
      <w:pPr>
        <w:pStyle w:val="Dispositif"/>
      </w:pPr>
      <w:r>
        <w:rPr>
          <w:b/>
        </w:rPr>
        <w:t>P</w:t>
      </w:r>
      <w:r w:rsidR="00D07FA6">
        <w:rPr>
          <w:b/>
        </w:rPr>
        <w:t>AR CES MOTIFS, LE TRIBUNAL ADMINISTRATIF DU TRAVAIL</w:t>
      </w:r>
      <w:r>
        <w:rPr>
          <w:b/>
        </w:rPr>
        <w:t> :</w:t>
      </w:r>
    </w:p>
    <w:p w:rsidR="00C74B6F" w:rsidRDefault="00A614BD">
      <w:pPr>
        <w:pStyle w:val="Dispositif"/>
      </w:pPr>
      <w:r>
        <w:rPr>
          <w:b/>
        </w:rPr>
        <w:t>DÉCLARE</w:t>
      </w:r>
      <w:r>
        <w:t xml:space="preserve"> recevable la contestation du 4 janvier 2021 déposée par le travailleur auprès du Tribunal concernant la décision de la Commission des normes, de l’équité, de la santé et de la sécurité du travail rendue le 5 juin 2020, à la suite d’une révision administrative;</w:t>
      </w:r>
    </w:p>
    <w:p w:rsidR="00A614BD" w:rsidRDefault="00A614BD">
      <w:pPr>
        <w:pStyle w:val="Dispositif"/>
      </w:pPr>
      <w:r>
        <w:rPr>
          <w:b/>
        </w:rPr>
        <w:t>CONVOQUERA</w:t>
      </w:r>
      <w:r>
        <w:t xml:space="preserve"> de nouveau les parties à une audience sur le fond de la contestation du travailleur.</w:t>
      </w:r>
    </w:p>
    <w:p w:rsidR="00A614BD" w:rsidRDefault="00A614BD">
      <w:pPr>
        <w:pStyle w:val="Dispositif"/>
      </w:pPr>
    </w:p>
    <w:p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rsidTr="003B6940">
        <w:tc>
          <w:tcPr>
            <w:tcW w:w="4795" w:type="dxa"/>
          </w:tcPr>
          <w:p w:rsidR="00C74B6F" w:rsidRDefault="00C74B6F"/>
        </w:tc>
        <w:tc>
          <w:tcPr>
            <w:tcW w:w="4795" w:type="dxa"/>
            <w:tcBorders>
              <w:bottom w:val="single" w:sz="12" w:space="0" w:color="auto"/>
            </w:tcBorders>
          </w:tcPr>
          <w:p w:rsidR="00C74B6F" w:rsidRDefault="00C74B6F">
            <w:bookmarkStart w:id="8" w:name="signature"/>
            <w:bookmarkEnd w:id="8"/>
          </w:p>
        </w:tc>
      </w:tr>
      <w:tr w:rsidR="00C74B6F" w:rsidTr="003B6940">
        <w:tc>
          <w:tcPr>
            <w:tcW w:w="4795" w:type="dxa"/>
          </w:tcPr>
          <w:p w:rsidR="00C74B6F" w:rsidRDefault="00C74B6F"/>
        </w:tc>
        <w:tc>
          <w:tcPr>
            <w:tcW w:w="4795" w:type="dxa"/>
            <w:tcBorders>
              <w:top w:val="single" w:sz="12" w:space="0" w:color="auto"/>
            </w:tcBorders>
          </w:tcPr>
          <w:p w:rsidR="00C74B6F" w:rsidRDefault="009E2435">
            <w:r>
              <w:t>Guy Grantham</w:t>
            </w:r>
          </w:p>
        </w:tc>
      </w:tr>
      <w:tr w:rsidR="00C74B6F">
        <w:trPr>
          <w:cantSplit/>
        </w:trPr>
        <w:tc>
          <w:tcPr>
            <w:tcW w:w="9590" w:type="dxa"/>
            <w:gridSpan w:val="2"/>
          </w:tcPr>
          <w:p w:rsidR="00C74B6F" w:rsidRDefault="00C74B6F"/>
        </w:tc>
      </w:tr>
      <w:tr w:rsidR="00C74B6F">
        <w:trPr>
          <w:cantSplit/>
        </w:trPr>
        <w:tc>
          <w:tcPr>
            <w:tcW w:w="9590" w:type="dxa"/>
            <w:gridSpan w:val="2"/>
          </w:tcPr>
          <w:p w:rsidR="00C74B6F" w:rsidRPr="00C912F9" w:rsidRDefault="00C74B6F" w:rsidP="00EC5C8D">
            <w:pPr>
              <w:tabs>
                <w:tab w:val="left" w:pos="1592"/>
              </w:tabs>
            </w:pPr>
          </w:p>
        </w:tc>
      </w:tr>
      <w:tr w:rsidR="00C74B6F">
        <w:trPr>
          <w:cantSplit/>
        </w:trPr>
        <w:tc>
          <w:tcPr>
            <w:tcW w:w="9590" w:type="dxa"/>
            <w:gridSpan w:val="2"/>
          </w:tcPr>
          <w:p w:rsidR="00C74B6F" w:rsidRDefault="00C74B6F"/>
        </w:tc>
      </w:tr>
      <w:tr w:rsidR="00861F8B">
        <w:trPr>
          <w:cantSplit/>
        </w:trPr>
        <w:tc>
          <w:tcPr>
            <w:tcW w:w="9590" w:type="dxa"/>
            <w:gridSpan w:val="2"/>
          </w:tcPr>
          <w:p w:rsidR="00861F8B" w:rsidRDefault="009E2435">
            <w:r w:rsidRPr="005E67E2">
              <w:t>Monsieur Alfr</w:t>
            </w:r>
            <w:r>
              <w:rPr>
                <w:lang w:val="en-CA"/>
              </w:rPr>
              <w:t>edo Rivas</w:t>
            </w:r>
          </w:p>
        </w:tc>
      </w:tr>
      <w:tr w:rsidR="00861F8B">
        <w:trPr>
          <w:cantSplit/>
        </w:trPr>
        <w:tc>
          <w:tcPr>
            <w:tcW w:w="9590" w:type="dxa"/>
            <w:gridSpan w:val="2"/>
          </w:tcPr>
          <w:p w:rsidR="00861F8B" w:rsidRDefault="00E25DCB" w:rsidP="009E2435">
            <w:r>
              <w:fldChar w:fldCharType="begin"/>
            </w:r>
            <w:r>
              <w:instrText xml:space="preserve"> MACROBUTTON  AbaisserNiveauListe </w:instrText>
            </w:r>
            <w:r>
              <w:fldChar w:fldCharType="end"/>
            </w:r>
            <w:r w:rsidR="009E2435">
              <w:t>Pour lui-même</w:t>
            </w:r>
          </w:p>
        </w:tc>
      </w:tr>
      <w:tr w:rsidR="00C74B6F">
        <w:trPr>
          <w:cantSplit/>
        </w:trPr>
        <w:tc>
          <w:tcPr>
            <w:tcW w:w="9590" w:type="dxa"/>
            <w:gridSpan w:val="2"/>
          </w:tcPr>
          <w:p w:rsidR="00C74B6F" w:rsidRDefault="00C74B6F"/>
        </w:tc>
      </w:tr>
      <w:tr w:rsidR="00C74B6F">
        <w:trPr>
          <w:cantSplit/>
        </w:trPr>
        <w:tc>
          <w:tcPr>
            <w:tcW w:w="9590" w:type="dxa"/>
            <w:gridSpan w:val="2"/>
          </w:tcPr>
          <w:p w:rsidR="00C74B6F" w:rsidRDefault="009E2435" w:rsidP="009E2435">
            <w:pPr>
              <w:pStyle w:val="zSoquijdatNomProcureurInt"/>
            </w:pPr>
            <w:r>
              <w:t>Me Lysiane B. Klopfenstein</w:t>
            </w:r>
          </w:p>
        </w:tc>
      </w:tr>
      <w:tr w:rsidR="00C74B6F">
        <w:trPr>
          <w:cantSplit/>
        </w:trPr>
        <w:tc>
          <w:tcPr>
            <w:tcW w:w="9590" w:type="dxa"/>
            <w:gridSpan w:val="2"/>
          </w:tcPr>
          <w:p w:rsidR="00C74B6F" w:rsidRDefault="009E2435">
            <w:pPr>
              <w:pStyle w:val="zSoquijdatCabinetProcureurInt"/>
            </w:pPr>
            <w:r>
              <w:t>PINEAULT AVOCATS CNESST</w:t>
            </w:r>
          </w:p>
        </w:tc>
      </w:tr>
      <w:tr w:rsidR="00C74B6F">
        <w:trPr>
          <w:cantSplit/>
        </w:trPr>
        <w:tc>
          <w:tcPr>
            <w:tcW w:w="9590" w:type="dxa"/>
            <w:gridSpan w:val="2"/>
          </w:tcPr>
          <w:p w:rsidR="00C74B6F" w:rsidRDefault="007569DE" w:rsidP="009E2435">
            <w:pPr>
              <w:pStyle w:val="zSoquijlblProcureurInt"/>
            </w:pPr>
            <w:r>
              <w:t xml:space="preserve">Pour la partie </w:t>
            </w:r>
            <w:r w:rsidR="009E2435">
              <w:t>intervenante</w:t>
            </w:r>
          </w:p>
        </w:tc>
      </w:tr>
      <w:tr w:rsidR="00C15A3F">
        <w:trPr>
          <w:cantSplit/>
        </w:trPr>
        <w:tc>
          <w:tcPr>
            <w:tcW w:w="9590" w:type="dxa"/>
            <w:gridSpan w:val="2"/>
          </w:tcPr>
          <w:p w:rsidR="00C15A3F" w:rsidRDefault="00C15A3F">
            <w:pPr>
              <w:pStyle w:val="zSoquijlblProcureurInt"/>
            </w:pPr>
          </w:p>
        </w:tc>
      </w:tr>
      <w:tr w:rsidR="00C15A3F">
        <w:trPr>
          <w:cantSplit/>
        </w:trPr>
        <w:tc>
          <w:tcPr>
            <w:tcW w:w="9590" w:type="dxa"/>
            <w:gridSpan w:val="2"/>
          </w:tcPr>
          <w:p w:rsidR="00C15A3F" w:rsidRDefault="00C15A3F" w:rsidP="009E2435">
            <w:pPr>
              <w:pStyle w:val="zSoquijdatDateAudience"/>
            </w:pPr>
            <w:bookmarkStart w:id="9" w:name="Date_derniere_audience"/>
            <w:bookmarkEnd w:id="9"/>
            <w:r>
              <w:t xml:space="preserve">Date de la </w:t>
            </w:r>
            <w:r w:rsidR="00CC6338">
              <w:t>mise en délibéré</w:t>
            </w:r>
            <w:r>
              <w:t> :</w:t>
            </w:r>
            <w:r w:rsidR="00597016">
              <w:tab/>
            </w:r>
            <w:r w:rsidR="009E2435">
              <w:t>29 juillet 2021</w:t>
            </w:r>
          </w:p>
        </w:tc>
      </w:tr>
    </w:tbl>
    <w:p w:rsidR="00F73D1C" w:rsidRPr="00F73D1C" w:rsidRDefault="00F73D1C" w:rsidP="00F73D1C"/>
    <w:sectPr w:rsidR="00F73D1C" w:rsidRPr="00F73D1C">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435" w:rsidRDefault="009E2435">
      <w:r>
        <w:separator/>
      </w:r>
    </w:p>
  </w:endnote>
  <w:endnote w:type="continuationSeparator" w:id="0">
    <w:p w:rsidR="009E2435" w:rsidRDefault="009E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435" w:rsidRDefault="009E2435">
      <w:r>
        <w:separator/>
      </w:r>
    </w:p>
  </w:footnote>
  <w:footnote w:type="continuationSeparator" w:id="0">
    <w:p w:rsidR="009E2435" w:rsidRDefault="009E2435">
      <w:r>
        <w:continuationSeparator/>
      </w:r>
    </w:p>
  </w:footnote>
  <w:footnote w:id="1">
    <w:p w:rsidR="005E67E2" w:rsidRPr="003E556D" w:rsidRDefault="005E67E2" w:rsidP="00C55104">
      <w:pPr>
        <w:pStyle w:val="Notedebasdepage"/>
        <w:tabs>
          <w:tab w:val="left" w:pos="720"/>
        </w:tabs>
        <w:ind w:left="720" w:hanging="720"/>
        <w:jc w:val="both"/>
        <w:rPr>
          <w:rFonts w:cs="Arial"/>
          <w:sz w:val="20"/>
        </w:rPr>
      </w:pPr>
      <w:r>
        <w:rPr>
          <w:rStyle w:val="Appelnotedebasdep"/>
        </w:rPr>
        <w:footnoteRef/>
      </w:r>
      <w:r>
        <w:t xml:space="preserve"> </w:t>
      </w:r>
      <w:r>
        <w:tab/>
      </w:r>
      <w:r>
        <w:rPr>
          <w:rFonts w:cs="Arial"/>
          <w:sz w:val="20"/>
        </w:rPr>
        <w:t>RLRQ, c. A-3.001.</w:t>
      </w:r>
    </w:p>
  </w:footnote>
  <w:footnote w:id="2">
    <w:p w:rsidR="005E67E2" w:rsidRDefault="005E67E2" w:rsidP="0007644B">
      <w:pPr>
        <w:pStyle w:val="Notedebasdepage"/>
      </w:pPr>
      <w:r>
        <w:rPr>
          <w:rStyle w:val="Appelnotedebasdep"/>
        </w:rPr>
        <w:footnoteRef/>
      </w:r>
      <w:r>
        <w:t xml:space="preserve"> </w:t>
      </w:r>
      <w:r>
        <w:tab/>
      </w:r>
      <w:r>
        <w:rPr>
          <w:sz w:val="20"/>
        </w:rPr>
        <w:t>RLRQ, c. T-15.1 la LITAT.</w:t>
      </w:r>
    </w:p>
  </w:footnote>
  <w:footnote w:id="3">
    <w:p w:rsidR="00283144" w:rsidRPr="00283144" w:rsidRDefault="00283144" w:rsidP="0028314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Dictionnaire Le Robert.</w:t>
      </w:r>
    </w:p>
  </w:footnote>
  <w:footnote w:id="4">
    <w:p w:rsidR="00283144" w:rsidRPr="00283144" w:rsidRDefault="00283144" w:rsidP="00283144">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Dictionnaire Larousse.</w:t>
      </w:r>
    </w:p>
  </w:footnote>
  <w:footnote w:id="5">
    <w:p w:rsidR="00A10DCE" w:rsidRPr="00A10DCE" w:rsidRDefault="00A10DCE" w:rsidP="00A10DC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i/>
          <w:sz w:val="20"/>
        </w:rPr>
        <w:t>River</w:t>
      </w:r>
      <w:r w:rsidRPr="00A10DCE">
        <w:rPr>
          <w:rFonts w:cs="Arial"/>
          <w:i/>
          <w:sz w:val="20"/>
        </w:rPr>
        <w:t>i</w:t>
      </w:r>
      <w:r>
        <w:rPr>
          <w:rFonts w:cs="Arial"/>
          <w:sz w:val="20"/>
        </w:rPr>
        <w:t xml:space="preserve">n et </w:t>
      </w:r>
      <w:r w:rsidRPr="00A10DCE">
        <w:rPr>
          <w:rFonts w:cs="Arial"/>
          <w:i/>
          <w:sz w:val="20"/>
        </w:rPr>
        <w:t>Ranstad Intérim inc</w:t>
      </w:r>
      <w:r>
        <w:rPr>
          <w:rFonts w:cs="Arial"/>
          <w:sz w:val="20"/>
        </w:rPr>
        <w:t>., 2020 QCTAT 2124.</w:t>
      </w:r>
    </w:p>
  </w:footnote>
  <w:footnote w:id="6">
    <w:p w:rsidR="00A10DCE" w:rsidRPr="00A10DCE" w:rsidRDefault="00A10DCE" w:rsidP="00A10DC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A10DCE">
        <w:rPr>
          <w:rFonts w:cs="Arial"/>
          <w:i/>
          <w:sz w:val="20"/>
        </w:rPr>
        <w:t>Allo</w:t>
      </w:r>
      <w:r>
        <w:rPr>
          <w:rFonts w:cs="Arial"/>
          <w:sz w:val="20"/>
        </w:rPr>
        <w:t xml:space="preserve">u et </w:t>
      </w:r>
      <w:r w:rsidRPr="00A10DCE">
        <w:rPr>
          <w:rFonts w:cs="Arial"/>
          <w:i/>
          <w:sz w:val="20"/>
        </w:rPr>
        <w:t>SRH Ressources humaines inc</w:t>
      </w:r>
      <w:r>
        <w:rPr>
          <w:rFonts w:cs="Arial"/>
          <w:sz w:val="20"/>
        </w:rPr>
        <w:t>., 2020 QCTAT 892.</w:t>
      </w:r>
    </w:p>
  </w:footnote>
  <w:footnote w:id="7">
    <w:p w:rsidR="00980D5A" w:rsidRPr="00980D5A" w:rsidRDefault="00980D5A" w:rsidP="00980D5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980D5A">
        <w:rPr>
          <w:rFonts w:cs="Arial"/>
          <w:i/>
          <w:sz w:val="20"/>
        </w:rPr>
        <w:t>Cormi</w:t>
      </w:r>
      <w:r>
        <w:rPr>
          <w:rFonts w:cs="Arial"/>
          <w:sz w:val="20"/>
        </w:rPr>
        <w:t xml:space="preserve">er et </w:t>
      </w:r>
      <w:r w:rsidRPr="00980D5A">
        <w:rPr>
          <w:rFonts w:cs="Arial"/>
          <w:i/>
          <w:sz w:val="20"/>
        </w:rPr>
        <w:t>Commission des lésions professionnelles</w:t>
      </w:r>
      <w:r>
        <w:rPr>
          <w:rFonts w:cs="Arial"/>
          <w:sz w:val="20"/>
        </w:rPr>
        <w:t xml:space="preserve">, 2009 QCCS 730; </w:t>
      </w:r>
      <w:r w:rsidRPr="00980D5A">
        <w:rPr>
          <w:rFonts w:cs="Arial"/>
          <w:i/>
          <w:sz w:val="20"/>
        </w:rPr>
        <w:t>Torres</w:t>
      </w:r>
      <w:r>
        <w:rPr>
          <w:rFonts w:cs="Arial"/>
          <w:sz w:val="20"/>
        </w:rPr>
        <w:t xml:space="preserve"> c. </w:t>
      </w:r>
      <w:r w:rsidRPr="00980D5A">
        <w:rPr>
          <w:rFonts w:cs="Arial"/>
          <w:sz w:val="20"/>
        </w:rPr>
        <w:t>Commission des</w:t>
      </w:r>
      <w:r>
        <w:rPr>
          <w:rFonts w:cs="Arial"/>
          <w:sz w:val="20"/>
        </w:rPr>
        <w:t> </w:t>
      </w:r>
      <w:r w:rsidRPr="00980D5A">
        <w:rPr>
          <w:rFonts w:cs="Arial"/>
          <w:sz w:val="20"/>
        </w:rPr>
        <w:t>lésions professionnelles</w:t>
      </w:r>
      <w:r>
        <w:rPr>
          <w:rFonts w:cs="Arial"/>
          <w:sz w:val="20"/>
        </w:rPr>
        <w:t xml:space="preserve">, 2016 QCCS 119; </w:t>
      </w:r>
      <w:r w:rsidRPr="00980D5A">
        <w:rPr>
          <w:rFonts w:cs="Arial"/>
          <w:i/>
          <w:sz w:val="20"/>
        </w:rPr>
        <w:t>Danstok Intl.</w:t>
      </w:r>
      <w:r>
        <w:rPr>
          <w:rFonts w:cs="Arial"/>
          <w:sz w:val="20"/>
        </w:rPr>
        <w:t xml:space="preserve"> c. </w:t>
      </w:r>
      <w:r w:rsidRPr="00980D5A">
        <w:rPr>
          <w:rFonts w:cs="Arial"/>
          <w:i/>
          <w:sz w:val="20"/>
        </w:rPr>
        <w:t>Tribunal administratif du travail</w:t>
      </w:r>
      <w:r>
        <w:rPr>
          <w:rFonts w:cs="Arial"/>
          <w:sz w:val="20"/>
        </w:rPr>
        <w:t>, 2018 QCCS 1080.</w:t>
      </w:r>
    </w:p>
  </w:footnote>
  <w:footnote w:id="8">
    <w:p w:rsidR="00911DDE" w:rsidRPr="00911DDE" w:rsidRDefault="00911DDE" w:rsidP="00911DDE">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A614BD">
        <w:rPr>
          <w:rFonts w:cs="Arial"/>
          <w:i/>
          <w:sz w:val="20"/>
        </w:rPr>
        <w:t xml:space="preserve">Boissonneault ltée </w:t>
      </w:r>
      <w:r w:rsidRPr="00A614BD">
        <w:rPr>
          <w:rFonts w:cs="Arial"/>
          <w:sz w:val="20"/>
        </w:rPr>
        <w:t>c</w:t>
      </w:r>
      <w:r w:rsidRPr="00A614BD">
        <w:rPr>
          <w:rFonts w:cs="Arial"/>
          <w:i/>
          <w:sz w:val="20"/>
        </w:rPr>
        <w:t>. Les Constructions Marquis Laflamme inc</w:t>
      </w:r>
      <w:r>
        <w:rPr>
          <w:rFonts w:cs="Arial"/>
          <w:sz w:val="20"/>
        </w:rPr>
        <w:t>., 2017 QCCA 826.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946AC9" w:rsidTr="009E2435">
      <w:tc>
        <w:tcPr>
          <w:tcW w:w="8730" w:type="dxa"/>
        </w:tcPr>
        <w:p w:rsidR="00946AC9" w:rsidRDefault="00946AC9">
          <w:pPr>
            <w:pStyle w:val="En-tte"/>
            <w:ind w:left="-90"/>
          </w:pPr>
        </w:p>
      </w:tc>
      <w:tc>
        <w:tcPr>
          <w:tcW w:w="860" w:type="dxa"/>
        </w:tcPr>
        <w:p w:rsidR="00946AC9" w:rsidRDefault="00946AC9">
          <w:pPr>
            <w:pStyle w:val="En-tte"/>
            <w:ind w:left="-90"/>
          </w:pPr>
        </w:p>
      </w:tc>
    </w:tr>
    <w:tr w:rsidR="009E2435" w:rsidTr="009E2435">
      <w:tc>
        <w:tcPr>
          <w:tcW w:w="8730" w:type="dxa"/>
        </w:tcPr>
        <w:p w:rsidR="009E2435" w:rsidRDefault="009E2435" w:rsidP="009E2435">
          <w:pPr>
            <w:pStyle w:val="zSoquijdatNoDossier"/>
          </w:pPr>
          <w:r>
            <w:t>1211390-31-2101</w:t>
          </w:r>
        </w:p>
      </w:tc>
      <w:tc>
        <w:tcPr>
          <w:tcW w:w="860" w:type="dxa"/>
        </w:tcPr>
        <w:p w:rsidR="009E2435" w:rsidRDefault="009E2435" w:rsidP="009E2435">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2C5C05">
            <w:rPr>
              <w:rStyle w:val="Numrodepage"/>
              <w:noProof/>
            </w:rPr>
            <w:t>3</w:t>
          </w:r>
          <w:r>
            <w:rPr>
              <w:rStyle w:val="Numrodepage"/>
            </w:rPr>
            <w:fldChar w:fldCharType="end"/>
          </w:r>
        </w:p>
      </w:tc>
    </w:tr>
    <w:tr w:rsidR="009E2435" w:rsidTr="009E2435">
      <w:tc>
        <w:tcPr>
          <w:tcW w:w="8730" w:type="dxa"/>
        </w:tcPr>
        <w:p w:rsidR="009E2435" w:rsidRDefault="009E2435" w:rsidP="009E2435"/>
      </w:tc>
      <w:tc>
        <w:tcPr>
          <w:tcW w:w="860" w:type="dxa"/>
        </w:tcPr>
        <w:p w:rsidR="009E2435" w:rsidRDefault="009E2435" w:rsidP="009E2435">
          <w:pPr>
            <w:pStyle w:val="En-tte"/>
            <w:ind w:left="-90"/>
            <w:jc w:val="right"/>
          </w:pPr>
        </w:p>
      </w:tc>
    </w:tr>
  </w:tbl>
  <w:p w:rsidR="00946AC9" w:rsidRDefault="00946AC9">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nsid w:val="31CE60E0"/>
    <w:multiLevelType w:val="singleLevel"/>
    <w:tmpl w:val="0C0C000F"/>
    <w:lvl w:ilvl="0">
      <w:start w:val="1"/>
      <w:numFmt w:val="decimal"/>
      <w:lvlText w:val="%1."/>
      <w:lvlJc w:val="left"/>
      <w:pPr>
        <w:tabs>
          <w:tab w:val="num" w:pos="360"/>
        </w:tabs>
        <w:ind w:left="360" w:hanging="360"/>
      </w:pPr>
    </w:lvl>
  </w:abstractNum>
  <w:abstractNum w:abstractNumId="2">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5">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7">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8">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9">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7"/>
  </w:num>
  <w:num w:numId="2">
    <w:abstractNumId w:val="6"/>
  </w:num>
  <w:num w:numId="3">
    <w:abstractNumId w:val="5"/>
  </w:num>
  <w:num w:numId="4">
    <w:abstractNumId w:val="3"/>
  </w:num>
  <w:num w:numId="5">
    <w:abstractNumId w:val="9"/>
  </w:num>
  <w:num w:numId="6">
    <w:abstractNumId w:val="9"/>
  </w:num>
  <w:num w:numId="7">
    <w:abstractNumId w:val="0"/>
  </w:num>
  <w:num w:numId="8">
    <w:abstractNumId w:val="2"/>
  </w:num>
  <w:num w:numId="9">
    <w:abstractNumId w:val="1"/>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435"/>
    <w:rsid w:val="000034B0"/>
    <w:rsid w:val="000041A1"/>
    <w:rsid w:val="0001305E"/>
    <w:rsid w:val="00021B30"/>
    <w:rsid w:val="00021E4C"/>
    <w:rsid w:val="00022556"/>
    <w:rsid w:val="000352CA"/>
    <w:rsid w:val="000366EC"/>
    <w:rsid w:val="00043E4D"/>
    <w:rsid w:val="00056393"/>
    <w:rsid w:val="0007225E"/>
    <w:rsid w:val="00074EAE"/>
    <w:rsid w:val="00076D81"/>
    <w:rsid w:val="00080885"/>
    <w:rsid w:val="00082A97"/>
    <w:rsid w:val="0008378A"/>
    <w:rsid w:val="0008784D"/>
    <w:rsid w:val="00090018"/>
    <w:rsid w:val="00090306"/>
    <w:rsid w:val="00093ACD"/>
    <w:rsid w:val="00095814"/>
    <w:rsid w:val="00097D81"/>
    <w:rsid w:val="00097FCE"/>
    <w:rsid w:val="000A4AD0"/>
    <w:rsid w:val="000A5AD1"/>
    <w:rsid w:val="000A77C5"/>
    <w:rsid w:val="000B7F1B"/>
    <w:rsid w:val="000C710F"/>
    <w:rsid w:val="000D3948"/>
    <w:rsid w:val="000E0C28"/>
    <w:rsid w:val="000E1320"/>
    <w:rsid w:val="000E3FF6"/>
    <w:rsid w:val="000E56A6"/>
    <w:rsid w:val="000F3423"/>
    <w:rsid w:val="000F5F81"/>
    <w:rsid w:val="00104550"/>
    <w:rsid w:val="00104C3D"/>
    <w:rsid w:val="001050B4"/>
    <w:rsid w:val="001144AB"/>
    <w:rsid w:val="0012224D"/>
    <w:rsid w:val="001225BC"/>
    <w:rsid w:val="00122A9E"/>
    <w:rsid w:val="00122F94"/>
    <w:rsid w:val="0012326A"/>
    <w:rsid w:val="00137E7E"/>
    <w:rsid w:val="001407FC"/>
    <w:rsid w:val="00144572"/>
    <w:rsid w:val="00147A49"/>
    <w:rsid w:val="00147B8B"/>
    <w:rsid w:val="0015125A"/>
    <w:rsid w:val="00152464"/>
    <w:rsid w:val="0015539F"/>
    <w:rsid w:val="00160597"/>
    <w:rsid w:val="001664C8"/>
    <w:rsid w:val="00167AD0"/>
    <w:rsid w:val="00167E9D"/>
    <w:rsid w:val="00173184"/>
    <w:rsid w:val="00175079"/>
    <w:rsid w:val="00183515"/>
    <w:rsid w:val="001A03BE"/>
    <w:rsid w:val="001A067E"/>
    <w:rsid w:val="001A2900"/>
    <w:rsid w:val="001A4081"/>
    <w:rsid w:val="001A65F1"/>
    <w:rsid w:val="001B2B40"/>
    <w:rsid w:val="001B3E9D"/>
    <w:rsid w:val="001B4A40"/>
    <w:rsid w:val="001B5524"/>
    <w:rsid w:val="001C19D4"/>
    <w:rsid w:val="001C2B0B"/>
    <w:rsid w:val="001C436D"/>
    <w:rsid w:val="001D65D8"/>
    <w:rsid w:val="001D6B27"/>
    <w:rsid w:val="001E42F0"/>
    <w:rsid w:val="00226493"/>
    <w:rsid w:val="00227040"/>
    <w:rsid w:val="00230CFC"/>
    <w:rsid w:val="00231C1D"/>
    <w:rsid w:val="00241CED"/>
    <w:rsid w:val="00242FB4"/>
    <w:rsid w:val="00245605"/>
    <w:rsid w:val="002563F0"/>
    <w:rsid w:val="00256DBB"/>
    <w:rsid w:val="00266064"/>
    <w:rsid w:val="00267C8D"/>
    <w:rsid w:val="002701DD"/>
    <w:rsid w:val="00273F49"/>
    <w:rsid w:val="002769B5"/>
    <w:rsid w:val="00276B59"/>
    <w:rsid w:val="00281319"/>
    <w:rsid w:val="00283144"/>
    <w:rsid w:val="00286149"/>
    <w:rsid w:val="0028668D"/>
    <w:rsid w:val="00290289"/>
    <w:rsid w:val="00292188"/>
    <w:rsid w:val="00296645"/>
    <w:rsid w:val="00296A4B"/>
    <w:rsid w:val="00297284"/>
    <w:rsid w:val="002A0077"/>
    <w:rsid w:val="002A07DC"/>
    <w:rsid w:val="002A3573"/>
    <w:rsid w:val="002A374B"/>
    <w:rsid w:val="002A73E9"/>
    <w:rsid w:val="002B2FC3"/>
    <w:rsid w:val="002B35F0"/>
    <w:rsid w:val="002B58AF"/>
    <w:rsid w:val="002C3748"/>
    <w:rsid w:val="002C5C05"/>
    <w:rsid w:val="002C5E89"/>
    <w:rsid w:val="002D42BC"/>
    <w:rsid w:val="002D71A9"/>
    <w:rsid w:val="002D7846"/>
    <w:rsid w:val="002D7FCB"/>
    <w:rsid w:val="002E05AE"/>
    <w:rsid w:val="002F7507"/>
    <w:rsid w:val="00302FB4"/>
    <w:rsid w:val="00305273"/>
    <w:rsid w:val="003057FC"/>
    <w:rsid w:val="00307C85"/>
    <w:rsid w:val="00312983"/>
    <w:rsid w:val="003248CB"/>
    <w:rsid w:val="00331EA7"/>
    <w:rsid w:val="003332B8"/>
    <w:rsid w:val="00337555"/>
    <w:rsid w:val="00344465"/>
    <w:rsid w:val="0034740A"/>
    <w:rsid w:val="0035375B"/>
    <w:rsid w:val="00362D74"/>
    <w:rsid w:val="003664E9"/>
    <w:rsid w:val="00366D1E"/>
    <w:rsid w:val="0037112C"/>
    <w:rsid w:val="00373EE5"/>
    <w:rsid w:val="003817E7"/>
    <w:rsid w:val="00382E55"/>
    <w:rsid w:val="00390B55"/>
    <w:rsid w:val="003961B2"/>
    <w:rsid w:val="003A41AD"/>
    <w:rsid w:val="003B152B"/>
    <w:rsid w:val="003B1734"/>
    <w:rsid w:val="003B1735"/>
    <w:rsid w:val="003B6940"/>
    <w:rsid w:val="003B6CBF"/>
    <w:rsid w:val="003C47A7"/>
    <w:rsid w:val="003D0826"/>
    <w:rsid w:val="003D18FC"/>
    <w:rsid w:val="003D3C93"/>
    <w:rsid w:val="003E00D5"/>
    <w:rsid w:val="003E02BA"/>
    <w:rsid w:val="003F0578"/>
    <w:rsid w:val="003F7001"/>
    <w:rsid w:val="003F7F38"/>
    <w:rsid w:val="0040399B"/>
    <w:rsid w:val="00406F0C"/>
    <w:rsid w:val="00411251"/>
    <w:rsid w:val="00412585"/>
    <w:rsid w:val="0041363B"/>
    <w:rsid w:val="00415D5D"/>
    <w:rsid w:val="004232E9"/>
    <w:rsid w:val="0042650F"/>
    <w:rsid w:val="0042684F"/>
    <w:rsid w:val="00427D5D"/>
    <w:rsid w:val="00431E0B"/>
    <w:rsid w:val="004337FE"/>
    <w:rsid w:val="00433E98"/>
    <w:rsid w:val="00435738"/>
    <w:rsid w:val="00437137"/>
    <w:rsid w:val="004403B8"/>
    <w:rsid w:val="00441ADA"/>
    <w:rsid w:val="004422CA"/>
    <w:rsid w:val="0044371C"/>
    <w:rsid w:val="0044627E"/>
    <w:rsid w:val="0044725A"/>
    <w:rsid w:val="0045114F"/>
    <w:rsid w:val="004529D3"/>
    <w:rsid w:val="00453F31"/>
    <w:rsid w:val="00456B0C"/>
    <w:rsid w:val="0046538B"/>
    <w:rsid w:val="00471C92"/>
    <w:rsid w:val="004739AC"/>
    <w:rsid w:val="00474489"/>
    <w:rsid w:val="00475FEF"/>
    <w:rsid w:val="0047776F"/>
    <w:rsid w:val="00482D5B"/>
    <w:rsid w:val="004870EA"/>
    <w:rsid w:val="00487F13"/>
    <w:rsid w:val="0049595F"/>
    <w:rsid w:val="00496193"/>
    <w:rsid w:val="004A02AF"/>
    <w:rsid w:val="004A4449"/>
    <w:rsid w:val="004A679B"/>
    <w:rsid w:val="004C0FB4"/>
    <w:rsid w:val="004C1811"/>
    <w:rsid w:val="004C2944"/>
    <w:rsid w:val="004C4555"/>
    <w:rsid w:val="004D16D6"/>
    <w:rsid w:val="004D6CEA"/>
    <w:rsid w:val="004E3564"/>
    <w:rsid w:val="004E51C0"/>
    <w:rsid w:val="004E64BE"/>
    <w:rsid w:val="004F6293"/>
    <w:rsid w:val="00503B8D"/>
    <w:rsid w:val="00503EE3"/>
    <w:rsid w:val="00505811"/>
    <w:rsid w:val="00515DE7"/>
    <w:rsid w:val="00517EB0"/>
    <w:rsid w:val="005205CB"/>
    <w:rsid w:val="005348E4"/>
    <w:rsid w:val="005352F1"/>
    <w:rsid w:val="00540094"/>
    <w:rsid w:val="00545CFF"/>
    <w:rsid w:val="00555800"/>
    <w:rsid w:val="00556DBB"/>
    <w:rsid w:val="00560781"/>
    <w:rsid w:val="0056268F"/>
    <w:rsid w:val="005662E9"/>
    <w:rsid w:val="005700F8"/>
    <w:rsid w:val="00572AAF"/>
    <w:rsid w:val="005801AE"/>
    <w:rsid w:val="00582868"/>
    <w:rsid w:val="00582ECC"/>
    <w:rsid w:val="0058399B"/>
    <w:rsid w:val="0058692F"/>
    <w:rsid w:val="00587045"/>
    <w:rsid w:val="00587C22"/>
    <w:rsid w:val="005907BE"/>
    <w:rsid w:val="0059436D"/>
    <w:rsid w:val="005945C0"/>
    <w:rsid w:val="00597016"/>
    <w:rsid w:val="005974B7"/>
    <w:rsid w:val="005A0D51"/>
    <w:rsid w:val="005A181B"/>
    <w:rsid w:val="005A1CB3"/>
    <w:rsid w:val="005A3073"/>
    <w:rsid w:val="005A33A5"/>
    <w:rsid w:val="005A70A0"/>
    <w:rsid w:val="005B0612"/>
    <w:rsid w:val="005B13F0"/>
    <w:rsid w:val="005B2E0C"/>
    <w:rsid w:val="005B30F6"/>
    <w:rsid w:val="005B45BA"/>
    <w:rsid w:val="005B5689"/>
    <w:rsid w:val="005B6680"/>
    <w:rsid w:val="005B6774"/>
    <w:rsid w:val="005C0A89"/>
    <w:rsid w:val="005C3BC4"/>
    <w:rsid w:val="005D26CC"/>
    <w:rsid w:val="005D59B1"/>
    <w:rsid w:val="005D764B"/>
    <w:rsid w:val="005E2367"/>
    <w:rsid w:val="005E5E90"/>
    <w:rsid w:val="005E654C"/>
    <w:rsid w:val="005E67E2"/>
    <w:rsid w:val="005F05F6"/>
    <w:rsid w:val="00605734"/>
    <w:rsid w:val="0061488E"/>
    <w:rsid w:val="0061574B"/>
    <w:rsid w:val="00622670"/>
    <w:rsid w:val="00623A1A"/>
    <w:rsid w:val="00626E8D"/>
    <w:rsid w:val="0063156B"/>
    <w:rsid w:val="006326A9"/>
    <w:rsid w:val="00632DA8"/>
    <w:rsid w:val="00634E6E"/>
    <w:rsid w:val="00637B98"/>
    <w:rsid w:val="0064342A"/>
    <w:rsid w:val="00643A28"/>
    <w:rsid w:val="006452FA"/>
    <w:rsid w:val="0065093D"/>
    <w:rsid w:val="00652A16"/>
    <w:rsid w:val="00655193"/>
    <w:rsid w:val="00655459"/>
    <w:rsid w:val="00656FB2"/>
    <w:rsid w:val="00657A70"/>
    <w:rsid w:val="00661454"/>
    <w:rsid w:val="006620AA"/>
    <w:rsid w:val="0066642D"/>
    <w:rsid w:val="00675E85"/>
    <w:rsid w:val="0067750F"/>
    <w:rsid w:val="00681396"/>
    <w:rsid w:val="0068171F"/>
    <w:rsid w:val="0068401E"/>
    <w:rsid w:val="006841A4"/>
    <w:rsid w:val="0068643F"/>
    <w:rsid w:val="006877A1"/>
    <w:rsid w:val="00692150"/>
    <w:rsid w:val="00692F0C"/>
    <w:rsid w:val="00696E7C"/>
    <w:rsid w:val="006A0C54"/>
    <w:rsid w:val="006A7C53"/>
    <w:rsid w:val="006B140A"/>
    <w:rsid w:val="006B309C"/>
    <w:rsid w:val="006B727F"/>
    <w:rsid w:val="006C6D3A"/>
    <w:rsid w:val="006C7B36"/>
    <w:rsid w:val="006C7B7F"/>
    <w:rsid w:val="006D19E8"/>
    <w:rsid w:val="006E04B5"/>
    <w:rsid w:val="006E330C"/>
    <w:rsid w:val="006E3DD8"/>
    <w:rsid w:val="006E793F"/>
    <w:rsid w:val="006F0154"/>
    <w:rsid w:val="006F608D"/>
    <w:rsid w:val="006F7944"/>
    <w:rsid w:val="00704121"/>
    <w:rsid w:val="00705BB5"/>
    <w:rsid w:val="0071326F"/>
    <w:rsid w:val="007153D7"/>
    <w:rsid w:val="00720ED4"/>
    <w:rsid w:val="0074488F"/>
    <w:rsid w:val="00745AA8"/>
    <w:rsid w:val="007503E0"/>
    <w:rsid w:val="007510EC"/>
    <w:rsid w:val="0075233C"/>
    <w:rsid w:val="0075256A"/>
    <w:rsid w:val="00752DCD"/>
    <w:rsid w:val="007535CD"/>
    <w:rsid w:val="007569DE"/>
    <w:rsid w:val="0075723C"/>
    <w:rsid w:val="007744E3"/>
    <w:rsid w:val="00775BDF"/>
    <w:rsid w:val="0077614D"/>
    <w:rsid w:val="00782C8F"/>
    <w:rsid w:val="00785F78"/>
    <w:rsid w:val="0078659D"/>
    <w:rsid w:val="007869EC"/>
    <w:rsid w:val="007A1E58"/>
    <w:rsid w:val="007A5C7E"/>
    <w:rsid w:val="007A6E2F"/>
    <w:rsid w:val="007B0DF2"/>
    <w:rsid w:val="007B3BC5"/>
    <w:rsid w:val="007C7F5E"/>
    <w:rsid w:val="007D03DF"/>
    <w:rsid w:val="007D4953"/>
    <w:rsid w:val="007D50F4"/>
    <w:rsid w:val="007D7173"/>
    <w:rsid w:val="007D78BF"/>
    <w:rsid w:val="007E1216"/>
    <w:rsid w:val="007E4CD4"/>
    <w:rsid w:val="007E530C"/>
    <w:rsid w:val="007F0E8E"/>
    <w:rsid w:val="007F2149"/>
    <w:rsid w:val="007F4E00"/>
    <w:rsid w:val="008048CF"/>
    <w:rsid w:val="008079DD"/>
    <w:rsid w:val="0081130F"/>
    <w:rsid w:val="00813095"/>
    <w:rsid w:val="008146B2"/>
    <w:rsid w:val="00824430"/>
    <w:rsid w:val="00825B1F"/>
    <w:rsid w:val="00827D55"/>
    <w:rsid w:val="00840EDD"/>
    <w:rsid w:val="0084255F"/>
    <w:rsid w:val="00854FB3"/>
    <w:rsid w:val="00860F13"/>
    <w:rsid w:val="00861F8B"/>
    <w:rsid w:val="0086561F"/>
    <w:rsid w:val="00865A7A"/>
    <w:rsid w:val="00865FE1"/>
    <w:rsid w:val="0087069B"/>
    <w:rsid w:val="008748C7"/>
    <w:rsid w:val="0087521A"/>
    <w:rsid w:val="008808C0"/>
    <w:rsid w:val="00890BDE"/>
    <w:rsid w:val="00892AD3"/>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625D"/>
    <w:rsid w:val="008D650E"/>
    <w:rsid w:val="008E6A41"/>
    <w:rsid w:val="008F15D5"/>
    <w:rsid w:val="00903990"/>
    <w:rsid w:val="009042A8"/>
    <w:rsid w:val="00904950"/>
    <w:rsid w:val="00911DDE"/>
    <w:rsid w:val="00915E5E"/>
    <w:rsid w:val="009166B8"/>
    <w:rsid w:val="00917915"/>
    <w:rsid w:val="00920684"/>
    <w:rsid w:val="009216E6"/>
    <w:rsid w:val="00922DB7"/>
    <w:rsid w:val="0092684A"/>
    <w:rsid w:val="00937FAB"/>
    <w:rsid w:val="0094094D"/>
    <w:rsid w:val="00942AB8"/>
    <w:rsid w:val="0094548C"/>
    <w:rsid w:val="00945CAF"/>
    <w:rsid w:val="00946AC9"/>
    <w:rsid w:val="00947448"/>
    <w:rsid w:val="00952B38"/>
    <w:rsid w:val="00952C99"/>
    <w:rsid w:val="00963683"/>
    <w:rsid w:val="00965333"/>
    <w:rsid w:val="009712EF"/>
    <w:rsid w:val="009727BF"/>
    <w:rsid w:val="00973321"/>
    <w:rsid w:val="00975C2E"/>
    <w:rsid w:val="00977270"/>
    <w:rsid w:val="00980D5A"/>
    <w:rsid w:val="009824F2"/>
    <w:rsid w:val="00983080"/>
    <w:rsid w:val="00986AA3"/>
    <w:rsid w:val="00993B24"/>
    <w:rsid w:val="0099611F"/>
    <w:rsid w:val="009A083F"/>
    <w:rsid w:val="009A135C"/>
    <w:rsid w:val="009A67E7"/>
    <w:rsid w:val="009C603A"/>
    <w:rsid w:val="009C74CD"/>
    <w:rsid w:val="009D048F"/>
    <w:rsid w:val="009D162F"/>
    <w:rsid w:val="009D401F"/>
    <w:rsid w:val="009D68FA"/>
    <w:rsid w:val="009E2435"/>
    <w:rsid w:val="009E32CF"/>
    <w:rsid w:val="009E4FC2"/>
    <w:rsid w:val="009F44AE"/>
    <w:rsid w:val="00A02529"/>
    <w:rsid w:val="00A02EF2"/>
    <w:rsid w:val="00A04D5E"/>
    <w:rsid w:val="00A10DCE"/>
    <w:rsid w:val="00A10DDF"/>
    <w:rsid w:val="00A11172"/>
    <w:rsid w:val="00A1219E"/>
    <w:rsid w:val="00A12E55"/>
    <w:rsid w:val="00A2411A"/>
    <w:rsid w:val="00A242E4"/>
    <w:rsid w:val="00A24437"/>
    <w:rsid w:val="00A24CA0"/>
    <w:rsid w:val="00A33601"/>
    <w:rsid w:val="00A3362A"/>
    <w:rsid w:val="00A37B70"/>
    <w:rsid w:val="00A40AC7"/>
    <w:rsid w:val="00A435C7"/>
    <w:rsid w:val="00A569B2"/>
    <w:rsid w:val="00A611A4"/>
    <w:rsid w:val="00A614BD"/>
    <w:rsid w:val="00A61F09"/>
    <w:rsid w:val="00A6695B"/>
    <w:rsid w:val="00A72703"/>
    <w:rsid w:val="00A727F6"/>
    <w:rsid w:val="00A72E71"/>
    <w:rsid w:val="00A76432"/>
    <w:rsid w:val="00A84FC6"/>
    <w:rsid w:val="00A8528E"/>
    <w:rsid w:val="00A90BD9"/>
    <w:rsid w:val="00A94A49"/>
    <w:rsid w:val="00AA1815"/>
    <w:rsid w:val="00AA1D3E"/>
    <w:rsid w:val="00AA39F9"/>
    <w:rsid w:val="00AA79D3"/>
    <w:rsid w:val="00AB0931"/>
    <w:rsid w:val="00AB3619"/>
    <w:rsid w:val="00AB5C9B"/>
    <w:rsid w:val="00AC0276"/>
    <w:rsid w:val="00AC0312"/>
    <w:rsid w:val="00AC0449"/>
    <w:rsid w:val="00AC0DC3"/>
    <w:rsid w:val="00AD2497"/>
    <w:rsid w:val="00AD5EB4"/>
    <w:rsid w:val="00AD667B"/>
    <w:rsid w:val="00AE63E2"/>
    <w:rsid w:val="00AF04C9"/>
    <w:rsid w:val="00AF1DC4"/>
    <w:rsid w:val="00AF26B6"/>
    <w:rsid w:val="00AF2979"/>
    <w:rsid w:val="00AF3189"/>
    <w:rsid w:val="00B0375C"/>
    <w:rsid w:val="00B052CB"/>
    <w:rsid w:val="00B156C3"/>
    <w:rsid w:val="00B15F67"/>
    <w:rsid w:val="00B1624F"/>
    <w:rsid w:val="00B20F5D"/>
    <w:rsid w:val="00B21184"/>
    <w:rsid w:val="00B224C5"/>
    <w:rsid w:val="00B325CD"/>
    <w:rsid w:val="00B4561E"/>
    <w:rsid w:val="00B4768D"/>
    <w:rsid w:val="00B518E5"/>
    <w:rsid w:val="00B51E1F"/>
    <w:rsid w:val="00B57032"/>
    <w:rsid w:val="00B60222"/>
    <w:rsid w:val="00B62CFB"/>
    <w:rsid w:val="00B662F5"/>
    <w:rsid w:val="00B7000C"/>
    <w:rsid w:val="00B760D5"/>
    <w:rsid w:val="00B83B2C"/>
    <w:rsid w:val="00B92049"/>
    <w:rsid w:val="00B94740"/>
    <w:rsid w:val="00B95002"/>
    <w:rsid w:val="00B97F75"/>
    <w:rsid w:val="00BA0A4F"/>
    <w:rsid w:val="00BA1CAE"/>
    <w:rsid w:val="00BA33BB"/>
    <w:rsid w:val="00BA4830"/>
    <w:rsid w:val="00BA6E22"/>
    <w:rsid w:val="00BB362C"/>
    <w:rsid w:val="00BB5942"/>
    <w:rsid w:val="00BC0A03"/>
    <w:rsid w:val="00BC5BB4"/>
    <w:rsid w:val="00BD4139"/>
    <w:rsid w:val="00BE059A"/>
    <w:rsid w:val="00BE1981"/>
    <w:rsid w:val="00BE2DA6"/>
    <w:rsid w:val="00BE320B"/>
    <w:rsid w:val="00BE56E9"/>
    <w:rsid w:val="00BE63CF"/>
    <w:rsid w:val="00BE7014"/>
    <w:rsid w:val="00BE7991"/>
    <w:rsid w:val="00BF25C7"/>
    <w:rsid w:val="00C009B7"/>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512B2"/>
    <w:rsid w:val="00C62B69"/>
    <w:rsid w:val="00C644B7"/>
    <w:rsid w:val="00C64564"/>
    <w:rsid w:val="00C73C87"/>
    <w:rsid w:val="00C74B6F"/>
    <w:rsid w:val="00C87EF3"/>
    <w:rsid w:val="00C9015F"/>
    <w:rsid w:val="00C912F9"/>
    <w:rsid w:val="00C9241B"/>
    <w:rsid w:val="00C96DDF"/>
    <w:rsid w:val="00C97569"/>
    <w:rsid w:val="00CA199D"/>
    <w:rsid w:val="00CA235B"/>
    <w:rsid w:val="00CA4D9C"/>
    <w:rsid w:val="00CB05A7"/>
    <w:rsid w:val="00CB06A4"/>
    <w:rsid w:val="00CB325B"/>
    <w:rsid w:val="00CB64FF"/>
    <w:rsid w:val="00CB7078"/>
    <w:rsid w:val="00CC014B"/>
    <w:rsid w:val="00CC21D8"/>
    <w:rsid w:val="00CC3369"/>
    <w:rsid w:val="00CC5343"/>
    <w:rsid w:val="00CC6338"/>
    <w:rsid w:val="00CC78DE"/>
    <w:rsid w:val="00CD04D9"/>
    <w:rsid w:val="00CD0F93"/>
    <w:rsid w:val="00CD6D6E"/>
    <w:rsid w:val="00CD6F23"/>
    <w:rsid w:val="00CF640B"/>
    <w:rsid w:val="00CF6B5A"/>
    <w:rsid w:val="00D027AF"/>
    <w:rsid w:val="00D0323E"/>
    <w:rsid w:val="00D06652"/>
    <w:rsid w:val="00D07FA6"/>
    <w:rsid w:val="00D16ADF"/>
    <w:rsid w:val="00D17C53"/>
    <w:rsid w:val="00D17D57"/>
    <w:rsid w:val="00D2341D"/>
    <w:rsid w:val="00D25E0E"/>
    <w:rsid w:val="00D302EB"/>
    <w:rsid w:val="00D31679"/>
    <w:rsid w:val="00D320C8"/>
    <w:rsid w:val="00D3672F"/>
    <w:rsid w:val="00D40ABA"/>
    <w:rsid w:val="00D40FE2"/>
    <w:rsid w:val="00D440FA"/>
    <w:rsid w:val="00D44BCF"/>
    <w:rsid w:val="00D46E73"/>
    <w:rsid w:val="00D5548D"/>
    <w:rsid w:val="00D60F81"/>
    <w:rsid w:val="00D63951"/>
    <w:rsid w:val="00D63BF2"/>
    <w:rsid w:val="00D67348"/>
    <w:rsid w:val="00D70A26"/>
    <w:rsid w:val="00D73BB4"/>
    <w:rsid w:val="00D75FEC"/>
    <w:rsid w:val="00D76B98"/>
    <w:rsid w:val="00D835A0"/>
    <w:rsid w:val="00D86F2C"/>
    <w:rsid w:val="00DA0680"/>
    <w:rsid w:val="00DA36F6"/>
    <w:rsid w:val="00DB0C8D"/>
    <w:rsid w:val="00DC1611"/>
    <w:rsid w:val="00DD3C53"/>
    <w:rsid w:val="00DF0774"/>
    <w:rsid w:val="00DF1036"/>
    <w:rsid w:val="00DF4644"/>
    <w:rsid w:val="00E05451"/>
    <w:rsid w:val="00E05651"/>
    <w:rsid w:val="00E11BA5"/>
    <w:rsid w:val="00E20425"/>
    <w:rsid w:val="00E25DCB"/>
    <w:rsid w:val="00E4156E"/>
    <w:rsid w:val="00E44D61"/>
    <w:rsid w:val="00E453F2"/>
    <w:rsid w:val="00E460AD"/>
    <w:rsid w:val="00E57014"/>
    <w:rsid w:val="00E61925"/>
    <w:rsid w:val="00E65C0E"/>
    <w:rsid w:val="00E730FC"/>
    <w:rsid w:val="00E746F0"/>
    <w:rsid w:val="00E809B9"/>
    <w:rsid w:val="00E82A15"/>
    <w:rsid w:val="00E85445"/>
    <w:rsid w:val="00E87589"/>
    <w:rsid w:val="00E938FF"/>
    <w:rsid w:val="00E93DFE"/>
    <w:rsid w:val="00E953EF"/>
    <w:rsid w:val="00EA2124"/>
    <w:rsid w:val="00EA2B12"/>
    <w:rsid w:val="00EA34DC"/>
    <w:rsid w:val="00EA5017"/>
    <w:rsid w:val="00EA6BED"/>
    <w:rsid w:val="00EB14F0"/>
    <w:rsid w:val="00EB3844"/>
    <w:rsid w:val="00EB5A9F"/>
    <w:rsid w:val="00EC573F"/>
    <w:rsid w:val="00EC5C8D"/>
    <w:rsid w:val="00ED106C"/>
    <w:rsid w:val="00ED2D34"/>
    <w:rsid w:val="00ED4805"/>
    <w:rsid w:val="00ED57F6"/>
    <w:rsid w:val="00ED6C51"/>
    <w:rsid w:val="00ED6DA1"/>
    <w:rsid w:val="00EF207D"/>
    <w:rsid w:val="00EF4258"/>
    <w:rsid w:val="00EF6D31"/>
    <w:rsid w:val="00F02237"/>
    <w:rsid w:val="00F079A6"/>
    <w:rsid w:val="00F10236"/>
    <w:rsid w:val="00F15811"/>
    <w:rsid w:val="00F22423"/>
    <w:rsid w:val="00F24C72"/>
    <w:rsid w:val="00F31D22"/>
    <w:rsid w:val="00F348B2"/>
    <w:rsid w:val="00F34BF0"/>
    <w:rsid w:val="00F34ED8"/>
    <w:rsid w:val="00F4095A"/>
    <w:rsid w:val="00F45845"/>
    <w:rsid w:val="00F50189"/>
    <w:rsid w:val="00F508FC"/>
    <w:rsid w:val="00F53571"/>
    <w:rsid w:val="00F54044"/>
    <w:rsid w:val="00F576E7"/>
    <w:rsid w:val="00F70DFE"/>
    <w:rsid w:val="00F73D1C"/>
    <w:rsid w:val="00F763FC"/>
    <w:rsid w:val="00F772C1"/>
    <w:rsid w:val="00F8026D"/>
    <w:rsid w:val="00F8245F"/>
    <w:rsid w:val="00F91629"/>
    <w:rsid w:val="00F91E2A"/>
    <w:rsid w:val="00F96C39"/>
    <w:rsid w:val="00F96E41"/>
    <w:rsid w:val="00FA153F"/>
    <w:rsid w:val="00FA1D78"/>
    <w:rsid w:val="00FA1F7E"/>
    <w:rsid w:val="00FA280F"/>
    <w:rsid w:val="00FB2186"/>
    <w:rsid w:val="00FB50D7"/>
    <w:rsid w:val="00FD0133"/>
    <w:rsid w:val="00FD25FE"/>
    <w:rsid w:val="00FD6206"/>
    <w:rsid w:val="00FE1318"/>
    <w:rsid w:val="00FE208F"/>
    <w:rsid w:val="00FF32C3"/>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8F15D5"/>
    <w:pPr>
      <w:keepNext/>
      <w:spacing w:before="240" w:after="240"/>
      <w:outlineLvl w:val="2"/>
    </w:pPr>
    <w:rPr>
      <w:rFonts w:cs="Arial"/>
      <w:b/>
      <w:bCs/>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34740A"/>
    <w:pPr>
      <w:keepNext/>
      <w:spacing w:before="240" w:after="240"/>
      <w:outlineLvl w:val="1"/>
    </w:pPr>
    <w:rPr>
      <w:rFonts w:cs="Arial"/>
      <w:bCs/>
      <w:iCs/>
      <w:caps/>
      <w:szCs w:val="28"/>
      <w:lang w:eastAsia="fr-FR"/>
    </w:rPr>
  </w:style>
  <w:style w:type="paragraph" w:styleId="Titre3">
    <w:name w:val="heading 3"/>
    <w:basedOn w:val="Normal"/>
    <w:next w:val="corpsdedcision"/>
    <w:qFormat/>
    <w:rsid w:val="008F15D5"/>
    <w:pPr>
      <w:keepNext/>
      <w:spacing w:before="240" w:after="240"/>
      <w:outlineLvl w:val="2"/>
    </w:pPr>
    <w:rPr>
      <w:rFonts w:cs="Arial"/>
      <w:b/>
      <w:bCs/>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basedOn w:val="Policepardfaut"/>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basedOn w:val="Normal"/>
    <w:link w:val="NotedebasdepageCar"/>
  </w:style>
  <w:style w:type="paragraph" w:styleId="En-tte">
    <w:name w:val="header"/>
    <w:basedOn w:val="Normal"/>
    <w:pPr>
      <w:tabs>
        <w:tab w:val="center" w:pos="4320"/>
        <w:tab w:val="right" w:pos="8640"/>
      </w:tabs>
    </w:pPr>
  </w:style>
  <w:style w:type="character" w:styleId="Numrodepage">
    <w:name w:val="page number"/>
    <w:basedOn w:val="Policepardfaut"/>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basedOn w:val="Policepardfaut"/>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rsid w:val="008048CF"/>
    <w:pPr>
      <w:spacing w:before="0" w:after="0"/>
      <w:ind w:left="1440" w:right="1440"/>
    </w:pPr>
    <w:rPr>
      <w:sz w:val="18"/>
    </w:rPr>
  </w:style>
  <w:style w:type="character" w:customStyle="1" w:styleId="Citationintgre">
    <w:name w:val="Citation intégrée"/>
    <w:basedOn w:val="Policepardfaut"/>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basedOn w:val="Policepardfaut"/>
    <w:locked/>
    <w:rsid w:val="00ED57F6"/>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1499</Words>
  <Characters>8249</Characters>
  <Application>Microsoft Office Word</Application>
  <DocSecurity>0</DocSecurity>
  <Lines>68</Lines>
  <Paragraphs>19</Paragraphs>
  <ScaleCrop>false</ScaleCrop>
  <Company/>
  <LinksUpToDate>false</LinksUpToDate>
  <CharactersWithSpaces>9729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2021-08-10T13:47:00Z</dcterms:created>
  <dcterms:modified xsi:type="dcterms:W3CDTF">2021-08-10T13:47:00Z</dcterms:modified>
</cp:coreProperties>
</file>