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90" w:type="dxa"/>
        <w:tblLayout w:type="fixed"/>
        <w:tblCellMar>
          <w:left w:w="70" w:type="dxa"/>
          <w:right w:w="70" w:type="dxa"/>
        </w:tblCellMar>
        <w:tblLook w:val="0000" w:firstRow="0" w:lastRow="0" w:firstColumn="0" w:lastColumn="0" w:noHBand="0" w:noVBand="0"/>
      </w:tblPr>
      <w:tblGrid>
        <w:gridCol w:w="6323"/>
        <w:gridCol w:w="3267"/>
      </w:tblGrid>
      <w:tr w:rsidR="008A7FD1" w:rsidRPr="008A7FD1" w14:paraId="2AB3A90D" w14:textId="77777777">
        <w:trPr>
          <w:cantSplit/>
        </w:trPr>
        <w:tc>
          <w:tcPr>
            <w:tcW w:w="4795" w:type="dxa"/>
          </w:tcPr>
          <w:p w14:paraId="01E457EF" w14:textId="2F53DA27" w:rsidR="008A7FD1" w:rsidRPr="003A7BE1" w:rsidRDefault="003A7BE1" w:rsidP="003A7BE1">
            <w:pPr>
              <w:pStyle w:val="zSoquijdatRepertorie"/>
              <w:rPr>
                <w:rFonts w:cs="Arial"/>
              </w:rPr>
            </w:pPr>
            <w:bookmarkStart w:id="0" w:name="_GoBack"/>
            <w:bookmarkEnd w:id="0"/>
            <w:r>
              <w:rPr>
                <w:rFonts w:cs="Arial"/>
              </w:rPr>
              <w:t>Parent et Léopold Soucy &amp; Fils inc.</w:t>
            </w:r>
          </w:p>
        </w:tc>
        <w:tc>
          <w:tcPr>
            <w:tcW w:w="2477" w:type="dxa"/>
          </w:tcPr>
          <w:p w14:paraId="300E2BD0" w14:textId="181AA409" w:rsidR="008A7FD1" w:rsidRPr="006255B4" w:rsidRDefault="006255B4" w:rsidP="006255B4">
            <w:pPr>
              <w:pStyle w:val="zSoquijdatRefNeutre"/>
              <w:rPr>
                <w:rFonts w:cs="Arial"/>
              </w:rPr>
            </w:pPr>
            <w:r w:rsidRPr="006255B4">
              <w:rPr>
                <w:rFonts w:cs="Arial"/>
              </w:rPr>
              <w:t>2024 QCTAT 1975</w:t>
            </w:r>
          </w:p>
        </w:tc>
      </w:tr>
    </w:tbl>
    <w:p w14:paraId="49692413" w14:textId="77777777" w:rsidR="008A7FD1" w:rsidRDefault="008A7FD1"/>
    <w:tbl>
      <w:tblPr>
        <w:tblW w:w="9568" w:type="dxa"/>
        <w:tblLayout w:type="fixed"/>
        <w:tblCellMar>
          <w:left w:w="70" w:type="dxa"/>
          <w:right w:w="70" w:type="dxa"/>
        </w:tblCellMar>
        <w:tblLook w:val="0000" w:firstRow="0" w:lastRow="0" w:firstColumn="0" w:lastColumn="0" w:noHBand="0" w:noVBand="0"/>
      </w:tblPr>
      <w:tblGrid>
        <w:gridCol w:w="3331"/>
        <w:gridCol w:w="1559"/>
        <w:gridCol w:w="993"/>
        <w:gridCol w:w="3685"/>
      </w:tblGrid>
      <w:tr w:rsidR="00C74B6F" w14:paraId="63F1529D" w14:textId="77777777" w:rsidTr="00036794">
        <w:trPr>
          <w:cantSplit/>
        </w:trPr>
        <w:tc>
          <w:tcPr>
            <w:tcW w:w="9568" w:type="dxa"/>
            <w:gridSpan w:val="4"/>
          </w:tcPr>
          <w:p w14:paraId="6199CA43" w14:textId="77777777" w:rsidR="00C74B6F" w:rsidRPr="00BE1981" w:rsidRDefault="00C74B6F">
            <w:pPr>
              <w:rPr>
                <w:szCs w:val="24"/>
              </w:rPr>
            </w:pPr>
          </w:p>
        </w:tc>
      </w:tr>
      <w:tr w:rsidR="00C74B6F" w14:paraId="330F46D8" w14:textId="77777777" w:rsidTr="00036794">
        <w:trPr>
          <w:cantSplit/>
        </w:trPr>
        <w:tc>
          <w:tcPr>
            <w:tcW w:w="9568" w:type="dxa"/>
            <w:gridSpan w:val="4"/>
            <w:vAlign w:val="center"/>
          </w:tcPr>
          <w:p w14:paraId="3BFB4EEA" w14:textId="77777777" w:rsidR="00C74B6F" w:rsidRPr="000E1320" w:rsidRDefault="000E1320">
            <w:pPr>
              <w:jc w:val="center"/>
              <w:rPr>
                <w:sz w:val="36"/>
                <w:szCs w:val="36"/>
              </w:rPr>
            </w:pPr>
            <w:r w:rsidRPr="000E1320">
              <w:rPr>
                <w:b/>
                <w:sz w:val="36"/>
                <w:szCs w:val="36"/>
              </w:rPr>
              <w:t>TRIBUNAL ADMINISTRATIF DU TRAVAIL</w:t>
            </w:r>
          </w:p>
        </w:tc>
      </w:tr>
      <w:tr w:rsidR="00C74B6F" w14:paraId="4496C381" w14:textId="77777777" w:rsidTr="00036794">
        <w:trPr>
          <w:cantSplit/>
        </w:trPr>
        <w:tc>
          <w:tcPr>
            <w:tcW w:w="9568" w:type="dxa"/>
            <w:gridSpan w:val="4"/>
          </w:tcPr>
          <w:p w14:paraId="6C1D8C28" w14:textId="6A0E5E27" w:rsidR="00C74B6F" w:rsidRPr="00BE7014" w:rsidRDefault="00CC1D82" w:rsidP="009A67E7">
            <w:pPr>
              <w:pStyle w:val="zSoquijdatDivision"/>
            </w:pPr>
            <w:r>
              <w:t>(</w:t>
            </w:r>
            <w:r w:rsidRPr="00441ADA">
              <w:t>Division de la santé et de la sécurité du travail</w:t>
            </w:r>
            <w:r>
              <w:t>)</w:t>
            </w:r>
          </w:p>
        </w:tc>
      </w:tr>
      <w:tr w:rsidR="00C74B6F" w14:paraId="64C5BC3F" w14:textId="77777777" w:rsidTr="00036794">
        <w:trPr>
          <w:cantSplit/>
        </w:trPr>
        <w:tc>
          <w:tcPr>
            <w:tcW w:w="9568" w:type="dxa"/>
            <w:gridSpan w:val="4"/>
          </w:tcPr>
          <w:p w14:paraId="66D71822" w14:textId="77777777" w:rsidR="002B2FC3" w:rsidRDefault="002B2FC3" w:rsidP="002B2FC3"/>
        </w:tc>
      </w:tr>
      <w:tr w:rsidR="00A84FC6" w14:paraId="23860A00" w14:textId="77777777" w:rsidTr="00036794">
        <w:trPr>
          <w:cantSplit/>
        </w:trPr>
        <w:tc>
          <w:tcPr>
            <w:tcW w:w="9568" w:type="dxa"/>
            <w:gridSpan w:val="4"/>
          </w:tcPr>
          <w:p w14:paraId="10D3AC4F" w14:textId="77777777" w:rsidR="00A84FC6" w:rsidRDefault="00A84FC6" w:rsidP="002B2FC3"/>
        </w:tc>
      </w:tr>
      <w:tr w:rsidR="00C74B6F" w14:paraId="17E97CD3" w14:textId="77777777" w:rsidTr="00036794">
        <w:tc>
          <w:tcPr>
            <w:tcW w:w="3331" w:type="dxa"/>
          </w:tcPr>
          <w:p w14:paraId="683A576C" w14:textId="77777777" w:rsidR="00C74B6F" w:rsidRDefault="0084255F">
            <w:bookmarkStart w:id="1" w:name="region" w:colFirst="1" w:colLast="1"/>
            <w:r>
              <w:t>Région :</w:t>
            </w:r>
          </w:p>
        </w:tc>
        <w:tc>
          <w:tcPr>
            <w:tcW w:w="6237" w:type="dxa"/>
            <w:gridSpan w:val="3"/>
          </w:tcPr>
          <w:p w14:paraId="2138B7A2" w14:textId="081E0370" w:rsidR="00C74B6F" w:rsidRDefault="000C7D89" w:rsidP="00F4095A">
            <w:pPr>
              <w:pStyle w:val="zSoquijdatGreffe"/>
            </w:pPr>
            <w:r>
              <w:t>Québec</w:t>
            </w:r>
          </w:p>
        </w:tc>
      </w:tr>
      <w:bookmarkEnd w:id="1"/>
      <w:tr w:rsidR="00C74B6F" w14:paraId="38EE0CE5" w14:textId="77777777" w:rsidTr="00036794">
        <w:trPr>
          <w:cantSplit/>
        </w:trPr>
        <w:tc>
          <w:tcPr>
            <w:tcW w:w="9568" w:type="dxa"/>
            <w:gridSpan w:val="4"/>
          </w:tcPr>
          <w:p w14:paraId="73665C41" w14:textId="77777777" w:rsidR="00C74B6F" w:rsidRDefault="00C74B6F"/>
        </w:tc>
      </w:tr>
      <w:tr w:rsidR="00C74B6F" w14:paraId="3BF7D04E" w14:textId="77777777" w:rsidTr="00036794">
        <w:tc>
          <w:tcPr>
            <w:tcW w:w="3331" w:type="dxa"/>
          </w:tcPr>
          <w:p w14:paraId="1F717A98" w14:textId="0276A12E" w:rsidR="00C74B6F" w:rsidRDefault="0084255F">
            <w:bookmarkStart w:id="2" w:name="ref_dossier" w:colFirst="1" w:colLast="1"/>
            <w:r>
              <w:t>Dossier</w:t>
            </w:r>
            <w:bookmarkStart w:id="3" w:name="dossiers"/>
            <w:bookmarkEnd w:id="3"/>
            <w:r>
              <w:t> :</w:t>
            </w:r>
          </w:p>
        </w:tc>
        <w:tc>
          <w:tcPr>
            <w:tcW w:w="6237" w:type="dxa"/>
            <w:gridSpan w:val="3"/>
          </w:tcPr>
          <w:p w14:paraId="5F78E50B" w14:textId="31F07251" w:rsidR="00C74B6F" w:rsidRDefault="000C7D89" w:rsidP="00F4095A">
            <w:pPr>
              <w:pStyle w:val="zSoquijdatNoDossier"/>
            </w:pPr>
            <w:bookmarkStart w:id="4" w:name="_Hlk167971145"/>
            <w:r w:rsidRPr="000C7D89">
              <w:t>1267758</w:t>
            </w:r>
            <w:bookmarkEnd w:id="4"/>
            <w:r>
              <w:t>-</w:t>
            </w:r>
            <w:r w:rsidRPr="000C7D89">
              <w:t>31</w:t>
            </w:r>
            <w:r>
              <w:t>-</w:t>
            </w:r>
            <w:r w:rsidRPr="000C7D89">
              <w:t>2203</w:t>
            </w:r>
          </w:p>
        </w:tc>
      </w:tr>
      <w:bookmarkEnd w:id="2"/>
      <w:tr w:rsidR="00C74B6F" w14:paraId="520C1CFA" w14:textId="77777777" w:rsidTr="00036794">
        <w:trPr>
          <w:cantSplit/>
        </w:trPr>
        <w:tc>
          <w:tcPr>
            <w:tcW w:w="9568" w:type="dxa"/>
            <w:gridSpan w:val="4"/>
          </w:tcPr>
          <w:p w14:paraId="2CFF1D19" w14:textId="77777777" w:rsidR="00C74B6F" w:rsidRDefault="00D44BCF">
            <w:r>
              <w:fldChar w:fldCharType="begin"/>
            </w:r>
            <w:r>
              <w:instrText xml:space="preserve"> AUTOTEXTLIST  \* Upper  \* MERGEFORMAT </w:instrText>
            </w:r>
            <w:r>
              <w:fldChar w:fldCharType="end"/>
            </w:r>
          </w:p>
        </w:tc>
      </w:tr>
      <w:tr w:rsidR="00C74B6F" w14:paraId="16C197D4" w14:textId="77777777" w:rsidTr="00036794">
        <w:tc>
          <w:tcPr>
            <w:tcW w:w="3331" w:type="dxa"/>
          </w:tcPr>
          <w:p w14:paraId="35C074F1" w14:textId="0BB59293" w:rsidR="00C74B6F" w:rsidRDefault="008C79A7" w:rsidP="0045114F">
            <w:pPr>
              <w:ind w:right="46"/>
            </w:pPr>
            <w:r>
              <w:t>Dossier</w:t>
            </w:r>
            <w:r w:rsidR="000C7D89">
              <w:t xml:space="preserve"> CNESST </w:t>
            </w:r>
            <w:r w:rsidRPr="008C79A7">
              <w:rPr>
                <w:szCs w:val="24"/>
              </w:rPr>
              <w:t>:</w:t>
            </w:r>
          </w:p>
        </w:tc>
        <w:tc>
          <w:tcPr>
            <w:tcW w:w="6237" w:type="dxa"/>
            <w:gridSpan w:val="3"/>
          </w:tcPr>
          <w:p w14:paraId="33531E63" w14:textId="7FF6AF72" w:rsidR="00C74B6F" w:rsidRDefault="000C7D89" w:rsidP="004D6CEA">
            <w:pPr>
              <w:pStyle w:val="zSoquijdatNCSST"/>
            </w:pPr>
            <w:r w:rsidRPr="000C7D89">
              <w:t>510418478</w:t>
            </w:r>
          </w:p>
        </w:tc>
      </w:tr>
      <w:tr w:rsidR="00C74B6F" w14:paraId="0B8B6CAB" w14:textId="77777777" w:rsidTr="00036794">
        <w:trPr>
          <w:cantSplit/>
        </w:trPr>
        <w:tc>
          <w:tcPr>
            <w:tcW w:w="9568" w:type="dxa"/>
            <w:gridSpan w:val="4"/>
          </w:tcPr>
          <w:p w14:paraId="1BEA6E05" w14:textId="77777777" w:rsidR="00C74B6F" w:rsidRDefault="00C74B6F"/>
        </w:tc>
      </w:tr>
      <w:tr w:rsidR="00C74B6F" w14:paraId="396109D6" w14:textId="77777777" w:rsidTr="00036794">
        <w:trPr>
          <w:cantSplit/>
        </w:trPr>
        <w:tc>
          <w:tcPr>
            <w:tcW w:w="9568" w:type="dxa"/>
            <w:gridSpan w:val="4"/>
          </w:tcPr>
          <w:p w14:paraId="3332A7ED" w14:textId="77777777" w:rsidR="00C74B6F" w:rsidRDefault="00C74B6F"/>
        </w:tc>
      </w:tr>
      <w:tr w:rsidR="006E3DD8" w14:paraId="0971AAB9" w14:textId="77777777" w:rsidTr="00036794">
        <w:trPr>
          <w:cantSplit/>
        </w:trPr>
        <w:tc>
          <w:tcPr>
            <w:tcW w:w="3331" w:type="dxa"/>
          </w:tcPr>
          <w:p w14:paraId="5AC32F4E" w14:textId="151E06A1" w:rsidR="006E3DD8" w:rsidRDefault="000C7D89" w:rsidP="0076350E">
            <w:pPr>
              <w:ind w:right="-70"/>
            </w:pPr>
            <w:bookmarkStart w:id="5" w:name="ville"/>
            <w:r>
              <w:t>Québec</w:t>
            </w:r>
            <w:bookmarkEnd w:id="5"/>
            <w:r w:rsidR="00C04E32">
              <w:t>,</w:t>
            </w:r>
          </w:p>
        </w:tc>
        <w:tc>
          <w:tcPr>
            <w:tcW w:w="6237" w:type="dxa"/>
            <w:gridSpan w:val="3"/>
          </w:tcPr>
          <w:p w14:paraId="0CFAB801" w14:textId="06F5B306" w:rsidR="006E3DD8" w:rsidRDefault="006D424F" w:rsidP="005B5689">
            <w:pPr>
              <w:pStyle w:val="zSoquijdatDateJugement"/>
            </w:pPr>
            <w:r>
              <w:t>L</w:t>
            </w:r>
            <w:r w:rsidR="00C04E32">
              <w:t>e</w:t>
            </w:r>
            <w:r>
              <w:t xml:space="preserve"> 4 juin</w:t>
            </w:r>
            <w:r w:rsidR="000C7D89">
              <w:t xml:space="preserve"> 2024</w:t>
            </w:r>
          </w:p>
        </w:tc>
      </w:tr>
      <w:tr w:rsidR="00942AB8" w14:paraId="26AC9E12" w14:textId="77777777" w:rsidTr="00036794">
        <w:trPr>
          <w:cantSplit/>
        </w:trPr>
        <w:tc>
          <w:tcPr>
            <w:tcW w:w="9568" w:type="dxa"/>
            <w:gridSpan w:val="4"/>
          </w:tcPr>
          <w:p w14:paraId="68AF4310" w14:textId="77777777" w:rsidR="00942AB8" w:rsidRDefault="00942AB8" w:rsidP="00FA153F">
            <w:r>
              <w:t>______________________________________________________________________</w:t>
            </w:r>
          </w:p>
        </w:tc>
      </w:tr>
      <w:tr w:rsidR="00942AB8" w14:paraId="6D64142B" w14:textId="77777777" w:rsidTr="00036794">
        <w:trPr>
          <w:cantSplit/>
          <w:trHeight w:val="148"/>
        </w:trPr>
        <w:tc>
          <w:tcPr>
            <w:tcW w:w="9568" w:type="dxa"/>
            <w:gridSpan w:val="4"/>
          </w:tcPr>
          <w:p w14:paraId="4738E989" w14:textId="77777777" w:rsidR="00942AB8" w:rsidRDefault="00942AB8" w:rsidP="00FA153F"/>
        </w:tc>
      </w:tr>
      <w:tr w:rsidR="0035375B" w14:paraId="35D6D138" w14:textId="77777777" w:rsidTr="00036794">
        <w:trPr>
          <w:cantSplit/>
          <w:trHeight w:val="148"/>
        </w:trPr>
        <w:tc>
          <w:tcPr>
            <w:tcW w:w="5883" w:type="dxa"/>
            <w:gridSpan w:val="3"/>
          </w:tcPr>
          <w:p w14:paraId="3366A8F0" w14:textId="303BAA77" w:rsidR="0035375B" w:rsidRPr="00942AB8" w:rsidRDefault="0035375B">
            <w:pPr>
              <w:rPr>
                <w:b/>
                <w:bCs/>
              </w:rPr>
            </w:pPr>
            <w:bookmarkStart w:id="6" w:name="ref_commissaire" w:colFirst="1" w:colLast="1"/>
            <w:r w:rsidRPr="00942AB8">
              <w:rPr>
                <w:b/>
                <w:bCs/>
              </w:rPr>
              <w:t>DEVANT L</w:t>
            </w:r>
            <w:r w:rsidR="000C7D89">
              <w:rPr>
                <w:b/>
                <w:bCs/>
              </w:rPr>
              <w:t>A</w:t>
            </w:r>
            <w:r w:rsidRPr="00942AB8">
              <w:rPr>
                <w:b/>
                <w:bCs/>
              </w:rPr>
              <w:t xml:space="preserve"> JUGE ADMINISTRATI</w:t>
            </w:r>
            <w:r w:rsidR="000C7D89">
              <w:rPr>
                <w:b/>
                <w:bCs/>
              </w:rPr>
              <w:t>VE</w:t>
            </w:r>
            <w:r w:rsidRPr="00942AB8">
              <w:rPr>
                <w:b/>
                <w:bCs/>
              </w:rPr>
              <w:t> :</w:t>
            </w:r>
          </w:p>
        </w:tc>
        <w:tc>
          <w:tcPr>
            <w:tcW w:w="3685" w:type="dxa"/>
          </w:tcPr>
          <w:p w14:paraId="046BC7A6" w14:textId="7893308C" w:rsidR="0035375B" w:rsidRPr="00942AB8" w:rsidRDefault="000C7D89" w:rsidP="005B5689">
            <w:pPr>
              <w:pStyle w:val="zSoquijdatJuge"/>
              <w:rPr>
                <w:bCs/>
              </w:rPr>
            </w:pPr>
            <w:r>
              <w:t>Marie-Claude Lavoie</w:t>
            </w:r>
          </w:p>
        </w:tc>
      </w:tr>
      <w:bookmarkEnd w:id="6"/>
      <w:tr w:rsidR="00942AB8" w14:paraId="657241B1" w14:textId="77777777" w:rsidTr="00036794">
        <w:trPr>
          <w:cantSplit/>
          <w:trHeight w:val="148"/>
        </w:trPr>
        <w:tc>
          <w:tcPr>
            <w:tcW w:w="9568" w:type="dxa"/>
            <w:gridSpan w:val="4"/>
          </w:tcPr>
          <w:p w14:paraId="0D2527BD" w14:textId="77777777" w:rsidR="00942AB8" w:rsidRDefault="00942AB8" w:rsidP="00FA153F">
            <w:r>
              <w:t>______________________________________________________________________</w:t>
            </w:r>
          </w:p>
        </w:tc>
      </w:tr>
      <w:tr w:rsidR="00942AB8" w14:paraId="55AA6231" w14:textId="77777777" w:rsidTr="00036794">
        <w:tc>
          <w:tcPr>
            <w:tcW w:w="9568" w:type="dxa"/>
            <w:gridSpan w:val="4"/>
          </w:tcPr>
          <w:p w14:paraId="6B4F20CE" w14:textId="77777777" w:rsidR="00942AB8" w:rsidRDefault="00942AB8"/>
        </w:tc>
      </w:tr>
      <w:tr w:rsidR="00942AB8" w14:paraId="49C7BC83" w14:textId="77777777" w:rsidTr="00E21768">
        <w:tc>
          <w:tcPr>
            <w:tcW w:w="4890" w:type="dxa"/>
            <w:gridSpan w:val="2"/>
          </w:tcPr>
          <w:p w14:paraId="0485C640" w14:textId="77777777" w:rsidR="00942AB8" w:rsidRDefault="00942AB8">
            <w:bookmarkStart w:id="7" w:name="bloc_parties_gauche"/>
            <w:bookmarkEnd w:id="7"/>
          </w:p>
        </w:tc>
        <w:tc>
          <w:tcPr>
            <w:tcW w:w="4678" w:type="dxa"/>
            <w:gridSpan w:val="2"/>
          </w:tcPr>
          <w:p w14:paraId="1B132D90" w14:textId="77777777" w:rsidR="00942AB8" w:rsidRDefault="00942AB8"/>
        </w:tc>
      </w:tr>
      <w:tr w:rsidR="00942AB8" w14:paraId="7F7B1A91" w14:textId="77777777" w:rsidTr="00E21768">
        <w:tc>
          <w:tcPr>
            <w:tcW w:w="4890" w:type="dxa"/>
            <w:gridSpan w:val="2"/>
          </w:tcPr>
          <w:p w14:paraId="0E97C735" w14:textId="1BBACE02" w:rsidR="00942AB8" w:rsidRDefault="000C7D89">
            <w:pPr>
              <w:pStyle w:val="zSoquijdatNomPartieDem"/>
              <w:rPr>
                <w:b/>
              </w:rPr>
            </w:pPr>
            <w:r>
              <w:rPr>
                <w:b/>
              </w:rPr>
              <w:t>Denis Parent</w:t>
            </w:r>
          </w:p>
        </w:tc>
        <w:tc>
          <w:tcPr>
            <w:tcW w:w="4678" w:type="dxa"/>
            <w:gridSpan w:val="2"/>
          </w:tcPr>
          <w:p w14:paraId="6FC1F905" w14:textId="77777777" w:rsidR="00942AB8" w:rsidRDefault="00942AB8"/>
        </w:tc>
      </w:tr>
      <w:tr w:rsidR="00942AB8" w14:paraId="547548C6" w14:textId="77777777" w:rsidTr="00E21768">
        <w:tc>
          <w:tcPr>
            <w:tcW w:w="4890" w:type="dxa"/>
            <w:gridSpan w:val="2"/>
          </w:tcPr>
          <w:p w14:paraId="30B7204B" w14:textId="26654540" w:rsidR="00942AB8" w:rsidRDefault="000C7D89" w:rsidP="007B0DF2">
            <w:pPr>
              <w:pStyle w:val="zSoquijdatQtePartieDem"/>
              <w:tabs>
                <w:tab w:val="left" w:pos="3539"/>
              </w:tabs>
              <w:ind w:left="708"/>
            </w:pPr>
            <w:bookmarkStart w:id="8" w:name="partie_demanderesse"/>
            <w:bookmarkEnd w:id="8"/>
            <w:r>
              <w:t>Partie demanderesse</w:t>
            </w:r>
          </w:p>
        </w:tc>
        <w:tc>
          <w:tcPr>
            <w:tcW w:w="4678" w:type="dxa"/>
            <w:gridSpan w:val="2"/>
          </w:tcPr>
          <w:p w14:paraId="7C5E9B35" w14:textId="77777777" w:rsidR="00942AB8" w:rsidRDefault="00942AB8"/>
        </w:tc>
      </w:tr>
      <w:tr w:rsidR="00942AB8" w14:paraId="7DE5802C" w14:textId="77777777" w:rsidTr="00E21768">
        <w:tc>
          <w:tcPr>
            <w:tcW w:w="4890" w:type="dxa"/>
            <w:gridSpan w:val="2"/>
          </w:tcPr>
          <w:p w14:paraId="3275ABF9" w14:textId="77777777" w:rsidR="00942AB8" w:rsidRDefault="00942AB8" w:rsidP="00E6363B"/>
        </w:tc>
        <w:tc>
          <w:tcPr>
            <w:tcW w:w="4678" w:type="dxa"/>
            <w:gridSpan w:val="2"/>
          </w:tcPr>
          <w:p w14:paraId="67533357" w14:textId="77777777" w:rsidR="00942AB8" w:rsidRDefault="00942AB8"/>
        </w:tc>
      </w:tr>
      <w:tr w:rsidR="00942AB8" w14:paraId="573A3AA1" w14:textId="77777777" w:rsidTr="00E21768">
        <w:tc>
          <w:tcPr>
            <w:tcW w:w="4890" w:type="dxa"/>
            <w:gridSpan w:val="2"/>
          </w:tcPr>
          <w:p w14:paraId="68730394" w14:textId="102FDE77" w:rsidR="00942AB8" w:rsidRDefault="000C7D89" w:rsidP="00D06652">
            <w:pPr>
              <w:pStyle w:val="zSoquijlblLienParties"/>
            </w:pPr>
            <w:r>
              <w:t>et</w:t>
            </w:r>
          </w:p>
        </w:tc>
        <w:tc>
          <w:tcPr>
            <w:tcW w:w="4678" w:type="dxa"/>
            <w:gridSpan w:val="2"/>
          </w:tcPr>
          <w:p w14:paraId="1F5D3EAD" w14:textId="77777777" w:rsidR="00942AB8" w:rsidRDefault="00942AB8"/>
        </w:tc>
      </w:tr>
      <w:tr w:rsidR="00942AB8" w14:paraId="7072BA2B" w14:textId="77777777" w:rsidTr="00E21768">
        <w:tc>
          <w:tcPr>
            <w:tcW w:w="4890" w:type="dxa"/>
            <w:gridSpan w:val="2"/>
          </w:tcPr>
          <w:p w14:paraId="6FE80CC6" w14:textId="77777777" w:rsidR="00942AB8" w:rsidRDefault="00942AB8"/>
        </w:tc>
        <w:tc>
          <w:tcPr>
            <w:tcW w:w="4678" w:type="dxa"/>
            <w:gridSpan w:val="2"/>
          </w:tcPr>
          <w:p w14:paraId="343F036A" w14:textId="77777777" w:rsidR="00942AB8" w:rsidRDefault="00942AB8"/>
        </w:tc>
      </w:tr>
      <w:tr w:rsidR="00942AB8" w14:paraId="47C06006" w14:textId="77777777" w:rsidTr="00E21768">
        <w:tc>
          <w:tcPr>
            <w:tcW w:w="4890" w:type="dxa"/>
            <w:gridSpan w:val="2"/>
          </w:tcPr>
          <w:p w14:paraId="7C5CFA74" w14:textId="54415268" w:rsidR="00942AB8" w:rsidRDefault="000C7D89">
            <w:pPr>
              <w:pStyle w:val="zSoquijdatNomPartieDef"/>
              <w:rPr>
                <w:b/>
              </w:rPr>
            </w:pPr>
            <w:r>
              <w:rPr>
                <w:b/>
              </w:rPr>
              <w:t>Léopold Soucy &amp; fils inc.</w:t>
            </w:r>
          </w:p>
        </w:tc>
        <w:tc>
          <w:tcPr>
            <w:tcW w:w="4678" w:type="dxa"/>
            <w:gridSpan w:val="2"/>
          </w:tcPr>
          <w:p w14:paraId="160137A5" w14:textId="77777777" w:rsidR="00942AB8" w:rsidRDefault="00942AB8"/>
        </w:tc>
      </w:tr>
      <w:tr w:rsidR="00942AB8" w14:paraId="3150C6FB" w14:textId="77777777" w:rsidTr="00E21768">
        <w:tc>
          <w:tcPr>
            <w:tcW w:w="4890" w:type="dxa"/>
            <w:gridSpan w:val="2"/>
          </w:tcPr>
          <w:p w14:paraId="3A30B107" w14:textId="2FBEDB54" w:rsidR="00942AB8" w:rsidRDefault="000C7D89">
            <w:pPr>
              <w:pStyle w:val="zSoquijdatQtePartieDef"/>
              <w:ind w:left="708"/>
            </w:pPr>
            <w:r>
              <w:t>Partie mise en cause</w:t>
            </w:r>
          </w:p>
        </w:tc>
        <w:tc>
          <w:tcPr>
            <w:tcW w:w="4678" w:type="dxa"/>
            <w:gridSpan w:val="2"/>
          </w:tcPr>
          <w:p w14:paraId="79043421" w14:textId="77777777" w:rsidR="00942AB8" w:rsidRDefault="00942AB8"/>
        </w:tc>
      </w:tr>
      <w:tr w:rsidR="000C7D89" w14:paraId="358B1E28" w14:textId="77777777" w:rsidTr="00E21768">
        <w:tc>
          <w:tcPr>
            <w:tcW w:w="4890" w:type="dxa"/>
            <w:gridSpan w:val="2"/>
          </w:tcPr>
          <w:p w14:paraId="62D03A7B" w14:textId="77777777" w:rsidR="000C7D89" w:rsidRDefault="000C7D89"/>
        </w:tc>
        <w:tc>
          <w:tcPr>
            <w:tcW w:w="4678" w:type="dxa"/>
            <w:gridSpan w:val="2"/>
          </w:tcPr>
          <w:p w14:paraId="69607C3D" w14:textId="77777777" w:rsidR="000C7D89" w:rsidRDefault="000C7D89"/>
        </w:tc>
      </w:tr>
      <w:tr w:rsidR="0065093D" w14:paraId="2CF71966" w14:textId="77777777" w:rsidTr="00E21768">
        <w:tc>
          <w:tcPr>
            <w:tcW w:w="4890" w:type="dxa"/>
            <w:gridSpan w:val="2"/>
          </w:tcPr>
          <w:p w14:paraId="02EE61BB" w14:textId="5C5EAB76" w:rsidR="0065093D" w:rsidRDefault="000C7D89">
            <w:r>
              <w:t>et</w:t>
            </w:r>
          </w:p>
        </w:tc>
        <w:tc>
          <w:tcPr>
            <w:tcW w:w="4678" w:type="dxa"/>
            <w:gridSpan w:val="2"/>
          </w:tcPr>
          <w:p w14:paraId="0E27EE8C" w14:textId="77777777" w:rsidR="0065093D" w:rsidRDefault="0065093D"/>
        </w:tc>
      </w:tr>
      <w:tr w:rsidR="000C7D89" w14:paraId="05E99398" w14:textId="77777777" w:rsidTr="00E21768">
        <w:tc>
          <w:tcPr>
            <w:tcW w:w="4890" w:type="dxa"/>
            <w:gridSpan w:val="2"/>
          </w:tcPr>
          <w:p w14:paraId="69E084D6" w14:textId="77777777" w:rsidR="000C7D89" w:rsidRDefault="000C7D89">
            <w:pPr>
              <w:pStyle w:val="zSoquijdatNomPartieInt"/>
              <w:rPr>
                <w:b/>
              </w:rPr>
            </w:pPr>
          </w:p>
        </w:tc>
        <w:tc>
          <w:tcPr>
            <w:tcW w:w="4678" w:type="dxa"/>
            <w:gridSpan w:val="2"/>
          </w:tcPr>
          <w:p w14:paraId="6554EBDE" w14:textId="77777777" w:rsidR="000C7D89" w:rsidRDefault="000C7D89"/>
        </w:tc>
      </w:tr>
      <w:tr w:rsidR="00942AB8" w14:paraId="2331601D" w14:textId="77777777" w:rsidTr="00E21768">
        <w:tc>
          <w:tcPr>
            <w:tcW w:w="4890" w:type="dxa"/>
            <w:gridSpan w:val="2"/>
          </w:tcPr>
          <w:p w14:paraId="1E9632CD" w14:textId="443EE211" w:rsidR="00942AB8" w:rsidRDefault="000C7D89">
            <w:pPr>
              <w:pStyle w:val="zSoquijdatNomPartieInt"/>
              <w:rPr>
                <w:b/>
              </w:rPr>
            </w:pPr>
            <w:r>
              <w:rPr>
                <w:b/>
              </w:rPr>
              <w:t>Commission des normes</w:t>
            </w:r>
            <w:r w:rsidR="00CC1D82">
              <w:rPr>
                <w:b/>
              </w:rPr>
              <w:t>,</w:t>
            </w:r>
            <w:r>
              <w:rPr>
                <w:b/>
              </w:rPr>
              <w:t xml:space="preserve"> de l’équité, de la santé et de la sécurité du travail</w:t>
            </w:r>
          </w:p>
        </w:tc>
        <w:tc>
          <w:tcPr>
            <w:tcW w:w="4678" w:type="dxa"/>
            <w:gridSpan w:val="2"/>
          </w:tcPr>
          <w:p w14:paraId="0327A6A9" w14:textId="74BDC2DB" w:rsidR="00942AB8" w:rsidRDefault="00942AB8"/>
        </w:tc>
      </w:tr>
      <w:tr w:rsidR="00942AB8" w14:paraId="6A6892AA" w14:textId="77777777" w:rsidTr="00E21768">
        <w:tc>
          <w:tcPr>
            <w:tcW w:w="4890" w:type="dxa"/>
            <w:gridSpan w:val="2"/>
          </w:tcPr>
          <w:p w14:paraId="3840ED4A" w14:textId="003462C5" w:rsidR="00942AB8" w:rsidRDefault="000C7D89">
            <w:pPr>
              <w:pStyle w:val="zSoquijdatQtePartieInt"/>
              <w:ind w:left="708"/>
            </w:pPr>
            <w:r>
              <w:t>Partie intervenante</w:t>
            </w:r>
          </w:p>
        </w:tc>
        <w:tc>
          <w:tcPr>
            <w:tcW w:w="4678" w:type="dxa"/>
            <w:gridSpan w:val="2"/>
          </w:tcPr>
          <w:p w14:paraId="2DDBF591" w14:textId="77777777" w:rsidR="00942AB8" w:rsidRDefault="00942AB8"/>
        </w:tc>
      </w:tr>
      <w:tr w:rsidR="00942AB8" w14:paraId="0D7F5F7A" w14:textId="77777777" w:rsidTr="00E21768">
        <w:tc>
          <w:tcPr>
            <w:tcW w:w="4890" w:type="dxa"/>
            <w:gridSpan w:val="2"/>
          </w:tcPr>
          <w:p w14:paraId="48CF7F8A" w14:textId="77777777" w:rsidR="00942AB8" w:rsidRDefault="00942AB8"/>
        </w:tc>
        <w:tc>
          <w:tcPr>
            <w:tcW w:w="4678" w:type="dxa"/>
            <w:gridSpan w:val="2"/>
          </w:tcPr>
          <w:p w14:paraId="5B5CADAB" w14:textId="77777777" w:rsidR="00942AB8" w:rsidRDefault="00942AB8"/>
        </w:tc>
      </w:tr>
    </w:tbl>
    <w:p w14:paraId="6A7E8370" w14:textId="77777777" w:rsidR="00C74B6F" w:rsidRDefault="00C74B6F">
      <w:r>
        <w:t>______________________________________________________________________</w:t>
      </w:r>
    </w:p>
    <w:p w14:paraId="128561C4" w14:textId="77777777" w:rsidR="00C74B6F" w:rsidRDefault="00C74B6F"/>
    <w:p w14:paraId="22045C45" w14:textId="77777777" w:rsidR="00C74B6F" w:rsidRPr="005B0612" w:rsidRDefault="00C74B6F" w:rsidP="008B042E">
      <w:pPr>
        <w:jc w:val="center"/>
        <w:rPr>
          <w:b/>
          <w:bCs/>
        </w:rPr>
      </w:pPr>
      <w:bookmarkStart w:id="9" w:name="decision"/>
      <w:r w:rsidRPr="005B0612">
        <w:rPr>
          <w:b/>
          <w:bCs/>
        </w:rPr>
        <w:t>DÉCISION</w:t>
      </w:r>
      <w:bookmarkEnd w:id="9"/>
    </w:p>
    <w:p w14:paraId="1C548229" w14:textId="77777777" w:rsidR="008F20EA" w:rsidRDefault="008F20EA" w:rsidP="008F20EA">
      <w:bookmarkStart w:id="10" w:name="separation"/>
      <w:bookmarkStart w:id="11" w:name="parag_1"/>
      <w:r>
        <w:t>______________________________________________________________________</w:t>
      </w:r>
    </w:p>
    <w:p w14:paraId="7112101F" w14:textId="77777777" w:rsidR="008F20EA" w:rsidRDefault="008F20EA" w:rsidP="000C7D89">
      <w:pPr>
        <w:pStyle w:val="Titre1"/>
      </w:pPr>
      <w:bookmarkStart w:id="12" w:name="supprimer_apercu"/>
      <w:bookmarkEnd w:id="10"/>
      <w:r>
        <w:t>L’APERÇU</w:t>
      </w:r>
    </w:p>
    <w:bookmarkEnd w:id="12"/>
    <w:bookmarkEnd w:id="11"/>
    <w:p w14:paraId="531083E0" w14:textId="0CA578FA" w:rsidR="0056368C" w:rsidRDefault="0056368C" w:rsidP="0056368C">
      <w:pPr>
        <w:pStyle w:val="corpsdedcision"/>
        <w:tabs>
          <w:tab w:val="num" w:pos="720"/>
        </w:tabs>
      </w:pPr>
      <w:r>
        <w:t>Monsieur Denis Parent occupe un poste de peintre et tireur de joint</w:t>
      </w:r>
      <w:r w:rsidR="00223E7B">
        <w:t>s</w:t>
      </w:r>
      <w:r>
        <w:t xml:space="preserve"> en bâtiment chez Léopold Soucy &amp; Fils inc. L</w:t>
      </w:r>
      <w:r w:rsidR="00E21886">
        <w:t>e 29 juin 2021, l</w:t>
      </w:r>
      <w:r>
        <w:t xml:space="preserve">e travailleur dépose une réclamation à la Commission des normes, de l’équité, de la santé et de la sécurité du travail pour une maladie professionnelle </w:t>
      </w:r>
      <w:r w:rsidR="00223E7B">
        <w:t>datée du</w:t>
      </w:r>
      <w:r>
        <w:t xml:space="preserve"> 9 mars 2021. La professionnelle de la santé qui a charge retient un diagnostic de </w:t>
      </w:r>
      <w:r w:rsidR="006A489B">
        <w:t xml:space="preserve">tendinopathie à </w:t>
      </w:r>
      <w:r>
        <w:t xml:space="preserve">l’épaule droite. </w:t>
      </w:r>
    </w:p>
    <w:p w14:paraId="3BA00E0E" w14:textId="26E27A50" w:rsidR="0056368C" w:rsidRPr="006E7FF0" w:rsidRDefault="0056368C" w:rsidP="0056368C">
      <w:pPr>
        <w:pStyle w:val="corpsdedcision"/>
      </w:pPr>
      <w:r>
        <w:t>La Commission refuse la réclamation du travailleur</w:t>
      </w:r>
      <w:r w:rsidR="00223E7B">
        <w:t>,</w:t>
      </w:r>
      <w:r>
        <w:t xml:space="preserve"> car elle n’a pas été produite dans le délai de six mois prévu à la </w:t>
      </w:r>
      <w:r w:rsidRPr="00C57EEB">
        <w:rPr>
          <w:i/>
          <w:iCs/>
        </w:rPr>
        <w:t>Loi sur les accidents du travail et les maladies professionnelles</w:t>
      </w:r>
      <w:r>
        <w:rPr>
          <w:rStyle w:val="Appelnotedebasdep"/>
        </w:rPr>
        <w:footnoteReference w:id="1"/>
      </w:r>
      <w:r>
        <w:rPr>
          <w:iCs/>
        </w:rPr>
        <w:t>, la Loi,</w:t>
      </w:r>
      <w:r>
        <w:rPr>
          <w:i/>
          <w:iCs/>
        </w:rPr>
        <w:t xml:space="preserve"> </w:t>
      </w:r>
      <w:r>
        <w:rPr>
          <w:iCs/>
        </w:rPr>
        <w:t>et qu’aucun motif raisonnable n’a été soumis pour justifier le retard. Cette décision est confirmée à la suite d’une révision administrative</w:t>
      </w:r>
      <w:r w:rsidR="00E67084">
        <w:rPr>
          <w:rStyle w:val="Appelnotedebasdep"/>
          <w:iCs/>
        </w:rPr>
        <w:footnoteReference w:id="2"/>
      </w:r>
      <w:r>
        <w:rPr>
          <w:iCs/>
        </w:rPr>
        <w:t>.</w:t>
      </w:r>
    </w:p>
    <w:p w14:paraId="0647F539" w14:textId="77777777" w:rsidR="0056368C" w:rsidRPr="006E7FF0" w:rsidRDefault="0056368C" w:rsidP="0056368C">
      <w:pPr>
        <w:pStyle w:val="corpsdedcision"/>
      </w:pPr>
      <w:r>
        <w:rPr>
          <w:iCs/>
        </w:rPr>
        <w:t xml:space="preserve">Le travailleur demande au Tribunal de déclarer la réclamation recevable, car elle a été déposée dans le délai de six mois ou subsidiairement, de conclure qu’il a soumis un motif raisonnable. </w:t>
      </w:r>
    </w:p>
    <w:p w14:paraId="11973FC9" w14:textId="77777777" w:rsidR="0056368C" w:rsidRPr="00C71B8D" w:rsidRDefault="0056368C" w:rsidP="0056368C">
      <w:pPr>
        <w:numPr>
          <w:ilvl w:val="0"/>
          <w:numId w:val="1"/>
        </w:numPr>
        <w:tabs>
          <w:tab w:val="clear" w:pos="360"/>
          <w:tab w:val="num" w:pos="720"/>
        </w:tabs>
        <w:spacing w:after="360"/>
        <w:jc w:val="both"/>
      </w:pPr>
      <w:r w:rsidRPr="00C71B8D">
        <w:t xml:space="preserve">Afin de disposer du présent litige, le Tribunal devra </w:t>
      </w:r>
      <w:r>
        <w:t xml:space="preserve">d’abord répondre aux </w:t>
      </w:r>
      <w:r w:rsidRPr="00C71B8D">
        <w:t>question</w:t>
      </w:r>
      <w:r>
        <w:t>s</w:t>
      </w:r>
      <w:r w:rsidRPr="00C71B8D">
        <w:t xml:space="preserve"> suivante</w:t>
      </w:r>
      <w:r>
        <w:t>s</w:t>
      </w:r>
      <w:r w:rsidRPr="00C71B8D">
        <w:t> :</w:t>
      </w:r>
    </w:p>
    <w:p w14:paraId="7276BEB5" w14:textId="6F4BE170" w:rsidR="0056368C" w:rsidRDefault="0056368C" w:rsidP="0056368C">
      <w:pPr>
        <w:numPr>
          <w:ilvl w:val="0"/>
          <w:numId w:val="12"/>
        </w:numPr>
        <w:tabs>
          <w:tab w:val="left" w:pos="720"/>
        </w:tabs>
        <w:spacing w:after="360"/>
        <w:ind w:left="1066" w:hanging="357"/>
        <w:jc w:val="both"/>
      </w:pPr>
      <w:r>
        <w:t>La réclamation déposée le </w:t>
      </w:r>
      <w:r w:rsidR="00E67084">
        <w:t>29 juin 2021</w:t>
      </w:r>
      <w:r>
        <w:t xml:space="preserve"> a-t-elle été</w:t>
      </w:r>
      <w:r w:rsidR="00D20F80">
        <w:t xml:space="preserve"> </w:t>
      </w:r>
      <w:r w:rsidR="00F5061E">
        <w:t>produite</w:t>
      </w:r>
      <w:r>
        <w:t xml:space="preserve"> dans le délai de six mois prévu par la Loi?</w:t>
      </w:r>
    </w:p>
    <w:p w14:paraId="507F2AE7" w14:textId="77777777" w:rsidR="0056368C" w:rsidRDefault="0056368C" w:rsidP="0056368C">
      <w:pPr>
        <w:pStyle w:val="corpsdedcision"/>
        <w:numPr>
          <w:ilvl w:val="0"/>
          <w:numId w:val="12"/>
        </w:numPr>
        <w:ind w:left="1066" w:hanging="357"/>
      </w:pPr>
      <w:r w:rsidRPr="00E55FF9">
        <w:t>Le travailleur a-t-il soumis un motif raisonnable</w:t>
      </w:r>
      <w:r>
        <w:t xml:space="preserve"> pour justifier son retard</w:t>
      </w:r>
      <w:r w:rsidRPr="00E55FF9">
        <w:t>?</w:t>
      </w:r>
    </w:p>
    <w:p w14:paraId="399DB137" w14:textId="3985BD31" w:rsidR="0056368C" w:rsidRPr="00060C08" w:rsidRDefault="0056368C" w:rsidP="0056368C">
      <w:pPr>
        <w:pStyle w:val="corpsdedcision"/>
      </w:pPr>
      <w:r w:rsidRPr="00060C08">
        <w:rPr>
          <w:iCs/>
        </w:rPr>
        <w:t>Le Tribunal conclut d’une part</w:t>
      </w:r>
      <w:r w:rsidR="00DB65A4">
        <w:rPr>
          <w:iCs/>
        </w:rPr>
        <w:t>,</w:t>
      </w:r>
      <w:r w:rsidRPr="00060C08">
        <w:rPr>
          <w:iCs/>
        </w:rPr>
        <w:t xml:space="preserve"> que la réclamation n’a pas été soumise dans le délai prévu, retenant le courant jurisprudentiel que le délai court à compter de la date de la connaissance de la relation entre le diagnostic et le travail. D’autre part, il conclut </w:t>
      </w:r>
      <w:r w:rsidR="00060C08">
        <w:rPr>
          <w:iCs/>
        </w:rPr>
        <w:t>que</w:t>
      </w:r>
      <w:r w:rsidRPr="00060C08">
        <w:rPr>
          <w:iCs/>
        </w:rPr>
        <w:t xml:space="preserve"> le travailleur </w:t>
      </w:r>
      <w:r w:rsidR="00060C08">
        <w:rPr>
          <w:iCs/>
        </w:rPr>
        <w:t>a soumis un motif raisonnable</w:t>
      </w:r>
      <w:r w:rsidR="00DB65A4">
        <w:rPr>
          <w:iCs/>
        </w:rPr>
        <w:t>,</w:t>
      </w:r>
      <w:r w:rsidR="00060C08">
        <w:rPr>
          <w:iCs/>
        </w:rPr>
        <w:t xml:space="preserve"> soit l’i</w:t>
      </w:r>
      <w:r w:rsidRPr="00060C08">
        <w:rPr>
          <w:iCs/>
        </w:rPr>
        <w:t xml:space="preserve">ntérêt réel et actuel </w:t>
      </w:r>
      <w:r w:rsidR="00060C08">
        <w:rPr>
          <w:iCs/>
        </w:rPr>
        <w:t>de réclamer qu’en 2021</w:t>
      </w:r>
      <w:r w:rsidRPr="00060C08">
        <w:rPr>
          <w:iCs/>
        </w:rPr>
        <w:t xml:space="preserve">. </w:t>
      </w:r>
    </w:p>
    <w:p w14:paraId="1835B3BF" w14:textId="77777777" w:rsidR="00082A97" w:rsidRDefault="00082A97" w:rsidP="000C7D89">
      <w:pPr>
        <w:pStyle w:val="Titre1"/>
      </w:pPr>
      <w:bookmarkStart w:id="13" w:name="supprimer_analyse"/>
      <w:r w:rsidRPr="00B51F99">
        <w:t>L</w:t>
      </w:r>
      <w:r>
        <w:t>’ANALYSE</w:t>
      </w:r>
    </w:p>
    <w:bookmarkEnd w:id="13"/>
    <w:p w14:paraId="2ADCA93E" w14:textId="6D272BDD" w:rsidR="00E67084" w:rsidRDefault="00E67084" w:rsidP="000C7D89">
      <w:pPr>
        <w:pStyle w:val="Titre3"/>
        <w:jc w:val="both"/>
      </w:pPr>
      <w:r>
        <w:t>La réclamation déposée le 29 juin 202</w:t>
      </w:r>
      <w:r w:rsidR="00F53428">
        <w:t>1</w:t>
      </w:r>
      <w:r>
        <w:t xml:space="preserve"> </w:t>
      </w:r>
      <w:r w:rsidRPr="00087839">
        <w:t xml:space="preserve">a-t-elle été </w:t>
      </w:r>
      <w:r w:rsidR="00F5061E">
        <w:t xml:space="preserve">produite </w:t>
      </w:r>
      <w:r w:rsidRPr="00087839">
        <w:t xml:space="preserve">dans le délai </w:t>
      </w:r>
      <w:r>
        <w:t xml:space="preserve">de </w:t>
      </w:r>
      <w:r w:rsidR="00223E7B">
        <w:t>six mois prévus</w:t>
      </w:r>
      <w:r>
        <w:t xml:space="preserve"> par la L</w:t>
      </w:r>
      <w:r w:rsidRPr="00087839">
        <w:t>oi?</w:t>
      </w:r>
    </w:p>
    <w:p w14:paraId="6E558B15" w14:textId="0BB5F45C" w:rsidR="00E67084" w:rsidRPr="00060C08" w:rsidRDefault="00E67084" w:rsidP="00E67084">
      <w:pPr>
        <w:pStyle w:val="corpsdedcision"/>
      </w:pPr>
      <w:r>
        <w:t xml:space="preserve">Le Tribunal doit déterminer si le travailleur a produit la réclamation dans le délai de </w:t>
      </w:r>
      <w:r w:rsidR="00223E7B">
        <w:t>six</w:t>
      </w:r>
      <w:r w:rsidR="00DB65A4">
        <w:t> </w:t>
      </w:r>
      <w:r w:rsidR="00223E7B">
        <w:t>mois prévu</w:t>
      </w:r>
      <w:r>
        <w:t xml:space="preserve"> par la Loi </w:t>
      </w:r>
      <w:r w:rsidRPr="008B03CD">
        <w:t>ou subsidiairement</w:t>
      </w:r>
      <w:r>
        <w:t>, si celui-ci a démontré un motif raisonnable pour expliquer le retard. Après analyse</w:t>
      </w:r>
      <w:r w:rsidRPr="00060C08">
        <w:t xml:space="preserve">, la réclamation est hors délai </w:t>
      </w:r>
      <w:r w:rsidR="00060C08" w:rsidRPr="00060C08">
        <w:t>mais le travailleur a soumis un motif raisonnable permettant de le relever de son défaut</w:t>
      </w:r>
      <w:r w:rsidRPr="00060C08">
        <w:t>.</w:t>
      </w:r>
    </w:p>
    <w:p w14:paraId="62C5A37B" w14:textId="6FF40E8C" w:rsidR="00E67084" w:rsidRDefault="00E67084" w:rsidP="00932A2D">
      <w:pPr>
        <w:pStyle w:val="corpsdedcision"/>
        <w:keepNext/>
        <w:keepLines/>
      </w:pPr>
      <w:r>
        <w:t xml:space="preserve">L’article 272 de la Loi prévoit que lorsque le travailleur est atteint d’une maladie professionnelle, il doit </w:t>
      </w:r>
      <w:r w:rsidR="00FF64E6">
        <w:t>présenter</w:t>
      </w:r>
      <w:r>
        <w:t xml:space="preserve"> sa réclamation à la Commission « </w:t>
      </w:r>
      <w:r w:rsidRPr="002440F2">
        <w:rPr>
          <w:i/>
        </w:rPr>
        <w:t>[…]</w:t>
      </w:r>
      <w:r>
        <w:t xml:space="preserve"> </w:t>
      </w:r>
      <w:r w:rsidRPr="002440F2">
        <w:rPr>
          <w:i/>
          <w:sz w:val="22"/>
          <w:szCs w:val="22"/>
        </w:rPr>
        <w:t>dans les six</w:t>
      </w:r>
      <w:r w:rsidR="00DB65A4">
        <w:rPr>
          <w:i/>
          <w:sz w:val="22"/>
          <w:szCs w:val="22"/>
        </w:rPr>
        <w:t> </w:t>
      </w:r>
      <w:r w:rsidRPr="002440F2">
        <w:rPr>
          <w:i/>
          <w:sz w:val="22"/>
          <w:szCs w:val="22"/>
        </w:rPr>
        <w:t>mois de la date où il est porté à la connaissance du travailleur ou du bénéficiaire que le travailleur est atteint d’une maladie professionnelle</w:t>
      </w:r>
      <w:r>
        <w:rPr>
          <w:i/>
          <w:sz w:val="22"/>
          <w:szCs w:val="22"/>
        </w:rPr>
        <w:t xml:space="preserve"> […]</w:t>
      </w:r>
      <w:r>
        <w:t> ».</w:t>
      </w:r>
    </w:p>
    <w:p w14:paraId="531D9374" w14:textId="1AC699AA" w:rsidR="00E67084" w:rsidRDefault="00E67084" w:rsidP="00E67084">
      <w:pPr>
        <w:pStyle w:val="corpsdedcision"/>
      </w:pPr>
      <w:r>
        <w:t xml:space="preserve">Selon cet article, un délai de six mois est accordé au travailleur pour produire sa réclamation à compter de la date où il est porté à sa connaissance qu’il peut être atteint d’une maladie professionnelle. La notion de </w:t>
      </w:r>
      <w:r w:rsidRPr="007D3045">
        <w:rPr>
          <w:szCs w:val="24"/>
        </w:rPr>
        <w:t>« porté</w:t>
      </w:r>
      <w:r w:rsidR="00223E7B">
        <w:rPr>
          <w:szCs w:val="24"/>
        </w:rPr>
        <w:t>e</w:t>
      </w:r>
      <w:r w:rsidRPr="007D3045">
        <w:rPr>
          <w:szCs w:val="24"/>
        </w:rPr>
        <w:t xml:space="preserve"> à la connaissance »</w:t>
      </w:r>
      <w:r>
        <w:t xml:space="preserve"> du travailleur a fait l’objet d’une abondante jurisprudence au sein du Tribunal et a donné lieu à différentes interprétations. Deux tendances se dégagent de la jurisprudence quant au moment où le travailleur a la connaissance d’être atteint d’une maladie professionnelle.</w:t>
      </w:r>
    </w:p>
    <w:p w14:paraId="30AEA6F4" w14:textId="77777777" w:rsidR="00E67084" w:rsidRPr="00406300" w:rsidRDefault="00E67084" w:rsidP="00E67084">
      <w:pPr>
        <w:pStyle w:val="corpsdedcision"/>
      </w:pPr>
      <w:r>
        <w:rPr>
          <w:rFonts w:cs="Arial"/>
          <w:szCs w:val="24"/>
          <w:lang w:val="fr-FR"/>
        </w:rPr>
        <w:t>Selon la première tendance</w:t>
      </w:r>
      <w:r w:rsidRPr="00406300">
        <w:rPr>
          <w:rFonts w:cs="Arial"/>
          <w:szCs w:val="24"/>
          <w:lang w:val="fr-FR"/>
        </w:rPr>
        <w:t xml:space="preserve"> retenue par un grand nombre de décideurs,</w:t>
      </w:r>
      <w:r>
        <w:rPr>
          <w:rFonts w:cs="Arial"/>
          <w:szCs w:val="24"/>
          <w:lang w:val="fr-FR"/>
        </w:rPr>
        <w:t xml:space="preserve"> la connaissance est le fruit d’</w:t>
      </w:r>
      <w:r w:rsidRPr="00406300">
        <w:rPr>
          <w:rFonts w:cs="Arial"/>
          <w:szCs w:val="24"/>
          <w:lang w:val="fr-FR"/>
        </w:rPr>
        <w:t xml:space="preserve">un cheminement intellectuel qui permet </w:t>
      </w:r>
      <w:r>
        <w:rPr>
          <w:rFonts w:cs="Arial"/>
          <w:szCs w:val="24"/>
          <w:lang w:val="fr-FR"/>
        </w:rPr>
        <w:t>au travailleur d’en arriver à la conclusion qu’</w:t>
      </w:r>
      <w:r w:rsidRPr="00406300">
        <w:rPr>
          <w:rFonts w:cs="Arial"/>
          <w:szCs w:val="24"/>
          <w:lang w:val="fr-FR"/>
        </w:rPr>
        <w:t>il y a de fortes probabilités que son état de santé, ses symptômes ou sa maladie soient possiblement reliés à son travail. La connaissa</w:t>
      </w:r>
      <w:r>
        <w:rPr>
          <w:rFonts w:cs="Arial"/>
          <w:szCs w:val="24"/>
          <w:lang w:val="fr-FR"/>
        </w:rPr>
        <w:t>nce est constituée aussi bien d’</w:t>
      </w:r>
      <w:r w:rsidRPr="00406300">
        <w:rPr>
          <w:rFonts w:cs="Arial"/>
          <w:szCs w:val="24"/>
          <w:lang w:val="fr-FR"/>
        </w:rPr>
        <w:t>éléments factuels que médicaux qui permettent à une pers</w:t>
      </w:r>
      <w:r>
        <w:rPr>
          <w:rFonts w:cs="Arial"/>
          <w:szCs w:val="24"/>
          <w:lang w:val="fr-FR"/>
        </w:rPr>
        <w:t>onne raisonnable de conclure qu’elle est atteinte d’</w:t>
      </w:r>
      <w:r w:rsidRPr="00406300">
        <w:rPr>
          <w:rFonts w:cs="Arial"/>
          <w:szCs w:val="24"/>
          <w:lang w:val="fr-FR"/>
        </w:rPr>
        <w:t xml:space="preserve">une </w:t>
      </w:r>
      <w:r>
        <w:rPr>
          <w:rFonts w:cs="Arial"/>
          <w:szCs w:val="24"/>
          <w:lang w:val="fr-FR"/>
        </w:rPr>
        <w:t>maladie causée par son travail.</w:t>
      </w:r>
    </w:p>
    <w:p w14:paraId="3747A201" w14:textId="679F7C15" w:rsidR="00E67084" w:rsidRPr="00E67084" w:rsidRDefault="00E67084" w:rsidP="00E67084">
      <w:pPr>
        <w:pStyle w:val="corpsdedcision"/>
        <w:spacing w:after="320"/>
        <w:rPr>
          <w:rFonts w:cs="Arial"/>
          <w:szCs w:val="24"/>
        </w:rPr>
      </w:pPr>
      <w:r w:rsidRPr="00406300">
        <w:rPr>
          <w:rFonts w:cs="Arial"/>
          <w:szCs w:val="24"/>
          <w:lang w:val="fr-FR"/>
        </w:rPr>
        <w:t xml:space="preserve">Quant à la deuxième tendance, </w:t>
      </w:r>
      <w:r>
        <w:rPr>
          <w:rFonts w:cs="Arial"/>
          <w:szCs w:val="24"/>
          <w:lang w:val="fr-FR"/>
        </w:rPr>
        <w:t>les</w:t>
      </w:r>
      <w:r w:rsidRPr="00406300">
        <w:rPr>
          <w:rFonts w:cs="Arial"/>
          <w:szCs w:val="24"/>
          <w:lang w:val="fr-FR"/>
        </w:rPr>
        <w:t xml:space="preserve"> décideurs considèrent </w:t>
      </w:r>
      <w:r>
        <w:rPr>
          <w:rFonts w:cs="Arial"/>
          <w:szCs w:val="24"/>
          <w:lang w:val="fr-FR"/>
        </w:rPr>
        <w:t xml:space="preserve">que </w:t>
      </w:r>
      <w:r w:rsidRPr="00406300">
        <w:rPr>
          <w:rFonts w:cs="Arial"/>
          <w:szCs w:val="24"/>
          <w:lang w:val="fr-FR"/>
        </w:rPr>
        <w:t>pour établir le moment où le travailleur acquiert la connaissance d’être atteint d’une maladie causée par son travail</w:t>
      </w:r>
      <w:r>
        <w:rPr>
          <w:rFonts w:cs="Arial"/>
          <w:szCs w:val="24"/>
          <w:lang w:val="fr-FR"/>
        </w:rPr>
        <w:t>,</w:t>
      </w:r>
      <w:r w:rsidRPr="00406300">
        <w:rPr>
          <w:rFonts w:cs="Arial"/>
          <w:szCs w:val="24"/>
          <w:lang w:val="fr-FR"/>
        </w:rPr>
        <w:t xml:space="preserve"> </w:t>
      </w:r>
      <w:r>
        <w:rPr>
          <w:rFonts w:cs="Arial"/>
          <w:szCs w:val="24"/>
          <w:lang w:val="fr-FR"/>
        </w:rPr>
        <w:t>la</w:t>
      </w:r>
      <w:r w:rsidRPr="00406300">
        <w:rPr>
          <w:rFonts w:cs="Arial"/>
          <w:szCs w:val="24"/>
          <w:lang w:val="fr-FR"/>
        </w:rPr>
        <w:t xml:space="preserve"> pathologie doit avoir été identifiée ou diagnostiquée par un </w:t>
      </w:r>
      <w:r w:rsidR="006208DD">
        <w:rPr>
          <w:rFonts w:cs="Arial"/>
          <w:szCs w:val="24"/>
          <w:lang w:val="fr-FR"/>
        </w:rPr>
        <w:t>professionnel de la santé</w:t>
      </w:r>
      <w:r w:rsidRPr="00406300">
        <w:rPr>
          <w:rFonts w:cs="Arial"/>
          <w:szCs w:val="24"/>
          <w:lang w:val="fr-FR"/>
        </w:rPr>
        <w:t xml:space="preserve"> ou qu’une possibilité sérieuse de relation entre le travail et la maladie ait été avancée, verbalement ou par écrit</w:t>
      </w:r>
      <w:r>
        <w:rPr>
          <w:rFonts w:cs="Arial"/>
          <w:szCs w:val="24"/>
          <w:lang w:val="fr-FR"/>
        </w:rPr>
        <w:t>,</w:t>
      </w:r>
      <w:r w:rsidRPr="00406300">
        <w:rPr>
          <w:rFonts w:cs="Arial"/>
          <w:szCs w:val="24"/>
          <w:lang w:val="fr-FR"/>
        </w:rPr>
        <w:t xml:space="preserve"> par un professionnel de la santé.</w:t>
      </w:r>
    </w:p>
    <w:p w14:paraId="39E948BC" w14:textId="764DD645" w:rsidR="00E67084" w:rsidRDefault="004C570B" w:rsidP="00E67084">
      <w:pPr>
        <w:pStyle w:val="corpsdedcision"/>
        <w:spacing w:after="320"/>
        <w:rPr>
          <w:rFonts w:cs="Arial"/>
          <w:szCs w:val="24"/>
        </w:rPr>
      </w:pPr>
      <w:r>
        <w:rPr>
          <w:rFonts w:cs="Arial"/>
          <w:szCs w:val="24"/>
        </w:rPr>
        <w:t xml:space="preserve">Dans une </w:t>
      </w:r>
      <w:r w:rsidR="00DB65A4">
        <w:rPr>
          <w:rFonts w:cs="Arial"/>
          <w:szCs w:val="24"/>
        </w:rPr>
        <w:t>affaire</w:t>
      </w:r>
      <w:r>
        <w:rPr>
          <w:rFonts w:cs="Arial"/>
          <w:szCs w:val="24"/>
        </w:rPr>
        <w:t xml:space="preserve"> récente</w:t>
      </w:r>
      <w:r>
        <w:rPr>
          <w:rStyle w:val="Appelnotedebasdep"/>
          <w:rFonts w:cs="Arial"/>
          <w:szCs w:val="24"/>
        </w:rPr>
        <w:footnoteReference w:id="3"/>
      </w:r>
      <w:r>
        <w:rPr>
          <w:rFonts w:cs="Arial"/>
          <w:szCs w:val="24"/>
        </w:rPr>
        <w:t>, le Tribunal interprète la notion de « </w:t>
      </w:r>
      <w:r w:rsidRPr="004C570B">
        <w:rPr>
          <w:rFonts w:cs="Arial"/>
          <w:i/>
          <w:iCs/>
          <w:szCs w:val="24"/>
        </w:rPr>
        <w:t>connaissance</w:t>
      </w:r>
      <w:r>
        <w:rPr>
          <w:rFonts w:cs="Arial"/>
          <w:szCs w:val="24"/>
        </w:rPr>
        <w:t> » :</w:t>
      </w:r>
    </w:p>
    <w:p w14:paraId="2EC71BC6" w14:textId="66A13911" w:rsidR="004C570B" w:rsidRDefault="004C570B" w:rsidP="004C570B">
      <w:pPr>
        <w:pStyle w:val="citation"/>
      </w:pPr>
      <w:r>
        <w:t>[22]</w:t>
      </w:r>
      <w:r w:rsidR="005C46F9">
        <w:t>     </w:t>
      </w:r>
      <w:r>
        <w:t>La Loi ne définit pas la notion de «</w:t>
      </w:r>
      <w:r w:rsidR="005C46F9">
        <w:t> </w:t>
      </w:r>
      <w:r w:rsidRPr="006208DD">
        <w:rPr>
          <w:i/>
          <w:iCs/>
        </w:rPr>
        <w:t>connaissance</w:t>
      </w:r>
      <w:r w:rsidR="005C46F9">
        <w:t> </w:t>
      </w:r>
      <w:r>
        <w:t>» utilisée par le législateur à l’article</w:t>
      </w:r>
      <w:r w:rsidR="005C46F9">
        <w:t> </w:t>
      </w:r>
      <w:r>
        <w:t xml:space="preserve">272 de la Loi. Selon la jurisprudence, cette notion réfère au moment où le travailleur dispose d’informations factuelles et médicales suffisantes lui permettant </w:t>
      </w:r>
      <w:r w:rsidRPr="006A489B">
        <w:rPr>
          <w:u w:val="single"/>
        </w:rPr>
        <w:t>d’établir une relation probable entre sa maladie, ou ses symptômes, et son travail</w:t>
      </w:r>
      <w:r>
        <w:t>. Ainsi, un simple soupçon de sa part quant à l’existence d’une telle relation est insuffisant pour conclure à sa connaissance, alors qu’une certitude médicale de son existence n’est pas requise pour conclure en ce sens.</w:t>
      </w:r>
    </w:p>
    <w:p w14:paraId="4CE0B8D2" w14:textId="77777777" w:rsidR="004C570B" w:rsidRDefault="004C570B" w:rsidP="004C570B">
      <w:pPr>
        <w:pStyle w:val="citation"/>
      </w:pPr>
    </w:p>
    <w:p w14:paraId="3B98FE9F" w14:textId="5DCD705D" w:rsidR="004C570B" w:rsidRDefault="004C570B" w:rsidP="006A489B">
      <w:pPr>
        <w:pStyle w:val="citation"/>
        <w:spacing w:after="240"/>
      </w:pPr>
      <w:r>
        <w:t>[23]</w:t>
      </w:r>
      <w:r w:rsidR="005C46F9">
        <w:t>     </w:t>
      </w:r>
      <w:r>
        <w:t>Par ailleurs, avec respect pour la prétention du travailleur, le Tribunal adhère au courant de jurisprudence majoritaire selon lequel l’intérêt du travailleur à réclamer auprès de la Commission n’interfère pas quant à la détermination du point de départ du délai prévu à l’article</w:t>
      </w:r>
      <w:r w:rsidR="005C46F9">
        <w:t> </w:t>
      </w:r>
      <w:r>
        <w:t>272 de la Loi. Toutefois, cet élément peut être considéré lors de l’analyse relative à l’existence d’un motif raisonnable lui permettant d’être relevé de son défaut, le cas échéant.</w:t>
      </w:r>
    </w:p>
    <w:p w14:paraId="693796F5" w14:textId="5435F724" w:rsidR="006208DD" w:rsidRDefault="006208DD" w:rsidP="006208DD">
      <w:pPr>
        <w:pStyle w:val="citation"/>
        <w:spacing w:after="360"/>
      </w:pPr>
      <w:r>
        <w:t>[Nos soulignements]</w:t>
      </w:r>
    </w:p>
    <w:p w14:paraId="521EBF27" w14:textId="094F580F" w:rsidR="00E67084" w:rsidRPr="00E11415" w:rsidRDefault="004C570B" w:rsidP="00E67084">
      <w:pPr>
        <w:pStyle w:val="corpsdedcision"/>
        <w:spacing w:after="320"/>
        <w:rPr>
          <w:rFonts w:cs="Arial"/>
          <w:szCs w:val="24"/>
        </w:rPr>
      </w:pPr>
      <w:r>
        <w:rPr>
          <w:rFonts w:cs="Arial"/>
          <w:szCs w:val="24"/>
          <w:lang w:val="fr-FR"/>
        </w:rPr>
        <w:t>L</w:t>
      </w:r>
      <w:r w:rsidR="00E67084">
        <w:rPr>
          <w:rFonts w:cs="Arial"/>
          <w:szCs w:val="24"/>
          <w:lang w:val="fr-FR"/>
        </w:rPr>
        <w:t xml:space="preserve">e travailleur a acquis la connaissance que le diagnostic de </w:t>
      </w:r>
      <w:r w:rsidR="00204BA0">
        <w:t>tendinopathie de l’épaule droite</w:t>
      </w:r>
      <w:r w:rsidR="00204BA0">
        <w:rPr>
          <w:rFonts w:cs="Arial"/>
          <w:szCs w:val="24"/>
          <w:lang w:val="fr-FR"/>
        </w:rPr>
        <w:t xml:space="preserve"> </w:t>
      </w:r>
      <w:r w:rsidR="00E67084">
        <w:rPr>
          <w:rFonts w:cs="Arial"/>
          <w:szCs w:val="24"/>
          <w:lang w:val="fr-FR"/>
        </w:rPr>
        <w:t xml:space="preserve">est en relation avec son travail dès </w:t>
      </w:r>
      <w:r w:rsidR="00E67084" w:rsidRPr="008E23AE">
        <w:rPr>
          <w:rFonts w:cs="Arial"/>
          <w:szCs w:val="24"/>
          <w:lang w:val="fr-FR"/>
        </w:rPr>
        <w:t xml:space="preserve">le </w:t>
      </w:r>
      <w:r w:rsidR="00204BA0" w:rsidRPr="008E23AE">
        <w:rPr>
          <w:rFonts w:cs="Arial"/>
          <w:szCs w:val="24"/>
          <w:lang w:val="fr-FR"/>
        </w:rPr>
        <w:t>12</w:t>
      </w:r>
      <w:r w:rsidR="005C46F9" w:rsidRPr="008E23AE">
        <w:rPr>
          <w:rFonts w:cs="Arial"/>
          <w:szCs w:val="24"/>
          <w:lang w:val="fr-FR"/>
        </w:rPr>
        <w:t> </w:t>
      </w:r>
      <w:r w:rsidR="00204BA0" w:rsidRPr="008E23AE">
        <w:rPr>
          <w:rFonts w:cs="Arial"/>
          <w:szCs w:val="24"/>
          <w:lang w:val="fr-FR"/>
        </w:rPr>
        <w:t>octobre</w:t>
      </w:r>
      <w:r w:rsidR="005C46F9" w:rsidRPr="008E23AE">
        <w:rPr>
          <w:rFonts w:cs="Arial"/>
          <w:szCs w:val="24"/>
          <w:lang w:val="fr-FR"/>
        </w:rPr>
        <w:t> </w:t>
      </w:r>
      <w:r w:rsidR="00204BA0" w:rsidRPr="008E23AE">
        <w:rPr>
          <w:rFonts w:cs="Arial"/>
          <w:szCs w:val="24"/>
          <w:lang w:val="fr-FR"/>
        </w:rPr>
        <w:t>2016</w:t>
      </w:r>
      <w:r w:rsidR="00E67084">
        <w:rPr>
          <w:rFonts w:cs="Arial"/>
          <w:szCs w:val="24"/>
          <w:lang w:val="fr-FR"/>
        </w:rPr>
        <w:t xml:space="preserve"> </w:t>
      </w:r>
      <w:r w:rsidR="00223E7B">
        <w:rPr>
          <w:rFonts w:cs="Arial"/>
          <w:szCs w:val="24"/>
          <w:lang w:val="fr-FR"/>
        </w:rPr>
        <w:t>puis</w:t>
      </w:r>
      <w:r w:rsidR="00E67084">
        <w:rPr>
          <w:rFonts w:cs="Arial"/>
          <w:szCs w:val="24"/>
          <w:lang w:val="fr-FR"/>
        </w:rPr>
        <w:t xml:space="preserve">que </w:t>
      </w:r>
      <w:r w:rsidR="00204BA0">
        <w:rPr>
          <w:rFonts w:cs="Arial"/>
          <w:szCs w:val="24"/>
          <w:lang w:val="fr-FR"/>
        </w:rPr>
        <w:t>le docteur</w:t>
      </w:r>
      <w:r w:rsidR="005C46F9">
        <w:rPr>
          <w:rFonts w:cs="Arial"/>
          <w:szCs w:val="24"/>
          <w:lang w:val="fr-FR"/>
        </w:rPr>
        <w:t> </w:t>
      </w:r>
      <w:r w:rsidR="00204BA0">
        <w:rPr>
          <w:rFonts w:cs="Arial"/>
          <w:szCs w:val="24"/>
          <w:lang w:val="fr-FR"/>
        </w:rPr>
        <w:t>Alain</w:t>
      </w:r>
      <w:r w:rsidR="005C46F9">
        <w:rPr>
          <w:rFonts w:cs="Arial"/>
          <w:szCs w:val="24"/>
          <w:lang w:val="fr-FR"/>
        </w:rPr>
        <w:t> </w:t>
      </w:r>
      <w:r w:rsidR="00204BA0">
        <w:rPr>
          <w:rFonts w:cs="Arial"/>
          <w:szCs w:val="24"/>
          <w:lang w:val="fr-FR"/>
        </w:rPr>
        <w:t xml:space="preserve">Baribeault, physiatre, </w:t>
      </w:r>
      <w:r w:rsidR="00223E7B">
        <w:rPr>
          <w:rFonts w:cs="Arial"/>
          <w:szCs w:val="24"/>
          <w:lang w:val="fr-FR"/>
        </w:rPr>
        <w:t>a</w:t>
      </w:r>
      <w:r w:rsidR="00204BA0">
        <w:rPr>
          <w:rFonts w:cs="Arial"/>
          <w:szCs w:val="24"/>
          <w:lang w:val="fr-FR"/>
        </w:rPr>
        <w:t xml:space="preserve"> retenu</w:t>
      </w:r>
      <w:r w:rsidR="00E32702">
        <w:rPr>
          <w:rFonts w:cs="Arial"/>
          <w:szCs w:val="24"/>
          <w:lang w:val="fr-FR"/>
        </w:rPr>
        <w:t xml:space="preserve"> à cette date</w:t>
      </w:r>
      <w:r w:rsidR="00204BA0">
        <w:rPr>
          <w:rFonts w:cs="Arial"/>
          <w:szCs w:val="24"/>
          <w:lang w:val="fr-FR"/>
        </w:rPr>
        <w:t xml:space="preserve"> un diagnostic de tendinopathie de la coiffe des rotateurs bilatérale. Il avait recommandé à la professionnelle de la santé qui a charge d’ouvrir un dossier à la Commission pour une maladie professionnelle. Le travailleur mentionne que celle-ci a refusé de compléter les documents nécessaires</w:t>
      </w:r>
      <w:r w:rsidR="00223E7B">
        <w:rPr>
          <w:rFonts w:cs="Arial"/>
          <w:szCs w:val="24"/>
          <w:lang w:val="fr-FR"/>
        </w:rPr>
        <w:t>,</w:t>
      </w:r>
      <w:r w:rsidR="00204BA0">
        <w:rPr>
          <w:rFonts w:cs="Arial"/>
          <w:szCs w:val="24"/>
          <w:lang w:val="fr-FR"/>
        </w:rPr>
        <w:t xml:space="preserve"> dont l’attestation médicale</w:t>
      </w:r>
      <w:r w:rsidR="00223E7B">
        <w:rPr>
          <w:rFonts w:cs="Arial"/>
          <w:szCs w:val="24"/>
          <w:lang w:val="fr-FR"/>
        </w:rPr>
        <w:t>,</w:t>
      </w:r>
      <w:r w:rsidR="00204BA0">
        <w:rPr>
          <w:rFonts w:cs="Arial"/>
          <w:szCs w:val="24"/>
          <w:lang w:val="fr-FR"/>
        </w:rPr>
        <w:t xml:space="preserve"> pendant de nombreuses années</w:t>
      </w:r>
      <w:r w:rsidR="005C46F9">
        <w:rPr>
          <w:rFonts w:cs="Arial"/>
          <w:szCs w:val="24"/>
          <w:lang w:val="fr-FR"/>
        </w:rPr>
        <w:t>,</w:t>
      </w:r>
      <w:r w:rsidR="00204BA0">
        <w:rPr>
          <w:rFonts w:cs="Arial"/>
          <w:szCs w:val="24"/>
          <w:lang w:val="fr-FR"/>
        </w:rPr>
        <w:t xml:space="preserve"> malgré la détérioration de son état.</w:t>
      </w:r>
      <w:r w:rsidR="005E44BB">
        <w:rPr>
          <w:rFonts w:cs="Arial"/>
          <w:szCs w:val="24"/>
          <w:lang w:val="fr-FR"/>
        </w:rPr>
        <w:t xml:space="preserve"> Le travailleur confirme cette date de connaissance à la Commission.</w:t>
      </w:r>
    </w:p>
    <w:p w14:paraId="60F2F304" w14:textId="6883C57C" w:rsidR="00F53428" w:rsidRDefault="00F53428" w:rsidP="00F53428">
      <w:pPr>
        <w:pStyle w:val="corpsdedcision"/>
        <w:tabs>
          <w:tab w:val="num" w:pos="360"/>
        </w:tabs>
      </w:pPr>
      <w:r>
        <w:t>Le délai commençant à courir le 12</w:t>
      </w:r>
      <w:r w:rsidR="005C46F9">
        <w:t> </w:t>
      </w:r>
      <w:r>
        <w:t>octobre</w:t>
      </w:r>
      <w:r w:rsidR="005C46F9">
        <w:t> </w:t>
      </w:r>
      <w:r>
        <w:t>2016, il appert que la réclamation, signée le 29</w:t>
      </w:r>
      <w:r w:rsidR="005C46F9">
        <w:t> </w:t>
      </w:r>
      <w:r>
        <w:t>juin</w:t>
      </w:r>
      <w:r w:rsidR="005C46F9">
        <w:t> </w:t>
      </w:r>
      <w:r>
        <w:t>2021, ne respecte donc pas le délai prévu à la Loi. Le Tribunal retient que le point de départ pour calculer le délai de six mois est la date où la relation est portée à la connaissance du travailleur et que la question de l’intérêt, né et actuel, doit s’apprécier dans le cadre de l’analyse de l’existence d’un motif raisonnable pour relever un travailleur du défaut d’avoir respecté le délai prévu par la Loi</w:t>
      </w:r>
      <w:r>
        <w:rPr>
          <w:rStyle w:val="Appelnotedebasdep"/>
        </w:rPr>
        <w:footnoteReference w:id="4"/>
      </w:r>
      <w:r>
        <w:t xml:space="preserve">. </w:t>
      </w:r>
    </w:p>
    <w:p w14:paraId="6361C155" w14:textId="77777777" w:rsidR="00F53428" w:rsidRPr="00EC2676" w:rsidRDefault="00F53428" w:rsidP="000C7D89">
      <w:pPr>
        <w:pStyle w:val="Titre3"/>
      </w:pPr>
      <w:r w:rsidRPr="00EC2676">
        <w:t>Le travailleur a-t-il soumis un motif raisonnable</w:t>
      </w:r>
      <w:r>
        <w:t xml:space="preserve"> pour justifier son retard</w:t>
      </w:r>
      <w:r w:rsidRPr="00EC2676">
        <w:t>?</w:t>
      </w:r>
    </w:p>
    <w:p w14:paraId="175920EA" w14:textId="0437DF32" w:rsidR="0046274E" w:rsidRPr="00B5197A" w:rsidRDefault="0046274E" w:rsidP="0046274E">
      <w:pPr>
        <w:pStyle w:val="corpsdedcision"/>
        <w:tabs>
          <w:tab w:val="num" w:pos="360"/>
        </w:tabs>
      </w:pPr>
      <w:r w:rsidRPr="00B5197A">
        <w:t xml:space="preserve">Le Tribunal est d’avis que le travailleur a démontré l’existence d’un motif raisonnable permettant d’être relevé des conséquences de son défaut d’avoir produit sa réclamation dans le délai imparti. </w:t>
      </w:r>
    </w:p>
    <w:p w14:paraId="3842D4C3" w14:textId="439AA4CD" w:rsidR="00F53428" w:rsidRDefault="0046274E" w:rsidP="00F53428">
      <w:pPr>
        <w:pStyle w:val="corpsdedcision"/>
        <w:spacing w:after="240"/>
      </w:pPr>
      <w:r>
        <w:t>En effet, l</w:t>
      </w:r>
      <w:r w:rsidR="00F53428">
        <w:t>e travailleur peut être relevé de ce défaut s‘il démontre un motif raisonnable expliquant le retard, tel que le prévoit l’article 352 de la Loi :</w:t>
      </w:r>
    </w:p>
    <w:p w14:paraId="76E9127B" w14:textId="038B64E2" w:rsidR="00F53428" w:rsidRDefault="00F53428" w:rsidP="00F53428">
      <w:pPr>
        <w:pStyle w:val="articlesdelaLATMP"/>
        <w:spacing w:after="360"/>
      </w:pPr>
      <w:r w:rsidRPr="00216E8F">
        <w:rPr>
          <w:b/>
        </w:rPr>
        <w:t>352.</w:t>
      </w:r>
      <w:r w:rsidR="00CB7B41">
        <w:rPr>
          <w:b/>
        </w:rPr>
        <w:t>   </w:t>
      </w:r>
      <w:r>
        <w:t>La Commission prolonge un délai que la présente loi accorde pour l'exercice d'un droit ou relève une personne des conséquences de son défaut de le respecter, lorsque la personne démontre un motif raisonnable pour expliquer son retard.</w:t>
      </w:r>
    </w:p>
    <w:p w14:paraId="6676EA1F" w14:textId="0C1FAD06" w:rsidR="00F53428" w:rsidRDefault="00F53428" w:rsidP="00F53428">
      <w:pPr>
        <w:pStyle w:val="corpsdedcision"/>
      </w:pPr>
      <w:r>
        <w:t xml:space="preserve">Quant à l’article 15 de la </w:t>
      </w:r>
      <w:r w:rsidRPr="00315644">
        <w:rPr>
          <w:i/>
        </w:rPr>
        <w:t>Loi instituant le Tribunal administratif du travail</w:t>
      </w:r>
      <w:r w:rsidRPr="00315644">
        <w:rPr>
          <w:rStyle w:val="Appelnotedebasdep"/>
        </w:rPr>
        <w:footnoteReference w:id="5"/>
      </w:r>
      <w:r>
        <w:rPr>
          <w:i/>
        </w:rPr>
        <w:t>,</w:t>
      </w:r>
      <w:r w:rsidRPr="00315644">
        <w:t xml:space="preserve"> </w:t>
      </w:r>
      <w:r w:rsidRPr="00AB24E4">
        <w:t>la LITAT</w:t>
      </w:r>
      <w:r>
        <w:t>, celui-ci permet au Tribunal de relever une personne de son défaut de respecter ce délai si elle n’a pas pu le faire pour un motif raisonnable.</w:t>
      </w:r>
    </w:p>
    <w:p w14:paraId="6330D162" w14:textId="77777777" w:rsidR="00F53428" w:rsidRPr="00E803D2" w:rsidRDefault="00F53428" w:rsidP="00F53428">
      <w:pPr>
        <w:numPr>
          <w:ilvl w:val="0"/>
          <w:numId w:val="1"/>
        </w:numPr>
        <w:tabs>
          <w:tab w:val="left" w:pos="720"/>
        </w:tabs>
        <w:spacing w:after="360"/>
        <w:jc w:val="both"/>
      </w:pPr>
      <w:r w:rsidRPr="00E803D2">
        <w:t xml:space="preserve">La notion de </w:t>
      </w:r>
      <w:r w:rsidRPr="007D3045">
        <w:rPr>
          <w:szCs w:val="24"/>
        </w:rPr>
        <w:t>« </w:t>
      </w:r>
      <w:r w:rsidRPr="00024C6D">
        <w:rPr>
          <w:rStyle w:val="Citationintgre"/>
          <w:i w:val="0"/>
          <w:sz w:val="24"/>
          <w:szCs w:val="24"/>
        </w:rPr>
        <w:t>motif raisonnable</w:t>
      </w:r>
      <w:r w:rsidRPr="007D3045">
        <w:rPr>
          <w:szCs w:val="24"/>
        </w:rPr>
        <w:t> »</w:t>
      </w:r>
      <w:r>
        <w:t xml:space="preserve"> n’est pas définie à la L</w:t>
      </w:r>
      <w:r w:rsidRPr="00E803D2">
        <w:t>oi. Il faut donc se référer à la jurisprudence qui retient l’analyse d’un ensemble de facteurs susceptibles d’indiquer, à partir des faits, des démarches, des comportements et des circonstances, qu’il s’agit d’un motif non farfelu, crédible, et qui fait preuve de bon sens, de mesure, de réflexion et de bon jugement. Le comportement du travailleur s’apprécie en fonction d’une personne prudente et diligente</w:t>
      </w:r>
      <w:r w:rsidRPr="00E803D2">
        <w:rPr>
          <w:vertAlign w:val="superscript"/>
        </w:rPr>
        <w:footnoteReference w:id="6"/>
      </w:r>
      <w:r w:rsidRPr="00E803D2">
        <w:t>.</w:t>
      </w:r>
    </w:p>
    <w:p w14:paraId="62DD8C05" w14:textId="77777777" w:rsidR="00F53428" w:rsidRDefault="00F53428" w:rsidP="00F53428">
      <w:pPr>
        <w:numPr>
          <w:ilvl w:val="0"/>
          <w:numId w:val="1"/>
        </w:numPr>
        <w:tabs>
          <w:tab w:val="left" w:pos="720"/>
        </w:tabs>
        <w:spacing w:after="360"/>
        <w:jc w:val="both"/>
      </w:pPr>
      <w:r w:rsidRPr="00E803D2">
        <w:t xml:space="preserve">Dans le même sens, dans l’affaire </w:t>
      </w:r>
      <w:r w:rsidRPr="00E803D2">
        <w:rPr>
          <w:i/>
        </w:rPr>
        <w:t xml:space="preserve">Berthiaume </w:t>
      </w:r>
      <w:r w:rsidRPr="00E803D2">
        <w:t xml:space="preserve">et </w:t>
      </w:r>
      <w:r w:rsidRPr="00E803D2">
        <w:rPr>
          <w:i/>
        </w:rPr>
        <w:t>Dépanneur Clermont Giguère (fermé)</w:t>
      </w:r>
      <w:r w:rsidRPr="00E803D2">
        <w:rPr>
          <w:vertAlign w:val="superscript"/>
        </w:rPr>
        <w:footnoteReference w:id="7"/>
      </w:r>
      <w:r>
        <w:t>, il a été décidé que la L</w:t>
      </w:r>
      <w:r w:rsidRPr="00E803D2">
        <w:t xml:space="preserve">oi ne requiert pas une preuve que le travailleur a été dans l’impossibilité absolue d’agir. Il faut toutefois évaluer si les motifs invoqués par </w:t>
      </w:r>
      <w:r>
        <w:t>le travailleur</w:t>
      </w:r>
      <w:r w:rsidRPr="00E803D2">
        <w:t xml:space="preserve"> </w:t>
      </w:r>
      <w:r>
        <w:t>s’avèrent</w:t>
      </w:r>
      <w:r w:rsidRPr="00E803D2">
        <w:t xml:space="preserve"> suffisamment importants et sérieux pour justifier </w:t>
      </w:r>
      <w:r>
        <w:t>le</w:t>
      </w:r>
      <w:r w:rsidRPr="00E803D2">
        <w:t xml:space="preserve"> retard.</w:t>
      </w:r>
    </w:p>
    <w:p w14:paraId="6851797A" w14:textId="2B58A3CE" w:rsidR="00F53428" w:rsidRDefault="008E47F5" w:rsidP="00F53428">
      <w:pPr>
        <w:numPr>
          <w:ilvl w:val="0"/>
          <w:numId w:val="1"/>
        </w:numPr>
        <w:tabs>
          <w:tab w:val="left" w:pos="720"/>
        </w:tabs>
        <w:spacing w:after="360"/>
        <w:jc w:val="both"/>
      </w:pPr>
      <w:r>
        <w:t>Dans l’affaire</w:t>
      </w:r>
      <w:r w:rsidR="00F53428">
        <w:t xml:space="preserve"> </w:t>
      </w:r>
      <w:r w:rsidR="00F53428" w:rsidRPr="00F53492">
        <w:rPr>
          <w:rFonts w:cs="Arial"/>
          <w:i/>
        </w:rPr>
        <w:t>Jeanson</w:t>
      </w:r>
      <w:r w:rsidR="00F53428">
        <w:rPr>
          <w:rFonts w:cs="Arial"/>
        </w:rPr>
        <w:t xml:space="preserve"> et </w:t>
      </w:r>
      <w:r w:rsidR="00F53428" w:rsidRPr="00F53492">
        <w:rPr>
          <w:rFonts w:cs="Arial"/>
          <w:i/>
        </w:rPr>
        <w:t>Gestion des communications Data Corp</w:t>
      </w:r>
      <w:r w:rsidR="00F53428">
        <w:rPr>
          <w:rFonts w:cs="Arial"/>
          <w:i/>
        </w:rPr>
        <w:t>.</w:t>
      </w:r>
      <w:r w:rsidR="00F53428">
        <w:rPr>
          <w:rStyle w:val="Appelnotedebasdep"/>
          <w:rFonts w:cs="Arial"/>
        </w:rPr>
        <w:footnoteReference w:id="8"/>
      </w:r>
      <w:r w:rsidR="00F53428">
        <w:rPr>
          <w:rFonts w:cs="Arial"/>
        </w:rPr>
        <w:t xml:space="preserve">, le Tribunal écrit que l’analyse du motif doit favoriser l’exercice d’un droit, vu le caractère social de la Loi : </w:t>
      </w:r>
    </w:p>
    <w:p w14:paraId="18AE191C" w14:textId="77777777" w:rsidR="00F53428" w:rsidRDefault="00F53428" w:rsidP="00F53428">
      <w:pPr>
        <w:pStyle w:val="citation"/>
        <w:spacing w:after="200"/>
      </w:pPr>
      <w:r>
        <w:t>[17]</w:t>
      </w:r>
      <w:r>
        <w:tab/>
        <w:t xml:space="preserve">Récemment, les tribunaux supérieurs ont rappelé au Tribunal qu’il est préférable de s’attarder au mérite d’un dossier plutôt que de bloquer un recours sur une base purement procédurale. Ce court passage de la Cour d’appel du Québec, dans l’affaire </w:t>
      </w:r>
      <w:r w:rsidRPr="00803A04">
        <w:rPr>
          <w:i/>
        </w:rPr>
        <w:t xml:space="preserve">Boissonneault </w:t>
      </w:r>
      <w:r w:rsidRPr="00803A04">
        <w:t>c.</w:t>
      </w:r>
      <w:r w:rsidRPr="00803A04">
        <w:rPr>
          <w:i/>
        </w:rPr>
        <w:t xml:space="preserve"> Construction Marquis Laflamme inc</w:t>
      </w:r>
      <w:r>
        <w:t>.</w:t>
      </w:r>
      <w:r>
        <w:rPr>
          <w:vertAlign w:val="superscript"/>
        </w:rPr>
        <w:t>5</w:t>
      </w:r>
      <w:r>
        <w:t>, illustre bien ce rappel :</w:t>
      </w:r>
    </w:p>
    <w:p w14:paraId="6A060E34" w14:textId="719D23F1" w:rsidR="00F53428" w:rsidRPr="00DE6D95" w:rsidRDefault="00F53428" w:rsidP="00F53428">
      <w:pPr>
        <w:pStyle w:val="Citationendoubleretrait"/>
        <w:spacing w:after="200"/>
        <w:rPr>
          <w:u w:val="single"/>
        </w:rPr>
      </w:pPr>
      <w:r w:rsidRPr="00DE6D95">
        <w:rPr>
          <w:u w:val="single"/>
        </w:rPr>
        <w:t>[28]</w:t>
      </w:r>
      <w:r w:rsidR="00106628">
        <w:rPr>
          <w:u w:val="single"/>
        </w:rPr>
        <w:t>     </w:t>
      </w:r>
      <w:r w:rsidRPr="00DE6D95">
        <w:rPr>
          <w:u w:val="single"/>
        </w:rPr>
        <w:t>La L.A.T.M.P., législation d’ordre public à vocation hautement sociale, doit recevoir une interprétation large et libérale, qui assure l’accomplissement de son objet et l’exécution de ses prescriptions suivant leurs véritables sens, esprit et fin. Par ailleurs, en matière de déchéance de droit, il paraît raisonnable d'interpréter les dispositions de la loi de manière à protéger les droits du justiciable. C’est certes le cas lorsque la législation dont il s’agit en est une, comme en l’espèce, à vocation sociale.</w:t>
      </w:r>
    </w:p>
    <w:p w14:paraId="055BC23A" w14:textId="77777777" w:rsidR="00F53428" w:rsidRDefault="00F53428" w:rsidP="00F53428">
      <w:pPr>
        <w:pStyle w:val="citation"/>
        <w:spacing w:after="200"/>
      </w:pPr>
      <w:r>
        <w:t>[18]</w:t>
      </w:r>
      <w:r>
        <w:tab/>
        <w:t>En appliquant les principes susmentionnés et même en tenant compte de la vision transmise par les tribunaux supérieurs, le Tribunal estime que les explications avancées par la travailleuse pour justifier son retard à déposer sa réclamation à la Commission ne constituent pas un motif raisonnable.</w:t>
      </w:r>
    </w:p>
    <w:p w14:paraId="2C36DCAD" w14:textId="77777777" w:rsidR="00F53428" w:rsidRPr="004528C7" w:rsidRDefault="00F53428" w:rsidP="00786D8E">
      <w:pPr>
        <w:pStyle w:val="citation"/>
        <w:spacing w:after="360"/>
        <w:rPr>
          <w:sz w:val="24"/>
          <w:szCs w:val="24"/>
        </w:rPr>
      </w:pPr>
      <w:r w:rsidRPr="004528C7">
        <w:rPr>
          <w:sz w:val="24"/>
          <w:szCs w:val="24"/>
        </w:rPr>
        <w:t>[Note omise et notre soulignement]</w:t>
      </w:r>
    </w:p>
    <w:p w14:paraId="4FBC95C4" w14:textId="6EC2DCF6" w:rsidR="00F53428" w:rsidRPr="00E803D2" w:rsidRDefault="008566D3" w:rsidP="00F53428">
      <w:pPr>
        <w:numPr>
          <w:ilvl w:val="0"/>
          <w:numId w:val="1"/>
        </w:numPr>
        <w:tabs>
          <w:tab w:val="left" w:pos="720"/>
        </w:tabs>
        <w:spacing w:after="360"/>
        <w:jc w:val="both"/>
      </w:pPr>
      <w:r>
        <w:t>D</w:t>
      </w:r>
      <w:r w:rsidR="00F53428" w:rsidRPr="00E803D2">
        <w:t xml:space="preserve">ans l’affaire </w:t>
      </w:r>
      <w:r w:rsidR="00F53428" w:rsidRPr="00E803D2">
        <w:rPr>
          <w:i/>
        </w:rPr>
        <w:t>Gauthier</w:t>
      </w:r>
      <w:r w:rsidR="00F53428" w:rsidRPr="00E803D2">
        <w:t xml:space="preserve"> et </w:t>
      </w:r>
      <w:r w:rsidR="00F53428" w:rsidRPr="00E803D2">
        <w:rPr>
          <w:i/>
        </w:rPr>
        <w:t>CSSS Pontiac</w:t>
      </w:r>
      <w:r w:rsidR="00F53428" w:rsidRPr="00E803D2">
        <w:rPr>
          <w:vertAlign w:val="superscript"/>
        </w:rPr>
        <w:footnoteReference w:id="9"/>
      </w:r>
      <w:r w:rsidR="00F53428" w:rsidRPr="00E803D2">
        <w:t xml:space="preserve">, le Tribunal </w:t>
      </w:r>
      <w:r w:rsidR="00F53428">
        <w:t>énumère</w:t>
      </w:r>
      <w:r w:rsidR="00F53428" w:rsidRPr="00E803D2">
        <w:t xml:space="preserve"> ce qui a été</w:t>
      </w:r>
      <w:r w:rsidR="00786D8E">
        <w:t xml:space="preserve"> retenu</w:t>
      </w:r>
      <w:r w:rsidR="00F53428" w:rsidRPr="00E803D2">
        <w:t xml:space="preserve"> ou </w:t>
      </w:r>
      <w:r w:rsidR="006A489B" w:rsidRPr="00E803D2">
        <w:t>non à</w:t>
      </w:r>
      <w:r w:rsidR="00F53428" w:rsidRPr="00E803D2">
        <w:t xml:space="preserve"> titre de motif raisonnable :</w:t>
      </w:r>
    </w:p>
    <w:p w14:paraId="10CA4D88" w14:textId="77777777" w:rsidR="00F53428" w:rsidRPr="00E803D2" w:rsidRDefault="00F53428" w:rsidP="00F53428">
      <w:pPr>
        <w:spacing w:after="200"/>
        <w:ind w:left="720" w:right="720"/>
        <w:jc w:val="both"/>
        <w:rPr>
          <w:sz w:val="20"/>
        </w:rPr>
      </w:pPr>
      <w:r w:rsidRPr="00E803D2">
        <w:rPr>
          <w:sz w:val="20"/>
        </w:rPr>
        <w:t>[54]</w:t>
      </w:r>
      <w:r w:rsidRPr="00E803D2">
        <w:rPr>
          <w:sz w:val="20"/>
        </w:rPr>
        <w:tab/>
        <w:t>Ont ainsi déjà été retenus comme constituant un motif raisonnable :</w:t>
      </w:r>
    </w:p>
    <w:p w14:paraId="3C0D1F44" w14:textId="77777777" w:rsidR="00F53428" w:rsidRPr="00E803D2" w:rsidRDefault="00F53428" w:rsidP="00F53428">
      <w:pPr>
        <w:tabs>
          <w:tab w:val="left" w:pos="1701"/>
        </w:tabs>
        <w:spacing w:after="200"/>
        <w:ind w:left="1702" w:right="720" w:hanging="284"/>
        <w:jc w:val="both"/>
        <w:rPr>
          <w:sz w:val="20"/>
        </w:rPr>
      </w:pPr>
      <w:r w:rsidRPr="00E803D2">
        <w:rPr>
          <w:sz w:val="20"/>
        </w:rPr>
        <w:t>•</w:t>
      </w:r>
      <w:r w:rsidRPr="00E803D2">
        <w:rPr>
          <w:sz w:val="20"/>
        </w:rPr>
        <w:tab/>
        <w:t>La négligence d’un représentant</w:t>
      </w:r>
      <w:r>
        <w:rPr>
          <w:sz w:val="20"/>
        </w:rPr>
        <w:t xml:space="preserve">, </w:t>
      </w:r>
      <w:r w:rsidRPr="009B0E89">
        <w:rPr>
          <w:sz w:val="20"/>
          <w:u w:val="single"/>
        </w:rPr>
        <w:t>alors que la partie avait quant à elle fait preuve de diligence</w:t>
      </w:r>
      <w:r w:rsidRPr="00E803D2">
        <w:rPr>
          <w:sz w:val="20"/>
          <w:vertAlign w:val="superscript"/>
        </w:rPr>
        <w:t>7</w:t>
      </w:r>
      <w:r w:rsidRPr="00E803D2">
        <w:rPr>
          <w:sz w:val="20"/>
        </w:rPr>
        <w:t>;</w:t>
      </w:r>
    </w:p>
    <w:p w14:paraId="5E754AC5" w14:textId="77777777" w:rsidR="00F53428" w:rsidRPr="00E803D2" w:rsidRDefault="00F53428" w:rsidP="00F53428">
      <w:pPr>
        <w:tabs>
          <w:tab w:val="left" w:pos="1701"/>
        </w:tabs>
        <w:spacing w:after="200"/>
        <w:ind w:left="1702" w:right="720" w:hanging="284"/>
        <w:jc w:val="both"/>
        <w:rPr>
          <w:sz w:val="20"/>
        </w:rPr>
      </w:pPr>
      <w:r w:rsidRPr="00E803D2">
        <w:rPr>
          <w:sz w:val="20"/>
        </w:rPr>
        <w:t>•</w:t>
      </w:r>
      <w:r w:rsidRPr="00E803D2">
        <w:rPr>
          <w:sz w:val="20"/>
        </w:rPr>
        <w:tab/>
        <w:t>Le fait d’avoir été induit significativement en erreur par un représentant de l’employeur ou de la CSST</w:t>
      </w:r>
      <w:r w:rsidRPr="00E803D2">
        <w:rPr>
          <w:sz w:val="20"/>
          <w:vertAlign w:val="superscript"/>
        </w:rPr>
        <w:t>8</w:t>
      </w:r>
      <w:r w:rsidRPr="00E803D2">
        <w:rPr>
          <w:sz w:val="20"/>
        </w:rPr>
        <w:t>;</w:t>
      </w:r>
    </w:p>
    <w:p w14:paraId="54C243F4" w14:textId="77777777" w:rsidR="00F53428" w:rsidRPr="00624F57" w:rsidRDefault="00F53428" w:rsidP="00F53428">
      <w:pPr>
        <w:tabs>
          <w:tab w:val="left" w:pos="1701"/>
        </w:tabs>
        <w:spacing w:after="200"/>
        <w:ind w:left="1702" w:right="720" w:hanging="284"/>
        <w:jc w:val="both"/>
        <w:rPr>
          <w:sz w:val="20"/>
        </w:rPr>
      </w:pPr>
      <w:r w:rsidRPr="00E803D2">
        <w:rPr>
          <w:sz w:val="20"/>
        </w:rPr>
        <w:t>•</w:t>
      </w:r>
      <w:r w:rsidRPr="00E803D2">
        <w:rPr>
          <w:sz w:val="20"/>
        </w:rPr>
        <w:tab/>
      </w:r>
      <w:r w:rsidRPr="00624F57">
        <w:rPr>
          <w:sz w:val="20"/>
        </w:rPr>
        <w:t>L’incapacité ou de sérieuses difficultés, médicalement démontrées, découlant de l’état psychologique ou de la prise de médicaments</w:t>
      </w:r>
      <w:r w:rsidRPr="00624F57">
        <w:rPr>
          <w:sz w:val="20"/>
          <w:vertAlign w:val="superscript"/>
        </w:rPr>
        <w:t>9</w:t>
      </w:r>
      <w:r w:rsidRPr="00624F57">
        <w:rPr>
          <w:sz w:val="20"/>
        </w:rPr>
        <w:t>;</w:t>
      </w:r>
    </w:p>
    <w:p w14:paraId="3BB5C00E" w14:textId="77777777" w:rsidR="00F53428" w:rsidRPr="00E803D2" w:rsidRDefault="00F53428" w:rsidP="00F53428">
      <w:pPr>
        <w:tabs>
          <w:tab w:val="left" w:pos="1701"/>
        </w:tabs>
        <w:spacing w:after="200"/>
        <w:ind w:left="1702" w:right="720" w:hanging="284"/>
        <w:jc w:val="both"/>
        <w:rPr>
          <w:sz w:val="20"/>
        </w:rPr>
      </w:pPr>
      <w:r w:rsidRPr="00E803D2">
        <w:rPr>
          <w:sz w:val="20"/>
        </w:rPr>
        <w:t>•</w:t>
      </w:r>
      <w:r w:rsidRPr="00E803D2">
        <w:rPr>
          <w:sz w:val="20"/>
        </w:rPr>
        <w:tab/>
        <w:t>Un imbroglio administratif ou juridique sérieux</w:t>
      </w:r>
      <w:r w:rsidRPr="00E803D2">
        <w:rPr>
          <w:sz w:val="20"/>
          <w:vertAlign w:val="superscript"/>
        </w:rPr>
        <w:t>10</w:t>
      </w:r>
      <w:r w:rsidRPr="00E803D2">
        <w:rPr>
          <w:sz w:val="20"/>
        </w:rPr>
        <w:t>.</w:t>
      </w:r>
    </w:p>
    <w:p w14:paraId="4695BFD0" w14:textId="77777777" w:rsidR="00F53428" w:rsidRPr="00E803D2" w:rsidRDefault="00F53428" w:rsidP="00F53428">
      <w:pPr>
        <w:spacing w:after="200"/>
        <w:ind w:left="720" w:right="720"/>
        <w:jc w:val="both"/>
        <w:rPr>
          <w:sz w:val="20"/>
        </w:rPr>
      </w:pPr>
      <w:r w:rsidRPr="00E803D2">
        <w:rPr>
          <w:sz w:val="20"/>
        </w:rPr>
        <w:t>[55]</w:t>
      </w:r>
      <w:r w:rsidRPr="00E803D2">
        <w:rPr>
          <w:sz w:val="20"/>
        </w:rPr>
        <w:tab/>
        <w:t>N’ont cependant pas été considérés comme étant un motif raisonnable, notamment</w:t>
      </w:r>
      <w:r>
        <w:rPr>
          <w:sz w:val="20"/>
        </w:rPr>
        <w:t> </w:t>
      </w:r>
      <w:r w:rsidRPr="00E803D2">
        <w:rPr>
          <w:sz w:val="20"/>
        </w:rPr>
        <w:t>:</w:t>
      </w:r>
    </w:p>
    <w:p w14:paraId="79EC6986" w14:textId="77777777" w:rsidR="00F53428" w:rsidRPr="00580057" w:rsidRDefault="00F53428" w:rsidP="00F53428">
      <w:pPr>
        <w:tabs>
          <w:tab w:val="left" w:pos="1701"/>
        </w:tabs>
        <w:spacing w:after="200"/>
        <w:ind w:left="1702" w:right="720" w:hanging="284"/>
        <w:jc w:val="both"/>
        <w:rPr>
          <w:sz w:val="20"/>
        </w:rPr>
      </w:pPr>
      <w:r w:rsidRPr="00E803D2">
        <w:rPr>
          <w:sz w:val="20"/>
        </w:rPr>
        <w:t>•</w:t>
      </w:r>
      <w:r w:rsidRPr="00E803D2">
        <w:rPr>
          <w:sz w:val="20"/>
        </w:rPr>
        <w:tab/>
      </w:r>
      <w:r w:rsidRPr="00580057">
        <w:rPr>
          <w:sz w:val="20"/>
        </w:rPr>
        <w:t>La simple allégation d’un état dépressif</w:t>
      </w:r>
      <w:r w:rsidRPr="00580057">
        <w:rPr>
          <w:sz w:val="20"/>
          <w:vertAlign w:val="superscript"/>
        </w:rPr>
        <w:t>11</w:t>
      </w:r>
      <w:r w:rsidRPr="00580057">
        <w:rPr>
          <w:sz w:val="20"/>
        </w:rPr>
        <w:t>;</w:t>
      </w:r>
    </w:p>
    <w:p w14:paraId="7D992726" w14:textId="77777777" w:rsidR="00F53428" w:rsidRPr="00E803D2" w:rsidRDefault="00F53428" w:rsidP="00F53428">
      <w:pPr>
        <w:tabs>
          <w:tab w:val="left" w:pos="1701"/>
        </w:tabs>
        <w:spacing w:after="200"/>
        <w:ind w:left="1702" w:right="720" w:hanging="284"/>
        <w:jc w:val="both"/>
        <w:rPr>
          <w:sz w:val="20"/>
        </w:rPr>
      </w:pPr>
      <w:r w:rsidRPr="00E803D2">
        <w:rPr>
          <w:sz w:val="20"/>
        </w:rPr>
        <w:t>•</w:t>
      </w:r>
      <w:r w:rsidRPr="00E803D2">
        <w:rPr>
          <w:sz w:val="20"/>
        </w:rPr>
        <w:tab/>
        <w:t>Le désir de compléter le dossier médical avant de contester</w:t>
      </w:r>
      <w:r w:rsidRPr="00E803D2">
        <w:rPr>
          <w:sz w:val="20"/>
          <w:vertAlign w:val="superscript"/>
        </w:rPr>
        <w:t>12</w:t>
      </w:r>
      <w:r w:rsidRPr="00E803D2">
        <w:rPr>
          <w:sz w:val="20"/>
        </w:rPr>
        <w:t>;</w:t>
      </w:r>
    </w:p>
    <w:p w14:paraId="777FC52D" w14:textId="77777777" w:rsidR="00F53428" w:rsidRPr="00E803D2" w:rsidRDefault="00F53428" w:rsidP="00F53428">
      <w:pPr>
        <w:tabs>
          <w:tab w:val="left" w:pos="1701"/>
        </w:tabs>
        <w:spacing w:after="200"/>
        <w:ind w:left="1702" w:right="720" w:hanging="284"/>
        <w:jc w:val="both"/>
        <w:rPr>
          <w:sz w:val="20"/>
        </w:rPr>
      </w:pPr>
      <w:r w:rsidRPr="00E803D2">
        <w:rPr>
          <w:sz w:val="20"/>
        </w:rPr>
        <w:t>•</w:t>
      </w:r>
      <w:r w:rsidRPr="00E803D2">
        <w:rPr>
          <w:sz w:val="20"/>
        </w:rPr>
        <w:tab/>
        <w:t>L’attente d’un diagnostic précis et complet</w:t>
      </w:r>
      <w:r w:rsidRPr="00E803D2">
        <w:rPr>
          <w:sz w:val="20"/>
          <w:vertAlign w:val="superscript"/>
        </w:rPr>
        <w:t>13</w:t>
      </w:r>
      <w:r w:rsidRPr="00E803D2">
        <w:rPr>
          <w:sz w:val="20"/>
        </w:rPr>
        <w:t>;</w:t>
      </w:r>
    </w:p>
    <w:p w14:paraId="7BBC5098" w14:textId="77777777" w:rsidR="00F53428" w:rsidRPr="00E803D2" w:rsidRDefault="00F53428" w:rsidP="00F53428">
      <w:pPr>
        <w:tabs>
          <w:tab w:val="left" w:pos="1701"/>
        </w:tabs>
        <w:spacing w:after="200"/>
        <w:ind w:left="1702" w:right="720" w:hanging="284"/>
        <w:jc w:val="both"/>
        <w:rPr>
          <w:sz w:val="20"/>
        </w:rPr>
      </w:pPr>
      <w:r w:rsidRPr="00E803D2">
        <w:rPr>
          <w:sz w:val="20"/>
        </w:rPr>
        <w:t>•</w:t>
      </w:r>
      <w:r w:rsidRPr="00E803D2">
        <w:rPr>
          <w:sz w:val="20"/>
        </w:rPr>
        <w:tab/>
        <w:t>Le fait que les médecins consultés n’aient pas conseillé de produire une réclamation</w:t>
      </w:r>
      <w:r w:rsidRPr="00E803D2">
        <w:rPr>
          <w:sz w:val="20"/>
          <w:vertAlign w:val="superscript"/>
        </w:rPr>
        <w:t>14</w:t>
      </w:r>
      <w:r w:rsidRPr="00E803D2">
        <w:rPr>
          <w:sz w:val="20"/>
        </w:rPr>
        <w:t>;</w:t>
      </w:r>
    </w:p>
    <w:p w14:paraId="026CE42A" w14:textId="77777777" w:rsidR="00F53428" w:rsidRPr="00E803D2" w:rsidRDefault="00F53428" w:rsidP="00F53428">
      <w:pPr>
        <w:tabs>
          <w:tab w:val="left" w:pos="1701"/>
        </w:tabs>
        <w:spacing w:after="200"/>
        <w:ind w:left="1702" w:right="720" w:hanging="284"/>
        <w:jc w:val="both"/>
        <w:rPr>
          <w:sz w:val="20"/>
        </w:rPr>
      </w:pPr>
      <w:r w:rsidRPr="00E803D2">
        <w:rPr>
          <w:sz w:val="20"/>
        </w:rPr>
        <w:t>•</w:t>
      </w:r>
      <w:r w:rsidRPr="00E803D2">
        <w:rPr>
          <w:sz w:val="20"/>
        </w:rPr>
        <w:tab/>
      </w:r>
      <w:r w:rsidRPr="009B0E89">
        <w:rPr>
          <w:sz w:val="20"/>
          <w:u w:val="single"/>
        </w:rPr>
        <w:t>L’ignorance de la loi</w:t>
      </w:r>
      <w:r w:rsidRPr="00E803D2">
        <w:rPr>
          <w:sz w:val="20"/>
          <w:vertAlign w:val="superscript"/>
        </w:rPr>
        <w:t>15</w:t>
      </w:r>
      <w:r w:rsidRPr="00E803D2">
        <w:rPr>
          <w:sz w:val="20"/>
        </w:rPr>
        <w:t>;</w:t>
      </w:r>
    </w:p>
    <w:p w14:paraId="2679C5FF" w14:textId="77777777" w:rsidR="00F53428" w:rsidRPr="00E803D2" w:rsidRDefault="00F53428" w:rsidP="00F53428">
      <w:pPr>
        <w:tabs>
          <w:tab w:val="left" w:pos="1701"/>
        </w:tabs>
        <w:spacing w:after="200"/>
        <w:ind w:left="1701" w:right="720" w:hanging="289"/>
        <w:jc w:val="both"/>
        <w:rPr>
          <w:sz w:val="20"/>
        </w:rPr>
      </w:pPr>
      <w:r w:rsidRPr="00E803D2">
        <w:rPr>
          <w:sz w:val="20"/>
        </w:rPr>
        <w:t>•</w:t>
      </w:r>
      <w:r w:rsidRPr="00E803D2">
        <w:rPr>
          <w:sz w:val="20"/>
        </w:rPr>
        <w:tab/>
        <w:t>Une incertitude quant au désir de contester, l’attente de la suite des événements et de l’évolution de la lésion, la tentative de règlement, la négligence, etc.</w:t>
      </w:r>
      <w:r w:rsidRPr="00E803D2">
        <w:rPr>
          <w:sz w:val="20"/>
          <w:vertAlign w:val="superscript"/>
        </w:rPr>
        <w:t>16</w:t>
      </w:r>
    </w:p>
    <w:p w14:paraId="28AD9DF5" w14:textId="64B90671" w:rsidR="00F53428" w:rsidRPr="00E803D2" w:rsidRDefault="00F53428" w:rsidP="00786D8E">
      <w:pPr>
        <w:tabs>
          <w:tab w:val="left" w:pos="851"/>
        </w:tabs>
        <w:spacing w:after="360"/>
        <w:ind w:left="1077" w:right="720" w:hanging="357"/>
        <w:jc w:val="both"/>
        <w:rPr>
          <w:sz w:val="20"/>
        </w:rPr>
      </w:pPr>
      <w:r>
        <w:rPr>
          <w:szCs w:val="24"/>
        </w:rPr>
        <w:t>[</w:t>
      </w:r>
      <w:r w:rsidR="00786D8E">
        <w:rPr>
          <w:szCs w:val="24"/>
        </w:rPr>
        <w:t>Nos soulignements et n</w:t>
      </w:r>
      <w:r w:rsidRPr="00E803D2">
        <w:rPr>
          <w:szCs w:val="24"/>
        </w:rPr>
        <w:t>otes omises]</w:t>
      </w:r>
    </w:p>
    <w:p w14:paraId="27919413" w14:textId="5B278FE7" w:rsidR="00F53428" w:rsidRDefault="00AF6D46" w:rsidP="00F53428">
      <w:pPr>
        <w:pStyle w:val="corpsdedcision"/>
      </w:pPr>
      <w:r>
        <w:t>Dans l’affaire</w:t>
      </w:r>
      <w:r w:rsidR="00F53428">
        <w:t xml:space="preserve"> </w:t>
      </w:r>
      <w:r w:rsidR="00F53428" w:rsidRPr="00862B91">
        <w:rPr>
          <w:rFonts w:cs="Arial"/>
          <w:i/>
        </w:rPr>
        <w:t>Lessard</w:t>
      </w:r>
      <w:r w:rsidR="00F53428">
        <w:rPr>
          <w:rFonts w:cs="Arial"/>
        </w:rPr>
        <w:t xml:space="preserve"> et </w:t>
      </w:r>
      <w:r w:rsidR="00F53428" w:rsidRPr="00862B91">
        <w:rPr>
          <w:rFonts w:cs="Arial"/>
          <w:i/>
        </w:rPr>
        <w:t>Centre régional de santé et de services sociaux de la Baie-James</w:t>
      </w:r>
      <w:r w:rsidR="00F53428">
        <w:rPr>
          <w:rStyle w:val="Appelnotedebasdep"/>
        </w:rPr>
        <w:footnoteReference w:id="10"/>
      </w:r>
      <w:r w:rsidR="00F53428">
        <w:rPr>
          <w:rFonts w:cs="Arial"/>
        </w:rPr>
        <w:t xml:space="preserve">, le Tribunal </w:t>
      </w:r>
      <w:r>
        <w:rPr>
          <w:rFonts w:cs="Arial"/>
        </w:rPr>
        <w:t>rappelle que</w:t>
      </w:r>
      <w:r w:rsidR="00F53428">
        <w:rPr>
          <w:rFonts w:cs="Arial"/>
        </w:rPr>
        <w:t xml:space="preserve"> l’analyse </w:t>
      </w:r>
      <w:r>
        <w:rPr>
          <w:rFonts w:cs="Arial"/>
        </w:rPr>
        <w:t xml:space="preserve">doit se faire </w:t>
      </w:r>
      <w:r w:rsidR="00F53428">
        <w:rPr>
          <w:rFonts w:cs="Arial"/>
        </w:rPr>
        <w:t>en deux temps pour qualifier le motif de raisonnable :</w:t>
      </w:r>
    </w:p>
    <w:p w14:paraId="16EA6F1A" w14:textId="77777777" w:rsidR="00F53428" w:rsidRDefault="00F53428" w:rsidP="00F53428">
      <w:pPr>
        <w:pStyle w:val="citation"/>
        <w:spacing w:after="200"/>
      </w:pPr>
      <w:r w:rsidRPr="00862B91">
        <w:t>[25]</w:t>
      </w:r>
      <w:r w:rsidRPr="00862B91">
        <w:tab/>
        <w:t>L’appréciation et la qualification du motif raisonnable dépendent d’une analyse contextuelle des faits en deux étapes avec souplesse et ouver</w:t>
      </w:r>
      <w:r>
        <w:t>ture en matière de recevabilité</w:t>
      </w:r>
      <w:r>
        <w:rPr>
          <w:vertAlign w:val="superscript"/>
        </w:rPr>
        <w:t>18</w:t>
      </w:r>
      <w:r w:rsidRPr="00862B91">
        <w:t>. Le Tribunal doit, dans un premier temps, tenir compte de la rationalité et la justesse du motif invoqué pour expliquer le retard. En deuxième lieu, il doit considérer le comportement diligent de la personne en défaut.</w:t>
      </w:r>
    </w:p>
    <w:p w14:paraId="3AB4F5E3" w14:textId="77777777" w:rsidR="00F53428" w:rsidRPr="009B0E89" w:rsidRDefault="00F53428" w:rsidP="00F53428">
      <w:pPr>
        <w:pStyle w:val="citation"/>
        <w:spacing w:after="400"/>
        <w:rPr>
          <w:sz w:val="24"/>
          <w:szCs w:val="24"/>
        </w:rPr>
      </w:pPr>
      <w:r w:rsidRPr="009B0E89">
        <w:rPr>
          <w:sz w:val="24"/>
          <w:szCs w:val="24"/>
        </w:rPr>
        <w:t>[Note omise]</w:t>
      </w:r>
    </w:p>
    <w:p w14:paraId="50ED14F5" w14:textId="090CFB09" w:rsidR="00AF6D46" w:rsidRPr="00B5197A" w:rsidRDefault="00AF6D46" w:rsidP="00AF6D46">
      <w:pPr>
        <w:pStyle w:val="corpsdedcision"/>
        <w:tabs>
          <w:tab w:val="num" w:pos="360"/>
        </w:tabs>
        <w:spacing w:after="440"/>
      </w:pPr>
      <w:r>
        <w:t xml:space="preserve">Dans l’affaire </w:t>
      </w:r>
      <w:r w:rsidRPr="00AF6D46">
        <w:rPr>
          <w:rFonts w:cs="Arial"/>
          <w:i/>
          <w:szCs w:val="24"/>
        </w:rPr>
        <w:t xml:space="preserve">M.L. </w:t>
      </w:r>
      <w:r w:rsidRPr="00AF6D46">
        <w:rPr>
          <w:rFonts w:cs="Arial"/>
          <w:szCs w:val="24"/>
        </w:rPr>
        <w:t xml:space="preserve">et </w:t>
      </w:r>
      <w:r w:rsidRPr="00AF6D46">
        <w:rPr>
          <w:rFonts w:cs="Arial"/>
          <w:i/>
          <w:szCs w:val="24"/>
        </w:rPr>
        <w:t>Compagnie A</w:t>
      </w:r>
      <w:r w:rsidRPr="00B5197A">
        <w:rPr>
          <w:rStyle w:val="Appelnotedebasdep"/>
        </w:rPr>
        <w:footnoteReference w:id="11"/>
      </w:r>
      <w:r w:rsidR="00786D8E">
        <w:t>, le Tribunal</w:t>
      </w:r>
      <w:r w:rsidRPr="00B5197A">
        <w:t xml:space="preserve"> exprime bien les principes qui doivent le guid</w:t>
      </w:r>
      <w:r w:rsidRPr="005858CC">
        <w:t>er</w:t>
      </w:r>
      <w:r w:rsidRPr="00297353">
        <w:rPr>
          <w:color w:val="FF0000"/>
        </w:rPr>
        <w:t xml:space="preserve"> </w:t>
      </w:r>
      <w:r w:rsidRPr="00B5197A">
        <w:t>dans l’appréciation de l’existence d’un motif raisonnable et particulièrement, de la diligence d’un travailleur :</w:t>
      </w:r>
    </w:p>
    <w:p w14:paraId="3249D7FE" w14:textId="77777777" w:rsidR="00AF6D46" w:rsidRPr="00B5197A" w:rsidRDefault="00AF6D46" w:rsidP="00AF6D46">
      <w:pPr>
        <w:pStyle w:val="citation"/>
      </w:pPr>
      <w:r w:rsidRPr="00B5197A">
        <w:t>[18]</w:t>
      </w:r>
      <w:r w:rsidRPr="00B5197A">
        <w:tab/>
        <w:t xml:space="preserve">Dans l’appréciation de la notion de diligence, le Tribunal doit tenir compte du contexte, </w:t>
      </w:r>
      <w:r w:rsidRPr="00B5197A">
        <w:rPr>
          <w:u w:val="single"/>
        </w:rPr>
        <w:t>mesurer l’importance de l’intérêt du requérant à réclamer</w:t>
      </w:r>
      <w:r w:rsidRPr="00B5197A">
        <w:t xml:space="preserve"> et apprécier le comportement en fonction de celui d’une personne prudente et diligente, mais aussi en tentant compte des caractéristiques particulières d’une personne</w:t>
      </w:r>
      <w:r w:rsidRPr="00B5197A">
        <w:rPr>
          <w:vertAlign w:val="superscript"/>
        </w:rPr>
        <w:t>9</w:t>
      </w:r>
      <w:r w:rsidRPr="00B5197A">
        <w:t>.</w:t>
      </w:r>
    </w:p>
    <w:p w14:paraId="55EFEEB5" w14:textId="77777777" w:rsidR="00AF6D46" w:rsidRPr="00B5197A" w:rsidRDefault="00AF6D46" w:rsidP="00AF6D46">
      <w:pPr>
        <w:pStyle w:val="citation"/>
      </w:pPr>
    </w:p>
    <w:p w14:paraId="70A581DF" w14:textId="77777777" w:rsidR="00AF6D46" w:rsidRPr="00B5197A" w:rsidRDefault="00AF6D46" w:rsidP="00AF6D46">
      <w:pPr>
        <w:pStyle w:val="citation"/>
      </w:pPr>
      <w:r w:rsidRPr="00B5197A">
        <w:t>[…]</w:t>
      </w:r>
    </w:p>
    <w:p w14:paraId="18744C56" w14:textId="77777777" w:rsidR="00AF6D46" w:rsidRPr="00B5197A" w:rsidRDefault="00AF6D46" w:rsidP="00AF6D46">
      <w:pPr>
        <w:pStyle w:val="citation"/>
      </w:pPr>
    </w:p>
    <w:p w14:paraId="40A150B1" w14:textId="2FA0E9F5" w:rsidR="00AF6D46" w:rsidRPr="00B5197A" w:rsidRDefault="00AF6D46" w:rsidP="00AF6D46">
      <w:pPr>
        <w:pStyle w:val="citation"/>
      </w:pPr>
      <w:r w:rsidRPr="00B5197A">
        <w:t>[</w:t>
      </w:r>
      <w:r w:rsidR="009C37CB">
        <w:t>20</w:t>
      </w:r>
      <w:r w:rsidRPr="00B5197A">
        <w:t>]</w:t>
      </w:r>
      <w:r w:rsidRPr="00B5197A">
        <w:tab/>
        <w:t>Depuis quelques années, les tribunaux supérieurs</w:t>
      </w:r>
      <w:r w:rsidR="009C37CB">
        <w:rPr>
          <w:vertAlign w:val="superscript"/>
        </w:rPr>
        <w:t>11</w:t>
      </w:r>
      <w:r w:rsidRPr="00B5197A">
        <w:t xml:space="preserve"> invitent à favoriser une interprétation large et généreuse, et non rigide ou tatillonne, de la notion de motif raisonnable, </w:t>
      </w:r>
      <w:r w:rsidRPr="00B5197A">
        <w:rPr>
          <w:u w:val="single"/>
        </w:rPr>
        <w:t>considérant le caractère hautement social et remédiateur de la Loi</w:t>
      </w:r>
      <w:r w:rsidRPr="00B5197A">
        <w:t xml:space="preserve">. Ils rappellent également qu’en </w:t>
      </w:r>
      <w:r w:rsidRPr="00B5197A">
        <w:rPr>
          <w:rFonts w:cs="Arial"/>
          <w:szCs w:val="24"/>
          <w:shd w:val="clear" w:color="auto" w:fill="FFFFFF"/>
          <w:lang w:eastAsia="fr-FR"/>
        </w:rPr>
        <w:t>matière de</w:t>
      </w:r>
      <w:r w:rsidRPr="00B5197A">
        <w:rPr>
          <w:rFonts w:cs="Arial"/>
          <w:szCs w:val="24"/>
          <w:lang w:eastAsia="fr-FR"/>
        </w:rPr>
        <w:t xml:space="preserve"> </w:t>
      </w:r>
      <w:r w:rsidRPr="00B5197A">
        <w:rPr>
          <w:rFonts w:cs="Arial"/>
          <w:szCs w:val="24"/>
          <w:shd w:val="clear" w:color="auto" w:fill="FFFFFF"/>
          <w:lang w:eastAsia="fr-FR"/>
        </w:rPr>
        <w:t>déchéance d’un droit, il y a lieu d'interpréter</w:t>
      </w:r>
      <w:r w:rsidRPr="00B5197A">
        <w:rPr>
          <w:rFonts w:cs="Arial"/>
          <w:szCs w:val="24"/>
          <w:lang w:eastAsia="fr-FR"/>
        </w:rPr>
        <w:t xml:space="preserve"> l</w:t>
      </w:r>
      <w:r w:rsidRPr="00B5197A">
        <w:rPr>
          <w:rFonts w:cs="Arial"/>
          <w:szCs w:val="24"/>
          <w:shd w:val="clear" w:color="auto" w:fill="FFFFFF"/>
          <w:lang w:eastAsia="fr-FR"/>
        </w:rPr>
        <w:t>es dispositions de la Loi de manière à protéger les</w:t>
      </w:r>
      <w:r w:rsidRPr="00B5197A">
        <w:rPr>
          <w:rFonts w:cs="Arial"/>
          <w:szCs w:val="24"/>
          <w:lang w:eastAsia="fr-FR"/>
        </w:rPr>
        <w:t xml:space="preserve"> </w:t>
      </w:r>
      <w:r w:rsidRPr="00B5197A">
        <w:rPr>
          <w:rFonts w:cs="Arial"/>
          <w:szCs w:val="24"/>
          <w:shd w:val="clear" w:color="auto" w:fill="FFFFFF"/>
          <w:lang w:eastAsia="fr-FR"/>
        </w:rPr>
        <w:t>droits</w:t>
      </w:r>
      <w:r w:rsidRPr="00B5197A">
        <w:rPr>
          <w:rFonts w:cs="Arial"/>
          <w:szCs w:val="24"/>
          <w:lang w:eastAsia="fr-FR"/>
        </w:rPr>
        <w:t xml:space="preserve"> </w:t>
      </w:r>
      <w:r w:rsidRPr="00B5197A">
        <w:rPr>
          <w:rFonts w:cs="Arial"/>
          <w:szCs w:val="24"/>
          <w:shd w:val="clear" w:color="auto" w:fill="FFFFFF"/>
          <w:lang w:eastAsia="fr-FR"/>
        </w:rPr>
        <w:t xml:space="preserve">du justiciable, </w:t>
      </w:r>
      <w:r w:rsidRPr="00B5197A">
        <w:t xml:space="preserve">puisque </w:t>
      </w:r>
      <w:r w:rsidRPr="00B5197A">
        <w:rPr>
          <w:sz w:val="18"/>
          <w:szCs w:val="18"/>
        </w:rPr>
        <w:t>« </w:t>
      </w:r>
      <w:r w:rsidRPr="00B5197A">
        <w:rPr>
          <w:i/>
          <w:sz w:val="18"/>
          <w:szCs w:val="18"/>
        </w:rPr>
        <w:t>rarement devant un tribunal ordinaire, un justiciable perd un droit à cause de la procédure</w:t>
      </w:r>
      <w:r w:rsidRPr="00B5197A">
        <w:t> »</w:t>
      </w:r>
      <w:r w:rsidRPr="00B5197A">
        <w:rPr>
          <w:vertAlign w:val="superscript"/>
        </w:rPr>
        <w:t>12</w:t>
      </w:r>
      <w:r w:rsidRPr="00B5197A">
        <w:t xml:space="preserve">. </w:t>
      </w:r>
    </w:p>
    <w:p w14:paraId="07A15ACA" w14:textId="77777777" w:rsidR="00AF6D46" w:rsidRPr="00B5197A" w:rsidRDefault="00AF6D46" w:rsidP="00AF6D46">
      <w:pPr>
        <w:pStyle w:val="citation"/>
      </w:pPr>
    </w:p>
    <w:p w14:paraId="5424AB9B" w14:textId="00ABA7FE" w:rsidR="00AF6D46" w:rsidRPr="00B5197A" w:rsidRDefault="00AF6D46" w:rsidP="00AF6D46">
      <w:pPr>
        <w:pStyle w:val="citation"/>
        <w:rPr>
          <w:szCs w:val="24"/>
        </w:rPr>
      </w:pPr>
      <w:r w:rsidRPr="00B5197A">
        <w:t>[</w:t>
      </w:r>
      <w:r w:rsidR="009C37CB">
        <w:t>21</w:t>
      </w:r>
      <w:r w:rsidRPr="00B5197A">
        <w:t>]</w:t>
      </w:r>
      <w:r w:rsidRPr="00B5197A">
        <w:tab/>
        <w:t>Néanmoins, la flexibilité dont doit faire preuve le Tribunal dans l’appréciation d’un motif raisonnable a ses limites et ce dernier ne doit pas « </w:t>
      </w:r>
      <w:r w:rsidRPr="00B5197A">
        <w:rPr>
          <w:i/>
          <w:sz w:val="18"/>
          <w:szCs w:val="18"/>
        </w:rPr>
        <w:t>adopter une interprétation souple et généreuse au point de ne plus donner effet aux délais prévus à la loi</w:t>
      </w:r>
      <w:r w:rsidRPr="00B5197A">
        <w:rPr>
          <w:i/>
          <w:sz w:val="22"/>
        </w:rPr>
        <w:t xml:space="preserve"> </w:t>
      </w:r>
      <w:r w:rsidRPr="00B5197A">
        <w:rPr>
          <w:szCs w:val="24"/>
        </w:rPr>
        <w:t>[…] »</w:t>
      </w:r>
      <w:r w:rsidRPr="00B5197A">
        <w:rPr>
          <w:szCs w:val="24"/>
          <w:vertAlign w:val="superscript"/>
        </w:rPr>
        <w:t>13</w:t>
      </w:r>
      <w:r w:rsidRPr="00B5197A">
        <w:rPr>
          <w:sz w:val="22"/>
        </w:rPr>
        <w:t xml:space="preserve">. </w:t>
      </w:r>
      <w:r w:rsidRPr="00B5197A">
        <w:rPr>
          <w:szCs w:val="24"/>
        </w:rPr>
        <w:t>Ainsi, non seulement un motif doit être invoqué, mais encore faut-il que celui-ci puisse être qualifié comme étant raisonnable. Le Tribunal ne peut relever une partie de son défaut en invoquant uniquement le caractère social de la Loi ou en se basant seulement sur la sympathie que peut inspirer un cas</w:t>
      </w:r>
      <w:r w:rsidRPr="00B5197A">
        <w:rPr>
          <w:szCs w:val="24"/>
          <w:vertAlign w:val="superscript"/>
        </w:rPr>
        <w:t>14</w:t>
      </w:r>
      <w:r w:rsidRPr="00B5197A">
        <w:rPr>
          <w:szCs w:val="24"/>
        </w:rPr>
        <w:t>.</w:t>
      </w:r>
    </w:p>
    <w:p w14:paraId="1DD84A4E" w14:textId="77777777" w:rsidR="00AF6D46" w:rsidRPr="00B5197A" w:rsidRDefault="00AF6D46" w:rsidP="00AF6D46">
      <w:pPr>
        <w:pStyle w:val="citation"/>
        <w:rPr>
          <w:szCs w:val="24"/>
        </w:rPr>
      </w:pPr>
    </w:p>
    <w:p w14:paraId="0DA74285" w14:textId="51CDC5F1" w:rsidR="00AF6D46" w:rsidRDefault="00AF6D46" w:rsidP="00786D8E">
      <w:pPr>
        <w:pStyle w:val="citation"/>
        <w:spacing w:after="360"/>
        <w:rPr>
          <w:sz w:val="24"/>
          <w:szCs w:val="24"/>
        </w:rPr>
      </w:pPr>
      <w:r w:rsidRPr="00B5197A">
        <w:rPr>
          <w:sz w:val="24"/>
          <w:szCs w:val="24"/>
        </w:rPr>
        <w:t>[Transcription textuelle, notes omises</w:t>
      </w:r>
      <w:r w:rsidR="008236F5">
        <w:rPr>
          <w:sz w:val="24"/>
          <w:szCs w:val="24"/>
        </w:rPr>
        <w:t xml:space="preserve"> et</w:t>
      </w:r>
      <w:r w:rsidRPr="00B5197A">
        <w:rPr>
          <w:sz w:val="24"/>
          <w:szCs w:val="24"/>
        </w:rPr>
        <w:t xml:space="preserve"> nos soulignements]</w:t>
      </w:r>
    </w:p>
    <w:p w14:paraId="3265AF4F" w14:textId="2401EE78" w:rsidR="00AF6D46" w:rsidRDefault="00786D8E" w:rsidP="00AF6D46">
      <w:pPr>
        <w:pStyle w:val="corpsdedcision"/>
        <w:tabs>
          <w:tab w:val="num" w:pos="360"/>
        </w:tabs>
      </w:pPr>
      <w:r>
        <w:t>L</w:t>
      </w:r>
      <w:r w:rsidR="00AF6D46">
        <w:t xml:space="preserve">a professionnelle de la santé qui a charge </w:t>
      </w:r>
      <w:r>
        <w:t xml:space="preserve">du travailleur </w:t>
      </w:r>
      <w:r w:rsidR="00AF6D46">
        <w:t xml:space="preserve">n’a jamais voulu compléter les rapports médicaux nécessaires et l’aurait même découragé à </w:t>
      </w:r>
      <w:r w:rsidR="001A02DA">
        <w:t>produire</w:t>
      </w:r>
      <w:r>
        <w:t xml:space="preserve"> une réclamation</w:t>
      </w:r>
      <w:r w:rsidR="00AF6D46">
        <w:t>. Elle lui disait que c’était de l’usure normale et qu’il n’y avait rien d’autre à faire</w:t>
      </w:r>
      <w:r w:rsidR="006365C7">
        <w:t>,</w:t>
      </w:r>
      <w:r w:rsidR="00AF6D46">
        <w:t xml:space="preserve"> </w:t>
      </w:r>
      <w:r>
        <w:t>mis à part</w:t>
      </w:r>
      <w:r w:rsidR="00AF6D46">
        <w:t xml:space="preserve"> les injections. </w:t>
      </w:r>
    </w:p>
    <w:p w14:paraId="020342F1" w14:textId="06A723E9" w:rsidR="00AF6D46" w:rsidRDefault="00AF6D46" w:rsidP="00AF6D46">
      <w:pPr>
        <w:pStyle w:val="corpsdedcision"/>
      </w:pPr>
      <w:r>
        <w:t>Quant à son emplo</w:t>
      </w:r>
      <w:r w:rsidR="00786D8E">
        <w:t>i</w:t>
      </w:r>
      <w:r>
        <w:t xml:space="preserve"> où il travaillait en 2018, le travailleur mentionne que </w:t>
      </w:r>
      <w:r w:rsidR="00786D8E">
        <w:t>son employeur</w:t>
      </w:r>
      <w:r>
        <w:t xml:space="preserve"> ne l’a pas empêché de </w:t>
      </w:r>
      <w:r w:rsidR="00786D8E">
        <w:t xml:space="preserve">produire une </w:t>
      </w:r>
      <w:r>
        <w:t>réclam</w:t>
      </w:r>
      <w:r w:rsidR="00786D8E">
        <w:t>ation</w:t>
      </w:r>
      <w:r w:rsidR="00223E7B">
        <w:t>,</w:t>
      </w:r>
      <w:r>
        <w:t xml:space="preserve"> mais il disait souvent que les accidents d</w:t>
      </w:r>
      <w:r w:rsidR="001A02DA">
        <w:t>e</w:t>
      </w:r>
      <w:r>
        <w:t xml:space="preserve"> travail lui co</w:t>
      </w:r>
      <w:r w:rsidR="006365C7">
        <w:t>û</w:t>
      </w:r>
      <w:r>
        <w:t>taient cher</w:t>
      </w:r>
      <w:r w:rsidR="006365C7">
        <w:t>s</w:t>
      </w:r>
      <w:r w:rsidR="00786D8E">
        <w:t>,</w:t>
      </w:r>
      <w:r>
        <w:t xml:space="preserve"> que c’était sa </w:t>
      </w:r>
      <w:r w:rsidR="008566D3">
        <w:t>« </w:t>
      </w:r>
      <w:r w:rsidRPr="008566D3">
        <w:rPr>
          <w:i/>
          <w:iCs/>
        </w:rPr>
        <w:t>bête noire</w:t>
      </w:r>
      <w:r w:rsidR="008566D3">
        <w:t> »</w:t>
      </w:r>
      <w:r>
        <w:t xml:space="preserve"> </w:t>
      </w:r>
      <w:r w:rsidR="006A489B">
        <w:t>et était</w:t>
      </w:r>
      <w:r>
        <w:t xml:space="preserve"> peu favorable aux réclamations. C’est son employeur actuel qui l’a encouragé à</w:t>
      </w:r>
      <w:r w:rsidR="001A02DA">
        <w:t xml:space="preserve"> produire une réclamation</w:t>
      </w:r>
      <w:r w:rsidR="006A489B">
        <w:t xml:space="preserve"> </w:t>
      </w:r>
      <w:r>
        <w:t xml:space="preserve">constatant l’état du travailleur dans l’exécution de ses tâches. </w:t>
      </w:r>
    </w:p>
    <w:p w14:paraId="522BD7D7" w14:textId="5794983D" w:rsidR="00AF6D46" w:rsidRDefault="00AF6D46" w:rsidP="00AF6D46">
      <w:pPr>
        <w:pStyle w:val="corpsdedcision"/>
      </w:pPr>
      <w:r>
        <w:t>Il déplore le fait d’être pénalisé en raison du fait qu’il a écouté sa professionnelle de la santé qui a charge et son employeur de l’époque. Il a</w:t>
      </w:r>
      <w:r w:rsidR="008566D3">
        <w:t>vait</w:t>
      </w:r>
      <w:r>
        <w:t xml:space="preserve"> même demandé à son syndicat de l’aider</w:t>
      </w:r>
      <w:r w:rsidR="00223E7B">
        <w:t>,</w:t>
      </w:r>
      <w:r>
        <w:t xml:space="preserve"> mais</w:t>
      </w:r>
      <w:r w:rsidR="001A02DA">
        <w:t xml:space="preserve"> ce dernier</w:t>
      </w:r>
      <w:r>
        <w:t xml:space="preserve"> a refusé. Personne ne l’a encouragé à </w:t>
      </w:r>
      <w:r w:rsidR="001A02DA">
        <w:t>produire une réclamation</w:t>
      </w:r>
      <w:r>
        <w:t xml:space="preserve"> depuis 2018</w:t>
      </w:r>
      <w:r w:rsidR="006365C7">
        <w:t>,</w:t>
      </w:r>
      <w:r w:rsidR="004724DC">
        <w:t xml:space="preserve"> </w:t>
      </w:r>
      <w:r w:rsidR="001A02DA">
        <w:t>à l’exception de</w:t>
      </w:r>
      <w:r w:rsidR="004724DC">
        <w:t xml:space="preserve"> son employeur actuel</w:t>
      </w:r>
      <w:r>
        <w:t xml:space="preserve">. </w:t>
      </w:r>
    </w:p>
    <w:p w14:paraId="27266F11" w14:textId="058515C9" w:rsidR="00AF6D46" w:rsidRDefault="008566D3" w:rsidP="00AF6D46">
      <w:pPr>
        <w:pStyle w:val="corpsdedcision"/>
        <w:tabs>
          <w:tab w:val="num" w:pos="360"/>
        </w:tabs>
      </w:pPr>
      <w:r>
        <w:t>Ensuite, l</w:t>
      </w:r>
      <w:r w:rsidR="00AF6D46" w:rsidRPr="00B5197A">
        <w:t xml:space="preserve">’absence d’intérêt à réclamer </w:t>
      </w:r>
      <w:r w:rsidR="002E33F1">
        <w:t>peut être</w:t>
      </w:r>
      <w:r w:rsidR="00AF6D46" w:rsidRPr="00B5197A">
        <w:t xml:space="preserve"> considérée comme un motif raisonnable permettant de relever un travailleur des conséquences de son défaut</w:t>
      </w:r>
      <w:r w:rsidR="00AF6D46" w:rsidRPr="00B5197A">
        <w:rPr>
          <w:rStyle w:val="Appelnotedebasdep"/>
        </w:rPr>
        <w:footnoteReference w:id="12"/>
      </w:r>
      <w:r w:rsidR="00AF6D46" w:rsidRPr="00B5197A">
        <w:t xml:space="preserve">. </w:t>
      </w:r>
    </w:p>
    <w:p w14:paraId="6A1F0E79" w14:textId="71FEC9D3" w:rsidR="00B07C81" w:rsidRDefault="00372C9E" w:rsidP="004C2944">
      <w:pPr>
        <w:pStyle w:val="corpsdedcision"/>
      </w:pPr>
      <w:r>
        <w:t>Le travailleur indique avoir reçu des infiltrations depuis 2018 et a pris de la médication pour lesquels il n’a pas eu de sommes à débourser. Il n</w:t>
      </w:r>
      <w:r w:rsidR="008566D3">
        <w:t>’</w:t>
      </w:r>
      <w:r>
        <w:t>a pas arrêté de travailler. C’est le</w:t>
      </w:r>
      <w:r w:rsidR="00B07C81">
        <w:t xml:space="preserve"> 9</w:t>
      </w:r>
      <w:r w:rsidR="006365C7">
        <w:t> </w:t>
      </w:r>
      <w:r w:rsidR="00B07C81">
        <w:t>mars</w:t>
      </w:r>
      <w:r w:rsidR="006365C7">
        <w:t> </w:t>
      </w:r>
      <w:r w:rsidR="00B07C81">
        <w:t>2021</w:t>
      </w:r>
      <w:r>
        <w:t xml:space="preserve"> que</w:t>
      </w:r>
      <w:r w:rsidR="00B07C81">
        <w:t xml:space="preserve"> des traitements de physiothérapie </w:t>
      </w:r>
      <w:r>
        <w:t>s</w:t>
      </w:r>
      <w:r w:rsidR="00B07C81">
        <w:t>ont prescrits. Le 2</w:t>
      </w:r>
      <w:r w:rsidR="006365C7">
        <w:t> </w:t>
      </w:r>
      <w:r w:rsidR="00B07C81">
        <w:t>avril</w:t>
      </w:r>
      <w:r w:rsidR="006365C7">
        <w:t> </w:t>
      </w:r>
      <w:r w:rsidR="00B07C81">
        <w:t xml:space="preserve">2021, un arrêt de travail de quatre semaines est prescrit à la suite </w:t>
      </w:r>
      <w:r>
        <w:t>d’</w:t>
      </w:r>
      <w:r w:rsidR="00B07C81">
        <w:t xml:space="preserve">une injection de plasma riche en plaquettes. </w:t>
      </w:r>
    </w:p>
    <w:p w14:paraId="5FE999B5" w14:textId="7B0197A3" w:rsidR="00372C9E" w:rsidRDefault="000C647D" w:rsidP="00932A2D">
      <w:pPr>
        <w:pStyle w:val="corpsdedcision"/>
        <w:spacing w:after="240"/>
      </w:pPr>
      <w:r>
        <w:t>Tenant compte</w:t>
      </w:r>
      <w:r w:rsidR="00372C9E" w:rsidRPr="00B5197A">
        <w:t xml:space="preserve"> des circonstances pa</w:t>
      </w:r>
      <w:r w:rsidR="00372C9E">
        <w:t>rticulières du présent dossier,</w:t>
      </w:r>
      <w:r w:rsidR="00372C9E" w:rsidRPr="00B5197A">
        <w:t xml:space="preserve"> </w:t>
      </w:r>
      <w:r>
        <w:t>le Tribunal</w:t>
      </w:r>
      <w:r w:rsidR="00372C9E" w:rsidRPr="00B5197A">
        <w:t xml:space="preserve"> </w:t>
      </w:r>
      <w:r w:rsidR="001A02DA">
        <w:t xml:space="preserve">conclut </w:t>
      </w:r>
      <w:r w:rsidR="00372C9E" w:rsidRPr="00B5197A">
        <w:t xml:space="preserve">que le travailleur a démontré l’existence d’un motif raisonnable. Ses explications sont crédibles et ne sont pas dénuées de bon sens. </w:t>
      </w:r>
      <w:r>
        <w:t xml:space="preserve">Elles ne sont pas farfelues. </w:t>
      </w:r>
      <w:r w:rsidR="00372C9E" w:rsidRPr="00B5197A">
        <w:t xml:space="preserve">En effet, </w:t>
      </w:r>
      <w:r>
        <w:t>le travailleur a toujours été en mesure de poursuivre</w:t>
      </w:r>
      <w:r w:rsidR="00372C9E" w:rsidRPr="00B5197A">
        <w:t xml:space="preserve"> ses </w:t>
      </w:r>
      <w:r w:rsidR="00372C9E" w:rsidRPr="002E33F1">
        <w:t xml:space="preserve">tâches, </w:t>
      </w:r>
      <w:r w:rsidR="008566D3" w:rsidRPr="002E33F1">
        <w:t>ainsi</w:t>
      </w:r>
      <w:r w:rsidR="006A489B" w:rsidRPr="002E33F1">
        <w:t xml:space="preserve"> il y a</w:t>
      </w:r>
      <w:r w:rsidRPr="002E33F1">
        <w:t xml:space="preserve"> absence</w:t>
      </w:r>
      <w:r w:rsidR="00372C9E" w:rsidRPr="002E33F1">
        <w:t xml:space="preserve"> d’arrêt de travail</w:t>
      </w:r>
      <w:r w:rsidRPr="002E33F1">
        <w:t>. Il a reçu des traitements à compter de 201</w:t>
      </w:r>
      <w:r>
        <w:t>8</w:t>
      </w:r>
      <w:r w:rsidR="00223E7B">
        <w:t>,</w:t>
      </w:r>
      <w:r>
        <w:t xml:space="preserve"> mais n’a pas eu à débourser de sommes importantes. L’intérêt du travailleur à réclamer en 2018 était très relatif</w:t>
      </w:r>
      <w:r w:rsidR="00223E7B">
        <w:t>,</w:t>
      </w:r>
      <w:r>
        <w:t xml:space="preserve"> mais dès la prescription de l’arrêt de travail, de traitements de physiothérapie et de l’injection de plasma riche en plaquettes, il réclame dans les deux mois suivants. </w:t>
      </w:r>
      <w:r w:rsidR="006A489B">
        <w:t>Il a été diligent.</w:t>
      </w:r>
    </w:p>
    <w:p w14:paraId="650B4DCB" w14:textId="6ACF306A" w:rsidR="000C647D" w:rsidRDefault="000C647D" w:rsidP="000C647D">
      <w:pPr>
        <w:pStyle w:val="corpsdedcision"/>
        <w:tabs>
          <w:tab w:val="num" w:pos="720"/>
        </w:tabs>
      </w:pPr>
      <w:r>
        <w:t>Dans ce cas particulier, considérant le caractère hautement social de la Loi, il serait inéquitable de faire subir au travailleur le retard de sa réclamation</w:t>
      </w:r>
      <w:r w:rsidR="00AF6D46">
        <w:t xml:space="preserve"> conformément aux enseignements des tribunaux supérieurs</w:t>
      </w:r>
      <w:r>
        <w:t xml:space="preserve">. Le travailleur est relevé de son défaut d’avoir déposé sa réclamation en dehors du délai prévu à la Loi. </w:t>
      </w:r>
    </w:p>
    <w:p w14:paraId="52004A30" w14:textId="77777777" w:rsidR="00C74B6F" w:rsidRDefault="00C74B6F" w:rsidP="00932A2D">
      <w:pPr>
        <w:pStyle w:val="Dispositif"/>
        <w:spacing w:after="240"/>
      </w:pPr>
      <w:r>
        <w:rPr>
          <w:b/>
        </w:rPr>
        <w:t>P</w:t>
      </w:r>
      <w:r w:rsidR="00401325">
        <w:rPr>
          <w:b/>
        </w:rPr>
        <w:t>AR</w:t>
      </w:r>
      <w:r w:rsidR="00D07FA6">
        <w:rPr>
          <w:b/>
        </w:rPr>
        <w:t xml:space="preserve"> CES MOTIFS, LE TRIBUNAL ADMINISTRATIF DU TRAVAIL</w:t>
      </w:r>
      <w:r>
        <w:rPr>
          <w:b/>
        </w:rPr>
        <w:t> :</w:t>
      </w:r>
    </w:p>
    <w:p w14:paraId="79A25B9B" w14:textId="79FE08AA" w:rsidR="004724DC" w:rsidRPr="00B5197A" w:rsidRDefault="004724DC" w:rsidP="004724DC">
      <w:pPr>
        <w:pStyle w:val="Dispositif"/>
      </w:pPr>
      <w:r w:rsidRPr="004724DC">
        <w:rPr>
          <w:b/>
        </w:rPr>
        <w:t>ACCUEILLE</w:t>
      </w:r>
      <w:r w:rsidRPr="00B5197A">
        <w:t xml:space="preserve"> la </w:t>
      </w:r>
      <w:r>
        <w:t>contestation de monsieur Denis Parent, le travailleur</w:t>
      </w:r>
      <w:r w:rsidRPr="00B5197A">
        <w:t>;</w:t>
      </w:r>
    </w:p>
    <w:p w14:paraId="5EE97B33" w14:textId="02AEBD59" w:rsidR="00A703F7" w:rsidRDefault="00A703F7" w:rsidP="00A703F7">
      <w:pPr>
        <w:pStyle w:val="Dispositif"/>
      </w:pPr>
      <w:r>
        <w:rPr>
          <w:b/>
        </w:rPr>
        <w:t>INFIRME</w:t>
      </w:r>
      <w:r>
        <w:t xml:space="preserve"> la décision de la Commission des normes, de l’équité, de la santé et de la sécurité du travail rendue le 2 février 2022, à la suite d’une révision administrative;</w:t>
      </w:r>
    </w:p>
    <w:p w14:paraId="64A14E9B" w14:textId="5D594ABA" w:rsidR="004724DC" w:rsidRPr="00B5197A" w:rsidRDefault="004724DC" w:rsidP="004724DC">
      <w:pPr>
        <w:pStyle w:val="Dispositif"/>
      </w:pPr>
      <w:r w:rsidRPr="00B5197A">
        <w:rPr>
          <w:b/>
        </w:rPr>
        <w:t>DÉCLARE</w:t>
      </w:r>
      <w:r w:rsidRPr="00B5197A">
        <w:t xml:space="preserve"> recevable la réclamation </w:t>
      </w:r>
      <w:r>
        <w:t>du travailleur;</w:t>
      </w:r>
    </w:p>
    <w:p w14:paraId="1B516F8C" w14:textId="77777777" w:rsidR="004724DC" w:rsidRPr="00B5197A" w:rsidRDefault="004724DC" w:rsidP="00932A2D">
      <w:pPr>
        <w:pStyle w:val="Dispositif"/>
        <w:spacing w:after="0"/>
      </w:pPr>
      <w:r w:rsidRPr="00B5197A">
        <w:rPr>
          <w:b/>
        </w:rPr>
        <w:t xml:space="preserve">CONVOQUERA </w:t>
      </w:r>
      <w:r w:rsidRPr="00B5197A">
        <w:t>de nouveau</w:t>
      </w:r>
      <w:r w:rsidRPr="00B5197A">
        <w:rPr>
          <w:b/>
        </w:rPr>
        <w:t xml:space="preserve"> </w:t>
      </w:r>
      <w:r w:rsidRPr="00B5197A">
        <w:t>les parties à une audience sur le fond de la contestation du travailleur.</w:t>
      </w:r>
    </w:p>
    <w:p w14:paraId="38707EE4" w14:textId="77777777" w:rsidR="00C74B6F" w:rsidRDefault="00C74B6F">
      <w:pPr>
        <w:pStyle w:val="Dispositif"/>
      </w:pPr>
    </w:p>
    <w:tbl>
      <w:tblPr>
        <w:tblW w:w="9590" w:type="dxa"/>
        <w:tblLayout w:type="fixed"/>
        <w:tblCellMar>
          <w:left w:w="70" w:type="dxa"/>
          <w:right w:w="70" w:type="dxa"/>
        </w:tblCellMar>
        <w:tblLook w:val="0000" w:firstRow="0" w:lastRow="0" w:firstColumn="0" w:lastColumn="0" w:noHBand="0" w:noVBand="0"/>
      </w:tblPr>
      <w:tblGrid>
        <w:gridCol w:w="4795"/>
        <w:gridCol w:w="4795"/>
      </w:tblGrid>
      <w:tr w:rsidR="00C74B6F" w14:paraId="11B328B2" w14:textId="77777777">
        <w:tc>
          <w:tcPr>
            <w:tcW w:w="4795" w:type="dxa"/>
          </w:tcPr>
          <w:p w14:paraId="4EC0BC94" w14:textId="77777777" w:rsidR="00C74B6F" w:rsidRDefault="00C74B6F"/>
        </w:tc>
        <w:tc>
          <w:tcPr>
            <w:tcW w:w="4795" w:type="dxa"/>
          </w:tcPr>
          <w:p w14:paraId="530F6C1B" w14:textId="77777777" w:rsidR="00C74B6F" w:rsidRDefault="00C74B6F">
            <w:bookmarkStart w:id="14" w:name="signature"/>
            <w:bookmarkEnd w:id="14"/>
            <w:r>
              <w:t>__________________________________</w:t>
            </w:r>
          </w:p>
        </w:tc>
      </w:tr>
      <w:tr w:rsidR="00C74B6F" w14:paraId="5ACE06E7" w14:textId="77777777">
        <w:tc>
          <w:tcPr>
            <w:tcW w:w="4795" w:type="dxa"/>
          </w:tcPr>
          <w:p w14:paraId="212CE2D2" w14:textId="77777777" w:rsidR="00C74B6F" w:rsidRDefault="00C74B6F"/>
        </w:tc>
        <w:tc>
          <w:tcPr>
            <w:tcW w:w="4795" w:type="dxa"/>
          </w:tcPr>
          <w:p w14:paraId="520667EE" w14:textId="2B3D9F72" w:rsidR="00C74B6F" w:rsidRDefault="007E450F">
            <w:r>
              <w:t>Marie-Claude Lavoie</w:t>
            </w:r>
          </w:p>
        </w:tc>
      </w:tr>
      <w:tr w:rsidR="00C74B6F" w14:paraId="674894E3" w14:textId="77777777">
        <w:trPr>
          <w:cantSplit/>
        </w:trPr>
        <w:tc>
          <w:tcPr>
            <w:tcW w:w="9590" w:type="dxa"/>
            <w:gridSpan w:val="2"/>
          </w:tcPr>
          <w:p w14:paraId="2CEBA5E9" w14:textId="77777777" w:rsidR="00C74B6F" w:rsidRDefault="00C74B6F"/>
        </w:tc>
      </w:tr>
      <w:tr w:rsidR="00C74B6F" w14:paraId="7DE7676A" w14:textId="77777777">
        <w:trPr>
          <w:cantSplit/>
        </w:trPr>
        <w:tc>
          <w:tcPr>
            <w:tcW w:w="9590" w:type="dxa"/>
            <w:gridSpan w:val="2"/>
          </w:tcPr>
          <w:p w14:paraId="72E95ED1" w14:textId="77777777" w:rsidR="00C74B6F" w:rsidRDefault="00C74B6F"/>
        </w:tc>
      </w:tr>
      <w:tr w:rsidR="00861F8B" w14:paraId="4A8AFE3E" w14:textId="77777777">
        <w:trPr>
          <w:cantSplit/>
        </w:trPr>
        <w:tc>
          <w:tcPr>
            <w:tcW w:w="9590" w:type="dxa"/>
            <w:gridSpan w:val="2"/>
          </w:tcPr>
          <w:p w14:paraId="31775880" w14:textId="046CA729" w:rsidR="00596AB2" w:rsidRPr="00596AB2" w:rsidRDefault="000C7D89" w:rsidP="00596AB2">
            <w:r>
              <w:t>M. Denis Parent</w:t>
            </w:r>
          </w:p>
        </w:tc>
      </w:tr>
      <w:tr w:rsidR="00861F8B" w14:paraId="606D773E" w14:textId="77777777">
        <w:trPr>
          <w:cantSplit/>
        </w:trPr>
        <w:tc>
          <w:tcPr>
            <w:tcW w:w="9590" w:type="dxa"/>
            <w:gridSpan w:val="2"/>
          </w:tcPr>
          <w:p w14:paraId="51485EE6" w14:textId="40EA08E9" w:rsidR="00861F8B" w:rsidRDefault="00E25DCB">
            <w:r>
              <w:fldChar w:fldCharType="begin"/>
            </w:r>
            <w:r>
              <w:instrText xml:space="preserve"> MACROBUTTON  AbaisserNiveauListe </w:instrText>
            </w:r>
            <w:r>
              <w:fldChar w:fldCharType="end"/>
            </w:r>
            <w:r w:rsidR="000C7D89">
              <w:t>Pour lui-même</w:t>
            </w:r>
          </w:p>
        </w:tc>
      </w:tr>
      <w:tr w:rsidR="00C74B6F" w14:paraId="0DBB0866" w14:textId="77777777">
        <w:trPr>
          <w:cantSplit/>
        </w:trPr>
        <w:tc>
          <w:tcPr>
            <w:tcW w:w="9590" w:type="dxa"/>
            <w:gridSpan w:val="2"/>
          </w:tcPr>
          <w:p w14:paraId="62846F9F" w14:textId="77777777" w:rsidR="00C74B6F" w:rsidRDefault="00C74B6F"/>
        </w:tc>
      </w:tr>
      <w:tr w:rsidR="00A74DF7" w14:paraId="745322D4" w14:textId="77777777">
        <w:trPr>
          <w:cantSplit/>
        </w:trPr>
        <w:tc>
          <w:tcPr>
            <w:tcW w:w="9590" w:type="dxa"/>
            <w:gridSpan w:val="2"/>
          </w:tcPr>
          <w:p w14:paraId="3DB56E3E" w14:textId="63610062" w:rsidR="00A74DF7" w:rsidRPr="001A02DA" w:rsidRDefault="00A74DF7">
            <w:r w:rsidRPr="001A02DA">
              <w:t>M. Simon Fortier</w:t>
            </w:r>
          </w:p>
        </w:tc>
      </w:tr>
      <w:tr w:rsidR="00C74B6F" w:rsidRPr="00B97728" w14:paraId="5E34E0A3" w14:textId="77777777">
        <w:trPr>
          <w:cantSplit/>
        </w:trPr>
        <w:tc>
          <w:tcPr>
            <w:tcW w:w="9590" w:type="dxa"/>
            <w:gridSpan w:val="2"/>
          </w:tcPr>
          <w:p w14:paraId="40322150" w14:textId="7B7FC733" w:rsidR="00C74B6F" w:rsidRPr="001A02DA" w:rsidRDefault="00CC1D82">
            <w:pPr>
              <w:pStyle w:val="zSoquijdatNomProcureurDef"/>
            </w:pPr>
            <w:r>
              <w:t>Pour</w:t>
            </w:r>
            <w:r w:rsidR="00A74DF7" w:rsidRPr="001A02DA">
              <w:t xml:space="preserve"> la partie mise en cause</w:t>
            </w:r>
          </w:p>
        </w:tc>
      </w:tr>
      <w:tr w:rsidR="00C74B6F" w:rsidRPr="00B97728" w14:paraId="24DBC9A9" w14:textId="77777777">
        <w:trPr>
          <w:cantSplit/>
        </w:trPr>
        <w:tc>
          <w:tcPr>
            <w:tcW w:w="9590" w:type="dxa"/>
            <w:gridSpan w:val="2"/>
          </w:tcPr>
          <w:p w14:paraId="2D9AC09B" w14:textId="54594C42" w:rsidR="00C74B6F" w:rsidRPr="00B97728" w:rsidRDefault="00C74B6F">
            <w:pPr>
              <w:pStyle w:val="zSoquijdatCabinetProcureurDef"/>
              <w:rPr>
                <w:highlight w:val="yellow"/>
              </w:rPr>
            </w:pPr>
          </w:p>
        </w:tc>
      </w:tr>
      <w:tr w:rsidR="00C74B6F" w14:paraId="120E8A56" w14:textId="77777777">
        <w:trPr>
          <w:cantSplit/>
        </w:trPr>
        <w:tc>
          <w:tcPr>
            <w:tcW w:w="9590" w:type="dxa"/>
            <w:gridSpan w:val="2"/>
          </w:tcPr>
          <w:p w14:paraId="2C92AD49" w14:textId="277A65E3" w:rsidR="00C74B6F" w:rsidRDefault="00B97728">
            <w:pPr>
              <w:pStyle w:val="zSoquijdatNomProcureurInt"/>
            </w:pPr>
            <w:r>
              <w:t>M</w:t>
            </w:r>
            <w:r w:rsidRPr="00B97728">
              <w:rPr>
                <w:vertAlign w:val="superscript"/>
              </w:rPr>
              <w:t>e</w:t>
            </w:r>
            <w:r>
              <w:t xml:space="preserve"> Karine Giroux</w:t>
            </w:r>
          </w:p>
        </w:tc>
      </w:tr>
      <w:tr w:rsidR="00C74B6F" w14:paraId="1FB394A1" w14:textId="77777777">
        <w:trPr>
          <w:cantSplit/>
        </w:trPr>
        <w:tc>
          <w:tcPr>
            <w:tcW w:w="9590" w:type="dxa"/>
            <w:gridSpan w:val="2"/>
          </w:tcPr>
          <w:p w14:paraId="52DDBD4A" w14:textId="0880D5AD" w:rsidR="00C74B6F" w:rsidRDefault="00B97728">
            <w:pPr>
              <w:pStyle w:val="zSoquijdatCabinetProcureurInt"/>
            </w:pPr>
            <w:r>
              <w:t>PINEAULT AVOCATS CNESST</w:t>
            </w:r>
          </w:p>
        </w:tc>
      </w:tr>
      <w:tr w:rsidR="00C74B6F" w14:paraId="55A8B390" w14:textId="77777777">
        <w:trPr>
          <w:cantSplit/>
        </w:trPr>
        <w:tc>
          <w:tcPr>
            <w:tcW w:w="9590" w:type="dxa"/>
            <w:gridSpan w:val="2"/>
          </w:tcPr>
          <w:p w14:paraId="4759A8AC" w14:textId="330D4700" w:rsidR="00C74B6F" w:rsidRDefault="007569DE">
            <w:pPr>
              <w:pStyle w:val="zSoquijlblProcureurInt"/>
            </w:pPr>
            <w:r>
              <w:t xml:space="preserve">Pour la partie </w:t>
            </w:r>
            <w:r w:rsidR="00B97728">
              <w:t>intervenante</w:t>
            </w:r>
          </w:p>
        </w:tc>
      </w:tr>
      <w:tr w:rsidR="00C15A3F" w14:paraId="6DB508A4" w14:textId="77777777">
        <w:trPr>
          <w:cantSplit/>
        </w:trPr>
        <w:tc>
          <w:tcPr>
            <w:tcW w:w="9590" w:type="dxa"/>
            <w:gridSpan w:val="2"/>
          </w:tcPr>
          <w:p w14:paraId="43FD766D" w14:textId="77777777" w:rsidR="00C15A3F" w:rsidRDefault="00C15A3F">
            <w:pPr>
              <w:pStyle w:val="zSoquijlblProcureurInt"/>
            </w:pPr>
          </w:p>
        </w:tc>
      </w:tr>
      <w:tr w:rsidR="00C15A3F" w14:paraId="48DD50F5" w14:textId="77777777">
        <w:trPr>
          <w:cantSplit/>
        </w:trPr>
        <w:tc>
          <w:tcPr>
            <w:tcW w:w="9590" w:type="dxa"/>
            <w:gridSpan w:val="2"/>
          </w:tcPr>
          <w:p w14:paraId="55195BA3" w14:textId="6C89357A" w:rsidR="00C15A3F" w:rsidRDefault="00C15A3F" w:rsidP="000E56A6">
            <w:pPr>
              <w:pStyle w:val="zSoquijdatDateAudience"/>
            </w:pPr>
            <w:bookmarkStart w:id="15" w:name="Date_derniere_audience"/>
            <w:bookmarkEnd w:id="15"/>
            <w:r>
              <w:t xml:space="preserve">Date de la </w:t>
            </w:r>
            <w:r w:rsidR="00CC6338">
              <w:t>mise en délibéré</w:t>
            </w:r>
            <w:r>
              <w:t> :</w:t>
            </w:r>
            <w:r w:rsidR="00597016">
              <w:tab/>
            </w:r>
            <w:r w:rsidR="00B97728">
              <w:t>16 mai</w:t>
            </w:r>
            <w:r w:rsidR="00932A2D">
              <w:t xml:space="preserve"> </w:t>
            </w:r>
            <w:r w:rsidR="00B97728">
              <w:t>2024</w:t>
            </w:r>
          </w:p>
        </w:tc>
      </w:tr>
    </w:tbl>
    <w:p w14:paraId="23E3534E" w14:textId="77777777" w:rsidR="002542E0" w:rsidRDefault="002542E0" w:rsidP="00932A2D">
      <w:pPr>
        <w:pStyle w:val="corpsdedcision"/>
        <w:numPr>
          <w:ilvl w:val="0"/>
          <w:numId w:val="0"/>
        </w:numPr>
        <w:tabs>
          <w:tab w:val="clear" w:pos="720"/>
        </w:tabs>
      </w:pPr>
    </w:p>
    <w:sectPr w:rsidR="002542E0">
      <w:headerReference w:type="default" r:id="rId7"/>
      <w:pgSz w:w="12240" w:h="15840" w:code="1"/>
      <w:pgMar w:top="1152"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A2811" w14:textId="77777777" w:rsidR="005B55B5" w:rsidRDefault="005B55B5">
      <w:r>
        <w:separator/>
      </w:r>
    </w:p>
  </w:endnote>
  <w:endnote w:type="continuationSeparator" w:id="0">
    <w:p w14:paraId="453C353B" w14:textId="77777777" w:rsidR="005B55B5" w:rsidRDefault="005B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0DCE9" w14:textId="77777777" w:rsidR="005B55B5" w:rsidRDefault="005B55B5">
      <w:r>
        <w:separator/>
      </w:r>
    </w:p>
  </w:footnote>
  <w:footnote w:type="continuationSeparator" w:id="0">
    <w:p w14:paraId="4E6B1550" w14:textId="77777777" w:rsidR="005B55B5" w:rsidRDefault="005B55B5">
      <w:r>
        <w:continuationSeparator/>
      </w:r>
    </w:p>
  </w:footnote>
  <w:footnote w:id="1">
    <w:p w14:paraId="71A467E4" w14:textId="77777777" w:rsidR="0056368C" w:rsidRDefault="0056368C" w:rsidP="0056368C">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RLRQ, c. A-3.001.</w:t>
      </w:r>
    </w:p>
  </w:footnote>
  <w:footnote w:id="2">
    <w:p w14:paraId="14F63F47" w14:textId="4753E56C" w:rsidR="00E67084" w:rsidRPr="00E67084" w:rsidRDefault="00E67084" w:rsidP="00E67084">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 xml:space="preserve">Décision du 2 février 2022. </w:t>
      </w:r>
    </w:p>
  </w:footnote>
  <w:footnote w:id="3">
    <w:p w14:paraId="66AEBD31" w14:textId="0C9FED43" w:rsidR="004C570B" w:rsidRPr="004C570B" w:rsidRDefault="004C570B" w:rsidP="004C570B">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4C570B">
        <w:rPr>
          <w:rFonts w:cs="Arial"/>
          <w:i/>
          <w:iCs/>
          <w:sz w:val="20"/>
        </w:rPr>
        <w:t>Ford Élite (1978) inc.</w:t>
      </w:r>
      <w:r w:rsidRPr="004C570B">
        <w:rPr>
          <w:rFonts w:cs="Arial"/>
          <w:sz w:val="20"/>
        </w:rPr>
        <w:t xml:space="preserve"> et </w:t>
      </w:r>
      <w:r w:rsidRPr="004C570B">
        <w:rPr>
          <w:rFonts w:cs="Arial"/>
          <w:i/>
          <w:iCs/>
          <w:sz w:val="20"/>
        </w:rPr>
        <w:t>Coursol,</w:t>
      </w:r>
      <w:r>
        <w:rPr>
          <w:rFonts w:cs="Arial"/>
          <w:sz w:val="20"/>
        </w:rPr>
        <w:t xml:space="preserve"> 2023</w:t>
      </w:r>
      <w:r w:rsidR="005C46F9">
        <w:rPr>
          <w:rFonts w:cs="Arial"/>
          <w:sz w:val="20"/>
        </w:rPr>
        <w:t> </w:t>
      </w:r>
      <w:r>
        <w:rPr>
          <w:rFonts w:cs="Arial"/>
          <w:sz w:val="20"/>
        </w:rPr>
        <w:t>QCTAT</w:t>
      </w:r>
      <w:r w:rsidR="005C46F9">
        <w:rPr>
          <w:rFonts w:cs="Arial"/>
          <w:sz w:val="20"/>
        </w:rPr>
        <w:t> </w:t>
      </w:r>
      <w:r>
        <w:rPr>
          <w:rFonts w:cs="Arial"/>
          <w:sz w:val="20"/>
        </w:rPr>
        <w:t xml:space="preserve">3628. </w:t>
      </w:r>
    </w:p>
  </w:footnote>
  <w:footnote w:id="4">
    <w:p w14:paraId="6BB808A0" w14:textId="77777777" w:rsidR="00F53428" w:rsidRPr="00EC2676" w:rsidRDefault="00F53428" w:rsidP="00F53428">
      <w:pPr>
        <w:pStyle w:val="Notedebasdepage"/>
        <w:tabs>
          <w:tab w:val="left" w:pos="720"/>
        </w:tabs>
        <w:ind w:left="720" w:hanging="720"/>
        <w:jc w:val="both"/>
        <w:rPr>
          <w:rFonts w:cs="Arial"/>
          <w:sz w:val="20"/>
        </w:rPr>
      </w:pPr>
      <w:r w:rsidRPr="007A204B">
        <w:rPr>
          <w:rStyle w:val="Appelnotedebasdep"/>
        </w:rPr>
        <w:footnoteRef/>
      </w:r>
      <w:r w:rsidRPr="007A204B">
        <w:t xml:space="preserve"> </w:t>
      </w:r>
      <w:r w:rsidRPr="007A204B">
        <w:rPr>
          <w:rFonts w:cs="Arial"/>
          <w:sz w:val="20"/>
        </w:rPr>
        <w:tab/>
      </w:r>
      <w:r w:rsidRPr="007A204B">
        <w:rPr>
          <w:rFonts w:cs="Arial"/>
          <w:i/>
          <w:sz w:val="20"/>
        </w:rPr>
        <w:t xml:space="preserve">Lachance </w:t>
      </w:r>
      <w:r w:rsidRPr="007A204B">
        <w:rPr>
          <w:rFonts w:cs="Arial"/>
          <w:sz w:val="20"/>
        </w:rPr>
        <w:t>et</w:t>
      </w:r>
      <w:r w:rsidRPr="007A204B">
        <w:rPr>
          <w:rFonts w:cs="Arial"/>
          <w:i/>
          <w:sz w:val="20"/>
        </w:rPr>
        <w:t xml:space="preserve"> Groupe Canam Manac inc</w:t>
      </w:r>
      <w:r w:rsidRPr="007A204B">
        <w:rPr>
          <w:rFonts w:cs="Arial"/>
          <w:sz w:val="20"/>
        </w:rPr>
        <w:t>., C.L.P. 148321-03B-0010, 10 juillet 2001, P. Brazeau.</w:t>
      </w:r>
    </w:p>
  </w:footnote>
  <w:footnote w:id="5">
    <w:p w14:paraId="0E2FE22E" w14:textId="77777777" w:rsidR="00F53428" w:rsidRDefault="00F53428" w:rsidP="00F53428">
      <w:pPr>
        <w:pStyle w:val="Notedebasdepage"/>
      </w:pPr>
      <w:r>
        <w:rPr>
          <w:rStyle w:val="Appelnotedebasdep"/>
        </w:rPr>
        <w:footnoteRef/>
      </w:r>
      <w:r>
        <w:t xml:space="preserve"> </w:t>
      </w:r>
      <w:r>
        <w:tab/>
      </w:r>
      <w:r>
        <w:rPr>
          <w:rFonts w:cs="Arial"/>
          <w:sz w:val="20"/>
        </w:rPr>
        <w:t>RLRQ, c. T-15.1.</w:t>
      </w:r>
    </w:p>
  </w:footnote>
  <w:footnote w:id="6">
    <w:p w14:paraId="5E04C285" w14:textId="36BD4D56" w:rsidR="00F53428" w:rsidRPr="008E731D" w:rsidRDefault="00F53428" w:rsidP="00F53428">
      <w:pPr>
        <w:autoSpaceDE w:val="0"/>
        <w:autoSpaceDN w:val="0"/>
        <w:adjustRightInd w:val="0"/>
        <w:ind w:left="708" w:hanging="708"/>
        <w:jc w:val="both"/>
        <w:rPr>
          <w:rFonts w:cs="Arial"/>
          <w:sz w:val="20"/>
        </w:rPr>
      </w:pPr>
      <w:r w:rsidRPr="00786D8E">
        <w:rPr>
          <w:rStyle w:val="Appelnotedebasdep"/>
          <w:szCs w:val="24"/>
        </w:rPr>
        <w:footnoteRef/>
      </w:r>
      <w:r w:rsidRPr="00D92F7E">
        <w:rPr>
          <w:sz w:val="20"/>
        </w:rPr>
        <w:t xml:space="preserve"> </w:t>
      </w:r>
      <w:r w:rsidRPr="00D92F7E">
        <w:rPr>
          <w:sz w:val="20"/>
        </w:rPr>
        <w:tab/>
      </w:r>
      <w:r w:rsidRPr="00C03191">
        <w:rPr>
          <w:i/>
          <w:sz w:val="20"/>
        </w:rPr>
        <w:t xml:space="preserve">Viault </w:t>
      </w:r>
      <w:r w:rsidRPr="00C03191">
        <w:rPr>
          <w:sz w:val="20"/>
        </w:rPr>
        <w:t>et</w:t>
      </w:r>
      <w:r w:rsidRPr="00C03191">
        <w:rPr>
          <w:i/>
          <w:sz w:val="20"/>
        </w:rPr>
        <w:t xml:space="preserve"> Le Bifthèque</w:t>
      </w:r>
      <w:r w:rsidRPr="00C03191">
        <w:rPr>
          <w:sz w:val="20"/>
        </w:rPr>
        <w:t xml:space="preserve">, </w:t>
      </w:r>
      <w:r>
        <w:rPr>
          <w:rFonts w:cs="Arial"/>
          <w:sz w:val="20"/>
        </w:rPr>
        <w:t>C.L.P. 242031-32-0408, 18 janvier </w:t>
      </w:r>
      <w:r w:rsidRPr="00C03191">
        <w:rPr>
          <w:rFonts w:cs="Arial"/>
          <w:sz w:val="20"/>
        </w:rPr>
        <w:t>2005, L. Langlois;</w:t>
      </w:r>
      <w:r w:rsidRPr="00C03191">
        <w:rPr>
          <w:sz w:val="20"/>
        </w:rPr>
        <w:t xml:space="preserve"> </w:t>
      </w:r>
      <w:r w:rsidRPr="00C03191">
        <w:rPr>
          <w:i/>
          <w:sz w:val="20"/>
        </w:rPr>
        <w:t xml:space="preserve">Beaumont </w:t>
      </w:r>
      <w:r w:rsidRPr="00C03191">
        <w:rPr>
          <w:sz w:val="20"/>
        </w:rPr>
        <w:t xml:space="preserve">et </w:t>
      </w:r>
      <w:r w:rsidRPr="00C03191">
        <w:rPr>
          <w:i/>
          <w:sz w:val="20"/>
        </w:rPr>
        <w:t xml:space="preserve">Groupe Qualinet </w:t>
      </w:r>
      <w:r w:rsidRPr="00C03191">
        <w:rPr>
          <w:rFonts w:cs="Arial"/>
          <w:i/>
          <w:sz w:val="20"/>
        </w:rPr>
        <w:t>inc.</w:t>
      </w:r>
      <w:r w:rsidRPr="00C03191">
        <w:rPr>
          <w:rFonts w:cs="Arial"/>
          <w:sz w:val="20"/>
        </w:rPr>
        <w:t>, C.L.P. 258489-32-0503, 16</w:t>
      </w:r>
      <w:r>
        <w:rPr>
          <w:rFonts w:cs="Arial"/>
          <w:sz w:val="20"/>
        </w:rPr>
        <w:t> juin </w:t>
      </w:r>
      <w:r w:rsidRPr="00C03191">
        <w:rPr>
          <w:rFonts w:cs="Arial"/>
          <w:sz w:val="20"/>
        </w:rPr>
        <w:t>2005, C. Lessard;</w:t>
      </w:r>
      <w:r w:rsidRPr="00C03191">
        <w:rPr>
          <w:rFonts w:cs="Arial"/>
          <w:i/>
          <w:sz w:val="20"/>
        </w:rPr>
        <w:t xml:space="preserve"> Al Asmar </w:t>
      </w:r>
      <w:r w:rsidRPr="00C03191">
        <w:rPr>
          <w:rFonts w:cs="Arial"/>
          <w:sz w:val="20"/>
        </w:rPr>
        <w:t>et</w:t>
      </w:r>
      <w:r w:rsidRPr="00C03191">
        <w:rPr>
          <w:rFonts w:cs="Arial"/>
          <w:i/>
          <w:sz w:val="20"/>
        </w:rPr>
        <w:t xml:space="preserve"> C. Soins Prolongés de Montréal</w:t>
      </w:r>
      <w:r w:rsidRPr="00C03191">
        <w:rPr>
          <w:rFonts w:cs="Arial"/>
          <w:sz w:val="20"/>
        </w:rPr>
        <w:t>,</w:t>
      </w:r>
      <w:r w:rsidRPr="00C03191">
        <w:rPr>
          <w:rFonts w:cs="Arial"/>
          <w:i/>
          <w:sz w:val="20"/>
        </w:rPr>
        <w:t xml:space="preserve"> </w:t>
      </w:r>
      <w:r>
        <w:rPr>
          <w:rFonts w:cs="Arial"/>
          <w:sz w:val="20"/>
        </w:rPr>
        <w:t>C.L.P. 399806-71-1001, 11 juin </w:t>
      </w:r>
      <w:r w:rsidRPr="00C03191">
        <w:rPr>
          <w:rFonts w:cs="Arial"/>
          <w:sz w:val="20"/>
        </w:rPr>
        <w:t>2010, R.M.</w:t>
      </w:r>
      <w:r w:rsidR="008E47F5">
        <w:rPr>
          <w:rFonts w:cs="Arial"/>
          <w:sz w:val="20"/>
        </w:rPr>
        <w:t> </w:t>
      </w:r>
      <w:r w:rsidRPr="00C03191">
        <w:rPr>
          <w:rFonts w:cs="Arial"/>
          <w:sz w:val="20"/>
        </w:rPr>
        <w:t>Goyette</w:t>
      </w:r>
      <w:r w:rsidRPr="00C03191">
        <w:rPr>
          <w:sz w:val="20"/>
        </w:rPr>
        <w:t>.</w:t>
      </w:r>
    </w:p>
  </w:footnote>
  <w:footnote w:id="7">
    <w:p w14:paraId="77A750EA" w14:textId="7DF902F5" w:rsidR="00F53428" w:rsidRPr="007A204B" w:rsidRDefault="00F53428" w:rsidP="00F53428">
      <w:pPr>
        <w:pStyle w:val="Notedebasdepage"/>
        <w:tabs>
          <w:tab w:val="left" w:pos="720"/>
        </w:tabs>
        <w:ind w:left="720" w:hanging="720"/>
        <w:jc w:val="both"/>
        <w:rPr>
          <w:rFonts w:cs="Arial"/>
          <w:sz w:val="20"/>
        </w:rPr>
      </w:pPr>
      <w:r w:rsidRPr="007A204B">
        <w:rPr>
          <w:rStyle w:val="Appelnotedebasdep"/>
          <w:szCs w:val="24"/>
        </w:rPr>
        <w:footnoteRef/>
      </w:r>
      <w:r w:rsidRPr="007A204B">
        <w:rPr>
          <w:sz w:val="20"/>
        </w:rPr>
        <w:t xml:space="preserve"> </w:t>
      </w:r>
      <w:r w:rsidRPr="007A204B">
        <w:rPr>
          <w:sz w:val="20"/>
        </w:rPr>
        <w:tab/>
      </w:r>
      <w:r>
        <w:rPr>
          <w:rFonts w:cs="Arial"/>
          <w:sz w:val="20"/>
        </w:rPr>
        <w:t>C.L.P. 198117-03B-0301, 4 décembre </w:t>
      </w:r>
      <w:r w:rsidRPr="007A204B">
        <w:rPr>
          <w:rFonts w:cs="Arial"/>
          <w:sz w:val="20"/>
        </w:rPr>
        <w:t>2003, G.</w:t>
      </w:r>
      <w:r w:rsidR="008E47F5">
        <w:rPr>
          <w:rFonts w:cs="Arial"/>
          <w:sz w:val="20"/>
        </w:rPr>
        <w:t> </w:t>
      </w:r>
      <w:r w:rsidRPr="007A204B">
        <w:rPr>
          <w:rFonts w:cs="Arial"/>
          <w:sz w:val="20"/>
        </w:rPr>
        <w:t>Marquis.</w:t>
      </w:r>
    </w:p>
  </w:footnote>
  <w:footnote w:id="8">
    <w:p w14:paraId="68D810B9" w14:textId="77777777" w:rsidR="00F53428" w:rsidRPr="00F53492" w:rsidRDefault="00F53428" w:rsidP="00F53428">
      <w:pPr>
        <w:pStyle w:val="Notedebasdepage"/>
        <w:tabs>
          <w:tab w:val="left" w:pos="720"/>
        </w:tabs>
        <w:ind w:left="720" w:hanging="720"/>
        <w:jc w:val="both"/>
        <w:rPr>
          <w:rFonts w:cs="Arial"/>
          <w:sz w:val="20"/>
        </w:rPr>
      </w:pPr>
      <w:r w:rsidRPr="007A204B">
        <w:rPr>
          <w:rStyle w:val="Appelnotedebasdep"/>
        </w:rPr>
        <w:footnoteRef/>
      </w:r>
      <w:r w:rsidRPr="007A204B">
        <w:t xml:space="preserve"> </w:t>
      </w:r>
      <w:r w:rsidRPr="007A204B">
        <w:rPr>
          <w:rFonts w:cs="Arial"/>
          <w:sz w:val="20"/>
        </w:rPr>
        <w:tab/>
        <w:t>2019 QCTAT 4666.</w:t>
      </w:r>
      <w:r>
        <w:rPr>
          <w:rFonts w:cs="Arial"/>
          <w:sz w:val="20"/>
        </w:rPr>
        <w:t xml:space="preserve"> </w:t>
      </w:r>
    </w:p>
  </w:footnote>
  <w:footnote w:id="9">
    <w:p w14:paraId="440682D1" w14:textId="77777777" w:rsidR="00F53428" w:rsidRPr="008E731D" w:rsidRDefault="00F53428" w:rsidP="00F53428">
      <w:pPr>
        <w:pStyle w:val="Notedebasdepage"/>
        <w:tabs>
          <w:tab w:val="left" w:pos="720"/>
        </w:tabs>
        <w:ind w:left="720" w:hanging="720"/>
        <w:jc w:val="both"/>
        <w:rPr>
          <w:rFonts w:cs="Arial"/>
          <w:sz w:val="20"/>
        </w:rPr>
      </w:pPr>
      <w:r w:rsidRPr="00AA2626">
        <w:rPr>
          <w:rStyle w:val="Appelnotedebasdep"/>
          <w:sz w:val="20"/>
        </w:rPr>
        <w:footnoteRef/>
      </w:r>
      <w:r w:rsidRPr="00AA2626">
        <w:rPr>
          <w:sz w:val="20"/>
        </w:rPr>
        <w:t xml:space="preserve"> </w:t>
      </w:r>
      <w:r w:rsidRPr="00AA2626">
        <w:rPr>
          <w:rFonts w:cs="Arial"/>
          <w:sz w:val="20"/>
        </w:rPr>
        <w:tab/>
        <w:t>2014 QCCLP 1100.</w:t>
      </w:r>
    </w:p>
  </w:footnote>
  <w:footnote w:id="10">
    <w:p w14:paraId="48D55E32" w14:textId="77777777" w:rsidR="00F53428" w:rsidRPr="00862B91" w:rsidRDefault="00F53428" w:rsidP="00F53428">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 xml:space="preserve">2021 QCTAT 5971. </w:t>
      </w:r>
    </w:p>
  </w:footnote>
  <w:footnote w:id="11">
    <w:p w14:paraId="3ECAB9FF" w14:textId="415573B5" w:rsidR="00AF6D46" w:rsidRPr="00E34C9F" w:rsidRDefault="00AF6D46" w:rsidP="00AF6D46">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2022</w:t>
      </w:r>
      <w:r w:rsidR="009C37CB">
        <w:rPr>
          <w:rFonts w:cs="Arial"/>
          <w:sz w:val="20"/>
        </w:rPr>
        <w:t> </w:t>
      </w:r>
      <w:r>
        <w:rPr>
          <w:rFonts w:cs="Arial"/>
          <w:sz w:val="20"/>
        </w:rPr>
        <w:t>QCTAT</w:t>
      </w:r>
      <w:r w:rsidR="009C37CB">
        <w:rPr>
          <w:rFonts w:cs="Arial"/>
          <w:sz w:val="20"/>
        </w:rPr>
        <w:t> </w:t>
      </w:r>
      <w:r>
        <w:rPr>
          <w:rFonts w:cs="Arial"/>
          <w:sz w:val="20"/>
        </w:rPr>
        <w:t>621.</w:t>
      </w:r>
    </w:p>
  </w:footnote>
  <w:footnote w:id="12">
    <w:p w14:paraId="087F9F2B" w14:textId="1DE00530" w:rsidR="00AF6D46" w:rsidRPr="00C82AF2" w:rsidRDefault="00AF6D46" w:rsidP="00AF6D46">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C82AF2">
        <w:rPr>
          <w:rFonts w:cs="Arial"/>
          <w:i/>
          <w:sz w:val="20"/>
        </w:rPr>
        <w:t xml:space="preserve">Nouani </w:t>
      </w:r>
      <w:r w:rsidRPr="00C82AF2">
        <w:rPr>
          <w:rFonts w:cs="Arial"/>
          <w:sz w:val="20"/>
        </w:rPr>
        <w:t xml:space="preserve">et </w:t>
      </w:r>
      <w:r w:rsidRPr="00C82AF2">
        <w:rPr>
          <w:rFonts w:cs="Arial"/>
          <w:i/>
          <w:sz w:val="20"/>
        </w:rPr>
        <w:t>Construction Michel Stratis inc</w:t>
      </w:r>
      <w:r>
        <w:rPr>
          <w:rFonts w:cs="Arial"/>
          <w:sz w:val="20"/>
        </w:rPr>
        <w:t>., 2022</w:t>
      </w:r>
      <w:r w:rsidR="007E450F">
        <w:rPr>
          <w:rFonts w:cs="Arial"/>
          <w:sz w:val="20"/>
        </w:rPr>
        <w:t> </w:t>
      </w:r>
      <w:r>
        <w:rPr>
          <w:rFonts w:cs="Arial"/>
          <w:sz w:val="20"/>
        </w:rPr>
        <w:t>QCTAT</w:t>
      </w:r>
      <w:r w:rsidR="007E450F">
        <w:rPr>
          <w:rFonts w:cs="Arial"/>
          <w:sz w:val="20"/>
        </w:rPr>
        <w:t> </w:t>
      </w:r>
      <w:r>
        <w:rPr>
          <w:rFonts w:cs="Arial"/>
          <w:sz w:val="20"/>
        </w:rPr>
        <w:t xml:space="preserve">2550; </w:t>
      </w:r>
      <w:r w:rsidRPr="00C82AF2">
        <w:rPr>
          <w:rFonts w:cs="Arial"/>
          <w:i/>
          <w:sz w:val="20"/>
        </w:rPr>
        <w:t xml:space="preserve">Pellerin </w:t>
      </w:r>
      <w:r w:rsidRPr="00C82AF2">
        <w:rPr>
          <w:rFonts w:cs="Arial"/>
          <w:sz w:val="20"/>
        </w:rPr>
        <w:t xml:space="preserve">et </w:t>
      </w:r>
      <w:r w:rsidRPr="00C82AF2">
        <w:rPr>
          <w:rFonts w:cs="Arial"/>
          <w:i/>
          <w:sz w:val="20"/>
        </w:rPr>
        <w:t>Supermarché Raymond Martin inc</w:t>
      </w:r>
      <w:r>
        <w:rPr>
          <w:rFonts w:cs="Arial"/>
          <w:sz w:val="20"/>
        </w:rPr>
        <w:t>., 2022</w:t>
      </w:r>
      <w:r w:rsidR="007E450F">
        <w:rPr>
          <w:rFonts w:cs="Arial"/>
          <w:sz w:val="20"/>
        </w:rPr>
        <w:t> </w:t>
      </w:r>
      <w:r>
        <w:rPr>
          <w:rFonts w:cs="Arial"/>
          <w:sz w:val="20"/>
        </w:rPr>
        <w:t>QCTAT</w:t>
      </w:r>
      <w:r w:rsidR="007E450F">
        <w:rPr>
          <w:rFonts w:cs="Arial"/>
          <w:sz w:val="20"/>
        </w:rPr>
        <w:t> </w:t>
      </w:r>
      <w:r>
        <w:rPr>
          <w:rFonts w:cs="Arial"/>
          <w:sz w:val="20"/>
        </w:rPr>
        <w:t xml:space="preserve">837; </w:t>
      </w:r>
      <w:r w:rsidRPr="00762EF7">
        <w:rPr>
          <w:rFonts w:cs="Arial"/>
          <w:i/>
          <w:sz w:val="20"/>
        </w:rPr>
        <w:t xml:space="preserve">Campagna </w:t>
      </w:r>
      <w:r w:rsidRPr="00762EF7">
        <w:rPr>
          <w:rFonts w:cs="Arial"/>
          <w:sz w:val="20"/>
        </w:rPr>
        <w:t xml:space="preserve">et </w:t>
      </w:r>
      <w:r w:rsidRPr="00762EF7">
        <w:rPr>
          <w:rFonts w:cs="Arial"/>
          <w:i/>
          <w:sz w:val="20"/>
        </w:rPr>
        <w:t>Groupe Bell-Horizon inc</w:t>
      </w:r>
      <w:r>
        <w:rPr>
          <w:rFonts w:cs="Arial"/>
          <w:sz w:val="20"/>
        </w:rPr>
        <w:t>., 2021</w:t>
      </w:r>
      <w:r w:rsidR="007E450F">
        <w:rPr>
          <w:rFonts w:cs="Arial"/>
          <w:sz w:val="20"/>
        </w:rPr>
        <w:t> </w:t>
      </w:r>
      <w:r>
        <w:rPr>
          <w:rFonts w:cs="Arial"/>
          <w:sz w:val="20"/>
        </w:rPr>
        <w:t>QCTAT</w:t>
      </w:r>
      <w:r w:rsidR="007E450F">
        <w:rPr>
          <w:rFonts w:cs="Arial"/>
          <w:sz w:val="20"/>
        </w:rPr>
        <w:t> </w:t>
      </w:r>
      <w:r>
        <w:rPr>
          <w:rFonts w:cs="Arial"/>
          <w:sz w:val="20"/>
        </w:rPr>
        <w:t xml:space="preserve">2838; </w:t>
      </w:r>
      <w:r w:rsidRPr="00C82AF2">
        <w:rPr>
          <w:rFonts w:cs="Arial"/>
          <w:i/>
          <w:sz w:val="20"/>
        </w:rPr>
        <w:t xml:space="preserve">Drolet </w:t>
      </w:r>
      <w:r w:rsidRPr="00C82AF2">
        <w:rPr>
          <w:rFonts w:cs="Arial"/>
          <w:sz w:val="20"/>
        </w:rPr>
        <w:t xml:space="preserve">et </w:t>
      </w:r>
      <w:r w:rsidRPr="00C82AF2">
        <w:rPr>
          <w:rFonts w:cs="Arial"/>
          <w:i/>
          <w:sz w:val="20"/>
        </w:rPr>
        <w:t>Commission scolaire Chemin-du-Roy</w:t>
      </w:r>
      <w:r>
        <w:rPr>
          <w:rFonts w:cs="Arial"/>
          <w:sz w:val="20"/>
        </w:rPr>
        <w:t>, 2020</w:t>
      </w:r>
      <w:r w:rsidR="007E450F">
        <w:rPr>
          <w:rFonts w:cs="Arial"/>
          <w:sz w:val="20"/>
        </w:rPr>
        <w:t> </w:t>
      </w:r>
      <w:r>
        <w:rPr>
          <w:rFonts w:cs="Arial"/>
          <w:sz w:val="20"/>
        </w:rPr>
        <w:t>QCTAT</w:t>
      </w:r>
      <w:r w:rsidR="007E450F">
        <w:rPr>
          <w:rFonts w:cs="Arial"/>
          <w:sz w:val="20"/>
        </w:rPr>
        <w:t> </w:t>
      </w:r>
      <w:r>
        <w:rPr>
          <w:rFonts w:cs="Arial"/>
          <w:sz w:val="20"/>
        </w:rPr>
        <w:t>4936.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90" w:type="dxa"/>
      <w:tblInd w:w="-20" w:type="dxa"/>
      <w:tblLayout w:type="fixed"/>
      <w:tblCellMar>
        <w:left w:w="70" w:type="dxa"/>
        <w:right w:w="70" w:type="dxa"/>
      </w:tblCellMar>
      <w:tblLook w:val="0000" w:firstRow="0" w:lastRow="0" w:firstColumn="0" w:lastColumn="0" w:noHBand="0" w:noVBand="0"/>
    </w:tblPr>
    <w:tblGrid>
      <w:gridCol w:w="8730"/>
      <w:gridCol w:w="860"/>
    </w:tblGrid>
    <w:tr w:rsidR="00D330B6" w14:paraId="3F4FF245" w14:textId="77777777" w:rsidTr="000C7D89">
      <w:tc>
        <w:tcPr>
          <w:tcW w:w="8730" w:type="dxa"/>
        </w:tcPr>
        <w:p w14:paraId="029CF083" w14:textId="77777777" w:rsidR="00D330B6" w:rsidRDefault="00D330B6">
          <w:pPr>
            <w:pStyle w:val="En-tte"/>
            <w:ind w:left="-90"/>
          </w:pPr>
        </w:p>
      </w:tc>
      <w:tc>
        <w:tcPr>
          <w:tcW w:w="860" w:type="dxa"/>
        </w:tcPr>
        <w:p w14:paraId="59C395A0" w14:textId="77777777" w:rsidR="00D330B6" w:rsidRDefault="00D330B6">
          <w:pPr>
            <w:pStyle w:val="En-tte"/>
            <w:ind w:left="-90"/>
          </w:pPr>
        </w:p>
      </w:tc>
    </w:tr>
    <w:tr w:rsidR="000C7D89" w14:paraId="4D68B18F" w14:textId="77777777" w:rsidTr="000C7D89">
      <w:tc>
        <w:tcPr>
          <w:tcW w:w="8730" w:type="dxa"/>
        </w:tcPr>
        <w:p w14:paraId="790E150F" w14:textId="3D768DB1" w:rsidR="000C7D89" w:rsidRDefault="000C7D89" w:rsidP="000C7D89">
          <w:r w:rsidRPr="000C7D89">
            <w:t>1267758</w:t>
          </w:r>
          <w:r>
            <w:t>-</w:t>
          </w:r>
          <w:r w:rsidRPr="000C7D89">
            <w:t>31</w:t>
          </w:r>
          <w:r>
            <w:t>-</w:t>
          </w:r>
          <w:r w:rsidRPr="000C7D89">
            <w:t>2203</w:t>
          </w:r>
        </w:p>
      </w:tc>
      <w:tc>
        <w:tcPr>
          <w:tcW w:w="860" w:type="dxa"/>
        </w:tcPr>
        <w:p w14:paraId="2C4AD20B" w14:textId="77777777" w:rsidR="000C7D89" w:rsidRDefault="000C7D89" w:rsidP="000C7D89">
          <w:pPr>
            <w:pStyle w:val="En-tte"/>
            <w:ind w:left="-90"/>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sidR="00E8715B">
            <w:rPr>
              <w:rStyle w:val="Numrodepage"/>
              <w:noProof/>
            </w:rPr>
            <w:t>2</w:t>
          </w:r>
          <w:r>
            <w:rPr>
              <w:rStyle w:val="Numrodepage"/>
            </w:rPr>
            <w:fldChar w:fldCharType="end"/>
          </w:r>
        </w:p>
      </w:tc>
    </w:tr>
    <w:tr w:rsidR="000C7D89" w14:paraId="6DB4DB15" w14:textId="77777777" w:rsidTr="000C7D89">
      <w:tc>
        <w:tcPr>
          <w:tcW w:w="8730" w:type="dxa"/>
        </w:tcPr>
        <w:p w14:paraId="44709251" w14:textId="77777777" w:rsidR="000C7D89" w:rsidRDefault="000C7D89" w:rsidP="000C7D89"/>
      </w:tc>
      <w:tc>
        <w:tcPr>
          <w:tcW w:w="860" w:type="dxa"/>
        </w:tcPr>
        <w:p w14:paraId="2DA9FF53" w14:textId="77777777" w:rsidR="000C7D89" w:rsidRDefault="000C7D89" w:rsidP="000C7D89">
          <w:pPr>
            <w:pStyle w:val="En-tte"/>
            <w:ind w:left="-90"/>
            <w:jc w:val="right"/>
          </w:pPr>
        </w:p>
      </w:tc>
    </w:tr>
  </w:tbl>
  <w:p w14:paraId="4E459CDB" w14:textId="77777777" w:rsidR="00D330B6" w:rsidRDefault="00D330B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93D91"/>
    <w:multiLevelType w:val="multilevel"/>
    <w:tmpl w:val="4240187C"/>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31CE60E0"/>
    <w:multiLevelType w:val="singleLevel"/>
    <w:tmpl w:val="0C0C000F"/>
    <w:lvl w:ilvl="0">
      <w:start w:val="1"/>
      <w:numFmt w:val="decimal"/>
      <w:lvlText w:val="%1."/>
      <w:lvlJc w:val="left"/>
      <w:pPr>
        <w:tabs>
          <w:tab w:val="num" w:pos="360"/>
        </w:tabs>
        <w:ind w:left="360" w:hanging="360"/>
      </w:pPr>
    </w:lvl>
  </w:abstractNum>
  <w:abstractNum w:abstractNumId="2" w15:restartNumberingAfterBreak="0">
    <w:nsid w:val="5F2716EF"/>
    <w:multiLevelType w:val="hybridMultilevel"/>
    <w:tmpl w:val="E93E7DE6"/>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 w15:restartNumberingAfterBreak="0">
    <w:nsid w:val="6DD1284B"/>
    <w:multiLevelType w:val="hybridMultilevel"/>
    <w:tmpl w:val="1AFED00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4" w15:restartNumberingAfterBreak="0">
    <w:nsid w:val="6F030813"/>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732348AF"/>
    <w:multiLevelType w:val="hybridMultilevel"/>
    <w:tmpl w:val="54C694AE"/>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 w15:restartNumberingAfterBreak="0">
    <w:nsid w:val="737A6EAF"/>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5917C39"/>
    <w:multiLevelType w:val="multilevel"/>
    <w:tmpl w:val="0042494C"/>
    <w:lvl w:ilvl="0">
      <w:start w:val="1"/>
      <w:numFmt w:val="decimal"/>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8" w15:restartNumberingAfterBreak="0">
    <w:nsid w:val="76556088"/>
    <w:multiLevelType w:val="multilevel"/>
    <w:tmpl w:val="74FA30DC"/>
    <w:lvl w:ilvl="0">
      <w:start w:val="1"/>
      <w:numFmt w:val="decimal"/>
      <w:pStyle w:val="corpsdedcision"/>
      <w:lvlText w:val="[%1]"/>
      <w:lvlJc w:val="left"/>
      <w:pPr>
        <w:tabs>
          <w:tab w:val="num" w:pos="360"/>
        </w:tabs>
        <w:ind w:left="0" w:firstLine="0"/>
      </w:p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abstractNum w:abstractNumId="9" w15:restartNumberingAfterBreak="0">
    <w:nsid w:val="78D6079A"/>
    <w:multiLevelType w:val="hybridMultilevel"/>
    <w:tmpl w:val="80AE0E1E"/>
    <w:lvl w:ilvl="0" w:tplc="22AEE0D8">
      <w:start w:val="1"/>
      <w:numFmt w:val="lowerLetter"/>
      <w:lvlText w:val="%1."/>
      <w:lvlJc w:val="left"/>
      <w:pPr>
        <w:ind w:left="1210" w:hanging="360"/>
      </w:pPr>
      <w:rPr>
        <w:rFonts w:hint="default"/>
      </w:rPr>
    </w:lvl>
    <w:lvl w:ilvl="1" w:tplc="0C0C0019" w:tentative="1">
      <w:start w:val="1"/>
      <w:numFmt w:val="lowerLetter"/>
      <w:lvlText w:val="%2."/>
      <w:lvlJc w:val="left"/>
      <w:pPr>
        <w:ind w:left="1930" w:hanging="360"/>
      </w:pPr>
    </w:lvl>
    <w:lvl w:ilvl="2" w:tplc="0C0C001B" w:tentative="1">
      <w:start w:val="1"/>
      <w:numFmt w:val="lowerRoman"/>
      <w:lvlText w:val="%3."/>
      <w:lvlJc w:val="right"/>
      <w:pPr>
        <w:ind w:left="2650" w:hanging="180"/>
      </w:pPr>
    </w:lvl>
    <w:lvl w:ilvl="3" w:tplc="0C0C000F" w:tentative="1">
      <w:start w:val="1"/>
      <w:numFmt w:val="decimal"/>
      <w:lvlText w:val="%4."/>
      <w:lvlJc w:val="left"/>
      <w:pPr>
        <w:ind w:left="3370" w:hanging="360"/>
      </w:pPr>
    </w:lvl>
    <w:lvl w:ilvl="4" w:tplc="0C0C0019" w:tentative="1">
      <w:start w:val="1"/>
      <w:numFmt w:val="lowerLetter"/>
      <w:lvlText w:val="%5."/>
      <w:lvlJc w:val="left"/>
      <w:pPr>
        <w:ind w:left="4090" w:hanging="360"/>
      </w:pPr>
    </w:lvl>
    <w:lvl w:ilvl="5" w:tplc="0C0C001B" w:tentative="1">
      <w:start w:val="1"/>
      <w:numFmt w:val="lowerRoman"/>
      <w:lvlText w:val="%6."/>
      <w:lvlJc w:val="right"/>
      <w:pPr>
        <w:ind w:left="4810" w:hanging="180"/>
      </w:pPr>
    </w:lvl>
    <w:lvl w:ilvl="6" w:tplc="0C0C000F" w:tentative="1">
      <w:start w:val="1"/>
      <w:numFmt w:val="decimal"/>
      <w:lvlText w:val="%7."/>
      <w:lvlJc w:val="left"/>
      <w:pPr>
        <w:ind w:left="5530" w:hanging="360"/>
      </w:pPr>
    </w:lvl>
    <w:lvl w:ilvl="7" w:tplc="0C0C0019" w:tentative="1">
      <w:start w:val="1"/>
      <w:numFmt w:val="lowerLetter"/>
      <w:lvlText w:val="%8."/>
      <w:lvlJc w:val="left"/>
      <w:pPr>
        <w:ind w:left="6250" w:hanging="360"/>
      </w:pPr>
    </w:lvl>
    <w:lvl w:ilvl="8" w:tplc="0C0C001B" w:tentative="1">
      <w:start w:val="1"/>
      <w:numFmt w:val="lowerRoman"/>
      <w:lvlText w:val="%9."/>
      <w:lvlJc w:val="right"/>
      <w:pPr>
        <w:ind w:left="6970" w:hanging="180"/>
      </w:pPr>
    </w:lvl>
  </w:abstractNum>
  <w:abstractNum w:abstractNumId="10" w15:restartNumberingAfterBreak="0">
    <w:nsid w:val="7BB76507"/>
    <w:multiLevelType w:val="multilevel"/>
    <w:tmpl w:val="F20E889A"/>
    <w:lvl w:ilvl="0">
      <w:start w:val="1"/>
      <w:numFmt w:val="decimal"/>
      <w:pStyle w:val="Paragraphe"/>
      <w:lvlText w:val="[%1]"/>
      <w:lvlJc w:val="left"/>
      <w:pPr>
        <w:tabs>
          <w:tab w:val="num" w:pos="720"/>
        </w:tabs>
        <w:ind w:left="720" w:hanging="72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8"/>
  </w:num>
  <w:num w:numId="2">
    <w:abstractNumId w:val="7"/>
  </w:num>
  <w:num w:numId="3">
    <w:abstractNumId w:val="6"/>
  </w:num>
  <w:num w:numId="4">
    <w:abstractNumId w:val="4"/>
  </w:num>
  <w:num w:numId="5">
    <w:abstractNumId w:val="10"/>
  </w:num>
  <w:num w:numId="6">
    <w:abstractNumId w:val="10"/>
  </w:num>
  <w:num w:numId="7">
    <w:abstractNumId w:val="0"/>
  </w:num>
  <w:num w:numId="8">
    <w:abstractNumId w:val="3"/>
  </w:num>
  <w:num w:numId="9">
    <w:abstractNumId w:val="1"/>
  </w:num>
  <w:num w:numId="10">
    <w:abstractNumId w:val="9"/>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5B5"/>
    <w:rsid w:val="000034B0"/>
    <w:rsid w:val="000041A1"/>
    <w:rsid w:val="00006DD2"/>
    <w:rsid w:val="0001305E"/>
    <w:rsid w:val="00016D99"/>
    <w:rsid w:val="00021B30"/>
    <w:rsid w:val="00021E4C"/>
    <w:rsid w:val="00022556"/>
    <w:rsid w:val="00023858"/>
    <w:rsid w:val="000352CA"/>
    <w:rsid w:val="000366EC"/>
    <w:rsid w:val="00036794"/>
    <w:rsid w:val="00043E4D"/>
    <w:rsid w:val="000536CC"/>
    <w:rsid w:val="000559A8"/>
    <w:rsid w:val="00055A3E"/>
    <w:rsid w:val="00056393"/>
    <w:rsid w:val="00057739"/>
    <w:rsid w:val="00060C08"/>
    <w:rsid w:val="0007225E"/>
    <w:rsid w:val="00074ABE"/>
    <w:rsid w:val="00074EAE"/>
    <w:rsid w:val="000756D0"/>
    <w:rsid w:val="00076D81"/>
    <w:rsid w:val="00080885"/>
    <w:rsid w:val="00082A97"/>
    <w:rsid w:val="0008378A"/>
    <w:rsid w:val="0008784D"/>
    <w:rsid w:val="00090018"/>
    <w:rsid w:val="00090306"/>
    <w:rsid w:val="00090F69"/>
    <w:rsid w:val="00093ACD"/>
    <w:rsid w:val="00095814"/>
    <w:rsid w:val="00097D81"/>
    <w:rsid w:val="00097FCE"/>
    <w:rsid w:val="000A1DAC"/>
    <w:rsid w:val="000A4AD0"/>
    <w:rsid w:val="000A5AD1"/>
    <w:rsid w:val="000A63DF"/>
    <w:rsid w:val="000A77C5"/>
    <w:rsid w:val="000B6275"/>
    <w:rsid w:val="000B7F1B"/>
    <w:rsid w:val="000C647D"/>
    <w:rsid w:val="000C710F"/>
    <w:rsid w:val="000C7D89"/>
    <w:rsid w:val="000D3948"/>
    <w:rsid w:val="000E0C28"/>
    <w:rsid w:val="000E0C3A"/>
    <w:rsid w:val="000E1320"/>
    <w:rsid w:val="000E3FF6"/>
    <w:rsid w:val="000E56A6"/>
    <w:rsid w:val="000F20A5"/>
    <w:rsid w:val="000F3423"/>
    <w:rsid w:val="000F5F81"/>
    <w:rsid w:val="00100AB8"/>
    <w:rsid w:val="00104550"/>
    <w:rsid w:val="00104C3D"/>
    <w:rsid w:val="001050B4"/>
    <w:rsid w:val="00106628"/>
    <w:rsid w:val="001144AB"/>
    <w:rsid w:val="0012224D"/>
    <w:rsid w:val="001225BC"/>
    <w:rsid w:val="00122A9E"/>
    <w:rsid w:val="00122F94"/>
    <w:rsid w:val="0012326A"/>
    <w:rsid w:val="00132622"/>
    <w:rsid w:val="00137E7E"/>
    <w:rsid w:val="001407FC"/>
    <w:rsid w:val="00144572"/>
    <w:rsid w:val="00146116"/>
    <w:rsid w:val="00147A49"/>
    <w:rsid w:val="00147B8B"/>
    <w:rsid w:val="0015125A"/>
    <w:rsid w:val="00152464"/>
    <w:rsid w:val="0015539F"/>
    <w:rsid w:val="00160597"/>
    <w:rsid w:val="00162ECC"/>
    <w:rsid w:val="001664C8"/>
    <w:rsid w:val="00167AD0"/>
    <w:rsid w:val="00167DEF"/>
    <w:rsid w:val="00167E9D"/>
    <w:rsid w:val="00173184"/>
    <w:rsid w:val="00175079"/>
    <w:rsid w:val="001761B9"/>
    <w:rsid w:val="00183515"/>
    <w:rsid w:val="001846FC"/>
    <w:rsid w:val="001924FE"/>
    <w:rsid w:val="001965E1"/>
    <w:rsid w:val="001A02DA"/>
    <w:rsid w:val="001A03BE"/>
    <w:rsid w:val="001A067E"/>
    <w:rsid w:val="001A2900"/>
    <w:rsid w:val="001A4081"/>
    <w:rsid w:val="001A65F1"/>
    <w:rsid w:val="001B2B40"/>
    <w:rsid w:val="001B3E9D"/>
    <w:rsid w:val="001B4A40"/>
    <w:rsid w:val="001B5524"/>
    <w:rsid w:val="001B6D8A"/>
    <w:rsid w:val="001C19D4"/>
    <w:rsid w:val="001C2B0B"/>
    <w:rsid w:val="001C436D"/>
    <w:rsid w:val="001D63C8"/>
    <w:rsid w:val="001D65D8"/>
    <w:rsid w:val="001E3DFD"/>
    <w:rsid w:val="001E42F0"/>
    <w:rsid w:val="001E497A"/>
    <w:rsid w:val="001E5E3B"/>
    <w:rsid w:val="00204BA0"/>
    <w:rsid w:val="00223E7B"/>
    <w:rsid w:val="00225C46"/>
    <w:rsid w:val="00226493"/>
    <w:rsid w:val="00227040"/>
    <w:rsid w:val="00230CFC"/>
    <w:rsid w:val="0023162A"/>
    <w:rsid w:val="00231C1D"/>
    <w:rsid w:val="00233532"/>
    <w:rsid w:val="00234BC8"/>
    <w:rsid w:val="00241CED"/>
    <w:rsid w:val="00242FB4"/>
    <w:rsid w:val="00245605"/>
    <w:rsid w:val="002542E0"/>
    <w:rsid w:val="002563F0"/>
    <w:rsid w:val="00256DBB"/>
    <w:rsid w:val="00260119"/>
    <w:rsid w:val="00266064"/>
    <w:rsid w:val="00267C8D"/>
    <w:rsid w:val="002701DD"/>
    <w:rsid w:val="002710FD"/>
    <w:rsid w:val="00273F49"/>
    <w:rsid w:val="002769B5"/>
    <w:rsid w:val="00276B25"/>
    <w:rsid w:val="00276B59"/>
    <w:rsid w:val="00281319"/>
    <w:rsid w:val="00286149"/>
    <w:rsid w:val="0028668D"/>
    <w:rsid w:val="00290289"/>
    <w:rsid w:val="00292188"/>
    <w:rsid w:val="002923D9"/>
    <w:rsid w:val="00296645"/>
    <w:rsid w:val="00296A4B"/>
    <w:rsid w:val="00297284"/>
    <w:rsid w:val="002A0077"/>
    <w:rsid w:val="002A07DC"/>
    <w:rsid w:val="002A3573"/>
    <w:rsid w:val="002A374B"/>
    <w:rsid w:val="002A73E9"/>
    <w:rsid w:val="002B132B"/>
    <w:rsid w:val="002B2FC3"/>
    <w:rsid w:val="002B35F0"/>
    <w:rsid w:val="002B58AF"/>
    <w:rsid w:val="002C3748"/>
    <w:rsid w:val="002C5E89"/>
    <w:rsid w:val="002D42BC"/>
    <w:rsid w:val="002D71A9"/>
    <w:rsid w:val="002D7846"/>
    <w:rsid w:val="002D7FCB"/>
    <w:rsid w:val="002E05AE"/>
    <w:rsid w:val="002E33F1"/>
    <w:rsid w:val="002F7507"/>
    <w:rsid w:val="0030059B"/>
    <w:rsid w:val="00302FB4"/>
    <w:rsid w:val="00305273"/>
    <w:rsid w:val="003057FC"/>
    <w:rsid w:val="00305AFB"/>
    <w:rsid w:val="00307C85"/>
    <w:rsid w:val="00312983"/>
    <w:rsid w:val="00323DC5"/>
    <w:rsid w:val="003248CB"/>
    <w:rsid w:val="00331EA7"/>
    <w:rsid w:val="003332B8"/>
    <w:rsid w:val="00337555"/>
    <w:rsid w:val="00343B46"/>
    <w:rsid w:val="00344465"/>
    <w:rsid w:val="0034740A"/>
    <w:rsid w:val="0035375B"/>
    <w:rsid w:val="00362D74"/>
    <w:rsid w:val="0036311A"/>
    <w:rsid w:val="003664E9"/>
    <w:rsid w:val="00366D1E"/>
    <w:rsid w:val="003703A5"/>
    <w:rsid w:val="0037112C"/>
    <w:rsid w:val="00372C9E"/>
    <w:rsid w:val="00373EE5"/>
    <w:rsid w:val="003817E7"/>
    <w:rsid w:val="00382E55"/>
    <w:rsid w:val="00390B55"/>
    <w:rsid w:val="003961B2"/>
    <w:rsid w:val="003A41AD"/>
    <w:rsid w:val="003A7BE1"/>
    <w:rsid w:val="003B0C41"/>
    <w:rsid w:val="003B152B"/>
    <w:rsid w:val="003B1734"/>
    <w:rsid w:val="003B1735"/>
    <w:rsid w:val="003B2D2E"/>
    <w:rsid w:val="003B2DE9"/>
    <w:rsid w:val="003B6CBF"/>
    <w:rsid w:val="003C47A7"/>
    <w:rsid w:val="003D0826"/>
    <w:rsid w:val="003D18FC"/>
    <w:rsid w:val="003D3C93"/>
    <w:rsid w:val="003D71BB"/>
    <w:rsid w:val="003E00D5"/>
    <w:rsid w:val="003E02BA"/>
    <w:rsid w:val="003F0578"/>
    <w:rsid w:val="003F7F38"/>
    <w:rsid w:val="00401325"/>
    <w:rsid w:val="004019AA"/>
    <w:rsid w:val="0040399B"/>
    <w:rsid w:val="00406F0C"/>
    <w:rsid w:val="004106DB"/>
    <w:rsid w:val="00410A9A"/>
    <w:rsid w:val="00411251"/>
    <w:rsid w:val="00412585"/>
    <w:rsid w:val="0041363B"/>
    <w:rsid w:val="00414FA8"/>
    <w:rsid w:val="00415D5D"/>
    <w:rsid w:val="0041643A"/>
    <w:rsid w:val="004232E9"/>
    <w:rsid w:val="0042650F"/>
    <w:rsid w:val="0042684F"/>
    <w:rsid w:val="00427D5D"/>
    <w:rsid w:val="00431E0B"/>
    <w:rsid w:val="004337FE"/>
    <w:rsid w:val="00433E98"/>
    <w:rsid w:val="00435738"/>
    <w:rsid w:val="00437137"/>
    <w:rsid w:val="004403B8"/>
    <w:rsid w:val="00441ADA"/>
    <w:rsid w:val="004422CA"/>
    <w:rsid w:val="0044274C"/>
    <w:rsid w:val="0044371C"/>
    <w:rsid w:val="0044627E"/>
    <w:rsid w:val="0045114F"/>
    <w:rsid w:val="004529D3"/>
    <w:rsid w:val="00453F31"/>
    <w:rsid w:val="00456B0C"/>
    <w:rsid w:val="00460101"/>
    <w:rsid w:val="0046274E"/>
    <w:rsid w:val="0046538B"/>
    <w:rsid w:val="00471C92"/>
    <w:rsid w:val="004724DC"/>
    <w:rsid w:val="004739AC"/>
    <w:rsid w:val="00474489"/>
    <w:rsid w:val="00475FEF"/>
    <w:rsid w:val="0047680F"/>
    <w:rsid w:val="00477536"/>
    <w:rsid w:val="0047776F"/>
    <w:rsid w:val="00482D5B"/>
    <w:rsid w:val="004832E2"/>
    <w:rsid w:val="004870EA"/>
    <w:rsid w:val="004873EC"/>
    <w:rsid w:val="00487F13"/>
    <w:rsid w:val="0049595F"/>
    <w:rsid w:val="00496193"/>
    <w:rsid w:val="004A02AF"/>
    <w:rsid w:val="004A2D66"/>
    <w:rsid w:val="004A4449"/>
    <w:rsid w:val="004A679B"/>
    <w:rsid w:val="004C0FB4"/>
    <w:rsid w:val="004C1811"/>
    <w:rsid w:val="004C2944"/>
    <w:rsid w:val="004C4555"/>
    <w:rsid w:val="004C570B"/>
    <w:rsid w:val="004D16D6"/>
    <w:rsid w:val="004D6CEA"/>
    <w:rsid w:val="004E0E02"/>
    <w:rsid w:val="004E3564"/>
    <w:rsid w:val="004E3D9F"/>
    <w:rsid w:val="004E51C0"/>
    <w:rsid w:val="004E64BE"/>
    <w:rsid w:val="004F6293"/>
    <w:rsid w:val="00503B8D"/>
    <w:rsid w:val="00503EE3"/>
    <w:rsid w:val="00505811"/>
    <w:rsid w:val="0051261C"/>
    <w:rsid w:val="00515DE7"/>
    <w:rsid w:val="00517EB0"/>
    <w:rsid w:val="005205CB"/>
    <w:rsid w:val="0052430C"/>
    <w:rsid w:val="005348E4"/>
    <w:rsid w:val="00534D8F"/>
    <w:rsid w:val="005352F1"/>
    <w:rsid w:val="00540094"/>
    <w:rsid w:val="00545CFF"/>
    <w:rsid w:val="00547A9C"/>
    <w:rsid w:val="00555800"/>
    <w:rsid w:val="00556DBB"/>
    <w:rsid w:val="00560781"/>
    <w:rsid w:val="0056268F"/>
    <w:rsid w:val="0056368C"/>
    <w:rsid w:val="005662E9"/>
    <w:rsid w:val="005700F8"/>
    <w:rsid w:val="00572AAF"/>
    <w:rsid w:val="005801AE"/>
    <w:rsid w:val="00582868"/>
    <w:rsid w:val="00582ECC"/>
    <w:rsid w:val="0058399B"/>
    <w:rsid w:val="0058692F"/>
    <w:rsid w:val="00587045"/>
    <w:rsid w:val="00587C22"/>
    <w:rsid w:val="005907BE"/>
    <w:rsid w:val="0059436D"/>
    <w:rsid w:val="005945C0"/>
    <w:rsid w:val="00596AB2"/>
    <w:rsid w:val="00597016"/>
    <w:rsid w:val="005974B7"/>
    <w:rsid w:val="005A0D51"/>
    <w:rsid w:val="005A181B"/>
    <w:rsid w:val="005A1CB3"/>
    <w:rsid w:val="005A3073"/>
    <w:rsid w:val="005A33A5"/>
    <w:rsid w:val="005A37D7"/>
    <w:rsid w:val="005A5437"/>
    <w:rsid w:val="005A6969"/>
    <w:rsid w:val="005A70A0"/>
    <w:rsid w:val="005B0612"/>
    <w:rsid w:val="005B13F0"/>
    <w:rsid w:val="005B2E0C"/>
    <w:rsid w:val="005B30F6"/>
    <w:rsid w:val="005B45BA"/>
    <w:rsid w:val="005B55B5"/>
    <w:rsid w:val="005B5689"/>
    <w:rsid w:val="005B6680"/>
    <w:rsid w:val="005B6774"/>
    <w:rsid w:val="005C0A89"/>
    <w:rsid w:val="005C3BC4"/>
    <w:rsid w:val="005C46F9"/>
    <w:rsid w:val="005D26CC"/>
    <w:rsid w:val="005D4711"/>
    <w:rsid w:val="005D59B1"/>
    <w:rsid w:val="005D764B"/>
    <w:rsid w:val="005E2367"/>
    <w:rsid w:val="005E34D2"/>
    <w:rsid w:val="005E44BB"/>
    <w:rsid w:val="005E5E90"/>
    <w:rsid w:val="005E62C7"/>
    <w:rsid w:val="005E654C"/>
    <w:rsid w:val="005F05F6"/>
    <w:rsid w:val="005F0D07"/>
    <w:rsid w:val="00605734"/>
    <w:rsid w:val="0061488E"/>
    <w:rsid w:val="0061574B"/>
    <w:rsid w:val="00616406"/>
    <w:rsid w:val="006208DD"/>
    <w:rsid w:val="00622670"/>
    <w:rsid w:val="00623328"/>
    <w:rsid w:val="00623A1A"/>
    <w:rsid w:val="006255B4"/>
    <w:rsid w:val="00626E8D"/>
    <w:rsid w:val="0063156B"/>
    <w:rsid w:val="006326A9"/>
    <w:rsid w:val="00632DA8"/>
    <w:rsid w:val="00634C4B"/>
    <w:rsid w:val="00634E6E"/>
    <w:rsid w:val="0063651F"/>
    <w:rsid w:val="006365C7"/>
    <w:rsid w:val="0064342A"/>
    <w:rsid w:val="00643A28"/>
    <w:rsid w:val="006452FA"/>
    <w:rsid w:val="0065093D"/>
    <w:rsid w:val="00652A16"/>
    <w:rsid w:val="00655193"/>
    <w:rsid w:val="00655459"/>
    <w:rsid w:val="00656FB2"/>
    <w:rsid w:val="00657A70"/>
    <w:rsid w:val="00661454"/>
    <w:rsid w:val="006620AA"/>
    <w:rsid w:val="006626AF"/>
    <w:rsid w:val="0066642D"/>
    <w:rsid w:val="006722E2"/>
    <w:rsid w:val="0067491E"/>
    <w:rsid w:val="00675E85"/>
    <w:rsid w:val="0067750F"/>
    <w:rsid w:val="00681396"/>
    <w:rsid w:val="0068171F"/>
    <w:rsid w:val="0068401E"/>
    <w:rsid w:val="006841A4"/>
    <w:rsid w:val="0068643F"/>
    <w:rsid w:val="006877A1"/>
    <w:rsid w:val="00692150"/>
    <w:rsid w:val="00692F0C"/>
    <w:rsid w:val="006944B0"/>
    <w:rsid w:val="00696E7C"/>
    <w:rsid w:val="00696EF2"/>
    <w:rsid w:val="006A0C54"/>
    <w:rsid w:val="006A3E54"/>
    <w:rsid w:val="006A489B"/>
    <w:rsid w:val="006A7C53"/>
    <w:rsid w:val="006B140A"/>
    <w:rsid w:val="006B309C"/>
    <w:rsid w:val="006B4316"/>
    <w:rsid w:val="006B727F"/>
    <w:rsid w:val="006C1B57"/>
    <w:rsid w:val="006C6D3A"/>
    <w:rsid w:val="006C7B36"/>
    <w:rsid w:val="006C7B7F"/>
    <w:rsid w:val="006D19E8"/>
    <w:rsid w:val="006D424F"/>
    <w:rsid w:val="006D7768"/>
    <w:rsid w:val="006E04B5"/>
    <w:rsid w:val="006E330C"/>
    <w:rsid w:val="006E3DD8"/>
    <w:rsid w:val="006E793F"/>
    <w:rsid w:val="006F0154"/>
    <w:rsid w:val="006F608D"/>
    <w:rsid w:val="006F7944"/>
    <w:rsid w:val="00704121"/>
    <w:rsid w:val="00705BB5"/>
    <w:rsid w:val="0071326F"/>
    <w:rsid w:val="007153D7"/>
    <w:rsid w:val="00720ED4"/>
    <w:rsid w:val="00722736"/>
    <w:rsid w:val="0074488F"/>
    <w:rsid w:val="00745AA8"/>
    <w:rsid w:val="007503E0"/>
    <w:rsid w:val="007510EC"/>
    <w:rsid w:val="0075233C"/>
    <w:rsid w:val="0075256A"/>
    <w:rsid w:val="00752DCD"/>
    <w:rsid w:val="007569DE"/>
    <w:rsid w:val="0075723C"/>
    <w:rsid w:val="0076146A"/>
    <w:rsid w:val="0076350E"/>
    <w:rsid w:val="00763F36"/>
    <w:rsid w:val="00775BDF"/>
    <w:rsid w:val="0077614D"/>
    <w:rsid w:val="00782C8F"/>
    <w:rsid w:val="00785F78"/>
    <w:rsid w:val="0078659D"/>
    <w:rsid w:val="007869EC"/>
    <w:rsid w:val="00786D8E"/>
    <w:rsid w:val="00791ED8"/>
    <w:rsid w:val="007A1E58"/>
    <w:rsid w:val="007A5C7E"/>
    <w:rsid w:val="007A63F9"/>
    <w:rsid w:val="007A69A9"/>
    <w:rsid w:val="007A6E2F"/>
    <w:rsid w:val="007B0DF2"/>
    <w:rsid w:val="007B3BC5"/>
    <w:rsid w:val="007B6F8D"/>
    <w:rsid w:val="007C1832"/>
    <w:rsid w:val="007D03DF"/>
    <w:rsid w:val="007D4953"/>
    <w:rsid w:val="007D50F4"/>
    <w:rsid w:val="007D7173"/>
    <w:rsid w:val="007E1216"/>
    <w:rsid w:val="007E450F"/>
    <w:rsid w:val="007E4CD4"/>
    <w:rsid w:val="007E530C"/>
    <w:rsid w:val="007F0E8E"/>
    <w:rsid w:val="007F2149"/>
    <w:rsid w:val="007F4E00"/>
    <w:rsid w:val="008048CF"/>
    <w:rsid w:val="008079DD"/>
    <w:rsid w:val="0081130F"/>
    <w:rsid w:val="00813095"/>
    <w:rsid w:val="008145AD"/>
    <w:rsid w:val="008146B2"/>
    <w:rsid w:val="008236F5"/>
    <w:rsid w:val="00824430"/>
    <w:rsid w:val="00825B1F"/>
    <w:rsid w:val="00827D55"/>
    <w:rsid w:val="00832C84"/>
    <w:rsid w:val="00840EDD"/>
    <w:rsid w:val="0084255F"/>
    <w:rsid w:val="00846FB1"/>
    <w:rsid w:val="00854FB3"/>
    <w:rsid w:val="008566D3"/>
    <w:rsid w:val="00857FCA"/>
    <w:rsid w:val="00860F13"/>
    <w:rsid w:val="0086199C"/>
    <w:rsid w:val="00861F8B"/>
    <w:rsid w:val="0086561F"/>
    <w:rsid w:val="00865A7A"/>
    <w:rsid w:val="00865FE1"/>
    <w:rsid w:val="0087069B"/>
    <w:rsid w:val="00874542"/>
    <w:rsid w:val="008748C7"/>
    <w:rsid w:val="0087521A"/>
    <w:rsid w:val="008808C0"/>
    <w:rsid w:val="00882255"/>
    <w:rsid w:val="00884E4D"/>
    <w:rsid w:val="00890BDE"/>
    <w:rsid w:val="00892AD3"/>
    <w:rsid w:val="00894155"/>
    <w:rsid w:val="008962E7"/>
    <w:rsid w:val="008A1118"/>
    <w:rsid w:val="008A281F"/>
    <w:rsid w:val="008A48D2"/>
    <w:rsid w:val="008A4AF6"/>
    <w:rsid w:val="008A4FF8"/>
    <w:rsid w:val="008A5ED1"/>
    <w:rsid w:val="008A73CE"/>
    <w:rsid w:val="008A7FD1"/>
    <w:rsid w:val="008B042E"/>
    <w:rsid w:val="008B211E"/>
    <w:rsid w:val="008B6D48"/>
    <w:rsid w:val="008C7660"/>
    <w:rsid w:val="008C79A7"/>
    <w:rsid w:val="008D5521"/>
    <w:rsid w:val="008D555F"/>
    <w:rsid w:val="008D625D"/>
    <w:rsid w:val="008D650E"/>
    <w:rsid w:val="008D6F9F"/>
    <w:rsid w:val="008E23AE"/>
    <w:rsid w:val="008E47F5"/>
    <w:rsid w:val="008E673E"/>
    <w:rsid w:val="008E67D1"/>
    <w:rsid w:val="008E6A41"/>
    <w:rsid w:val="008E6FC1"/>
    <w:rsid w:val="008F15D5"/>
    <w:rsid w:val="008F20EA"/>
    <w:rsid w:val="008F79C4"/>
    <w:rsid w:val="00903990"/>
    <w:rsid w:val="009042A8"/>
    <w:rsid w:val="00904950"/>
    <w:rsid w:val="0091442E"/>
    <w:rsid w:val="00915E5E"/>
    <w:rsid w:val="009166B8"/>
    <w:rsid w:val="00916FA5"/>
    <w:rsid w:val="00917915"/>
    <w:rsid w:val="00920684"/>
    <w:rsid w:val="009216E6"/>
    <w:rsid w:val="009224EC"/>
    <w:rsid w:val="00922DB7"/>
    <w:rsid w:val="0092684A"/>
    <w:rsid w:val="00927654"/>
    <w:rsid w:val="00932A2D"/>
    <w:rsid w:val="00937FAB"/>
    <w:rsid w:val="0094094D"/>
    <w:rsid w:val="00942AB8"/>
    <w:rsid w:val="0094548C"/>
    <w:rsid w:val="00945CAF"/>
    <w:rsid w:val="00946AC9"/>
    <w:rsid w:val="00947448"/>
    <w:rsid w:val="00952B38"/>
    <w:rsid w:val="00952C99"/>
    <w:rsid w:val="009619EB"/>
    <w:rsid w:val="00965333"/>
    <w:rsid w:val="009712EF"/>
    <w:rsid w:val="009727BF"/>
    <w:rsid w:val="00973321"/>
    <w:rsid w:val="00975C2E"/>
    <w:rsid w:val="009770EB"/>
    <w:rsid w:val="00977270"/>
    <w:rsid w:val="009824F2"/>
    <w:rsid w:val="00983080"/>
    <w:rsid w:val="00986AA3"/>
    <w:rsid w:val="00993B24"/>
    <w:rsid w:val="0099611F"/>
    <w:rsid w:val="009A083F"/>
    <w:rsid w:val="009A135C"/>
    <w:rsid w:val="009A67E7"/>
    <w:rsid w:val="009C37CB"/>
    <w:rsid w:val="009C603A"/>
    <w:rsid w:val="009C74CD"/>
    <w:rsid w:val="009D048F"/>
    <w:rsid w:val="009D162F"/>
    <w:rsid w:val="009D23FF"/>
    <w:rsid w:val="009D401F"/>
    <w:rsid w:val="009D5B42"/>
    <w:rsid w:val="009D68FA"/>
    <w:rsid w:val="009E1E4F"/>
    <w:rsid w:val="009E32CF"/>
    <w:rsid w:val="009E4261"/>
    <w:rsid w:val="009E4FC2"/>
    <w:rsid w:val="009E6E2E"/>
    <w:rsid w:val="009F44AE"/>
    <w:rsid w:val="009F59B9"/>
    <w:rsid w:val="00A02529"/>
    <w:rsid w:val="00A02EF2"/>
    <w:rsid w:val="00A04D5E"/>
    <w:rsid w:val="00A10DDF"/>
    <w:rsid w:val="00A11172"/>
    <w:rsid w:val="00A1219E"/>
    <w:rsid w:val="00A12E55"/>
    <w:rsid w:val="00A168D7"/>
    <w:rsid w:val="00A20F81"/>
    <w:rsid w:val="00A2411A"/>
    <w:rsid w:val="00A242E4"/>
    <w:rsid w:val="00A24437"/>
    <w:rsid w:val="00A24CA0"/>
    <w:rsid w:val="00A25D4B"/>
    <w:rsid w:val="00A33601"/>
    <w:rsid w:val="00A3362A"/>
    <w:rsid w:val="00A34251"/>
    <w:rsid w:val="00A35278"/>
    <w:rsid w:val="00A36257"/>
    <w:rsid w:val="00A37045"/>
    <w:rsid w:val="00A37B70"/>
    <w:rsid w:val="00A40AC7"/>
    <w:rsid w:val="00A435C7"/>
    <w:rsid w:val="00A55607"/>
    <w:rsid w:val="00A569B2"/>
    <w:rsid w:val="00A60CDA"/>
    <w:rsid w:val="00A611A4"/>
    <w:rsid w:val="00A61F09"/>
    <w:rsid w:val="00A637ED"/>
    <w:rsid w:val="00A63E1A"/>
    <w:rsid w:val="00A643DC"/>
    <w:rsid w:val="00A6695B"/>
    <w:rsid w:val="00A703F7"/>
    <w:rsid w:val="00A72703"/>
    <w:rsid w:val="00A727F6"/>
    <w:rsid w:val="00A72E71"/>
    <w:rsid w:val="00A74DF7"/>
    <w:rsid w:val="00A76432"/>
    <w:rsid w:val="00A770C0"/>
    <w:rsid w:val="00A84FC6"/>
    <w:rsid w:val="00A8528E"/>
    <w:rsid w:val="00A90BD9"/>
    <w:rsid w:val="00A9101B"/>
    <w:rsid w:val="00A94A49"/>
    <w:rsid w:val="00A95C5E"/>
    <w:rsid w:val="00AA1815"/>
    <w:rsid w:val="00AA1D3E"/>
    <w:rsid w:val="00AA20E7"/>
    <w:rsid w:val="00AA39F9"/>
    <w:rsid w:val="00AA79D3"/>
    <w:rsid w:val="00AB0931"/>
    <w:rsid w:val="00AB4DC4"/>
    <w:rsid w:val="00AB5C9B"/>
    <w:rsid w:val="00AC0159"/>
    <w:rsid w:val="00AC0276"/>
    <w:rsid w:val="00AC0312"/>
    <w:rsid w:val="00AC0449"/>
    <w:rsid w:val="00AC0DC3"/>
    <w:rsid w:val="00AD035F"/>
    <w:rsid w:val="00AD2497"/>
    <w:rsid w:val="00AD5C04"/>
    <w:rsid w:val="00AD5EB4"/>
    <w:rsid w:val="00AD667B"/>
    <w:rsid w:val="00AE63E2"/>
    <w:rsid w:val="00AE7976"/>
    <w:rsid w:val="00AF04C9"/>
    <w:rsid w:val="00AF19A2"/>
    <w:rsid w:val="00AF1DC4"/>
    <w:rsid w:val="00AF26B6"/>
    <w:rsid w:val="00AF2979"/>
    <w:rsid w:val="00AF3189"/>
    <w:rsid w:val="00AF5BF8"/>
    <w:rsid w:val="00AF6D46"/>
    <w:rsid w:val="00B0375C"/>
    <w:rsid w:val="00B052CB"/>
    <w:rsid w:val="00B07C81"/>
    <w:rsid w:val="00B156C3"/>
    <w:rsid w:val="00B15F67"/>
    <w:rsid w:val="00B1624F"/>
    <w:rsid w:val="00B20F5D"/>
    <w:rsid w:val="00B21184"/>
    <w:rsid w:val="00B224C5"/>
    <w:rsid w:val="00B325CD"/>
    <w:rsid w:val="00B36C0F"/>
    <w:rsid w:val="00B37793"/>
    <w:rsid w:val="00B41203"/>
    <w:rsid w:val="00B4561E"/>
    <w:rsid w:val="00B4768D"/>
    <w:rsid w:val="00B518E5"/>
    <w:rsid w:val="00B51E1F"/>
    <w:rsid w:val="00B52601"/>
    <w:rsid w:val="00B57032"/>
    <w:rsid w:val="00B60222"/>
    <w:rsid w:val="00B62CFB"/>
    <w:rsid w:val="00B662F5"/>
    <w:rsid w:val="00B7000C"/>
    <w:rsid w:val="00B760D5"/>
    <w:rsid w:val="00B77495"/>
    <w:rsid w:val="00B83B2C"/>
    <w:rsid w:val="00B8688E"/>
    <w:rsid w:val="00B92049"/>
    <w:rsid w:val="00B94740"/>
    <w:rsid w:val="00B95002"/>
    <w:rsid w:val="00B97728"/>
    <w:rsid w:val="00B97F75"/>
    <w:rsid w:val="00BA0A4F"/>
    <w:rsid w:val="00BA1CAE"/>
    <w:rsid w:val="00BA33BB"/>
    <w:rsid w:val="00BA4830"/>
    <w:rsid w:val="00BA6E22"/>
    <w:rsid w:val="00BB1460"/>
    <w:rsid w:val="00BB362C"/>
    <w:rsid w:val="00BB5942"/>
    <w:rsid w:val="00BC0A03"/>
    <w:rsid w:val="00BC4A42"/>
    <w:rsid w:val="00BC5BB4"/>
    <w:rsid w:val="00BD4139"/>
    <w:rsid w:val="00BE059A"/>
    <w:rsid w:val="00BE1981"/>
    <w:rsid w:val="00BE2DA6"/>
    <w:rsid w:val="00BE2E86"/>
    <w:rsid w:val="00BE320B"/>
    <w:rsid w:val="00BE56E9"/>
    <w:rsid w:val="00BE63CF"/>
    <w:rsid w:val="00BE7014"/>
    <w:rsid w:val="00BE7991"/>
    <w:rsid w:val="00BF25C7"/>
    <w:rsid w:val="00BF5357"/>
    <w:rsid w:val="00C009B7"/>
    <w:rsid w:val="00C02B8F"/>
    <w:rsid w:val="00C04E32"/>
    <w:rsid w:val="00C116B1"/>
    <w:rsid w:val="00C15A3F"/>
    <w:rsid w:val="00C20630"/>
    <w:rsid w:val="00C224A4"/>
    <w:rsid w:val="00C22F7A"/>
    <w:rsid w:val="00C2666F"/>
    <w:rsid w:val="00C32020"/>
    <w:rsid w:val="00C32D02"/>
    <w:rsid w:val="00C3408C"/>
    <w:rsid w:val="00C3484D"/>
    <w:rsid w:val="00C351CC"/>
    <w:rsid w:val="00C35435"/>
    <w:rsid w:val="00C432FD"/>
    <w:rsid w:val="00C43CDF"/>
    <w:rsid w:val="00C4608E"/>
    <w:rsid w:val="00C512B2"/>
    <w:rsid w:val="00C53B5D"/>
    <w:rsid w:val="00C55A96"/>
    <w:rsid w:val="00C571FB"/>
    <w:rsid w:val="00C57381"/>
    <w:rsid w:val="00C61D56"/>
    <w:rsid w:val="00C62B69"/>
    <w:rsid w:val="00C62F67"/>
    <w:rsid w:val="00C644B7"/>
    <w:rsid w:val="00C64564"/>
    <w:rsid w:val="00C66D6F"/>
    <w:rsid w:val="00C71377"/>
    <w:rsid w:val="00C73C87"/>
    <w:rsid w:val="00C74B6F"/>
    <w:rsid w:val="00C87EF3"/>
    <w:rsid w:val="00C9015F"/>
    <w:rsid w:val="00C912F9"/>
    <w:rsid w:val="00C91B22"/>
    <w:rsid w:val="00C9241B"/>
    <w:rsid w:val="00C9370B"/>
    <w:rsid w:val="00C96DDF"/>
    <w:rsid w:val="00C97569"/>
    <w:rsid w:val="00CA199D"/>
    <w:rsid w:val="00CA4D9C"/>
    <w:rsid w:val="00CB05A7"/>
    <w:rsid w:val="00CB06A4"/>
    <w:rsid w:val="00CB325B"/>
    <w:rsid w:val="00CB3EFF"/>
    <w:rsid w:val="00CB64FF"/>
    <w:rsid w:val="00CB7078"/>
    <w:rsid w:val="00CB711D"/>
    <w:rsid w:val="00CB7902"/>
    <w:rsid w:val="00CB7B41"/>
    <w:rsid w:val="00CC014B"/>
    <w:rsid w:val="00CC0E81"/>
    <w:rsid w:val="00CC1D82"/>
    <w:rsid w:val="00CC21D8"/>
    <w:rsid w:val="00CC3369"/>
    <w:rsid w:val="00CC5343"/>
    <w:rsid w:val="00CC59D7"/>
    <w:rsid w:val="00CC6338"/>
    <w:rsid w:val="00CC78DE"/>
    <w:rsid w:val="00CD04D9"/>
    <w:rsid w:val="00CD0F93"/>
    <w:rsid w:val="00CD6D6E"/>
    <w:rsid w:val="00CD6F23"/>
    <w:rsid w:val="00CE163E"/>
    <w:rsid w:val="00CF640B"/>
    <w:rsid w:val="00CF6B5A"/>
    <w:rsid w:val="00D027AF"/>
    <w:rsid w:val="00D0323E"/>
    <w:rsid w:val="00D06652"/>
    <w:rsid w:val="00D07FA6"/>
    <w:rsid w:val="00D16ADF"/>
    <w:rsid w:val="00D17C53"/>
    <w:rsid w:val="00D17D57"/>
    <w:rsid w:val="00D20F80"/>
    <w:rsid w:val="00D2341D"/>
    <w:rsid w:val="00D252DA"/>
    <w:rsid w:val="00D25E0E"/>
    <w:rsid w:val="00D302EB"/>
    <w:rsid w:val="00D31679"/>
    <w:rsid w:val="00D320C8"/>
    <w:rsid w:val="00D330B6"/>
    <w:rsid w:val="00D3672F"/>
    <w:rsid w:val="00D40ABA"/>
    <w:rsid w:val="00D40FE2"/>
    <w:rsid w:val="00D440FA"/>
    <w:rsid w:val="00D44BCF"/>
    <w:rsid w:val="00D46E73"/>
    <w:rsid w:val="00D5548D"/>
    <w:rsid w:val="00D56572"/>
    <w:rsid w:val="00D60F81"/>
    <w:rsid w:val="00D63951"/>
    <w:rsid w:val="00D63BF2"/>
    <w:rsid w:val="00D67348"/>
    <w:rsid w:val="00D70A26"/>
    <w:rsid w:val="00D73BB4"/>
    <w:rsid w:val="00D75FEC"/>
    <w:rsid w:val="00D76B98"/>
    <w:rsid w:val="00D82E63"/>
    <w:rsid w:val="00D835A0"/>
    <w:rsid w:val="00D86905"/>
    <w:rsid w:val="00D86F2C"/>
    <w:rsid w:val="00D94301"/>
    <w:rsid w:val="00D96248"/>
    <w:rsid w:val="00DA0680"/>
    <w:rsid w:val="00DA36F6"/>
    <w:rsid w:val="00DA48F0"/>
    <w:rsid w:val="00DB0C8D"/>
    <w:rsid w:val="00DB65A4"/>
    <w:rsid w:val="00DB6AF2"/>
    <w:rsid w:val="00DC1599"/>
    <w:rsid w:val="00DC1611"/>
    <w:rsid w:val="00DD3C53"/>
    <w:rsid w:val="00DD6B73"/>
    <w:rsid w:val="00DE745D"/>
    <w:rsid w:val="00DF0774"/>
    <w:rsid w:val="00DF1036"/>
    <w:rsid w:val="00DF4644"/>
    <w:rsid w:val="00DF68F6"/>
    <w:rsid w:val="00DF7A83"/>
    <w:rsid w:val="00E012B4"/>
    <w:rsid w:val="00E05451"/>
    <w:rsid w:val="00E05651"/>
    <w:rsid w:val="00E100F6"/>
    <w:rsid w:val="00E11BA5"/>
    <w:rsid w:val="00E17CBD"/>
    <w:rsid w:val="00E20425"/>
    <w:rsid w:val="00E21768"/>
    <w:rsid w:val="00E21886"/>
    <w:rsid w:val="00E25DCB"/>
    <w:rsid w:val="00E2613B"/>
    <w:rsid w:val="00E313DF"/>
    <w:rsid w:val="00E32702"/>
    <w:rsid w:val="00E330E0"/>
    <w:rsid w:val="00E36C70"/>
    <w:rsid w:val="00E4156E"/>
    <w:rsid w:val="00E44D61"/>
    <w:rsid w:val="00E453F2"/>
    <w:rsid w:val="00E460AD"/>
    <w:rsid w:val="00E61925"/>
    <w:rsid w:val="00E6363B"/>
    <w:rsid w:val="00E65C0E"/>
    <w:rsid w:val="00E65FB9"/>
    <w:rsid w:val="00E67084"/>
    <w:rsid w:val="00E730FC"/>
    <w:rsid w:val="00E746F0"/>
    <w:rsid w:val="00E809B9"/>
    <w:rsid w:val="00E82A15"/>
    <w:rsid w:val="00E85445"/>
    <w:rsid w:val="00E8715B"/>
    <w:rsid w:val="00E87589"/>
    <w:rsid w:val="00E938FF"/>
    <w:rsid w:val="00E93DFE"/>
    <w:rsid w:val="00EA2124"/>
    <w:rsid w:val="00EA2B12"/>
    <w:rsid w:val="00EA34DC"/>
    <w:rsid w:val="00EA456C"/>
    <w:rsid w:val="00EA5017"/>
    <w:rsid w:val="00EA6BED"/>
    <w:rsid w:val="00EB14F0"/>
    <w:rsid w:val="00EB3844"/>
    <w:rsid w:val="00EB5A9F"/>
    <w:rsid w:val="00EC573F"/>
    <w:rsid w:val="00EC5C8D"/>
    <w:rsid w:val="00ED106C"/>
    <w:rsid w:val="00ED2D34"/>
    <w:rsid w:val="00ED4805"/>
    <w:rsid w:val="00ED57F6"/>
    <w:rsid w:val="00ED6C51"/>
    <w:rsid w:val="00ED6DA1"/>
    <w:rsid w:val="00EF0AF8"/>
    <w:rsid w:val="00EF207D"/>
    <w:rsid w:val="00EF4258"/>
    <w:rsid w:val="00EF6D31"/>
    <w:rsid w:val="00F02237"/>
    <w:rsid w:val="00F046F1"/>
    <w:rsid w:val="00F072E2"/>
    <w:rsid w:val="00F079A6"/>
    <w:rsid w:val="00F10236"/>
    <w:rsid w:val="00F15811"/>
    <w:rsid w:val="00F22423"/>
    <w:rsid w:val="00F24C72"/>
    <w:rsid w:val="00F30267"/>
    <w:rsid w:val="00F31D22"/>
    <w:rsid w:val="00F348B2"/>
    <w:rsid w:val="00F34BF0"/>
    <w:rsid w:val="00F34ED8"/>
    <w:rsid w:val="00F4095A"/>
    <w:rsid w:val="00F452CC"/>
    <w:rsid w:val="00F45845"/>
    <w:rsid w:val="00F50189"/>
    <w:rsid w:val="00F5061E"/>
    <w:rsid w:val="00F508FC"/>
    <w:rsid w:val="00F510B7"/>
    <w:rsid w:val="00F53428"/>
    <w:rsid w:val="00F53571"/>
    <w:rsid w:val="00F54044"/>
    <w:rsid w:val="00F576E7"/>
    <w:rsid w:val="00F73D1C"/>
    <w:rsid w:val="00F763FC"/>
    <w:rsid w:val="00F76B4A"/>
    <w:rsid w:val="00F772C1"/>
    <w:rsid w:val="00F8026D"/>
    <w:rsid w:val="00F8245F"/>
    <w:rsid w:val="00F82E40"/>
    <w:rsid w:val="00F867FC"/>
    <w:rsid w:val="00F91629"/>
    <w:rsid w:val="00F91E2A"/>
    <w:rsid w:val="00F96C39"/>
    <w:rsid w:val="00F96E41"/>
    <w:rsid w:val="00FA153F"/>
    <w:rsid w:val="00FA1D78"/>
    <w:rsid w:val="00FA1F7E"/>
    <w:rsid w:val="00FA280F"/>
    <w:rsid w:val="00FA5289"/>
    <w:rsid w:val="00FA6213"/>
    <w:rsid w:val="00FB2186"/>
    <w:rsid w:val="00FB7E03"/>
    <w:rsid w:val="00FD0133"/>
    <w:rsid w:val="00FD25FE"/>
    <w:rsid w:val="00FD6206"/>
    <w:rsid w:val="00FE1318"/>
    <w:rsid w:val="00FE208F"/>
    <w:rsid w:val="00FE54CD"/>
    <w:rsid w:val="00FE6DF6"/>
    <w:rsid w:val="00FF32C3"/>
    <w:rsid w:val="00FF3F8B"/>
    <w:rsid w:val="00FF6168"/>
    <w:rsid w:val="00FF64E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5D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Titre1">
    <w:name w:val="heading 1"/>
    <w:basedOn w:val="Normal"/>
    <w:next w:val="corpsdedcision"/>
    <w:link w:val="Titre1Car"/>
    <w:qFormat/>
    <w:rsid w:val="00F96E41"/>
    <w:pPr>
      <w:keepNext/>
      <w:spacing w:before="240" w:after="240"/>
      <w:outlineLvl w:val="0"/>
    </w:pPr>
    <w:rPr>
      <w:rFonts w:cs="Arial"/>
      <w:b/>
      <w:bCs/>
      <w:caps/>
      <w:kern w:val="32"/>
      <w:szCs w:val="32"/>
      <w:u w:val="single"/>
      <w:lang w:eastAsia="fr-FR"/>
    </w:rPr>
  </w:style>
  <w:style w:type="paragraph" w:styleId="Titre2">
    <w:name w:val="heading 2"/>
    <w:basedOn w:val="Normal"/>
    <w:next w:val="corpsdedcision"/>
    <w:qFormat/>
    <w:rsid w:val="0047680F"/>
    <w:pPr>
      <w:keepNext/>
      <w:spacing w:before="240" w:after="240"/>
      <w:outlineLvl w:val="1"/>
    </w:pPr>
    <w:rPr>
      <w:rFonts w:cs="Arial"/>
      <w:bCs/>
      <w:iCs/>
      <w:caps/>
      <w:szCs w:val="28"/>
      <w:lang w:eastAsia="fr-FR"/>
    </w:rPr>
  </w:style>
  <w:style w:type="paragraph" w:styleId="Titre3">
    <w:name w:val="heading 3"/>
    <w:basedOn w:val="Normal"/>
    <w:next w:val="corpsdedcision"/>
    <w:qFormat/>
    <w:rsid w:val="00EA456C"/>
    <w:pPr>
      <w:keepNext/>
      <w:spacing w:before="240" w:after="240"/>
      <w:outlineLvl w:val="2"/>
    </w:pPr>
    <w:rPr>
      <w:rFonts w:cs="Arial"/>
      <w:b/>
      <w:szCs w:val="24"/>
      <w:lang w:eastAsia="fr-FR"/>
    </w:rPr>
  </w:style>
  <w:style w:type="paragraph" w:styleId="Titre4">
    <w:name w:val="heading 4"/>
    <w:basedOn w:val="Normal"/>
    <w:next w:val="corpsdedcision"/>
    <w:qFormat/>
    <w:rsid w:val="008F15D5"/>
    <w:pPr>
      <w:keepNext/>
      <w:spacing w:before="240" w:after="240"/>
      <w:outlineLvl w:val="3"/>
    </w:pPr>
    <w:rPr>
      <w:rFonts w:cs="Arial"/>
      <w:szCs w:val="24"/>
      <w:u w:val="single"/>
      <w:lang w:eastAsia="fr-FR"/>
    </w:rPr>
  </w:style>
  <w:style w:type="paragraph" w:styleId="Titre5">
    <w:name w:val="heading 5"/>
    <w:basedOn w:val="Normal"/>
    <w:next w:val="Normal"/>
    <w:qFormat/>
    <w:rsid w:val="005E2367"/>
    <w:pPr>
      <w:numPr>
        <w:ilvl w:val="4"/>
        <w:numId w:val="2"/>
      </w:numPr>
      <w:spacing w:before="240" w:after="60"/>
      <w:outlineLvl w:val="4"/>
    </w:pPr>
    <w:rPr>
      <w:b/>
      <w:bCs/>
      <w:i/>
      <w:iCs/>
      <w:sz w:val="26"/>
      <w:szCs w:val="26"/>
    </w:rPr>
  </w:style>
  <w:style w:type="paragraph" w:styleId="Titre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Titre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Titre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Titre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Appelnotedebasdep">
    <w:name w:val="footnote reference"/>
    <w:rPr>
      <w:rFonts w:ascii="Arial" w:hAnsi="Arial"/>
      <w:vertAlign w:val="superscript"/>
    </w:rPr>
  </w:style>
  <w:style w:type="paragraph" w:customStyle="1" w:styleId="citation">
    <w:name w:val="citation"/>
    <w:basedOn w:val="Normal"/>
    <w:link w:val="citationCar"/>
    <w:pPr>
      <w:ind w:left="720" w:right="720"/>
      <w:jc w:val="both"/>
    </w:pPr>
    <w:rPr>
      <w:sz w:val="20"/>
    </w:rPr>
  </w:style>
  <w:style w:type="paragraph" w:customStyle="1" w:styleId="corpsdedcision">
    <w:name w:val="corps de décision"/>
    <w:basedOn w:val="Normal"/>
    <w:link w:val="corpsdedcisionCar"/>
    <w:pPr>
      <w:numPr>
        <w:numId w:val="1"/>
      </w:numPr>
      <w:tabs>
        <w:tab w:val="clear" w:pos="360"/>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Notedebasdepage">
    <w:name w:val="footnote text"/>
    <w:aliases w:val="Note de bas de page art 65,Note de bas de page + 10pt,Car,Car Car Car Car Car,Car Car Car Car,Car Car Car,Car Car Car Car Car Car Car Car Car,Car Car, Car, Car Car Car Car Car, Car Car Car Car, Car Car Car"/>
    <w:basedOn w:val="Normal"/>
    <w:link w:val="NotedebasdepageCar"/>
  </w:style>
  <w:style w:type="paragraph" w:styleId="En-tte">
    <w:name w:val="header"/>
    <w:basedOn w:val="Normal"/>
    <w:pPr>
      <w:tabs>
        <w:tab w:val="center" w:pos="4320"/>
        <w:tab w:val="right" w:pos="8640"/>
      </w:tabs>
    </w:pPr>
  </w:style>
  <w:style w:type="character" w:styleId="Numrodepage">
    <w:name w:val="page number"/>
    <w:rPr>
      <w:rFonts w:ascii="Arial" w:hAnsi="Arial"/>
      <w:sz w:val="24"/>
    </w:rPr>
  </w:style>
  <w:style w:type="paragraph" w:styleId="Pieddepage">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character" w:customStyle="1" w:styleId="NotedebasdepageCar">
    <w:name w:val="Note de bas de page Car"/>
    <w:aliases w:val="Note de bas de page art 65 Car,Note de bas de page + 10pt Car,Car Car4,Car Car Car Car Car Car,Car Car Car Car Car1,Car Car Car Car1,Car Car Car Car Car Car Car Car Car Car,Car Car Car1, Car Car, Car Car Car Car Car Car"/>
    <w:link w:val="Notedebasdepage"/>
    <w:locked/>
    <w:rsid w:val="00BC0A03"/>
    <w:rPr>
      <w:rFonts w:ascii="Arial" w:hAnsi="Arial"/>
      <w:sz w:val="24"/>
      <w:lang w:val="fr-CA" w:eastAsia="fr-CA" w:bidi="ar-SA"/>
    </w:rPr>
  </w:style>
  <w:style w:type="character" w:customStyle="1" w:styleId="CarCar3">
    <w:name w:val="Car Car3"/>
    <w:semiHidden/>
    <w:locked/>
    <w:rsid w:val="007F2149"/>
    <w:rPr>
      <w:rFonts w:ascii="Arial" w:hAnsi="Arial"/>
      <w:sz w:val="24"/>
      <w:lang w:val="fr-CA" w:eastAsia="fr-CA" w:bidi="ar-SA"/>
    </w:rPr>
  </w:style>
  <w:style w:type="paragraph" w:customStyle="1" w:styleId="Citationenretrait">
    <w:name w:val="Citation en retrait"/>
    <w:basedOn w:val="Normal"/>
    <w:link w:val="CitationenretraitCar"/>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link w:val="CitationendoubleretraitCar"/>
    <w:rsid w:val="008048CF"/>
    <w:pPr>
      <w:spacing w:before="0" w:after="0"/>
      <w:ind w:left="1440" w:right="1440"/>
    </w:pPr>
    <w:rPr>
      <w:sz w:val="18"/>
    </w:rPr>
  </w:style>
  <w:style w:type="character" w:customStyle="1" w:styleId="Citationintgre">
    <w:name w:val="Citation intégrée"/>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Titre1Car">
    <w:name w:val="Titre 1 Car"/>
    <w:link w:val="Titre1"/>
    <w:rsid w:val="00F96E41"/>
    <w:rPr>
      <w:rFonts w:ascii="Arial" w:hAnsi="Arial" w:cs="Arial"/>
      <w:b/>
      <w:bCs/>
      <w:caps/>
      <w:kern w:val="32"/>
      <w:sz w:val="24"/>
      <w:szCs w:val="32"/>
      <w:u w:val="single"/>
      <w:lang w:val="fr-CA" w:eastAsia="fr-FR" w:bidi="ar-SA"/>
    </w:rPr>
  </w:style>
  <w:style w:type="paragraph" w:customStyle="1" w:styleId="ParagConclusion">
    <w:name w:val="ParagConclusion"/>
    <w:basedOn w:val="Normal"/>
    <w:rsid w:val="003D18FC"/>
    <w:pPr>
      <w:spacing w:before="160" w:after="160"/>
      <w:ind w:left="2448" w:hanging="2448"/>
    </w:pPr>
    <w:rPr>
      <w:rFonts w:eastAsia="Calibri" w:cs="Arial"/>
      <w:szCs w:val="24"/>
      <w:lang w:eastAsia="fr-FR"/>
    </w:rPr>
  </w:style>
  <w:style w:type="paragraph" w:customStyle="1" w:styleId="yChPInterv">
    <w:name w:val="yCh_PInterv"/>
    <w:rsid w:val="00474489"/>
    <w:rPr>
      <w:rFonts w:ascii="Arial" w:hAnsi="Arial"/>
      <w:sz w:val="24"/>
    </w:rPr>
  </w:style>
  <w:style w:type="character" w:styleId="Lienhypertexte">
    <w:name w:val="Hyperlink"/>
    <w:unhideWhenUsed/>
    <w:rsid w:val="00AF3189"/>
    <w:rPr>
      <w:color w:val="0563C1"/>
      <w:u w:val="single"/>
    </w:rPr>
  </w:style>
  <w:style w:type="character" w:customStyle="1" w:styleId="CarCar1">
    <w:name w:val="Car Car1"/>
    <w:semiHidden/>
    <w:rsid w:val="00D73BB4"/>
    <w:rPr>
      <w:rFonts w:ascii="Arial" w:eastAsia="Times New Roman" w:hAnsi="Arial"/>
      <w:sz w:val="24"/>
    </w:rPr>
  </w:style>
  <w:style w:type="paragraph" w:styleId="Paragraphedeliste">
    <w:name w:val="List Paragraph"/>
    <w:basedOn w:val="Normal"/>
    <w:qFormat/>
    <w:rsid w:val="00D73BB4"/>
    <w:pPr>
      <w:ind w:left="720"/>
      <w:contextualSpacing/>
    </w:pPr>
  </w:style>
  <w:style w:type="character" w:customStyle="1" w:styleId="CarCar2">
    <w:name w:val="Car Car2"/>
    <w:rsid w:val="00CD04D9"/>
    <w:rPr>
      <w:rFonts w:ascii="Arial" w:hAnsi="Arial"/>
      <w:sz w:val="24"/>
    </w:rPr>
  </w:style>
  <w:style w:type="character" w:customStyle="1" w:styleId="FootnoteTextChar">
    <w:name w:val="Footnote Text Char"/>
    <w:locked/>
    <w:rsid w:val="00ED57F6"/>
    <w:rPr>
      <w:rFonts w:ascii="Arial" w:hAnsi="Arial" w:cs="Times New Roman"/>
      <w:sz w:val="24"/>
    </w:rPr>
  </w:style>
  <w:style w:type="character" w:customStyle="1" w:styleId="CitationenretraitCar">
    <w:name w:val="Citation en retrait Car"/>
    <w:link w:val="Citationenretrait"/>
    <w:rsid w:val="00DB6AF2"/>
    <w:rPr>
      <w:rFonts w:ascii="Arial" w:hAnsi="Arial"/>
      <w:kern w:val="24"/>
      <w:sz w:val="22"/>
      <w:lang w:val="fr-CA" w:eastAsia="fr-FR" w:bidi="ar-SA"/>
    </w:rPr>
  </w:style>
  <w:style w:type="character" w:customStyle="1" w:styleId="CitationendoubleretraitCar">
    <w:name w:val="Citation en double retrait Car"/>
    <w:link w:val="Citationendoubleretrait"/>
    <w:rsid w:val="00DB6AF2"/>
    <w:rPr>
      <w:rFonts w:ascii="Arial" w:hAnsi="Arial"/>
      <w:kern w:val="24"/>
      <w:sz w:val="18"/>
      <w:lang w:val="fr-CA" w:eastAsia="fr-FR" w:bidi="ar-SA"/>
    </w:rPr>
  </w:style>
  <w:style w:type="character" w:customStyle="1" w:styleId="corpsdedcisionCar">
    <w:name w:val="corps de décision Car"/>
    <w:link w:val="corpsdedcision"/>
    <w:rsid w:val="0056368C"/>
    <w:rPr>
      <w:rFonts w:ascii="Arial" w:hAnsi="Arial"/>
      <w:sz w:val="24"/>
    </w:rPr>
  </w:style>
  <w:style w:type="character" w:customStyle="1" w:styleId="citationCar">
    <w:name w:val="citation Car"/>
    <w:link w:val="citation"/>
    <w:rsid w:val="00AF6D46"/>
    <w:rPr>
      <w:rFonts w:ascii="Arial" w:hAnsi="Arial"/>
    </w:rPr>
  </w:style>
  <w:style w:type="paragraph" w:styleId="Rvision">
    <w:name w:val="Revision"/>
    <w:hidden/>
    <w:uiPriority w:val="99"/>
    <w:semiHidden/>
    <w:rsid w:val="00B8688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44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2600</Words>
  <Characters>14302</Characters>
  <Application>Microsoft Office Word</Application>
  <DocSecurity>0</DocSecurity>
  <Lines>119</Lines>
  <Paragraphs>33</Paragraphs>
  <ScaleCrop>false</ScaleCrop>
  <Company/>
  <LinksUpToDate>false</LinksUpToDate>
  <CharactersWithSpaces>16869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2024-06-10T13:13:00Z</dcterms:created>
  <dcterms:modified xsi:type="dcterms:W3CDTF">2024-06-10T13:13:00Z</dcterms:modified>
</cp:coreProperties>
</file>