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10C4C0E3" w14:textId="77777777">
        <w:trPr>
          <w:cantSplit/>
        </w:trPr>
        <w:tc>
          <w:tcPr>
            <w:tcW w:w="4795" w:type="dxa"/>
          </w:tcPr>
          <w:p w14:paraId="58D8F9F5" w14:textId="7DD8BB1E" w:rsidR="008A7FD1" w:rsidRPr="00C75CC0" w:rsidRDefault="00C75CC0" w:rsidP="00C75CC0">
            <w:pPr>
              <w:pStyle w:val="zSoquijdatRepertorie"/>
              <w:rPr>
                <w:rFonts w:cs="Arial"/>
              </w:rPr>
            </w:pPr>
            <w:bookmarkStart w:id="0" w:name="_GoBack"/>
            <w:bookmarkEnd w:id="0"/>
            <w:r>
              <w:rPr>
                <w:rFonts w:cs="Arial"/>
              </w:rPr>
              <w:t>Marion et Ville de Québec</w:t>
            </w:r>
          </w:p>
        </w:tc>
        <w:tc>
          <w:tcPr>
            <w:tcW w:w="2477" w:type="dxa"/>
          </w:tcPr>
          <w:p w14:paraId="16FA05FF" w14:textId="513BE645" w:rsidR="008A7FD1" w:rsidRPr="00C32770" w:rsidRDefault="00C32770" w:rsidP="00C32770">
            <w:pPr>
              <w:pStyle w:val="zSoquijdatRefNeutre"/>
              <w:rPr>
                <w:rFonts w:cs="Arial"/>
              </w:rPr>
            </w:pPr>
            <w:r w:rsidRPr="00C32770">
              <w:rPr>
                <w:rFonts w:cs="Arial"/>
              </w:rPr>
              <w:t>2025 QCTAT 2296</w:t>
            </w:r>
          </w:p>
        </w:tc>
      </w:tr>
    </w:tbl>
    <w:p w14:paraId="67286F3F"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6F0EAAC7" w14:textId="77777777" w:rsidTr="00036794">
        <w:trPr>
          <w:cantSplit/>
        </w:trPr>
        <w:tc>
          <w:tcPr>
            <w:tcW w:w="9568" w:type="dxa"/>
            <w:gridSpan w:val="4"/>
          </w:tcPr>
          <w:p w14:paraId="1540B93A" w14:textId="77777777" w:rsidR="00C74B6F" w:rsidRPr="00BE1981" w:rsidRDefault="00C74B6F">
            <w:pPr>
              <w:rPr>
                <w:szCs w:val="24"/>
              </w:rPr>
            </w:pPr>
          </w:p>
        </w:tc>
      </w:tr>
      <w:tr w:rsidR="00C74B6F" w14:paraId="2E5E9AA6" w14:textId="77777777" w:rsidTr="00036794">
        <w:trPr>
          <w:cantSplit/>
        </w:trPr>
        <w:tc>
          <w:tcPr>
            <w:tcW w:w="9568" w:type="dxa"/>
            <w:gridSpan w:val="4"/>
            <w:vAlign w:val="center"/>
          </w:tcPr>
          <w:p w14:paraId="20BA83CA" w14:textId="77777777" w:rsidR="00C74B6F" w:rsidRPr="000E1320" w:rsidRDefault="000E1320">
            <w:pPr>
              <w:jc w:val="center"/>
              <w:rPr>
                <w:sz w:val="36"/>
                <w:szCs w:val="36"/>
              </w:rPr>
            </w:pPr>
            <w:r w:rsidRPr="000E1320">
              <w:rPr>
                <w:b/>
                <w:sz w:val="36"/>
                <w:szCs w:val="36"/>
              </w:rPr>
              <w:t>TRIBUNAL ADMINISTRATIF DU TRAVAIL</w:t>
            </w:r>
          </w:p>
        </w:tc>
      </w:tr>
      <w:tr w:rsidR="00C74B6F" w14:paraId="37087CDD" w14:textId="77777777" w:rsidTr="00036794">
        <w:trPr>
          <w:cantSplit/>
        </w:trPr>
        <w:tc>
          <w:tcPr>
            <w:tcW w:w="9568" w:type="dxa"/>
            <w:gridSpan w:val="4"/>
          </w:tcPr>
          <w:p w14:paraId="7E5FA9F8" w14:textId="7FD3035F" w:rsidR="00C74B6F" w:rsidRPr="00BE7014" w:rsidRDefault="006F0154" w:rsidP="009A67E7">
            <w:pPr>
              <w:pStyle w:val="zSoquijdatDivision"/>
            </w:pPr>
            <w:r w:rsidRPr="00BE7014">
              <w:t>(</w:t>
            </w:r>
            <w:r w:rsidR="00F62BB6" w:rsidRPr="00441ADA">
              <w:t>Division de la santé et de la sécurité du travail</w:t>
            </w:r>
            <w:r w:rsidRPr="00BE7014">
              <w:t>)</w:t>
            </w:r>
          </w:p>
        </w:tc>
      </w:tr>
      <w:tr w:rsidR="00C74B6F" w14:paraId="4B654A50" w14:textId="77777777" w:rsidTr="00036794">
        <w:trPr>
          <w:cantSplit/>
        </w:trPr>
        <w:tc>
          <w:tcPr>
            <w:tcW w:w="9568" w:type="dxa"/>
            <w:gridSpan w:val="4"/>
          </w:tcPr>
          <w:p w14:paraId="5BAB082B" w14:textId="77777777" w:rsidR="002B2FC3" w:rsidRDefault="002B2FC3" w:rsidP="002B2FC3"/>
        </w:tc>
      </w:tr>
      <w:tr w:rsidR="00A84FC6" w14:paraId="54363B2C" w14:textId="77777777" w:rsidTr="00036794">
        <w:trPr>
          <w:cantSplit/>
        </w:trPr>
        <w:tc>
          <w:tcPr>
            <w:tcW w:w="9568" w:type="dxa"/>
            <w:gridSpan w:val="4"/>
          </w:tcPr>
          <w:p w14:paraId="07E0C019" w14:textId="77777777" w:rsidR="00A84FC6" w:rsidRDefault="00A84FC6" w:rsidP="002B2FC3"/>
        </w:tc>
      </w:tr>
      <w:tr w:rsidR="00C74B6F" w14:paraId="2DE0F7B6" w14:textId="77777777" w:rsidTr="00036794">
        <w:tc>
          <w:tcPr>
            <w:tcW w:w="3331" w:type="dxa"/>
          </w:tcPr>
          <w:p w14:paraId="3F88FAC0" w14:textId="77777777" w:rsidR="00C74B6F" w:rsidRDefault="0084255F">
            <w:bookmarkStart w:id="1" w:name="region" w:colFirst="1" w:colLast="1"/>
            <w:r>
              <w:t>Région :</w:t>
            </w:r>
          </w:p>
        </w:tc>
        <w:tc>
          <w:tcPr>
            <w:tcW w:w="6237" w:type="dxa"/>
            <w:gridSpan w:val="3"/>
          </w:tcPr>
          <w:p w14:paraId="05086395" w14:textId="6363336F" w:rsidR="00C74B6F" w:rsidRDefault="00F62BB6" w:rsidP="00F4095A">
            <w:pPr>
              <w:pStyle w:val="zSoquijdatGreffe"/>
            </w:pPr>
            <w:r>
              <w:t>Québec</w:t>
            </w:r>
          </w:p>
        </w:tc>
      </w:tr>
      <w:bookmarkEnd w:id="1"/>
      <w:tr w:rsidR="00C74B6F" w14:paraId="52CBD5A2" w14:textId="77777777" w:rsidTr="00036794">
        <w:trPr>
          <w:cantSplit/>
        </w:trPr>
        <w:tc>
          <w:tcPr>
            <w:tcW w:w="9568" w:type="dxa"/>
            <w:gridSpan w:val="4"/>
          </w:tcPr>
          <w:p w14:paraId="2A8BDDE1" w14:textId="77777777" w:rsidR="00C74B6F" w:rsidRDefault="00C74B6F"/>
        </w:tc>
      </w:tr>
      <w:tr w:rsidR="00C74B6F" w14:paraId="753B732E" w14:textId="77777777" w:rsidTr="00036794">
        <w:tc>
          <w:tcPr>
            <w:tcW w:w="3331" w:type="dxa"/>
          </w:tcPr>
          <w:p w14:paraId="70CF79F8" w14:textId="27006592" w:rsidR="00C74B6F" w:rsidRDefault="0084255F">
            <w:bookmarkStart w:id="2" w:name="ref_dossier" w:colFirst="1" w:colLast="1"/>
            <w:r>
              <w:t>Dossier</w:t>
            </w:r>
            <w:bookmarkStart w:id="3" w:name="dossiers"/>
            <w:bookmarkEnd w:id="3"/>
            <w:r>
              <w:t> :</w:t>
            </w:r>
          </w:p>
        </w:tc>
        <w:tc>
          <w:tcPr>
            <w:tcW w:w="6237" w:type="dxa"/>
            <w:gridSpan w:val="3"/>
          </w:tcPr>
          <w:p w14:paraId="6287224B" w14:textId="69A3CDFF" w:rsidR="006D6B13" w:rsidRDefault="006D6B13" w:rsidP="00F4095A">
            <w:pPr>
              <w:pStyle w:val="zSoquijdatNoDossier"/>
            </w:pPr>
            <w:r>
              <w:t>1327313-31-2306</w:t>
            </w:r>
          </w:p>
        </w:tc>
      </w:tr>
      <w:bookmarkEnd w:id="2"/>
      <w:tr w:rsidR="00C74B6F" w14:paraId="211B2A3D" w14:textId="77777777" w:rsidTr="00036794">
        <w:trPr>
          <w:cantSplit/>
        </w:trPr>
        <w:tc>
          <w:tcPr>
            <w:tcW w:w="9568" w:type="dxa"/>
            <w:gridSpan w:val="4"/>
          </w:tcPr>
          <w:p w14:paraId="04BEA70C" w14:textId="77777777" w:rsidR="00C74B6F" w:rsidRDefault="00D44BCF">
            <w:r>
              <w:fldChar w:fldCharType="begin"/>
            </w:r>
            <w:r>
              <w:instrText xml:space="preserve"> AUTOTEXTLIST  \* Upper  \* MERGEFORMAT </w:instrText>
            </w:r>
            <w:r>
              <w:fldChar w:fldCharType="end"/>
            </w:r>
          </w:p>
        </w:tc>
      </w:tr>
      <w:tr w:rsidR="00C74B6F" w14:paraId="712BC028" w14:textId="77777777" w:rsidTr="00036794">
        <w:tc>
          <w:tcPr>
            <w:tcW w:w="3331" w:type="dxa"/>
          </w:tcPr>
          <w:p w14:paraId="2A302673" w14:textId="36EFC243" w:rsidR="00C74B6F" w:rsidRDefault="008C79A7" w:rsidP="0045114F">
            <w:pPr>
              <w:ind w:right="46"/>
            </w:pPr>
            <w:r>
              <w:t xml:space="preserve">Dossier </w:t>
            </w:r>
            <w:r w:rsidR="00F62BB6">
              <w:t>CNESST</w:t>
            </w:r>
            <w:r w:rsidRPr="008C79A7">
              <w:rPr>
                <w:szCs w:val="24"/>
              </w:rPr>
              <w:t xml:space="preserve"> :</w:t>
            </w:r>
          </w:p>
        </w:tc>
        <w:tc>
          <w:tcPr>
            <w:tcW w:w="6237" w:type="dxa"/>
            <w:gridSpan w:val="3"/>
          </w:tcPr>
          <w:p w14:paraId="143FDDC6" w14:textId="7B0FB126" w:rsidR="00C74B6F" w:rsidRDefault="006D6B13" w:rsidP="004D6CEA">
            <w:pPr>
              <w:pStyle w:val="zSoquijdatNCSST"/>
            </w:pPr>
            <w:r>
              <w:t>513125013</w:t>
            </w:r>
          </w:p>
        </w:tc>
      </w:tr>
      <w:tr w:rsidR="00C74B6F" w14:paraId="2739ADF2" w14:textId="77777777" w:rsidTr="00036794">
        <w:trPr>
          <w:cantSplit/>
        </w:trPr>
        <w:tc>
          <w:tcPr>
            <w:tcW w:w="9568" w:type="dxa"/>
            <w:gridSpan w:val="4"/>
          </w:tcPr>
          <w:p w14:paraId="3677A675" w14:textId="77777777" w:rsidR="00C74B6F" w:rsidRDefault="00C74B6F"/>
        </w:tc>
      </w:tr>
      <w:tr w:rsidR="009F2307" w14:paraId="2B1E5043" w14:textId="77777777" w:rsidTr="00036794">
        <w:trPr>
          <w:cantSplit/>
        </w:trPr>
        <w:tc>
          <w:tcPr>
            <w:tcW w:w="9568" w:type="dxa"/>
            <w:gridSpan w:val="4"/>
          </w:tcPr>
          <w:p w14:paraId="49B475F7" w14:textId="77777777" w:rsidR="009F2307" w:rsidRDefault="009F2307"/>
        </w:tc>
      </w:tr>
      <w:tr w:rsidR="006E3DD8" w14:paraId="3D358B07" w14:textId="77777777" w:rsidTr="00036794">
        <w:trPr>
          <w:cantSplit/>
        </w:trPr>
        <w:tc>
          <w:tcPr>
            <w:tcW w:w="3331" w:type="dxa"/>
          </w:tcPr>
          <w:p w14:paraId="67C4DF08" w14:textId="46D16519" w:rsidR="006E3DD8" w:rsidRDefault="00F62BB6" w:rsidP="0076350E">
            <w:pPr>
              <w:ind w:right="-70"/>
            </w:pPr>
            <w:bookmarkStart w:id="4" w:name="assesseur"/>
            <w:bookmarkEnd w:id="4"/>
            <w:r>
              <w:t>Québec</w:t>
            </w:r>
            <w:r w:rsidR="00C04E32">
              <w:t>,</w:t>
            </w:r>
          </w:p>
        </w:tc>
        <w:tc>
          <w:tcPr>
            <w:tcW w:w="6237" w:type="dxa"/>
            <w:gridSpan w:val="3"/>
          </w:tcPr>
          <w:p w14:paraId="06AD30CB" w14:textId="68257793" w:rsidR="006E3DD8" w:rsidRDefault="00C04E32" w:rsidP="005B5689">
            <w:pPr>
              <w:pStyle w:val="zSoquijdatDateJugement"/>
            </w:pPr>
            <w:r>
              <w:t xml:space="preserve">le </w:t>
            </w:r>
            <w:r w:rsidR="003C40A8">
              <w:t>4</w:t>
            </w:r>
            <w:r w:rsidR="00DB0D5D">
              <w:t xml:space="preserve"> juin</w:t>
            </w:r>
            <w:r w:rsidR="006D6B13">
              <w:t xml:space="preserve"> 2025</w:t>
            </w:r>
          </w:p>
        </w:tc>
      </w:tr>
      <w:tr w:rsidR="00942AB8" w14:paraId="48BEEBC0" w14:textId="77777777" w:rsidTr="00036794">
        <w:trPr>
          <w:cantSplit/>
        </w:trPr>
        <w:tc>
          <w:tcPr>
            <w:tcW w:w="9568" w:type="dxa"/>
            <w:gridSpan w:val="4"/>
          </w:tcPr>
          <w:p w14:paraId="4A23569F" w14:textId="77777777" w:rsidR="00942AB8" w:rsidRDefault="00942AB8" w:rsidP="00FA153F">
            <w:r>
              <w:t>______________________________________________________________________</w:t>
            </w:r>
          </w:p>
        </w:tc>
      </w:tr>
      <w:tr w:rsidR="00942AB8" w14:paraId="0E1F0E93" w14:textId="77777777" w:rsidTr="00036794">
        <w:trPr>
          <w:cantSplit/>
          <w:trHeight w:val="148"/>
        </w:trPr>
        <w:tc>
          <w:tcPr>
            <w:tcW w:w="9568" w:type="dxa"/>
            <w:gridSpan w:val="4"/>
          </w:tcPr>
          <w:p w14:paraId="5F67045B" w14:textId="77777777" w:rsidR="00942AB8" w:rsidRDefault="00942AB8" w:rsidP="00FA153F"/>
        </w:tc>
      </w:tr>
      <w:tr w:rsidR="0035375B" w14:paraId="3899B063" w14:textId="77777777" w:rsidTr="00036794">
        <w:trPr>
          <w:cantSplit/>
          <w:trHeight w:val="148"/>
        </w:trPr>
        <w:tc>
          <w:tcPr>
            <w:tcW w:w="5883" w:type="dxa"/>
            <w:gridSpan w:val="3"/>
          </w:tcPr>
          <w:p w14:paraId="587EC603" w14:textId="3272AD22" w:rsidR="0035375B" w:rsidRPr="00942AB8" w:rsidRDefault="0035375B">
            <w:pPr>
              <w:rPr>
                <w:b/>
                <w:bCs/>
              </w:rPr>
            </w:pPr>
            <w:bookmarkStart w:id="5" w:name="ref_commissaire" w:colFirst="1" w:colLast="1"/>
            <w:r w:rsidRPr="00942AB8">
              <w:rPr>
                <w:b/>
                <w:bCs/>
              </w:rPr>
              <w:t>DEVANT L</w:t>
            </w:r>
            <w:r w:rsidR="00327731">
              <w:rPr>
                <w:b/>
                <w:bCs/>
              </w:rPr>
              <w:t>A</w:t>
            </w:r>
            <w:r w:rsidRPr="00942AB8">
              <w:rPr>
                <w:b/>
                <w:bCs/>
              </w:rPr>
              <w:t xml:space="preserve"> JUGE ADMINISTRATI</w:t>
            </w:r>
            <w:r w:rsidR="00F62BB6">
              <w:rPr>
                <w:b/>
                <w:bCs/>
              </w:rPr>
              <w:t>VE</w:t>
            </w:r>
            <w:r w:rsidRPr="00942AB8">
              <w:rPr>
                <w:b/>
                <w:bCs/>
              </w:rPr>
              <w:t> :</w:t>
            </w:r>
          </w:p>
        </w:tc>
        <w:tc>
          <w:tcPr>
            <w:tcW w:w="3685" w:type="dxa"/>
          </w:tcPr>
          <w:p w14:paraId="127F4C2A" w14:textId="1088E0A5" w:rsidR="0035375B" w:rsidRPr="00942AB8" w:rsidRDefault="00F62BB6" w:rsidP="005B5689">
            <w:pPr>
              <w:pStyle w:val="zSoquijdatJuge"/>
              <w:rPr>
                <w:bCs/>
              </w:rPr>
            </w:pPr>
            <w:r>
              <w:t>Valérie Lizotte</w:t>
            </w:r>
          </w:p>
        </w:tc>
      </w:tr>
      <w:bookmarkEnd w:id="5"/>
      <w:tr w:rsidR="00942AB8" w14:paraId="496D60E2" w14:textId="77777777" w:rsidTr="00036794">
        <w:trPr>
          <w:cantSplit/>
          <w:trHeight w:val="148"/>
        </w:trPr>
        <w:tc>
          <w:tcPr>
            <w:tcW w:w="9568" w:type="dxa"/>
            <w:gridSpan w:val="4"/>
          </w:tcPr>
          <w:p w14:paraId="7B10AA97" w14:textId="77777777" w:rsidR="00942AB8" w:rsidRDefault="00942AB8" w:rsidP="00FA153F">
            <w:r>
              <w:t>______________________________________________________________________</w:t>
            </w:r>
          </w:p>
        </w:tc>
      </w:tr>
      <w:tr w:rsidR="00942AB8" w14:paraId="7416278F" w14:textId="77777777" w:rsidTr="00036794">
        <w:tc>
          <w:tcPr>
            <w:tcW w:w="9568" w:type="dxa"/>
            <w:gridSpan w:val="4"/>
          </w:tcPr>
          <w:p w14:paraId="042AAC06" w14:textId="77777777" w:rsidR="00942AB8" w:rsidRDefault="00942AB8"/>
        </w:tc>
      </w:tr>
      <w:tr w:rsidR="00942AB8" w14:paraId="2940A837" w14:textId="77777777" w:rsidTr="00E21768">
        <w:tc>
          <w:tcPr>
            <w:tcW w:w="4890" w:type="dxa"/>
            <w:gridSpan w:val="2"/>
          </w:tcPr>
          <w:p w14:paraId="10F8A0CC" w14:textId="77777777" w:rsidR="00942AB8" w:rsidRDefault="00942AB8">
            <w:bookmarkStart w:id="6" w:name="bloc_parties_gauche"/>
            <w:bookmarkEnd w:id="6"/>
          </w:p>
        </w:tc>
        <w:tc>
          <w:tcPr>
            <w:tcW w:w="4678" w:type="dxa"/>
            <w:gridSpan w:val="2"/>
          </w:tcPr>
          <w:p w14:paraId="2D3D71BA" w14:textId="77777777" w:rsidR="00942AB8" w:rsidRDefault="00942AB8"/>
        </w:tc>
      </w:tr>
      <w:tr w:rsidR="00942AB8" w14:paraId="02DBE1F1" w14:textId="77777777" w:rsidTr="00E21768">
        <w:tc>
          <w:tcPr>
            <w:tcW w:w="4890" w:type="dxa"/>
            <w:gridSpan w:val="2"/>
          </w:tcPr>
          <w:p w14:paraId="30820FF0" w14:textId="1CFA5FD5" w:rsidR="00942AB8" w:rsidRDefault="008B1CC0">
            <w:pPr>
              <w:pStyle w:val="zSoquijdatNomPartieDem"/>
              <w:rPr>
                <w:b/>
              </w:rPr>
            </w:pPr>
            <w:r>
              <w:rPr>
                <w:b/>
              </w:rPr>
              <w:t>Michael Marion</w:t>
            </w:r>
          </w:p>
        </w:tc>
        <w:tc>
          <w:tcPr>
            <w:tcW w:w="4678" w:type="dxa"/>
            <w:gridSpan w:val="2"/>
          </w:tcPr>
          <w:p w14:paraId="08AA2862" w14:textId="77777777" w:rsidR="00942AB8" w:rsidRDefault="00942AB8"/>
        </w:tc>
      </w:tr>
      <w:tr w:rsidR="00942AB8" w14:paraId="533E5141" w14:textId="77777777" w:rsidTr="00E21768">
        <w:tc>
          <w:tcPr>
            <w:tcW w:w="4890" w:type="dxa"/>
            <w:gridSpan w:val="2"/>
          </w:tcPr>
          <w:p w14:paraId="48777FB7" w14:textId="4929E0DB" w:rsidR="00942AB8" w:rsidRDefault="00F62BB6" w:rsidP="007B0DF2">
            <w:pPr>
              <w:pStyle w:val="zSoquijdatQtePartieDem"/>
              <w:tabs>
                <w:tab w:val="left" w:pos="3539"/>
              </w:tabs>
              <w:ind w:left="708"/>
            </w:pPr>
            <w:bookmarkStart w:id="7" w:name="partie_demanderesse"/>
            <w:bookmarkEnd w:id="7"/>
            <w:r>
              <w:t>Partie demanderesse</w:t>
            </w:r>
          </w:p>
        </w:tc>
        <w:tc>
          <w:tcPr>
            <w:tcW w:w="4678" w:type="dxa"/>
            <w:gridSpan w:val="2"/>
          </w:tcPr>
          <w:p w14:paraId="2B6B6CEC" w14:textId="77777777" w:rsidR="00942AB8" w:rsidRDefault="00942AB8"/>
        </w:tc>
      </w:tr>
      <w:tr w:rsidR="00942AB8" w14:paraId="0051D89C" w14:textId="77777777" w:rsidTr="00E21768">
        <w:tc>
          <w:tcPr>
            <w:tcW w:w="4890" w:type="dxa"/>
            <w:gridSpan w:val="2"/>
          </w:tcPr>
          <w:p w14:paraId="18C01B4F" w14:textId="77777777" w:rsidR="00942AB8" w:rsidRDefault="00942AB8" w:rsidP="00E6363B"/>
        </w:tc>
        <w:tc>
          <w:tcPr>
            <w:tcW w:w="4678" w:type="dxa"/>
            <w:gridSpan w:val="2"/>
          </w:tcPr>
          <w:p w14:paraId="1CE4605F" w14:textId="77777777" w:rsidR="00942AB8" w:rsidRDefault="00942AB8"/>
        </w:tc>
      </w:tr>
      <w:tr w:rsidR="00942AB8" w14:paraId="07130940" w14:textId="77777777" w:rsidTr="00E21768">
        <w:tc>
          <w:tcPr>
            <w:tcW w:w="4890" w:type="dxa"/>
            <w:gridSpan w:val="2"/>
          </w:tcPr>
          <w:p w14:paraId="5EEF7FB5" w14:textId="5CF7F461" w:rsidR="00942AB8" w:rsidRDefault="00F62BB6" w:rsidP="00D06652">
            <w:pPr>
              <w:pStyle w:val="zSoquijlblLienParties"/>
            </w:pPr>
            <w:r>
              <w:t>et</w:t>
            </w:r>
          </w:p>
        </w:tc>
        <w:tc>
          <w:tcPr>
            <w:tcW w:w="4678" w:type="dxa"/>
            <w:gridSpan w:val="2"/>
          </w:tcPr>
          <w:p w14:paraId="250334F3" w14:textId="77777777" w:rsidR="00942AB8" w:rsidRDefault="00942AB8"/>
        </w:tc>
      </w:tr>
      <w:tr w:rsidR="00942AB8" w14:paraId="1ACD60A6" w14:textId="77777777" w:rsidTr="00E21768">
        <w:tc>
          <w:tcPr>
            <w:tcW w:w="4890" w:type="dxa"/>
            <w:gridSpan w:val="2"/>
          </w:tcPr>
          <w:p w14:paraId="00568DDB" w14:textId="77777777" w:rsidR="00942AB8" w:rsidRDefault="00942AB8"/>
        </w:tc>
        <w:tc>
          <w:tcPr>
            <w:tcW w:w="4678" w:type="dxa"/>
            <w:gridSpan w:val="2"/>
          </w:tcPr>
          <w:p w14:paraId="138CC77A" w14:textId="77777777" w:rsidR="00942AB8" w:rsidRDefault="00942AB8"/>
        </w:tc>
      </w:tr>
      <w:tr w:rsidR="00942AB8" w14:paraId="30B99C0B" w14:textId="77777777" w:rsidTr="00E21768">
        <w:tc>
          <w:tcPr>
            <w:tcW w:w="4890" w:type="dxa"/>
            <w:gridSpan w:val="2"/>
          </w:tcPr>
          <w:p w14:paraId="54019388" w14:textId="7EEFFE82" w:rsidR="00942AB8" w:rsidRDefault="008B1CC0">
            <w:pPr>
              <w:pStyle w:val="zSoquijdatNomPartieDef"/>
              <w:rPr>
                <w:b/>
              </w:rPr>
            </w:pPr>
            <w:r>
              <w:rPr>
                <w:b/>
              </w:rPr>
              <w:t>Ville de Québec</w:t>
            </w:r>
          </w:p>
        </w:tc>
        <w:tc>
          <w:tcPr>
            <w:tcW w:w="4678" w:type="dxa"/>
            <w:gridSpan w:val="2"/>
          </w:tcPr>
          <w:p w14:paraId="5B85A28B" w14:textId="77777777" w:rsidR="00942AB8" w:rsidRDefault="00942AB8"/>
        </w:tc>
      </w:tr>
      <w:tr w:rsidR="00942AB8" w14:paraId="06987A9C" w14:textId="77777777" w:rsidTr="00E21768">
        <w:tc>
          <w:tcPr>
            <w:tcW w:w="4890" w:type="dxa"/>
            <w:gridSpan w:val="2"/>
          </w:tcPr>
          <w:p w14:paraId="5BA41AE6" w14:textId="70179DA7" w:rsidR="00942AB8" w:rsidRDefault="00F62BB6">
            <w:pPr>
              <w:pStyle w:val="zSoquijdatQtePartieDef"/>
              <w:ind w:left="708"/>
            </w:pPr>
            <w:r>
              <w:t>Partie mise en cause</w:t>
            </w:r>
          </w:p>
        </w:tc>
        <w:tc>
          <w:tcPr>
            <w:tcW w:w="4678" w:type="dxa"/>
            <w:gridSpan w:val="2"/>
          </w:tcPr>
          <w:p w14:paraId="41A8DFA4" w14:textId="77777777" w:rsidR="00942AB8" w:rsidRDefault="00942AB8"/>
        </w:tc>
      </w:tr>
      <w:tr w:rsidR="00942AB8" w14:paraId="01F5B638" w14:textId="77777777" w:rsidTr="00E21768">
        <w:tc>
          <w:tcPr>
            <w:tcW w:w="4890" w:type="dxa"/>
            <w:gridSpan w:val="2"/>
          </w:tcPr>
          <w:p w14:paraId="22AD23DF" w14:textId="77777777" w:rsidR="00942AB8" w:rsidRDefault="00942AB8"/>
        </w:tc>
        <w:tc>
          <w:tcPr>
            <w:tcW w:w="4678" w:type="dxa"/>
            <w:gridSpan w:val="2"/>
          </w:tcPr>
          <w:p w14:paraId="6745F5DB" w14:textId="77777777" w:rsidR="00942AB8" w:rsidRDefault="00942AB8"/>
        </w:tc>
      </w:tr>
    </w:tbl>
    <w:p w14:paraId="4A5C25C9" w14:textId="77777777" w:rsidR="00C74B6F" w:rsidRDefault="00C74B6F">
      <w:r>
        <w:t>______________________________________________________________________</w:t>
      </w:r>
    </w:p>
    <w:p w14:paraId="4C2266A3" w14:textId="77777777" w:rsidR="00C74B6F" w:rsidRDefault="00C74B6F"/>
    <w:p w14:paraId="5EC86B28" w14:textId="77777777" w:rsidR="00C74B6F" w:rsidRPr="005B0612" w:rsidRDefault="00C74B6F" w:rsidP="008B042E">
      <w:pPr>
        <w:jc w:val="center"/>
        <w:rPr>
          <w:b/>
          <w:bCs/>
        </w:rPr>
      </w:pPr>
      <w:bookmarkStart w:id="8" w:name="decision"/>
      <w:r w:rsidRPr="005B0612">
        <w:rPr>
          <w:b/>
          <w:bCs/>
        </w:rPr>
        <w:t>DÉCISION</w:t>
      </w:r>
      <w:bookmarkEnd w:id="8"/>
    </w:p>
    <w:p w14:paraId="49C3C59B" w14:textId="77777777" w:rsidR="008F20EA" w:rsidRDefault="008F20EA" w:rsidP="008F20EA">
      <w:bookmarkStart w:id="9" w:name="separation"/>
      <w:bookmarkStart w:id="10" w:name="parag_1"/>
      <w:r>
        <w:t>______________________________________________________________________</w:t>
      </w:r>
    </w:p>
    <w:p w14:paraId="7680B09C" w14:textId="77777777" w:rsidR="008F20EA" w:rsidRDefault="008F20EA" w:rsidP="007B17D9">
      <w:pPr>
        <w:pStyle w:val="Titre1"/>
        <w:spacing w:before="480"/>
      </w:pPr>
      <w:bookmarkStart w:id="11" w:name="supprimer_apercu"/>
      <w:bookmarkEnd w:id="9"/>
      <w:r>
        <w:t>L’APERÇU</w:t>
      </w:r>
    </w:p>
    <w:bookmarkEnd w:id="10"/>
    <w:bookmarkEnd w:id="11"/>
    <w:p w14:paraId="2A79D427" w14:textId="656B926A" w:rsidR="008B1CC0" w:rsidRDefault="007D7602">
      <w:pPr>
        <w:pStyle w:val="corpsdedcision"/>
      </w:pPr>
      <w:r>
        <w:t>M</w:t>
      </w:r>
      <w:r w:rsidR="008B1CC0">
        <w:t>onsieur Michael Marion est surveillant à la Ville de Québec</w:t>
      </w:r>
      <w:r>
        <w:t xml:space="preserve"> </w:t>
      </w:r>
      <w:r w:rsidR="00BC5560">
        <w:t>quand</w:t>
      </w:r>
      <w:r w:rsidR="00165385">
        <w:t>,</w:t>
      </w:r>
      <w:r>
        <w:t xml:space="preserve"> le </w:t>
      </w:r>
      <w:r w:rsidR="008B1CC0">
        <w:t>7</w:t>
      </w:r>
      <w:r w:rsidR="009F2307">
        <w:t> </w:t>
      </w:r>
      <w:r w:rsidR="008B1CC0">
        <w:t>octob</w:t>
      </w:r>
      <w:r w:rsidR="001B14CC">
        <w:t>re</w:t>
      </w:r>
      <w:r w:rsidR="009F2307">
        <w:t> </w:t>
      </w:r>
      <w:r w:rsidR="008B1CC0">
        <w:t>2022, il présente une réclamation à la Commission des normes, de l’équité, de la santé et de la sécurité du travail</w:t>
      </w:r>
      <w:r w:rsidR="0058146F">
        <w:t xml:space="preserve"> </w:t>
      </w:r>
      <w:r w:rsidR="00865894">
        <w:t>alléguant la survenance d’</w:t>
      </w:r>
      <w:r w:rsidR="0058146F">
        <w:t>un accident du travail</w:t>
      </w:r>
      <w:r w:rsidR="008B1CC0">
        <w:t>. Il n’indique pas la date de l’événement, mais il est admis qu’il s’agit du 30 mars précédent.</w:t>
      </w:r>
    </w:p>
    <w:p w14:paraId="3057732D" w14:textId="658C8934" w:rsidR="008B1CC0" w:rsidRDefault="008B1CC0">
      <w:pPr>
        <w:pStyle w:val="corpsdedcision"/>
      </w:pPr>
      <w:r>
        <w:t xml:space="preserve">Le 20 octobre 2022, la Commission rejette la réclamation du travailleur. Elle considère qu’elle n’a pas été produite dans le délai de six mois prévu à la </w:t>
      </w:r>
      <w:r w:rsidRPr="00C55104">
        <w:rPr>
          <w:i/>
        </w:rPr>
        <w:t>Loi sur les accidents du travail et les maladies professionnelles</w:t>
      </w:r>
      <w:r w:rsidRPr="00C55104">
        <w:rPr>
          <w:rStyle w:val="Appelnotedebasdep"/>
        </w:rPr>
        <w:footnoteReference w:id="1"/>
      </w:r>
      <w:r>
        <w:t>, la Loi.</w:t>
      </w:r>
    </w:p>
    <w:p w14:paraId="0B58003F" w14:textId="0AE0B88D" w:rsidR="00A028EB" w:rsidRDefault="008B1CC0" w:rsidP="00875D38">
      <w:pPr>
        <w:pStyle w:val="corpsdedcision"/>
      </w:pPr>
      <w:r>
        <w:t xml:space="preserve">Le 31 janvier 2023, la Commission rend une autre décision et </w:t>
      </w:r>
      <w:r w:rsidR="003C6EB7">
        <w:t xml:space="preserve">réclame au travailleur </w:t>
      </w:r>
      <w:r>
        <w:t xml:space="preserve">611,22 $ correspondant à </w:t>
      </w:r>
      <w:r w:rsidR="009674DA">
        <w:t>ce</w:t>
      </w:r>
      <w:r>
        <w:t xml:space="preserve"> qui lui a été versé pendant les 14 premiers jours de son arrêt de travail.</w:t>
      </w:r>
      <w:r w:rsidR="00A028EB">
        <w:t xml:space="preserve"> </w:t>
      </w:r>
    </w:p>
    <w:p w14:paraId="4981ACC6" w14:textId="6432C90E" w:rsidR="008B1CC0" w:rsidRDefault="008B1CC0" w:rsidP="00875D38">
      <w:pPr>
        <w:pStyle w:val="corpsdedcision"/>
      </w:pPr>
      <w:r>
        <w:t>Le 1</w:t>
      </w:r>
      <w:r w:rsidRPr="00A028EB">
        <w:rPr>
          <w:vertAlign w:val="superscript"/>
        </w:rPr>
        <w:t>er</w:t>
      </w:r>
      <w:r>
        <w:t xml:space="preserve"> mars 2023, le travailleur demande la révision de cette décision.</w:t>
      </w:r>
    </w:p>
    <w:p w14:paraId="664EE366" w14:textId="612886F8" w:rsidR="008B1CC0" w:rsidRDefault="008B1CC0">
      <w:pPr>
        <w:pStyle w:val="corpsdedcision"/>
      </w:pPr>
      <w:r>
        <w:t xml:space="preserve">Le </w:t>
      </w:r>
      <w:r w:rsidR="007B2B10">
        <w:t>13 avril 2023, il en fait autant pour la décision rendue le 20 octobre 2022.</w:t>
      </w:r>
    </w:p>
    <w:p w14:paraId="18199DA7" w14:textId="6A14AA4C" w:rsidR="007B2B10" w:rsidRDefault="007B2B10" w:rsidP="00315F9D">
      <w:pPr>
        <w:pStyle w:val="corpsdedcision"/>
      </w:pPr>
      <w:r>
        <w:t>Le 2 mai 2023, la Commission déclare irrecevable la demande de révision du 13</w:t>
      </w:r>
      <w:r w:rsidR="00A84AF2">
        <w:t> </w:t>
      </w:r>
      <w:r>
        <w:t>avril 2023</w:t>
      </w:r>
      <w:r w:rsidR="0009314F">
        <w:t>,</w:t>
      </w:r>
      <w:r>
        <w:t xml:space="preserve"> puisqu’elle n</w:t>
      </w:r>
      <w:r w:rsidR="00A028EB">
        <w:t xml:space="preserve">’a pas été déposée dans </w:t>
      </w:r>
      <w:r>
        <w:t xml:space="preserve">le délai </w:t>
      </w:r>
      <w:r w:rsidR="00DB0D5D">
        <w:t xml:space="preserve">légal </w:t>
      </w:r>
      <w:r>
        <w:t>de 30 jours</w:t>
      </w:r>
      <w:r w:rsidR="002239AE">
        <w:t xml:space="preserve">. </w:t>
      </w:r>
      <w:r w:rsidR="00444B8E">
        <w:t>Par la même occasion, e</w:t>
      </w:r>
      <w:r w:rsidR="002239AE">
        <w:t>lle confirme</w:t>
      </w:r>
      <w:r w:rsidR="00163D82">
        <w:t xml:space="preserve"> la décision du 31 janvier 2023</w:t>
      </w:r>
      <w:r w:rsidR="00A028EB">
        <w:t>.</w:t>
      </w:r>
    </w:p>
    <w:p w14:paraId="3E42FB1F" w14:textId="35D624D7" w:rsidR="009674DA" w:rsidRPr="009674DA" w:rsidRDefault="008B1CC0" w:rsidP="007B2B10">
      <w:pPr>
        <w:pStyle w:val="corpsdedcision"/>
        <w:rPr>
          <w:u w:val="single"/>
        </w:rPr>
      </w:pPr>
      <w:r>
        <w:t xml:space="preserve"> </w:t>
      </w:r>
      <w:bookmarkStart w:id="12" w:name="supprimer_analyse"/>
      <w:r w:rsidR="007B2B10">
        <w:t>Le travailleur conteste cette décision devant le Tribunal et demande</w:t>
      </w:r>
      <w:r w:rsidR="003C6EB7">
        <w:t xml:space="preserve"> de déclarer recevable la demande de révision du 13 avril 2023</w:t>
      </w:r>
      <w:r w:rsidR="0009314F">
        <w:t>,</w:t>
      </w:r>
      <w:r w:rsidR="003C6EB7">
        <w:t xml:space="preserve"> </w:t>
      </w:r>
      <w:r w:rsidR="009674DA">
        <w:t>puisqu’il a été notifié tardivement de la décision du 20 octobre 2022 et qu’il a ensuite été diligent dans la production de sa demande de révision.</w:t>
      </w:r>
      <w:r w:rsidR="00163D82">
        <w:t xml:space="preserve"> Il demande </w:t>
      </w:r>
      <w:r w:rsidR="002F4AD2">
        <w:t>aussi</w:t>
      </w:r>
      <w:r w:rsidR="00163D82">
        <w:t xml:space="preserve"> de déclarer </w:t>
      </w:r>
      <w:r w:rsidR="007D5010">
        <w:t>que sa réclamation est recevable, car il</w:t>
      </w:r>
      <w:r w:rsidR="002239AE">
        <w:t xml:space="preserve"> a démontré un motif raisonnable pour expliquer </w:t>
      </w:r>
      <w:r w:rsidR="00DB0D5D">
        <w:t>son retard</w:t>
      </w:r>
      <w:r w:rsidR="007D5010">
        <w:t>.</w:t>
      </w:r>
    </w:p>
    <w:p w14:paraId="200E5422" w14:textId="075D5561" w:rsidR="009E110A" w:rsidRPr="00163D82" w:rsidRDefault="009E110A" w:rsidP="007B2B10">
      <w:pPr>
        <w:pStyle w:val="corpsdedcision"/>
        <w:rPr>
          <w:u w:val="single"/>
        </w:rPr>
      </w:pPr>
      <w:r>
        <w:t xml:space="preserve">Dans le cas où le Tribunal conclut à la recevabilité de la demande de révision et de la réclamation, la représentante du travailleur demande au Tribunal de convoquer les parties sur le fond des décisions du 20 octobre 2022 et du 31 janvier 2023. </w:t>
      </w:r>
    </w:p>
    <w:p w14:paraId="3F3C2ADD" w14:textId="53723903" w:rsidR="00163D82" w:rsidRPr="009E110A" w:rsidRDefault="00163D82" w:rsidP="00163D82">
      <w:pPr>
        <w:pStyle w:val="corpsdedcision"/>
        <w:rPr>
          <w:u w:val="single"/>
        </w:rPr>
      </w:pPr>
      <w:r>
        <w:t xml:space="preserve">Dans l’éventualité où la demande de révision n’est pas recevable ou que le Tribunal conclut à l’irrecevabilité de la réclamation, </w:t>
      </w:r>
      <w:r w:rsidR="00D54271">
        <w:t>elle</w:t>
      </w:r>
      <w:r>
        <w:t xml:space="preserve"> demande une audience relativement à la décision initiale du 31 janvier 2023, car le travailleur souhaite une remise de dette.</w:t>
      </w:r>
    </w:p>
    <w:p w14:paraId="4178927C" w14:textId="6B8FCC8A" w:rsidR="00040233" w:rsidRPr="002F4AD2" w:rsidRDefault="00040233" w:rsidP="007B2B10">
      <w:pPr>
        <w:pStyle w:val="corpsdedcision"/>
        <w:rPr>
          <w:u w:val="single"/>
        </w:rPr>
      </w:pPr>
      <w:r>
        <w:t xml:space="preserve">Pour sa part, le représentant de l’employeur demande de confirmer </w:t>
      </w:r>
      <w:r w:rsidR="007D5010">
        <w:t>que</w:t>
      </w:r>
      <w:r>
        <w:t xml:space="preserve"> la demande de révision du 13 avril 2023</w:t>
      </w:r>
      <w:r w:rsidR="00D54271">
        <w:t xml:space="preserve"> et la réclamation </w:t>
      </w:r>
      <w:r w:rsidR="007D5010">
        <w:t>sont irrecevables</w:t>
      </w:r>
      <w:r>
        <w:t>, car elle</w:t>
      </w:r>
      <w:r w:rsidR="00D54271">
        <w:t>s ont</w:t>
      </w:r>
      <w:r>
        <w:t xml:space="preserve"> été produite</w:t>
      </w:r>
      <w:r w:rsidR="002F4AD2">
        <w:t>s</w:t>
      </w:r>
      <w:r>
        <w:t xml:space="preserve"> en dehors d</w:t>
      </w:r>
      <w:r w:rsidR="00D54271">
        <w:t>es</w:t>
      </w:r>
      <w:r>
        <w:t xml:space="preserve"> délai</w:t>
      </w:r>
      <w:r w:rsidR="00D54271">
        <w:t>s</w:t>
      </w:r>
      <w:r>
        <w:t xml:space="preserve"> prescrit</w:t>
      </w:r>
      <w:r w:rsidR="00D54271">
        <w:t>s</w:t>
      </w:r>
      <w:r>
        <w:t xml:space="preserve"> par la Loi et aucun motif raisonnable permettant au travailleur d’être relevé de s</w:t>
      </w:r>
      <w:r w:rsidR="007D5010">
        <w:t>es</w:t>
      </w:r>
      <w:r>
        <w:t xml:space="preserve"> défaut</w:t>
      </w:r>
      <w:r w:rsidR="007D5010">
        <w:t>s</w:t>
      </w:r>
      <w:r>
        <w:t xml:space="preserve"> n’a été démontré.</w:t>
      </w:r>
      <w:r w:rsidR="00D54271">
        <w:t xml:space="preserve"> </w:t>
      </w:r>
    </w:p>
    <w:p w14:paraId="5DCD888D" w14:textId="6EC2AB62" w:rsidR="002F4AD2" w:rsidRPr="00040233" w:rsidRDefault="002F4AD2" w:rsidP="007B2B10">
      <w:pPr>
        <w:pStyle w:val="corpsdedcision"/>
        <w:rPr>
          <w:u w:val="single"/>
        </w:rPr>
      </w:pPr>
      <w:r>
        <w:t>Après analyse, le Tribunal déclare recevables la demande de révision du 13</w:t>
      </w:r>
      <w:r w:rsidR="003D0C68">
        <w:t> </w:t>
      </w:r>
      <w:r>
        <w:t>avril</w:t>
      </w:r>
      <w:r w:rsidR="003D0C68">
        <w:t> </w:t>
      </w:r>
      <w:r>
        <w:t>2023 et la réclamation du 7 octobre 2022. Les parties seront convoquées pour une audience portant sur le fond.</w:t>
      </w:r>
    </w:p>
    <w:bookmarkEnd w:id="12"/>
    <w:p w14:paraId="06A6F43D" w14:textId="697F153C" w:rsidR="004C2944" w:rsidRDefault="0034031C" w:rsidP="00CA6D71">
      <w:pPr>
        <w:pStyle w:val="Titre1"/>
      </w:pPr>
      <w:r w:rsidRPr="0034031C">
        <w:t>L’ANALYSE</w:t>
      </w:r>
    </w:p>
    <w:p w14:paraId="00A9D79F" w14:textId="22B040E3" w:rsidR="001A5865" w:rsidRPr="000B3690" w:rsidRDefault="001A5865" w:rsidP="001A5865">
      <w:pPr>
        <w:pStyle w:val="corpsdedcision"/>
        <w:rPr>
          <w:u w:val="single"/>
        </w:rPr>
      </w:pPr>
      <w:r>
        <w:t xml:space="preserve">Le Tribunal dispose tout de suite de la question du délai de production de la demande de révision </w:t>
      </w:r>
      <w:r w:rsidR="00684902">
        <w:t>du 1</w:t>
      </w:r>
      <w:r w:rsidR="00684902" w:rsidRPr="00684902">
        <w:rPr>
          <w:vertAlign w:val="superscript"/>
        </w:rPr>
        <w:t>er</w:t>
      </w:r>
      <w:r w:rsidR="00684902">
        <w:t xml:space="preserve"> mars 2023</w:t>
      </w:r>
      <w:r w:rsidR="00D26A26">
        <w:t>,</w:t>
      </w:r>
      <w:r w:rsidR="00684902">
        <w:t xml:space="preserve"> </w:t>
      </w:r>
      <w:r>
        <w:t xml:space="preserve">à l’encontre de la décision du 31 janvier 2023, </w:t>
      </w:r>
      <w:r w:rsidR="009254BA">
        <w:t>abordé</w:t>
      </w:r>
      <w:r w:rsidR="002F4AD2">
        <w:t>e</w:t>
      </w:r>
      <w:r w:rsidR="009254BA">
        <w:t xml:space="preserve"> brièvement en pla</w:t>
      </w:r>
      <w:r w:rsidR="001C5BB9">
        <w:t>idoirie</w:t>
      </w:r>
      <w:r>
        <w:t>.</w:t>
      </w:r>
    </w:p>
    <w:p w14:paraId="0EC1B127" w14:textId="73500FEA" w:rsidR="001A5865" w:rsidRDefault="001C5BB9" w:rsidP="001A5865">
      <w:pPr>
        <w:pStyle w:val="corpsdedcision"/>
      </w:pPr>
      <w:r>
        <w:t>Comme</w:t>
      </w:r>
      <w:r w:rsidR="001A5865">
        <w:t xml:space="preserve"> </w:t>
      </w:r>
      <w:r w:rsidR="0058146F">
        <w:t>aucun dépassement de</w:t>
      </w:r>
      <w:r w:rsidR="001A5865">
        <w:t xml:space="preserve"> délai </w:t>
      </w:r>
      <w:r w:rsidR="00D26A26">
        <w:t>n’est</w:t>
      </w:r>
      <w:r>
        <w:t xml:space="preserve"> </w:t>
      </w:r>
      <w:r w:rsidR="0058146F">
        <w:t>signalé</w:t>
      </w:r>
      <w:r>
        <w:t xml:space="preserve"> par la </w:t>
      </w:r>
      <w:r w:rsidR="003D5A50">
        <w:t>d</w:t>
      </w:r>
      <w:r w:rsidR="00344E5F">
        <w:t xml:space="preserve">irection de la </w:t>
      </w:r>
      <w:r>
        <w:t xml:space="preserve">révision administrative de la Commission, le Tribunal estime qu’il n’a pas à permettre un débat sur </w:t>
      </w:r>
      <w:r w:rsidR="0058146F">
        <w:t>le sujet</w:t>
      </w:r>
      <w:r w:rsidR="0009314F">
        <w:t>,</w:t>
      </w:r>
      <w:r w:rsidR="0058146F">
        <w:t xml:space="preserve"> </w:t>
      </w:r>
      <w:r w:rsidR="00684902">
        <w:t>puisqu</w:t>
      </w:r>
      <w:r w:rsidR="0058146F">
        <w:t>e la recevabilité de la demande de révision</w:t>
      </w:r>
      <w:r w:rsidR="002F4AD2">
        <w:t xml:space="preserve"> est</w:t>
      </w:r>
      <w:r>
        <w:t xml:space="preserve"> reconnue implicitement dans </w:t>
      </w:r>
      <w:r w:rsidR="00684902">
        <w:t>l</w:t>
      </w:r>
      <w:r>
        <w:t>a décision du</w:t>
      </w:r>
      <w:r w:rsidR="001A5865">
        <w:t xml:space="preserve"> </w:t>
      </w:r>
      <w:r w:rsidR="00444B8E">
        <w:t>2 mai</w:t>
      </w:r>
      <w:r w:rsidR="001A5865">
        <w:t xml:space="preserve"> 2023</w:t>
      </w:r>
      <w:r w:rsidR="00D26A26">
        <w:t xml:space="preserve"> et que cet aspect est dissociable des conclusions contestées par le travailleur</w:t>
      </w:r>
      <w:r>
        <w:t>.</w:t>
      </w:r>
    </w:p>
    <w:p w14:paraId="37B5D619" w14:textId="6E258E46" w:rsidR="001A5865" w:rsidRDefault="0058146F" w:rsidP="001A5865">
      <w:pPr>
        <w:pStyle w:val="corpsdedcision"/>
      </w:pPr>
      <w:r>
        <w:t>De plus, même s</w:t>
      </w:r>
      <w:r w:rsidR="001A5865">
        <w:t xml:space="preserve">i le Tribunal </w:t>
      </w:r>
      <w:r w:rsidR="00865894">
        <w:t>devait</w:t>
      </w:r>
      <w:r w:rsidR="007D5010">
        <w:t xml:space="preserve"> se </w:t>
      </w:r>
      <w:r w:rsidR="001A5865">
        <w:t>saisir de cette question, il y aurait</w:t>
      </w:r>
      <w:r>
        <w:t xml:space="preserve"> </w:t>
      </w:r>
      <w:r w:rsidR="001A5865">
        <w:t xml:space="preserve">lieu de conclure à la recevabilité. </w:t>
      </w:r>
      <w:r>
        <w:t xml:space="preserve">Quoique le travailleur ne soit pas en mesure d’identifier la date à laquelle il est notifié de la décision du 31 janvier 2023, </w:t>
      </w:r>
      <w:r w:rsidR="001A5865">
        <w:t xml:space="preserve">le Tribunal peut tout de même </w:t>
      </w:r>
      <w:r w:rsidR="00444B8E">
        <w:t>l’</w:t>
      </w:r>
      <w:r w:rsidR="001A5865">
        <w:t>estimer</w:t>
      </w:r>
      <w:r>
        <w:t xml:space="preserve"> afin d’évaluer si la demande de révision du 1</w:t>
      </w:r>
      <w:r w:rsidRPr="007D5010">
        <w:rPr>
          <w:vertAlign w:val="superscript"/>
        </w:rPr>
        <w:t>er</w:t>
      </w:r>
      <w:r>
        <w:t xml:space="preserve"> mars 2023 est produite dans le délai de 30 jours prévu par la Loi</w:t>
      </w:r>
      <w:r>
        <w:rPr>
          <w:rStyle w:val="Appelnotedebasdep"/>
        </w:rPr>
        <w:footnoteReference w:id="2"/>
      </w:r>
      <w:r w:rsidR="00444B8E">
        <w:t>.</w:t>
      </w:r>
    </w:p>
    <w:p w14:paraId="55E35383" w14:textId="1693CCFB" w:rsidR="001A5865" w:rsidRDefault="001A5865" w:rsidP="001A5865">
      <w:pPr>
        <w:pStyle w:val="corpsdedcision"/>
      </w:pPr>
      <w:r>
        <w:t xml:space="preserve">À ce sujet, la décision </w:t>
      </w:r>
      <w:r w:rsidRPr="006670EA">
        <w:rPr>
          <w:i/>
        </w:rPr>
        <w:t xml:space="preserve">Rees </w:t>
      </w:r>
      <w:r>
        <w:t xml:space="preserve">et </w:t>
      </w:r>
      <w:r w:rsidRPr="006670EA">
        <w:rPr>
          <w:i/>
        </w:rPr>
        <w:t>Pâtes d’amande Edde inc</w:t>
      </w:r>
      <w:r>
        <w:t>.</w:t>
      </w:r>
      <w:r>
        <w:rPr>
          <w:rStyle w:val="Appelnotedebasdep"/>
        </w:rPr>
        <w:footnoteReference w:id="3"/>
      </w:r>
      <w:r>
        <w:t xml:space="preserve"> énonce, à la suite d’une revue de la jurisprudence, </w:t>
      </w:r>
      <w:r w:rsidR="00D26A26">
        <w:t>qu’</w:t>
      </w:r>
      <w:r>
        <w:t xml:space="preserve">un délai de </w:t>
      </w:r>
      <w:r w:rsidR="009F2307">
        <w:t>trois</w:t>
      </w:r>
      <w:r>
        <w:t xml:space="preserve"> à</w:t>
      </w:r>
      <w:r w:rsidR="009F2307">
        <w:t xml:space="preserve"> cinq</w:t>
      </w:r>
      <w:r>
        <w:t xml:space="preserve"> jours ouvrables</w:t>
      </w:r>
      <w:r w:rsidR="007D5010">
        <w:t>,</w:t>
      </w:r>
      <w:r>
        <w:t xml:space="preserve"> suivant une mise à la poste d’une décision </w:t>
      </w:r>
      <w:r w:rsidR="007D5010">
        <w:t xml:space="preserve">par la Commission, </w:t>
      </w:r>
      <w:r>
        <w:t>offre suffisamment de flexibilité pour être équitable quand vient le temps d’estimer la date de la notification.</w:t>
      </w:r>
    </w:p>
    <w:p w14:paraId="0D07A342" w14:textId="3F2B6D2F" w:rsidR="001A5865" w:rsidRPr="00737BE4" w:rsidRDefault="001A5865" w:rsidP="001A5865">
      <w:pPr>
        <w:pStyle w:val="corpsdedcision"/>
        <w:rPr>
          <w:u w:val="single"/>
        </w:rPr>
      </w:pPr>
      <w:r>
        <w:t>Le 31 janvier 2023</w:t>
      </w:r>
      <w:r w:rsidR="00F971B9">
        <w:t>, jour où est rendue la décision,</w:t>
      </w:r>
      <w:r>
        <w:t xml:space="preserve"> est un mardi</w:t>
      </w:r>
      <w:r w:rsidR="00F971B9">
        <w:t>. Comme une</w:t>
      </w:r>
      <w:r w:rsidR="007D5010">
        <w:t xml:space="preserve"> période</w:t>
      </w:r>
      <w:r>
        <w:t xml:space="preserve"> de </w:t>
      </w:r>
      <w:r w:rsidR="009F2307">
        <w:t>trois</w:t>
      </w:r>
      <w:r>
        <w:t xml:space="preserve"> jours ouvrables doit minimalement être considéré</w:t>
      </w:r>
      <w:r w:rsidR="007D5010">
        <w:t>e</w:t>
      </w:r>
      <w:r>
        <w:t xml:space="preserve"> </w:t>
      </w:r>
      <w:r w:rsidR="007D5010">
        <w:t>avant</w:t>
      </w:r>
      <w:r>
        <w:t xml:space="preserve"> que le travailleur </w:t>
      </w:r>
      <w:r w:rsidR="007D5010">
        <w:t>puisse être</w:t>
      </w:r>
      <w:r>
        <w:t xml:space="preserve"> notifié de </w:t>
      </w:r>
      <w:r w:rsidR="00444B8E">
        <w:t>la</w:t>
      </w:r>
      <w:r>
        <w:t xml:space="preserve"> décision</w:t>
      </w:r>
      <w:r w:rsidR="00F971B9">
        <w:t>, l</w:t>
      </w:r>
      <w:r>
        <w:t xml:space="preserve">e jour </w:t>
      </w:r>
      <w:r w:rsidR="00F971B9">
        <w:t>de la notification ne peut précéder le</w:t>
      </w:r>
      <w:r>
        <w:t xml:space="preserve"> lundi suivant, 6 février 2023. En produisant sa demande de révision le 1</w:t>
      </w:r>
      <w:r w:rsidRPr="000B3690">
        <w:rPr>
          <w:vertAlign w:val="superscript"/>
        </w:rPr>
        <w:t>er</w:t>
      </w:r>
      <w:r>
        <w:t xml:space="preserve"> mars </w:t>
      </w:r>
      <w:r w:rsidR="00444B8E">
        <w:t>2023</w:t>
      </w:r>
      <w:r>
        <w:t>, celle-ci respecte le délai légal et elle est recevable.</w:t>
      </w:r>
      <w:r w:rsidR="00684902">
        <w:t xml:space="preserve"> </w:t>
      </w:r>
    </w:p>
    <w:p w14:paraId="790EC635" w14:textId="617F6C9B" w:rsidR="001A5865" w:rsidRPr="00537311" w:rsidRDefault="001A5865" w:rsidP="001A5865">
      <w:pPr>
        <w:pStyle w:val="corpsdedcision"/>
        <w:rPr>
          <w:u w:val="single"/>
        </w:rPr>
      </w:pPr>
      <w:r>
        <w:t>Il reste donc à répondre aux questions suivantes</w:t>
      </w:r>
      <w:r w:rsidR="0009314F">
        <w:t xml:space="preserve"> </w:t>
      </w:r>
      <w:r>
        <w:t>:</w:t>
      </w:r>
    </w:p>
    <w:p w14:paraId="46D6D80A" w14:textId="383748D7" w:rsidR="001A5865" w:rsidRPr="00537311" w:rsidRDefault="001A5865" w:rsidP="001A5865">
      <w:pPr>
        <w:pStyle w:val="corpsdedcision"/>
        <w:numPr>
          <w:ilvl w:val="0"/>
          <w:numId w:val="12"/>
        </w:numPr>
        <w:spacing w:after="240"/>
        <w:rPr>
          <w:u w:val="single"/>
        </w:rPr>
      </w:pPr>
      <w:r>
        <w:t xml:space="preserve">Est-ce que la demande de révision du 13 avril 2023, à l’encontre de la décision </w:t>
      </w:r>
      <w:r w:rsidR="00993D8C">
        <w:t xml:space="preserve">initiale </w:t>
      </w:r>
      <w:r>
        <w:t>rendue le 20 octobre 2022, est recevable?</w:t>
      </w:r>
    </w:p>
    <w:p w14:paraId="3B2AC9FB" w14:textId="1E24D260" w:rsidR="001A5865" w:rsidRPr="00737BE4" w:rsidRDefault="001A5865" w:rsidP="001A5865">
      <w:pPr>
        <w:pStyle w:val="corpsdedcision"/>
        <w:numPr>
          <w:ilvl w:val="1"/>
          <w:numId w:val="12"/>
        </w:numPr>
        <w:rPr>
          <w:u w:val="single"/>
        </w:rPr>
      </w:pPr>
      <w:r>
        <w:t>Dans l’affirmative, est-ce que la réclamation produite par le travailleur le 7</w:t>
      </w:r>
      <w:r w:rsidR="009F2307">
        <w:t> </w:t>
      </w:r>
      <w:r>
        <w:t>octobre 2022 est recevable?</w:t>
      </w:r>
    </w:p>
    <w:p w14:paraId="4EEA7924" w14:textId="620408DA" w:rsidR="0011681F" w:rsidRPr="00B26F85" w:rsidRDefault="0011681F" w:rsidP="009D0E73">
      <w:pPr>
        <w:pStyle w:val="Titre3"/>
        <w:jc w:val="both"/>
        <w:rPr>
          <w:u w:val="single"/>
        </w:rPr>
      </w:pPr>
      <w:r w:rsidRPr="0011681F">
        <w:t xml:space="preserve">Est-ce que la demande de révision du </w:t>
      </w:r>
      <w:r w:rsidR="00A028EB">
        <w:t>13 avril</w:t>
      </w:r>
      <w:r w:rsidRPr="0011681F">
        <w:t xml:space="preserve"> 2023, à l’encontre de la décision </w:t>
      </w:r>
      <w:r w:rsidR="00993D8C">
        <w:t xml:space="preserve">initiale </w:t>
      </w:r>
      <w:r w:rsidRPr="0011681F">
        <w:t xml:space="preserve">rendue le </w:t>
      </w:r>
      <w:r w:rsidR="00A028EB">
        <w:t>20 octobre</w:t>
      </w:r>
      <w:r w:rsidRPr="0011681F">
        <w:t xml:space="preserve"> 2022, est recevable?</w:t>
      </w:r>
    </w:p>
    <w:p w14:paraId="503706CB" w14:textId="04FF64D8" w:rsidR="003B68F7" w:rsidRDefault="003603C3" w:rsidP="00165385">
      <w:pPr>
        <w:pStyle w:val="corpsdedcision"/>
      </w:pPr>
      <w:r>
        <w:t>Comme précédemment mentionné, l</w:t>
      </w:r>
      <w:r w:rsidR="003B68F7">
        <w:t>’article 358 de la Loi prévoit qu’un</w:t>
      </w:r>
      <w:r w:rsidR="00A543ED">
        <w:t xml:space="preserve">e </w:t>
      </w:r>
      <w:r w:rsidR="003B68F7">
        <w:t xml:space="preserve">demande </w:t>
      </w:r>
      <w:r w:rsidR="00A543ED">
        <w:t>de</w:t>
      </w:r>
      <w:r w:rsidR="003B68F7">
        <w:t xml:space="preserve"> révision d’une décision rendue par la Commission </w:t>
      </w:r>
      <w:r w:rsidR="00A543ED">
        <w:t xml:space="preserve">doit être faite </w:t>
      </w:r>
      <w:r w:rsidR="003B68F7">
        <w:t xml:space="preserve">dans les 30 jours de sa notification. </w:t>
      </w:r>
    </w:p>
    <w:p w14:paraId="2FFC13BE" w14:textId="6EB5A568" w:rsidR="005B4C23" w:rsidRDefault="00FA4C1B" w:rsidP="00B26F85">
      <w:pPr>
        <w:pStyle w:val="corpsdedcision"/>
      </w:pPr>
      <w:r>
        <w:t>En cas de non-respect de ce délai, l</w:t>
      </w:r>
      <w:r w:rsidR="005B4C23">
        <w:t>’article 358.2 de la Loi p</w:t>
      </w:r>
      <w:r w:rsidR="003603C3">
        <w:t>ermet à une personne d’</w:t>
      </w:r>
      <w:r w:rsidR="005B4C23">
        <w:t xml:space="preserve">être relevée des conséquences de son défaut, si </w:t>
      </w:r>
      <w:r w:rsidR="00A339FC">
        <w:t>le retard s’explique par un motif raisonnable.</w:t>
      </w:r>
    </w:p>
    <w:p w14:paraId="09D93352" w14:textId="01B2282A" w:rsidR="00174449" w:rsidRDefault="002E0F91" w:rsidP="005B4C23">
      <w:pPr>
        <w:pStyle w:val="corpsdedcision"/>
        <w:tabs>
          <w:tab w:val="num" w:pos="1980"/>
        </w:tabs>
      </w:pPr>
      <w:r>
        <w:t xml:space="preserve">C’est le 13 avril </w:t>
      </w:r>
      <w:r w:rsidR="00795B3C">
        <w:t xml:space="preserve">2023 </w:t>
      </w:r>
      <w:r>
        <w:t>qu’une demande de révision de la</w:t>
      </w:r>
      <w:r w:rsidR="00174449">
        <w:t xml:space="preserve"> décision rendue le 20</w:t>
      </w:r>
      <w:r w:rsidR="009F2307">
        <w:t> </w:t>
      </w:r>
      <w:r w:rsidR="00174449">
        <w:t xml:space="preserve">octobre 2022 </w:t>
      </w:r>
      <w:r>
        <w:t>est transmise à la Commission.</w:t>
      </w:r>
      <w:r w:rsidR="00174449">
        <w:t xml:space="preserve"> </w:t>
      </w:r>
    </w:p>
    <w:p w14:paraId="3C9B7440" w14:textId="70766606" w:rsidR="00174449" w:rsidRPr="00865894" w:rsidRDefault="002E0F91" w:rsidP="005B4C23">
      <w:pPr>
        <w:pStyle w:val="corpsdedcision"/>
        <w:tabs>
          <w:tab w:val="num" w:pos="1980"/>
        </w:tabs>
      </w:pPr>
      <w:r>
        <w:t>L</w:t>
      </w:r>
      <w:r w:rsidR="00174449">
        <w:t>e travailleur n</w:t>
      </w:r>
      <w:r w:rsidR="00065D16">
        <w:t xml:space="preserve">e peut </w:t>
      </w:r>
      <w:r w:rsidR="00174449">
        <w:t xml:space="preserve">identifier </w:t>
      </w:r>
      <w:r>
        <w:t>clairement</w:t>
      </w:r>
      <w:r w:rsidR="00174449">
        <w:t xml:space="preserve"> la date où il est notifié de cette décision. Il se souv</w:t>
      </w:r>
      <w:r w:rsidR="00A543ED">
        <w:t>i</w:t>
      </w:r>
      <w:r w:rsidR="00174449">
        <w:t xml:space="preserve">ent </w:t>
      </w:r>
      <w:r w:rsidR="00684902">
        <w:t xml:space="preserve">toutefois </w:t>
      </w:r>
      <w:r w:rsidR="00174449">
        <w:t>q</w:t>
      </w:r>
      <w:r w:rsidR="00684902">
        <w:t xml:space="preserve">ue le délai </w:t>
      </w:r>
      <w:r w:rsidR="00BB6679">
        <w:t xml:space="preserve">de 30 jours </w:t>
      </w:r>
      <w:r w:rsidR="00684902">
        <w:t xml:space="preserve">pour en demander la révision était déjà </w:t>
      </w:r>
      <w:r w:rsidR="00684902" w:rsidRPr="00865894">
        <w:t>expiré, car il communique alors très rapidement avec un organisme à but non lucratif venant en aide aux travailleurs accidentés pour leur demander de la contester, tout comme il l’a fait pour la décision du 31 janvier 2023.</w:t>
      </w:r>
    </w:p>
    <w:p w14:paraId="33AFA559" w14:textId="71DD4447" w:rsidR="00520D44" w:rsidRPr="00865894" w:rsidRDefault="00520D44" w:rsidP="00520D44">
      <w:pPr>
        <w:pStyle w:val="corpsdedcision"/>
      </w:pPr>
      <w:r w:rsidRPr="00865894">
        <w:t>Différents indices</w:t>
      </w:r>
      <w:r w:rsidR="00865894" w:rsidRPr="00865894">
        <w:t>, fournis par la preuve documentaire, convergent vers la même période pour établir le moment où le travailleur est notifié de la décision du 20</w:t>
      </w:r>
      <w:r w:rsidR="009F2307">
        <w:t> </w:t>
      </w:r>
      <w:r w:rsidR="00865894" w:rsidRPr="00865894">
        <w:t>octobre</w:t>
      </w:r>
      <w:r w:rsidR="009F2307">
        <w:t> </w:t>
      </w:r>
      <w:r w:rsidR="00865894" w:rsidRPr="00865894">
        <w:t>2022, soit au début du mois d’avril 2023.</w:t>
      </w:r>
    </w:p>
    <w:p w14:paraId="29CED5F9" w14:textId="1C5E4894" w:rsidR="004B672A" w:rsidRDefault="00993D8C" w:rsidP="005B4C23">
      <w:pPr>
        <w:pStyle w:val="corpsdedcision"/>
        <w:tabs>
          <w:tab w:val="num" w:pos="1980"/>
        </w:tabs>
      </w:pPr>
      <w:r>
        <w:t>D’abord, i</w:t>
      </w:r>
      <w:r w:rsidR="00D4557F" w:rsidRPr="00520D44">
        <w:t>l</w:t>
      </w:r>
      <w:r w:rsidR="004B672A" w:rsidRPr="00520D44">
        <w:t xml:space="preserve"> en parle à </w:t>
      </w:r>
      <w:r w:rsidR="00520D44">
        <w:t>s</w:t>
      </w:r>
      <w:r w:rsidR="004B672A" w:rsidRPr="00520D44">
        <w:t xml:space="preserve">a professionnelle de la santé le 4 avril </w:t>
      </w:r>
      <w:r w:rsidR="00520D44" w:rsidRPr="00520D44">
        <w:t>2023</w:t>
      </w:r>
      <w:r w:rsidR="004B672A" w:rsidRPr="00520D44">
        <w:t>. Elle écrit : « </w:t>
      </w:r>
      <w:r w:rsidR="008E7E8E">
        <w:t xml:space="preserve">[…] </w:t>
      </w:r>
      <w:r w:rsidR="004B672A" w:rsidRPr="00520D44">
        <w:rPr>
          <w:i/>
          <w:iCs/>
          <w:sz w:val="22"/>
          <w:szCs w:val="22"/>
        </w:rPr>
        <w:t>a</w:t>
      </w:r>
      <w:r w:rsidR="003D5A50">
        <w:rPr>
          <w:i/>
          <w:iCs/>
          <w:sz w:val="22"/>
          <w:szCs w:val="22"/>
        </w:rPr>
        <w:t> </w:t>
      </w:r>
      <w:r w:rsidR="004B672A" w:rsidRPr="00520D44">
        <w:rPr>
          <w:i/>
          <w:iCs/>
          <w:sz w:val="22"/>
          <w:szCs w:val="22"/>
        </w:rPr>
        <w:t>eu</w:t>
      </w:r>
      <w:r w:rsidR="004B672A" w:rsidRPr="004B672A">
        <w:rPr>
          <w:i/>
          <w:iCs/>
          <w:sz w:val="22"/>
          <w:szCs w:val="22"/>
        </w:rPr>
        <w:t xml:space="preserve"> note de la cnesst que n’avait pas recu les rapports dans les 6 mois, donc dossier refusé?  pourtant, cnesst complété d</w:t>
      </w:r>
      <w:r w:rsidR="00AA4273">
        <w:rPr>
          <w:i/>
          <w:iCs/>
          <w:sz w:val="22"/>
          <w:szCs w:val="22"/>
        </w:rPr>
        <w:t>è</w:t>
      </w:r>
      <w:r w:rsidR="004B672A" w:rsidRPr="004B672A">
        <w:rPr>
          <w:i/>
          <w:iCs/>
          <w:sz w:val="22"/>
          <w:szCs w:val="22"/>
        </w:rPr>
        <w:t>s le début va faire démarche avec aide aux travaillers</w:t>
      </w:r>
      <w:r w:rsidR="008E7E8E">
        <w:rPr>
          <w:i/>
          <w:iCs/>
          <w:sz w:val="22"/>
          <w:szCs w:val="22"/>
        </w:rPr>
        <w:t>.</w:t>
      </w:r>
      <w:r w:rsidR="004B672A">
        <w:t> </w:t>
      </w:r>
      <w:r w:rsidR="003D5A50">
        <w:t>[</w:t>
      </w:r>
      <w:r w:rsidR="008E7E8E">
        <w:t>Transcription</w:t>
      </w:r>
      <w:r w:rsidR="003D5A50">
        <w:t xml:space="preserve"> textuelle] </w:t>
      </w:r>
      <w:r w:rsidR="004B672A">
        <w:t>»</w:t>
      </w:r>
    </w:p>
    <w:p w14:paraId="715219CB" w14:textId="137DAC36" w:rsidR="00D4557F" w:rsidRDefault="000C7EC3" w:rsidP="00D4557F">
      <w:pPr>
        <w:pStyle w:val="corpsdedcision"/>
        <w:tabs>
          <w:tab w:val="num" w:pos="1980"/>
        </w:tabs>
      </w:pPr>
      <w:r>
        <w:t>Ensuite, l</w:t>
      </w:r>
      <w:r w:rsidR="00D4557F">
        <w:t>es notes manuscrites du 12 avril 2023 de l’intervenante de l’</w:t>
      </w:r>
      <w:r w:rsidR="003D0C68">
        <w:t>organisme Aide aux travailleurs accidentés (</w:t>
      </w:r>
      <w:r w:rsidR="00D4557F">
        <w:t>ATA</w:t>
      </w:r>
      <w:r w:rsidR="003D0C68">
        <w:t>)</w:t>
      </w:r>
      <w:r w:rsidR="00D4557F">
        <w:t xml:space="preserve"> </w:t>
      </w:r>
      <w:r w:rsidR="004705F3">
        <w:t>rapportent</w:t>
      </w:r>
      <w:r w:rsidR="00D4557F">
        <w:t xml:space="preserve"> que le travailleur a reçu la décision en cause et qu’il souhaite la contester. Il lui </w:t>
      </w:r>
      <w:r w:rsidR="00520D44">
        <w:t>transmet une copie</w:t>
      </w:r>
      <w:r w:rsidR="00D4557F">
        <w:t xml:space="preserve"> le lendemain</w:t>
      </w:r>
      <w:r w:rsidR="00520D44">
        <w:t>.</w:t>
      </w:r>
    </w:p>
    <w:p w14:paraId="6137C4AA" w14:textId="49D5D5A0" w:rsidR="00D4557F" w:rsidRDefault="00520D44" w:rsidP="009A34F6">
      <w:pPr>
        <w:pStyle w:val="corpsdedcision"/>
        <w:tabs>
          <w:tab w:val="num" w:pos="1980"/>
        </w:tabs>
      </w:pPr>
      <w:r>
        <w:t>Enfin, le</w:t>
      </w:r>
      <w:r w:rsidR="00AA4273">
        <w:t xml:space="preserve"> 19 avril 2023, il mentionne au réviseur </w:t>
      </w:r>
      <w:r w:rsidR="00D4557F">
        <w:t>de la Commission</w:t>
      </w:r>
      <w:r w:rsidR="00AA4273">
        <w:t xml:space="preserve"> qu’il a reçu la lettre uniquement au début du mois d’avril 2023</w:t>
      </w:r>
      <w:r w:rsidR="00D4557F">
        <w:t>.</w:t>
      </w:r>
    </w:p>
    <w:p w14:paraId="270BF263" w14:textId="03AD2ABE" w:rsidR="00D4557F" w:rsidRDefault="00D4557F" w:rsidP="005B4C23">
      <w:pPr>
        <w:pStyle w:val="corpsdedcision"/>
        <w:tabs>
          <w:tab w:val="num" w:pos="1980"/>
        </w:tabs>
      </w:pPr>
      <w:r>
        <w:t>Lors de l’audience, le travailleur n</w:t>
      </w:r>
      <w:r w:rsidR="00065D16">
        <w:t>e peut dire</w:t>
      </w:r>
      <w:r>
        <w:t xml:space="preserve"> pourquoi la décision aurait </w:t>
      </w:r>
      <w:r w:rsidR="00691039">
        <w:t xml:space="preserve">tant </w:t>
      </w:r>
      <w:r>
        <w:t xml:space="preserve">tardé </w:t>
      </w:r>
      <w:r w:rsidR="00744081">
        <w:t>à</w:t>
      </w:r>
      <w:r>
        <w:t xml:space="preserve"> lui être notifiée.</w:t>
      </w:r>
    </w:p>
    <w:p w14:paraId="47912A4B" w14:textId="15D97822" w:rsidR="00D4557F" w:rsidRDefault="00520D44" w:rsidP="005B4C23">
      <w:pPr>
        <w:pStyle w:val="corpsdedcision"/>
        <w:tabs>
          <w:tab w:val="num" w:pos="1980"/>
        </w:tabs>
      </w:pPr>
      <w:r>
        <w:t>Or, i</w:t>
      </w:r>
      <w:r w:rsidR="00D4557F">
        <w:t xml:space="preserve">l n’est pas de </w:t>
      </w:r>
      <w:r w:rsidR="00684902">
        <w:t>s</w:t>
      </w:r>
      <w:r w:rsidR="00D4557F">
        <w:t xml:space="preserve">a responsabilité d’expliquer ce </w:t>
      </w:r>
      <w:r w:rsidR="00795B3C">
        <w:t xml:space="preserve">délai s’il n’a aucun rôle à y jouer. Il </w:t>
      </w:r>
      <w:r w:rsidR="00D4557F">
        <w:t>lui suffit de démontrer avoir été diligent dans la gestion de ses affaires pour évacuer tout doute sur sa propre responsabilité. Dans la présente affaire, cela est prépondérant.</w:t>
      </w:r>
    </w:p>
    <w:p w14:paraId="0A2F5B93" w14:textId="6AB2D831" w:rsidR="00D4557F" w:rsidRDefault="00520D44" w:rsidP="00D4557F">
      <w:pPr>
        <w:pStyle w:val="corpsdedcision"/>
        <w:tabs>
          <w:tab w:val="num" w:pos="1980"/>
        </w:tabs>
      </w:pPr>
      <w:r>
        <w:t>En effet, i</w:t>
      </w:r>
      <w:r w:rsidR="00D4557F">
        <w:t>l explique qu’il était sans revenu depuis plusieurs mois</w:t>
      </w:r>
      <w:r w:rsidR="00691039">
        <w:t xml:space="preserve"> vu son</w:t>
      </w:r>
      <w:r w:rsidR="00D4557F">
        <w:t xml:space="preserve"> arrêt de travail, qu’il n’a </w:t>
      </w:r>
      <w:r w:rsidR="00EE7A9F">
        <w:t xml:space="preserve">pas </w:t>
      </w:r>
      <w:r w:rsidR="00D4557F">
        <w:t>changé d’adresse et qu’il n’avait rien d’autre à faire que de s’occuper de ses affaires et d’aller chercher son courrier deux à trois fois par semaine</w:t>
      </w:r>
      <w:r w:rsidR="00684902">
        <w:t xml:space="preserve"> dans s</w:t>
      </w:r>
      <w:r w:rsidR="00603DFD">
        <w:t>a case postale</w:t>
      </w:r>
      <w:r w:rsidR="00D4557F">
        <w:t xml:space="preserve">. Il n’aurait pas laissé passer </w:t>
      </w:r>
      <w:r>
        <w:t xml:space="preserve">volontairement </w:t>
      </w:r>
      <w:r w:rsidR="00D4557F">
        <w:t xml:space="preserve">un délai </w:t>
      </w:r>
      <w:r>
        <w:t>pour demander la révision d’une décision qui ne reconna</w:t>
      </w:r>
      <w:r w:rsidR="003D5A50">
        <w:t>î</w:t>
      </w:r>
      <w:r>
        <w:t xml:space="preserve">t pas </w:t>
      </w:r>
      <w:r w:rsidR="00795B3C">
        <w:t>l</w:t>
      </w:r>
      <w:r>
        <w:t>a lésion professionnelle</w:t>
      </w:r>
      <w:r w:rsidR="00795B3C">
        <w:t xml:space="preserve"> et le droit aux indemnités</w:t>
      </w:r>
      <w:r>
        <w:t>.</w:t>
      </w:r>
    </w:p>
    <w:p w14:paraId="55D8C65B" w14:textId="6A1CCE47" w:rsidR="00D4557F" w:rsidRDefault="00D4557F" w:rsidP="00D4557F">
      <w:pPr>
        <w:pStyle w:val="corpsdedcision"/>
        <w:tabs>
          <w:tab w:val="num" w:pos="1980"/>
        </w:tabs>
      </w:pPr>
      <w:r>
        <w:t xml:space="preserve">Pour expliquer pourquoi il n’a pas téléphoné à la Commission pour s’enquérir des suites de sa réclamation, il répond que </w:t>
      </w:r>
      <w:r w:rsidR="004705F3">
        <w:t>tout était</w:t>
      </w:r>
      <w:r>
        <w:t xml:space="preserve"> généralement </w:t>
      </w:r>
      <w:r w:rsidR="00AB66DC">
        <w:t>t</w:t>
      </w:r>
      <w:r>
        <w:t xml:space="preserve">rès long dans un contexte de fin de la pandémie de </w:t>
      </w:r>
      <w:r w:rsidR="003D5A50">
        <w:t>COVID</w:t>
      </w:r>
      <w:r>
        <w:t>-19</w:t>
      </w:r>
      <w:r w:rsidR="00520D44">
        <w:t>. Il ne s’</w:t>
      </w:r>
      <w:r w:rsidR="00691039">
        <w:t>en est</w:t>
      </w:r>
      <w:r w:rsidR="00520D44">
        <w:t xml:space="preserve"> donc pas </w:t>
      </w:r>
      <w:r>
        <w:t>préoccupé outre mesure</w:t>
      </w:r>
      <w:r w:rsidR="00520D44">
        <w:t>.</w:t>
      </w:r>
    </w:p>
    <w:p w14:paraId="0F4401C0" w14:textId="0934EDB8" w:rsidR="00AA4273" w:rsidRPr="00691039" w:rsidRDefault="00520D44" w:rsidP="00504311">
      <w:pPr>
        <w:pStyle w:val="corpsdedcision"/>
        <w:tabs>
          <w:tab w:val="num" w:pos="1980"/>
        </w:tabs>
      </w:pPr>
      <w:r>
        <w:t>Avant de conclure, d</w:t>
      </w:r>
      <w:r w:rsidR="00D561C8">
        <w:t>es commentaires s’imposent sur le fait que le travailleur aurait été informé de la décision verbalement</w:t>
      </w:r>
      <w:r w:rsidR="0009314F">
        <w:t>,</w:t>
      </w:r>
      <w:r w:rsidR="00D561C8">
        <w:t xml:space="preserve"> puisque </w:t>
      </w:r>
      <w:r w:rsidR="00AA4273">
        <w:t xml:space="preserve">la Commission </w:t>
      </w:r>
      <w:r w:rsidR="00D561C8">
        <w:t xml:space="preserve">a </w:t>
      </w:r>
      <w:r w:rsidR="00AA4273">
        <w:t>inscri</w:t>
      </w:r>
      <w:r w:rsidR="00D561C8">
        <w:t>t</w:t>
      </w:r>
      <w:r w:rsidR="00AA4273">
        <w:t xml:space="preserve"> un crochet à côté de la mention « </w:t>
      </w:r>
      <w:r w:rsidR="00AA4273" w:rsidRPr="00D4557F">
        <w:rPr>
          <w:i/>
          <w:iCs/>
          <w:sz w:val="22"/>
          <w:szCs w:val="22"/>
        </w:rPr>
        <w:t>Travailleur informé du refus </w:t>
      </w:r>
      <w:r w:rsidR="00AA4273">
        <w:t xml:space="preserve">» </w:t>
      </w:r>
      <w:r w:rsidR="004705F3">
        <w:t>sur un encadré retrouvé</w:t>
      </w:r>
      <w:r w:rsidR="00AA4273">
        <w:t xml:space="preserve"> </w:t>
      </w:r>
      <w:r w:rsidR="00D561C8">
        <w:t>à</w:t>
      </w:r>
      <w:r w:rsidR="00AA4273">
        <w:t xml:space="preserve"> la note de fermeture du 19 octobre 2022</w:t>
      </w:r>
      <w:r w:rsidR="00D561C8">
        <w:t xml:space="preserve">. </w:t>
      </w:r>
      <w:r w:rsidR="004705F3">
        <w:t xml:space="preserve">Le travailleur </w:t>
      </w:r>
      <w:r w:rsidR="00AA4273">
        <w:t xml:space="preserve">nie catégoriquement avoir été contacté par </w:t>
      </w:r>
      <w:r w:rsidR="00D4557F">
        <w:t xml:space="preserve">un agent de </w:t>
      </w:r>
      <w:r w:rsidR="00AA4273">
        <w:t>cet organisme lors de l’analyse de sa réclamation. En fait, il ne leur a jamais parlé</w:t>
      </w:r>
      <w:r w:rsidR="00D4557F">
        <w:t>, ce qui est corroboré par la preuve documentaire</w:t>
      </w:r>
      <w:r w:rsidR="00AB66DC">
        <w:t xml:space="preserve">, </w:t>
      </w:r>
      <w:r w:rsidR="00D561C8">
        <w:t xml:space="preserve">car </w:t>
      </w:r>
      <w:r w:rsidR="00AB66DC">
        <w:t>aucune note</w:t>
      </w:r>
      <w:r w:rsidR="00AA4273">
        <w:t xml:space="preserve"> évolutive de la Commission n</w:t>
      </w:r>
      <w:r w:rsidR="00744081">
        <w:t>e rapporte</w:t>
      </w:r>
      <w:r w:rsidR="00AA4273">
        <w:t xml:space="preserve"> une communication avec le travailleur</w:t>
      </w:r>
      <w:r w:rsidR="00AB66DC">
        <w:t xml:space="preserve">, sauf </w:t>
      </w:r>
      <w:r w:rsidR="004705F3">
        <w:t xml:space="preserve">plus tard, </w:t>
      </w:r>
      <w:r w:rsidR="00AB66DC">
        <w:t xml:space="preserve">par la </w:t>
      </w:r>
      <w:r w:rsidR="00AB66DC" w:rsidRPr="00691039">
        <w:t>direction de la révision administrative le 19 avril 2023</w:t>
      </w:r>
      <w:r w:rsidR="00D4557F" w:rsidRPr="00691039">
        <w:t>.</w:t>
      </w:r>
      <w:r w:rsidR="00AA4273" w:rsidRPr="00691039">
        <w:t xml:space="preserve"> </w:t>
      </w:r>
    </w:p>
    <w:p w14:paraId="3D9A826E" w14:textId="4E9050EF" w:rsidR="003D533D" w:rsidRDefault="00D561C8" w:rsidP="00234865">
      <w:pPr>
        <w:pStyle w:val="corpsdedcision"/>
        <w:tabs>
          <w:tab w:val="num" w:pos="360"/>
        </w:tabs>
      </w:pPr>
      <w:r w:rsidRPr="00691039">
        <w:t>Quoiqu’il en soit, q</w:t>
      </w:r>
      <w:r w:rsidR="003D533D" w:rsidRPr="00691039">
        <w:t xml:space="preserve">ue le travailleur ait été informé verbalement ou non, </w:t>
      </w:r>
      <w:r w:rsidR="00176C8B" w:rsidRPr="00691039">
        <w:t xml:space="preserve">le délai de notification </w:t>
      </w:r>
      <w:r w:rsidR="00795B3C">
        <w:t xml:space="preserve">doit être </w:t>
      </w:r>
      <w:r w:rsidR="002F0C4A">
        <w:t>considéré</w:t>
      </w:r>
      <w:r w:rsidR="00176C8B" w:rsidRPr="00691039">
        <w:t xml:space="preserve"> </w:t>
      </w:r>
      <w:r w:rsidR="00E13B1F" w:rsidRPr="00691039">
        <w:t xml:space="preserve">uniquement </w:t>
      </w:r>
      <w:r w:rsidR="00795B3C">
        <w:t xml:space="preserve">par rapport </w:t>
      </w:r>
      <w:r w:rsidR="00E13B1F" w:rsidRPr="00691039">
        <w:t xml:space="preserve">à </w:t>
      </w:r>
      <w:r w:rsidR="00157FEE" w:rsidRPr="00691039">
        <w:t>la décision</w:t>
      </w:r>
      <w:r w:rsidR="00E13B1F" w:rsidRPr="00691039">
        <w:t xml:space="preserve"> </w:t>
      </w:r>
      <w:r w:rsidR="004705F3" w:rsidRPr="00795B3C">
        <w:rPr>
          <w:u w:val="single"/>
        </w:rPr>
        <w:t>écrite</w:t>
      </w:r>
      <w:r w:rsidR="004705F3" w:rsidRPr="00691039">
        <w:t xml:space="preserve"> </w:t>
      </w:r>
      <w:r w:rsidR="00E13B1F" w:rsidRPr="00691039">
        <w:t>d</w:t>
      </w:r>
      <w:r w:rsidR="00176C8B" w:rsidRPr="00691039">
        <w:t>u 20</w:t>
      </w:r>
      <w:r w:rsidR="009F2307">
        <w:t> </w:t>
      </w:r>
      <w:r w:rsidR="00176C8B" w:rsidRPr="00691039">
        <w:t>octobre</w:t>
      </w:r>
      <w:r w:rsidR="009F2307">
        <w:t> </w:t>
      </w:r>
      <w:r w:rsidR="00176C8B" w:rsidRPr="00691039">
        <w:t>2022</w:t>
      </w:r>
      <w:r w:rsidR="0009314F">
        <w:t>,</w:t>
      </w:r>
      <w:r w:rsidR="00176C8B" w:rsidRPr="00691039">
        <w:t xml:space="preserve"> puisque l</w:t>
      </w:r>
      <w:r w:rsidR="00795B3C">
        <w:t>a Loi prévoit que l</w:t>
      </w:r>
      <w:r w:rsidR="00176C8B" w:rsidRPr="00691039">
        <w:t>es</w:t>
      </w:r>
      <w:r w:rsidR="003D533D" w:rsidRPr="00691039">
        <w:t xml:space="preserve"> décisions de la Commission </w:t>
      </w:r>
      <w:r w:rsidR="00795B3C">
        <w:t>sont</w:t>
      </w:r>
      <w:r w:rsidR="003D533D" w:rsidRPr="00691039">
        <w:t xml:space="preserve"> écrites</w:t>
      </w:r>
      <w:r w:rsidR="00795B3C">
        <w:t xml:space="preserve"> en plus d’être</w:t>
      </w:r>
      <w:r w:rsidR="003D533D" w:rsidRPr="00691039">
        <w:t xml:space="preserve"> motivées et notifiées à toutes les parties</w:t>
      </w:r>
      <w:r w:rsidR="003D533D" w:rsidRPr="00691039">
        <w:rPr>
          <w:rStyle w:val="Appelnotedebasdep"/>
        </w:rPr>
        <w:footnoteReference w:id="4"/>
      </w:r>
      <w:r w:rsidR="003D533D" w:rsidRPr="00691039">
        <w:t>.</w:t>
      </w:r>
      <w:r w:rsidR="00691039" w:rsidRPr="00691039">
        <w:t xml:space="preserve"> </w:t>
      </w:r>
      <w:r w:rsidR="003D533D" w:rsidRPr="00691039">
        <w:t xml:space="preserve"> </w:t>
      </w:r>
      <w:r w:rsidRPr="00691039">
        <w:t xml:space="preserve"> </w:t>
      </w:r>
    </w:p>
    <w:p w14:paraId="406A992E" w14:textId="77777777" w:rsidR="0046584A" w:rsidRDefault="0046584A" w:rsidP="009F2307">
      <w:pPr>
        <w:pStyle w:val="corpsdedcision"/>
        <w:tabs>
          <w:tab w:val="num" w:pos="360"/>
        </w:tabs>
      </w:pPr>
      <w:r>
        <w:t xml:space="preserve">Enfin, en matière d’indemnisation et dans les cas où la décision à être rendue est défavorable à l’administré, en l’occurrence le travailleur, la </w:t>
      </w:r>
      <w:r w:rsidRPr="00A722DB">
        <w:rPr>
          <w:i/>
        </w:rPr>
        <w:t>Loi sur la justice administrative</w:t>
      </w:r>
      <w:r w:rsidRPr="00D6257F">
        <w:rPr>
          <w:rStyle w:val="Appelnotedebasdep"/>
        </w:rPr>
        <w:footnoteReference w:id="5"/>
      </w:r>
      <w:r>
        <w:t xml:space="preserve"> exige que la Commission s’assure que celui-ci a l’occasion de communiquer avec elle pour fournir les informations utiles à la prise de la décision. La décision doit même être retardée tant que le travailleur n’a pas eu l’occasion de fournir les renseignements ou les documents pertinents pour compléter son dossier :</w:t>
      </w:r>
    </w:p>
    <w:p w14:paraId="54833E92" w14:textId="77777777" w:rsidR="0046584A" w:rsidRDefault="0046584A" w:rsidP="009F2307">
      <w:pPr>
        <w:pStyle w:val="citation"/>
      </w:pPr>
      <w:r>
        <w:t>6. L’autorité administrative qui, en matière d’indemnité ou de prestation, s’apprête à prendre une décision défavorable à l’administré est tenue de s’assurer que celui-ci a eu l’information appropriée pour communiquer avec elle et que son dossier contient les renseignements utiles à la prise de décision. Si elle constate que tel n’est pas le cas ou que le dossier est incomplet, elle retarde sa décision le temps nécessaire pour communiquer avec l’administré et lui donner l’occasion de fournir les renseignements ou les documents pertinents pour compléter son dossier.</w:t>
      </w:r>
    </w:p>
    <w:p w14:paraId="3075DB59" w14:textId="77777777" w:rsidR="009F2307" w:rsidRDefault="009F2307" w:rsidP="009F2307">
      <w:pPr>
        <w:pStyle w:val="citation"/>
      </w:pPr>
    </w:p>
    <w:p w14:paraId="4A043E1B" w14:textId="77777777" w:rsidR="0046584A" w:rsidRDefault="0046584A" w:rsidP="0046584A">
      <w:pPr>
        <w:pStyle w:val="citation"/>
        <w:spacing w:after="360"/>
      </w:pPr>
      <w:r>
        <w:t>[…]</w:t>
      </w:r>
    </w:p>
    <w:p w14:paraId="1FCF6E33" w14:textId="1F89D44A" w:rsidR="0046584A" w:rsidRDefault="0046584A" w:rsidP="0046584A">
      <w:pPr>
        <w:pStyle w:val="corpsdedcision"/>
        <w:tabs>
          <w:tab w:val="num" w:pos="1980"/>
        </w:tabs>
      </w:pPr>
      <w:r>
        <w:t>Ici, la Commission</w:t>
      </w:r>
      <w:r w:rsidR="009D4A6C">
        <w:t xml:space="preserve"> soulève de son propre chef la question du délai et</w:t>
      </w:r>
      <w:r>
        <w:t xml:space="preserve"> ne </w:t>
      </w:r>
      <w:r w:rsidR="009D4A6C">
        <w:t>donne pas l’occasion</w:t>
      </w:r>
      <w:r>
        <w:t xml:space="preserve"> au travailleur d’expliquer pourquoi il a attendu au 7 octobre 2022 pour produire une réclamation. </w:t>
      </w:r>
      <w:r w:rsidR="009D4A6C">
        <w:t>Dans l’éventualité contraire</w:t>
      </w:r>
      <w:r>
        <w:t xml:space="preserve">, le Tribunal se serait attendu à ce que ses </w:t>
      </w:r>
      <w:r w:rsidR="009D4A6C">
        <w:t>explications</w:t>
      </w:r>
      <w:r>
        <w:t xml:space="preserve"> soient consigné</w:t>
      </w:r>
      <w:r w:rsidR="009D4A6C">
        <w:t>e</w:t>
      </w:r>
      <w:r>
        <w:t>s au dossier, alors qu’il est uniquement indiqué que le travailleur a été informé de la décision, ce qu’il réfute.</w:t>
      </w:r>
    </w:p>
    <w:p w14:paraId="73C34C94" w14:textId="48028B83" w:rsidR="0046584A" w:rsidRPr="00407D30" w:rsidRDefault="0046584A" w:rsidP="0046584A">
      <w:pPr>
        <w:pStyle w:val="corpsdedcision"/>
      </w:pPr>
      <w:r>
        <w:t xml:space="preserve">Il s’agit d’un élément justifiant le Tribunal de donner l’occasion </w:t>
      </w:r>
      <w:r w:rsidR="009D4A6C">
        <w:t xml:space="preserve">au travailleur d’expliquer pourquoi il a présenté une réclamation uniquement le 7 octobre 2022, </w:t>
      </w:r>
      <w:r>
        <w:t xml:space="preserve">en </w:t>
      </w:r>
      <w:r w:rsidRPr="00407D30">
        <w:t>déclarant recevable sa demande de révision.</w:t>
      </w:r>
    </w:p>
    <w:p w14:paraId="6C8F4D46" w14:textId="50E60632" w:rsidR="00520D44" w:rsidRPr="00407D30" w:rsidRDefault="003B51D7" w:rsidP="00520D44">
      <w:pPr>
        <w:pStyle w:val="corpsdedcision"/>
        <w:tabs>
          <w:tab w:val="num" w:pos="1980"/>
        </w:tabs>
      </w:pPr>
      <w:r w:rsidRPr="00407D30">
        <w:t>Pour tous ces motifs, l</w:t>
      </w:r>
      <w:r w:rsidR="009D4A6C" w:rsidRPr="00407D30">
        <w:t>e Tribunal conclut que</w:t>
      </w:r>
      <w:r w:rsidR="00520D44" w:rsidRPr="00407D30">
        <w:t xml:space="preserve"> la demande de révision a été produite à l’intérieur du délai de 30 jours suivant la notification de la décision</w:t>
      </w:r>
      <w:r w:rsidR="009D4A6C" w:rsidRPr="00407D30">
        <w:t xml:space="preserve"> et</w:t>
      </w:r>
      <w:r w:rsidR="00520D44" w:rsidRPr="00407D30">
        <w:t xml:space="preserve"> elle est par conséquent recevable.</w:t>
      </w:r>
    </w:p>
    <w:p w14:paraId="59CC009A" w14:textId="68B64E7D" w:rsidR="00157FEE" w:rsidRDefault="00157FEE" w:rsidP="009F2307">
      <w:pPr>
        <w:pStyle w:val="Titre3"/>
        <w:jc w:val="both"/>
      </w:pPr>
      <w:r w:rsidRPr="00157FEE">
        <w:t>Est-ce que la réclamation produite par le travailleur le 7 octobre 2022 est recevable?</w:t>
      </w:r>
    </w:p>
    <w:p w14:paraId="6E68DB21" w14:textId="653FB315" w:rsidR="00065D16" w:rsidRDefault="00065D16" w:rsidP="0085670D">
      <w:pPr>
        <w:pStyle w:val="corpsdedcision"/>
        <w:spacing w:after="240"/>
      </w:pPr>
      <w:r>
        <w:t>Le Tribunal répond par l’affirmative à cette question et s’en explique.</w:t>
      </w:r>
    </w:p>
    <w:p w14:paraId="4262D548" w14:textId="4E535821" w:rsidR="0085670D" w:rsidRDefault="0085670D" w:rsidP="009F2307">
      <w:pPr>
        <w:pStyle w:val="corpsdedcision"/>
      </w:pPr>
      <w:r>
        <w:t>La Loi prévoit qu’un travailleur doit produire sa réclamation à la Commission dans les six mois de sa lésion :</w:t>
      </w:r>
    </w:p>
    <w:p w14:paraId="127D9A5A" w14:textId="021DEC00" w:rsidR="0085670D" w:rsidRDefault="0085670D" w:rsidP="009F2307">
      <w:pPr>
        <w:pStyle w:val="articlesdelaLATMP"/>
        <w:spacing w:after="120"/>
      </w:pPr>
      <w:r w:rsidRPr="00D10B57">
        <w:rPr>
          <w:b/>
        </w:rPr>
        <w:t>270.</w:t>
      </w:r>
      <w:r>
        <w:t xml:space="preserve">  </w:t>
      </w:r>
      <w:r w:rsidRPr="0085670D">
        <w:rPr>
          <w:u w:val="single"/>
        </w:rPr>
        <w:t>Le travailleur qui, en raison d'une lésion professionnelle, est incapable d'exercer son emploi pendant plus de 14 jours complets</w:t>
      </w:r>
      <w:r>
        <w:t xml:space="preserve"> ou a subi une atteinte permanente à son intégrité physique ou psychique ou, s'il décède de cette lésion, le bénéficiaire, produit sa réclamation à la Commission, sur le formulaire qu'elle prescrit, </w:t>
      </w:r>
      <w:r w:rsidRPr="002F0C4A">
        <w:rPr>
          <w:u w:val="single"/>
        </w:rPr>
        <w:t>dans les six mois</w:t>
      </w:r>
      <w:r>
        <w:t xml:space="preserve"> de la lésion ou du décès, selon le cas.</w:t>
      </w:r>
      <w:r w:rsidR="00292E5C">
        <w:t xml:space="preserve"> […]</w:t>
      </w:r>
    </w:p>
    <w:p w14:paraId="7D9C116B" w14:textId="77777777" w:rsidR="0085670D" w:rsidRDefault="0085670D" w:rsidP="009F2307">
      <w:pPr>
        <w:pStyle w:val="articlesdelaLATMP"/>
        <w:spacing w:after="120"/>
      </w:pPr>
      <w:bookmarkStart w:id="13" w:name="_Hlk199487624"/>
      <w:r>
        <w:t>L'employeur assiste le travailleur ou, le cas échéant, le bénéficiaire, dans la rédaction de sa réclamation et lui fournit les informations requises à cette fin.</w:t>
      </w:r>
    </w:p>
    <w:bookmarkEnd w:id="13"/>
    <w:p w14:paraId="4A2252FF" w14:textId="77777777" w:rsidR="0085670D" w:rsidRDefault="0085670D" w:rsidP="009F2307">
      <w:pPr>
        <w:pStyle w:val="articlesdelaLATMP"/>
        <w:spacing w:after="240"/>
      </w:pPr>
      <w:r>
        <w:t>Le travailleur ou, le cas échéant, le bénéficiaire, remet à l'employeur copie de ce formulaire dûment rempli et signé.</w:t>
      </w:r>
    </w:p>
    <w:p w14:paraId="7809A142" w14:textId="7CEE4FEB" w:rsidR="0085670D" w:rsidRDefault="0085670D" w:rsidP="009F2307">
      <w:pPr>
        <w:pStyle w:val="articlesdelaLATMP"/>
        <w:spacing w:after="240"/>
      </w:pPr>
      <w:r w:rsidRPr="00D10B57">
        <w:rPr>
          <w:b/>
        </w:rPr>
        <w:t>271.</w:t>
      </w:r>
      <w:r>
        <w:t xml:space="preserve">  </w:t>
      </w:r>
      <w:r w:rsidRPr="0085670D">
        <w:rPr>
          <w:u w:val="single"/>
        </w:rPr>
        <w:t>Le travailleur victime d'une lésion professionnelle qui ne le rend pas incapable d'exercer son emploi au-delà de la journée au cours de laquelle s'est manifestée sa lésion</w:t>
      </w:r>
      <w:r>
        <w:t xml:space="preserve"> ou celui à qui aucun employeur n'est tenu de verser un salaire en vertu de l'article 60, quelle que soit la durée de son incapacité, produit sa réclamation à la Commission, s'il y a lieu, sur le formulaire qu'elle prescrit, </w:t>
      </w:r>
      <w:r w:rsidRPr="002F0C4A">
        <w:rPr>
          <w:u w:val="single"/>
        </w:rPr>
        <w:t>dans les six mois</w:t>
      </w:r>
      <w:r>
        <w:t xml:space="preserve"> de sa lésion.</w:t>
      </w:r>
      <w:r w:rsidR="00292E5C">
        <w:t xml:space="preserve"> […]</w:t>
      </w:r>
    </w:p>
    <w:p w14:paraId="5F44F71E" w14:textId="1F1F33E7" w:rsidR="002F0C4A" w:rsidRPr="002F0C4A" w:rsidRDefault="009F2307" w:rsidP="009F2307">
      <w:pPr>
        <w:pStyle w:val="articlesdelaLATMP"/>
        <w:spacing w:after="360"/>
        <w:rPr>
          <w:sz w:val="24"/>
          <w:szCs w:val="24"/>
        </w:rPr>
      </w:pPr>
      <w:r>
        <w:rPr>
          <w:sz w:val="24"/>
          <w:szCs w:val="24"/>
        </w:rPr>
        <w:t>[</w:t>
      </w:r>
      <w:r w:rsidR="002F0C4A" w:rsidRPr="002F0C4A">
        <w:rPr>
          <w:sz w:val="24"/>
          <w:szCs w:val="24"/>
        </w:rPr>
        <w:t>Nos soulignements</w:t>
      </w:r>
      <w:r>
        <w:rPr>
          <w:sz w:val="24"/>
          <w:szCs w:val="24"/>
        </w:rPr>
        <w:t>]</w:t>
      </w:r>
    </w:p>
    <w:p w14:paraId="5A8E48A1" w14:textId="5A82B3D0" w:rsidR="00A45E5B" w:rsidRDefault="00407D30" w:rsidP="0085670D">
      <w:pPr>
        <w:pStyle w:val="corpsdedcision"/>
        <w:spacing w:after="240"/>
      </w:pPr>
      <w:r>
        <w:t>Q</w:t>
      </w:r>
      <w:r w:rsidR="00065D16">
        <w:t>ue ce soit s</w:t>
      </w:r>
      <w:r w:rsidR="008757D5">
        <w:t>elon</w:t>
      </w:r>
      <w:r w:rsidR="004D7259">
        <w:t xml:space="preserve"> l’une </w:t>
      </w:r>
      <w:r w:rsidR="00065D16">
        <w:t>ou</w:t>
      </w:r>
      <w:r w:rsidR="004D7259">
        <w:t xml:space="preserve"> l’autre de</w:t>
      </w:r>
      <w:r w:rsidR="008757D5">
        <w:t xml:space="preserve"> ce</w:t>
      </w:r>
      <w:r w:rsidR="004D7259">
        <w:t xml:space="preserve">s </w:t>
      </w:r>
      <w:r w:rsidR="008757D5">
        <w:t>dispositions</w:t>
      </w:r>
      <w:r w:rsidR="004D7259">
        <w:t xml:space="preserve">, la réclamation doit être produite dans les </w:t>
      </w:r>
      <w:r w:rsidR="00577461">
        <w:t>s</w:t>
      </w:r>
      <w:r w:rsidR="004D7259">
        <w:t>ix mois de la survenance de la lésion professionnelle.</w:t>
      </w:r>
    </w:p>
    <w:p w14:paraId="614B9125" w14:textId="3CBF292E" w:rsidR="00E44FE6" w:rsidRDefault="00E44FE6" w:rsidP="0085670D">
      <w:pPr>
        <w:pStyle w:val="corpsdedcision"/>
        <w:spacing w:after="240"/>
      </w:pPr>
      <w:r>
        <w:t xml:space="preserve">Le travailleur </w:t>
      </w:r>
      <w:r w:rsidR="00C76838">
        <w:t>prétend</w:t>
      </w:r>
      <w:r>
        <w:t xml:space="preserve"> s’être blessé au membre inférieur droit en chutant au travail le 3</w:t>
      </w:r>
      <w:r w:rsidR="00B430B0">
        <w:t>0</w:t>
      </w:r>
      <w:r>
        <w:t xml:space="preserve"> mars 2022. Il consulte à l’hôpital </w:t>
      </w:r>
      <w:r w:rsidR="00B430B0">
        <w:t>le lendemain</w:t>
      </w:r>
      <w:r>
        <w:t xml:space="preserve"> et des travaux légers sont tout de suite autorisés sur un rapport médical rédigé sur le formulaire de la Commission. La docteure </w:t>
      </w:r>
      <w:r w:rsidR="00D307BD">
        <w:t>Maya</w:t>
      </w:r>
      <w:r>
        <w:t xml:space="preserve"> Naccache recommande au travailleur de demeurer en position assise </w:t>
      </w:r>
      <w:r w:rsidR="008D439A">
        <w:t>e</w:t>
      </w:r>
      <w:r>
        <w:t xml:space="preserve">t de ne pas lever de charges lourdes. Celui-ci confirme que </w:t>
      </w:r>
      <w:r w:rsidR="008D439A">
        <w:t>les tâches de son emploi</w:t>
      </w:r>
      <w:r>
        <w:t xml:space="preserve"> </w:t>
      </w:r>
      <w:r w:rsidR="008D439A">
        <w:t xml:space="preserve">régulier </w:t>
      </w:r>
      <w:r>
        <w:t>respecte</w:t>
      </w:r>
      <w:r w:rsidR="008D439A">
        <w:t>nt</w:t>
      </w:r>
      <w:r>
        <w:t xml:space="preserve"> ces exigences.</w:t>
      </w:r>
      <w:r w:rsidR="008D439A">
        <w:t xml:space="preserve"> </w:t>
      </w:r>
    </w:p>
    <w:p w14:paraId="62690655" w14:textId="652C2C5C" w:rsidR="0085670D" w:rsidRDefault="00520D44" w:rsidP="0085670D">
      <w:pPr>
        <w:pStyle w:val="corpsdedcision"/>
        <w:spacing w:after="240"/>
      </w:pPr>
      <w:r>
        <w:t xml:space="preserve">Initialement, la lésion ne rend </w:t>
      </w:r>
      <w:r w:rsidR="00E44FE6">
        <w:t xml:space="preserve">donc </w:t>
      </w:r>
      <w:r>
        <w:t>pas le travailleur incapable de travailler</w:t>
      </w:r>
      <w:r w:rsidR="006579EC">
        <w:t xml:space="preserve"> et le suivi médical</w:t>
      </w:r>
      <w:r w:rsidR="00E44FE6">
        <w:t xml:space="preserve"> se poursuit régulièrement jusqu’à ce qu’une aggravation de ses symptômes force un arrêt de travail le 20 septembre 2022.</w:t>
      </w:r>
      <w:r w:rsidR="009011FD">
        <w:t xml:space="preserve"> </w:t>
      </w:r>
      <w:r w:rsidR="00A145F0">
        <w:t xml:space="preserve">Il avise </w:t>
      </w:r>
      <w:r w:rsidR="007318DE">
        <w:t>son nouveau supérieur immédiat</w:t>
      </w:r>
      <w:r w:rsidR="00A145F0">
        <w:t xml:space="preserve">, un dénommé Jean-François Caouette, et on lui </w:t>
      </w:r>
      <w:r w:rsidR="00577461">
        <w:t>dit</w:t>
      </w:r>
      <w:r w:rsidR="00A145F0">
        <w:t xml:space="preserve"> de remplir une réclamation</w:t>
      </w:r>
      <w:r w:rsidR="003D5A50">
        <w:t>,</w:t>
      </w:r>
      <w:r w:rsidR="00A145F0">
        <w:t xml:space="preserve"> sans plus.</w:t>
      </w:r>
    </w:p>
    <w:p w14:paraId="60B0A819" w14:textId="6E226B02" w:rsidR="00D8588E" w:rsidRPr="004D7259" w:rsidRDefault="00A145F0" w:rsidP="00EC5483">
      <w:pPr>
        <w:pStyle w:val="corpsdedcision"/>
        <w:spacing w:after="240"/>
      </w:pPr>
      <w:r>
        <w:t xml:space="preserve">Il se rend à la bibliothèque et avec l’aide d’une personne sur place, il est en mesure de </w:t>
      </w:r>
      <w:r w:rsidRPr="004D7259">
        <w:t>faire le nécessaire</w:t>
      </w:r>
      <w:r w:rsidR="007318DE">
        <w:t xml:space="preserve"> </w:t>
      </w:r>
      <w:r w:rsidR="006579EC" w:rsidRPr="004D7259">
        <w:t>le 7 octobre 2022</w:t>
      </w:r>
      <w:r w:rsidR="00A35E09">
        <w:t>, s</w:t>
      </w:r>
      <w:r w:rsidR="006579EC" w:rsidRPr="004D7259">
        <w:t xml:space="preserve">oit </w:t>
      </w:r>
      <w:r w:rsidR="006C12C1">
        <w:t>une semaine après l’expiration</w:t>
      </w:r>
      <w:r w:rsidR="004D7259" w:rsidRPr="004D7259">
        <w:t xml:space="preserve"> du délai de six mois suivant le 30 mars 2022. </w:t>
      </w:r>
    </w:p>
    <w:p w14:paraId="441120BC" w14:textId="738DFAFD" w:rsidR="0085670D" w:rsidRPr="004D7259" w:rsidRDefault="0085670D" w:rsidP="0085670D">
      <w:pPr>
        <w:pStyle w:val="corpsdedcision"/>
        <w:spacing w:after="240"/>
      </w:pPr>
      <w:r w:rsidRPr="004D7259">
        <w:t>En pareil contexte, la Loi prévoit qu’un travailleur peut être relevé d</w:t>
      </w:r>
      <w:r w:rsidR="00577461">
        <w:t>e son</w:t>
      </w:r>
      <w:r w:rsidRPr="004D7259">
        <w:t xml:space="preserve"> défaut s’il présente un motif raisonnable pour expliquer </w:t>
      </w:r>
      <w:r w:rsidR="00FA4C1B" w:rsidRPr="004D7259">
        <w:t xml:space="preserve">un </w:t>
      </w:r>
      <w:r w:rsidRPr="004D7259">
        <w:t>retard</w:t>
      </w:r>
      <w:r w:rsidR="00FA4C1B" w:rsidRPr="004D7259">
        <w:t xml:space="preserve"> à exercer un droit prévu par la Loi</w:t>
      </w:r>
      <w:r w:rsidRPr="004D7259">
        <w:rPr>
          <w:rStyle w:val="Appelnotedebasdep"/>
        </w:rPr>
        <w:footnoteReference w:id="6"/>
      </w:r>
      <w:r w:rsidRPr="004D7259">
        <w:t>. Voici comment la jurisprudence définit ce qu’est un motif raisonnable</w:t>
      </w:r>
      <w:r w:rsidRPr="004D7259">
        <w:rPr>
          <w:rStyle w:val="Appelnotedebasdep"/>
        </w:rPr>
        <w:footnoteReference w:id="7"/>
      </w:r>
      <w:r w:rsidRPr="004D7259">
        <w:t> :</w:t>
      </w:r>
    </w:p>
    <w:p w14:paraId="6021B02D" w14:textId="430B0415" w:rsidR="0085670D" w:rsidRPr="004D7259" w:rsidRDefault="0085670D" w:rsidP="0085670D">
      <w:pPr>
        <w:pStyle w:val="citation"/>
        <w:spacing w:after="240"/>
      </w:pPr>
      <w:r w:rsidRPr="004D7259">
        <w:t xml:space="preserve">[34] La </w:t>
      </w:r>
      <w:r w:rsidRPr="004D7259">
        <w:rPr>
          <w:rFonts w:cs="Arial"/>
          <w:color w:val="212529"/>
          <w:sz w:val="22"/>
          <w:szCs w:val="22"/>
        </w:rPr>
        <w:t>jurisprudence</w:t>
      </w:r>
      <w:r w:rsidRPr="004D7259">
        <w:t xml:space="preserve"> définit la notion de motif raisonnable comme un critère dont l’interprétation s’assimile à celle de la notion de bon père de famille, de l’homme prudent et diligent, bien que le tribunal ne saurait sanctionner la négligence des parties</w:t>
      </w:r>
      <w:r w:rsidRPr="004D7259">
        <w:rPr>
          <w:vertAlign w:val="superscript"/>
        </w:rPr>
        <w:t>16</w:t>
      </w:r>
      <w:r w:rsidRPr="004D7259">
        <w:t>. Cette notion large permet de considérer un ensemble de facteurs susceptibles d'indiquer, à partir des faits, des démarches et des comportements, de la conjoncture et des circonstances, si une personne a un motif non farfelu, crédible et qui fait preuve de bon sens, de mesure et de réflexion</w:t>
      </w:r>
      <w:r w:rsidRPr="004D7259">
        <w:rPr>
          <w:vertAlign w:val="superscript"/>
        </w:rPr>
        <w:t>17</w:t>
      </w:r>
      <w:r w:rsidRPr="004D7259">
        <w:t>. Ces principes demeurent toujours d'actualité</w:t>
      </w:r>
      <w:r w:rsidRPr="004D7259">
        <w:rPr>
          <w:vertAlign w:val="superscript"/>
        </w:rPr>
        <w:t>18</w:t>
      </w:r>
      <w:r w:rsidRPr="004D7259">
        <w:t>. Dans certains cas, le motif raisonnable a même été associé à l'impossibilité d'agir</w:t>
      </w:r>
      <w:r w:rsidRPr="004D7259">
        <w:rPr>
          <w:vertAlign w:val="superscript"/>
        </w:rPr>
        <w:t>19</w:t>
      </w:r>
      <w:r w:rsidRPr="004D7259">
        <w:t>, mais qui n'est pas obligatoirement absolue</w:t>
      </w:r>
      <w:r w:rsidRPr="004D7259">
        <w:rPr>
          <w:vertAlign w:val="superscript"/>
        </w:rPr>
        <w:t>20</w:t>
      </w:r>
      <w:r w:rsidRPr="004D7259">
        <w:t>.</w:t>
      </w:r>
    </w:p>
    <w:p w14:paraId="07708D10" w14:textId="77777777" w:rsidR="0085670D" w:rsidRPr="004D7259" w:rsidRDefault="0085670D" w:rsidP="0085670D">
      <w:pPr>
        <w:pStyle w:val="citation"/>
        <w:keepNext/>
        <w:keepLines/>
        <w:spacing w:after="240"/>
      </w:pPr>
      <w:r w:rsidRPr="004D7259">
        <w:t>[35] Le fait d’avoir acquis la certitude d’être atteint d’une lésion professionnelle</w:t>
      </w:r>
      <w:r w:rsidRPr="004D7259">
        <w:rPr>
          <w:vertAlign w:val="superscript"/>
        </w:rPr>
        <w:t>21</w:t>
      </w:r>
      <w:r w:rsidRPr="004D7259">
        <w:t>, d’avoir épuisé toute autre source de revenus</w:t>
      </w:r>
      <w:r w:rsidRPr="004D7259">
        <w:rPr>
          <w:vertAlign w:val="superscript"/>
        </w:rPr>
        <w:t>22</w:t>
      </w:r>
      <w:r w:rsidRPr="004D7259">
        <w:t>, que les différents médecins n’aient pas complété d’attestation médicale ou n’aient pas incité le travailleur à présenter une réclamation à la CSST</w:t>
      </w:r>
      <w:r w:rsidRPr="004D7259">
        <w:rPr>
          <w:vertAlign w:val="superscript"/>
        </w:rPr>
        <w:t>23</w:t>
      </w:r>
      <w:r w:rsidRPr="004D7259">
        <w:t xml:space="preserve"> ne constituent pas des motifs raisonnables, selon les circonstances particulières de chaque dossier. De plus, la jurisprudence veut que l’ignorance de la loi ne constitue pas un motif raisonnable pour relever la travailleuse de son défaut</w:t>
      </w:r>
      <w:r w:rsidRPr="004D7259">
        <w:rPr>
          <w:vertAlign w:val="superscript"/>
        </w:rPr>
        <w:t>24</w:t>
      </w:r>
      <w:r w:rsidRPr="004D7259">
        <w:t xml:space="preserve">. </w:t>
      </w:r>
    </w:p>
    <w:p w14:paraId="03E042B5" w14:textId="77777777" w:rsidR="0085670D" w:rsidRPr="004D7259" w:rsidRDefault="0085670D" w:rsidP="0085670D">
      <w:pPr>
        <w:pStyle w:val="citation"/>
        <w:spacing w:after="360"/>
        <w:rPr>
          <w:sz w:val="24"/>
          <w:szCs w:val="24"/>
        </w:rPr>
      </w:pPr>
      <w:r w:rsidRPr="004D7259">
        <w:rPr>
          <w:sz w:val="24"/>
          <w:szCs w:val="24"/>
        </w:rPr>
        <w:t>[Notes omises]</w:t>
      </w:r>
    </w:p>
    <w:p w14:paraId="4D6BCD74" w14:textId="77777777" w:rsidR="0085670D" w:rsidRPr="004D7259" w:rsidRDefault="0085670D" w:rsidP="0085670D">
      <w:pPr>
        <w:pStyle w:val="corpsdedcision"/>
      </w:pPr>
      <w:r w:rsidRPr="004D7259">
        <w:t>Aussi, généralement, l’absence d’intérêt pécuniaire</w:t>
      </w:r>
      <w:r w:rsidRPr="004D7259">
        <w:rPr>
          <w:rStyle w:val="Appelnotedebasdep"/>
        </w:rPr>
        <w:footnoteReference w:id="8"/>
      </w:r>
      <w:r w:rsidRPr="004D7259">
        <w:t xml:space="preserve"> peut constituer un motif raisonnable permettant d’excuser le retard d’une personne à présenter une réclamation à la Commission. Si une personne n’a aucun intérêt financier à produire une réclamation, le délai écoulé depuis la lésion peut ne pas lui être opposable. Dans le cas contraire, lorsqu’un travailleur a un intérêt pécuniaire à produire une réclamation, l’écoulement du délai de six mois prévu par la Loi devrait lui être opposable.</w:t>
      </w:r>
    </w:p>
    <w:p w14:paraId="42F1CE6A" w14:textId="4A6F91B3" w:rsidR="00E43CE4" w:rsidRPr="004D7259" w:rsidRDefault="00E43CE4" w:rsidP="0085670D">
      <w:pPr>
        <w:pStyle w:val="corpsdedcision"/>
      </w:pPr>
      <w:r w:rsidRPr="004D7259">
        <w:t>L’employeur prétend que le travailleur avait un intérêt pécun</w:t>
      </w:r>
      <w:r w:rsidR="00FF08BF">
        <w:t>i</w:t>
      </w:r>
      <w:r w:rsidRPr="004D7259">
        <w:t xml:space="preserve">aire à produire une réclamation dès la première visite médicale, même si </w:t>
      </w:r>
      <w:r w:rsidR="00065D16">
        <w:t>les honoraires du professionnel de la santé ont été</w:t>
      </w:r>
      <w:r w:rsidRPr="004D7259">
        <w:t xml:space="preserve"> assumé</w:t>
      </w:r>
      <w:r w:rsidR="00065D16">
        <w:t>s</w:t>
      </w:r>
      <w:r w:rsidRPr="004D7259">
        <w:t xml:space="preserve"> par le régime public de l’assurance maladie</w:t>
      </w:r>
      <w:r w:rsidR="00E7377F" w:rsidRPr="004D7259">
        <w:t xml:space="preserve"> </w:t>
      </w:r>
      <w:r w:rsidR="00065D16">
        <w:t xml:space="preserve">du Québec </w:t>
      </w:r>
      <w:r w:rsidR="00E7377F" w:rsidRPr="004D7259">
        <w:t>et qu’il n’a pas comme tel eu à débourser de l’argent</w:t>
      </w:r>
      <w:r w:rsidRPr="004D7259">
        <w:rPr>
          <w:rStyle w:val="Appelnotedebasdep"/>
        </w:rPr>
        <w:footnoteReference w:id="9"/>
      </w:r>
      <w:r w:rsidR="00A35E09">
        <w:t>.</w:t>
      </w:r>
    </w:p>
    <w:p w14:paraId="64F004C3" w14:textId="300B13D6" w:rsidR="00E43CE4" w:rsidRDefault="004D1D88" w:rsidP="00E43CE4">
      <w:pPr>
        <w:pStyle w:val="corpsdedcision"/>
      </w:pPr>
      <w:r>
        <w:t xml:space="preserve">Le Tribunal </w:t>
      </w:r>
      <w:r w:rsidR="00E43CE4">
        <w:t xml:space="preserve">n’est pas de cet avis. D’abord, les frais médicaux </w:t>
      </w:r>
      <w:r w:rsidR="009F5AA2">
        <w:t>ou les honoraires de consultation dans le régime public</w:t>
      </w:r>
      <w:r w:rsidR="00E43CE4">
        <w:t xml:space="preserve"> ne peuvent faire l’objet d’une demande de remboursement à la Commission </w:t>
      </w:r>
      <w:r w:rsidR="007318DE">
        <w:t>par un travailleur s’</w:t>
      </w:r>
      <w:r w:rsidR="009F5AA2">
        <w:t xml:space="preserve">ils ne sont pas assumés par </w:t>
      </w:r>
      <w:r w:rsidR="007318DE">
        <w:t>celui-ci</w:t>
      </w:r>
      <w:r w:rsidR="00E43CE4">
        <w:t xml:space="preserve">. </w:t>
      </w:r>
      <w:r w:rsidR="009F5AA2">
        <w:t>Un travailleur n’a donc aucun intérêt pécuniaire à protéger par le dépôt d’une réclamation</w:t>
      </w:r>
      <w:r w:rsidR="006A442C">
        <w:t>.</w:t>
      </w:r>
      <w:r w:rsidR="00E43CE4">
        <w:t xml:space="preserve"> </w:t>
      </w:r>
    </w:p>
    <w:p w14:paraId="1B34A14C" w14:textId="0DB13637" w:rsidR="00E7377F" w:rsidRDefault="00E7377F" w:rsidP="00E43CE4">
      <w:pPr>
        <w:pStyle w:val="corpsdedcision"/>
      </w:pPr>
      <w:r>
        <w:t>Le cas présent se distingue aussi de celui à l’origine de la décision</w:t>
      </w:r>
      <w:r>
        <w:rPr>
          <w:rStyle w:val="Appelnotedebasdep"/>
        </w:rPr>
        <w:footnoteReference w:id="10"/>
      </w:r>
      <w:r>
        <w:t xml:space="preserve"> soumise par le procureur de l</w:t>
      </w:r>
      <w:r w:rsidR="007318DE">
        <w:t>’employeur</w:t>
      </w:r>
      <w:r>
        <w:t xml:space="preserve"> où le Tribunal conclut que le travailleur avait un intérêt réel à produire une réclamation dès la première consultation médicale</w:t>
      </w:r>
      <w:r w:rsidR="00577461">
        <w:t xml:space="preserve">. D’autres éléments ont aussi été considérés par le Tribunal comme le fait d’avoir </w:t>
      </w:r>
      <w:r>
        <w:t>décliné l’offre de son médecin de remplir un rapport médical à l’attention de la Commission, alors qu’ici, le travailleur transmet tous les rapports médicaux à l’employeur</w:t>
      </w:r>
      <w:r w:rsidR="0099615E">
        <w:t xml:space="preserve"> et à la Commission</w:t>
      </w:r>
      <w:r>
        <w:t>. On ne peut donc pas, comme dans cet</w:t>
      </w:r>
      <w:r w:rsidR="00216818">
        <w:t xml:space="preserve">te </w:t>
      </w:r>
      <w:r w:rsidR="007318DE">
        <w:t xml:space="preserve">autre </w:t>
      </w:r>
      <w:r w:rsidR="00216818">
        <w:t>affaire</w:t>
      </w:r>
      <w:r>
        <w:t>, reprocher au travailleur d’avoir délibérément décidé de ne pas produire une réclamation et donc de ne pas avoir été prudent et diligent.</w:t>
      </w:r>
    </w:p>
    <w:p w14:paraId="4993ACA3" w14:textId="353554C6" w:rsidR="00216818" w:rsidRDefault="00642482" w:rsidP="00E43CE4">
      <w:pPr>
        <w:pStyle w:val="corpsdedcision"/>
      </w:pPr>
      <w:r>
        <w:t>Pour les mêmes raisons, u</w:t>
      </w:r>
      <w:r w:rsidR="00216818">
        <w:t xml:space="preserve">ne distinction doit aussi être faite avec les faits du dossier </w:t>
      </w:r>
      <w:r w:rsidR="00216818" w:rsidRPr="00216818">
        <w:rPr>
          <w:i/>
          <w:iCs/>
        </w:rPr>
        <w:t>Galarneau</w:t>
      </w:r>
      <w:r w:rsidR="00216818">
        <w:t xml:space="preserve"> et </w:t>
      </w:r>
      <w:r w:rsidR="00216818" w:rsidRPr="00216818">
        <w:rPr>
          <w:i/>
          <w:iCs/>
        </w:rPr>
        <w:t>Transbocop Jonquière</w:t>
      </w:r>
      <w:r w:rsidR="00216818">
        <w:rPr>
          <w:rStyle w:val="Appelnotedebasdep"/>
          <w:i/>
          <w:iCs/>
        </w:rPr>
        <w:footnoteReference w:id="11"/>
      </w:r>
      <w:r w:rsidR="00216818">
        <w:t xml:space="preserve">. Dans ce cas, un arrêt de travail </w:t>
      </w:r>
      <w:r w:rsidR="0099615E">
        <w:t xml:space="preserve">d’une semaine </w:t>
      </w:r>
      <w:r w:rsidR="00216818">
        <w:t>est tout de suite prescrit et le travailleur reçoit 90</w:t>
      </w:r>
      <w:r w:rsidR="00A35E09">
        <w:t> </w:t>
      </w:r>
      <w:r w:rsidR="00216818">
        <w:t xml:space="preserve">% de son salaire par l’employeur </w:t>
      </w:r>
      <w:r w:rsidR="0099615E">
        <w:t>qui assume aussi les</w:t>
      </w:r>
      <w:r w:rsidR="00216818">
        <w:t xml:space="preserve"> frais de chiropraxie</w:t>
      </w:r>
      <w:r w:rsidR="0099615E">
        <w:t>. C</w:t>
      </w:r>
      <w:r w:rsidR="00216818">
        <w:t xml:space="preserve">’est d’un commun accord </w:t>
      </w:r>
      <w:r w:rsidR="00065D16">
        <w:t>entre l’employeur et</w:t>
      </w:r>
      <w:r w:rsidR="00216818">
        <w:t xml:space="preserve"> le travailleur qu’il est décidé qu’aucune démarche ne sera faite auprès de la Commission. À la suite de l’aggravation de</w:t>
      </w:r>
      <w:r w:rsidR="007318DE">
        <w:t xml:space="preserve"> se</w:t>
      </w:r>
      <w:r w:rsidR="00216818">
        <w:t xml:space="preserve">s symptômes, le travailleur consulte un professionnel de la santé </w:t>
      </w:r>
      <w:r w:rsidR="0099615E">
        <w:t xml:space="preserve">qui recommande un arrêt de travail, des traitements et de la médication. C’est dans ce contexte </w:t>
      </w:r>
      <w:r w:rsidR="00C76838">
        <w:t xml:space="preserve">différent du nôtre </w:t>
      </w:r>
      <w:r w:rsidR="0099615E">
        <w:t>qu’il présente une réclamation qui sera refusée en raison du non-respect du délai</w:t>
      </w:r>
      <w:r w:rsidR="00645724">
        <w:t xml:space="preserve"> de six mois pour le faire</w:t>
      </w:r>
      <w:r w:rsidR="0099615E">
        <w:t>.</w:t>
      </w:r>
    </w:p>
    <w:p w14:paraId="171AEAF5" w14:textId="56D37A78" w:rsidR="004D1D88" w:rsidRDefault="00216818" w:rsidP="00E43CE4">
      <w:pPr>
        <w:pStyle w:val="corpsdedcision"/>
      </w:pPr>
      <w:r w:rsidRPr="00855EAE">
        <w:t>Le Tribunal ajoute</w:t>
      </w:r>
      <w:r>
        <w:t xml:space="preserve"> que</w:t>
      </w:r>
      <w:r w:rsidR="009F5AA2">
        <w:t xml:space="preserve"> d</w:t>
      </w:r>
      <w:r w:rsidR="00E43CE4">
        <w:t>a</w:t>
      </w:r>
      <w:r w:rsidR="004D1D88">
        <w:t>ns la recherche d’un intérêt pécuniaire, considérant que presque tout se monnaye et</w:t>
      </w:r>
      <w:r w:rsidR="00065D16">
        <w:t xml:space="preserve"> </w:t>
      </w:r>
      <w:r w:rsidR="004D1D88">
        <w:t xml:space="preserve">est susceptible de faire l’objet d’une réclamation à la Commission, comme les frais de </w:t>
      </w:r>
      <w:r w:rsidR="00065D16">
        <w:t xml:space="preserve">stationnement ou de </w:t>
      </w:r>
      <w:r w:rsidR="004D1D88">
        <w:t xml:space="preserve">kilométrage pour se rendre chez un </w:t>
      </w:r>
      <w:r w:rsidR="00C76838">
        <w:t>professionnel de la santé</w:t>
      </w:r>
      <w:r w:rsidR="004D1D88">
        <w:t xml:space="preserve">, etc., il faut éviter de tomber dans un </w:t>
      </w:r>
      <w:r w:rsidR="004D1D88" w:rsidRPr="0030389F">
        <w:t>excès de</w:t>
      </w:r>
      <w:r w:rsidR="004D1D88">
        <w:t xml:space="preserve"> zèle</w:t>
      </w:r>
      <w:r w:rsidR="00760956">
        <w:t xml:space="preserve"> ou un automatisme</w:t>
      </w:r>
      <w:r w:rsidR="004D1D88">
        <w:t xml:space="preserve"> et user plutôt de discernement</w:t>
      </w:r>
      <w:r w:rsidR="0015046E">
        <w:rPr>
          <w:rStyle w:val="Appelnotedebasdep"/>
        </w:rPr>
        <w:footnoteReference w:id="12"/>
      </w:r>
      <w:r w:rsidR="00855EAE">
        <w:t>.</w:t>
      </w:r>
    </w:p>
    <w:p w14:paraId="7EB46D60" w14:textId="1B0153A1" w:rsidR="004D1D88" w:rsidRDefault="004D1D88" w:rsidP="004D1D88">
      <w:pPr>
        <w:pStyle w:val="corpsdedcision"/>
      </w:pPr>
      <w:r>
        <w:t xml:space="preserve"> Autrement, tout</w:t>
      </w:r>
      <w:r w:rsidR="00832447">
        <w:t>es les lésions survenues au travail seraient sujettes</w:t>
      </w:r>
      <w:r>
        <w:t xml:space="preserve"> à réclamation</w:t>
      </w:r>
      <w:r w:rsidR="00645724">
        <w:t xml:space="preserve"> sans exception,</w:t>
      </w:r>
      <w:r>
        <w:t xml:space="preserve"> devant la crainte de perdre des droits futurs, ce qui serait à risque de causer un encombrement si une augmentation significative des réclamations devait s’en suivre.</w:t>
      </w:r>
    </w:p>
    <w:p w14:paraId="0F39B45C" w14:textId="1683DBB9" w:rsidR="0015046E" w:rsidRDefault="007318DE" w:rsidP="004D1D88">
      <w:pPr>
        <w:pStyle w:val="corpsdedcision"/>
      </w:pPr>
      <w:r>
        <w:t>Une</w:t>
      </w:r>
      <w:r w:rsidR="0015046E">
        <w:t xml:space="preserve"> </w:t>
      </w:r>
      <w:r>
        <w:t>manière plus pragmatique</w:t>
      </w:r>
      <w:r w:rsidR="0015046E">
        <w:t xml:space="preserve"> de concevoir l’intérêt pécuniaire s’arrime mieux avec </w:t>
      </w:r>
      <w:r>
        <w:t>la</w:t>
      </w:r>
      <w:r w:rsidR="00832447">
        <w:t xml:space="preserve"> souplesse </w:t>
      </w:r>
      <w:r w:rsidR="005A66C4">
        <w:t>dont le Tribunal doit faire preuve</w:t>
      </w:r>
      <w:r w:rsidR="00832447">
        <w:t xml:space="preserve"> </w:t>
      </w:r>
      <w:r w:rsidR="00645724">
        <w:t>et</w:t>
      </w:r>
      <w:r w:rsidR="00832447">
        <w:t xml:space="preserve"> </w:t>
      </w:r>
      <w:r>
        <w:t>les</w:t>
      </w:r>
      <w:r w:rsidR="00832447">
        <w:t xml:space="preserve"> faits propre</w:t>
      </w:r>
      <w:r w:rsidR="00FF08BF">
        <w:t>s</w:t>
      </w:r>
      <w:r w:rsidR="00832447">
        <w:t xml:space="preserve"> à chaque cas</w:t>
      </w:r>
      <w:r w:rsidR="00065D16">
        <w:t xml:space="preserve"> doivent être pris en compte</w:t>
      </w:r>
      <w:r w:rsidR="00645724">
        <w:t xml:space="preserve">, </w:t>
      </w:r>
      <w:r w:rsidR="00832447">
        <w:t>dans l’esprit de favoriser l’exercice des droits</w:t>
      </w:r>
      <w:r w:rsidR="00832447">
        <w:rPr>
          <w:rStyle w:val="Appelnotedebasdep"/>
        </w:rPr>
        <w:footnoteReference w:id="13"/>
      </w:r>
      <w:r w:rsidR="00832447">
        <w:t xml:space="preserve"> plutôt que de les restreindre.</w:t>
      </w:r>
    </w:p>
    <w:p w14:paraId="7CB5537F" w14:textId="3970172D" w:rsidR="00216818" w:rsidRDefault="00760956" w:rsidP="004D1D88">
      <w:pPr>
        <w:pStyle w:val="corpsdedcision"/>
      </w:pPr>
      <w:r>
        <w:t>Ainsi, c</w:t>
      </w:r>
      <w:r w:rsidR="00216818">
        <w:t>haque situation doit être évaluée afin de regarder si</w:t>
      </w:r>
      <w:r w:rsidR="00855EAE">
        <w:t>,</w:t>
      </w:r>
      <w:r w:rsidR="00216818">
        <w:t xml:space="preserve"> dans l’ensemble, le retard à produire une réclamation est expliqué de manière raisonnable</w:t>
      </w:r>
      <w:r w:rsidR="006358F7">
        <w:t xml:space="preserve"> et non pas uniquement sur la base de l’intérêt pécun</w:t>
      </w:r>
      <w:r w:rsidR="00FF08BF">
        <w:t>i</w:t>
      </w:r>
      <w:r w:rsidR="006358F7">
        <w:t>aire</w:t>
      </w:r>
      <w:r w:rsidR="00855EAE">
        <w:t>.</w:t>
      </w:r>
      <w:r w:rsidR="006358F7">
        <w:t xml:space="preserve"> </w:t>
      </w:r>
      <w:r w:rsidR="005142D5">
        <w:t>N’oublions pas que</w:t>
      </w:r>
      <w:r w:rsidR="006358F7">
        <w:t xml:space="preserve"> d’autres motifs peuvent tout de même justifier de relever le travailleur de son défaut</w:t>
      </w:r>
      <w:r w:rsidR="007318DE">
        <w:t>, même s’il avait un tel intérêt à la produire avant</w:t>
      </w:r>
      <w:r w:rsidR="00216818">
        <w:t>.</w:t>
      </w:r>
    </w:p>
    <w:p w14:paraId="611DD7DB" w14:textId="091B4929" w:rsidR="004D1D88" w:rsidRDefault="00425A79" w:rsidP="004D1D88">
      <w:pPr>
        <w:pStyle w:val="corpsdedcision"/>
      </w:pPr>
      <w:r>
        <w:t>Dans le présent dossier</w:t>
      </w:r>
      <w:r w:rsidR="004D1D88">
        <w:t xml:space="preserve">, le travailleur se procure une canne au Village des valeurs pour l’aider dans ses déplacements. Il la paie quelques dollars. Il ne </w:t>
      </w:r>
      <w:r w:rsidR="00FF08BF">
        <w:t>paie pas</w:t>
      </w:r>
      <w:r w:rsidR="004D1D88">
        <w:t xml:space="preserve"> pour </w:t>
      </w:r>
      <w:r w:rsidR="00FF08BF">
        <w:t>l</w:t>
      </w:r>
      <w:r w:rsidR="007318DE">
        <w:t>es</w:t>
      </w:r>
      <w:r w:rsidR="004D1D88">
        <w:t xml:space="preserve"> traitements de physiothérapie qu’il reçoit gratuitement</w:t>
      </w:r>
      <w:r w:rsidR="00F60556">
        <w:t xml:space="preserve"> avec un organisme communautaire</w:t>
      </w:r>
      <w:r w:rsidR="004D1D88">
        <w:t>.</w:t>
      </w:r>
    </w:p>
    <w:p w14:paraId="73E445A6" w14:textId="413E74C0" w:rsidR="004B7ABA" w:rsidRPr="00C83A10" w:rsidRDefault="004E234F" w:rsidP="00157FEE">
      <w:pPr>
        <w:pStyle w:val="corpsdedcision"/>
      </w:pPr>
      <w:r w:rsidRPr="00C83A10">
        <w:t>La preuve non contredite démontre qu’e</w:t>
      </w:r>
      <w:r w:rsidR="00425A79" w:rsidRPr="00C83A10">
        <w:t>ntre le 31 mars 2022 et le moment de sa réclamation</w:t>
      </w:r>
      <w:r w:rsidR="004D1D88" w:rsidRPr="00C83A10">
        <w:t>, le travailleur informe l</w:t>
      </w:r>
      <w:r w:rsidR="004B7ABA" w:rsidRPr="00C83A10">
        <w:t>a Commission</w:t>
      </w:r>
      <w:r w:rsidR="004D1D88" w:rsidRPr="00C83A10">
        <w:t xml:space="preserve"> après chacune des visites médicales en lui faisant parvenir les rapports </w:t>
      </w:r>
      <w:r w:rsidR="004B7ABA" w:rsidRPr="00C83A10">
        <w:t>médicaux</w:t>
      </w:r>
      <w:r w:rsidR="00760956">
        <w:t>, au total de sept,</w:t>
      </w:r>
      <w:r w:rsidR="004B7ABA" w:rsidRPr="00C83A10">
        <w:t xml:space="preserve"> </w:t>
      </w:r>
      <w:r w:rsidRPr="00C83A10">
        <w:t xml:space="preserve">en se rendant à la </w:t>
      </w:r>
      <w:r w:rsidR="004D1D88" w:rsidRPr="00C83A10">
        <w:t>bibliothèque municipale parce qu’il n’a pas d’ordinateur</w:t>
      </w:r>
      <w:r w:rsidRPr="00C83A10">
        <w:t xml:space="preserve"> ni adresse courriel </w:t>
      </w:r>
      <w:r w:rsidR="004D1D88" w:rsidRPr="00C83A10">
        <w:t>et qu’il ne s’y connaît pas</w:t>
      </w:r>
      <w:r w:rsidR="00640886" w:rsidRPr="00C83A10">
        <w:t xml:space="preserve"> en informatique</w:t>
      </w:r>
      <w:r w:rsidR="004D1D88" w:rsidRPr="00C83A10">
        <w:t xml:space="preserve">. </w:t>
      </w:r>
    </w:p>
    <w:p w14:paraId="69692B87" w14:textId="1C35DF1C" w:rsidR="00B430B0" w:rsidRDefault="004B7ABA" w:rsidP="005E7650">
      <w:pPr>
        <w:pStyle w:val="corpsdedcision"/>
      </w:pPr>
      <w:r w:rsidRPr="00C83A10">
        <w:t>Le 31 mars 2022, i</w:t>
      </w:r>
      <w:r w:rsidR="004E234F" w:rsidRPr="00C83A10">
        <w:t>l</w:t>
      </w:r>
      <w:r w:rsidR="004D1D88" w:rsidRPr="00C83A10">
        <w:t xml:space="preserve"> laisse une enveloppe </w:t>
      </w:r>
      <w:r w:rsidR="00425A79" w:rsidRPr="00C83A10">
        <w:t>à l’attention de sa supérieure immédiate</w:t>
      </w:r>
      <w:r w:rsidR="004D1D88" w:rsidRPr="00C83A10">
        <w:t xml:space="preserve"> dans la boîte de courrier interne</w:t>
      </w:r>
      <w:r w:rsidR="005142D5">
        <w:t>,</w:t>
      </w:r>
      <w:r w:rsidR="004D1D88" w:rsidRPr="00C83A10">
        <w:t xml:space="preserve"> à la piscine sur le bou</w:t>
      </w:r>
      <w:r w:rsidR="004E234F" w:rsidRPr="00C83A10">
        <w:t>levard Wilfrid-</w:t>
      </w:r>
      <w:r w:rsidR="004D1D88" w:rsidRPr="00C83A10">
        <w:t>Hamel</w:t>
      </w:r>
      <w:r w:rsidR="005142D5">
        <w:t>,</w:t>
      </w:r>
      <w:r w:rsidR="004E234F" w:rsidRPr="00C83A10">
        <w:t xml:space="preserve"> avec le premier rapport médical</w:t>
      </w:r>
      <w:r w:rsidR="00CF1D68">
        <w:t xml:space="preserve"> et le rapport d’accident</w:t>
      </w:r>
      <w:r w:rsidR="004D1D88" w:rsidRPr="00C83A10">
        <w:t>.</w:t>
      </w:r>
      <w:r w:rsidR="00425A79" w:rsidRPr="00C83A10">
        <w:t xml:space="preserve"> </w:t>
      </w:r>
      <w:r w:rsidR="007318DE" w:rsidRPr="00C83A10">
        <w:t xml:space="preserve">Ce moyen de communication est </w:t>
      </w:r>
      <w:r w:rsidR="0056685B" w:rsidRPr="00C83A10">
        <w:t>connu et sert de point d’échange pour transmettre et recevoir des documents.</w:t>
      </w:r>
      <w:r w:rsidR="007318DE" w:rsidRPr="00C83A10">
        <w:t xml:space="preserve"> </w:t>
      </w:r>
      <w:r w:rsidR="0047066D" w:rsidRPr="00C83A10">
        <w:t>Il avise le surveillant sur place de lui remettre quand elle va passer.</w:t>
      </w:r>
      <w:r w:rsidRPr="00C83A10">
        <w:t xml:space="preserve"> Il téléphone </w:t>
      </w:r>
      <w:r w:rsidR="0056685B" w:rsidRPr="00C83A10">
        <w:t xml:space="preserve">à sa supérieure immédiate </w:t>
      </w:r>
      <w:r w:rsidRPr="00C83A10">
        <w:t xml:space="preserve">pour lui dire qu’il a laissé </w:t>
      </w:r>
      <w:r w:rsidR="00CF1D68">
        <w:t>ces documents</w:t>
      </w:r>
      <w:r w:rsidR="0056685B">
        <w:t xml:space="preserve"> à son attention</w:t>
      </w:r>
      <w:r w:rsidR="00B430B0">
        <w:t>. Il n’en dit pas plus</w:t>
      </w:r>
      <w:r w:rsidR="00FF08BF">
        <w:t>,</w:t>
      </w:r>
      <w:r>
        <w:t xml:space="preserve"> car il est gêné avec elle</w:t>
      </w:r>
      <w:r w:rsidR="004E234F">
        <w:t xml:space="preserve">. </w:t>
      </w:r>
      <w:r>
        <w:t xml:space="preserve">Elle lui </w:t>
      </w:r>
      <w:r w:rsidR="00B430B0">
        <w:t>répond</w:t>
      </w:r>
      <w:r>
        <w:t xml:space="preserve"> qu’elle s’en occupe et qu’elle va passer. Elle ne pose pas de question</w:t>
      </w:r>
      <w:r w:rsidR="00FF08BF">
        <w:t>s</w:t>
      </w:r>
      <w:r w:rsidR="00B430B0">
        <w:t xml:space="preserve"> et il ne donne pas de détails considérant que tout est écrit sur les documents </w:t>
      </w:r>
      <w:r w:rsidR="0056685B">
        <w:t>dans l’enveloppe</w:t>
      </w:r>
      <w:r w:rsidR="00B430B0">
        <w:t xml:space="preserve">. Même s’il voit que les documents sont toujours là deux semaines plus tard, il ne s’inquiète pas outre mesure étant donné qu’il a fait suivre une copie des rapports médicaux à la Commission. Il croit </w:t>
      </w:r>
      <w:r w:rsidR="0056685B">
        <w:t xml:space="preserve">que </w:t>
      </w:r>
      <w:r w:rsidR="00B430B0">
        <w:t xml:space="preserve">ces démarches </w:t>
      </w:r>
      <w:r w:rsidR="0056685B">
        <w:t xml:space="preserve">sont suffisantes et </w:t>
      </w:r>
      <w:r w:rsidR="00B430B0">
        <w:t>adéquates.</w:t>
      </w:r>
      <w:r w:rsidR="004E234F">
        <w:t xml:space="preserve"> </w:t>
      </w:r>
    </w:p>
    <w:p w14:paraId="13434A15" w14:textId="090E52AB" w:rsidR="00854606" w:rsidRDefault="00B430B0" w:rsidP="005E7650">
      <w:pPr>
        <w:pStyle w:val="corpsdedcision"/>
      </w:pPr>
      <w:r>
        <w:t>À la fin du mois d’avril, la piscine est fermée. Il espère que ses papiers ont été ramassé</w:t>
      </w:r>
      <w:r w:rsidR="00FF08BF">
        <w:t>s</w:t>
      </w:r>
      <w:r w:rsidR="00065D16">
        <w:t>. C</w:t>
      </w:r>
      <w:r w:rsidR="00854606">
        <w:t xml:space="preserve">’est </w:t>
      </w:r>
      <w:r w:rsidR="00065D16">
        <w:t>alors</w:t>
      </w:r>
      <w:r w:rsidR="00854606">
        <w:t xml:space="preserve"> </w:t>
      </w:r>
      <w:r w:rsidR="0047066D">
        <w:t>une nouvelle personne qui lui donne</w:t>
      </w:r>
      <w:r w:rsidR="00854606">
        <w:t xml:space="preserve"> son horaire</w:t>
      </w:r>
      <w:r w:rsidR="00E01617">
        <w:t xml:space="preserve"> par téléphone. Il</w:t>
      </w:r>
      <w:r w:rsidR="00854606">
        <w:t xml:space="preserve"> ne reparle plus à sa supérieure immédiate. Il croit qu’elle </w:t>
      </w:r>
      <w:r w:rsidR="0056685B">
        <w:t>est</w:t>
      </w:r>
      <w:r w:rsidR="00854606">
        <w:t xml:space="preserve"> peut</w:t>
      </w:r>
      <w:r w:rsidR="00854606" w:rsidRPr="00640886">
        <w:t>-être en arrêt de travail.</w:t>
      </w:r>
      <w:r w:rsidR="00E01617" w:rsidRPr="00640886">
        <w:t xml:space="preserve"> </w:t>
      </w:r>
      <w:r w:rsidR="0007486B">
        <w:t>Il</w:t>
      </w:r>
      <w:r w:rsidR="00E01617" w:rsidRPr="00640886">
        <w:t xml:space="preserve"> transmet </w:t>
      </w:r>
      <w:r w:rsidR="0007486B">
        <w:t xml:space="preserve">alors </w:t>
      </w:r>
      <w:r w:rsidR="00E01617" w:rsidRPr="00640886">
        <w:t xml:space="preserve">ses rapports médicaux à l’employeur de manière électronique avec l’aide du </w:t>
      </w:r>
      <w:r w:rsidR="00E01617" w:rsidRPr="00760956">
        <w:t xml:space="preserve">personnel de la bibliothèque municipale. Le Tribunal </w:t>
      </w:r>
      <w:r w:rsidR="00760956" w:rsidRPr="00760956">
        <w:t>souligne</w:t>
      </w:r>
      <w:r w:rsidR="00621C47" w:rsidRPr="00760956">
        <w:t xml:space="preserve"> </w:t>
      </w:r>
      <w:r w:rsidR="00E01617" w:rsidRPr="00760956">
        <w:t>que cette preuve n’</w:t>
      </w:r>
      <w:r w:rsidR="0056685B" w:rsidRPr="00760956">
        <w:t>est</w:t>
      </w:r>
      <w:r w:rsidR="00E01617" w:rsidRPr="00760956">
        <w:t xml:space="preserve"> pas contredite</w:t>
      </w:r>
      <w:r w:rsidR="00494389" w:rsidRPr="00760956">
        <w:t>.</w:t>
      </w:r>
    </w:p>
    <w:p w14:paraId="5F0C1949" w14:textId="59BCECC4" w:rsidR="00B430B0" w:rsidRDefault="00B430B0" w:rsidP="005E7650">
      <w:pPr>
        <w:pStyle w:val="corpsdedcision"/>
      </w:pPr>
      <w:r>
        <w:t xml:space="preserve">Son horaire de travail est réduit à </w:t>
      </w:r>
      <w:r w:rsidR="005142D5">
        <w:t>quatre</w:t>
      </w:r>
      <w:r>
        <w:t xml:space="preserve"> heures par semaine pendant l’été. Il </w:t>
      </w:r>
      <w:r w:rsidR="00854606">
        <w:t>peut donc se reposer. C</w:t>
      </w:r>
      <w:r>
        <w:t>’est à la suite de l’augmentation de ses heures de travail</w:t>
      </w:r>
      <w:r w:rsidR="00143550">
        <w:t>,</w:t>
      </w:r>
      <w:r>
        <w:t xml:space="preserve"> </w:t>
      </w:r>
      <w:r w:rsidR="00854606">
        <w:t>au mois de septembre suivant</w:t>
      </w:r>
      <w:r w:rsidR="00143550">
        <w:t>,</w:t>
      </w:r>
      <w:r w:rsidR="00854606">
        <w:t xml:space="preserve"> </w:t>
      </w:r>
      <w:r>
        <w:t>qu</w:t>
      </w:r>
      <w:r w:rsidR="00854606">
        <w:t>e les douleurs s’aggravent et qu</w:t>
      </w:r>
      <w:r>
        <w:t xml:space="preserve">’un arrêt de travail </w:t>
      </w:r>
      <w:r w:rsidR="00143550">
        <w:t>devient nécessaire</w:t>
      </w:r>
      <w:r>
        <w:t>.</w:t>
      </w:r>
    </w:p>
    <w:p w14:paraId="4DCFF62E" w14:textId="49774D84" w:rsidR="00621C47" w:rsidRDefault="00621C47" w:rsidP="005E7650">
      <w:pPr>
        <w:pStyle w:val="corpsdedcision"/>
      </w:pPr>
      <w:r>
        <w:t xml:space="preserve">L’absence d’intérêt </w:t>
      </w:r>
      <w:r w:rsidR="00760956">
        <w:t xml:space="preserve">réel </w:t>
      </w:r>
      <w:r>
        <w:t xml:space="preserve">pécuniaire </w:t>
      </w:r>
      <w:r w:rsidR="006C4D4E">
        <w:t xml:space="preserve">avant le 20 septembre 2022 </w:t>
      </w:r>
      <w:r>
        <w:t xml:space="preserve">et </w:t>
      </w:r>
      <w:r w:rsidR="006C4D4E">
        <w:t>le</w:t>
      </w:r>
      <w:r>
        <w:t xml:space="preserve"> comportement </w:t>
      </w:r>
      <w:r w:rsidR="006C4D4E">
        <w:t xml:space="preserve">du travailleur jusqu’à sa réclamation </w:t>
      </w:r>
      <w:r>
        <w:t>démontrent</w:t>
      </w:r>
      <w:r w:rsidR="006C4D4E">
        <w:t xml:space="preserve"> qu’il a été prudent et diligent en respectant le plan de suivi médical et en faisant parvenir les rapports médicaux à l’employeur et à la Commission après chacune des visites médicales. </w:t>
      </w:r>
      <w:r w:rsidR="0056685B">
        <w:t xml:space="preserve">Personne n’est donc pris par surprise lorsqu’il </w:t>
      </w:r>
      <w:r w:rsidR="00DA0D39">
        <w:t>transmet</w:t>
      </w:r>
      <w:r w:rsidR="0056685B">
        <w:t xml:space="preserve"> une réclamation. D’ailleurs, à l’époque, l’employeur ne présente aucun motif pour s’y opposer et indique seulement </w:t>
      </w:r>
      <w:r w:rsidR="00DA0D39">
        <w:t>au formulaire d’</w:t>
      </w:r>
      <w:r w:rsidR="00DA0D39" w:rsidRPr="005142D5">
        <w:rPr>
          <w:i/>
          <w:iCs/>
        </w:rPr>
        <w:t>Avis de l’employeur et demande de remboursement</w:t>
      </w:r>
      <w:r w:rsidR="00DA0D39">
        <w:t xml:space="preserve"> </w:t>
      </w:r>
      <w:r w:rsidR="0056685B">
        <w:t>que des détails sur les circonstances de l’événement seront fournis quand «</w:t>
      </w:r>
      <w:r w:rsidR="005142D5">
        <w:t xml:space="preserve"> </w:t>
      </w:r>
      <w:r w:rsidR="0056685B" w:rsidRPr="0056685B">
        <w:rPr>
          <w:i/>
          <w:iCs/>
          <w:sz w:val="22"/>
          <w:szCs w:val="22"/>
        </w:rPr>
        <w:t xml:space="preserve">le gestionnaire </w:t>
      </w:r>
      <w:r w:rsidR="005142D5" w:rsidRPr="005142D5">
        <w:rPr>
          <w:sz w:val="22"/>
          <w:szCs w:val="22"/>
        </w:rPr>
        <w:t>[lui]</w:t>
      </w:r>
      <w:r w:rsidR="005142D5" w:rsidRPr="0056685B">
        <w:rPr>
          <w:i/>
          <w:iCs/>
          <w:sz w:val="22"/>
          <w:szCs w:val="22"/>
        </w:rPr>
        <w:t xml:space="preserve"> </w:t>
      </w:r>
      <w:r w:rsidR="0056685B" w:rsidRPr="0056685B">
        <w:rPr>
          <w:i/>
          <w:iCs/>
          <w:sz w:val="22"/>
          <w:szCs w:val="22"/>
        </w:rPr>
        <w:t>aura fourni la déclaration que l’employé a faite le 30 mars 2022 </w:t>
      </w:r>
      <w:r w:rsidR="0056685B" w:rsidRPr="009F6FF7">
        <w:rPr>
          <w:sz w:val="22"/>
          <w:szCs w:val="22"/>
        </w:rPr>
        <w:t>».</w:t>
      </w:r>
      <w:r w:rsidR="009F6FF7">
        <w:rPr>
          <w:sz w:val="22"/>
          <w:szCs w:val="22"/>
        </w:rPr>
        <w:t xml:space="preserve"> </w:t>
      </w:r>
      <w:r w:rsidR="00DA0D39">
        <w:rPr>
          <w:szCs w:val="24"/>
        </w:rPr>
        <w:t xml:space="preserve">Or, la décision de refus </w:t>
      </w:r>
      <w:r w:rsidR="00612A3C">
        <w:rPr>
          <w:szCs w:val="24"/>
        </w:rPr>
        <w:t>porte sur le</w:t>
      </w:r>
      <w:r w:rsidR="00DA0D39">
        <w:rPr>
          <w:szCs w:val="24"/>
        </w:rPr>
        <w:t xml:space="preserve"> délai </w:t>
      </w:r>
      <w:r w:rsidR="00612A3C">
        <w:rPr>
          <w:szCs w:val="24"/>
        </w:rPr>
        <w:t>de réclamation</w:t>
      </w:r>
      <w:r w:rsidR="00DA0D39">
        <w:rPr>
          <w:szCs w:val="24"/>
        </w:rPr>
        <w:t xml:space="preserve"> sans que cela soit fait.</w:t>
      </w:r>
    </w:p>
    <w:p w14:paraId="0A33F0A0" w14:textId="23166028" w:rsidR="0015046E" w:rsidRDefault="00DA0D39" w:rsidP="005E7650">
      <w:pPr>
        <w:pStyle w:val="corpsdedcision"/>
      </w:pPr>
      <w:r>
        <w:t>Le travailleur</w:t>
      </w:r>
      <w:r w:rsidR="006C4D4E">
        <w:t xml:space="preserve"> croyait</w:t>
      </w:r>
      <w:r w:rsidR="00BD61D3">
        <w:t xml:space="preserve">, </w:t>
      </w:r>
      <w:r>
        <w:t>en faisant suivre tous les documents qu’il avait en lien avec sa lésion</w:t>
      </w:r>
      <w:r w:rsidR="006C4D4E" w:rsidRPr="0056685B">
        <w:t xml:space="preserve">, </w:t>
      </w:r>
      <w:r w:rsidR="00BD61D3">
        <w:t>qu’</w:t>
      </w:r>
      <w:r w:rsidR="006C4D4E" w:rsidRPr="0056685B">
        <w:t xml:space="preserve">il s’acquittait de ses obligations. </w:t>
      </w:r>
      <w:r w:rsidR="00143550" w:rsidRPr="0056685B">
        <w:t>Il n’a peut-être pas fait la bonne chose aux yeux de la Commission, mais l</w:t>
      </w:r>
      <w:r w:rsidR="006C4D4E" w:rsidRPr="0056685B">
        <w:t xml:space="preserve">es circonstances particulières </w:t>
      </w:r>
      <w:r w:rsidR="00143550" w:rsidRPr="0056685B">
        <w:t xml:space="preserve">mises en preuve </w:t>
      </w:r>
      <w:r w:rsidR="006C4D4E" w:rsidRPr="0056685B">
        <w:t xml:space="preserve">constituent un motif crédible et qui fait preuve de bon sens pour </w:t>
      </w:r>
      <w:r>
        <w:t xml:space="preserve">le </w:t>
      </w:r>
      <w:r w:rsidR="006C4D4E" w:rsidRPr="0056685B">
        <w:t>relever de son défaut d’avoir respecté le délai de six mois prévu par la Loi</w:t>
      </w:r>
      <w:r w:rsidR="00143550" w:rsidRPr="0056685B">
        <w:t xml:space="preserve">. C’est aussi ce qui a été décidé </w:t>
      </w:r>
      <w:r w:rsidR="0015046E" w:rsidRPr="0056685B">
        <w:t xml:space="preserve">dans l’affaire </w:t>
      </w:r>
      <w:r w:rsidR="0015046E" w:rsidRPr="0056685B">
        <w:rPr>
          <w:i/>
          <w:iCs/>
        </w:rPr>
        <w:t>Champagne</w:t>
      </w:r>
      <w:r w:rsidR="0015046E" w:rsidRPr="0056685B">
        <w:t xml:space="preserve"> et </w:t>
      </w:r>
      <w:r w:rsidR="0015046E" w:rsidRPr="0056685B">
        <w:rPr>
          <w:i/>
          <w:iCs/>
        </w:rPr>
        <w:t>Construction Clobracon</w:t>
      </w:r>
      <w:r w:rsidR="0015046E" w:rsidRPr="0015046E">
        <w:rPr>
          <w:i/>
          <w:iCs/>
        </w:rPr>
        <w:t xml:space="preserve"> inc</w:t>
      </w:r>
      <w:r w:rsidR="0015046E">
        <w:t>.</w:t>
      </w:r>
      <w:r w:rsidR="0015046E">
        <w:rPr>
          <w:rStyle w:val="Appelnotedebasdep"/>
        </w:rPr>
        <w:footnoteReference w:id="14"/>
      </w:r>
      <w:r w:rsidR="0015046E">
        <w:t xml:space="preserve"> soumise par la représentante du travailleur</w:t>
      </w:r>
      <w:r w:rsidR="006C4D4E">
        <w:t xml:space="preserve">. </w:t>
      </w:r>
    </w:p>
    <w:p w14:paraId="5172E54C" w14:textId="00E59EB1" w:rsidR="006C4D4E" w:rsidRDefault="0015046E" w:rsidP="005E7650">
      <w:pPr>
        <w:pStyle w:val="corpsdedcision"/>
      </w:pPr>
      <w:r>
        <w:t>Aussi, b</w:t>
      </w:r>
      <w:r w:rsidR="006C4D4E">
        <w:t>ien que la courte durée du dépassement</w:t>
      </w:r>
      <w:r w:rsidR="00143550">
        <w:t xml:space="preserve">, de l’ordre de </w:t>
      </w:r>
      <w:r w:rsidR="006A5E38">
        <w:t>sept</w:t>
      </w:r>
      <w:r w:rsidR="00143550">
        <w:t xml:space="preserve"> jours,</w:t>
      </w:r>
      <w:r w:rsidR="006C4D4E">
        <w:t xml:space="preserve"> n’est pas </w:t>
      </w:r>
      <w:r w:rsidR="000253DB">
        <w:t xml:space="preserve">en soi </w:t>
      </w:r>
      <w:r w:rsidR="006C4D4E">
        <w:t xml:space="preserve">un motif </w:t>
      </w:r>
      <w:r w:rsidR="000253DB">
        <w:t>permettant de relever une personne de son défaut, il permet d’appuyer le sérieux des démarches du travailleur</w:t>
      </w:r>
      <w:r w:rsidR="00640886">
        <w:t xml:space="preserve"> qui ne tarde pas une fois </w:t>
      </w:r>
      <w:r w:rsidR="00A658FA">
        <w:t>qu’il est forcé</w:t>
      </w:r>
      <w:r w:rsidR="00640886">
        <w:t xml:space="preserve"> de cesser le travail</w:t>
      </w:r>
      <w:r w:rsidR="00BD61D3">
        <w:t xml:space="preserve"> et que son intérêt devient réel</w:t>
      </w:r>
      <w:r w:rsidR="000253DB">
        <w:t>.</w:t>
      </w:r>
    </w:p>
    <w:p w14:paraId="4427BBD9" w14:textId="32D6B2EB" w:rsidR="006446F2" w:rsidRPr="006446F2" w:rsidRDefault="0015046E" w:rsidP="006446F2">
      <w:pPr>
        <w:pStyle w:val="corpsdedcision"/>
      </w:pPr>
      <w:r>
        <w:t xml:space="preserve">En terminant, même si la responsabilité de produire une réclamation appartient </w:t>
      </w:r>
      <w:r w:rsidR="00A658FA">
        <w:t xml:space="preserve">en premier </w:t>
      </w:r>
      <w:r>
        <w:t xml:space="preserve">à un travailleur, </w:t>
      </w:r>
      <w:r w:rsidR="006446F2">
        <w:t>le législateur ne parle pas pour ne rien dire quan</w:t>
      </w:r>
      <w:r w:rsidR="00640886">
        <w:t>d</w:t>
      </w:r>
      <w:r w:rsidR="00143550">
        <w:t>,</w:t>
      </w:r>
      <w:r w:rsidR="006446F2">
        <w:t xml:space="preserve"> à l’article 270 de la Loi, il est écrit que l</w:t>
      </w:r>
      <w:r w:rsidR="006446F2" w:rsidRPr="006446F2">
        <w:t>'employeur assiste le travailleur dans la rédaction de sa réclamation et lui fournit les informations requises à cette fin.</w:t>
      </w:r>
      <w:r w:rsidR="006446F2">
        <w:t xml:space="preserve"> </w:t>
      </w:r>
    </w:p>
    <w:p w14:paraId="25242DF9" w14:textId="4F8BF761" w:rsidR="0015046E" w:rsidRDefault="00392A65" w:rsidP="005E7650">
      <w:pPr>
        <w:pStyle w:val="corpsdedcision"/>
      </w:pPr>
      <w:r>
        <w:t xml:space="preserve">Le représentant </w:t>
      </w:r>
      <w:r w:rsidR="00143550">
        <w:t xml:space="preserve">de l’employeur </w:t>
      </w:r>
      <w:r>
        <w:t>plaide que cette obligation n’est pas prévue à l’article 271 de la Loi</w:t>
      </w:r>
      <w:r w:rsidR="00640886">
        <w:t xml:space="preserve"> qui est </w:t>
      </w:r>
      <w:r>
        <w:t>applicable en l’espèce</w:t>
      </w:r>
      <w:r w:rsidR="004E3F12">
        <w:t>,</w:t>
      </w:r>
      <w:r>
        <w:t xml:space="preserve"> puisqu’aucun arrêt de travail n’est initialement prescrit.</w:t>
      </w:r>
    </w:p>
    <w:p w14:paraId="5C4BDCC0" w14:textId="4F897957" w:rsidR="001E28B1" w:rsidRDefault="001E28B1" w:rsidP="005E7650">
      <w:pPr>
        <w:pStyle w:val="corpsdedcision"/>
      </w:pPr>
      <w:r>
        <w:t>Avec respect, l</w:t>
      </w:r>
      <w:r w:rsidR="00392A65">
        <w:t xml:space="preserve">e Tribunal </w:t>
      </w:r>
      <w:r>
        <w:t xml:space="preserve">ne peut adhérer à cette vision. </w:t>
      </w:r>
      <w:r w:rsidR="00BD61D3">
        <w:t>Surtout l</w:t>
      </w:r>
      <w:r>
        <w:t xml:space="preserve">orsqu’un employeur dispose de ressources spécialisées pour la gestion </w:t>
      </w:r>
      <w:r w:rsidR="0023380D">
        <w:t>des ressources humaines</w:t>
      </w:r>
      <w:r>
        <w:t xml:space="preserve">, il n’a pas à se demander s’il </w:t>
      </w:r>
      <w:r w:rsidR="00143550">
        <w:t>est légalement obligé d’</w:t>
      </w:r>
      <w:r>
        <w:t xml:space="preserve">agir </w:t>
      </w:r>
      <w:r w:rsidR="00143550">
        <w:t>avant d’accompagner</w:t>
      </w:r>
      <w:r>
        <w:t xml:space="preserve"> ses </w:t>
      </w:r>
      <w:r w:rsidR="0023380D">
        <w:t>employés</w:t>
      </w:r>
      <w:r>
        <w:t xml:space="preserve"> ou minimalement, les diriger adéquatement.</w:t>
      </w:r>
    </w:p>
    <w:p w14:paraId="4E50064F" w14:textId="06D6EEEF" w:rsidR="001E28B1" w:rsidRDefault="001E28B1" w:rsidP="005E7650">
      <w:pPr>
        <w:pStyle w:val="corpsdedcision"/>
      </w:pPr>
      <w:r>
        <w:t>Rappelons que la preuve non contredite démontre que le travailleur a tenu l’employeur informé de la situation et du suivi médical depuis le jour suivant la survenance de la lésion professionnelle alléguée</w:t>
      </w:r>
      <w:r w:rsidR="00494389">
        <w:t>, que ce soit par courrier interne ou par voie électronique</w:t>
      </w:r>
      <w:r>
        <w:t>. Personne n’est venu témoigner pour affirmer que les rapports médicaux n’ont pas été reçus.</w:t>
      </w:r>
      <w:r w:rsidR="0046584A">
        <w:t xml:space="preserve"> Il en est de même pour le rapport médical du 20 septembre 2022 indiquant un arrêt de travail pour deux semaines.</w:t>
      </w:r>
    </w:p>
    <w:p w14:paraId="7E32244B" w14:textId="4D09131D" w:rsidR="00392A65" w:rsidRDefault="009D7B6E" w:rsidP="000509EF">
      <w:pPr>
        <w:pStyle w:val="corpsdedcision"/>
      </w:pPr>
      <w:r>
        <w:t>M</w:t>
      </w:r>
      <w:r w:rsidR="00392A65">
        <w:t>algré</w:t>
      </w:r>
      <w:r w:rsidR="001E28B1">
        <w:t xml:space="preserve"> </w:t>
      </w:r>
      <w:r w:rsidR="0046584A">
        <w:t xml:space="preserve">cet </w:t>
      </w:r>
      <w:r w:rsidR="001E28B1">
        <w:t xml:space="preserve">arrêt de travail, </w:t>
      </w:r>
      <w:r w:rsidR="00640886">
        <w:t xml:space="preserve">donnant ouverture à l’application de l’article 270 de la Loi, </w:t>
      </w:r>
      <w:r w:rsidR="001E28B1">
        <w:t xml:space="preserve">le travailleur se débrouille </w:t>
      </w:r>
      <w:r w:rsidR="004155CC">
        <w:t xml:space="preserve">seul </w:t>
      </w:r>
      <w:r w:rsidR="001E28B1">
        <w:t xml:space="preserve">pour </w:t>
      </w:r>
      <w:r w:rsidR="00143550">
        <w:t>trouver le formulaire de réclamation et le transmettre.</w:t>
      </w:r>
      <w:r w:rsidR="00A658FA">
        <w:t xml:space="preserve"> </w:t>
      </w:r>
      <w:r w:rsidR="0046584A">
        <w:t>L</w:t>
      </w:r>
      <w:r w:rsidR="009841FF">
        <w:t xml:space="preserve">’assistance de l’employeur aurait </w:t>
      </w:r>
      <w:r>
        <w:t xml:space="preserve">pu lui être fort utile, surtout si près de </w:t>
      </w:r>
      <w:r w:rsidR="00BD61D3">
        <w:t>la limite</w:t>
      </w:r>
      <w:r w:rsidR="00A136F1">
        <w:t>,</w:t>
      </w:r>
      <w:r>
        <w:t xml:space="preserve"> </w:t>
      </w:r>
      <w:r w:rsidR="00A136F1">
        <w:t xml:space="preserve">fixée à </w:t>
      </w:r>
      <w:r>
        <w:t xml:space="preserve">six mois </w:t>
      </w:r>
      <w:r w:rsidR="00A136F1">
        <w:t xml:space="preserve">par le législateur, </w:t>
      </w:r>
      <w:r>
        <w:t>pour produi</w:t>
      </w:r>
      <w:r w:rsidR="00612A3C">
        <w:t>r</w:t>
      </w:r>
      <w:r>
        <w:t>e une réclamation</w:t>
      </w:r>
      <w:r w:rsidR="009841FF">
        <w:t xml:space="preserve">. </w:t>
      </w:r>
    </w:p>
    <w:p w14:paraId="4DF48E11" w14:textId="77777777" w:rsidR="00C74B6F" w:rsidRDefault="00C74B6F" w:rsidP="009D0E73">
      <w:pPr>
        <w:pStyle w:val="Dispositif"/>
      </w:pPr>
      <w:r>
        <w:rPr>
          <w:b/>
        </w:rPr>
        <w:t>P</w:t>
      </w:r>
      <w:r w:rsidR="00401325">
        <w:rPr>
          <w:b/>
        </w:rPr>
        <w:t>AR</w:t>
      </w:r>
      <w:r w:rsidR="00D07FA6">
        <w:rPr>
          <w:b/>
        </w:rPr>
        <w:t xml:space="preserve"> CES MOTIFS, LE TRIBUNAL ADMINISTRATIF DU TRAVAIL</w:t>
      </w:r>
      <w:r>
        <w:rPr>
          <w:b/>
        </w:rPr>
        <w:t> :</w:t>
      </w:r>
    </w:p>
    <w:p w14:paraId="0AD4A3A9" w14:textId="5B2B225F" w:rsidR="00D549FD" w:rsidRPr="005C58BB" w:rsidRDefault="00D549FD" w:rsidP="00D549FD">
      <w:pPr>
        <w:pStyle w:val="Dispositif"/>
      </w:pPr>
      <w:r w:rsidRPr="005C58BB">
        <w:rPr>
          <w:b/>
          <w:bCs/>
        </w:rPr>
        <w:t>ACCUEILLE</w:t>
      </w:r>
      <w:r w:rsidRPr="005C58BB">
        <w:t xml:space="preserve"> la contestation de </w:t>
      </w:r>
      <w:r w:rsidR="00270880" w:rsidRPr="005C58BB">
        <w:t>m</w:t>
      </w:r>
      <w:r w:rsidR="00A145F0">
        <w:t>onsieur Michael Marion</w:t>
      </w:r>
      <w:r w:rsidR="00B32374" w:rsidRPr="005C58BB">
        <w:t>, l</w:t>
      </w:r>
      <w:r w:rsidR="00A145F0">
        <w:t>e</w:t>
      </w:r>
      <w:r w:rsidR="00B32374" w:rsidRPr="005C58BB">
        <w:t xml:space="preserve"> travailleu</w:t>
      </w:r>
      <w:r w:rsidR="00A145F0">
        <w:t>r</w:t>
      </w:r>
      <w:r w:rsidRPr="005C58BB">
        <w:t>;</w:t>
      </w:r>
    </w:p>
    <w:p w14:paraId="1A9732C9" w14:textId="12EBD013" w:rsidR="00D549FD" w:rsidRDefault="00E24FBD" w:rsidP="00D549FD">
      <w:pPr>
        <w:pStyle w:val="Dispositif"/>
      </w:pPr>
      <w:r w:rsidRPr="005C58BB">
        <w:rPr>
          <w:b/>
          <w:bCs/>
        </w:rPr>
        <w:t xml:space="preserve">DÉCLARE </w:t>
      </w:r>
      <w:r w:rsidRPr="000E617C">
        <w:t>recevable</w:t>
      </w:r>
      <w:r w:rsidRPr="005C58BB">
        <w:t xml:space="preserve"> la demande de révision produite le </w:t>
      </w:r>
      <w:r w:rsidR="00A145F0">
        <w:t>13 avril</w:t>
      </w:r>
      <w:r w:rsidRPr="005C58BB">
        <w:t xml:space="preserve"> 2023</w:t>
      </w:r>
      <w:r w:rsidR="00686749">
        <w:t>,</w:t>
      </w:r>
      <w:r w:rsidRPr="005C58BB">
        <w:t xml:space="preserve"> à l’encontre de la décision </w:t>
      </w:r>
      <w:r w:rsidR="00E77A35">
        <w:t xml:space="preserve">initiale </w:t>
      </w:r>
      <w:r w:rsidRPr="005C58BB">
        <w:t xml:space="preserve">rendue le </w:t>
      </w:r>
      <w:r w:rsidR="00A145F0">
        <w:t>20 octobre</w:t>
      </w:r>
      <w:r w:rsidRPr="005C58BB">
        <w:t xml:space="preserve"> 2022 par la Commission des normes, de l’équité, de la santé et de la sécurité du travail</w:t>
      </w:r>
      <w:r w:rsidR="00686749">
        <w:t>;</w:t>
      </w:r>
    </w:p>
    <w:p w14:paraId="5C13868E" w14:textId="0ACF05F8" w:rsidR="00486379" w:rsidRPr="005C58BB" w:rsidRDefault="00C96C7D" w:rsidP="00486379">
      <w:pPr>
        <w:pStyle w:val="Dispositif"/>
      </w:pPr>
      <w:r>
        <w:rPr>
          <w:b/>
          <w:bCs/>
        </w:rPr>
        <w:t>INFIRME</w:t>
      </w:r>
      <w:r w:rsidR="00486379" w:rsidRPr="005C58BB">
        <w:rPr>
          <w:b/>
          <w:bCs/>
        </w:rPr>
        <w:t xml:space="preserve"> </w:t>
      </w:r>
      <w:r w:rsidR="00486379" w:rsidRPr="005C58BB">
        <w:t xml:space="preserve">la décision rendue le </w:t>
      </w:r>
      <w:r w:rsidR="00486379">
        <w:t>2</w:t>
      </w:r>
      <w:r w:rsidR="00486379" w:rsidRPr="005C58BB">
        <w:t xml:space="preserve"> mai 2023 par la Commission des normes, de l’équité, de la santé et de la sécurité du travail à la suite d’une révision administrative;</w:t>
      </w:r>
    </w:p>
    <w:p w14:paraId="51D5FD91" w14:textId="24A57D00" w:rsidR="00A145F0" w:rsidRDefault="00A145F0" w:rsidP="00A145F0">
      <w:pPr>
        <w:pStyle w:val="Dispositif"/>
      </w:pPr>
      <w:r w:rsidRPr="005C58BB">
        <w:rPr>
          <w:b/>
          <w:bCs/>
        </w:rPr>
        <w:t xml:space="preserve">DÉCLARE </w:t>
      </w:r>
      <w:r w:rsidRPr="000E617C">
        <w:t>recevable</w:t>
      </w:r>
      <w:r w:rsidRPr="005C58BB">
        <w:t xml:space="preserve"> la </w:t>
      </w:r>
      <w:r>
        <w:t xml:space="preserve">réclamation </w:t>
      </w:r>
      <w:r w:rsidR="00486379">
        <w:t>du travailleur;</w:t>
      </w:r>
    </w:p>
    <w:p w14:paraId="16895F76" w14:textId="611F1B3B" w:rsidR="00A145F0" w:rsidRDefault="00E40771" w:rsidP="00A145F0">
      <w:pPr>
        <w:pStyle w:val="Dispositif"/>
      </w:pPr>
      <w:r w:rsidRPr="00E40771">
        <w:rPr>
          <w:b/>
          <w:bCs/>
        </w:rPr>
        <w:t xml:space="preserve">CONVOQUERA </w:t>
      </w:r>
      <w:r>
        <w:t xml:space="preserve">les parties </w:t>
      </w:r>
      <w:r w:rsidR="00486379">
        <w:t>à une audience portant sur le fond de la contestation</w:t>
      </w:r>
      <w:r w:rsidR="009E110A">
        <w:t>.</w:t>
      </w:r>
    </w:p>
    <w:p w14:paraId="0A3133EA" w14:textId="00692F9C" w:rsidR="009D0E73" w:rsidRDefault="003C40A8" w:rsidP="005C58BB">
      <w:pPr>
        <w:jc w:val="both"/>
      </w:pPr>
      <w:r>
        <w:br/>
      </w:r>
    </w:p>
    <w:p w14:paraId="7294A8D2" w14:textId="77777777" w:rsidR="009D0E73" w:rsidRPr="005C58BB" w:rsidRDefault="009D0E73" w:rsidP="005C58BB">
      <w:pPr>
        <w:jc w:val="both"/>
      </w:pPr>
    </w:p>
    <w:p w14:paraId="30C0B3D1" w14:textId="6C4073EF" w:rsidR="002019E1" w:rsidRPr="005C58BB" w:rsidRDefault="002019E1"/>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rsidRPr="005C58BB" w14:paraId="119229A3" w14:textId="77777777">
        <w:tc>
          <w:tcPr>
            <w:tcW w:w="4795" w:type="dxa"/>
          </w:tcPr>
          <w:p w14:paraId="13390FAB" w14:textId="77777777" w:rsidR="00C74B6F" w:rsidRPr="005C58BB" w:rsidRDefault="00C74B6F"/>
        </w:tc>
        <w:tc>
          <w:tcPr>
            <w:tcW w:w="4795" w:type="dxa"/>
          </w:tcPr>
          <w:p w14:paraId="0F1AC8B3" w14:textId="77777777" w:rsidR="00C74B6F" w:rsidRPr="005C58BB" w:rsidRDefault="00C74B6F">
            <w:bookmarkStart w:id="14" w:name="signature"/>
            <w:bookmarkEnd w:id="14"/>
            <w:r w:rsidRPr="005C58BB">
              <w:t>__________________________________</w:t>
            </w:r>
          </w:p>
        </w:tc>
      </w:tr>
      <w:tr w:rsidR="00C74B6F" w:rsidRPr="005C58BB" w14:paraId="6C4F8EF0" w14:textId="77777777">
        <w:tc>
          <w:tcPr>
            <w:tcW w:w="4795" w:type="dxa"/>
          </w:tcPr>
          <w:p w14:paraId="2F5404F1" w14:textId="77777777" w:rsidR="00C74B6F" w:rsidRPr="005C58BB" w:rsidRDefault="00C74B6F"/>
        </w:tc>
        <w:tc>
          <w:tcPr>
            <w:tcW w:w="4795" w:type="dxa"/>
          </w:tcPr>
          <w:p w14:paraId="454E6A44" w14:textId="38107672" w:rsidR="00C74B6F" w:rsidRPr="005C58BB" w:rsidRDefault="004D0023">
            <w:r w:rsidRPr="005C58BB">
              <w:t>Valérie Lizotte</w:t>
            </w:r>
          </w:p>
        </w:tc>
      </w:tr>
      <w:tr w:rsidR="00C74B6F" w:rsidRPr="005C58BB" w14:paraId="768EC1A9" w14:textId="77777777">
        <w:trPr>
          <w:cantSplit/>
        </w:trPr>
        <w:tc>
          <w:tcPr>
            <w:tcW w:w="9590" w:type="dxa"/>
            <w:gridSpan w:val="2"/>
          </w:tcPr>
          <w:p w14:paraId="432B7E08" w14:textId="77777777" w:rsidR="00C74B6F" w:rsidRPr="005C58BB" w:rsidRDefault="00C74B6F"/>
        </w:tc>
      </w:tr>
      <w:tr w:rsidR="00C74B6F" w:rsidRPr="005C58BB" w14:paraId="1E59B8EB" w14:textId="77777777">
        <w:trPr>
          <w:cantSplit/>
        </w:trPr>
        <w:tc>
          <w:tcPr>
            <w:tcW w:w="9590" w:type="dxa"/>
            <w:gridSpan w:val="2"/>
          </w:tcPr>
          <w:p w14:paraId="5DA8588B" w14:textId="77777777" w:rsidR="00C74B6F" w:rsidRPr="005C58BB" w:rsidRDefault="00C74B6F" w:rsidP="00EC5C8D">
            <w:pPr>
              <w:tabs>
                <w:tab w:val="left" w:pos="1592"/>
              </w:tabs>
            </w:pPr>
          </w:p>
        </w:tc>
      </w:tr>
      <w:tr w:rsidR="00C74B6F" w:rsidRPr="005C58BB" w14:paraId="76663947" w14:textId="77777777">
        <w:trPr>
          <w:cantSplit/>
        </w:trPr>
        <w:tc>
          <w:tcPr>
            <w:tcW w:w="9590" w:type="dxa"/>
            <w:gridSpan w:val="2"/>
          </w:tcPr>
          <w:p w14:paraId="7317E2D7" w14:textId="77777777" w:rsidR="00C74B6F" w:rsidRPr="005C58BB" w:rsidRDefault="00C74B6F"/>
        </w:tc>
      </w:tr>
      <w:tr w:rsidR="003C40A8" w:rsidRPr="005C58BB" w14:paraId="74357FB0" w14:textId="77777777">
        <w:trPr>
          <w:cantSplit/>
        </w:trPr>
        <w:tc>
          <w:tcPr>
            <w:tcW w:w="9590" w:type="dxa"/>
            <w:gridSpan w:val="2"/>
          </w:tcPr>
          <w:p w14:paraId="5DADEBA2" w14:textId="77777777" w:rsidR="003C40A8" w:rsidRPr="005C58BB" w:rsidRDefault="003C40A8"/>
        </w:tc>
      </w:tr>
      <w:tr w:rsidR="00861F8B" w:rsidRPr="005C58BB" w14:paraId="6B05385D" w14:textId="77777777">
        <w:trPr>
          <w:cantSplit/>
        </w:trPr>
        <w:tc>
          <w:tcPr>
            <w:tcW w:w="9590" w:type="dxa"/>
            <w:gridSpan w:val="2"/>
          </w:tcPr>
          <w:p w14:paraId="4AB05DA4" w14:textId="20517EC9" w:rsidR="002E7396" w:rsidRPr="005C58BB" w:rsidRDefault="00914A0F" w:rsidP="00596AB2">
            <w:r>
              <w:t>M</w:t>
            </w:r>
            <w:r w:rsidRPr="00914A0F">
              <w:rPr>
                <w:vertAlign w:val="superscript"/>
              </w:rPr>
              <w:t>e</w:t>
            </w:r>
            <w:r>
              <w:t xml:space="preserve"> Marianne Gilbert</w:t>
            </w:r>
          </w:p>
        </w:tc>
      </w:tr>
      <w:tr w:rsidR="00C27030" w:rsidRPr="005C58BB" w14:paraId="27560D7F" w14:textId="77777777">
        <w:trPr>
          <w:cantSplit/>
        </w:trPr>
        <w:tc>
          <w:tcPr>
            <w:tcW w:w="9590" w:type="dxa"/>
            <w:gridSpan w:val="2"/>
          </w:tcPr>
          <w:p w14:paraId="0D9BA6AE" w14:textId="45644E71" w:rsidR="00C27030" w:rsidRPr="005C58BB" w:rsidRDefault="00914A0F" w:rsidP="005C58BB">
            <w:r>
              <w:t>F.I.S.A.</w:t>
            </w:r>
          </w:p>
        </w:tc>
      </w:tr>
      <w:tr w:rsidR="00861F8B" w:rsidRPr="005C58BB" w14:paraId="1A15070C" w14:textId="77777777">
        <w:trPr>
          <w:cantSplit/>
        </w:trPr>
        <w:tc>
          <w:tcPr>
            <w:tcW w:w="9590" w:type="dxa"/>
            <w:gridSpan w:val="2"/>
          </w:tcPr>
          <w:p w14:paraId="4250352E" w14:textId="628E017C" w:rsidR="00861F8B" w:rsidRPr="005C58BB" w:rsidRDefault="00914A0F">
            <w:r>
              <w:t>Pour la partie demanderesse</w:t>
            </w:r>
          </w:p>
        </w:tc>
      </w:tr>
      <w:tr w:rsidR="00C74B6F" w:rsidRPr="005C58BB" w14:paraId="4FB0A8A6" w14:textId="77777777">
        <w:trPr>
          <w:cantSplit/>
        </w:trPr>
        <w:tc>
          <w:tcPr>
            <w:tcW w:w="9590" w:type="dxa"/>
            <w:gridSpan w:val="2"/>
          </w:tcPr>
          <w:p w14:paraId="33BC08F7" w14:textId="77777777" w:rsidR="00C74B6F" w:rsidRPr="005C58BB" w:rsidRDefault="00C74B6F"/>
        </w:tc>
      </w:tr>
      <w:tr w:rsidR="000509EF" w:rsidRPr="005C58BB" w14:paraId="0B4981D5" w14:textId="77777777">
        <w:trPr>
          <w:cantSplit/>
        </w:trPr>
        <w:tc>
          <w:tcPr>
            <w:tcW w:w="9590" w:type="dxa"/>
            <w:gridSpan w:val="2"/>
          </w:tcPr>
          <w:p w14:paraId="6C3368D4" w14:textId="1C1C4EF2" w:rsidR="000509EF" w:rsidRPr="005C58BB" w:rsidRDefault="00914A0F">
            <w:r>
              <w:t>M</w:t>
            </w:r>
            <w:r w:rsidRPr="00914A0F">
              <w:rPr>
                <w:vertAlign w:val="superscript"/>
              </w:rPr>
              <w:t>e</w:t>
            </w:r>
            <w:r>
              <w:t xml:space="preserve"> Marc-Antoine Caissy</w:t>
            </w:r>
          </w:p>
        </w:tc>
      </w:tr>
      <w:tr w:rsidR="000509EF" w:rsidRPr="005C58BB" w14:paraId="7AD2C654" w14:textId="77777777">
        <w:trPr>
          <w:cantSplit/>
        </w:trPr>
        <w:tc>
          <w:tcPr>
            <w:tcW w:w="9590" w:type="dxa"/>
            <w:gridSpan w:val="2"/>
          </w:tcPr>
          <w:p w14:paraId="1E0682C0" w14:textId="4C9D7771" w:rsidR="000509EF" w:rsidRPr="005C58BB" w:rsidRDefault="00914A0F">
            <w:r>
              <w:t>GIASSON &amp; ASSOCIÉS</w:t>
            </w:r>
          </w:p>
        </w:tc>
      </w:tr>
      <w:tr w:rsidR="000509EF" w:rsidRPr="005C58BB" w14:paraId="05FE919C" w14:textId="77777777">
        <w:trPr>
          <w:cantSplit/>
        </w:trPr>
        <w:tc>
          <w:tcPr>
            <w:tcW w:w="9590" w:type="dxa"/>
            <w:gridSpan w:val="2"/>
          </w:tcPr>
          <w:p w14:paraId="030F88C5" w14:textId="07E7CC82" w:rsidR="000509EF" w:rsidRPr="005C58BB" w:rsidRDefault="00914A0F">
            <w:r>
              <w:t>Pour la partie mise en cause</w:t>
            </w:r>
          </w:p>
        </w:tc>
      </w:tr>
      <w:tr w:rsidR="00C15A3F" w:rsidRPr="005C58BB" w14:paraId="66F2182A" w14:textId="77777777">
        <w:trPr>
          <w:cantSplit/>
        </w:trPr>
        <w:tc>
          <w:tcPr>
            <w:tcW w:w="9590" w:type="dxa"/>
            <w:gridSpan w:val="2"/>
          </w:tcPr>
          <w:p w14:paraId="73E65905" w14:textId="77777777" w:rsidR="00C15A3F" w:rsidRPr="005C58BB" w:rsidRDefault="00C15A3F">
            <w:pPr>
              <w:pStyle w:val="zSoquijlblProcureurInt"/>
            </w:pPr>
          </w:p>
        </w:tc>
      </w:tr>
      <w:tr w:rsidR="00C15A3F" w:rsidRPr="00C91EEB" w14:paraId="42B6FE14" w14:textId="77777777">
        <w:trPr>
          <w:cantSplit/>
        </w:trPr>
        <w:tc>
          <w:tcPr>
            <w:tcW w:w="9590" w:type="dxa"/>
            <w:gridSpan w:val="2"/>
          </w:tcPr>
          <w:p w14:paraId="7095ED21" w14:textId="0DD49BEA" w:rsidR="00C15A3F" w:rsidRPr="005C58BB" w:rsidRDefault="00C15A3F" w:rsidP="000E56A6">
            <w:pPr>
              <w:pStyle w:val="zSoquijdatDateAudience"/>
            </w:pPr>
            <w:bookmarkStart w:id="15" w:name="Date_derniere_audience"/>
            <w:bookmarkEnd w:id="15"/>
            <w:r w:rsidRPr="005C58BB">
              <w:t xml:space="preserve">Date de la </w:t>
            </w:r>
            <w:r w:rsidR="00CC6338" w:rsidRPr="005C58BB">
              <w:t>mise en délibéré</w:t>
            </w:r>
            <w:r w:rsidRPr="005C58BB">
              <w:t> :</w:t>
            </w:r>
            <w:r w:rsidR="002E7396">
              <w:t xml:space="preserve">  26 mai 2025</w:t>
            </w:r>
          </w:p>
        </w:tc>
      </w:tr>
    </w:tbl>
    <w:p w14:paraId="013E1F1C" w14:textId="77777777" w:rsidR="00F76B4A" w:rsidRDefault="00F76B4A" w:rsidP="00F73D1C"/>
    <w:p w14:paraId="473C207B" w14:textId="77777777" w:rsidR="002542E0" w:rsidRDefault="002542E0" w:rsidP="002542E0">
      <w:pPr>
        <w:pStyle w:val="corpsdedcision"/>
        <w:numPr>
          <w:ilvl w:val="0"/>
          <w:numId w:val="0"/>
        </w:numPr>
        <w:tabs>
          <w:tab w:val="clear" w:pos="720"/>
        </w:tabs>
      </w:pPr>
    </w:p>
    <w:sectPr w:rsidR="002542E0">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684D5" w14:textId="77777777" w:rsidR="00492D9C" w:rsidRDefault="00492D9C">
      <w:r>
        <w:separator/>
      </w:r>
    </w:p>
  </w:endnote>
  <w:endnote w:type="continuationSeparator" w:id="0">
    <w:p w14:paraId="71D92DDC" w14:textId="77777777" w:rsidR="00492D9C" w:rsidRDefault="00492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1F66" w14:textId="77777777" w:rsidR="00492D9C" w:rsidRDefault="00492D9C">
      <w:r>
        <w:separator/>
      </w:r>
    </w:p>
  </w:footnote>
  <w:footnote w:type="continuationSeparator" w:id="0">
    <w:p w14:paraId="1EBE8D3B" w14:textId="77777777" w:rsidR="00492D9C" w:rsidRDefault="00492D9C">
      <w:r>
        <w:continuationSeparator/>
      </w:r>
    </w:p>
  </w:footnote>
  <w:footnote w:id="1">
    <w:p w14:paraId="4C0B240F" w14:textId="7860B8C2" w:rsidR="008B1CC0" w:rsidRPr="003E556D" w:rsidRDefault="008B1CC0" w:rsidP="008B1CC0">
      <w:pPr>
        <w:pStyle w:val="Notedebasdepage"/>
        <w:tabs>
          <w:tab w:val="left" w:pos="720"/>
        </w:tabs>
        <w:ind w:left="720" w:hanging="720"/>
        <w:jc w:val="both"/>
        <w:rPr>
          <w:rFonts w:cs="Arial"/>
          <w:sz w:val="20"/>
        </w:rPr>
      </w:pPr>
      <w:r>
        <w:rPr>
          <w:rStyle w:val="Appelnotedebasdep"/>
        </w:rPr>
        <w:footnoteRef/>
      </w:r>
      <w:r>
        <w:t xml:space="preserve"> </w:t>
      </w:r>
      <w:r>
        <w:tab/>
      </w:r>
      <w:r>
        <w:rPr>
          <w:rFonts w:cs="Arial"/>
          <w:sz w:val="20"/>
        </w:rPr>
        <w:t>RLRQ, c. A-3.001.</w:t>
      </w:r>
    </w:p>
  </w:footnote>
  <w:footnote w:id="2">
    <w:p w14:paraId="6F0E825E" w14:textId="77777777" w:rsidR="0058146F" w:rsidRDefault="0058146F" w:rsidP="0058146F">
      <w:pPr>
        <w:pStyle w:val="Notedebasdepage"/>
      </w:pPr>
      <w:r>
        <w:rPr>
          <w:rStyle w:val="Appelnotedebasdep"/>
        </w:rPr>
        <w:footnoteRef/>
      </w:r>
      <w:r>
        <w:t xml:space="preserve"> </w:t>
      </w:r>
      <w:r>
        <w:tab/>
      </w:r>
      <w:r>
        <w:rPr>
          <w:sz w:val="20"/>
        </w:rPr>
        <w:t>Article 358 de la Loi.</w:t>
      </w:r>
    </w:p>
  </w:footnote>
  <w:footnote w:id="3">
    <w:p w14:paraId="73936D8F" w14:textId="77777777" w:rsidR="001A5865" w:rsidRPr="006670EA" w:rsidRDefault="001A5865" w:rsidP="001A5865">
      <w:pPr>
        <w:shd w:val="clear" w:color="auto" w:fill="FFFFFF"/>
        <w:spacing w:before="75"/>
        <w:rPr>
          <w:rFonts w:cs="Arial"/>
          <w:sz w:val="20"/>
        </w:rPr>
      </w:pPr>
      <w:r>
        <w:rPr>
          <w:rStyle w:val="Appelnotedebasdep"/>
        </w:rPr>
        <w:footnoteRef/>
      </w:r>
      <w:r>
        <w:t xml:space="preserve"> </w:t>
      </w:r>
      <w:r>
        <w:rPr>
          <w:rFonts w:cs="Arial"/>
          <w:sz w:val="20"/>
        </w:rPr>
        <w:tab/>
      </w:r>
      <w:r w:rsidRPr="006670EA">
        <w:rPr>
          <w:rFonts w:cs="Arial"/>
          <w:sz w:val="20"/>
        </w:rPr>
        <w:t>2017 QCTAT 3412</w:t>
      </w:r>
      <w:r>
        <w:rPr>
          <w:rFonts w:cs="Arial"/>
          <w:sz w:val="20"/>
        </w:rPr>
        <w:t>.</w:t>
      </w:r>
    </w:p>
  </w:footnote>
  <w:footnote w:id="4">
    <w:p w14:paraId="60058B31" w14:textId="77777777" w:rsidR="003D533D" w:rsidRPr="00CB66D2" w:rsidRDefault="003D533D" w:rsidP="003D533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Articles 354 et 355 de la Loi.</w:t>
      </w:r>
    </w:p>
  </w:footnote>
  <w:footnote w:id="5">
    <w:p w14:paraId="265DB07F" w14:textId="77777777" w:rsidR="0046584A" w:rsidRPr="00A33A9E" w:rsidRDefault="0046584A" w:rsidP="0046584A">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J-3.</w:t>
      </w:r>
    </w:p>
  </w:footnote>
  <w:footnote w:id="6">
    <w:p w14:paraId="3BB5C1B8" w14:textId="77777777" w:rsidR="0085670D" w:rsidRPr="00CA1329" w:rsidRDefault="0085670D" w:rsidP="0085670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Article 352 de la Loi.</w:t>
      </w:r>
    </w:p>
  </w:footnote>
  <w:footnote w:id="7">
    <w:p w14:paraId="46D57CDF" w14:textId="77777777" w:rsidR="0085670D" w:rsidRPr="001A139D" w:rsidRDefault="0085670D" w:rsidP="0085670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sz w:val="20"/>
        </w:rPr>
        <w:t>Garrett</w:t>
      </w:r>
      <w:r>
        <w:rPr>
          <w:rFonts w:cs="Arial"/>
          <w:sz w:val="20"/>
        </w:rPr>
        <w:t xml:space="preserve"> et </w:t>
      </w:r>
      <w:r>
        <w:rPr>
          <w:rFonts w:cs="Arial"/>
          <w:i/>
          <w:sz w:val="20"/>
        </w:rPr>
        <w:t>Sonaca Canada inc.</w:t>
      </w:r>
      <w:r>
        <w:rPr>
          <w:rFonts w:cs="Arial"/>
          <w:sz w:val="20"/>
        </w:rPr>
        <w:t>, C.L.P. 387358-64-0908, 10 mars 2010, R. Daniel.</w:t>
      </w:r>
    </w:p>
  </w:footnote>
  <w:footnote w:id="8">
    <w:p w14:paraId="0724465D" w14:textId="67ECA72A" w:rsidR="0085670D" w:rsidRPr="00131DEA" w:rsidRDefault="0085670D" w:rsidP="0085670D">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sz w:val="20"/>
        </w:rPr>
        <w:t>Id.</w:t>
      </w:r>
      <w:r>
        <w:rPr>
          <w:rFonts w:cs="Arial"/>
          <w:sz w:val="20"/>
        </w:rPr>
        <w:t xml:space="preserve"> Voir également </w:t>
      </w:r>
      <w:r>
        <w:rPr>
          <w:rFonts w:cs="Arial"/>
          <w:i/>
          <w:sz w:val="20"/>
        </w:rPr>
        <w:t>Perron</w:t>
      </w:r>
      <w:r w:rsidR="006A5E38">
        <w:rPr>
          <w:rFonts w:cs="Arial"/>
          <w:i/>
          <w:sz w:val="20"/>
        </w:rPr>
        <w:t>-Dionne</w:t>
      </w:r>
      <w:r>
        <w:rPr>
          <w:rFonts w:cs="Arial"/>
          <w:i/>
          <w:sz w:val="20"/>
        </w:rPr>
        <w:t xml:space="preserve"> </w:t>
      </w:r>
      <w:r>
        <w:rPr>
          <w:rFonts w:cs="Arial"/>
          <w:sz w:val="20"/>
        </w:rPr>
        <w:t>et</w:t>
      </w:r>
      <w:r>
        <w:rPr>
          <w:rFonts w:cs="Arial"/>
          <w:i/>
          <w:sz w:val="20"/>
        </w:rPr>
        <w:t xml:space="preserve"> Marché Clément des Forges inc.</w:t>
      </w:r>
      <w:r>
        <w:rPr>
          <w:rFonts w:cs="Arial"/>
          <w:sz w:val="20"/>
        </w:rPr>
        <w:t xml:space="preserve">, 2014 QCCLP 2695; </w:t>
      </w:r>
      <w:r>
        <w:rPr>
          <w:rFonts w:cs="Arial"/>
          <w:i/>
          <w:sz w:val="20"/>
        </w:rPr>
        <w:t>Gill</w:t>
      </w:r>
      <w:r>
        <w:rPr>
          <w:rFonts w:cs="Arial"/>
          <w:sz w:val="20"/>
        </w:rPr>
        <w:t xml:space="preserve"> et </w:t>
      </w:r>
      <w:r>
        <w:rPr>
          <w:rFonts w:cs="Arial"/>
          <w:i/>
          <w:sz w:val="20"/>
        </w:rPr>
        <w:t>P.P.G. Industries inc.</w:t>
      </w:r>
      <w:r>
        <w:rPr>
          <w:rFonts w:cs="Arial"/>
          <w:sz w:val="20"/>
        </w:rPr>
        <w:t>, 2014 QCCLP 6261.</w:t>
      </w:r>
    </w:p>
  </w:footnote>
  <w:footnote w:id="9">
    <w:p w14:paraId="3E01E379" w14:textId="5B1A6300" w:rsidR="00E43CE4" w:rsidRDefault="00E43CE4">
      <w:pPr>
        <w:pStyle w:val="Notedebasdepage"/>
      </w:pPr>
      <w:r>
        <w:rPr>
          <w:rStyle w:val="Appelnotedebasdep"/>
        </w:rPr>
        <w:footnoteRef/>
      </w:r>
      <w:r>
        <w:t xml:space="preserve"> </w:t>
      </w:r>
      <w:r>
        <w:tab/>
      </w:r>
      <w:r w:rsidR="00216818" w:rsidRPr="00E7377F">
        <w:rPr>
          <w:i/>
          <w:iCs/>
          <w:sz w:val="20"/>
        </w:rPr>
        <w:t xml:space="preserve">Raymond </w:t>
      </w:r>
      <w:r w:rsidR="00216818" w:rsidRPr="00E7377F">
        <w:rPr>
          <w:sz w:val="20"/>
        </w:rPr>
        <w:t xml:space="preserve">et </w:t>
      </w:r>
      <w:r w:rsidR="00216818" w:rsidRPr="00E7377F">
        <w:rPr>
          <w:i/>
          <w:iCs/>
          <w:sz w:val="20"/>
        </w:rPr>
        <w:t>Électrogroupe  Pioneer Canada inc</w:t>
      </w:r>
      <w:r w:rsidR="00216818" w:rsidRPr="00E7377F">
        <w:rPr>
          <w:sz w:val="20"/>
        </w:rPr>
        <w:t>.</w:t>
      </w:r>
      <w:r w:rsidR="00360EF4">
        <w:rPr>
          <w:sz w:val="20"/>
        </w:rPr>
        <w:t xml:space="preserve">, </w:t>
      </w:r>
      <w:r w:rsidR="00216818" w:rsidRPr="00E7377F">
        <w:rPr>
          <w:sz w:val="20"/>
        </w:rPr>
        <w:t>2015 QCCLP 3455</w:t>
      </w:r>
      <w:r w:rsidR="00216818">
        <w:rPr>
          <w:sz w:val="20"/>
        </w:rPr>
        <w:t>.</w:t>
      </w:r>
    </w:p>
  </w:footnote>
  <w:footnote w:id="10">
    <w:p w14:paraId="293EE469" w14:textId="49B8773B" w:rsidR="00E7377F" w:rsidRDefault="00E7377F">
      <w:pPr>
        <w:pStyle w:val="Notedebasdepage"/>
      </w:pPr>
      <w:r>
        <w:rPr>
          <w:rStyle w:val="Appelnotedebasdep"/>
        </w:rPr>
        <w:footnoteRef/>
      </w:r>
      <w:r>
        <w:t xml:space="preserve"> </w:t>
      </w:r>
      <w:r>
        <w:tab/>
      </w:r>
      <w:r w:rsidR="00216818">
        <w:rPr>
          <w:i/>
          <w:iCs/>
          <w:sz w:val="20"/>
        </w:rPr>
        <w:t>Id.</w:t>
      </w:r>
    </w:p>
  </w:footnote>
  <w:footnote w:id="11">
    <w:p w14:paraId="7E28C413" w14:textId="6FED3B91" w:rsidR="00216818" w:rsidRDefault="00216818">
      <w:pPr>
        <w:pStyle w:val="Notedebasdepage"/>
      </w:pPr>
      <w:r>
        <w:rPr>
          <w:rStyle w:val="Appelnotedebasdep"/>
        </w:rPr>
        <w:footnoteRef/>
      </w:r>
      <w:r>
        <w:t xml:space="preserve"> </w:t>
      </w:r>
      <w:r>
        <w:tab/>
      </w:r>
      <w:r w:rsidRPr="00216818">
        <w:rPr>
          <w:sz w:val="20"/>
        </w:rPr>
        <w:t>2016 QCTAT 1699.</w:t>
      </w:r>
    </w:p>
  </w:footnote>
  <w:footnote w:id="12">
    <w:p w14:paraId="7ED2FAC5" w14:textId="498DCD6D" w:rsidR="0015046E" w:rsidRPr="00346EDA" w:rsidRDefault="0015046E">
      <w:pPr>
        <w:pStyle w:val="Notedebasdepage"/>
      </w:pPr>
      <w:r w:rsidRPr="00346EDA">
        <w:rPr>
          <w:rStyle w:val="Appelnotedebasdep"/>
        </w:rPr>
        <w:footnoteRef/>
      </w:r>
      <w:r w:rsidRPr="00346EDA">
        <w:t xml:space="preserve"> </w:t>
      </w:r>
      <w:r w:rsidRPr="00346EDA">
        <w:tab/>
      </w:r>
      <w:r w:rsidRPr="00346EDA">
        <w:rPr>
          <w:i/>
          <w:iCs/>
          <w:sz w:val="20"/>
        </w:rPr>
        <w:t>CSSS de l’Énergie</w:t>
      </w:r>
      <w:r w:rsidRPr="00346EDA">
        <w:rPr>
          <w:sz w:val="20"/>
        </w:rPr>
        <w:t xml:space="preserve"> et </w:t>
      </w:r>
      <w:r w:rsidRPr="00346EDA">
        <w:rPr>
          <w:i/>
          <w:iCs/>
          <w:sz w:val="20"/>
        </w:rPr>
        <w:t>Carpentier</w:t>
      </w:r>
      <w:r w:rsidR="00360EF4">
        <w:rPr>
          <w:sz w:val="20"/>
        </w:rPr>
        <w:t xml:space="preserve">, </w:t>
      </w:r>
      <w:r w:rsidRPr="00346EDA">
        <w:rPr>
          <w:sz w:val="20"/>
        </w:rPr>
        <w:t>2017 QCTAT 1951.</w:t>
      </w:r>
    </w:p>
  </w:footnote>
  <w:footnote w:id="13">
    <w:p w14:paraId="7E8A86D5" w14:textId="78EF4D74" w:rsidR="00832447" w:rsidRDefault="00832447">
      <w:pPr>
        <w:pStyle w:val="Notedebasdepage"/>
      </w:pPr>
      <w:r w:rsidRPr="00346EDA">
        <w:rPr>
          <w:rStyle w:val="Appelnotedebasdep"/>
        </w:rPr>
        <w:footnoteRef/>
      </w:r>
      <w:r w:rsidRPr="00346EDA">
        <w:t xml:space="preserve"> </w:t>
      </w:r>
      <w:r w:rsidRPr="00346EDA">
        <w:tab/>
      </w:r>
      <w:r w:rsidRPr="00346EDA">
        <w:rPr>
          <w:i/>
          <w:iCs/>
          <w:sz w:val="20"/>
        </w:rPr>
        <w:t>Loi d’interprétation</w:t>
      </w:r>
      <w:r w:rsidR="00346EDA" w:rsidRPr="00346EDA">
        <w:rPr>
          <w:sz w:val="20"/>
        </w:rPr>
        <w:t>,</w:t>
      </w:r>
      <w:r w:rsidR="007A559C" w:rsidRPr="00346EDA">
        <w:rPr>
          <w:sz w:val="20"/>
        </w:rPr>
        <w:t xml:space="preserve"> RLRQ</w:t>
      </w:r>
      <w:r w:rsidR="00625D28" w:rsidRPr="00346EDA">
        <w:rPr>
          <w:sz w:val="20"/>
        </w:rPr>
        <w:t>,</w:t>
      </w:r>
      <w:r w:rsidR="007A559C" w:rsidRPr="00346EDA">
        <w:rPr>
          <w:sz w:val="20"/>
        </w:rPr>
        <w:t xml:space="preserve"> c. I-16.</w:t>
      </w:r>
    </w:p>
  </w:footnote>
  <w:footnote w:id="14">
    <w:p w14:paraId="18678BCF" w14:textId="5AD29495" w:rsidR="0015046E" w:rsidRDefault="0015046E">
      <w:pPr>
        <w:pStyle w:val="Notedebasdepage"/>
      </w:pPr>
      <w:r>
        <w:rPr>
          <w:rStyle w:val="Appelnotedebasdep"/>
        </w:rPr>
        <w:footnoteRef/>
      </w:r>
      <w:r>
        <w:t xml:space="preserve"> </w:t>
      </w:r>
      <w:r>
        <w:tab/>
      </w:r>
      <w:r w:rsidRPr="0015046E">
        <w:rPr>
          <w:sz w:val="20"/>
        </w:rPr>
        <w:t>2016 QCTAT 1802.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1BA0DAB3" w14:textId="77777777" w:rsidTr="00F62BB6">
      <w:tc>
        <w:tcPr>
          <w:tcW w:w="8730" w:type="dxa"/>
        </w:tcPr>
        <w:p w14:paraId="5A20DA31" w14:textId="77777777" w:rsidR="00D330B6" w:rsidRDefault="00D330B6">
          <w:pPr>
            <w:pStyle w:val="En-tte"/>
            <w:ind w:left="-90"/>
          </w:pPr>
        </w:p>
      </w:tc>
      <w:tc>
        <w:tcPr>
          <w:tcW w:w="860" w:type="dxa"/>
        </w:tcPr>
        <w:p w14:paraId="395F648A" w14:textId="77777777" w:rsidR="00D330B6" w:rsidRDefault="00D330B6">
          <w:pPr>
            <w:pStyle w:val="En-tte"/>
            <w:ind w:left="-90"/>
          </w:pPr>
        </w:p>
      </w:tc>
    </w:tr>
    <w:tr w:rsidR="008B1CC0" w14:paraId="4E55BC04" w14:textId="77777777" w:rsidTr="00F62BB6">
      <w:tc>
        <w:tcPr>
          <w:tcW w:w="8730" w:type="dxa"/>
        </w:tcPr>
        <w:p w14:paraId="04F2D355" w14:textId="16BA95AC" w:rsidR="008B1CC0" w:rsidRDefault="008B1CC0" w:rsidP="008B1CC0">
          <w:r>
            <w:t>1327313-31-2306</w:t>
          </w:r>
        </w:p>
      </w:tc>
      <w:tc>
        <w:tcPr>
          <w:tcW w:w="860" w:type="dxa"/>
        </w:tcPr>
        <w:p w14:paraId="72A2103C" w14:textId="77777777" w:rsidR="008B1CC0" w:rsidRDefault="008B1CC0" w:rsidP="008B1CC0">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636170">
            <w:rPr>
              <w:rStyle w:val="Numrodepage"/>
              <w:noProof/>
            </w:rPr>
            <w:t>2</w:t>
          </w:r>
          <w:r>
            <w:rPr>
              <w:rStyle w:val="Numrodepage"/>
            </w:rPr>
            <w:fldChar w:fldCharType="end"/>
          </w:r>
        </w:p>
      </w:tc>
    </w:tr>
    <w:tr w:rsidR="008B1CC0" w14:paraId="07857AD5" w14:textId="77777777" w:rsidTr="00F62BB6">
      <w:tc>
        <w:tcPr>
          <w:tcW w:w="8730" w:type="dxa"/>
        </w:tcPr>
        <w:p w14:paraId="4A1AC6C9" w14:textId="77777777" w:rsidR="008B1CC0" w:rsidRDefault="008B1CC0" w:rsidP="008B1CC0"/>
      </w:tc>
      <w:tc>
        <w:tcPr>
          <w:tcW w:w="860" w:type="dxa"/>
        </w:tcPr>
        <w:p w14:paraId="0048E4FD" w14:textId="77777777" w:rsidR="008B1CC0" w:rsidRDefault="008B1CC0" w:rsidP="008B1CC0">
          <w:pPr>
            <w:pStyle w:val="En-tte"/>
            <w:ind w:left="-90"/>
            <w:jc w:val="right"/>
          </w:pPr>
        </w:p>
      </w:tc>
    </w:tr>
  </w:tbl>
  <w:p w14:paraId="26C5E458"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0204D"/>
    <w:multiLevelType w:val="multilevel"/>
    <w:tmpl w:val="2272B594"/>
    <w:lvl w:ilvl="0">
      <w:start w:val="1"/>
      <w:numFmt w:val="bullet"/>
      <w:lvlText w:val=""/>
      <w:lvlJc w:val="left"/>
      <w:pPr>
        <w:ind w:left="106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 w15:restartNumberingAfterBreak="0">
    <w:nsid w:val="2BF47A13"/>
    <w:multiLevelType w:val="hybridMultilevel"/>
    <w:tmpl w:val="324E2010"/>
    <w:lvl w:ilvl="0" w:tplc="77125422">
      <w:numFmt w:val="bullet"/>
      <w:lvlText w:val="-"/>
      <w:lvlJc w:val="left"/>
      <w:pPr>
        <w:ind w:left="1069" w:hanging="360"/>
      </w:pPr>
      <w:rPr>
        <w:rFonts w:ascii="Arial" w:eastAsia="Times New Roman" w:hAnsi="Arial" w:cs="Arial" w:hint="default"/>
      </w:rPr>
    </w:lvl>
    <w:lvl w:ilvl="1" w:tplc="0C0C0003" w:tentative="1">
      <w:start w:val="1"/>
      <w:numFmt w:val="bullet"/>
      <w:lvlText w:val="o"/>
      <w:lvlJc w:val="left"/>
      <w:pPr>
        <w:ind w:left="1789" w:hanging="360"/>
      </w:pPr>
      <w:rPr>
        <w:rFonts w:ascii="Courier New" w:hAnsi="Courier New" w:cs="Courier New" w:hint="default"/>
      </w:rPr>
    </w:lvl>
    <w:lvl w:ilvl="2" w:tplc="0C0C0005" w:tentative="1">
      <w:start w:val="1"/>
      <w:numFmt w:val="bullet"/>
      <w:lvlText w:val=""/>
      <w:lvlJc w:val="left"/>
      <w:pPr>
        <w:ind w:left="2509" w:hanging="360"/>
      </w:pPr>
      <w:rPr>
        <w:rFonts w:ascii="Wingdings" w:hAnsi="Wingdings" w:hint="default"/>
      </w:rPr>
    </w:lvl>
    <w:lvl w:ilvl="3" w:tplc="0C0C0001" w:tentative="1">
      <w:start w:val="1"/>
      <w:numFmt w:val="bullet"/>
      <w:lvlText w:val=""/>
      <w:lvlJc w:val="left"/>
      <w:pPr>
        <w:ind w:left="3229" w:hanging="360"/>
      </w:pPr>
      <w:rPr>
        <w:rFonts w:ascii="Symbol" w:hAnsi="Symbol" w:hint="default"/>
      </w:rPr>
    </w:lvl>
    <w:lvl w:ilvl="4" w:tplc="0C0C0003" w:tentative="1">
      <w:start w:val="1"/>
      <w:numFmt w:val="bullet"/>
      <w:lvlText w:val="o"/>
      <w:lvlJc w:val="left"/>
      <w:pPr>
        <w:ind w:left="3949" w:hanging="360"/>
      </w:pPr>
      <w:rPr>
        <w:rFonts w:ascii="Courier New" w:hAnsi="Courier New" w:cs="Courier New" w:hint="default"/>
      </w:rPr>
    </w:lvl>
    <w:lvl w:ilvl="5" w:tplc="0C0C0005" w:tentative="1">
      <w:start w:val="1"/>
      <w:numFmt w:val="bullet"/>
      <w:lvlText w:val=""/>
      <w:lvlJc w:val="left"/>
      <w:pPr>
        <w:ind w:left="4669" w:hanging="360"/>
      </w:pPr>
      <w:rPr>
        <w:rFonts w:ascii="Wingdings" w:hAnsi="Wingdings" w:hint="default"/>
      </w:rPr>
    </w:lvl>
    <w:lvl w:ilvl="6" w:tplc="0C0C0001" w:tentative="1">
      <w:start w:val="1"/>
      <w:numFmt w:val="bullet"/>
      <w:lvlText w:val=""/>
      <w:lvlJc w:val="left"/>
      <w:pPr>
        <w:ind w:left="5389" w:hanging="360"/>
      </w:pPr>
      <w:rPr>
        <w:rFonts w:ascii="Symbol" w:hAnsi="Symbol" w:hint="default"/>
      </w:rPr>
    </w:lvl>
    <w:lvl w:ilvl="7" w:tplc="0C0C0003" w:tentative="1">
      <w:start w:val="1"/>
      <w:numFmt w:val="bullet"/>
      <w:lvlText w:val="o"/>
      <w:lvlJc w:val="left"/>
      <w:pPr>
        <w:ind w:left="6109" w:hanging="360"/>
      </w:pPr>
      <w:rPr>
        <w:rFonts w:ascii="Courier New" w:hAnsi="Courier New" w:cs="Courier New" w:hint="default"/>
      </w:rPr>
    </w:lvl>
    <w:lvl w:ilvl="8" w:tplc="0C0C0005" w:tentative="1">
      <w:start w:val="1"/>
      <w:numFmt w:val="bullet"/>
      <w:lvlText w:val=""/>
      <w:lvlJc w:val="left"/>
      <w:pPr>
        <w:ind w:left="6829" w:hanging="360"/>
      </w:pPr>
      <w:rPr>
        <w:rFonts w:ascii="Wingdings" w:hAnsi="Wingdings" w:hint="default"/>
      </w:rPr>
    </w:lvl>
  </w:abstractNum>
  <w:abstractNum w:abstractNumId="2"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4" w15:restartNumberingAfterBreak="0">
    <w:nsid w:val="3ED5227C"/>
    <w:multiLevelType w:val="hybridMultilevel"/>
    <w:tmpl w:val="17021510"/>
    <w:lvl w:ilvl="0" w:tplc="AC6887CC">
      <w:start w:val="1"/>
      <w:numFmt w:val="lowerLetter"/>
      <w:lvlText w:val="%1."/>
      <w:lvlJc w:val="left"/>
      <w:pPr>
        <w:ind w:left="2130" w:hanging="69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5" w15:restartNumberingAfterBreak="0">
    <w:nsid w:val="6B0B43D0"/>
    <w:multiLevelType w:val="hybridMultilevel"/>
    <w:tmpl w:val="2DCA1F7A"/>
    <w:lvl w:ilvl="0" w:tplc="DEC2345C">
      <w:start w:val="5"/>
      <w:numFmt w:val="lowerLetter"/>
      <w:lvlText w:val="%1."/>
      <w:lvlJc w:val="left"/>
      <w:pPr>
        <w:ind w:left="1800" w:hanging="360"/>
      </w:pPr>
      <w:rPr>
        <w:rFonts w:hint="default"/>
      </w:rPr>
    </w:lvl>
    <w:lvl w:ilvl="1" w:tplc="0C0C0019" w:tentative="1">
      <w:start w:val="1"/>
      <w:numFmt w:val="lowerLetter"/>
      <w:lvlText w:val="%2."/>
      <w:lvlJc w:val="left"/>
      <w:pPr>
        <w:ind w:left="2520" w:hanging="360"/>
      </w:pPr>
    </w:lvl>
    <w:lvl w:ilvl="2" w:tplc="0C0C001B" w:tentative="1">
      <w:start w:val="1"/>
      <w:numFmt w:val="lowerRoman"/>
      <w:lvlText w:val="%3."/>
      <w:lvlJc w:val="right"/>
      <w:pPr>
        <w:ind w:left="3240" w:hanging="180"/>
      </w:pPr>
    </w:lvl>
    <w:lvl w:ilvl="3" w:tplc="0C0C000F" w:tentative="1">
      <w:start w:val="1"/>
      <w:numFmt w:val="decimal"/>
      <w:lvlText w:val="%4."/>
      <w:lvlJc w:val="left"/>
      <w:pPr>
        <w:ind w:left="3960" w:hanging="360"/>
      </w:pPr>
    </w:lvl>
    <w:lvl w:ilvl="4" w:tplc="0C0C0019" w:tentative="1">
      <w:start w:val="1"/>
      <w:numFmt w:val="lowerLetter"/>
      <w:lvlText w:val="%5."/>
      <w:lvlJc w:val="left"/>
      <w:pPr>
        <w:ind w:left="4680" w:hanging="360"/>
      </w:pPr>
    </w:lvl>
    <w:lvl w:ilvl="5" w:tplc="0C0C001B" w:tentative="1">
      <w:start w:val="1"/>
      <w:numFmt w:val="lowerRoman"/>
      <w:lvlText w:val="%6."/>
      <w:lvlJc w:val="right"/>
      <w:pPr>
        <w:ind w:left="5400" w:hanging="180"/>
      </w:pPr>
    </w:lvl>
    <w:lvl w:ilvl="6" w:tplc="0C0C000F" w:tentative="1">
      <w:start w:val="1"/>
      <w:numFmt w:val="decimal"/>
      <w:lvlText w:val="%7."/>
      <w:lvlJc w:val="left"/>
      <w:pPr>
        <w:ind w:left="6120" w:hanging="360"/>
      </w:pPr>
    </w:lvl>
    <w:lvl w:ilvl="7" w:tplc="0C0C0019" w:tentative="1">
      <w:start w:val="1"/>
      <w:numFmt w:val="lowerLetter"/>
      <w:lvlText w:val="%8."/>
      <w:lvlJc w:val="left"/>
      <w:pPr>
        <w:ind w:left="6840" w:hanging="360"/>
      </w:pPr>
    </w:lvl>
    <w:lvl w:ilvl="8" w:tplc="0C0C001B" w:tentative="1">
      <w:start w:val="1"/>
      <w:numFmt w:val="lowerRoman"/>
      <w:lvlText w:val="%9."/>
      <w:lvlJc w:val="right"/>
      <w:pPr>
        <w:ind w:left="7560" w:hanging="180"/>
      </w:pPr>
    </w:lvl>
  </w:abstractNum>
  <w:abstractNum w:abstractNumId="6" w15:restartNumberingAfterBreak="0">
    <w:nsid w:val="6CAD6EFB"/>
    <w:multiLevelType w:val="multilevel"/>
    <w:tmpl w:val="2272B594"/>
    <w:lvl w:ilvl="0">
      <w:start w:val="1"/>
      <w:numFmt w:val="bullet"/>
      <w:lvlText w:val=""/>
      <w:lvlJc w:val="left"/>
      <w:pPr>
        <w:ind w:left="106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7"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8"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15E6D3F"/>
    <w:multiLevelType w:val="multilevel"/>
    <w:tmpl w:val="2272B594"/>
    <w:lvl w:ilvl="0">
      <w:start w:val="1"/>
      <w:numFmt w:val="bullet"/>
      <w:lvlText w:val=""/>
      <w:lvlJc w:val="left"/>
      <w:pPr>
        <w:ind w:left="1069" w:hanging="360"/>
      </w:pPr>
      <w:rPr>
        <w:rFonts w:ascii="Symbol" w:hAnsi="Symbol" w:hint="default"/>
      </w:rPr>
    </w:lvl>
    <w:lvl w:ilvl="1">
      <w:start w:val="1"/>
      <w:numFmt w:val="bullet"/>
      <w:lvlText w:val="o"/>
      <w:lvlJc w:val="left"/>
      <w:pPr>
        <w:ind w:left="1429" w:hanging="360"/>
      </w:pPr>
      <w:rPr>
        <w:rFonts w:ascii="Courier New" w:hAnsi="Courier New" w:cs="Courier New" w:hint="default"/>
      </w:rPr>
    </w:lvl>
    <w:lvl w:ilvl="2">
      <w:start w:val="1"/>
      <w:numFmt w:val="bullet"/>
      <w:lvlText w:val=""/>
      <w:lvlJc w:val="left"/>
      <w:pPr>
        <w:ind w:left="1789" w:hanging="360"/>
      </w:pPr>
      <w:rPr>
        <w:rFonts w:ascii="Wingdings" w:hAnsi="Wingdings" w:hint="default"/>
      </w:rPr>
    </w:lvl>
    <w:lvl w:ilvl="3">
      <w:start w:val="1"/>
      <w:numFmt w:val="bullet"/>
      <w:lvlText w:val=""/>
      <w:lvlJc w:val="left"/>
      <w:pPr>
        <w:ind w:left="2149" w:hanging="360"/>
      </w:pPr>
      <w:rPr>
        <w:rFonts w:ascii="Symbol" w:hAnsi="Symbol" w:hint="default"/>
      </w:rPr>
    </w:lvl>
    <w:lvl w:ilvl="4">
      <w:start w:val="1"/>
      <w:numFmt w:val="bullet"/>
      <w:lvlText w:val=""/>
      <w:lvlJc w:val="left"/>
      <w:pPr>
        <w:ind w:left="2509" w:hanging="360"/>
      </w:pPr>
      <w:rPr>
        <w:rFonts w:ascii="Symbol" w:hAnsi="Symbol" w:hint="default"/>
      </w:rPr>
    </w:lvl>
    <w:lvl w:ilvl="5">
      <w:start w:val="1"/>
      <w:numFmt w:val="bullet"/>
      <w:lvlText w:val=""/>
      <w:lvlJc w:val="left"/>
      <w:pPr>
        <w:ind w:left="2869" w:hanging="360"/>
      </w:pPr>
      <w:rPr>
        <w:rFonts w:ascii="Wingdings" w:hAnsi="Wingdings" w:hint="default"/>
      </w:rPr>
    </w:lvl>
    <w:lvl w:ilvl="6">
      <w:start w:val="1"/>
      <w:numFmt w:val="bullet"/>
      <w:lvlText w:val=""/>
      <w:lvlJc w:val="left"/>
      <w:pPr>
        <w:ind w:left="3229" w:hanging="360"/>
      </w:pPr>
      <w:rPr>
        <w:rFonts w:ascii="Wingdings" w:hAnsi="Wingdings" w:hint="default"/>
      </w:rPr>
    </w:lvl>
    <w:lvl w:ilvl="7">
      <w:start w:val="1"/>
      <w:numFmt w:val="bullet"/>
      <w:lvlText w:val=""/>
      <w:lvlJc w:val="left"/>
      <w:pPr>
        <w:ind w:left="3589" w:hanging="360"/>
      </w:pPr>
      <w:rPr>
        <w:rFonts w:ascii="Symbol" w:hAnsi="Symbol" w:hint="default"/>
      </w:rPr>
    </w:lvl>
    <w:lvl w:ilvl="8">
      <w:start w:val="1"/>
      <w:numFmt w:val="bullet"/>
      <w:lvlText w:val=""/>
      <w:lvlJc w:val="left"/>
      <w:pPr>
        <w:ind w:left="3949" w:hanging="360"/>
      </w:pPr>
      <w:rPr>
        <w:rFonts w:ascii="Symbol" w:hAnsi="Symbol" w:hint="default"/>
      </w:rPr>
    </w:lvl>
  </w:abstractNum>
  <w:abstractNum w:abstractNumId="10"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1"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13"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14"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5"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3"/>
  </w:num>
  <w:num w:numId="2">
    <w:abstractNumId w:val="12"/>
  </w:num>
  <w:num w:numId="3">
    <w:abstractNumId w:val="11"/>
  </w:num>
  <w:num w:numId="4">
    <w:abstractNumId w:val="8"/>
  </w:num>
  <w:num w:numId="5">
    <w:abstractNumId w:val="15"/>
  </w:num>
  <w:num w:numId="6">
    <w:abstractNumId w:val="15"/>
  </w:num>
  <w:num w:numId="7">
    <w:abstractNumId w:val="2"/>
  </w:num>
  <w:num w:numId="8">
    <w:abstractNumId w:val="7"/>
  </w:num>
  <w:num w:numId="9">
    <w:abstractNumId w:val="3"/>
  </w:num>
  <w:num w:numId="10">
    <w:abstractNumId w:val="14"/>
  </w:num>
  <w:num w:numId="11">
    <w:abstractNumId w:val="10"/>
  </w:num>
  <w:num w:numId="12">
    <w:abstractNumId w:val="6"/>
  </w:num>
  <w:num w:numId="13">
    <w:abstractNumId w:val="1"/>
  </w:num>
  <w:num w:numId="14">
    <w:abstractNumId w:val="9"/>
  </w:num>
  <w:num w:numId="15">
    <w:abstractNumId w:val="0"/>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B6"/>
    <w:rsid w:val="0000215A"/>
    <w:rsid w:val="000034B0"/>
    <w:rsid w:val="000041A1"/>
    <w:rsid w:val="00004973"/>
    <w:rsid w:val="00006DD2"/>
    <w:rsid w:val="0001305E"/>
    <w:rsid w:val="00016634"/>
    <w:rsid w:val="00016D99"/>
    <w:rsid w:val="00020592"/>
    <w:rsid w:val="00021B30"/>
    <w:rsid w:val="00021E4C"/>
    <w:rsid w:val="00022556"/>
    <w:rsid w:val="00023858"/>
    <w:rsid w:val="00023F51"/>
    <w:rsid w:val="000253DB"/>
    <w:rsid w:val="00033C6A"/>
    <w:rsid w:val="000352CA"/>
    <w:rsid w:val="000366EC"/>
    <w:rsid w:val="00036794"/>
    <w:rsid w:val="00040233"/>
    <w:rsid w:val="00041120"/>
    <w:rsid w:val="00043E4D"/>
    <w:rsid w:val="000509EF"/>
    <w:rsid w:val="00052754"/>
    <w:rsid w:val="000536CC"/>
    <w:rsid w:val="00054A13"/>
    <w:rsid w:val="000559A8"/>
    <w:rsid w:val="00055A3E"/>
    <w:rsid w:val="00056393"/>
    <w:rsid w:val="00057739"/>
    <w:rsid w:val="000624DC"/>
    <w:rsid w:val="00063AC6"/>
    <w:rsid w:val="00065D16"/>
    <w:rsid w:val="0007225E"/>
    <w:rsid w:val="000732D1"/>
    <w:rsid w:val="0007486B"/>
    <w:rsid w:val="00074ABE"/>
    <w:rsid w:val="00074EAE"/>
    <w:rsid w:val="000756D0"/>
    <w:rsid w:val="000762E7"/>
    <w:rsid w:val="00076D81"/>
    <w:rsid w:val="00080885"/>
    <w:rsid w:val="0008191B"/>
    <w:rsid w:val="00082A97"/>
    <w:rsid w:val="0008378A"/>
    <w:rsid w:val="0008784D"/>
    <w:rsid w:val="00090018"/>
    <w:rsid w:val="00090306"/>
    <w:rsid w:val="00090F69"/>
    <w:rsid w:val="000920C8"/>
    <w:rsid w:val="0009314F"/>
    <w:rsid w:val="00093ACD"/>
    <w:rsid w:val="00095563"/>
    <w:rsid w:val="00095814"/>
    <w:rsid w:val="00097D81"/>
    <w:rsid w:val="00097FCE"/>
    <w:rsid w:val="000A125C"/>
    <w:rsid w:val="000A1DAC"/>
    <w:rsid w:val="000A32BE"/>
    <w:rsid w:val="000A4AD0"/>
    <w:rsid w:val="000A5AD1"/>
    <w:rsid w:val="000A63DF"/>
    <w:rsid w:val="000A77C5"/>
    <w:rsid w:val="000B1055"/>
    <w:rsid w:val="000B2DF3"/>
    <w:rsid w:val="000B3690"/>
    <w:rsid w:val="000B3D1C"/>
    <w:rsid w:val="000B53DF"/>
    <w:rsid w:val="000B6275"/>
    <w:rsid w:val="000B68DB"/>
    <w:rsid w:val="000B7F1B"/>
    <w:rsid w:val="000C2C8A"/>
    <w:rsid w:val="000C710F"/>
    <w:rsid w:val="000C7825"/>
    <w:rsid w:val="000C7EC3"/>
    <w:rsid w:val="000D3948"/>
    <w:rsid w:val="000E034D"/>
    <w:rsid w:val="000E0C28"/>
    <w:rsid w:val="000E0C3A"/>
    <w:rsid w:val="000E1320"/>
    <w:rsid w:val="000E3F26"/>
    <w:rsid w:val="000E3FF6"/>
    <w:rsid w:val="000E56A6"/>
    <w:rsid w:val="000E617C"/>
    <w:rsid w:val="000F20A5"/>
    <w:rsid w:val="000F3423"/>
    <w:rsid w:val="000F4ED4"/>
    <w:rsid w:val="000F5F81"/>
    <w:rsid w:val="00100AB8"/>
    <w:rsid w:val="00104550"/>
    <w:rsid w:val="00104C3D"/>
    <w:rsid w:val="001050B4"/>
    <w:rsid w:val="001055BE"/>
    <w:rsid w:val="00105702"/>
    <w:rsid w:val="001144AB"/>
    <w:rsid w:val="0011681F"/>
    <w:rsid w:val="0012224D"/>
    <w:rsid w:val="001225BC"/>
    <w:rsid w:val="00122A9E"/>
    <w:rsid w:val="00122CA7"/>
    <w:rsid w:val="00122F94"/>
    <w:rsid w:val="0012326A"/>
    <w:rsid w:val="00123EEE"/>
    <w:rsid w:val="00125493"/>
    <w:rsid w:val="00132622"/>
    <w:rsid w:val="00137E7E"/>
    <w:rsid w:val="001407FC"/>
    <w:rsid w:val="00143550"/>
    <w:rsid w:val="00144572"/>
    <w:rsid w:val="00146116"/>
    <w:rsid w:val="00147A49"/>
    <w:rsid w:val="00147B8B"/>
    <w:rsid w:val="0015046E"/>
    <w:rsid w:val="0015125A"/>
    <w:rsid w:val="00152464"/>
    <w:rsid w:val="00152D2F"/>
    <w:rsid w:val="0015539F"/>
    <w:rsid w:val="00157FEE"/>
    <w:rsid w:val="00160597"/>
    <w:rsid w:val="00161794"/>
    <w:rsid w:val="00162ECC"/>
    <w:rsid w:val="00163D82"/>
    <w:rsid w:val="00163E7F"/>
    <w:rsid w:val="00165385"/>
    <w:rsid w:val="001664C8"/>
    <w:rsid w:val="00166636"/>
    <w:rsid w:val="00167AD0"/>
    <w:rsid w:val="00167DEF"/>
    <w:rsid w:val="00167E9D"/>
    <w:rsid w:val="00171F35"/>
    <w:rsid w:val="00173184"/>
    <w:rsid w:val="00174449"/>
    <w:rsid w:val="00175079"/>
    <w:rsid w:val="001761B9"/>
    <w:rsid w:val="00176C8B"/>
    <w:rsid w:val="00180A9C"/>
    <w:rsid w:val="00183515"/>
    <w:rsid w:val="00184667"/>
    <w:rsid w:val="001846FC"/>
    <w:rsid w:val="00185357"/>
    <w:rsid w:val="0019079F"/>
    <w:rsid w:val="001924FE"/>
    <w:rsid w:val="0019452C"/>
    <w:rsid w:val="001965E1"/>
    <w:rsid w:val="001A03BE"/>
    <w:rsid w:val="001A067E"/>
    <w:rsid w:val="001A2900"/>
    <w:rsid w:val="001A3190"/>
    <w:rsid w:val="001A4081"/>
    <w:rsid w:val="001A5865"/>
    <w:rsid w:val="001A64F0"/>
    <w:rsid w:val="001A65F1"/>
    <w:rsid w:val="001B14CC"/>
    <w:rsid w:val="001B2B40"/>
    <w:rsid w:val="001B3E9D"/>
    <w:rsid w:val="001B4A40"/>
    <w:rsid w:val="001B4C70"/>
    <w:rsid w:val="001B5524"/>
    <w:rsid w:val="001B6D8A"/>
    <w:rsid w:val="001C19D4"/>
    <w:rsid w:val="001C2B0B"/>
    <w:rsid w:val="001C436D"/>
    <w:rsid w:val="001C5BB9"/>
    <w:rsid w:val="001C67E5"/>
    <w:rsid w:val="001D45E2"/>
    <w:rsid w:val="001D63C8"/>
    <w:rsid w:val="001D65D8"/>
    <w:rsid w:val="001D7EC7"/>
    <w:rsid w:val="001E28B1"/>
    <w:rsid w:val="001E3DFD"/>
    <w:rsid w:val="001E42F0"/>
    <w:rsid w:val="001E497A"/>
    <w:rsid w:val="001E4A57"/>
    <w:rsid w:val="001E5E3B"/>
    <w:rsid w:val="001F0CC9"/>
    <w:rsid w:val="001F43AA"/>
    <w:rsid w:val="002019E1"/>
    <w:rsid w:val="00202EE1"/>
    <w:rsid w:val="00216818"/>
    <w:rsid w:val="002239AE"/>
    <w:rsid w:val="00225C46"/>
    <w:rsid w:val="00226493"/>
    <w:rsid w:val="00227040"/>
    <w:rsid w:val="00230CFC"/>
    <w:rsid w:val="0023162A"/>
    <w:rsid w:val="00231C1D"/>
    <w:rsid w:val="00231F34"/>
    <w:rsid w:val="00233244"/>
    <w:rsid w:val="00233532"/>
    <w:rsid w:val="0023380D"/>
    <w:rsid w:val="00234BC8"/>
    <w:rsid w:val="00241CED"/>
    <w:rsid w:val="00242FB4"/>
    <w:rsid w:val="00245605"/>
    <w:rsid w:val="002512C5"/>
    <w:rsid w:val="00252296"/>
    <w:rsid w:val="002542E0"/>
    <w:rsid w:val="002563F0"/>
    <w:rsid w:val="00256DBB"/>
    <w:rsid w:val="00260119"/>
    <w:rsid w:val="0026061B"/>
    <w:rsid w:val="002610E7"/>
    <w:rsid w:val="00266064"/>
    <w:rsid w:val="00267C8D"/>
    <w:rsid w:val="002701DD"/>
    <w:rsid w:val="00270880"/>
    <w:rsid w:val="002710FD"/>
    <w:rsid w:val="00271C9A"/>
    <w:rsid w:val="00273F49"/>
    <w:rsid w:val="00275305"/>
    <w:rsid w:val="0027697A"/>
    <w:rsid w:val="002769B5"/>
    <w:rsid w:val="00276B25"/>
    <w:rsid w:val="00276B59"/>
    <w:rsid w:val="0028050B"/>
    <w:rsid w:val="00281319"/>
    <w:rsid w:val="00286149"/>
    <w:rsid w:val="0028668D"/>
    <w:rsid w:val="00290289"/>
    <w:rsid w:val="00292188"/>
    <w:rsid w:val="002923D9"/>
    <w:rsid w:val="00292E5C"/>
    <w:rsid w:val="00296645"/>
    <w:rsid w:val="00296A4B"/>
    <w:rsid w:val="00297284"/>
    <w:rsid w:val="002A0077"/>
    <w:rsid w:val="002A07DC"/>
    <w:rsid w:val="002A2AC7"/>
    <w:rsid w:val="002A3573"/>
    <w:rsid w:val="002A374B"/>
    <w:rsid w:val="002A69CE"/>
    <w:rsid w:val="002A73E9"/>
    <w:rsid w:val="002B132B"/>
    <w:rsid w:val="002B2FC3"/>
    <w:rsid w:val="002B35F0"/>
    <w:rsid w:val="002B58AF"/>
    <w:rsid w:val="002C1ABE"/>
    <w:rsid w:val="002C3748"/>
    <w:rsid w:val="002C556F"/>
    <w:rsid w:val="002C5694"/>
    <w:rsid w:val="002C5E89"/>
    <w:rsid w:val="002D1EE7"/>
    <w:rsid w:val="002D42BC"/>
    <w:rsid w:val="002D48F5"/>
    <w:rsid w:val="002D6A88"/>
    <w:rsid w:val="002D71A9"/>
    <w:rsid w:val="002D7846"/>
    <w:rsid w:val="002D7FCB"/>
    <w:rsid w:val="002E05AE"/>
    <w:rsid w:val="002E0F91"/>
    <w:rsid w:val="002E125D"/>
    <w:rsid w:val="002E1376"/>
    <w:rsid w:val="002E49C5"/>
    <w:rsid w:val="002E7396"/>
    <w:rsid w:val="002F0C4A"/>
    <w:rsid w:val="002F0D5A"/>
    <w:rsid w:val="002F1632"/>
    <w:rsid w:val="002F3469"/>
    <w:rsid w:val="002F4760"/>
    <w:rsid w:val="002F4AD2"/>
    <w:rsid w:val="002F7507"/>
    <w:rsid w:val="0030059B"/>
    <w:rsid w:val="00302FB4"/>
    <w:rsid w:val="00305273"/>
    <w:rsid w:val="003057FC"/>
    <w:rsid w:val="00305AFB"/>
    <w:rsid w:val="00307C85"/>
    <w:rsid w:val="00312103"/>
    <w:rsid w:val="00312983"/>
    <w:rsid w:val="00314018"/>
    <w:rsid w:val="00317A0A"/>
    <w:rsid w:val="00321741"/>
    <w:rsid w:val="00323DC5"/>
    <w:rsid w:val="003248CB"/>
    <w:rsid w:val="00326556"/>
    <w:rsid w:val="00327731"/>
    <w:rsid w:val="0032790F"/>
    <w:rsid w:val="00331EA7"/>
    <w:rsid w:val="003328FC"/>
    <w:rsid w:val="003332B8"/>
    <w:rsid w:val="00337555"/>
    <w:rsid w:val="0034031C"/>
    <w:rsid w:val="00343B46"/>
    <w:rsid w:val="00344465"/>
    <w:rsid w:val="00344E5F"/>
    <w:rsid w:val="00346EDA"/>
    <w:rsid w:val="0034740A"/>
    <w:rsid w:val="003518FC"/>
    <w:rsid w:val="0035375B"/>
    <w:rsid w:val="00353781"/>
    <w:rsid w:val="003603C3"/>
    <w:rsid w:val="00360EF4"/>
    <w:rsid w:val="00362D74"/>
    <w:rsid w:val="003664E9"/>
    <w:rsid w:val="00366D1E"/>
    <w:rsid w:val="003703A5"/>
    <w:rsid w:val="0037112C"/>
    <w:rsid w:val="00373EE5"/>
    <w:rsid w:val="003774DF"/>
    <w:rsid w:val="003817E7"/>
    <w:rsid w:val="00381AAC"/>
    <w:rsid w:val="00382E55"/>
    <w:rsid w:val="00383B3C"/>
    <w:rsid w:val="003858AB"/>
    <w:rsid w:val="00390B55"/>
    <w:rsid w:val="00391E54"/>
    <w:rsid w:val="00392A65"/>
    <w:rsid w:val="003961B2"/>
    <w:rsid w:val="003968BF"/>
    <w:rsid w:val="003A01DF"/>
    <w:rsid w:val="003A41AD"/>
    <w:rsid w:val="003B0C41"/>
    <w:rsid w:val="003B152B"/>
    <w:rsid w:val="003B1734"/>
    <w:rsid w:val="003B1735"/>
    <w:rsid w:val="003B2D2E"/>
    <w:rsid w:val="003B51D7"/>
    <w:rsid w:val="003B68F7"/>
    <w:rsid w:val="003B6CBF"/>
    <w:rsid w:val="003B7E1A"/>
    <w:rsid w:val="003C40A8"/>
    <w:rsid w:val="003C47A7"/>
    <w:rsid w:val="003C4D41"/>
    <w:rsid w:val="003C6EB7"/>
    <w:rsid w:val="003D0826"/>
    <w:rsid w:val="003D0C68"/>
    <w:rsid w:val="003D18FC"/>
    <w:rsid w:val="003D3C93"/>
    <w:rsid w:val="003D533D"/>
    <w:rsid w:val="003D5757"/>
    <w:rsid w:val="003D5A50"/>
    <w:rsid w:val="003D71BB"/>
    <w:rsid w:val="003E00D5"/>
    <w:rsid w:val="003E02BA"/>
    <w:rsid w:val="003E72AC"/>
    <w:rsid w:val="003F0578"/>
    <w:rsid w:val="003F2AB3"/>
    <w:rsid w:val="003F7F38"/>
    <w:rsid w:val="00401325"/>
    <w:rsid w:val="004019AA"/>
    <w:rsid w:val="0040399B"/>
    <w:rsid w:val="00406F0C"/>
    <w:rsid w:val="00407D30"/>
    <w:rsid w:val="004106DB"/>
    <w:rsid w:val="00410A9A"/>
    <w:rsid w:val="00411251"/>
    <w:rsid w:val="00412585"/>
    <w:rsid w:val="00412F68"/>
    <w:rsid w:val="0041363B"/>
    <w:rsid w:val="00414FA8"/>
    <w:rsid w:val="00415017"/>
    <w:rsid w:val="004155CC"/>
    <w:rsid w:val="00415D5D"/>
    <w:rsid w:val="0041643A"/>
    <w:rsid w:val="004168A4"/>
    <w:rsid w:val="004232E9"/>
    <w:rsid w:val="0042422C"/>
    <w:rsid w:val="00425A62"/>
    <w:rsid w:val="00425A79"/>
    <w:rsid w:val="0042650F"/>
    <w:rsid w:val="0042684F"/>
    <w:rsid w:val="00427D5D"/>
    <w:rsid w:val="00430DDD"/>
    <w:rsid w:val="00431E0B"/>
    <w:rsid w:val="004337FE"/>
    <w:rsid w:val="00433E98"/>
    <w:rsid w:val="00435738"/>
    <w:rsid w:val="00437137"/>
    <w:rsid w:val="004403B8"/>
    <w:rsid w:val="00441ADA"/>
    <w:rsid w:val="004422CA"/>
    <w:rsid w:val="0044274C"/>
    <w:rsid w:val="0044371C"/>
    <w:rsid w:val="00443824"/>
    <w:rsid w:val="00444B8E"/>
    <w:rsid w:val="0044627E"/>
    <w:rsid w:val="004474E4"/>
    <w:rsid w:val="0045114F"/>
    <w:rsid w:val="004529D3"/>
    <w:rsid w:val="00453F31"/>
    <w:rsid w:val="00456B0C"/>
    <w:rsid w:val="00460101"/>
    <w:rsid w:val="00462447"/>
    <w:rsid w:val="0046538B"/>
    <w:rsid w:val="0046584A"/>
    <w:rsid w:val="004705F3"/>
    <w:rsid w:val="0047066D"/>
    <w:rsid w:val="00471670"/>
    <w:rsid w:val="00471C92"/>
    <w:rsid w:val="004739AC"/>
    <w:rsid w:val="00474489"/>
    <w:rsid w:val="00475FEF"/>
    <w:rsid w:val="0047680F"/>
    <w:rsid w:val="00477536"/>
    <w:rsid w:val="0047776F"/>
    <w:rsid w:val="004801FC"/>
    <w:rsid w:val="00482D5B"/>
    <w:rsid w:val="004832E2"/>
    <w:rsid w:val="00485F9D"/>
    <w:rsid w:val="00486379"/>
    <w:rsid w:val="004870EA"/>
    <w:rsid w:val="004873EC"/>
    <w:rsid w:val="00487F13"/>
    <w:rsid w:val="00492D9C"/>
    <w:rsid w:val="00494389"/>
    <w:rsid w:val="00494BCF"/>
    <w:rsid w:val="0049595F"/>
    <w:rsid w:val="00496193"/>
    <w:rsid w:val="004A02AF"/>
    <w:rsid w:val="004A1862"/>
    <w:rsid w:val="004A2D66"/>
    <w:rsid w:val="004A4449"/>
    <w:rsid w:val="004A679B"/>
    <w:rsid w:val="004B0FD8"/>
    <w:rsid w:val="004B554C"/>
    <w:rsid w:val="004B672A"/>
    <w:rsid w:val="004B7ABA"/>
    <w:rsid w:val="004C0FB4"/>
    <w:rsid w:val="004C1811"/>
    <w:rsid w:val="004C2944"/>
    <w:rsid w:val="004C4555"/>
    <w:rsid w:val="004C4893"/>
    <w:rsid w:val="004C7AAA"/>
    <w:rsid w:val="004D0023"/>
    <w:rsid w:val="004D16D6"/>
    <w:rsid w:val="004D1D88"/>
    <w:rsid w:val="004D59FA"/>
    <w:rsid w:val="004D6CEA"/>
    <w:rsid w:val="004D7259"/>
    <w:rsid w:val="004E0E02"/>
    <w:rsid w:val="004E234F"/>
    <w:rsid w:val="004E3564"/>
    <w:rsid w:val="004E3D9F"/>
    <w:rsid w:val="004E3F12"/>
    <w:rsid w:val="004E4720"/>
    <w:rsid w:val="004E51C0"/>
    <w:rsid w:val="004E64BE"/>
    <w:rsid w:val="004F56FA"/>
    <w:rsid w:val="004F6293"/>
    <w:rsid w:val="004F7F5C"/>
    <w:rsid w:val="00503B8D"/>
    <w:rsid w:val="00503EE3"/>
    <w:rsid w:val="00505811"/>
    <w:rsid w:val="0051261C"/>
    <w:rsid w:val="005142D5"/>
    <w:rsid w:val="00515DE7"/>
    <w:rsid w:val="00517EB0"/>
    <w:rsid w:val="005205CB"/>
    <w:rsid w:val="00520D44"/>
    <w:rsid w:val="00521165"/>
    <w:rsid w:val="00523B09"/>
    <w:rsid w:val="0052430C"/>
    <w:rsid w:val="00533811"/>
    <w:rsid w:val="005348E4"/>
    <w:rsid w:val="00534D8F"/>
    <w:rsid w:val="005352F1"/>
    <w:rsid w:val="005369CE"/>
    <w:rsid w:val="00537311"/>
    <w:rsid w:val="00540094"/>
    <w:rsid w:val="00545CDA"/>
    <w:rsid w:val="00545CFF"/>
    <w:rsid w:val="005467E9"/>
    <w:rsid w:val="00547A9C"/>
    <w:rsid w:val="005534FB"/>
    <w:rsid w:val="005552F8"/>
    <w:rsid w:val="00555800"/>
    <w:rsid w:val="00556945"/>
    <w:rsid w:val="00556DBB"/>
    <w:rsid w:val="00560781"/>
    <w:rsid w:val="0056268F"/>
    <w:rsid w:val="00565DA4"/>
    <w:rsid w:val="005662E9"/>
    <w:rsid w:val="0056685B"/>
    <w:rsid w:val="005700F8"/>
    <w:rsid w:val="00570DBB"/>
    <w:rsid w:val="00572AAF"/>
    <w:rsid w:val="00576BDC"/>
    <w:rsid w:val="00577461"/>
    <w:rsid w:val="005801AE"/>
    <w:rsid w:val="0058146F"/>
    <w:rsid w:val="00582868"/>
    <w:rsid w:val="00582ECC"/>
    <w:rsid w:val="0058399B"/>
    <w:rsid w:val="0058692F"/>
    <w:rsid w:val="00587045"/>
    <w:rsid w:val="00587C22"/>
    <w:rsid w:val="005907BE"/>
    <w:rsid w:val="0059436D"/>
    <w:rsid w:val="005943C4"/>
    <w:rsid w:val="005945C0"/>
    <w:rsid w:val="00596AB2"/>
    <w:rsid w:val="00597016"/>
    <w:rsid w:val="005974B7"/>
    <w:rsid w:val="005A0D51"/>
    <w:rsid w:val="005A181B"/>
    <w:rsid w:val="005A1CB3"/>
    <w:rsid w:val="005A2D6B"/>
    <w:rsid w:val="005A3073"/>
    <w:rsid w:val="005A33A5"/>
    <w:rsid w:val="005A37D7"/>
    <w:rsid w:val="005A3B63"/>
    <w:rsid w:val="005A5437"/>
    <w:rsid w:val="005A66C4"/>
    <w:rsid w:val="005A6969"/>
    <w:rsid w:val="005A70A0"/>
    <w:rsid w:val="005A76B1"/>
    <w:rsid w:val="005B0612"/>
    <w:rsid w:val="005B13F0"/>
    <w:rsid w:val="005B1EDB"/>
    <w:rsid w:val="005B29DE"/>
    <w:rsid w:val="005B2E0C"/>
    <w:rsid w:val="005B30F6"/>
    <w:rsid w:val="005B45BA"/>
    <w:rsid w:val="005B4C23"/>
    <w:rsid w:val="005B54B7"/>
    <w:rsid w:val="005B5689"/>
    <w:rsid w:val="005B5814"/>
    <w:rsid w:val="005B6680"/>
    <w:rsid w:val="005B6774"/>
    <w:rsid w:val="005B7E69"/>
    <w:rsid w:val="005C0A89"/>
    <w:rsid w:val="005C3BC4"/>
    <w:rsid w:val="005C58BB"/>
    <w:rsid w:val="005D26CC"/>
    <w:rsid w:val="005D4711"/>
    <w:rsid w:val="005D59B1"/>
    <w:rsid w:val="005D764B"/>
    <w:rsid w:val="005E2367"/>
    <w:rsid w:val="005E34D2"/>
    <w:rsid w:val="005E5E90"/>
    <w:rsid w:val="005E62C7"/>
    <w:rsid w:val="005E654C"/>
    <w:rsid w:val="005F05F6"/>
    <w:rsid w:val="005F0D07"/>
    <w:rsid w:val="005F561C"/>
    <w:rsid w:val="00603DFD"/>
    <w:rsid w:val="00605734"/>
    <w:rsid w:val="00610934"/>
    <w:rsid w:val="006119B9"/>
    <w:rsid w:val="00612A3C"/>
    <w:rsid w:val="0061488E"/>
    <w:rsid w:val="006153D1"/>
    <w:rsid w:val="0061574B"/>
    <w:rsid w:val="00616406"/>
    <w:rsid w:val="00621C47"/>
    <w:rsid w:val="00622670"/>
    <w:rsid w:val="00623328"/>
    <w:rsid w:val="00623A1A"/>
    <w:rsid w:val="00625D28"/>
    <w:rsid w:val="00626E8D"/>
    <w:rsid w:val="00627284"/>
    <w:rsid w:val="0063156B"/>
    <w:rsid w:val="006326A9"/>
    <w:rsid w:val="00632DA8"/>
    <w:rsid w:val="00634C4B"/>
    <w:rsid w:val="00634E6E"/>
    <w:rsid w:val="006358F7"/>
    <w:rsid w:val="00636170"/>
    <w:rsid w:val="0063651F"/>
    <w:rsid w:val="00640886"/>
    <w:rsid w:val="00641732"/>
    <w:rsid w:val="00642482"/>
    <w:rsid w:val="0064342A"/>
    <w:rsid w:val="006436CA"/>
    <w:rsid w:val="00643A28"/>
    <w:rsid w:val="006446F2"/>
    <w:rsid w:val="006452FA"/>
    <w:rsid w:val="00645724"/>
    <w:rsid w:val="0065093D"/>
    <w:rsid w:val="00652A16"/>
    <w:rsid w:val="00653D7D"/>
    <w:rsid w:val="00655193"/>
    <w:rsid w:val="00655459"/>
    <w:rsid w:val="006557DB"/>
    <w:rsid w:val="00656FB2"/>
    <w:rsid w:val="006579EC"/>
    <w:rsid w:val="00657A70"/>
    <w:rsid w:val="00661454"/>
    <w:rsid w:val="006620AA"/>
    <w:rsid w:val="006626AF"/>
    <w:rsid w:val="0066642D"/>
    <w:rsid w:val="006722E2"/>
    <w:rsid w:val="00675E85"/>
    <w:rsid w:val="00676671"/>
    <w:rsid w:val="0067750F"/>
    <w:rsid w:val="00681396"/>
    <w:rsid w:val="0068171F"/>
    <w:rsid w:val="0068401E"/>
    <w:rsid w:val="006841A4"/>
    <w:rsid w:val="00684551"/>
    <w:rsid w:val="00684902"/>
    <w:rsid w:val="0068643F"/>
    <w:rsid w:val="00686749"/>
    <w:rsid w:val="006877A1"/>
    <w:rsid w:val="00691039"/>
    <w:rsid w:val="00692150"/>
    <w:rsid w:val="00692F0C"/>
    <w:rsid w:val="006934E8"/>
    <w:rsid w:val="006944B0"/>
    <w:rsid w:val="00695713"/>
    <w:rsid w:val="00696E7C"/>
    <w:rsid w:val="00696EF2"/>
    <w:rsid w:val="006A09A8"/>
    <w:rsid w:val="006A0C54"/>
    <w:rsid w:val="006A3673"/>
    <w:rsid w:val="006A3E54"/>
    <w:rsid w:val="006A442C"/>
    <w:rsid w:val="006A5E38"/>
    <w:rsid w:val="006A7C53"/>
    <w:rsid w:val="006B140A"/>
    <w:rsid w:val="006B309C"/>
    <w:rsid w:val="006B4316"/>
    <w:rsid w:val="006B50DE"/>
    <w:rsid w:val="006B727F"/>
    <w:rsid w:val="006C12C1"/>
    <w:rsid w:val="006C1B57"/>
    <w:rsid w:val="006C4D4E"/>
    <w:rsid w:val="006C5582"/>
    <w:rsid w:val="006C6D3A"/>
    <w:rsid w:val="006C7B36"/>
    <w:rsid w:val="006C7B7F"/>
    <w:rsid w:val="006D016C"/>
    <w:rsid w:val="006D19E8"/>
    <w:rsid w:val="006D6B13"/>
    <w:rsid w:val="006D7768"/>
    <w:rsid w:val="006E04B5"/>
    <w:rsid w:val="006E1AC4"/>
    <w:rsid w:val="006E3056"/>
    <w:rsid w:val="006E330C"/>
    <w:rsid w:val="006E3DD8"/>
    <w:rsid w:val="006E793F"/>
    <w:rsid w:val="006F0154"/>
    <w:rsid w:val="006F608D"/>
    <w:rsid w:val="006F7944"/>
    <w:rsid w:val="00703D7D"/>
    <w:rsid w:val="00704121"/>
    <w:rsid w:val="0070500F"/>
    <w:rsid w:val="00705BB5"/>
    <w:rsid w:val="00712ED4"/>
    <w:rsid w:val="0071326F"/>
    <w:rsid w:val="007153D7"/>
    <w:rsid w:val="00720ED4"/>
    <w:rsid w:val="00722736"/>
    <w:rsid w:val="007318DE"/>
    <w:rsid w:val="00731AF4"/>
    <w:rsid w:val="00734A3B"/>
    <w:rsid w:val="00737BE4"/>
    <w:rsid w:val="00740D7F"/>
    <w:rsid w:val="00744081"/>
    <w:rsid w:val="0074488F"/>
    <w:rsid w:val="00745AA8"/>
    <w:rsid w:val="00746782"/>
    <w:rsid w:val="007503E0"/>
    <w:rsid w:val="00750D72"/>
    <w:rsid w:val="007510EC"/>
    <w:rsid w:val="0075233C"/>
    <w:rsid w:val="0075256A"/>
    <w:rsid w:val="00752DCD"/>
    <w:rsid w:val="00755674"/>
    <w:rsid w:val="007569DE"/>
    <w:rsid w:val="0075723C"/>
    <w:rsid w:val="00760956"/>
    <w:rsid w:val="0076146A"/>
    <w:rsid w:val="0076350E"/>
    <w:rsid w:val="0076369C"/>
    <w:rsid w:val="00763F36"/>
    <w:rsid w:val="00775BDF"/>
    <w:rsid w:val="0077614D"/>
    <w:rsid w:val="00780F8D"/>
    <w:rsid w:val="00782C8F"/>
    <w:rsid w:val="00784627"/>
    <w:rsid w:val="00785F78"/>
    <w:rsid w:val="0078659D"/>
    <w:rsid w:val="007869EC"/>
    <w:rsid w:val="00786B45"/>
    <w:rsid w:val="00787215"/>
    <w:rsid w:val="00787B75"/>
    <w:rsid w:val="00791ED8"/>
    <w:rsid w:val="00795B3C"/>
    <w:rsid w:val="007A1E58"/>
    <w:rsid w:val="007A3DA0"/>
    <w:rsid w:val="007A559C"/>
    <w:rsid w:val="007A5B73"/>
    <w:rsid w:val="007A5C7E"/>
    <w:rsid w:val="007A63F9"/>
    <w:rsid w:val="007A69A9"/>
    <w:rsid w:val="007A6E2F"/>
    <w:rsid w:val="007A71F1"/>
    <w:rsid w:val="007B0DF2"/>
    <w:rsid w:val="007B17D9"/>
    <w:rsid w:val="007B2B10"/>
    <w:rsid w:val="007B3BC5"/>
    <w:rsid w:val="007B3F78"/>
    <w:rsid w:val="007B6F8D"/>
    <w:rsid w:val="007C1832"/>
    <w:rsid w:val="007C2D58"/>
    <w:rsid w:val="007C4C35"/>
    <w:rsid w:val="007C4C61"/>
    <w:rsid w:val="007D03DF"/>
    <w:rsid w:val="007D102F"/>
    <w:rsid w:val="007D2B7A"/>
    <w:rsid w:val="007D2D13"/>
    <w:rsid w:val="007D4953"/>
    <w:rsid w:val="007D5010"/>
    <w:rsid w:val="007D50F4"/>
    <w:rsid w:val="007D7173"/>
    <w:rsid w:val="007D7602"/>
    <w:rsid w:val="007E1216"/>
    <w:rsid w:val="007E4CD4"/>
    <w:rsid w:val="007E530C"/>
    <w:rsid w:val="007F0E8E"/>
    <w:rsid w:val="007F2149"/>
    <w:rsid w:val="007F4E00"/>
    <w:rsid w:val="00800BB0"/>
    <w:rsid w:val="00804538"/>
    <w:rsid w:val="008048CF"/>
    <w:rsid w:val="008066CB"/>
    <w:rsid w:val="00807255"/>
    <w:rsid w:val="008078E5"/>
    <w:rsid w:val="008079DD"/>
    <w:rsid w:val="0081130F"/>
    <w:rsid w:val="00813095"/>
    <w:rsid w:val="00813980"/>
    <w:rsid w:val="008145AD"/>
    <w:rsid w:val="008146B2"/>
    <w:rsid w:val="00815F48"/>
    <w:rsid w:val="00822389"/>
    <w:rsid w:val="00823906"/>
    <w:rsid w:val="00824430"/>
    <w:rsid w:val="00825B1F"/>
    <w:rsid w:val="00827D55"/>
    <w:rsid w:val="00832447"/>
    <w:rsid w:val="00832C84"/>
    <w:rsid w:val="0084027C"/>
    <w:rsid w:val="00840EDD"/>
    <w:rsid w:val="0084255F"/>
    <w:rsid w:val="00846FB1"/>
    <w:rsid w:val="00851C5C"/>
    <w:rsid w:val="00853054"/>
    <w:rsid w:val="00854606"/>
    <w:rsid w:val="00854FB3"/>
    <w:rsid w:val="00855EAE"/>
    <w:rsid w:val="0085670D"/>
    <w:rsid w:val="0085682D"/>
    <w:rsid w:val="00857935"/>
    <w:rsid w:val="00857FCA"/>
    <w:rsid w:val="00860F13"/>
    <w:rsid w:val="0086199C"/>
    <w:rsid w:val="00861F8B"/>
    <w:rsid w:val="0086561F"/>
    <w:rsid w:val="00865894"/>
    <w:rsid w:val="00865A7A"/>
    <w:rsid w:val="00865FE1"/>
    <w:rsid w:val="008703B2"/>
    <w:rsid w:val="0087069B"/>
    <w:rsid w:val="0087162D"/>
    <w:rsid w:val="00871737"/>
    <w:rsid w:val="00874542"/>
    <w:rsid w:val="008748C7"/>
    <w:rsid w:val="0087521A"/>
    <w:rsid w:val="008757D5"/>
    <w:rsid w:val="008808C0"/>
    <w:rsid w:val="0088196A"/>
    <w:rsid w:val="00881F5D"/>
    <w:rsid w:val="00882255"/>
    <w:rsid w:val="00886C48"/>
    <w:rsid w:val="00890BDE"/>
    <w:rsid w:val="00892AD3"/>
    <w:rsid w:val="00894155"/>
    <w:rsid w:val="00895269"/>
    <w:rsid w:val="008962E7"/>
    <w:rsid w:val="008966CD"/>
    <w:rsid w:val="00897582"/>
    <w:rsid w:val="008A0782"/>
    <w:rsid w:val="008A1118"/>
    <w:rsid w:val="008A281F"/>
    <w:rsid w:val="008A305D"/>
    <w:rsid w:val="008A43DE"/>
    <w:rsid w:val="008A48D2"/>
    <w:rsid w:val="008A4AF6"/>
    <w:rsid w:val="008A4FF8"/>
    <w:rsid w:val="008A58AF"/>
    <w:rsid w:val="008A5ED1"/>
    <w:rsid w:val="008A73CE"/>
    <w:rsid w:val="008A7FD1"/>
    <w:rsid w:val="008B042E"/>
    <w:rsid w:val="008B1CC0"/>
    <w:rsid w:val="008B1D56"/>
    <w:rsid w:val="008B211E"/>
    <w:rsid w:val="008B6D48"/>
    <w:rsid w:val="008C49AA"/>
    <w:rsid w:val="008C7660"/>
    <w:rsid w:val="008C79A7"/>
    <w:rsid w:val="008D35F5"/>
    <w:rsid w:val="008D439A"/>
    <w:rsid w:val="008D5521"/>
    <w:rsid w:val="008D555F"/>
    <w:rsid w:val="008D625D"/>
    <w:rsid w:val="008D650E"/>
    <w:rsid w:val="008D6F9F"/>
    <w:rsid w:val="008E1811"/>
    <w:rsid w:val="008E673E"/>
    <w:rsid w:val="008E67D1"/>
    <w:rsid w:val="008E6A41"/>
    <w:rsid w:val="008E6FC1"/>
    <w:rsid w:val="008E7E8E"/>
    <w:rsid w:val="008F15D5"/>
    <w:rsid w:val="008F20EA"/>
    <w:rsid w:val="008F4455"/>
    <w:rsid w:val="008F79C4"/>
    <w:rsid w:val="009011FD"/>
    <w:rsid w:val="00903990"/>
    <w:rsid w:val="009042A8"/>
    <w:rsid w:val="00904950"/>
    <w:rsid w:val="0090718B"/>
    <w:rsid w:val="00907DF2"/>
    <w:rsid w:val="0091442E"/>
    <w:rsid w:val="00914A0F"/>
    <w:rsid w:val="00915E5E"/>
    <w:rsid w:val="009166B8"/>
    <w:rsid w:val="00916FA5"/>
    <w:rsid w:val="00917915"/>
    <w:rsid w:val="00920684"/>
    <w:rsid w:val="009216E6"/>
    <w:rsid w:val="009224EC"/>
    <w:rsid w:val="00922D94"/>
    <w:rsid w:val="00922DB7"/>
    <w:rsid w:val="009254BA"/>
    <w:rsid w:val="0092684A"/>
    <w:rsid w:val="00927654"/>
    <w:rsid w:val="00937FAB"/>
    <w:rsid w:val="00940397"/>
    <w:rsid w:val="009408DA"/>
    <w:rsid w:val="0094094D"/>
    <w:rsid w:val="00941327"/>
    <w:rsid w:val="00942AB8"/>
    <w:rsid w:val="0094548C"/>
    <w:rsid w:val="00945CAF"/>
    <w:rsid w:val="00946AC9"/>
    <w:rsid w:val="00947448"/>
    <w:rsid w:val="00952B38"/>
    <w:rsid w:val="00952C99"/>
    <w:rsid w:val="009619EB"/>
    <w:rsid w:val="00965333"/>
    <w:rsid w:val="009674DA"/>
    <w:rsid w:val="00967D07"/>
    <w:rsid w:val="009700A0"/>
    <w:rsid w:val="00970E93"/>
    <w:rsid w:val="009712EF"/>
    <w:rsid w:val="009727BF"/>
    <w:rsid w:val="00973321"/>
    <w:rsid w:val="00975C2E"/>
    <w:rsid w:val="009770EB"/>
    <w:rsid w:val="00977270"/>
    <w:rsid w:val="00980FC1"/>
    <w:rsid w:val="0098109C"/>
    <w:rsid w:val="009824F2"/>
    <w:rsid w:val="00982C5A"/>
    <w:rsid w:val="00983080"/>
    <w:rsid w:val="009841FF"/>
    <w:rsid w:val="00984428"/>
    <w:rsid w:val="00986794"/>
    <w:rsid w:val="00986AA3"/>
    <w:rsid w:val="00993B24"/>
    <w:rsid w:val="00993D8C"/>
    <w:rsid w:val="0099611F"/>
    <w:rsid w:val="0099615E"/>
    <w:rsid w:val="009A083F"/>
    <w:rsid w:val="009A135C"/>
    <w:rsid w:val="009A67E7"/>
    <w:rsid w:val="009B384A"/>
    <w:rsid w:val="009C0C3C"/>
    <w:rsid w:val="009C603A"/>
    <w:rsid w:val="009C74CD"/>
    <w:rsid w:val="009D048F"/>
    <w:rsid w:val="009D0E73"/>
    <w:rsid w:val="009D147F"/>
    <w:rsid w:val="009D162F"/>
    <w:rsid w:val="009D23FF"/>
    <w:rsid w:val="009D401F"/>
    <w:rsid w:val="009D4A6C"/>
    <w:rsid w:val="009D5B42"/>
    <w:rsid w:val="009D68FA"/>
    <w:rsid w:val="009D7B6E"/>
    <w:rsid w:val="009E110A"/>
    <w:rsid w:val="009E1E4F"/>
    <w:rsid w:val="009E2676"/>
    <w:rsid w:val="009E32CF"/>
    <w:rsid w:val="009E4261"/>
    <w:rsid w:val="009E478A"/>
    <w:rsid w:val="009E4FC2"/>
    <w:rsid w:val="009E6CE9"/>
    <w:rsid w:val="009F2307"/>
    <w:rsid w:val="009F44AE"/>
    <w:rsid w:val="009F59B9"/>
    <w:rsid w:val="009F5AA2"/>
    <w:rsid w:val="009F6FF7"/>
    <w:rsid w:val="00A01077"/>
    <w:rsid w:val="00A02529"/>
    <w:rsid w:val="00A028EB"/>
    <w:rsid w:val="00A02EF2"/>
    <w:rsid w:val="00A02F3E"/>
    <w:rsid w:val="00A04D5E"/>
    <w:rsid w:val="00A0668A"/>
    <w:rsid w:val="00A10DDF"/>
    <w:rsid w:val="00A11172"/>
    <w:rsid w:val="00A1219E"/>
    <w:rsid w:val="00A12E55"/>
    <w:rsid w:val="00A136F1"/>
    <w:rsid w:val="00A145F0"/>
    <w:rsid w:val="00A168D7"/>
    <w:rsid w:val="00A20F81"/>
    <w:rsid w:val="00A23833"/>
    <w:rsid w:val="00A2411A"/>
    <w:rsid w:val="00A242E4"/>
    <w:rsid w:val="00A24437"/>
    <w:rsid w:val="00A24CA0"/>
    <w:rsid w:val="00A25D4B"/>
    <w:rsid w:val="00A33601"/>
    <w:rsid w:val="00A3362A"/>
    <w:rsid w:val="00A339FC"/>
    <w:rsid w:val="00A34251"/>
    <w:rsid w:val="00A35278"/>
    <w:rsid w:val="00A35E09"/>
    <w:rsid w:val="00A36257"/>
    <w:rsid w:val="00A37045"/>
    <w:rsid w:val="00A37B70"/>
    <w:rsid w:val="00A40AC7"/>
    <w:rsid w:val="00A435C7"/>
    <w:rsid w:val="00A45E5B"/>
    <w:rsid w:val="00A4630B"/>
    <w:rsid w:val="00A543ED"/>
    <w:rsid w:val="00A55607"/>
    <w:rsid w:val="00A569B2"/>
    <w:rsid w:val="00A60CDA"/>
    <w:rsid w:val="00A611A4"/>
    <w:rsid w:val="00A61F09"/>
    <w:rsid w:val="00A637ED"/>
    <w:rsid w:val="00A63E1A"/>
    <w:rsid w:val="00A643DC"/>
    <w:rsid w:val="00A658FA"/>
    <w:rsid w:val="00A6695B"/>
    <w:rsid w:val="00A72703"/>
    <w:rsid w:val="00A727F6"/>
    <w:rsid w:val="00A72E71"/>
    <w:rsid w:val="00A73560"/>
    <w:rsid w:val="00A73DBC"/>
    <w:rsid w:val="00A76432"/>
    <w:rsid w:val="00A770C0"/>
    <w:rsid w:val="00A84AF2"/>
    <w:rsid w:val="00A84FC6"/>
    <w:rsid w:val="00A8528E"/>
    <w:rsid w:val="00A860B0"/>
    <w:rsid w:val="00A9026B"/>
    <w:rsid w:val="00A90BD9"/>
    <w:rsid w:val="00A9101B"/>
    <w:rsid w:val="00A94A49"/>
    <w:rsid w:val="00A94E17"/>
    <w:rsid w:val="00A95C5E"/>
    <w:rsid w:val="00AA1815"/>
    <w:rsid w:val="00AA1D3E"/>
    <w:rsid w:val="00AA20E7"/>
    <w:rsid w:val="00AA243E"/>
    <w:rsid w:val="00AA2590"/>
    <w:rsid w:val="00AA39F9"/>
    <w:rsid w:val="00AA4273"/>
    <w:rsid w:val="00AA6D50"/>
    <w:rsid w:val="00AA79D3"/>
    <w:rsid w:val="00AB00E1"/>
    <w:rsid w:val="00AB0931"/>
    <w:rsid w:val="00AB4DC4"/>
    <w:rsid w:val="00AB5C9B"/>
    <w:rsid w:val="00AB66DC"/>
    <w:rsid w:val="00AC0159"/>
    <w:rsid w:val="00AC0276"/>
    <w:rsid w:val="00AC0312"/>
    <w:rsid w:val="00AC0449"/>
    <w:rsid w:val="00AC0DC3"/>
    <w:rsid w:val="00AD035F"/>
    <w:rsid w:val="00AD2497"/>
    <w:rsid w:val="00AD2861"/>
    <w:rsid w:val="00AD3C3C"/>
    <w:rsid w:val="00AD3E06"/>
    <w:rsid w:val="00AD5C04"/>
    <w:rsid w:val="00AD5EB4"/>
    <w:rsid w:val="00AD667B"/>
    <w:rsid w:val="00AE0602"/>
    <w:rsid w:val="00AE0E26"/>
    <w:rsid w:val="00AE5C78"/>
    <w:rsid w:val="00AE63E2"/>
    <w:rsid w:val="00AE7976"/>
    <w:rsid w:val="00AF04C9"/>
    <w:rsid w:val="00AF04FF"/>
    <w:rsid w:val="00AF0D3C"/>
    <w:rsid w:val="00AF19A2"/>
    <w:rsid w:val="00AF1DC4"/>
    <w:rsid w:val="00AF26B6"/>
    <w:rsid w:val="00AF2979"/>
    <w:rsid w:val="00AF3189"/>
    <w:rsid w:val="00AF3EEB"/>
    <w:rsid w:val="00AF5BF8"/>
    <w:rsid w:val="00B0375C"/>
    <w:rsid w:val="00B04D6D"/>
    <w:rsid w:val="00B052CB"/>
    <w:rsid w:val="00B14598"/>
    <w:rsid w:val="00B156C3"/>
    <w:rsid w:val="00B15F67"/>
    <w:rsid w:val="00B1624F"/>
    <w:rsid w:val="00B20F5D"/>
    <w:rsid w:val="00B21184"/>
    <w:rsid w:val="00B224C5"/>
    <w:rsid w:val="00B254B7"/>
    <w:rsid w:val="00B26F85"/>
    <w:rsid w:val="00B32374"/>
    <w:rsid w:val="00B325CD"/>
    <w:rsid w:val="00B34EEF"/>
    <w:rsid w:val="00B36C0F"/>
    <w:rsid w:val="00B37793"/>
    <w:rsid w:val="00B41203"/>
    <w:rsid w:val="00B430B0"/>
    <w:rsid w:val="00B44F03"/>
    <w:rsid w:val="00B4561E"/>
    <w:rsid w:val="00B4768D"/>
    <w:rsid w:val="00B518E5"/>
    <w:rsid w:val="00B51E1F"/>
    <w:rsid w:val="00B52601"/>
    <w:rsid w:val="00B54B5A"/>
    <w:rsid w:val="00B55C9B"/>
    <w:rsid w:val="00B57032"/>
    <w:rsid w:val="00B60222"/>
    <w:rsid w:val="00B62CFB"/>
    <w:rsid w:val="00B662F5"/>
    <w:rsid w:val="00B7000C"/>
    <w:rsid w:val="00B72AD8"/>
    <w:rsid w:val="00B760D5"/>
    <w:rsid w:val="00B77495"/>
    <w:rsid w:val="00B833D6"/>
    <w:rsid w:val="00B83B2C"/>
    <w:rsid w:val="00B8539A"/>
    <w:rsid w:val="00B92049"/>
    <w:rsid w:val="00B9299D"/>
    <w:rsid w:val="00B94740"/>
    <w:rsid w:val="00B95002"/>
    <w:rsid w:val="00B97F75"/>
    <w:rsid w:val="00BA0A4F"/>
    <w:rsid w:val="00BA1CAE"/>
    <w:rsid w:val="00BA31CF"/>
    <w:rsid w:val="00BA33BB"/>
    <w:rsid w:val="00BA4830"/>
    <w:rsid w:val="00BA57CB"/>
    <w:rsid w:val="00BA6E22"/>
    <w:rsid w:val="00BB1460"/>
    <w:rsid w:val="00BB362C"/>
    <w:rsid w:val="00BB3ED8"/>
    <w:rsid w:val="00BB5942"/>
    <w:rsid w:val="00BB6679"/>
    <w:rsid w:val="00BC0A03"/>
    <w:rsid w:val="00BC22DF"/>
    <w:rsid w:val="00BC4A42"/>
    <w:rsid w:val="00BC5560"/>
    <w:rsid w:val="00BC5BB4"/>
    <w:rsid w:val="00BC7A60"/>
    <w:rsid w:val="00BD4139"/>
    <w:rsid w:val="00BD4DA8"/>
    <w:rsid w:val="00BD61D3"/>
    <w:rsid w:val="00BD6CC9"/>
    <w:rsid w:val="00BE059A"/>
    <w:rsid w:val="00BE1981"/>
    <w:rsid w:val="00BE22E0"/>
    <w:rsid w:val="00BE2DA6"/>
    <w:rsid w:val="00BE2E86"/>
    <w:rsid w:val="00BE320B"/>
    <w:rsid w:val="00BE43A2"/>
    <w:rsid w:val="00BE5503"/>
    <w:rsid w:val="00BE56E9"/>
    <w:rsid w:val="00BE63CF"/>
    <w:rsid w:val="00BE7014"/>
    <w:rsid w:val="00BE7991"/>
    <w:rsid w:val="00BF25C7"/>
    <w:rsid w:val="00C009B7"/>
    <w:rsid w:val="00C02B8F"/>
    <w:rsid w:val="00C04E32"/>
    <w:rsid w:val="00C116B1"/>
    <w:rsid w:val="00C15A3F"/>
    <w:rsid w:val="00C17BE2"/>
    <w:rsid w:val="00C20630"/>
    <w:rsid w:val="00C224A4"/>
    <w:rsid w:val="00C22F7A"/>
    <w:rsid w:val="00C23140"/>
    <w:rsid w:val="00C231BC"/>
    <w:rsid w:val="00C24BD6"/>
    <w:rsid w:val="00C2666F"/>
    <w:rsid w:val="00C27030"/>
    <w:rsid w:val="00C32020"/>
    <w:rsid w:val="00C32770"/>
    <w:rsid w:val="00C32D02"/>
    <w:rsid w:val="00C3408C"/>
    <w:rsid w:val="00C3484D"/>
    <w:rsid w:val="00C351CC"/>
    <w:rsid w:val="00C35435"/>
    <w:rsid w:val="00C432FD"/>
    <w:rsid w:val="00C43CDF"/>
    <w:rsid w:val="00C4608E"/>
    <w:rsid w:val="00C46A65"/>
    <w:rsid w:val="00C512B2"/>
    <w:rsid w:val="00C53B5D"/>
    <w:rsid w:val="00C571FB"/>
    <w:rsid w:val="00C57381"/>
    <w:rsid w:val="00C5785A"/>
    <w:rsid w:val="00C61D56"/>
    <w:rsid w:val="00C62B69"/>
    <w:rsid w:val="00C644B7"/>
    <w:rsid w:val="00C64564"/>
    <w:rsid w:val="00C667A4"/>
    <w:rsid w:val="00C66D6F"/>
    <w:rsid w:val="00C71377"/>
    <w:rsid w:val="00C730E8"/>
    <w:rsid w:val="00C73C87"/>
    <w:rsid w:val="00C74B6F"/>
    <w:rsid w:val="00C75CC0"/>
    <w:rsid w:val="00C76838"/>
    <w:rsid w:val="00C77858"/>
    <w:rsid w:val="00C83A10"/>
    <w:rsid w:val="00C87689"/>
    <w:rsid w:val="00C87EF3"/>
    <w:rsid w:val="00C9015F"/>
    <w:rsid w:val="00C912F9"/>
    <w:rsid w:val="00C91B22"/>
    <w:rsid w:val="00C91EEB"/>
    <w:rsid w:val="00C9241B"/>
    <w:rsid w:val="00C9370B"/>
    <w:rsid w:val="00C93ED3"/>
    <w:rsid w:val="00C9676E"/>
    <w:rsid w:val="00C96C7D"/>
    <w:rsid w:val="00C96DDF"/>
    <w:rsid w:val="00C97569"/>
    <w:rsid w:val="00CA199D"/>
    <w:rsid w:val="00CA4D9C"/>
    <w:rsid w:val="00CA6D71"/>
    <w:rsid w:val="00CB05A7"/>
    <w:rsid w:val="00CB06A4"/>
    <w:rsid w:val="00CB325B"/>
    <w:rsid w:val="00CB3ACE"/>
    <w:rsid w:val="00CB3EFF"/>
    <w:rsid w:val="00CB64FF"/>
    <w:rsid w:val="00CB7078"/>
    <w:rsid w:val="00CB711D"/>
    <w:rsid w:val="00CB7902"/>
    <w:rsid w:val="00CC014B"/>
    <w:rsid w:val="00CC0E81"/>
    <w:rsid w:val="00CC21D8"/>
    <w:rsid w:val="00CC3369"/>
    <w:rsid w:val="00CC5343"/>
    <w:rsid w:val="00CC59D7"/>
    <w:rsid w:val="00CC625A"/>
    <w:rsid w:val="00CC6338"/>
    <w:rsid w:val="00CC78DE"/>
    <w:rsid w:val="00CD04D9"/>
    <w:rsid w:val="00CD0C3A"/>
    <w:rsid w:val="00CD0F93"/>
    <w:rsid w:val="00CD2B89"/>
    <w:rsid w:val="00CD6D6E"/>
    <w:rsid w:val="00CD6F23"/>
    <w:rsid w:val="00CE663B"/>
    <w:rsid w:val="00CF1D68"/>
    <w:rsid w:val="00CF1F7B"/>
    <w:rsid w:val="00CF4044"/>
    <w:rsid w:val="00CF4AE7"/>
    <w:rsid w:val="00CF640B"/>
    <w:rsid w:val="00CF6B5A"/>
    <w:rsid w:val="00D027AF"/>
    <w:rsid w:val="00D0323E"/>
    <w:rsid w:val="00D06652"/>
    <w:rsid w:val="00D07FA6"/>
    <w:rsid w:val="00D12AF8"/>
    <w:rsid w:val="00D16ADF"/>
    <w:rsid w:val="00D17C53"/>
    <w:rsid w:val="00D17D57"/>
    <w:rsid w:val="00D2341D"/>
    <w:rsid w:val="00D252DA"/>
    <w:rsid w:val="00D25E0E"/>
    <w:rsid w:val="00D26A26"/>
    <w:rsid w:val="00D26A97"/>
    <w:rsid w:val="00D302EB"/>
    <w:rsid w:val="00D307BD"/>
    <w:rsid w:val="00D31679"/>
    <w:rsid w:val="00D320C8"/>
    <w:rsid w:val="00D330B6"/>
    <w:rsid w:val="00D354DE"/>
    <w:rsid w:val="00D3672F"/>
    <w:rsid w:val="00D36D46"/>
    <w:rsid w:val="00D40430"/>
    <w:rsid w:val="00D40ABA"/>
    <w:rsid w:val="00D40FE2"/>
    <w:rsid w:val="00D4300F"/>
    <w:rsid w:val="00D440FA"/>
    <w:rsid w:val="00D44BCF"/>
    <w:rsid w:val="00D4557F"/>
    <w:rsid w:val="00D455F1"/>
    <w:rsid w:val="00D46E73"/>
    <w:rsid w:val="00D54271"/>
    <w:rsid w:val="00D549FD"/>
    <w:rsid w:val="00D55155"/>
    <w:rsid w:val="00D5548D"/>
    <w:rsid w:val="00D561C8"/>
    <w:rsid w:val="00D56572"/>
    <w:rsid w:val="00D60F81"/>
    <w:rsid w:val="00D62E55"/>
    <w:rsid w:val="00D63951"/>
    <w:rsid w:val="00D63BF2"/>
    <w:rsid w:val="00D65C4E"/>
    <w:rsid w:val="00D67348"/>
    <w:rsid w:val="00D70A26"/>
    <w:rsid w:val="00D73BB4"/>
    <w:rsid w:val="00D75FEC"/>
    <w:rsid w:val="00D76B98"/>
    <w:rsid w:val="00D82E63"/>
    <w:rsid w:val="00D835A0"/>
    <w:rsid w:val="00D8588E"/>
    <w:rsid w:val="00D86905"/>
    <w:rsid w:val="00D86F2C"/>
    <w:rsid w:val="00D912CF"/>
    <w:rsid w:val="00D91482"/>
    <w:rsid w:val="00D9269E"/>
    <w:rsid w:val="00D94301"/>
    <w:rsid w:val="00D96248"/>
    <w:rsid w:val="00DA0680"/>
    <w:rsid w:val="00DA0D39"/>
    <w:rsid w:val="00DA2929"/>
    <w:rsid w:val="00DA36F6"/>
    <w:rsid w:val="00DA48F0"/>
    <w:rsid w:val="00DB0C8D"/>
    <w:rsid w:val="00DB0D5D"/>
    <w:rsid w:val="00DB6AF2"/>
    <w:rsid w:val="00DB6E40"/>
    <w:rsid w:val="00DC1599"/>
    <w:rsid w:val="00DC1611"/>
    <w:rsid w:val="00DC4D7C"/>
    <w:rsid w:val="00DC5BD4"/>
    <w:rsid w:val="00DD1A0E"/>
    <w:rsid w:val="00DD3C53"/>
    <w:rsid w:val="00DD6AA9"/>
    <w:rsid w:val="00DD6B73"/>
    <w:rsid w:val="00DE745D"/>
    <w:rsid w:val="00DF03FF"/>
    <w:rsid w:val="00DF0774"/>
    <w:rsid w:val="00DF1036"/>
    <w:rsid w:val="00DF1AED"/>
    <w:rsid w:val="00DF3EC5"/>
    <w:rsid w:val="00DF4644"/>
    <w:rsid w:val="00DF5758"/>
    <w:rsid w:val="00DF68F6"/>
    <w:rsid w:val="00DF7A83"/>
    <w:rsid w:val="00E012B4"/>
    <w:rsid w:val="00E01617"/>
    <w:rsid w:val="00E04B99"/>
    <w:rsid w:val="00E05451"/>
    <w:rsid w:val="00E05651"/>
    <w:rsid w:val="00E07AD3"/>
    <w:rsid w:val="00E100F6"/>
    <w:rsid w:val="00E11345"/>
    <w:rsid w:val="00E11BA5"/>
    <w:rsid w:val="00E13B1F"/>
    <w:rsid w:val="00E15B3C"/>
    <w:rsid w:val="00E17CBD"/>
    <w:rsid w:val="00E20425"/>
    <w:rsid w:val="00E21768"/>
    <w:rsid w:val="00E24FBD"/>
    <w:rsid w:val="00E25DCB"/>
    <w:rsid w:val="00E2613B"/>
    <w:rsid w:val="00E313DF"/>
    <w:rsid w:val="00E330E0"/>
    <w:rsid w:val="00E36C70"/>
    <w:rsid w:val="00E37ED0"/>
    <w:rsid w:val="00E40771"/>
    <w:rsid w:val="00E4156E"/>
    <w:rsid w:val="00E43CE4"/>
    <w:rsid w:val="00E44D61"/>
    <w:rsid w:val="00E44FE6"/>
    <w:rsid w:val="00E4535E"/>
    <w:rsid w:val="00E453F2"/>
    <w:rsid w:val="00E460AD"/>
    <w:rsid w:val="00E61925"/>
    <w:rsid w:val="00E6363B"/>
    <w:rsid w:val="00E64476"/>
    <w:rsid w:val="00E65C0E"/>
    <w:rsid w:val="00E65FB9"/>
    <w:rsid w:val="00E730FC"/>
    <w:rsid w:val="00E7377F"/>
    <w:rsid w:val="00E746F0"/>
    <w:rsid w:val="00E74709"/>
    <w:rsid w:val="00E77A35"/>
    <w:rsid w:val="00E809B9"/>
    <w:rsid w:val="00E82A15"/>
    <w:rsid w:val="00E83549"/>
    <w:rsid w:val="00E85445"/>
    <w:rsid w:val="00E87589"/>
    <w:rsid w:val="00E938FF"/>
    <w:rsid w:val="00E93DFE"/>
    <w:rsid w:val="00E9791E"/>
    <w:rsid w:val="00EA2124"/>
    <w:rsid w:val="00EA2B12"/>
    <w:rsid w:val="00EA34DC"/>
    <w:rsid w:val="00EA456C"/>
    <w:rsid w:val="00EA5017"/>
    <w:rsid w:val="00EA50B7"/>
    <w:rsid w:val="00EA6BED"/>
    <w:rsid w:val="00EB14F0"/>
    <w:rsid w:val="00EB3844"/>
    <w:rsid w:val="00EB396B"/>
    <w:rsid w:val="00EB5A9F"/>
    <w:rsid w:val="00EC573F"/>
    <w:rsid w:val="00EC5C8D"/>
    <w:rsid w:val="00EC73D0"/>
    <w:rsid w:val="00ED106C"/>
    <w:rsid w:val="00ED1B24"/>
    <w:rsid w:val="00ED2D34"/>
    <w:rsid w:val="00ED4805"/>
    <w:rsid w:val="00ED57F6"/>
    <w:rsid w:val="00ED6C51"/>
    <w:rsid w:val="00ED6DA1"/>
    <w:rsid w:val="00EE7A9F"/>
    <w:rsid w:val="00EF0AF8"/>
    <w:rsid w:val="00EF207D"/>
    <w:rsid w:val="00EF4258"/>
    <w:rsid w:val="00EF4330"/>
    <w:rsid w:val="00EF6D31"/>
    <w:rsid w:val="00F02237"/>
    <w:rsid w:val="00F046F1"/>
    <w:rsid w:val="00F059F5"/>
    <w:rsid w:val="00F05C5E"/>
    <w:rsid w:val="00F072E2"/>
    <w:rsid w:val="00F079A6"/>
    <w:rsid w:val="00F10236"/>
    <w:rsid w:val="00F12AA3"/>
    <w:rsid w:val="00F15811"/>
    <w:rsid w:val="00F20897"/>
    <w:rsid w:val="00F22423"/>
    <w:rsid w:val="00F24C72"/>
    <w:rsid w:val="00F251AF"/>
    <w:rsid w:val="00F30267"/>
    <w:rsid w:val="00F3179D"/>
    <w:rsid w:val="00F31D22"/>
    <w:rsid w:val="00F33CF8"/>
    <w:rsid w:val="00F348B2"/>
    <w:rsid w:val="00F34BF0"/>
    <w:rsid w:val="00F34ED8"/>
    <w:rsid w:val="00F4095A"/>
    <w:rsid w:val="00F41BC0"/>
    <w:rsid w:val="00F452CC"/>
    <w:rsid w:val="00F45845"/>
    <w:rsid w:val="00F50189"/>
    <w:rsid w:val="00F508FC"/>
    <w:rsid w:val="00F510B7"/>
    <w:rsid w:val="00F53571"/>
    <w:rsid w:val="00F54044"/>
    <w:rsid w:val="00F576E7"/>
    <w:rsid w:val="00F60556"/>
    <w:rsid w:val="00F62BB6"/>
    <w:rsid w:val="00F639D1"/>
    <w:rsid w:val="00F6751B"/>
    <w:rsid w:val="00F723BA"/>
    <w:rsid w:val="00F73D1C"/>
    <w:rsid w:val="00F763FC"/>
    <w:rsid w:val="00F76B4A"/>
    <w:rsid w:val="00F772C1"/>
    <w:rsid w:val="00F8026D"/>
    <w:rsid w:val="00F8245F"/>
    <w:rsid w:val="00F82E40"/>
    <w:rsid w:val="00F83E0D"/>
    <w:rsid w:val="00F878E8"/>
    <w:rsid w:val="00F91629"/>
    <w:rsid w:val="00F91E2A"/>
    <w:rsid w:val="00F96C39"/>
    <w:rsid w:val="00F96E41"/>
    <w:rsid w:val="00F971B9"/>
    <w:rsid w:val="00FA00D2"/>
    <w:rsid w:val="00FA153F"/>
    <w:rsid w:val="00FA1D78"/>
    <w:rsid w:val="00FA1F7E"/>
    <w:rsid w:val="00FA280F"/>
    <w:rsid w:val="00FA4C1B"/>
    <w:rsid w:val="00FA5289"/>
    <w:rsid w:val="00FA6213"/>
    <w:rsid w:val="00FB054A"/>
    <w:rsid w:val="00FB2186"/>
    <w:rsid w:val="00FB7E03"/>
    <w:rsid w:val="00FC3A13"/>
    <w:rsid w:val="00FD0133"/>
    <w:rsid w:val="00FD25FE"/>
    <w:rsid w:val="00FD6206"/>
    <w:rsid w:val="00FE1318"/>
    <w:rsid w:val="00FE208F"/>
    <w:rsid w:val="00FE298F"/>
    <w:rsid w:val="00FE54CD"/>
    <w:rsid w:val="00FE6DF6"/>
    <w:rsid w:val="00FF08BF"/>
    <w:rsid w:val="00FF32C3"/>
    <w:rsid w:val="00FF3F8B"/>
    <w:rsid w:val="00FF5667"/>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4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uiPriority w:val="99"/>
    <w:qFormat/>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uiPriority w:val="99"/>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BB3ED8"/>
    <w:rPr>
      <w:rFonts w:ascii="Arial" w:hAnsi="Arial"/>
      <w:sz w:val="24"/>
    </w:rPr>
  </w:style>
  <w:style w:type="paragraph" w:customStyle="1" w:styleId="yChet1">
    <w:name w:val="yCh_et1"/>
    <w:rsid w:val="00F251AF"/>
    <w:rPr>
      <w:rFonts w:ascii="Arial" w:hAnsi="Arial"/>
      <w:sz w:val="24"/>
    </w:rPr>
  </w:style>
  <w:style w:type="paragraph" w:styleId="Rvision">
    <w:name w:val="Revision"/>
    <w:hidden/>
    <w:uiPriority w:val="99"/>
    <w:semiHidden/>
    <w:rsid w:val="00804538"/>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8F685-4BDF-448D-AB4F-F3710560F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3952</Words>
  <Characters>21740</Characters>
  <Application>Microsoft Office Word</Application>
  <DocSecurity>0</DocSecurity>
  <Lines>181</Lines>
  <Paragraphs>51</Paragraphs>
  <ScaleCrop>false</ScaleCrop>
  <Company/>
  <LinksUpToDate>false</LinksUpToDate>
  <CharactersWithSpaces>25641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2025-06-10T14:33:00Z</dcterms:created>
  <dcterms:modified xsi:type="dcterms:W3CDTF">2025-06-10T14:33:00Z</dcterms:modified>
</cp:coreProperties>
</file>