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43875CFA" w14:textId="77777777">
        <w:trPr>
          <w:cantSplit/>
        </w:trPr>
        <w:tc>
          <w:tcPr>
            <w:tcW w:w="4795" w:type="dxa"/>
          </w:tcPr>
          <w:p w14:paraId="0546ED32" w14:textId="77777777" w:rsidR="008A7FD1" w:rsidRPr="006C7345" w:rsidRDefault="006C7345" w:rsidP="006C7345">
            <w:pPr>
              <w:pStyle w:val="zSoquijdatRepertorie"/>
              <w:rPr>
                <w:rFonts w:cs="Arial"/>
              </w:rPr>
            </w:pPr>
            <w:r>
              <w:rPr>
                <w:rFonts w:cs="Arial"/>
              </w:rPr>
              <w:t>Lemieux et Société Radio-Canada</w:t>
            </w:r>
          </w:p>
        </w:tc>
        <w:tc>
          <w:tcPr>
            <w:tcW w:w="2477" w:type="dxa"/>
          </w:tcPr>
          <w:p w14:paraId="0D063E0E" w14:textId="77777777" w:rsidR="008A7FD1" w:rsidRPr="00A81F9A" w:rsidRDefault="00A81F9A" w:rsidP="00A81F9A">
            <w:pPr>
              <w:pStyle w:val="zSoquijdatRefNeutre"/>
              <w:rPr>
                <w:rFonts w:cs="Arial"/>
              </w:rPr>
            </w:pPr>
            <w:r w:rsidRPr="00A81F9A">
              <w:rPr>
                <w:rFonts w:cs="Arial"/>
              </w:rPr>
              <w:t>2021 QCTAT 5335</w:t>
            </w:r>
          </w:p>
        </w:tc>
      </w:tr>
    </w:tbl>
    <w:p w14:paraId="3B06BE02"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614"/>
        <w:gridCol w:w="1134"/>
        <w:gridCol w:w="709"/>
        <w:gridCol w:w="4111"/>
      </w:tblGrid>
      <w:tr w:rsidR="00C74B6F" w14:paraId="7771E498" w14:textId="77777777" w:rsidTr="002A374B">
        <w:trPr>
          <w:cantSplit/>
        </w:trPr>
        <w:tc>
          <w:tcPr>
            <w:tcW w:w="9568" w:type="dxa"/>
            <w:gridSpan w:val="4"/>
          </w:tcPr>
          <w:p w14:paraId="0CB42EBE" w14:textId="77777777" w:rsidR="00C74B6F" w:rsidRPr="00BE1981" w:rsidRDefault="00C74B6F">
            <w:pPr>
              <w:rPr>
                <w:szCs w:val="24"/>
              </w:rPr>
            </w:pPr>
          </w:p>
        </w:tc>
      </w:tr>
      <w:tr w:rsidR="00C74B6F" w14:paraId="3FAB7850" w14:textId="77777777" w:rsidTr="002A374B">
        <w:trPr>
          <w:cantSplit/>
        </w:trPr>
        <w:tc>
          <w:tcPr>
            <w:tcW w:w="9568" w:type="dxa"/>
            <w:gridSpan w:val="4"/>
            <w:vAlign w:val="center"/>
          </w:tcPr>
          <w:p w14:paraId="675B968C" w14:textId="77777777" w:rsidR="00C74B6F" w:rsidRPr="000E1320" w:rsidRDefault="000E1320">
            <w:pPr>
              <w:jc w:val="center"/>
              <w:rPr>
                <w:sz w:val="36"/>
                <w:szCs w:val="36"/>
              </w:rPr>
            </w:pPr>
            <w:r w:rsidRPr="000E1320">
              <w:rPr>
                <w:b/>
                <w:sz w:val="36"/>
                <w:szCs w:val="36"/>
              </w:rPr>
              <w:t>TRIBUNAL ADMINISTRATIF DU TRAVAIL</w:t>
            </w:r>
          </w:p>
        </w:tc>
      </w:tr>
      <w:tr w:rsidR="00C74B6F" w14:paraId="40074788" w14:textId="77777777" w:rsidTr="002A374B">
        <w:trPr>
          <w:cantSplit/>
        </w:trPr>
        <w:tc>
          <w:tcPr>
            <w:tcW w:w="9568" w:type="dxa"/>
            <w:gridSpan w:val="4"/>
          </w:tcPr>
          <w:p w14:paraId="30336DC7" w14:textId="77777777" w:rsidR="00C74B6F" w:rsidRPr="00BE7014" w:rsidRDefault="006F0154" w:rsidP="009A67E7">
            <w:pPr>
              <w:pStyle w:val="zSoquijdatDivision"/>
            </w:pPr>
            <w:r w:rsidRPr="00BE7014">
              <w:t>(</w:t>
            </w:r>
            <w:r w:rsidR="00177180" w:rsidRPr="00441ADA">
              <w:t>Division de la santé et de la sécurité du travail</w:t>
            </w:r>
            <w:r w:rsidRPr="00BE7014">
              <w:t>)</w:t>
            </w:r>
          </w:p>
        </w:tc>
      </w:tr>
      <w:tr w:rsidR="00C74B6F" w14:paraId="00BF2B13" w14:textId="77777777" w:rsidTr="002A374B">
        <w:trPr>
          <w:cantSplit/>
        </w:trPr>
        <w:tc>
          <w:tcPr>
            <w:tcW w:w="9568" w:type="dxa"/>
            <w:gridSpan w:val="4"/>
          </w:tcPr>
          <w:p w14:paraId="724FF6E2" w14:textId="77777777" w:rsidR="002B2FC3" w:rsidRDefault="002B2FC3" w:rsidP="002B2FC3"/>
        </w:tc>
      </w:tr>
      <w:tr w:rsidR="00A84FC6" w14:paraId="0C723924" w14:textId="77777777" w:rsidTr="002A374B">
        <w:trPr>
          <w:cantSplit/>
        </w:trPr>
        <w:tc>
          <w:tcPr>
            <w:tcW w:w="9568" w:type="dxa"/>
            <w:gridSpan w:val="4"/>
          </w:tcPr>
          <w:p w14:paraId="40E42BD4" w14:textId="77777777" w:rsidR="00A84FC6" w:rsidRDefault="00A84FC6" w:rsidP="002B2FC3"/>
        </w:tc>
      </w:tr>
      <w:tr w:rsidR="00C74B6F" w14:paraId="2C8A1560" w14:textId="77777777" w:rsidTr="005E654C">
        <w:tc>
          <w:tcPr>
            <w:tcW w:w="3614" w:type="dxa"/>
          </w:tcPr>
          <w:p w14:paraId="1506BFD8" w14:textId="77777777" w:rsidR="00C74B6F" w:rsidRDefault="0084255F">
            <w:bookmarkStart w:id="0" w:name="region" w:colFirst="1" w:colLast="1"/>
            <w:r>
              <w:t>Région :</w:t>
            </w:r>
          </w:p>
        </w:tc>
        <w:tc>
          <w:tcPr>
            <w:tcW w:w="5954" w:type="dxa"/>
            <w:gridSpan w:val="3"/>
          </w:tcPr>
          <w:p w14:paraId="3EFA89ED" w14:textId="77777777" w:rsidR="00C74B6F" w:rsidRDefault="00177180" w:rsidP="00F4095A">
            <w:pPr>
              <w:pStyle w:val="zSoquijdatGreffe"/>
            </w:pPr>
            <w:r>
              <w:t>Montréal</w:t>
            </w:r>
          </w:p>
        </w:tc>
      </w:tr>
      <w:bookmarkEnd w:id="0"/>
      <w:tr w:rsidR="00C74B6F" w14:paraId="135C4D1B" w14:textId="77777777" w:rsidTr="002A374B">
        <w:trPr>
          <w:cantSplit/>
        </w:trPr>
        <w:tc>
          <w:tcPr>
            <w:tcW w:w="9568" w:type="dxa"/>
            <w:gridSpan w:val="4"/>
          </w:tcPr>
          <w:p w14:paraId="4862DA44" w14:textId="77777777" w:rsidR="00C74B6F" w:rsidRDefault="00C74B6F"/>
        </w:tc>
      </w:tr>
      <w:tr w:rsidR="00C74B6F" w14:paraId="09B93F21" w14:textId="77777777" w:rsidTr="005E654C">
        <w:tc>
          <w:tcPr>
            <w:tcW w:w="3614" w:type="dxa"/>
          </w:tcPr>
          <w:p w14:paraId="5706B596" w14:textId="77777777" w:rsidR="00C74B6F" w:rsidRDefault="0084255F">
            <w:bookmarkStart w:id="1" w:name="ref_dossier" w:colFirst="1" w:colLast="1"/>
            <w:r>
              <w:t>Dossier</w:t>
            </w:r>
            <w:bookmarkStart w:id="2" w:name="dossiers"/>
            <w:bookmarkEnd w:id="2"/>
            <w:r>
              <w:t> :</w:t>
            </w:r>
          </w:p>
        </w:tc>
        <w:tc>
          <w:tcPr>
            <w:tcW w:w="5954" w:type="dxa"/>
            <w:gridSpan w:val="3"/>
          </w:tcPr>
          <w:p w14:paraId="37711ED9" w14:textId="77777777" w:rsidR="00C74B6F" w:rsidRDefault="00177180" w:rsidP="00F4095A">
            <w:pPr>
              <w:pStyle w:val="zSoquijdatNoDossier"/>
            </w:pPr>
            <w:r>
              <w:t>689775-71-1902</w:t>
            </w:r>
          </w:p>
        </w:tc>
      </w:tr>
      <w:bookmarkEnd w:id="1"/>
      <w:tr w:rsidR="00C74B6F" w14:paraId="77F7D802" w14:textId="77777777" w:rsidTr="002A374B">
        <w:trPr>
          <w:cantSplit/>
        </w:trPr>
        <w:tc>
          <w:tcPr>
            <w:tcW w:w="9568" w:type="dxa"/>
            <w:gridSpan w:val="4"/>
          </w:tcPr>
          <w:p w14:paraId="22B795BA" w14:textId="77777777" w:rsidR="00C74B6F" w:rsidRDefault="00D44BCF">
            <w:r>
              <w:fldChar w:fldCharType="begin"/>
            </w:r>
            <w:r>
              <w:instrText xml:space="preserve"> AUTOTEXTLIST  \* Upper  \* MERGEFORMAT </w:instrText>
            </w:r>
            <w:r>
              <w:fldChar w:fldCharType="end"/>
            </w:r>
          </w:p>
        </w:tc>
      </w:tr>
      <w:tr w:rsidR="00C74B6F" w14:paraId="57A7813C" w14:textId="77777777" w:rsidTr="005E654C">
        <w:tc>
          <w:tcPr>
            <w:tcW w:w="3614" w:type="dxa"/>
          </w:tcPr>
          <w:p w14:paraId="7A26C3F4" w14:textId="77777777" w:rsidR="00C74B6F" w:rsidRDefault="008C79A7" w:rsidP="00177180">
            <w:pPr>
              <w:ind w:right="46"/>
            </w:pPr>
            <w:r>
              <w:t>Dossier</w:t>
            </w:r>
            <w:r w:rsidR="00177180">
              <w:t xml:space="preserve"> CNESST</w:t>
            </w:r>
            <w:r w:rsidRPr="008C79A7">
              <w:rPr>
                <w:szCs w:val="24"/>
              </w:rPr>
              <w:t xml:space="preserve"> :</w:t>
            </w:r>
          </w:p>
        </w:tc>
        <w:tc>
          <w:tcPr>
            <w:tcW w:w="5954" w:type="dxa"/>
            <w:gridSpan w:val="3"/>
          </w:tcPr>
          <w:p w14:paraId="3C3851D1" w14:textId="77777777" w:rsidR="00C74B6F" w:rsidRDefault="00DC1823" w:rsidP="004D6CEA">
            <w:pPr>
              <w:pStyle w:val="zSoquijdatNCSST"/>
            </w:pPr>
            <w:r>
              <w:t>504281759</w:t>
            </w:r>
          </w:p>
        </w:tc>
      </w:tr>
      <w:tr w:rsidR="00C74B6F" w14:paraId="70125118" w14:textId="77777777" w:rsidTr="002A374B">
        <w:trPr>
          <w:cantSplit/>
        </w:trPr>
        <w:tc>
          <w:tcPr>
            <w:tcW w:w="9568" w:type="dxa"/>
            <w:gridSpan w:val="4"/>
          </w:tcPr>
          <w:p w14:paraId="5015D17C" w14:textId="77777777" w:rsidR="00C74B6F" w:rsidRDefault="00C74B6F"/>
        </w:tc>
      </w:tr>
      <w:tr w:rsidR="00C74B6F" w14:paraId="637E41D5" w14:textId="77777777" w:rsidTr="005E654C">
        <w:tc>
          <w:tcPr>
            <w:tcW w:w="3614" w:type="dxa"/>
          </w:tcPr>
          <w:p w14:paraId="09BDF7C3" w14:textId="77777777" w:rsidR="00C74B6F" w:rsidRDefault="00DC1823">
            <w:bookmarkStart w:id="3" w:name="assesseur"/>
            <w:bookmarkEnd w:id="3"/>
            <w:r>
              <w:t>Assesseure :</w:t>
            </w:r>
          </w:p>
        </w:tc>
        <w:tc>
          <w:tcPr>
            <w:tcW w:w="5954" w:type="dxa"/>
            <w:gridSpan w:val="3"/>
          </w:tcPr>
          <w:p w14:paraId="57D6B8D9" w14:textId="77777777" w:rsidR="00C74B6F" w:rsidRDefault="00DC1823" w:rsidP="00F4095A">
            <w:pPr>
              <w:pStyle w:val="zSoquijdatAssesseurs"/>
            </w:pPr>
            <w:r>
              <w:t xml:space="preserve">Sylvie Verrette, médecin </w:t>
            </w:r>
          </w:p>
        </w:tc>
      </w:tr>
      <w:tr w:rsidR="00C74B6F" w14:paraId="779A17A0" w14:textId="77777777" w:rsidTr="002A374B">
        <w:trPr>
          <w:cantSplit/>
        </w:trPr>
        <w:tc>
          <w:tcPr>
            <w:tcW w:w="9568" w:type="dxa"/>
            <w:gridSpan w:val="4"/>
          </w:tcPr>
          <w:p w14:paraId="7DB082E2" w14:textId="77777777" w:rsidR="00C74B6F" w:rsidRDefault="00C74B6F"/>
        </w:tc>
      </w:tr>
      <w:tr w:rsidR="006E3DD8" w14:paraId="21CAB33F" w14:textId="77777777" w:rsidTr="005E654C">
        <w:trPr>
          <w:cantSplit/>
        </w:trPr>
        <w:tc>
          <w:tcPr>
            <w:tcW w:w="3614" w:type="dxa"/>
          </w:tcPr>
          <w:p w14:paraId="6D895B2B" w14:textId="77777777" w:rsidR="006E3DD8" w:rsidRDefault="00DC1823" w:rsidP="006E3DD8">
            <w:pPr>
              <w:tabs>
                <w:tab w:val="left" w:pos="2672"/>
              </w:tabs>
            </w:pPr>
            <w:r>
              <w:t>Montréal</w:t>
            </w:r>
            <w:r w:rsidR="00C04E32">
              <w:t>,</w:t>
            </w:r>
          </w:p>
        </w:tc>
        <w:tc>
          <w:tcPr>
            <w:tcW w:w="5954" w:type="dxa"/>
            <w:gridSpan w:val="3"/>
          </w:tcPr>
          <w:p w14:paraId="497B7F2D" w14:textId="77777777" w:rsidR="006E3DD8" w:rsidRDefault="00C04E32" w:rsidP="006015AB">
            <w:pPr>
              <w:pStyle w:val="zSoquijdatDateJugement"/>
            </w:pPr>
            <w:proofErr w:type="gramStart"/>
            <w:r>
              <w:t>le</w:t>
            </w:r>
            <w:proofErr w:type="gramEnd"/>
            <w:r>
              <w:t xml:space="preserve"> </w:t>
            </w:r>
            <w:r w:rsidR="006015AB">
              <w:t>8</w:t>
            </w:r>
            <w:r w:rsidR="007E0ACA">
              <w:t xml:space="preserve"> novembre</w:t>
            </w:r>
            <w:r w:rsidR="00AD2127">
              <w:t xml:space="preserve"> 2021</w:t>
            </w:r>
          </w:p>
        </w:tc>
      </w:tr>
      <w:tr w:rsidR="00942AB8" w14:paraId="79DC1D26" w14:textId="77777777" w:rsidTr="002A374B">
        <w:trPr>
          <w:cantSplit/>
        </w:trPr>
        <w:tc>
          <w:tcPr>
            <w:tcW w:w="9568" w:type="dxa"/>
            <w:gridSpan w:val="4"/>
          </w:tcPr>
          <w:p w14:paraId="784B3FD1" w14:textId="77777777" w:rsidR="00942AB8" w:rsidRDefault="00942AB8" w:rsidP="00FA153F">
            <w:r>
              <w:t>______________________________________________________________________</w:t>
            </w:r>
          </w:p>
        </w:tc>
      </w:tr>
      <w:tr w:rsidR="00942AB8" w14:paraId="079123B9" w14:textId="77777777" w:rsidTr="002A374B">
        <w:trPr>
          <w:cantSplit/>
          <w:trHeight w:val="148"/>
        </w:trPr>
        <w:tc>
          <w:tcPr>
            <w:tcW w:w="9568" w:type="dxa"/>
            <w:gridSpan w:val="4"/>
          </w:tcPr>
          <w:p w14:paraId="0C572E1F" w14:textId="77777777" w:rsidR="00942AB8" w:rsidRDefault="00942AB8" w:rsidP="00FA153F"/>
        </w:tc>
      </w:tr>
      <w:tr w:rsidR="0035375B" w14:paraId="6CC4E610" w14:textId="77777777" w:rsidTr="00A12E55">
        <w:trPr>
          <w:cantSplit/>
          <w:trHeight w:val="148"/>
        </w:trPr>
        <w:tc>
          <w:tcPr>
            <w:tcW w:w="5457" w:type="dxa"/>
            <w:gridSpan w:val="3"/>
          </w:tcPr>
          <w:p w14:paraId="6614161E" w14:textId="77777777" w:rsidR="0035375B" w:rsidRPr="00942AB8" w:rsidRDefault="0035375B" w:rsidP="00AD2127">
            <w:pPr>
              <w:rPr>
                <w:b/>
                <w:bCs/>
              </w:rPr>
            </w:pPr>
            <w:bookmarkStart w:id="4" w:name="ref_commissaire" w:colFirst="1" w:colLast="1"/>
            <w:r w:rsidRPr="00942AB8">
              <w:rPr>
                <w:b/>
                <w:bCs/>
              </w:rPr>
              <w:t>DEVANT L</w:t>
            </w:r>
            <w:r w:rsidR="00AD2127">
              <w:rPr>
                <w:b/>
                <w:bCs/>
              </w:rPr>
              <w:t>E</w:t>
            </w:r>
            <w:r w:rsidRPr="00942AB8">
              <w:rPr>
                <w:b/>
                <w:bCs/>
              </w:rPr>
              <w:t xml:space="preserve"> JUGE ADMINISTRATI</w:t>
            </w:r>
            <w:r w:rsidR="00AD2127">
              <w:rPr>
                <w:b/>
                <w:bCs/>
              </w:rPr>
              <w:t>F</w:t>
            </w:r>
            <w:r w:rsidRPr="00942AB8">
              <w:rPr>
                <w:b/>
                <w:bCs/>
              </w:rPr>
              <w:t> :</w:t>
            </w:r>
          </w:p>
        </w:tc>
        <w:tc>
          <w:tcPr>
            <w:tcW w:w="4111" w:type="dxa"/>
          </w:tcPr>
          <w:p w14:paraId="2BA179A8" w14:textId="77777777" w:rsidR="0035375B" w:rsidRPr="00942AB8" w:rsidRDefault="00AD2127" w:rsidP="005B5689">
            <w:pPr>
              <w:pStyle w:val="zSoquijdatJuge"/>
              <w:rPr>
                <w:bCs/>
              </w:rPr>
            </w:pPr>
            <w:r>
              <w:t>Jean-Sébastien Noiseux</w:t>
            </w:r>
          </w:p>
        </w:tc>
      </w:tr>
      <w:bookmarkEnd w:id="4"/>
      <w:tr w:rsidR="00942AB8" w14:paraId="16C893DC" w14:textId="77777777" w:rsidTr="002A374B">
        <w:trPr>
          <w:cantSplit/>
          <w:trHeight w:val="148"/>
        </w:trPr>
        <w:tc>
          <w:tcPr>
            <w:tcW w:w="9568" w:type="dxa"/>
            <w:gridSpan w:val="4"/>
          </w:tcPr>
          <w:p w14:paraId="58BAF151" w14:textId="77777777" w:rsidR="00942AB8" w:rsidRDefault="00942AB8" w:rsidP="00FA153F">
            <w:r>
              <w:t>______________________________________________________________________</w:t>
            </w:r>
          </w:p>
        </w:tc>
      </w:tr>
      <w:tr w:rsidR="00942AB8" w14:paraId="674E4244" w14:textId="77777777" w:rsidTr="002A374B">
        <w:tc>
          <w:tcPr>
            <w:tcW w:w="9568" w:type="dxa"/>
            <w:gridSpan w:val="4"/>
          </w:tcPr>
          <w:p w14:paraId="27DD13D3" w14:textId="77777777" w:rsidR="00942AB8" w:rsidRDefault="00942AB8"/>
        </w:tc>
      </w:tr>
      <w:tr w:rsidR="00942AB8" w14:paraId="2BE759FC" w14:textId="77777777" w:rsidTr="00D40ABA">
        <w:tc>
          <w:tcPr>
            <w:tcW w:w="4748" w:type="dxa"/>
            <w:gridSpan w:val="2"/>
          </w:tcPr>
          <w:p w14:paraId="405128E2" w14:textId="77777777" w:rsidR="00942AB8" w:rsidRDefault="00942AB8">
            <w:bookmarkStart w:id="5" w:name="bloc_parties_gauche"/>
            <w:bookmarkEnd w:id="5"/>
          </w:p>
        </w:tc>
        <w:tc>
          <w:tcPr>
            <w:tcW w:w="4820" w:type="dxa"/>
            <w:gridSpan w:val="2"/>
          </w:tcPr>
          <w:p w14:paraId="049A3B73" w14:textId="77777777" w:rsidR="00942AB8" w:rsidRDefault="00942AB8"/>
        </w:tc>
      </w:tr>
      <w:tr w:rsidR="00942AB8" w14:paraId="72E9FF4F" w14:textId="77777777" w:rsidTr="00D40ABA">
        <w:tc>
          <w:tcPr>
            <w:tcW w:w="4748" w:type="dxa"/>
            <w:gridSpan w:val="2"/>
          </w:tcPr>
          <w:p w14:paraId="6573DCA8" w14:textId="77777777" w:rsidR="00942AB8" w:rsidRDefault="00AD2127">
            <w:pPr>
              <w:pStyle w:val="zSoquijdatNomPartieDem"/>
              <w:rPr>
                <w:b/>
              </w:rPr>
            </w:pPr>
            <w:r>
              <w:rPr>
                <w:b/>
              </w:rPr>
              <w:t>Jean Lemieux</w:t>
            </w:r>
          </w:p>
        </w:tc>
        <w:tc>
          <w:tcPr>
            <w:tcW w:w="4820" w:type="dxa"/>
            <w:gridSpan w:val="2"/>
          </w:tcPr>
          <w:p w14:paraId="28E4F725" w14:textId="77777777" w:rsidR="00942AB8" w:rsidRDefault="00942AB8"/>
        </w:tc>
      </w:tr>
      <w:tr w:rsidR="00942AB8" w14:paraId="4E2643CA" w14:textId="77777777" w:rsidTr="00D40ABA">
        <w:tc>
          <w:tcPr>
            <w:tcW w:w="4748" w:type="dxa"/>
            <w:gridSpan w:val="2"/>
          </w:tcPr>
          <w:p w14:paraId="15F474BC" w14:textId="77777777" w:rsidR="00942AB8" w:rsidRDefault="00AD2127" w:rsidP="007B0DF2">
            <w:pPr>
              <w:pStyle w:val="zSoquijdatQtePartieDem"/>
              <w:tabs>
                <w:tab w:val="left" w:pos="3539"/>
              </w:tabs>
              <w:ind w:left="708"/>
            </w:pPr>
            <w:bookmarkStart w:id="6" w:name="partie_demanderesse"/>
            <w:bookmarkEnd w:id="6"/>
            <w:r>
              <w:t>Partie demanderesse</w:t>
            </w:r>
          </w:p>
        </w:tc>
        <w:tc>
          <w:tcPr>
            <w:tcW w:w="4820" w:type="dxa"/>
            <w:gridSpan w:val="2"/>
          </w:tcPr>
          <w:p w14:paraId="5E2F0D83" w14:textId="77777777" w:rsidR="00942AB8" w:rsidRDefault="00942AB8"/>
        </w:tc>
      </w:tr>
      <w:tr w:rsidR="00942AB8" w14:paraId="38A86B51" w14:textId="77777777" w:rsidTr="00D40ABA">
        <w:tc>
          <w:tcPr>
            <w:tcW w:w="4748" w:type="dxa"/>
            <w:gridSpan w:val="2"/>
          </w:tcPr>
          <w:p w14:paraId="2D03771F" w14:textId="77777777" w:rsidR="00942AB8" w:rsidRDefault="00942AB8"/>
        </w:tc>
        <w:tc>
          <w:tcPr>
            <w:tcW w:w="4820" w:type="dxa"/>
            <w:gridSpan w:val="2"/>
          </w:tcPr>
          <w:p w14:paraId="78FDB8D3" w14:textId="77777777" w:rsidR="00942AB8" w:rsidRDefault="00942AB8"/>
        </w:tc>
      </w:tr>
      <w:tr w:rsidR="00942AB8" w14:paraId="3B31D08B" w14:textId="77777777" w:rsidTr="00D40ABA">
        <w:tc>
          <w:tcPr>
            <w:tcW w:w="4748" w:type="dxa"/>
            <w:gridSpan w:val="2"/>
          </w:tcPr>
          <w:p w14:paraId="3029D539" w14:textId="77777777" w:rsidR="00942AB8" w:rsidRDefault="00AD2127" w:rsidP="00D06652">
            <w:pPr>
              <w:pStyle w:val="zSoquijlblLienParties"/>
            </w:pPr>
            <w:proofErr w:type="gramStart"/>
            <w:r>
              <w:t>et</w:t>
            </w:r>
            <w:proofErr w:type="gramEnd"/>
          </w:p>
        </w:tc>
        <w:tc>
          <w:tcPr>
            <w:tcW w:w="4820" w:type="dxa"/>
            <w:gridSpan w:val="2"/>
          </w:tcPr>
          <w:p w14:paraId="4FE5BA88" w14:textId="77777777" w:rsidR="00942AB8" w:rsidRDefault="00942AB8"/>
        </w:tc>
      </w:tr>
      <w:tr w:rsidR="00942AB8" w14:paraId="168A3EC2" w14:textId="77777777" w:rsidTr="00D40ABA">
        <w:tc>
          <w:tcPr>
            <w:tcW w:w="4748" w:type="dxa"/>
            <w:gridSpan w:val="2"/>
          </w:tcPr>
          <w:p w14:paraId="011A35DF" w14:textId="77777777" w:rsidR="00942AB8" w:rsidRDefault="00942AB8"/>
        </w:tc>
        <w:tc>
          <w:tcPr>
            <w:tcW w:w="4820" w:type="dxa"/>
            <w:gridSpan w:val="2"/>
          </w:tcPr>
          <w:p w14:paraId="65916987" w14:textId="77777777" w:rsidR="00942AB8" w:rsidRDefault="00942AB8"/>
        </w:tc>
      </w:tr>
      <w:tr w:rsidR="00942AB8" w14:paraId="4FD49377" w14:textId="77777777" w:rsidTr="00D40ABA">
        <w:tc>
          <w:tcPr>
            <w:tcW w:w="4748" w:type="dxa"/>
            <w:gridSpan w:val="2"/>
          </w:tcPr>
          <w:p w14:paraId="509647D5" w14:textId="77777777" w:rsidR="00942AB8" w:rsidRDefault="0071066C">
            <w:pPr>
              <w:pStyle w:val="zSoquijdatNomPartieDef"/>
              <w:rPr>
                <w:b/>
              </w:rPr>
            </w:pPr>
            <w:r>
              <w:rPr>
                <w:b/>
              </w:rPr>
              <w:t>Société Radio-Canada</w:t>
            </w:r>
          </w:p>
        </w:tc>
        <w:tc>
          <w:tcPr>
            <w:tcW w:w="4820" w:type="dxa"/>
            <w:gridSpan w:val="2"/>
          </w:tcPr>
          <w:p w14:paraId="304E886D" w14:textId="77777777" w:rsidR="00942AB8" w:rsidRDefault="00942AB8"/>
        </w:tc>
      </w:tr>
      <w:tr w:rsidR="00942AB8" w14:paraId="5E27160A" w14:textId="77777777" w:rsidTr="00D40ABA">
        <w:tc>
          <w:tcPr>
            <w:tcW w:w="4748" w:type="dxa"/>
            <w:gridSpan w:val="2"/>
          </w:tcPr>
          <w:p w14:paraId="292A1C37" w14:textId="77777777" w:rsidR="0071066C" w:rsidRDefault="0071066C" w:rsidP="00C616CE">
            <w:pPr>
              <w:pStyle w:val="zSoquijdatQtePartieDef"/>
              <w:ind w:left="708"/>
            </w:pPr>
            <w:r>
              <w:t>Partie mise en cause</w:t>
            </w:r>
          </w:p>
        </w:tc>
        <w:tc>
          <w:tcPr>
            <w:tcW w:w="4820" w:type="dxa"/>
            <w:gridSpan w:val="2"/>
          </w:tcPr>
          <w:p w14:paraId="4F89379B" w14:textId="77777777" w:rsidR="00942AB8" w:rsidRDefault="00942AB8"/>
        </w:tc>
      </w:tr>
      <w:tr w:rsidR="0065093D" w14:paraId="24850A00" w14:textId="77777777" w:rsidTr="00D40ABA">
        <w:tc>
          <w:tcPr>
            <w:tcW w:w="4748" w:type="dxa"/>
            <w:gridSpan w:val="2"/>
          </w:tcPr>
          <w:p w14:paraId="1C856A95" w14:textId="77777777" w:rsidR="0065093D" w:rsidRDefault="0065093D"/>
        </w:tc>
        <w:tc>
          <w:tcPr>
            <w:tcW w:w="4820" w:type="dxa"/>
            <w:gridSpan w:val="2"/>
          </w:tcPr>
          <w:p w14:paraId="45568DA7" w14:textId="77777777" w:rsidR="0065093D" w:rsidRDefault="0065093D"/>
        </w:tc>
      </w:tr>
    </w:tbl>
    <w:p w14:paraId="1EDD5CAC" w14:textId="77777777" w:rsidR="00C74B6F" w:rsidRDefault="00C74B6F">
      <w:r>
        <w:t>______________________________________________________________________</w:t>
      </w:r>
    </w:p>
    <w:p w14:paraId="2D38EE94" w14:textId="77777777" w:rsidR="00C74B6F" w:rsidRDefault="00C74B6F"/>
    <w:p w14:paraId="7C25712A" w14:textId="77777777" w:rsidR="00C74B6F" w:rsidRPr="005B0612" w:rsidRDefault="00C74B6F" w:rsidP="008B042E">
      <w:pPr>
        <w:jc w:val="center"/>
        <w:rPr>
          <w:b/>
          <w:bCs/>
        </w:rPr>
      </w:pPr>
      <w:bookmarkStart w:id="7" w:name="decision"/>
      <w:r w:rsidRPr="005B0612">
        <w:rPr>
          <w:b/>
          <w:bCs/>
        </w:rPr>
        <w:t>DÉCISION</w:t>
      </w:r>
      <w:bookmarkEnd w:id="7"/>
    </w:p>
    <w:p w14:paraId="43734A73" w14:textId="77777777" w:rsidR="00C74B6F" w:rsidRDefault="00C74B6F">
      <w:pPr>
        <w:jc w:val="center"/>
      </w:pPr>
      <w:r>
        <w:t>______________________________________________________________________</w:t>
      </w:r>
    </w:p>
    <w:p w14:paraId="38FBF0B9" w14:textId="77777777" w:rsidR="00C74B6F" w:rsidRDefault="00C74B6F"/>
    <w:p w14:paraId="344EC5F8" w14:textId="77777777" w:rsidR="00082A97" w:rsidRPr="00B51F99" w:rsidRDefault="00082A97" w:rsidP="00F10236">
      <w:pPr>
        <w:pStyle w:val="corpsdedcision"/>
        <w:numPr>
          <w:ilvl w:val="0"/>
          <w:numId w:val="0"/>
        </w:numPr>
        <w:rPr>
          <w:u w:val="single"/>
        </w:rPr>
      </w:pPr>
      <w:r>
        <w:rPr>
          <w:b/>
          <w:bCs/>
          <w:u w:val="single"/>
        </w:rPr>
        <w:t>L’APERÇU</w:t>
      </w:r>
    </w:p>
    <w:p w14:paraId="4D0D8FFD" w14:textId="77777777" w:rsidR="00375745" w:rsidRDefault="00BE5B5B">
      <w:pPr>
        <w:pStyle w:val="corpsdedcision"/>
      </w:pPr>
      <w:r>
        <w:t>Monsieur Jean Lemieux, le travailleur, a occupé un emploi de caméraman</w:t>
      </w:r>
      <w:r w:rsidR="00375745">
        <w:t xml:space="preserve"> pendant 43 ans</w:t>
      </w:r>
      <w:r w:rsidR="00AB354A">
        <w:t xml:space="preserve"> pour l’employeur,</w:t>
      </w:r>
      <w:r w:rsidR="00375745">
        <w:t xml:space="preserve"> </w:t>
      </w:r>
      <w:r>
        <w:t>Société Radio-Canada</w:t>
      </w:r>
      <w:r w:rsidR="00375745">
        <w:t xml:space="preserve">. </w:t>
      </w:r>
    </w:p>
    <w:p w14:paraId="1C59AF09" w14:textId="77777777" w:rsidR="00C74B6F" w:rsidRDefault="005B6BA7">
      <w:pPr>
        <w:pStyle w:val="corpsdedcision"/>
      </w:pPr>
      <w:r>
        <w:t>Le 10</w:t>
      </w:r>
      <w:r w:rsidR="00375745">
        <w:t xml:space="preserve"> novembre 2017, il dépose une réclamation pour </w:t>
      </w:r>
      <w:r w:rsidR="00594391">
        <w:t>une surdité professionnelle.</w:t>
      </w:r>
      <w:r w:rsidR="00AA7F20">
        <w:t xml:space="preserve"> La</w:t>
      </w:r>
      <w:r w:rsidR="00594391">
        <w:t xml:space="preserve"> </w:t>
      </w:r>
      <w:r w:rsidR="005B48FA">
        <w:t>Commission des normes, de l’équité, de la santé et de la sécurité du travail</w:t>
      </w:r>
      <w:r w:rsidR="00594391">
        <w:t xml:space="preserve"> </w:t>
      </w:r>
      <w:r w:rsidR="00CF0621">
        <w:t>accepte la réclamation du travailleur et dans une deuxième décision</w:t>
      </w:r>
      <w:r w:rsidR="00C616CE">
        <w:t>,</w:t>
      </w:r>
      <w:r w:rsidR="00CF0621">
        <w:t xml:space="preserve"> détermine l</w:t>
      </w:r>
      <w:r w:rsidR="00B94866">
        <w:t>e pourcentage de l’</w:t>
      </w:r>
      <w:r w:rsidR="00CF0621">
        <w:t>atteinte permanente</w:t>
      </w:r>
      <w:r w:rsidR="00B94866">
        <w:t>. L’employeur demande la révision de ces décisions. La Commi</w:t>
      </w:r>
      <w:r w:rsidR="0089730C">
        <w:t xml:space="preserve">ssion en révision administrative infirme ces décisions et déclare que le travailleur n’est pas porteur d’une surdité neurosensorielle d’origine professionnelle. </w:t>
      </w:r>
      <w:r w:rsidR="00BE79DB">
        <w:t xml:space="preserve">Le travailleur dépose au </w:t>
      </w:r>
      <w:r w:rsidR="00BE15F7">
        <w:t>Tribunal un acte introductif</w:t>
      </w:r>
      <w:r w:rsidR="00BE79DB">
        <w:t>.</w:t>
      </w:r>
      <w:r w:rsidR="00C616CE">
        <w:t xml:space="preserve"> Il s’agit du litige.</w:t>
      </w:r>
    </w:p>
    <w:p w14:paraId="379CA2BE" w14:textId="77777777" w:rsidR="005B48FA" w:rsidRDefault="00BE15F7">
      <w:pPr>
        <w:pStyle w:val="corpsdedcision"/>
      </w:pPr>
      <w:r>
        <w:lastRenderedPageBreak/>
        <w:t>Le travailleur demande la reconnaissance d’une</w:t>
      </w:r>
      <w:r w:rsidR="00186AA6">
        <w:t xml:space="preserve"> surdité neurosensorielle d’origine professionnelle. Quant à l’employeur, il soulève un moyen d’irrecevabilité</w:t>
      </w:r>
      <w:r w:rsidR="003D10ED">
        <w:t xml:space="preserve">. Il considère que le travailleur a déposé sa réclamation à l’extérieur du </w:t>
      </w:r>
      <w:r w:rsidR="00A903DB">
        <w:t xml:space="preserve">délai de </w:t>
      </w:r>
      <w:proofErr w:type="gramStart"/>
      <w:r w:rsidR="00A903DB">
        <w:t>six mois prévu</w:t>
      </w:r>
      <w:proofErr w:type="gramEnd"/>
      <w:r w:rsidR="00A903DB">
        <w:t xml:space="preserve"> à la </w:t>
      </w:r>
      <w:r w:rsidR="00A903DB" w:rsidRPr="00C57EEB">
        <w:rPr>
          <w:i/>
          <w:iCs/>
        </w:rPr>
        <w:t>Loi sur les accidents du travail et les maladies professionnelles</w:t>
      </w:r>
      <w:r w:rsidR="00A903DB">
        <w:rPr>
          <w:rStyle w:val="FootnoteReference"/>
        </w:rPr>
        <w:footnoteReference w:id="1"/>
      </w:r>
      <w:r w:rsidR="00A903DB">
        <w:rPr>
          <w:iCs/>
        </w:rPr>
        <w:t>, la Loi</w:t>
      </w:r>
      <w:r w:rsidR="003D10ED">
        <w:t xml:space="preserve">. Quant au fond, il considère que le travailleur n’a pas démontré être victime d’une maladie professionnelle. </w:t>
      </w:r>
    </w:p>
    <w:p w14:paraId="0F1C2EE4" w14:textId="77777777" w:rsidR="003D10ED" w:rsidRDefault="00816C29">
      <w:pPr>
        <w:pStyle w:val="corpsdedcision"/>
      </w:pPr>
      <w:r>
        <w:t>En raison des faits au dossier</w:t>
      </w:r>
      <w:r w:rsidRPr="005F788F">
        <w:t>,</w:t>
      </w:r>
      <w:r>
        <w:t xml:space="preserve"> de la décision contestée ainsi que des prétentions des parties, le Tribunal doit répondre aux questions suivantes :</w:t>
      </w:r>
    </w:p>
    <w:p w14:paraId="473F8877" w14:textId="77777777" w:rsidR="00816C29" w:rsidRDefault="00816C29" w:rsidP="00816C29">
      <w:pPr>
        <w:pStyle w:val="corpsdedcision"/>
        <w:numPr>
          <w:ilvl w:val="0"/>
          <w:numId w:val="12"/>
        </w:numPr>
      </w:pPr>
      <w:r>
        <w:t xml:space="preserve">Le travailleur a-t-il déposé sa réclamation </w:t>
      </w:r>
      <w:r w:rsidR="00291AD9">
        <w:t xml:space="preserve">dans les six mois de la connaissance qu’il </w:t>
      </w:r>
      <w:r w:rsidR="005B6BA7">
        <w:t xml:space="preserve">est </w:t>
      </w:r>
      <w:r w:rsidR="00291AD9">
        <w:t>atteint d’une maladie professionnelle?</w:t>
      </w:r>
    </w:p>
    <w:p w14:paraId="6B631A70" w14:textId="77777777" w:rsidR="00291AD9" w:rsidRDefault="00381CCA" w:rsidP="00816C29">
      <w:pPr>
        <w:pStyle w:val="corpsdedcision"/>
        <w:numPr>
          <w:ilvl w:val="0"/>
          <w:numId w:val="12"/>
        </w:numPr>
      </w:pPr>
      <w:r>
        <w:t>Le travailleur a-t</w:t>
      </w:r>
      <w:r w:rsidR="00DE4693">
        <w:t>-il une atteinte auditive causé</w:t>
      </w:r>
      <w:r>
        <w:t>e par le bruit?</w:t>
      </w:r>
    </w:p>
    <w:p w14:paraId="53FA3964" w14:textId="77777777" w:rsidR="00381CCA" w:rsidRDefault="00381CCA" w:rsidP="00816C29">
      <w:pPr>
        <w:pStyle w:val="corpsdedcision"/>
        <w:numPr>
          <w:ilvl w:val="0"/>
          <w:numId w:val="12"/>
        </w:numPr>
      </w:pPr>
      <w:r>
        <w:t>Le travailleur a-t-il occupé un travail impliquant une exposition à un bruit excessif?</w:t>
      </w:r>
    </w:p>
    <w:p w14:paraId="41789129" w14:textId="77777777" w:rsidR="00137A2B" w:rsidRDefault="00381CCA" w:rsidP="00137A2B">
      <w:pPr>
        <w:pStyle w:val="corpsdedcision"/>
      </w:pPr>
      <w:r>
        <w:t xml:space="preserve">Pour les motifs qui suivent, le Tribunal conclut que le travailleur </w:t>
      </w:r>
      <w:r w:rsidR="00C616CE">
        <w:t>a déposé sa réclamation dans le délai prévu</w:t>
      </w:r>
      <w:r>
        <w:t xml:space="preserve"> à la Loi et qu’il est victime d’une maladie professionnelle</w:t>
      </w:r>
      <w:r w:rsidR="00C616CE">
        <w:t>,</w:t>
      </w:r>
      <w:r w:rsidR="00137A2B">
        <w:t xml:space="preserve"> soit une surdité d’origine professionnelle. </w:t>
      </w:r>
    </w:p>
    <w:p w14:paraId="4965B7F2" w14:textId="77777777" w:rsidR="00082A97" w:rsidRDefault="00082A97" w:rsidP="00F10236">
      <w:pPr>
        <w:pStyle w:val="corpsdedcision"/>
        <w:numPr>
          <w:ilvl w:val="0"/>
          <w:numId w:val="0"/>
        </w:numPr>
        <w:rPr>
          <w:b/>
          <w:bCs/>
          <w:u w:val="single"/>
        </w:rPr>
      </w:pPr>
      <w:r w:rsidRPr="00B51F99">
        <w:rPr>
          <w:b/>
          <w:bCs/>
          <w:u w:val="single"/>
        </w:rPr>
        <w:t>L</w:t>
      </w:r>
      <w:r>
        <w:rPr>
          <w:b/>
          <w:bCs/>
          <w:u w:val="single"/>
        </w:rPr>
        <w:t>’ANALYSE</w:t>
      </w:r>
    </w:p>
    <w:p w14:paraId="5E4EA7E3" w14:textId="77777777" w:rsidR="00FC0825" w:rsidRPr="00AC0A5C" w:rsidRDefault="00FC0825" w:rsidP="00FC0825">
      <w:pPr>
        <w:pStyle w:val="corpsdedcision"/>
        <w:tabs>
          <w:tab w:val="num" w:pos="720"/>
        </w:tabs>
      </w:pPr>
      <w:r>
        <w:t xml:space="preserve">Pour bénéficier de prestations prévues à </w:t>
      </w:r>
      <w:r w:rsidR="00A903DB">
        <w:t>la Loi</w:t>
      </w:r>
      <w:r>
        <w:t>, le travailleur doit démontrer qu’il est victime d’une lésion professionnelle</w:t>
      </w:r>
      <w:r w:rsidR="00C616CE">
        <w:t>, soit</w:t>
      </w:r>
      <w:r>
        <w:t xml:space="preserve"> « </w:t>
      </w:r>
      <w:r>
        <w:rPr>
          <w:rStyle w:val="Citationintgre"/>
        </w:rPr>
        <w:t xml:space="preserve">une blessure ou une maladie qui survient par le fait ou à l’occasion d’un accident du travail, ou une maladie professionnelle, y compris la récidive, rechute ou </w:t>
      </w:r>
      <w:r w:rsidRPr="00FE667C">
        <w:rPr>
          <w:rStyle w:val="Citationintgre"/>
        </w:rPr>
        <w:t>ag</w:t>
      </w:r>
      <w:r w:rsidRPr="00FE667C">
        <w:rPr>
          <w:rStyle w:val="Citationintgre"/>
          <w:sz w:val="24"/>
        </w:rPr>
        <w:t>gravation</w:t>
      </w:r>
      <w:r w:rsidRPr="00AC0A5C">
        <w:rPr>
          <w:rStyle w:val="Citationintgre"/>
          <w:i w:val="0"/>
          <w:sz w:val="24"/>
          <w:szCs w:val="24"/>
        </w:rPr>
        <w:t> »</w:t>
      </w:r>
      <w:r w:rsidR="00C616CE" w:rsidRPr="00C616CE">
        <w:rPr>
          <w:rStyle w:val="FootnoteReference"/>
        </w:rPr>
        <w:footnoteReference w:id="2"/>
      </w:r>
      <w:r w:rsidRPr="00AC0A5C">
        <w:rPr>
          <w:rStyle w:val="Citationintgre"/>
          <w:i w:val="0"/>
          <w:sz w:val="24"/>
          <w:szCs w:val="24"/>
        </w:rPr>
        <w:t>.</w:t>
      </w:r>
    </w:p>
    <w:p w14:paraId="0A8B9BAA" w14:textId="77777777" w:rsidR="00FC0825" w:rsidRDefault="00FC0825" w:rsidP="00FC0825">
      <w:pPr>
        <w:pStyle w:val="corpsdedcision"/>
        <w:tabs>
          <w:tab w:val="num" w:pos="720"/>
        </w:tabs>
      </w:pPr>
      <w:r>
        <w:t>En l’espèce, le travailleur soutient qu’il est atteint d’une maladie professionnelle, telle que définie à l’article 2 de la Loi :</w:t>
      </w:r>
    </w:p>
    <w:p w14:paraId="28DF8753" w14:textId="77777777" w:rsidR="00FC0825" w:rsidRDefault="00FC0825" w:rsidP="00447C31">
      <w:pPr>
        <w:pStyle w:val="articlesdelaLATMPnouveaux"/>
      </w:pPr>
      <w:r>
        <w:rPr>
          <w:b/>
        </w:rPr>
        <w:t>« </w:t>
      </w:r>
      <w:proofErr w:type="gramStart"/>
      <w:r>
        <w:rPr>
          <w:b/>
        </w:rPr>
        <w:t>maladie</w:t>
      </w:r>
      <w:proofErr w:type="gramEnd"/>
      <w:r>
        <w:rPr>
          <w:b/>
        </w:rPr>
        <w:t xml:space="preserve"> professionnelle » </w:t>
      </w:r>
      <w:r>
        <w:t>: une maladie contractée par le fait ou à l'occasion du travail et qui est caractéristique de ce travail ou reliée directement aux risques particuliers de ce travail;</w:t>
      </w:r>
    </w:p>
    <w:p w14:paraId="22574855" w14:textId="77777777" w:rsidR="00447C31" w:rsidRDefault="00447C31" w:rsidP="00447C31">
      <w:pPr>
        <w:pStyle w:val="articlesdelaLATMPnouveaux"/>
      </w:pPr>
    </w:p>
    <w:p w14:paraId="097E9BCE" w14:textId="77777777" w:rsidR="00C616CE" w:rsidRDefault="00C616CE" w:rsidP="00447C31">
      <w:pPr>
        <w:pStyle w:val="articlesdelaLATMPnouveaux"/>
      </w:pPr>
    </w:p>
    <w:p w14:paraId="592BE6C8" w14:textId="77777777" w:rsidR="00FC0825" w:rsidRDefault="00447C31" w:rsidP="00447C31">
      <w:pPr>
        <w:pStyle w:val="corpsdedcision"/>
      </w:pPr>
      <w:r>
        <w:t xml:space="preserve">Comme démarche préalable à l’analyse des éléments constitutifs de la maladie professionnelle, le travailleur doit démontrer avoir déposé sa réclamation dans le délai de </w:t>
      </w:r>
      <w:proofErr w:type="gramStart"/>
      <w:r w:rsidR="00C616CE">
        <w:t>six mois prévu</w:t>
      </w:r>
      <w:proofErr w:type="gramEnd"/>
      <w:r>
        <w:t xml:space="preserve"> à la Loi ou avoir un motif raisonnable pour expliquer son retard.</w:t>
      </w:r>
    </w:p>
    <w:p w14:paraId="0441624C" w14:textId="77777777" w:rsidR="00137A2B" w:rsidRPr="00137A2B" w:rsidRDefault="00137A2B" w:rsidP="00137A2B">
      <w:pPr>
        <w:pStyle w:val="corpsdedcision"/>
        <w:numPr>
          <w:ilvl w:val="0"/>
          <w:numId w:val="0"/>
        </w:numPr>
        <w:rPr>
          <w:b/>
        </w:rPr>
      </w:pPr>
      <w:r w:rsidRPr="00137A2B">
        <w:rPr>
          <w:b/>
        </w:rPr>
        <w:lastRenderedPageBreak/>
        <w:t xml:space="preserve">Le travailleur a-t-il déposé sa réclamation dans les six mois de la connaissance qu’il </w:t>
      </w:r>
      <w:r w:rsidR="00C616CE">
        <w:rPr>
          <w:b/>
        </w:rPr>
        <w:t xml:space="preserve">est </w:t>
      </w:r>
      <w:r w:rsidRPr="00137A2B">
        <w:rPr>
          <w:b/>
        </w:rPr>
        <w:t>atteint d’une maladie professionnelle?</w:t>
      </w:r>
    </w:p>
    <w:p w14:paraId="5B64B6B4" w14:textId="77777777" w:rsidR="004C2944" w:rsidRDefault="00DE7251" w:rsidP="00137A2B">
      <w:pPr>
        <w:pStyle w:val="corpsdedcision"/>
      </w:pPr>
      <w:r>
        <w:t xml:space="preserve">L’employeur </w:t>
      </w:r>
      <w:r w:rsidR="00C616CE">
        <w:t xml:space="preserve">allègue </w:t>
      </w:r>
      <w:r>
        <w:t>que le travailleur savait bien avant de déposer sa réclamation qu’il était porteur d’une surdité. Entre autre</w:t>
      </w:r>
      <w:r w:rsidR="003B0A8A">
        <w:t>s</w:t>
      </w:r>
      <w:r w:rsidR="00F851D7">
        <w:t xml:space="preserve">, l’employeur </w:t>
      </w:r>
      <w:r w:rsidR="00C616CE">
        <w:t>soutient</w:t>
      </w:r>
      <w:r w:rsidR="00F851D7">
        <w:t xml:space="preserve"> que le travailleur</w:t>
      </w:r>
      <w:r>
        <w:t xml:space="preserve"> demandait aux gens de répéter, </w:t>
      </w:r>
      <w:r w:rsidR="00EE6B20">
        <w:t>qu’</w:t>
      </w:r>
      <w:r>
        <w:t>il augmentait le son de la télévision et de la radio et</w:t>
      </w:r>
      <w:r w:rsidR="00EE6B20">
        <w:t xml:space="preserve"> qu’</w:t>
      </w:r>
      <w:r>
        <w:t>il avait de la difficulté à suivre une discussion en groupe.</w:t>
      </w:r>
      <w:r w:rsidR="00FC2887">
        <w:t xml:space="preserve"> Pour l’employeur,</w:t>
      </w:r>
      <w:r>
        <w:t xml:space="preserve"> </w:t>
      </w:r>
      <w:r w:rsidR="00FC2887">
        <w:t>l</w:t>
      </w:r>
      <w:r w:rsidR="006B32DB">
        <w:t xml:space="preserve">e travailleur a témoigné qu’il savait que cette surdité </w:t>
      </w:r>
      <w:r w:rsidR="00E95099" w:rsidRPr="00E95099">
        <w:t>était</w:t>
      </w:r>
      <w:r w:rsidR="00E65246">
        <w:t xml:space="preserve"> </w:t>
      </w:r>
      <w:r w:rsidR="006B32DB">
        <w:t>liée à son travail</w:t>
      </w:r>
      <w:r w:rsidR="003B0A8A">
        <w:t>,</w:t>
      </w:r>
      <w:r w:rsidR="006B32DB">
        <w:t xml:space="preserve"> et ce, bien avant qu’il dépose sa réclamation à la Commission. </w:t>
      </w:r>
      <w:r w:rsidR="00FC2887">
        <w:t>Ainsi, i</w:t>
      </w:r>
      <w:r w:rsidR="006E5491">
        <w:t xml:space="preserve">l a fait le choix d’attendre pour déposer sa réclamation et celle-ci est tardive. </w:t>
      </w:r>
    </w:p>
    <w:p w14:paraId="41C200F7" w14:textId="77777777" w:rsidR="006E5491" w:rsidRDefault="006E5491" w:rsidP="00137A2B">
      <w:pPr>
        <w:pStyle w:val="corpsdedcision"/>
      </w:pPr>
      <w:r>
        <w:t>Pour le Tribunal, le travailleur a déposé sa réclamation dans le délai prévu à la Loi. Selon la trame factuelle, il ne pouvait connaît</w:t>
      </w:r>
      <w:r w:rsidR="006F52B7">
        <w:t xml:space="preserve">re sa condition médicale avant l’évaluation </w:t>
      </w:r>
      <w:proofErr w:type="spellStart"/>
      <w:r w:rsidR="006F52B7">
        <w:t>audiologique</w:t>
      </w:r>
      <w:proofErr w:type="spellEnd"/>
      <w:r w:rsidR="00EE6B20">
        <w:t xml:space="preserve"> de novembre 2017</w:t>
      </w:r>
      <w:r w:rsidR="006F52B7">
        <w:t xml:space="preserve">. </w:t>
      </w:r>
    </w:p>
    <w:p w14:paraId="4AABDAF2" w14:textId="77777777" w:rsidR="00032515" w:rsidRDefault="00032515" w:rsidP="00032515">
      <w:pPr>
        <w:pStyle w:val="corpsdedcision"/>
      </w:pPr>
      <w:r>
        <w:t xml:space="preserve">L’article 272 de </w:t>
      </w:r>
      <w:r w:rsidR="00FC0825">
        <w:rPr>
          <w:iCs/>
        </w:rPr>
        <w:t>la Loi</w:t>
      </w:r>
      <w:r>
        <w:rPr>
          <w:iCs/>
        </w:rPr>
        <w:t xml:space="preserve"> prévoit qu’un bénéficiaire</w:t>
      </w:r>
      <w:r w:rsidRPr="00574624">
        <w:rPr>
          <w:iCs/>
        </w:rPr>
        <w:t xml:space="preserve"> « </w:t>
      </w:r>
      <w:r w:rsidRPr="0087500B">
        <w:rPr>
          <w:rStyle w:val="Citationintgre"/>
        </w:rPr>
        <w:t>produit sa réclamation à la Commission […] dans les six mois de la date où il est porté à la connaissance du travailleur […] que le travailleur est atteint d’une maladie professionnelle […]</w:t>
      </w:r>
      <w:r w:rsidRPr="00574624">
        <w:rPr>
          <w:iCs/>
        </w:rPr>
        <w:t xml:space="preserve"> ». </w:t>
      </w:r>
    </w:p>
    <w:p w14:paraId="3DFB603D" w14:textId="77777777" w:rsidR="00032515" w:rsidRDefault="00032515" w:rsidP="00032515">
      <w:pPr>
        <w:pStyle w:val="corpsdedcision"/>
      </w:pPr>
      <w:r>
        <w:t xml:space="preserve">La jurisprudence majoritaire du Tribunal </w:t>
      </w:r>
      <w:r w:rsidRPr="00243C19">
        <w:t>considère</w:t>
      </w:r>
      <w:r>
        <w:t xml:space="preserve"> « </w:t>
      </w:r>
      <w:r w:rsidRPr="00356962">
        <w:rPr>
          <w:rStyle w:val="Citationintgre"/>
        </w:rPr>
        <w:t>que le délai de six mois de l’article 272 de loi court à compter de la connaissance acquise par le travailleur que sa maladie est attribuable à son travail</w:t>
      </w:r>
      <w:r>
        <w:t> »</w:t>
      </w:r>
      <w:r>
        <w:rPr>
          <w:rStyle w:val="FootnoteReference"/>
        </w:rPr>
        <w:footnoteReference w:id="3"/>
      </w:r>
      <w:r>
        <w:t xml:space="preserve">. La Loi, en ce qui concerne le délai de réclamation pour une maladie professionnelle, ne fait pas référence à l’intérêt pour réclamer, mais à la connaissance du travailleur ou ici, de manière plus précise, des bénéficiaires. </w:t>
      </w:r>
    </w:p>
    <w:p w14:paraId="6FA7D455" w14:textId="77777777" w:rsidR="00032515" w:rsidRDefault="00032515" w:rsidP="00032515">
      <w:pPr>
        <w:pStyle w:val="corpsdedcision"/>
      </w:pPr>
      <w:r>
        <w:t>Quant à la « </w:t>
      </w:r>
      <w:r w:rsidRPr="00C25833">
        <w:rPr>
          <w:rStyle w:val="Citationintgre"/>
        </w:rPr>
        <w:t>connaissance du travailleur ou du bénéficiaire</w:t>
      </w:r>
      <w:r>
        <w:t xml:space="preserve"> », le Tribunal se réfère à la décision </w:t>
      </w:r>
      <w:r w:rsidRPr="009D0A7D">
        <w:rPr>
          <w:i/>
        </w:rPr>
        <w:t>Cournoyer (Succession)</w:t>
      </w:r>
      <w:r w:rsidRPr="009D0A7D">
        <w:t xml:space="preserve"> et </w:t>
      </w:r>
      <w:r w:rsidRPr="009D0A7D">
        <w:rPr>
          <w:i/>
        </w:rPr>
        <w:t xml:space="preserve">Marine Industrie </w:t>
      </w:r>
      <w:proofErr w:type="spellStart"/>
      <w:r w:rsidRPr="009D0A7D">
        <w:rPr>
          <w:i/>
        </w:rPr>
        <w:t>ltée</w:t>
      </w:r>
      <w:proofErr w:type="spellEnd"/>
      <w:r w:rsidRPr="00215628">
        <w:rPr>
          <w:rStyle w:val="FootnoteReference"/>
        </w:rPr>
        <w:footnoteReference w:id="4"/>
      </w:r>
      <w:r>
        <w:t xml:space="preserve"> qui circonscrit comme suit le concept : </w:t>
      </w:r>
    </w:p>
    <w:p w14:paraId="1489A85C" w14:textId="77777777" w:rsidR="00032515" w:rsidRDefault="00032515" w:rsidP="00032515">
      <w:pPr>
        <w:pStyle w:val="citation"/>
      </w:pPr>
      <w:r>
        <w:t>[26]</w:t>
      </w:r>
      <w:r>
        <w:tab/>
        <w:t xml:space="preserve">La notion de « connaissance du travailleur ou du bénéficiaire » est au cœur de cet article de loi. Elle a fait l’objet d’une jurisprudence abondante au fil des années. La Commission des lésions professionnelles dans les affaires </w:t>
      </w:r>
      <w:proofErr w:type="spellStart"/>
      <w:r w:rsidRPr="00C02A80">
        <w:rPr>
          <w:i/>
        </w:rPr>
        <w:t>Stadacona</w:t>
      </w:r>
      <w:proofErr w:type="spellEnd"/>
      <w:r w:rsidRPr="00C02A80">
        <w:rPr>
          <w:i/>
        </w:rPr>
        <w:t xml:space="preserve"> S.E.C.</w:t>
      </w:r>
      <w:r>
        <w:t xml:space="preserve"> et </w:t>
      </w:r>
      <w:r w:rsidRPr="00C02A80">
        <w:rPr>
          <w:i/>
        </w:rPr>
        <w:t>Tremblay (succession)</w:t>
      </w:r>
      <w:r>
        <w:rPr>
          <w:vertAlign w:val="superscript"/>
        </w:rPr>
        <w:t>6</w:t>
      </w:r>
      <w:r w:rsidR="006015AB">
        <w:t xml:space="preserve"> </w:t>
      </w:r>
      <w:r>
        <w:t xml:space="preserve">ainsi que </w:t>
      </w:r>
      <w:r w:rsidRPr="00764EEF">
        <w:rPr>
          <w:i/>
        </w:rPr>
        <w:t>Bégin</w:t>
      </w:r>
      <w:r>
        <w:t xml:space="preserve"> et </w:t>
      </w:r>
      <w:proofErr w:type="gramStart"/>
      <w:r w:rsidRPr="00764EEF">
        <w:rPr>
          <w:i/>
        </w:rPr>
        <w:t>Ministère</w:t>
      </w:r>
      <w:proofErr w:type="gramEnd"/>
      <w:r w:rsidRPr="00764EEF">
        <w:rPr>
          <w:i/>
        </w:rPr>
        <w:t xml:space="preserve"> de la Défense nationale</w:t>
      </w:r>
      <w:r>
        <w:rPr>
          <w:i/>
          <w:vertAlign w:val="superscript"/>
        </w:rPr>
        <w:t>7</w:t>
      </w:r>
      <w:r>
        <w:t xml:space="preserve"> précise l’interprétation et la portée à donner à cette expression.</w:t>
      </w:r>
    </w:p>
    <w:p w14:paraId="000C7F0F" w14:textId="77777777" w:rsidR="00032515" w:rsidRDefault="00032515" w:rsidP="00032515">
      <w:pPr>
        <w:pStyle w:val="citation"/>
      </w:pPr>
    </w:p>
    <w:p w14:paraId="7A730750" w14:textId="77777777" w:rsidR="00032515" w:rsidRDefault="00032515" w:rsidP="00032515">
      <w:pPr>
        <w:pStyle w:val="citation"/>
      </w:pPr>
      <w:r>
        <w:t>[27]</w:t>
      </w:r>
      <w:r>
        <w:tab/>
        <w:t>Il découle de ces affaires que la notion de connaissance implique de déterminer à quel moment un travailleur ou une succession dispose des données factuelles et médicales suffisantes pour établir la possibilité d’une relation entre la maladie ou le décès et le travail.</w:t>
      </w:r>
    </w:p>
    <w:p w14:paraId="29EC6FFE" w14:textId="77777777" w:rsidR="00032515" w:rsidRDefault="00032515" w:rsidP="00032515">
      <w:pPr>
        <w:pStyle w:val="citation"/>
      </w:pPr>
    </w:p>
    <w:p w14:paraId="6E9121FC" w14:textId="77777777" w:rsidR="00032515" w:rsidRDefault="00032515" w:rsidP="00032515">
      <w:pPr>
        <w:pStyle w:val="citation"/>
      </w:pPr>
      <w:r>
        <w:lastRenderedPageBreak/>
        <w:t>[28]</w:t>
      </w:r>
      <w:r>
        <w:tab/>
        <w:t xml:space="preserve">Pour reprendre les termes utilisés dans l’affaire </w:t>
      </w:r>
      <w:proofErr w:type="spellStart"/>
      <w:r>
        <w:t>Stadacona</w:t>
      </w:r>
      <w:proofErr w:type="spellEnd"/>
      <w:r>
        <w:t xml:space="preserve"> S.E.C., « </w:t>
      </w:r>
      <w:r w:rsidRPr="00764EEF">
        <w:rPr>
          <w:i/>
        </w:rPr>
        <w:t>la situation s’évaluant, au terme d’un processus intellectuel évolutif, selon les règles de la probabilité, sans nécessité d’une certitude médicale</w:t>
      </w:r>
      <w:r>
        <w:t xml:space="preserve"> ».</w:t>
      </w:r>
    </w:p>
    <w:p w14:paraId="50D1C206" w14:textId="77777777" w:rsidR="00032515" w:rsidRDefault="00032515" w:rsidP="00032515">
      <w:pPr>
        <w:pStyle w:val="citation"/>
      </w:pPr>
    </w:p>
    <w:p w14:paraId="1A0D353A" w14:textId="77777777" w:rsidR="00032515" w:rsidRPr="00764EEF" w:rsidRDefault="00032515" w:rsidP="00032515">
      <w:pPr>
        <w:pStyle w:val="corpsdedcision"/>
        <w:numPr>
          <w:ilvl w:val="0"/>
          <w:numId w:val="0"/>
        </w:numPr>
      </w:pPr>
      <w:r>
        <w:tab/>
        <w:t>[Notes omises]</w:t>
      </w:r>
    </w:p>
    <w:p w14:paraId="07BFABC5" w14:textId="77777777" w:rsidR="00032515" w:rsidRDefault="00032515" w:rsidP="00032515">
      <w:pPr>
        <w:pStyle w:val="corpsdedcision"/>
      </w:pPr>
      <w:r>
        <w:t>Qu’en est-il de cette connaissance?</w:t>
      </w:r>
    </w:p>
    <w:p w14:paraId="5F2D52CC" w14:textId="77777777" w:rsidR="006D7F9A" w:rsidRDefault="00050FE5" w:rsidP="00137A2B">
      <w:pPr>
        <w:pStyle w:val="corpsdedcision"/>
      </w:pPr>
      <w:r>
        <w:t>Le tra</w:t>
      </w:r>
      <w:r w:rsidR="0029206C">
        <w:t>vailleur a commencé à travaille</w:t>
      </w:r>
      <w:r>
        <w:t xml:space="preserve">r pour l’employeur à l’âge de 19 ans pour prendre sa retraite, en </w:t>
      </w:r>
      <w:r w:rsidR="0029206C">
        <w:t xml:space="preserve">2007, après 43 ans de travail. </w:t>
      </w:r>
    </w:p>
    <w:p w14:paraId="68CE38B8" w14:textId="77777777" w:rsidR="00032515" w:rsidRDefault="0029206C" w:rsidP="00137A2B">
      <w:pPr>
        <w:pStyle w:val="corpsdedcision"/>
      </w:pPr>
      <w:r>
        <w:t>Il témoigne</w:t>
      </w:r>
      <w:r w:rsidR="00C55548">
        <w:t xml:space="preserve"> qu’il</w:t>
      </w:r>
      <w:r>
        <w:t xml:space="preserve"> éprouve</w:t>
      </w:r>
      <w:r w:rsidR="007145A2">
        <w:t xml:space="preserve"> des problèmes d’ouïe</w:t>
      </w:r>
      <w:r>
        <w:t xml:space="preserve"> depuis longtemps</w:t>
      </w:r>
      <w:r w:rsidR="007145A2">
        <w:t>. Par exemple, les écouteurs étaient au maximum, il faisait souvent répéter, le son de la télévision était au maximum et il avait de la difficulté à suivre les conversation</w:t>
      </w:r>
      <w:r w:rsidR="00093FBC">
        <w:t>s</w:t>
      </w:r>
      <w:r w:rsidR="007145A2">
        <w:t xml:space="preserve"> lorsqu’il y avait plusieurs personnes qui parlaient </w:t>
      </w:r>
      <w:r w:rsidR="00E65246">
        <w:t xml:space="preserve">en </w:t>
      </w:r>
      <w:r w:rsidR="007145A2">
        <w:t xml:space="preserve">même temps. </w:t>
      </w:r>
    </w:p>
    <w:p w14:paraId="4A62D82A" w14:textId="77777777" w:rsidR="002B5FEB" w:rsidRDefault="002B5FEB" w:rsidP="00DC49E0">
      <w:pPr>
        <w:pStyle w:val="corpsdedcision"/>
      </w:pPr>
      <w:r>
        <w:t>C’est en raison de ces difficultés qu’il consulte</w:t>
      </w:r>
      <w:r w:rsidR="00507513">
        <w:t xml:space="preserve"> au début</w:t>
      </w:r>
      <w:r w:rsidR="006D7F9A">
        <w:t xml:space="preserve"> novembre 2017</w:t>
      </w:r>
      <w:r>
        <w:t xml:space="preserve"> </w:t>
      </w:r>
      <w:r w:rsidR="006D7F9A">
        <w:t xml:space="preserve">le docteur Péloquin, </w:t>
      </w:r>
      <w:r w:rsidR="006D7F9A" w:rsidRPr="006D7F9A">
        <w:t>oto-rhino-laryngologiste</w:t>
      </w:r>
      <w:r w:rsidR="006D7F9A">
        <w:t xml:space="preserve">, et </w:t>
      </w:r>
      <w:r w:rsidR="00E65246">
        <w:t xml:space="preserve">madame </w:t>
      </w:r>
      <w:r w:rsidR="006D7F9A">
        <w:t xml:space="preserve">Caroline </w:t>
      </w:r>
      <w:r w:rsidR="00DC49E0">
        <w:t>Lebel, audiologiste. D</w:t>
      </w:r>
      <w:r w:rsidR="00DF77FB">
        <w:t>ans le cadre de ces consultations</w:t>
      </w:r>
      <w:r w:rsidR="00E65246">
        <w:t>,</w:t>
      </w:r>
      <w:r w:rsidR="00DF77FB">
        <w:t xml:space="preserve"> </w:t>
      </w:r>
      <w:r w:rsidR="00C5334F">
        <w:t xml:space="preserve">il passe une évaluation </w:t>
      </w:r>
      <w:proofErr w:type="spellStart"/>
      <w:r w:rsidR="00C5334F">
        <w:t>audiologique</w:t>
      </w:r>
      <w:proofErr w:type="spellEnd"/>
      <w:r w:rsidR="00C5334F">
        <w:t xml:space="preserve"> et </w:t>
      </w:r>
      <w:r w:rsidR="00DF77FB">
        <w:t xml:space="preserve">les professionnels de la santé </w:t>
      </w:r>
      <w:r w:rsidR="00C5334F">
        <w:t>posent le diagnostic de</w:t>
      </w:r>
      <w:r w:rsidR="00DF77FB">
        <w:t xml:space="preserve"> surdité neurosensorielle. </w:t>
      </w:r>
      <w:r w:rsidR="00341B63">
        <w:t xml:space="preserve">Puis, le 10 novembre 2017, il dépose à la Commission le formulaire intitulé </w:t>
      </w:r>
      <w:r w:rsidR="00341B63" w:rsidRPr="00DC49E0">
        <w:rPr>
          <w:i/>
        </w:rPr>
        <w:t>Réclamation du travailleur</w:t>
      </w:r>
      <w:r w:rsidR="00341B63">
        <w:t xml:space="preserve">. </w:t>
      </w:r>
    </w:p>
    <w:p w14:paraId="4D0B9D9F" w14:textId="77777777" w:rsidR="006F0E7D" w:rsidRDefault="00093FBC" w:rsidP="00137A2B">
      <w:pPr>
        <w:pStyle w:val="corpsdedcision"/>
      </w:pPr>
      <w:r>
        <w:t>Le travailleur a témoigné qu’</w:t>
      </w:r>
      <w:r w:rsidR="007265EB">
        <w:t>il suspectait</w:t>
      </w:r>
      <w:r>
        <w:t xml:space="preserve"> que son problème </w:t>
      </w:r>
      <w:r w:rsidR="00E95099" w:rsidRPr="00E95099">
        <w:t>était</w:t>
      </w:r>
      <w:r w:rsidR="00E65246">
        <w:t xml:space="preserve"> </w:t>
      </w:r>
      <w:r>
        <w:t>dû au travail</w:t>
      </w:r>
      <w:r w:rsidR="009A3982">
        <w:t>,</w:t>
      </w:r>
      <w:r>
        <w:t xml:space="preserve"> et ce, mê</w:t>
      </w:r>
      <w:r w:rsidR="00F74392">
        <w:t>me avant la consultation auprès des professionnels de la santé</w:t>
      </w:r>
      <w:r>
        <w:t xml:space="preserve">. </w:t>
      </w:r>
      <w:r w:rsidR="006F0E7D">
        <w:t>Aurait-il dû déposer une réclamation avant?</w:t>
      </w:r>
    </w:p>
    <w:p w14:paraId="51AAB8D9" w14:textId="77777777" w:rsidR="00093FBC" w:rsidRDefault="006F0E7D" w:rsidP="00137A2B">
      <w:pPr>
        <w:pStyle w:val="corpsdedcision"/>
      </w:pPr>
      <w:r>
        <w:t>Le Tribunal n’adhère pas à la position exigeant une certitude médicale comme étant le point de départ du délai de six mois</w:t>
      </w:r>
      <w:r w:rsidR="00523E5E">
        <w:t xml:space="preserve">. Cependant, un médecin doit avoir posé un diagnostic </w:t>
      </w:r>
      <w:r w:rsidR="00313A8E">
        <w:t>comme prémisse pour la connaissance du travailleur comme mentionné dans l’affaire </w:t>
      </w:r>
      <w:r w:rsidR="002C7F09" w:rsidRPr="002C7F09">
        <w:rPr>
          <w:i/>
        </w:rPr>
        <w:t>Beaudoin</w:t>
      </w:r>
      <w:r w:rsidR="002C7F09" w:rsidRPr="002C7F09">
        <w:t xml:space="preserve"> et </w:t>
      </w:r>
      <w:r w:rsidR="002C7F09" w:rsidRPr="002C7F09">
        <w:rPr>
          <w:i/>
        </w:rPr>
        <w:t xml:space="preserve">Glatfelter Gatineau </w:t>
      </w:r>
      <w:proofErr w:type="spellStart"/>
      <w:r w:rsidR="002C7F09" w:rsidRPr="002C7F09">
        <w:rPr>
          <w:i/>
        </w:rPr>
        <w:t>ltée</w:t>
      </w:r>
      <w:proofErr w:type="spellEnd"/>
      <w:r w:rsidR="002C7F09">
        <w:rPr>
          <w:rStyle w:val="FootnoteReference"/>
        </w:rPr>
        <w:footnoteReference w:id="5"/>
      </w:r>
      <w:r w:rsidR="00313A8E">
        <w:t xml:space="preserve">: </w:t>
      </w:r>
    </w:p>
    <w:p w14:paraId="1D823FBD" w14:textId="77777777" w:rsidR="007265EB" w:rsidRDefault="00313A8E" w:rsidP="00313A8E">
      <w:pPr>
        <w:pStyle w:val="citation"/>
      </w:pPr>
      <w:r w:rsidRPr="00313A8E">
        <w:t>[10]</w:t>
      </w:r>
      <w:r w:rsidRPr="00313A8E">
        <w:tab/>
        <w:t xml:space="preserve">Le Tribunal adhère à l’interprétation voulant que la connaissance s’acquière au terme d’un cheminement intellectuel qui implique de considérer plusieurs éléments tant factuels que médicaux et qui entraînent la conviction du travailleur que sa maladie est probablement reliée à son travail. Ceci implique qu’un diagnostic soit posé par un médecin. Toutefois, la nécessité d’un avis médical formel quant au lien entre la maladie diagnostiquée et le travail demeure un élément à analyser selon les </w:t>
      </w:r>
      <w:r>
        <w:t>circonstances de chaque affaire</w:t>
      </w:r>
      <w:r>
        <w:rPr>
          <w:vertAlign w:val="superscript"/>
        </w:rPr>
        <w:t>4</w:t>
      </w:r>
      <w:r w:rsidRPr="00313A8E">
        <w:t>.</w:t>
      </w:r>
    </w:p>
    <w:p w14:paraId="28D40682" w14:textId="77777777" w:rsidR="00F0072E" w:rsidRDefault="00F0072E" w:rsidP="00F0072E">
      <w:pPr>
        <w:pStyle w:val="citation"/>
        <w:rPr>
          <w:sz w:val="24"/>
          <w:szCs w:val="24"/>
        </w:rPr>
      </w:pPr>
    </w:p>
    <w:p w14:paraId="690A82B0" w14:textId="77777777" w:rsidR="00313A8E" w:rsidRDefault="00E65246" w:rsidP="00E65246">
      <w:pPr>
        <w:pStyle w:val="corpsdedcision"/>
        <w:numPr>
          <w:ilvl w:val="0"/>
          <w:numId w:val="0"/>
        </w:numPr>
      </w:pPr>
      <w:r>
        <w:tab/>
      </w:r>
      <w:r w:rsidR="00DE4693">
        <w:t>[N</w:t>
      </w:r>
      <w:r w:rsidR="00313A8E">
        <w:t>otes omises]</w:t>
      </w:r>
    </w:p>
    <w:p w14:paraId="5344957E" w14:textId="77777777" w:rsidR="00F0072E" w:rsidRPr="006315A5" w:rsidRDefault="00523E5E" w:rsidP="00523E5E">
      <w:pPr>
        <w:pStyle w:val="corpsdedcision"/>
        <w:rPr>
          <w:szCs w:val="24"/>
        </w:rPr>
      </w:pPr>
      <w:r>
        <w:rPr>
          <w:szCs w:val="24"/>
        </w:rPr>
        <w:lastRenderedPageBreak/>
        <w:t>Ainsi</w:t>
      </w:r>
      <w:r w:rsidR="00494581">
        <w:t xml:space="preserve">, </w:t>
      </w:r>
      <w:r w:rsidR="008B6780">
        <w:t xml:space="preserve">à </w:t>
      </w:r>
      <w:r w:rsidR="00F0072E">
        <w:t>défaut d’</w:t>
      </w:r>
      <w:r w:rsidR="00407088">
        <w:t>un diagnostic posé</w:t>
      </w:r>
      <w:r w:rsidR="00F0072E">
        <w:t>,</w:t>
      </w:r>
      <w:r w:rsidR="00A90DE4">
        <w:t xml:space="preserve"> </w:t>
      </w:r>
      <w:r w:rsidR="00F0072E">
        <w:t>un travailleur ne peut avoir la connaissance qu’il est atteint d’une maladie professionnelle</w:t>
      </w:r>
      <w:r w:rsidR="00407088">
        <w:rPr>
          <w:rStyle w:val="FootnoteReference"/>
        </w:rPr>
        <w:footnoteReference w:id="6"/>
      </w:r>
      <w:r w:rsidR="00F74392">
        <w:t xml:space="preserve"> et </w:t>
      </w:r>
      <w:r w:rsidR="008B6780">
        <w:t>soupçonner d’être atteint d’une</w:t>
      </w:r>
      <w:r w:rsidR="00507513">
        <w:t xml:space="preserve"> telle</w:t>
      </w:r>
      <w:r w:rsidR="008B6780">
        <w:t xml:space="preserve"> maladie n’est pas suffisant</w:t>
      </w:r>
      <w:r w:rsidR="008B6780">
        <w:rPr>
          <w:rStyle w:val="FootnoteReference"/>
        </w:rPr>
        <w:footnoteReference w:id="7"/>
      </w:r>
      <w:r w:rsidR="008B6780">
        <w:t>.</w:t>
      </w:r>
    </w:p>
    <w:p w14:paraId="0927F0C6" w14:textId="77777777" w:rsidR="006315A5" w:rsidRPr="007D7FA6" w:rsidRDefault="006315A5" w:rsidP="00523E5E">
      <w:pPr>
        <w:pStyle w:val="corpsdedcision"/>
        <w:rPr>
          <w:szCs w:val="24"/>
        </w:rPr>
      </w:pPr>
      <w:r>
        <w:t xml:space="preserve">D’ailleurs, cette position est celle retenue dans les décisions </w:t>
      </w:r>
      <w:r w:rsidRPr="006315A5">
        <w:rPr>
          <w:i/>
        </w:rPr>
        <w:t>Fayard</w:t>
      </w:r>
      <w:r>
        <w:t xml:space="preserve"> et </w:t>
      </w:r>
      <w:r w:rsidRPr="006315A5">
        <w:rPr>
          <w:i/>
        </w:rPr>
        <w:t xml:space="preserve">Via Rail Canada </w:t>
      </w:r>
      <w:proofErr w:type="spellStart"/>
      <w:r w:rsidRPr="006315A5">
        <w:rPr>
          <w:i/>
        </w:rPr>
        <w:t>inc.</w:t>
      </w:r>
      <w:proofErr w:type="spellEnd"/>
      <w:r>
        <w:rPr>
          <w:rStyle w:val="FootnoteReference"/>
        </w:rPr>
        <w:footnoteReference w:id="8"/>
      </w:r>
      <w:r>
        <w:t xml:space="preserve"> et </w:t>
      </w:r>
      <w:r w:rsidRPr="006315A5">
        <w:rPr>
          <w:i/>
        </w:rPr>
        <w:t xml:space="preserve">Tremblay </w:t>
      </w:r>
      <w:r>
        <w:t xml:space="preserve">et </w:t>
      </w:r>
      <w:r w:rsidRPr="006315A5">
        <w:rPr>
          <w:i/>
        </w:rPr>
        <w:t>Ville de Saguenay</w:t>
      </w:r>
      <w:r>
        <w:rPr>
          <w:rStyle w:val="FootnoteReference"/>
        </w:rPr>
        <w:footnoteReference w:id="9"/>
      </w:r>
      <w:r>
        <w:rPr>
          <w:i/>
        </w:rPr>
        <w:t xml:space="preserve"> </w:t>
      </w:r>
      <w:r>
        <w:t>déposées par l’employeur. Dans l’une et l’autre de ces décisions, les travailleurs ont déposé leurs réclamation</w:t>
      </w:r>
      <w:r w:rsidR="002851A5">
        <w:t>s</w:t>
      </w:r>
      <w:r>
        <w:t xml:space="preserve"> après</w:t>
      </w:r>
      <w:r w:rsidR="002851A5">
        <w:t xml:space="preserve"> avoir passé un audiogramme. Seulement, dans ces décisions, le travailleur a attendu avant de déposer une réclamation. Ce qui n’est pas le cas en l’espèce</w:t>
      </w:r>
      <w:r w:rsidR="00014849">
        <w:t>,</w:t>
      </w:r>
      <w:r w:rsidR="002851A5">
        <w:t xml:space="preserve"> puisque le travailleur a déposé sa réclamation quelques jours après</w:t>
      </w:r>
      <w:r w:rsidR="00102689">
        <w:t xml:space="preserve"> avoir reçu</w:t>
      </w:r>
      <w:r w:rsidR="00014849">
        <w:t xml:space="preserve"> le résultat de l’audiogramme.</w:t>
      </w:r>
    </w:p>
    <w:p w14:paraId="5C4C81EB" w14:textId="77777777" w:rsidR="007D7FA6" w:rsidRDefault="007D7FA6" w:rsidP="00523E5E">
      <w:pPr>
        <w:pStyle w:val="corpsdedcision"/>
        <w:rPr>
          <w:szCs w:val="24"/>
        </w:rPr>
      </w:pPr>
      <w:r>
        <w:rPr>
          <w:szCs w:val="24"/>
        </w:rPr>
        <w:t>Enfin</w:t>
      </w:r>
      <w:r w:rsidR="00E44F3B">
        <w:rPr>
          <w:szCs w:val="24"/>
        </w:rPr>
        <w:t xml:space="preserve"> le Tribunal écarte la décision</w:t>
      </w:r>
      <w:r w:rsidR="0081098D">
        <w:rPr>
          <w:szCs w:val="24"/>
        </w:rPr>
        <w:t xml:space="preserve"> </w:t>
      </w:r>
      <w:r w:rsidR="0081098D" w:rsidRPr="00236B99">
        <w:rPr>
          <w:i/>
          <w:szCs w:val="24"/>
        </w:rPr>
        <w:t>Lacasse</w:t>
      </w:r>
      <w:r w:rsidR="0081098D">
        <w:rPr>
          <w:szCs w:val="24"/>
        </w:rPr>
        <w:t xml:space="preserve"> et </w:t>
      </w:r>
      <w:r w:rsidR="0081098D" w:rsidRPr="00236B99">
        <w:rPr>
          <w:i/>
          <w:szCs w:val="24"/>
        </w:rPr>
        <w:t xml:space="preserve">Ciment Québec </w:t>
      </w:r>
      <w:proofErr w:type="spellStart"/>
      <w:r w:rsidR="0081098D" w:rsidRPr="00236B99">
        <w:rPr>
          <w:i/>
          <w:szCs w:val="24"/>
        </w:rPr>
        <w:t>inc.</w:t>
      </w:r>
      <w:proofErr w:type="spellEnd"/>
      <w:r w:rsidR="0081098D">
        <w:rPr>
          <w:rStyle w:val="FootnoteReference"/>
          <w:szCs w:val="24"/>
        </w:rPr>
        <w:footnoteReference w:id="10"/>
      </w:r>
      <w:r w:rsidR="00014849">
        <w:rPr>
          <w:szCs w:val="24"/>
        </w:rPr>
        <w:t xml:space="preserve">, </w:t>
      </w:r>
      <w:r w:rsidR="00E44F3B">
        <w:rPr>
          <w:szCs w:val="24"/>
        </w:rPr>
        <w:t xml:space="preserve">puisque cette position jurisprudentielle </w:t>
      </w:r>
      <w:r w:rsidR="00023469">
        <w:rPr>
          <w:szCs w:val="24"/>
        </w:rPr>
        <w:t xml:space="preserve">voulant que la connaissance du travailleur ne nécessite aucune confirmation médicale </w:t>
      </w:r>
      <w:r w:rsidR="00E44F3B">
        <w:rPr>
          <w:szCs w:val="24"/>
        </w:rPr>
        <w:t>n’a plus cours</w:t>
      </w:r>
      <w:r w:rsidR="00023469">
        <w:rPr>
          <w:rStyle w:val="FootnoteReference"/>
          <w:szCs w:val="24"/>
        </w:rPr>
        <w:footnoteReference w:id="11"/>
      </w:r>
      <w:r w:rsidR="00E44F3B">
        <w:rPr>
          <w:szCs w:val="24"/>
        </w:rPr>
        <w:t xml:space="preserve">. </w:t>
      </w:r>
    </w:p>
    <w:p w14:paraId="7E20F1BA" w14:textId="77777777" w:rsidR="00236B99" w:rsidRDefault="00236B99" w:rsidP="00523E5E">
      <w:pPr>
        <w:pStyle w:val="corpsdedcision"/>
        <w:rPr>
          <w:szCs w:val="24"/>
        </w:rPr>
      </w:pPr>
      <w:r>
        <w:rPr>
          <w:szCs w:val="24"/>
        </w:rPr>
        <w:t xml:space="preserve">Pour ces raisons, le Tribunal conclut que le travailleur a déposé sa réclamation dans le délai de </w:t>
      </w:r>
      <w:proofErr w:type="gramStart"/>
      <w:r w:rsidR="00014849">
        <w:rPr>
          <w:szCs w:val="24"/>
        </w:rPr>
        <w:t>six</w:t>
      </w:r>
      <w:r>
        <w:rPr>
          <w:szCs w:val="24"/>
        </w:rPr>
        <w:t xml:space="preserve"> mois prévu</w:t>
      </w:r>
      <w:proofErr w:type="gramEnd"/>
      <w:r>
        <w:rPr>
          <w:szCs w:val="24"/>
        </w:rPr>
        <w:t xml:space="preserve"> à la Loi. Reste maintenant à déterminer s’il est victime d’une lésion professionnelle</w:t>
      </w:r>
      <w:r w:rsidR="00014849">
        <w:rPr>
          <w:szCs w:val="24"/>
        </w:rPr>
        <w:t>,</w:t>
      </w:r>
      <w:r>
        <w:rPr>
          <w:szCs w:val="24"/>
        </w:rPr>
        <w:t xml:space="preserve"> plus précisément d’une maladie professionnelle.</w:t>
      </w:r>
    </w:p>
    <w:p w14:paraId="50E67936" w14:textId="77777777" w:rsidR="00AA4425" w:rsidRDefault="00AA4425" w:rsidP="00AA4425">
      <w:pPr>
        <w:pStyle w:val="corpsdedcision"/>
        <w:numPr>
          <w:ilvl w:val="0"/>
          <w:numId w:val="0"/>
        </w:numPr>
        <w:rPr>
          <w:b/>
          <w:szCs w:val="24"/>
        </w:rPr>
      </w:pPr>
      <w:r>
        <w:rPr>
          <w:b/>
          <w:szCs w:val="24"/>
        </w:rPr>
        <w:t>Maladie professionnelle</w:t>
      </w:r>
    </w:p>
    <w:p w14:paraId="34C4E436" w14:textId="77777777" w:rsidR="00447C31" w:rsidRDefault="00447C31" w:rsidP="00447C31">
      <w:pPr>
        <w:pStyle w:val="corpsdedcision"/>
        <w:tabs>
          <w:tab w:val="num" w:pos="360"/>
        </w:tabs>
      </w:pPr>
      <w:r>
        <w:t>Pour démontrer être victime d’une maladie professionnelle, le travailleur doit prouver par prépondérance de preuve les éléments constitutifs de la maladie professionnelle</w:t>
      </w:r>
      <w:r w:rsidR="00014849">
        <w:t>,</w:t>
      </w:r>
      <w:r>
        <w:t xml:space="preserve"> soit :</w:t>
      </w:r>
    </w:p>
    <w:p w14:paraId="0073AC0F" w14:textId="77777777" w:rsidR="00447C31" w:rsidRDefault="00447C31" w:rsidP="00447C31">
      <w:pPr>
        <w:pStyle w:val="corpsdedcision"/>
        <w:numPr>
          <w:ilvl w:val="0"/>
          <w:numId w:val="14"/>
        </w:numPr>
        <w:ind w:left="1276" w:hanging="567"/>
      </w:pPr>
      <w:r>
        <w:t>Être attei</w:t>
      </w:r>
      <w:r w:rsidR="00281A89">
        <w:t>nt d’une maladie</w:t>
      </w:r>
      <w:r>
        <w:t xml:space="preserve"> – il s’agit de la donnée médicale qui réfère au médecin qui a charge;</w:t>
      </w:r>
    </w:p>
    <w:p w14:paraId="709C7704" w14:textId="77777777" w:rsidR="00447C31" w:rsidRDefault="00447C31" w:rsidP="00447C31">
      <w:pPr>
        <w:pStyle w:val="corpsdedcision"/>
        <w:numPr>
          <w:ilvl w:val="0"/>
          <w:numId w:val="14"/>
        </w:numPr>
        <w:ind w:left="1276" w:hanging="567"/>
      </w:pPr>
      <w:r>
        <w:t>Que cette maladie est contractée par le fait ou à l’occasion du travail;</w:t>
      </w:r>
    </w:p>
    <w:p w14:paraId="3D8EBDCE" w14:textId="77777777" w:rsidR="00447C31" w:rsidRDefault="00447C31" w:rsidP="00447C31">
      <w:pPr>
        <w:pStyle w:val="corpsdedcision"/>
        <w:numPr>
          <w:ilvl w:val="0"/>
          <w:numId w:val="14"/>
        </w:numPr>
        <w:ind w:left="1276" w:hanging="567"/>
      </w:pPr>
      <w:r>
        <w:t>Que cette maladie est caractéristique du travail exercé ou reliée directement aux risques particuliers de ce travail.</w:t>
      </w:r>
    </w:p>
    <w:p w14:paraId="281455B0" w14:textId="77777777" w:rsidR="00447C31" w:rsidRDefault="00447C31" w:rsidP="00447C31">
      <w:pPr>
        <w:pStyle w:val="corpsdedcision"/>
        <w:tabs>
          <w:tab w:val="num" w:pos="360"/>
        </w:tabs>
      </w:pPr>
      <w:r>
        <w:lastRenderedPageBreak/>
        <w:t>Dans l’objectif de faciliter la preuve, le législateur a adopté une présomption de maladie professionnelle à l’article 29 de la Loi :</w:t>
      </w:r>
    </w:p>
    <w:p w14:paraId="2F281037" w14:textId="77777777" w:rsidR="00447C31" w:rsidRDefault="00447C31" w:rsidP="00447C31">
      <w:pPr>
        <w:pStyle w:val="articlesdelaLATMP"/>
      </w:pPr>
      <w:r w:rsidRPr="00977E47">
        <w:rPr>
          <w:b/>
        </w:rPr>
        <w:t>29.</w:t>
      </w:r>
      <w:r>
        <w:t xml:space="preserve">  Les maladies énumérées dans l'annexe I sont caractéristiques du travail correspondant à chacune de ces maladies d'après cette annexe et sont reliées directement aux risques particuliers de ce travail.</w:t>
      </w:r>
    </w:p>
    <w:p w14:paraId="2F02C833" w14:textId="77777777" w:rsidR="00447C31" w:rsidRDefault="00447C31" w:rsidP="00447C31">
      <w:pPr>
        <w:pStyle w:val="articlesdelaLATMP"/>
      </w:pPr>
    </w:p>
    <w:p w14:paraId="18C72B8A" w14:textId="77777777" w:rsidR="00447C31" w:rsidRDefault="00447C31" w:rsidP="00447C31">
      <w:pPr>
        <w:pStyle w:val="articlesdelaLATMP"/>
      </w:pPr>
      <w:r>
        <w:t>Le travailleur atteint d'une maladie visée dans cette annexe est présumé atteint d'une maladie professionnelle s'il a exercé un travail correspondant à cette maladie d'après l'annexe.</w:t>
      </w:r>
    </w:p>
    <w:p w14:paraId="2BDE0CE6" w14:textId="77777777" w:rsidR="00447C31" w:rsidRDefault="00447C31" w:rsidP="00447C31">
      <w:pPr>
        <w:pStyle w:val="articlesdelaLATMP"/>
      </w:pPr>
    </w:p>
    <w:p w14:paraId="00A19D23" w14:textId="77777777" w:rsidR="00447C31" w:rsidRDefault="00447C31" w:rsidP="00447C31">
      <w:pPr>
        <w:pStyle w:val="articlesdelaLATMP"/>
        <w:ind w:left="709"/>
      </w:pPr>
    </w:p>
    <w:p w14:paraId="5316096D" w14:textId="77777777" w:rsidR="00447C31" w:rsidRDefault="00447C31" w:rsidP="00447C31">
      <w:pPr>
        <w:pStyle w:val="corpsdedcision"/>
        <w:tabs>
          <w:tab w:val="num" w:pos="360"/>
        </w:tabs>
      </w:pPr>
      <w:r>
        <w:t>Pour bénéficier de la présomption, le travailleur doit prouver par prépondérance de preuve la maladie (l’atteinte auditive causée par le bruit) et le travail correspondant (un travail impliquant l’exposition à un bruit excessif) comme indiqué à l’annexe I de la Loi :</w:t>
      </w:r>
    </w:p>
    <w:p w14:paraId="0F747FE8" w14:textId="77777777" w:rsidR="00447C31" w:rsidRPr="00CC5B49" w:rsidRDefault="00447C31" w:rsidP="00447C31">
      <w:pPr>
        <w:pStyle w:val="corpsdedcision"/>
        <w:numPr>
          <w:ilvl w:val="0"/>
          <w:numId w:val="0"/>
        </w:numPr>
      </w:pPr>
      <w:r>
        <w:tab/>
      </w:r>
      <w:r w:rsidRPr="00CC5B49">
        <w:rPr>
          <w:b/>
          <w:sz w:val="20"/>
        </w:rPr>
        <w:t>ANNEXE I</w:t>
      </w:r>
    </w:p>
    <w:p w14:paraId="035B960A" w14:textId="77777777" w:rsidR="00447C31" w:rsidRPr="00D27479" w:rsidRDefault="00447C31" w:rsidP="00447C31">
      <w:pPr>
        <w:ind w:left="720"/>
        <w:rPr>
          <w:sz w:val="20"/>
        </w:rPr>
      </w:pPr>
      <w:r w:rsidRPr="00D27479">
        <w:rPr>
          <w:sz w:val="20"/>
        </w:rPr>
        <w:t>MALADIES PROFESSIONNELLES</w:t>
      </w:r>
    </w:p>
    <w:p w14:paraId="6B97BE4B" w14:textId="77777777" w:rsidR="00447C31" w:rsidRPr="00D27479" w:rsidRDefault="00447C31" w:rsidP="00447C31">
      <w:pPr>
        <w:ind w:left="720"/>
        <w:rPr>
          <w:sz w:val="20"/>
        </w:rPr>
      </w:pPr>
      <w:r w:rsidRPr="00D27479">
        <w:rPr>
          <w:sz w:val="20"/>
        </w:rPr>
        <w:t>(</w:t>
      </w:r>
      <w:r w:rsidRPr="00D27479">
        <w:rPr>
          <w:i/>
          <w:sz w:val="20"/>
        </w:rPr>
        <w:t>Article 29</w:t>
      </w:r>
      <w:r w:rsidRPr="00D27479">
        <w:rPr>
          <w:sz w:val="20"/>
        </w:rPr>
        <w:t>)</w:t>
      </w:r>
    </w:p>
    <w:p w14:paraId="376C3A15" w14:textId="77777777" w:rsidR="00447C31" w:rsidRPr="00D27479" w:rsidRDefault="00447C31" w:rsidP="00447C31">
      <w:pPr>
        <w:ind w:left="720"/>
        <w:rPr>
          <w:sz w:val="20"/>
        </w:rPr>
      </w:pPr>
    </w:p>
    <w:p w14:paraId="4DFD149D" w14:textId="77777777" w:rsidR="00447C31" w:rsidRPr="00D27479" w:rsidRDefault="00447C31" w:rsidP="00447C31">
      <w:pPr>
        <w:ind w:left="720"/>
        <w:rPr>
          <w:sz w:val="20"/>
        </w:rPr>
      </w:pPr>
      <w:r w:rsidRPr="00D27479">
        <w:rPr>
          <w:sz w:val="20"/>
        </w:rPr>
        <w:t>[…]</w:t>
      </w:r>
    </w:p>
    <w:p w14:paraId="010CB4D7" w14:textId="77777777" w:rsidR="00447C31" w:rsidRPr="00D27479" w:rsidRDefault="00447C31" w:rsidP="00447C31">
      <w:pPr>
        <w:ind w:left="720"/>
        <w:rPr>
          <w:sz w:val="20"/>
        </w:rPr>
      </w:pPr>
    </w:p>
    <w:p w14:paraId="5F823B80" w14:textId="77777777" w:rsidR="00447C31" w:rsidRPr="00D27479" w:rsidRDefault="00447C31" w:rsidP="00447C31">
      <w:pPr>
        <w:tabs>
          <w:tab w:val="left" w:pos="-994"/>
          <w:tab w:val="left" w:pos="-720"/>
          <w:tab w:val="left" w:pos="1080"/>
        </w:tabs>
        <w:ind w:left="720"/>
        <w:rPr>
          <w:sz w:val="20"/>
        </w:rPr>
      </w:pPr>
      <w:r w:rsidRPr="00D27479">
        <w:rPr>
          <w:sz w:val="20"/>
        </w:rPr>
        <w:t>SECTION IV</w:t>
      </w:r>
    </w:p>
    <w:p w14:paraId="22317B77" w14:textId="77777777" w:rsidR="00447C31" w:rsidRPr="00D27479" w:rsidRDefault="00447C31" w:rsidP="00447C31">
      <w:pPr>
        <w:tabs>
          <w:tab w:val="left" w:pos="-994"/>
          <w:tab w:val="left" w:pos="-720"/>
          <w:tab w:val="left" w:pos="1080"/>
        </w:tabs>
        <w:ind w:left="720"/>
        <w:rPr>
          <w:sz w:val="20"/>
        </w:rPr>
      </w:pPr>
    </w:p>
    <w:p w14:paraId="5F5A3AA0" w14:textId="77777777" w:rsidR="00447C31" w:rsidRPr="00D27479" w:rsidRDefault="00447C31" w:rsidP="00447C31">
      <w:pPr>
        <w:tabs>
          <w:tab w:val="left" w:pos="-994"/>
          <w:tab w:val="left" w:pos="-720"/>
          <w:tab w:val="left" w:pos="1080"/>
        </w:tabs>
        <w:ind w:left="720"/>
        <w:rPr>
          <w:sz w:val="20"/>
        </w:rPr>
      </w:pPr>
      <w:r w:rsidRPr="00D27479">
        <w:rPr>
          <w:sz w:val="20"/>
        </w:rPr>
        <w:t>MALADIES CAUSÉES PAR DES AGENTS PHYSIQUES</w:t>
      </w:r>
    </w:p>
    <w:p w14:paraId="23880762" w14:textId="77777777" w:rsidR="00447C31" w:rsidRPr="00D27479" w:rsidRDefault="00447C31" w:rsidP="00447C31">
      <w:pPr>
        <w:tabs>
          <w:tab w:val="left" w:pos="-994"/>
          <w:tab w:val="left" w:pos="-720"/>
          <w:tab w:val="left" w:pos="1080"/>
        </w:tabs>
        <w:ind w:left="720"/>
        <w:rPr>
          <w:sz w:val="20"/>
        </w:rPr>
      </w:pPr>
    </w:p>
    <w:tbl>
      <w:tblPr>
        <w:tblW w:w="0" w:type="auto"/>
        <w:tblInd w:w="79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00" w:firstRow="0" w:lastRow="0" w:firstColumn="0" w:lastColumn="0" w:noHBand="0" w:noVBand="0"/>
      </w:tblPr>
      <w:tblGrid>
        <w:gridCol w:w="3760"/>
        <w:gridCol w:w="3780"/>
      </w:tblGrid>
      <w:tr w:rsidR="00447C31" w:rsidRPr="00D27479" w14:paraId="11066BDD" w14:textId="77777777" w:rsidTr="009D6811">
        <w:tc>
          <w:tcPr>
            <w:tcW w:w="3760" w:type="dxa"/>
            <w:tcBorders>
              <w:top w:val="single" w:sz="4" w:space="0" w:color="auto"/>
              <w:left w:val="nil"/>
              <w:bottom w:val="single" w:sz="4" w:space="0" w:color="auto"/>
              <w:right w:val="dashSmallGap" w:sz="4" w:space="0" w:color="auto"/>
            </w:tcBorders>
          </w:tcPr>
          <w:p w14:paraId="34900CB9" w14:textId="77777777" w:rsidR="00447C31" w:rsidRPr="00D27479" w:rsidRDefault="00447C31" w:rsidP="009D6811">
            <w:pPr>
              <w:spacing w:after="120"/>
              <w:jc w:val="both"/>
              <w:rPr>
                <w:sz w:val="20"/>
              </w:rPr>
            </w:pPr>
            <w:r w:rsidRPr="00D27479">
              <w:rPr>
                <w:sz w:val="20"/>
              </w:rPr>
              <w:t>MALADIES</w:t>
            </w:r>
          </w:p>
        </w:tc>
        <w:tc>
          <w:tcPr>
            <w:tcW w:w="3780" w:type="dxa"/>
            <w:tcBorders>
              <w:top w:val="single" w:sz="4" w:space="0" w:color="auto"/>
              <w:left w:val="dashSmallGap" w:sz="4" w:space="0" w:color="auto"/>
              <w:bottom w:val="single" w:sz="4" w:space="0" w:color="auto"/>
              <w:right w:val="nil"/>
            </w:tcBorders>
          </w:tcPr>
          <w:p w14:paraId="1544F20C" w14:textId="77777777" w:rsidR="00447C31" w:rsidRPr="00D27479" w:rsidRDefault="00447C31" w:rsidP="009D6811">
            <w:pPr>
              <w:tabs>
                <w:tab w:val="num" w:pos="360"/>
              </w:tabs>
              <w:spacing w:after="120"/>
              <w:ind w:left="200"/>
              <w:jc w:val="both"/>
              <w:rPr>
                <w:sz w:val="20"/>
              </w:rPr>
            </w:pPr>
            <w:r w:rsidRPr="00D27479">
              <w:rPr>
                <w:sz w:val="20"/>
              </w:rPr>
              <w:t>GENRES DE TRAVAIL</w:t>
            </w:r>
          </w:p>
        </w:tc>
      </w:tr>
      <w:tr w:rsidR="00447C31" w:rsidRPr="00D27479" w14:paraId="55C722E2" w14:textId="77777777" w:rsidTr="009D6811">
        <w:tc>
          <w:tcPr>
            <w:tcW w:w="3760" w:type="dxa"/>
            <w:tcBorders>
              <w:top w:val="single" w:sz="4" w:space="0" w:color="auto"/>
              <w:left w:val="nil"/>
              <w:bottom w:val="nil"/>
              <w:right w:val="dashSmallGap" w:sz="4" w:space="0" w:color="auto"/>
            </w:tcBorders>
          </w:tcPr>
          <w:p w14:paraId="3E64A4EC" w14:textId="77777777" w:rsidR="00447C31" w:rsidRPr="00D27479" w:rsidRDefault="00447C31" w:rsidP="009D6811">
            <w:pPr>
              <w:ind w:left="344"/>
              <w:jc w:val="both"/>
              <w:rPr>
                <w:sz w:val="20"/>
              </w:rPr>
            </w:pPr>
          </w:p>
          <w:p w14:paraId="3617CEF2" w14:textId="77777777" w:rsidR="00447C31" w:rsidRPr="00D27479" w:rsidRDefault="00447C31" w:rsidP="00447C31">
            <w:pPr>
              <w:numPr>
                <w:ilvl w:val="0"/>
                <w:numId w:val="13"/>
              </w:numPr>
              <w:ind w:left="344" w:hanging="344"/>
              <w:jc w:val="both"/>
              <w:rPr>
                <w:sz w:val="20"/>
              </w:rPr>
            </w:pPr>
            <w:r w:rsidRPr="00D27479">
              <w:rPr>
                <w:sz w:val="20"/>
              </w:rPr>
              <w:t>Atteinte auditive</w:t>
            </w:r>
          </w:p>
          <w:p w14:paraId="4A6AF241" w14:textId="77777777" w:rsidR="00447C31" w:rsidRPr="00D27479" w:rsidRDefault="00447C31" w:rsidP="009D6811">
            <w:pPr>
              <w:ind w:left="344"/>
              <w:jc w:val="both"/>
              <w:rPr>
                <w:sz w:val="20"/>
              </w:rPr>
            </w:pPr>
            <w:proofErr w:type="gramStart"/>
            <w:r w:rsidRPr="00D27479">
              <w:rPr>
                <w:sz w:val="20"/>
              </w:rPr>
              <w:t>causée</w:t>
            </w:r>
            <w:proofErr w:type="gramEnd"/>
            <w:r w:rsidRPr="00D27479">
              <w:rPr>
                <w:sz w:val="20"/>
              </w:rPr>
              <w:t xml:space="preserve"> par le bruit :</w:t>
            </w:r>
          </w:p>
        </w:tc>
        <w:tc>
          <w:tcPr>
            <w:tcW w:w="3780" w:type="dxa"/>
            <w:tcBorders>
              <w:top w:val="single" w:sz="4" w:space="0" w:color="auto"/>
              <w:left w:val="dashSmallGap" w:sz="4" w:space="0" w:color="auto"/>
              <w:bottom w:val="nil"/>
              <w:right w:val="nil"/>
            </w:tcBorders>
          </w:tcPr>
          <w:p w14:paraId="03DC8760" w14:textId="77777777" w:rsidR="00447C31" w:rsidRPr="00D27479" w:rsidRDefault="00447C31" w:rsidP="009D6811">
            <w:pPr>
              <w:tabs>
                <w:tab w:val="num" w:pos="360"/>
              </w:tabs>
              <w:ind w:left="200"/>
              <w:jc w:val="both"/>
              <w:rPr>
                <w:sz w:val="20"/>
              </w:rPr>
            </w:pPr>
          </w:p>
          <w:p w14:paraId="3E422699" w14:textId="77777777" w:rsidR="00447C31" w:rsidRPr="00D27479" w:rsidRDefault="00447C31" w:rsidP="009D6811">
            <w:pPr>
              <w:tabs>
                <w:tab w:val="num" w:pos="360"/>
              </w:tabs>
              <w:ind w:left="200"/>
              <w:jc w:val="both"/>
              <w:rPr>
                <w:sz w:val="20"/>
              </w:rPr>
            </w:pPr>
            <w:r w:rsidRPr="00D27479">
              <w:rPr>
                <w:sz w:val="20"/>
              </w:rPr>
              <w:t>Un travail impliquant une</w:t>
            </w:r>
          </w:p>
          <w:p w14:paraId="0ACF8251" w14:textId="77777777" w:rsidR="00447C31" w:rsidRPr="00D27479" w:rsidRDefault="00447C31" w:rsidP="009D6811">
            <w:pPr>
              <w:tabs>
                <w:tab w:val="num" w:pos="360"/>
              </w:tabs>
              <w:ind w:left="200"/>
              <w:jc w:val="both"/>
              <w:rPr>
                <w:sz w:val="20"/>
              </w:rPr>
            </w:pPr>
            <w:proofErr w:type="gramStart"/>
            <w:r w:rsidRPr="00D27479">
              <w:rPr>
                <w:sz w:val="20"/>
              </w:rPr>
              <w:t>exposition</w:t>
            </w:r>
            <w:proofErr w:type="gramEnd"/>
            <w:r w:rsidRPr="00D27479">
              <w:rPr>
                <w:sz w:val="20"/>
              </w:rPr>
              <w:t xml:space="preserve"> à un bruit excessif;</w:t>
            </w:r>
          </w:p>
        </w:tc>
      </w:tr>
      <w:tr w:rsidR="00447C31" w:rsidRPr="00D27479" w14:paraId="7AF0F867" w14:textId="77777777" w:rsidTr="009D6811">
        <w:tc>
          <w:tcPr>
            <w:tcW w:w="3760" w:type="dxa"/>
            <w:tcBorders>
              <w:top w:val="nil"/>
              <w:left w:val="nil"/>
              <w:bottom w:val="nil"/>
              <w:right w:val="dashSmallGap" w:sz="4" w:space="0" w:color="auto"/>
            </w:tcBorders>
          </w:tcPr>
          <w:p w14:paraId="5392208D" w14:textId="77777777" w:rsidR="00447C31" w:rsidRPr="00D27479" w:rsidRDefault="00447C31" w:rsidP="009D6811">
            <w:pPr>
              <w:rPr>
                <w:sz w:val="20"/>
              </w:rPr>
            </w:pPr>
          </w:p>
          <w:p w14:paraId="27F7A302" w14:textId="77777777" w:rsidR="00447C31" w:rsidRPr="00D27479" w:rsidRDefault="00447C31" w:rsidP="009D6811">
            <w:pPr>
              <w:rPr>
                <w:sz w:val="20"/>
              </w:rPr>
            </w:pPr>
            <w:r w:rsidRPr="00D27479">
              <w:rPr>
                <w:sz w:val="20"/>
              </w:rPr>
              <w:t>[…]</w:t>
            </w:r>
          </w:p>
        </w:tc>
        <w:tc>
          <w:tcPr>
            <w:tcW w:w="3780" w:type="dxa"/>
            <w:tcBorders>
              <w:top w:val="nil"/>
              <w:left w:val="dashSmallGap" w:sz="4" w:space="0" w:color="auto"/>
              <w:bottom w:val="nil"/>
              <w:right w:val="nil"/>
            </w:tcBorders>
          </w:tcPr>
          <w:p w14:paraId="623538C6" w14:textId="77777777" w:rsidR="00447C31" w:rsidRPr="00D27479" w:rsidRDefault="00447C31" w:rsidP="009D6811">
            <w:pPr>
              <w:tabs>
                <w:tab w:val="left" w:pos="360"/>
              </w:tabs>
              <w:ind w:left="200"/>
              <w:rPr>
                <w:sz w:val="20"/>
              </w:rPr>
            </w:pPr>
          </w:p>
          <w:p w14:paraId="2ECFF4D9" w14:textId="77777777" w:rsidR="00447C31" w:rsidRPr="00D27479" w:rsidRDefault="00447C31" w:rsidP="009D6811">
            <w:pPr>
              <w:tabs>
                <w:tab w:val="left" w:pos="360"/>
              </w:tabs>
              <w:ind w:left="200"/>
              <w:rPr>
                <w:sz w:val="20"/>
              </w:rPr>
            </w:pPr>
            <w:r w:rsidRPr="00D27479">
              <w:rPr>
                <w:sz w:val="20"/>
              </w:rPr>
              <w:t>[…]</w:t>
            </w:r>
          </w:p>
        </w:tc>
      </w:tr>
    </w:tbl>
    <w:p w14:paraId="097683E1" w14:textId="77777777" w:rsidR="006015AB" w:rsidRDefault="006015AB" w:rsidP="006015AB">
      <w:pPr>
        <w:pStyle w:val="corpsdedcision"/>
        <w:numPr>
          <w:ilvl w:val="0"/>
          <w:numId w:val="0"/>
        </w:numPr>
      </w:pPr>
    </w:p>
    <w:p w14:paraId="22ADF6FA" w14:textId="77777777" w:rsidR="0066698C" w:rsidRPr="006015AB" w:rsidRDefault="0066698C" w:rsidP="006015AB">
      <w:pPr>
        <w:pStyle w:val="corpsdedcision"/>
        <w:numPr>
          <w:ilvl w:val="0"/>
          <w:numId w:val="0"/>
        </w:numPr>
        <w:rPr>
          <w:b/>
        </w:rPr>
      </w:pPr>
      <w:r w:rsidRPr="006015AB">
        <w:rPr>
          <w:b/>
        </w:rPr>
        <w:t>Le travailleur a-t-il une atteinte auditive causée par le bruit?</w:t>
      </w:r>
    </w:p>
    <w:p w14:paraId="06E89D0E" w14:textId="77777777" w:rsidR="0066698C" w:rsidRDefault="0066698C" w:rsidP="006015AB">
      <w:pPr>
        <w:pStyle w:val="corpsdedcision"/>
        <w:tabs>
          <w:tab w:val="num" w:pos="360"/>
        </w:tabs>
      </w:pPr>
      <w:r>
        <w:t>Selon la jurisprudence, une atteinte auditive causée par le bruit est neurosensorielle, bilatérale, symétrique et plus sévère dans les hautes fréquences</w:t>
      </w:r>
      <w:r>
        <w:rPr>
          <w:rStyle w:val="FootnoteReference"/>
        </w:rPr>
        <w:footnoteReference w:id="12"/>
      </w:r>
      <w:r>
        <w:t xml:space="preserve">. Également, </w:t>
      </w:r>
      <w:r w:rsidR="00014849" w:rsidRPr="005A776E">
        <w:t xml:space="preserve">aux </w:t>
      </w:r>
      <w:r w:rsidR="005A776E" w:rsidRPr="005A776E">
        <w:t>fins d</w:t>
      </w:r>
      <w:r>
        <w:t>’analyse, nous devons considérer l’audiogramme le plus contemporain à la cessation de l’exposition au bruit</w:t>
      </w:r>
      <w:r>
        <w:rPr>
          <w:rStyle w:val="FootnoteReference"/>
        </w:rPr>
        <w:footnoteReference w:id="13"/>
      </w:r>
      <w:r>
        <w:t xml:space="preserve">. </w:t>
      </w:r>
    </w:p>
    <w:p w14:paraId="24DDD976" w14:textId="77777777" w:rsidR="000C1929" w:rsidRDefault="00541B38" w:rsidP="006015AB">
      <w:pPr>
        <w:pStyle w:val="corpsdedcision"/>
        <w:tabs>
          <w:tab w:val="num" w:pos="360"/>
        </w:tabs>
      </w:pPr>
      <w:r>
        <w:lastRenderedPageBreak/>
        <w:t xml:space="preserve">Le travailleur a passé un audiogramme le 9 novembre 2017. </w:t>
      </w:r>
      <w:r w:rsidR="006015AB" w:rsidRPr="006015AB">
        <w:t>Il est alors âgé de 75 </w:t>
      </w:r>
      <w:r w:rsidR="006C4A45" w:rsidRPr="006015AB">
        <w:t xml:space="preserve">ans et a pris sa retraite depuis plus de </w:t>
      </w:r>
      <w:r w:rsidR="006015AB" w:rsidRPr="006015AB">
        <w:t>huit</w:t>
      </w:r>
      <w:r w:rsidR="006C4A45" w:rsidRPr="006015AB">
        <w:t xml:space="preserve"> ans</w:t>
      </w:r>
      <w:r w:rsidR="006C4A45">
        <w:t xml:space="preserve">. </w:t>
      </w:r>
      <w:r>
        <w:t>Selon les résultat</w:t>
      </w:r>
      <w:r w:rsidR="00721E98">
        <w:t>s</w:t>
      </w:r>
      <w:r>
        <w:t xml:space="preserve"> de cet examen, le travailleur </w:t>
      </w:r>
      <w:r w:rsidR="00A05A8A">
        <w:t>à une atteinte tant à l’oreille droite qu’à l’</w:t>
      </w:r>
      <w:r w:rsidR="00721E98">
        <w:t>oreille gauche</w:t>
      </w:r>
      <w:r w:rsidR="00A05A8A">
        <w:t xml:space="preserve">. À l’oreille gauche, la chute débute aux alentours de </w:t>
      </w:r>
      <w:r w:rsidR="006C4A15">
        <w:t>500 jusqu’à 2000</w:t>
      </w:r>
      <w:r w:rsidR="006F0314">
        <w:t> </w:t>
      </w:r>
      <w:r w:rsidR="00B8704A">
        <w:t>hertz</w:t>
      </w:r>
      <w:r w:rsidR="006C4A15">
        <w:t xml:space="preserve"> où elle atteint un plateau avant de redescendre</w:t>
      </w:r>
      <w:r w:rsidR="005E1939">
        <w:t xml:space="preserve"> à 4000</w:t>
      </w:r>
      <w:r w:rsidR="006F0314">
        <w:t> </w:t>
      </w:r>
      <w:r w:rsidR="00B8704A">
        <w:t>hertz</w:t>
      </w:r>
      <w:r w:rsidR="006F0314">
        <w:t xml:space="preserve"> entre 60 et 70 </w:t>
      </w:r>
      <w:r w:rsidR="006C4A15">
        <w:t xml:space="preserve">dB sans jamais remonter. À l’oreille droite, </w:t>
      </w:r>
      <w:r w:rsidR="005D6A3A">
        <w:t>la chute débute à 500 jusqu’à 3000</w:t>
      </w:r>
      <w:r w:rsidR="006F0314">
        <w:t> </w:t>
      </w:r>
      <w:r w:rsidR="00B8704A">
        <w:t>hertz</w:t>
      </w:r>
      <w:r w:rsidR="006F0314">
        <w:t xml:space="preserve"> pour atteindre 60 </w:t>
      </w:r>
      <w:r w:rsidR="005D6A3A">
        <w:t>dB et atteindre un plateau puis remonter légèrement</w:t>
      </w:r>
      <w:r w:rsidR="000C1929">
        <w:t xml:space="preserve"> à 6000</w:t>
      </w:r>
      <w:r w:rsidR="006F0314">
        <w:t> </w:t>
      </w:r>
      <w:r w:rsidR="00B8704A">
        <w:t>hertz</w:t>
      </w:r>
      <w:r w:rsidR="000C1929">
        <w:t>.</w:t>
      </w:r>
      <w:r w:rsidR="006C4A45">
        <w:t xml:space="preserve"> </w:t>
      </w:r>
      <w:r w:rsidR="006C4A45" w:rsidRPr="006015AB">
        <w:t>On note par ailleurs un léger décalage de la courbe aérienne par rapport à la courbe osseuse dans les basses fréquences à l’oreille droite</w:t>
      </w:r>
      <w:r w:rsidR="006015AB">
        <w:t>.</w:t>
      </w:r>
    </w:p>
    <w:p w14:paraId="6DEC4042" w14:textId="77777777" w:rsidR="00A35EF7" w:rsidRDefault="00A35EF7" w:rsidP="00A35EF7">
      <w:pPr>
        <w:pStyle w:val="corpsdedcision"/>
        <w:tabs>
          <w:tab w:val="num" w:pos="360"/>
        </w:tabs>
      </w:pPr>
      <w:r>
        <w:t>La repré</w:t>
      </w:r>
      <w:r w:rsidR="00B201BB">
        <w:t xml:space="preserve">sentante de l’employeur </w:t>
      </w:r>
      <w:r w:rsidR="00B201BB" w:rsidRPr="006015AB">
        <w:t>soutient</w:t>
      </w:r>
      <w:r w:rsidR="00B201BB">
        <w:t xml:space="preserve"> que l’encoche n’est</w:t>
      </w:r>
      <w:r>
        <w:t xml:space="preserve"> pas typique d’une surdité professionnelle. </w:t>
      </w:r>
    </w:p>
    <w:p w14:paraId="1B6A0D41" w14:textId="77777777" w:rsidR="00B8704A" w:rsidRDefault="00A35EF7" w:rsidP="00A35EF7">
      <w:pPr>
        <w:pStyle w:val="corpsdedcision"/>
        <w:tabs>
          <w:tab w:val="num" w:pos="360"/>
        </w:tabs>
      </w:pPr>
      <w:r>
        <w:t>Pour le Tribunal, s’il est vrai que l</w:t>
      </w:r>
      <w:r w:rsidR="000C1929">
        <w:t>’examen</w:t>
      </w:r>
      <w:r>
        <w:t xml:space="preserve"> </w:t>
      </w:r>
      <w:r w:rsidRPr="006015AB">
        <w:t>n</w:t>
      </w:r>
      <w:r w:rsidR="00EA4F84" w:rsidRPr="006015AB">
        <w:t>’annonce</w:t>
      </w:r>
      <w:r w:rsidR="007F6F56">
        <w:t xml:space="preserve"> pas une atteinte</w:t>
      </w:r>
      <w:r w:rsidR="003F30F5">
        <w:t xml:space="preserve"> auditive</w:t>
      </w:r>
      <w:r w:rsidR="007F6F56">
        <w:t xml:space="preserve"> uniquement</w:t>
      </w:r>
      <w:r w:rsidR="00507B25">
        <w:t xml:space="preserve"> </w:t>
      </w:r>
      <w:r w:rsidR="003F30F5">
        <w:t>neurosensorielle</w:t>
      </w:r>
      <w:r w:rsidR="003A3D15">
        <w:t xml:space="preserve"> </w:t>
      </w:r>
      <w:r w:rsidR="003A3D15" w:rsidRPr="006015AB">
        <w:t>et qu’une composante de presbyacousie ne peut être exclue</w:t>
      </w:r>
      <w:r w:rsidR="003F30F5">
        <w:t xml:space="preserve">, </w:t>
      </w:r>
      <w:r w:rsidR="003F30F5" w:rsidRPr="006015AB">
        <w:t>il</w:t>
      </w:r>
      <w:r w:rsidRPr="006015AB">
        <w:t xml:space="preserve"> </w:t>
      </w:r>
      <w:r w:rsidR="000C1929" w:rsidRPr="006015AB">
        <w:t>d</w:t>
      </w:r>
      <w:r w:rsidR="003F30F5" w:rsidRPr="006015AB">
        <w:t>énote</w:t>
      </w:r>
      <w:r w:rsidR="00EA4F84" w:rsidRPr="006015AB">
        <w:t xml:space="preserve"> tout de même</w:t>
      </w:r>
      <w:r w:rsidR="003F30F5" w:rsidRPr="006015AB">
        <w:t xml:space="preserve"> une perte</w:t>
      </w:r>
      <w:r w:rsidR="000C1929" w:rsidRPr="006015AB">
        <w:t xml:space="preserve"> </w:t>
      </w:r>
      <w:r w:rsidR="003A3D15" w:rsidRPr="006015AB">
        <w:t>qui</w:t>
      </w:r>
      <w:r w:rsidR="006015AB" w:rsidRPr="006015AB">
        <w:t>,</w:t>
      </w:r>
      <w:r w:rsidR="00566069" w:rsidRPr="006015AB">
        <w:t xml:space="preserve"> selon le docteur Péloquin, oto-rhino-laryngologiste,</w:t>
      </w:r>
      <w:r w:rsidR="003A3D15" w:rsidRPr="006015AB">
        <w:t xml:space="preserve"> correspond à</w:t>
      </w:r>
      <w:r w:rsidR="00566069" w:rsidRPr="006015AB">
        <w:t xml:space="preserve"> une surdité professionnelle bilatérale.</w:t>
      </w:r>
      <w:r w:rsidR="00566069">
        <w:t xml:space="preserve"> </w:t>
      </w:r>
      <w:r w:rsidR="00B9574A">
        <w:t>D’autant, qu’il importe d’analyser cet examen avec celui de 1983.</w:t>
      </w:r>
    </w:p>
    <w:p w14:paraId="4E8B3208" w14:textId="77777777" w:rsidR="007E0ACA" w:rsidRDefault="009C00DE" w:rsidP="0066698C">
      <w:pPr>
        <w:pStyle w:val="corpsdedcision"/>
        <w:tabs>
          <w:tab w:val="num" w:pos="360"/>
        </w:tabs>
      </w:pPr>
      <w:r>
        <w:t>Selon la preuve administrée, le travailleur, dans le cadre de son emploi, a passé un</w:t>
      </w:r>
      <w:r w:rsidR="00504805">
        <w:t xml:space="preserve">e première évaluation </w:t>
      </w:r>
      <w:proofErr w:type="spellStart"/>
      <w:r w:rsidR="00504805">
        <w:t>audiologique</w:t>
      </w:r>
      <w:proofErr w:type="spellEnd"/>
      <w:r w:rsidR="009A040C">
        <w:t xml:space="preserve"> le 30 mars 1983.</w:t>
      </w:r>
      <w:r w:rsidR="00592CD3">
        <w:t xml:space="preserve"> </w:t>
      </w:r>
      <w:r w:rsidR="00907386" w:rsidRPr="00907386">
        <w:t xml:space="preserve">Il a 41 ans à </w:t>
      </w:r>
      <w:r w:rsidR="00592CD3" w:rsidRPr="00907386">
        <w:t>cette époque et il est à l’emploi de l’employeur depuis 22 ans.</w:t>
      </w:r>
      <w:r w:rsidR="009A040C">
        <w:t xml:space="preserve"> Cet examen,</w:t>
      </w:r>
      <w:r w:rsidR="00504805">
        <w:t xml:space="preserve"> déposé par l’employeur dans le</w:t>
      </w:r>
      <w:r w:rsidR="009A040C">
        <w:t xml:space="preserve"> cadre de l’audience, n’est</w:t>
      </w:r>
      <w:r w:rsidR="00504805">
        <w:t xml:space="preserve"> pas dans le dossier constitué par le Tribunal et le travailleur a témoigné n’en avoir jamais pris connaissance. </w:t>
      </w:r>
    </w:p>
    <w:p w14:paraId="4D0B3851" w14:textId="77777777" w:rsidR="004E1FE2" w:rsidRDefault="00E07BC5" w:rsidP="0051562D">
      <w:pPr>
        <w:pStyle w:val="corpsdedcision"/>
        <w:tabs>
          <w:tab w:val="num" w:pos="360"/>
        </w:tabs>
      </w:pPr>
      <w:r>
        <w:t>Le résultat de cet examen démontre une atteinte symétrique</w:t>
      </w:r>
      <w:r w:rsidR="006F0314">
        <w:t xml:space="preserve"> </w:t>
      </w:r>
      <w:r w:rsidR="005371ED">
        <w:t>sous forme de chute</w:t>
      </w:r>
      <w:r w:rsidR="00561392">
        <w:t xml:space="preserve"> de l’ordre de 20 à 30 dB</w:t>
      </w:r>
      <w:r w:rsidR="00C82BBC">
        <w:t xml:space="preserve"> </w:t>
      </w:r>
      <w:r w:rsidR="00561392">
        <w:t>aux fréquences 3000 et 4000</w:t>
      </w:r>
      <w:r w:rsidR="006F0314">
        <w:t> </w:t>
      </w:r>
      <w:r w:rsidR="00B8704A">
        <w:t>hertz</w:t>
      </w:r>
      <w:r w:rsidR="00C82BBC">
        <w:t xml:space="preserve"> puis une remontée à 8000</w:t>
      </w:r>
      <w:r w:rsidR="006F0314">
        <w:t> </w:t>
      </w:r>
      <w:r w:rsidR="00B8704A">
        <w:t>hertz</w:t>
      </w:r>
      <w:r w:rsidR="00C82BBC">
        <w:t xml:space="preserve">. </w:t>
      </w:r>
      <w:r w:rsidR="004E1FE2">
        <w:t>Il s’agit d’une atteinte auditive causée par le bruit selon les critères jurisprudentiel</w:t>
      </w:r>
      <w:r w:rsidR="009A3982">
        <w:t>s</w:t>
      </w:r>
      <w:r w:rsidR="004E1FE2">
        <w:t xml:space="preserve"> comme résumé dans la décision </w:t>
      </w:r>
      <w:r w:rsidR="002A229D" w:rsidRPr="0051562D">
        <w:rPr>
          <w:i/>
        </w:rPr>
        <w:t>Michel Deschamps</w:t>
      </w:r>
      <w:r w:rsidR="002A229D">
        <w:t xml:space="preserve"> et </w:t>
      </w:r>
      <w:r w:rsidR="002A229D" w:rsidRPr="0051562D">
        <w:rPr>
          <w:i/>
        </w:rPr>
        <w:t>Objectif Sécurité (F) SAQ Montréal-Est</w:t>
      </w:r>
      <w:r w:rsidR="002A229D">
        <w:rPr>
          <w:rStyle w:val="FootnoteReference"/>
        </w:rPr>
        <w:footnoteReference w:id="14"/>
      </w:r>
      <w:r w:rsidR="002A229D" w:rsidRPr="0051562D">
        <w:rPr>
          <w:i/>
        </w:rPr>
        <w:t> </w:t>
      </w:r>
      <w:r w:rsidR="002A229D">
        <w:t>:</w:t>
      </w:r>
    </w:p>
    <w:p w14:paraId="427C6C58" w14:textId="77777777" w:rsidR="002A229D" w:rsidRDefault="00CA098D" w:rsidP="00CA098D">
      <w:pPr>
        <w:pStyle w:val="citation"/>
      </w:pPr>
      <w:r w:rsidRPr="00CA098D">
        <w:t>[10]</w:t>
      </w:r>
      <w:r w:rsidRPr="00CA098D">
        <w:tab/>
        <w:t>Pour qu’une atteinte auditive soit considérée comme étant causée par le bruit, la jurisprudence du Tribunal détermine qu’elle doit être neurosensor</w:t>
      </w:r>
      <w:r>
        <w:t>ielle, bilatérale et symétrique</w:t>
      </w:r>
      <w:r>
        <w:rPr>
          <w:vertAlign w:val="superscript"/>
        </w:rPr>
        <w:t>2</w:t>
      </w:r>
      <w:r w:rsidRPr="00CA098D">
        <w:t>. L’audiogramme devrait montrer une chute du seuil d’audition dans les fréquences de 4000 Hz avec une remontée caractéristique dans les fréquences de 6000 ou 8000 Hz, ce qui donne une cou</w:t>
      </w:r>
      <w:r>
        <w:t>rbe en forme d’encoche en « V »</w:t>
      </w:r>
      <w:r>
        <w:rPr>
          <w:vertAlign w:val="superscript"/>
        </w:rPr>
        <w:t>3</w:t>
      </w:r>
      <w:r w:rsidRPr="00CA098D">
        <w:t>. Dans la forme évolutive plus avancée de la surdité, les fréquences voisines à l’encoche peuvent être également affectées, ce qui amène une</w:t>
      </w:r>
      <w:r>
        <w:t xml:space="preserve"> courbe en forme de « U » évasé</w:t>
      </w:r>
      <w:r>
        <w:rPr>
          <w:vertAlign w:val="superscript"/>
        </w:rPr>
        <w:t>4</w:t>
      </w:r>
      <w:r w:rsidRPr="00CA098D">
        <w:t>.</w:t>
      </w:r>
    </w:p>
    <w:p w14:paraId="3A553B8B" w14:textId="77777777" w:rsidR="00332D69" w:rsidRDefault="00332D69" w:rsidP="00CA098D">
      <w:pPr>
        <w:pStyle w:val="citation"/>
      </w:pPr>
    </w:p>
    <w:p w14:paraId="72DA1996" w14:textId="77777777" w:rsidR="00332D69" w:rsidRPr="00332D69" w:rsidRDefault="006F0314" w:rsidP="006F0314">
      <w:pPr>
        <w:pStyle w:val="corpsdedcision"/>
        <w:numPr>
          <w:ilvl w:val="0"/>
          <w:numId w:val="0"/>
        </w:numPr>
      </w:pPr>
      <w:r>
        <w:tab/>
        <w:t>[Notes omises]</w:t>
      </w:r>
    </w:p>
    <w:p w14:paraId="34148462" w14:textId="77777777" w:rsidR="00332D69" w:rsidRDefault="00FB57D5" w:rsidP="003F30F5">
      <w:pPr>
        <w:pStyle w:val="corpsdedcision"/>
      </w:pPr>
      <w:r>
        <w:lastRenderedPageBreak/>
        <w:t>Cet examen</w:t>
      </w:r>
      <w:r w:rsidR="003F30F5">
        <w:t xml:space="preserve"> est conforme égalem</w:t>
      </w:r>
      <w:r w:rsidR="003970CD">
        <w:t xml:space="preserve">ent au fait qu’une surdité neurosensorielle apparaît généralement dans les </w:t>
      </w:r>
      <w:r w:rsidR="009407B5">
        <w:t>dix</w:t>
      </w:r>
      <w:r w:rsidR="003970CD">
        <w:t xml:space="preserve"> premières années d’exposition</w:t>
      </w:r>
      <w:r w:rsidR="002C7F09">
        <w:rPr>
          <w:rStyle w:val="FootnoteReference"/>
        </w:rPr>
        <w:footnoteReference w:id="15"/>
      </w:r>
      <w:r w:rsidR="00AA70B7">
        <w:t xml:space="preserve">. </w:t>
      </w:r>
    </w:p>
    <w:p w14:paraId="122764DE" w14:textId="77777777" w:rsidR="003F30F5" w:rsidRDefault="00332D69" w:rsidP="00332D69">
      <w:pPr>
        <w:pStyle w:val="citation"/>
      </w:pPr>
      <w:r w:rsidRPr="00332D69">
        <w:t>[39]</w:t>
      </w:r>
      <w:r w:rsidRPr="00332D69">
        <w:tab/>
        <w:t>Le tribunal considère également que la surdité neurosensorielle d’origine professionnelle apparaît généralement au cours des 10 premières années d'exposition et qu’elle se détériore plus rapidement au cours de la première décade pour se détériorer ensuite plus lentement. De plus, elle cesse de progresser lorsque l’expos</w:t>
      </w:r>
      <w:r>
        <w:t>ition, à son origine, prend fin</w:t>
      </w:r>
      <w:r>
        <w:rPr>
          <w:vertAlign w:val="superscript"/>
        </w:rPr>
        <w:t>3</w:t>
      </w:r>
      <w:r w:rsidRPr="00332D69">
        <w:t>.</w:t>
      </w:r>
      <w:r w:rsidR="003970CD">
        <w:t xml:space="preserve"> </w:t>
      </w:r>
    </w:p>
    <w:p w14:paraId="0C555425" w14:textId="77777777" w:rsidR="00332D69" w:rsidRDefault="00332D69" w:rsidP="00332D69">
      <w:pPr>
        <w:pStyle w:val="citation"/>
      </w:pPr>
    </w:p>
    <w:p w14:paraId="4089CB76" w14:textId="77777777" w:rsidR="00332D69" w:rsidRDefault="009407B5" w:rsidP="009407B5">
      <w:pPr>
        <w:pStyle w:val="corpsdedcision"/>
        <w:numPr>
          <w:ilvl w:val="0"/>
          <w:numId w:val="0"/>
        </w:numPr>
      </w:pPr>
      <w:r>
        <w:tab/>
      </w:r>
      <w:r w:rsidR="00332D69">
        <w:t>[Notes omises]</w:t>
      </w:r>
    </w:p>
    <w:p w14:paraId="014F344E" w14:textId="77777777" w:rsidR="00F57AC0" w:rsidRDefault="00332D69" w:rsidP="00AA70B7">
      <w:pPr>
        <w:pStyle w:val="corpsdedcision"/>
      </w:pPr>
      <w:r>
        <w:t>En l’espèce, le travailleur a débuté</w:t>
      </w:r>
      <w:r w:rsidR="00AA70B7">
        <w:t xml:space="preserve"> </w:t>
      </w:r>
      <w:r>
        <w:t xml:space="preserve">son travail de caméraman en 1964. </w:t>
      </w:r>
      <w:r w:rsidR="00F57AC0">
        <w:t>La preuve révèle qu’</w:t>
      </w:r>
      <w:r w:rsidR="002C6457">
        <w:t>au début, il filme</w:t>
      </w:r>
      <w:r w:rsidR="00F57AC0">
        <w:t xml:space="preserve"> principalement des téléromans ou des émissions pour enfant</w:t>
      </w:r>
      <w:r w:rsidR="009407B5">
        <w:t>,</w:t>
      </w:r>
      <w:r w:rsidR="00F57AC0">
        <w:t xml:space="preserve"> tel</w:t>
      </w:r>
      <w:r w:rsidR="002C6457">
        <w:t>s</w:t>
      </w:r>
      <w:r w:rsidR="00F57AC0">
        <w:t xml:space="preserve"> </w:t>
      </w:r>
      <w:r w:rsidR="00F57AC0" w:rsidRPr="00F57AC0">
        <w:rPr>
          <w:i/>
        </w:rPr>
        <w:t>Bobino</w:t>
      </w:r>
      <w:r w:rsidR="00F57AC0">
        <w:t xml:space="preserve"> et </w:t>
      </w:r>
      <w:r w:rsidR="00F57AC0" w:rsidRPr="00F57AC0">
        <w:rPr>
          <w:i/>
        </w:rPr>
        <w:t>Sol et Gobelet</w:t>
      </w:r>
      <w:r w:rsidR="00C03C0F">
        <w:t>. C’est au cours du milieu des années 70</w:t>
      </w:r>
      <w:r w:rsidR="00F57AC0">
        <w:t xml:space="preserve"> que le travailleur est attitré à des événements bruyants</w:t>
      </w:r>
      <w:r w:rsidR="00C03C0F">
        <w:t xml:space="preserve"> –</w:t>
      </w:r>
      <w:r w:rsidR="00AB561E">
        <w:t xml:space="preserve"> élément</w:t>
      </w:r>
      <w:r w:rsidR="00C03C0F">
        <w:t xml:space="preserve"> </w:t>
      </w:r>
      <w:r w:rsidR="00AB561E">
        <w:t>développé</w:t>
      </w:r>
      <w:r w:rsidR="00C03C0F">
        <w:t xml:space="preserve"> plus loin dans la décision</w:t>
      </w:r>
      <w:r w:rsidR="00AA2C01">
        <w:t xml:space="preserve">. L’examen de 1983 qui démontre une atteinte auditive causée par le bruit concorde avec cette période. </w:t>
      </w:r>
    </w:p>
    <w:p w14:paraId="56963DEC" w14:textId="77777777" w:rsidR="00447C31" w:rsidRDefault="00AA2C01" w:rsidP="0066698C">
      <w:pPr>
        <w:pStyle w:val="corpsdedcision"/>
      </w:pPr>
      <w:r>
        <w:t xml:space="preserve">Pour le Tribunal, le </w:t>
      </w:r>
      <w:r w:rsidR="002C6457">
        <w:t>travailleur a prouvé</w:t>
      </w:r>
      <w:r>
        <w:t xml:space="preserve"> </w:t>
      </w:r>
      <w:r w:rsidR="002C6457">
        <w:t>qu’il est porteur d’</w:t>
      </w:r>
      <w:r>
        <w:t xml:space="preserve">une atteinte auditive causée par le bruit. </w:t>
      </w:r>
      <w:r w:rsidR="009D000F">
        <w:t>Reste maintenant le</w:t>
      </w:r>
      <w:r>
        <w:t xml:space="preserve"> deuxième </w:t>
      </w:r>
      <w:r w:rsidR="009D000F">
        <w:t>élément de la présomption, celui correspondant au genre de travail.</w:t>
      </w:r>
    </w:p>
    <w:p w14:paraId="5CD2594E" w14:textId="77777777" w:rsidR="00AA4425" w:rsidRPr="007272C7" w:rsidRDefault="00C11B1E" w:rsidP="007272C7">
      <w:pPr>
        <w:pStyle w:val="corpsdedcision"/>
        <w:numPr>
          <w:ilvl w:val="0"/>
          <w:numId w:val="0"/>
        </w:numPr>
        <w:rPr>
          <w:b/>
          <w:szCs w:val="24"/>
        </w:rPr>
      </w:pPr>
      <w:r w:rsidRPr="00C11B1E">
        <w:rPr>
          <w:b/>
          <w:szCs w:val="24"/>
        </w:rPr>
        <w:t>Le travailleur a-t-il occupé un travail impliquant une exposition à un bruit excessif?</w:t>
      </w:r>
    </w:p>
    <w:p w14:paraId="0CB8F116" w14:textId="77777777" w:rsidR="007272C7" w:rsidRDefault="007272C7" w:rsidP="007272C7">
      <w:pPr>
        <w:pStyle w:val="corpsdedcision"/>
        <w:tabs>
          <w:tab w:val="num" w:pos="360"/>
        </w:tabs>
        <w:spacing w:after="240"/>
      </w:pPr>
      <w:r>
        <w:t>Le travailleur doit démontrer qu’il a exercé un travail impliquant une exposition à un bruit excessif. Le bruit excessif auquel fait référence la Loi ne se rattache pas au dépassement d’une norme règlementaire ou légale</w:t>
      </w:r>
      <w:r>
        <w:rPr>
          <w:rStyle w:val="FootnoteReference"/>
        </w:rPr>
        <w:footnoteReference w:id="16"/>
      </w:r>
      <w:r>
        <w:t>, mais plutôt à son sens courant soit, « </w:t>
      </w:r>
      <w:r>
        <w:rPr>
          <w:rStyle w:val="Citationintgre"/>
        </w:rPr>
        <w:t>qui dépasse la mesure souhaitable, qui est trop grand, trop important, insupportable</w:t>
      </w:r>
      <w:r w:rsidRPr="001D1D21">
        <w:rPr>
          <w:rStyle w:val="Citationintgre"/>
          <w:sz w:val="24"/>
          <w:szCs w:val="24"/>
        </w:rPr>
        <w:t> </w:t>
      </w:r>
      <w:r w:rsidRPr="00A37642">
        <w:rPr>
          <w:rStyle w:val="Citationintgre"/>
          <w:i w:val="0"/>
          <w:sz w:val="24"/>
          <w:szCs w:val="24"/>
        </w:rPr>
        <w:t>»</w:t>
      </w:r>
      <w:r w:rsidR="009407B5" w:rsidRPr="009407B5">
        <w:rPr>
          <w:rStyle w:val="FootnoteReference"/>
          <w:szCs w:val="24"/>
        </w:rPr>
        <w:footnoteReference w:id="17"/>
      </w:r>
      <w:r w:rsidRPr="00A37642">
        <w:rPr>
          <w:rStyle w:val="Citationintgre"/>
          <w:i w:val="0"/>
          <w:sz w:val="24"/>
          <w:szCs w:val="24"/>
        </w:rPr>
        <w:t>.</w:t>
      </w:r>
      <w:r>
        <w:t xml:space="preserve"> </w:t>
      </w:r>
    </w:p>
    <w:p w14:paraId="2E05941D" w14:textId="77777777" w:rsidR="007272C7" w:rsidRDefault="007272C7" w:rsidP="007272C7">
      <w:pPr>
        <w:pStyle w:val="corpsdedcision"/>
        <w:tabs>
          <w:tab w:val="num" w:pos="360"/>
        </w:tabs>
        <w:spacing w:after="240"/>
      </w:pPr>
      <w:r>
        <w:t xml:space="preserve">Le fardeau de preuve repose sur les </w:t>
      </w:r>
      <w:r w:rsidR="008F722F">
        <w:t xml:space="preserve">épaules du travailleur. Il doit </w:t>
      </w:r>
      <w:r w:rsidR="009A3982">
        <w:t>pr</w:t>
      </w:r>
      <w:r w:rsidR="008F722F">
        <w:t>ouver</w:t>
      </w:r>
      <w:r>
        <w:t xml:space="preserve"> qu’il a exercé un travail impliquant une exposition à un bruit exces</w:t>
      </w:r>
      <w:r w:rsidR="008F722F">
        <w:t>sif. Cette preuve doit établir</w:t>
      </w:r>
      <w:r>
        <w:t xml:space="preserve"> « </w:t>
      </w:r>
      <w:r w:rsidRPr="001D1D21">
        <w:rPr>
          <w:rStyle w:val="Citationintgre"/>
        </w:rPr>
        <w:t xml:space="preserve">les endroits où il a travaillé, les sources de bruit, son temps d’exposition et les niveaux de </w:t>
      </w:r>
      <w:r w:rsidRPr="001D1D21">
        <w:rPr>
          <w:rStyle w:val="Citationintgre"/>
        </w:rPr>
        <w:lastRenderedPageBreak/>
        <w:t>bruit auxquels il a été exposé</w:t>
      </w:r>
      <w:r>
        <w:t> »</w:t>
      </w:r>
      <w:r w:rsidR="009407B5" w:rsidRPr="009407B5">
        <w:rPr>
          <w:rStyle w:val="FootnoteReference"/>
          <w:szCs w:val="24"/>
        </w:rPr>
        <w:footnoteReference w:id="18"/>
      </w:r>
      <w:r>
        <w:rPr>
          <w:rStyle w:val="Citationintgre"/>
        </w:rPr>
        <w:t xml:space="preserve">. </w:t>
      </w:r>
      <w:r>
        <w:t>Cette preuve, sans être de nature scientifique, doit tout de même s’appuyer sur des éléments objectivables</w:t>
      </w:r>
      <w:r>
        <w:rPr>
          <w:rStyle w:val="FootnoteReference"/>
        </w:rPr>
        <w:footnoteReference w:id="19"/>
      </w:r>
      <w:r>
        <w:t> :</w:t>
      </w:r>
    </w:p>
    <w:p w14:paraId="270FDC14" w14:textId="77777777" w:rsidR="007272C7" w:rsidRDefault="007272C7" w:rsidP="007272C7">
      <w:pPr>
        <w:pStyle w:val="citation"/>
      </w:pPr>
      <w:r w:rsidRPr="006754C2">
        <w:t>[22]</w:t>
      </w:r>
      <w:r w:rsidRPr="006754C2">
        <w:tab/>
        <w:t>Précisons également que la jurisprudence considère qu’il n’y a pas lieu, aux fins de l’application de la présomption de maladie professionnelle, d’exiger du travailleur la preuve d’une étude de bruit spécifique à un emploi en particulier, pour démontrer que celui-ci est à l’origine de l’exposition à un bruit excessif. La jurisprudence indique plutôt que «</w:t>
      </w:r>
      <w:r>
        <w:t> </w:t>
      </w:r>
      <w:r w:rsidRPr="006754C2">
        <w:t>le travailleur doit faire une démonstration raisonnable, par une preuve de reconnaissance générale du milieu du travail, en autant que cette preuve soit appuyée sur des données indépendantes et non seulement sur de simples allégations</w:t>
      </w:r>
      <w:r w:rsidRPr="00A37642">
        <w:rPr>
          <w:vertAlign w:val="superscript"/>
        </w:rPr>
        <w:t>8</w:t>
      </w:r>
      <w:r>
        <w:t> </w:t>
      </w:r>
      <w:r w:rsidRPr="006754C2">
        <w:t>».</w:t>
      </w:r>
    </w:p>
    <w:p w14:paraId="267A9FF1" w14:textId="77777777" w:rsidR="007272C7" w:rsidRDefault="007272C7" w:rsidP="007272C7">
      <w:pPr>
        <w:pStyle w:val="citation"/>
      </w:pPr>
    </w:p>
    <w:p w14:paraId="4956AEA0" w14:textId="77777777" w:rsidR="007272C7" w:rsidRPr="00A37642" w:rsidRDefault="009407B5" w:rsidP="009407B5">
      <w:pPr>
        <w:pStyle w:val="corpsdedcision"/>
        <w:numPr>
          <w:ilvl w:val="0"/>
          <w:numId w:val="0"/>
        </w:numPr>
      </w:pPr>
      <w:r>
        <w:tab/>
      </w:r>
      <w:r w:rsidR="007272C7" w:rsidRPr="00A37642">
        <w:t>[Note omise]</w:t>
      </w:r>
    </w:p>
    <w:p w14:paraId="1D76144E" w14:textId="77777777" w:rsidR="00187E0A" w:rsidRPr="009407B5" w:rsidRDefault="007272C7" w:rsidP="00187E0A">
      <w:pPr>
        <w:pStyle w:val="corpsdedcision"/>
        <w:rPr>
          <w:rStyle w:val="Citationintgre"/>
          <w:i w:val="0"/>
          <w:sz w:val="24"/>
          <w:szCs w:val="24"/>
        </w:rPr>
      </w:pPr>
      <w:r w:rsidRPr="00187E0A">
        <w:rPr>
          <w:szCs w:val="24"/>
        </w:rPr>
        <w:t>C’est ainsi que</w:t>
      </w:r>
      <w:r>
        <w:t xml:space="preserve"> « </w:t>
      </w:r>
      <w:r>
        <w:rPr>
          <w:rStyle w:val="Citationintgre"/>
        </w:rPr>
        <w:t xml:space="preserve">le </w:t>
      </w:r>
      <w:r w:rsidRPr="0035100B">
        <w:rPr>
          <w:rStyle w:val="Citationintgre"/>
        </w:rPr>
        <w:t>tribunal ne peut se contenter de s</w:t>
      </w:r>
      <w:r w:rsidR="00187E0A">
        <w:rPr>
          <w:rStyle w:val="Citationintgre"/>
        </w:rPr>
        <w:t xml:space="preserve">imples allégations ou de </w:t>
      </w:r>
      <w:r w:rsidR="00187E0A" w:rsidRPr="00187E0A">
        <w:rPr>
          <w:rStyle w:val="Citationintgre"/>
          <w:sz w:val="24"/>
          <w:szCs w:val="24"/>
        </w:rPr>
        <w:t>vagues</w:t>
      </w:r>
      <w:r w:rsidR="009A3982">
        <w:rPr>
          <w:rStyle w:val="Citationintgre"/>
          <w:sz w:val="24"/>
          <w:szCs w:val="24"/>
        </w:rPr>
        <w:t xml:space="preserve"> </w:t>
      </w:r>
      <w:r w:rsidRPr="00187E0A">
        <w:rPr>
          <w:rStyle w:val="Citationintgre"/>
          <w:sz w:val="24"/>
          <w:szCs w:val="24"/>
        </w:rPr>
        <w:t>impressions</w:t>
      </w:r>
      <w:r w:rsidRPr="0035100B">
        <w:rPr>
          <w:rStyle w:val="Citationintgre"/>
        </w:rPr>
        <w:t xml:space="preserve"> purement subjectives dépourvues d’un minimum d’éléments objectifs</w:t>
      </w:r>
      <w:r w:rsidR="009407B5">
        <w:t> »</w:t>
      </w:r>
      <w:r w:rsidRPr="009407B5">
        <w:rPr>
          <w:rStyle w:val="FootnoteReference"/>
          <w:szCs w:val="24"/>
        </w:rPr>
        <w:footnoteReference w:id="20"/>
      </w:r>
      <w:r>
        <w:rPr>
          <w:rStyle w:val="Citationintgre"/>
        </w:rPr>
        <w:t xml:space="preserve">. </w:t>
      </w:r>
      <w:r w:rsidRPr="00187E0A">
        <w:rPr>
          <w:rStyle w:val="Citationintgre"/>
          <w:i w:val="0"/>
          <w:sz w:val="24"/>
          <w:szCs w:val="24"/>
        </w:rPr>
        <w:t xml:space="preserve">En cette matière, le seul témoignage du travailleur est insuffisant. </w:t>
      </w:r>
    </w:p>
    <w:p w14:paraId="55F5C88E" w14:textId="77777777" w:rsidR="003011FB" w:rsidRDefault="00340A66" w:rsidP="002642CA">
      <w:pPr>
        <w:pStyle w:val="corpsdedcision"/>
      </w:pPr>
      <w:r>
        <w:t>Le travailleur a occupé un emploi de caméraman pour l’employeur pendant 43 ans. Si au début, il filme principalement des téléroman</w:t>
      </w:r>
      <w:r w:rsidR="003011FB">
        <w:t>s</w:t>
      </w:r>
      <w:r>
        <w:t xml:space="preserve"> et des émi</w:t>
      </w:r>
      <w:r w:rsidR="003011FB">
        <w:t>ssions pour enfants, vers le</w:t>
      </w:r>
      <w:r>
        <w:t xml:space="preserve"> </w:t>
      </w:r>
      <w:r w:rsidR="003011FB">
        <w:t xml:space="preserve">milieu </w:t>
      </w:r>
      <w:r>
        <w:t xml:space="preserve">des années 70, </w:t>
      </w:r>
      <w:r w:rsidR="003011FB">
        <w:t>s’ajoute</w:t>
      </w:r>
      <w:r w:rsidR="009A3982">
        <w:t>nt</w:t>
      </w:r>
      <w:r w:rsidR="00AC6689">
        <w:t xml:space="preserve"> également des événements</w:t>
      </w:r>
      <w:r w:rsidR="003011FB">
        <w:t xml:space="preserve"> sporti</w:t>
      </w:r>
      <w:r w:rsidR="00AC6689">
        <w:t>f</w:t>
      </w:r>
      <w:r w:rsidR="003011FB">
        <w:t xml:space="preserve">s et des spectacles. </w:t>
      </w:r>
      <w:r w:rsidR="00676D5C">
        <w:t>De la preuve administrée, le</w:t>
      </w:r>
      <w:r w:rsidR="00C250C3">
        <w:t xml:space="preserve"> Tribunal retient que les tâches du travailleur comme caméraman sont</w:t>
      </w:r>
      <w:r w:rsidR="00676D5C">
        <w:t xml:space="preserve"> divisé</w:t>
      </w:r>
      <w:r w:rsidR="00C250C3">
        <w:t>es</w:t>
      </w:r>
      <w:r w:rsidR="00676D5C">
        <w:t xml:space="preserve"> comme suit : 30</w:t>
      </w:r>
      <w:r w:rsidR="009407B5">
        <w:t> </w:t>
      </w:r>
      <w:r w:rsidR="00676D5C">
        <w:t>% pour des spectacles, 40</w:t>
      </w:r>
      <w:r w:rsidR="009407B5">
        <w:t> </w:t>
      </w:r>
      <w:r w:rsidR="00676D5C">
        <w:t>% pour des téléroman</w:t>
      </w:r>
      <w:r w:rsidR="00FA108A">
        <w:t>s</w:t>
      </w:r>
      <w:r w:rsidR="00676D5C">
        <w:t xml:space="preserve"> et 30</w:t>
      </w:r>
      <w:r w:rsidR="009407B5">
        <w:t> </w:t>
      </w:r>
      <w:r w:rsidR="00AC6689">
        <w:t>% pour des événements sportif</w:t>
      </w:r>
      <w:r w:rsidR="002642CA">
        <w:t>s</w:t>
      </w:r>
      <w:r w:rsidR="00676D5C">
        <w:t>.</w:t>
      </w:r>
    </w:p>
    <w:p w14:paraId="511BCFB8" w14:textId="77777777" w:rsidR="00A05FC2" w:rsidRDefault="009E3665" w:rsidP="007D4216">
      <w:pPr>
        <w:pStyle w:val="corpsdedcision"/>
      </w:pPr>
      <w:r>
        <w:t>À la demande du Tribunal, l’employeur a déposé une étude de bruit réalisé</w:t>
      </w:r>
      <w:r w:rsidR="00C250C3">
        <w:t>e en 2003</w:t>
      </w:r>
      <w:r>
        <w:t xml:space="preserve">. </w:t>
      </w:r>
      <w:r w:rsidR="00681580">
        <w:t>Cette étude a comme objectif de « </w:t>
      </w:r>
      <w:r w:rsidR="00681580" w:rsidRPr="00A63996">
        <w:rPr>
          <w:rStyle w:val="Citationintgre"/>
        </w:rPr>
        <w:t>déterminer si l’exposition au bruit liée au port de casques de communication dans les différents établissements de Radio-Canada respecte le Règlement canadien sur la sécurité et la santé au travail</w:t>
      </w:r>
      <w:r w:rsidR="00681580">
        <w:t xml:space="preserve"> ». </w:t>
      </w:r>
    </w:p>
    <w:p w14:paraId="32FCA168" w14:textId="77777777" w:rsidR="00A63996" w:rsidRDefault="000C264F" w:rsidP="007D4216">
      <w:pPr>
        <w:pStyle w:val="corpsdedcision"/>
      </w:pPr>
      <w:r>
        <w:t>L’une des consta</w:t>
      </w:r>
      <w:r w:rsidR="002B663C">
        <w:t>tations de cette étude est l’existence</w:t>
      </w:r>
      <w:r>
        <w:t xml:space="preserve"> </w:t>
      </w:r>
      <w:r w:rsidR="009407B5">
        <w:t>d’</w:t>
      </w:r>
      <w:r>
        <w:t>une adéquation entre le bruit ambiant et l’exposition au bruit dans le casque de communication</w:t>
      </w:r>
      <w:r w:rsidR="009407B5">
        <w:t>,</w:t>
      </w:r>
      <w:r>
        <w:t xml:space="preserve"> puisque « </w:t>
      </w:r>
      <w:r w:rsidRPr="000C264F">
        <w:rPr>
          <w:rStyle w:val="Citationintgre"/>
        </w:rPr>
        <w:t>lorsque le bruit ambiant est élevé, les employés ont tendance à augmenter le volume du casque de communication afin d’accroître l’intelligibilité de la source sonore</w:t>
      </w:r>
      <w:r>
        <w:t> ». Cette conclusion est conforme au témoignage du travailleur ainsi qu</w:t>
      </w:r>
      <w:r w:rsidR="00FA108A">
        <w:t>’à son témoin</w:t>
      </w:r>
      <w:r w:rsidR="00237F67">
        <w:t xml:space="preserve">, un ancien collègue de travail. </w:t>
      </w:r>
    </w:p>
    <w:p w14:paraId="20C8EB46" w14:textId="77777777" w:rsidR="0077515E" w:rsidRDefault="0077515E" w:rsidP="007D4216">
      <w:pPr>
        <w:pStyle w:val="corpsdedcision"/>
      </w:pPr>
      <w:r>
        <w:t>Le travailleur a utilisé plusieurs sortes de casque</w:t>
      </w:r>
      <w:r w:rsidR="009A3982">
        <w:t>s</w:t>
      </w:r>
      <w:r>
        <w:t xml:space="preserve"> tout au long de sa vie professionnelle. Au début, il portait un casque en plastique uniquement du côté gauche, puis les casque</w:t>
      </w:r>
      <w:r w:rsidR="009A3982">
        <w:t>s</w:t>
      </w:r>
      <w:r>
        <w:t xml:space="preserve"> se sont améliorés. </w:t>
      </w:r>
      <w:r w:rsidR="00B42870">
        <w:t xml:space="preserve">Souvent, il portait un casque uniquement sur une </w:t>
      </w:r>
      <w:r w:rsidR="00B42870">
        <w:lastRenderedPageBreak/>
        <w:t>oreille, étant de ce fait soumis aux bruits ambiants. D’autres fois, il portait un casque sur les deux oreilles, mais encore là, il</w:t>
      </w:r>
      <w:r w:rsidR="007E6B02">
        <w:t xml:space="preserve"> devait souvent augmenter le volume</w:t>
      </w:r>
      <w:r w:rsidR="00B42870">
        <w:t xml:space="preserve"> pour comprendre les directives</w:t>
      </w:r>
      <w:r w:rsidR="0087745A">
        <w:t xml:space="preserve"> du réalisateur</w:t>
      </w:r>
      <w:r w:rsidR="00B42870">
        <w:t xml:space="preserve">. </w:t>
      </w:r>
      <w:r w:rsidR="00F90E32">
        <w:t xml:space="preserve">La qualité de l’équipement de protection individuelle en 1980 n’est pas celle d’aujourd’hui. </w:t>
      </w:r>
    </w:p>
    <w:p w14:paraId="56F6A3C3" w14:textId="77777777" w:rsidR="00237F67" w:rsidRDefault="00716921" w:rsidP="007272C7">
      <w:pPr>
        <w:pStyle w:val="corpsdedcision"/>
      </w:pPr>
      <w:r>
        <w:t>Les résultats de cette étude démontrent</w:t>
      </w:r>
      <w:r w:rsidR="0087745A">
        <w:t xml:space="preserve"> que le bruit mesuré lors de </w:t>
      </w:r>
      <w:r>
        <w:t xml:space="preserve">certaines émissions de télévision ainsi que des parties de hockey au Centre Air Canada </w:t>
      </w:r>
      <w:r w:rsidR="00E91651">
        <w:t>dépassent</w:t>
      </w:r>
      <w:r>
        <w:t xml:space="preserve"> la norme règlementaire fédérale. </w:t>
      </w:r>
    </w:p>
    <w:p w14:paraId="4EF546AE" w14:textId="77777777" w:rsidR="00716921" w:rsidRDefault="00716921" w:rsidP="007272C7">
      <w:pPr>
        <w:pStyle w:val="corpsdedcision"/>
      </w:pPr>
      <w:r>
        <w:t xml:space="preserve">Le travailleur a témoigné qu’il filmait également </w:t>
      </w:r>
      <w:r w:rsidR="00B0190A">
        <w:t>des concerts tant à l’intérieur</w:t>
      </w:r>
      <w:r w:rsidR="00E91651">
        <w:t xml:space="preserve"> qu’à l’extérieur. Il s’agit habituellement de concert à grand déploiement comme celui de la Saint-Jean</w:t>
      </w:r>
      <w:r w:rsidR="009A3982">
        <w:t>-</w:t>
      </w:r>
      <w:r w:rsidR="00E91651">
        <w:t xml:space="preserve">Baptiste. </w:t>
      </w:r>
      <w:r w:rsidR="00AA2F17">
        <w:t>Combien de concert</w:t>
      </w:r>
      <w:r w:rsidR="00B0190A">
        <w:t>s</w:t>
      </w:r>
      <w:r w:rsidR="00AA2F17">
        <w:t xml:space="preserve"> le travailleur filmait-il par</w:t>
      </w:r>
      <w:r w:rsidR="00D200EF">
        <w:t xml:space="preserve"> année? Plusieurs données apparaissent au dossier. </w:t>
      </w:r>
      <w:r w:rsidR="00CE7F8F">
        <w:t>De celles-ci, l</w:t>
      </w:r>
      <w:r w:rsidR="00D200EF">
        <w:t xml:space="preserve">e Tribunal retient que le travailleur pouvait, en moyenne, filmer 36 concerts par année. </w:t>
      </w:r>
    </w:p>
    <w:p w14:paraId="32A56F0F" w14:textId="77777777" w:rsidR="00D200EF" w:rsidRDefault="00556166" w:rsidP="007272C7">
      <w:pPr>
        <w:pStyle w:val="corpsdedcision"/>
      </w:pPr>
      <w:r>
        <w:t>Lorsqu’il filmait ces concerts, il était près de</w:t>
      </w:r>
      <w:r w:rsidR="007015D6">
        <w:t xml:space="preserve"> la</w:t>
      </w:r>
      <w:r>
        <w:t xml:space="preserve"> scène, souvent juste à côté des haut-parleurs. </w:t>
      </w:r>
      <w:r w:rsidR="00CE7F8F">
        <w:t>En plus du spectacle, il devait participer aux prises de son qui précède</w:t>
      </w:r>
      <w:r w:rsidR="00B0190A">
        <w:t>nt</w:t>
      </w:r>
      <w:r w:rsidR="00CE7F8F">
        <w:t xml:space="preserve"> celui-ci. </w:t>
      </w:r>
      <w:r w:rsidR="00F666A8">
        <w:t xml:space="preserve">Le travailleur n’a pas soumis de preuve quant </w:t>
      </w:r>
      <w:r w:rsidR="00AF00EB">
        <w:t xml:space="preserve">aux décibels lors de ces spectacles et des prises de son. Il est </w:t>
      </w:r>
      <w:proofErr w:type="gramStart"/>
      <w:r w:rsidR="00AF00EB">
        <w:t>par contre</w:t>
      </w:r>
      <w:proofErr w:type="gramEnd"/>
      <w:r w:rsidR="00AF00EB">
        <w:t xml:space="preserve"> de commune renommé</w:t>
      </w:r>
      <w:r w:rsidR="009A3982">
        <w:t>e</w:t>
      </w:r>
      <w:r w:rsidR="00AF00EB">
        <w:t xml:space="preserve"> que le son, pendant ces spectacles</w:t>
      </w:r>
      <w:r w:rsidR="00B0190A">
        <w:t>,</w:t>
      </w:r>
      <w:r w:rsidR="00AF00EB">
        <w:t xml:space="preserve"> est fort d’autant que le travailleur était situé près des haut-parleurs et que le casque pouvait, tel qu’il appert de la preuve, </w:t>
      </w:r>
      <w:r w:rsidR="00E95984">
        <w:t xml:space="preserve">être un amplificateur de son. </w:t>
      </w:r>
    </w:p>
    <w:p w14:paraId="0FA250DE" w14:textId="77777777" w:rsidR="00236B99" w:rsidRDefault="00E95984" w:rsidP="00F90E32">
      <w:pPr>
        <w:pStyle w:val="corpsdedcision"/>
      </w:pPr>
      <w:r>
        <w:t xml:space="preserve">Le travailleur, tous les ans, était également attitré à la course de formule 1 du Grand Prix du Canada à Montréal. Le travailleur y passait alors </w:t>
      </w:r>
      <w:r w:rsidR="00B0190A">
        <w:t>trois</w:t>
      </w:r>
      <w:r>
        <w:t xml:space="preserve"> jours, près de la piste, à filmer les véhicules.</w:t>
      </w:r>
      <w:r w:rsidR="00FC35D3">
        <w:t xml:space="preserve"> Encore une fois, il est de commune renommée qu’il s’agit d’une activité très bruyante.</w:t>
      </w:r>
      <w:r w:rsidR="007E6B02">
        <w:t xml:space="preserve"> Il en est de même pour les parties de hockey. </w:t>
      </w:r>
    </w:p>
    <w:p w14:paraId="610513E3" w14:textId="77777777" w:rsidR="00CA4DA2" w:rsidRPr="007B2A92" w:rsidRDefault="00FE3641" w:rsidP="00A93EF4">
      <w:pPr>
        <w:pStyle w:val="corpsdedcision"/>
      </w:pPr>
      <w:r w:rsidRPr="007B2A92">
        <w:t>En conclusion, l</w:t>
      </w:r>
      <w:r w:rsidR="00FF5915" w:rsidRPr="007B2A92">
        <w:t>e travailleur</w:t>
      </w:r>
      <w:r w:rsidRPr="007B2A92">
        <w:t xml:space="preserve"> bénéficie de la présomption</w:t>
      </w:r>
      <w:r w:rsidR="007B2A92" w:rsidRPr="007B2A92">
        <w:t>,</w:t>
      </w:r>
      <w:r w:rsidRPr="007B2A92">
        <w:t xml:space="preserve"> </w:t>
      </w:r>
      <w:r w:rsidR="000A7A6F" w:rsidRPr="007B2A92">
        <w:t>puisqu’il a démontré</w:t>
      </w:r>
      <w:r w:rsidR="00571CAF" w:rsidRPr="007B2A92">
        <w:t xml:space="preserve"> la maladie</w:t>
      </w:r>
      <w:r w:rsidR="00FF5915" w:rsidRPr="007B2A92">
        <w:t xml:space="preserve"> et le travail correspondant. </w:t>
      </w:r>
      <w:r w:rsidR="00634071" w:rsidRPr="007B2A92">
        <w:t xml:space="preserve">D’une part, </w:t>
      </w:r>
      <w:r w:rsidR="007015D6" w:rsidRPr="007B2A92">
        <w:t xml:space="preserve">même </w:t>
      </w:r>
      <w:r w:rsidR="00D039EC" w:rsidRPr="007B2A92">
        <w:t xml:space="preserve">si </w:t>
      </w:r>
      <w:r w:rsidR="00C36C9F" w:rsidRPr="007B2A92">
        <w:t>l</w:t>
      </w:r>
      <w:r w:rsidR="000B674C" w:rsidRPr="007B2A92">
        <w:t>es résulta</w:t>
      </w:r>
      <w:r w:rsidR="00E61370" w:rsidRPr="007B2A92">
        <w:t>t</w:t>
      </w:r>
      <w:r w:rsidR="00D039EC" w:rsidRPr="007B2A92">
        <w:t>s</w:t>
      </w:r>
      <w:r w:rsidR="00E61370" w:rsidRPr="007B2A92">
        <w:t xml:space="preserve"> de</w:t>
      </w:r>
      <w:r w:rsidR="00C36C9F" w:rsidRPr="007B2A92">
        <w:t xml:space="preserve"> l’examen de 2017 n</w:t>
      </w:r>
      <w:r w:rsidR="00D039EC" w:rsidRPr="007B2A92">
        <w:t>e sont</w:t>
      </w:r>
      <w:r w:rsidR="00C36C9F" w:rsidRPr="007B2A92">
        <w:t xml:space="preserve"> pas typique</w:t>
      </w:r>
      <w:r w:rsidR="00D039EC" w:rsidRPr="007B2A92">
        <w:t>s</w:t>
      </w:r>
      <w:r w:rsidR="00E61370" w:rsidRPr="007B2A92">
        <w:t xml:space="preserve"> d’une surdité professionnelle</w:t>
      </w:r>
      <w:r w:rsidR="007B2A92" w:rsidRPr="007B2A92">
        <w:t>,</w:t>
      </w:r>
      <w:r w:rsidR="00E61370" w:rsidRPr="007B2A92">
        <w:t xml:space="preserve"> puisqu’</w:t>
      </w:r>
      <w:r w:rsidR="00D039EC" w:rsidRPr="007B2A92">
        <w:t>ils peuven</w:t>
      </w:r>
      <w:r w:rsidR="00E61370" w:rsidRPr="007B2A92">
        <w:t>t comporter une composante de presbyacousie</w:t>
      </w:r>
      <w:r w:rsidR="00D039EC" w:rsidRPr="007B2A92">
        <w:t>, ceux</w:t>
      </w:r>
      <w:r w:rsidR="00E61370" w:rsidRPr="007B2A92">
        <w:t xml:space="preserve"> de 1983 l</w:t>
      </w:r>
      <w:r w:rsidR="00D039EC" w:rsidRPr="007B2A92">
        <w:t>e sont</w:t>
      </w:r>
      <w:r w:rsidR="00E61370" w:rsidRPr="007B2A92">
        <w:t xml:space="preserve">. </w:t>
      </w:r>
      <w:r w:rsidR="000117A0" w:rsidRPr="007B2A92">
        <w:t>Et</w:t>
      </w:r>
      <w:r w:rsidR="00634071" w:rsidRPr="007B2A92">
        <w:t xml:space="preserve"> d’autre part</w:t>
      </w:r>
      <w:r w:rsidR="00CA4DA2" w:rsidRPr="007B2A92">
        <w:t>,</w:t>
      </w:r>
      <w:r w:rsidR="000117A0" w:rsidRPr="007B2A92">
        <w:t xml:space="preserve"> le travailleur</w:t>
      </w:r>
      <w:r w:rsidR="00F90E32" w:rsidRPr="007B2A92">
        <w:t xml:space="preserve"> a occupé un travail impliquant une exposition à un bruit excessif</w:t>
      </w:r>
      <w:r w:rsidR="00634071" w:rsidRPr="007B2A92">
        <w:t>.</w:t>
      </w:r>
      <w:r w:rsidR="00A93EF4" w:rsidRPr="007B2A92">
        <w:t xml:space="preserve"> </w:t>
      </w:r>
      <w:r w:rsidR="00806F6D" w:rsidRPr="007B2A92">
        <w:t>Puisque l</w:t>
      </w:r>
      <w:r w:rsidR="00B1678D" w:rsidRPr="007B2A92">
        <w:t>’employeur</w:t>
      </w:r>
      <w:r w:rsidR="004D3B99" w:rsidRPr="007B2A92">
        <w:t xml:space="preserve"> n’a soumis aucune preuve p</w:t>
      </w:r>
      <w:r w:rsidR="00806F6D" w:rsidRPr="007B2A92">
        <w:t xml:space="preserve">our renverser cette présomption, </w:t>
      </w:r>
      <w:r w:rsidR="00D7664D" w:rsidRPr="007B2A92">
        <w:t>le travailleur est victime d’une lésion professionnelle</w:t>
      </w:r>
      <w:r w:rsidR="007B2A92" w:rsidRPr="007B2A92">
        <w:t>,</w:t>
      </w:r>
      <w:r w:rsidR="00D7664D" w:rsidRPr="007B2A92">
        <w:t xml:space="preserve"> soit une maladie professionnelle</w:t>
      </w:r>
      <w:r w:rsidR="00B1678D" w:rsidRPr="007B2A92">
        <w:t xml:space="preserve">. </w:t>
      </w:r>
    </w:p>
    <w:p w14:paraId="1AD8D0FF" w14:textId="77777777" w:rsidR="00F90E32" w:rsidRPr="00F90E32" w:rsidRDefault="00D12ED1" w:rsidP="00F90E32">
      <w:pPr>
        <w:pStyle w:val="corpsdedcision"/>
      </w:pPr>
      <w:r>
        <w:t>La conclusion du Tribunal sur l’admissibilité de la lésion professionnelle emporte également celle sur l’atteinte permanente. Puisque le travailleur est victime d’une lésion professionnelle, il a droit à l’</w:t>
      </w:r>
      <w:r w:rsidR="0014134D">
        <w:t>indemnité pour</w:t>
      </w:r>
      <w:r w:rsidR="002A4E33">
        <w:t xml:space="preserve"> préjudice corporel déterminé</w:t>
      </w:r>
      <w:r w:rsidR="000B674C" w:rsidRPr="007B2A92">
        <w:t>e</w:t>
      </w:r>
      <w:r w:rsidR="002A4E33">
        <w:t xml:space="preserve"> par le docteur Péloquin et avalisé</w:t>
      </w:r>
      <w:r w:rsidR="007B2A92">
        <w:t>e</w:t>
      </w:r>
      <w:r w:rsidR="002A4E33">
        <w:t xml:space="preserve"> par la Commission dans sa décision du 27 juillet 2018.</w:t>
      </w:r>
    </w:p>
    <w:p w14:paraId="0AD67ED6" w14:textId="77777777" w:rsidR="00C74B6F" w:rsidRDefault="00C74B6F">
      <w:pPr>
        <w:pStyle w:val="Dispositif"/>
      </w:pPr>
      <w:r>
        <w:rPr>
          <w:b/>
        </w:rPr>
        <w:t>P</w:t>
      </w:r>
      <w:r w:rsidR="00D07FA6">
        <w:rPr>
          <w:b/>
        </w:rPr>
        <w:t>AR CES MOTIFS, LE TRIBUNAL ADMINISTRATIF DU TRAVAIL</w:t>
      </w:r>
      <w:r>
        <w:rPr>
          <w:b/>
        </w:rPr>
        <w:t> :</w:t>
      </w:r>
    </w:p>
    <w:p w14:paraId="61CC940F" w14:textId="77777777" w:rsidR="00C74B6F" w:rsidRDefault="00C42475">
      <w:pPr>
        <w:pStyle w:val="Dispositif"/>
      </w:pPr>
      <w:r>
        <w:rPr>
          <w:b/>
        </w:rPr>
        <w:lastRenderedPageBreak/>
        <w:t>ACCUEILLE</w:t>
      </w:r>
      <w:r>
        <w:t xml:space="preserve"> la contestation du travailleur, monsieur Jean Lemieux;</w:t>
      </w:r>
    </w:p>
    <w:p w14:paraId="0058E5C2" w14:textId="77777777" w:rsidR="00C42475" w:rsidRDefault="00C42475" w:rsidP="00C42475">
      <w:pPr>
        <w:pStyle w:val="Dispositif"/>
      </w:pPr>
      <w:r>
        <w:rPr>
          <w:b/>
        </w:rPr>
        <w:t>INFIRME</w:t>
      </w:r>
      <w:r>
        <w:t xml:space="preserve"> </w:t>
      </w:r>
      <w:r w:rsidRPr="00C42475">
        <w:t xml:space="preserve">la décision de la Commission des normes, de l’équité, de la santé et de la sécurité </w:t>
      </w:r>
      <w:r>
        <w:t>du travail rendue le 23 janvier 2019</w:t>
      </w:r>
      <w:r w:rsidRPr="00C42475">
        <w:t xml:space="preserve"> à la suite d’une révision administrative;</w:t>
      </w:r>
    </w:p>
    <w:p w14:paraId="6D7302F0" w14:textId="77777777" w:rsidR="004D01A7" w:rsidRDefault="004D01A7" w:rsidP="00C42475">
      <w:pPr>
        <w:pStyle w:val="Dispositif"/>
        <w:rPr>
          <w:iCs/>
        </w:rPr>
      </w:pPr>
      <w:r>
        <w:rPr>
          <w:b/>
        </w:rPr>
        <w:t>DÉCLARE</w:t>
      </w:r>
      <w:r>
        <w:t xml:space="preserve"> que le travailleur est atteint d’une malad</w:t>
      </w:r>
      <w:r w:rsidR="00B0190A">
        <w:t>ie professionnelle, depuis le 9 </w:t>
      </w:r>
      <w:r>
        <w:t xml:space="preserve">novembre 2017 et qu’il a droit aux prestations prévues à la </w:t>
      </w:r>
      <w:r w:rsidRPr="00C57EEB">
        <w:rPr>
          <w:i/>
          <w:iCs/>
        </w:rPr>
        <w:t>Loi sur les accidents du travail et les maladies professionnelle</w:t>
      </w:r>
      <w:r>
        <w:rPr>
          <w:i/>
          <w:iCs/>
        </w:rPr>
        <w:t>s</w:t>
      </w:r>
      <w:r>
        <w:rPr>
          <w:iCs/>
        </w:rPr>
        <w:t>;</w:t>
      </w:r>
    </w:p>
    <w:p w14:paraId="7044AB9F" w14:textId="77777777" w:rsidR="004D01A7" w:rsidRPr="004D01A7" w:rsidRDefault="004D01A7" w:rsidP="00C42475">
      <w:pPr>
        <w:pStyle w:val="Dispositif"/>
      </w:pPr>
      <w:r w:rsidRPr="004D01A7">
        <w:rPr>
          <w:b/>
          <w:iCs/>
        </w:rPr>
        <w:t>DÉCLARE</w:t>
      </w:r>
      <w:r>
        <w:rPr>
          <w:iCs/>
        </w:rPr>
        <w:t xml:space="preserve"> que le travailleur a droit à </w:t>
      </w:r>
      <w:r w:rsidR="008D1DC4">
        <w:rPr>
          <w:iCs/>
        </w:rPr>
        <w:t>une indemnité pour préjudice corporel pour une atteinte permanente de 9</w:t>
      </w:r>
      <w:r w:rsidR="00B0190A">
        <w:rPr>
          <w:iCs/>
        </w:rPr>
        <w:t> </w:t>
      </w:r>
      <w:r w:rsidR="008D1DC4">
        <w:rPr>
          <w:iCs/>
        </w:rPr>
        <w:t>% auquel s’ajoute 1,45</w:t>
      </w:r>
      <w:r w:rsidR="00B0190A">
        <w:rPr>
          <w:iCs/>
        </w:rPr>
        <w:t> </w:t>
      </w:r>
      <w:r w:rsidR="008D1DC4">
        <w:rPr>
          <w:iCs/>
        </w:rPr>
        <w:t>% pour douleurs et perte de jouissance de vie, pour un total de 10,35</w:t>
      </w:r>
      <w:r w:rsidR="00B0190A">
        <w:rPr>
          <w:iCs/>
        </w:rPr>
        <w:t> </w:t>
      </w:r>
      <w:r w:rsidR="008D1DC4">
        <w:rPr>
          <w:iCs/>
        </w:rPr>
        <w:t xml:space="preserve">%. </w:t>
      </w:r>
    </w:p>
    <w:p w14:paraId="1578D359" w14:textId="77777777" w:rsidR="00C42475" w:rsidRDefault="00C42475">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136A26C0" w14:textId="77777777">
        <w:tc>
          <w:tcPr>
            <w:tcW w:w="4795" w:type="dxa"/>
          </w:tcPr>
          <w:p w14:paraId="5750B60D" w14:textId="77777777" w:rsidR="00C74B6F" w:rsidRDefault="00C74B6F"/>
        </w:tc>
        <w:tc>
          <w:tcPr>
            <w:tcW w:w="4795" w:type="dxa"/>
          </w:tcPr>
          <w:p w14:paraId="4E64FDD1" w14:textId="77777777" w:rsidR="00C74B6F" w:rsidRDefault="00C74B6F">
            <w:bookmarkStart w:id="8" w:name="signature"/>
            <w:bookmarkEnd w:id="8"/>
            <w:r>
              <w:t>__________________________________</w:t>
            </w:r>
          </w:p>
        </w:tc>
      </w:tr>
      <w:tr w:rsidR="00C74B6F" w14:paraId="7C8FF417" w14:textId="77777777">
        <w:tc>
          <w:tcPr>
            <w:tcW w:w="4795" w:type="dxa"/>
          </w:tcPr>
          <w:p w14:paraId="6A5D55D6" w14:textId="77777777" w:rsidR="00C74B6F" w:rsidRDefault="00C74B6F"/>
        </w:tc>
        <w:tc>
          <w:tcPr>
            <w:tcW w:w="4795" w:type="dxa"/>
          </w:tcPr>
          <w:p w14:paraId="19B2D487" w14:textId="77777777" w:rsidR="00C74B6F" w:rsidRDefault="006D178F">
            <w:r>
              <w:t>Jean-Sébastien Noiseux</w:t>
            </w:r>
          </w:p>
        </w:tc>
      </w:tr>
      <w:tr w:rsidR="00C74B6F" w14:paraId="7EE7D813" w14:textId="77777777">
        <w:trPr>
          <w:cantSplit/>
        </w:trPr>
        <w:tc>
          <w:tcPr>
            <w:tcW w:w="9590" w:type="dxa"/>
            <w:gridSpan w:val="2"/>
          </w:tcPr>
          <w:p w14:paraId="39940746" w14:textId="77777777" w:rsidR="00C74B6F" w:rsidRDefault="00C74B6F"/>
        </w:tc>
      </w:tr>
      <w:tr w:rsidR="00C74B6F" w14:paraId="4104E4EB" w14:textId="77777777">
        <w:trPr>
          <w:cantSplit/>
        </w:trPr>
        <w:tc>
          <w:tcPr>
            <w:tcW w:w="9590" w:type="dxa"/>
            <w:gridSpan w:val="2"/>
          </w:tcPr>
          <w:p w14:paraId="1F595454" w14:textId="77777777" w:rsidR="00C74B6F" w:rsidRPr="00C912F9" w:rsidRDefault="00C74B6F" w:rsidP="00EC5C8D">
            <w:pPr>
              <w:tabs>
                <w:tab w:val="left" w:pos="1592"/>
              </w:tabs>
            </w:pPr>
          </w:p>
        </w:tc>
      </w:tr>
      <w:tr w:rsidR="00C74B6F" w14:paraId="655B61D8" w14:textId="77777777">
        <w:trPr>
          <w:cantSplit/>
        </w:trPr>
        <w:tc>
          <w:tcPr>
            <w:tcW w:w="9590" w:type="dxa"/>
            <w:gridSpan w:val="2"/>
          </w:tcPr>
          <w:p w14:paraId="73CEF35E" w14:textId="77777777" w:rsidR="00C74B6F" w:rsidRDefault="00C74B6F"/>
        </w:tc>
      </w:tr>
      <w:tr w:rsidR="00861F8B" w14:paraId="1F25FBDA" w14:textId="77777777">
        <w:trPr>
          <w:cantSplit/>
        </w:trPr>
        <w:tc>
          <w:tcPr>
            <w:tcW w:w="9590" w:type="dxa"/>
            <w:gridSpan w:val="2"/>
          </w:tcPr>
          <w:p w14:paraId="7DC58FAE" w14:textId="77777777" w:rsidR="00861F8B" w:rsidRDefault="00B0190A">
            <w:r w:rsidRPr="00B0190A">
              <w:t xml:space="preserve">M. </w:t>
            </w:r>
            <w:r w:rsidR="006D178F" w:rsidRPr="00B0190A">
              <w:t>Simon Lemieux</w:t>
            </w:r>
          </w:p>
        </w:tc>
      </w:tr>
      <w:tr w:rsidR="00861F8B" w14:paraId="7BB98583" w14:textId="77777777">
        <w:trPr>
          <w:cantSplit/>
        </w:trPr>
        <w:tc>
          <w:tcPr>
            <w:tcW w:w="9590" w:type="dxa"/>
            <w:gridSpan w:val="2"/>
          </w:tcPr>
          <w:p w14:paraId="0F3B946B" w14:textId="77777777" w:rsidR="00861F8B" w:rsidRDefault="00E25DCB" w:rsidP="006D178F">
            <w:r>
              <w:fldChar w:fldCharType="begin"/>
            </w:r>
            <w:r>
              <w:instrText xml:space="preserve"> MACROBUTTON  AbaisserNiveauListe </w:instrText>
            </w:r>
            <w:r>
              <w:fldChar w:fldCharType="end"/>
            </w:r>
            <w:r w:rsidR="006D178F">
              <w:t>Pour la partie demanderesse</w:t>
            </w:r>
          </w:p>
        </w:tc>
      </w:tr>
      <w:tr w:rsidR="00C74B6F" w14:paraId="269D9249" w14:textId="77777777">
        <w:trPr>
          <w:cantSplit/>
        </w:trPr>
        <w:tc>
          <w:tcPr>
            <w:tcW w:w="9590" w:type="dxa"/>
            <w:gridSpan w:val="2"/>
          </w:tcPr>
          <w:p w14:paraId="1743FF15" w14:textId="77777777" w:rsidR="00C74B6F" w:rsidRDefault="00C74B6F"/>
        </w:tc>
      </w:tr>
      <w:tr w:rsidR="007569DE" w14:paraId="0CAA5CB6" w14:textId="77777777">
        <w:trPr>
          <w:cantSplit/>
        </w:trPr>
        <w:tc>
          <w:tcPr>
            <w:tcW w:w="9590" w:type="dxa"/>
            <w:gridSpan w:val="2"/>
          </w:tcPr>
          <w:p w14:paraId="0601C334" w14:textId="77777777" w:rsidR="007569DE" w:rsidRDefault="007569DE"/>
        </w:tc>
      </w:tr>
      <w:tr w:rsidR="00C74B6F" w14:paraId="46AE82F7" w14:textId="77777777">
        <w:trPr>
          <w:cantSplit/>
        </w:trPr>
        <w:tc>
          <w:tcPr>
            <w:tcW w:w="9590" w:type="dxa"/>
            <w:gridSpan w:val="2"/>
          </w:tcPr>
          <w:p w14:paraId="7EB37C25" w14:textId="77777777" w:rsidR="00C74B6F" w:rsidRDefault="00B0190A" w:rsidP="00B0190A">
            <w:pPr>
              <w:pStyle w:val="zSoquijdatNomProcureurInt"/>
            </w:pPr>
            <w:r w:rsidRPr="003B5A9A">
              <w:t>M</w:t>
            </w:r>
            <w:r w:rsidRPr="003B5A9A">
              <w:rPr>
                <w:vertAlign w:val="superscript"/>
              </w:rPr>
              <w:t>e</w:t>
            </w:r>
            <w:r>
              <w:t xml:space="preserve"> Catherine Pe</w:t>
            </w:r>
            <w:r w:rsidR="00362BA8">
              <w:t>pin</w:t>
            </w:r>
          </w:p>
        </w:tc>
      </w:tr>
      <w:tr w:rsidR="00C74B6F" w14:paraId="34122479" w14:textId="77777777">
        <w:trPr>
          <w:cantSplit/>
        </w:trPr>
        <w:tc>
          <w:tcPr>
            <w:tcW w:w="9590" w:type="dxa"/>
            <w:gridSpan w:val="2"/>
          </w:tcPr>
          <w:p w14:paraId="2FE30A62" w14:textId="77777777" w:rsidR="00C74B6F" w:rsidRDefault="00B0190A">
            <w:pPr>
              <w:pStyle w:val="zSoquijdatCabinetProcureurInt"/>
            </w:pPr>
            <w:r>
              <w:t xml:space="preserve">LES AVOCATS LE </w:t>
            </w:r>
            <w:r w:rsidR="00362BA8">
              <w:t>CORRE &amp; ASSOCIÉS SENCRL</w:t>
            </w:r>
          </w:p>
        </w:tc>
      </w:tr>
      <w:tr w:rsidR="00C74B6F" w14:paraId="30E59DC4" w14:textId="77777777">
        <w:trPr>
          <w:cantSplit/>
        </w:trPr>
        <w:tc>
          <w:tcPr>
            <w:tcW w:w="9590" w:type="dxa"/>
            <w:gridSpan w:val="2"/>
          </w:tcPr>
          <w:p w14:paraId="370E0BC0" w14:textId="77777777" w:rsidR="00C74B6F" w:rsidRDefault="007569DE" w:rsidP="00362BA8">
            <w:pPr>
              <w:pStyle w:val="zSoquijlblProcureurInt"/>
            </w:pPr>
            <w:r>
              <w:t xml:space="preserve">Pour la partie </w:t>
            </w:r>
            <w:r w:rsidR="00362BA8">
              <w:t>mise en cause</w:t>
            </w:r>
          </w:p>
        </w:tc>
      </w:tr>
      <w:tr w:rsidR="00C15A3F" w14:paraId="48D5FFA3" w14:textId="77777777">
        <w:trPr>
          <w:cantSplit/>
        </w:trPr>
        <w:tc>
          <w:tcPr>
            <w:tcW w:w="9590" w:type="dxa"/>
            <w:gridSpan w:val="2"/>
          </w:tcPr>
          <w:p w14:paraId="73E239F2" w14:textId="77777777" w:rsidR="00C15A3F" w:rsidRDefault="00C15A3F">
            <w:pPr>
              <w:pStyle w:val="zSoquijlblProcureurInt"/>
            </w:pPr>
          </w:p>
        </w:tc>
      </w:tr>
      <w:tr w:rsidR="00C15A3F" w14:paraId="6C1047EA" w14:textId="77777777">
        <w:trPr>
          <w:cantSplit/>
        </w:trPr>
        <w:tc>
          <w:tcPr>
            <w:tcW w:w="9590" w:type="dxa"/>
            <w:gridSpan w:val="2"/>
          </w:tcPr>
          <w:p w14:paraId="54BCDA51" w14:textId="77777777" w:rsidR="00C15A3F" w:rsidRDefault="00C15A3F" w:rsidP="00362BA8">
            <w:pPr>
              <w:pStyle w:val="zSoquijdatDateAudience"/>
            </w:pPr>
            <w:bookmarkStart w:id="9" w:name="Date_derniere_audience"/>
            <w:bookmarkEnd w:id="9"/>
            <w:r>
              <w:t xml:space="preserve">Date de la </w:t>
            </w:r>
            <w:r w:rsidR="00CC6338">
              <w:t>mise en délibéré</w:t>
            </w:r>
            <w:r>
              <w:t> :</w:t>
            </w:r>
            <w:r w:rsidR="00597016">
              <w:tab/>
            </w:r>
            <w:r w:rsidR="00362BA8">
              <w:t>7 octobre 2021</w:t>
            </w:r>
          </w:p>
        </w:tc>
      </w:tr>
    </w:tbl>
    <w:p w14:paraId="47A3CAD4" w14:textId="77777777" w:rsidR="00F510B7" w:rsidRDefault="00F510B7" w:rsidP="00F73D1C"/>
    <w:p w14:paraId="71A8F35D" w14:textId="77777777" w:rsidR="00A770C0" w:rsidRPr="00F73D1C" w:rsidRDefault="00A770C0" w:rsidP="008145AD"/>
    <w:sectPr w:rsidR="00A770C0" w:rsidRPr="00F73D1C">
      <w:headerReference w:type="default" r:id="rId7"/>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507B" w14:textId="77777777" w:rsidR="00A44F47" w:rsidRDefault="00A44F47">
      <w:r>
        <w:separator/>
      </w:r>
    </w:p>
  </w:endnote>
  <w:endnote w:type="continuationSeparator" w:id="0">
    <w:p w14:paraId="310D5FE8" w14:textId="77777777" w:rsidR="00A44F47" w:rsidRDefault="00A4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BC109" w14:textId="77777777" w:rsidR="00A44F47" w:rsidRDefault="00A44F47">
      <w:r>
        <w:separator/>
      </w:r>
    </w:p>
  </w:footnote>
  <w:footnote w:type="continuationSeparator" w:id="0">
    <w:p w14:paraId="023CB885" w14:textId="77777777" w:rsidR="00A44F47" w:rsidRDefault="00A44F47">
      <w:r>
        <w:continuationSeparator/>
      </w:r>
    </w:p>
  </w:footnote>
  <w:footnote w:id="1">
    <w:p w14:paraId="464A3869" w14:textId="77777777" w:rsidR="00A903DB" w:rsidRDefault="00A903DB" w:rsidP="0007644B">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RLRQ, c. A-3.001.</w:t>
      </w:r>
    </w:p>
  </w:footnote>
  <w:footnote w:id="2">
    <w:p w14:paraId="2862EBD0" w14:textId="77777777" w:rsidR="00C616CE" w:rsidRPr="00F70323" w:rsidRDefault="00C616CE" w:rsidP="00C616CE">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 xml:space="preserve">Article 2 de la </w:t>
      </w:r>
      <w:r w:rsidRPr="00AD4023">
        <w:rPr>
          <w:rFonts w:cs="Arial"/>
          <w:iCs/>
          <w:sz w:val="20"/>
        </w:rPr>
        <w:t>Loi.</w:t>
      </w:r>
    </w:p>
  </w:footnote>
  <w:footnote w:id="3">
    <w:p w14:paraId="75FD51F7" w14:textId="77777777" w:rsidR="00032515" w:rsidRPr="00356962" w:rsidRDefault="00032515" w:rsidP="00032515">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EC195D">
        <w:rPr>
          <w:rFonts w:cs="Arial"/>
          <w:i/>
          <w:sz w:val="20"/>
        </w:rPr>
        <w:t xml:space="preserve">Verpaelst </w:t>
      </w:r>
      <w:r>
        <w:rPr>
          <w:rFonts w:cs="Arial"/>
          <w:sz w:val="20"/>
        </w:rPr>
        <w:t xml:space="preserve">et </w:t>
      </w:r>
      <w:r w:rsidRPr="00EC195D">
        <w:rPr>
          <w:rFonts w:cs="Arial"/>
          <w:i/>
          <w:sz w:val="20"/>
        </w:rPr>
        <w:t>Maçonnerie Lavigne &amp; frère inc.</w:t>
      </w:r>
      <w:r>
        <w:rPr>
          <w:rFonts w:cs="Arial"/>
          <w:sz w:val="20"/>
        </w:rPr>
        <w:t xml:space="preserve">, [2008] C.L.P. 667 voir également : </w:t>
      </w:r>
      <w:r w:rsidRPr="007750B5">
        <w:rPr>
          <w:rFonts w:cs="Arial"/>
          <w:i/>
          <w:sz w:val="20"/>
        </w:rPr>
        <w:t>Dumont (Succession de)</w:t>
      </w:r>
      <w:r>
        <w:rPr>
          <w:rFonts w:cs="Arial"/>
          <w:sz w:val="20"/>
        </w:rPr>
        <w:t xml:space="preserve"> et </w:t>
      </w:r>
      <w:r w:rsidRPr="007750B5">
        <w:rPr>
          <w:rFonts w:cs="Arial"/>
          <w:i/>
          <w:sz w:val="20"/>
        </w:rPr>
        <w:t>Cégep de Jonquière</w:t>
      </w:r>
      <w:r>
        <w:rPr>
          <w:rFonts w:cs="Arial"/>
          <w:sz w:val="20"/>
        </w:rPr>
        <w:t xml:space="preserve">, 2013 QCCLP 613; </w:t>
      </w:r>
      <w:r w:rsidRPr="00EC195D">
        <w:rPr>
          <w:rFonts w:cs="Arial"/>
          <w:i/>
          <w:sz w:val="20"/>
        </w:rPr>
        <w:t>Daoust</w:t>
      </w:r>
      <w:r w:rsidRPr="00C741EB">
        <w:rPr>
          <w:rFonts w:cs="Arial"/>
          <w:sz w:val="20"/>
        </w:rPr>
        <w:t xml:space="preserve"> et </w:t>
      </w:r>
      <w:r w:rsidRPr="00EC195D">
        <w:rPr>
          <w:rFonts w:cs="Arial"/>
          <w:i/>
          <w:sz w:val="20"/>
        </w:rPr>
        <w:t>BM Manutention inc.</w:t>
      </w:r>
      <w:r>
        <w:rPr>
          <w:rFonts w:cs="Arial"/>
          <w:sz w:val="20"/>
        </w:rPr>
        <w:t xml:space="preserve">, 2013 QCCLP 2441; </w:t>
      </w:r>
      <w:r w:rsidRPr="00EC195D">
        <w:rPr>
          <w:rFonts w:cs="Arial"/>
          <w:i/>
          <w:sz w:val="20"/>
        </w:rPr>
        <w:t>Levis</w:t>
      </w:r>
      <w:r w:rsidRPr="00EC195D">
        <w:rPr>
          <w:rFonts w:cs="Arial"/>
          <w:sz w:val="20"/>
        </w:rPr>
        <w:t xml:space="preserve"> et </w:t>
      </w:r>
      <w:r w:rsidRPr="00EC195D">
        <w:rPr>
          <w:rFonts w:cs="Arial"/>
          <w:i/>
          <w:sz w:val="20"/>
        </w:rPr>
        <w:t>Théo Mineault inc.</w:t>
      </w:r>
      <w:r>
        <w:rPr>
          <w:rFonts w:cs="Arial"/>
          <w:sz w:val="20"/>
        </w:rPr>
        <w:t xml:space="preserve">, 2020 QCTAT; </w:t>
      </w:r>
      <w:r w:rsidRPr="00EC195D">
        <w:rPr>
          <w:rFonts w:cs="Arial"/>
          <w:i/>
          <w:sz w:val="20"/>
        </w:rPr>
        <w:t>Dorsainvil</w:t>
      </w:r>
      <w:r w:rsidRPr="00D061BB">
        <w:rPr>
          <w:rFonts w:cs="Arial"/>
          <w:sz w:val="20"/>
        </w:rPr>
        <w:t xml:space="preserve"> et </w:t>
      </w:r>
      <w:r w:rsidRPr="00EC195D">
        <w:rPr>
          <w:rFonts w:cs="Arial"/>
          <w:i/>
          <w:sz w:val="20"/>
        </w:rPr>
        <w:t>MEL Productions</w:t>
      </w:r>
      <w:r>
        <w:rPr>
          <w:rFonts w:cs="Arial"/>
          <w:sz w:val="20"/>
        </w:rPr>
        <w:t>, 2021 QCTAT 825.</w:t>
      </w:r>
    </w:p>
  </w:footnote>
  <w:footnote w:id="4">
    <w:p w14:paraId="123E74E8" w14:textId="77777777" w:rsidR="00032515" w:rsidRPr="009D0A7D" w:rsidRDefault="00032515" w:rsidP="00032515">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2018 QCTAT 4154.</w:t>
      </w:r>
    </w:p>
  </w:footnote>
  <w:footnote w:id="5">
    <w:p w14:paraId="0117ABA5" w14:textId="77777777" w:rsidR="002C7F09" w:rsidRPr="002C7F09" w:rsidRDefault="002C7F09" w:rsidP="002C7F09">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 xml:space="preserve">2020 QCTAT 3545. </w:t>
      </w:r>
    </w:p>
  </w:footnote>
  <w:footnote w:id="6">
    <w:p w14:paraId="042097BC" w14:textId="77777777" w:rsidR="00407088" w:rsidRPr="00407088" w:rsidRDefault="00407088" w:rsidP="00407088">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Voir à titre d’exemple </w:t>
      </w:r>
      <w:r w:rsidRPr="00902B02">
        <w:rPr>
          <w:rFonts w:cs="Arial"/>
          <w:i/>
          <w:sz w:val="20"/>
        </w:rPr>
        <w:t>: Boivin</w:t>
      </w:r>
      <w:r w:rsidRPr="00407088">
        <w:rPr>
          <w:rFonts w:cs="Arial"/>
          <w:sz w:val="20"/>
        </w:rPr>
        <w:t xml:space="preserve"> et </w:t>
      </w:r>
      <w:r w:rsidRPr="00902B02">
        <w:rPr>
          <w:rFonts w:cs="Arial"/>
          <w:i/>
          <w:sz w:val="20"/>
        </w:rPr>
        <w:t>Transports E. Verreault ltée</w:t>
      </w:r>
      <w:r>
        <w:rPr>
          <w:rFonts w:cs="Arial"/>
          <w:sz w:val="20"/>
        </w:rPr>
        <w:t>, 2021 QCTAT 1828</w:t>
      </w:r>
    </w:p>
  </w:footnote>
  <w:footnote w:id="7">
    <w:p w14:paraId="7169C303" w14:textId="77777777" w:rsidR="008B6780" w:rsidRPr="00A03171" w:rsidRDefault="008B6780" w:rsidP="008B6780">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881929">
        <w:rPr>
          <w:i/>
          <w:sz w:val="20"/>
        </w:rPr>
        <w:t>Structures</w:t>
      </w:r>
      <w:r w:rsidRPr="00881929">
        <w:rPr>
          <w:sz w:val="20"/>
        </w:rPr>
        <w:t xml:space="preserve"> </w:t>
      </w:r>
      <w:r w:rsidRPr="00881929">
        <w:rPr>
          <w:i/>
          <w:sz w:val="20"/>
        </w:rPr>
        <w:t>G.B. ltée (Les)</w:t>
      </w:r>
      <w:r w:rsidRPr="00881929">
        <w:rPr>
          <w:sz w:val="20"/>
        </w:rPr>
        <w:t xml:space="preserve"> et </w:t>
      </w:r>
      <w:r w:rsidRPr="00881929">
        <w:rPr>
          <w:i/>
          <w:sz w:val="20"/>
        </w:rPr>
        <w:t>Fiola</w:t>
      </w:r>
      <w:r>
        <w:rPr>
          <w:rFonts w:cs="Arial"/>
          <w:sz w:val="20"/>
        </w:rPr>
        <w:t xml:space="preserve">, </w:t>
      </w:r>
      <w:r w:rsidRPr="00881929">
        <w:rPr>
          <w:rFonts w:cs="Arial"/>
          <w:sz w:val="20"/>
        </w:rPr>
        <w:t>C.L.P. 160639-01A-01</w:t>
      </w:r>
      <w:r>
        <w:rPr>
          <w:rFonts w:cs="Arial"/>
          <w:sz w:val="20"/>
        </w:rPr>
        <w:t>05, 18 juillet 2002, L. Desbois;</w:t>
      </w:r>
      <w:r w:rsidR="007D7FA6">
        <w:rPr>
          <w:rFonts w:cs="Arial"/>
          <w:sz w:val="20"/>
        </w:rPr>
        <w:t xml:space="preserve"> </w:t>
      </w:r>
      <w:r w:rsidR="007D7FA6" w:rsidRPr="007D7FA6">
        <w:rPr>
          <w:rFonts w:cs="Arial"/>
          <w:i/>
          <w:sz w:val="20"/>
        </w:rPr>
        <w:t>Tétreault</w:t>
      </w:r>
      <w:r w:rsidR="007D7FA6" w:rsidRPr="007D7FA6">
        <w:rPr>
          <w:rFonts w:cs="Arial"/>
          <w:sz w:val="20"/>
        </w:rPr>
        <w:t xml:space="preserve"> et </w:t>
      </w:r>
      <w:r w:rsidR="007D7FA6" w:rsidRPr="007D7FA6">
        <w:rPr>
          <w:rFonts w:cs="Arial"/>
          <w:i/>
          <w:sz w:val="20"/>
        </w:rPr>
        <w:t>Groupe Desgagnés inc.</w:t>
      </w:r>
      <w:r w:rsidR="007D7FA6">
        <w:rPr>
          <w:rFonts w:cs="Arial"/>
          <w:sz w:val="20"/>
        </w:rPr>
        <w:t>, 2020 QCTAT 249;</w:t>
      </w:r>
      <w:r>
        <w:rPr>
          <w:rFonts w:cs="Arial"/>
          <w:sz w:val="20"/>
        </w:rPr>
        <w:t xml:space="preserve"> </w:t>
      </w:r>
      <w:r w:rsidRPr="008B6780">
        <w:rPr>
          <w:rFonts w:cs="Arial"/>
          <w:i/>
          <w:sz w:val="20"/>
        </w:rPr>
        <w:t>Langlois</w:t>
      </w:r>
      <w:r w:rsidR="00014849">
        <w:rPr>
          <w:rFonts w:cs="Arial"/>
          <w:sz w:val="20"/>
        </w:rPr>
        <w:t xml:space="preserve">, 2020 QCTAT 3450; </w:t>
      </w:r>
      <w:r w:rsidRPr="00014849">
        <w:rPr>
          <w:rFonts w:cs="Arial"/>
          <w:i/>
          <w:sz w:val="20"/>
        </w:rPr>
        <w:t>Pelchat</w:t>
      </w:r>
      <w:r>
        <w:rPr>
          <w:rFonts w:cs="Arial"/>
          <w:sz w:val="20"/>
        </w:rPr>
        <w:t>,</w:t>
      </w:r>
      <w:r w:rsidRPr="00881929">
        <w:rPr>
          <w:rFonts w:cs="Arial"/>
          <w:sz w:val="20"/>
        </w:rPr>
        <w:t xml:space="preserve"> </w:t>
      </w:r>
      <w:r>
        <w:rPr>
          <w:rFonts w:cs="Arial"/>
          <w:sz w:val="20"/>
        </w:rPr>
        <w:t xml:space="preserve">2020 QCTAT 4321; </w:t>
      </w:r>
      <w:r w:rsidRPr="00902B02">
        <w:rPr>
          <w:rFonts w:cs="Arial"/>
          <w:i/>
          <w:sz w:val="20"/>
        </w:rPr>
        <w:t xml:space="preserve">Sylvain </w:t>
      </w:r>
      <w:r w:rsidRPr="00014849">
        <w:rPr>
          <w:rFonts w:cs="Arial"/>
          <w:sz w:val="20"/>
        </w:rPr>
        <w:t>et</w:t>
      </w:r>
      <w:r w:rsidRPr="00902B02">
        <w:rPr>
          <w:rFonts w:cs="Arial"/>
          <w:i/>
          <w:sz w:val="20"/>
        </w:rPr>
        <w:t xml:space="preserve"> Abitibi-Consolidated du Canada</w:t>
      </w:r>
      <w:r>
        <w:rPr>
          <w:rFonts w:cs="Arial"/>
          <w:sz w:val="20"/>
        </w:rPr>
        <w:t xml:space="preserve">, 2021 QCTAT 1207. </w:t>
      </w:r>
    </w:p>
  </w:footnote>
  <w:footnote w:id="8">
    <w:p w14:paraId="016B4CE2" w14:textId="77777777" w:rsidR="006315A5" w:rsidRPr="006315A5" w:rsidRDefault="006315A5" w:rsidP="006315A5">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 xml:space="preserve">2019 QCTAT 3568. </w:t>
      </w:r>
    </w:p>
  </w:footnote>
  <w:footnote w:id="9">
    <w:p w14:paraId="0C711C7F" w14:textId="77777777" w:rsidR="006315A5" w:rsidRPr="006315A5" w:rsidRDefault="006315A5" w:rsidP="006315A5">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 xml:space="preserve">2019 QCTAT 3490. </w:t>
      </w:r>
    </w:p>
  </w:footnote>
  <w:footnote w:id="10">
    <w:p w14:paraId="6A5EF5EC" w14:textId="77777777" w:rsidR="0081098D" w:rsidRPr="0081098D" w:rsidRDefault="0081098D" w:rsidP="0081098D">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 xml:space="preserve">C.L.P. 174310-62-0111, </w:t>
      </w:r>
      <w:r w:rsidR="00236B99">
        <w:rPr>
          <w:rFonts w:cs="Arial"/>
          <w:sz w:val="20"/>
        </w:rPr>
        <w:t xml:space="preserve">10 juillet 2002, G. Godin. </w:t>
      </w:r>
    </w:p>
  </w:footnote>
  <w:footnote w:id="11">
    <w:p w14:paraId="580D5682" w14:textId="77777777" w:rsidR="00023469" w:rsidRPr="00023469" w:rsidRDefault="00023469" w:rsidP="00023469">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006315A5" w:rsidRPr="006315A5">
        <w:rPr>
          <w:rFonts w:cs="Arial"/>
          <w:i/>
          <w:sz w:val="20"/>
        </w:rPr>
        <w:t xml:space="preserve">Leblanc </w:t>
      </w:r>
      <w:r w:rsidR="006315A5" w:rsidRPr="006315A5">
        <w:rPr>
          <w:rFonts w:cs="Arial"/>
          <w:sz w:val="20"/>
        </w:rPr>
        <w:t xml:space="preserve">et </w:t>
      </w:r>
      <w:r w:rsidR="006315A5" w:rsidRPr="006315A5">
        <w:rPr>
          <w:rFonts w:cs="Arial"/>
          <w:i/>
          <w:sz w:val="20"/>
        </w:rPr>
        <w:t>Centre de services scolaire de Montréal</w:t>
      </w:r>
      <w:r w:rsidR="006315A5">
        <w:rPr>
          <w:rFonts w:cs="Arial"/>
          <w:sz w:val="20"/>
        </w:rPr>
        <w:t xml:space="preserve">, 2021 QCTAT 2802. </w:t>
      </w:r>
    </w:p>
  </w:footnote>
  <w:footnote w:id="12">
    <w:p w14:paraId="12BC8D73" w14:textId="77777777" w:rsidR="0066698C" w:rsidRPr="0079186D" w:rsidRDefault="0066698C" w:rsidP="0066698C">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D73044">
        <w:rPr>
          <w:rFonts w:cs="Arial"/>
          <w:i/>
          <w:sz w:val="20"/>
        </w:rPr>
        <w:t>Multitemps ltée</w:t>
      </w:r>
      <w:r>
        <w:rPr>
          <w:rFonts w:cs="Arial"/>
          <w:sz w:val="20"/>
        </w:rPr>
        <w:t xml:space="preserve"> et </w:t>
      </w:r>
      <w:r w:rsidRPr="00D73044">
        <w:rPr>
          <w:rFonts w:cs="Arial"/>
          <w:i/>
          <w:sz w:val="20"/>
        </w:rPr>
        <w:t>Taing</w:t>
      </w:r>
      <w:r>
        <w:rPr>
          <w:rFonts w:cs="Arial"/>
          <w:sz w:val="20"/>
        </w:rPr>
        <w:t xml:space="preserve">, </w:t>
      </w:r>
      <w:r w:rsidRPr="00AC0A5C">
        <w:rPr>
          <w:rFonts w:cs="Arial"/>
          <w:sz w:val="20"/>
        </w:rPr>
        <w:t>2011 QCCLP 4531</w:t>
      </w:r>
      <w:r>
        <w:rPr>
          <w:rFonts w:cs="Arial"/>
          <w:sz w:val="20"/>
        </w:rPr>
        <w:t xml:space="preserve">; </w:t>
      </w:r>
      <w:r w:rsidRPr="004C7882">
        <w:rPr>
          <w:rFonts w:cs="Arial"/>
          <w:i/>
          <w:sz w:val="20"/>
        </w:rPr>
        <w:t>STM</w:t>
      </w:r>
      <w:r>
        <w:rPr>
          <w:rFonts w:cs="Arial"/>
          <w:sz w:val="20"/>
        </w:rPr>
        <w:t xml:space="preserve"> et </w:t>
      </w:r>
      <w:r w:rsidRPr="004C7882">
        <w:rPr>
          <w:rFonts w:cs="Arial"/>
          <w:i/>
          <w:sz w:val="20"/>
        </w:rPr>
        <w:t>Marcil</w:t>
      </w:r>
      <w:r w:rsidR="004953A9">
        <w:rPr>
          <w:rFonts w:cs="Arial"/>
          <w:sz w:val="20"/>
        </w:rPr>
        <w:t xml:space="preserve">, 2016 QCTAT 419; </w:t>
      </w:r>
      <w:r w:rsidR="004953A9" w:rsidRPr="004953A9">
        <w:rPr>
          <w:rFonts w:cs="Arial"/>
          <w:i/>
          <w:sz w:val="20"/>
        </w:rPr>
        <w:t>Pouliot</w:t>
      </w:r>
      <w:r w:rsidR="004953A9">
        <w:rPr>
          <w:rFonts w:cs="Arial"/>
          <w:sz w:val="20"/>
        </w:rPr>
        <w:t xml:space="preserve"> et </w:t>
      </w:r>
      <w:r w:rsidR="004953A9" w:rsidRPr="004953A9">
        <w:rPr>
          <w:rFonts w:cs="Arial"/>
          <w:i/>
          <w:sz w:val="20"/>
        </w:rPr>
        <w:t>Niobec</w:t>
      </w:r>
      <w:r w:rsidR="004953A9" w:rsidRPr="006F0314">
        <w:rPr>
          <w:rFonts w:cs="Arial"/>
          <w:sz w:val="20"/>
        </w:rPr>
        <w:t xml:space="preserve">, 2019 </w:t>
      </w:r>
      <w:r w:rsidR="004953A9">
        <w:rPr>
          <w:rFonts w:cs="Arial"/>
          <w:sz w:val="20"/>
        </w:rPr>
        <w:t xml:space="preserve">QCTAT 4123; </w:t>
      </w:r>
    </w:p>
  </w:footnote>
  <w:footnote w:id="13">
    <w:p w14:paraId="668B2E8C" w14:textId="77777777" w:rsidR="0066698C" w:rsidRPr="00520DD7" w:rsidRDefault="0066698C" w:rsidP="0066698C">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520DD7">
        <w:rPr>
          <w:rFonts w:cs="Arial"/>
          <w:i/>
          <w:sz w:val="20"/>
        </w:rPr>
        <w:t>Chemins</w:t>
      </w:r>
      <w:r>
        <w:rPr>
          <w:rFonts w:cs="Arial"/>
          <w:sz w:val="20"/>
        </w:rPr>
        <w:t xml:space="preserve"> </w:t>
      </w:r>
      <w:r w:rsidRPr="00D364EE">
        <w:rPr>
          <w:rFonts w:cs="Arial"/>
          <w:i/>
          <w:sz w:val="20"/>
        </w:rPr>
        <w:t>de fer nationaux du Canada</w:t>
      </w:r>
      <w:r>
        <w:rPr>
          <w:rFonts w:cs="Arial"/>
          <w:sz w:val="20"/>
        </w:rPr>
        <w:t xml:space="preserve"> et </w:t>
      </w:r>
      <w:r w:rsidRPr="00D364EE">
        <w:rPr>
          <w:rFonts w:cs="Arial"/>
          <w:i/>
          <w:sz w:val="20"/>
        </w:rPr>
        <w:t>Roy</w:t>
      </w:r>
      <w:r>
        <w:rPr>
          <w:rFonts w:cs="Arial"/>
          <w:sz w:val="20"/>
        </w:rPr>
        <w:t>, 2019 QCTAT 2610.</w:t>
      </w:r>
    </w:p>
  </w:footnote>
  <w:footnote w:id="14">
    <w:p w14:paraId="04858C6D" w14:textId="77777777" w:rsidR="002A229D" w:rsidRPr="002A229D" w:rsidRDefault="002A229D" w:rsidP="002A229D">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00AB354A" w:rsidRPr="00AB354A">
        <w:rPr>
          <w:rFonts w:cs="Arial"/>
          <w:sz w:val="20"/>
        </w:rPr>
        <w:t>2021 QCTAT 5112.</w:t>
      </w:r>
    </w:p>
  </w:footnote>
  <w:footnote w:id="15">
    <w:p w14:paraId="1268E3BA" w14:textId="77777777" w:rsidR="002C7F09" w:rsidRPr="002C7F09" w:rsidRDefault="002C7F09" w:rsidP="002C7F09">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2C7F09">
        <w:rPr>
          <w:rFonts w:cs="Arial"/>
          <w:i/>
          <w:sz w:val="20"/>
        </w:rPr>
        <w:t>Simard</w:t>
      </w:r>
      <w:r>
        <w:rPr>
          <w:rFonts w:cs="Arial"/>
          <w:sz w:val="20"/>
        </w:rPr>
        <w:t xml:space="preserve">, 2014 QCCLP 1767. </w:t>
      </w:r>
    </w:p>
  </w:footnote>
  <w:footnote w:id="16">
    <w:p w14:paraId="5CF51DE7" w14:textId="77777777" w:rsidR="007272C7" w:rsidRPr="001A02AC" w:rsidRDefault="007272C7" w:rsidP="007272C7">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C9771A">
        <w:rPr>
          <w:rFonts w:cs="Arial"/>
          <w:i/>
          <w:sz w:val="20"/>
        </w:rPr>
        <w:t>Rondeau</w:t>
      </w:r>
      <w:r>
        <w:rPr>
          <w:rFonts w:cs="Arial"/>
          <w:sz w:val="20"/>
        </w:rPr>
        <w:t xml:space="preserve"> et </w:t>
      </w:r>
      <w:r w:rsidRPr="00C9771A">
        <w:rPr>
          <w:rFonts w:cs="Arial"/>
          <w:i/>
          <w:sz w:val="20"/>
        </w:rPr>
        <w:t>Bow Plastique ltée</w:t>
      </w:r>
      <w:r>
        <w:rPr>
          <w:rFonts w:cs="Arial"/>
          <w:sz w:val="20"/>
        </w:rPr>
        <w:t xml:space="preserve">, C.A.L.P. 29574-62-9106, 16 décembre 1992, J. L’Heureux; </w:t>
      </w:r>
      <w:r w:rsidRPr="009407B5">
        <w:rPr>
          <w:rFonts w:cs="Arial"/>
          <w:i/>
          <w:sz w:val="20"/>
        </w:rPr>
        <w:t>Brisson</w:t>
      </w:r>
      <w:r>
        <w:rPr>
          <w:rFonts w:cs="Arial"/>
          <w:sz w:val="20"/>
        </w:rPr>
        <w:t xml:space="preserve"> et </w:t>
      </w:r>
      <w:r w:rsidRPr="009407B5">
        <w:rPr>
          <w:rFonts w:cs="Arial"/>
          <w:i/>
          <w:sz w:val="20"/>
        </w:rPr>
        <w:t>Dorval</w:t>
      </w:r>
      <w:r>
        <w:rPr>
          <w:rFonts w:cs="Arial"/>
          <w:sz w:val="20"/>
        </w:rPr>
        <w:t xml:space="preserve">, [2003] C.L.P. 417; </w:t>
      </w:r>
      <w:r w:rsidRPr="00C9771A">
        <w:rPr>
          <w:rFonts w:cs="Arial"/>
          <w:i/>
          <w:sz w:val="20"/>
        </w:rPr>
        <w:t xml:space="preserve">Ber </w:t>
      </w:r>
      <w:r>
        <w:rPr>
          <w:rFonts w:cs="Arial"/>
          <w:sz w:val="20"/>
        </w:rPr>
        <w:t xml:space="preserve">et </w:t>
      </w:r>
      <w:r w:rsidRPr="00C9771A">
        <w:rPr>
          <w:rFonts w:cs="Arial"/>
          <w:i/>
          <w:sz w:val="20"/>
        </w:rPr>
        <w:t>Société canadienne des postes</w:t>
      </w:r>
      <w:r>
        <w:rPr>
          <w:rFonts w:cs="Arial"/>
          <w:sz w:val="20"/>
        </w:rPr>
        <w:t>, 2018 QCTAT 3222.</w:t>
      </w:r>
    </w:p>
  </w:footnote>
  <w:footnote w:id="17">
    <w:p w14:paraId="4288FDC3" w14:textId="77777777" w:rsidR="009407B5" w:rsidRPr="00CD5AEE" w:rsidRDefault="009407B5" w:rsidP="009407B5">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392D2E">
        <w:rPr>
          <w:rFonts w:cs="Arial"/>
          <w:i/>
          <w:sz w:val="20"/>
        </w:rPr>
        <w:t>Corporation Zedbed international inc.</w:t>
      </w:r>
      <w:r>
        <w:rPr>
          <w:rFonts w:cs="Arial"/>
          <w:sz w:val="20"/>
        </w:rPr>
        <w:t xml:space="preserve"> et </w:t>
      </w:r>
      <w:r w:rsidRPr="00392D2E">
        <w:rPr>
          <w:rFonts w:cs="Arial"/>
          <w:i/>
          <w:sz w:val="20"/>
        </w:rPr>
        <w:t>Pellerin</w:t>
      </w:r>
      <w:r>
        <w:rPr>
          <w:rFonts w:cs="Arial"/>
          <w:sz w:val="20"/>
        </w:rPr>
        <w:t>, C.L.P. 379729-04-0905, 1</w:t>
      </w:r>
      <w:r w:rsidRPr="00392D2E">
        <w:rPr>
          <w:rFonts w:cs="Arial"/>
          <w:sz w:val="20"/>
          <w:vertAlign w:val="superscript"/>
        </w:rPr>
        <w:t>er</w:t>
      </w:r>
      <w:r>
        <w:rPr>
          <w:rFonts w:cs="Arial"/>
          <w:sz w:val="20"/>
        </w:rPr>
        <w:t xml:space="preserve"> mars 2010, J. Degré; </w:t>
      </w:r>
      <w:r w:rsidRPr="00392D2E">
        <w:rPr>
          <w:rFonts w:cs="Arial"/>
          <w:i/>
          <w:sz w:val="20"/>
        </w:rPr>
        <w:t>Mandeville</w:t>
      </w:r>
      <w:r>
        <w:rPr>
          <w:rFonts w:cs="Arial"/>
          <w:sz w:val="20"/>
        </w:rPr>
        <w:t xml:space="preserve">, 2013 QCCLP 2670; </w:t>
      </w:r>
      <w:r w:rsidRPr="00C9771A">
        <w:rPr>
          <w:rFonts w:cs="Arial"/>
          <w:i/>
          <w:sz w:val="20"/>
        </w:rPr>
        <w:t xml:space="preserve">Tremblay </w:t>
      </w:r>
      <w:r>
        <w:rPr>
          <w:rFonts w:cs="Arial"/>
          <w:sz w:val="20"/>
        </w:rPr>
        <w:t xml:space="preserve">et </w:t>
      </w:r>
      <w:r w:rsidRPr="00C9771A">
        <w:rPr>
          <w:rFonts w:cs="Arial"/>
          <w:i/>
          <w:sz w:val="20"/>
        </w:rPr>
        <w:t>Transport de rouleaux GTI inc.</w:t>
      </w:r>
      <w:r>
        <w:rPr>
          <w:rFonts w:cs="Arial"/>
          <w:sz w:val="20"/>
        </w:rPr>
        <w:t>, 2019 QCTAT 119.</w:t>
      </w:r>
    </w:p>
  </w:footnote>
  <w:footnote w:id="18">
    <w:p w14:paraId="1C7BE953" w14:textId="77777777" w:rsidR="009407B5" w:rsidRPr="00F00BFA" w:rsidRDefault="009407B5" w:rsidP="009407B5">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 xml:space="preserve">Jean-Paul DAUTEL, « Concept de lésion professionnelle », dans JurisClasseur Québec, coll. « Droit du travail » </w:t>
      </w:r>
      <w:r>
        <w:rPr>
          <w:rFonts w:cs="Arial"/>
          <w:i/>
          <w:sz w:val="20"/>
        </w:rPr>
        <w:t>Santé et sécurité du travail</w:t>
      </w:r>
      <w:r>
        <w:rPr>
          <w:rFonts w:cs="Arial"/>
          <w:sz w:val="20"/>
        </w:rPr>
        <w:t>, fasc. 8, Montréal, LexisNexis Canada, feuilles mobiles.</w:t>
      </w:r>
    </w:p>
  </w:footnote>
  <w:footnote w:id="19">
    <w:p w14:paraId="58B2D391" w14:textId="77777777" w:rsidR="007272C7" w:rsidRPr="006754C2" w:rsidRDefault="007272C7" w:rsidP="007272C7">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9A38CA">
        <w:rPr>
          <w:i/>
          <w:sz w:val="20"/>
        </w:rPr>
        <w:t>Tremblay</w:t>
      </w:r>
      <w:r w:rsidRPr="009A38CA">
        <w:rPr>
          <w:sz w:val="20"/>
        </w:rPr>
        <w:t xml:space="preserve"> et </w:t>
      </w:r>
      <w:r w:rsidRPr="009A38CA">
        <w:rPr>
          <w:i/>
          <w:sz w:val="20"/>
        </w:rPr>
        <w:t>Carrière Richard Poudrette inc</w:t>
      </w:r>
      <w:r w:rsidRPr="009A38CA">
        <w:rPr>
          <w:sz w:val="20"/>
        </w:rPr>
        <w:t>.</w:t>
      </w:r>
      <w:r w:rsidR="009407B5">
        <w:rPr>
          <w:sz w:val="20"/>
        </w:rPr>
        <w:t>,</w:t>
      </w:r>
      <w:r w:rsidRPr="009A38CA">
        <w:rPr>
          <w:sz w:val="20"/>
        </w:rPr>
        <w:t xml:space="preserve"> C.L.P. 233972-62B-0404, 30 novembre 2006, M.</w:t>
      </w:r>
      <w:r>
        <w:rPr>
          <w:sz w:val="20"/>
        </w:rPr>
        <w:noBreakHyphen/>
      </w:r>
      <w:r w:rsidRPr="009A38CA">
        <w:rPr>
          <w:sz w:val="20"/>
        </w:rPr>
        <w:t>D.</w:t>
      </w:r>
      <w:r>
        <w:rPr>
          <w:sz w:val="20"/>
        </w:rPr>
        <w:t> </w:t>
      </w:r>
      <w:r w:rsidRPr="009A38CA">
        <w:rPr>
          <w:sz w:val="20"/>
        </w:rPr>
        <w:t>Lampron</w:t>
      </w:r>
      <w:r>
        <w:rPr>
          <w:sz w:val="20"/>
        </w:rPr>
        <w:t>.</w:t>
      </w:r>
    </w:p>
  </w:footnote>
  <w:footnote w:id="20">
    <w:p w14:paraId="5F6B4747" w14:textId="77777777" w:rsidR="007272C7" w:rsidRPr="0035100B" w:rsidRDefault="007272C7" w:rsidP="007272C7">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392D2E">
        <w:rPr>
          <w:rFonts w:cs="Arial"/>
          <w:i/>
          <w:sz w:val="20"/>
        </w:rPr>
        <w:t>Corporation Zedbed international inc.</w:t>
      </w:r>
      <w:r>
        <w:rPr>
          <w:rFonts w:cs="Arial"/>
          <w:sz w:val="20"/>
        </w:rPr>
        <w:t xml:space="preserve"> et </w:t>
      </w:r>
      <w:r w:rsidRPr="00392D2E">
        <w:rPr>
          <w:rFonts w:cs="Arial"/>
          <w:i/>
          <w:sz w:val="20"/>
        </w:rPr>
        <w:t>Pellerin</w:t>
      </w:r>
      <w:r>
        <w:rPr>
          <w:rFonts w:cs="Arial"/>
          <w:sz w:val="20"/>
        </w:rPr>
        <w:t xml:space="preserve">, précitée, note </w:t>
      </w:r>
      <w:r w:rsidR="009407B5" w:rsidRPr="005A776E">
        <w:rPr>
          <w:rFonts w:cs="Arial"/>
          <w:sz w:val="20"/>
        </w:rPr>
        <w:t>17</w:t>
      </w:r>
      <w:r>
        <w:rPr>
          <w:rFonts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A95C5E" w14:paraId="6142A131" w14:textId="77777777" w:rsidTr="00362BA8">
      <w:tc>
        <w:tcPr>
          <w:tcW w:w="8730" w:type="dxa"/>
        </w:tcPr>
        <w:p w14:paraId="30C19D8E" w14:textId="77777777" w:rsidR="00A95C5E" w:rsidRDefault="00A95C5E">
          <w:pPr>
            <w:pStyle w:val="Header"/>
            <w:ind w:left="-90"/>
          </w:pPr>
        </w:p>
      </w:tc>
      <w:tc>
        <w:tcPr>
          <w:tcW w:w="860" w:type="dxa"/>
        </w:tcPr>
        <w:p w14:paraId="0EC61C91" w14:textId="77777777" w:rsidR="00A95C5E" w:rsidRDefault="00A95C5E">
          <w:pPr>
            <w:pStyle w:val="Header"/>
            <w:ind w:left="-90"/>
          </w:pPr>
        </w:p>
      </w:tc>
    </w:tr>
    <w:tr w:rsidR="00362BA8" w14:paraId="5D13296C" w14:textId="77777777" w:rsidTr="00362BA8">
      <w:tc>
        <w:tcPr>
          <w:tcW w:w="8730" w:type="dxa"/>
        </w:tcPr>
        <w:p w14:paraId="542ECFAF" w14:textId="77777777" w:rsidR="00362BA8" w:rsidRDefault="00362BA8" w:rsidP="00362BA8">
          <w:pPr>
            <w:pStyle w:val="zSoquijdatNoDossier"/>
          </w:pPr>
          <w:r>
            <w:t>689775-71-1902</w:t>
          </w:r>
        </w:p>
      </w:tc>
      <w:tc>
        <w:tcPr>
          <w:tcW w:w="860" w:type="dxa"/>
        </w:tcPr>
        <w:p w14:paraId="22E24238" w14:textId="77777777" w:rsidR="00362BA8" w:rsidRDefault="00362BA8" w:rsidP="00362BA8">
          <w:pPr>
            <w:pStyle w:val="Header"/>
            <w:ind w:left="-9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473B07">
            <w:rPr>
              <w:rStyle w:val="PageNumber"/>
              <w:noProof/>
            </w:rPr>
            <w:t>2</w:t>
          </w:r>
          <w:r>
            <w:rPr>
              <w:rStyle w:val="PageNumber"/>
            </w:rPr>
            <w:fldChar w:fldCharType="end"/>
          </w:r>
        </w:p>
      </w:tc>
    </w:tr>
    <w:tr w:rsidR="00362BA8" w14:paraId="24755493" w14:textId="77777777" w:rsidTr="00362BA8">
      <w:tc>
        <w:tcPr>
          <w:tcW w:w="8730" w:type="dxa"/>
        </w:tcPr>
        <w:p w14:paraId="4328EE39" w14:textId="77777777" w:rsidR="00362BA8" w:rsidRDefault="00362BA8" w:rsidP="00362BA8"/>
      </w:tc>
      <w:tc>
        <w:tcPr>
          <w:tcW w:w="860" w:type="dxa"/>
        </w:tcPr>
        <w:p w14:paraId="1447E052" w14:textId="77777777" w:rsidR="00362BA8" w:rsidRDefault="00362BA8" w:rsidP="00362BA8">
          <w:pPr>
            <w:pStyle w:val="Header"/>
            <w:ind w:left="-90"/>
            <w:jc w:val="right"/>
          </w:pPr>
        </w:p>
      </w:tc>
    </w:tr>
  </w:tbl>
  <w:p w14:paraId="443A5A60" w14:textId="77777777" w:rsidR="00A95C5E" w:rsidRDefault="00A95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B687B"/>
    <w:multiLevelType w:val="hybridMultilevel"/>
    <w:tmpl w:val="1D96597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3" w15:restartNumberingAfterBreak="0">
    <w:nsid w:val="4AEC102C"/>
    <w:multiLevelType w:val="hybridMultilevel"/>
    <w:tmpl w:val="44888D9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6DB80377"/>
    <w:multiLevelType w:val="hybridMultilevel"/>
    <w:tmpl w:val="2C60B45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6"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11"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12"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2037149450">
    <w:abstractNumId w:val="10"/>
  </w:num>
  <w:num w:numId="2" w16cid:durableId="1058432286">
    <w:abstractNumId w:val="9"/>
  </w:num>
  <w:num w:numId="3" w16cid:durableId="2040929910">
    <w:abstractNumId w:val="8"/>
  </w:num>
  <w:num w:numId="4" w16cid:durableId="1250194227">
    <w:abstractNumId w:val="6"/>
  </w:num>
  <w:num w:numId="5" w16cid:durableId="1975202">
    <w:abstractNumId w:val="12"/>
  </w:num>
  <w:num w:numId="6" w16cid:durableId="635718860">
    <w:abstractNumId w:val="12"/>
  </w:num>
  <w:num w:numId="7" w16cid:durableId="1032002585">
    <w:abstractNumId w:val="1"/>
  </w:num>
  <w:num w:numId="8" w16cid:durableId="1951280168">
    <w:abstractNumId w:val="5"/>
  </w:num>
  <w:num w:numId="9" w16cid:durableId="1859615771">
    <w:abstractNumId w:val="2"/>
  </w:num>
  <w:num w:numId="10" w16cid:durableId="1292595398">
    <w:abstractNumId w:val="11"/>
  </w:num>
  <w:num w:numId="11" w16cid:durableId="1675565962">
    <w:abstractNumId w:val="7"/>
  </w:num>
  <w:num w:numId="12" w16cid:durableId="1380781961">
    <w:abstractNumId w:val="0"/>
  </w:num>
  <w:num w:numId="13" w16cid:durableId="1702700805">
    <w:abstractNumId w:val="3"/>
  </w:num>
  <w:num w:numId="14" w16cid:durableId="2031908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80"/>
    <w:rsid w:val="000034B0"/>
    <w:rsid w:val="000041A1"/>
    <w:rsid w:val="000117A0"/>
    <w:rsid w:val="0001305E"/>
    <w:rsid w:val="00013F11"/>
    <w:rsid w:val="00014849"/>
    <w:rsid w:val="00021B30"/>
    <w:rsid w:val="00021E4C"/>
    <w:rsid w:val="00022556"/>
    <w:rsid w:val="00023469"/>
    <w:rsid w:val="00023858"/>
    <w:rsid w:val="00032515"/>
    <w:rsid w:val="000352CA"/>
    <w:rsid w:val="000366EC"/>
    <w:rsid w:val="00043A59"/>
    <w:rsid w:val="00043E4D"/>
    <w:rsid w:val="00050FE5"/>
    <w:rsid w:val="00056393"/>
    <w:rsid w:val="0007148C"/>
    <w:rsid w:val="0007225E"/>
    <w:rsid w:val="00074EAE"/>
    <w:rsid w:val="00076D81"/>
    <w:rsid w:val="00080885"/>
    <w:rsid w:val="00082A97"/>
    <w:rsid w:val="0008378A"/>
    <w:rsid w:val="0008784D"/>
    <w:rsid w:val="00090018"/>
    <w:rsid w:val="00090306"/>
    <w:rsid w:val="00093ACD"/>
    <w:rsid w:val="00093FBC"/>
    <w:rsid w:val="00095814"/>
    <w:rsid w:val="00097D81"/>
    <w:rsid w:val="00097FCE"/>
    <w:rsid w:val="000A4AD0"/>
    <w:rsid w:val="000A5AD1"/>
    <w:rsid w:val="000A77C5"/>
    <w:rsid w:val="000A7A6F"/>
    <w:rsid w:val="000B674C"/>
    <w:rsid w:val="000B7F1B"/>
    <w:rsid w:val="000C1929"/>
    <w:rsid w:val="000C264F"/>
    <w:rsid w:val="000C710F"/>
    <w:rsid w:val="000D3948"/>
    <w:rsid w:val="000E0C28"/>
    <w:rsid w:val="000E1320"/>
    <w:rsid w:val="000E3FF6"/>
    <w:rsid w:val="000E56A6"/>
    <w:rsid w:val="000F3423"/>
    <w:rsid w:val="000F5F81"/>
    <w:rsid w:val="00102689"/>
    <w:rsid w:val="00104550"/>
    <w:rsid w:val="00104C3D"/>
    <w:rsid w:val="001050B4"/>
    <w:rsid w:val="001144AB"/>
    <w:rsid w:val="0012224D"/>
    <w:rsid w:val="001225BC"/>
    <w:rsid w:val="00122A9E"/>
    <w:rsid w:val="00122F94"/>
    <w:rsid w:val="0012326A"/>
    <w:rsid w:val="00137A2B"/>
    <w:rsid w:val="00137E7E"/>
    <w:rsid w:val="001407FC"/>
    <w:rsid w:val="0014134D"/>
    <w:rsid w:val="00144572"/>
    <w:rsid w:val="00147A49"/>
    <w:rsid w:val="00147B8B"/>
    <w:rsid w:val="0015125A"/>
    <w:rsid w:val="00152464"/>
    <w:rsid w:val="00152F9C"/>
    <w:rsid w:val="0015539F"/>
    <w:rsid w:val="00160597"/>
    <w:rsid w:val="001664C8"/>
    <w:rsid w:val="00167AD0"/>
    <w:rsid w:val="00167E9D"/>
    <w:rsid w:val="00173184"/>
    <w:rsid w:val="00175079"/>
    <w:rsid w:val="00177180"/>
    <w:rsid w:val="00183515"/>
    <w:rsid w:val="00186AA6"/>
    <w:rsid w:val="00187E0A"/>
    <w:rsid w:val="001A03BE"/>
    <w:rsid w:val="001A067E"/>
    <w:rsid w:val="001A2900"/>
    <w:rsid w:val="001A4081"/>
    <w:rsid w:val="001A65F1"/>
    <w:rsid w:val="001A781B"/>
    <w:rsid w:val="001B2B40"/>
    <w:rsid w:val="001B3E9D"/>
    <w:rsid w:val="001B4A40"/>
    <w:rsid w:val="001B5524"/>
    <w:rsid w:val="001C19D4"/>
    <w:rsid w:val="001C2B0B"/>
    <w:rsid w:val="001C436D"/>
    <w:rsid w:val="001D65D8"/>
    <w:rsid w:val="001E42F0"/>
    <w:rsid w:val="002043D0"/>
    <w:rsid w:val="00226493"/>
    <w:rsid w:val="00227040"/>
    <w:rsid w:val="00230CFC"/>
    <w:rsid w:val="00231C1D"/>
    <w:rsid w:val="00236B99"/>
    <w:rsid w:val="00237F67"/>
    <w:rsid w:val="00241CED"/>
    <w:rsid w:val="00242FB4"/>
    <w:rsid w:val="00245605"/>
    <w:rsid w:val="002563F0"/>
    <w:rsid w:val="00256DBB"/>
    <w:rsid w:val="002642CA"/>
    <w:rsid w:val="00266064"/>
    <w:rsid w:val="00267C8D"/>
    <w:rsid w:val="002701DD"/>
    <w:rsid w:val="00273F49"/>
    <w:rsid w:val="002769B5"/>
    <w:rsid w:val="00276B59"/>
    <w:rsid w:val="00281319"/>
    <w:rsid w:val="00281A89"/>
    <w:rsid w:val="00284121"/>
    <w:rsid w:val="002851A5"/>
    <w:rsid w:val="00286149"/>
    <w:rsid w:val="0028668D"/>
    <w:rsid w:val="00290289"/>
    <w:rsid w:val="00291AD9"/>
    <w:rsid w:val="0029206C"/>
    <w:rsid w:val="00292188"/>
    <w:rsid w:val="00296645"/>
    <w:rsid w:val="00296A4B"/>
    <w:rsid w:val="00297284"/>
    <w:rsid w:val="00297323"/>
    <w:rsid w:val="002A0077"/>
    <w:rsid w:val="002A07DC"/>
    <w:rsid w:val="002A229D"/>
    <w:rsid w:val="002A3573"/>
    <w:rsid w:val="002A374B"/>
    <w:rsid w:val="002A4E33"/>
    <w:rsid w:val="002A6F38"/>
    <w:rsid w:val="002A73E9"/>
    <w:rsid w:val="002B2FC3"/>
    <w:rsid w:val="002B35F0"/>
    <w:rsid w:val="002B58AF"/>
    <w:rsid w:val="002B5FEB"/>
    <w:rsid w:val="002B663C"/>
    <w:rsid w:val="002C3748"/>
    <w:rsid w:val="002C5E89"/>
    <w:rsid w:val="002C6457"/>
    <w:rsid w:val="002C7F09"/>
    <w:rsid w:val="002D42BC"/>
    <w:rsid w:val="002D71A9"/>
    <w:rsid w:val="002D7846"/>
    <w:rsid w:val="002D7FCB"/>
    <w:rsid w:val="002E05AE"/>
    <w:rsid w:val="002F7507"/>
    <w:rsid w:val="003011FB"/>
    <w:rsid w:val="00302FB4"/>
    <w:rsid w:val="00305273"/>
    <w:rsid w:val="003057FC"/>
    <w:rsid w:val="00307C85"/>
    <w:rsid w:val="00312983"/>
    <w:rsid w:val="00313A8E"/>
    <w:rsid w:val="003248CB"/>
    <w:rsid w:val="00331EA7"/>
    <w:rsid w:val="00332D69"/>
    <w:rsid w:val="003332B8"/>
    <w:rsid w:val="00337555"/>
    <w:rsid w:val="00340A66"/>
    <w:rsid w:val="00341B63"/>
    <w:rsid w:val="00344465"/>
    <w:rsid w:val="0034740A"/>
    <w:rsid w:val="0035375B"/>
    <w:rsid w:val="00362BA8"/>
    <w:rsid w:val="00362D74"/>
    <w:rsid w:val="003664E9"/>
    <w:rsid w:val="00366D1E"/>
    <w:rsid w:val="0037112C"/>
    <w:rsid w:val="00373EE5"/>
    <w:rsid w:val="00375745"/>
    <w:rsid w:val="003817E7"/>
    <w:rsid w:val="00381CCA"/>
    <w:rsid w:val="00382E55"/>
    <w:rsid w:val="00390B55"/>
    <w:rsid w:val="003961B2"/>
    <w:rsid w:val="003970CD"/>
    <w:rsid w:val="003A3D15"/>
    <w:rsid w:val="003A41AD"/>
    <w:rsid w:val="003B0A8A"/>
    <w:rsid w:val="003B152B"/>
    <w:rsid w:val="003B1734"/>
    <w:rsid w:val="003B1735"/>
    <w:rsid w:val="003B6CBF"/>
    <w:rsid w:val="003C47A7"/>
    <w:rsid w:val="003C5695"/>
    <w:rsid w:val="003D0826"/>
    <w:rsid w:val="003D10ED"/>
    <w:rsid w:val="003D18FC"/>
    <w:rsid w:val="003D3C93"/>
    <w:rsid w:val="003E00D5"/>
    <w:rsid w:val="003E02BA"/>
    <w:rsid w:val="003F0578"/>
    <w:rsid w:val="003F30F5"/>
    <w:rsid w:val="003F7F38"/>
    <w:rsid w:val="00400999"/>
    <w:rsid w:val="0040399B"/>
    <w:rsid w:val="00404567"/>
    <w:rsid w:val="00406F0C"/>
    <w:rsid w:val="00407088"/>
    <w:rsid w:val="00411251"/>
    <w:rsid w:val="00412585"/>
    <w:rsid w:val="0041363B"/>
    <w:rsid w:val="00415D5D"/>
    <w:rsid w:val="004232E9"/>
    <w:rsid w:val="0042650F"/>
    <w:rsid w:val="0042684F"/>
    <w:rsid w:val="00427D5D"/>
    <w:rsid w:val="00431E0B"/>
    <w:rsid w:val="004337FE"/>
    <w:rsid w:val="00433E98"/>
    <w:rsid w:val="00435738"/>
    <w:rsid w:val="00437137"/>
    <w:rsid w:val="004403B8"/>
    <w:rsid w:val="00441ADA"/>
    <w:rsid w:val="004422CA"/>
    <w:rsid w:val="0044371C"/>
    <w:rsid w:val="0044627E"/>
    <w:rsid w:val="00447C31"/>
    <w:rsid w:val="0045114F"/>
    <w:rsid w:val="004529D3"/>
    <w:rsid w:val="00453F31"/>
    <w:rsid w:val="00456B0C"/>
    <w:rsid w:val="0046538B"/>
    <w:rsid w:val="00471C92"/>
    <w:rsid w:val="004739AC"/>
    <w:rsid w:val="00473B07"/>
    <w:rsid w:val="00474489"/>
    <w:rsid w:val="00475FEF"/>
    <w:rsid w:val="0047776F"/>
    <w:rsid w:val="00482D5B"/>
    <w:rsid w:val="004870EA"/>
    <w:rsid w:val="00487F13"/>
    <w:rsid w:val="00494581"/>
    <w:rsid w:val="004953A9"/>
    <w:rsid w:val="0049595F"/>
    <w:rsid w:val="00496193"/>
    <w:rsid w:val="004A02AF"/>
    <w:rsid w:val="004A4449"/>
    <w:rsid w:val="004A679B"/>
    <w:rsid w:val="004C0FB4"/>
    <w:rsid w:val="004C1811"/>
    <w:rsid w:val="004C2944"/>
    <w:rsid w:val="004C4555"/>
    <w:rsid w:val="004D01A7"/>
    <w:rsid w:val="004D16D6"/>
    <w:rsid w:val="004D3B99"/>
    <w:rsid w:val="004D6CEA"/>
    <w:rsid w:val="004E1FE2"/>
    <w:rsid w:val="004E3564"/>
    <w:rsid w:val="004E51C0"/>
    <w:rsid w:val="004E64BE"/>
    <w:rsid w:val="004F6293"/>
    <w:rsid w:val="00503B8D"/>
    <w:rsid w:val="00503EE3"/>
    <w:rsid w:val="00504805"/>
    <w:rsid w:val="00505811"/>
    <w:rsid w:val="00507513"/>
    <w:rsid w:val="00507B25"/>
    <w:rsid w:val="0051261C"/>
    <w:rsid w:val="0051562D"/>
    <w:rsid w:val="00515DE7"/>
    <w:rsid w:val="00517EB0"/>
    <w:rsid w:val="005205CB"/>
    <w:rsid w:val="00523E5E"/>
    <w:rsid w:val="005348E4"/>
    <w:rsid w:val="005352F1"/>
    <w:rsid w:val="005371ED"/>
    <w:rsid w:val="00540094"/>
    <w:rsid w:val="00541B38"/>
    <w:rsid w:val="00545CFF"/>
    <w:rsid w:val="00555800"/>
    <w:rsid w:val="00556166"/>
    <w:rsid w:val="00556DBB"/>
    <w:rsid w:val="00560781"/>
    <w:rsid w:val="00561392"/>
    <w:rsid w:val="0056268F"/>
    <w:rsid w:val="00566069"/>
    <w:rsid w:val="005662E9"/>
    <w:rsid w:val="005700F8"/>
    <w:rsid w:val="00571CAF"/>
    <w:rsid w:val="00572AAF"/>
    <w:rsid w:val="005801AE"/>
    <w:rsid w:val="00582868"/>
    <w:rsid w:val="00582ECC"/>
    <w:rsid w:val="0058399B"/>
    <w:rsid w:val="0058692F"/>
    <w:rsid w:val="00587045"/>
    <w:rsid w:val="00587C22"/>
    <w:rsid w:val="005907BE"/>
    <w:rsid w:val="00592CD3"/>
    <w:rsid w:val="0059436D"/>
    <w:rsid w:val="00594391"/>
    <w:rsid w:val="005945C0"/>
    <w:rsid w:val="00597016"/>
    <w:rsid w:val="005974B7"/>
    <w:rsid w:val="005A0D51"/>
    <w:rsid w:val="005A181B"/>
    <w:rsid w:val="005A1CB3"/>
    <w:rsid w:val="005A3073"/>
    <w:rsid w:val="005A33A5"/>
    <w:rsid w:val="005A70A0"/>
    <w:rsid w:val="005A776E"/>
    <w:rsid w:val="005B0612"/>
    <w:rsid w:val="005B13F0"/>
    <w:rsid w:val="005B2E0C"/>
    <w:rsid w:val="005B30F6"/>
    <w:rsid w:val="005B45BA"/>
    <w:rsid w:val="005B48FA"/>
    <w:rsid w:val="005B5689"/>
    <w:rsid w:val="005B6680"/>
    <w:rsid w:val="005B6774"/>
    <w:rsid w:val="005B6BA7"/>
    <w:rsid w:val="005C0A89"/>
    <w:rsid w:val="005C3BC4"/>
    <w:rsid w:val="005D26CC"/>
    <w:rsid w:val="005D3919"/>
    <w:rsid w:val="005D59B1"/>
    <w:rsid w:val="005D6A3A"/>
    <w:rsid w:val="005D764B"/>
    <w:rsid w:val="005E1939"/>
    <w:rsid w:val="005E2367"/>
    <w:rsid w:val="005E5E90"/>
    <w:rsid w:val="005E654C"/>
    <w:rsid w:val="005F05F6"/>
    <w:rsid w:val="006015AB"/>
    <w:rsid w:val="00605734"/>
    <w:rsid w:val="0061488E"/>
    <w:rsid w:val="0061574B"/>
    <w:rsid w:val="00622670"/>
    <w:rsid w:val="00623A1A"/>
    <w:rsid w:val="00626E8D"/>
    <w:rsid w:val="0063156B"/>
    <w:rsid w:val="006315A5"/>
    <w:rsid w:val="006326A9"/>
    <w:rsid w:val="00632DA8"/>
    <w:rsid w:val="00634071"/>
    <w:rsid w:val="00634E6E"/>
    <w:rsid w:val="0064342A"/>
    <w:rsid w:val="00643A28"/>
    <w:rsid w:val="006452FA"/>
    <w:rsid w:val="0065093D"/>
    <w:rsid w:val="00652A16"/>
    <w:rsid w:val="00655193"/>
    <w:rsid w:val="00655459"/>
    <w:rsid w:val="00656FB2"/>
    <w:rsid w:val="00657A70"/>
    <w:rsid w:val="00661454"/>
    <w:rsid w:val="006620AA"/>
    <w:rsid w:val="0066642D"/>
    <w:rsid w:val="0066698C"/>
    <w:rsid w:val="00675E85"/>
    <w:rsid w:val="00676D5C"/>
    <w:rsid w:val="0067750F"/>
    <w:rsid w:val="00681396"/>
    <w:rsid w:val="00681580"/>
    <w:rsid w:val="0068171F"/>
    <w:rsid w:val="0068401E"/>
    <w:rsid w:val="006841A4"/>
    <w:rsid w:val="0068643F"/>
    <w:rsid w:val="006877A1"/>
    <w:rsid w:val="00692150"/>
    <w:rsid w:val="00692F0C"/>
    <w:rsid w:val="00696E7C"/>
    <w:rsid w:val="006A0C54"/>
    <w:rsid w:val="006A7C53"/>
    <w:rsid w:val="006B140A"/>
    <w:rsid w:val="006B309C"/>
    <w:rsid w:val="006B3270"/>
    <w:rsid w:val="006B32DB"/>
    <w:rsid w:val="006B727F"/>
    <w:rsid w:val="006C4A15"/>
    <w:rsid w:val="006C4A45"/>
    <w:rsid w:val="006C6D3A"/>
    <w:rsid w:val="006C7345"/>
    <w:rsid w:val="006C7B36"/>
    <w:rsid w:val="006C7B7F"/>
    <w:rsid w:val="006C7C03"/>
    <w:rsid w:val="006D178F"/>
    <w:rsid w:val="006D19E8"/>
    <w:rsid w:val="006D7F9A"/>
    <w:rsid w:val="006E03E2"/>
    <w:rsid w:val="006E04B5"/>
    <w:rsid w:val="006E330C"/>
    <w:rsid w:val="006E3DD8"/>
    <w:rsid w:val="006E5491"/>
    <w:rsid w:val="006E793F"/>
    <w:rsid w:val="006F0154"/>
    <w:rsid w:val="006F0314"/>
    <w:rsid w:val="006F0E7D"/>
    <w:rsid w:val="006F52B7"/>
    <w:rsid w:val="006F608D"/>
    <w:rsid w:val="006F7944"/>
    <w:rsid w:val="00700976"/>
    <w:rsid w:val="007015D6"/>
    <w:rsid w:val="00704121"/>
    <w:rsid w:val="00705BB5"/>
    <w:rsid w:val="0071066C"/>
    <w:rsid w:val="0071326F"/>
    <w:rsid w:val="007145A2"/>
    <w:rsid w:val="007153D7"/>
    <w:rsid w:val="00716921"/>
    <w:rsid w:val="00720ED4"/>
    <w:rsid w:val="00721E98"/>
    <w:rsid w:val="007265EB"/>
    <w:rsid w:val="007272C7"/>
    <w:rsid w:val="0074488F"/>
    <w:rsid w:val="00745AA8"/>
    <w:rsid w:val="007503E0"/>
    <w:rsid w:val="007510EC"/>
    <w:rsid w:val="0075233C"/>
    <w:rsid w:val="0075256A"/>
    <w:rsid w:val="00752DCD"/>
    <w:rsid w:val="007569DE"/>
    <w:rsid w:val="0075723C"/>
    <w:rsid w:val="0077515E"/>
    <w:rsid w:val="00775BDF"/>
    <w:rsid w:val="0077614D"/>
    <w:rsid w:val="00782C8F"/>
    <w:rsid w:val="00785F78"/>
    <w:rsid w:val="0078659D"/>
    <w:rsid w:val="007869EC"/>
    <w:rsid w:val="007A1E58"/>
    <w:rsid w:val="007A5C7E"/>
    <w:rsid w:val="007A6E2F"/>
    <w:rsid w:val="007B0DF2"/>
    <w:rsid w:val="007B2A92"/>
    <w:rsid w:val="007B3BC5"/>
    <w:rsid w:val="007D03DF"/>
    <w:rsid w:val="007D4953"/>
    <w:rsid w:val="007D50F4"/>
    <w:rsid w:val="007D7173"/>
    <w:rsid w:val="007D7FA6"/>
    <w:rsid w:val="007E0ACA"/>
    <w:rsid w:val="007E1216"/>
    <w:rsid w:val="007E4CD4"/>
    <w:rsid w:val="007E530C"/>
    <w:rsid w:val="007E6B02"/>
    <w:rsid w:val="007E7454"/>
    <w:rsid w:val="007F0E8E"/>
    <w:rsid w:val="007F2149"/>
    <w:rsid w:val="007F4E00"/>
    <w:rsid w:val="007F6F56"/>
    <w:rsid w:val="008048CF"/>
    <w:rsid w:val="00806F6D"/>
    <w:rsid w:val="008079DD"/>
    <w:rsid w:val="0081098D"/>
    <w:rsid w:val="0081130F"/>
    <w:rsid w:val="00813095"/>
    <w:rsid w:val="008145AD"/>
    <w:rsid w:val="008146B2"/>
    <w:rsid w:val="0081688A"/>
    <w:rsid w:val="00816C29"/>
    <w:rsid w:val="00824430"/>
    <w:rsid w:val="00825B1F"/>
    <w:rsid w:val="00827D55"/>
    <w:rsid w:val="0083396D"/>
    <w:rsid w:val="00840EDD"/>
    <w:rsid w:val="0084255F"/>
    <w:rsid w:val="00854FB3"/>
    <w:rsid w:val="00860F13"/>
    <w:rsid w:val="00861F8B"/>
    <w:rsid w:val="00862C6D"/>
    <w:rsid w:val="0086561F"/>
    <w:rsid w:val="00865A7A"/>
    <w:rsid w:val="00865FE1"/>
    <w:rsid w:val="0087069B"/>
    <w:rsid w:val="008748C7"/>
    <w:rsid w:val="0087521A"/>
    <w:rsid w:val="008758BF"/>
    <w:rsid w:val="0087745A"/>
    <w:rsid w:val="008808C0"/>
    <w:rsid w:val="00881929"/>
    <w:rsid w:val="008876F5"/>
    <w:rsid w:val="00890BDE"/>
    <w:rsid w:val="00892AD3"/>
    <w:rsid w:val="008962E7"/>
    <w:rsid w:val="0089730C"/>
    <w:rsid w:val="008A1118"/>
    <w:rsid w:val="008A281F"/>
    <w:rsid w:val="008A48D2"/>
    <w:rsid w:val="008A4AF6"/>
    <w:rsid w:val="008A4FF8"/>
    <w:rsid w:val="008A5ED1"/>
    <w:rsid w:val="008A73CE"/>
    <w:rsid w:val="008A7FD1"/>
    <w:rsid w:val="008B042E"/>
    <w:rsid w:val="008B211E"/>
    <w:rsid w:val="008B6780"/>
    <w:rsid w:val="008B6D48"/>
    <w:rsid w:val="008C7660"/>
    <w:rsid w:val="008C79A7"/>
    <w:rsid w:val="008D1DC4"/>
    <w:rsid w:val="008D5521"/>
    <w:rsid w:val="008D555F"/>
    <w:rsid w:val="008D625D"/>
    <w:rsid w:val="008D650E"/>
    <w:rsid w:val="008E6A41"/>
    <w:rsid w:val="008F15D5"/>
    <w:rsid w:val="008F722F"/>
    <w:rsid w:val="00902B02"/>
    <w:rsid w:val="00903990"/>
    <w:rsid w:val="009042A8"/>
    <w:rsid w:val="00904950"/>
    <w:rsid w:val="00907386"/>
    <w:rsid w:val="00915E5E"/>
    <w:rsid w:val="009166B8"/>
    <w:rsid w:val="00917915"/>
    <w:rsid w:val="00920684"/>
    <w:rsid w:val="009216E6"/>
    <w:rsid w:val="00922DB7"/>
    <w:rsid w:val="0092684A"/>
    <w:rsid w:val="00937FAB"/>
    <w:rsid w:val="009407B5"/>
    <w:rsid w:val="0094094D"/>
    <w:rsid w:val="00942AB8"/>
    <w:rsid w:val="0094548C"/>
    <w:rsid w:val="00945CAF"/>
    <w:rsid w:val="00946AC9"/>
    <w:rsid w:val="00947448"/>
    <w:rsid w:val="00952B38"/>
    <w:rsid w:val="00952C99"/>
    <w:rsid w:val="00960B67"/>
    <w:rsid w:val="00965333"/>
    <w:rsid w:val="00966BDA"/>
    <w:rsid w:val="009712EF"/>
    <w:rsid w:val="009727BF"/>
    <w:rsid w:val="00973321"/>
    <w:rsid w:val="00975C2E"/>
    <w:rsid w:val="00977270"/>
    <w:rsid w:val="009824F2"/>
    <w:rsid w:val="00983080"/>
    <w:rsid w:val="00986AA3"/>
    <w:rsid w:val="00993B24"/>
    <w:rsid w:val="0099611F"/>
    <w:rsid w:val="00997A4A"/>
    <w:rsid w:val="009A040C"/>
    <w:rsid w:val="009A083F"/>
    <w:rsid w:val="009A135C"/>
    <w:rsid w:val="009A3982"/>
    <w:rsid w:val="009A67E7"/>
    <w:rsid w:val="009C00DE"/>
    <w:rsid w:val="009C3D28"/>
    <w:rsid w:val="009C603A"/>
    <w:rsid w:val="009C74CD"/>
    <w:rsid w:val="009D000F"/>
    <w:rsid w:val="009D048F"/>
    <w:rsid w:val="009D162F"/>
    <w:rsid w:val="009D401F"/>
    <w:rsid w:val="009D68FA"/>
    <w:rsid w:val="009E07CD"/>
    <w:rsid w:val="009E32CF"/>
    <w:rsid w:val="009E3665"/>
    <w:rsid w:val="009E4FC2"/>
    <w:rsid w:val="009F44AE"/>
    <w:rsid w:val="00A02529"/>
    <w:rsid w:val="00A02EF2"/>
    <w:rsid w:val="00A03171"/>
    <w:rsid w:val="00A04D5E"/>
    <w:rsid w:val="00A05A8A"/>
    <w:rsid w:val="00A05E90"/>
    <w:rsid w:val="00A05FC2"/>
    <w:rsid w:val="00A10DDF"/>
    <w:rsid w:val="00A11172"/>
    <w:rsid w:val="00A1219E"/>
    <w:rsid w:val="00A12E55"/>
    <w:rsid w:val="00A2411A"/>
    <w:rsid w:val="00A242E4"/>
    <w:rsid w:val="00A24437"/>
    <w:rsid w:val="00A24CA0"/>
    <w:rsid w:val="00A33601"/>
    <w:rsid w:val="00A3362A"/>
    <w:rsid w:val="00A35EF7"/>
    <w:rsid w:val="00A37B70"/>
    <w:rsid w:val="00A40AC7"/>
    <w:rsid w:val="00A435C7"/>
    <w:rsid w:val="00A44F47"/>
    <w:rsid w:val="00A569B2"/>
    <w:rsid w:val="00A611A4"/>
    <w:rsid w:val="00A61F09"/>
    <w:rsid w:val="00A63996"/>
    <w:rsid w:val="00A6695B"/>
    <w:rsid w:val="00A72703"/>
    <w:rsid w:val="00A727F6"/>
    <w:rsid w:val="00A72E71"/>
    <w:rsid w:val="00A76432"/>
    <w:rsid w:val="00A770C0"/>
    <w:rsid w:val="00A81F9A"/>
    <w:rsid w:val="00A84FC6"/>
    <w:rsid w:val="00A8528E"/>
    <w:rsid w:val="00A903DB"/>
    <w:rsid w:val="00A90BD9"/>
    <w:rsid w:val="00A90DE4"/>
    <w:rsid w:val="00A93EF4"/>
    <w:rsid w:val="00A94A49"/>
    <w:rsid w:val="00A95C5E"/>
    <w:rsid w:val="00AA1815"/>
    <w:rsid w:val="00AA1D3E"/>
    <w:rsid w:val="00AA2C01"/>
    <w:rsid w:val="00AA2F17"/>
    <w:rsid w:val="00AA39F9"/>
    <w:rsid w:val="00AA4425"/>
    <w:rsid w:val="00AA70B7"/>
    <w:rsid w:val="00AA79D3"/>
    <w:rsid w:val="00AA7F20"/>
    <w:rsid w:val="00AB0931"/>
    <w:rsid w:val="00AB354A"/>
    <w:rsid w:val="00AB561E"/>
    <w:rsid w:val="00AB5C9B"/>
    <w:rsid w:val="00AC0276"/>
    <w:rsid w:val="00AC0312"/>
    <w:rsid w:val="00AC0449"/>
    <w:rsid w:val="00AC0DC3"/>
    <w:rsid w:val="00AC6689"/>
    <w:rsid w:val="00AD2127"/>
    <w:rsid w:val="00AD2497"/>
    <w:rsid w:val="00AD5EB4"/>
    <w:rsid w:val="00AD667B"/>
    <w:rsid w:val="00AE63E2"/>
    <w:rsid w:val="00AE69E9"/>
    <w:rsid w:val="00AF00EB"/>
    <w:rsid w:val="00AF04C9"/>
    <w:rsid w:val="00AF1DC4"/>
    <w:rsid w:val="00AF26B6"/>
    <w:rsid w:val="00AF2979"/>
    <w:rsid w:val="00AF3189"/>
    <w:rsid w:val="00B0190A"/>
    <w:rsid w:val="00B0375C"/>
    <w:rsid w:val="00B052CB"/>
    <w:rsid w:val="00B156C3"/>
    <w:rsid w:val="00B15F67"/>
    <w:rsid w:val="00B1624F"/>
    <w:rsid w:val="00B1678D"/>
    <w:rsid w:val="00B201BB"/>
    <w:rsid w:val="00B20E25"/>
    <w:rsid w:val="00B20F5D"/>
    <w:rsid w:val="00B21184"/>
    <w:rsid w:val="00B224C5"/>
    <w:rsid w:val="00B325CD"/>
    <w:rsid w:val="00B42870"/>
    <w:rsid w:val="00B4561E"/>
    <w:rsid w:val="00B4768D"/>
    <w:rsid w:val="00B518E5"/>
    <w:rsid w:val="00B51E1F"/>
    <w:rsid w:val="00B57032"/>
    <w:rsid w:val="00B60222"/>
    <w:rsid w:val="00B62CFB"/>
    <w:rsid w:val="00B662F5"/>
    <w:rsid w:val="00B7000C"/>
    <w:rsid w:val="00B72612"/>
    <w:rsid w:val="00B760D5"/>
    <w:rsid w:val="00B83B2C"/>
    <w:rsid w:val="00B8704A"/>
    <w:rsid w:val="00B92049"/>
    <w:rsid w:val="00B94740"/>
    <w:rsid w:val="00B94866"/>
    <w:rsid w:val="00B95002"/>
    <w:rsid w:val="00B9574A"/>
    <w:rsid w:val="00B97F75"/>
    <w:rsid w:val="00BA0A4F"/>
    <w:rsid w:val="00BA1CAE"/>
    <w:rsid w:val="00BA33BB"/>
    <w:rsid w:val="00BA4830"/>
    <w:rsid w:val="00BA6E22"/>
    <w:rsid w:val="00BB362C"/>
    <w:rsid w:val="00BB5942"/>
    <w:rsid w:val="00BB7FB3"/>
    <w:rsid w:val="00BC0A03"/>
    <w:rsid w:val="00BC5BB4"/>
    <w:rsid w:val="00BD4139"/>
    <w:rsid w:val="00BE059A"/>
    <w:rsid w:val="00BE15F7"/>
    <w:rsid w:val="00BE1981"/>
    <w:rsid w:val="00BE2DA6"/>
    <w:rsid w:val="00BE320B"/>
    <w:rsid w:val="00BE56E9"/>
    <w:rsid w:val="00BE5B5B"/>
    <w:rsid w:val="00BE63CF"/>
    <w:rsid w:val="00BE7014"/>
    <w:rsid w:val="00BE7991"/>
    <w:rsid w:val="00BE79DB"/>
    <w:rsid w:val="00BF25C7"/>
    <w:rsid w:val="00C009B7"/>
    <w:rsid w:val="00C03C0F"/>
    <w:rsid w:val="00C04E32"/>
    <w:rsid w:val="00C116B1"/>
    <w:rsid w:val="00C11B1E"/>
    <w:rsid w:val="00C15A3F"/>
    <w:rsid w:val="00C20630"/>
    <w:rsid w:val="00C21F78"/>
    <w:rsid w:val="00C224A4"/>
    <w:rsid w:val="00C22F7A"/>
    <w:rsid w:val="00C250C3"/>
    <w:rsid w:val="00C2666F"/>
    <w:rsid w:val="00C32020"/>
    <w:rsid w:val="00C32D02"/>
    <w:rsid w:val="00C3408C"/>
    <w:rsid w:val="00C3484D"/>
    <w:rsid w:val="00C351CC"/>
    <w:rsid w:val="00C35435"/>
    <w:rsid w:val="00C36C9F"/>
    <w:rsid w:val="00C42475"/>
    <w:rsid w:val="00C432FD"/>
    <w:rsid w:val="00C43CDF"/>
    <w:rsid w:val="00C512B2"/>
    <w:rsid w:val="00C5334F"/>
    <w:rsid w:val="00C55548"/>
    <w:rsid w:val="00C616CE"/>
    <w:rsid w:val="00C61D56"/>
    <w:rsid w:val="00C62B69"/>
    <w:rsid w:val="00C644B7"/>
    <w:rsid w:val="00C64564"/>
    <w:rsid w:val="00C73C87"/>
    <w:rsid w:val="00C74B6F"/>
    <w:rsid w:val="00C75AF4"/>
    <w:rsid w:val="00C82BBC"/>
    <w:rsid w:val="00C87EF3"/>
    <w:rsid w:val="00C9015F"/>
    <w:rsid w:val="00C912F9"/>
    <w:rsid w:val="00C9241B"/>
    <w:rsid w:val="00C96DDF"/>
    <w:rsid w:val="00C97569"/>
    <w:rsid w:val="00CA098D"/>
    <w:rsid w:val="00CA199D"/>
    <w:rsid w:val="00CA4D9C"/>
    <w:rsid w:val="00CA4DA2"/>
    <w:rsid w:val="00CB05A7"/>
    <w:rsid w:val="00CB06A4"/>
    <w:rsid w:val="00CB325B"/>
    <w:rsid w:val="00CB64FF"/>
    <w:rsid w:val="00CB7078"/>
    <w:rsid w:val="00CB7E6D"/>
    <w:rsid w:val="00CC014B"/>
    <w:rsid w:val="00CC21D8"/>
    <w:rsid w:val="00CC3369"/>
    <w:rsid w:val="00CC5343"/>
    <w:rsid w:val="00CC6338"/>
    <w:rsid w:val="00CC78DE"/>
    <w:rsid w:val="00CD04D9"/>
    <w:rsid w:val="00CD0F93"/>
    <w:rsid w:val="00CD6D6E"/>
    <w:rsid w:val="00CD6F23"/>
    <w:rsid w:val="00CE7F8F"/>
    <w:rsid w:val="00CF0621"/>
    <w:rsid w:val="00CF640B"/>
    <w:rsid w:val="00CF6B5A"/>
    <w:rsid w:val="00D027AF"/>
    <w:rsid w:val="00D0323E"/>
    <w:rsid w:val="00D039EC"/>
    <w:rsid w:val="00D06652"/>
    <w:rsid w:val="00D07FA6"/>
    <w:rsid w:val="00D12ED1"/>
    <w:rsid w:val="00D13EA3"/>
    <w:rsid w:val="00D16ADF"/>
    <w:rsid w:val="00D17C53"/>
    <w:rsid w:val="00D17D57"/>
    <w:rsid w:val="00D200EF"/>
    <w:rsid w:val="00D2341D"/>
    <w:rsid w:val="00D25E0E"/>
    <w:rsid w:val="00D302EB"/>
    <w:rsid w:val="00D31679"/>
    <w:rsid w:val="00D320C8"/>
    <w:rsid w:val="00D3672F"/>
    <w:rsid w:val="00D40ABA"/>
    <w:rsid w:val="00D40FE2"/>
    <w:rsid w:val="00D440FA"/>
    <w:rsid w:val="00D44BCF"/>
    <w:rsid w:val="00D46E73"/>
    <w:rsid w:val="00D5548D"/>
    <w:rsid w:val="00D60F81"/>
    <w:rsid w:val="00D63951"/>
    <w:rsid w:val="00D63BF2"/>
    <w:rsid w:val="00D67348"/>
    <w:rsid w:val="00D70A26"/>
    <w:rsid w:val="00D73BB4"/>
    <w:rsid w:val="00D75FEC"/>
    <w:rsid w:val="00D7664D"/>
    <w:rsid w:val="00D76B98"/>
    <w:rsid w:val="00D835A0"/>
    <w:rsid w:val="00D86F2C"/>
    <w:rsid w:val="00DA0680"/>
    <w:rsid w:val="00DA36F6"/>
    <w:rsid w:val="00DB0C8D"/>
    <w:rsid w:val="00DC1611"/>
    <w:rsid w:val="00DC1823"/>
    <w:rsid w:val="00DC49E0"/>
    <w:rsid w:val="00DD3C53"/>
    <w:rsid w:val="00DE4693"/>
    <w:rsid w:val="00DE7251"/>
    <w:rsid w:val="00DE745D"/>
    <w:rsid w:val="00DF0774"/>
    <w:rsid w:val="00DF1036"/>
    <w:rsid w:val="00DF4644"/>
    <w:rsid w:val="00DF77FB"/>
    <w:rsid w:val="00E012B4"/>
    <w:rsid w:val="00E05451"/>
    <w:rsid w:val="00E05651"/>
    <w:rsid w:val="00E07BC5"/>
    <w:rsid w:val="00E11BA5"/>
    <w:rsid w:val="00E20425"/>
    <w:rsid w:val="00E207A3"/>
    <w:rsid w:val="00E25DCB"/>
    <w:rsid w:val="00E26898"/>
    <w:rsid w:val="00E4156E"/>
    <w:rsid w:val="00E44D61"/>
    <w:rsid w:val="00E44F3B"/>
    <w:rsid w:val="00E453F2"/>
    <w:rsid w:val="00E460AD"/>
    <w:rsid w:val="00E61370"/>
    <w:rsid w:val="00E61925"/>
    <w:rsid w:val="00E65246"/>
    <w:rsid w:val="00E65C0E"/>
    <w:rsid w:val="00E730FC"/>
    <w:rsid w:val="00E746F0"/>
    <w:rsid w:val="00E809B9"/>
    <w:rsid w:val="00E82A15"/>
    <w:rsid w:val="00E85445"/>
    <w:rsid w:val="00E87589"/>
    <w:rsid w:val="00E91651"/>
    <w:rsid w:val="00E938FF"/>
    <w:rsid w:val="00E93DFE"/>
    <w:rsid w:val="00E95099"/>
    <w:rsid w:val="00E95984"/>
    <w:rsid w:val="00EA2124"/>
    <w:rsid w:val="00EA2B12"/>
    <w:rsid w:val="00EA34DC"/>
    <w:rsid w:val="00EA4F84"/>
    <w:rsid w:val="00EA5017"/>
    <w:rsid w:val="00EA6BED"/>
    <w:rsid w:val="00EB14F0"/>
    <w:rsid w:val="00EB3844"/>
    <w:rsid w:val="00EB5A9F"/>
    <w:rsid w:val="00EC573F"/>
    <w:rsid w:val="00EC5C8D"/>
    <w:rsid w:val="00ED106C"/>
    <w:rsid w:val="00ED2D34"/>
    <w:rsid w:val="00ED4805"/>
    <w:rsid w:val="00ED57F6"/>
    <w:rsid w:val="00ED6C51"/>
    <w:rsid w:val="00ED6DA1"/>
    <w:rsid w:val="00EE6B20"/>
    <w:rsid w:val="00EF207D"/>
    <w:rsid w:val="00EF4258"/>
    <w:rsid w:val="00EF6D31"/>
    <w:rsid w:val="00F0072E"/>
    <w:rsid w:val="00F02237"/>
    <w:rsid w:val="00F028E1"/>
    <w:rsid w:val="00F079A6"/>
    <w:rsid w:val="00F10236"/>
    <w:rsid w:val="00F15811"/>
    <w:rsid w:val="00F22423"/>
    <w:rsid w:val="00F24C72"/>
    <w:rsid w:val="00F31D22"/>
    <w:rsid w:val="00F348B2"/>
    <w:rsid w:val="00F34BF0"/>
    <w:rsid w:val="00F34ED8"/>
    <w:rsid w:val="00F352CB"/>
    <w:rsid w:val="00F4095A"/>
    <w:rsid w:val="00F45845"/>
    <w:rsid w:val="00F50189"/>
    <w:rsid w:val="00F508FC"/>
    <w:rsid w:val="00F510B7"/>
    <w:rsid w:val="00F53571"/>
    <w:rsid w:val="00F54044"/>
    <w:rsid w:val="00F576E7"/>
    <w:rsid w:val="00F57AC0"/>
    <w:rsid w:val="00F666A8"/>
    <w:rsid w:val="00F73D1C"/>
    <w:rsid w:val="00F74392"/>
    <w:rsid w:val="00F763FC"/>
    <w:rsid w:val="00F772C1"/>
    <w:rsid w:val="00F8026D"/>
    <w:rsid w:val="00F8245F"/>
    <w:rsid w:val="00F82E40"/>
    <w:rsid w:val="00F851D7"/>
    <w:rsid w:val="00F90E32"/>
    <w:rsid w:val="00F91629"/>
    <w:rsid w:val="00F91E2A"/>
    <w:rsid w:val="00F96C39"/>
    <w:rsid w:val="00F96E41"/>
    <w:rsid w:val="00FA108A"/>
    <w:rsid w:val="00FA153F"/>
    <w:rsid w:val="00FA1D78"/>
    <w:rsid w:val="00FA1F7E"/>
    <w:rsid w:val="00FA280F"/>
    <w:rsid w:val="00FB2186"/>
    <w:rsid w:val="00FB57D5"/>
    <w:rsid w:val="00FC0825"/>
    <w:rsid w:val="00FC2887"/>
    <w:rsid w:val="00FC35D3"/>
    <w:rsid w:val="00FD0133"/>
    <w:rsid w:val="00FD25FE"/>
    <w:rsid w:val="00FD6206"/>
    <w:rsid w:val="00FE1318"/>
    <w:rsid w:val="00FE208F"/>
    <w:rsid w:val="00FE3641"/>
    <w:rsid w:val="00FF32C3"/>
    <w:rsid w:val="00FF5915"/>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D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corpsdedcision"/>
    <w:link w:val="Heading1Char"/>
    <w:qFormat/>
    <w:rsid w:val="00F96E41"/>
    <w:pPr>
      <w:keepNext/>
      <w:spacing w:before="240" w:after="240"/>
      <w:outlineLvl w:val="0"/>
    </w:pPr>
    <w:rPr>
      <w:rFonts w:cs="Arial"/>
      <w:b/>
      <w:bCs/>
      <w:caps/>
      <w:kern w:val="32"/>
      <w:szCs w:val="32"/>
      <w:u w:val="single"/>
      <w:lang w:eastAsia="fr-FR"/>
    </w:rPr>
  </w:style>
  <w:style w:type="paragraph" w:styleId="Heading2">
    <w:name w:val="heading 2"/>
    <w:basedOn w:val="Normal"/>
    <w:next w:val="corpsdedcision"/>
    <w:qFormat/>
    <w:rsid w:val="0034740A"/>
    <w:pPr>
      <w:keepNext/>
      <w:spacing w:before="240" w:after="240"/>
      <w:outlineLvl w:val="1"/>
    </w:pPr>
    <w:rPr>
      <w:rFonts w:cs="Arial"/>
      <w:bCs/>
      <w:iCs/>
      <w:caps/>
      <w:szCs w:val="28"/>
      <w:lang w:eastAsia="fr-FR"/>
    </w:rPr>
  </w:style>
  <w:style w:type="paragraph" w:styleId="Heading3">
    <w:name w:val="heading 3"/>
    <w:basedOn w:val="Normal"/>
    <w:next w:val="corpsdedcision"/>
    <w:qFormat/>
    <w:rsid w:val="008F15D5"/>
    <w:pPr>
      <w:keepNext/>
      <w:spacing w:before="240" w:after="240"/>
      <w:outlineLvl w:val="2"/>
    </w:pPr>
    <w:rPr>
      <w:rFonts w:cs="Arial"/>
      <w:b/>
      <w:bCs/>
      <w:szCs w:val="24"/>
      <w:lang w:eastAsia="fr-FR"/>
    </w:rPr>
  </w:style>
  <w:style w:type="paragraph" w:styleId="Heading4">
    <w:name w:val="heading 4"/>
    <w:basedOn w:val="Normal"/>
    <w:next w:val="corpsdedcision"/>
    <w:qFormat/>
    <w:rsid w:val="008F15D5"/>
    <w:pPr>
      <w:keepNext/>
      <w:spacing w:before="240" w:after="240"/>
      <w:outlineLvl w:val="3"/>
    </w:pPr>
    <w:rPr>
      <w:rFonts w:cs="Arial"/>
      <w:szCs w:val="24"/>
      <w:u w:val="single"/>
      <w:lang w:eastAsia="fr-FR"/>
    </w:rPr>
  </w:style>
  <w:style w:type="paragraph" w:styleId="Heading5">
    <w:name w:val="heading 5"/>
    <w:basedOn w:val="Normal"/>
    <w:next w:val="Normal"/>
    <w:qFormat/>
    <w:rsid w:val="005E2367"/>
    <w:pPr>
      <w:numPr>
        <w:ilvl w:val="4"/>
        <w:numId w:val="2"/>
      </w:numPr>
      <w:spacing w:before="240" w:after="60"/>
      <w:outlineLvl w:val="4"/>
    </w:pPr>
    <w:rPr>
      <w:b/>
      <w:bCs/>
      <w:i/>
      <w:iCs/>
      <w:sz w:val="26"/>
      <w:szCs w:val="26"/>
    </w:rPr>
  </w:style>
  <w:style w:type="paragraph" w:styleId="Heading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Heading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Heading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FootnoteReference">
    <w:name w:val="footnote reference"/>
    <w:basedOn w:val="DefaultParagraphFont"/>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FootnoteText">
    <w:name w:val="footnote text"/>
    <w:aliases w:val="Note de bas de page art 65,Note de bas de page + 10pt,Car,Car Car Car Car Car,Car Car Car Car,Car Car Car,Car Car Car Car Car Car Car Car Car,Car Car"/>
    <w:basedOn w:val="Normal"/>
    <w:link w:val="FootnoteTextChar1"/>
  </w:style>
  <w:style w:type="paragraph" w:styleId="Header">
    <w:name w:val="header"/>
    <w:basedOn w:val="Normal"/>
    <w:pPr>
      <w:tabs>
        <w:tab w:val="center" w:pos="4320"/>
        <w:tab w:val="right" w:pos="8640"/>
      </w:tabs>
    </w:pPr>
  </w:style>
  <w:style w:type="character" w:styleId="PageNumber">
    <w:name w:val="page number"/>
    <w:basedOn w:val="DefaultParagraphFont"/>
    <w:rPr>
      <w:rFonts w:ascii="Arial" w:hAnsi="Arial"/>
      <w:sz w:val="24"/>
    </w:rPr>
  </w:style>
  <w:style w:type="paragraph" w:styleId="Footer">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FootnoteTextChar1">
    <w:name w:val="Footnote Text Char1"/>
    <w:aliases w:val="Note de bas de page art 65 Char,Note de bas de page + 10pt Char,Car Char,Car Car Car Car Car Char,Car Car Car Car Char,Car Car Car Char,Car Car Car Car Car Car Car Car Car Char,Car Car Char"/>
    <w:basedOn w:val="DefaultParagraphFont"/>
    <w:link w:val="FootnoteText"/>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8048CF"/>
    <w:pPr>
      <w:spacing w:before="0" w:after="0"/>
      <w:ind w:left="1440" w:right="1440"/>
    </w:pPr>
    <w:rPr>
      <w:sz w:val="18"/>
    </w:rPr>
  </w:style>
  <w:style w:type="character" w:customStyle="1" w:styleId="Citationintgre">
    <w:name w:val="Citation intégrée"/>
    <w:basedOn w:val="DefaultParagraphFon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Heading1Char">
    <w:name w:val="Heading 1 Char"/>
    <w:link w:val="Heading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Hyperlink">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ListParagraph">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basedOn w:val="DefaultParagraphFont"/>
    <w:locked/>
    <w:rsid w:val="00ED57F6"/>
    <w:rPr>
      <w:rFonts w:ascii="Arial" w:hAnsi="Arial" w:cs="Times New Roman"/>
      <w:sz w:val="24"/>
    </w:rPr>
  </w:style>
  <w:style w:type="character" w:customStyle="1" w:styleId="corpsdedcisionCar">
    <w:name w:val="corps de décision Car"/>
    <w:link w:val="corpsdedcision"/>
    <w:rsid w:val="0003251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3253</Words>
  <Characters>18547</Characters>
  <Application>Microsoft Office Word</Application>
  <DocSecurity>0</DocSecurity>
  <Lines>154</Lines>
  <Paragraphs>43</Paragraphs>
  <ScaleCrop>false</ScaleCrop>
  <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2026-06-30T16:46:00Z</dcterms:created>
  <dcterms:modified xsi:type="dcterms:W3CDTF">2026-06-30T16:46:00Z</dcterms:modified>
</cp:coreProperties>
</file>