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7376CA29" w14:textId="77777777">
        <w:trPr>
          <w:cantSplit/>
        </w:trPr>
        <w:tc>
          <w:tcPr>
            <w:tcW w:w="4795" w:type="dxa"/>
          </w:tcPr>
          <w:p w14:paraId="1C87E35B" w14:textId="135CEB2E" w:rsidR="008A7FD1" w:rsidRPr="00260100" w:rsidRDefault="00260100" w:rsidP="00260100">
            <w:pPr>
              <w:pStyle w:val="zSoquijdatRepertorie"/>
              <w:rPr>
                <w:rFonts w:cs="Arial"/>
              </w:rPr>
            </w:pPr>
            <w:bookmarkStart w:id="0" w:name="_GoBack"/>
            <w:bookmarkEnd w:id="0"/>
            <w:r>
              <w:rPr>
                <w:rFonts w:cs="Arial"/>
              </w:rPr>
              <w:t>Leblanc et Ambulances Joliette inc.</w:t>
            </w:r>
          </w:p>
        </w:tc>
        <w:tc>
          <w:tcPr>
            <w:tcW w:w="2477" w:type="dxa"/>
          </w:tcPr>
          <w:p w14:paraId="2429D255" w14:textId="03C416AB" w:rsidR="008A7FD1" w:rsidRPr="001C16D3" w:rsidRDefault="001C16D3" w:rsidP="001C16D3">
            <w:pPr>
              <w:pStyle w:val="zSoquijdatRefNeutre"/>
              <w:rPr>
                <w:rFonts w:cs="Arial"/>
              </w:rPr>
            </w:pPr>
            <w:r w:rsidRPr="001C16D3">
              <w:rPr>
                <w:rFonts w:cs="Arial"/>
              </w:rPr>
              <w:t>2024 QCTAT 2450</w:t>
            </w:r>
          </w:p>
        </w:tc>
      </w:tr>
    </w:tbl>
    <w:p w14:paraId="2F368B72"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6DFFF208" w14:textId="77777777" w:rsidTr="00036794">
        <w:trPr>
          <w:cantSplit/>
        </w:trPr>
        <w:tc>
          <w:tcPr>
            <w:tcW w:w="9568" w:type="dxa"/>
            <w:gridSpan w:val="4"/>
          </w:tcPr>
          <w:p w14:paraId="5A905454" w14:textId="77777777" w:rsidR="00C74B6F" w:rsidRPr="00BE1981" w:rsidRDefault="00C74B6F">
            <w:pPr>
              <w:rPr>
                <w:szCs w:val="24"/>
              </w:rPr>
            </w:pPr>
          </w:p>
        </w:tc>
      </w:tr>
      <w:tr w:rsidR="00C74B6F" w14:paraId="6790C4C9" w14:textId="77777777" w:rsidTr="00036794">
        <w:trPr>
          <w:cantSplit/>
        </w:trPr>
        <w:tc>
          <w:tcPr>
            <w:tcW w:w="9568" w:type="dxa"/>
            <w:gridSpan w:val="4"/>
            <w:vAlign w:val="center"/>
          </w:tcPr>
          <w:p w14:paraId="0EF4FCBE" w14:textId="77777777" w:rsidR="00C74B6F" w:rsidRPr="000E1320" w:rsidRDefault="000E1320">
            <w:pPr>
              <w:jc w:val="center"/>
              <w:rPr>
                <w:sz w:val="36"/>
                <w:szCs w:val="36"/>
              </w:rPr>
            </w:pPr>
            <w:r w:rsidRPr="000E1320">
              <w:rPr>
                <w:b/>
                <w:sz w:val="36"/>
                <w:szCs w:val="36"/>
              </w:rPr>
              <w:t>TRIBUNAL ADMINISTRATIF DU TRAVAIL</w:t>
            </w:r>
          </w:p>
        </w:tc>
      </w:tr>
      <w:tr w:rsidR="00C74B6F" w14:paraId="4B47BF71" w14:textId="77777777" w:rsidTr="00036794">
        <w:trPr>
          <w:cantSplit/>
        </w:trPr>
        <w:tc>
          <w:tcPr>
            <w:tcW w:w="9568" w:type="dxa"/>
            <w:gridSpan w:val="4"/>
          </w:tcPr>
          <w:p w14:paraId="37DA42F7" w14:textId="3D92980B" w:rsidR="00C74B6F" w:rsidRPr="00BE7014" w:rsidRDefault="006F0154" w:rsidP="009A67E7">
            <w:pPr>
              <w:pStyle w:val="zSoquijdatDivision"/>
            </w:pPr>
            <w:r w:rsidRPr="00BE7014">
              <w:t>(</w:t>
            </w:r>
            <w:r w:rsidR="00E863E9" w:rsidRPr="00441ADA">
              <w:t>Division de la santé et de la sécurité du travail</w:t>
            </w:r>
            <w:r w:rsidRPr="00BE7014">
              <w:t>)</w:t>
            </w:r>
          </w:p>
        </w:tc>
      </w:tr>
      <w:tr w:rsidR="00C74B6F" w14:paraId="76C067B6" w14:textId="77777777" w:rsidTr="00036794">
        <w:trPr>
          <w:cantSplit/>
        </w:trPr>
        <w:tc>
          <w:tcPr>
            <w:tcW w:w="9568" w:type="dxa"/>
            <w:gridSpan w:val="4"/>
          </w:tcPr>
          <w:p w14:paraId="1A88375B" w14:textId="77777777" w:rsidR="002B2FC3" w:rsidRDefault="002B2FC3" w:rsidP="002B2FC3"/>
        </w:tc>
      </w:tr>
      <w:tr w:rsidR="00A84FC6" w14:paraId="12A8263B" w14:textId="77777777" w:rsidTr="00036794">
        <w:trPr>
          <w:cantSplit/>
        </w:trPr>
        <w:tc>
          <w:tcPr>
            <w:tcW w:w="9568" w:type="dxa"/>
            <w:gridSpan w:val="4"/>
          </w:tcPr>
          <w:p w14:paraId="4E57A029" w14:textId="77777777" w:rsidR="00A84FC6" w:rsidRDefault="00A84FC6" w:rsidP="002B2FC3"/>
        </w:tc>
      </w:tr>
      <w:tr w:rsidR="00C74B6F" w14:paraId="7A3C098C" w14:textId="77777777" w:rsidTr="00036794">
        <w:tc>
          <w:tcPr>
            <w:tcW w:w="3331" w:type="dxa"/>
          </w:tcPr>
          <w:p w14:paraId="57CF5709" w14:textId="77777777" w:rsidR="00C74B6F" w:rsidRDefault="0084255F">
            <w:bookmarkStart w:id="1" w:name="region" w:colFirst="1" w:colLast="1"/>
            <w:r>
              <w:t>Région :</w:t>
            </w:r>
          </w:p>
        </w:tc>
        <w:tc>
          <w:tcPr>
            <w:tcW w:w="6237" w:type="dxa"/>
            <w:gridSpan w:val="3"/>
          </w:tcPr>
          <w:p w14:paraId="484AD78D" w14:textId="0D270640" w:rsidR="00C74B6F" w:rsidRDefault="00E863E9" w:rsidP="00F4095A">
            <w:pPr>
              <w:pStyle w:val="zSoquijdatGreffe"/>
            </w:pPr>
            <w:r>
              <w:t>Lanaudière</w:t>
            </w:r>
          </w:p>
        </w:tc>
      </w:tr>
      <w:bookmarkEnd w:id="1"/>
      <w:tr w:rsidR="00C74B6F" w14:paraId="014C9BC6" w14:textId="77777777" w:rsidTr="00036794">
        <w:trPr>
          <w:cantSplit/>
        </w:trPr>
        <w:tc>
          <w:tcPr>
            <w:tcW w:w="9568" w:type="dxa"/>
            <w:gridSpan w:val="4"/>
          </w:tcPr>
          <w:p w14:paraId="6C472B14" w14:textId="77777777" w:rsidR="00C74B6F" w:rsidRDefault="00C74B6F"/>
        </w:tc>
      </w:tr>
      <w:tr w:rsidR="00C74B6F" w14:paraId="6CED4212" w14:textId="77777777" w:rsidTr="00036794">
        <w:tc>
          <w:tcPr>
            <w:tcW w:w="3331" w:type="dxa"/>
          </w:tcPr>
          <w:p w14:paraId="7300B7FE" w14:textId="012D60C3" w:rsidR="00C74B6F" w:rsidRDefault="0084255F">
            <w:bookmarkStart w:id="2" w:name="ref_dossier" w:colFirst="1" w:colLast="1"/>
            <w:r>
              <w:t>Dossier</w:t>
            </w:r>
            <w:bookmarkStart w:id="3" w:name="dossiers"/>
            <w:bookmarkEnd w:id="3"/>
            <w:r w:rsidR="00E863E9">
              <w:t xml:space="preserve"> </w:t>
            </w:r>
            <w:r>
              <w:t>:</w:t>
            </w:r>
          </w:p>
        </w:tc>
        <w:tc>
          <w:tcPr>
            <w:tcW w:w="6237" w:type="dxa"/>
            <w:gridSpan w:val="3"/>
          </w:tcPr>
          <w:p w14:paraId="7D9F8CE6" w14:textId="46808573" w:rsidR="00C74B6F" w:rsidRDefault="00E863E9" w:rsidP="00F4095A">
            <w:pPr>
              <w:pStyle w:val="zSoquijdatNoDossier"/>
            </w:pPr>
            <w:r w:rsidRPr="00E863E9">
              <w:t>1286953</w:t>
            </w:r>
            <w:r w:rsidR="007F4D43">
              <w:t>-</w:t>
            </w:r>
            <w:r w:rsidRPr="00E863E9">
              <w:t>63</w:t>
            </w:r>
            <w:r w:rsidR="007F4D43">
              <w:t>-</w:t>
            </w:r>
            <w:r w:rsidRPr="00E863E9">
              <w:t>2207</w:t>
            </w:r>
          </w:p>
        </w:tc>
      </w:tr>
      <w:bookmarkEnd w:id="2"/>
      <w:tr w:rsidR="00C74B6F" w14:paraId="31D8CBF2" w14:textId="77777777" w:rsidTr="00036794">
        <w:trPr>
          <w:cantSplit/>
        </w:trPr>
        <w:tc>
          <w:tcPr>
            <w:tcW w:w="9568" w:type="dxa"/>
            <w:gridSpan w:val="4"/>
          </w:tcPr>
          <w:p w14:paraId="650CA9BE" w14:textId="77777777" w:rsidR="00C74B6F" w:rsidRDefault="00D44BCF">
            <w:r>
              <w:fldChar w:fldCharType="begin"/>
            </w:r>
            <w:r>
              <w:instrText xml:space="preserve"> AUTOTEXTLIST  \* Upper  \* MERGEFORMAT </w:instrText>
            </w:r>
            <w:r>
              <w:fldChar w:fldCharType="end"/>
            </w:r>
          </w:p>
        </w:tc>
      </w:tr>
      <w:tr w:rsidR="00C74B6F" w14:paraId="7A187141" w14:textId="77777777" w:rsidTr="00036794">
        <w:tc>
          <w:tcPr>
            <w:tcW w:w="3331" w:type="dxa"/>
          </w:tcPr>
          <w:p w14:paraId="6514C84C" w14:textId="02E95CC5" w:rsidR="00C74B6F" w:rsidRDefault="008C79A7" w:rsidP="0045114F">
            <w:pPr>
              <w:ind w:right="46"/>
            </w:pPr>
            <w:r>
              <w:t>Dossier</w:t>
            </w:r>
            <w:r w:rsidR="00E863E9">
              <w:t xml:space="preserve"> </w:t>
            </w:r>
            <w:r w:rsidR="00E863E9" w:rsidRPr="00E863E9">
              <w:rPr>
                <w:szCs w:val="24"/>
              </w:rPr>
              <w:t>CNESST</w:t>
            </w:r>
            <w:r w:rsidRPr="008C79A7">
              <w:rPr>
                <w:szCs w:val="24"/>
              </w:rPr>
              <w:t xml:space="preserve"> :</w:t>
            </w:r>
          </w:p>
        </w:tc>
        <w:tc>
          <w:tcPr>
            <w:tcW w:w="6237" w:type="dxa"/>
            <w:gridSpan w:val="3"/>
          </w:tcPr>
          <w:p w14:paraId="6954ED17" w14:textId="2E921D4F" w:rsidR="00C74B6F" w:rsidRDefault="00E863E9" w:rsidP="004D6CEA">
            <w:pPr>
              <w:pStyle w:val="zSoquijdatNCSST"/>
            </w:pPr>
            <w:r w:rsidRPr="00E863E9">
              <w:t>511220287</w:t>
            </w:r>
          </w:p>
        </w:tc>
      </w:tr>
      <w:tr w:rsidR="00C74B6F" w14:paraId="0A48839B" w14:textId="77777777" w:rsidTr="00036794">
        <w:trPr>
          <w:cantSplit/>
        </w:trPr>
        <w:tc>
          <w:tcPr>
            <w:tcW w:w="9568" w:type="dxa"/>
            <w:gridSpan w:val="4"/>
          </w:tcPr>
          <w:p w14:paraId="16BDCC04" w14:textId="77777777" w:rsidR="00C74B6F" w:rsidRDefault="00C74B6F"/>
        </w:tc>
      </w:tr>
      <w:tr w:rsidR="00C74B6F" w14:paraId="55DAC06F" w14:textId="77777777" w:rsidTr="00036794">
        <w:tc>
          <w:tcPr>
            <w:tcW w:w="3331" w:type="dxa"/>
          </w:tcPr>
          <w:p w14:paraId="1AED9618" w14:textId="16ECA0BC" w:rsidR="00C74B6F" w:rsidRDefault="00E863E9">
            <w:r>
              <w:t>Assesseure</w:t>
            </w:r>
          </w:p>
        </w:tc>
        <w:tc>
          <w:tcPr>
            <w:tcW w:w="6237" w:type="dxa"/>
            <w:gridSpan w:val="3"/>
          </w:tcPr>
          <w:p w14:paraId="27A3E6D2" w14:textId="7CF9C9E7" w:rsidR="00C74B6F" w:rsidRDefault="00E863E9" w:rsidP="00F4095A">
            <w:pPr>
              <w:pStyle w:val="zSoquijdatAssesseurs"/>
            </w:pPr>
            <w:r>
              <w:t>Martine Martin</w:t>
            </w:r>
            <w:r w:rsidR="00A25D4B">
              <w:t xml:space="preserve">, médecin </w:t>
            </w:r>
          </w:p>
        </w:tc>
      </w:tr>
      <w:tr w:rsidR="00C74B6F" w14:paraId="7D6CEC08" w14:textId="77777777" w:rsidTr="00036794">
        <w:trPr>
          <w:cantSplit/>
        </w:trPr>
        <w:tc>
          <w:tcPr>
            <w:tcW w:w="9568" w:type="dxa"/>
            <w:gridSpan w:val="4"/>
          </w:tcPr>
          <w:p w14:paraId="44153A5D" w14:textId="77777777" w:rsidR="00C74B6F" w:rsidRDefault="00C74B6F"/>
        </w:tc>
      </w:tr>
      <w:tr w:rsidR="00C74B6F" w14:paraId="010EB3A2" w14:textId="77777777" w:rsidTr="00036794">
        <w:trPr>
          <w:cantSplit/>
        </w:trPr>
        <w:tc>
          <w:tcPr>
            <w:tcW w:w="9568" w:type="dxa"/>
            <w:gridSpan w:val="4"/>
          </w:tcPr>
          <w:p w14:paraId="56A7DE79" w14:textId="77777777" w:rsidR="00C74B6F" w:rsidRDefault="00C74B6F"/>
        </w:tc>
      </w:tr>
      <w:tr w:rsidR="006E3DD8" w14:paraId="45F46058" w14:textId="77777777" w:rsidTr="00036794">
        <w:trPr>
          <w:cantSplit/>
        </w:trPr>
        <w:tc>
          <w:tcPr>
            <w:tcW w:w="3331" w:type="dxa"/>
          </w:tcPr>
          <w:p w14:paraId="2C0E0201" w14:textId="1BC223B5" w:rsidR="006E3DD8" w:rsidRDefault="00E863E9" w:rsidP="0076350E">
            <w:pPr>
              <w:ind w:right="-70"/>
            </w:pPr>
            <w:r>
              <w:t>Joliette</w:t>
            </w:r>
            <w:r w:rsidR="00C04E32">
              <w:t>,</w:t>
            </w:r>
          </w:p>
        </w:tc>
        <w:tc>
          <w:tcPr>
            <w:tcW w:w="6237" w:type="dxa"/>
            <w:gridSpan w:val="3"/>
          </w:tcPr>
          <w:p w14:paraId="306FA407" w14:textId="083C6CCF" w:rsidR="006E3DD8" w:rsidRDefault="00C04E32" w:rsidP="005B5689">
            <w:pPr>
              <w:pStyle w:val="zSoquijdatDateJugement"/>
            </w:pPr>
            <w:r>
              <w:t xml:space="preserve">le </w:t>
            </w:r>
            <w:r w:rsidR="00CC6855">
              <w:t>10</w:t>
            </w:r>
            <w:r w:rsidR="007959E8">
              <w:t xml:space="preserve"> juillet 2024</w:t>
            </w:r>
          </w:p>
        </w:tc>
      </w:tr>
      <w:tr w:rsidR="00942AB8" w14:paraId="49AC40DA" w14:textId="77777777" w:rsidTr="00036794">
        <w:trPr>
          <w:cantSplit/>
        </w:trPr>
        <w:tc>
          <w:tcPr>
            <w:tcW w:w="9568" w:type="dxa"/>
            <w:gridSpan w:val="4"/>
          </w:tcPr>
          <w:p w14:paraId="4B20F037" w14:textId="77777777" w:rsidR="00942AB8" w:rsidRDefault="00942AB8" w:rsidP="00FA153F">
            <w:r>
              <w:t>______________________________________________________________________</w:t>
            </w:r>
          </w:p>
        </w:tc>
      </w:tr>
      <w:tr w:rsidR="00942AB8" w14:paraId="7F3882EC" w14:textId="77777777" w:rsidTr="00036794">
        <w:trPr>
          <w:cantSplit/>
          <w:trHeight w:val="148"/>
        </w:trPr>
        <w:tc>
          <w:tcPr>
            <w:tcW w:w="9568" w:type="dxa"/>
            <w:gridSpan w:val="4"/>
          </w:tcPr>
          <w:p w14:paraId="7040C0FC" w14:textId="77777777" w:rsidR="00942AB8" w:rsidRDefault="00942AB8" w:rsidP="00FA153F"/>
        </w:tc>
      </w:tr>
      <w:tr w:rsidR="0035375B" w14:paraId="6C313BFD" w14:textId="77777777" w:rsidTr="00036794">
        <w:trPr>
          <w:cantSplit/>
          <w:trHeight w:val="148"/>
        </w:trPr>
        <w:tc>
          <w:tcPr>
            <w:tcW w:w="5883" w:type="dxa"/>
            <w:gridSpan w:val="3"/>
          </w:tcPr>
          <w:p w14:paraId="36038FD8" w14:textId="312208EE" w:rsidR="0035375B" w:rsidRPr="00942AB8" w:rsidRDefault="0035375B" w:rsidP="007959E8">
            <w:pPr>
              <w:rPr>
                <w:b/>
                <w:bCs/>
              </w:rPr>
            </w:pPr>
            <w:bookmarkStart w:id="4" w:name="ref_commissaire" w:colFirst="1" w:colLast="1"/>
            <w:r w:rsidRPr="00942AB8">
              <w:rPr>
                <w:b/>
                <w:bCs/>
              </w:rPr>
              <w:t>DEVANT L</w:t>
            </w:r>
            <w:r w:rsidR="00E863E9">
              <w:rPr>
                <w:b/>
                <w:bCs/>
              </w:rPr>
              <w:t>E</w:t>
            </w:r>
            <w:r w:rsidRPr="00942AB8">
              <w:rPr>
                <w:b/>
                <w:bCs/>
              </w:rPr>
              <w:t xml:space="preserve"> JUGE ADMINISTRATI</w:t>
            </w:r>
            <w:r w:rsidR="00E863E9">
              <w:rPr>
                <w:b/>
                <w:bCs/>
              </w:rPr>
              <w:t>F</w:t>
            </w:r>
            <w:r w:rsidRPr="00942AB8">
              <w:rPr>
                <w:b/>
                <w:bCs/>
              </w:rPr>
              <w:t> :</w:t>
            </w:r>
          </w:p>
        </w:tc>
        <w:tc>
          <w:tcPr>
            <w:tcW w:w="3685" w:type="dxa"/>
          </w:tcPr>
          <w:p w14:paraId="41B231E7" w14:textId="38685911" w:rsidR="00E863E9" w:rsidRPr="007959E8" w:rsidRDefault="00E863E9" w:rsidP="005B5689">
            <w:pPr>
              <w:pStyle w:val="zSoquijdatJuge"/>
            </w:pPr>
            <w:r>
              <w:t>Daniel Pelletier</w:t>
            </w:r>
          </w:p>
        </w:tc>
      </w:tr>
      <w:bookmarkEnd w:id="4"/>
      <w:tr w:rsidR="00942AB8" w14:paraId="58D65E0F" w14:textId="77777777" w:rsidTr="00036794">
        <w:trPr>
          <w:cantSplit/>
          <w:trHeight w:val="148"/>
        </w:trPr>
        <w:tc>
          <w:tcPr>
            <w:tcW w:w="9568" w:type="dxa"/>
            <w:gridSpan w:val="4"/>
          </w:tcPr>
          <w:p w14:paraId="37D74748" w14:textId="77777777" w:rsidR="00942AB8" w:rsidRDefault="00942AB8" w:rsidP="00FA153F">
            <w:r>
              <w:t>______________________________________________________________________</w:t>
            </w:r>
          </w:p>
        </w:tc>
      </w:tr>
      <w:tr w:rsidR="00942AB8" w14:paraId="573B7ACC" w14:textId="77777777" w:rsidTr="00036794">
        <w:tc>
          <w:tcPr>
            <w:tcW w:w="9568" w:type="dxa"/>
            <w:gridSpan w:val="4"/>
          </w:tcPr>
          <w:p w14:paraId="32E35B8A" w14:textId="77777777" w:rsidR="00942AB8" w:rsidRDefault="00942AB8"/>
        </w:tc>
      </w:tr>
      <w:tr w:rsidR="00942AB8" w14:paraId="5B6EEA39" w14:textId="77777777" w:rsidTr="00E21768">
        <w:tc>
          <w:tcPr>
            <w:tcW w:w="4890" w:type="dxa"/>
            <w:gridSpan w:val="2"/>
          </w:tcPr>
          <w:p w14:paraId="1FE2D0C2" w14:textId="77777777" w:rsidR="00942AB8" w:rsidRDefault="00942AB8">
            <w:bookmarkStart w:id="5" w:name="bloc_parties_gauche"/>
            <w:bookmarkEnd w:id="5"/>
          </w:p>
        </w:tc>
        <w:tc>
          <w:tcPr>
            <w:tcW w:w="4678" w:type="dxa"/>
            <w:gridSpan w:val="2"/>
          </w:tcPr>
          <w:p w14:paraId="5B6F647D" w14:textId="77777777" w:rsidR="00942AB8" w:rsidRDefault="00942AB8"/>
        </w:tc>
      </w:tr>
      <w:tr w:rsidR="00942AB8" w14:paraId="3031DC7D" w14:textId="77777777" w:rsidTr="00E21768">
        <w:tc>
          <w:tcPr>
            <w:tcW w:w="4890" w:type="dxa"/>
            <w:gridSpan w:val="2"/>
          </w:tcPr>
          <w:p w14:paraId="491C6C3E" w14:textId="6E205274" w:rsidR="00942AB8" w:rsidRDefault="00E863E9">
            <w:pPr>
              <w:pStyle w:val="zSoquijdatNomPartieDem"/>
              <w:rPr>
                <w:b/>
              </w:rPr>
            </w:pPr>
            <w:r>
              <w:rPr>
                <w:b/>
              </w:rPr>
              <w:t>Louis-Marie Leblanc</w:t>
            </w:r>
          </w:p>
        </w:tc>
        <w:tc>
          <w:tcPr>
            <w:tcW w:w="4678" w:type="dxa"/>
            <w:gridSpan w:val="2"/>
          </w:tcPr>
          <w:p w14:paraId="627150B3" w14:textId="77777777" w:rsidR="00942AB8" w:rsidRDefault="00942AB8"/>
        </w:tc>
      </w:tr>
      <w:tr w:rsidR="00942AB8" w14:paraId="25799181" w14:textId="77777777" w:rsidTr="00E21768">
        <w:tc>
          <w:tcPr>
            <w:tcW w:w="4890" w:type="dxa"/>
            <w:gridSpan w:val="2"/>
          </w:tcPr>
          <w:p w14:paraId="03E46BC0" w14:textId="76F39C3C" w:rsidR="00942AB8" w:rsidRDefault="00E863E9" w:rsidP="007B0DF2">
            <w:pPr>
              <w:pStyle w:val="zSoquijdatQtePartieDem"/>
              <w:tabs>
                <w:tab w:val="left" w:pos="3539"/>
              </w:tabs>
              <w:ind w:left="708"/>
            </w:pPr>
            <w:bookmarkStart w:id="6" w:name="partie_demanderesse"/>
            <w:bookmarkEnd w:id="6"/>
            <w:r>
              <w:t>Partie demanderesse</w:t>
            </w:r>
          </w:p>
        </w:tc>
        <w:tc>
          <w:tcPr>
            <w:tcW w:w="4678" w:type="dxa"/>
            <w:gridSpan w:val="2"/>
          </w:tcPr>
          <w:p w14:paraId="6D064B09" w14:textId="77777777" w:rsidR="00942AB8" w:rsidRDefault="00942AB8"/>
        </w:tc>
      </w:tr>
      <w:tr w:rsidR="00942AB8" w14:paraId="123A6EE4" w14:textId="77777777" w:rsidTr="00E21768">
        <w:tc>
          <w:tcPr>
            <w:tcW w:w="4890" w:type="dxa"/>
            <w:gridSpan w:val="2"/>
          </w:tcPr>
          <w:p w14:paraId="43CFD7CE" w14:textId="77777777" w:rsidR="00942AB8" w:rsidRDefault="00942AB8" w:rsidP="00E6363B"/>
        </w:tc>
        <w:tc>
          <w:tcPr>
            <w:tcW w:w="4678" w:type="dxa"/>
            <w:gridSpan w:val="2"/>
          </w:tcPr>
          <w:p w14:paraId="1796E0CA" w14:textId="77777777" w:rsidR="00942AB8" w:rsidRDefault="00942AB8"/>
        </w:tc>
      </w:tr>
      <w:tr w:rsidR="00942AB8" w14:paraId="1DB4F383" w14:textId="77777777" w:rsidTr="00E21768">
        <w:tc>
          <w:tcPr>
            <w:tcW w:w="4890" w:type="dxa"/>
            <w:gridSpan w:val="2"/>
          </w:tcPr>
          <w:p w14:paraId="66BCDB92" w14:textId="07E36F7B" w:rsidR="00942AB8" w:rsidRDefault="00E863E9" w:rsidP="00D06652">
            <w:pPr>
              <w:pStyle w:val="zSoquijlblLienParties"/>
            </w:pPr>
            <w:r>
              <w:t>et</w:t>
            </w:r>
          </w:p>
        </w:tc>
        <w:tc>
          <w:tcPr>
            <w:tcW w:w="4678" w:type="dxa"/>
            <w:gridSpan w:val="2"/>
          </w:tcPr>
          <w:p w14:paraId="76405976" w14:textId="77777777" w:rsidR="00942AB8" w:rsidRDefault="00942AB8"/>
        </w:tc>
      </w:tr>
      <w:tr w:rsidR="00942AB8" w14:paraId="0C65F6ED" w14:textId="77777777" w:rsidTr="00E21768">
        <w:tc>
          <w:tcPr>
            <w:tcW w:w="4890" w:type="dxa"/>
            <w:gridSpan w:val="2"/>
          </w:tcPr>
          <w:p w14:paraId="41EEB4F1" w14:textId="77777777" w:rsidR="00942AB8" w:rsidRDefault="00942AB8"/>
        </w:tc>
        <w:tc>
          <w:tcPr>
            <w:tcW w:w="4678" w:type="dxa"/>
            <w:gridSpan w:val="2"/>
          </w:tcPr>
          <w:p w14:paraId="7DA05EE8" w14:textId="77777777" w:rsidR="00942AB8" w:rsidRDefault="00942AB8"/>
        </w:tc>
      </w:tr>
      <w:tr w:rsidR="00942AB8" w14:paraId="59521B92" w14:textId="77777777" w:rsidTr="00E21768">
        <w:tc>
          <w:tcPr>
            <w:tcW w:w="4890" w:type="dxa"/>
            <w:gridSpan w:val="2"/>
          </w:tcPr>
          <w:p w14:paraId="3EBE9353" w14:textId="3C4D62A1" w:rsidR="00942AB8" w:rsidRDefault="00E863E9">
            <w:pPr>
              <w:pStyle w:val="zSoquijdatNomPartieDef"/>
              <w:rPr>
                <w:b/>
              </w:rPr>
            </w:pPr>
            <w:r w:rsidRPr="00E863E9">
              <w:rPr>
                <w:b/>
              </w:rPr>
              <w:t>Ambulances Joliette inc (Les)</w:t>
            </w:r>
          </w:p>
        </w:tc>
        <w:tc>
          <w:tcPr>
            <w:tcW w:w="4678" w:type="dxa"/>
            <w:gridSpan w:val="2"/>
          </w:tcPr>
          <w:p w14:paraId="3026BDF5" w14:textId="77777777" w:rsidR="00942AB8" w:rsidRDefault="00942AB8"/>
        </w:tc>
      </w:tr>
      <w:tr w:rsidR="00942AB8" w14:paraId="6A928AE6" w14:textId="77777777" w:rsidTr="00E21768">
        <w:tc>
          <w:tcPr>
            <w:tcW w:w="4890" w:type="dxa"/>
            <w:gridSpan w:val="2"/>
          </w:tcPr>
          <w:p w14:paraId="3DF89964" w14:textId="0DA341F9" w:rsidR="00942AB8" w:rsidRDefault="00E863E9">
            <w:pPr>
              <w:pStyle w:val="zSoquijdatQtePartieDef"/>
              <w:ind w:left="708"/>
            </w:pPr>
            <w:r>
              <w:t>Partie mise en cause</w:t>
            </w:r>
          </w:p>
        </w:tc>
        <w:tc>
          <w:tcPr>
            <w:tcW w:w="4678" w:type="dxa"/>
            <w:gridSpan w:val="2"/>
          </w:tcPr>
          <w:p w14:paraId="052153A5" w14:textId="77777777" w:rsidR="00942AB8" w:rsidRDefault="00942AB8"/>
        </w:tc>
      </w:tr>
      <w:tr w:rsidR="0065093D" w14:paraId="2452EFF1" w14:textId="77777777" w:rsidTr="00E21768">
        <w:tc>
          <w:tcPr>
            <w:tcW w:w="4890" w:type="dxa"/>
            <w:gridSpan w:val="2"/>
          </w:tcPr>
          <w:p w14:paraId="12E78EF8" w14:textId="77777777" w:rsidR="0065093D" w:rsidRDefault="0065093D"/>
        </w:tc>
        <w:tc>
          <w:tcPr>
            <w:tcW w:w="4678" w:type="dxa"/>
            <w:gridSpan w:val="2"/>
          </w:tcPr>
          <w:p w14:paraId="58648BC5" w14:textId="77777777" w:rsidR="0065093D" w:rsidRDefault="0065093D"/>
        </w:tc>
      </w:tr>
    </w:tbl>
    <w:p w14:paraId="7573B134" w14:textId="77777777" w:rsidR="00C74B6F" w:rsidRDefault="00C74B6F">
      <w:r>
        <w:t>______________________________________________________________________</w:t>
      </w:r>
    </w:p>
    <w:p w14:paraId="726207C1" w14:textId="77777777" w:rsidR="00C74B6F" w:rsidRDefault="00C74B6F"/>
    <w:p w14:paraId="35D07EA9" w14:textId="77777777" w:rsidR="00C74B6F" w:rsidRPr="005B0612" w:rsidRDefault="00C74B6F" w:rsidP="008B042E">
      <w:pPr>
        <w:jc w:val="center"/>
        <w:rPr>
          <w:b/>
          <w:bCs/>
        </w:rPr>
      </w:pPr>
      <w:bookmarkStart w:id="7" w:name="decision"/>
      <w:r w:rsidRPr="005B0612">
        <w:rPr>
          <w:b/>
          <w:bCs/>
        </w:rPr>
        <w:t>DÉCISION</w:t>
      </w:r>
      <w:bookmarkEnd w:id="7"/>
    </w:p>
    <w:p w14:paraId="1A97E380" w14:textId="77777777" w:rsidR="008F20EA" w:rsidRDefault="008F20EA" w:rsidP="008F20EA">
      <w:bookmarkStart w:id="8" w:name="separation"/>
      <w:bookmarkStart w:id="9" w:name="parag_1"/>
      <w:r>
        <w:t>______________________________________________________________________</w:t>
      </w:r>
    </w:p>
    <w:p w14:paraId="4FFF71A0" w14:textId="77777777" w:rsidR="008F20EA" w:rsidRDefault="008F20EA" w:rsidP="008F20EA">
      <w:pPr>
        <w:pStyle w:val="corpsdedcision"/>
        <w:numPr>
          <w:ilvl w:val="0"/>
          <w:numId w:val="0"/>
        </w:numPr>
        <w:spacing w:before="360"/>
      </w:pPr>
      <w:bookmarkStart w:id="10" w:name="supprimer_apercu"/>
      <w:bookmarkEnd w:id="8"/>
      <w:r>
        <w:rPr>
          <w:b/>
          <w:bCs/>
          <w:u w:val="single"/>
        </w:rPr>
        <w:t>L’APERÇU</w:t>
      </w:r>
    </w:p>
    <w:bookmarkEnd w:id="10"/>
    <w:bookmarkEnd w:id="9"/>
    <w:p w14:paraId="430F9C15" w14:textId="7154C8DE" w:rsidR="00BA3CB6" w:rsidRDefault="00824E56" w:rsidP="00BA3CB6">
      <w:pPr>
        <w:pStyle w:val="corpsdedcision"/>
      </w:pPr>
      <w:r>
        <w:t>Le Tribunal est saisi d’une contestation par le travailleur d’une décision rendue par la Commission des normes, de l’équité, de la santé et de la sécurité du travail, en révision administrative qui a refusé sa réclamation pour une surdité.</w:t>
      </w:r>
    </w:p>
    <w:p w14:paraId="6753A980" w14:textId="12743A04" w:rsidR="00824E56" w:rsidRDefault="00824E56" w:rsidP="00210B38">
      <w:pPr>
        <w:pStyle w:val="corpsdedcision"/>
        <w:keepNext/>
        <w:keepLines/>
      </w:pPr>
      <w:r>
        <w:t xml:space="preserve">Lors d’une précédente audience, le </w:t>
      </w:r>
      <w:r w:rsidRPr="00866FB9">
        <w:t>Tribunal</w:t>
      </w:r>
      <w:r>
        <w:t xml:space="preserve"> aurait attiré l’attention du travailleur sur un possible non-respect du délai de contestation de la décision rendue par la Commission</w:t>
      </w:r>
      <w:r w:rsidR="003024F6">
        <w:t>,</w:t>
      </w:r>
      <w:r>
        <w:t xml:space="preserve"> datée du 3</w:t>
      </w:r>
      <w:r w:rsidR="00926209">
        <w:t> </w:t>
      </w:r>
      <w:r>
        <w:t>juin</w:t>
      </w:r>
      <w:r w:rsidR="002C1E6B">
        <w:t xml:space="preserve"> </w:t>
      </w:r>
      <w:r>
        <w:t>2022. Il aurait alors été convenu que le présent Tribunal se prononcerait uniquement sur cette question préliminaire</w:t>
      </w:r>
      <w:r w:rsidR="003024F6">
        <w:t>,</w:t>
      </w:r>
      <w:r>
        <w:t xml:space="preserve"> ce qui permettrait au travailleur de compléter sa preuve au dossier si la contestation deva</w:t>
      </w:r>
      <w:r w:rsidR="003024F6">
        <w:t xml:space="preserve">it </w:t>
      </w:r>
      <w:r>
        <w:t>être déclaré</w:t>
      </w:r>
      <w:r w:rsidR="00926209">
        <w:t>e</w:t>
      </w:r>
      <w:r>
        <w:t xml:space="preserve"> recevable.</w:t>
      </w:r>
    </w:p>
    <w:p w14:paraId="2588CDCF" w14:textId="4C26D142" w:rsidR="00824E56" w:rsidRDefault="00824E56">
      <w:pPr>
        <w:pStyle w:val="corpsdedcision"/>
      </w:pPr>
      <w:r>
        <w:t>Le Tribunal doit donc répondre aux questions en litige suivantes;</w:t>
      </w:r>
    </w:p>
    <w:p w14:paraId="3793DF73" w14:textId="10A998E7" w:rsidR="00824E56" w:rsidRDefault="00824E56" w:rsidP="00866FB9">
      <w:pPr>
        <w:pStyle w:val="corpsdedcision"/>
        <w:numPr>
          <w:ilvl w:val="0"/>
          <w:numId w:val="0"/>
        </w:numPr>
        <w:spacing w:after="120"/>
      </w:pPr>
      <w:r>
        <w:tab/>
        <w:t>a)</w:t>
      </w:r>
      <w:r>
        <w:tab/>
        <w:t>Quelle est la nature du hors</w:t>
      </w:r>
      <w:r w:rsidR="00AE4172">
        <w:t>-</w:t>
      </w:r>
      <w:r>
        <w:t>délai, s’il y a lieu?</w:t>
      </w:r>
    </w:p>
    <w:p w14:paraId="69221C72" w14:textId="13B3E09F" w:rsidR="00824E56" w:rsidRDefault="00824E56" w:rsidP="00204101">
      <w:pPr>
        <w:pStyle w:val="corpsdedcision"/>
        <w:numPr>
          <w:ilvl w:val="0"/>
          <w:numId w:val="0"/>
        </w:numPr>
        <w:tabs>
          <w:tab w:val="clear" w:pos="720"/>
        </w:tabs>
        <w:ind w:left="1418" w:hanging="709"/>
      </w:pPr>
      <w:r>
        <w:t>b)</w:t>
      </w:r>
      <w:r>
        <w:tab/>
        <w:t>Le travailleur a-t-il fait valoir un motif raisonnable pour être relevé de son défaut d’avoir produit sa contestation en temps opportun?</w:t>
      </w:r>
    </w:p>
    <w:p w14:paraId="014E9838" w14:textId="45E5C4A2" w:rsidR="00204101" w:rsidRDefault="00204101" w:rsidP="00204101">
      <w:pPr>
        <w:pStyle w:val="corpsdedcision"/>
      </w:pPr>
      <w:bookmarkStart w:id="11" w:name="supprimer_analyse"/>
      <w:r>
        <w:t>Pour les motifs ci-après mentionnés, le Tribunal conclut que la contestation du travailleur est recevable.</w:t>
      </w:r>
    </w:p>
    <w:p w14:paraId="27061131" w14:textId="73438B94" w:rsidR="00082A97" w:rsidRDefault="00082A97" w:rsidP="00F10236">
      <w:pPr>
        <w:pStyle w:val="corpsdedcision"/>
        <w:numPr>
          <w:ilvl w:val="0"/>
          <w:numId w:val="0"/>
        </w:numPr>
        <w:rPr>
          <w:b/>
          <w:bCs/>
          <w:u w:val="single"/>
        </w:rPr>
      </w:pPr>
      <w:r w:rsidRPr="00B51F99">
        <w:rPr>
          <w:b/>
          <w:bCs/>
          <w:u w:val="single"/>
        </w:rPr>
        <w:t>L</w:t>
      </w:r>
      <w:r>
        <w:rPr>
          <w:b/>
          <w:bCs/>
          <w:u w:val="single"/>
        </w:rPr>
        <w:t>’ANALYSE</w:t>
      </w:r>
    </w:p>
    <w:bookmarkEnd w:id="11"/>
    <w:p w14:paraId="521ABEDF" w14:textId="2A30FF6D" w:rsidR="00234324" w:rsidRPr="00234324" w:rsidRDefault="00234324" w:rsidP="00BA3CB6">
      <w:pPr>
        <w:pStyle w:val="Titre3"/>
      </w:pPr>
      <w:r w:rsidRPr="00234324">
        <w:t>Les dispositions pertinentes de la loi</w:t>
      </w:r>
    </w:p>
    <w:p w14:paraId="3D62533F" w14:textId="6AA66DD9" w:rsidR="00D41306" w:rsidRPr="00D41306" w:rsidRDefault="00D41306" w:rsidP="00D41306">
      <w:pPr>
        <w:pStyle w:val="corpsdedcision"/>
      </w:pPr>
      <w:r w:rsidRPr="00D41306">
        <w:t>Le Tribunal doit déterminer si le travailleur a contesté la décision rendue le 3</w:t>
      </w:r>
      <w:r w:rsidR="0064074B">
        <w:t> </w:t>
      </w:r>
      <w:r w:rsidRPr="00D41306">
        <w:t>juin</w:t>
      </w:r>
      <w:r w:rsidR="0064074B">
        <w:t> </w:t>
      </w:r>
      <w:r w:rsidRPr="00D41306">
        <w:t>2022 dans le</w:t>
      </w:r>
      <w:r>
        <w:t xml:space="preserve"> délai prévu par la loi.</w:t>
      </w:r>
    </w:p>
    <w:p w14:paraId="0CE8F519" w14:textId="4E96179A" w:rsidR="00234324" w:rsidRDefault="00234324" w:rsidP="00BE1D68">
      <w:pPr>
        <w:pStyle w:val="corpsdedcision"/>
      </w:pPr>
      <w:r>
        <w:t>L’article</w:t>
      </w:r>
      <w:r w:rsidR="00AE4172">
        <w:t> </w:t>
      </w:r>
      <w:r>
        <w:t>359, tel qu’il se lisait à l’époque pertinente</w:t>
      </w:r>
      <w:r w:rsidR="006865DF">
        <w:t>,</w:t>
      </w:r>
      <w:r>
        <w:t xml:space="preserve"> prévoyait qu’une personne qui se croit lésée par une décision rendue</w:t>
      </w:r>
      <w:r w:rsidR="00210B38">
        <w:t>,</w:t>
      </w:r>
      <w:r>
        <w:t xml:space="preserve"> à la suite d'une demande faite en vertu de l'article</w:t>
      </w:r>
      <w:r w:rsidR="00AE4172">
        <w:t> </w:t>
      </w:r>
      <w:r>
        <w:t>358</w:t>
      </w:r>
      <w:r w:rsidR="00210B38">
        <w:t>,</w:t>
      </w:r>
      <w:r>
        <w:t xml:space="preserve"> peut la contester devant le Tribunal dans les 45</w:t>
      </w:r>
      <w:r w:rsidR="0064074B">
        <w:t> </w:t>
      </w:r>
      <w:r>
        <w:t>jours de sa notification</w:t>
      </w:r>
      <w:r>
        <w:rPr>
          <w:rStyle w:val="Appelnotedebasdep"/>
        </w:rPr>
        <w:footnoteReference w:id="1"/>
      </w:r>
      <w:r>
        <w:t>.</w:t>
      </w:r>
    </w:p>
    <w:p w14:paraId="09C63557" w14:textId="1F40993F" w:rsidR="00F302A6" w:rsidRPr="00F302A6" w:rsidRDefault="00D41306" w:rsidP="00F302A6">
      <w:pPr>
        <w:pStyle w:val="corpsdedcision"/>
        <w:rPr>
          <w:i/>
          <w:iCs/>
          <w:sz w:val="22"/>
          <w:szCs w:val="22"/>
        </w:rPr>
      </w:pPr>
      <w:r>
        <w:t>Dans l’éventualité où ce délai n’</w:t>
      </w:r>
      <w:r w:rsidR="006865DF">
        <w:t>é</w:t>
      </w:r>
      <w:r>
        <w:t>tait pas respecté, les dispositions de l’article</w:t>
      </w:r>
      <w:r w:rsidR="00AE4172">
        <w:t> </w:t>
      </w:r>
      <w:r>
        <w:t xml:space="preserve">15 de la </w:t>
      </w:r>
      <w:r w:rsidRPr="00D41306">
        <w:rPr>
          <w:i/>
        </w:rPr>
        <w:t>Loi instituant le Tribunal administratif du travail</w:t>
      </w:r>
      <w:r>
        <w:rPr>
          <w:rStyle w:val="Appelnotedebasdep"/>
        </w:rPr>
        <w:footnoteReference w:id="2"/>
      </w:r>
      <w:r>
        <w:t>,</w:t>
      </w:r>
      <w:r w:rsidR="00E00286">
        <w:t xml:space="preserve"> la LITAT,</w:t>
      </w:r>
      <w:r>
        <w:t xml:space="preserve"> prévoient que</w:t>
      </w:r>
      <w:r w:rsidR="003024F6">
        <w:t xml:space="preserve"> « </w:t>
      </w:r>
      <w:r w:rsidRPr="00D41306">
        <w:rPr>
          <w:i/>
          <w:iCs/>
          <w:sz w:val="22"/>
          <w:szCs w:val="22"/>
        </w:rPr>
        <w:t>le Tribunal peut prolonger un délai ou relever une personne des conséquences de son défaut de le respecter, s’il est démontré que celle-ci n’a pu respecter le délai prescrit pour un motif raisonnable et si, de l’avis du Tribunal, aucune autre partie n’en subit de préjudice grave</w:t>
      </w:r>
      <w:r w:rsidR="003024F6">
        <w:rPr>
          <w:i/>
          <w:iCs/>
          <w:sz w:val="22"/>
          <w:szCs w:val="22"/>
        </w:rPr>
        <w:t> »</w:t>
      </w:r>
      <w:r w:rsidR="006103BC">
        <w:rPr>
          <w:i/>
          <w:iCs/>
          <w:sz w:val="22"/>
          <w:szCs w:val="22"/>
        </w:rPr>
        <w:t>.</w:t>
      </w:r>
    </w:p>
    <w:p w14:paraId="634D72B8" w14:textId="26E08394" w:rsidR="00D41306" w:rsidRDefault="00D41306" w:rsidP="00F302A6">
      <w:pPr>
        <w:pStyle w:val="Titre3"/>
      </w:pPr>
      <w:r w:rsidRPr="00D41306">
        <w:t>La notion de motif raisonnable</w:t>
      </w:r>
    </w:p>
    <w:p w14:paraId="109BA693" w14:textId="77777777" w:rsidR="00D41306" w:rsidRPr="00D41306" w:rsidRDefault="00D41306" w:rsidP="00D41306">
      <w:pPr>
        <w:pStyle w:val="corpsdedcision"/>
      </w:pPr>
      <w:r w:rsidRPr="00D41306">
        <w:t xml:space="preserve">La notion de « motif raisonnable » a déjà fait l’objet d’une analyse exhaustive par la Commission d’appel en matière de lésions professionnelles dans l’affaire </w:t>
      </w:r>
      <w:r w:rsidRPr="00D41306">
        <w:rPr>
          <w:i/>
        </w:rPr>
        <w:t>Roy</w:t>
      </w:r>
      <w:r w:rsidRPr="00D41306">
        <w:t xml:space="preserve"> et </w:t>
      </w:r>
      <w:r w:rsidRPr="00D41306">
        <w:rPr>
          <w:i/>
        </w:rPr>
        <w:t>Communauté urbaine de Montréal</w:t>
      </w:r>
      <w:r w:rsidRPr="00D41306">
        <w:rPr>
          <w:vertAlign w:val="superscript"/>
        </w:rPr>
        <w:footnoteReference w:id="3"/>
      </w:r>
      <w:r w:rsidRPr="00D41306">
        <w:t>. Dans cette affaire, le Tribunal écrit ce qui suit :</w:t>
      </w:r>
    </w:p>
    <w:p w14:paraId="3E521D1C" w14:textId="77777777" w:rsidR="00D41306" w:rsidRPr="00D41306" w:rsidRDefault="00D41306" w:rsidP="00D41306">
      <w:pPr>
        <w:ind w:left="720" w:right="720"/>
        <w:jc w:val="both"/>
        <w:rPr>
          <w:sz w:val="20"/>
        </w:rPr>
      </w:pPr>
      <w:r w:rsidRPr="00D41306">
        <w:rPr>
          <w:sz w:val="20"/>
        </w:rPr>
        <w:t>La notion de motif raisonnable est, selon la Commission d'appel, une notion large permettant de considérer un ensemble de facteurs susceptibles d'indiquer, à partir des faits, des démarches, des comportements, de la conjoncture, des circonstances, etc., si une personne a un motif non farfelu, crédible et qui fait preuve de bon sens, de mesure, de réflexion.</w:t>
      </w:r>
    </w:p>
    <w:p w14:paraId="6F338E7D" w14:textId="77777777" w:rsidR="00D41306" w:rsidRPr="00D41306" w:rsidRDefault="00D41306" w:rsidP="00D41306">
      <w:pPr>
        <w:ind w:left="720" w:right="720"/>
        <w:jc w:val="both"/>
        <w:rPr>
          <w:sz w:val="20"/>
        </w:rPr>
      </w:pPr>
    </w:p>
    <w:p w14:paraId="27EE5104" w14:textId="77777777" w:rsidR="00D41306" w:rsidRPr="00D41306" w:rsidRDefault="00D41306" w:rsidP="00D41306">
      <w:pPr>
        <w:ind w:left="720" w:right="720"/>
        <w:jc w:val="both"/>
        <w:rPr>
          <w:sz w:val="20"/>
        </w:rPr>
      </w:pPr>
    </w:p>
    <w:p w14:paraId="7CA6C6D0" w14:textId="167F1E4F" w:rsidR="00D41306" w:rsidRPr="00D41306" w:rsidRDefault="00D41306" w:rsidP="00D41306">
      <w:pPr>
        <w:pStyle w:val="corpsdedcision"/>
      </w:pPr>
      <w:r w:rsidRPr="00D41306">
        <w:t>La jurisprudence a également décrit le motif raisonnable comme une «</w:t>
      </w:r>
      <w:r w:rsidRPr="00E73C77">
        <w:rPr>
          <w:rStyle w:val="Citationintgre"/>
        </w:rPr>
        <w:t> notion vaste dont l’interprétation peut varier dans le temps, tout comme celle de la notion de bon père de famille, de l’homme prudent et diligent; cependant, il doit y avoir un motif raisonnable et le Tribunal ne saurait sanctionner la négligence d’une partie </w:t>
      </w:r>
      <w:r w:rsidRPr="00D41306">
        <w:t>»</w:t>
      </w:r>
      <w:r w:rsidRPr="00D41306">
        <w:rPr>
          <w:vertAlign w:val="superscript"/>
        </w:rPr>
        <w:footnoteReference w:id="4"/>
      </w:r>
      <w:r w:rsidRPr="00D41306">
        <w:t xml:space="preserve">. On n’exige pas qu’il y ait </w:t>
      </w:r>
      <w:r w:rsidRPr="00D41306">
        <w:rPr>
          <w:rFonts w:cs="Arial"/>
        </w:rPr>
        <w:t xml:space="preserve">démonstration d'une impossibilité d'agir, mais plutôt la démonstration que la demande de révision n'a </w:t>
      </w:r>
      <w:r w:rsidR="00B96D7B">
        <w:rPr>
          <w:rFonts w:cs="Arial"/>
        </w:rPr>
        <w:t xml:space="preserve">pas </w:t>
      </w:r>
      <w:r w:rsidRPr="00D41306">
        <w:rPr>
          <w:rFonts w:cs="Arial"/>
        </w:rPr>
        <w:t>pu être faite dans le délai prescrit pour un motif raisonnable</w:t>
      </w:r>
      <w:r w:rsidRPr="00D41306">
        <w:rPr>
          <w:rFonts w:cs="Arial"/>
          <w:vertAlign w:val="superscript"/>
        </w:rPr>
        <w:footnoteReference w:id="5"/>
      </w:r>
      <w:r w:rsidRPr="00D41306">
        <w:rPr>
          <w:rFonts w:cs="Arial"/>
        </w:rPr>
        <w:t>.</w:t>
      </w:r>
    </w:p>
    <w:p w14:paraId="25261AE4" w14:textId="77777777" w:rsidR="00D41306" w:rsidRPr="00D41306" w:rsidRDefault="00D41306" w:rsidP="00D41306">
      <w:pPr>
        <w:pStyle w:val="corpsdedcision"/>
      </w:pPr>
      <w:r w:rsidRPr="00D41306">
        <w:t xml:space="preserve">Dans l’affaire </w:t>
      </w:r>
      <w:r w:rsidRPr="00D41306">
        <w:rPr>
          <w:i/>
        </w:rPr>
        <w:t xml:space="preserve">Danstok Intl </w:t>
      </w:r>
      <w:r w:rsidRPr="00D41306">
        <w:t>c.</w:t>
      </w:r>
      <w:r w:rsidRPr="00D41306">
        <w:rPr>
          <w:i/>
        </w:rPr>
        <w:t xml:space="preserve"> Tribunal administratif du travail</w:t>
      </w:r>
      <w:r w:rsidRPr="00D41306">
        <w:rPr>
          <w:vertAlign w:val="superscript"/>
        </w:rPr>
        <w:footnoteReference w:id="6"/>
      </w:r>
      <w:r w:rsidRPr="00D41306">
        <w:t>,</w:t>
      </w:r>
      <w:r w:rsidRPr="00D41306">
        <w:rPr>
          <w:i/>
        </w:rPr>
        <w:t xml:space="preserve"> </w:t>
      </w:r>
      <w:r w:rsidRPr="00D41306">
        <w:t xml:space="preserve">la Cour supérieure rappelait que </w:t>
      </w:r>
      <w:r w:rsidRPr="00D41306">
        <w:rPr>
          <w:lang w:eastAsia="fr-FR"/>
        </w:rPr>
        <w:t>les dispositions de la Loi doivent être interprétées d’une façon large et libérale et assurent l’accomplissement de son objet et l’exécution de ses prescriptions</w:t>
      </w:r>
      <w:r w:rsidRPr="00D41306">
        <w:rPr>
          <w:vertAlign w:val="superscript"/>
          <w:lang w:eastAsia="fr-FR"/>
        </w:rPr>
        <w:footnoteReference w:id="7"/>
      </w:r>
      <w:r w:rsidRPr="00D41306">
        <w:rPr>
          <w:lang w:eastAsia="fr-FR"/>
        </w:rPr>
        <w:t>. On rappelait également que le Tribunal, dans l’appréciation des motifs, devait tenir compte des courts délais prescrits par la Loi pour contester les décisions rendues par la Commission. On soulignait que le fait d’avoir confié un mandat à un représentant était une preuve suffisante de diligence et l’on ne devait pas exiger du mandataire qu’il vérifie constamment avec ce dernier s’il avait bien exécuté le mandat qui lui avait été confié. Une telle exigence a été considérée comme étant déraisonnable dans les circonstances.</w:t>
      </w:r>
    </w:p>
    <w:p w14:paraId="41E26416" w14:textId="6AC3EBA4" w:rsidR="00D41306" w:rsidRPr="00D41306" w:rsidRDefault="00D41306" w:rsidP="0073478F">
      <w:pPr>
        <w:pStyle w:val="corpsdedcision"/>
      </w:pPr>
      <w:r w:rsidRPr="00D41306">
        <w:rPr>
          <w:lang w:eastAsia="fr-FR"/>
        </w:rPr>
        <w:t xml:space="preserve">Dans cette même décision, la Cour supérieure citait avec approbation la décision rendue par la Commission des lésions professionnelles dans l’affaire </w:t>
      </w:r>
      <w:r w:rsidRPr="00D41306">
        <w:rPr>
          <w:i/>
        </w:rPr>
        <w:t xml:space="preserve">Cavaluci </w:t>
      </w:r>
      <w:r w:rsidR="003024F6">
        <w:rPr>
          <w:i/>
        </w:rPr>
        <w:t>et</w:t>
      </w:r>
      <w:r w:rsidRPr="00D41306">
        <w:rPr>
          <w:i/>
        </w:rPr>
        <w:t xml:space="preserve"> Personnel du DGE</w:t>
      </w:r>
      <w:r w:rsidRPr="00D41306">
        <w:rPr>
          <w:vertAlign w:val="superscript"/>
        </w:rPr>
        <w:footnoteReference w:id="8"/>
      </w:r>
      <w:r w:rsidRPr="00D41306">
        <w:rPr>
          <w:i/>
        </w:rPr>
        <w:t xml:space="preserve"> </w:t>
      </w:r>
      <w:r w:rsidRPr="00D41306">
        <w:t>qui, après une revue de la jurisprudence, rappelait que les situations suivantes ont été retenues par le Tribunal comme constituant un motif raisonnable :</w:t>
      </w:r>
    </w:p>
    <w:p w14:paraId="25266FDE" w14:textId="19245336" w:rsidR="00D41306" w:rsidRPr="006103BC" w:rsidRDefault="00D41306" w:rsidP="00DE3F26">
      <w:pPr>
        <w:numPr>
          <w:ilvl w:val="0"/>
          <w:numId w:val="13"/>
        </w:numPr>
        <w:tabs>
          <w:tab w:val="clear" w:pos="360"/>
          <w:tab w:val="num" w:pos="1276"/>
        </w:tabs>
        <w:spacing w:after="120"/>
        <w:ind w:left="1080" w:hanging="357"/>
        <w:jc w:val="both"/>
        <w:rPr>
          <w:sz w:val="20"/>
        </w:rPr>
      </w:pPr>
      <w:r w:rsidRPr="006103BC">
        <w:rPr>
          <w:sz w:val="20"/>
        </w:rPr>
        <w:t>la négligence d’un représentant, alors que la partie avait quant à elle fait preuve de diligence</w:t>
      </w:r>
      <w:r w:rsidR="00253066" w:rsidRPr="006103BC">
        <w:rPr>
          <w:sz w:val="20"/>
          <w:vertAlign w:val="superscript"/>
        </w:rPr>
        <w:t>[10]</w:t>
      </w:r>
      <w:r w:rsidR="000D6B73" w:rsidRPr="006103BC">
        <w:rPr>
          <w:sz w:val="20"/>
        </w:rPr>
        <w:t>;</w:t>
      </w:r>
      <w:r w:rsidRPr="006103BC">
        <w:rPr>
          <w:szCs w:val="24"/>
          <w:vertAlign w:val="superscript"/>
        </w:rPr>
        <w:footnoteReference w:id="9"/>
      </w:r>
    </w:p>
    <w:p w14:paraId="4E9E6340" w14:textId="0C2D1335" w:rsidR="00D41306" w:rsidRPr="006103BC" w:rsidRDefault="00D41306" w:rsidP="0073478F">
      <w:pPr>
        <w:numPr>
          <w:ilvl w:val="0"/>
          <w:numId w:val="12"/>
        </w:numPr>
        <w:tabs>
          <w:tab w:val="clear" w:pos="360"/>
          <w:tab w:val="num" w:pos="1276"/>
        </w:tabs>
        <w:spacing w:after="120"/>
        <w:ind w:left="1077" w:hanging="357"/>
        <w:jc w:val="both"/>
        <w:rPr>
          <w:sz w:val="20"/>
        </w:rPr>
      </w:pPr>
      <w:r w:rsidRPr="006103BC">
        <w:rPr>
          <w:sz w:val="20"/>
        </w:rPr>
        <w:t>le fait d’avoir été induit significativement en erreur par un représentant de l’employeur ou de la CSST</w:t>
      </w:r>
      <w:r w:rsidR="00253066" w:rsidRPr="006103BC">
        <w:rPr>
          <w:sz w:val="20"/>
          <w:vertAlign w:val="superscript"/>
        </w:rPr>
        <w:t>[11]</w:t>
      </w:r>
      <w:r w:rsidR="000D6B73" w:rsidRPr="006103BC">
        <w:rPr>
          <w:sz w:val="20"/>
        </w:rPr>
        <w:t>;</w:t>
      </w:r>
      <w:r w:rsidRPr="006103BC">
        <w:rPr>
          <w:szCs w:val="24"/>
          <w:vertAlign w:val="superscript"/>
        </w:rPr>
        <w:footnoteReference w:id="10"/>
      </w:r>
    </w:p>
    <w:p w14:paraId="2D5272A8" w14:textId="77777777" w:rsidR="00D41306" w:rsidRPr="006103BC" w:rsidRDefault="00D41306" w:rsidP="005757E6">
      <w:pPr>
        <w:numPr>
          <w:ilvl w:val="0"/>
          <w:numId w:val="12"/>
        </w:numPr>
        <w:tabs>
          <w:tab w:val="clear" w:pos="360"/>
          <w:tab w:val="num" w:pos="1276"/>
        </w:tabs>
        <w:spacing w:after="120"/>
        <w:ind w:left="1080" w:hanging="357"/>
        <w:jc w:val="both"/>
        <w:rPr>
          <w:sz w:val="20"/>
        </w:rPr>
      </w:pPr>
      <w:r w:rsidRPr="006103BC">
        <w:rPr>
          <w:szCs w:val="24"/>
        </w:rPr>
        <w:t>[…]</w:t>
      </w:r>
      <w:r w:rsidRPr="006103BC">
        <w:rPr>
          <w:sz w:val="20"/>
        </w:rPr>
        <w:t>;</w:t>
      </w:r>
    </w:p>
    <w:p w14:paraId="1BA28B72" w14:textId="1D18D72A" w:rsidR="00253066" w:rsidRDefault="00D41306" w:rsidP="00A84F6E">
      <w:pPr>
        <w:numPr>
          <w:ilvl w:val="0"/>
          <w:numId w:val="12"/>
        </w:numPr>
        <w:tabs>
          <w:tab w:val="clear" w:pos="360"/>
          <w:tab w:val="num" w:pos="1276"/>
        </w:tabs>
        <w:ind w:left="1083" w:hanging="357"/>
        <w:jc w:val="both"/>
        <w:rPr>
          <w:sz w:val="22"/>
          <w:szCs w:val="18"/>
        </w:rPr>
      </w:pPr>
      <w:r w:rsidRPr="006103BC">
        <w:rPr>
          <w:sz w:val="20"/>
        </w:rPr>
        <w:t>un imbroglio administratif ou juridique sérieux</w:t>
      </w:r>
      <w:r w:rsidR="00253066" w:rsidRPr="006103BC">
        <w:rPr>
          <w:sz w:val="20"/>
          <w:vertAlign w:val="superscript"/>
        </w:rPr>
        <w:t>[13</w:t>
      </w:r>
      <w:r w:rsidR="00253066" w:rsidRPr="00253066">
        <w:rPr>
          <w:sz w:val="22"/>
          <w:szCs w:val="18"/>
          <w:vertAlign w:val="superscript"/>
        </w:rPr>
        <w:t>]</w:t>
      </w:r>
      <w:r w:rsidR="00253066" w:rsidRPr="00253066">
        <w:rPr>
          <w:sz w:val="22"/>
          <w:szCs w:val="18"/>
        </w:rPr>
        <w:t>.</w:t>
      </w:r>
      <w:r w:rsidRPr="000D6B73">
        <w:rPr>
          <w:vertAlign w:val="superscript"/>
        </w:rPr>
        <w:footnoteReference w:id="11"/>
      </w:r>
    </w:p>
    <w:p w14:paraId="5A4FBADB" w14:textId="19363F33" w:rsidR="00A84F6E" w:rsidRPr="00A84F6E" w:rsidRDefault="00A84F6E" w:rsidP="00A84F6E">
      <w:pPr>
        <w:ind w:left="726"/>
        <w:jc w:val="both"/>
        <w:rPr>
          <w:sz w:val="22"/>
          <w:szCs w:val="18"/>
        </w:rPr>
      </w:pPr>
    </w:p>
    <w:p w14:paraId="48418FE4" w14:textId="2FAA6EC6" w:rsidR="00253066" w:rsidRDefault="00253066" w:rsidP="00A84F6E">
      <w:pPr>
        <w:tabs>
          <w:tab w:val="num" w:pos="1080"/>
        </w:tabs>
        <w:ind w:left="709"/>
        <w:jc w:val="both"/>
      </w:pPr>
      <w:r>
        <w:t>[Note</w:t>
      </w:r>
      <w:r w:rsidR="00BA3CB6">
        <w:t>s</w:t>
      </w:r>
      <w:r>
        <w:t xml:space="preserve"> omise</w:t>
      </w:r>
      <w:r w:rsidR="00BA3CB6">
        <w:t>s</w:t>
      </w:r>
      <w:r>
        <w:t>]</w:t>
      </w:r>
    </w:p>
    <w:p w14:paraId="77190F87" w14:textId="18015BC9" w:rsidR="00253066" w:rsidRPr="00253066" w:rsidRDefault="00253066" w:rsidP="00253066">
      <w:pPr>
        <w:tabs>
          <w:tab w:val="num" w:pos="1080"/>
        </w:tabs>
        <w:ind w:left="726"/>
        <w:jc w:val="both"/>
        <w:rPr>
          <w:sz w:val="20"/>
          <w:szCs w:val="16"/>
        </w:rPr>
      </w:pPr>
    </w:p>
    <w:p w14:paraId="48FF8588" w14:textId="43D31C0E" w:rsidR="00253066" w:rsidRPr="00253066" w:rsidRDefault="00253066" w:rsidP="00253066">
      <w:pPr>
        <w:tabs>
          <w:tab w:val="num" w:pos="1080"/>
        </w:tabs>
        <w:ind w:left="726"/>
        <w:jc w:val="both"/>
        <w:rPr>
          <w:sz w:val="20"/>
          <w:szCs w:val="16"/>
        </w:rPr>
      </w:pPr>
    </w:p>
    <w:p w14:paraId="2981848C" w14:textId="06C0B98A" w:rsidR="00D41306" w:rsidRPr="00D41306" w:rsidRDefault="00D41306" w:rsidP="00D41306">
      <w:pPr>
        <w:pStyle w:val="corpsdedcision"/>
        <w:rPr>
          <w:sz w:val="22"/>
          <w:szCs w:val="22"/>
        </w:rPr>
      </w:pPr>
      <w:r w:rsidRPr="00D41306">
        <w:t xml:space="preserve">Appliquant ces principes aux faits du présent dossier, le Tribunal est d’avis qu’on ne peut rien reprocher </w:t>
      </w:r>
      <w:r>
        <w:t>au travailleur en l’instance.</w:t>
      </w:r>
    </w:p>
    <w:p w14:paraId="129BF4C7" w14:textId="0DE9F6E1" w:rsidR="00D41306" w:rsidRPr="00862EF3" w:rsidRDefault="00D41306" w:rsidP="00D41306">
      <w:pPr>
        <w:pStyle w:val="corpsdedcision"/>
        <w:rPr>
          <w:sz w:val="22"/>
          <w:szCs w:val="22"/>
        </w:rPr>
      </w:pPr>
      <w:r>
        <w:t>Selon le témoignage du travailleur, la décision du 3</w:t>
      </w:r>
      <w:r w:rsidR="0064074B">
        <w:t> </w:t>
      </w:r>
      <w:r>
        <w:t>juin</w:t>
      </w:r>
      <w:r w:rsidR="002C1E6B">
        <w:t xml:space="preserve"> </w:t>
      </w:r>
      <w:r>
        <w:t>2022 lui a été notifiée le 7</w:t>
      </w:r>
      <w:r w:rsidR="0064074B">
        <w:t> </w:t>
      </w:r>
      <w:r>
        <w:t>juin</w:t>
      </w:r>
      <w:r w:rsidR="0064074B">
        <w:t> </w:t>
      </w:r>
      <w:r>
        <w:t xml:space="preserve">2022. </w:t>
      </w:r>
      <w:r w:rsidR="00862EF3">
        <w:t>Le délai pour contester expirait donc le vendredi 22</w:t>
      </w:r>
      <w:r w:rsidR="0064074B">
        <w:t> </w:t>
      </w:r>
      <w:r w:rsidR="00862EF3">
        <w:t>juillet</w:t>
      </w:r>
      <w:r w:rsidR="002C1E6B">
        <w:t xml:space="preserve"> </w:t>
      </w:r>
      <w:r w:rsidR="003024F6">
        <w:t>2022</w:t>
      </w:r>
      <w:r w:rsidR="00862EF3">
        <w:t>. Les 23 et 24</w:t>
      </w:r>
      <w:r w:rsidR="0064074B">
        <w:t> </w:t>
      </w:r>
      <w:r w:rsidR="00862EF3">
        <w:t>juillet</w:t>
      </w:r>
      <w:r w:rsidR="0064074B">
        <w:t> </w:t>
      </w:r>
      <w:r w:rsidR="003024F6">
        <w:t>2022</w:t>
      </w:r>
      <w:r w:rsidR="00862EF3">
        <w:t xml:space="preserve"> sont des jours non juridiques puisqu’il s’agit d’un samedi et dimanche. La contestation du travailleur a été transmise le lundi 25</w:t>
      </w:r>
      <w:r w:rsidR="0064074B">
        <w:t> </w:t>
      </w:r>
      <w:r w:rsidR="00862EF3">
        <w:t>juillet</w:t>
      </w:r>
      <w:r w:rsidR="002C1E6B">
        <w:t xml:space="preserve"> </w:t>
      </w:r>
      <w:r w:rsidR="003024F6">
        <w:t xml:space="preserve">2022 </w:t>
      </w:r>
      <w:r w:rsidR="00862EF3">
        <w:t>selon la preuve au dossier.</w:t>
      </w:r>
    </w:p>
    <w:p w14:paraId="469EDE8A" w14:textId="5BBC24E7" w:rsidR="00862EF3" w:rsidRPr="00862EF3" w:rsidRDefault="00862EF3" w:rsidP="00D41306">
      <w:pPr>
        <w:pStyle w:val="corpsdedcision"/>
        <w:rPr>
          <w:sz w:val="22"/>
          <w:szCs w:val="22"/>
        </w:rPr>
      </w:pPr>
      <w:r>
        <w:t>Le hors</w:t>
      </w:r>
      <w:r w:rsidR="00926209">
        <w:t>-</w:t>
      </w:r>
      <w:r>
        <w:t>délai</w:t>
      </w:r>
      <w:r w:rsidR="006865DF">
        <w:t>,</w:t>
      </w:r>
      <w:r>
        <w:t xml:space="preserve"> s’il en est</w:t>
      </w:r>
      <w:r w:rsidR="006865DF">
        <w:t>,</w:t>
      </w:r>
      <w:r>
        <w:t xml:space="preserve"> ne serait que d’une journée. La preuve révèle que durant cette période, le travailleur était représenté par un représentant syndical à qui il a donné le mandat de contester les décisions rendues par la Commission.</w:t>
      </w:r>
    </w:p>
    <w:p w14:paraId="1BD23FAD" w14:textId="7D0327AC" w:rsidR="00862EF3" w:rsidRPr="006865DF" w:rsidRDefault="00862EF3" w:rsidP="00D41306">
      <w:pPr>
        <w:pStyle w:val="corpsdedcision"/>
        <w:rPr>
          <w:szCs w:val="24"/>
        </w:rPr>
      </w:pPr>
      <w:r>
        <w:t>Il appert toutefois que durant la période estivale, ce dernier était en vacances lorsque le travailleur a communiqué avec lui</w:t>
      </w:r>
      <w:r w:rsidR="006865DF">
        <w:t xml:space="preserve"> par courriel et avant l’expiration de son délai </w:t>
      </w:r>
      <w:r w:rsidR="006865DF" w:rsidRPr="006865DF">
        <w:rPr>
          <w:szCs w:val="24"/>
        </w:rPr>
        <w:t>de contestation,</w:t>
      </w:r>
      <w:r w:rsidRPr="006865DF">
        <w:rPr>
          <w:szCs w:val="24"/>
        </w:rPr>
        <w:t xml:space="preserve"> pour s’assurer que sa contestation de la décision serait bien logée au Tribunal administratif du travail. Le représentant lui a donné les coordonnées de son remplaçant afin qu’il communique avec lui pour s’assurer du suivi de son dossier, </w:t>
      </w:r>
      <w:r w:rsidR="006865DF" w:rsidRPr="006865DF">
        <w:rPr>
          <w:szCs w:val="24"/>
        </w:rPr>
        <w:t xml:space="preserve">pour le motif qu’il était en vacances, </w:t>
      </w:r>
      <w:r w:rsidRPr="006865DF">
        <w:rPr>
          <w:szCs w:val="24"/>
        </w:rPr>
        <w:t>ce que le travailleur a fait. S’il y a eu retard dans le dépôt de la contestation, il ne peut être imputable au travailleur, tout au plus à une légère négligence du représentant.</w:t>
      </w:r>
    </w:p>
    <w:p w14:paraId="6CE19304" w14:textId="6CFAEF25" w:rsidR="00862EF3" w:rsidRPr="006865DF" w:rsidRDefault="00862EF3" w:rsidP="00D41306">
      <w:pPr>
        <w:pStyle w:val="corpsdedcision"/>
        <w:rPr>
          <w:szCs w:val="24"/>
        </w:rPr>
      </w:pPr>
      <w:r w:rsidRPr="006865DF">
        <w:rPr>
          <w:szCs w:val="24"/>
        </w:rPr>
        <w:t>Le T</w:t>
      </w:r>
      <w:r w:rsidR="006865DF" w:rsidRPr="006865DF">
        <w:rPr>
          <w:szCs w:val="24"/>
        </w:rPr>
        <w:t>ribunal se doit de tenir compte des courts délais prévus par la Loi pour contester les décisions, du fait que le représentant principal était en vacances durant cette période, de la diligence du travailleur et du caractère anecdotique du retard à produire la contestation, soit une seule journée.</w:t>
      </w:r>
    </w:p>
    <w:p w14:paraId="742E2BD4" w14:textId="1D3A3CD0" w:rsidR="00234324" w:rsidRDefault="00234324" w:rsidP="00866FB9">
      <w:pPr>
        <w:pStyle w:val="corpsdedcision"/>
        <w:tabs>
          <w:tab w:val="clear" w:pos="720"/>
          <w:tab w:val="num" w:pos="709"/>
        </w:tabs>
      </w:pPr>
      <w:r w:rsidRPr="006E6952">
        <w:t>Pour ces différents motifs, l</w:t>
      </w:r>
      <w:r>
        <w:t>e</w:t>
      </w:r>
      <w:r w:rsidRPr="006E6952">
        <w:t xml:space="preserve"> Tribunal est d’avis que l’acte introductif d’instance d</w:t>
      </w:r>
      <w:r w:rsidR="006865DF">
        <w:t>u</w:t>
      </w:r>
      <w:r w:rsidRPr="006E6952">
        <w:t xml:space="preserve"> travailleu</w:t>
      </w:r>
      <w:r w:rsidR="006865DF">
        <w:t>r</w:t>
      </w:r>
      <w:r w:rsidRPr="006E6952">
        <w:t xml:space="preserve"> est recevable.</w:t>
      </w:r>
    </w:p>
    <w:p w14:paraId="3D8D5133" w14:textId="77777777" w:rsidR="00C74B6F" w:rsidRDefault="00C74B6F">
      <w:pPr>
        <w:pStyle w:val="Dispositif"/>
      </w:pPr>
      <w:r>
        <w:rPr>
          <w:b/>
        </w:rPr>
        <w:t>P</w:t>
      </w:r>
      <w:r w:rsidR="00401325">
        <w:rPr>
          <w:b/>
        </w:rPr>
        <w:t>AR</w:t>
      </w:r>
      <w:r w:rsidR="00D07FA6">
        <w:rPr>
          <w:b/>
        </w:rPr>
        <w:t xml:space="preserve"> CES MOTIFS, LE TRIBUNAL ADMINISTRATIF DU TRAVAIL</w:t>
      </w:r>
      <w:r>
        <w:rPr>
          <w:b/>
        </w:rPr>
        <w:t> :</w:t>
      </w:r>
    </w:p>
    <w:p w14:paraId="41CD7274" w14:textId="08E32292" w:rsidR="00E863E9" w:rsidRDefault="00E863E9">
      <w:pPr>
        <w:pStyle w:val="Dispositif"/>
      </w:pPr>
      <w:r w:rsidRPr="006865DF">
        <w:rPr>
          <w:b/>
          <w:bCs/>
        </w:rPr>
        <w:t xml:space="preserve">DÉCLARE </w:t>
      </w:r>
      <w:r>
        <w:t>recevable la contestation du travailleur, M</w:t>
      </w:r>
      <w:r w:rsidR="003024F6">
        <w:t>onsieur</w:t>
      </w:r>
      <w:r>
        <w:t xml:space="preserve"> Louis-Marie Leblanc</w:t>
      </w:r>
      <w:r w:rsidR="00210B38">
        <w:t>;</w:t>
      </w:r>
    </w:p>
    <w:p w14:paraId="6D917E07" w14:textId="77777777" w:rsidR="00E863E9" w:rsidRDefault="00E863E9" w:rsidP="00E863E9">
      <w:pPr>
        <w:pStyle w:val="Dispositif"/>
      </w:pPr>
      <w:r w:rsidRPr="006865DF">
        <w:rPr>
          <w:b/>
          <w:bCs/>
        </w:rPr>
        <w:t>CONVOQUERA</w:t>
      </w:r>
      <w:r>
        <w:t xml:space="preserve"> les parties à une audience portant sur le fond de la contestation.</w:t>
      </w:r>
    </w:p>
    <w:p w14:paraId="139ACB7B" w14:textId="77777777"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04E5D2F1" w14:textId="77777777">
        <w:tc>
          <w:tcPr>
            <w:tcW w:w="4795" w:type="dxa"/>
          </w:tcPr>
          <w:p w14:paraId="347CDBC4" w14:textId="77777777" w:rsidR="00C74B6F" w:rsidRDefault="00C74B6F"/>
        </w:tc>
        <w:tc>
          <w:tcPr>
            <w:tcW w:w="4795" w:type="dxa"/>
          </w:tcPr>
          <w:p w14:paraId="3507BCE1" w14:textId="77777777" w:rsidR="00C74B6F" w:rsidRDefault="00C74B6F">
            <w:bookmarkStart w:id="12" w:name="signature"/>
            <w:bookmarkEnd w:id="12"/>
            <w:r>
              <w:t>__________________________________</w:t>
            </w:r>
          </w:p>
        </w:tc>
      </w:tr>
      <w:tr w:rsidR="00C74B6F" w14:paraId="406DB2C6" w14:textId="77777777">
        <w:tc>
          <w:tcPr>
            <w:tcW w:w="4795" w:type="dxa"/>
          </w:tcPr>
          <w:p w14:paraId="7FDA1ACC" w14:textId="77777777" w:rsidR="00C74B6F" w:rsidRDefault="00C74B6F"/>
        </w:tc>
        <w:tc>
          <w:tcPr>
            <w:tcW w:w="4795" w:type="dxa"/>
          </w:tcPr>
          <w:p w14:paraId="6D430D9A" w14:textId="00883B96" w:rsidR="00C74B6F" w:rsidRDefault="00824E56">
            <w:r>
              <w:t>Daniel Pelletier</w:t>
            </w:r>
          </w:p>
        </w:tc>
      </w:tr>
      <w:tr w:rsidR="00C74B6F" w14:paraId="1567430A" w14:textId="77777777">
        <w:trPr>
          <w:cantSplit/>
        </w:trPr>
        <w:tc>
          <w:tcPr>
            <w:tcW w:w="9590" w:type="dxa"/>
            <w:gridSpan w:val="2"/>
          </w:tcPr>
          <w:p w14:paraId="24420FDC" w14:textId="77777777" w:rsidR="00C74B6F" w:rsidRPr="00C912F9" w:rsidRDefault="00C74B6F" w:rsidP="00EC5C8D">
            <w:pPr>
              <w:tabs>
                <w:tab w:val="left" w:pos="1592"/>
              </w:tabs>
            </w:pPr>
          </w:p>
        </w:tc>
      </w:tr>
      <w:tr w:rsidR="00C74B6F" w14:paraId="15D6FD7F" w14:textId="77777777">
        <w:trPr>
          <w:cantSplit/>
        </w:trPr>
        <w:tc>
          <w:tcPr>
            <w:tcW w:w="9590" w:type="dxa"/>
            <w:gridSpan w:val="2"/>
          </w:tcPr>
          <w:p w14:paraId="3583A17D" w14:textId="77777777" w:rsidR="00C74B6F" w:rsidRDefault="00C74B6F"/>
        </w:tc>
      </w:tr>
      <w:tr w:rsidR="00C74B6F" w14:paraId="5A73E5B6" w14:textId="77777777">
        <w:trPr>
          <w:cantSplit/>
        </w:trPr>
        <w:tc>
          <w:tcPr>
            <w:tcW w:w="9590" w:type="dxa"/>
            <w:gridSpan w:val="2"/>
          </w:tcPr>
          <w:p w14:paraId="57B8752B" w14:textId="77777777" w:rsidR="00C74B6F" w:rsidRDefault="00C74B6F"/>
        </w:tc>
      </w:tr>
      <w:tr w:rsidR="00C74B6F" w14:paraId="5D6E98AD" w14:textId="77777777">
        <w:trPr>
          <w:cantSplit/>
        </w:trPr>
        <w:tc>
          <w:tcPr>
            <w:tcW w:w="9590" w:type="dxa"/>
            <w:gridSpan w:val="2"/>
          </w:tcPr>
          <w:p w14:paraId="2B4050F5" w14:textId="415770F6" w:rsidR="00C74B6F" w:rsidRDefault="00E863E9">
            <w:pPr>
              <w:pStyle w:val="zSoquijdatNomProcureurDem"/>
            </w:pPr>
            <w:r>
              <w:t>M.</w:t>
            </w:r>
            <w:r w:rsidR="00F30267">
              <w:t xml:space="preserve"> </w:t>
            </w:r>
            <w:r>
              <w:t>Carl-Emmanuel Vaillancourt</w:t>
            </w:r>
          </w:p>
        </w:tc>
      </w:tr>
      <w:tr w:rsidR="00C74B6F" w14:paraId="239D3863" w14:textId="77777777">
        <w:trPr>
          <w:cantSplit/>
        </w:trPr>
        <w:tc>
          <w:tcPr>
            <w:tcW w:w="9590" w:type="dxa"/>
            <w:gridSpan w:val="2"/>
          </w:tcPr>
          <w:p w14:paraId="76E3FE3C" w14:textId="27A426DF" w:rsidR="00C74B6F" w:rsidRDefault="00E863E9">
            <w:pPr>
              <w:pStyle w:val="zSoquijdatCabinetProcureurDem"/>
            </w:pPr>
            <w:r>
              <w:t xml:space="preserve">Syndicat </w:t>
            </w:r>
            <w:r w:rsidR="003D1D21">
              <w:t>C</w:t>
            </w:r>
            <w:r>
              <w:t>anadie</w:t>
            </w:r>
            <w:r w:rsidR="003D1D21">
              <w:t>n</w:t>
            </w:r>
            <w:r>
              <w:t xml:space="preserve"> de la fonction publique</w:t>
            </w:r>
          </w:p>
        </w:tc>
      </w:tr>
      <w:tr w:rsidR="00C74B6F" w14:paraId="5EE0D3D2" w14:textId="77777777">
        <w:trPr>
          <w:cantSplit/>
        </w:trPr>
        <w:tc>
          <w:tcPr>
            <w:tcW w:w="9590" w:type="dxa"/>
            <w:gridSpan w:val="2"/>
          </w:tcPr>
          <w:p w14:paraId="6188F9B7" w14:textId="77777777" w:rsidR="00C74B6F" w:rsidRDefault="00CB05A7">
            <w:pPr>
              <w:pStyle w:val="zSoquijlblProcureurDem"/>
            </w:pPr>
            <w:r>
              <w:t>Pour la partie demanderesse</w:t>
            </w:r>
          </w:p>
        </w:tc>
      </w:tr>
      <w:tr w:rsidR="00DE3F26" w14:paraId="14F4AF28" w14:textId="77777777">
        <w:trPr>
          <w:cantSplit/>
        </w:trPr>
        <w:tc>
          <w:tcPr>
            <w:tcW w:w="9590" w:type="dxa"/>
            <w:gridSpan w:val="2"/>
          </w:tcPr>
          <w:p w14:paraId="61EB24EE" w14:textId="77777777" w:rsidR="00DE3F26" w:rsidRDefault="00DE3F26">
            <w:pPr>
              <w:pStyle w:val="zSoquijlblProcureurDem"/>
            </w:pPr>
          </w:p>
        </w:tc>
      </w:tr>
      <w:tr w:rsidR="00DE3F26" w14:paraId="47C804FA" w14:textId="77777777" w:rsidTr="00DE3F26">
        <w:trPr>
          <w:cantSplit/>
        </w:trPr>
        <w:tc>
          <w:tcPr>
            <w:tcW w:w="9590" w:type="dxa"/>
            <w:gridSpan w:val="2"/>
          </w:tcPr>
          <w:p w14:paraId="1806611B" w14:textId="61A04CF5" w:rsidR="00DE3F26" w:rsidRDefault="00DE3F26" w:rsidP="00DE3F26">
            <w:pPr>
              <w:pStyle w:val="zSoquijlblProcureurDem"/>
            </w:pPr>
            <w:r>
              <w:t>M</w:t>
            </w:r>
            <w:r w:rsidRPr="00DE3F26">
              <w:rPr>
                <w:vertAlign w:val="superscript"/>
              </w:rPr>
              <w:t>me</w:t>
            </w:r>
            <w:r>
              <w:t xml:space="preserve"> Karine Jalbert</w:t>
            </w:r>
          </w:p>
        </w:tc>
      </w:tr>
      <w:tr w:rsidR="00DE3F26" w14:paraId="767A8281" w14:textId="77777777" w:rsidTr="00DE3F26">
        <w:trPr>
          <w:cantSplit/>
        </w:trPr>
        <w:tc>
          <w:tcPr>
            <w:tcW w:w="9590" w:type="dxa"/>
            <w:gridSpan w:val="2"/>
          </w:tcPr>
          <w:p w14:paraId="5F73BF30" w14:textId="77777777" w:rsidR="00DE3F26" w:rsidRDefault="00DE3F26" w:rsidP="00DE3F26">
            <w:pPr>
              <w:pStyle w:val="zSoquijlblProcureurDem"/>
            </w:pPr>
            <w:r>
              <w:t>MEDICAL CONSEIL SANTÉ SÉCURITÉ INC.</w:t>
            </w:r>
          </w:p>
        </w:tc>
      </w:tr>
      <w:tr w:rsidR="00DE3F26" w14:paraId="379C3C1A" w14:textId="77777777" w:rsidTr="00DE3F26">
        <w:trPr>
          <w:cantSplit/>
        </w:trPr>
        <w:tc>
          <w:tcPr>
            <w:tcW w:w="9590" w:type="dxa"/>
            <w:gridSpan w:val="2"/>
          </w:tcPr>
          <w:p w14:paraId="54ED888C" w14:textId="77777777" w:rsidR="00DE3F26" w:rsidRDefault="00DE3F26" w:rsidP="00DE3F26">
            <w:pPr>
              <w:pStyle w:val="zSoquijlblProcureurDem"/>
            </w:pPr>
            <w:r>
              <w:t>Pour la partie mise en cause</w:t>
            </w:r>
          </w:p>
        </w:tc>
      </w:tr>
      <w:tr w:rsidR="00C15A3F" w14:paraId="618A28EC" w14:textId="77777777">
        <w:trPr>
          <w:cantSplit/>
        </w:trPr>
        <w:tc>
          <w:tcPr>
            <w:tcW w:w="9590" w:type="dxa"/>
            <w:gridSpan w:val="2"/>
          </w:tcPr>
          <w:p w14:paraId="4A9C197A" w14:textId="77777777" w:rsidR="00C15A3F" w:rsidRDefault="00C15A3F">
            <w:pPr>
              <w:pStyle w:val="zSoquijlblProcureurInt"/>
            </w:pPr>
          </w:p>
        </w:tc>
      </w:tr>
      <w:tr w:rsidR="00C15A3F" w14:paraId="126789D8" w14:textId="77777777">
        <w:trPr>
          <w:cantSplit/>
        </w:trPr>
        <w:tc>
          <w:tcPr>
            <w:tcW w:w="9590" w:type="dxa"/>
            <w:gridSpan w:val="2"/>
          </w:tcPr>
          <w:p w14:paraId="0C50CA24" w14:textId="0E11DD58" w:rsidR="00C15A3F" w:rsidRDefault="00C15A3F" w:rsidP="000E56A6">
            <w:pPr>
              <w:pStyle w:val="zSoquijdatDateAudience"/>
            </w:pPr>
            <w:bookmarkStart w:id="13" w:name="Date_derniere_audience"/>
            <w:bookmarkEnd w:id="13"/>
            <w:r>
              <w:t xml:space="preserve">Date de la </w:t>
            </w:r>
            <w:r w:rsidR="00CC6338">
              <w:t>mise en délibéré</w:t>
            </w:r>
            <w:r>
              <w:t> :</w:t>
            </w:r>
            <w:r w:rsidR="00597016">
              <w:tab/>
            </w:r>
            <w:r w:rsidR="00E863E9">
              <w:t>18</w:t>
            </w:r>
            <w:r w:rsidR="002C1E6B">
              <w:t> </w:t>
            </w:r>
            <w:r w:rsidR="00E863E9">
              <w:t>juin 2024</w:t>
            </w:r>
          </w:p>
        </w:tc>
      </w:tr>
    </w:tbl>
    <w:p w14:paraId="449CFE10" w14:textId="77777777" w:rsidR="002542E0" w:rsidRDefault="002542E0" w:rsidP="002542E0">
      <w:pPr>
        <w:pStyle w:val="corpsdedcision"/>
        <w:numPr>
          <w:ilvl w:val="0"/>
          <w:numId w:val="0"/>
        </w:numPr>
        <w:tabs>
          <w:tab w:val="clear" w:pos="720"/>
        </w:tabs>
      </w:pPr>
    </w:p>
    <w:sectPr w:rsidR="002542E0">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B7A36" w14:textId="77777777" w:rsidR="00E863E9" w:rsidRDefault="00E863E9">
      <w:r>
        <w:separator/>
      </w:r>
    </w:p>
  </w:endnote>
  <w:endnote w:type="continuationSeparator" w:id="0">
    <w:p w14:paraId="2478AF2A" w14:textId="77777777" w:rsidR="00E863E9" w:rsidRDefault="00E8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A1DE6" w14:textId="77777777" w:rsidR="00E863E9" w:rsidRDefault="00E863E9">
      <w:r>
        <w:separator/>
      </w:r>
    </w:p>
  </w:footnote>
  <w:footnote w:type="continuationSeparator" w:id="0">
    <w:p w14:paraId="73D07FC5" w14:textId="77777777" w:rsidR="00E863E9" w:rsidRDefault="00E863E9">
      <w:r>
        <w:continuationSeparator/>
      </w:r>
    </w:p>
  </w:footnote>
  <w:footnote w:id="1">
    <w:p w14:paraId="71CA86F9" w14:textId="12DE138E" w:rsidR="00234324" w:rsidRPr="00D50E48" w:rsidRDefault="00234324" w:rsidP="00234324">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866FB9">
        <w:rPr>
          <w:rFonts w:cs="Arial"/>
          <w:sz w:val="20"/>
        </w:rPr>
        <w:t>Un amendement récent a porté ce délai à 60 jours.</w:t>
      </w:r>
    </w:p>
  </w:footnote>
  <w:footnote w:id="2">
    <w:p w14:paraId="21C4737C" w14:textId="77777777" w:rsidR="00D41306" w:rsidRPr="00D50E48" w:rsidRDefault="00D41306" w:rsidP="0007644B">
      <w:pPr>
        <w:pStyle w:val="Notedebasdepage"/>
      </w:pPr>
      <w:r w:rsidRPr="00D50E48">
        <w:rPr>
          <w:rStyle w:val="Appelnotedebasdep"/>
        </w:rPr>
        <w:footnoteRef/>
      </w:r>
      <w:r w:rsidRPr="00D50E48">
        <w:t xml:space="preserve"> </w:t>
      </w:r>
      <w:r w:rsidRPr="00D50E48">
        <w:tab/>
      </w:r>
      <w:r w:rsidRPr="00866FB9">
        <w:rPr>
          <w:sz w:val="20"/>
        </w:rPr>
        <w:t>RLRQ, c. T-15.1.</w:t>
      </w:r>
    </w:p>
  </w:footnote>
  <w:footnote w:id="3">
    <w:p w14:paraId="4A1868A4" w14:textId="5190E16C" w:rsidR="00D41306" w:rsidRPr="006B2EFC" w:rsidRDefault="00D41306" w:rsidP="00D41306">
      <w:pPr>
        <w:pStyle w:val="Notedebasdepage"/>
        <w:jc w:val="both"/>
        <w:rPr>
          <w:rFonts w:cs="Arial"/>
          <w:sz w:val="20"/>
        </w:rPr>
      </w:pPr>
      <w:r w:rsidRPr="00D50E48">
        <w:rPr>
          <w:rStyle w:val="Appelnotedebasdep"/>
          <w:szCs w:val="24"/>
        </w:rPr>
        <w:footnoteRef/>
      </w:r>
      <w:r w:rsidRPr="00D50E48">
        <w:rPr>
          <w:rFonts w:cs="Arial"/>
          <w:sz w:val="18"/>
          <w:szCs w:val="18"/>
        </w:rPr>
        <w:t xml:space="preserve"> </w:t>
      </w:r>
      <w:r w:rsidRPr="00D50E48">
        <w:rPr>
          <w:rFonts w:cs="Arial"/>
          <w:sz w:val="18"/>
          <w:szCs w:val="18"/>
        </w:rPr>
        <w:tab/>
      </w:r>
      <w:r w:rsidR="006730EC" w:rsidRPr="00866FB9">
        <w:rPr>
          <w:i/>
          <w:iCs/>
          <w:sz w:val="20"/>
        </w:rPr>
        <w:t>Roy et Communauté urbaine de Montréal</w:t>
      </w:r>
      <w:r w:rsidR="006730EC" w:rsidRPr="00866FB9">
        <w:rPr>
          <w:i/>
        </w:rPr>
        <w:t>,</w:t>
      </w:r>
      <w:r w:rsidR="006730EC" w:rsidRPr="00866FB9">
        <w:rPr>
          <w:rFonts w:cs="Arial"/>
          <w:sz w:val="20"/>
        </w:rPr>
        <w:t xml:space="preserve"> </w:t>
      </w:r>
      <w:r w:rsidRPr="00866FB9">
        <w:rPr>
          <w:rFonts w:cs="Arial"/>
          <w:sz w:val="20"/>
        </w:rPr>
        <w:t>[1990] C.A.L.P.</w:t>
      </w:r>
      <w:r w:rsidR="0064074B">
        <w:rPr>
          <w:rFonts w:cs="Arial"/>
          <w:sz w:val="20"/>
        </w:rPr>
        <w:t> </w:t>
      </w:r>
      <w:r w:rsidRPr="00866FB9">
        <w:rPr>
          <w:rFonts w:cs="Arial"/>
          <w:sz w:val="20"/>
        </w:rPr>
        <w:t>916.</w:t>
      </w:r>
    </w:p>
  </w:footnote>
  <w:footnote w:id="4">
    <w:p w14:paraId="25732981" w14:textId="27736B1E" w:rsidR="00D41306" w:rsidRPr="00D50E48" w:rsidRDefault="00D41306" w:rsidP="00D41306">
      <w:pPr>
        <w:pStyle w:val="Notedebasdepage"/>
        <w:tabs>
          <w:tab w:val="left" w:pos="720"/>
        </w:tabs>
        <w:ind w:left="720" w:hanging="720"/>
        <w:jc w:val="both"/>
        <w:rPr>
          <w:rFonts w:cs="Arial"/>
          <w:sz w:val="18"/>
          <w:szCs w:val="18"/>
        </w:rPr>
      </w:pPr>
      <w:r w:rsidRPr="00AC7817">
        <w:rPr>
          <w:rStyle w:val="Appelnotedebasdep"/>
          <w:szCs w:val="24"/>
        </w:rPr>
        <w:footnoteRef/>
      </w:r>
      <w:r w:rsidRPr="00AC7817">
        <w:rPr>
          <w:szCs w:val="24"/>
        </w:rPr>
        <w:t xml:space="preserve"> </w:t>
      </w:r>
      <w:r w:rsidRPr="00FB54F4">
        <w:rPr>
          <w:sz w:val="18"/>
          <w:szCs w:val="18"/>
        </w:rPr>
        <w:tab/>
      </w:r>
      <w:r w:rsidRPr="00866FB9">
        <w:rPr>
          <w:i/>
          <w:sz w:val="20"/>
        </w:rPr>
        <w:t xml:space="preserve">Dansereau </w:t>
      </w:r>
      <w:r w:rsidRPr="00866FB9">
        <w:rPr>
          <w:sz w:val="20"/>
        </w:rPr>
        <w:t xml:space="preserve">et </w:t>
      </w:r>
      <w:r w:rsidRPr="00866FB9">
        <w:rPr>
          <w:i/>
          <w:sz w:val="20"/>
        </w:rPr>
        <w:t>Hôpital Maisonneuve-Rosemont</w:t>
      </w:r>
      <w:r w:rsidRPr="00866FB9">
        <w:rPr>
          <w:sz w:val="20"/>
        </w:rPr>
        <w:t xml:space="preserve">, </w:t>
      </w:r>
      <w:r w:rsidRPr="00866FB9">
        <w:rPr>
          <w:rFonts w:cs="Arial"/>
          <w:sz w:val="20"/>
        </w:rPr>
        <w:t>[1993] C.A.L.P.</w:t>
      </w:r>
      <w:r w:rsidR="0064074B">
        <w:rPr>
          <w:rFonts w:cs="Arial"/>
          <w:sz w:val="20"/>
        </w:rPr>
        <w:t> </w:t>
      </w:r>
      <w:r w:rsidRPr="00866FB9">
        <w:rPr>
          <w:rFonts w:cs="Arial"/>
          <w:sz w:val="20"/>
        </w:rPr>
        <w:t>1074 (C.S.).</w:t>
      </w:r>
    </w:p>
  </w:footnote>
  <w:footnote w:id="5">
    <w:p w14:paraId="4E0C101B" w14:textId="054D8D05" w:rsidR="00D41306" w:rsidRPr="00D50E48" w:rsidRDefault="00D41306" w:rsidP="00D41306">
      <w:pPr>
        <w:pStyle w:val="Notedebasdepage"/>
        <w:ind w:left="708" w:hanging="708"/>
        <w:jc w:val="both"/>
        <w:rPr>
          <w:sz w:val="20"/>
        </w:rPr>
      </w:pPr>
      <w:r w:rsidRPr="00D50E48">
        <w:rPr>
          <w:rStyle w:val="Appelnotedebasdep"/>
          <w:szCs w:val="24"/>
        </w:rPr>
        <w:footnoteRef/>
      </w:r>
      <w:r w:rsidRPr="00D50E48">
        <w:rPr>
          <w:szCs w:val="24"/>
        </w:rPr>
        <w:t xml:space="preserve"> </w:t>
      </w:r>
      <w:r w:rsidRPr="00D50E48">
        <w:rPr>
          <w:sz w:val="18"/>
          <w:szCs w:val="18"/>
        </w:rPr>
        <w:tab/>
      </w:r>
      <w:r w:rsidRPr="00866FB9">
        <w:rPr>
          <w:i/>
          <w:sz w:val="20"/>
        </w:rPr>
        <w:t>Berthiaume</w:t>
      </w:r>
      <w:r w:rsidRPr="00866FB9">
        <w:rPr>
          <w:sz w:val="20"/>
        </w:rPr>
        <w:t xml:space="preserve"> et </w:t>
      </w:r>
      <w:r w:rsidRPr="00866FB9">
        <w:rPr>
          <w:i/>
          <w:sz w:val="20"/>
        </w:rPr>
        <w:t>Dépanneur Clermont Giguère (fermé)</w:t>
      </w:r>
      <w:r w:rsidRPr="00866FB9">
        <w:rPr>
          <w:sz w:val="20"/>
        </w:rPr>
        <w:t>, C.L.P. 198117-03B-0301, 4 décembre</w:t>
      </w:r>
      <w:smartTag w:uri="urn:schemas-microsoft-com:office:smarttags" w:element="metricconverter">
        <w:smartTagPr>
          <w:attr w:name="ProductID" w:val="2003, G"/>
        </w:smartTagPr>
        <w:r w:rsidR="002C1E6B">
          <w:rPr>
            <w:sz w:val="20"/>
          </w:rPr>
          <w:t xml:space="preserve"> </w:t>
        </w:r>
        <w:r w:rsidRPr="00866FB9">
          <w:rPr>
            <w:sz w:val="20"/>
          </w:rPr>
          <w:t>2003, G</w:t>
        </w:r>
      </w:smartTag>
      <w:r w:rsidRPr="00866FB9">
        <w:rPr>
          <w:sz w:val="20"/>
        </w:rPr>
        <w:t xml:space="preserve">. Marquis; </w:t>
      </w:r>
      <w:r w:rsidRPr="00866FB9">
        <w:rPr>
          <w:i/>
          <w:sz w:val="20"/>
        </w:rPr>
        <w:t xml:space="preserve">Abel </w:t>
      </w:r>
      <w:r w:rsidRPr="00866FB9">
        <w:rPr>
          <w:iCs/>
          <w:sz w:val="20"/>
        </w:rPr>
        <w:t>c</w:t>
      </w:r>
      <w:r w:rsidRPr="00866FB9">
        <w:rPr>
          <w:i/>
          <w:sz w:val="20"/>
        </w:rPr>
        <w:t>.</w:t>
      </w:r>
      <w:r w:rsidR="00DE3F26">
        <w:rPr>
          <w:sz w:val="20"/>
        </w:rPr>
        <w:t xml:space="preserve"> </w:t>
      </w:r>
      <w:r w:rsidRPr="00866FB9">
        <w:rPr>
          <w:i/>
          <w:sz w:val="20"/>
        </w:rPr>
        <w:t xml:space="preserve">Fédération interprofessionnelle de la santé du Québec </w:t>
      </w:r>
      <w:r w:rsidRPr="00895B17">
        <w:rPr>
          <w:iCs/>
          <w:sz w:val="20"/>
        </w:rPr>
        <w:t>(</w:t>
      </w:r>
      <w:r w:rsidRPr="00895B17">
        <w:rPr>
          <w:i/>
          <w:sz w:val="20"/>
        </w:rPr>
        <w:t>FIQ</w:t>
      </w:r>
      <w:r w:rsidRPr="00866FB9">
        <w:rPr>
          <w:sz w:val="20"/>
        </w:rPr>
        <w:t>), 2012 QCCA 75.</w:t>
      </w:r>
    </w:p>
  </w:footnote>
  <w:footnote w:id="6">
    <w:p w14:paraId="3FD2B845" w14:textId="23F80D15" w:rsidR="00D41306" w:rsidRPr="00D50E48" w:rsidRDefault="00D41306" w:rsidP="00D41306">
      <w:pPr>
        <w:pStyle w:val="Notedebasdepage"/>
        <w:tabs>
          <w:tab w:val="left" w:pos="720"/>
        </w:tabs>
        <w:ind w:left="720" w:hanging="720"/>
        <w:jc w:val="both"/>
        <w:rPr>
          <w:rFonts w:cs="Arial"/>
          <w:sz w:val="20"/>
        </w:rPr>
      </w:pPr>
      <w:r w:rsidRPr="00D50E48">
        <w:rPr>
          <w:rStyle w:val="Appelnotedebasdep"/>
        </w:rPr>
        <w:footnoteRef/>
      </w:r>
      <w:r w:rsidRPr="00D50E48">
        <w:t xml:space="preserve"> </w:t>
      </w:r>
      <w:r w:rsidRPr="00D50E48">
        <w:rPr>
          <w:rFonts w:cs="Arial"/>
          <w:sz w:val="20"/>
        </w:rPr>
        <w:tab/>
      </w:r>
      <w:r w:rsidRPr="00866FB9">
        <w:rPr>
          <w:rFonts w:cs="Arial"/>
          <w:sz w:val="20"/>
        </w:rPr>
        <w:t>2018</w:t>
      </w:r>
      <w:r w:rsidR="0064074B">
        <w:rPr>
          <w:rFonts w:cs="Arial"/>
          <w:sz w:val="20"/>
        </w:rPr>
        <w:t> </w:t>
      </w:r>
      <w:r w:rsidRPr="00866FB9">
        <w:rPr>
          <w:rFonts w:cs="Arial"/>
          <w:sz w:val="20"/>
        </w:rPr>
        <w:t>QCCS</w:t>
      </w:r>
      <w:r w:rsidR="0064074B">
        <w:rPr>
          <w:rFonts w:cs="Arial"/>
          <w:sz w:val="20"/>
        </w:rPr>
        <w:t> </w:t>
      </w:r>
      <w:r w:rsidRPr="00866FB9">
        <w:rPr>
          <w:rFonts w:cs="Arial"/>
          <w:sz w:val="20"/>
        </w:rPr>
        <w:t>1780.</w:t>
      </w:r>
    </w:p>
  </w:footnote>
  <w:footnote w:id="7">
    <w:p w14:paraId="11F40E74" w14:textId="4F236AB2" w:rsidR="00D41306" w:rsidRPr="00D50E48" w:rsidRDefault="00D41306" w:rsidP="00D41306">
      <w:pPr>
        <w:pStyle w:val="Notedebasdepage"/>
        <w:rPr>
          <w:sz w:val="20"/>
        </w:rPr>
      </w:pPr>
      <w:r w:rsidRPr="00D50E48">
        <w:rPr>
          <w:rStyle w:val="Appelnotedebasdep"/>
          <w:szCs w:val="24"/>
        </w:rPr>
        <w:footnoteRef/>
      </w:r>
      <w:r w:rsidRPr="00D50E48">
        <w:rPr>
          <w:sz w:val="20"/>
        </w:rPr>
        <w:t xml:space="preserve"> </w:t>
      </w:r>
      <w:r w:rsidRPr="00D50E48">
        <w:rPr>
          <w:sz w:val="20"/>
        </w:rPr>
        <w:tab/>
      </w:r>
      <w:r w:rsidRPr="00866FB9">
        <w:rPr>
          <w:i/>
          <w:sz w:val="20"/>
        </w:rPr>
        <w:t>Torres</w:t>
      </w:r>
      <w:r w:rsidRPr="00866FB9">
        <w:rPr>
          <w:sz w:val="20"/>
        </w:rPr>
        <w:t xml:space="preserve"> c. </w:t>
      </w:r>
      <w:r w:rsidRPr="00866FB9">
        <w:rPr>
          <w:i/>
          <w:sz w:val="20"/>
        </w:rPr>
        <w:t>Commission des lésions professionnelles</w:t>
      </w:r>
      <w:r w:rsidRPr="00866FB9">
        <w:rPr>
          <w:sz w:val="20"/>
        </w:rPr>
        <w:t>, 2016</w:t>
      </w:r>
      <w:r w:rsidR="0064074B">
        <w:rPr>
          <w:sz w:val="20"/>
        </w:rPr>
        <w:t> </w:t>
      </w:r>
      <w:r w:rsidRPr="00866FB9">
        <w:rPr>
          <w:sz w:val="20"/>
        </w:rPr>
        <w:t>QCCS</w:t>
      </w:r>
      <w:r w:rsidR="0064074B">
        <w:rPr>
          <w:sz w:val="20"/>
        </w:rPr>
        <w:t> </w:t>
      </w:r>
      <w:r w:rsidRPr="00866FB9">
        <w:rPr>
          <w:sz w:val="20"/>
        </w:rPr>
        <w:t>119.</w:t>
      </w:r>
    </w:p>
  </w:footnote>
  <w:footnote w:id="8">
    <w:p w14:paraId="5ADB3462" w14:textId="60078760" w:rsidR="00D41306" w:rsidRPr="00D50E48" w:rsidRDefault="00D41306" w:rsidP="00D41306">
      <w:pPr>
        <w:pStyle w:val="Notedebasdepage"/>
        <w:tabs>
          <w:tab w:val="left" w:pos="720"/>
        </w:tabs>
        <w:ind w:left="720" w:hanging="720"/>
        <w:jc w:val="both"/>
        <w:rPr>
          <w:rFonts w:cs="Arial"/>
          <w:sz w:val="20"/>
        </w:rPr>
      </w:pPr>
      <w:r w:rsidRPr="00D50E48">
        <w:rPr>
          <w:rStyle w:val="Appelnotedebasdep"/>
          <w:szCs w:val="24"/>
        </w:rPr>
        <w:footnoteRef/>
      </w:r>
      <w:r w:rsidRPr="00D50E48">
        <w:rPr>
          <w:szCs w:val="24"/>
        </w:rPr>
        <w:t xml:space="preserve"> </w:t>
      </w:r>
      <w:r w:rsidRPr="00D50E48">
        <w:rPr>
          <w:rFonts w:cs="Arial"/>
          <w:sz w:val="20"/>
        </w:rPr>
        <w:tab/>
        <w:t>2015</w:t>
      </w:r>
      <w:r w:rsidR="0064074B">
        <w:rPr>
          <w:rFonts w:cs="Arial"/>
          <w:sz w:val="20"/>
        </w:rPr>
        <w:t> </w:t>
      </w:r>
      <w:r w:rsidRPr="00D50E48">
        <w:rPr>
          <w:rFonts w:cs="Arial"/>
          <w:sz w:val="20"/>
        </w:rPr>
        <w:t>QCCLP</w:t>
      </w:r>
      <w:r w:rsidR="0064074B">
        <w:rPr>
          <w:rFonts w:cs="Arial"/>
          <w:sz w:val="20"/>
        </w:rPr>
        <w:t> </w:t>
      </w:r>
      <w:r w:rsidRPr="00D50E48">
        <w:rPr>
          <w:rFonts w:cs="Arial"/>
          <w:sz w:val="20"/>
        </w:rPr>
        <w:t>1161.</w:t>
      </w:r>
    </w:p>
  </w:footnote>
  <w:footnote w:id="9">
    <w:p w14:paraId="26756EF1" w14:textId="02087DB6" w:rsidR="00D41306" w:rsidRDefault="00D41306" w:rsidP="00D41306">
      <w:pPr>
        <w:pStyle w:val="Notedebasdepage"/>
        <w:tabs>
          <w:tab w:val="left" w:pos="720"/>
        </w:tabs>
        <w:ind w:left="720" w:hanging="720"/>
        <w:jc w:val="both"/>
        <w:rPr>
          <w:sz w:val="20"/>
        </w:rPr>
      </w:pPr>
      <w:r w:rsidRPr="00D50E48">
        <w:rPr>
          <w:rStyle w:val="Appelnotedebasdep"/>
        </w:rPr>
        <w:footnoteRef/>
      </w:r>
      <w:r w:rsidRPr="00D50E48">
        <w:t xml:space="preserve"> </w:t>
      </w:r>
      <w:r w:rsidRPr="00D50E48">
        <w:tab/>
      </w:r>
      <w:r w:rsidRPr="00866FB9">
        <w:rPr>
          <w:sz w:val="20"/>
        </w:rPr>
        <w:t xml:space="preserve">Voir notamment : </w:t>
      </w:r>
      <w:r w:rsidRPr="00866FB9">
        <w:rPr>
          <w:i/>
          <w:sz w:val="20"/>
        </w:rPr>
        <w:t>Cité de Dorval et Latreille</w:t>
      </w:r>
      <w:r w:rsidRPr="00866FB9">
        <w:rPr>
          <w:sz w:val="20"/>
        </w:rPr>
        <w:t>, [1995] C.A.L.P</w:t>
      </w:r>
      <w:r w:rsidR="00932E48" w:rsidRPr="00866FB9">
        <w:rPr>
          <w:sz w:val="20"/>
        </w:rPr>
        <w:t> </w:t>
      </w:r>
      <w:r w:rsidRPr="00866FB9">
        <w:rPr>
          <w:sz w:val="20"/>
        </w:rPr>
        <w:t>1572;</w:t>
      </w:r>
      <w:r w:rsidRPr="00D50E48">
        <w:rPr>
          <w:sz w:val="20"/>
        </w:rPr>
        <w:t xml:space="preserve"> </w:t>
      </w:r>
      <w:r w:rsidRPr="00866FB9">
        <w:rPr>
          <w:i/>
          <w:sz w:val="20"/>
        </w:rPr>
        <w:t>Szekely et Techmire ltée</w:t>
      </w:r>
      <w:r w:rsidRPr="00866FB9">
        <w:rPr>
          <w:sz w:val="20"/>
        </w:rPr>
        <w:t>, C.A.L.P.</w:t>
      </w:r>
      <w:r w:rsidR="00E56C47">
        <w:rPr>
          <w:sz w:val="20"/>
        </w:rPr>
        <w:t> </w:t>
      </w:r>
      <w:r w:rsidRPr="00866FB9">
        <w:rPr>
          <w:sz w:val="20"/>
        </w:rPr>
        <w:t>88615-62-9705, 4</w:t>
      </w:r>
      <w:r w:rsidR="0064074B">
        <w:rPr>
          <w:sz w:val="20"/>
        </w:rPr>
        <w:t> </w:t>
      </w:r>
      <w:r w:rsidRPr="00866FB9">
        <w:rPr>
          <w:sz w:val="20"/>
        </w:rPr>
        <w:t>février</w:t>
      </w:r>
      <w:r w:rsidR="002C1E6B">
        <w:rPr>
          <w:sz w:val="20"/>
        </w:rPr>
        <w:t xml:space="preserve"> </w:t>
      </w:r>
      <w:r w:rsidRPr="00866FB9">
        <w:rPr>
          <w:sz w:val="20"/>
        </w:rPr>
        <w:t>1998, B. Roy;</w:t>
      </w:r>
      <w:r w:rsidRPr="00D50E48">
        <w:rPr>
          <w:sz w:val="20"/>
        </w:rPr>
        <w:t xml:space="preserve"> </w:t>
      </w:r>
      <w:r w:rsidRPr="00D50E48">
        <w:rPr>
          <w:i/>
          <w:sz w:val="20"/>
        </w:rPr>
        <w:t>Preston et Samuel</w:t>
      </w:r>
      <w:r w:rsidRPr="00D50E48">
        <w:rPr>
          <w:sz w:val="20"/>
        </w:rPr>
        <w:t>, C.L.P.</w:t>
      </w:r>
      <w:r w:rsidR="00E56C47">
        <w:rPr>
          <w:sz w:val="20"/>
        </w:rPr>
        <w:t> </w:t>
      </w:r>
      <w:r w:rsidRPr="00D50E48">
        <w:rPr>
          <w:sz w:val="20"/>
        </w:rPr>
        <w:t>148905</w:t>
      </w:r>
      <w:r w:rsidRPr="00D50E48">
        <w:rPr>
          <w:sz w:val="20"/>
        </w:rPr>
        <w:noBreakHyphen/>
        <w:t>01B</w:t>
      </w:r>
      <w:r w:rsidRPr="00D50E48">
        <w:rPr>
          <w:sz w:val="20"/>
        </w:rPr>
        <w:noBreakHyphen/>
        <w:t>0010, 2</w:t>
      </w:r>
      <w:r w:rsidR="00210B38">
        <w:rPr>
          <w:sz w:val="20"/>
        </w:rPr>
        <w:t>4</w:t>
      </w:r>
      <w:r w:rsidRPr="00D50E48">
        <w:rPr>
          <w:sz w:val="20"/>
        </w:rPr>
        <w:t> avril</w:t>
      </w:r>
      <w:smartTag w:uri="urn:schemas-microsoft-com:office:smarttags" w:element="metricconverter">
        <w:smartTagPr>
          <w:attr w:name="ProductID" w:val="2001, L"/>
        </w:smartTagPr>
        <w:r w:rsidR="002C1E6B">
          <w:rPr>
            <w:sz w:val="20"/>
          </w:rPr>
          <w:t xml:space="preserve"> </w:t>
        </w:r>
        <w:r w:rsidRPr="00D50E48">
          <w:rPr>
            <w:sz w:val="20"/>
          </w:rPr>
          <w:t>2001, L</w:t>
        </w:r>
      </w:smartTag>
      <w:r w:rsidRPr="00D50E48">
        <w:rPr>
          <w:sz w:val="20"/>
        </w:rPr>
        <w:t xml:space="preserve">. Desbois; </w:t>
      </w:r>
      <w:r w:rsidRPr="00D50E48">
        <w:rPr>
          <w:rFonts w:cs="Arial"/>
          <w:i/>
          <w:sz w:val="20"/>
        </w:rPr>
        <w:t xml:space="preserve">Pinada et Salerno </w:t>
      </w:r>
      <w:r w:rsidR="003024F6">
        <w:rPr>
          <w:rFonts w:cs="Arial"/>
          <w:i/>
          <w:sz w:val="20"/>
        </w:rPr>
        <w:t>s</w:t>
      </w:r>
      <w:r w:rsidRPr="00D50E48">
        <w:rPr>
          <w:rFonts w:cs="Arial"/>
          <w:i/>
          <w:sz w:val="20"/>
        </w:rPr>
        <w:t>acs transparents ltée</w:t>
      </w:r>
      <w:r w:rsidRPr="00D50E48">
        <w:rPr>
          <w:rFonts w:cs="Arial"/>
          <w:sz w:val="20"/>
        </w:rPr>
        <w:t>, C.L.P.</w:t>
      </w:r>
      <w:r w:rsidR="00E56C47">
        <w:rPr>
          <w:rFonts w:cs="Arial"/>
          <w:sz w:val="20"/>
        </w:rPr>
        <w:t> </w:t>
      </w:r>
      <w:r w:rsidRPr="00D50E48">
        <w:rPr>
          <w:rFonts w:cs="Arial"/>
          <w:sz w:val="20"/>
        </w:rPr>
        <w:t>229135</w:t>
      </w:r>
      <w:r w:rsidRPr="00D50E48">
        <w:rPr>
          <w:rFonts w:cs="Arial"/>
          <w:sz w:val="20"/>
        </w:rPr>
        <w:noBreakHyphen/>
        <w:t>71</w:t>
      </w:r>
      <w:r w:rsidRPr="00D50E48">
        <w:rPr>
          <w:rFonts w:cs="Arial"/>
          <w:sz w:val="20"/>
        </w:rPr>
        <w:noBreakHyphen/>
        <w:t>0403, 22 août</w:t>
      </w:r>
      <w:smartTag w:uri="urn:schemas-microsoft-com:office:smarttags" w:element="metricconverter">
        <w:smartTagPr>
          <w:attr w:name="ProductID" w:val="2005, L"/>
        </w:smartTagPr>
        <w:r w:rsidR="002C1E6B">
          <w:rPr>
            <w:rFonts w:cs="Arial"/>
            <w:sz w:val="20"/>
          </w:rPr>
          <w:t xml:space="preserve"> </w:t>
        </w:r>
        <w:r w:rsidRPr="00D50E48">
          <w:rPr>
            <w:rFonts w:cs="Arial"/>
            <w:sz w:val="20"/>
          </w:rPr>
          <w:t>2005, L</w:t>
        </w:r>
      </w:smartTag>
      <w:r w:rsidRPr="00D50E48">
        <w:rPr>
          <w:rFonts w:cs="Arial"/>
          <w:sz w:val="20"/>
        </w:rPr>
        <w:t xml:space="preserve">. Crochetière; </w:t>
      </w:r>
      <w:r w:rsidRPr="00D50E48">
        <w:rPr>
          <w:rFonts w:cs="Arial"/>
          <w:i/>
          <w:iCs/>
          <w:sz w:val="20"/>
        </w:rPr>
        <w:t xml:space="preserve">Murphy et 4318439 Canada inc., </w:t>
      </w:r>
      <w:r w:rsidRPr="00D50E48">
        <w:rPr>
          <w:rFonts w:cs="Arial"/>
          <w:sz w:val="20"/>
        </w:rPr>
        <w:t>2011</w:t>
      </w:r>
      <w:r w:rsidR="0064074B">
        <w:rPr>
          <w:rFonts w:cs="Arial"/>
          <w:sz w:val="20"/>
        </w:rPr>
        <w:t> </w:t>
      </w:r>
      <w:r w:rsidRPr="00D50E48">
        <w:rPr>
          <w:rFonts w:cs="Arial"/>
          <w:sz w:val="20"/>
        </w:rPr>
        <w:t>QCCLP</w:t>
      </w:r>
      <w:r w:rsidR="0064074B">
        <w:rPr>
          <w:rFonts w:cs="Arial"/>
          <w:sz w:val="20"/>
        </w:rPr>
        <w:t> </w:t>
      </w:r>
      <w:r w:rsidRPr="00D50E48">
        <w:rPr>
          <w:rFonts w:cs="Arial"/>
          <w:sz w:val="20"/>
        </w:rPr>
        <w:t>6938</w:t>
      </w:r>
      <w:r w:rsidRPr="00D50E48">
        <w:rPr>
          <w:rFonts w:cs="Arial"/>
        </w:rPr>
        <w:t>.</w:t>
      </w:r>
    </w:p>
  </w:footnote>
  <w:footnote w:id="10">
    <w:p w14:paraId="022DD724" w14:textId="7991AB71" w:rsidR="00D41306" w:rsidRDefault="00D41306" w:rsidP="00D41306">
      <w:pPr>
        <w:pStyle w:val="Notedebasdepage"/>
        <w:tabs>
          <w:tab w:val="left" w:pos="720"/>
        </w:tabs>
        <w:ind w:left="720" w:hanging="720"/>
        <w:jc w:val="both"/>
        <w:rPr>
          <w:sz w:val="20"/>
        </w:rPr>
      </w:pPr>
      <w:r>
        <w:rPr>
          <w:rStyle w:val="Appelnotedebasdep"/>
        </w:rPr>
        <w:footnoteRef/>
      </w:r>
      <w:r>
        <w:t xml:space="preserve"> </w:t>
      </w:r>
      <w:r>
        <w:tab/>
      </w:r>
      <w:r w:rsidRPr="00D50E48">
        <w:rPr>
          <w:sz w:val="20"/>
        </w:rPr>
        <w:t>Voir notamment :</w:t>
      </w:r>
      <w:r w:rsidRPr="00D50E48">
        <w:t xml:space="preserve"> </w:t>
      </w:r>
      <w:r w:rsidRPr="00D50E48">
        <w:rPr>
          <w:i/>
          <w:sz w:val="20"/>
        </w:rPr>
        <w:t xml:space="preserve">Pinard </w:t>
      </w:r>
      <w:r w:rsidRPr="00D50E48">
        <w:rPr>
          <w:sz w:val="20"/>
        </w:rPr>
        <w:t xml:space="preserve">et </w:t>
      </w:r>
      <w:r w:rsidRPr="00D50E48">
        <w:rPr>
          <w:i/>
          <w:sz w:val="20"/>
        </w:rPr>
        <w:t>Viandes Laroche inc.</w:t>
      </w:r>
      <w:r w:rsidRPr="00D50E48">
        <w:rPr>
          <w:sz w:val="20"/>
        </w:rPr>
        <w:t>, C.A.L.P.</w:t>
      </w:r>
      <w:r w:rsidR="00E56C47">
        <w:rPr>
          <w:sz w:val="20"/>
        </w:rPr>
        <w:t> </w:t>
      </w:r>
      <w:r w:rsidRPr="00D50E48">
        <w:rPr>
          <w:sz w:val="20"/>
        </w:rPr>
        <w:t>83141-05-9610, 13</w:t>
      </w:r>
      <w:r w:rsidR="0064074B">
        <w:rPr>
          <w:sz w:val="20"/>
        </w:rPr>
        <w:t> </w:t>
      </w:r>
      <w:r w:rsidRPr="00D50E48">
        <w:rPr>
          <w:sz w:val="20"/>
        </w:rPr>
        <w:t>juin</w:t>
      </w:r>
      <w:r w:rsidR="002C1E6B">
        <w:rPr>
          <w:sz w:val="20"/>
        </w:rPr>
        <w:t xml:space="preserve"> </w:t>
      </w:r>
      <w:r w:rsidRPr="00D50E48">
        <w:rPr>
          <w:sz w:val="20"/>
        </w:rPr>
        <w:t xml:space="preserve">1997, B. Roy; </w:t>
      </w:r>
      <w:r w:rsidRPr="00D50E48">
        <w:rPr>
          <w:i/>
          <w:sz w:val="20"/>
        </w:rPr>
        <w:t xml:space="preserve">Forest </w:t>
      </w:r>
      <w:r w:rsidRPr="00D50E48">
        <w:rPr>
          <w:sz w:val="20"/>
        </w:rPr>
        <w:t xml:space="preserve">et </w:t>
      </w:r>
      <w:r w:rsidRPr="00D50E48">
        <w:rPr>
          <w:i/>
          <w:sz w:val="20"/>
        </w:rPr>
        <w:t>Machinerie Dux Corporation</w:t>
      </w:r>
      <w:r w:rsidRPr="00D50E48">
        <w:rPr>
          <w:sz w:val="20"/>
        </w:rPr>
        <w:t>, C.A.L.P.</w:t>
      </w:r>
      <w:r w:rsidR="00E56C47">
        <w:rPr>
          <w:sz w:val="20"/>
        </w:rPr>
        <w:t> </w:t>
      </w:r>
      <w:r w:rsidRPr="00D50E48">
        <w:rPr>
          <w:sz w:val="20"/>
        </w:rPr>
        <w:t>83559-63-9610, 18</w:t>
      </w:r>
      <w:r w:rsidR="0064074B">
        <w:rPr>
          <w:sz w:val="20"/>
        </w:rPr>
        <w:t> </w:t>
      </w:r>
      <w:r w:rsidRPr="00D50E48">
        <w:rPr>
          <w:sz w:val="20"/>
        </w:rPr>
        <w:t>août</w:t>
      </w:r>
      <w:r w:rsidR="00E56C47">
        <w:rPr>
          <w:sz w:val="20"/>
        </w:rPr>
        <w:t> </w:t>
      </w:r>
      <w:r w:rsidRPr="00D50E48">
        <w:rPr>
          <w:sz w:val="20"/>
        </w:rPr>
        <w:t>1997, B. Roy;</w:t>
      </w:r>
      <w:r w:rsidRPr="00866FB9">
        <w:rPr>
          <w:sz w:val="20"/>
        </w:rPr>
        <w:t xml:space="preserve"> </w:t>
      </w:r>
      <w:r w:rsidRPr="00866FB9">
        <w:rPr>
          <w:rFonts w:cs="Arial"/>
          <w:i/>
          <w:iCs/>
          <w:sz w:val="20"/>
        </w:rPr>
        <w:t xml:space="preserve">Chalifoux </w:t>
      </w:r>
      <w:r w:rsidRPr="00866FB9">
        <w:rPr>
          <w:rFonts w:cs="Arial"/>
          <w:iCs/>
          <w:sz w:val="20"/>
        </w:rPr>
        <w:t>et</w:t>
      </w:r>
      <w:r w:rsidRPr="00866FB9">
        <w:rPr>
          <w:rFonts w:cs="Arial"/>
          <w:i/>
          <w:iCs/>
          <w:sz w:val="20"/>
        </w:rPr>
        <w:t xml:space="preserve"> Bombardier Aéronautique inc.,</w:t>
      </w:r>
      <w:r w:rsidRPr="00866FB9">
        <w:rPr>
          <w:rFonts w:cs="Arial"/>
          <w:sz w:val="20"/>
        </w:rPr>
        <w:t xml:space="preserve"> [2006] C.L.P.</w:t>
      </w:r>
      <w:r w:rsidR="00B21B75" w:rsidRPr="00866FB9">
        <w:rPr>
          <w:rFonts w:cs="Arial"/>
          <w:sz w:val="20"/>
        </w:rPr>
        <w:t> </w:t>
      </w:r>
      <w:r w:rsidRPr="00866FB9">
        <w:rPr>
          <w:rFonts w:cs="Arial"/>
          <w:sz w:val="20"/>
        </w:rPr>
        <w:t xml:space="preserve">743; </w:t>
      </w:r>
      <w:r w:rsidRPr="00866FB9">
        <w:rPr>
          <w:rFonts w:cs="Arial"/>
          <w:i/>
          <w:iCs/>
          <w:sz w:val="20"/>
        </w:rPr>
        <w:t xml:space="preserve">Boisvert </w:t>
      </w:r>
      <w:r w:rsidRPr="00866FB9">
        <w:rPr>
          <w:rFonts w:cs="Arial"/>
          <w:iCs/>
          <w:sz w:val="20"/>
        </w:rPr>
        <w:t>et</w:t>
      </w:r>
      <w:r w:rsidRPr="00866FB9">
        <w:rPr>
          <w:rFonts w:cs="Arial"/>
          <w:i/>
          <w:iCs/>
          <w:sz w:val="20"/>
        </w:rPr>
        <w:t xml:space="preserve"> Gicleurs Éclair inc. (Les),</w:t>
      </w:r>
      <w:r w:rsidRPr="00866FB9">
        <w:rPr>
          <w:rFonts w:cs="Arial"/>
          <w:sz w:val="20"/>
        </w:rPr>
        <w:t xml:space="preserve"> C.L.P. 281268-31-0601, 3</w:t>
      </w:r>
      <w:r w:rsidR="0064074B">
        <w:rPr>
          <w:rFonts w:cs="Arial"/>
          <w:sz w:val="20"/>
        </w:rPr>
        <w:t> </w:t>
      </w:r>
      <w:r w:rsidRPr="00866FB9">
        <w:rPr>
          <w:rFonts w:cs="Arial"/>
          <w:sz w:val="20"/>
        </w:rPr>
        <w:t>août 2006, J.-F. Clément;</w:t>
      </w:r>
      <w:r>
        <w:rPr>
          <w:rFonts w:cs="Arial"/>
          <w:sz w:val="20"/>
        </w:rPr>
        <w:t xml:space="preserve"> </w:t>
      </w:r>
      <w:r w:rsidRPr="003024F6">
        <w:rPr>
          <w:rFonts w:cs="Arial"/>
          <w:i/>
          <w:iCs/>
          <w:sz w:val="20"/>
        </w:rPr>
        <w:t xml:space="preserve">Charron </w:t>
      </w:r>
      <w:r w:rsidRPr="003024F6">
        <w:rPr>
          <w:rFonts w:cs="Arial"/>
          <w:iCs/>
          <w:sz w:val="20"/>
        </w:rPr>
        <w:t xml:space="preserve">et </w:t>
      </w:r>
      <w:r w:rsidRPr="003024F6">
        <w:rPr>
          <w:rFonts w:cs="Arial"/>
          <w:i/>
          <w:iCs/>
          <w:sz w:val="20"/>
        </w:rPr>
        <w:t xml:space="preserve">Garderie </w:t>
      </w:r>
      <w:smartTag w:uri="urn:schemas-microsoft-com:office:smarttags" w:element="PersonName">
        <w:smartTagPr>
          <w:attr w:name="ProductID" w:val="La Grande Aventure"/>
        </w:smartTagPr>
        <w:r w:rsidRPr="003024F6">
          <w:rPr>
            <w:rFonts w:cs="Arial"/>
            <w:i/>
            <w:iCs/>
            <w:sz w:val="20"/>
          </w:rPr>
          <w:t>La Grande Aventure</w:t>
        </w:r>
      </w:smartTag>
      <w:r w:rsidRPr="003024F6">
        <w:rPr>
          <w:rFonts w:cs="Arial"/>
          <w:i/>
          <w:iCs/>
          <w:sz w:val="20"/>
        </w:rPr>
        <w:t xml:space="preserve"> inc.,</w:t>
      </w:r>
      <w:r w:rsidRPr="003024F6">
        <w:rPr>
          <w:rFonts w:cs="Arial"/>
          <w:sz w:val="20"/>
        </w:rPr>
        <w:t xml:space="preserve"> [2007] C.L.P. 1473</w:t>
      </w:r>
      <w:r>
        <w:rPr>
          <w:rFonts w:cs="Arial"/>
          <w:sz w:val="20"/>
        </w:rPr>
        <w:t>.</w:t>
      </w:r>
    </w:p>
  </w:footnote>
  <w:footnote w:id="11">
    <w:p w14:paraId="33A32D69" w14:textId="25BDF5CB" w:rsidR="00D41306" w:rsidRDefault="00D41306" w:rsidP="00D41306">
      <w:pPr>
        <w:pStyle w:val="Notedebasdepage"/>
        <w:tabs>
          <w:tab w:val="left" w:pos="720"/>
        </w:tabs>
        <w:ind w:left="720" w:hanging="720"/>
        <w:jc w:val="both"/>
        <w:rPr>
          <w:sz w:val="20"/>
        </w:rPr>
      </w:pPr>
      <w:r>
        <w:rPr>
          <w:rStyle w:val="Appelnotedebasdep"/>
        </w:rPr>
        <w:footnoteRef/>
      </w:r>
      <w:r>
        <w:t xml:space="preserve"> </w:t>
      </w:r>
      <w:r>
        <w:tab/>
      </w:r>
      <w:r w:rsidRPr="00866FB9">
        <w:rPr>
          <w:sz w:val="20"/>
        </w:rPr>
        <w:t>Voir notamment :</w:t>
      </w:r>
      <w:r w:rsidRPr="00866FB9">
        <w:t xml:space="preserve"> </w:t>
      </w:r>
      <w:r w:rsidRPr="00866FB9">
        <w:rPr>
          <w:i/>
          <w:sz w:val="20"/>
        </w:rPr>
        <w:t xml:space="preserve">Lafrenière </w:t>
      </w:r>
      <w:r w:rsidRPr="00866FB9">
        <w:rPr>
          <w:sz w:val="20"/>
        </w:rPr>
        <w:t xml:space="preserve">et </w:t>
      </w:r>
      <w:r w:rsidRPr="00866FB9">
        <w:rPr>
          <w:i/>
          <w:sz w:val="20"/>
        </w:rPr>
        <w:t>C.U.M.</w:t>
      </w:r>
      <w:r w:rsidRPr="00866FB9">
        <w:rPr>
          <w:sz w:val="20"/>
        </w:rPr>
        <w:t>, C.A.L.P.</w:t>
      </w:r>
      <w:r w:rsidR="00E56C47">
        <w:rPr>
          <w:sz w:val="20"/>
        </w:rPr>
        <w:t> </w:t>
      </w:r>
      <w:r w:rsidRPr="00866FB9">
        <w:rPr>
          <w:sz w:val="20"/>
        </w:rPr>
        <w:t>91234-62-9709, 25</w:t>
      </w:r>
      <w:r w:rsidR="0064074B">
        <w:rPr>
          <w:sz w:val="20"/>
        </w:rPr>
        <w:t> </w:t>
      </w:r>
      <w:r w:rsidRPr="00866FB9">
        <w:rPr>
          <w:sz w:val="20"/>
        </w:rPr>
        <w:t>mars</w:t>
      </w:r>
      <w:r w:rsidR="002C1E6B">
        <w:rPr>
          <w:sz w:val="20"/>
        </w:rPr>
        <w:t xml:space="preserve"> </w:t>
      </w:r>
      <w:r w:rsidRPr="00866FB9">
        <w:rPr>
          <w:sz w:val="20"/>
        </w:rPr>
        <w:t>1998, J.D. Kushner</w:t>
      </w:r>
      <w:r w:rsidRPr="00D50E48">
        <w:rPr>
          <w:sz w:val="20"/>
        </w:rPr>
        <w:t xml:space="preserve">; </w:t>
      </w:r>
      <w:r w:rsidRPr="00866FB9">
        <w:rPr>
          <w:i/>
          <w:sz w:val="20"/>
        </w:rPr>
        <w:t xml:space="preserve">Dorion </w:t>
      </w:r>
      <w:r w:rsidRPr="00866FB9">
        <w:rPr>
          <w:sz w:val="20"/>
        </w:rPr>
        <w:t xml:space="preserve">et </w:t>
      </w:r>
      <w:r w:rsidRPr="00866FB9">
        <w:rPr>
          <w:i/>
          <w:sz w:val="20"/>
        </w:rPr>
        <w:t>Forlini démolition Québec ltée</w:t>
      </w:r>
      <w:r w:rsidRPr="00866FB9">
        <w:rPr>
          <w:sz w:val="20"/>
        </w:rPr>
        <w:t>, [1999] C.L.P.</w:t>
      </w:r>
      <w:r w:rsidR="00E56C47">
        <w:rPr>
          <w:sz w:val="20"/>
        </w:rPr>
        <w:t> </w:t>
      </w:r>
      <w:r w:rsidRPr="00866FB9">
        <w:rPr>
          <w:sz w:val="20"/>
        </w:rPr>
        <w:t xml:space="preserve">910; </w:t>
      </w:r>
      <w:r w:rsidRPr="00866FB9">
        <w:rPr>
          <w:i/>
          <w:sz w:val="20"/>
        </w:rPr>
        <w:t xml:space="preserve">La Travailleuse </w:t>
      </w:r>
      <w:r w:rsidRPr="00866FB9">
        <w:rPr>
          <w:sz w:val="20"/>
        </w:rPr>
        <w:t xml:space="preserve">et </w:t>
      </w:r>
      <w:r w:rsidRPr="00866FB9">
        <w:rPr>
          <w:i/>
          <w:sz w:val="20"/>
        </w:rPr>
        <w:t>Centre d’hébergement et de soins de longue durée J. Henri Charbonneau</w:t>
      </w:r>
      <w:r w:rsidRPr="00866FB9">
        <w:rPr>
          <w:sz w:val="20"/>
        </w:rPr>
        <w:t>, C.L.P.</w:t>
      </w:r>
      <w:r w:rsidR="00E56C47">
        <w:rPr>
          <w:sz w:val="20"/>
        </w:rPr>
        <w:t> </w:t>
      </w:r>
      <w:r w:rsidRPr="00866FB9">
        <w:rPr>
          <w:sz w:val="20"/>
        </w:rPr>
        <w:t>142253-62-0007</w:t>
      </w:r>
      <w:r w:rsidRPr="00D50E48">
        <w:rPr>
          <w:sz w:val="20"/>
        </w:rPr>
        <w:t xml:space="preserve">, </w:t>
      </w:r>
      <w:r w:rsidRPr="00866FB9">
        <w:rPr>
          <w:sz w:val="20"/>
        </w:rPr>
        <w:t>31 mai</w:t>
      </w:r>
      <w:r w:rsidR="002C1E6B">
        <w:rPr>
          <w:sz w:val="20"/>
        </w:rPr>
        <w:t> </w:t>
      </w:r>
      <w:r w:rsidRPr="00866FB9">
        <w:rPr>
          <w:sz w:val="20"/>
        </w:rPr>
        <w:t xml:space="preserve">2001, H. Marchand; </w:t>
      </w:r>
      <w:r w:rsidRPr="00866FB9">
        <w:rPr>
          <w:i/>
          <w:sz w:val="20"/>
        </w:rPr>
        <w:t xml:space="preserve">Elkoukabi </w:t>
      </w:r>
      <w:r w:rsidRPr="00866FB9">
        <w:rPr>
          <w:sz w:val="20"/>
        </w:rPr>
        <w:t xml:space="preserve">et </w:t>
      </w:r>
      <w:r w:rsidRPr="00866FB9">
        <w:rPr>
          <w:i/>
          <w:sz w:val="20"/>
        </w:rPr>
        <w:t>Pizzéria Stratos</w:t>
      </w:r>
      <w:r w:rsidRPr="00866FB9">
        <w:rPr>
          <w:sz w:val="20"/>
        </w:rPr>
        <w:t>, C.L.P.</w:t>
      </w:r>
      <w:r w:rsidR="00E56C47">
        <w:rPr>
          <w:sz w:val="20"/>
        </w:rPr>
        <w:t> </w:t>
      </w:r>
      <w:r w:rsidRPr="00866FB9">
        <w:rPr>
          <w:sz w:val="20"/>
        </w:rPr>
        <w:t>189915-32-0209, 5 novembre</w:t>
      </w:r>
      <w:r w:rsidR="002C1E6B">
        <w:rPr>
          <w:sz w:val="20"/>
        </w:rPr>
        <w:t> </w:t>
      </w:r>
      <w:r w:rsidRPr="00866FB9">
        <w:rPr>
          <w:sz w:val="20"/>
        </w:rPr>
        <w:t>2002, C. Lessard.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0D2160EC" w14:textId="77777777" w:rsidTr="000A4CC9">
      <w:tc>
        <w:tcPr>
          <w:tcW w:w="8730" w:type="dxa"/>
        </w:tcPr>
        <w:p w14:paraId="13F63A16" w14:textId="77777777" w:rsidR="00D330B6" w:rsidRDefault="00D330B6">
          <w:pPr>
            <w:pStyle w:val="En-tte"/>
            <w:ind w:left="-90"/>
          </w:pPr>
        </w:p>
      </w:tc>
      <w:tc>
        <w:tcPr>
          <w:tcW w:w="860" w:type="dxa"/>
        </w:tcPr>
        <w:p w14:paraId="681F2027" w14:textId="77777777" w:rsidR="00D330B6" w:rsidRDefault="00D330B6">
          <w:pPr>
            <w:pStyle w:val="En-tte"/>
            <w:ind w:left="-90"/>
          </w:pPr>
        </w:p>
      </w:tc>
    </w:tr>
    <w:tr w:rsidR="000A4CC9" w14:paraId="5FDDBDFD" w14:textId="77777777" w:rsidTr="000A4CC9">
      <w:tc>
        <w:tcPr>
          <w:tcW w:w="8730" w:type="dxa"/>
        </w:tcPr>
        <w:p w14:paraId="548FEEA9" w14:textId="41280E08" w:rsidR="000A4CC9" w:rsidRDefault="000A4CC9" w:rsidP="000A4CC9">
          <w:r w:rsidRPr="00E863E9">
            <w:t>1286953</w:t>
          </w:r>
          <w:r>
            <w:t>-</w:t>
          </w:r>
          <w:r w:rsidRPr="00E863E9">
            <w:t>63</w:t>
          </w:r>
          <w:r>
            <w:t>-</w:t>
          </w:r>
          <w:r w:rsidRPr="00E863E9">
            <w:t>2207</w:t>
          </w:r>
        </w:p>
      </w:tc>
      <w:tc>
        <w:tcPr>
          <w:tcW w:w="860" w:type="dxa"/>
        </w:tcPr>
        <w:p w14:paraId="30C3BAB0" w14:textId="77777777" w:rsidR="000A4CC9" w:rsidRDefault="000A4CC9" w:rsidP="000A4CC9">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893C97">
            <w:rPr>
              <w:rStyle w:val="Numrodepage"/>
              <w:noProof/>
            </w:rPr>
            <w:t>2</w:t>
          </w:r>
          <w:r>
            <w:rPr>
              <w:rStyle w:val="Numrodepage"/>
            </w:rPr>
            <w:fldChar w:fldCharType="end"/>
          </w:r>
        </w:p>
      </w:tc>
    </w:tr>
    <w:tr w:rsidR="000A4CC9" w14:paraId="66E1092D" w14:textId="77777777" w:rsidTr="000A4CC9">
      <w:tc>
        <w:tcPr>
          <w:tcW w:w="8730" w:type="dxa"/>
        </w:tcPr>
        <w:p w14:paraId="58CE7AC2" w14:textId="77777777" w:rsidR="000A4CC9" w:rsidRDefault="000A4CC9" w:rsidP="000A4CC9"/>
      </w:tc>
      <w:tc>
        <w:tcPr>
          <w:tcW w:w="860" w:type="dxa"/>
        </w:tcPr>
        <w:p w14:paraId="04485B3E" w14:textId="77777777" w:rsidR="000A4CC9" w:rsidRDefault="000A4CC9" w:rsidP="000A4CC9">
          <w:pPr>
            <w:pStyle w:val="En-tte"/>
            <w:ind w:left="-90"/>
            <w:jc w:val="right"/>
          </w:pPr>
        </w:p>
      </w:tc>
    </w:tr>
  </w:tbl>
  <w:p w14:paraId="6229F144"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F6B59"/>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3"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8" w15:restartNumberingAfterBreak="0">
    <w:nsid w:val="76556088"/>
    <w:multiLevelType w:val="multilevel"/>
    <w:tmpl w:val="A894BBA0"/>
    <w:lvl w:ilvl="0">
      <w:start w:val="1"/>
      <w:numFmt w:val="decimal"/>
      <w:pStyle w:val="corpsdedcision"/>
      <w:lvlText w:val="[%1]"/>
      <w:lvlJc w:val="left"/>
      <w:pPr>
        <w:tabs>
          <w:tab w:val="num" w:pos="360"/>
        </w:tabs>
        <w:ind w:left="0" w:firstLine="0"/>
      </w:pPr>
      <w:rPr>
        <w:i w:val="0"/>
        <w:iCs w:val="0"/>
        <w:sz w:val="24"/>
        <w:szCs w:val="24"/>
      </w:r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9"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0"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7BF2503E"/>
    <w:multiLevelType w:val="singleLevel"/>
    <w:tmpl w:val="37CCF846"/>
    <w:lvl w:ilvl="0">
      <w:start w:val="1"/>
      <w:numFmt w:val="bullet"/>
      <w:lvlText w:val=""/>
      <w:lvlJc w:val="left"/>
      <w:pPr>
        <w:tabs>
          <w:tab w:val="num" w:pos="360"/>
        </w:tabs>
        <w:ind w:left="360" w:hanging="360"/>
      </w:pPr>
      <w:rPr>
        <w:rFonts w:ascii="Symbol" w:hAnsi="Symbol" w:hint="default"/>
        <w:sz w:val="20"/>
        <w:szCs w:val="16"/>
      </w:rPr>
    </w:lvl>
  </w:abstractNum>
  <w:num w:numId="1">
    <w:abstractNumId w:val="8"/>
  </w:num>
  <w:num w:numId="2">
    <w:abstractNumId w:val="7"/>
  </w:num>
  <w:num w:numId="3">
    <w:abstractNumId w:val="6"/>
  </w:num>
  <w:num w:numId="4">
    <w:abstractNumId w:val="4"/>
  </w:num>
  <w:num w:numId="5">
    <w:abstractNumId w:val="10"/>
  </w:num>
  <w:num w:numId="6">
    <w:abstractNumId w:val="10"/>
  </w:num>
  <w:num w:numId="7">
    <w:abstractNumId w:val="1"/>
  </w:num>
  <w:num w:numId="8">
    <w:abstractNumId w:val="3"/>
  </w:num>
  <w:num w:numId="9">
    <w:abstractNumId w:val="2"/>
  </w:num>
  <w:num w:numId="10">
    <w:abstractNumId w:val="9"/>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E9"/>
    <w:rsid w:val="000034B0"/>
    <w:rsid w:val="000041A1"/>
    <w:rsid w:val="00006DD2"/>
    <w:rsid w:val="0001305E"/>
    <w:rsid w:val="00016D99"/>
    <w:rsid w:val="00021B30"/>
    <w:rsid w:val="00021E4C"/>
    <w:rsid w:val="00022556"/>
    <w:rsid w:val="00023858"/>
    <w:rsid w:val="000352CA"/>
    <w:rsid w:val="000366EC"/>
    <w:rsid w:val="00036794"/>
    <w:rsid w:val="00043E4D"/>
    <w:rsid w:val="000536CC"/>
    <w:rsid w:val="000559A8"/>
    <w:rsid w:val="00055A3E"/>
    <w:rsid w:val="00056393"/>
    <w:rsid w:val="00057739"/>
    <w:rsid w:val="0007225E"/>
    <w:rsid w:val="00074ABE"/>
    <w:rsid w:val="00074EAE"/>
    <w:rsid w:val="000756D0"/>
    <w:rsid w:val="00076D81"/>
    <w:rsid w:val="00080885"/>
    <w:rsid w:val="00082A97"/>
    <w:rsid w:val="00083708"/>
    <w:rsid w:val="0008378A"/>
    <w:rsid w:val="0008784D"/>
    <w:rsid w:val="00090018"/>
    <w:rsid w:val="00090306"/>
    <w:rsid w:val="00090F69"/>
    <w:rsid w:val="00093ACD"/>
    <w:rsid w:val="00095814"/>
    <w:rsid w:val="00097D81"/>
    <w:rsid w:val="00097FCE"/>
    <w:rsid w:val="000A1DAC"/>
    <w:rsid w:val="000A4AD0"/>
    <w:rsid w:val="000A4CC9"/>
    <w:rsid w:val="000A5AD1"/>
    <w:rsid w:val="000A63DF"/>
    <w:rsid w:val="000A77C5"/>
    <w:rsid w:val="000B6275"/>
    <w:rsid w:val="000B7F1B"/>
    <w:rsid w:val="000C710F"/>
    <w:rsid w:val="000D3948"/>
    <w:rsid w:val="000D6B73"/>
    <w:rsid w:val="000E0C28"/>
    <w:rsid w:val="000E0C3A"/>
    <w:rsid w:val="000E1320"/>
    <w:rsid w:val="000E3FF6"/>
    <w:rsid w:val="000E56A6"/>
    <w:rsid w:val="000F20A5"/>
    <w:rsid w:val="000F3423"/>
    <w:rsid w:val="000F5F81"/>
    <w:rsid w:val="00100AB8"/>
    <w:rsid w:val="00104550"/>
    <w:rsid w:val="00104C3D"/>
    <w:rsid w:val="001050B4"/>
    <w:rsid w:val="001144AB"/>
    <w:rsid w:val="0012224D"/>
    <w:rsid w:val="001225BC"/>
    <w:rsid w:val="00122A9E"/>
    <w:rsid w:val="00122F94"/>
    <w:rsid w:val="0012326A"/>
    <w:rsid w:val="00132622"/>
    <w:rsid w:val="00137E7E"/>
    <w:rsid w:val="001407FC"/>
    <w:rsid w:val="00144572"/>
    <w:rsid w:val="00146116"/>
    <w:rsid w:val="00147A49"/>
    <w:rsid w:val="00147B8B"/>
    <w:rsid w:val="00150A47"/>
    <w:rsid w:val="0015125A"/>
    <w:rsid w:val="00152464"/>
    <w:rsid w:val="0015539F"/>
    <w:rsid w:val="00160597"/>
    <w:rsid w:val="00162ECC"/>
    <w:rsid w:val="001664C8"/>
    <w:rsid w:val="00167AD0"/>
    <w:rsid w:val="00167DEF"/>
    <w:rsid w:val="00167E9D"/>
    <w:rsid w:val="00172D62"/>
    <w:rsid w:val="00173184"/>
    <w:rsid w:val="00175079"/>
    <w:rsid w:val="001761B9"/>
    <w:rsid w:val="00183515"/>
    <w:rsid w:val="001846FC"/>
    <w:rsid w:val="001924FE"/>
    <w:rsid w:val="001965E1"/>
    <w:rsid w:val="001A03BE"/>
    <w:rsid w:val="001A067E"/>
    <w:rsid w:val="001A2900"/>
    <w:rsid w:val="001A4081"/>
    <w:rsid w:val="001A65F1"/>
    <w:rsid w:val="001B2B40"/>
    <w:rsid w:val="001B3E9D"/>
    <w:rsid w:val="001B4A40"/>
    <w:rsid w:val="001B5524"/>
    <w:rsid w:val="001B6D8A"/>
    <w:rsid w:val="001C16D3"/>
    <w:rsid w:val="001C19D4"/>
    <w:rsid w:val="001C2B0B"/>
    <w:rsid w:val="001C436D"/>
    <w:rsid w:val="001D63C8"/>
    <w:rsid w:val="001D65D8"/>
    <w:rsid w:val="001E3DFD"/>
    <w:rsid w:val="001E42F0"/>
    <w:rsid w:val="001E497A"/>
    <w:rsid w:val="001E5E3B"/>
    <w:rsid w:val="00204101"/>
    <w:rsid w:val="00210B38"/>
    <w:rsid w:val="00216F10"/>
    <w:rsid w:val="00225C46"/>
    <w:rsid w:val="00226493"/>
    <w:rsid w:val="00227040"/>
    <w:rsid w:val="00230CFC"/>
    <w:rsid w:val="0023162A"/>
    <w:rsid w:val="00231C1D"/>
    <w:rsid w:val="00233532"/>
    <w:rsid w:val="00234324"/>
    <w:rsid w:val="00234BC8"/>
    <w:rsid w:val="00241CB8"/>
    <w:rsid w:val="00241CED"/>
    <w:rsid w:val="00242FB4"/>
    <w:rsid w:val="00245605"/>
    <w:rsid w:val="00253066"/>
    <w:rsid w:val="002542E0"/>
    <w:rsid w:val="002563F0"/>
    <w:rsid w:val="00256DBB"/>
    <w:rsid w:val="00260100"/>
    <w:rsid w:val="00260119"/>
    <w:rsid w:val="00266064"/>
    <w:rsid w:val="00267C8D"/>
    <w:rsid w:val="002701DD"/>
    <w:rsid w:val="002710FD"/>
    <w:rsid w:val="00273F49"/>
    <w:rsid w:val="002769B5"/>
    <w:rsid w:val="00276B25"/>
    <w:rsid w:val="00276B59"/>
    <w:rsid w:val="00281319"/>
    <w:rsid w:val="00286149"/>
    <w:rsid w:val="0028668D"/>
    <w:rsid w:val="00290289"/>
    <w:rsid w:val="00290C12"/>
    <w:rsid w:val="00292188"/>
    <w:rsid w:val="002923D9"/>
    <w:rsid w:val="00296645"/>
    <w:rsid w:val="00296A4B"/>
    <w:rsid w:val="00297284"/>
    <w:rsid w:val="002A0077"/>
    <w:rsid w:val="002A07DC"/>
    <w:rsid w:val="002A3573"/>
    <w:rsid w:val="002A374B"/>
    <w:rsid w:val="002A72F7"/>
    <w:rsid w:val="002A73E9"/>
    <w:rsid w:val="002B132B"/>
    <w:rsid w:val="002B2FC3"/>
    <w:rsid w:val="002B35F0"/>
    <w:rsid w:val="002B58AF"/>
    <w:rsid w:val="002C1E6B"/>
    <w:rsid w:val="002C3748"/>
    <w:rsid w:val="002C5E89"/>
    <w:rsid w:val="002D42BC"/>
    <w:rsid w:val="002D71A9"/>
    <w:rsid w:val="002D7846"/>
    <w:rsid w:val="002D7FCB"/>
    <w:rsid w:val="002E05AE"/>
    <w:rsid w:val="002F7507"/>
    <w:rsid w:val="0030059B"/>
    <w:rsid w:val="003024F6"/>
    <w:rsid w:val="00302FB4"/>
    <w:rsid w:val="00305273"/>
    <w:rsid w:val="003057FC"/>
    <w:rsid w:val="00305AFB"/>
    <w:rsid w:val="00307C85"/>
    <w:rsid w:val="00312983"/>
    <w:rsid w:val="00323DC5"/>
    <w:rsid w:val="003248CB"/>
    <w:rsid w:val="00331EA7"/>
    <w:rsid w:val="003332B8"/>
    <w:rsid w:val="00337555"/>
    <w:rsid w:val="00343B46"/>
    <w:rsid w:val="00344465"/>
    <w:rsid w:val="0034740A"/>
    <w:rsid w:val="0035375B"/>
    <w:rsid w:val="00362D74"/>
    <w:rsid w:val="003664E9"/>
    <w:rsid w:val="00366D1E"/>
    <w:rsid w:val="003703A5"/>
    <w:rsid w:val="0037112C"/>
    <w:rsid w:val="00373EE5"/>
    <w:rsid w:val="003817E7"/>
    <w:rsid w:val="00382E55"/>
    <w:rsid w:val="00390B55"/>
    <w:rsid w:val="003961B2"/>
    <w:rsid w:val="003A41AD"/>
    <w:rsid w:val="003B0C41"/>
    <w:rsid w:val="003B152B"/>
    <w:rsid w:val="003B1734"/>
    <w:rsid w:val="003B1735"/>
    <w:rsid w:val="003B2D2E"/>
    <w:rsid w:val="003B6CBF"/>
    <w:rsid w:val="003C47A7"/>
    <w:rsid w:val="003D0826"/>
    <w:rsid w:val="003D18FC"/>
    <w:rsid w:val="003D1D21"/>
    <w:rsid w:val="003D3C93"/>
    <w:rsid w:val="003D71BB"/>
    <w:rsid w:val="003E00D5"/>
    <w:rsid w:val="003E02BA"/>
    <w:rsid w:val="003F0578"/>
    <w:rsid w:val="003F7F38"/>
    <w:rsid w:val="00401325"/>
    <w:rsid w:val="004019AA"/>
    <w:rsid w:val="0040399B"/>
    <w:rsid w:val="00406F0C"/>
    <w:rsid w:val="004106DB"/>
    <w:rsid w:val="00410A9A"/>
    <w:rsid w:val="00411251"/>
    <w:rsid w:val="00412585"/>
    <w:rsid w:val="0041363B"/>
    <w:rsid w:val="00414FA8"/>
    <w:rsid w:val="00415D5D"/>
    <w:rsid w:val="0041643A"/>
    <w:rsid w:val="004232E9"/>
    <w:rsid w:val="0042650F"/>
    <w:rsid w:val="0042684F"/>
    <w:rsid w:val="00427D5D"/>
    <w:rsid w:val="00431E0B"/>
    <w:rsid w:val="004337FE"/>
    <w:rsid w:val="00433E98"/>
    <w:rsid w:val="00435738"/>
    <w:rsid w:val="00437137"/>
    <w:rsid w:val="004403B8"/>
    <w:rsid w:val="00441ADA"/>
    <w:rsid w:val="004422CA"/>
    <w:rsid w:val="0044274C"/>
    <w:rsid w:val="0044371C"/>
    <w:rsid w:val="0044627E"/>
    <w:rsid w:val="0045114F"/>
    <w:rsid w:val="004529D3"/>
    <w:rsid w:val="00453F31"/>
    <w:rsid w:val="00456B0C"/>
    <w:rsid w:val="00460101"/>
    <w:rsid w:val="0046538B"/>
    <w:rsid w:val="00471C92"/>
    <w:rsid w:val="004739AC"/>
    <w:rsid w:val="00474489"/>
    <w:rsid w:val="00475FEF"/>
    <w:rsid w:val="0047680F"/>
    <w:rsid w:val="00477536"/>
    <w:rsid w:val="0047776F"/>
    <w:rsid w:val="00482D5B"/>
    <w:rsid w:val="004832E2"/>
    <w:rsid w:val="004870EA"/>
    <w:rsid w:val="004873EC"/>
    <w:rsid w:val="00487F13"/>
    <w:rsid w:val="0049595F"/>
    <w:rsid w:val="00496193"/>
    <w:rsid w:val="004A02AF"/>
    <w:rsid w:val="004A2D66"/>
    <w:rsid w:val="004A4449"/>
    <w:rsid w:val="004A679B"/>
    <w:rsid w:val="004C0FB4"/>
    <w:rsid w:val="004C1811"/>
    <w:rsid w:val="004C2944"/>
    <w:rsid w:val="004C4555"/>
    <w:rsid w:val="004D16D6"/>
    <w:rsid w:val="004D6CEA"/>
    <w:rsid w:val="004E0E02"/>
    <w:rsid w:val="004E3564"/>
    <w:rsid w:val="004E3D9F"/>
    <w:rsid w:val="004E51C0"/>
    <w:rsid w:val="004E64BE"/>
    <w:rsid w:val="004F6293"/>
    <w:rsid w:val="00503B8D"/>
    <w:rsid w:val="00503EE3"/>
    <w:rsid w:val="00505811"/>
    <w:rsid w:val="0051261C"/>
    <w:rsid w:val="00515DE7"/>
    <w:rsid w:val="00517EB0"/>
    <w:rsid w:val="005205CB"/>
    <w:rsid w:val="0052430C"/>
    <w:rsid w:val="005348E4"/>
    <w:rsid w:val="00534D8F"/>
    <w:rsid w:val="005352F1"/>
    <w:rsid w:val="00540094"/>
    <w:rsid w:val="00545CFF"/>
    <w:rsid w:val="00547A9C"/>
    <w:rsid w:val="00555800"/>
    <w:rsid w:val="00556DBB"/>
    <w:rsid w:val="00560781"/>
    <w:rsid w:val="0056268F"/>
    <w:rsid w:val="005662E9"/>
    <w:rsid w:val="005700F8"/>
    <w:rsid w:val="00572AAF"/>
    <w:rsid w:val="005757E6"/>
    <w:rsid w:val="00577848"/>
    <w:rsid w:val="005801AE"/>
    <w:rsid w:val="00582868"/>
    <w:rsid w:val="00582ECC"/>
    <w:rsid w:val="0058399B"/>
    <w:rsid w:val="0058692F"/>
    <w:rsid w:val="00587045"/>
    <w:rsid w:val="00587C22"/>
    <w:rsid w:val="005907BE"/>
    <w:rsid w:val="0059436D"/>
    <w:rsid w:val="005945C0"/>
    <w:rsid w:val="00596AB2"/>
    <w:rsid w:val="00597016"/>
    <w:rsid w:val="005974B7"/>
    <w:rsid w:val="005A0D51"/>
    <w:rsid w:val="005A181B"/>
    <w:rsid w:val="005A1CB3"/>
    <w:rsid w:val="005A3073"/>
    <w:rsid w:val="005A33A5"/>
    <w:rsid w:val="005A37D7"/>
    <w:rsid w:val="005A5437"/>
    <w:rsid w:val="005A6969"/>
    <w:rsid w:val="005A70A0"/>
    <w:rsid w:val="005B0612"/>
    <w:rsid w:val="005B13F0"/>
    <w:rsid w:val="005B2E0C"/>
    <w:rsid w:val="005B30F6"/>
    <w:rsid w:val="005B45BA"/>
    <w:rsid w:val="005B5689"/>
    <w:rsid w:val="005B6680"/>
    <w:rsid w:val="005B6774"/>
    <w:rsid w:val="005C0A89"/>
    <w:rsid w:val="005C3BC4"/>
    <w:rsid w:val="005D26CC"/>
    <w:rsid w:val="005D4711"/>
    <w:rsid w:val="005D59B1"/>
    <w:rsid w:val="005D764B"/>
    <w:rsid w:val="005E2367"/>
    <w:rsid w:val="005E34D2"/>
    <w:rsid w:val="005E5E90"/>
    <w:rsid w:val="005E62C7"/>
    <w:rsid w:val="005E654C"/>
    <w:rsid w:val="005F05F6"/>
    <w:rsid w:val="005F0D07"/>
    <w:rsid w:val="00605734"/>
    <w:rsid w:val="006103BC"/>
    <w:rsid w:val="0061488E"/>
    <w:rsid w:val="0061574B"/>
    <w:rsid w:val="00616406"/>
    <w:rsid w:val="00622670"/>
    <w:rsid w:val="00623328"/>
    <w:rsid w:val="00623A1A"/>
    <w:rsid w:val="00626E8D"/>
    <w:rsid w:val="0063156B"/>
    <w:rsid w:val="006326A9"/>
    <w:rsid w:val="00632DA8"/>
    <w:rsid w:val="00634B75"/>
    <w:rsid w:val="00634C4B"/>
    <w:rsid w:val="00634E6E"/>
    <w:rsid w:val="0063651F"/>
    <w:rsid w:val="0064074B"/>
    <w:rsid w:val="0064342A"/>
    <w:rsid w:val="00643A28"/>
    <w:rsid w:val="006452FA"/>
    <w:rsid w:val="0065093D"/>
    <w:rsid w:val="00652A16"/>
    <w:rsid w:val="00655193"/>
    <w:rsid w:val="00655459"/>
    <w:rsid w:val="00656FB2"/>
    <w:rsid w:val="00657A70"/>
    <w:rsid w:val="00661454"/>
    <w:rsid w:val="006620AA"/>
    <w:rsid w:val="006626AF"/>
    <w:rsid w:val="0066642D"/>
    <w:rsid w:val="006722E2"/>
    <w:rsid w:val="006730EC"/>
    <w:rsid w:val="00675E85"/>
    <w:rsid w:val="0067750F"/>
    <w:rsid w:val="00681396"/>
    <w:rsid w:val="0068171F"/>
    <w:rsid w:val="0068401E"/>
    <w:rsid w:val="006841A4"/>
    <w:rsid w:val="0068643F"/>
    <w:rsid w:val="006865DF"/>
    <w:rsid w:val="006877A1"/>
    <w:rsid w:val="00692150"/>
    <w:rsid w:val="00692F0C"/>
    <w:rsid w:val="006944B0"/>
    <w:rsid w:val="00696E7C"/>
    <w:rsid w:val="00696EF2"/>
    <w:rsid w:val="006A0C54"/>
    <w:rsid w:val="006A3E54"/>
    <w:rsid w:val="006A7C53"/>
    <w:rsid w:val="006B140A"/>
    <w:rsid w:val="006B309C"/>
    <w:rsid w:val="006B4316"/>
    <w:rsid w:val="006B727F"/>
    <w:rsid w:val="006C1B57"/>
    <w:rsid w:val="006C6D3A"/>
    <w:rsid w:val="006C7B36"/>
    <w:rsid w:val="006C7B7F"/>
    <w:rsid w:val="006D19E8"/>
    <w:rsid w:val="006D7768"/>
    <w:rsid w:val="006E04B5"/>
    <w:rsid w:val="006E330C"/>
    <w:rsid w:val="006E3DD8"/>
    <w:rsid w:val="006E793F"/>
    <w:rsid w:val="006F0154"/>
    <w:rsid w:val="006F608D"/>
    <w:rsid w:val="006F7944"/>
    <w:rsid w:val="00704121"/>
    <w:rsid w:val="00705BB5"/>
    <w:rsid w:val="0071326F"/>
    <w:rsid w:val="007153D7"/>
    <w:rsid w:val="00720ED4"/>
    <w:rsid w:val="00722736"/>
    <w:rsid w:val="0073478F"/>
    <w:rsid w:val="0074488F"/>
    <w:rsid w:val="00745AA8"/>
    <w:rsid w:val="007503E0"/>
    <w:rsid w:val="007510EC"/>
    <w:rsid w:val="0075233C"/>
    <w:rsid w:val="0075256A"/>
    <w:rsid w:val="00752DCD"/>
    <w:rsid w:val="007569DE"/>
    <w:rsid w:val="0075723C"/>
    <w:rsid w:val="00757970"/>
    <w:rsid w:val="0076146A"/>
    <w:rsid w:val="0076350E"/>
    <w:rsid w:val="00763F36"/>
    <w:rsid w:val="00775BDF"/>
    <w:rsid w:val="0077614D"/>
    <w:rsid w:val="00782C8F"/>
    <w:rsid w:val="00785F78"/>
    <w:rsid w:val="0078659D"/>
    <w:rsid w:val="007869EC"/>
    <w:rsid w:val="00791ED8"/>
    <w:rsid w:val="007959E8"/>
    <w:rsid w:val="007A1E58"/>
    <w:rsid w:val="007A5C7E"/>
    <w:rsid w:val="007A63F9"/>
    <w:rsid w:val="007A69A9"/>
    <w:rsid w:val="007A6E2F"/>
    <w:rsid w:val="007B0DF2"/>
    <w:rsid w:val="007B3BC5"/>
    <w:rsid w:val="007B6F8D"/>
    <w:rsid w:val="007C0C60"/>
    <w:rsid w:val="007C1832"/>
    <w:rsid w:val="007D03DF"/>
    <w:rsid w:val="007D4953"/>
    <w:rsid w:val="007D50F4"/>
    <w:rsid w:val="007D7173"/>
    <w:rsid w:val="007E1216"/>
    <w:rsid w:val="007E4CD4"/>
    <w:rsid w:val="007E530C"/>
    <w:rsid w:val="007F0E8E"/>
    <w:rsid w:val="007F2149"/>
    <w:rsid w:val="007F4D43"/>
    <w:rsid w:val="007F4E00"/>
    <w:rsid w:val="008048CF"/>
    <w:rsid w:val="008079DD"/>
    <w:rsid w:val="0081130F"/>
    <w:rsid w:val="00813095"/>
    <w:rsid w:val="008145AD"/>
    <w:rsid w:val="008146B2"/>
    <w:rsid w:val="00824430"/>
    <w:rsid w:val="00824E56"/>
    <w:rsid w:val="00825B1F"/>
    <w:rsid w:val="00827D55"/>
    <w:rsid w:val="00832C84"/>
    <w:rsid w:val="008333A0"/>
    <w:rsid w:val="00840EDD"/>
    <w:rsid w:val="0084255F"/>
    <w:rsid w:val="00846FB1"/>
    <w:rsid w:val="008506F9"/>
    <w:rsid w:val="00854FB3"/>
    <w:rsid w:val="00857FCA"/>
    <w:rsid w:val="00860F13"/>
    <w:rsid w:val="0086199C"/>
    <w:rsid w:val="00861F8B"/>
    <w:rsid w:val="00862EF3"/>
    <w:rsid w:val="0086561F"/>
    <w:rsid w:val="00865A7A"/>
    <w:rsid w:val="00865FE1"/>
    <w:rsid w:val="00866FB9"/>
    <w:rsid w:val="0087069B"/>
    <w:rsid w:val="00874542"/>
    <w:rsid w:val="008748C7"/>
    <w:rsid w:val="0087521A"/>
    <w:rsid w:val="008808C0"/>
    <w:rsid w:val="00882255"/>
    <w:rsid w:val="00890BDE"/>
    <w:rsid w:val="00892AD3"/>
    <w:rsid w:val="00893C97"/>
    <w:rsid w:val="00894155"/>
    <w:rsid w:val="00895B17"/>
    <w:rsid w:val="008962E7"/>
    <w:rsid w:val="008A1118"/>
    <w:rsid w:val="008A281F"/>
    <w:rsid w:val="008A48D2"/>
    <w:rsid w:val="008A4AF6"/>
    <w:rsid w:val="008A4FF8"/>
    <w:rsid w:val="008A5ED1"/>
    <w:rsid w:val="008A73CE"/>
    <w:rsid w:val="008A7FD1"/>
    <w:rsid w:val="008B042E"/>
    <w:rsid w:val="008B211E"/>
    <w:rsid w:val="008B6D48"/>
    <w:rsid w:val="008C7660"/>
    <w:rsid w:val="008C79A7"/>
    <w:rsid w:val="008D5521"/>
    <w:rsid w:val="008D555F"/>
    <w:rsid w:val="008D625D"/>
    <w:rsid w:val="008D650E"/>
    <w:rsid w:val="008D6F9F"/>
    <w:rsid w:val="008E673E"/>
    <w:rsid w:val="008E67D1"/>
    <w:rsid w:val="008E6A41"/>
    <w:rsid w:val="008E6FC1"/>
    <w:rsid w:val="008F15D5"/>
    <w:rsid w:val="008F20EA"/>
    <w:rsid w:val="008F79C4"/>
    <w:rsid w:val="00903990"/>
    <w:rsid w:val="009042A8"/>
    <w:rsid w:val="00904950"/>
    <w:rsid w:val="0091442E"/>
    <w:rsid w:val="00915E5E"/>
    <w:rsid w:val="009166B8"/>
    <w:rsid w:val="00916FA5"/>
    <w:rsid w:val="00917915"/>
    <w:rsid w:val="00920684"/>
    <w:rsid w:val="009216E6"/>
    <w:rsid w:val="009224EC"/>
    <w:rsid w:val="00922DB7"/>
    <w:rsid w:val="00926209"/>
    <w:rsid w:val="0092684A"/>
    <w:rsid w:val="00927654"/>
    <w:rsid w:val="00932E48"/>
    <w:rsid w:val="00937FAB"/>
    <w:rsid w:val="0094094D"/>
    <w:rsid w:val="00942AB8"/>
    <w:rsid w:val="0094548C"/>
    <w:rsid w:val="00945CAF"/>
    <w:rsid w:val="00946AC9"/>
    <w:rsid w:val="00947448"/>
    <w:rsid w:val="00952B38"/>
    <w:rsid w:val="00952C99"/>
    <w:rsid w:val="009619EB"/>
    <w:rsid w:val="00965333"/>
    <w:rsid w:val="009712EF"/>
    <w:rsid w:val="009727BF"/>
    <w:rsid w:val="00973321"/>
    <w:rsid w:val="00975C2E"/>
    <w:rsid w:val="009770EB"/>
    <w:rsid w:val="00977270"/>
    <w:rsid w:val="009824F2"/>
    <w:rsid w:val="00983080"/>
    <w:rsid w:val="00986AA3"/>
    <w:rsid w:val="00993B24"/>
    <w:rsid w:val="0099611F"/>
    <w:rsid w:val="009A083F"/>
    <w:rsid w:val="009A135C"/>
    <w:rsid w:val="009A14A8"/>
    <w:rsid w:val="009A67E7"/>
    <w:rsid w:val="009C603A"/>
    <w:rsid w:val="009C74CD"/>
    <w:rsid w:val="009D048F"/>
    <w:rsid w:val="009D162F"/>
    <w:rsid w:val="009D23FF"/>
    <w:rsid w:val="009D401F"/>
    <w:rsid w:val="009D5B42"/>
    <w:rsid w:val="009D68FA"/>
    <w:rsid w:val="009E1E4F"/>
    <w:rsid w:val="009E32CF"/>
    <w:rsid w:val="009E4261"/>
    <w:rsid w:val="009E4FC2"/>
    <w:rsid w:val="009F44AE"/>
    <w:rsid w:val="009F59B9"/>
    <w:rsid w:val="00A02529"/>
    <w:rsid w:val="00A02EF2"/>
    <w:rsid w:val="00A04D5E"/>
    <w:rsid w:val="00A10DDF"/>
    <w:rsid w:val="00A11172"/>
    <w:rsid w:val="00A1219E"/>
    <w:rsid w:val="00A12E55"/>
    <w:rsid w:val="00A168D7"/>
    <w:rsid w:val="00A20F81"/>
    <w:rsid w:val="00A2411A"/>
    <w:rsid w:val="00A242E4"/>
    <w:rsid w:val="00A24437"/>
    <w:rsid w:val="00A24CA0"/>
    <w:rsid w:val="00A25D4B"/>
    <w:rsid w:val="00A33601"/>
    <w:rsid w:val="00A3362A"/>
    <w:rsid w:val="00A34251"/>
    <w:rsid w:val="00A35278"/>
    <w:rsid w:val="00A36257"/>
    <w:rsid w:val="00A37045"/>
    <w:rsid w:val="00A37B70"/>
    <w:rsid w:val="00A40AC7"/>
    <w:rsid w:val="00A435C7"/>
    <w:rsid w:val="00A55607"/>
    <w:rsid w:val="00A569B2"/>
    <w:rsid w:val="00A60CDA"/>
    <w:rsid w:val="00A611A4"/>
    <w:rsid w:val="00A61F09"/>
    <w:rsid w:val="00A637ED"/>
    <w:rsid w:val="00A63E1A"/>
    <w:rsid w:val="00A643DC"/>
    <w:rsid w:val="00A6695B"/>
    <w:rsid w:val="00A72703"/>
    <w:rsid w:val="00A727F6"/>
    <w:rsid w:val="00A72E71"/>
    <w:rsid w:val="00A76432"/>
    <w:rsid w:val="00A770C0"/>
    <w:rsid w:val="00A84F6E"/>
    <w:rsid w:val="00A84FC6"/>
    <w:rsid w:val="00A8528E"/>
    <w:rsid w:val="00A90064"/>
    <w:rsid w:val="00A90BD9"/>
    <w:rsid w:val="00A9101B"/>
    <w:rsid w:val="00A94A49"/>
    <w:rsid w:val="00A95C5E"/>
    <w:rsid w:val="00AA1815"/>
    <w:rsid w:val="00AA1D3E"/>
    <w:rsid w:val="00AA20E7"/>
    <w:rsid w:val="00AA39F9"/>
    <w:rsid w:val="00AA51D3"/>
    <w:rsid w:val="00AA79D3"/>
    <w:rsid w:val="00AB0931"/>
    <w:rsid w:val="00AB4DC4"/>
    <w:rsid w:val="00AB5C9B"/>
    <w:rsid w:val="00AC0159"/>
    <w:rsid w:val="00AC0276"/>
    <w:rsid w:val="00AC0312"/>
    <w:rsid w:val="00AC0449"/>
    <w:rsid w:val="00AC0DC3"/>
    <w:rsid w:val="00AD035F"/>
    <w:rsid w:val="00AD2497"/>
    <w:rsid w:val="00AD5C04"/>
    <w:rsid w:val="00AD5EB4"/>
    <w:rsid w:val="00AD667B"/>
    <w:rsid w:val="00AE4172"/>
    <w:rsid w:val="00AE63E2"/>
    <w:rsid w:val="00AE7976"/>
    <w:rsid w:val="00AF04C9"/>
    <w:rsid w:val="00AF19A2"/>
    <w:rsid w:val="00AF1DC4"/>
    <w:rsid w:val="00AF26B6"/>
    <w:rsid w:val="00AF2979"/>
    <w:rsid w:val="00AF3189"/>
    <w:rsid w:val="00AF5BF8"/>
    <w:rsid w:val="00B0375C"/>
    <w:rsid w:val="00B052CB"/>
    <w:rsid w:val="00B156C3"/>
    <w:rsid w:val="00B15F67"/>
    <w:rsid w:val="00B1624F"/>
    <w:rsid w:val="00B17BCA"/>
    <w:rsid w:val="00B20F5D"/>
    <w:rsid w:val="00B21184"/>
    <w:rsid w:val="00B21B75"/>
    <w:rsid w:val="00B224C5"/>
    <w:rsid w:val="00B325CD"/>
    <w:rsid w:val="00B36C0F"/>
    <w:rsid w:val="00B37793"/>
    <w:rsid w:val="00B41203"/>
    <w:rsid w:val="00B4561E"/>
    <w:rsid w:val="00B4768D"/>
    <w:rsid w:val="00B518E5"/>
    <w:rsid w:val="00B51E1F"/>
    <w:rsid w:val="00B52601"/>
    <w:rsid w:val="00B57032"/>
    <w:rsid w:val="00B60222"/>
    <w:rsid w:val="00B62CFB"/>
    <w:rsid w:val="00B662F5"/>
    <w:rsid w:val="00B7000C"/>
    <w:rsid w:val="00B760D5"/>
    <w:rsid w:val="00B77495"/>
    <w:rsid w:val="00B83B2C"/>
    <w:rsid w:val="00B92049"/>
    <w:rsid w:val="00B94740"/>
    <w:rsid w:val="00B95002"/>
    <w:rsid w:val="00B96D7B"/>
    <w:rsid w:val="00B97F75"/>
    <w:rsid w:val="00BA0A4F"/>
    <w:rsid w:val="00BA1CAE"/>
    <w:rsid w:val="00BA33BB"/>
    <w:rsid w:val="00BA3CB6"/>
    <w:rsid w:val="00BA4830"/>
    <w:rsid w:val="00BA6E22"/>
    <w:rsid w:val="00BB1460"/>
    <w:rsid w:val="00BB362C"/>
    <w:rsid w:val="00BB5942"/>
    <w:rsid w:val="00BC0A03"/>
    <w:rsid w:val="00BC4A42"/>
    <w:rsid w:val="00BC5BB4"/>
    <w:rsid w:val="00BD4139"/>
    <w:rsid w:val="00BE059A"/>
    <w:rsid w:val="00BE1981"/>
    <w:rsid w:val="00BE2DA6"/>
    <w:rsid w:val="00BE2E86"/>
    <w:rsid w:val="00BE320B"/>
    <w:rsid w:val="00BE56E9"/>
    <w:rsid w:val="00BE63CF"/>
    <w:rsid w:val="00BE7014"/>
    <w:rsid w:val="00BE7991"/>
    <w:rsid w:val="00BF25C7"/>
    <w:rsid w:val="00C009B7"/>
    <w:rsid w:val="00C02B8F"/>
    <w:rsid w:val="00C04E32"/>
    <w:rsid w:val="00C116B1"/>
    <w:rsid w:val="00C15A3F"/>
    <w:rsid w:val="00C20630"/>
    <w:rsid w:val="00C224A4"/>
    <w:rsid w:val="00C22F7A"/>
    <w:rsid w:val="00C242CA"/>
    <w:rsid w:val="00C2666F"/>
    <w:rsid w:val="00C32020"/>
    <w:rsid w:val="00C32D02"/>
    <w:rsid w:val="00C3408C"/>
    <w:rsid w:val="00C3484D"/>
    <w:rsid w:val="00C351CC"/>
    <w:rsid w:val="00C35435"/>
    <w:rsid w:val="00C432FD"/>
    <w:rsid w:val="00C43CDF"/>
    <w:rsid w:val="00C4608E"/>
    <w:rsid w:val="00C512B2"/>
    <w:rsid w:val="00C53B5D"/>
    <w:rsid w:val="00C571FB"/>
    <w:rsid w:val="00C57381"/>
    <w:rsid w:val="00C61D56"/>
    <w:rsid w:val="00C62B69"/>
    <w:rsid w:val="00C644B7"/>
    <w:rsid w:val="00C64564"/>
    <w:rsid w:val="00C66D6F"/>
    <w:rsid w:val="00C71377"/>
    <w:rsid w:val="00C73C87"/>
    <w:rsid w:val="00C74B6F"/>
    <w:rsid w:val="00C87EF3"/>
    <w:rsid w:val="00C9015F"/>
    <w:rsid w:val="00C912F9"/>
    <w:rsid w:val="00C91B22"/>
    <w:rsid w:val="00C9241B"/>
    <w:rsid w:val="00C9370B"/>
    <w:rsid w:val="00C96DDF"/>
    <w:rsid w:val="00C97569"/>
    <w:rsid w:val="00CA199D"/>
    <w:rsid w:val="00CA4D9C"/>
    <w:rsid w:val="00CB05A7"/>
    <w:rsid w:val="00CB06A4"/>
    <w:rsid w:val="00CB325B"/>
    <w:rsid w:val="00CB3EFF"/>
    <w:rsid w:val="00CB64FF"/>
    <w:rsid w:val="00CB7078"/>
    <w:rsid w:val="00CB711D"/>
    <w:rsid w:val="00CB7902"/>
    <w:rsid w:val="00CC014B"/>
    <w:rsid w:val="00CC0E81"/>
    <w:rsid w:val="00CC21D8"/>
    <w:rsid w:val="00CC3369"/>
    <w:rsid w:val="00CC5343"/>
    <w:rsid w:val="00CC59D7"/>
    <w:rsid w:val="00CC6338"/>
    <w:rsid w:val="00CC6855"/>
    <w:rsid w:val="00CC78DE"/>
    <w:rsid w:val="00CD04D9"/>
    <w:rsid w:val="00CD0F93"/>
    <w:rsid w:val="00CD6D6E"/>
    <w:rsid w:val="00CD6F23"/>
    <w:rsid w:val="00CF640B"/>
    <w:rsid w:val="00CF6B5A"/>
    <w:rsid w:val="00D027AF"/>
    <w:rsid w:val="00D0323E"/>
    <w:rsid w:val="00D06652"/>
    <w:rsid w:val="00D07FA6"/>
    <w:rsid w:val="00D16ADF"/>
    <w:rsid w:val="00D17C53"/>
    <w:rsid w:val="00D17D57"/>
    <w:rsid w:val="00D2341D"/>
    <w:rsid w:val="00D252DA"/>
    <w:rsid w:val="00D25E0E"/>
    <w:rsid w:val="00D302EB"/>
    <w:rsid w:val="00D31679"/>
    <w:rsid w:val="00D320C8"/>
    <w:rsid w:val="00D330B6"/>
    <w:rsid w:val="00D3672F"/>
    <w:rsid w:val="00D40ABA"/>
    <w:rsid w:val="00D40FE2"/>
    <w:rsid w:val="00D41306"/>
    <w:rsid w:val="00D440FA"/>
    <w:rsid w:val="00D44BCF"/>
    <w:rsid w:val="00D46E73"/>
    <w:rsid w:val="00D50E48"/>
    <w:rsid w:val="00D5548D"/>
    <w:rsid w:val="00D56572"/>
    <w:rsid w:val="00D60F81"/>
    <w:rsid w:val="00D63951"/>
    <w:rsid w:val="00D63BF2"/>
    <w:rsid w:val="00D67348"/>
    <w:rsid w:val="00D70A26"/>
    <w:rsid w:val="00D73BB4"/>
    <w:rsid w:val="00D75FEC"/>
    <w:rsid w:val="00D76B98"/>
    <w:rsid w:val="00D82E63"/>
    <w:rsid w:val="00D835A0"/>
    <w:rsid w:val="00D86905"/>
    <w:rsid w:val="00D86F2C"/>
    <w:rsid w:val="00D94301"/>
    <w:rsid w:val="00D96248"/>
    <w:rsid w:val="00DA0680"/>
    <w:rsid w:val="00DA36F6"/>
    <w:rsid w:val="00DA48F0"/>
    <w:rsid w:val="00DB0C8D"/>
    <w:rsid w:val="00DB6AF2"/>
    <w:rsid w:val="00DC1599"/>
    <w:rsid w:val="00DC1611"/>
    <w:rsid w:val="00DD3C53"/>
    <w:rsid w:val="00DD6B73"/>
    <w:rsid w:val="00DE3F26"/>
    <w:rsid w:val="00DE4D3B"/>
    <w:rsid w:val="00DE745D"/>
    <w:rsid w:val="00DF0774"/>
    <w:rsid w:val="00DF1036"/>
    <w:rsid w:val="00DF4644"/>
    <w:rsid w:val="00DF68F6"/>
    <w:rsid w:val="00DF7A83"/>
    <w:rsid w:val="00E00286"/>
    <w:rsid w:val="00E012B4"/>
    <w:rsid w:val="00E0355F"/>
    <w:rsid w:val="00E05451"/>
    <w:rsid w:val="00E05651"/>
    <w:rsid w:val="00E100F6"/>
    <w:rsid w:val="00E11BA5"/>
    <w:rsid w:val="00E17CBD"/>
    <w:rsid w:val="00E20425"/>
    <w:rsid w:val="00E21768"/>
    <w:rsid w:val="00E25DCB"/>
    <w:rsid w:val="00E2613B"/>
    <w:rsid w:val="00E313DF"/>
    <w:rsid w:val="00E330E0"/>
    <w:rsid w:val="00E36C70"/>
    <w:rsid w:val="00E4156E"/>
    <w:rsid w:val="00E44D61"/>
    <w:rsid w:val="00E453F2"/>
    <w:rsid w:val="00E460AD"/>
    <w:rsid w:val="00E56C47"/>
    <w:rsid w:val="00E61925"/>
    <w:rsid w:val="00E6363B"/>
    <w:rsid w:val="00E63CAF"/>
    <w:rsid w:val="00E65C0E"/>
    <w:rsid w:val="00E65FB9"/>
    <w:rsid w:val="00E728DB"/>
    <w:rsid w:val="00E730FC"/>
    <w:rsid w:val="00E73C77"/>
    <w:rsid w:val="00E746F0"/>
    <w:rsid w:val="00E771D3"/>
    <w:rsid w:val="00E809B9"/>
    <w:rsid w:val="00E82A15"/>
    <w:rsid w:val="00E85445"/>
    <w:rsid w:val="00E863E9"/>
    <w:rsid w:val="00E87589"/>
    <w:rsid w:val="00E938FF"/>
    <w:rsid w:val="00E93DFE"/>
    <w:rsid w:val="00EA2124"/>
    <w:rsid w:val="00EA2B12"/>
    <w:rsid w:val="00EA34DC"/>
    <w:rsid w:val="00EA456C"/>
    <w:rsid w:val="00EA5017"/>
    <w:rsid w:val="00EA6BED"/>
    <w:rsid w:val="00EB14F0"/>
    <w:rsid w:val="00EB3844"/>
    <w:rsid w:val="00EB5A9F"/>
    <w:rsid w:val="00EC139A"/>
    <w:rsid w:val="00EC573F"/>
    <w:rsid w:val="00EC5C8D"/>
    <w:rsid w:val="00ED106C"/>
    <w:rsid w:val="00ED2D34"/>
    <w:rsid w:val="00ED4805"/>
    <w:rsid w:val="00ED57F6"/>
    <w:rsid w:val="00ED6C51"/>
    <w:rsid w:val="00ED6DA1"/>
    <w:rsid w:val="00EF0AF8"/>
    <w:rsid w:val="00EF207D"/>
    <w:rsid w:val="00EF4258"/>
    <w:rsid w:val="00EF6D31"/>
    <w:rsid w:val="00F02237"/>
    <w:rsid w:val="00F046F1"/>
    <w:rsid w:val="00F072E2"/>
    <w:rsid w:val="00F079A6"/>
    <w:rsid w:val="00F10236"/>
    <w:rsid w:val="00F15811"/>
    <w:rsid w:val="00F22423"/>
    <w:rsid w:val="00F24C72"/>
    <w:rsid w:val="00F30267"/>
    <w:rsid w:val="00F302A6"/>
    <w:rsid w:val="00F31D22"/>
    <w:rsid w:val="00F348B2"/>
    <w:rsid w:val="00F34BF0"/>
    <w:rsid w:val="00F34ED8"/>
    <w:rsid w:val="00F4095A"/>
    <w:rsid w:val="00F452CC"/>
    <w:rsid w:val="00F45845"/>
    <w:rsid w:val="00F50189"/>
    <w:rsid w:val="00F508FC"/>
    <w:rsid w:val="00F510B7"/>
    <w:rsid w:val="00F53571"/>
    <w:rsid w:val="00F54044"/>
    <w:rsid w:val="00F576E7"/>
    <w:rsid w:val="00F73D1C"/>
    <w:rsid w:val="00F763FC"/>
    <w:rsid w:val="00F76B4A"/>
    <w:rsid w:val="00F772C1"/>
    <w:rsid w:val="00F8026D"/>
    <w:rsid w:val="00F8245F"/>
    <w:rsid w:val="00F82E40"/>
    <w:rsid w:val="00F91629"/>
    <w:rsid w:val="00F91E2A"/>
    <w:rsid w:val="00F96C39"/>
    <w:rsid w:val="00F96E41"/>
    <w:rsid w:val="00FA153F"/>
    <w:rsid w:val="00FA1D78"/>
    <w:rsid w:val="00FA1F7E"/>
    <w:rsid w:val="00FA280F"/>
    <w:rsid w:val="00FA2813"/>
    <w:rsid w:val="00FA5289"/>
    <w:rsid w:val="00FA6213"/>
    <w:rsid w:val="00FB2186"/>
    <w:rsid w:val="00FB7E03"/>
    <w:rsid w:val="00FD0133"/>
    <w:rsid w:val="00FD25FE"/>
    <w:rsid w:val="00FD6206"/>
    <w:rsid w:val="00FE1318"/>
    <w:rsid w:val="00FE208F"/>
    <w:rsid w:val="00FE54CD"/>
    <w:rsid w:val="00FE6DF6"/>
    <w:rsid w:val="00FF203C"/>
    <w:rsid w:val="00FF32C3"/>
    <w:rsid w:val="00FF3F8B"/>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4AE4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306"/>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
    <w:basedOn w:val="Normal"/>
    <w:link w:val="NotedebasdepageCar"/>
  </w:style>
  <w:style w:type="paragraph" w:styleId="En-tte">
    <w:name w:val="header"/>
    <w:basedOn w:val="Normal"/>
    <w:pPr>
      <w:tabs>
        <w:tab w:val="center" w:pos="4320"/>
        <w:tab w:val="right" w:pos="8640"/>
      </w:tabs>
    </w:pPr>
  </w:style>
  <w:style w:type="character" w:styleId="Numrodepage">
    <w:name w:val="page number"/>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locked/>
    <w:rsid w:val="00234324"/>
    <w:rPr>
      <w:rFonts w:ascii="Arial" w:hAnsi="Arial"/>
      <w:sz w:val="24"/>
    </w:rPr>
  </w:style>
  <w:style w:type="paragraph" w:styleId="Rvision">
    <w:name w:val="Revision"/>
    <w:hidden/>
    <w:uiPriority w:val="99"/>
    <w:semiHidden/>
    <w:rsid w:val="0092620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1178</Words>
  <Characters>6483</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2024-07-16T14:16:00Z</dcterms:created>
  <dcterms:modified xsi:type="dcterms:W3CDTF">2024-07-16T14:16:00Z</dcterms:modified>
</cp:coreProperties>
</file>