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90" w:type="dxa"/>
        <w:tblLayout w:type="fixed"/>
        <w:tblCellMar>
          <w:left w:w="70" w:type="dxa"/>
          <w:right w:w="70" w:type="dxa"/>
        </w:tblCellMar>
        <w:tblLook w:val="0000" w:firstRow="0" w:lastRow="0" w:firstColumn="0" w:lastColumn="0" w:noHBand="0" w:noVBand="0"/>
      </w:tblPr>
      <w:tblGrid>
        <w:gridCol w:w="6323"/>
        <w:gridCol w:w="3267"/>
      </w:tblGrid>
      <w:tr w:rsidR="008A7FD1" w:rsidRPr="008A7FD1" w14:paraId="2FEF5CA3" w14:textId="77777777">
        <w:trPr>
          <w:cantSplit/>
        </w:trPr>
        <w:tc>
          <w:tcPr>
            <w:tcW w:w="4795" w:type="dxa"/>
          </w:tcPr>
          <w:p w14:paraId="6EE63D65" w14:textId="77777777" w:rsidR="008A7FD1" w:rsidRPr="00F024D2" w:rsidRDefault="00F024D2" w:rsidP="00F024D2">
            <w:pPr>
              <w:pStyle w:val="zSoquijdatRepertorie"/>
              <w:rPr>
                <w:rFonts w:cs="Arial"/>
              </w:rPr>
            </w:pPr>
            <w:r>
              <w:rPr>
                <w:rFonts w:cs="Arial"/>
              </w:rPr>
              <w:t>Grégoire et Olymel Vallée-Jonction</w:t>
            </w:r>
          </w:p>
        </w:tc>
        <w:tc>
          <w:tcPr>
            <w:tcW w:w="2477" w:type="dxa"/>
          </w:tcPr>
          <w:p w14:paraId="11CE3C63" w14:textId="77777777" w:rsidR="008A7FD1" w:rsidRPr="003363F8" w:rsidRDefault="003363F8" w:rsidP="003363F8">
            <w:pPr>
              <w:pStyle w:val="zSoquijdatRefNeutre"/>
              <w:rPr>
                <w:rFonts w:cs="Arial"/>
              </w:rPr>
            </w:pPr>
            <w:r w:rsidRPr="003363F8">
              <w:rPr>
                <w:rFonts w:cs="Arial"/>
              </w:rPr>
              <w:t>2015 QCCLP 5278</w:t>
            </w:r>
          </w:p>
        </w:tc>
      </w:tr>
    </w:tbl>
    <w:p w14:paraId="0CC19550" w14:textId="77777777" w:rsidR="008A7FD1" w:rsidRDefault="008A7FD1"/>
    <w:tbl>
      <w:tblPr>
        <w:tblW w:w="9590" w:type="dxa"/>
        <w:tblLayout w:type="fixed"/>
        <w:tblCellMar>
          <w:left w:w="70" w:type="dxa"/>
          <w:right w:w="70" w:type="dxa"/>
        </w:tblCellMar>
        <w:tblLook w:val="0000" w:firstRow="0" w:lastRow="0" w:firstColumn="0" w:lastColumn="0" w:noHBand="0" w:noVBand="0"/>
      </w:tblPr>
      <w:tblGrid>
        <w:gridCol w:w="2880"/>
        <w:gridCol w:w="1915"/>
        <w:gridCol w:w="4795"/>
      </w:tblGrid>
      <w:tr w:rsidR="00C74B6F" w14:paraId="355B4246" w14:textId="77777777">
        <w:trPr>
          <w:cantSplit/>
        </w:trPr>
        <w:tc>
          <w:tcPr>
            <w:tcW w:w="9590" w:type="dxa"/>
            <w:gridSpan w:val="3"/>
          </w:tcPr>
          <w:p w14:paraId="7989C519" w14:textId="77777777" w:rsidR="00C74B6F" w:rsidRDefault="00C74B6F"/>
        </w:tc>
      </w:tr>
      <w:tr w:rsidR="00C74B6F" w14:paraId="6AD421A2" w14:textId="77777777">
        <w:trPr>
          <w:cantSplit/>
        </w:trPr>
        <w:tc>
          <w:tcPr>
            <w:tcW w:w="9590" w:type="dxa"/>
            <w:gridSpan w:val="3"/>
            <w:vAlign w:val="center"/>
          </w:tcPr>
          <w:p w14:paraId="090A4A61" w14:textId="77777777" w:rsidR="00C74B6F" w:rsidRDefault="00C74B6F">
            <w:pPr>
              <w:jc w:val="center"/>
            </w:pPr>
            <w:r>
              <w:rPr>
                <w:b/>
                <w:sz w:val="28"/>
              </w:rPr>
              <w:t>COMMISSION DES LÉSIONS PROFESSIONNELLES</w:t>
            </w:r>
          </w:p>
        </w:tc>
      </w:tr>
      <w:tr w:rsidR="00C74B6F" w14:paraId="1B50E75F" w14:textId="77777777">
        <w:trPr>
          <w:cantSplit/>
        </w:trPr>
        <w:tc>
          <w:tcPr>
            <w:tcW w:w="9590" w:type="dxa"/>
            <w:gridSpan w:val="3"/>
          </w:tcPr>
          <w:p w14:paraId="671B3F1B" w14:textId="77777777" w:rsidR="00C74B6F" w:rsidRDefault="00C74B6F"/>
        </w:tc>
      </w:tr>
      <w:tr w:rsidR="00C74B6F" w14:paraId="7B043C61" w14:textId="77777777">
        <w:trPr>
          <w:cantSplit/>
        </w:trPr>
        <w:tc>
          <w:tcPr>
            <w:tcW w:w="9590" w:type="dxa"/>
            <w:gridSpan w:val="3"/>
          </w:tcPr>
          <w:p w14:paraId="09C8E4F5" w14:textId="77777777" w:rsidR="00C74B6F" w:rsidRDefault="00C74B6F"/>
        </w:tc>
      </w:tr>
      <w:tr w:rsidR="00C74B6F" w14:paraId="751AC666" w14:textId="77777777">
        <w:tc>
          <w:tcPr>
            <w:tcW w:w="2880" w:type="dxa"/>
          </w:tcPr>
          <w:p w14:paraId="6C8D49F9" w14:textId="77777777" w:rsidR="00C74B6F" w:rsidRDefault="004442C7">
            <w:r>
              <w:t xml:space="preserve">Lévis </w:t>
            </w:r>
          </w:p>
        </w:tc>
        <w:tc>
          <w:tcPr>
            <w:tcW w:w="6710" w:type="dxa"/>
            <w:gridSpan w:val="2"/>
          </w:tcPr>
          <w:p w14:paraId="035BD583" w14:textId="77777777" w:rsidR="00C74B6F" w:rsidRDefault="002476DF" w:rsidP="009107B9">
            <w:pPr>
              <w:pStyle w:val="zSoquijdatDateJugement"/>
            </w:pPr>
            <w:r>
              <w:t>1</w:t>
            </w:r>
            <w:r w:rsidRPr="002476DF">
              <w:rPr>
                <w:vertAlign w:val="superscript"/>
              </w:rPr>
              <w:t>er</w:t>
            </w:r>
            <w:r>
              <w:t xml:space="preserve"> octobre</w:t>
            </w:r>
            <w:r w:rsidR="004442C7">
              <w:t xml:space="preserve"> 201</w:t>
            </w:r>
            <w:r w:rsidR="009107B9">
              <w:t>5</w:t>
            </w:r>
          </w:p>
        </w:tc>
      </w:tr>
      <w:tr w:rsidR="00C74B6F" w14:paraId="13DD3964" w14:textId="77777777">
        <w:trPr>
          <w:cantSplit/>
        </w:trPr>
        <w:tc>
          <w:tcPr>
            <w:tcW w:w="9590" w:type="dxa"/>
            <w:gridSpan w:val="3"/>
          </w:tcPr>
          <w:p w14:paraId="1F3A1FA8" w14:textId="77777777" w:rsidR="00C74B6F" w:rsidRDefault="00C74B6F"/>
        </w:tc>
      </w:tr>
      <w:tr w:rsidR="00C74B6F" w14:paraId="1C6DF859" w14:textId="77777777">
        <w:tc>
          <w:tcPr>
            <w:tcW w:w="2880" w:type="dxa"/>
          </w:tcPr>
          <w:p w14:paraId="28EF5E23" w14:textId="77777777" w:rsidR="00C74B6F" w:rsidRDefault="00C74B6F">
            <w:r>
              <w:t>Région :</w:t>
            </w:r>
          </w:p>
        </w:tc>
        <w:tc>
          <w:tcPr>
            <w:tcW w:w="6710" w:type="dxa"/>
            <w:gridSpan w:val="2"/>
          </w:tcPr>
          <w:p w14:paraId="01FB3006" w14:textId="77777777" w:rsidR="00C74B6F" w:rsidRDefault="004442C7">
            <w:pPr>
              <w:pStyle w:val="zSoquijdatGreffe"/>
            </w:pPr>
            <w:r>
              <w:t>Chaudière-Appalaches</w:t>
            </w:r>
          </w:p>
        </w:tc>
      </w:tr>
      <w:tr w:rsidR="00C74B6F" w14:paraId="6029B40A" w14:textId="77777777">
        <w:trPr>
          <w:cantSplit/>
        </w:trPr>
        <w:tc>
          <w:tcPr>
            <w:tcW w:w="9590" w:type="dxa"/>
            <w:gridSpan w:val="3"/>
          </w:tcPr>
          <w:p w14:paraId="41DD4194" w14:textId="77777777" w:rsidR="00C74B6F" w:rsidRDefault="00C74B6F"/>
        </w:tc>
      </w:tr>
      <w:tr w:rsidR="00C74B6F" w14:paraId="56C01465" w14:textId="77777777">
        <w:tc>
          <w:tcPr>
            <w:tcW w:w="2880" w:type="dxa"/>
          </w:tcPr>
          <w:p w14:paraId="3AECC557" w14:textId="77777777" w:rsidR="00C74B6F" w:rsidRDefault="00C74B6F">
            <w:bookmarkStart w:id="0" w:name="ref_dossier" w:colFirst="1" w:colLast="1"/>
            <w:r>
              <w:t>Dossier</w:t>
            </w:r>
            <w:bookmarkStart w:id="1" w:name="dossiers"/>
            <w:bookmarkEnd w:id="1"/>
            <w:r w:rsidR="00F11D59">
              <w:t>s</w:t>
            </w:r>
            <w:r>
              <w:t xml:space="preserve"> :</w:t>
            </w:r>
          </w:p>
        </w:tc>
        <w:tc>
          <w:tcPr>
            <w:tcW w:w="6710" w:type="dxa"/>
            <w:gridSpan w:val="2"/>
          </w:tcPr>
          <w:p w14:paraId="285B6F0D" w14:textId="77777777" w:rsidR="00C74B6F" w:rsidRDefault="004442C7">
            <w:pPr>
              <w:pStyle w:val="zSoquijdatNoDossier"/>
            </w:pPr>
            <w:r>
              <w:t>564317-03B-1502</w:t>
            </w:r>
            <w:r>
              <w:tab/>
              <w:t>570707-03B-1504</w:t>
            </w:r>
          </w:p>
        </w:tc>
      </w:tr>
      <w:bookmarkEnd w:id="0"/>
      <w:tr w:rsidR="00C74B6F" w14:paraId="776F0339" w14:textId="77777777">
        <w:trPr>
          <w:cantSplit/>
        </w:trPr>
        <w:tc>
          <w:tcPr>
            <w:tcW w:w="9590" w:type="dxa"/>
            <w:gridSpan w:val="3"/>
          </w:tcPr>
          <w:p w14:paraId="21DB5C42" w14:textId="77777777" w:rsidR="00C74B6F" w:rsidRDefault="00C74B6F"/>
        </w:tc>
      </w:tr>
      <w:tr w:rsidR="00C74B6F" w14:paraId="24C4DC34" w14:textId="77777777">
        <w:tc>
          <w:tcPr>
            <w:tcW w:w="2880" w:type="dxa"/>
          </w:tcPr>
          <w:p w14:paraId="78DBAB33" w14:textId="77777777" w:rsidR="00C74B6F" w:rsidRDefault="00C74B6F">
            <w:r>
              <w:t>Dossier CSST :</w:t>
            </w:r>
          </w:p>
        </w:tc>
        <w:tc>
          <w:tcPr>
            <w:tcW w:w="6710" w:type="dxa"/>
            <w:gridSpan w:val="2"/>
          </w:tcPr>
          <w:p w14:paraId="1E43A95B" w14:textId="77777777" w:rsidR="00C74B6F" w:rsidRDefault="004442C7">
            <w:pPr>
              <w:pStyle w:val="zSoquijdatNCSST"/>
            </w:pPr>
            <w:r>
              <w:t>130520141</w:t>
            </w:r>
          </w:p>
        </w:tc>
      </w:tr>
      <w:tr w:rsidR="00C74B6F" w14:paraId="5AE348C5" w14:textId="77777777">
        <w:trPr>
          <w:cantSplit/>
        </w:trPr>
        <w:tc>
          <w:tcPr>
            <w:tcW w:w="9590" w:type="dxa"/>
            <w:gridSpan w:val="3"/>
          </w:tcPr>
          <w:p w14:paraId="2F40900E" w14:textId="77777777" w:rsidR="00C74B6F" w:rsidRDefault="00C74B6F"/>
        </w:tc>
      </w:tr>
      <w:tr w:rsidR="00C74B6F" w14:paraId="6F7E220B" w14:textId="77777777">
        <w:tc>
          <w:tcPr>
            <w:tcW w:w="2880" w:type="dxa"/>
          </w:tcPr>
          <w:p w14:paraId="5C6B85AE" w14:textId="77777777" w:rsidR="00C74B6F" w:rsidRDefault="00C74B6F">
            <w:r>
              <w:t>Commissaire :</w:t>
            </w:r>
          </w:p>
        </w:tc>
        <w:tc>
          <w:tcPr>
            <w:tcW w:w="6710" w:type="dxa"/>
            <w:gridSpan w:val="2"/>
          </w:tcPr>
          <w:p w14:paraId="23F4556E" w14:textId="77777777" w:rsidR="00C74B6F" w:rsidRDefault="004442C7">
            <w:pPr>
              <w:pStyle w:val="zSoquijdatJuge"/>
            </w:pPr>
            <w:r>
              <w:t>Claude Lavigne</w:t>
            </w:r>
            <w:r w:rsidR="00C74B6F">
              <w:t>, juge administratif</w:t>
            </w:r>
          </w:p>
        </w:tc>
      </w:tr>
      <w:tr w:rsidR="00C74B6F" w14:paraId="20255932" w14:textId="77777777">
        <w:trPr>
          <w:cantSplit/>
        </w:trPr>
        <w:tc>
          <w:tcPr>
            <w:tcW w:w="9590" w:type="dxa"/>
            <w:gridSpan w:val="3"/>
          </w:tcPr>
          <w:p w14:paraId="54ECEBF8" w14:textId="77777777" w:rsidR="00C74B6F" w:rsidRDefault="00C74B6F"/>
        </w:tc>
      </w:tr>
      <w:tr w:rsidR="00C74B6F" w14:paraId="3E6F27E9" w14:textId="77777777">
        <w:tc>
          <w:tcPr>
            <w:tcW w:w="2880" w:type="dxa"/>
          </w:tcPr>
          <w:p w14:paraId="53DB8D4F" w14:textId="77777777" w:rsidR="00C74B6F" w:rsidRDefault="00C74B6F">
            <w:r>
              <w:t>Membres :</w:t>
            </w:r>
          </w:p>
        </w:tc>
        <w:tc>
          <w:tcPr>
            <w:tcW w:w="6710" w:type="dxa"/>
            <w:gridSpan w:val="2"/>
          </w:tcPr>
          <w:p w14:paraId="28C8E7BE" w14:textId="77777777" w:rsidR="00C74B6F" w:rsidRDefault="004442C7">
            <w:pPr>
              <w:pStyle w:val="zSoquijdatMembreE"/>
            </w:pPr>
            <w:r>
              <w:t>Alain Allaire</w:t>
            </w:r>
            <w:r w:rsidR="00C74B6F">
              <w:t>, associations d’employeurs</w:t>
            </w:r>
          </w:p>
        </w:tc>
      </w:tr>
      <w:tr w:rsidR="00C74B6F" w14:paraId="097D4D82" w14:textId="77777777">
        <w:tc>
          <w:tcPr>
            <w:tcW w:w="2880" w:type="dxa"/>
          </w:tcPr>
          <w:p w14:paraId="495ADED9" w14:textId="77777777" w:rsidR="00C74B6F" w:rsidRDefault="00C74B6F"/>
        </w:tc>
        <w:tc>
          <w:tcPr>
            <w:tcW w:w="6710" w:type="dxa"/>
            <w:gridSpan w:val="2"/>
          </w:tcPr>
          <w:p w14:paraId="3E24166E" w14:textId="77777777" w:rsidR="00C74B6F" w:rsidRDefault="004442C7">
            <w:pPr>
              <w:pStyle w:val="zSoquijdatMembreS"/>
            </w:pPr>
            <w:r>
              <w:t>Marcelle Perron</w:t>
            </w:r>
            <w:r w:rsidR="00C74B6F">
              <w:t>, associations syndicales</w:t>
            </w:r>
          </w:p>
        </w:tc>
      </w:tr>
      <w:tr w:rsidR="00C74B6F" w14:paraId="27F1F304" w14:textId="77777777">
        <w:trPr>
          <w:cantSplit/>
        </w:trPr>
        <w:tc>
          <w:tcPr>
            <w:tcW w:w="9590" w:type="dxa"/>
            <w:gridSpan w:val="3"/>
          </w:tcPr>
          <w:p w14:paraId="27133C02" w14:textId="77777777" w:rsidR="00C74B6F" w:rsidRDefault="00C74B6F">
            <w:r>
              <w:t>______________________________________________________________________</w:t>
            </w:r>
          </w:p>
        </w:tc>
      </w:tr>
      <w:tr w:rsidR="00C74B6F" w14:paraId="37B68911" w14:textId="77777777">
        <w:trPr>
          <w:cantSplit/>
        </w:trPr>
        <w:tc>
          <w:tcPr>
            <w:tcW w:w="9590" w:type="dxa"/>
            <w:gridSpan w:val="3"/>
          </w:tcPr>
          <w:p w14:paraId="0804B593" w14:textId="77777777" w:rsidR="00C74B6F" w:rsidRDefault="00C74B6F"/>
        </w:tc>
      </w:tr>
      <w:tr w:rsidR="00C74B6F" w14:paraId="686F92C1" w14:textId="77777777">
        <w:tc>
          <w:tcPr>
            <w:tcW w:w="4795" w:type="dxa"/>
            <w:gridSpan w:val="2"/>
          </w:tcPr>
          <w:p w14:paraId="70B521A5" w14:textId="77777777" w:rsidR="00C74B6F" w:rsidRDefault="00C74B6F">
            <w:bookmarkStart w:id="2" w:name="bloc_parties_gauche"/>
            <w:bookmarkEnd w:id="2"/>
          </w:p>
        </w:tc>
        <w:tc>
          <w:tcPr>
            <w:tcW w:w="4795" w:type="dxa"/>
          </w:tcPr>
          <w:p w14:paraId="6FD8BA4A" w14:textId="77777777" w:rsidR="00C74B6F" w:rsidRDefault="00C74B6F"/>
        </w:tc>
      </w:tr>
      <w:tr w:rsidR="00C74B6F" w14:paraId="1907C680" w14:textId="77777777">
        <w:tc>
          <w:tcPr>
            <w:tcW w:w="4795" w:type="dxa"/>
            <w:gridSpan w:val="2"/>
          </w:tcPr>
          <w:p w14:paraId="1B5DE948" w14:textId="77777777" w:rsidR="00C74B6F" w:rsidRDefault="004442C7">
            <w:pPr>
              <w:pStyle w:val="zSoquijdatNomPartieDem"/>
              <w:rPr>
                <w:b/>
              </w:rPr>
            </w:pPr>
            <w:r>
              <w:rPr>
                <w:b/>
              </w:rPr>
              <w:t>André Grégoire</w:t>
            </w:r>
          </w:p>
        </w:tc>
        <w:tc>
          <w:tcPr>
            <w:tcW w:w="4795" w:type="dxa"/>
          </w:tcPr>
          <w:p w14:paraId="7CCB2999" w14:textId="77777777" w:rsidR="00C74B6F" w:rsidRDefault="00C74B6F"/>
        </w:tc>
      </w:tr>
      <w:tr w:rsidR="00C74B6F" w14:paraId="690F6A29" w14:textId="77777777">
        <w:tc>
          <w:tcPr>
            <w:tcW w:w="4795" w:type="dxa"/>
            <w:gridSpan w:val="2"/>
          </w:tcPr>
          <w:p w14:paraId="5A56CFF9" w14:textId="77777777" w:rsidR="00C74B6F" w:rsidRDefault="00C74B6F">
            <w:pPr>
              <w:pStyle w:val="zSoquijdatQtePartieDem"/>
              <w:ind w:left="708"/>
            </w:pPr>
            <w:r>
              <w:t>Partie requérante</w:t>
            </w:r>
          </w:p>
        </w:tc>
        <w:tc>
          <w:tcPr>
            <w:tcW w:w="4795" w:type="dxa"/>
          </w:tcPr>
          <w:p w14:paraId="4F757B7E" w14:textId="77777777" w:rsidR="00C74B6F" w:rsidRDefault="00C74B6F"/>
        </w:tc>
      </w:tr>
      <w:tr w:rsidR="00C74B6F" w14:paraId="16621774" w14:textId="77777777">
        <w:tc>
          <w:tcPr>
            <w:tcW w:w="4795" w:type="dxa"/>
            <w:gridSpan w:val="2"/>
          </w:tcPr>
          <w:p w14:paraId="0F689B7C" w14:textId="77777777" w:rsidR="00C74B6F" w:rsidRDefault="00C74B6F"/>
        </w:tc>
        <w:tc>
          <w:tcPr>
            <w:tcW w:w="4795" w:type="dxa"/>
          </w:tcPr>
          <w:p w14:paraId="3B21AFCD" w14:textId="77777777" w:rsidR="00C74B6F" w:rsidRDefault="00C74B6F"/>
        </w:tc>
      </w:tr>
      <w:tr w:rsidR="00C74B6F" w14:paraId="120880A7" w14:textId="77777777">
        <w:tc>
          <w:tcPr>
            <w:tcW w:w="4795" w:type="dxa"/>
            <w:gridSpan w:val="2"/>
          </w:tcPr>
          <w:p w14:paraId="4C2A77A9" w14:textId="77777777" w:rsidR="00C74B6F" w:rsidRDefault="00C74B6F">
            <w:proofErr w:type="gramStart"/>
            <w:r>
              <w:t>et</w:t>
            </w:r>
            <w:proofErr w:type="gramEnd"/>
          </w:p>
        </w:tc>
        <w:tc>
          <w:tcPr>
            <w:tcW w:w="4795" w:type="dxa"/>
          </w:tcPr>
          <w:p w14:paraId="143D62EB" w14:textId="77777777" w:rsidR="00C74B6F" w:rsidRDefault="00C74B6F"/>
        </w:tc>
      </w:tr>
      <w:tr w:rsidR="00C74B6F" w14:paraId="4A4AD08F" w14:textId="77777777">
        <w:tc>
          <w:tcPr>
            <w:tcW w:w="4795" w:type="dxa"/>
            <w:gridSpan w:val="2"/>
          </w:tcPr>
          <w:p w14:paraId="6B3C51BE" w14:textId="77777777" w:rsidR="00C74B6F" w:rsidRDefault="00C74B6F"/>
        </w:tc>
        <w:tc>
          <w:tcPr>
            <w:tcW w:w="4795" w:type="dxa"/>
          </w:tcPr>
          <w:p w14:paraId="0418E661" w14:textId="77777777" w:rsidR="00C74B6F" w:rsidRDefault="00C74B6F"/>
        </w:tc>
      </w:tr>
      <w:tr w:rsidR="00C74B6F" w14:paraId="621798FD" w14:textId="77777777">
        <w:tc>
          <w:tcPr>
            <w:tcW w:w="4795" w:type="dxa"/>
            <w:gridSpan w:val="2"/>
          </w:tcPr>
          <w:p w14:paraId="332FD611" w14:textId="77777777" w:rsidR="00C74B6F" w:rsidRDefault="004442C7">
            <w:pPr>
              <w:pStyle w:val="zSoquijdatNomPartieDef"/>
              <w:rPr>
                <w:b/>
              </w:rPr>
            </w:pPr>
            <w:r>
              <w:rPr>
                <w:b/>
              </w:rPr>
              <w:t>Olymel Vallée-Jonction</w:t>
            </w:r>
          </w:p>
        </w:tc>
        <w:tc>
          <w:tcPr>
            <w:tcW w:w="4795" w:type="dxa"/>
          </w:tcPr>
          <w:p w14:paraId="4D341507" w14:textId="77777777" w:rsidR="00C74B6F" w:rsidRDefault="00C74B6F"/>
        </w:tc>
      </w:tr>
      <w:tr w:rsidR="00C74B6F" w14:paraId="573B102A" w14:textId="77777777">
        <w:tc>
          <w:tcPr>
            <w:tcW w:w="4795" w:type="dxa"/>
            <w:gridSpan w:val="2"/>
          </w:tcPr>
          <w:p w14:paraId="3E550DE2" w14:textId="77777777" w:rsidR="00C74B6F" w:rsidRDefault="00C74B6F">
            <w:pPr>
              <w:pStyle w:val="zSoquijdatQtePartieDef"/>
              <w:ind w:left="708"/>
            </w:pPr>
            <w:r>
              <w:t>Partie intéressée</w:t>
            </w:r>
          </w:p>
        </w:tc>
        <w:tc>
          <w:tcPr>
            <w:tcW w:w="4795" w:type="dxa"/>
          </w:tcPr>
          <w:p w14:paraId="60026720" w14:textId="77777777" w:rsidR="00C74B6F" w:rsidRDefault="00C74B6F"/>
        </w:tc>
      </w:tr>
      <w:tr w:rsidR="00C74B6F" w14:paraId="4815451D" w14:textId="77777777">
        <w:tc>
          <w:tcPr>
            <w:tcW w:w="4795" w:type="dxa"/>
            <w:gridSpan w:val="2"/>
          </w:tcPr>
          <w:p w14:paraId="0FE7F76C" w14:textId="77777777" w:rsidR="00C74B6F" w:rsidRDefault="00C74B6F"/>
        </w:tc>
        <w:tc>
          <w:tcPr>
            <w:tcW w:w="4795" w:type="dxa"/>
          </w:tcPr>
          <w:p w14:paraId="510BADBE" w14:textId="77777777" w:rsidR="00C74B6F" w:rsidRDefault="00C74B6F"/>
        </w:tc>
      </w:tr>
    </w:tbl>
    <w:p w14:paraId="7309435F" w14:textId="77777777" w:rsidR="00C74B6F" w:rsidRDefault="00C74B6F">
      <w:r>
        <w:t>______________________________________________________________________</w:t>
      </w:r>
    </w:p>
    <w:p w14:paraId="456A8B8C" w14:textId="77777777" w:rsidR="00C74B6F" w:rsidRDefault="00C74B6F"/>
    <w:p w14:paraId="23785340" w14:textId="77777777" w:rsidR="00C74B6F" w:rsidRDefault="00C74B6F">
      <w:pPr>
        <w:jc w:val="center"/>
      </w:pPr>
      <w:bookmarkStart w:id="3" w:name="decision"/>
      <w:r>
        <w:t>DÉCISION</w:t>
      </w:r>
      <w:bookmarkEnd w:id="3"/>
    </w:p>
    <w:p w14:paraId="5A1E8C79" w14:textId="77777777" w:rsidR="00C74B6F" w:rsidRDefault="00C74B6F">
      <w:pPr>
        <w:jc w:val="center"/>
      </w:pPr>
      <w:r>
        <w:t>______________________________________________________________________</w:t>
      </w:r>
    </w:p>
    <w:p w14:paraId="60FFF012" w14:textId="77777777" w:rsidR="00C74B6F" w:rsidRDefault="00C74B6F"/>
    <w:p w14:paraId="55A9D4E1" w14:textId="77777777" w:rsidR="00C74B6F" w:rsidRDefault="004442C7" w:rsidP="004442C7">
      <w:pPr>
        <w:pStyle w:val="corpsdedcision"/>
        <w:numPr>
          <w:ilvl w:val="0"/>
          <w:numId w:val="0"/>
        </w:numPr>
      </w:pPr>
      <w:r>
        <w:t>Dossier 564317-03B-1502</w:t>
      </w:r>
    </w:p>
    <w:p w14:paraId="6F589C9E" w14:textId="77777777" w:rsidR="004442C7" w:rsidRDefault="004442C7" w:rsidP="004442C7">
      <w:pPr>
        <w:pStyle w:val="corpsdedcision"/>
      </w:pPr>
      <w:r>
        <w:t>Le 6 février 2015, monsieur André Grégoire (le travailleur) dépose à la Commission des lésions professionnelles une requête par laquelle il conteste la décision rendue le 29 janvier 2015 par la Commission de la santé et de la sécurité du travail (la CSST)</w:t>
      </w:r>
      <w:r w:rsidR="002476DF">
        <w:t>,</w:t>
      </w:r>
      <w:r>
        <w:t xml:space="preserve"> à la suite d’une révision administrative.</w:t>
      </w:r>
    </w:p>
    <w:p w14:paraId="357D5448" w14:textId="77777777" w:rsidR="004442C7" w:rsidRDefault="004442C7" w:rsidP="004442C7">
      <w:pPr>
        <w:pStyle w:val="corpsdedcision"/>
      </w:pPr>
      <w:r>
        <w:t>Par cette décision, la CSST déclare irrecevable la demande de révision du travailleur quant à l’évaluation</w:t>
      </w:r>
      <w:r w:rsidR="009107B9">
        <w:t xml:space="preserve"> médicale faite par son médecin</w:t>
      </w:r>
      <w:r w:rsidR="005B6489">
        <w:t xml:space="preserve"> et</w:t>
      </w:r>
      <w:r w:rsidR="009107B9">
        <w:t xml:space="preserve"> confi</w:t>
      </w:r>
      <w:r>
        <w:t>rme le bilan des séquelles</w:t>
      </w:r>
      <w:r w:rsidR="005B6489">
        <w:t xml:space="preserve"> fait par le médecin qui a charge</w:t>
      </w:r>
      <w:r>
        <w:t>. Elle co</w:t>
      </w:r>
      <w:r w:rsidR="00A80383">
        <w:t>nfirme sa décision rendue le 16 octobre </w:t>
      </w:r>
      <w:r>
        <w:t>2014 et déclare que la lésion professionnelle du 23 décembre 2013 a entraîné</w:t>
      </w:r>
      <w:r w:rsidR="009107B9">
        <w:t xml:space="preserve"> une atteinte permanente de 0,5 </w:t>
      </w:r>
      <w:r>
        <w:t>%, ce qui lui donne droit à une indemnité pour préjudice corporel de 1 010 $ plus intérêts.</w:t>
      </w:r>
    </w:p>
    <w:p w14:paraId="241723CD" w14:textId="77777777" w:rsidR="00F11D59" w:rsidRDefault="00F11D59" w:rsidP="00F11D59">
      <w:pPr>
        <w:pStyle w:val="corpsdedcision"/>
        <w:numPr>
          <w:ilvl w:val="0"/>
          <w:numId w:val="0"/>
        </w:numPr>
      </w:pPr>
      <w:r>
        <w:lastRenderedPageBreak/>
        <w:t>Dossier 570707-03B-1504</w:t>
      </w:r>
    </w:p>
    <w:p w14:paraId="26C53A8D" w14:textId="77777777" w:rsidR="004442C7" w:rsidRDefault="004442C7" w:rsidP="004442C7">
      <w:pPr>
        <w:pStyle w:val="corpsdedcision"/>
      </w:pPr>
      <w:r>
        <w:t>Le 13 avril 2015, le travailleur dépose une autre requête à la Commission des lésions professionnelles où il conteste cette fois la décision rendue le 1</w:t>
      </w:r>
      <w:r w:rsidRPr="004442C7">
        <w:rPr>
          <w:vertAlign w:val="superscript"/>
        </w:rPr>
        <w:t>er</w:t>
      </w:r>
      <w:r>
        <w:t xml:space="preserve"> avril 2015 par la CSST, à la suite d’une révision administrative.</w:t>
      </w:r>
    </w:p>
    <w:p w14:paraId="77640D35" w14:textId="77777777" w:rsidR="004442C7" w:rsidRDefault="004442C7" w:rsidP="004442C7">
      <w:pPr>
        <w:pStyle w:val="corpsdedcision"/>
      </w:pPr>
      <w:r>
        <w:t xml:space="preserve">Par cette autre décision, la CSST confirme celle qu’elle a initialement rendue le 28 janvier 2015 et déclare que les acouphènes </w:t>
      </w:r>
      <w:r w:rsidR="009107B9">
        <w:t>du travailleur</w:t>
      </w:r>
      <w:r>
        <w:t xml:space="preserve"> sont secondaires à </w:t>
      </w:r>
      <w:r w:rsidR="009107B9">
        <w:t>s</w:t>
      </w:r>
      <w:r>
        <w:t>a surdité et qu’ils ne peuvent être considérés comme une condition distincte de la lésion professionnelle juridiquement reconnue.</w:t>
      </w:r>
    </w:p>
    <w:p w14:paraId="545BB03A" w14:textId="77777777" w:rsidR="004442C7" w:rsidRDefault="004442C7" w:rsidP="004442C7">
      <w:pPr>
        <w:pStyle w:val="corpsdedcision"/>
      </w:pPr>
      <w:r>
        <w:t>Audience tenue le 14 septembre 2015 à St-Joseph-de-Beauce en présence du travailleur et de sa représentante, M</w:t>
      </w:r>
      <w:r w:rsidRPr="004442C7">
        <w:rPr>
          <w:vertAlign w:val="superscript"/>
        </w:rPr>
        <w:t>e</w:t>
      </w:r>
      <w:r>
        <w:t xml:space="preserve"> Marie-Pier</w:t>
      </w:r>
      <w:r w:rsidR="00310193">
        <w:t>re</w:t>
      </w:r>
      <w:r>
        <w:t xml:space="preserve"> Fauteux. Olymel Vallée-Jonction (l'employeur) informe la Commission des lésions professionnelles le 5 août 2015 qu’il ne serait pas présent ni représenté pour cette audience.</w:t>
      </w:r>
    </w:p>
    <w:p w14:paraId="5C847237" w14:textId="77777777" w:rsidR="004442C7" w:rsidRDefault="004442C7">
      <w:pPr>
        <w:pStyle w:val="corpsdedcision"/>
        <w:numPr>
          <w:ilvl w:val="0"/>
          <w:numId w:val="0"/>
        </w:numPr>
      </w:pPr>
      <w:r>
        <w:rPr>
          <w:b/>
        </w:rPr>
        <w:t>L’OBJET DES CONTESTATIONS</w:t>
      </w:r>
    </w:p>
    <w:p w14:paraId="601E9D51" w14:textId="77777777" w:rsidR="004442C7" w:rsidRDefault="004442C7" w:rsidP="004442C7">
      <w:pPr>
        <w:pStyle w:val="corpsdedcision"/>
      </w:pPr>
      <w:r>
        <w:t>Le travailleur demande à la Commission des lésions professionnelles d’accueillir ses contestations et de déclarer que l’acouphène dont il est porteur constitue bel et bien une lésion professionnelle</w:t>
      </w:r>
      <w:r w:rsidR="005B6489">
        <w:t xml:space="preserve"> distinct</w:t>
      </w:r>
      <w:r w:rsidR="002476DF">
        <w:t>e</w:t>
      </w:r>
      <w:r w:rsidR="005B6489">
        <w:t xml:space="preserve"> de sa surdité professionnelle</w:t>
      </w:r>
      <w:r>
        <w:t xml:space="preserve"> et, de ce fait, a droit à une indemni</w:t>
      </w:r>
      <w:r w:rsidR="009107B9">
        <w:t>té pour préjudice corporel tel</w:t>
      </w:r>
      <w:r>
        <w:t xml:space="preserve"> qu’établi par son médecin traitant, le docteur Bernard Sévigny, dans son rapport d'évaluation médicale daté du 17 septembre 2014.</w:t>
      </w:r>
    </w:p>
    <w:p w14:paraId="11861780" w14:textId="77777777" w:rsidR="004442C7" w:rsidRDefault="004442C7">
      <w:pPr>
        <w:pStyle w:val="corpsdedcision"/>
        <w:numPr>
          <w:ilvl w:val="0"/>
          <w:numId w:val="0"/>
        </w:numPr>
      </w:pPr>
      <w:r>
        <w:rPr>
          <w:b/>
        </w:rPr>
        <w:t>LES FAITS</w:t>
      </w:r>
    </w:p>
    <w:p w14:paraId="604052A1" w14:textId="77777777" w:rsidR="004442C7" w:rsidRDefault="004442C7" w:rsidP="004442C7">
      <w:pPr>
        <w:pStyle w:val="corpsdedcision"/>
      </w:pPr>
      <w:r>
        <w:t>Le travailleur, aujourd’hui âgé de 60 ans, travaille dans une entreprise d’abattage et de transformation de porcs depuis le mois d’octobre 1973.</w:t>
      </w:r>
    </w:p>
    <w:p w14:paraId="1EAECF1F" w14:textId="77777777" w:rsidR="004442C7" w:rsidRDefault="004442C7" w:rsidP="004442C7">
      <w:pPr>
        <w:pStyle w:val="corpsdedcision"/>
      </w:pPr>
      <w:r>
        <w:t xml:space="preserve">À ses débuts et jusqu’en 1975, il travaille à l’emballage de viande la nuit. De 1975 à </w:t>
      </w:r>
      <w:r w:rsidR="009107B9">
        <w:t xml:space="preserve">1979, il est désosseur de socs; </w:t>
      </w:r>
      <w:r>
        <w:t>de 1980 à 1</w:t>
      </w:r>
      <w:r w:rsidR="009107B9">
        <w:t>989, il est au couteau d’épaule; de 1990 à 2003;</w:t>
      </w:r>
      <w:r>
        <w:t xml:space="preserve"> il pousse les porcs, de 2004 </w:t>
      </w:r>
      <w:r w:rsidR="00F61EA2">
        <w:t>à 2006, il est remplaçant de classe et depuis novembre 2007, il est opérateur de machine à roulettes.</w:t>
      </w:r>
    </w:p>
    <w:p w14:paraId="334C8991" w14:textId="77777777" w:rsidR="00F61EA2" w:rsidRDefault="00F61EA2" w:rsidP="004442C7">
      <w:pPr>
        <w:pStyle w:val="corpsdedcision"/>
      </w:pPr>
      <w:r>
        <w:t>Il est connu de la CSST pour présenter depuis le 23 novembre 2005 une surdité professionnelle qui, à ses débuts, était infé</w:t>
      </w:r>
      <w:r w:rsidR="009107B9">
        <w:t xml:space="preserve">rieure au minimum prévu par le </w:t>
      </w:r>
      <w:r w:rsidR="009107B9" w:rsidRPr="009107B9">
        <w:rPr>
          <w:i/>
        </w:rPr>
        <w:t>Règlement sur le b</w:t>
      </w:r>
      <w:r w:rsidRPr="009107B9">
        <w:rPr>
          <w:i/>
        </w:rPr>
        <w:t>arème des dommages corporels</w:t>
      </w:r>
      <w:r>
        <w:rPr>
          <w:rStyle w:val="FootnoteReference"/>
        </w:rPr>
        <w:footnoteReference w:id="1"/>
      </w:r>
      <w:r>
        <w:t xml:space="preserve"> </w:t>
      </w:r>
      <w:r w:rsidR="009107B9">
        <w:t xml:space="preserve">(le barème) </w:t>
      </w:r>
      <w:r>
        <w:t>pour être compensée.</w:t>
      </w:r>
    </w:p>
    <w:p w14:paraId="1A464716" w14:textId="77777777" w:rsidR="00F61EA2" w:rsidRDefault="00F61EA2" w:rsidP="00F61EA2">
      <w:pPr>
        <w:pStyle w:val="corpsdedcision"/>
      </w:pPr>
      <w:r>
        <w:lastRenderedPageBreak/>
        <w:t>Le 13 juillet 2011, le travailleur présente une aggravation de sa surdité professionnelle.</w:t>
      </w:r>
    </w:p>
    <w:p w14:paraId="1521CE71" w14:textId="77777777" w:rsidR="00F61EA2" w:rsidRDefault="00F61EA2" w:rsidP="00F61EA2">
      <w:pPr>
        <w:pStyle w:val="corpsdedcision"/>
      </w:pPr>
      <w:r>
        <w:t>Dans son rapport d'évaluation daté du 29 novembre 2011, le docteur Bernard Sévigny quantifie à 0,5 % le déficit anatomo-physiologiqu</w:t>
      </w:r>
      <w:r w:rsidR="001B52D9">
        <w:t>e pour l’oreille gauche et à 2,5 </w:t>
      </w:r>
      <w:r>
        <w:t>% pour l’oreille droite.</w:t>
      </w:r>
    </w:p>
    <w:p w14:paraId="4CF98869" w14:textId="77777777" w:rsidR="00F61EA2" w:rsidRDefault="00F61EA2" w:rsidP="00F61EA2">
      <w:pPr>
        <w:pStyle w:val="corpsdedcision"/>
      </w:pPr>
      <w:r>
        <w:t>Le 21 janvier 2012, la CSST informe le travailleur que l’aggravation survenue le 13 juillet 2011 le laisse avec une atteinte permanente de 3,3 % pour une indemnité pour préjudice corporel de 1 898,33 $.</w:t>
      </w:r>
    </w:p>
    <w:p w14:paraId="1BF3094D" w14:textId="77777777" w:rsidR="00F61EA2" w:rsidRDefault="00F61EA2" w:rsidP="00F61EA2">
      <w:pPr>
        <w:pStyle w:val="corpsdedcision"/>
      </w:pPr>
      <w:r>
        <w:t>Le 30 janvier 2013, le travailleur passe différents tests auditifs à la demande du docteur Sévigny afin d’évaluer sa surdité ainsi que l’acouphène.</w:t>
      </w:r>
    </w:p>
    <w:p w14:paraId="55B88AB1" w14:textId="77777777" w:rsidR="00F61EA2" w:rsidRDefault="00F61EA2" w:rsidP="00F61EA2">
      <w:pPr>
        <w:pStyle w:val="corpsdedcision"/>
      </w:pPr>
      <w:r>
        <w:t>Dans son rapport qui en a suivi, l’audiologiste Marie-Andrée Gagnon apporte les conclusions suivantes :</w:t>
      </w:r>
    </w:p>
    <w:p w14:paraId="23AD793A" w14:textId="77777777" w:rsidR="00F61EA2" w:rsidRDefault="00F61EA2" w:rsidP="00F61EA2">
      <w:pPr>
        <w:pStyle w:val="citation"/>
      </w:pPr>
      <w:r>
        <w:t>Le client présente une atteinte neurosensorielle bilatéralement et symétrique d’origine professionnelle reconnue.</w:t>
      </w:r>
    </w:p>
    <w:p w14:paraId="51106024" w14:textId="77777777" w:rsidR="00F61EA2" w:rsidRDefault="00F61EA2" w:rsidP="00F61EA2">
      <w:pPr>
        <w:pStyle w:val="citation"/>
      </w:pPr>
    </w:p>
    <w:p w14:paraId="7C451626" w14:textId="77777777" w:rsidR="00F61EA2" w:rsidRDefault="00F61EA2" w:rsidP="00F61EA2">
      <w:pPr>
        <w:pStyle w:val="citation"/>
      </w:pPr>
      <w:r>
        <w:t>Par rapport à novembre 2005 : diminution signific</w:t>
      </w:r>
      <w:r w:rsidR="001B52D9">
        <w:t>ative des seuils à 8000 Hz à l’AS</w:t>
      </w:r>
      <w:r>
        <w:t xml:space="preserve"> </w:t>
      </w:r>
      <w:r w:rsidR="001B52D9">
        <w:t>et à 3000, 6000 et 8000 Hz à l’A</w:t>
      </w:r>
      <w:r>
        <w:t>D.</w:t>
      </w:r>
    </w:p>
    <w:p w14:paraId="016F9E2E" w14:textId="77777777" w:rsidR="00F61EA2" w:rsidRDefault="00F61EA2" w:rsidP="00F61EA2">
      <w:pPr>
        <w:pStyle w:val="citation"/>
      </w:pPr>
    </w:p>
    <w:p w14:paraId="3213ED41" w14:textId="77777777" w:rsidR="00F61EA2" w:rsidRDefault="00F61EA2" w:rsidP="00F61EA2">
      <w:pPr>
        <w:pStyle w:val="citation"/>
      </w:pPr>
      <w:r>
        <w:t>Bonne mobilité tympanique bilatéralement.</w:t>
      </w:r>
    </w:p>
    <w:p w14:paraId="4181A657" w14:textId="77777777" w:rsidR="00F61EA2" w:rsidRDefault="00F61EA2" w:rsidP="00F61EA2">
      <w:pPr>
        <w:pStyle w:val="citation"/>
      </w:pPr>
    </w:p>
    <w:p w14:paraId="25D720C6" w14:textId="77777777" w:rsidR="00F61EA2" w:rsidRDefault="00F61EA2" w:rsidP="00F61EA2">
      <w:pPr>
        <w:pStyle w:val="citation"/>
      </w:pPr>
      <w:r>
        <w:t>Monsieur présente un acouphène dérangeant qui occasionne un dérangement de 5 à 6/10 en moyenne, mais atteignant un dérangement de 9-10/10 la nuit. Cet acouphène l’empêche de bien dormir et de se concentrer lorsqu’il est dans des environnements silencieux. Celui-ci occasionne également du stress et de la fatigue chez le patient. Monsieur pourrait bénéficier d’un suivi pour mieux gérer le dérangement par ses acouphènes.</w:t>
      </w:r>
    </w:p>
    <w:p w14:paraId="491120E6" w14:textId="77777777" w:rsidR="00F61EA2" w:rsidRDefault="00F61EA2" w:rsidP="00F61EA2">
      <w:pPr>
        <w:pStyle w:val="citation"/>
      </w:pPr>
    </w:p>
    <w:p w14:paraId="3127F0A5" w14:textId="77777777" w:rsidR="00F61EA2" w:rsidRDefault="00F61EA2" w:rsidP="00310193">
      <w:pPr>
        <w:pStyle w:val="citation"/>
        <w:spacing w:after="360"/>
      </w:pPr>
      <w:r>
        <w:t>Au travail, Monsieur pourrait bénéficier de protecteurs personnalisés via la CSST.</w:t>
      </w:r>
    </w:p>
    <w:p w14:paraId="6447C2A8" w14:textId="77777777" w:rsidR="00F61EA2" w:rsidRDefault="00F61EA2" w:rsidP="00F61EA2">
      <w:pPr>
        <w:pStyle w:val="corpsdedcision"/>
      </w:pPr>
      <w:r>
        <w:t>Le 27 août 2014, le docteur Sévigny consolide la surdité neurosensorielle bilatérale ainsi que l’acouphène bilatéral du travailleur à ce jour avec prévision d’atteinte permanente à l'intégrité physique ou psychique et prévision de limitations fonctionnelles.</w:t>
      </w:r>
    </w:p>
    <w:p w14:paraId="30038345" w14:textId="77777777" w:rsidR="00F61EA2" w:rsidRDefault="00F61EA2" w:rsidP="00F61EA2">
      <w:pPr>
        <w:pStyle w:val="corpsdedcision"/>
      </w:pPr>
      <w:r>
        <w:t>Dans son rapport d'évaluation médicale qui en a suivi le 17 septembre 2014, le docteur Sévigny conclut que le travailleur présente une surdité neurosensorielle bilatérale dont les courbes sont caractéristiques d’une surdité par exposition au bruit.</w:t>
      </w:r>
    </w:p>
    <w:p w14:paraId="11CFB88C" w14:textId="77777777" w:rsidR="00F61EA2" w:rsidRDefault="00F61EA2" w:rsidP="00F61EA2">
      <w:pPr>
        <w:pStyle w:val="corpsdedcision"/>
      </w:pPr>
      <w:r>
        <w:t xml:space="preserve">Il note qu’il y a eu une légère aggravation depuis 2011 et que les acouphènes du travailleur demeurent significatifs. Il estime </w:t>
      </w:r>
      <w:r w:rsidR="002476DF">
        <w:t>qu’ils</w:t>
      </w:r>
      <w:r>
        <w:t xml:space="preserve"> doivent être considérés </w:t>
      </w:r>
      <w:r w:rsidR="00CB3484">
        <w:t>aux</w:t>
      </w:r>
      <w:r>
        <w:t xml:space="preserve"> fins de calcul du déficit anatomo-physiologique.</w:t>
      </w:r>
    </w:p>
    <w:p w14:paraId="68E79B76" w14:textId="77777777" w:rsidR="00F61EA2" w:rsidRDefault="00F61EA2" w:rsidP="00F61EA2">
      <w:pPr>
        <w:pStyle w:val="corpsdedcision"/>
      </w:pPr>
      <w:r>
        <w:lastRenderedPageBreak/>
        <w:t>Au chapitre du bilan des séquelles actuelles, le docteur Sévigny reconnaît au travailleur, pour sa surdité, un défic</w:t>
      </w:r>
      <w:r w:rsidR="00CB3484">
        <w:t>it anatomo-physiologique de 2,5 </w:t>
      </w:r>
      <w:r>
        <w:t>% p</w:t>
      </w:r>
      <w:r w:rsidR="00CB3484">
        <w:t>our son oreille droite et 1 </w:t>
      </w:r>
      <w:r>
        <w:t>% pour l’oreille gauche et, par analogie, pour l’acouphène, 2</w:t>
      </w:r>
      <w:r w:rsidR="00CB3484">
        <w:t>,5 </w:t>
      </w:r>
      <w:r w:rsidR="002476DF">
        <w:t>% pour l’oreille droite et 1</w:t>
      </w:r>
      <w:r w:rsidR="00CB3484">
        <w:t> </w:t>
      </w:r>
      <w:r>
        <w:t xml:space="preserve">% pour l’oreille gauche. Quant aux séquelles antérieures, </w:t>
      </w:r>
      <w:r w:rsidR="009107B9">
        <w:t xml:space="preserve">il </w:t>
      </w:r>
      <w:r>
        <w:t>réfère à un défic</w:t>
      </w:r>
      <w:r w:rsidR="00CB3484">
        <w:t>it anatomo-physiologique de 2,5 </w:t>
      </w:r>
      <w:r>
        <w:t xml:space="preserve">% pour l’oreille droite </w:t>
      </w:r>
      <w:r w:rsidR="00CB3484">
        <w:t>et 0,5 </w:t>
      </w:r>
      <w:r>
        <w:t>% pour l’oreille gauche.</w:t>
      </w:r>
    </w:p>
    <w:p w14:paraId="1843FE72" w14:textId="77777777" w:rsidR="00F61EA2" w:rsidRDefault="00F61EA2" w:rsidP="00F61EA2">
      <w:pPr>
        <w:pStyle w:val="corpsdedcision"/>
      </w:pPr>
      <w:r>
        <w:t xml:space="preserve">Le 6 septembre 2014, </w:t>
      </w:r>
      <w:r w:rsidR="00371DE0">
        <w:t>le travailleur produit à la CSST un formulaire « Réclamation du travailleur » pour faire reconnaître ses acouphènes.</w:t>
      </w:r>
    </w:p>
    <w:p w14:paraId="03852991" w14:textId="77777777" w:rsidR="00371DE0" w:rsidRDefault="00371DE0" w:rsidP="00F61EA2">
      <w:pPr>
        <w:pStyle w:val="corpsdedcision"/>
      </w:pPr>
      <w:r>
        <w:t>Le 16 octobre 2014, la CSST écrit au travailleur pour l’informer que des suites de son aggravation survenue le 23 décembre 2013, son attein</w:t>
      </w:r>
      <w:r w:rsidR="00A80383">
        <w:t>te permanente est établie à 0,5 </w:t>
      </w:r>
      <w:r>
        <w:t>%, ce qui lui donne droit à une indemnité p</w:t>
      </w:r>
      <w:r w:rsidR="00A80383">
        <w:t>our préjudice corporel de 1 010 </w:t>
      </w:r>
      <w:r>
        <w:t>$, décision que le travailleur porte en révision le 29 octobre 2014.</w:t>
      </w:r>
    </w:p>
    <w:p w14:paraId="26986476" w14:textId="77777777" w:rsidR="00BA7AF0" w:rsidRDefault="00371DE0" w:rsidP="00BA7AF0">
      <w:pPr>
        <w:pStyle w:val="corpsdedcision"/>
      </w:pPr>
      <w:r>
        <w:t>Le 28</w:t>
      </w:r>
      <w:r w:rsidR="00BA7AF0">
        <w:t xml:space="preserve"> janvier 2015, la CSST informe le travailleur qu’après étude de son dossier, elle conclut qu’il n’y a pas de relation entre l’acouphène bilatéral et l’aggravation de sa surdité professionnelle survenue le 23 décembre 2013. De plus, elle ajoute qu’il ne s’agit pas d’une </w:t>
      </w:r>
      <w:r w:rsidR="00A87DEA">
        <w:t xml:space="preserve">autre </w:t>
      </w:r>
      <w:r w:rsidR="00BA7AF0">
        <w:t xml:space="preserve">catégorie de lésion professionnelle, </w:t>
      </w:r>
      <w:r w:rsidR="00A87DEA">
        <w:t>l</w:t>
      </w:r>
      <w:r w:rsidR="00BA7AF0">
        <w:t>es acouphènes étant, selon elle, secondaires à la surdité professionnelle reconnue, décision que le travailleur porte en révision le 6 février 2015.</w:t>
      </w:r>
    </w:p>
    <w:p w14:paraId="3F52D2F7" w14:textId="77777777" w:rsidR="00BA7AF0" w:rsidRDefault="002476DF" w:rsidP="00BA7AF0">
      <w:pPr>
        <w:pStyle w:val="corpsdedcision"/>
      </w:pPr>
      <w:r>
        <w:t xml:space="preserve">Le 29 janvier 2015, </w:t>
      </w:r>
      <w:r w:rsidR="00BA7AF0">
        <w:t>la CSST, à la suite d’une révision administrative, déclare irrecevable la demande de révision du travailleur quant à l’évaluation médicale faite par son médecin traitant. Elle confirme sa déc</w:t>
      </w:r>
      <w:r w:rsidR="00310193">
        <w:t>ision rendue initialement le 16 </w:t>
      </w:r>
      <w:r w:rsidR="00A80383">
        <w:t>octobre </w:t>
      </w:r>
      <w:r w:rsidR="00BA7AF0">
        <w:t>2014 et déclare qu’à la suite de l’aggravation de sa surdité professionnelle, le travailleur demeure avec</w:t>
      </w:r>
      <w:r w:rsidR="00A80383">
        <w:t xml:space="preserve"> une atteinte permanente de 0,5 </w:t>
      </w:r>
      <w:r w:rsidR="00BA7AF0">
        <w:t>% pour une indemnité p</w:t>
      </w:r>
      <w:r w:rsidR="00A80383">
        <w:t>our préjudice corporel de 1 010 </w:t>
      </w:r>
      <w:r w:rsidR="00BA7AF0">
        <w:t>$ plus intérêts, décision que le travailleur conteste à la Commission des lésions professionnelles le 6 février 2015, dossier ouvert sous le numéro 56</w:t>
      </w:r>
      <w:r w:rsidR="009107B9">
        <w:t>4</w:t>
      </w:r>
      <w:r w:rsidR="00BA7AF0">
        <w:t>317-03B-1502.</w:t>
      </w:r>
    </w:p>
    <w:p w14:paraId="67742E3C" w14:textId="77777777" w:rsidR="00BA7AF0" w:rsidRDefault="00BA7AF0" w:rsidP="00BA7AF0">
      <w:pPr>
        <w:pStyle w:val="corpsdedcision"/>
      </w:pPr>
      <w:r>
        <w:t>Le 1</w:t>
      </w:r>
      <w:r w:rsidRPr="00BA7AF0">
        <w:rPr>
          <w:vertAlign w:val="superscript"/>
        </w:rPr>
        <w:t>er</w:t>
      </w:r>
      <w:r>
        <w:t xml:space="preserve"> avril 2015, la révision administrative confirme la dé</w:t>
      </w:r>
      <w:r w:rsidR="00310193">
        <w:t>cision rendue le 28 </w:t>
      </w:r>
      <w:r>
        <w:t xml:space="preserve">janvier 2015 et déclare que les acouphènes </w:t>
      </w:r>
      <w:r w:rsidR="009107B9">
        <w:t>du travailleur</w:t>
      </w:r>
      <w:r>
        <w:t xml:space="preserve"> sont secondaires à </w:t>
      </w:r>
      <w:r w:rsidR="009107B9">
        <w:t>s</w:t>
      </w:r>
      <w:r>
        <w:t>a surdité et ne peuvent être considérés comme une condition distincte de la lésion professionnelle reconnue, décision que le travailleur conteste à la Commission des lésions professionnelles le 13 avril 2015, dossier ouvert sous le numéro 570707-03B-1504.</w:t>
      </w:r>
    </w:p>
    <w:p w14:paraId="6F1EB233" w14:textId="77777777" w:rsidR="00BA7AF0" w:rsidRDefault="00BA7AF0" w:rsidP="00C940BE">
      <w:pPr>
        <w:pStyle w:val="corpsdedcision"/>
        <w:spacing w:after="600"/>
      </w:pPr>
      <w:r>
        <w:t>À l’audience, la preuve est complétée par le dépôt de l’affidavit du travail</w:t>
      </w:r>
      <w:r w:rsidR="00C940BE">
        <w:t>l</w:t>
      </w:r>
      <w:r w:rsidR="002476DF">
        <w:t xml:space="preserve">eur signé le 14 septembre 2015. Ce </w:t>
      </w:r>
      <w:r>
        <w:t>dernier livre également témoignage.</w:t>
      </w:r>
    </w:p>
    <w:p w14:paraId="07A738C8" w14:textId="77777777" w:rsidR="00BA7AF0" w:rsidRDefault="00BA7AF0" w:rsidP="00570E20">
      <w:pPr>
        <w:pStyle w:val="corpsdedcision"/>
      </w:pPr>
      <w:r>
        <w:t xml:space="preserve">De ce témoignage, la Commission des lésions professionnelles retient que durant la journée, </w:t>
      </w:r>
      <w:r w:rsidR="00A87DEA">
        <w:t>il</w:t>
      </w:r>
      <w:r>
        <w:t xml:space="preserve"> perçoit moins ses acouphène</w:t>
      </w:r>
      <w:r w:rsidR="00C940BE">
        <w:t xml:space="preserve">s en raison des bruits ambiants, mais que la nuit, ils </w:t>
      </w:r>
      <w:r>
        <w:t>sont davantage perçus au point de perturber son sommeil.</w:t>
      </w:r>
    </w:p>
    <w:p w14:paraId="3539F380" w14:textId="77777777" w:rsidR="00BA7AF0" w:rsidRDefault="00BA7AF0">
      <w:pPr>
        <w:pStyle w:val="corpsdedcision"/>
        <w:numPr>
          <w:ilvl w:val="0"/>
          <w:numId w:val="0"/>
        </w:numPr>
      </w:pPr>
      <w:r>
        <w:rPr>
          <w:b/>
        </w:rPr>
        <w:lastRenderedPageBreak/>
        <w:t>L’AVIS DES MEMBRES</w:t>
      </w:r>
    </w:p>
    <w:p w14:paraId="0B3F3ABD" w14:textId="77777777" w:rsidR="00BA7AF0" w:rsidRDefault="00BA7AF0" w:rsidP="00BA7AF0">
      <w:pPr>
        <w:pStyle w:val="corpsdedcision"/>
      </w:pPr>
      <w:r>
        <w:t xml:space="preserve">Le membre issu des associations d'employeurs et le membre issu des associations syndicales sont d’avis d’accueillir les contestations du travailleur </w:t>
      </w:r>
      <w:r w:rsidR="00C940BE">
        <w:t>des 6 </w:t>
      </w:r>
      <w:r>
        <w:t>février et 13 avril 2015 et de modifier la décision rendue le 29 janvier 2015 par la CSST, à la suite d’une révision administrative, et d’infirmer celle du 1</w:t>
      </w:r>
      <w:r w:rsidRPr="00BA7AF0">
        <w:rPr>
          <w:vertAlign w:val="superscript"/>
        </w:rPr>
        <w:t>er</w:t>
      </w:r>
      <w:r>
        <w:t xml:space="preserve"> avril 2015.</w:t>
      </w:r>
    </w:p>
    <w:p w14:paraId="13BD11D8" w14:textId="77777777" w:rsidR="00BA7AF0" w:rsidRDefault="00BA7AF0" w:rsidP="00BA7AF0">
      <w:pPr>
        <w:pStyle w:val="corpsdedcision"/>
      </w:pPr>
      <w:r>
        <w:t xml:space="preserve">Contrairement à l’affirmation de la CSST voulant que les acouphènes </w:t>
      </w:r>
      <w:r w:rsidR="00A80383">
        <w:t xml:space="preserve">soient </w:t>
      </w:r>
      <w:r>
        <w:t xml:space="preserve">secondaires à la surdité professionnelle du travailleur et </w:t>
      </w:r>
      <w:r w:rsidR="008D6FDF">
        <w:t>qu’ils ne peuvent être considérés comme une condition distincte</w:t>
      </w:r>
      <w:r w:rsidR="00A80383">
        <w:t xml:space="preserve"> </w:t>
      </w:r>
      <w:r w:rsidR="008D6FDF">
        <w:t>de sa surdité professionnelle</w:t>
      </w:r>
      <w:r w:rsidR="002476DF">
        <w:t>,</w:t>
      </w:r>
      <w:r>
        <w:t xml:space="preserve"> les membres sont d’avis que les acouphènes du travailleur sont une condition in</w:t>
      </w:r>
      <w:r w:rsidR="003B1C0E">
        <w:t>dépendante à sa surdité professionnelle.</w:t>
      </w:r>
    </w:p>
    <w:p w14:paraId="57625340" w14:textId="77777777" w:rsidR="003B1C0E" w:rsidRDefault="003B1C0E" w:rsidP="00BA7AF0">
      <w:pPr>
        <w:pStyle w:val="corpsdedcision"/>
      </w:pPr>
      <w:r>
        <w:t>Selon eux, la surdité neurosensorielle bilatérale constitue une lésion distincte de l’acouphène et souligne qu’un individu peut être porteur de l’un et non de l’autre et vice versa.</w:t>
      </w:r>
    </w:p>
    <w:p w14:paraId="72209889" w14:textId="77777777" w:rsidR="003B1C0E" w:rsidRDefault="003B1C0E" w:rsidP="00BA7AF0">
      <w:pPr>
        <w:pStyle w:val="corpsdedcision"/>
      </w:pPr>
      <w:r>
        <w:t>De plus, le docteur Sévigny, lors d’un échan</w:t>
      </w:r>
      <w:r w:rsidR="00310193">
        <w:t>ge téléphonique intervenu le 23 </w:t>
      </w:r>
      <w:r>
        <w:t>octobre 2014 avec le médecin régional de la CSST, rappelle que l’atteinte permanente pour acouphène</w:t>
      </w:r>
      <w:r w:rsidR="002476DF">
        <w:t>s</w:t>
      </w:r>
      <w:r>
        <w:t xml:space="preserve"> a été accordée par la Commission des lésions professionnelles, approche qu’il</w:t>
      </w:r>
      <w:r w:rsidR="008D6FDF">
        <w:t>s</w:t>
      </w:r>
      <w:r>
        <w:t xml:space="preserve"> partage</w:t>
      </w:r>
      <w:r w:rsidR="008D6FDF">
        <w:t>nt</w:t>
      </w:r>
      <w:r>
        <w:t xml:space="preserve"> en l’instance.</w:t>
      </w:r>
    </w:p>
    <w:p w14:paraId="6788BB40" w14:textId="77777777" w:rsidR="003B1C0E" w:rsidRDefault="003B1C0E" w:rsidP="00BA7AF0">
      <w:pPr>
        <w:pStyle w:val="corpsdedcision"/>
      </w:pPr>
      <w:r>
        <w:t>Au surplus, même si les acouphènes étaient secondaires à la surdité professionnelle, ceci</w:t>
      </w:r>
      <w:r w:rsidR="00C940BE">
        <w:t xml:space="preserve"> n’élimine pas pour autant leur existence</w:t>
      </w:r>
      <w:r>
        <w:t xml:space="preserve"> et les inconvénients qu’</w:t>
      </w:r>
      <w:r w:rsidR="00C940BE">
        <w:t>il</w:t>
      </w:r>
      <w:r>
        <w:t xml:space="preserve">s génèrent indépendamment de </w:t>
      </w:r>
      <w:r w:rsidR="00C940BE">
        <w:t>ceux</w:t>
      </w:r>
      <w:r>
        <w:t xml:space="preserve"> de </w:t>
      </w:r>
      <w:r w:rsidR="00C940BE">
        <w:t>la</w:t>
      </w:r>
      <w:r>
        <w:t xml:space="preserve"> surdité professionnelle.</w:t>
      </w:r>
    </w:p>
    <w:p w14:paraId="03846D48" w14:textId="77777777" w:rsidR="003B1C0E" w:rsidRDefault="003B1C0E" w:rsidP="00BA7AF0">
      <w:pPr>
        <w:pStyle w:val="corpsdedcision"/>
      </w:pPr>
      <w:r>
        <w:t xml:space="preserve">En effet, </w:t>
      </w:r>
      <w:r w:rsidR="002476DF">
        <w:t>il</w:t>
      </w:r>
      <w:r>
        <w:t xml:space="preserve"> est d’autant plus vrai que le travailleur perçoit da</w:t>
      </w:r>
      <w:r w:rsidR="002476DF">
        <w:t>vantage ceux</w:t>
      </w:r>
      <w:r>
        <w:t>-ci lorsqu’il n’est plus exposé au bruit, alors que pour sa surdité professionnelle, il perçoit moins bien les sons aigus.</w:t>
      </w:r>
    </w:p>
    <w:p w14:paraId="0A610D45" w14:textId="77777777" w:rsidR="003B1C0E" w:rsidRDefault="003B1C0E" w:rsidP="00BA7AF0">
      <w:pPr>
        <w:pStyle w:val="corpsdedcision"/>
      </w:pPr>
      <w:r>
        <w:t>Par ailleurs, le fait de ne pas retrouver de compensation pour les acouphènes</w:t>
      </w:r>
      <w:r w:rsidR="002476DF">
        <w:t>, au barème,</w:t>
      </w:r>
      <w:r>
        <w:t xml:space="preserve"> ne constitue pas une fin de non-recevoir puisque le législateur a prévu, de façon spécifique, qu’il pouvait être reconnu au travailleur un déficit anatomo-physiologique même si sa lésion professionnelle n’était pas spécifiquement identifiée au barème en se référant à une pathologie du même genre.</w:t>
      </w:r>
    </w:p>
    <w:p w14:paraId="4846C6B0" w14:textId="77777777" w:rsidR="00C940BE" w:rsidRDefault="00C940BE" w:rsidP="00C940BE">
      <w:pPr>
        <w:pStyle w:val="corpsdedcision"/>
        <w:numPr>
          <w:ilvl w:val="0"/>
          <w:numId w:val="0"/>
        </w:numPr>
      </w:pPr>
    </w:p>
    <w:p w14:paraId="5E4137BC" w14:textId="77777777" w:rsidR="003B1C0E" w:rsidRDefault="003B1C0E" w:rsidP="00BA7AF0">
      <w:pPr>
        <w:pStyle w:val="corpsdedcision"/>
      </w:pPr>
      <w:r>
        <w:t>C’est dans ce contexte que les membres des différentes associations concluent que les acouphènes du travailleur constituent une l</w:t>
      </w:r>
      <w:r w:rsidR="00C940BE">
        <w:t>ésion professionnelle distincte</w:t>
      </w:r>
      <w:r w:rsidR="002476DF">
        <w:t xml:space="preserve"> de s</w:t>
      </w:r>
      <w:r>
        <w:t xml:space="preserve">a surdité professionnelle </w:t>
      </w:r>
      <w:r w:rsidR="002476DF">
        <w:t xml:space="preserve">peuvent </w:t>
      </w:r>
      <w:r>
        <w:t>être compensé</w:t>
      </w:r>
      <w:r w:rsidR="002476DF">
        <w:t>s</w:t>
      </w:r>
      <w:r>
        <w:t xml:space="preserve"> par analogie avec l’équivalent de la perte </w:t>
      </w:r>
      <w:r>
        <w:lastRenderedPageBreak/>
        <w:t>auditive pour surdité bilatérale, tel que suggéré par le docteur Sévigny dans son rapport d'évaluation médicale daté du 17 septembre 2014.</w:t>
      </w:r>
    </w:p>
    <w:p w14:paraId="0704136C" w14:textId="77777777" w:rsidR="003B1C0E" w:rsidRDefault="003B1C0E" w:rsidP="00BA7AF0">
      <w:pPr>
        <w:pStyle w:val="corpsdedcision"/>
      </w:pPr>
      <w:r>
        <w:t xml:space="preserve">L’atteinte permanente du travailleur à la suite de </w:t>
      </w:r>
      <w:r w:rsidR="00C940BE">
        <w:t>l’</w:t>
      </w:r>
      <w:r>
        <w:t xml:space="preserve">aggravation de sa surdité survenue le 23 décembre 2013 est donc pour son </w:t>
      </w:r>
      <w:r w:rsidR="00A80383">
        <w:t>oreille la plus atteinte de 0,5 % et pour les acouphènes de 2,5 % pour l’oreille droite et de 1 </w:t>
      </w:r>
      <w:r>
        <w:t>% pour l’oreille gauche à laquell</w:t>
      </w:r>
      <w:r w:rsidR="00A80383">
        <w:t>e s’ajoute 0,4 </w:t>
      </w:r>
      <w:r>
        <w:t>% pour douleurs et perte de jouissance de la vie, ce qui donne une atteinte permanente à l'intégrité physique ou psychique de 4,4 %.</w:t>
      </w:r>
    </w:p>
    <w:p w14:paraId="4269CDD5" w14:textId="77777777" w:rsidR="003B1C0E" w:rsidRDefault="003B1C0E" w:rsidP="00BA7AF0">
      <w:pPr>
        <w:pStyle w:val="corpsdedcision"/>
      </w:pPr>
      <w:r>
        <w:t>Ce pourcentage d’atteinte permanente du travailleur lui donne droit à une indemnité pour préjudice corporel</w:t>
      </w:r>
      <w:r w:rsidR="001B52D9">
        <w:t xml:space="preserve"> avec intérêts depuis</w:t>
      </w:r>
      <w:r>
        <w:t xml:space="preserve"> le dépôt de sa réclamation pour récidive, rechute ou aggravation.</w:t>
      </w:r>
    </w:p>
    <w:p w14:paraId="700A35AC" w14:textId="77777777" w:rsidR="003B1C0E" w:rsidRDefault="003B1C0E">
      <w:pPr>
        <w:pStyle w:val="corpsdedcision"/>
        <w:numPr>
          <w:ilvl w:val="0"/>
          <w:numId w:val="0"/>
        </w:numPr>
      </w:pPr>
      <w:r>
        <w:rPr>
          <w:b/>
        </w:rPr>
        <w:t>LES MOTIFS DE LA DÉCISION</w:t>
      </w:r>
    </w:p>
    <w:p w14:paraId="52BA0AC2" w14:textId="77777777" w:rsidR="003B1C0E" w:rsidRDefault="00865541" w:rsidP="003B1C0E">
      <w:pPr>
        <w:pStyle w:val="corpsdedcision"/>
      </w:pPr>
      <w:r>
        <w:t>La Commission des lésions professionnelles doit déterminer si l</w:t>
      </w:r>
      <w:r w:rsidR="008D6FDF">
        <w:t xml:space="preserve">es </w:t>
      </w:r>
      <w:r>
        <w:t>acouphène</w:t>
      </w:r>
      <w:r w:rsidR="008D6FDF">
        <w:t>s</w:t>
      </w:r>
      <w:r>
        <w:t xml:space="preserve"> que présente le travailleur peu</w:t>
      </w:r>
      <w:r w:rsidR="008D6FDF">
        <w:t>ven</w:t>
      </w:r>
      <w:r>
        <w:t>t</w:t>
      </w:r>
      <w:r w:rsidR="008D6FDF">
        <w:t xml:space="preserve"> être considérés comme une lésion </w:t>
      </w:r>
      <w:proofErr w:type="gramStart"/>
      <w:r w:rsidR="008D6FDF">
        <w:t xml:space="preserve">professionnelle </w:t>
      </w:r>
      <w:r>
        <w:t xml:space="preserve"> distincte</w:t>
      </w:r>
      <w:proofErr w:type="gramEnd"/>
      <w:r>
        <w:t xml:space="preserve"> de sa surdité professionnelle.</w:t>
      </w:r>
    </w:p>
    <w:p w14:paraId="463B974F" w14:textId="77777777" w:rsidR="00865541" w:rsidRDefault="00865541" w:rsidP="003B1C0E">
      <w:pPr>
        <w:pStyle w:val="corpsdedcision"/>
      </w:pPr>
      <w:r>
        <w:t xml:space="preserve">Dans l’affirmative, déterminer si le travailleur a droit à une indemnité pour préjudice corporel en regard de </w:t>
      </w:r>
      <w:r w:rsidR="002476DF">
        <w:t>s</w:t>
      </w:r>
      <w:r>
        <w:t>es acouphènes.</w:t>
      </w:r>
    </w:p>
    <w:p w14:paraId="77287B93" w14:textId="77777777" w:rsidR="00865541" w:rsidRDefault="00865541" w:rsidP="003B1C0E">
      <w:pPr>
        <w:pStyle w:val="corpsdedcision"/>
      </w:pPr>
      <w:r>
        <w:t>La loi a pour objet, suivant le 1</w:t>
      </w:r>
      <w:r w:rsidRPr="00865541">
        <w:rPr>
          <w:vertAlign w:val="superscript"/>
        </w:rPr>
        <w:t>er</w:t>
      </w:r>
      <w:r>
        <w:t xml:space="preserve"> alinéa de l’article 1, la réparation des lésions professionnelles et des conséquences qu’elle entraîne pour les bénéficiaires.</w:t>
      </w:r>
    </w:p>
    <w:p w14:paraId="6719BA59" w14:textId="77777777" w:rsidR="00865541" w:rsidRDefault="00865541">
      <w:pPr>
        <w:pStyle w:val="articlesdelaLATMP"/>
      </w:pPr>
      <w:r w:rsidRPr="000E7B9E">
        <w:rPr>
          <w:b/>
        </w:rPr>
        <w:t>1.</w:t>
      </w:r>
      <w:r>
        <w:t xml:space="preserve">  La présente loi a pour objet la réparation des lésions professionnelles et des conséquences qu'elles entraînent pour les bénéficiaires.</w:t>
      </w:r>
    </w:p>
    <w:p w14:paraId="610EE396" w14:textId="77777777" w:rsidR="00865541" w:rsidRDefault="00865541">
      <w:pPr>
        <w:pStyle w:val="articlesdelaLATMP"/>
      </w:pPr>
    </w:p>
    <w:p w14:paraId="133DE9FB" w14:textId="77777777" w:rsidR="00865541" w:rsidRDefault="00865541">
      <w:pPr>
        <w:pStyle w:val="articlesdelaLATMP"/>
      </w:pPr>
      <w:r>
        <w:t>Le processus de réparation des lésions professionnelles comprend la fourniture des soins nécessaires à la consolidation d'une lésion, la réadaptation physique, sociale et professionnelle du travailleur victime d'une lésion, le paiement d'indemnités de remplacement du revenu, d'indemnités pour préjudice corporel et, le cas échéant, d'indemnités de décès.</w:t>
      </w:r>
    </w:p>
    <w:p w14:paraId="4945F8A8" w14:textId="77777777" w:rsidR="00865541" w:rsidRDefault="00865541">
      <w:pPr>
        <w:pStyle w:val="articlesdelaLATMP"/>
      </w:pPr>
    </w:p>
    <w:p w14:paraId="1C6120E5" w14:textId="77777777" w:rsidR="00865541" w:rsidRDefault="00865541">
      <w:pPr>
        <w:pStyle w:val="articlesdelaLATMP"/>
      </w:pPr>
      <w:r>
        <w:t>La présente loi confère en outre, dans les limites prévues au chapitre VII, le droit au retour au travail du travailleur victime d'une lésion professionnelle.</w:t>
      </w:r>
    </w:p>
    <w:p w14:paraId="5537BF31" w14:textId="77777777" w:rsidR="00865541" w:rsidRDefault="00865541">
      <w:pPr>
        <w:pStyle w:val="articlesdelaLATMP"/>
      </w:pPr>
      <w:r>
        <w:t>__________</w:t>
      </w:r>
    </w:p>
    <w:p w14:paraId="56AE9803" w14:textId="77777777" w:rsidR="00865541" w:rsidRDefault="00865541" w:rsidP="00310193">
      <w:pPr>
        <w:pStyle w:val="articlesdelaLATMP"/>
        <w:spacing w:after="360"/>
      </w:pPr>
      <w:r>
        <w:t>1985, c. 6, a. 1; 1999, c. 40, a. 4.</w:t>
      </w:r>
    </w:p>
    <w:p w14:paraId="030A836F" w14:textId="77777777" w:rsidR="00865541" w:rsidRDefault="00865541" w:rsidP="00865541">
      <w:pPr>
        <w:pStyle w:val="corpsdedcision"/>
      </w:pPr>
      <w:r>
        <w:t>Afin de réaliser cet objectif, encore faut-il circonscrire l’étendue des lésions professionnelles que présente le travailleur.</w:t>
      </w:r>
    </w:p>
    <w:p w14:paraId="4560F2B8" w14:textId="77777777" w:rsidR="00865541" w:rsidRDefault="00C940BE" w:rsidP="00865541">
      <w:pPr>
        <w:pStyle w:val="corpsdedcision"/>
      </w:pPr>
      <w:r>
        <w:t xml:space="preserve">Dans ce dossier, il </w:t>
      </w:r>
      <w:r w:rsidR="00865541">
        <w:t xml:space="preserve">ne fait aucun doute que la surdité neurosensorielle que présente le travailleur depuis le 23 décembre </w:t>
      </w:r>
      <w:r w:rsidR="008D6FDF">
        <w:t xml:space="preserve">2005 </w:t>
      </w:r>
      <w:r w:rsidR="00865541">
        <w:t>constitue une maladie profession</w:t>
      </w:r>
      <w:r>
        <w:t xml:space="preserve">nelle, </w:t>
      </w:r>
      <w:r>
        <w:lastRenderedPageBreak/>
        <w:t>tel</w:t>
      </w:r>
      <w:r w:rsidR="002476DF">
        <w:t>le</w:t>
      </w:r>
      <w:r>
        <w:t xml:space="preserve"> que l’a reconnu</w:t>
      </w:r>
      <w:r w:rsidR="002476DF">
        <w:t>e</w:t>
      </w:r>
      <w:r w:rsidR="00865541">
        <w:t xml:space="preserve"> la CSS</w:t>
      </w:r>
      <w:r w:rsidR="002476DF">
        <w:t>T dans sa décision rendue le 25 mai </w:t>
      </w:r>
      <w:r w:rsidR="00865541">
        <w:t xml:space="preserve">2007, quoiqu’à cette époque, elle était </w:t>
      </w:r>
      <w:proofErr w:type="spellStart"/>
      <w:r w:rsidR="00865541">
        <w:t>infrabarème</w:t>
      </w:r>
      <w:proofErr w:type="spellEnd"/>
      <w:r w:rsidR="00865541">
        <w:t>.</w:t>
      </w:r>
    </w:p>
    <w:p w14:paraId="334C5BEE" w14:textId="77777777" w:rsidR="00865541" w:rsidRDefault="00865541" w:rsidP="00865541">
      <w:pPr>
        <w:pStyle w:val="corpsdedcision"/>
      </w:pPr>
      <w:r>
        <w:t>Il s’ensuit une réclamation pour récidive, rechute ou aggravation</w:t>
      </w:r>
      <w:r w:rsidR="00193571">
        <w:t xml:space="preserve"> survenue le 13 </w:t>
      </w:r>
      <w:r>
        <w:t xml:space="preserve">juillet 2011 où le travailleur se voit reconnaître une atteinte permanente </w:t>
      </w:r>
      <w:r w:rsidR="00193571">
        <w:t>de 3,3 </w:t>
      </w:r>
      <w:r>
        <w:t xml:space="preserve">% pour une indemnité pour </w:t>
      </w:r>
      <w:r w:rsidR="00193571">
        <w:t>préjudice corporel de 1 898,33 $.</w:t>
      </w:r>
    </w:p>
    <w:p w14:paraId="136F9733" w14:textId="77777777" w:rsidR="00193571" w:rsidRDefault="00193571" w:rsidP="00865541">
      <w:pPr>
        <w:pStyle w:val="corpsdedcision"/>
      </w:pPr>
      <w:r>
        <w:t>Le 23 décembre 2013, le travailleur présente une autre aggravation de sa surdité professionnelle qui le laisse porteur d’une augmentation de 0,5 % d’atteinte permanente à l'intégrité physique ou psychique pour une indemnité p</w:t>
      </w:r>
      <w:r w:rsidR="00A80383">
        <w:t>our dommages corporels de 1 010 </w:t>
      </w:r>
      <w:r>
        <w:t>$.</w:t>
      </w:r>
    </w:p>
    <w:p w14:paraId="3B083BEC" w14:textId="77777777" w:rsidR="00193571" w:rsidRDefault="002476DF" w:rsidP="00865541">
      <w:pPr>
        <w:pStyle w:val="corpsdedcision"/>
      </w:pPr>
      <w:r>
        <w:t>Cependant, à cette époque,</w:t>
      </w:r>
      <w:r w:rsidR="00193571">
        <w:t xml:space="preserve"> l’audiologiste Gagnon rapporte que le </w:t>
      </w:r>
      <w:r>
        <w:t>travailleur présentait</w:t>
      </w:r>
      <w:r w:rsidR="00193571">
        <w:t xml:space="preserve"> égalem</w:t>
      </w:r>
      <w:r w:rsidR="00A80383">
        <w:t>ent des acouphènes de type « </w:t>
      </w:r>
      <w:proofErr w:type="spellStart"/>
      <w:r w:rsidR="00A80383">
        <w:t>sil</w:t>
      </w:r>
      <w:r w:rsidR="00193571">
        <w:t>lements</w:t>
      </w:r>
      <w:proofErr w:type="spellEnd"/>
      <w:r w:rsidR="00193571">
        <w:t xml:space="preserve"> continus et dérangeants », ces </w:t>
      </w:r>
      <w:r w:rsidR="00C940BE">
        <w:t>derniers</w:t>
      </w:r>
      <w:r w:rsidR="00193571">
        <w:t xml:space="preserve"> étant plus perturbants</w:t>
      </w:r>
      <w:r>
        <w:t xml:space="preserve"> dans le silence et le réveill</w:t>
      </w:r>
      <w:r w:rsidR="00193571">
        <w:t>aient la nuit, l’empêchant ainsi de se rendormir.</w:t>
      </w:r>
    </w:p>
    <w:p w14:paraId="45EF8FA5" w14:textId="77777777" w:rsidR="00193571" w:rsidRDefault="00193571" w:rsidP="00865541">
      <w:pPr>
        <w:pStyle w:val="corpsdedcision"/>
      </w:pPr>
      <w:r>
        <w:t xml:space="preserve">Appelé à la demande de l’audiologiste Gagnon à quantifier le dérangement généré par </w:t>
      </w:r>
      <w:r w:rsidR="002476DF">
        <w:t>s</w:t>
      </w:r>
      <w:r>
        <w:t>es acouphènes, le</w:t>
      </w:r>
      <w:r w:rsidR="00C940BE">
        <w:t xml:space="preserve"> travailleur parle alors de 5-6/</w:t>
      </w:r>
      <w:r>
        <w:t>10 durant la journée alors qu’il est à 9-10/10 durant la nuit.</w:t>
      </w:r>
    </w:p>
    <w:p w14:paraId="12668EA7" w14:textId="77777777" w:rsidR="00193571" w:rsidRDefault="00193571" w:rsidP="00865541">
      <w:pPr>
        <w:pStyle w:val="corpsdedcision"/>
      </w:pPr>
      <w:r>
        <w:t>Dans son rapport final émis le 27 août 2014, le docteur Bernard Sévigny, oto-rhino-laryngologiste, retient les diagnostics de surdité neurosensorielle et acouphène bilatéral, diagnostic qui, en l’absence d’un avis contraire émis par le Bureau d'évaluation médicale, lie le présent tribunal ainsi que les parties.</w:t>
      </w:r>
    </w:p>
    <w:p w14:paraId="037B4AC1" w14:textId="77777777" w:rsidR="00193571" w:rsidRDefault="00193571" w:rsidP="00865541">
      <w:pPr>
        <w:pStyle w:val="corpsdedcision"/>
      </w:pPr>
      <w:r>
        <w:t>Dans son rapport d'évaluation médicale qui en a suivi le 17 septembre 2014, le docteur Sévigny considère que les acouphènes du travailleur demeurent significatifs et doivent être compensés dans l</w:t>
      </w:r>
      <w:r w:rsidR="00470A0B">
        <w:t>e</w:t>
      </w:r>
      <w:r>
        <w:t xml:space="preserve"> calcul du déficit anatomo-physiologique, approche que partage la Commission des lésions professionnelles.</w:t>
      </w:r>
    </w:p>
    <w:p w14:paraId="2BEF766D" w14:textId="77777777" w:rsidR="00193571" w:rsidRDefault="00193571" w:rsidP="00865541">
      <w:pPr>
        <w:pStyle w:val="corpsdedcision"/>
      </w:pPr>
      <w:r>
        <w:t>L</w:t>
      </w:r>
      <w:r w:rsidR="00A04C85">
        <w:t xml:space="preserve">es </w:t>
      </w:r>
      <w:r>
        <w:t>acouphène</w:t>
      </w:r>
      <w:r w:rsidR="00A04C85">
        <w:t>s</w:t>
      </w:r>
      <w:r>
        <w:t xml:space="preserve">, </w:t>
      </w:r>
      <w:proofErr w:type="gramStart"/>
      <w:r>
        <w:t>de par</w:t>
      </w:r>
      <w:proofErr w:type="gramEnd"/>
      <w:r>
        <w:t xml:space="preserve"> ce qui le</w:t>
      </w:r>
      <w:r w:rsidR="00A04C85">
        <w:t>s</w:t>
      </w:r>
      <w:r>
        <w:t xml:space="preserve"> caractérise, constitue</w:t>
      </w:r>
      <w:r w:rsidR="00A04C85">
        <w:t>nt</w:t>
      </w:r>
      <w:r>
        <w:t xml:space="preserve"> une lésion distincte de la surdité</w:t>
      </w:r>
      <w:r w:rsidR="00A04C85">
        <w:t xml:space="preserve"> et</w:t>
      </w:r>
      <w:r>
        <w:t xml:space="preserve"> se manifeste</w:t>
      </w:r>
      <w:r w:rsidR="00CB3484">
        <w:t>nt</w:t>
      </w:r>
      <w:r>
        <w:t xml:space="preserve"> par des sifflements ou bruits que perçoit le travailleur et qui, suivant son importance, peu</w:t>
      </w:r>
      <w:r w:rsidR="001B52D9">
        <w:t>vent</w:t>
      </w:r>
      <w:r>
        <w:t xml:space="preserve"> avoir de sérieuses répercussions.</w:t>
      </w:r>
    </w:p>
    <w:p w14:paraId="1C9F02CD" w14:textId="77777777" w:rsidR="00193571" w:rsidRDefault="00193571" w:rsidP="00865541">
      <w:pPr>
        <w:pStyle w:val="corpsdedcision"/>
      </w:pPr>
      <w:r>
        <w:t xml:space="preserve">La Commission des lésions professionnelles note que personne ne remet en </w:t>
      </w:r>
      <w:r w:rsidR="002476DF">
        <w:t>question</w:t>
      </w:r>
      <w:r>
        <w:t xml:space="preserve"> l’existence des acouphènes du travailleur ainsi que leur origine, le seul litige reposant sur la compensation de ceux-ci.</w:t>
      </w:r>
    </w:p>
    <w:p w14:paraId="1B3B25BA" w14:textId="77777777" w:rsidR="00193571" w:rsidRDefault="00193571" w:rsidP="002476DF">
      <w:pPr>
        <w:pStyle w:val="corpsdedcision"/>
        <w:spacing w:after="240"/>
      </w:pPr>
      <w:r>
        <w:t>Les principaux motifs retenus par la CSST pour refuser les acouphènes du travailleur sont les suivants :</w:t>
      </w:r>
    </w:p>
    <w:p w14:paraId="47230D56" w14:textId="77777777" w:rsidR="00193571" w:rsidRDefault="00193571" w:rsidP="00310193">
      <w:pPr>
        <w:pStyle w:val="corpsdedcision"/>
        <w:numPr>
          <w:ilvl w:val="0"/>
          <w:numId w:val="2"/>
        </w:numPr>
        <w:spacing w:after="120"/>
      </w:pPr>
      <w:r>
        <w:t>Les acouphènes seraient secondaires à la surdité reconnue au travailleur;</w:t>
      </w:r>
    </w:p>
    <w:p w14:paraId="26C381FF" w14:textId="77777777" w:rsidR="00193571" w:rsidRDefault="00193571" w:rsidP="00193571">
      <w:pPr>
        <w:pStyle w:val="corpsdedcision"/>
        <w:numPr>
          <w:ilvl w:val="0"/>
          <w:numId w:val="2"/>
        </w:numPr>
      </w:pPr>
      <w:r>
        <w:lastRenderedPageBreak/>
        <w:t>Le barème ne prévoit pas de code spécifique pour de tels acouphènes.</w:t>
      </w:r>
    </w:p>
    <w:p w14:paraId="355EE0BD" w14:textId="77777777" w:rsidR="00193571" w:rsidRDefault="006D6E96" w:rsidP="00193571">
      <w:pPr>
        <w:pStyle w:val="corpsdedcision"/>
      </w:pPr>
      <w:r>
        <w:t>Avec respect pour cette approche, la Commission des lésions professionnelles ne peut la partager en l’instance.</w:t>
      </w:r>
    </w:p>
    <w:p w14:paraId="13E088FB" w14:textId="77777777" w:rsidR="006D6E96" w:rsidRDefault="006D6E96" w:rsidP="00193571">
      <w:pPr>
        <w:pStyle w:val="corpsdedcision"/>
      </w:pPr>
      <w:r>
        <w:t>D’entrée de jeu, la Commission des lésions professionnelles est d’avis que les acouphènes constituent bel et bien une lésion distincte de la surdité professionnelle et n’est pas incluse dans les effets de cette surdité.</w:t>
      </w:r>
    </w:p>
    <w:p w14:paraId="27F3C240" w14:textId="77777777" w:rsidR="007635CD" w:rsidRDefault="006D6E96" w:rsidP="00850F5B">
      <w:pPr>
        <w:pStyle w:val="corpsdedcision"/>
      </w:pPr>
      <w:r>
        <w:t xml:space="preserve">En effet, une personne porteuse d’une surdité </w:t>
      </w:r>
      <w:r w:rsidR="007635CD">
        <w:t>de type neurosensoriel présente une diminution de son audition sans pour autant être porteu</w:t>
      </w:r>
      <w:r w:rsidR="00470A0B">
        <w:t>se</w:t>
      </w:r>
      <w:r w:rsidR="007635CD">
        <w:t xml:space="preserve"> d’acouphènes, l’inverse </w:t>
      </w:r>
      <w:r w:rsidR="002476DF">
        <w:t>pouvant</w:t>
      </w:r>
      <w:r w:rsidR="007635CD">
        <w:t xml:space="preserve"> également être possible.</w:t>
      </w:r>
      <w:r w:rsidR="00310193">
        <w:t xml:space="preserve"> </w:t>
      </w:r>
      <w:r w:rsidR="00470A0B">
        <w:t>Et, a</w:t>
      </w:r>
      <w:r w:rsidR="007635CD">
        <w:t>u surplus, l’un n’empêche pas l’autre.</w:t>
      </w:r>
    </w:p>
    <w:p w14:paraId="4D6FEC83" w14:textId="77777777" w:rsidR="007635CD" w:rsidRDefault="007635CD" w:rsidP="00193571">
      <w:pPr>
        <w:pStyle w:val="corpsdedcision"/>
      </w:pPr>
      <w:r>
        <w:t>La surdité professionnelle se manifeste surtout lors d’échanges avec ses pairs ou lors de l’écoute de la télévision ou de la radio alors que les effets des acouphènes du travailleur sont en partie atténués par le bruit journalier et sont davantage perçus la nuit au point où le travailleur a recours à la télévision pour s’endormir. Cependant, s’il se réveille durant la nuit, les acouphènes l’empêchent de se rendormir.</w:t>
      </w:r>
    </w:p>
    <w:p w14:paraId="59D14092" w14:textId="77777777" w:rsidR="007635CD" w:rsidRDefault="007635CD" w:rsidP="00193571">
      <w:pPr>
        <w:pStyle w:val="corpsdedcision"/>
      </w:pPr>
      <w:r>
        <w:t xml:space="preserve">Ces manifestations distinctes de la surdité neurosensorielle que présente le travailleur constituent un élément de preuve qui ne fait que corroborer le caractère distinct de </w:t>
      </w:r>
      <w:r w:rsidR="001B52D9">
        <w:t>celles</w:t>
      </w:r>
      <w:r>
        <w:t>-ci.</w:t>
      </w:r>
    </w:p>
    <w:p w14:paraId="4BA6F8DB" w14:textId="77777777" w:rsidR="007635CD" w:rsidRDefault="007635CD" w:rsidP="00193571">
      <w:pPr>
        <w:pStyle w:val="corpsdedcision"/>
      </w:pPr>
      <w:r>
        <w:t>La Commission des lésions professionnelles reconnaît ainsi que les acouphènes que présente le travailleur</w:t>
      </w:r>
      <w:r w:rsidR="00470A0B">
        <w:t>,</w:t>
      </w:r>
      <w:r>
        <w:t xml:space="preserve"> le 30 janvier 2013</w:t>
      </w:r>
      <w:r w:rsidR="00470A0B">
        <w:t>,</w:t>
      </w:r>
      <w:r>
        <w:t xml:space="preserve"> constituent bel et bien une lésion professionnelle.</w:t>
      </w:r>
    </w:p>
    <w:p w14:paraId="5FA5BEE6" w14:textId="77777777" w:rsidR="007635CD" w:rsidRDefault="007635CD" w:rsidP="00193571">
      <w:pPr>
        <w:pStyle w:val="corpsdedcision"/>
      </w:pPr>
      <w:r>
        <w:t>Quant à la réparation de cette lésion professionnelle, la loi prévoit</w:t>
      </w:r>
      <w:r w:rsidR="00A04C85">
        <w:t>,</w:t>
      </w:r>
      <w:r>
        <w:t xml:space="preserve"> à l’article 83</w:t>
      </w:r>
      <w:r w:rsidR="00A04C85">
        <w:t>,</w:t>
      </w:r>
      <w:r>
        <w:t xml:space="preserve"> que la personne victime d’une lésion professionnelle et qui conserve de celle-ci une atteinte permanente a droit à une indemnité pour préjudice corporel.</w:t>
      </w:r>
    </w:p>
    <w:p w14:paraId="7499797C" w14:textId="77777777" w:rsidR="007635CD" w:rsidRDefault="007635CD">
      <w:pPr>
        <w:pStyle w:val="articlesdelaLATMP"/>
      </w:pPr>
      <w:r w:rsidRPr="00ED4E6D">
        <w:rPr>
          <w:b/>
        </w:rPr>
        <w:t>83.</w:t>
      </w:r>
      <w:r>
        <w:t xml:space="preserve">  Le travailleur victime d'une lésion professionnelle qui subit une atteinte permanente à son intégrité physique ou psychique a droit, pour chaque accident du travail ou maladie professionnelle pour lequel il réclame à la Commission, à une indemnité pour préjudice corporel qui tient compte du déficit anatomo-physiologique et du préjudice esthétique qui résultent de cette atteinte et des douleurs et de la perte de jouissance de la vie qui résultent de ce déficit ou de ce préjudice.</w:t>
      </w:r>
    </w:p>
    <w:p w14:paraId="3ED67485" w14:textId="77777777" w:rsidR="007635CD" w:rsidRDefault="007635CD">
      <w:pPr>
        <w:pStyle w:val="articlesdelaLATMP"/>
      </w:pPr>
      <w:r>
        <w:t>__________</w:t>
      </w:r>
    </w:p>
    <w:p w14:paraId="4440F080" w14:textId="77777777" w:rsidR="007635CD" w:rsidRDefault="007635CD">
      <w:pPr>
        <w:pStyle w:val="articlesdelaLATMP"/>
      </w:pPr>
      <w:r>
        <w:t>1985, c. 6, a. 83; 1999, c. 40, a. 4.</w:t>
      </w:r>
    </w:p>
    <w:p w14:paraId="0A5744B5" w14:textId="77777777" w:rsidR="007635CD" w:rsidRDefault="007635CD" w:rsidP="007635CD">
      <w:pPr>
        <w:pStyle w:val="corpsdedcision"/>
      </w:pPr>
      <w:r>
        <w:t xml:space="preserve">Comme l’a souligné précédemment la Commission des lésions professionnelles, l’un des motifs retenus par la CSST pour ne pas indemniser le travailleur est que le barème ne prévoit pas de code spécifique pour </w:t>
      </w:r>
      <w:r w:rsidR="002B641C">
        <w:t>les acouphènes.</w:t>
      </w:r>
    </w:p>
    <w:p w14:paraId="50F37DF0" w14:textId="77777777" w:rsidR="002B641C" w:rsidRDefault="002B641C" w:rsidP="007635CD">
      <w:pPr>
        <w:pStyle w:val="corpsdedcision"/>
      </w:pPr>
      <w:r>
        <w:lastRenderedPageBreak/>
        <w:t>La loi prévoit au 3</w:t>
      </w:r>
      <w:r w:rsidRPr="002B641C">
        <w:rPr>
          <w:vertAlign w:val="superscript"/>
        </w:rPr>
        <w:t>e</w:t>
      </w:r>
      <w:r>
        <w:t xml:space="preserve"> alinéa de l’article 84 que si un préjudice corporel n’est pas mentionné dans le barème, le pourcentage qui y correspond est établi d’après les préjudices corporels qui y sont mentionnés et qui sont de même nature.</w:t>
      </w:r>
    </w:p>
    <w:p w14:paraId="28334425" w14:textId="77777777" w:rsidR="002B641C" w:rsidRDefault="002B641C">
      <w:pPr>
        <w:pStyle w:val="articlesdelaLATMP"/>
      </w:pPr>
      <w:r w:rsidRPr="00ED4E6D">
        <w:rPr>
          <w:b/>
        </w:rPr>
        <w:t>84.</w:t>
      </w:r>
      <w:r>
        <w:t xml:space="preserve">  Le montant de l'indemnité pour préjudice corporel est égal au produit du pourcentage, n'excédant pas 100</w:t>
      </w:r>
      <w:r>
        <w:rPr>
          <w:rFonts w:cs="Arial"/>
        </w:rPr>
        <w:t> </w:t>
      </w:r>
      <w:r>
        <w:t>%, de l'atteinte permanente à l'intégrité physique ou psychique par le montant que prévoit l'annexe II au moment de la manifestation de la lésion professionnelle en fonction de l'âge du travailleur à ce moment.</w:t>
      </w:r>
    </w:p>
    <w:p w14:paraId="51C9FEC1" w14:textId="77777777" w:rsidR="002B641C" w:rsidRDefault="002B641C">
      <w:pPr>
        <w:pStyle w:val="articlesdelaLATMP"/>
      </w:pPr>
    </w:p>
    <w:p w14:paraId="4D3F1E9C" w14:textId="77777777" w:rsidR="002B641C" w:rsidRDefault="002B641C">
      <w:pPr>
        <w:pStyle w:val="articlesdelaLATMP"/>
      </w:pPr>
      <w:r>
        <w:t>Le pourcentage d'atteinte permanente à l'intégrité physique ou psychique est égal à la somme des pourcentages déterminés suivant le barème des préjudices corporels adopté par règlement pour le déficit anatomo-physiologique, le préjudice esthétique et les douleurs et la perte de jouissance de la vie qui résultent de ce déficit ou de ce préjudice.</w:t>
      </w:r>
    </w:p>
    <w:p w14:paraId="0986211D" w14:textId="77777777" w:rsidR="002B641C" w:rsidRDefault="002B641C">
      <w:pPr>
        <w:pStyle w:val="articlesdelaLATMP"/>
      </w:pPr>
    </w:p>
    <w:p w14:paraId="79B11239" w14:textId="77777777" w:rsidR="002B641C" w:rsidRDefault="002B641C">
      <w:pPr>
        <w:pStyle w:val="articlesdelaLATMP"/>
      </w:pPr>
      <w:r>
        <w:t>Si un préjudice corporel n'est pas mentionné dans le barème, le pourcentage qui y correspond est établi d'après les préjudices corporels qui y sont mentionnés et qui sont du même genre.</w:t>
      </w:r>
    </w:p>
    <w:p w14:paraId="191519DB" w14:textId="77777777" w:rsidR="002B641C" w:rsidRDefault="002B641C">
      <w:pPr>
        <w:pStyle w:val="articlesdelaLATMP"/>
      </w:pPr>
      <w:r>
        <w:t>__________</w:t>
      </w:r>
    </w:p>
    <w:p w14:paraId="598DB7DB" w14:textId="77777777" w:rsidR="002B641C" w:rsidRDefault="002B641C" w:rsidP="00310193">
      <w:pPr>
        <w:pStyle w:val="articlesdelaLATMP"/>
        <w:spacing w:after="360"/>
      </w:pPr>
      <w:r>
        <w:t>1985, c. 6, a. 84; 1999, c. 40, a. 4.</w:t>
      </w:r>
    </w:p>
    <w:p w14:paraId="2CD32979" w14:textId="77777777" w:rsidR="00A04C85" w:rsidRDefault="002B641C" w:rsidP="00EB5DD0">
      <w:pPr>
        <w:pStyle w:val="corpsdedcision"/>
      </w:pPr>
      <w:r>
        <w:t>Appelé</w:t>
      </w:r>
      <w:r w:rsidR="002476DF">
        <w:t>e</w:t>
      </w:r>
      <w:r>
        <w:t xml:space="preserve"> à disposer d’un litige analogue, la Commission des lésions professionnelles</w:t>
      </w:r>
      <w:r w:rsidR="00470A0B">
        <w:t>,</w:t>
      </w:r>
      <w:r>
        <w:t xml:space="preserve"> dans la cause </w:t>
      </w:r>
      <w:r w:rsidRPr="002476DF">
        <w:rPr>
          <w:i/>
        </w:rPr>
        <w:t xml:space="preserve">Lapointe </w:t>
      </w:r>
      <w:r w:rsidRPr="002B641C">
        <w:t>et</w:t>
      </w:r>
      <w:r w:rsidRPr="002476DF">
        <w:rPr>
          <w:i/>
        </w:rPr>
        <w:t xml:space="preserve"> Bois </w:t>
      </w:r>
      <w:proofErr w:type="spellStart"/>
      <w:r w:rsidRPr="002476DF">
        <w:rPr>
          <w:i/>
        </w:rPr>
        <w:t>D</w:t>
      </w:r>
      <w:r w:rsidR="00E2508A" w:rsidRPr="002476DF">
        <w:rPr>
          <w:i/>
        </w:rPr>
        <w:t>a</w:t>
      </w:r>
      <w:r w:rsidRPr="002476DF">
        <w:rPr>
          <w:i/>
        </w:rPr>
        <w:t>aquam</w:t>
      </w:r>
      <w:proofErr w:type="spellEnd"/>
      <w:r w:rsidRPr="002476DF">
        <w:rPr>
          <w:i/>
        </w:rPr>
        <w:t xml:space="preserve"> </w:t>
      </w:r>
      <w:proofErr w:type="spellStart"/>
      <w:r w:rsidRPr="002476DF">
        <w:rPr>
          <w:i/>
        </w:rPr>
        <w:t>inc</w:t>
      </w:r>
      <w:r>
        <w:t>.</w:t>
      </w:r>
      <w:proofErr w:type="spellEnd"/>
      <w:r>
        <w:rPr>
          <w:rStyle w:val="FootnoteReference"/>
        </w:rPr>
        <w:footnoteReference w:id="2"/>
      </w:r>
      <w:r w:rsidR="00470A0B">
        <w:t xml:space="preserve">, </w:t>
      </w:r>
      <w:r>
        <w:t xml:space="preserve">vient préciser que cette disposition législative vient pallier </w:t>
      </w:r>
      <w:proofErr w:type="gramStart"/>
      <w:r>
        <w:t>au</w:t>
      </w:r>
      <w:proofErr w:type="gramEnd"/>
      <w:r>
        <w:t xml:space="preserve"> silence du législateur dans le barème concernant la présence d’acouphène</w:t>
      </w:r>
      <w:r w:rsidR="002476DF">
        <w:t>s</w:t>
      </w:r>
      <w:r>
        <w:t>.</w:t>
      </w:r>
      <w:r w:rsidR="002476DF">
        <w:t xml:space="preserve"> </w:t>
      </w:r>
      <w:r>
        <w:t xml:space="preserve">Ce principe a par ailleurs été retenu par la suite dans l’affaire </w:t>
      </w:r>
      <w:r w:rsidRPr="002476DF">
        <w:rPr>
          <w:i/>
        </w:rPr>
        <w:t xml:space="preserve">Gagné </w:t>
      </w:r>
      <w:r w:rsidRPr="00470A0B">
        <w:t>et</w:t>
      </w:r>
      <w:r w:rsidRPr="002476DF">
        <w:rPr>
          <w:i/>
        </w:rPr>
        <w:t xml:space="preserve"> </w:t>
      </w:r>
      <w:proofErr w:type="spellStart"/>
      <w:r w:rsidRPr="002476DF">
        <w:rPr>
          <w:i/>
        </w:rPr>
        <w:t>Inte</w:t>
      </w:r>
      <w:r w:rsidR="00E2508A" w:rsidRPr="002476DF">
        <w:rPr>
          <w:i/>
        </w:rPr>
        <w:t>rAgro</w:t>
      </w:r>
      <w:proofErr w:type="spellEnd"/>
      <w:r w:rsidRPr="002476DF">
        <w:rPr>
          <w:i/>
        </w:rPr>
        <w:t xml:space="preserve"> </w:t>
      </w:r>
      <w:proofErr w:type="spellStart"/>
      <w:r w:rsidRPr="002476DF">
        <w:rPr>
          <w:i/>
        </w:rPr>
        <w:t>inc</w:t>
      </w:r>
      <w:r>
        <w:t>.</w:t>
      </w:r>
      <w:proofErr w:type="spellEnd"/>
      <w:r>
        <w:rPr>
          <w:rStyle w:val="FootnoteReference"/>
        </w:rPr>
        <w:footnoteReference w:id="3"/>
      </w:r>
      <w:r>
        <w:t xml:space="preserve"> ainsi que dans l’affaire </w:t>
      </w:r>
      <w:r w:rsidRPr="002476DF">
        <w:rPr>
          <w:i/>
        </w:rPr>
        <w:t xml:space="preserve">Gagné </w:t>
      </w:r>
      <w:r w:rsidRPr="00470A0B">
        <w:t>et</w:t>
      </w:r>
      <w:r w:rsidRPr="002476DF">
        <w:rPr>
          <w:i/>
        </w:rPr>
        <w:t xml:space="preserve"> CSST </w:t>
      </w:r>
      <w:r w:rsidR="00E2508A" w:rsidRPr="002476DF">
        <w:rPr>
          <w:i/>
        </w:rPr>
        <w:t xml:space="preserve">- </w:t>
      </w:r>
      <w:r w:rsidRPr="002476DF">
        <w:rPr>
          <w:i/>
        </w:rPr>
        <w:t>soutien à l’imputation</w:t>
      </w:r>
      <w:r>
        <w:rPr>
          <w:rStyle w:val="FootnoteReference"/>
        </w:rPr>
        <w:footnoteReference w:id="4"/>
      </w:r>
      <w:r>
        <w:t>.</w:t>
      </w:r>
    </w:p>
    <w:p w14:paraId="3BEAC36D" w14:textId="77777777" w:rsidR="002B641C" w:rsidRDefault="002B641C" w:rsidP="002B641C">
      <w:pPr>
        <w:pStyle w:val="corpsdedcision"/>
      </w:pPr>
      <w:r>
        <w:t xml:space="preserve">La Commission des lésions professionnelles ne voit pas en quoi le cas à l’étude diffère de ceux préalablement cités au point </w:t>
      </w:r>
      <w:r w:rsidR="00A04C85">
        <w:t xml:space="preserve">d’ignorer cette </w:t>
      </w:r>
      <w:r>
        <w:t>interprétation donnée de l’article 84, 3</w:t>
      </w:r>
      <w:r w:rsidRPr="002B641C">
        <w:rPr>
          <w:vertAlign w:val="superscript"/>
        </w:rPr>
        <w:t>e</w:t>
      </w:r>
      <w:r>
        <w:t xml:space="preserve"> alinéa, en regard de l’acouphène et estime toujours actuelle cette interprétation.</w:t>
      </w:r>
    </w:p>
    <w:p w14:paraId="3857F67A" w14:textId="77777777" w:rsidR="002B641C" w:rsidRDefault="002B641C" w:rsidP="002B641C">
      <w:pPr>
        <w:pStyle w:val="corpsdedcision"/>
      </w:pPr>
      <w:r>
        <w:t xml:space="preserve">Dans son rapport d'évaluation médicale daté du 17 septembre 2014 faisant suite à l’évaluation de la condition physique du travailleur le 27 août 2014, le docteur Sévigny attribue par analogie pour </w:t>
      </w:r>
      <w:r w:rsidR="00A04C85">
        <w:t xml:space="preserve">les </w:t>
      </w:r>
      <w:r>
        <w:t>acouphènes la perte qui correspond à la surdité du travailleur tant à l’oreille droite qu’à la gauche, analogie qui apparaît juste dans les circonstances.</w:t>
      </w:r>
    </w:p>
    <w:p w14:paraId="219783E8" w14:textId="77777777" w:rsidR="002B641C" w:rsidRDefault="002B641C" w:rsidP="002B641C">
      <w:pPr>
        <w:pStyle w:val="corpsdedcision"/>
      </w:pPr>
      <w:r>
        <w:t>Ainsi, pour l’acouphène à l’oreille droite, le pourcentage est de 2,5 % selon le code 216082 et de 1 % pour l’oreille gauche, suivant le code 216180.</w:t>
      </w:r>
    </w:p>
    <w:p w14:paraId="4CAC301A" w14:textId="77777777" w:rsidR="002B641C" w:rsidRDefault="002B641C" w:rsidP="002B641C">
      <w:pPr>
        <w:pStyle w:val="corpsdedcision"/>
      </w:pPr>
      <w:r>
        <w:lastRenderedPageBreak/>
        <w:t>En conclusion, la Commission des lésions professionnelles reconnaît que l</w:t>
      </w:r>
      <w:r w:rsidR="00CB3484">
        <w:t xml:space="preserve">es </w:t>
      </w:r>
      <w:r>
        <w:t>acouphène</w:t>
      </w:r>
      <w:r w:rsidR="00CB3484">
        <w:t>s</w:t>
      </w:r>
      <w:r>
        <w:t xml:space="preserve"> présenté</w:t>
      </w:r>
      <w:r w:rsidR="00CB3484">
        <w:t>s</w:t>
      </w:r>
      <w:r>
        <w:t xml:space="preserve"> par le travailleur constitue</w:t>
      </w:r>
      <w:r w:rsidR="00CB3484">
        <w:t>nt</w:t>
      </w:r>
      <w:r>
        <w:t xml:space="preserve"> bel et bien une lésion distincte de sa surdité professionnelle et qu’il </w:t>
      </w:r>
      <w:r w:rsidR="00CB3484">
        <w:t>a droit d’être compensé pour ceux</w:t>
      </w:r>
      <w:r>
        <w:t>-ci.</w:t>
      </w:r>
    </w:p>
    <w:p w14:paraId="04BE209A" w14:textId="77777777" w:rsidR="002B641C" w:rsidRDefault="002B641C" w:rsidP="002B641C">
      <w:pPr>
        <w:pStyle w:val="corpsdedcision"/>
      </w:pPr>
      <w:r>
        <w:t xml:space="preserve">Dès lors, le travailleur présente un déficit anatomo-physiologique de 0,5 % pour l’aggravation de sa surdité </w:t>
      </w:r>
      <w:r w:rsidR="00CB3484">
        <w:t>à</w:t>
      </w:r>
      <w:r>
        <w:t xml:space="preserve"> l’oreille gauche, 2,5 % pour l’acouphène </w:t>
      </w:r>
      <w:r w:rsidR="00CB3484">
        <w:t>à l’oreille droite, 1 </w:t>
      </w:r>
      <w:r>
        <w:t>% pour l’acouphène à l’oreille gauche et 0,4 % pour douleurs et perte de jouissance de la vie, pour une atteinte permanente de 4,4 % des suites de cette aggravation survenue le 23 décembre 2013</w:t>
      </w:r>
      <w:r w:rsidR="00CB3484">
        <w:t xml:space="preserve">. Il </w:t>
      </w:r>
      <w:r w:rsidR="00A04C85">
        <w:t>a ainsi droit à une indemnité pour préjudice corporel</w:t>
      </w:r>
      <w:r w:rsidR="00167DE6">
        <w:t xml:space="preserve"> e</w:t>
      </w:r>
      <w:r w:rsidR="00CB3484">
        <w:t>n regard de cette atteinte de 4,</w:t>
      </w:r>
      <w:r w:rsidR="00167DE6">
        <w:t>4</w:t>
      </w:r>
      <w:r w:rsidR="00A80383">
        <w:t> </w:t>
      </w:r>
      <w:r w:rsidR="00167DE6">
        <w:t>% avec intérêts depuis le dépôt de la réclamation pour récidive, rechute ou aggravation survenue le 23 décembre 2013</w:t>
      </w:r>
      <w:r>
        <w:t>.</w:t>
      </w:r>
    </w:p>
    <w:p w14:paraId="0CF56E8B" w14:textId="77777777" w:rsidR="00C74B6F" w:rsidRDefault="00C74B6F">
      <w:pPr>
        <w:pStyle w:val="Dispositif"/>
      </w:pPr>
    </w:p>
    <w:p w14:paraId="3E9E7F9F" w14:textId="77777777" w:rsidR="00C74B6F" w:rsidRDefault="00C74B6F">
      <w:pPr>
        <w:pStyle w:val="Dispositif"/>
      </w:pPr>
      <w:r>
        <w:rPr>
          <w:b/>
        </w:rPr>
        <w:t>PAR CES MOTIFS, LA COMMISSION DES LÉSIONS PROFESSIONNELLES :</w:t>
      </w:r>
    </w:p>
    <w:p w14:paraId="6192C848" w14:textId="77777777" w:rsidR="00C74B6F" w:rsidRDefault="002B641C">
      <w:pPr>
        <w:pStyle w:val="Dispositif"/>
      </w:pPr>
      <w:r>
        <w:t xml:space="preserve">Dossiers </w:t>
      </w:r>
      <w:r w:rsidR="00AF1D29">
        <w:t>564317-03B-1502 et 570707-03B-1504</w:t>
      </w:r>
    </w:p>
    <w:p w14:paraId="571A63F9" w14:textId="77777777" w:rsidR="00AF1D29" w:rsidRDefault="00AF1D29">
      <w:pPr>
        <w:pStyle w:val="Dispositif"/>
      </w:pPr>
      <w:r w:rsidRPr="00F11D59">
        <w:rPr>
          <w:b/>
        </w:rPr>
        <w:t>ACCUEILLE</w:t>
      </w:r>
      <w:r>
        <w:t xml:space="preserve"> les requêtes de monsieur André Grégoire, le travailleur, déposées à la Commission des lésions professionnelles les 6 février et 13 avril 2015;</w:t>
      </w:r>
    </w:p>
    <w:p w14:paraId="2A7A1DED" w14:textId="77777777" w:rsidR="00AF1D29" w:rsidRDefault="00AF1D29">
      <w:pPr>
        <w:pStyle w:val="Dispositif"/>
      </w:pPr>
      <w:r w:rsidRPr="00F11D59">
        <w:rPr>
          <w:b/>
        </w:rPr>
        <w:t>MODIFIE</w:t>
      </w:r>
      <w:r>
        <w:t xml:space="preserve"> la décision rendue le 29 janvier 2015 par la Commission de la santé e</w:t>
      </w:r>
      <w:r w:rsidR="00470A0B">
        <w:t>t de la sécurité du travail</w:t>
      </w:r>
      <w:r w:rsidR="00CB3484">
        <w:t>,</w:t>
      </w:r>
      <w:r w:rsidR="00470A0B">
        <w:t xml:space="preserve"> </w:t>
      </w:r>
      <w:r>
        <w:t>à la suite d’une révision administrative;</w:t>
      </w:r>
    </w:p>
    <w:p w14:paraId="29DAD81A" w14:textId="77777777" w:rsidR="00AF1D29" w:rsidRDefault="00AF1D29">
      <w:pPr>
        <w:pStyle w:val="Dispositif"/>
      </w:pPr>
      <w:r w:rsidRPr="00F11D59">
        <w:rPr>
          <w:b/>
        </w:rPr>
        <w:t>INFIRME</w:t>
      </w:r>
      <w:r>
        <w:t xml:space="preserve"> la décision rendue le 1</w:t>
      </w:r>
      <w:r w:rsidRPr="00AF1D29">
        <w:rPr>
          <w:vertAlign w:val="superscript"/>
        </w:rPr>
        <w:t>er</w:t>
      </w:r>
      <w:r>
        <w:t xml:space="preserve"> avril 2015 par la Commission de la sant</w:t>
      </w:r>
      <w:r w:rsidR="00470A0B">
        <w:t>é et de la sécurité du travail</w:t>
      </w:r>
      <w:r w:rsidR="00CB3484">
        <w:t>,</w:t>
      </w:r>
      <w:r>
        <w:t xml:space="preserve"> à la suite d’une révision administrative;</w:t>
      </w:r>
    </w:p>
    <w:p w14:paraId="4BA13077" w14:textId="77777777" w:rsidR="00AF1D29" w:rsidRDefault="00AF1D29">
      <w:pPr>
        <w:pStyle w:val="Dispositif"/>
      </w:pPr>
      <w:r w:rsidRPr="00F11D59">
        <w:rPr>
          <w:b/>
        </w:rPr>
        <w:t>DÉCLARE</w:t>
      </w:r>
      <w:r>
        <w:t xml:space="preserve"> que l’acouphène bilatéral que présente le travailleur le 23 décembre 2013 constitue bel et bien une lésion </w:t>
      </w:r>
      <w:r w:rsidR="00167DE6">
        <w:t xml:space="preserve">professionnelle </w:t>
      </w:r>
      <w:r>
        <w:t>distincte de sa surdité professionnelle;</w:t>
      </w:r>
    </w:p>
    <w:p w14:paraId="01CD28F7" w14:textId="77777777" w:rsidR="00AF1D29" w:rsidRDefault="00AF1D29">
      <w:pPr>
        <w:pStyle w:val="Dispositif"/>
      </w:pPr>
      <w:r w:rsidRPr="00F11D59">
        <w:rPr>
          <w:b/>
        </w:rPr>
        <w:t>DÉCLARE</w:t>
      </w:r>
      <w:r>
        <w:t xml:space="preserve"> que le travailleur a droit à une indemnité pour préjudice corporel en regard de </w:t>
      </w:r>
      <w:r w:rsidR="00CB3484">
        <w:t>s</w:t>
      </w:r>
      <w:r>
        <w:t>es acouphènes au même titre que l’aggravation de sa surdité professionnelle;</w:t>
      </w:r>
    </w:p>
    <w:p w14:paraId="36A93624" w14:textId="77777777" w:rsidR="00AF1D29" w:rsidRDefault="00AF1D29">
      <w:pPr>
        <w:pStyle w:val="Dispositif"/>
      </w:pPr>
      <w:r w:rsidRPr="00F11D59">
        <w:rPr>
          <w:b/>
        </w:rPr>
        <w:t>DÉCLARE</w:t>
      </w:r>
      <w:r>
        <w:t xml:space="preserve"> que le travailleur demeure avec une atteinte permanente </w:t>
      </w:r>
      <w:r w:rsidR="00310193">
        <w:t>de 4,4 </w:t>
      </w:r>
      <w:r>
        <w:t>% des suites de sa récidive, rechute ou aggravation survenue le 23 décembre 2013;</w:t>
      </w:r>
    </w:p>
    <w:p w14:paraId="148ED594" w14:textId="77777777" w:rsidR="00AF1D29" w:rsidRDefault="00AF1D29" w:rsidP="00AF1D29">
      <w:pPr>
        <w:pStyle w:val="corpsdedcision"/>
        <w:numPr>
          <w:ilvl w:val="0"/>
          <w:numId w:val="0"/>
        </w:numPr>
      </w:pPr>
      <w:r w:rsidRPr="00F11D59">
        <w:rPr>
          <w:b/>
        </w:rPr>
        <w:t>DÉCLARE</w:t>
      </w:r>
      <w:r>
        <w:t xml:space="preserve"> que le travailleur a droit à une indemnité pour préjudice corporel correspondant à ce pourcentage selon l’annexe II de la </w:t>
      </w:r>
      <w:r w:rsidRPr="003F7934">
        <w:rPr>
          <w:i/>
        </w:rPr>
        <w:t>Loi sur les accidents du travail et les maladies professionnelles</w:t>
      </w:r>
      <w:r>
        <w:t xml:space="preserve"> plus intérêts.</w:t>
      </w:r>
    </w:p>
    <w:p w14:paraId="46A458B8" w14:textId="77777777" w:rsidR="00C74B6F" w:rsidRDefault="00C74B6F">
      <w:pPr>
        <w:pStyle w:val="Dispositif"/>
      </w:pPr>
    </w:p>
    <w:tbl>
      <w:tblPr>
        <w:tblW w:w="9590" w:type="dxa"/>
        <w:tblLayout w:type="fixed"/>
        <w:tblCellMar>
          <w:left w:w="70" w:type="dxa"/>
          <w:right w:w="70" w:type="dxa"/>
        </w:tblCellMar>
        <w:tblLook w:val="0000" w:firstRow="0" w:lastRow="0" w:firstColumn="0" w:lastColumn="0" w:noHBand="0" w:noVBand="0"/>
      </w:tblPr>
      <w:tblGrid>
        <w:gridCol w:w="4795"/>
        <w:gridCol w:w="4795"/>
      </w:tblGrid>
      <w:tr w:rsidR="00C74B6F" w14:paraId="69AAF3A4" w14:textId="77777777" w:rsidTr="004442C7">
        <w:tc>
          <w:tcPr>
            <w:tcW w:w="4795" w:type="dxa"/>
          </w:tcPr>
          <w:p w14:paraId="29EC6F66" w14:textId="77777777" w:rsidR="00C74B6F" w:rsidRDefault="00C74B6F"/>
        </w:tc>
        <w:tc>
          <w:tcPr>
            <w:tcW w:w="4795" w:type="dxa"/>
            <w:tcBorders>
              <w:bottom w:val="single" w:sz="4" w:space="0" w:color="auto"/>
            </w:tcBorders>
          </w:tcPr>
          <w:p w14:paraId="6E7A6CC0" w14:textId="77777777" w:rsidR="00C74B6F" w:rsidRDefault="00C74B6F">
            <w:bookmarkStart w:id="4" w:name="signature"/>
            <w:bookmarkEnd w:id="4"/>
          </w:p>
        </w:tc>
      </w:tr>
      <w:tr w:rsidR="00C74B6F" w14:paraId="16370EA4" w14:textId="77777777" w:rsidTr="004442C7">
        <w:tc>
          <w:tcPr>
            <w:tcW w:w="4795" w:type="dxa"/>
          </w:tcPr>
          <w:p w14:paraId="5E51B803" w14:textId="77777777" w:rsidR="00C74B6F" w:rsidRDefault="00C74B6F"/>
        </w:tc>
        <w:tc>
          <w:tcPr>
            <w:tcW w:w="4795" w:type="dxa"/>
            <w:tcBorders>
              <w:top w:val="single" w:sz="4" w:space="0" w:color="auto"/>
            </w:tcBorders>
          </w:tcPr>
          <w:p w14:paraId="000D3857" w14:textId="77777777" w:rsidR="00C74B6F" w:rsidRDefault="004442C7">
            <w:r>
              <w:t>Claude Lavigne</w:t>
            </w:r>
          </w:p>
        </w:tc>
      </w:tr>
      <w:tr w:rsidR="00C74B6F" w14:paraId="09A8166D" w14:textId="77777777">
        <w:trPr>
          <w:cantSplit/>
        </w:trPr>
        <w:tc>
          <w:tcPr>
            <w:tcW w:w="9590" w:type="dxa"/>
            <w:gridSpan w:val="2"/>
          </w:tcPr>
          <w:p w14:paraId="5939636C" w14:textId="77777777" w:rsidR="00C74B6F" w:rsidRDefault="00C74B6F"/>
        </w:tc>
      </w:tr>
      <w:tr w:rsidR="00C74B6F" w14:paraId="597FC8B7" w14:textId="77777777">
        <w:trPr>
          <w:cantSplit/>
        </w:trPr>
        <w:tc>
          <w:tcPr>
            <w:tcW w:w="9590" w:type="dxa"/>
            <w:gridSpan w:val="2"/>
          </w:tcPr>
          <w:p w14:paraId="1070FBFD" w14:textId="77777777" w:rsidR="00C74B6F" w:rsidRDefault="00C74B6F"/>
        </w:tc>
      </w:tr>
      <w:tr w:rsidR="00C74B6F" w14:paraId="4673D8F6" w14:textId="77777777">
        <w:trPr>
          <w:cantSplit/>
        </w:trPr>
        <w:tc>
          <w:tcPr>
            <w:tcW w:w="9590" w:type="dxa"/>
            <w:gridSpan w:val="2"/>
          </w:tcPr>
          <w:p w14:paraId="1643E9FA" w14:textId="77777777" w:rsidR="00C74B6F" w:rsidRDefault="00C74B6F"/>
        </w:tc>
      </w:tr>
      <w:tr w:rsidR="00C74B6F" w14:paraId="5DFCC771" w14:textId="77777777">
        <w:trPr>
          <w:cantSplit/>
        </w:trPr>
        <w:tc>
          <w:tcPr>
            <w:tcW w:w="9590" w:type="dxa"/>
            <w:gridSpan w:val="2"/>
          </w:tcPr>
          <w:p w14:paraId="65573799" w14:textId="77777777" w:rsidR="00C74B6F" w:rsidRDefault="00AF1D29">
            <w:pPr>
              <w:pStyle w:val="zSoquijdatNomProcureurDem"/>
            </w:pPr>
            <w:r>
              <w:t>M</w:t>
            </w:r>
            <w:r w:rsidRPr="00AF1D29">
              <w:rPr>
                <w:vertAlign w:val="superscript"/>
              </w:rPr>
              <w:t>e</w:t>
            </w:r>
            <w:r>
              <w:t xml:space="preserve"> Marie-Pierre Fauteux</w:t>
            </w:r>
          </w:p>
        </w:tc>
      </w:tr>
      <w:tr w:rsidR="00C74B6F" w14:paraId="43D4A658" w14:textId="77777777">
        <w:trPr>
          <w:cantSplit/>
        </w:trPr>
        <w:tc>
          <w:tcPr>
            <w:tcW w:w="9590" w:type="dxa"/>
            <w:gridSpan w:val="2"/>
          </w:tcPr>
          <w:p w14:paraId="457C123E" w14:textId="77777777" w:rsidR="00C74B6F" w:rsidRDefault="00AF1D29">
            <w:pPr>
              <w:pStyle w:val="zSoquijdatCabinetProcureurDem"/>
            </w:pPr>
            <w:r>
              <w:t>C.S.N.</w:t>
            </w:r>
          </w:p>
        </w:tc>
      </w:tr>
      <w:tr w:rsidR="00C74B6F" w14:paraId="6D80DA97" w14:textId="77777777">
        <w:trPr>
          <w:cantSplit/>
        </w:trPr>
        <w:tc>
          <w:tcPr>
            <w:tcW w:w="9590" w:type="dxa"/>
            <w:gridSpan w:val="2"/>
          </w:tcPr>
          <w:p w14:paraId="4FFE654B" w14:textId="77777777" w:rsidR="00C74B6F" w:rsidRDefault="00C74B6F">
            <w:pPr>
              <w:pStyle w:val="zSoquijlblProcureurDem"/>
            </w:pPr>
            <w:r>
              <w:t>Représentant</w:t>
            </w:r>
            <w:r w:rsidR="00AF1D29">
              <w:t>e</w:t>
            </w:r>
            <w:r>
              <w:t xml:space="preserve"> de la partie requérante</w:t>
            </w:r>
          </w:p>
        </w:tc>
      </w:tr>
      <w:tr w:rsidR="00C74B6F" w14:paraId="00040F38" w14:textId="77777777">
        <w:trPr>
          <w:cantSplit/>
        </w:trPr>
        <w:tc>
          <w:tcPr>
            <w:tcW w:w="9590" w:type="dxa"/>
            <w:gridSpan w:val="2"/>
          </w:tcPr>
          <w:p w14:paraId="034EC5B9" w14:textId="77777777" w:rsidR="00C74B6F" w:rsidRDefault="00C74B6F"/>
        </w:tc>
      </w:tr>
    </w:tbl>
    <w:p w14:paraId="36C895FD" w14:textId="77777777" w:rsidR="00C74B6F" w:rsidRDefault="00C74B6F"/>
    <w:sectPr w:rsidR="00C74B6F" w:rsidSect="004908E7">
      <w:headerReference w:type="even" r:id="rId7"/>
      <w:headerReference w:type="default" r:id="rId8"/>
      <w:footerReference w:type="even" r:id="rId9"/>
      <w:footerReference w:type="default" r:id="rId10"/>
      <w:headerReference w:type="first" r:id="rId11"/>
      <w:footerReference w:type="first" r:id="rId12"/>
      <w:pgSz w:w="12240" w:h="15840" w:code="1"/>
      <w:pgMar w:top="1152" w:right="1440" w:bottom="1440" w:left="1440" w:header="706" w:footer="7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C97CC" w14:textId="77777777" w:rsidR="00457239" w:rsidRDefault="00457239">
      <w:r>
        <w:separator/>
      </w:r>
    </w:p>
  </w:endnote>
  <w:endnote w:type="continuationSeparator" w:id="0">
    <w:p w14:paraId="285E8CDE" w14:textId="77777777" w:rsidR="00457239" w:rsidRDefault="00457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4D194" w14:textId="77777777" w:rsidR="00CB3484" w:rsidRDefault="00CB34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A254F" w14:textId="77777777" w:rsidR="00CB3484" w:rsidRDefault="00CB34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903A9" w14:textId="77777777" w:rsidR="00CB3484" w:rsidRDefault="00CB34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6D9CE" w14:textId="77777777" w:rsidR="00457239" w:rsidRDefault="00457239">
      <w:r>
        <w:separator/>
      </w:r>
    </w:p>
  </w:footnote>
  <w:footnote w:type="continuationSeparator" w:id="0">
    <w:p w14:paraId="63FE2D6E" w14:textId="77777777" w:rsidR="00457239" w:rsidRDefault="00457239">
      <w:r>
        <w:continuationSeparator/>
      </w:r>
    </w:p>
  </w:footnote>
  <w:footnote w:id="1">
    <w:p w14:paraId="03749D37" w14:textId="77777777" w:rsidR="002B641C" w:rsidRPr="00F61EA2" w:rsidRDefault="002B641C" w:rsidP="00F61EA2">
      <w:pPr>
        <w:pStyle w:val="FootnoteText"/>
        <w:tabs>
          <w:tab w:val="left" w:pos="720"/>
        </w:tabs>
        <w:ind w:left="720" w:hanging="720"/>
        <w:jc w:val="both"/>
        <w:rPr>
          <w:rFonts w:cs="Arial"/>
          <w:sz w:val="20"/>
        </w:rPr>
      </w:pPr>
      <w:r>
        <w:rPr>
          <w:rStyle w:val="FootnoteReference"/>
        </w:rPr>
        <w:footnoteRef/>
      </w:r>
      <w:r>
        <w:t xml:space="preserve"> </w:t>
      </w:r>
      <w:r>
        <w:rPr>
          <w:rFonts w:cs="Arial"/>
          <w:sz w:val="20"/>
        </w:rPr>
        <w:tab/>
      </w:r>
      <w:r w:rsidR="009107B9">
        <w:rPr>
          <w:rFonts w:cs="Arial"/>
          <w:sz w:val="20"/>
        </w:rPr>
        <w:t>RLRQ, c. A-3.001, r. 2.</w:t>
      </w:r>
    </w:p>
  </w:footnote>
  <w:footnote w:id="2">
    <w:p w14:paraId="2BC009BF" w14:textId="77777777" w:rsidR="002B641C" w:rsidRPr="002B641C" w:rsidRDefault="002B641C" w:rsidP="002B641C">
      <w:pPr>
        <w:pStyle w:val="FootnoteText"/>
        <w:tabs>
          <w:tab w:val="left" w:pos="720"/>
        </w:tabs>
        <w:ind w:left="720" w:hanging="720"/>
        <w:jc w:val="both"/>
        <w:rPr>
          <w:rFonts w:cs="Arial"/>
          <w:sz w:val="20"/>
        </w:rPr>
      </w:pPr>
      <w:r>
        <w:rPr>
          <w:rStyle w:val="FootnoteReference"/>
        </w:rPr>
        <w:footnoteRef/>
      </w:r>
      <w:r>
        <w:t xml:space="preserve"> </w:t>
      </w:r>
      <w:r w:rsidR="00E2508A">
        <w:rPr>
          <w:rFonts w:cs="Arial"/>
          <w:sz w:val="20"/>
        </w:rPr>
        <w:tab/>
      </w:r>
      <w:r w:rsidR="00E2508A">
        <w:rPr>
          <w:sz w:val="20"/>
        </w:rPr>
        <w:t xml:space="preserve">[2003] C.L.P. </w:t>
      </w:r>
      <w:r>
        <w:rPr>
          <w:rFonts w:cs="Arial"/>
          <w:sz w:val="20"/>
        </w:rPr>
        <w:t>pages 248 à 254.</w:t>
      </w:r>
    </w:p>
  </w:footnote>
  <w:footnote w:id="3">
    <w:p w14:paraId="01429D4D" w14:textId="77777777" w:rsidR="002B641C" w:rsidRPr="002B641C" w:rsidRDefault="002B641C" w:rsidP="002B641C">
      <w:pPr>
        <w:pStyle w:val="FootnoteText"/>
        <w:tabs>
          <w:tab w:val="left" w:pos="720"/>
        </w:tabs>
        <w:ind w:left="720" w:hanging="720"/>
        <w:jc w:val="both"/>
        <w:rPr>
          <w:rFonts w:cs="Arial"/>
          <w:sz w:val="20"/>
        </w:rPr>
      </w:pPr>
      <w:r>
        <w:rPr>
          <w:rStyle w:val="FootnoteReference"/>
        </w:rPr>
        <w:footnoteRef/>
      </w:r>
      <w:r>
        <w:t xml:space="preserve"> </w:t>
      </w:r>
      <w:r w:rsidR="00E2508A">
        <w:rPr>
          <w:rFonts w:cs="Arial"/>
          <w:sz w:val="20"/>
        </w:rPr>
        <w:tab/>
        <w:t>[</w:t>
      </w:r>
      <w:r>
        <w:rPr>
          <w:rFonts w:cs="Arial"/>
          <w:sz w:val="20"/>
        </w:rPr>
        <w:t>200</w:t>
      </w:r>
      <w:r w:rsidR="00E2508A">
        <w:rPr>
          <w:rFonts w:cs="Arial"/>
          <w:sz w:val="20"/>
        </w:rPr>
        <w:t>3] C.L.P. 1310 à 1319.</w:t>
      </w:r>
    </w:p>
  </w:footnote>
  <w:footnote w:id="4">
    <w:p w14:paraId="73993194" w14:textId="77777777" w:rsidR="002B641C" w:rsidRPr="002B641C" w:rsidRDefault="002B641C" w:rsidP="002B641C">
      <w:pPr>
        <w:pStyle w:val="FootnoteText"/>
        <w:tabs>
          <w:tab w:val="left" w:pos="720"/>
        </w:tabs>
        <w:ind w:left="720" w:hanging="720"/>
        <w:jc w:val="both"/>
        <w:rPr>
          <w:rFonts w:cs="Arial"/>
          <w:sz w:val="20"/>
        </w:rPr>
      </w:pPr>
      <w:r>
        <w:rPr>
          <w:rStyle w:val="FootnoteReference"/>
        </w:rPr>
        <w:footnoteRef/>
      </w:r>
      <w:r>
        <w:t xml:space="preserve"> </w:t>
      </w:r>
      <w:r>
        <w:rPr>
          <w:rFonts w:cs="Arial"/>
          <w:sz w:val="20"/>
        </w:rPr>
        <w:tab/>
        <w:t>C.L.P. 238795-62C-0407, 17 janvier 2005, M. Sauvé.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42C8A" w14:textId="77777777" w:rsidR="00CB3484" w:rsidRDefault="00CB34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90" w:type="dxa"/>
      <w:tblInd w:w="-20" w:type="dxa"/>
      <w:tblLayout w:type="fixed"/>
      <w:tblCellMar>
        <w:left w:w="70" w:type="dxa"/>
        <w:right w:w="70" w:type="dxa"/>
      </w:tblCellMar>
      <w:tblLook w:val="0000" w:firstRow="0" w:lastRow="0" w:firstColumn="0" w:lastColumn="0" w:noHBand="0" w:noVBand="0"/>
    </w:tblPr>
    <w:tblGrid>
      <w:gridCol w:w="8730"/>
      <w:gridCol w:w="860"/>
    </w:tblGrid>
    <w:tr w:rsidR="002B641C" w14:paraId="75E49033" w14:textId="77777777" w:rsidTr="004442C7">
      <w:tc>
        <w:tcPr>
          <w:tcW w:w="8730" w:type="dxa"/>
        </w:tcPr>
        <w:p w14:paraId="30AB695A" w14:textId="77777777" w:rsidR="002B641C" w:rsidRDefault="002B641C">
          <w:pPr>
            <w:pStyle w:val="Header"/>
            <w:ind w:left="-90"/>
          </w:pPr>
        </w:p>
      </w:tc>
      <w:tc>
        <w:tcPr>
          <w:tcW w:w="860" w:type="dxa"/>
        </w:tcPr>
        <w:p w14:paraId="3AF5770A" w14:textId="77777777" w:rsidR="002B641C" w:rsidRDefault="002B641C">
          <w:pPr>
            <w:pStyle w:val="Header"/>
            <w:ind w:left="-90"/>
          </w:pPr>
        </w:p>
      </w:tc>
    </w:tr>
    <w:tr w:rsidR="002B641C" w14:paraId="0762AE48" w14:textId="77777777" w:rsidTr="004442C7">
      <w:tc>
        <w:tcPr>
          <w:tcW w:w="8730" w:type="dxa"/>
        </w:tcPr>
        <w:p w14:paraId="5C7CDF00" w14:textId="77777777" w:rsidR="002B641C" w:rsidRDefault="002B641C" w:rsidP="004442C7">
          <w:pPr>
            <w:pStyle w:val="zSoquijdatNoDossier"/>
          </w:pPr>
          <w:r>
            <w:t>564317-03B-1502</w:t>
          </w:r>
          <w:r>
            <w:tab/>
            <w:t>570707-03B-1504</w:t>
          </w:r>
        </w:p>
      </w:tc>
      <w:tc>
        <w:tcPr>
          <w:tcW w:w="860" w:type="dxa"/>
        </w:tcPr>
        <w:p w14:paraId="3D83E12F" w14:textId="77777777" w:rsidR="002B641C" w:rsidRDefault="004908E7" w:rsidP="004442C7">
          <w:pPr>
            <w:pStyle w:val="Header"/>
            <w:ind w:left="-90"/>
            <w:jc w:val="right"/>
            <w:rPr>
              <w:rStyle w:val="PageNumber"/>
            </w:rPr>
          </w:pPr>
          <w:r>
            <w:rPr>
              <w:rStyle w:val="PageNumber"/>
            </w:rPr>
            <w:fldChar w:fldCharType="begin"/>
          </w:r>
          <w:r w:rsidR="002B641C">
            <w:rPr>
              <w:rStyle w:val="PageNumber"/>
            </w:rPr>
            <w:instrText xml:space="preserve"> PAGE </w:instrText>
          </w:r>
          <w:r>
            <w:rPr>
              <w:rStyle w:val="PageNumber"/>
            </w:rPr>
            <w:fldChar w:fldCharType="separate"/>
          </w:r>
          <w:r w:rsidR="00C1550E">
            <w:rPr>
              <w:rStyle w:val="PageNumber"/>
              <w:noProof/>
            </w:rPr>
            <w:t>3</w:t>
          </w:r>
          <w:r>
            <w:rPr>
              <w:rStyle w:val="PageNumber"/>
            </w:rPr>
            <w:fldChar w:fldCharType="end"/>
          </w:r>
        </w:p>
      </w:tc>
    </w:tr>
    <w:tr w:rsidR="002B641C" w14:paraId="15A6E6A1" w14:textId="77777777" w:rsidTr="004442C7">
      <w:tc>
        <w:tcPr>
          <w:tcW w:w="8730" w:type="dxa"/>
        </w:tcPr>
        <w:p w14:paraId="6FC4AA57" w14:textId="77777777" w:rsidR="002B641C" w:rsidRDefault="002B641C" w:rsidP="004442C7"/>
      </w:tc>
      <w:tc>
        <w:tcPr>
          <w:tcW w:w="860" w:type="dxa"/>
        </w:tcPr>
        <w:p w14:paraId="66C7AF8F" w14:textId="77777777" w:rsidR="002B641C" w:rsidRDefault="002B641C" w:rsidP="004442C7">
          <w:pPr>
            <w:pStyle w:val="Header"/>
            <w:ind w:left="-90"/>
            <w:jc w:val="right"/>
          </w:pPr>
        </w:p>
      </w:tc>
    </w:tr>
  </w:tbl>
  <w:p w14:paraId="3EEA749F" w14:textId="77777777" w:rsidR="002B641C" w:rsidRDefault="002B64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799B8" w14:textId="77777777" w:rsidR="00CB3484" w:rsidRDefault="00CB34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715A6A"/>
    <w:multiLevelType w:val="hybridMultilevel"/>
    <w:tmpl w:val="8952B0C8"/>
    <w:lvl w:ilvl="0" w:tplc="F49C940E">
      <w:numFmt w:val="bullet"/>
      <w:lvlText w:val="-"/>
      <w:lvlJc w:val="left"/>
      <w:pPr>
        <w:ind w:left="1080" w:hanging="360"/>
      </w:pPr>
      <w:rPr>
        <w:rFonts w:ascii="Arial" w:eastAsia="Times New Roman" w:hAnsi="Arial" w:cs="Aria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 w15:restartNumberingAfterBreak="0">
    <w:nsid w:val="76556088"/>
    <w:multiLevelType w:val="multilevel"/>
    <w:tmpl w:val="74FA30DC"/>
    <w:lvl w:ilvl="0">
      <w:start w:val="1"/>
      <w:numFmt w:val="decimal"/>
      <w:pStyle w:val="corpsdedcision"/>
      <w:lvlText w:val="[%1]"/>
      <w:lvlJc w:val="left"/>
      <w:pPr>
        <w:tabs>
          <w:tab w:val="num" w:pos="360"/>
        </w:tabs>
        <w:ind w:left="0" w:firstLine="0"/>
      </w:pPr>
    </w:lvl>
    <w:lvl w:ilvl="1">
      <w:start w:val="1"/>
      <w:numFmt w:val="decimal"/>
      <w:lvlRestart w:val="0"/>
      <w:lvlText w:val="[%1.%2]"/>
      <w:lvlJc w:val="left"/>
      <w:pPr>
        <w:tabs>
          <w:tab w:val="num" w:pos="1080"/>
        </w:tabs>
        <w:ind w:left="360" w:firstLine="0"/>
      </w:pPr>
    </w:lvl>
    <w:lvl w:ilvl="2">
      <w:start w:val="1"/>
      <w:numFmt w:val="decimal"/>
      <w:lvlRestart w:val="0"/>
      <w:lvlText w:val="[%1.%2.%3]"/>
      <w:lvlJc w:val="left"/>
      <w:pPr>
        <w:tabs>
          <w:tab w:val="num" w:pos="1440"/>
        </w:tabs>
        <w:ind w:left="720" w:firstLine="0"/>
      </w:pPr>
    </w:lvl>
    <w:lvl w:ilvl="3">
      <w:start w:val="1"/>
      <w:numFmt w:val="decimal"/>
      <w:lvlRestart w:val="0"/>
      <w:lvlText w:val="[%1.%2.%3.%4]"/>
      <w:lvlJc w:val="left"/>
      <w:pPr>
        <w:tabs>
          <w:tab w:val="num" w:pos="2160"/>
        </w:tabs>
        <w:ind w:left="1080" w:firstLine="0"/>
      </w:pPr>
    </w:lvl>
    <w:lvl w:ilvl="4">
      <w:start w:val="1"/>
      <w:numFmt w:val="decimal"/>
      <w:lvlRestart w:val="0"/>
      <w:lvlText w:val="[%1.%2.%3.%4.%5]"/>
      <w:lvlJc w:val="left"/>
      <w:pPr>
        <w:tabs>
          <w:tab w:val="num" w:pos="2520"/>
        </w:tabs>
        <w:ind w:left="2232" w:hanging="792"/>
      </w:pPr>
    </w:lvl>
    <w:lvl w:ilvl="5">
      <w:start w:val="1"/>
      <w:numFmt w:val="decimal"/>
      <w:lvlRestart w:val="0"/>
      <w:lvlText w:val="[%1.%2.%3.%4.%5.%6]"/>
      <w:lvlJc w:val="left"/>
      <w:pPr>
        <w:tabs>
          <w:tab w:val="num" w:pos="3240"/>
        </w:tabs>
        <w:ind w:left="2736" w:hanging="936"/>
      </w:pPr>
    </w:lvl>
    <w:lvl w:ilvl="6">
      <w:start w:val="1"/>
      <w:numFmt w:val="decimal"/>
      <w:lvlRestart w:val="0"/>
      <w:lvlText w:val="[%1.%2.%3.%4.%5.%6.%7]"/>
      <w:lvlJc w:val="left"/>
      <w:pPr>
        <w:tabs>
          <w:tab w:val="num" w:pos="3600"/>
        </w:tabs>
        <w:ind w:left="3240" w:hanging="1080"/>
      </w:pPr>
    </w:lvl>
    <w:lvl w:ilvl="7">
      <w:start w:val="1"/>
      <w:numFmt w:val="decimal"/>
      <w:lvlRestart w:val="0"/>
      <w:lvlText w:val="[%1.%2.%3.%4.%5.%6.%7.%8]"/>
      <w:lvlJc w:val="left"/>
      <w:pPr>
        <w:tabs>
          <w:tab w:val="num" w:pos="4320"/>
        </w:tabs>
        <w:ind w:left="3744" w:hanging="1224"/>
      </w:pPr>
    </w:lvl>
    <w:lvl w:ilvl="8">
      <w:start w:val="1"/>
      <w:numFmt w:val="decimal"/>
      <w:lvlRestart w:val="0"/>
      <w:lvlText w:val="[%1.%2.%3.%4.%5.%6.%7.%8.%9]"/>
      <w:lvlJc w:val="left"/>
      <w:pPr>
        <w:tabs>
          <w:tab w:val="num" w:pos="4680"/>
        </w:tabs>
        <w:ind w:left="4320" w:hanging="1440"/>
      </w:pPr>
    </w:lvl>
  </w:abstractNum>
  <w:num w:numId="1" w16cid:durableId="1481388825">
    <w:abstractNumId w:val="1"/>
  </w:num>
  <w:num w:numId="2" w16cid:durableId="1892959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2C7"/>
    <w:rsid w:val="000041A1"/>
    <w:rsid w:val="00021E4C"/>
    <w:rsid w:val="000366EC"/>
    <w:rsid w:val="0007225E"/>
    <w:rsid w:val="0008378A"/>
    <w:rsid w:val="00090018"/>
    <w:rsid w:val="000A77C5"/>
    <w:rsid w:val="000B7F1B"/>
    <w:rsid w:val="001050B4"/>
    <w:rsid w:val="0012326A"/>
    <w:rsid w:val="00147B8B"/>
    <w:rsid w:val="0015125A"/>
    <w:rsid w:val="0015539F"/>
    <w:rsid w:val="001664C8"/>
    <w:rsid w:val="00167DE6"/>
    <w:rsid w:val="00193571"/>
    <w:rsid w:val="001A067E"/>
    <w:rsid w:val="001A2900"/>
    <w:rsid w:val="001A4081"/>
    <w:rsid w:val="001B52D9"/>
    <w:rsid w:val="001C2B0B"/>
    <w:rsid w:val="001D31CC"/>
    <w:rsid w:val="00231C1D"/>
    <w:rsid w:val="00241CED"/>
    <w:rsid w:val="002476DF"/>
    <w:rsid w:val="002563F0"/>
    <w:rsid w:val="00266064"/>
    <w:rsid w:val="00281319"/>
    <w:rsid w:val="00286149"/>
    <w:rsid w:val="00296A4B"/>
    <w:rsid w:val="002B641C"/>
    <w:rsid w:val="002C3748"/>
    <w:rsid w:val="003057FC"/>
    <w:rsid w:val="00310193"/>
    <w:rsid w:val="00312983"/>
    <w:rsid w:val="00331EA7"/>
    <w:rsid w:val="003363F8"/>
    <w:rsid w:val="003664E9"/>
    <w:rsid w:val="00371DE0"/>
    <w:rsid w:val="00373EE5"/>
    <w:rsid w:val="003B1735"/>
    <w:rsid w:val="003B1C0E"/>
    <w:rsid w:val="003B6CBF"/>
    <w:rsid w:val="003E00D5"/>
    <w:rsid w:val="003F7F38"/>
    <w:rsid w:val="00406F0C"/>
    <w:rsid w:val="00415D5D"/>
    <w:rsid w:val="00437137"/>
    <w:rsid w:val="004442C7"/>
    <w:rsid w:val="0044627E"/>
    <w:rsid w:val="00457239"/>
    <w:rsid w:val="00470A0B"/>
    <w:rsid w:val="004908E7"/>
    <w:rsid w:val="004A679B"/>
    <w:rsid w:val="00517EB0"/>
    <w:rsid w:val="005205CB"/>
    <w:rsid w:val="005662E9"/>
    <w:rsid w:val="005801AE"/>
    <w:rsid w:val="00582ECC"/>
    <w:rsid w:val="0058399B"/>
    <w:rsid w:val="0058692F"/>
    <w:rsid w:val="005974B7"/>
    <w:rsid w:val="005B30F6"/>
    <w:rsid w:val="005B6489"/>
    <w:rsid w:val="0061488E"/>
    <w:rsid w:val="00634E6E"/>
    <w:rsid w:val="00661454"/>
    <w:rsid w:val="0066642D"/>
    <w:rsid w:val="00675E85"/>
    <w:rsid w:val="0067750F"/>
    <w:rsid w:val="006841A4"/>
    <w:rsid w:val="00692150"/>
    <w:rsid w:val="006C7B7F"/>
    <w:rsid w:val="006D19E8"/>
    <w:rsid w:val="006D6E96"/>
    <w:rsid w:val="006E793F"/>
    <w:rsid w:val="006F7944"/>
    <w:rsid w:val="00704121"/>
    <w:rsid w:val="00745AA8"/>
    <w:rsid w:val="007510EC"/>
    <w:rsid w:val="007635CD"/>
    <w:rsid w:val="007A6E2F"/>
    <w:rsid w:val="007B3BC5"/>
    <w:rsid w:val="0081130F"/>
    <w:rsid w:val="00825B1F"/>
    <w:rsid w:val="00865541"/>
    <w:rsid w:val="008748C7"/>
    <w:rsid w:val="0087521A"/>
    <w:rsid w:val="008962E7"/>
    <w:rsid w:val="008A7FD1"/>
    <w:rsid w:val="008B211E"/>
    <w:rsid w:val="008D6FDF"/>
    <w:rsid w:val="009107B9"/>
    <w:rsid w:val="0092684A"/>
    <w:rsid w:val="00952C99"/>
    <w:rsid w:val="009712EF"/>
    <w:rsid w:val="009824F2"/>
    <w:rsid w:val="00993B24"/>
    <w:rsid w:val="0099611F"/>
    <w:rsid w:val="009C779D"/>
    <w:rsid w:val="009D68FA"/>
    <w:rsid w:val="009E4FC2"/>
    <w:rsid w:val="00A02EF2"/>
    <w:rsid w:val="00A04C85"/>
    <w:rsid w:val="00A04D5E"/>
    <w:rsid w:val="00A40AC7"/>
    <w:rsid w:val="00A435C7"/>
    <w:rsid w:val="00A72703"/>
    <w:rsid w:val="00A80383"/>
    <w:rsid w:val="00A87DEA"/>
    <w:rsid w:val="00AA1D3E"/>
    <w:rsid w:val="00AB5C9B"/>
    <w:rsid w:val="00AC0449"/>
    <w:rsid w:val="00AD2497"/>
    <w:rsid w:val="00AF1D29"/>
    <w:rsid w:val="00AF2979"/>
    <w:rsid w:val="00B0375C"/>
    <w:rsid w:val="00B156C3"/>
    <w:rsid w:val="00B20E25"/>
    <w:rsid w:val="00B224C5"/>
    <w:rsid w:val="00B561E4"/>
    <w:rsid w:val="00B7000C"/>
    <w:rsid w:val="00B92856"/>
    <w:rsid w:val="00BA6E22"/>
    <w:rsid w:val="00BA7AF0"/>
    <w:rsid w:val="00BF23A6"/>
    <w:rsid w:val="00C009B7"/>
    <w:rsid w:val="00C1550E"/>
    <w:rsid w:val="00C32020"/>
    <w:rsid w:val="00C3408C"/>
    <w:rsid w:val="00C43CDF"/>
    <w:rsid w:val="00C512B2"/>
    <w:rsid w:val="00C74B6F"/>
    <w:rsid w:val="00C9241B"/>
    <w:rsid w:val="00C940BE"/>
    <w:rsid w:val="00C97569"/>
    <w:rsid w:val="00CB325B"/>
    <w:rsid w:val="00CB3484"/>
    <w:rsid w:val="00CD0F93"/>
    <w:rsid w:val="00CD6F23"/>
    <w:rsid w:val="00D027AF"/>
    <w:rsid w:val="00D17D57"/>
    <w:rsid w:val="00D3672F"/>
    <w:rsid w:val="00D440FA"/>
    <w:rsid w:val="00D46E73"/>
    <w:rsid w:val="00D63951"/>
    <w:rsid w:val="00D86F2C"/>
    <w:rsid w:val="00DB2B2D"/>
    <w:rsid w:val="00E05651"/>
    <w:rsid w:val="00E20425"/>
    <w:rsid w:val="00E2508A"/>
    <w:rsid w:val="00E41A0A"/>
    <w:rsid w:val="00E65C0E"/>
    <w:rsid w:val="00E746F0"/>
    <w:rsid w:val="00E87589"/>
    <w:rsid w:val="00E938FF"/>
    <w:rsid w:val="00EA5017"/>
    <w:rsid w:val="00EB14F0"/>
    <w:rsid w:val="00EB3844"/>
    <w:rsid w:val="00ED2D34"/>
    <w:rsid w:val="00ED6C51"/>
    <w:rsid w:val="00F02237"/>
    <w:rsid w:val="00F024D2"/>
    <w:rsid w:val="00F11D59"/>
    <w:rsid w:val="00F324F8"/>
    <w:rsid w:val="00F348B2"/>
    <w:rsid w:val="00F34BF0"/>
    <w:rsid w:val="00F54044"/>
    <w:rsid w:val="00F61EA2"/>
    <w:rsid w:val="00F8245F"/>
    <w:rsid w:val="00F91E2A"/>
    <w:rsid w:val="00FA1D78"/>
    <w:rsid w:val="00FA1F7E"/>
    <w:rsid w:val="00FB2F8B"/>
    <w:rsid w:val="00FD6206"/>
    <w:rsid w:val="00FF32C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F8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08E7"/>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SoquijdatAssesseurs">
    <w:name w:val="zSoquij_datAssesseurs"/>
    <w:basedOn w:val="Normal"/>
    <w:rsid w:val="004908E7"/>
  </w:style>
  <w:style w:type="paragraph" w:customStyle="1" w:styleId="zSoquijdatCabinetProcureurDef">
    <w:name w:val="zSoquij_datCabinetProcureurDef"/>
    <w:basedOn w:val="Normal"/>
    <w:rsid w:val="004908E7"/>
  </w:style>
  <w:style w:type="paragraph" w:customStyle="1" w:styleId="zSoquijdatCabinetProcureurDem">
    <w:name w:val="zSoquij_datCabinetProcureurDem"/>
    <w:basedOn w:val="Normal"/>
    <w:rsid w:val="004908E7"/>
  </w:style>
  <w:style w:type="paragraph" w:customStyle="1" w:styleId="zSoquijdatDateJugement">
    <w:name w:val="zSoquij_datDateJugement"/>
    <w:basedOn w:val="Normal"/>
    <w:rsid w:val="004908E7"/>
  </w:style>
  <w:style w:type="paragraph" w:customStyle="1" w:styleId="zSoquijdatGreffe">
    <w:name w:val="zSoquij_datGreffe"/>
    <w:basedOn w:val="Normal"/>
    <w:rsid w:val="004908E7"/>
  </w:style>
  <w:style w:type="paragraph" w:customStyle="1" w:styleId="zSoquijdatJuge">
    <w:name w:val="zSoquij_datJuge"/>
    <w:basedOn w:val="Normal"/>
    <w:rsid w:val="004908E7"/>
  </w:style>
  <w:style w:type="paragraph" w:customStyle="1" w:styleId="zSoquijdatMembreE">
    <w:name w:val="zSoquij_datMembreE"/>
    <w:basedOn w:val="Normal"/>
    <w:rsid w:val="004908E7"/>
  </w:style>
  <w:style w:type="paragraph" w:customStyle="1" w:styleId="zSoquijdatMembreS">
    <w:name w:val="zSoquij_datMembreS"/>
    <w:basedOn w:val="Normal"/>
    <w:rsid w:val="004908E7"/>
  </w:style>
  <w:style w:type="paragraph" w:customStyle="1" w:styleId="articlesdelaLSST">
    <w:name w:val="articles de la LSST"/>
    <w:basedOn w:val="Normal"/>
    <w:rsid w:val="004908E7"/>
    <w:pPr>
      <w:ind w:left="720" w:right="720"/>
      <w:jc w:val="both"/>
    </w:pPr>
    <w:rPr>
      <w:sz w:val="20"/>
    </w:rPr>
  </w:style>
  <w:style w:type="paragraph" w:customStyle="1" w:styleId="zSoquijdatNCSST">
    <w:name w:val="zSoquij_datNCSST"/>
    <w:basedOn w:val="Normal"/>
    <w:rsid w:val="004908E7"/>
  </w:style>
  <w:style w:type="paragraph" w:customStyle="1" w:styleId="zSoquijdatNoDossier">
    <w:name w:val="zSoquij_datNoDossier"/>
    <w:basedOn w:val="Normal"/>
    <w:rsid w:val="004908E7"/>
  </w:style>
  <w:style w:type="paragraph" w:customStyle="1" w:styleId="zSoquijdatNomPartieDef">
    <w:name w:val="zSoquij_datNomPartieDef"/>
    <w:basedOn w:val="Normal"/>
    <w:rsid w:val="004908E7"/>
  </w:style>
  <w:style w:type="paragraph" w:customStyle="1" w:styleId="zSoquijdatNomPartieDem">
    <w:name w:val="zSoquij_datNomPartieDem"/>
    <w:basedOn w:val="Normal"/>
    <w:rsid w:val="004908E7"/>
  </w:style>
  <w:style w:type="paragraph" w:customStyle="1" w:styleId="zSoquijdatNomPartieInt">
    <w:name w:val="zSoquij_datNomPartieInt"/>
    <w:basedOn w:val="Normal"/>
    <w:rsid w:val="004908E7"/>
  </w:style>
  <w:style w:type="paragraph" w:customStyle="1" w:styleId="zSoquijdatNomProcureurDef">
    <w:name w:val="zSoquij_datNomProcureurDef"/>
    <w:basedOn w:val="Normal"/>
    <w:rsid w:val="004908E7"/>
  </w:style>
  <w:style w:type="paragraph" w:customStyle="1" w:styleId="zSoquijdatNomProcureurDem">
    <w:name w:val="zSoquij_datNomProcureurDem"/>
    <w:basedOn w:val="Normal"/>
    <w:rsid w:val="004908E7"/>
  </w:style>
  <w:style w:type="paragraph" w:customStyle="1" w:styleId="zSoquijdatQtePartieDef">
    <w:name w:val="zSoquij_datQtePartieDef"/>
    <w:basedOn w:val="Normal"/>
    <w:rsid w:val="004908E7"/>
  </w:style>
  <w:style w:type="paragraph" w:customStyle="1" w:styleId="zSoquijdatQtePartieDem">
    <w:name w:val="zSoquij_datQtePartieDem"/>
    <w:basedOn w:val="Normal"/>
    <w:rsid w:val="004908E7"/>
  </w:style>
  <w:style w:type="paragraph" w:customStyle="1" w:styleId="zSoquijdatQtePartieInt">
    <w:name w:val="zSoquij_datQtePartieInt"/>
    <w:basedOn w:val="Normal"/>
    <w:rsid w:val="004908E7"/>
  </w:style>
  <w:style w:type="paragraph" w:customStyle="1" w:styleId="zSoquijlblProcureurDef">
    <w:name w:val="zSoquij_lblProcureurDef"/>
    <w:basedOn w:val="Normal"/>
    <w:rsid w:val="004908E7"/>
  </w:style>
  <w:style w:type="paragraph" w:customStyle="1" w:styleId="zSoquijlblProcureurDem">
    <w:name w:val="zSoquij_lblProcureurDem"/>
    <w:basedOn w:val="Normal"/>
    <w:rsid w:val="004908E7"/>
  </w:style>
  <w:style w:type="character" w:styleId="FootnoteReference">
    <w:name w:val="footnote reference"/>
    <w:semiHidden/>
    <w:rsid w:val="004908E7"/>
    <w:rPr>
      <w:rFonts w:ascii="Arial" w:hAnsi="Arial"/>
      <w:vertAlign w:val="superscript"/>
    </w:rPr>
  </w:style>
  <w:style w:type="paragraph" w:customStyle="1" w:styleId="citation">
    <w:name w:val="citation"/>
    <w:basedOn w:val="Normal"/>
    <w:rsid w:val="004908E7"/>
    <w:pPr>
      <w:ind w:left="720" w:right="720"/>
      <w:jc w:val="both"/>
    </w:pPr>
    <w:rPr>
      <w:sz w:val="20"/>
    </w:rPr>
  </w:style>
  <w:style w:type="paragraph" w:customStyle="1" w:styleId="corpsdedcision">
    <w:name w:val="corps de décision"/>
    <w:basedOn w:val="Normal"/>
    <w:rsid w:val="004908E7"/>
    <w:pPr>
      <w:numPr>
        <w:numId w:val="1"/>
      </w:numPr>
      <w:tabs>
        <w:tab w:val="clear" w:pos="360"/>
        <w:tab w:val="left" w:pos="720"/>
      </w:tabs>
      <w:spacing w:after="360"/>
      <w:jc w:val="both"/>
    </w:pPr>
  </w:style>
  <w:style w:type="paragraph" w:customStyle="1" w:styleId="Dfinitions">
    <w:name w:val="Définitions"/>
    <w:basedOn w:val="citation"/>
    <w:rsid w:val="004908E7"/>
  </w:style>
  <w:style w:type="paragraph" w:customStyle="1" w:styleId="Dispositif">
    <w:name w:val="Dispositif"/>
    <w:basedOn w:val="Normal"/>
    <w:rsid w:val="004908E7"/>
    <w:pPr>
      <w:spacing w:after="360"/>
      <w:jc w:val="both"/>
    </w:pPr>
  </w:style>
  <w:style w:type="paragraph" w:styleId="FootnoteText">
    <w:name w:val="footnote text"/>
    <w:basedOn w:val="Normal"/>
    <w:semiHidden/>
    <w:rsid w:val="004908E7"/>
  </w:style>
  <w:style w:type="paragraph" w:styleId="Header">
    <w:name w:val="header"/>
    <w:basedOn w:val="Normal"/>
    <w:rsid w:val="004908E7"/>
    <w:pPr>
      <w:tabs>
        <w:tab w:val="center" w:pos="4320"/>
        <w:tab w:val="right" w:pos="8640"/>
      </w:tabs>
    </w:pPr>
  </w:style>
  <w:style w:type="character" w:styleId="PageNumber">
    <w:name w:val="page number"/>
    <w:rsid w:val="004908E7"/>
    <w:rPr>
      <w:rFonts w:ascii="Arial" w:hAnsi="Arial"/>
      <w:sz w:val="24"/>
    </w:rPr>
  </w:style>
  <w:style w:type="paragraph" w:styleId="Footer">
    <w:name w:val="footer"/>
    <w:basedOn w:val="Normal"/>
    <w:rsid w:val="004908E7"/>
    <w:pPr>
      <w:tabs>
        <w:tab w:val="center" w:pos="4320"/>
        <w:tab w:val="right" w:pos="8640"/>
      </w:tabs>
    </w:pPr>
  </w:style>
  <w:style w:type="paragraph" w:customStyle="1" w:styleId="zSoquijlblProcureurInt">
    <w:name w:val="zSoquij_lblProcureurInt"/>
    <w:basedOn w:val="Normal"/>
    <w:rsid w:val="004908E7"/>
  </w:style>
  <w:style w:type="paragraph" w:customStyle="1" w:styleId="articlesdelaLATMP">
    <w:name w:val="articles de la LATMP"/>
    <w:basedOn w:val="Normal"/>
    <w:rsid w:val="004908E7"/>
    <w:pPr>
      <w:ind w:left="720" w:right="720"/>
      <w:jc w:val="both"/>
    </w:pPr>
    <w:rPr>
      <w:sz w:val="20"/>
    </w:rPr>
  </w:style>
  <w:style w:type="paragraph" w:customStyle="1" w:styleId="Annexes">
    <w:name w:val="Annexes"/>
    <w:basedOn w:val="citation"/>
    <w:rsid w:val="004908E7"/>
  </w:style>
  <w:style w:type="paragraph" w:customStyle="1" w:styleId="zSoquijdatNomProcureurInt">
    <w:name w:val="zSoquij_datNomProcureurInt"/>
    <w:basedOn w:val="Normal"/>
    <w:rsid w:val="004908E7"/>
  </w:style>
  <w:style w:type="paragraph" w:customStyle="1" w:styleId="zSoquijdatCabinetProcureurInt">
    <w:name w:val="zSoquij_datCabinetProcureurInt"/>
    <w:basedOn w:val="Normal"/>
    <w:rsid w:val="004908E7"/>
  </w:style>
  <w:style w:type="paragraph" w:customStyle="1" w:styleId="zSoquijdatRefNeutre">
    <w:name w:val="zSoquij_datRefNeutre"/>
    <w:basedOn w:val="Normal"/>
    <w:rsid w:val="00E20425"/>
    <w:pPr>
      <w:jc w:val="right"/>
    </w:pPr>
    <w:rPr>
      <w:b/>
      <w:sz w:val="22"/>
      <w:szCs w:val="22"/>
    </w:rPr>
  </w:style>
  <w:style w:type="paragraph" w:customStyle="1" w:styleId="zSoquijdatRepertorie">
    <w:name w:val="zSoquij_datRepertorie"/>
    <w:basedOn w:val="Normal"/>
    <w:rsid w:val="00E20425"/>
    <w:rPr>
      <w:b/>
      <w:sz w:val="22"/>
      <w:szCs w:val="22"/>
    </w:rPr>
  </w:style>
  <w:style w:type="paragraph" w:customStyle="1" w:styleId="corpsdetexte">
    <w:name w:val="corps de texte"/>
    <w:basedOn w:val="Normal"/>
    <w:rsid w:val="00ED2D34"/>
    <w:pPr>
      <w:tabs>
        <w:tab w:val="left" w:pos="720"/>
      </w:tabs>
      <w:spacing w:after="36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3317</Words>
  <Characters>18911</Characters>
  <Application>Microsoft Office Word</Application>
  <DocSecurity>0</DocSecurity>
  <Lines>157</Lines>
  <Paragraphs>44</Paragraphs>
  <ScaleCrop>false</ScaleCrop>
  <Company/>
  <LinksUpToDate>false</LinksUpToDate>
  <CharactersWithSpaces>22184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2026-06-06T18:07:00Z</dcterms:created>
  <dcterms:modified xsi:type="dcterms:W3CDTF">2026-06-06T18:07:00Z</dcterms:modified>
</cp:coreProperties>
</file>