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102139B7" w14:textId="77777777">
        <w:trPr>
          <w:cantSplit/>
        </w:trPr>
        <w:tc>
          <w:tcPr>
            <w:tcW w:w="4795" w:type="dxa"/>
          </w:tcPr>
          <w:p w14:paraId="405C31CC" w14:textId="7BF1118C" w:rsidR="008A7FD1" w:rsidRPr="00DB144D" w:rsidRDefault="00DB144D" w:rsidP="00DB144D">
            <w:pPr>
              <w:pStyle w:val="zSoquijdatRepertorie"/>
              <w:rPr>
                <w:rFonts w:cs="Arial"/>
              </w:rPr>
            </w:pPr>
            <w:r>
              <w:rPr>
                <w:rFonts w:cs="Arial"/>
              </w:rPr>
              <w:t xml:space="preserve">Drolet et Express Havre St-Pierre </w:t>
            </w:r>
            <w:proofErr w:type="spellStart"/>
            <w:r>
              <w:rPr>
                <w:rFonts w:cs="Arial"/>
              </w:rPr>
              <w:t>ltée</w:t>
            </w:r>
            <w:proofErr w:type="spellEnd"/>
          </w:p>
        </w:tc>
        <w:tc>
          <w:tcPr>
            <w:tcW w:w="2477" w:type="dxa"/>
          </w:tcPr>
          <w:p w14:paraId="2BEF2312" w14:textId="332CD297" w:rsidR="008A7FD1" w:rsidRPr="00EA19C9" w:rsidRDefault="00EA19C9" w:rsidP="00EA19C9">
            <w:pPr>
              <w:pStyle w:val="zSoquijdatRefNeutre"/>
              <w:rPr>
                <w:rFonts w:cs="Arial"/>
              </w:rPr>
            </w:pPr>
            <w:r w:rsidRPr="00EA19C9">
              <w:rPr>
                <w:rFonts w:cs="Arial"/>
              </w:rPr>
              <w:t>2024 QCTAT 2900</w:t>
            </w:r>
          </w:p>
        </w:tc>
      </w:tr>
    </w:tbl>
    <w:p w14:paraId="65AFE297" w14:textId="77777777" w:rsidR="008A7FD1" w:rsidRDefault="008A7FD1"/>
    <w:tbl>
      <w:tblPr>
        <w:tblW w:w="9568" w:type="dxa"/>
        <w:tblLayout w:type="fixed"/>
        <w:tblCellMar>
          <w:left w:w="70" w:type="dxa"/>
          <w:right w:w="70" w:type="dxa"/>
        </w:tblCellMar>
        <w:tblLook w:val="0000" w:firstRow="0" w:lastRow="0" w:firstColumn="0" w:lastColumn="0" w:noHBand="0" w:noVBand="0"/>
      </w:tblPr>
      <w:tblGrid>
        <w:gridCol w:w="3331"/>
        <w:gridCol w:w="1559"/>
        <w:gridCol w:w="993"/>
        <w:gridCol w:w="3685"/>
      </w:tblGrid>
      <w:tr w:rsidR="00C74B6F" w14:paraId="0EF5EA57" w14:textId="77777777" w:rsidTr="00036794">
        <w:trPr>
          <w:cantSplit/>
        </w:trPr>
        <w:tc>
          <w:tcPr>
            <w:tcW w:w="9568" w:type="dxa"/>
            <w:gridSpan w:val="4"/>
          </w:tcPr>
          <w:p w14:paraId="2794B524" w14:textId="77777777" w:rsidR="00C74B6F" w:rsidRPr="00BE1981" w:rsidRDefault="00C74B6F">
            <w:pPr>
              <w:rPr>
                <w:szCs w:val="24"/>
              </w:rPr>
            </w:pPr>
          </w:p>
        </w:tc>
      </w:tr>
      <w:tr w:rsidR="00C74B6F" w14:paraId="2B08DAE0" w14:textId="77777777" w:rsidTr="00036794">
        <w:trPr>
          <w:cantSplit/>
        </w:trPr>
        <w:tc>
          <w:tcPr>
            <w:tcW w:w="9568" w:type="dxa"/>
            <w:gridSpan w:val="4"/>
            <w:vAlign w:val="center"/>
          </w:tcPr>
          <w:p w14:paraId="0B2BD14B" w14:textId="77777777" w:rsidR="00C74B6F" w:rsidRPr="000E1320" w:rsidRDefault="000E1320">
            <w:pPr>
              <w:jc w:val="center"/>
              <w:rPr>
                <w:sz w:val="36"/>
                <w:szCs w:val="36"/>
              </w:rPr>
            </w:pPr>
            <w:r w:rsidRPr="000E1320">
              <w:rPr>
                <w:b/>
                <w:sz w:val="36"/>
                <w:szCs w:val="36"/>
              </w:rPr>
              <w:t>TRIBUNAL ADMINISTRATIF DU TRAVAIL</w:t>
            </w:r>
          </w:p>
        </w:tc>
      </w:tr>
      <w:tr w:rsidR="00C74B6F" w14:paraId="570F8048" w14:textId="77777777" w:rsidTr="00036794">
        <w:trPr>
          <w:cantSplit/>
        </w:trPr>
        <w:tc>
          <w:tcPr>
            <w:tcW w:w="9568" w:type="dxa"/>
            <w:gridSpan w:val="4"/>
          </w:tcPr>
          <w:p w14:paraId="0DC198CC" w14:textId="4D48EDCC" w:rsidR="00C74B6F" w:rsidRPr="00BE7014" w:rsidRDefault="006F0154" w:rsidP="009A67E7">
            <w:pPr>
              <w:pStyle w:val="zSoquijdatDivision"/>
            </w:pPr>
            <w:r w:rsidRPr="00BE7014">
              <w:t>(</w:t>
            </w:r>
            <w:bookmarkStart w:id="0" w:name="nom_division"/>
            <w:r w:rsidR="00915710" w:rsidRPr="00441ADA">
              <w:t>Division de la santé et de la sécurité du travai</w:t>
            </w:r>
            <w:bookmarkEnd w:id="0"/>
            <w:r w:rsidR="00915710">
              <w:t>l</w:t>
            </w:r>
            <w:r w:rsidRPr="00BE7014">
              <w:t>)</w:t>
            </w:r>
          </w:p>
        </w:tc>
      </w:tr>
      <w:tr w:rsidR="00C74B6F" w14:paraId="4386C9B6" w14:textId="77777777" w:rsidTr="00036794">
        <w:trPr>
          <w:cantSplit/>
        </w:trPr>
        <w:tc>
          <w:tcPr>
            <w:tcW w:w="9568" w:type="dxa"/>
            <w:gridSpan w:val="4"/>
          </w:tcPr>
          <w:p w14:paraId="08B93083" w14:textId="77777777" w:rsidR="002B2FC3" w:rsidRDefault="002B2FC3" w:rsidP="002B2FC3"/>
        </w:tc>
      </w:tr>
      <w:tr w:rsidR="00A84FC6" w14:paraId="6BDF7971" w14:textId="77777777" w:rsidTr="00036794">
        <w:trPr>
          <w:cantSplit/>
        </w:trPr>
        <w:tc>
          <w:tcPr>
            <w:tcW w:w="9568" w:type="dxa"/>
            <w:gridSpan w:val="4"/>
          </w:tcPr>
          <w:p w14:paraId="24F526D5" w14:textId="77777777" w:rsidR="00A84FC6" w:rsidRDefault="00A84FC6" w:rsidP="002B2FC3"/>
        </w:tc>
      </w:tr>
      <w:tr w:rsidR="00C74B6F" w14:paraId="2530D5C3" w14:textId="77777777" w:rsidTr="00036794">
        <w:tc>
          <w:tcPr>
            <w:tcW w:w="3331" w:type="dxa"/>
          </w:tcPr>
          <w:p w14:paraId="7742C980" w14:textId="77777777" w:rsidR="00C74B6F" w:rsidRDefault="0084255F">
            <w:bookmarkStart w:id="1" w:name="region" w:colFirst="1" w:colLast="1"/>
            <w:r>
              <w:t>Région :</w:t>
            </w:r>
          </w:p>
        </w:tc>
        <w:tc>
          <w:tcPr>
            <w:tcW w:w="6237" w:type="dxa"/>
            <w:gridSpan w:val="3"/>
          </w:tcPr>
          <w:p w14:paraId="5839319A" w14:textId="63F46AD4" w:rsidR="00C74B6F" w:rsidRDefault="00915710" w:rsidP="00F4095A">
            <w:pPr>
              <w:pStyle w:val="zSoquijdatGreffe"/>
            </w:pPr>
            <w:r>
              <w:t>Montérégie</w:t>
            </w:r>
          </w:p>
        </w:tc>
      </w:tr>
      <w:bookmarkEnd w:id="1"/>
      <w:tr w:rsidR="00C74B6F" w14:paraId="5EF98254" w14:textId="77777777" w:rsidTr="00036794">
        <w:trPr>
          <w:cantSplit/>
        </w:trPr>
        <w:tc>
          <w:tcPr>
            <w:tcW w:w="9568" w:type="dxa"/>
            <w:gridSpan w:val="4"/>
          </w:tcPr>
          <w:p w14:paraId="5D855422" w14:textId="77777777" w:rsidR="00C74B6F" w:rsidRDefault="00C74B6F"/>
        </w:tc>
      </w:tr>
      <w:tr w:rsidR="00C74B6F" w14:paraId="62109367" w14:textId="77777777" w:rsidTr="00036794">
        <w:tc>
          <w:tcPr>
            <w:tcW w:w="3331" w:type="dxa"/>
          </w:tcPr>
          <w:p w14:paraId="2509B286" w14:textId="2ED79FAA" w:rsidR="00C74B6F" w:rsidRDefault="0084255F">
            <w:bookmarkStart w:id="2" w:name="ref_dossier" w:colFirst="1" w:colLast="1"/>
            <w:r>
              <w:t>Dossier</w:t>
            </w:r>
            <w:bookmarkStart w:id="3" w:name="dossiers"/>
            <w:bookmarkEnd w:id="3"/>
            <w:r>
              <w:t> :</w:t>
            </w:r>
          </w:p>
        </w:tc>
        <w:tc>
          <w:tcPr>
            <w:tcW w:w="6237" w:type="dxa"/>
            <w:gridSpan w:val="3"/>
          </w:tcPr>
          <w:p w14:paraId="001288A3" w14:textId="31AC020E" w:rsidR="00C74B6F" w:rsidRDefault="00915710" w:rsidP="00F4095A">
            <w:pPr>
              <w:pStyle w:val="zSoquijdatNoDossier"/>
            </w:pPr>
            <w:r w:rsidRPr="00915710">
              <w:t>1327736-62-2307</w:t>
            </w:r>
          </w:p>
        </w:tc>
      </w:tr>
      <w:bookmarkEnd w:id="2"/>
      <w:tr w:rsidR="00C74B6F" w14:paraId="141EC0DA" w14:textId="77777777" w:rsidTr="00036794">
        <w:trPr>
          <w:cantSplit/>
        </w:trPr>
        <w:tc>
          <w:tcPr>
            <w:tcW w:w="9568" w:type="dxa"/>
            <w:gridSpan w:val="4"/>
          </w:tcPr>
          <w:p w14:paraId="30F3CD7B" w14:textId="77777777" w:rsidR="00C74B6F" w:rsidRDefault="00D44BCF">
            <w:r>
              <w:fldChar w:fldCharType="begin"/>
            </w:r>
            <w:r>
              <w:instrText xml:space="preserve"> AUTOTEXTLIST  \* Upper  \* MERGEFORMAT </w:instrText>
            </w:r>
            <w:r>
              <w:fldChar w:fldCharType="end"/>
            </w:r>
          </w:p>
        </w:tc>
      </w:tr>
      <w:tr w:rsidR="00C74B6F" w14:paraId="6DBAE164" w14:textId="77777777" w:rsidTr="00036794">
        <w:tc>
          <w:tcPr>
            <w:tcW w:w="3331" w:type="dxa"/>
          </w:tcPr>
          <w:p w14:paraId="7AD92483" w14:textId="56C09B42" w:rsidR="00C74B6F" w:rsidRDefault="008C79A7" w:rsidP="0045114F">
            <w:pPr>
              <w:ind w:right="46"/>
            </w:pPr>
            <w:r>
              <w:t xml:space="preserve">Dossier </w:t>
            </w:r>
            <w:r w:rsidR="00915710">
              <w:t>CNESST</w:t>
            </w:r>
            <w:r w:rsidRPr="008C79A7">
              <w:rPr>
                <w:szCs w:val="24"/>
              </w:rPr>
              <w:t xml:space="preserve"> :</w:t>
            </w:r>
          </w:p>
        </w:tc>
        <w:tc>
          <w:tcPr>
            <w:tcW w:w="6237" w:type="dxa"/>
            <w:gridSpan w:val="3"/>
          </w:tcPr>
          <w:p w14:paraId="775AB411" w14:textId="2FEDA28E" w:rsidR="00C74B6F" w:rsidRDefault="00915710" w:rsidP="004D6CEA">
            <w:pPr>
              <w:pStyle w:val="zSoquijdatNCSST"/>
            </w:pPr>
            <w:r w:rsidRPr="00915710">
              <w:t>513945097</w:t>
            </w:r>
          </w:p>
        </w:tc>
      </w:tr>
      <w:tr w:rsidR="00C74B6F" w14:paraId="17720BDA" w14:textId="77777777" w:rsidTr="00036794">
        <w:trPr>
          <w:cantSplit/>
        </w:trPr>
        <w:tc>
          <w:tcPr>
            <w:tcW w:w="9568" w:type="dxa"/>
            <w:gridSpan w:val="4"/>
          </w:tcPr>
          <w:p w14:paraId="3565A4DA" w14:textId="77777777" w:rsidR="00C74B6F" w:rsidRDefault="00C74B6F"/>
        </w:tc>
      </w:tr>
      <w:tr w:rsidR="00C74B6F" w14:paraId="56BF1FAD" w14:textId="77777777" w:rsidTr="00036794">
        <w:trPr>
          <w:cantSplit/>
        </w:trPr>
        <w:tc>
          <w:tcPr>
            <w:tcW w:w="9568" w:type="dxa"/>
            <w:gridSpan w:val="4"/>
          </w:tcPr>
          <w:p w14:paraId="39B7AEF1" w14:textId="77777777" w:rsidR="00C74B6F" w:rsidRDefault="00C74B6F"/>
        </w:tc>
      </w:tr>
      <w:tr w:rsidR="006E3DD8" w14:paraId="213DE999" w14:textId="77777777" w:rsidTr="00036794">
        <w:trPr>
          <w:cantSplit/>
        </w:trPr>
        <w:tc>
          <w:tcPr>
            <w:tcW w:w="3331" w:type="dxa"/>
          </w:tcPr>
          <w:p w14:paraId="7D2F1EAA" w14:textId="4E55F61E" w:rsidR="006E3DD8" w:rsidRDefault="00915710" w:rsidP="0076350E">
            <w:pPr>
              <w:ind w:right="-70"/>
            </w:pPr>
            <w:r>
              <w:t>Longueuil</w:t>
            </w:r>
            <w:r w:rsidR="00C04E32">
              <w:t>,</w:t>
            </w:r>
          </w:p>
        </w:tc>
        <w:tc>
          <w:tcPr>
            <w:tcW w:w="6237" w:type="dxa"/>
            <w:gridSpan w:val="3"/>
          </w:tcPr>
          <w:p w14:paraId="13B85267" w14:textId="167650B3" w:rsidR="006E3DD8" w:rsidRDefault="00C04E32" w:rsidP="005B5689">
            <w:pPr>
              <w:pStyle w:val="zSoquijdatDateJugement"/>
            </w:pPr>
            <w:proofErr w:type="gramStart"/>
            <w:r>
              <w:t>le</w:t>
            </w:r>
            <w:proofErr w:type="gramEnd"/>
            <w:r>
              <w:t xml:space="preserve"> </w:t>
            </w:r>
            <w:r w:rsidR="00F8240A">
              <w:t>12</w:t>
            </w:r>
            <w:r w:rsidR="008E3A32">
              <w:t xml:space="preserve"> août 2024</w:t>
            </w:r>
          </w:p>
        </w:tc>
      </w:tr>
      <w:tr w:rsidR="00942AB8" w14:paraId="6B196A7C" w14:textId="77777777" w:rsidTr="00036794">
        <w:trPr>
          <w:cantSplit/>
        </w:trPr>
        <w:tc>
          <w:tcPr>
            <w:tcW w:w="9568" w:type="dxa"/>
            <w:gridSpan w:val="4"/>
          </w:tcPr>
          <w:p w14:paraId="5F37648D" w14:textId="77777777" w:rsidR="00942AB8" w:rsidRDefault="00942AB8" w:rsidP="00FA153F">
            <w:r>
              <w:t>______________________________________________________________________</w:t>
            </w:r>
          </w:p>
        </w:tc>
      </w:tr>
      <w:tr w:rsidR="00942AB8" w14:paraId="11ADD46C" w14:textId="77777777" w:rsidTr="00036794">
        <w:trPr>
          <w:cantSplit/>
          <w:trHeight w:val="148"/>
        </w:trPr>
        <w:tc>
          <w:tcPr>
            <w:tcW w:w="9568" w:type="dxa"/>
            <w:gridSpan w:val="4"/>
          </w:tcPr>
          <w:p w14:paraId="4916FB27" w14:textId="77777777" w:rsidR="00942AB8" w:rsidRDefault="00942AB8" w:rsidP="00FA153F"/>
        </w:tc>
      </w:tr>
      <w:tr w:rsidR="0035375B" w14:paraId="68ED8E93" w14:textId="77777777" w:rsidTr="00036794">
        <w:trPr>
          <w:cantSplit/>
          <w:trHeight w:val="148"/>
        </w:trPr>
        <w:tc>
          <w:tcPr>
            <w:tcW w:w="5883" w:type="dxa"/>
            <w:gridSpan w:val="3"/>
          </w:tcPr>
          <w:p w14:paraId="54BAF120" w14:textId="0A025CC2" w:rsidR="0035375B" w:rsidRPr="00942AB8" w:rsidRDefault="0035375B">
            <w:pPr>
              <w:rPr>
                <w:b/>
                <w:bCs/>
              </w:rPr>
            </w:pPr>
            <w:bookmarkStart w:id="4" w:name="ref_commissaire" w:colFirst="1" w:colLast="1"/>
            <w:r w:rsidRPr="00942AB8">
              <w:rPr>
                <w:b/>
                <w:bCs/>
              </w:rPr>
              <w:t>DEVANT L</w:t>
            </w:r>
            <w:r w:rsidR="00915710">
              <w:rPr>
                <w:b/>
                <w:bCs/>
              </w:rPr>
              <w:t>A</w:t>
            </w:r>
            <w:r w:rsidRPr="00942AB8">
              <w:rPr>
                <w:b/>
                <w:bCs/>
              </w:rPr>
              <w:t xml:space="preserve"> JUGE ADMINISTRATI</w:t>
            </w:r>
            <w:r w:rsidR="00915710">
              <w:rPr>
                <w:b/>
                <w:bCs/>
              </w:rPr>
              <w:t>IVE</w:t>
            </w:r>
            <w:r w:rsidRPr="00942AB8">
              <w:rPr>
                <w:b/>
                <w:bCs/>
              </w:rPr>
              <w:t> :</w:t>
            </w:r>
          </w:p>
        </w:tc>
        <w:tc>
          <w:tcPr>
            <w:tcW w:w="3685" w:type="dxa"/>
          </w:tcPr>
          <w:p w14:paraId="22C133D1" w14:textId="6F21B33E" w:rsidR="0035375B" w:rsidRPr="00942AB8" w:rsidRDefault="00915710" w:rsidP="005B5689">
            <w:pPr>
              <w:pStyle w:val="zSoquijdatJuge"/>
              <w:rPr>
                <w:bCs/>
              </w:rPr>
            </w:pPr>
            <w:r>
              <w:t>Emmanuelle de Champlain</w:t>
            </w:r>
          </w:p>
        </w:tc>
      </w:tr>
      <w:bookmarkEnd w:id="4"/>
      <w:tr w:rsidR="00942AB8" w14:paraId="5AD2D393" w14:textId="77777777" w:rsidTr="00036794">
        <w:trPr>
          <w:cantSplit/>
          <w:trHeight w:val="148"/>
        </w:trPr>
        <w:tc>
          <w:tcPr>
            <w:tcW w:w="9568" w:type="dxa"/>
            <w:gridSpan w:val="4"/>
          </w:tcPr>
          <w:p w14:paraId="7C837956" w14:textId="77777777" w:rsidR="00942AB8" w:rsidRDefault="00942AB8" w:rsidP="00FA153F">
            <w:r>
              <w:t>______________________________________________________________________</w:t>
            </w:r>
          </w:p>
        </w:tc>
      </w:tr>
      <w:tr w:rsidR="00942AB8" w14:paraId="065F853C" w14:textId="77777777" w:rsidTr="00036794">
        <w:tc>
          <w:tcPr>
            <w:tcW w:w="9568" w:type="dxa"/>
            <w:gridSpan w:val="4"/>
          </w:tcPr>
          <w:p w14:paraId="650B87A4" w14:textId="77777777" w:rsidR="00942AB8" w:rsidRDefault="00942AB8"/>
        </w:tc>
      </w:tr>
      <w:tr w:rsidR="00942AB8" w14:paraId="0448C05E" w14:textId="77777777" w:rsidTr="00E21768">
        <w:tc>
          <w:tcPr>
            <w:tcW w:w="4890" w:type="dxa"/>
            <w:gridSpan w:val="2"/>
          </w:tcPr>
          <w:p w14:paraId="1986FC6E" w14:textId="77777777" w:rsidR="00942AB8" w:rsidRDefault="00942AB8">
            <w:bookmarkStart w:id="5" w:name="bloc_parties_gauche"/>
            <w:bookmarkEnd w:id="5"/>
          </w:p>
        </w:tc>
        <w:tc>
          <w:tcPr>
            <w:tcW w:w="4678" w:type="dxa"/>
            <w:gridSpan w:val="2"/>
          </w:tcPr>
          <w:p w14:paraId="6A8ED330" w14:textId="77777777" w:rsidR="00942AB8" w:rsidRDefault="00942AB8"/>
        </w:tc>
      </w:tr>
      <w:tr w:rsidR="00942AB8" w14:paraId="6770152E" w14:textId="77777777" w:rsidTr="00E21768">
        <w:tc>
          <w:tcPr>
            <w:tcW w:w="4890" w:type="dxa"/>
            <w:gridSpan w:val="2"/>
          </w:tcPr>
          <w:p w14:paraId="76088726" w14:textId="6421E516" w:rsidR="00942AB8" w:rsidRDefault="00915710">
            <w:pPr>
              <w:pStyle w:val="zSoquijdatNomPartieDem"/>
              <w:rPr>
                <w:b/>
              </w:rPr>
            </w:pPr>
            <w:proofErr w:type="spellStart"/>
            <w:r w:rsidRPr="00915710">
              <w:rPr>
                <w:b/>
              </w:rPr>
              <w:t>Dominic</w:t>
            </w:r>
            <w:proofErr w:type="spellEnd"/>
            <w:r w:rsidRPr="00915710">
              <w:rPr>
                <w:b/>
              </w:rPr>
              <w:t xml:space="preserve"> Drolet</w:t>
            </w:r>
          </w:p>
        </w:tc>
        <w:tc>
          <w:tcPr>
            <w:tcW w:w="4678" w:type="dxa"/>
            <w:gridSpan w:val="2"/>
          </w:tcPr>
          <w:p w14:paraId="4035B511" w14:textId="77777777" w:rsidR="00942AB8" w:rsidRDefault="00942AB8"/>
        </w:tc>
      </w:tr>
      <w:tr w:rsidR="00942AB8" w14:paraId="41328E6C" w14:textId="77777777" w:rsidTr="00E21768">
        <w:tc>
          <w:tcPr>
            <w:tcW w:w="4890" w:type="dxa"/>
            <w:gridSpan w:val="2"/>
          </w:tcPr>
          <w:p w14:paraId="51E974E7" w14:textId="0633AD09" w:rsidR="00942AB8" w:rsidRDefault="00915710" w:rsidP="007B0DF2">
            <w:pPr>
              <w:pStyle w:val="zSoquijdatQtePartieDem"/>
              <w:tabs>
                <w:tab w:val="left" w:pos="3539"/>
              </w:tabs>
              <w:ind w:left="708"/>
            </w:pPr>
            <w:bookmarkStart w:id="6" w:name="partie_demanderesse"/>
            <w:bookmarkEnd w:id="6"/>
            <w:r>
              <w:t>Partie demanderesse</w:t>
            </w:r>
          </w:p>
        </w:tc>
        <w:tc>
          <w:tcPr>
            <w:tcW w:w="4678" w:type="dxa"/>
            <w:gridSpan w:val="2"/>
          </w:tcPr>
          <w:p w14:paraId="0436B10A" w14:textId="77777777" w:rsidR="00942AB8" w:rsidRDefault="00942AB8"/>
        </w:tc>
      </w:tr>
      <w:tr w:rsidR="00942AB8" w14:paraId="6D4372DF" w14:textId="77777777" w:rsidTr="00E21768">
        <w:tc>
          <w:tcPr>
            <w:tcW w:w="4890" w:type="dxa"/>
            <w:gridSpan w:val="2"/>
          </w:tcPr>
          <w:p w14:paraId="4B8E8B24" w14:textId="77777777" w:rsidR="00942AB8" w:rsidRDefault="00942AB8" w:rsidP="00E6363B"/>
        </w:tc>
        <w:tc>
          <w:tcPr>
            <w:tcW w:w="4678" w:type="dxa"/>
            <w:gridSpan w:val="2"/>
          </w:tcPr>
          <w:p w14:paraId="367CCFFA" w14:textId="77777777" w:rsidR="00942AB8" w:rsidRDefault="00942AB8"/>
        </w:tc>
      </w:tr>
      <w:tr w:rsidR="00942AB8" w14:paraId="44E56839" w14:textId="77777777" w:rsidTr="00E21768">
        <w:tc>
          <w:tcPr>
            <w:tcW w:w="4890" w:type="dxa"/>
            <w:gridSpan w:val="2"/>
          </w:tcPr>
          <w:p w14:paraId="4F9AD909" w14:textId="13086BE6" w:rsidR="00942AB8" w:rsidRDefault="00915710" w:rsidP="00D06652">
            <w:pPr>
              <w:pStyle w:val="zSoquijlblLienParties"/>
            </w:pPr>
            <w:proofErr w:type="gramStart"/>
            <w:r>
              <w:t>et</w:t>
            </w:r>
            <w:proofErr w:type="gramEnd"/>
          </w:p>
        </w:tc>
        <w:tc>
          <w:tcPr>
            <w:tcW w:w="4678" w:type="dxa"/>
            <w:gridSpan w:val="2"/>
          </w:tcPr>
          <w:p w14:paraId="02850A36" w14:textId="77777777" w:rsidR="00942AB8" w:rsidRDefault="00942AB8"/>
        </w:tc>
      </w:tr>
      <w:tr w:rsidR="00942AB8" w14:paraId="23BD3830" w14:textId="77777777" w:rsidTr="00E21768">
        <w:tc>
          <w:tcPr>
            <w:tcW w:w="4890" w:type="dxa"/>
            <w:gridSpan w:val="2"/>
          </w:tcPr>
          <w:p w14:paraId="2FDC2BCD" w14:textId="77777777" w:rsidR="00942AB8" w:rsidRDefault="00942AB8"/>
        </w:tc>
        <w:tc>
          <w:tcPr>
            <w:tcW w:w="4678" w:type="dxa"/>
            <w:gridSpan w:val="2"/>
          </w:tcPr>
          <w:p w14:paraId="2C8920D4" w14:textId="77777777" w:rsidR="00942AB8" w:rsidRDefault="00942AB8"/>
        </w:tc>
      </w:tr>
      <w:tr w:rsidR="00942AB8" w14:paraId="4EF3ABD5" w14:textId="77777777" w:rsidTr="00E21768">
        <w:tc>
          <w:tcPr>
            <w:tcW w:w="4890" w:type="dxa"/>
            <w:gridSpan w:val="2"/>
          </w:tcPr>
          <w:p w14:paraId="2D2154BE" w14:textId="1327BF74" w:rsidR="00942AB8" w:rsidRDefault="00915710">
            <w:pPr>
              <w:pStyle w:val="zSoquijdatNomPartieDef"/>
              <w:rPr>
                <w:b/>
              </w:rPr>
            </w:pPr>
            <w:r w:rsidRPr="00915710">
              <w:rPr>
                <w:b/>
              </w:rPr>
              <w:t xml:space="preserve">Express Havre St-Pierre </w:t>
            </w:r>
            <w:proofErr w:type="spellStart"/>
            <w:r w:rsidRPr="00915710">
              <w:rPr>
                <w:b/>
              </w:rPr>
              <w:t>ltée</w:t>
            </w:r>
            <w:proofErr w:type="spellEnd"/>
          </w:p>
        </w:tc>
        <w:tc>
          <w:tcPr>
            <w:tcW w:w="4678" w:type="dxa"/>
            <w:gridSpan w:val="2"/>
          </w:tcPr>
          <w:p w14:paraId="72BCC58D" w14:textId="77777777" w:rsidR="00942AB8" w:rsidRDefault="00942AB8"/>
        </w:tc>
      </w:tr>
      <w:tr w:rsidR="00942AB8" w14:paraId="3C36B7ED" w14:textId="77777777" w:rsidTr="00E21768">
        <w:tc>
          <w:tcPr>
            <w:tcW w:w="4890" w:type="dxa"/>
            <w:gridSpan w:val="2"/>
          </w:tcPr>
          <w:p w14:paraId="7513DCB9" w14:textId="14141510" w:rsidR="00942AB8" w:rsidRDefault="00915710">
            <w:pPr>
              <w:pStyle w:val="zSoquijdatQtePartieDef"/>
              <w:ind w:left="708"/>
            </w:pPr>
            <w:r>
              <w:t>Partie mise en cause</w:t>
            </w:r>
          </w:p>
        </w:tc>
        <w:tc>
          <w:tcPr>
            <w:tcW w:w="4678" w:type="dxa"/>
            <w:gridSpan w:val="2"/>
          </w:tcPr>
          <w:p w14:paraId="160796F3" w14:textId="77777777" w:rsidR="00942AB8" w:rsidRDefault="00942AB8"/>
        </w:tc>
      </w:tr>
      <w:tr w:rsidR="0065093D" w14:paraId="7115DA9B" w14:textId="77777777" w:rsidTr="00E21768">
        <w:tc>
          <w:tcPr>
            <w:tcW w:w="4890" w:type="dxa"/>
            <w:gridSpan w:val="2"/>
          </w:tcPr>
          <w:p w14:paraId="1A3ADC29" w14:textId="77777777" w:rsidR="0065093D" w:rsidRDefault="0065093D"/>
        </w:tc>
        <w:tc>
          <w:tcPr>
            <w:tcW w:w="4678" w:type="dxa"/>
            <w:gridSpan w:val="2"/>
          </w:tcPr>
          <w:p w14:paraId="5F1CDB4C" w14:textId="77777777" w:rsidR="0065093D" w:rsidRDefault="0065093D"/>
        </w:tc>
      </w:tr>
    </w:tbl>
    <w:p w14:paraId="5D4297E2" w14:textId="77777777" w:rsidR="00C74B6F" w:rsidRDefault="00C74B6F">
      <w:r>
        <w:t>______________________________________________________________________</w:t>
      </w:r>
    </w:p>
    <w:p w14:paraId="5EC9B435" w14:textId="77777777" w:rsidR="00C74B6F" w:rsidRDefault="00C74B6F"/>
    <w:p w14:paraId="7B133FCC" w14:textId="77777777" w:rsidR="00C74B6F" w:rsidRPr="005B0612" w:rsidRDefault="00C74B6F" w:rsidP="008B042E">
      <w:pPr>
        <w:jc w:val="center"/>
        <w:rPr>
          <w:b/>
          <w:bCs/>
        </w:rPr>
      </w:pPr>
      <w:bookmarkStart w:id="7" w:name="decision"/>
      <w:r w:rsidRPr="005B0612">
        <w:rPr>
          <w:b/>
          <w:bCs/>
        </w:rPr>
        <w:t>DÉCISION</w:t>
      </w:r>
      <w:bookmarkEnd w:id="7"/>
    </w:p>
    <w:p w14:paraId="2C83808D" w14:textId="77777777" w:rsidR="008F20EA" w:rsidRDefault="008F20EA" w:rsidP="008F20EA">
      <w:bookmarkStart w:id="8" w:name="separation"/>
      <w:bookmarkStart w:id="9" w:name="parag_1"/>
      <w:r>
        <w:t>______________________________________________________________________</w:t>
      </w:r>
    </w:p>
    <w:p w14:paraId="4BE77C69" w14:textId="77777777" w:rsidR="008F20EA" w:rsidRDefault="008F20EA" w:rsidP="008F20EA">
      <w:pPr>
        <w:pStyle w:val="corpsdedcision"/>
        <w:numPr>
          <w:ilvl w:val="0"/>
          <w:numId w:val="0"/>
        </w:numPr>
        <w:spacing w:before="360"/>
      </w:pPr>
      <w:bookmarkStart w:id="10" w:name="supprimer_apercu"/>
      <w:bookmarkEnd w:id="8"/>
      <w:r>
        <w:rPr>
          <w:b/>
          <w:bCs/>
          <w:u w:val="single"/>
        </w:rPr>
        <w:t>L’APERÇU</w:t>
      </w:r>
    </w:p>
    <w:bookmarkEnd w:id="9"/>
    <w:bookmarkEnd w:id="10"/>
    <w:p w14:paraId="4D0B7AEA" w14:textId="757F4545" w:rsidR="00B0155A" w:rsidRDefault="008E3A32" w:rsidP="00B0155A">
      <w:pPr>
        <w:pStyle w:val="corpsdedcision"/>
      </w:pPr>
      <w:r>
        <w:tab/>
      </w:r>
      <w:r w:rsidR="00B0155A">
        <w:t xml:space="preserve">Monsieur </w:t>
      </w:r>
      <w:proofErr w:type="spellStart"/>
      <w:r w:rsidR="00B0155A">
        <w:t>Dominic</w:t>
      </w:r>
      <w:proofErr w:type="spellEnd"/>
      <w:r w:rsidR="00B0155A">
        <w:t xml:space="preserve"> Drolet, le travailleur</w:t>
      </w:r>
      <w:r>
        <w:t>,</w:t>
      </w:r>
      <w:r w:rsidR="00B0155A">
        <w:t xml:space="preserve"> allègue avoir subi une lésion professionnelle en raison d’un accident du travail le 28 septembre 2021</w:t>
      </w:r>
      <w:r w:rsidR="005433D0">
        <w:t>,</w:t>
      </w:r>
      <w:r w:rsidR="00B0155A">
        <w:t xml:space="preserve"> alors qu’il travaille chez l’employeur, Express Havre St-Pierre </w:t>
      </w:r>
      <w:proofErr w:type="spellStart"/>
      <w:r w:rsidR="00B0155A">
        <w:t>ltée</w:t>
      </w:r>
      <w:proofErr w:type="spellEnd"/>
      <w:r w:rsidR="00B0155A">
        <w:t>.</w:t>
      </w:r>
      <w:r w:rsidR="00126AAB">
        <w:t xml:space="preserve"> Le 23 février 2023, il produit une réclamation à la Commission des normes, de l’équité, de la santé et de la sécurité du travail, la Commission.</w:t>
      </w:r>
    </w:p>
    <w:p w14:paraId="5FEAAFD6" w14:textId="7CA0B0BE" w:rsidR="00B0155A" w:rsidRDefault="005433D0" w:rsidP="005433D0">
      <w:pPr>
        <w:pStyle w:val="corpsdedcision"/>
        <w:tabs>
          <w:tab w:val="clear" w:pos="360"/>
        </w:tabs>
      </w:pPr>
      <w:r>
        <w:t xml:space="preserve">Le 14 mars 2023, la Commission refuse sa réclamation. Elle soutient que celle-ci est produite à l’extérieur du délai de </w:t>
      </w:r>
      <w:proofErr w:type="gramStart"/>
      <w:r>
        <w:t>six mois prévu</w:t>
      </w:r>
      <w:proofErr w:type="gramEnd"/>
      <w:r>
        <w:t xml:space="preserve"> à la </w:t>
      </w:r>
      <w:r>
        <w:rPr>
          <w:i/>
          <w:iCs/>
        </w:rPr>
        <w:t xml:space="preserve">Loi sur les accidents du travail </w:t>
      </w:r>
      <w:r>
        <w:rPr>
          <w:i/>
          <w:iCs/>
        </w:rPr>
        <w:lastRenderedPageBreak/>
        <w:t>et les maladies professionnelles</w:t>
      </w:r>
      <w:r w:rsidRPr="008E3A32">
        <w:rPr>
          <w:rStyle w:val="FootnoteReference"/>
        </w:rPr>
        <w:footnoteReference w:id="1"/>
      </w:r>
      <w:r>
        <w:rPr>
          <w:i/>
          <w:iCs/>
        </w:rPr>
        <w:t>,</w:t>
      </w:r>
      <w:r>
        <w:t xml:space="preserve"> la Loi,</w:t>
      </w:r>
      <w:r>
        <w:rPr>
          <w:i/>
          <w:iCs/>
        </w:rPr>
        <w:t xml:space="preserve"> </w:t>
      </w:r>
      <w:r>
        <w:t>et que les motifs soumis par le travailleur pour expliquer son retard ne permettent pas de prolonger ce délai. La révision administrative maintien</w:t>
      </w:r>
      <w:r w:rsidR="00EF29F1">
        <w:t>t</w:t>
      </w:r>
      <w:r>
        <w:t xml:space="preserve"> cette décision</w:t>
      </w:r>
      <w:r>
        <w:rPr>
          <w:rStyle w:val="FootnoteReference"/>
        </w:rPr>
        <w:footnoteReference w:id="2"/>
      </w:r>
      <w:r>
        <w:t>.</w:t>
      </w:r>
    </w:p>
    <w:p w14:paraId="322EC245" w14:textId="436430B6" w:rsidR="005433D0" w:rsidRDefault="008E3A32">
      <w:pPr>
        <w:pStyle w:val="corpsdedcision"/>
      </w:pPr>
      <w:r>
        <w:tab/>
      </w:r>
      <w:r w:rsidR="003E1AA2">
        <w:t>Le 29 juin 2023, le travailleur</w:t>
      </w:r>
      <w:r w:rsidR="00B0155A">
        <w:t xml:space="preserve"> </w:t>
      </w:r>
      <w:r>
        <w:t xml:space="preserve">conteste cette décision </w:t>
      </w:r>
      <w:r w:rsidR="003E1AA2">
        <w:t>au Tribunal</w:t>
      </w:r>
      <w:r w:rsidR="005433D0">
        <w:t>. Il admet que sa réclamation est produite hors délai, mais prétend avoir un motif raisonnable justifiant son retard, soit qu</w:t>
      </w:r>
      <w:r w:rsidR="00FB43D6">
        <w:t>e des délais médicaux ne lui ont pas permis d’obtenir un diagnostic précis et qu’il n’a subi aucun arrêt de travail jusqu’à ce qu’il doive se faire opérer plusieurs mois plus tard.</w:t>
      </w:r>
    </w:p>
    <w:p w14:paraId="6EE3DEA1" w14:textId="75AD9400" w:rsidR="00FB43D6" w:rsidRDefault="008E3A32">
      <w:pPr>
        <w:pStyle w:val="corpsdedcision"/>
      </w:pPr>
      <w:r>
        <w:tab/>
      </w:r>
      <w:r w:rsidR="00FB43D6">
        <w:t>L’employeur demande au Tribunal de maintenir la décision de la Commission alléguant que les arguments du travailleur ne constituent pas un motif raisonnable justifiant de prolonger le délai de prévu à la Loi.</w:t>
      </w:r>
    </w:p>
    <w:p w14:paraId="0A9CA429" w14:textId="308AEE82" w:rsidR="00C74B6F" w:rsidRDefault="008E3A32">
      <w:pPr>
        <w:pStyle w:val="corpsdedcision"/>
      </w:pPr>
      <w:r>
        <w:tab/>
      </w:r>
      <w:r w:rsidR="005433D0">
        <w:t>L’audience po</w:t>
      </w:r>
      <w:r w:rsidR="007F5885">
        <w:t>r</w:t>
      </w:r>
      <w:r w:rsidR="005433D0">
        <w:t xml:space="preserve">te uniquement sur la question du hors délai. </w:t>
      </w:r>
    </w:p>
    <w:p w14:paraId="1F3794FC" w14:textId="5CECB9C1" w:rsidR="00FB43D6" w:rsidRDefault="008E3A32">
      <w:pPr>
        <w:pStyle w:val="corpsdedcision"/>
      </w:pPr>
      <w:r>
        <w:tab/>
      </w:r>
      <w:r w:rsidR="00FB43D6">
        <w:t xml:space="preserve">Le Tribunal doit répondre </w:t>
      </w:r>
      <w:r w:rsidR="007F5885">
        <w:t xml:space="preserve">aux </w:t>
      </w:r>
      <w:r w:rsidR="00FB43D6">
        <w:t>question</w:t>
      </w:r>
      <w:r w:rsidR="007F5885">
        <w:t>s</w:t>
      </w:r>
      <w:r w:rsidR="00FB43D6">
        <w:t xml:space="preserve"> suivante</w:t>
      </w:r>
      <w:r w:rsidR="007F5885">
        <w:t>s</w:t>
      </w:r>
      <w:r w:rsidR="00FB43D6">
        <w:t> :</w:t>
      </w:r>
    </w:p>
    <w:p w14:paraId="6E0A834C" w14:textId="5207CB55" w:rsidR="007F5885" w:rsidRDefault="007F5885" w:rsidP="004874BA">
      <w:pPr>
        <w:pStyle w:val="corpsdedcision"/>
        <w:numPr>
          <w:ilvl w:val="0"/>
          <w:numId w:val="15"/>
        </w:numPr>
      </w:pPr>
      <w:r>
        <w:t>Est-ce que la réclamation du travailleur a été déposée dans les délais?</w:t>
      </w:r>
    </w:p>
    <w:p w14:paraId="0D60A8B5" w14:textId="10105E57" w:rsidR="00FB43D6" w:rsidRDefault="00FB43D6" w:rsidP="004874BA">
      <w:pPr>
        <w:pStyle w:val="corpsdedcision"/>
        <w:numPr>
          <w:ilvl w:val="0"/>
          <w:numId w:val="15"/>
        </w:numPr>
      </w:pPr>
      <w:r>
        <w:t>Le travailleur a-t-il démontré un motif raisonnable justifiant le dépôt de sa réclamation plus de six mois après son accident du travail?</w:t>
      </w:r>
    </w:p>
    <w:p w14:paraId="2A3B3D32" w14:textId="17DA43C6" w:rsidR="00FB43D6" w:rsidRDefault="008E3A32" w:rsidP="00FB43D6">
      <w:pPr>
        <w:pStyle w:val="corpsdedcision"/>
      </w:pPr>
      <w:r>
        <w:tab/>
      </w:r>
      <w:r w:rsidR="00FB43D6">
        <w:t xml:space="preserve">Le Tribunal </w:t>
      </w:r>
      <w:r w:rsidR="003D1820">
        <w:t xml:space="preserve">conclut que la réclamation du travailleur est recevable puisqu’il </w:t>
      </w:r>
      <w:r>
        <w:t xml:space="preserve">présente </w:t>
      </w:r>
      <w:r w:rsidR="003D1820">
        <w:t xml:space="preserve">un motif raisonnable </w:t>
      </w:r>
      <w:r>
        <w:t>lui permettant d’être relevé de son défaut d’avoir produit sa réclamation dans les délais prescrits par la Loi</w:t>
      </w:r>
      <w:r w:rsidR="003D1820">
        <w:t xml:space="preserve">. </w:t>
      </w:r>
    </w:p>
    <w:p w14:paraId="625F5ED9" w14:textId="77777777" w:rsidR="00E17DA4" w:rsidRDefault="00E17DA4" w:rsidP="00D07C4C">
      <w:pPr>
        <w:pStyle w:val="corpsdedcision"/>
        <w:numPr>
          <w:ilvl w:val="0"/>
          <w:numId w:val="0"/>
        </w:numPr>
        <w:rPr>
          <w:b/>
          <w:bCs/>
          <w:u w:val="single"/>
        </w:rPr>
      </w:pPr>
      <w:bookmarkStart w:id="11" w:name="supprimer_analyse"/>
      <w:r>
        <w:rPr>
          <w:b/>
          <w:bCs/>
          <w:u w:val="single"/>
        </w:rPr>
        <w:t>CONTEXTE</w:t>
      </w:r>
    </w:p>
    <w:p w14:paraId="46267653" w14:textId="4BAE8117" w:rsidR="00E17DA4" w:rsidRDefault="00E17DA4" w:rsidP="00E17DA4">
      <w:pPr>
        <w:pStyle w:val="corpsdedcision"/>
        <w:tabs>
          <w:tab w:val="clear" w:pos="360"/>
        </w:tabs>
      </w:pPr>
      <w:r>
        <w:t>La preuve démontre que le travailleur se blesse</w:t>
      </w:r>
      <w:r w:rsidR="008E3A32">
        <w:t xml:space="preserve"> au travail</w:t>
      </w:r>
      <w:r>
        <w:t xml:space="preserve"> le 28 septembre 2021. Alors qu’il installe une sangle sur une remorque, un crochet se prend dans le rail. Lorsque celui-ci se libère, le travailleur ressent un violent choc à son épaule. </w:t>
      </w:r>
      <w:r w:rsidR="008E3A32">
        <w:t>Le lendemain, i</w:t>
      </w:r>
      <w:r>
        <w:t xml:space="preserve">l consulte le docteur </w:t>
      </w:r>
      <w:proofErr w:type="spellStart"/>
      <w:r>
        <w:t>Ghatfan</w:t>
      </w:r>
      <w:proofErr w:type="spellEnd"/>
      <w:r>
        <w:t xml:space="preserve"> </w:t>
      </w:r>
      <w:proofErr w:type="spellStart"/>
      <w:r>
        <w:t>Shaaban</w:t>
      </w:r>
      <w:proofErr w:type="spellEnd"/>
      <w:r>
        <w:t xml:space="preserve"> </w:t>
      </w:r>
      <w:proofErr w:type="spellStart"/>
      <w:r>
        <w:t>Kabakibo</w:t>
      </w:r>
      <w:proofErr w:type="spellEnd"/>
      <w:r w:rsidR="00EF29F1">
        <w:t xml:space="preserve"> </w:t>
      </w:r>
      <w:r>
        <w:t>lequel pose le diagnostic de « </w:t>
      </w:r>
      <w:r w:rsidRPr="00B66029">
        <w:rPr>
          <w:rStyle w:val="Citationintgre"/>
        </w:rPr>
        <w:t>tendinite traumatique et/ou déchirure de la coiffe</w:t>
      </w:r>
      <w:r>
        <w:t> »</w:t>
      </w:r>
      <w:r w:rsidR="008E3A32">
        <w:t>.</w:t>
      </w:r>
      <w:r>
        <w:t xml:space="preserve"> Il </w:t>
      </w:r>
      <w:r w:rsidR="008E3A32">
        <w:t>dirige le travailleur</w:t>
      </w:r>
      <w:r>
        <w:t xml:space="preserve"> </w:t>
      </w:r>
      <w:r w:rsidR="008E3A32">
        <w:t xml:space="preserve">à </w:t>
      </w:r>
      <w:r>
        <w:t>une échographie de l’épaule gauche et demande qu’il soit en assignation temporaire jusqu’au 20</w:t>
      </w:r>
      <w:r w:rsidR="008E3A32">
        <w:t> </w:t>
      </w:r>
      <w:r>
        <w:t>octobre</w:t>
      </w:r>
      <w:r w:rsidR="008E3A32">
        <w:t> </w:t>
      </w:r>
      <w:r>
        <w:t xml:space="preserve">2021. Le seul médicament qui est prescrit est du </w:t>
      </w:r>
      <w:proofErr w:type="spellStart"/>
      <w:r w:rsidRPr="004874BA">
        <w:rPr>
          <w:i/>
          <w:iCs/>
        </w:rPr>
        <w:t>Voltaren</w:t>
      </w:r>
      <w:proofErr w:type="spellEnd"/>
      <w:r w:rsidRPr="004874BA">
        <w:rPr>
          <w:i/>
          <w:iCs/>
        </w:rPr>
        <w:t>,</w:t>
      </w:r>
      <w:r>
        <w:t xml:space="preserve"> au besoin. Un prochain rendez-vous médical est prévu le 20 octobre 2021.</w:t>
      </w:r>
    </w:p>
    <w:p w14:paraId="4BC84450" w14:textId="53D85093" w:rsidR="00E17DA4" w:rsidRDefault="008E3A32" w:rsidP="00E17DA4">
      <w:pPr>
        <w:pStyle w:val="corpsdedcision"/>
      </w:pPr>
      <w:r>
        <w:lastRenderedPageBreak/>
        <w:tab/>
      </w:r>
      <w:r w:rsidR="00E17DA4">
        <w:t xml:space="preserve">Cette échographie a lieu le 17 décembre 2021 et le travailleur est informé qu’on lui fixera un rendez-vous en clinique externe. Sans nouvelles, le travailleur fait des démarches afin d’obtenir un suivi. Il est finalement avisé qu’il doit prendre rendez-vous avec le docteur </w:t>
      </w:r>
      <w:proofErr w:type="spellStart"/>
      <w:r w:rsidR="00E17DA4">
        <w:t>Shabaan</w:t>
      </w:r>
      <w:proofErr w:type="spellEnd"/>
      <w:r w:rsidR="00E17DA4">
        <w:t xml:space="preserve"> </w:t>
      </w:r>
      <w:proofErr w:type="spellStart"/>
      <w:r w:rsidR="00E17DA4">
        <w:t>Kabakibo</w:t>
      </w:r>
      <w:proofErr w:type="spellEnd"/>
      <w:r w:rsidR="00E17DA4">
        <w:t xml:space="preserve"> pour recevoir les résultats, ce qu’il fait. Comme le radiologiste indique à son rapport « </w:t>
      </w:r>
      <w:r w:rsidR="00E17DA4" w:rsidRPr="00E753F2">
        <w:rPr>
          <w:rStyle w:val="Citationintgre"/>
        </w:rPr>
        <w:t>consultation orthopédique à effectuer</w:t>
      </w:r>
      <w:r w:rsidR="00E17DA4">
        <w:t> », son médecin redirige le travailleur en orthopédie.</w:t>
      </w:r>
    </w:p>
    <w:p w14:paraId="5CF18116" w14:textId="77777777" w:rsidR="00E17DA4" w:rsidRDefault="00E17DA4" w:rsidP="00E17DA4">
      <w:pPr>
        <w:pStyle w:val="corpsdedcision"/>
      </w:pPr>
      <w:r>
        <w:t>Malheureusement, ces différentes embuches administratives font en sorte que c’est seulement le 14 juillet 2022 que le travailleur obtient un rendez-vous avec la docteure Stéphanie Hinse, chirurgienne orthopédiste. Elle lui prescrit un examen d'imagerie par résonance magnétique. C’est à la suite de l’obtention des résultats de celui-ci que le travailleur apprend qu’il a une déchirure massive de la coiffe des rotateurs gauche et qu’il doit subir une chirurgie à l’épaule et, par conséquent, s’absenter du travail.</w:t>
      </w:r>
    </w:p>
    <w:p w14:paraId="7DD3EC8A" w14:textId="009B19D7" w:rsidR="00E17DA4" w:rsidRDefault="00E17DA4" w:rsidP="00E17DA4">
      <w:pPr>
        <w:pStyle w:val="corpsdedcision"/>
        <w:tabs>
          <w:tab w:val="clear" w:pos="360"/>
        </w:tabs>
      </w:pPr>
      <w:r>
        <w:t>Le jour</w:t>
      </w:r>
      <w:r w:rsidR="00C34793">
        <w:t xml:space="preserve"> </w:t>
      </w:r>
      <w:r>
        <w:t xml:space="preserve">même où il reçoit cette information, soit le 23 février 2023, le travailleur produit sa réclamation à la Commission. </w:t>
      </w:r>
    </w:p>
    <w:p w14:paraId="36526E78" w14:textId="7FC68471" w:rsidR="00082A97" w:rsidRDefault="00082A97" w:rsidP="00D07C4C">
      <w:pPr>
        <w:pStyle w:val="corpsdedcision"/>
        <w:numPr>
          <w:ilvl w:val="0"/>
          <w:numId w:val="0"/>
        </w:numPr>
        <w:rPr>
          <w:b/>
          <w:bCs/>
          <w:u w:val="single"/>
        </w:rPr>
      </w:pPr>
      <w:r w:rsidRPr="005433D0">
        <w:rPr>
          <w:b/>
          <w:bCs/>
          <w:u w:val="single"/>
        </w:rPr>
        <w:t>L’ANALYSE</w:t>
      </w:r>
    </w:p>
    <w:p w14:paraId="3C67DFC2" w14:textId="560D28E1" w:rsidR="00E17DA4" w:rsidRPr="004874BA" w:rsidRDefault="00E17DA4" w:rsidP="004874BA">
      <w:pPr>
        <w:pStyle w:val="Heading3"/>
      </w:pPr>
      <w:r w:rsidRPr="004874BA">
        <w:t>Est-ce que la réclamation du travailleur a été déposée dans les délais?</w:t>
      </w:r>
    </w:p>
    <w:bookmarkEnd w:id="11"/>
    <w:p w14:paraId="1364C691" w14:textId="038987CA" w:rsidR="004C2944" w:rsidRDefault="006239D5" w:rsidP="004C2944">
      <w:pPr>
        <w:pStyle w:val="corpsdedcision"/>
      </w:pPr>
      <w:r>
        <w:t>Les délais pour déposer une réclamation à la Commission sont régis par les articles 270, 271 et 272 de la Loi et se lisent comme suit :</w:t>
      </w:r>
    </w:p>
    <w:p w14:paraId="72A7A6E5" w14:textId="77777777" w:rsidR="006239D5" w:rsidRDefault="006239D5">
      <w:pPr>
        <w:pStyle w:val="articlesdelaLATMP"/>
      </w:pPr>
      <w:r w:rsidRPr="00D10B57">
        <w:rPr>
          <w:b/>
        </w:rPr>
        <w:t>270.</w:t>
      </w:r>
      <w:r>
        <w:t xml:space="preserve">  Le travailleur qui, en raison d'une lésion professionnelle, est incapable d'exercer son emploi pendant plus de 14 jours complets ou a subi une atteinte permanente à son intégrité physique ou psychique ou, s'il décède de cette lésion, le bénéficiaire, produit sa réclamation à la Commission, sur le formulaire qu'elle prescrit, dans les six mois de la lésion ou du décès, selon le cas.</w:t>
      </w:r>
    </w:p>
    <w:p w14:paraId="24BAA1B8" w14:textId="77777777" w:rsidR="006239D5" w:rsidRDefault="006239D5">
      <w:pPr>
        <w:pStyle w:val="articlesdelaLATMP"/>
      </w:pPr>
    </w:p>
    <w:p w14:paraId="26DAD382" w14:textId="77777777" w:rsidR="006239D5" w:rsidRDefault="006239D5">
      <w:pPr>
        <w:pStyle w:val="articlesdelaLATMP"/>
      </w:pPr>
      <w:r>
        <w:t>L'employeur assiste le travailleur ou, le cas échéant, le bénéficiaire, dans la rédaction de sa réclamation et lui fournit les informations requises à cette fin.</w:t>
      </w:r>
    </w:p>
    <w:p w14:paraId="33F0D687" w14:textId="77777777" w:rsidR="006239D5" w:rsidRDefault="006239D5">
      <w:pPr>
        <w:pStyle w:val="articlesdelaLATMP"/>
      </w:pPr>
    </w:p>
    <w:p w14:paraId="3962CAA4" w14:textId="77777777" w:rsidR="006239D5" w:rsidRDefault="006239D5">
      <w:pPr>
        <w:pStyle w:val="articlesdelaLATMP"/>
      </w:pPr>
      <w:r>
        <w:t>Le travailleur ou, le cas échéant, le bénéficiaire, remet à l'employeur copie de ce formulaire dûment rempli et signé.</w:t>
      </w:r>
    </w:p>
    <w:p w14:paraId="275773B6" w14:textId="77777777" w:rsidR="006239D5" w:rsidRDefault="006239D5">
      <w:pPr>
        <w:pStyle w:val="articlesdelaLATMP"/>
      </w:pPr>
    </w:p>
    <w:p w14:paraId="60FEDC9D" w14:textId="77777777" w:rsidR="006239D5" w:rsidRDefault="006239D5">
      <w:pPr>
        <w:pStyle w:val="articlesdelaLATMP"/>
      </w:pPr>
    </w:p>
    <w:p w14:paraId="739DE55A" w14:textId="77777777" w:rsidR="006239D5" w:rsidRDefault="006239D5">
      <w:pPr>
        <w:pStyle w:val="articlesdelaLATMP"/>
      </w:pPr>
      <w:r w:rsidRPr="00D10B57">
        <w:rPr>
          <w:b/>
        </w:rPr>
        <w:t>271.</w:t>
      </w:r>
      <w:r>
        <w:t xml:space="preserve">  Le travailleur victime d'une lésion professionnelle qui ne le rend pas incapable d'exercer son emploi au-delà de la journée au cours de laquelle s'est manifestée sa lésion ou celui à qui aucun employeur n'est tenu de verser un salaire en vertu de l'article 60, quelle que soit la durée de son incapacité, produit sa réclamation à la Commission, s'il y a lieu, sur le formulaire qu'elle prescrit, dans les six mois de sa lésion.</w:t>
      </w:r>
    </w:p>
    <w:p w14:paraId="12634ECB" w14:textId="60957BF4" w:rsidR="006239D5" w:rsidRDefault="006239D5" w:rsidP="006239D5">
      <w:pPr>
        <w:pStyle w:val="articlesdelaLATMP"/>
      </w:pPr>
    </w:p>
    <w:p w14:paraId="4B25F0E3" w14:textId="77777777" w:rsidR="006239D5" w:rsidRDefault="006239D5" w:rsidP="006239D5">
      <w:pPr>
        <w:pStyle w:val="articlesdelaLATMP"/>
      </w:pPr>
    </w:p>
    <w:p w14:paraId="34A84193" w14:textId="77777777" w:rsidR="006239D5" w:rsidRDefault="006239D5">
      <w:pPr>
        <w:pStyle w:val="articlesdelaLATMP"/>
      </w:pPr>
      <w:r w:rsidRPr="00D10B57">
        <w:rPr>
          <w:b/>
        </w:rPr>
        <w:t>272.</w:t>
      </w:r>
      <w:r>
        <w:t xml:space="preserve">  Le travailleur atteint d'une maladie professionnelle ou, s'il en décède, le bénéficiaire, produit sa réclamation à la Commission, sur le formulaire qu'elle prescrit, dans les six mois de la date où il est porté à la connaissance du travailleur ou du </w:t>
      </w:r>
      <w:r>
        <w:lastRenderedPageBreak/>
        <w:t>bénéficiaire que le travailleur est atteint d'une maladie professionnelle ou qu'il en est décédé, selon le cas.</w:t>
      </w:r>
    </w:p>
    <w:p w14:paraId="35E8625E" w14:textId="77777777" w:rsidR="006239D5" w:rsidRDefault="006239D5">
      <w:pPr>
        <w:pStyle w:val="articlesdelaLATMP"/>
      </w:pPr>
    </w:p>
    <w:p w14:paraId="2F12924E" w14:textId="77777777" w:rsidR="006239D5" w:rsidRDefault="006239D5">
      <w:pPr>
        <w:pStyle w:val="articlesdelaLATMP"/>
      </w:pPr>
      <w:r>
        <w:t xml:space="preserve">Ce formulaire porte notamment sur </w:t>
      </w:r>
      <w:proofErr w:type="gramStart"/>
      <w:r>
        <w:t>les nom</w:t>
      </w:r>
      <w:proofErr w:type="gramEnd"/>
      <w:r>
        <w:t xml:space="preserve"> et adresse de chaque employeur pour qui le travailleur a exercé un travail de nature à engendrer sa maladie professionnelle.</w:t>
      </w:r>
    </w:p>
    <w:p w14:paraId="76839239" w14:textId="77777777" w:rsidR="006239D5" w:rsidRDefault="006239D5">
      <w:pPr>
        <w:pStyle w:val="articlesdelaLATMP"/>
      </w:pPr>
    </w:p>
    <w:p w14:paraId="6449C4A1" w14:textId="232662D0" w:rsidR="006239D5" w:rsidRDefault="006239D5" w:rsidP="00B80B56">
      <w:pPr>
        <w:pStyle w:val="articlesdelaLATMP"/>
      </w:pPr>
      <w:r>
        <w:t>La Commission transmet copie de ce formulaire à chacun des employeurs dont le nom y apparaît.</w:t>
      </w:r>
    </w:p>
    <w:p w14:paraId="51266D9B" w14:textId="77777777" w:rsidR="00C34793" w:rsidRDefault="00C34793" w:rsidP="00B80B56">
      <w:pPr>
        <w:pStyle w:val="articlesdelaLATMP"/>
      </w:pPr>
    </w:p>
    <w:p w14:paraId="51BAA6C8" w14:textId="77777777" w:rsidR="00C34793" w:rsidRDefault="00C34793" w:rsidP="00B80B56">
      <w:pPr>
        <w:pStyle w:val="articlesdelaLATMP"/>
      </w:pPr>
    </w:p>
    <w:p w14:paraId="5A91E4DA" w14:textId="0E8C8E56" w:rsidR="00B80B56" w:rsidRPr="00B80B56" w:rsidRDefault="00B80B56" w:rsidP="00B80B56">
      <w:pPr>
        <w:pStyle w:val="corpsdedcision"/>
        <w:tabs>
          <w:tab w:val="clear" w:pos="360"/>
        </w:tabs>
      </w:pPr>
      <w:r w:rsidRPr="00B80B56">
        <w:t>L’article</w:t>
      </w:r>
      <w:r>
        <w:t xml:space="preserve"> 270</w:t>
      </w:r>
      <w:r w:rsidRPr="00B80B56">
        <w:t> de la Loi prévoit que le travailleur doit produire sa réclamation à la Commission dans les six mois de sa lésion. Cette disposition vise spécifiquement la lésion professionnelle qui rend le travailleur incapable d’exercer son emploi pendant plus de 14 jours complets.</w:t>
      </w:r>
    </w:p>
    <w:p w14:paraId="45857E8B" w14:textId="0EB63740" w:rsidR="00B80B56" w:rsidRPr="00B80B56" w:rsidRDefault="00B80B56" w:rsidP="00B80B56">
      <w:pPr>
        <w:pStyle w:val="corpsdedcision"/>
      </w:pPr>
      <w:r w:rsidRPr="00B80B56">
        <w:t>L’article 271 de la Loi vise la lésion professionnelle qui ne rend pas le travailleur incapable d’exercer son emploi au</w:t>
      </w:r>
      <w:r>
        <w:t xml:space="preserve">-delà </w:t>
      </w:r>
      <w:r w:rsidRPr="00B80B56">
        <w:t>de la journée au cours de laquelle elle se manifeste.</w:t>
      </w:r>
    </w:p>
    <w:p w14:paraId="2A05646D" w14:textId="197D7C7D" w:rsidR="00B80B56" w:rsidRDefault="00B80B56" w:rsidP="00B80B56">
      <w:pPr>
        <w:pStyle w:val="corpsdedcision"/>
      </w:pPr>
      <w:r w:rsidRPr="00B80B56">
        <w:t>L’article 272 de la Loi vise spécifiquement le</w:t>
      </w:r>
      <w:r>
        <w:t xml:space="preserve"> délai </w:t>
      </w:r>
      <w:r w:rsidRPr="00B80B56">
        <w:t>applicable dans les cas de maladie professionnelle.  Dans le présent dossier, le travailleur ne prétend pas être atteint d’une maladie professionnelle.</w:t>
      </w:r>
    </w:p>
    <w:p w14:paraId="25ED486D" w14:textId="0F1800C5" w:rsidR="00942982" w:rsidRDefault="003454F3" w:rsidP="003454F3">
      <w:pPr>
        <w:pStyle w:val="corpsdedcision"/>
      </w:pPr>
      <w:r>
        <w:t>E</w:t>
      </w:r>
      <w:r w:rsidR="00B80B56">
        <w:t>n l’espèce</w:t>
      </w:r>
      <w:r>
        <w:t>,</w:t>
      </w:r>
      <w:r w:rsidR="00942982">
        <w:t xml:space="preserve"> </w:t>
      </w:r>
      <w:r w:rsidR="00AD0CE3">
        <w:t>au moment où le travailleur dépose sa réclamation, soit le 23</w:t>
      </w:r>
      <w:r w:rsidR="00C34793">
        <w:t> </w:t>
      </w:r>
      <w:r w:rsidR="00AD0CE3">
        <w:t>février</w:t>
      </w:r>
      <w:r w:rsidR="00C34793">
        <w:t> </w:t>
      </w:r>
      <w:r w:rsidR="00AD0CE3">
        <w:t xml:space="preserve">2023, </w:t>
      </w:r>
      <w:r w:rsidR="001C6A07" w:rsidRPr="001C6A07">
        <w:t xml:space="preserve">la lésion professionnelle ne </w:t>
      </w:r>
      <w:r w:rsidR="00AD0CE3">
        <w:t>le rend pas</w:t>
      </w:r>
      <w:r w:rsidR="001C6A07" w:rsidRPr="001C6A07">
        <w:t xml:space="preserve"> incapable d’exercer son emploi</w:t>
      </w:r>
      <w:r w:rsidR="00AD0CE3">
        <w:t xml:space="preserve"> au-delà de la journée au cours de laquelle elle s’est manifestée</w:t>
      </w:r>
      <w:r w:rsidR="001C6A07" w:rsidRPr="001C6A07">
        <w:t>.</w:t>
      </w:r>
      <w:r w:rsidR="00AD0CE3">
        <w:t xml:space="preserve"> C’est donc l’article 271 de la Loi qui s’applique.</w:t>
      </w:r>
    </w:p>
    <w:p w14:paraId="40AC0A4E" w14:textId="227660D1" w:rsidR="006F5C66" w:rsidRDefault="00681305" w:rsidP="003454F3">
      <w:pPr>
        <w:pStyle w:val="corpsdedcision"/>
      </w:pPr>
      <w:r>
        <w:t>L’interprétation de c</w:t>
      </w:r>
      <w:r w:rsidR="003454F3">
        <w:t>et article a fait couler beaucoup d’encre, particulièrement sur l</w:t>
      </w:r>
      <w:r w:rsidR="007315F8">
        <w:t>a</w:t>
      </w:r>
      <w:r w:rsidR="003454F3">
        <w:t xml:space="preserve"> question </w:t>
      </w:r>
      <w:r>
        <w:t xml:space="preserve">du </w:t>
      </w:r>
      <w:r w:rsidR="007315F8">
        <w:t xml:space="preserve">point de départ </w:t>
      </w:r>
      <w:r>
        <w:t>à retenir pour</w:t>
      </w:r>
      <w:r w:rsidR="007315F8">
        <w:t xml:space="preserve"> la computation du délai de six mois.</w:t>
      </w:r>
      <w:r w:rsidRPr="00681305">
        <w:rPr>
          <w:rFonts w:cs="Arial"/>
          <w:color w:val="000000"/>
        </w:rPr>
        <w:t xml:space="preserve"> Pour certains décideurs, le délai débute à compter de la date de la survenance de l’événement</w:t>
      </w:r>
      <w:r w:rsidR="00DF356E">
        <w:rPr>
          <w:rStyle w:val="FootnoteReference"/>
          <w:rFonts w:cs="Arial"/>
          <w:color w:val="000000"/>
        </w:rPr>
        <w:footnoteReference w:id="3"/>
      </w:r>
      <w:r w:rsidRPr="00681305">
        <w:rPr>
          <w:rFonts w:cs="Arial"/>
          <w:color w:val="000000"/>
        </w:rPr>
        <w:t>, pour d’autres</w:t>
      </w:r>
      <w:r w:rsidR="00C34793">
        <w:rPr>
          <w:rFonts w:cs="Arial"/>
          <w:color w:val="000000"/>
        </w:rPr>
        <w:t>,</w:t>
      </w:r>
      <w:r w:rsidRPr="00681305">
        <w:rPr>
          <w:rFonts w:cs="Arial"/>
          <w:color w:val="000000"/>
        </w:rPr>
        <w:t xml:space="preserve"> lorsque le travailleur a un intérêt réel et actuel à déposer une réclamation</w:t>
      </w:r>
      <w:r w:rsidR="00DF356E">
        <w:rPr>
          <w:rStyle w:val="FootnoteReference"/>
          <w:rFonts w:cs="Arial"/>
          <w:color w:val="000000"/>
        </w:rPr>
        <w:footnoteReference w:id="4"/>
      </w:r>
      <w:r w:rsidRPr="00681305">
        <w:rPr>
          <w:rFonts w:cs="Arial"/>
          <w:color w:val="000000"/>
        </w:rPr>
        <w:t>, alors que certains retiennent plutôt que c’est à partir du moment où la lésion est médicalement constatée</w:t>
      </w:r>
      <w:r w:rsidR="00DF356E">
        <w:rPr>
          <w:rStyle w:val="FootnoteReference"/>
          <w:rFonts w:cs="Arial"/>
          <w:color w:val="000000"/>
        </w:rPr>
        <w:footnoteReference w:id="5"/>
      </w:r>
      <w:r w:rsidR="005245C5">
        <w:rPr>
          <w:rFonts w:cs="Arial"/>
          <w:color w:val="000000"/>
        </w:rPr>
        <w:t xml:space="preserve"> que la computation du délai débute.</w:t>
      </w:r>
    </w:p>
    <w:p w14:paraId="42959F1A" w14:textId="31A585CA" w:rsidR="00823FE8" w:rsidRDefault="00DF356E" w:rsidP="004874BA">
      <w:pPr>
        <w:pStyle w:val="corpsdedcision"/>
        <w:keepNext/>
      </w:pPr>
      <w:r>
        <w:lastRenderedPageBreak/>
        <w:t>Le</w:t>
      </w:r>
      <w:r w:rsidR="007315F8">
        <w:t xml:space="preserve"> courant </w:t>
      </w:r>
      <w:r w:rsidR="00823FE8">
        <w:t xml:space="preserve">dorénavant </w:t>
      </w:r>
      <w:r w:rsidR="007315F8">
        <w:t>majoritaire</w:t>
      </w:r>
      <w:r>
        <w:t xml:space="preserve"> e</w:t>
      </w:r>
      <w:r w:rsidR="00AD0CE3">
        <w:t>s</w:t>
      </w:r>
      <w:r>
        <w:t>t celui où</w:t>
      </w:r>
      <w:r w:rsidR="00681305">
        <w:t xml:space="preserve"> le point de départ est la date de la survenance de la lésion professionnelle</w:t>
      </w:r>
      <w:r w:rsidR="00823FE8">
        <w:t xml:space="preserve">. </w:t>
      </w:r>
      <w:r w:rsidR="006F5C66">
        <w:t xml:space="preserve">La soussignée adhère </w:t>
      </w:r>
      <w:r w:rsidR="00823FE8">
        <w:t>à ce courant.</w:t>
      </w:r>
    </w:p>
    <w:p w14:paraId="273D3B01" w14:textId="0DBD1C4F" w:rsidR="006F5C66" w:rsidRDefault="006F5C66" w:rsidP="004874BA">
      <w:pPr>
        <w:pStyle w:val="corpsdedcision"/>
        <w:keepNext/>
      </w:pPr>
      <w:r>
        <w:t xml:space="preserve">Dans le présent dossier, </w:t>
      </w:r>
      <w:r w:rsidR="005245C5">
        <w:t>l’événement initial se produit le 28 septembre 2021 et l</w:t>
      </w:r>
      <w:r>
        <w:t>e</w:t>
      </w:r>
      <w:r w:rsidR="00B66029">
        <w:t xml:space="preserve"> travailleur </w:t>
      </w:r>
      <w:r>
        <w:t>produit sa réclamation presque 17 mois après sa blessure.</w:t>
      </w:r>
      <w:r w:rsidR="005245C5">
        <w:t xml:space="preserve"> Le hors délai est indéniable.</w:t>
      </w:r>
    </w:p>
    <w:p w14:paraId="0CEC2423" w14:textId="2542FFEA" w:rsidR="00511B73" w:rsidRDefault="00511B73" w:rsidP="00511B73">
      <w:pPr>
        <w:pStyle w:val="corpsdedcision"/>
        <w:tabs>
          <w:tab w:val="clear" w:pos="360"/>
        </w:tabs>
      </w:pPr>
      <w:r>
        <w:t xml:space="preserve">Le Tribunal doit donc se pencher sur les motifs au soutien de son retard afin de déterminer s’ils sont raisonnables et </w:t>
      </w:r>
      <w:r w:rsidR="00EF29F1">
        <w:t>s'ils permettent</w:t>
      </w:r>
      <w:r>
        <w:t xml:space="preserve"> </w:t>
      </w:r>
      <w:r w:rsidRPr="00CD725F">
        <w:t>de relever le</w:t>
      </w:r>
      <w:r>
        <w:t xml:space="preserve"> travailleur de son défaut </w:t>
      </w:r>
      <w:r w:rsidR="00C34793">
        <w:t xml:space="preserve">d’avoir </w:t>
      </w:r>
      <w:r>
        <w:t>dépos</w:t>
      </w:r>
      <w:r w:rsidR="00C34793">
        <w:t>é</w:t>
      </w:r>
      <w:r>
        <w:t xml:space="preserve"> sa réclamation dans le délai de six mois prescrit dans la Loi.</w:t>
      </w:r>
    </w:p>
    <w:p w14:paraId="0CC29CF9" w14:textId="3FB17A6B" w:rsidR="00E17DA4" w:rsidRPr="00E17DA4" w:rsidRDefault="00E17DA4" w:rsidP="004874BA">
      <w:pPr>
        <w:pStyle w:val="Heading3"/>
        <w:jc w:val="both"/>
      </w:pPr>
      <w:r w:rsidRPr="00E17DA4">
        <w:t>Le travailleur a-t-il démontré un motif raisonnable justifiant le dépôt de sa réclamation plus de six mois après son accident du travail?</w:t>
      </w:r>
    </w:p>
    <w:p w14:paraId="693275CF" w14:textId="3BDDD2F2" w:rsidR="00582FCB" w:rsidRPr="00A17F31" w:rsidRDefault="00582FCB" w:rsidP="00582FCB">
      <w:pPr>
        <w:pStyle w:val="corpsdedcision"/>
      </w:pPr>
      <w:r>
        <w:t xml:space="preserve">L’article 352 de la Loi permet de prolonger un délai que la Loi accorde ou de relever une personne des conséquences de son défaut de le respecter s’il est démontré que la demande de révision n’a pu être faite dans le délai prescrit pour un motif raisonnable. </w:t>
      </w:r>
    </w:p>
    <w:p w14:paraId="4FDE70BF" w14:textId="0759843F" w:rsidR="00582FCB" w:rsidRPr="001335FB" w:rsidRDefault="00582FCB" w:rsidP="00582FCB">
      <w:pPr>
        <w:pStyle w:val="corpsdedcision"/>
      </w:pPr>
      <w:r w:rsidRPr="001335FB">
        <w:t xml:space="preserve">La Loi ne définit pas la notion de </w:t>
      </w:r>
      <w:r w:rsidR="00C34793">
        <w:t>« </w:t>
      </w:r>
      <w:r w:rsidRPr="001335FB">
        <w:t>motif raisonnable</w:t>
      </w:r>
      <w:r w:rsidR="00C34793">
        <w:t> »</w:t>
      </w:r>
      <w:r w:rsidRPr="001335FB">
        <w:t xml:space="preserve">. Il s’agit d’une expression large qui laisse une grande discrétion au décideur qui doit examiner les circonstances propres à la situation qui lui est soumise. Le Tribunal doit </w:t>
      </w:r>
      <w:r w:rsidRPr="00142FA3">
        <w:rPr>
          <w:rStyle w:val="Citationintgre"/>
          <w:i w:val="0"/>
          <w:iCs/>
          <w:sz w:val="24"/>
          <w:szCs w:val="22"/>
        </w:rPr>
        <w:t>«</w:t>
      </w:r>
      <w:r w:rsidRPr="001335FB">
        <w:rPr>
          <w:rStyle w:val="Citationintgre"/>
        </w:rPr>
        <w:t> </w:t>
      </w:r>
      <w:r w:rsidRPr="00666972">
        <w:rPr>
          <w:rStyle w:val="Citationintgre"/>
        </w:rPr>
        <w:t>considérer un ensemble de facteurs susceptibles d’indiquer, à partir des faits, des démarches, des comportements, de la conjoncture, des circonstances, etc., si une personne a un motif non farfelu, crédible et qui fait preuve de bon sens, de mesure et de réflexion</w:t>
      </w:r>
      <w:r>
        <w:rPr>
          <w:rStyle w:val="Citationintgre"/>
        </w:rPr>
        <w:t> </w:t>
      </w:r>
      <w:r w:rsidRPr="00142FA3">
        <w:rPr>
          <w:rStyle w:val="Citationintgre"/>
          <w:i w:val="0"/>
          <w:iCs/>
          <w:sz w:val="24"/>
          <w:szCs w:val="22"/>
        </w:rPr>
        <w:t>»</w:t>
      </w:r>
      <w:r w:rsidRPr="00142FA3">
        <w:rPr>
          <w:rStyle w:val="FootnoteReference"/>
          <w:iCs/>
          <w:sz w:val="22"/>
        </w:rPr>
        <w:footnoteReference w:id="6"/>
      </w:r>
      <w:r>
        <w:t>.</w:t>
      </w:r>
    </w:p>
    <w:p w14:paraId="23983478" w14:textId="77777777" w:rsidR="00582FCB" w:rsidRPr="001335FB" w:rsidRDefault="00582FCB" w:rsidP="00582FCB">
      <w:pPr>
        <w:pStyle w:val="corpsdedcision"/>
        <w:rPr>
          <w:rFonts w:cs="Arial"/>
        </w:rPr>
      </w:pPr>
      <w:r w:rsidRPr="001335FB">
        <w:t>L’étude</w:t>
      </w:r>
      <w:r w:rsidRPr="001335FB">
        <w:rPr>
          <w:rFonts w:cs="Arial"/>
        </w:rPr>
        <w:t xml:space="preserve"> des circonstances propres à chaque dossier inclut les démarches effectuées par le justiciable, son comportement, l’importance de son intérêt et la conjoncture. La prudence et la diligence dont fait preuve la partie qui demande d’être relevée de son défaut doi</w:t>
      </w:r>
      <w:r>
        <w:rPr>
          <w:rFonts w:cs="Arial"/>
        </w:rPr>
        <w:t>vent</w:t>
      </w:r>
      <w:r w:rsidRPr="001335FB">
        <w:rPr>
          <w:rFonts w:cs="Arial"/>
        </w:rPr>
        <w:t xml:space="preserve"> aussi être appréciée</w:t>
      </w:r>
      <w:r>
        <w:rPr>
          <w:rFonts w:cs="Arial"/>
        </w:rPr>
        <w:t>s</w:t>
      </w:r>
      <w:r w:rsidRPr="001335FB">
        <w:rPr>
          <w:rFonts w:cs="Arial"/>
        </w:rPr>
        <w:t xml:space="preserve">. </w:t>
      </w:r>
    </w:p>
    <w:p w14:paraId="21219458" w14:textId="77777777" w:rsidR="00582FCB" w:rsidRPr="00AC578F" w:rsidRDefault="00582FCB" w:rsidP="00582FCB">
      <w:pPr>
        <w:pStyle w:val="corpsdedcision"/>
        <w:rPr>
          <w:sz w:val="22"/>
          <w:szCs w:val="24"/>
        </w:rPr>
      </w:pPr>
      <w:r w:rsidRPr="001335FB">
        <w:t xml:space="preserve">La notion de diligence raisonnable est définie comme suit par l’Office québécois de la langue française : </w:t>
      </w:r>
      <w:r w:rsidRPr="00142FA3">
        <w:rPr>
          <w:rStyle w:val="Citationintgre"/>
          <w:i w:val="0"/>
          <w:iCs/>
          <w:sz w:val="24"/>
          <w:szCs w:val="22"/>
        </w:rPr>
        <w:t>«</w:t>
      </w:r>
      <w:r w:rsidRPr="001335FB">
        <w:rPr>
          <w:rStyle w:val="Citationintgre"/>
        </w:rPr>
        <w:t> </w:t>
      </w:r>
      <w:r w:rsidRPr="00666972">
        <w:rPr>
          <w:rStyle w:val="Citationintgre"/>
        </w:rPr>
        <w:t>Degré de prudence, d’activité, de réaction et d’attention auquel on peut à bon droit s’attendre de la part d’une personne raisonnable et prudente et dont fait preuve cette personne dans une situation donnée</w:t>
      </w:r>
      <w:r w:rsidRPr="001335FB">
        <w:rPr>
          <w:rStyle w:val="Citationintgre"/>
        </w:rPr>
        <w:t> </w:t>
      </w:r>
      <w:r w:rsidRPr="00142FA3">
        <w:rPr>
          <w:rStyle w:val="Citationintgre"/>
          <w:i w:val="0"/>
          <w:iCs/>
          <w:sz w:val="24"/>
          <w:szCs w:val="22"/>
        </w:rPr>
        <w:t>»</w:t>
      </w:r>
      <w:r>
        <w:rPr>
          <w:rStyle w:val="Citationintgre"/>
          <w:i w:val="0"/>
          <w:iCs/>
          <w:sz w:val="24"/>
          <w:szCs w:val="22"/>
        </w:rPr>
        <w:t>.</w:t>
      </w:r>
      <w:r w:rsidRPr="001335FB">
        <w:rPr>
          <w:rStyle w:val="Citationintgre"/>
          <w:iCs/>
        </w:rPr>
        <w:t xml:space="preserve">  </w:t>
      </w:r>
    </w:p>
    <w:p w14:paraId="2044C904" w14:textId="77777777" w:rsidR="00582FCB" w:rsidRPr="001335FB" w:rsidRDefault="00582FCB" w:rsidP="004874BA">
      <w:pPr>
        <w:pStyle w:val="corpsdedcision"/>
        <w:keepNext/>
        <w:keepLines/>
      </w:pPr>
      <w:r>
        <w:lastRenderedPageBreak/>
        <w:t>Finalement, d</w:t>
      </w:r>
      <w:r w:rsidRPr="001335FB">
        <w:t>ans son appréciation de la preuve, le Tribunal doit tenir compte du caractère social de la Loi. L’exercice des droits des justiciables doit être favorisé, non la rigidité et le formalisme</w:t>
      </w:r>
      <w:r w:rsidRPr="001335FB">
        <w:rPr>
          <w:rStyle w:val="FootnoteReference"/>
        </w:rPr>
        <w:footnoteReference w:id="7"/>
      </w:r>
      <w:r w:rsidRPr="001335FB">
        <w:t>. De plus, une interprétation large et libérale doit être privilégiée, comme l’indique la Cour d’appel du Québec</w:t>
      </w:r>
      <w:r w:rsidRPr="001335FB">
        <w:rPr>
          <w:rStyle w:val="FootnoteReference"/>
          <w:rFonts w:cs="Arial"/>
          <w:color w:val="000000"/>
        </w:rPr>
        <w:footnoteReference w:id="8"/>
      </w:r>
      <w:r>
        <w:t> </w:t>
      </w:r>
      <w:r>
        <w:rPr>
          <w:rFonts w:cs="Arial"/>
          <w:color w:val="000000"/>
          <w:sz w:val="20"/>
        </w:rPr>
        <w:t>:</w:t>
      </w:r>
    </w:p>
    <w:p w14:paraId="09E05827" w14:textId="4A9A6026" w:rsidR="00582FCB" w:rsidRPr="000E1A84" w:rsidRDefault="00582FCB" w:rsidP="004874BA">
      <w:pPr>
        <w:pStyle w:val="citation"/>
        <w:keepNext/>
        <w:keepLines/>
      </w:pPr>
      <w:r>
        <w:t>[</w:t>
      </w:r>
      <w:r w:rsidRPr="00666972">
        <w:t>2</w:t>
      </w:r>
      <w:r>
        <w:t>4</w:t>
      </w:r>
      <w:r w:rsidRPr="00666972">
        <w:t>]</w:t>
      </w:r>
      <w:r>
        <w:tab/>
      </w:r>
      <w:r w:rsidR="00C34793">
        <w:t>[...]</w:t>
      </w:r>
      <w:r>
        <w:t xml:space="preserve"> Rappelons que l’article premier de la LATMP précise que celle-ci a pour objet « la réparation des lésions professionnelles et des conséquences qu’elles entraînent pour les bénéficiaires ». Notre Cour a reconnu que la LATMP est une « législation d’ordre public à vocation hautement sociales »</w:t>
      </w:r>
      <w:r w:rsidR="00C34793" w:rsidRPr="004874BA">
        <w:rPr>
          <w:vertAlign w:val="superscript"/>
        </w:rPr>
        <w:t>25</w:t>
      </w:r>
      <w:r>
        <w:t xml:space="preserve"> ayant un « but réparateur »</w:t>
      </w:r>
      <w:r w:rsidR="00C34793" w:rsidRPr="004874BA">
        <w:rPr>
          <w:vertAlign w:val="superscript"/>
        </w:rPr>
        <w:t>26</w:t>
      </w:r>
      <w:r>
        <w:t xml:space="preserve"> et qu’elle doit par conséquent recevoir une interprétation large et libérale</w:t>
      </w:r>
      <w:r w:rsidR="00C34793" w:rsidRPr="004874BA">
        <w:rPr>
          <w:vertAlign w:val="superscript"/>
        </w:rPr>
        <w:t>27</w:t>
      </w:r>
      <w:r>
        <w:t xml:space="preserve">. Dans l’arrêt </w:t>
      </w:r>
      <w:r>
        <w:rPr>
          <w:i/>
          <w:iCs/>
        </w:rPr>
        <w:t>Boissonneault</w:t>
      </w:r>
      <w:r>
        <w:t xml:space="preserve">, lequel recèle une similarité factuelle avec le dossier et l’espèce et à laquelle le TAT-1 ne réfère aucunement, la Cour ajoute, dans le contexte précisément de l’interprétation des articles 272 et 352 LATMP, </w:t>
      </w:r>
      <w:proofErr w:type="gramStart"/>
      <w:r>
        <w:t>qu’ </w:t>
      </w:r>
      <w:r w:rsidR="00C34793">
        <w:t>«</w:t>
      </w:r>
      <w:proofErr w:type="gramEnd"/>
      <w:r w:rsidR="00C34793">
        <w:t> </w:t>
      </w:r>
      <w:r>
        <w:t>[…] en matière de déchéance de droit, il paraît raisonnable d’interpréter les dispositions de la loi de manière à protéger les droits du justiciable »</w:t>
      </w:r>
      <w:r w:rsidR="00C34793" w:rsidRPr="00DC50F9">
        <w:rPr>
          <w:vertAlign w:val="superscript"/>
        </w:rPr>
        <w:t>28</w:t>
      </w:r>
      <w:r>
        <w:t>.</w:t>
      </w:r>
    </w:p>
    <w:p w14:paraId="7EA27E65" w14:textId="77777777" w:rsidR="00582FCB" w:rsidRDefault="00582FCB" w:rsidP="00582FCB">
      <w:pPr>
        <w:pStyle w:val="citation"/>
      </w:pPr>
    </w:p>
    <w:p w14:paraId="3AD7EBAB" w14:textId="77777777" w:rsidR="00582FCB" w:rsidRPr="00142FA3" w:rsidRDefault="00582FCB" w:rsidP="00582FCB">
      <w:pPr>
        <w:pStyle w:val="citation"/>
        <w:rPr>
          <w:sz w:val="24"/>
          <w:szCs w:val="24"/>
        </w:rPr>
      </w:pPr>
      <w:r w:rsidRPr="00142FA3">
        <w:rPr>
          <w:sz w:val="24"/>
          <w:szCs w:val="24"/>
        </w:rPr>
        <w:t>[Notes omises]</w:t>
      </w:r>
    </w:p>
    <w:p w14:paraId="0878C615" w14:textId="77777777" w:rsidR="00582FCB" w:rsidRPr="00666972" w:rsidRDefault="00582FCB" w:rsidP="00582FCB">
      <w:pPr>
        <w:pStyle w:val="citation"/>
      </w:pPr>
    </w:p>
    <w:p w14:paraId="1C53C7A2" w14:textId="77777777" w:rsidR="00582FCB" w:rsidRPr="001335FB" w:rsidRDefault="00582FCB" w:rsidP="00582FCB">
      <w:pPr>
        <w:pStyle w:val="citation"/>
      </w:pPr>
    </w:p>
    <w:p w14:paraId="551E4793" w14:textId="5F4B7715" w:rsidR="00582FCB" w:rsidRPr="00232BA1" w:rsidRDefault="00582FCB" w:rsidP="00582FCB">
      <w:pPr>
        <w:pStyle w:val="corpsdedcision"/>
        <w:rPr>
          <w:rFonts w:cs="Arial"/>
        </w:rPr>
      </w:pPr>
      <w:r>
        <w:t>Ces principes doivent demeurer un guide dans l’analyse du caractère raisonnable du motif allégué par la partie qui demande d’être relevée de son défaut</w:t>
      </w:r>
      <w:bookmarkStart w:id="12" w:name="_Hlk169869737"/>
      <w:r w:rsidR="00EF29F1">
        <w:t xml:space="preserve">, </w:t>
      </w:r>
      <w:r>
        <w:t>car l</w:t>
      </w:r>
      <w:r w:rsidRPr="00232BA1">
        <w:rPr>
          <w:rFonts w:cs="Arial"/>
        </w:rPr>
        <w:t>es conclusions que tire le Tribunal des éléments analysés ne peuvent pas être arbitraires ou basées sur la sympathie qu’ils peuvent attirer.</w:t>
      </w:r>
    </w:p>
    <w:bookmarkEnd w:id="12"/>
    <w:p w14:paraId="05ACB550" w14:textId="77777777" w:rsidR="00582FCB" w:rsidRPr="00AC578F" w:rsidRDefault="00582FCB" w:rsidP="00582FCB">
      <w:pPr>
        <w:pStyle w:val="corpsdedcision"/>
        <w:tabs>
          <w:tab w:val="num" w:pos="720"/>
        </w:tabs>
      </w:pPr>
      <w:r>
        <w:t>Comme chaque cas est un cas d’espèce, l</w:t>
      </w:r>
      <w:r w:rsidRPr="00AC578F">
        <w:t xml:space="preserve">e Tribunal </w:t>
      </w:r>
      <w:r>
        <w:t>doit analyser</w:t>
      </w:r>
      <w:r w:rsidRPr="00AC578F">
        <w:t xml:space="preserve"> les circonstances </w:t>
      </w:r>
      <w:r>
        <w:t>propres à ce dossier</w:t>
      </w:r>
      <w:r w:rsidRPr="00AC578F">
        <w:t xml:space="preserve"> afin de déterminer si les motifs invoqués </w:t>
      </w:r>
      <w:r>
        <w:t xml:space="preserve">par le travailleur </w:t>
      </w:r>
      <w:r w:rsidRPr="00AC578F">
        <w:t>pour justifier son retard sont raisonnables et s’il a fait preuve de diligence. En effet, la négligence d’une partie ne peut être sanctionnée.</w:t>
      </w:r>
    </w:p>
    <w:p w14:paraId="58FFD245" w14:textId="2D2AD745" w:rsidR="00582FCB" w:rsidRDefault="00582FCB" w:rsidP="00582FCB">
      <w:pPr>
        <w:pStyle w:val="corpsdedcision"/>
      </w:pPr>
      <w:r>
        <w:t>Le travailleur plaide l’ignorance de la gravité de sa blessure. Il allègue que c’est le 23 février 2023 qu’il en est informé alors qu’il apprend qu’une chirurgie sera nécessaire et qu’il aura besoin d’un arrêt de travail. Avant l’obtention de cette information, il n’avait aucun intérêt à faire une réclamation.</w:t>
      </w:r>
    </w:p>
    <w:p w14:paraId="37A49A0D" w14:textId="5F48AC6F" w:rsidR="00442660" w:rsidRDefault="00FF777A" w:rsidP="004C2944">
      <w:pPr>
        <w:pStyle w:val="corpsdedcision"/>
      </w:pPr>
      <w:r>
        <w:t>L</w:t>
      </w:r>
      <w:r w:rsidR="00E64817">
        <w:t xml:space="preserve">e travailleur explique qu’il ne fait pas de réclamation à la Commission </w:t>
      </w:r>
      <w:r>
        <w:t xml:space="preserve">immédiatement suivant son accident </w:t>
      </w:r>
      <w:r w:rsidR="00EB64A7">
        <w:t>du travail</w:t>
      </w:r>
      <w:r w:rsidR="00EF29F1">
        <w:t xml:space="preserve">, </w:t>
      </w:r>
      <w:r w:rsidR="00E64817">
        <w:t xml:space="preserve">car sa blessure est </w:t>
      </w:r>
      <w:r w:rsidR="00442660">
        <w:t>« </w:t>
      </w:r>
      <w:r w:rsidR="00442660" w:rsidRPr="00442660">
        <w:rPr>
          <w:rStyle w:val="Citationintgre"/>
        </w:rPr>
        <w:t>juste une petite</w:t>
      </w:r>
      <w:r w:rsidR="00E64817" w:rsidRPr="00442660">
        <w:rPr>
          <w:rStyle w:val="Citationintgre"/>
        </w:rPr>
        <w:t xml:space="preserve"> tendinite</w:t>
      </w:r>
      <w:r w:rsidR="00442660">
        <w:t> »</w:t>
      </w:r>
      <w:r w:rsidR="00E64817">
        <w:t xml:space="preserve"> qui ne l’empêche pas de travailler. </w:t>
      </w:r>
    </w:p>
    <w:p w14:paraId="7C4B8A69" w14:textId="50E5B562" w:rsidR="00E64817" w:rsidRDefault="00E64817" w:rsidP="004874BA">
      <w:pPr>
        <w:pStyle w:val="corpsdedcision"/>
        <w:keepNext/>
        <w:keepLines/>
      </w:pPr>
      <w:r>
        <w:lastRenderedPageBreak/>
        <w:t xml:space="preserve">Il décrit son rôle chez l’employeur </w:t>
      </w:r>
      <w:r w:rsidR="00442660">
        <w:t>lequel</w:t>
      </w:r>
      <w:r>
        <w:t xml:space="preserve"> consiste à assurer la conformité. Il s’occupe donc de la formation des employés, </w:t>
      </w:r>
      <w:r w:rsidR="00A24F19">
        <w:t>d</w:t>
      </w:r>
      <w:r>
        <w:t>es permis de conduire et de l’état des véhicules. Il divise son temps entre le bureau et la cour de l’établissement.</w:t>
      </w:r>
      <w:r w:rsidR="00A24F19">
        <w:t xml:space="preserve"> </w:t>
      </w:r>
      <w:r>
        <w:t>Pendant les deux semaines suivant sa blessure, il exécute d</w:t>
      </w:r>
      <w:r w:rsidR="00A24F19">
        <w:t>u</w:t>
      </w:r>
      <w:r>
        <w:t xml:space="preserve"> travail de bureau exclusivement. Ensuite, il reprend ses tâches habituelles.</w:t>
      </w:r>
    </w:p>
    <w:p w14:paraId="66B65EE8" w14:textId="20A69026" w:rsidR="00881687" w:rsidRDefault="00EB64A7" w:rsidP="00881687">
      <w:pPr>
        <w:pStyle w:val="corpsdedcision"/>
      </w:pPr>
      <w:r>
        <w:t>Selon son témoignage,</w:t>
      </w:r>
      <w:r w:rsidR="00881687">
        <w:t xml:space="preserve"> sa blessure ne lui occasionne aucune dépense. Le </w:t>
      </w:r>
      <w:proofErr w:type="spellStart"/>
      <w:r w:rsidR="00955DFC" w:rsidRPr="004874BA">
        <w:rPr>
          <w:i/>
          <w:iCs/>
        </w:rPr>
        <w:t>V</w:t>
      </w:r>
      <w:r w:rsidR="00881687" w:rsidRPr="004874BA">
        <w:rPr>
          <w:i/>
          <w:iCs/>
        </w:rPr>
        <w:t>oltaren</w:t>
      </w:r>
      <w:proofErr w:type="spellEnd"/>
      <w:r w:rsidR="00881687">
        <w:t xml:space="preserve"> prescrit pa</w:t>
      </w:r>
      <w:r w:rsidR="00244939">
        <w:t xml:space="preserve">r </w:t>
      </w:r>
      <w:r w:rsidR="00881687">
        <w:t>son médecin est entièrement couvert par ses assurances</w:t>
      </w:r>
      <w:r w:rsidR="00955DFC">
        <w:t>.</w:t>
      </w:r>
      <w:r w:rsidR="00881687">
        <w:t xml:space="preserve"> Il ne s’absente pas du travail, n’utilise pas ses congés sociaux ou ses vacances pour consulter un </w:t>
      </w:r>
      <w:r>
        <w:t>professionnel de la santé</w:t>
      </w:r>
      <w:r w:rsidR="00881687">
        <w:t xml:space="preserve"> et ne fait aucun traitement de physiothérapie avant son opération.</w:t>
      </w:r>
    </w:p>
    <w:p w14:paraId="4E3A6D0F" w14:textId="1F36811F" w:rsidR="00881687" w:rsidRDefault="00881687" w:rsidP="00881687">
      <w:pPr>
        <w:pStyle w:val="corpsdedcision"/>
      </w:pPr>
      <w:r>
        <w:t>Force est d’admettre que dans ce contexte, le travailleur n’a pas d’intérêt à produire une réclamation à la Commission avant d’apprendre qu’il devra être en arrêt de travail pour subir une opération.</w:t>
      </w:r>
    </w:p>
    <w:p w14:paraId="35C3C1C7" w14:textId="1FE467F0" w:rsidR="00BD3D9E" w:rsidRDefault="000D2787" w:rsidP="00E64817">
      <w:pPr>
        <w:pStyle w:val="corpsdedcision"/>
      </w:pPr>
      <w:r>
        <w:t>L</w:t>
      </w:r>
      <w:r w:rsidR="00463CF0">
        <w:t>a jurisprudence du Tribunal</w:t>
      </w:r>
      <w:r w:rsidR="00777DF1">
        <w:rPr>
          <w:rStyle w:val="FootnoteReference"/>
        </w:rPr>
        <w:footnoteReference w:id="9"/>
      </w:r>
      <w:r>
        <w:t xml:space="preserve"> a reconnu à maintes reprises que l’absence d’un réel intérêt pécuni</w:t>
      </w:r>
      <w:r w:rsidR="00EF29F1">
        <w:t>aire</w:t>
      </w:r>
      <w:r>
        <w:t xml:space="preserve"> à produire une réclamation à la Commission peut représenter un motif raisonnable au sens de l’article 352 de la Loi. </w:t>
      </w:r>
    </w:p>
    <w:p w14:paraId="5D1CC76E" w14:textId="65176C62" w:rsidR="006F1D96" w:rsidRDefault="006F1D96" w:rsidP="00E64817">
      <w:pPr>
        <w:pStyle w:val="corpsdedcision"/>
      </w:pPr>
      <w:r>
        <w:t>Du moment qu’il est informé de</w:t>
      </w:r>
      <w:r w:rsidR="009B57CE">
        <w:t xml:space="preserve"> la gravité de sa blessure par la docteure Hinse, </w:t>
      </w:r>
      <w:r w:rsidR="00881687">
        <w:t>le travailleur</w:t>
      </w:r>
      <w:r w:rsidR="00EB64A7">
        <w:t xml:space="preserve"> a un intérêt à produire une réclamation à la Commission. Il produit celle-ci</w:t>
      </w:r>
      <w:r w:rsidR="009B57CE">
        <w:t xml:space="preserve"> immédiatement</w:t>
      </w:r>
      <w:r w:rsidR="009B57CE">
        <w:rPr>
          <w:rStyle w:val="FootnoteReference"/>
        </w:rPr>
        <w:footnoteReference w:id="10"/>
      </w:r>
      <w:r w:rsidR="009B57CE">
        <w:t>. Le Tribunal considère qu’il agit diligemment en s’exécutant aussitôt.</w:t>
      </w:r>
    </w:p>
    <w:p w14:paraId="2D80D4B7" w14:textId="187433DD" w:rsidR="00881687" w:rsidRDefault="00881687" w:rsidP="00881687">
      <w:pPr>
        <w:pStyle w:val="corpsdedcision"/>
      </w:pPr>
      <w:r>
        <w:t>En définitive, le travailleur est crédible</w:t>
      </w:r>
      <w:r w:rsidR="00010F48">
        <w:t>,</w:t>
      </w:r>
      <w:r>
        <w:t xml:space="preserve"> </w:t>
      </w:r>
      <w:r w:rsidR="00955DFC">
        <w:t>appuie</w:t>
      </w:r>
      <w:r>
        <w:t xml:space="preserve"> les explications de son retard d’une preuve convaincante et s’est déchargé de son fardeau.</w:t>
      </w:r>
      <w:r w:rsidR="00EB64A7">
        <w:t xml:space="preserve"> Le fait d’avoir attendu qu’une chirurgie soit devenue nécessaire avant de produire sa réclamation à la Commission</w:t>
      </w:r>
      <w:r>
        <w:t xml:space="preserve"> </w:t>
      </w:r>
      <w:r w:rsidR="00EB64A7">
        <w:t>constitue</w:t>
      </w:r>
      <w:r>
        <w:t xml:space="preserve"> un motif raisonnable justifiant la production de </w:t>
      </w:r>
      <w:r w:rsidR="00EB64A7">
        <w:t xml:space="preserve">celle-ci </w:t>
      </w:r>
      <w:r>
        <w:t xml:space="preserve">à l’extérieur du délai prévu à l’article 271 de la Loi.  </w:t>
      </w:r>
    </w:p>
    <w:p w14:paraId="680CCE24" w14:textId="35446E31" w:rsidR="00881687" w:rsidRPr="00A3625C" w:rsidRDefault="00881687" w:rsidP="00515EEE">
      <w:pPr>
        <w:pStyle w:val="corpsdedcision"/>
        <w:rPr>
          <w:rStyle w:val="Citationintgre"/>
        </w:rPr>
      </w:pPr>
      <w:r>
        <w:t xml:space="preserve"> La Loi revêt un caractère social. Son objectif vise à réparer les lésions professionnelles et les conséquences qui en découlent. Par conséquent, il serait contraire à l’essence de la Loi de faire perdre les droits </w:t>
      </w:r>
      <w:r w:rsidR="00515EEE">
        <w:t>du travailleur</w:t>
      </w:r>
      <w:r w:rsidR="00EF29F1">
        <w:t xml:space="preserve">, </w:t>
      </w:r>
      <w:r w:rsidR="00515EEE">
        <w:t>car il a attendu la nécessité de s’absenter du travail pour produire sa réclamation.</w:t>
      </w:r>
    </w:p>
    <w:p w14:paraId="6BC9885A" w14:textId="1D442EAF" w:rsidR="00881687" w:rsidRDefault="00515EEE" w:rsidP="004874BA">
      <w:pPr>
        <w:pStyle w:val="corpsdedcision"/>
        <w:keepNext/>
      </w:pPr>
      <w:r>
        <w:lastRenderedPageBreak/>
        <w:t>En conséquence, l</w:t>
      </w:r>
      <w:r w:rsidR="00955DFC">
        <w:t>e</w:t>
      </w:r>
      <w:r>
        <w:t xml:space="preserve"> Tribunal conclut que la réclamation du travailleur est recevable.</w:t>
      </w:r>
    </w:p>
    <w:p w14:paraId="1C225B68" w14:textId="77777777" w:rsidR="00C74B6F" w:rsidRDefault="00C74B6F" w:rsidP="004874BA">
      <w:pPr>
        <w:pStyle w:val="Dispositif"/>
        <w:keepNext/>
      </w:pPr>
      <w:r>
        <w:rPr>
          <w:b/>
        </w:rPr>
        <w:t>P</w:t>
      </w:r>
      <w:r w:rsidR="00401325">
        <w:rPr>
          <w:b/>
        </w:rPr>
        <w:t>AR</w:t>
      </w:r>
      <w:r w:rsidR="00D07FA6">
        <w:rPr>
          <w:b/>
        </w:rPr>
        <w:t xml:space="preserve"> CES MOTIFS, LE TRIBUNAL ADMINISTRATIF DU TRAVAIL</w:t>
      </w:r>
      <w:r>
        <w:rPr>
          <w:b/>
        </w:rPr>
        <w:t> :</w:t>
      </w:r>
    </w:p>
    <w:p w14:paraId="6AB3687A" w14:textId="77777777" w:rsidR="00515EEE" w:rsidRDefault="00515EEE" w:rsidP="004874BA">
      <w:pPr>
        <w:pStyle w:val="corpsdedcision"/>
        <w:keepNext/>
        <w:numPr>
          <w:ilvl w:val="0"/>
          <w:numId w:val="0"/>
        </w:numPr>
        <w:rPr>
          <w:bCs/>
        </w:rPr>
      </w:pPr>
      <w:r>
        <w:rPr>
          <w:b/>
        </w:rPr>
        <w:t xml:space="preserve">DÉCLARE </w:t>
      </w:r>
      <w:r>
        <w:rPr>
          <w:bCs/>
        </w:rPr>
        <w:t xml:space="preserve">recevable la réclamation du travailleur, monsieur </w:t>
      </w:r>
      <w:proofErr w:type="spellStart"/>
      <w:r>
        <w:rPr>
          <w:bCs/>
        </w:rPr>
        <w:t>Dominic</w:t>
      </w:r>
      <w:proofErr w:type="spellEnd"/>
      <w:r>
        <w:rPr>
          <w:bCs/>
        </w:rPr>
        <w:t xml:space="preserve"> Drolet;</w:t>
      </w:r>
    </w:p>
    <w:p w14:paraId="30E89C15" w14:textId="5BBFC418" w:rsidR="00B8166A" w:rsidRPr="00D55B65" w:rsidRDefault="00B8166A" w:rsidP="004874BA">
      <w:pPr>
        <w:pStyle w:val="Dispositif"/>
        <w:keepNext/>
      </w:pPr>
      <w:r w:rsidRPr="00D55B65">
        <w:rPr>
          <w:b/>
        </w:rPr>
        <w:t>CONVOQUERA</w:t>
      </w:r>
      <w:r w:rsidRPr="00D55B65">
        <w:t xml:space="preserve"> les parties à une audience </w:t>
      </w:r>
      <w:r w:rsidR="00EF29F1">
        <w:t xml:space="preserve">portant </w:t>
      </w:r>
      <w:r w:rsidRPr="00D55B65">
        <w:t>sur le fond de la contestation</w:t>
      </w:r>
      <w:r w:rsidR="00515EEE">
        <w:t>.</w:t>
      </w:r>
    </w:p>
    <w:p w14:paraId="00308F98" w14:textId="77777777" w:rsidR="00C74B6F" w:rsidRDefault="00C74B6F" w:rsidP="004874BA">
      <w:pPr>
        <w:pStyle w:val="Dispositif"/>
        <w:keepNext/>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14:paraId="48A1C453" w14:textId="77777777">
        <w:tc>
          <w:tcPr>
            <w:tcW w:w="4795" w:type="dxa"/>
          </w:tcPr>
          <w:p w14:paraId="62015E68" w14:textId="77777777" w:rsidR="00C74B6F" w:rsidRDefault="00C74B6F" w:rsidP="004874BA">
            <w:pPr>
              <w:keepNext/>
            </w:pPr>
          </w:p>
        </w:tc>
        <w:tc>
          <w:tcPr>
            <w:tcW w:w="4795" w:type="dxa"/>
          </w:tcPr>
          <w:p w14:paraId="698FB1B8" w14:textId="77777777" w:rsidR="00C74B6F" w:rsidRDefault="00C74B6F" w:rsidP="004874BA">
            <w:pPr>
              <w:keepNext/>
            </w:pPr>
            <w:bookmarkStart w:id="13" w:name="signature"/>
            <w:bookmarkEnd w:id="13"/>
            <w:r>
              <w:t>__________________________________</w:t>
            </w:r>
          </w:p>
        </w:tc>
      </w:tr>
      <w:tr w:rsidR="00C74B6F" w14:paraId="2DF810D0" w14:textId="77777777">
        <w:tc>
          <w:tcPr>
            <w:tcW w:w="4795" w:type="dxa"/>
          </w:tcPr>
          <w:p w14:paraId="00F56DE3" w14:textId="77777777" w:rsidR="00C74B6F" w:rsidRDefault="00C74B6F" w:rsidP="004874BA">
            <w:pPr>
              <w:keepNext/>
            </w:pPr>
          </w:p>
        </w:tc>
        <w:tc>
          <w:tcPr>
            <w:tcW w:w="4795" w:type="dxa"/>
          </w:tcPr>
          <w:p w14:paraId="628546C0" w14:textId="32C8B5C3" w:rsidR="00C74B6F" w:rsidRDefault="00915710" w:rsidP="004874BA">
            <w:pPr>
              <w:keepNext/>
            </w:pPr>
            <w:r>
              <w:t>Emmanuelle de Champlain</w:t>
            </w:r>
          </w:p>
        </w:tc>
      </w:tr>
      <w:tr w:rsidR="00C74B6F" w14:paraId="2DD448F2" w14:textId="77777777">
        <w:trPr>
          <w:cantSplit/>
        </w:trPr>
        <w:tc>
          <w:tcPr>
            <w:tcW w:w="9590" w:type="dxa"/>
            <w:gridSpan w:val="2"/>
          </w:tcPr>
          <w:p w14:paraId="20A9D16F" w14:textId="77777777" w:rsidR="00C74B6F" w:rsidRDefault="00C74B6F" w:rsidP="004874BA">
            <w:pPr>
              <w:keepNext/>
            </w:pPr>
          </w:p>
        </w:tc>
      </w:tr>
      <w:tr w:rsidR="00C74B6F" w14:paraId="314F43DE" w14:textId="77777777">
        <w:trPr>
          <w:cantSplit/>
        </w:trPr>
        <w:tc>
          <w:tcPr>
            <w:tcW w:w="9590" w:type="dxa"/>
            <w:gridSpan w:val="2"/>
          </w:tcPr>
          <w:p w14:paraId="43FF398A" w14:textId="77777777" w:rsidR="00C74B6F" w:rsidRPr="00C912F9" w:rsidRDefault="00C74B6F" w:rsidP="004874BA">
            <w:pPr>
              <w:keepNext/>
              <w:tabs>
                <w:tab w:val="left" w:pos="1592"/>
              </w:tabs>
            </w:pPr>
          </w:p>
        </w:tc>
      </w:tr>
      <w:tr w:rsidR="00C74B6F" w14:paraId="09244F53" w14:textId="77777777">
        <w:trPr>
          <w:cantSplit/>
        </w:trPr>
        <w:tc>
          <w:tcPr>
            <w:tcW w:w="9590" w:type="dxa"/>
            <w:gridSpan w:val="2"/>
          </w:tcPr>
          <w:p w14:paraId="48EB623B" w14:textId="77777777" w:rsidR="00C74B6F" w:rsidRDefault="00C74B6F" w:rsidP="004874BA">
            <w:pPr>
              <w:keepNext/>
            </w:pPr>
          </w:p>
        </w:tc>
      </w:tr>
      <w:tr w:rsidR="00861F8B" w14:paraId="18FAAAEF" w14:textId="77777777">
        <w:trPr>
          <w:cantSplit/>
        </w:trPr>
        <w:tc>
          <w:tcPr>
            <w:tcW w:w="9590" w:type="dxa"/>
            <w:gridSpan w:val="2"/>
          </w:tcPr>
          <w:p w14:paraId="5103C71E" w14:textId="54FA5BAF" w:rsidR="00596AB2" w:rsidRPr="00596AB2" w:rsidRDefault="00915710" w:rsidP="00596AB2">
            <w:r>
              <w:t>M.</w:t>
            </w:r>
            <w:r w:rsidR="00F30267">
              <w:t xml:space="preserve"> </w:t>
            </w:r>
            <w:r w:rsidRPr="00915710">
              <w:rPr>
                <w:lang w:val="en-CA"/>
              </w:rPr>
              <w:t>Dominic Drolet</w:t>
            </w:r>
          </w:p>
        </w:tc>
      </w:tr>
      <w:tr w:rsidR="00861F8B" w14:paraId="32EC5AC6" w14:textId="77777777">
        <w:trPr>
          <w:cantSplit/>
        </w:trPr>
        <w:tc>
          <w:tcPr>
            <w:tcW w:w="9590" w:type="dxa"/>
            <w:gridSpan w:val="2"/>
          </w:tcPr>
          <w:p w14:paraId="637C4EEA" w14:textId="56246D1A" w:rsidR="00861F8B" w:rsidRDefault="00E25DCB">
            <w:r>
              <w:fldChar w:fldCharType="begin"/>
            </w:r>
            <w:r>
              <w:instrText xml:space="preserve"> MACROBUTTON  AbaisserNiveauListe </w:instrText>
            </w:r>
            <w:r>
              <w:fldChar w:fldCharType="end"/>
            </w:r>
            <w:r w:rsidR="00915710">
              <w:t>Pour lui-même</w:t>
            </w:r>
          </w:p>
        </w:tc>
      </w:tr>
      <w:tr w:rsidR="00C74B6F" w14:paraId="6745CA6C" w14:textId="77777777">
        <w:trPr>
          <w:cantSplit/>
        </w:trPr>
        <w:tc>
          <w:tcPr>
            <w:tcW w:w="9590" w:type="dxa"/>
            <w:gridSpan w:val="2"/>
          </w:tcPr>
          <w:p w14:paraId="306329C2" w14:textId="77777777" w:rsidR="00C74B6F" w:rsidRDefault="00C74B6F"/>
        </w:tc>
      </w:tr>
      <w:tr w:rsidR="00C74B6F" w14:paraId="164FA489" w14:textId="77777777">
        <w:trPr>
          <w:cantSplit/>
        </w:trPr>
        <w:tc>
          <w:tcPr>
            <w:tcW w:w="9590" w:type="dxa"/>
            <w:gridSpan w:val="2"/>
          </w:tcPr>
          <w:p w14:paraId="7B736DFE" w14:textId="39F50682" w:rsidR="00C74B6F" w:rsidRDefault="00915710">
            <w:pPr>
              <w:pStyle w:val="zSoquijdatNomProcureurDem"/>
            </w:pPr>
            <w:r>
              <w:t>M</w:t>
            </w:r>
            <w:r w:rsidRPr="00915710">
              <w:rPr>
                <w:vertAlign w:val="superscript"/>
              </w:rPr>
              <w:t>e</w:t>
            </w:r>
            <w:r w:rsidR="00F30267">
              <w:t xml:space="preserve"> </w:t>
            </w:r>
            <w:r>
              <w:t>Vanessa Benoit</w:t>
            </w:r>
          </w:p>
        </w:tc>
      </w:tr>
      <w:tr w:rsidR="00C74B6F" w:rsidRPr="00915710" w14:paraId="106142C1" w14:textId="77777777">
        <w:trPr>
          <w:cantSplit/>
        </w:trPr>
        <w:tc>
          <w:tcPr>
            <w:tcW w:w="9590" w:type="dxa"/>
            <w:gridSpan w:val="2"/>
          </w:tcPr>
          <w:p w14:paraId="0867C79B" w14:textId="155746C5" w:rsidR="00C74B6F" w:rsidRPr="00915710" w:rsidRDefault="00915710">
            <w:pPr>
              <w:pStyle w:val="zSoquijdatCabinetProcureurDem"/>
            </w:pPr>
            <w:r w:rsidRPr="00915710">
              <w:t>SERVICES JURIDIQUES DE L'APCHQ INC.</w:t>
            </w:r>
          </w:p>
        </w:tc>
      </w:tr>
      <w:tr w:rsidR="00C74B6F" w14:paraId="0EA28B27" w14:textId="77777777">
        <w:trPr>
          <w:cantSplit/>
        </w:trPr>
        <w:tc>
          <w:tcPr>
            <w:tcW w:w="9590" w:type="dxa"/>
            <w:gridSpan w:val="2"/>
          </w:tcPr>
          <w:p w14:paraId="7E4A977D" w14:textId="651ABD50" w:rsidR="00C74B6F" w:rsidRDefault="00CB05A7">
            <w:pPr>
              <w:pStyle w:val="zSoquijlblProcureurDem"/>
            </w:pPr>
            <w:r>
              <w:t xml:space="preserve">Pour la partie </w:t>
            </w:r>
            <w:r w:rsidR="00915710">
              <w:t>mise en cause</w:t>
            </w:r>
          </w:p>
        </w:tc>
      </w:tr>
      <w:tr w:rsidR="00C74B6F" w14:paraId="64C22D9C" w14:textId="77777777">
        <w:trPr>
          <w:cantSplit/>
        </w:trPr>
        <w:tc>
          <w:tcPr>
            <w:tcW w:w="9590" w:type="dxa"/>
            <w:gridSpan w:val="2"/>
          </w:tcPr>
          <w:p w14:paraId="0CC10AA6" w14:textId="77777777" w:rsidR="00C74B6F" w:rsidRDefault="00C74B6F"/>
        </w:tc>
      </w:tr>
      <w:tr w:rsidR="00C15A3F" w14:paraId="0F5591F9" w14:textId="77777777">
        <w:trPr>
          <w:cantSplit/>
        </w:trPr>
        <w:tc>
          <w:tcPr>
            <w:tcW w:w="9590" w:type="dxa"/>
            <w:gridSpan w:val="2"/>
          </w:tcPr>
          <w:p w14:paraId="410C48E7" w14:textId="311128E1" w:rsidR="00C15A3F" w:rsidRDefault="00C15A3F" w:rsidP="000E56A6">
            <w:pPr>
              <w:pStyle w:val="zSoquijdatDateAudience"/>
            </w:pPr>
            <w:bookmarkStart w:id="14" w:name="Date_derniere_audience"/>
            <w:bookmarkEnd w:id="14"/>
            <w:r>
              <w:t xml:space="preserve">Date de la </w:t>
            </w:r>
            <w:r w:rsidR="00CC6338">
              <w:t>mise en délibéré</w:t>
            </w:r>
            <w:r>
              <w:t> :</w:t>
            </w:r>
            <w:r w:rsidR="00597016">
              <w:tab/>
            </w:r>
            <w:r w:rsidR="00915710">
              <w:t>12 juillet 2024</w:t>
            </w:r>
          </w:p>
        </w:tc>
      </w:tr>
    </w:tbl>
    <w:p w14:paraId="60CDBEF1" w14:textId="77777777" w:rsidR="00F76B4A" w:rsidRDefault="00F76B4A" w:rsidP="00F73D1C"/>
    <w:p w14:paraId="50231A50" w14:textId="77777777" w:rsidR="002542E0" w:rsidRDefault="002542E0" w:rsidP="002542E0">
      <w:pPr>
        <w:pStyle w:val="corpsdedcision"/>
        <w:numPr>
          <w:ilvl w:val="0"/>
          <w:numId w:val="0"/>
        </w:numPr>
        <w:tabs>
          <w:tab w:val="clear" w:pos="720"/>
        </w:tabs>
      </w:pPr>
    </w:p>
    <w:sectPr w:rsidR="002542E0">
      <w:headerReference w:type="default" r:id="rId7"/>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4FBB2" w14:textId="77777777" w:rsidR="00A21B8F" w:rsidRDefault="00A21B8F">
      <w:r>
        <w:separator/>
      </w:r>
    </w:p>
  </w:endnote>
  <w:endnote w:type="continuationSeparator" w:id="0">
    <w:p w14:paraId="579046D5" w14:textId="77777777" w:rsidR="00A21B8F" w:rsidRDefault="00A2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DED46" w14:textId="77777777" w:rsidR="00A21B8F" w:rsidRDefault="00A21B8F">
      <w:r>
        <w:separator/>
      </w:r>
    </w:p>
  </w:footnote>
  <w:footnote w:type="continuationSeparator" w:id="0">
    <w:p w14:paraId="1B3CE614" w14:textId="77777777" w:rsidR="00A21B8F" w:rsidRDefault="00A21B8F">
      <w:r>
        <w:continuationSeparator/>
      </w:r>
    </w:p>
  </w:footnote>
  <w:footnote w:id="1">
    <w:p w14:paraId="133854F2" w14:textId="77777777" w:rsidR="005433D0" w:rsidRPr="00AE134F" w:rsidRDefault="005433D0" w:rsidP="005433D0">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BF20F9">
        <w:rPr>
          <w:rFonts w:cs="Arial"/>
          <w:sz w:val="20"/>
        </w:rPr>
        <w:t>RLRQ, c. A-3.001.</w:t>
      </w:r>
    </w:p>
  </w:footnote>
  <w:footnote w:id="2">
    <w:p w14:paraId="0016F258" w14:textId="405F1EFC" w:rsidR="005433D0" w:rsidRPr="005433D0" w:rsidRDefault="005433D0" w:rsidP="005433D0">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En date du 16 mai 2023.</w:t>
      </w:r>
    </w:p>
  </w:footnote>
  <w:footnote w:id="3">
    <w:p w14:paraId="2C27562C" w14:textId="01AB11E9" w:rsidR="00DF356E" w:rsidRPr="00823FE8" w:rsidRDefault="00DF356E" w:rsidP="00DF356E">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00C34793">
        <w:rPr>
          <w:rFonts w:cs="Arial"/>
          <w:i/>
          <w:iCs/>
          <w:sz w:val="20"/>
        </w:rPr>
        <w:t xml:space="preserve">Paradis </w:t>
      </w:r>
      <w:r w:rsidR="00C34793">
        <w:rPr>
          <w:rFonts w:cs="Arial"/>
          <w:sz w:val="20"/>
        </w:rPr>
        <w:t xml:space="preserve">et </w:t>
      </w:r>
      <w:r w:rsidR="00C34793">
        <w:rPr>
          <w:rFonts w:cs="Arial"/>
          <w:i/>
          <w:iCs/>
          <w:sz w:val="20"/>
        </w:rPr>
        <w:t xml:space="preserve">Gouttière A. Champoux </w:t>
      </w:r>
      <w:proofErr w:type="spellStart"/>
      <w:r w:rsidR="00C34793">
        <w:rPr>
          <w:rFonts w:cs="Arial"/>
          <w:i/>
          <w:iCs/>
          <w:sz w:val="20"/>
        </w:rPr>
        <w:t>inc.</w:t>
      </w:r>
      <w:proofErr w:type="spellEnd"/>
      <w:r w:rsidR="00C34793">
        <w:rPr>
          <w:rFonts w:cs="Arial"/>
          <w:sz w:val="20"/>
        </w:rPr>
        <w:t>, C.L.P. 359213-04B-0809, 5 juin 2009, M. Watkins;</w:t>
      </w:r>
      <w:r w:rsidR="00C34793">
        <w:rPr>
          <w:rFonts w:cs="Arial"/>
          <w:i/>
          <w:iCs/>
          <w:sz w:val="20"/>
        </w:rPr>
        <w:t xml:space="preserve"> </w:t>
      </w:r>
      <w:r>
        <w:rPr>
          <w:rFonts w:cs="Arial"/>
          <w:i/>
          <w:iCs/>
          <w:sz w:val="20"/>
        </w:rPr>
        <w:t xml:space="preserve">Carrier </w:t>
      </w:r>
      <w:r>
        <w:rPr>
          <w:rFonts w:cs="Arial"/>
          <w:sz w:val="20"/>
        </w:rPr>
        <w:t xml:space="preserve">et </w:t>
      </w:r>
      <w:r>
        <w:rPr>
          <w:rFonts w:cs="Arial"/>
          <w:i/>
          <w:iCs/>
          <w:sz w:val="20"/>
        </w:rPr>
        <w:t xml:space="preserve">Tecno Métal </w:t>
      </w:r>
      <w:proofErr w:type="spellStart"/>
      <w:r>
        <w:rPr>
          <w:rFonts w:cs="Arial"/>
          <w:i/>
          <w:iCs/>
          <w:sz w:val="20"/>
        </w:rPr>
        <w:t>inc.</w:t>
      </w:r>
      <w:proofErr w:type="spellEnd"/>
      <w:r>
        <w:rPr>
          <w:rFonts w:cs="Arial"/>
          <w:sz w:val="20"/>
        </w:rPr>
        <w:t>, 2022 QCTAT 2638</w:t>
      </w:r>
      <w:r w:rsidR="005346A3">
        <w:rPr>
          <w:rFonts w:cs="Arial"/>
          <w:sz w:val="20"/>
        </w:rPr>
        <w:t>;</w:t>
      </w:r>
      <w:r>
        <w:rPr>
          <w:rFonts w:cs="Arial"/>
          <w:sz w:val="20"/>
        </w:rPr>
        <w:t xml:space="preserve"> </w:t>
      </w:r>
      <w:proofErr w:type="spellStart"/>
      <w:r>
        <w:rPr>
          <w:rFonts w:cs="Arial"/>
          <w:i/>
          <w:iCs/>
          <w:sz w:val="20"/>
        </w:rPr>
        <w:t>Haraket</w:t>
      </w:r>
      <w:proofErr w:type="spellEnd"/>
      <w:r>
        <w:rPr>
          <w:rFonts w:cs="Arial"/>
          <w:sz w:val="20"/>
        </w:rPr>
        <w:t xml:space="preserve"> et</w:t>
      </w:r>
      <w:r>
        <w:rPr>
          <w:rFonts w:cs="Arial"/>
          <w:i/>
          <w:iCs/>
          <w:sz w:val="20"/>
        </w:rPr>
        <w:t xml:space="preserve"> Hôpital Notre-Dame</w:t>
      </w:r>
      <w:r>
        <w:rPr>
          <w:rFonts w:cs="Arial"/>
          <w:sz w:val="20"/>
        </w:rPr>
        <w:t>, 2022 QCTAT 3558</w:t>
      </w:r>
      <w:r w:rsidR="00C34793">
        <w:rPr>
          <w:rFonts w:cs="Arial"/>
          <w:sz w:val="20"/>
        </w:rPr>
        <w:t>;</w:t>
      </w:r>
      <w:r w:rsidR="00823FE8">
        <w:rPr>
          <w:rFonts w:cs="Arial"/>
          <w:sz w:val="20"/>
        </w:rPr>
        <w:t xml:space="preserve"> </w:t>
      </w:r>
      <w:proofErr w:type="spellStart"/>
      <w:r w:rsidR="00823FE8">
        <w:rPr>
          <w:rFonts w:cs="Arial"/>
          <w:i/>
          <w:iCs/>
          <w:sz w:val="20"/>
        </w:rPr>
        <w:t>Miljour</w:t>
      </w:r>
      <w:proofErr w:type="spellEnd"/>
      <w:r w:rsidR="00823FE8">
        <w:rPr>
          <w:rFonts w:cs="Arial"/>
          <w:i/>
          <w:iCs/>
          <w:sz w:val="20"/>
        </w:rPr>
        <w:t xml:space="preserve"> </w:t>
      </w:r>
      <w:r w:rsidR="00823FE8">
        <w:rPr>
          <w:rFonts w:cs="Arial"/>
          <w:sz w:val="20"/>
        </w:rPr>
        <w:t xml:space="preserve">et </w:t>
      </w:r>
      <w:r w:rsidR="00823FE8">
        <w:rPr>
          <w:rFonts w:cs="Arial"/>
          <w:i/>
          <w:iCs/>
          <w:sz w:val="20"/>
        </w:rPr>
        <w:t>CSSS Antoine Labelle</w:t>
      </w:r>
      <w:r w:rsidR="00823FE8">
        <w:rPr>
          <w:rFonts w:cs="Arial"/>
          <w:sz w:val="20"/>
        </w:rPr>
        <w:t>, 2023 QCTAT 1774</w:t>
      </w:r>
      <w:r w:rsidR="005346A3">
        <w:rPr>
          <w:rFonts w:cs="Arial"/>
          <w:sz w:val="20"/>
        </w:rPr>
        <w:t>;</w:t>
      </w:r>
      <w:r w:rsidR="00823FE8">
        <w:rPr>
          <w:rFonts w:cs="Arial"/>
          <w:sz w:val="20"/>
        </w:rPr>
        <w:t xml:space="preserve"> </w:t>
      </w:r>
      <w:r w:rsidR="00823FE8">
        <w:rPr>
          <w:rFonts w:cs="Arial"/>
          <w:i/>
          <w:iCs/>
          <w:sz w:val="20"/>
        </w:rPr>
        <w:t xml:space="preserve">Robert </w:t>
      </w:r>
      <w:r w:rsidR="00823FE8">
        <w:rPr>
          <w:rFonts w:cs="Arial"/>
          <w:sz w:val="20"/>
        </w:rPr>
        <w:t xml:space="preserve">et </w:t>
      </w:r>
      <w:r w:rsidR="00823FE8">
        <w:rPr>
          <w:rFonts w:cs="Arial"/>
          <w:i/>
          <w:iCs/>
          <w:sz w:val="20"/>
        </w:rPr>
        <w:t xml:space="preserve">Centre de santé et de services sociaux Antoine-Labelle, </w:t>
      </w:r>
      <w:r w:rsidR="00823FE8">
        <w:rPr>
          <w:rFonts w:cs="Arial"/>
          <w:sz w:val="20"/>
        </w:rPr>
        <w:t>2024 QCTAT 1846.</w:t>
      </w:r>
    </w:p>
  </w:footnote>
  <w:footnote w:id="4">
    <w:p w14:paraId="39492504" w14:textId="77801035" w:rsidR="00DF356E" w:rsidRPr="00DF356E" w:rsidRDefault="00DF356E" w:rsidP="00DF356E">
      <w:pPr>
        <w:pStyle w:val="FootnoteText"/>
        <w:tabs>
          <w:tab w:val="left" w:pos="720"/>
        </w:tabs>
        <w:ind w:left="720" w:hanging="720"/>
        <w:jc w:val="both"/>
        <w:rPr>
          <w:rFonts w:cs="Arial"/>
          <w:iCs/>
          <w:sz w:val="20"/>
        </w:rPr>
      </w:pPr>
      <w:r>
        <w:rPr>
          <w:rStyle w:val="FootnoteReference"/>
        </w:rPr>
        <w:footnoteRef/>
      </w:r>
      <w:r>
        <w:t xml:space="preserve"> </w:t>
      </w:r>
      <w:r>
        <w:rPr>
          <w:rFonts w:cs="Arial"/>
          <w:sz w:val="20"/>
        </w:rPr>
        <w:tab/>
      </w:r>
      <w:r>
        <w:rPr>
          <w:rFonts w:cs="Arial"/>
          <w:i/>
          <w:iCs/>
          <w:sz w:val="20"/>
        </w:rPr>
        <w:t xml:space="preserve">Lamoureux </w:t>
      </w:r>
      <w:r>
        <w:rPr>
          <w:rFonts w:cs="Arial"/>
          <w:sz w:val="20"/>
        </w:rPr>
        <w:t>et</w:t>
      </w:r>
      <w:r>
        <w:rPr>
          <w:rFonts w:cs="Arial"/>
          <w:i/>
          <w:iCs/>
          <w:sz w:val="20"/>
        </w:rPr>
        <w:t xml:space="preserve"> Papa Pizzéria, </w:t>
      </w:r>
      <w:r>
        <w:rPr>
          <w:rFonts w:cs="Arial"/>
          <w:sz w:val="20"/>
        </w:rPr>
        <w:t>2011 QCCLP 6267</w:t>
      </w:r>
      <w:r w:rsidR="005346A3">
        <w:rPr>
          <w:rFonts w:cs="Arial"/>
          <w:sz w:val="20"/>
        </w:rPr>
        <w:t>;</w:t>
      </w:r>
      <w:r>
        <w:rPr>
          <w:rFonts w:cs="Arial"/>
          <w:sz w:val="20"/>
        </w:rPr>
        <w:t xml:space="preserve"> </w:t>
      </w:r>
      <w:r>
        <w:rPr>
          <w:rFonts w:cs="Arial"/>
          <w:i/>
          <w:iCs/>
          <w:sz w:val="20"/>
        </w:rPr>
        <w:t xml:space="preserve">Arnaud </w:t>
      </w:r>
      <w:r>
        <w:rPr>
          <w:rFonts w:cs="Arial"/>
          <w:sz w:val="20"/>
        </w:rPr>
        <w:t xml:space="preserve">et </w:t>
      </w:r>
      <w:r>
        <w:rPr>
          <w:rFonts w:cs="Arial"/>
          <w:i/>
          <w:iCs/>
          <w:sz w:val="20"/>
        </w:rPr>
        <w:t xml:space="preserve">Allianz </w:t>
      </w:r>
      <w:proofErr w:type="spellStart"/>
      <w:r>
        <w:rPr>
          <w:rFonts w:cs="Arial"/>
          <w:i/>
          <w:iCs/>
          <w:sz w:val="20"/>
        </w:rPr>
        <w:t>Madvac</w:t>
      </w:r>
      <w:proofErr w:type="spellEnd"/>
      <w:r>
        <w:rPr>
          <w:rFonts w:cs="Arial"/>
          <w:i/>
          <w:iCs/>
          <w:sz w:val="20"/>
        </w:rPr>
        <w:t xml:space="preserve"> international inc.,</w:t>
      </w:r>
      <w:r>
        <w:rPr>
          <w:rFonts w:cs="Arial"/>
          <w:sz w:val="20"/>
        </w:rPr>
        <w:t>2012 QCCLP 3470</w:t>
      </w:r>
      <w:r w:rsidR="005346A3">
        <w:rPr>
          <w:rFonts w:cs="Arial"/>
          <w:sz w:val="20"/>
        </w:rPr>
        <w:t>;</w:t>
      </w:r>
      <w:r>
        <w:rPr>
          <w:rFonts w:cs="Arial"/>
          <w:sz w:val="20"/>
        </w:rPr>
        <w:t xml:space="preserve"> </w:t>
      </w:r>
      <w:proofErr w:type="spellStart"/>
      <w:r>
        <w:rPr>
          <w:rFonts w:cs="Arial"/>
          <w:i/>
          <w:iCs/>
          <w:sz w:val="20"/>
        </w:rPr>
        <w:t>Sedigh</w:t>
      </w:r>
      <w:proofErr w:type="spellEnd"/>
      <w:r>
        <w:rPr>
          <w:rFonts w:cs="Arial"/>
          <w:i/>
          <w:iCs/>
          <w:sz w:val="20"/>
        </w:rPr>
        <w:t xml:space="preserve"> </w:t>
      </w:r>
      <w:r>
        <w:rPr>
          <w:rFonts w:cs="Arial"/>
          <w:sz w:val="20"/>
        </w:rPr>
        <w:t xml:space="preserve">et </w:t>
      </w:r>
      <w:r>
        <w:rPr>
          <w:rFonts w:cs="Arial"/>
          <w:i/>
          <w:iCs/>
          <w:sz w:val="20"/>
        </w:rPr>
        <w:t xml:space="preserve">Affaires étrangères, Commerce et Développement Canada, </w:t>
      </w:r>
      <w:r>
        <w:rPr>
          <w:rFonts w:cs="Arial"/>
          <w:iCs/>
          <w:sz w:val="20"/>
        </w:rPr>
        <w:t>2014 QCCLP 2552</w:t>
      </w:r>
      <w:r w:rsidR="00C34793">
        <w:rPr>
          <w:rFonts w:cs="Arial"/>
          <w:iCs/>
          <w:sz w:val="20"/>
        </w:rPr>
        <w:t>.</w:t>
      </w:r>
    </w:p>
  </w:footnote>
  <w:footnote w:id="5">
    <w:p w14:paraId="10051CE4" w14:textId="5E12E948" w:rsidR="00DF356E" w:rsidRPr="00DF356E" w:rsidRDefault="00DF356E" w:rsidP="00DF356E">
      <w:pPr>
        <w:pStyle w:val="FootnoteText"/>
        <w:tabs>
          <w:tab w:val="left" w:pos="720"/>
        </w:tabs>
        <w:ind w:left="720" w:hanging="720"/>
        <w:jc w:val="both"/>
        <w:rPr>
          <w:rFonts w:cs="Arial"/>
          <w:i/>
          <w:iCs/>
          <w:sz w:val="20"/>
        </w:rPr>
      </w:pPr>
      <w:r>
        <w:rPr>
          <w:rStyle w:val="FootnoteReference"/>
        </w:rPr>
        <w:footnoteRef/>
      </w:r>
      <w:r>
        <w:t xml:space="preserve"> </w:t>
      </w:r>
      <w:r>
        <w:rPr>
          <w:rFonts w:cs="Arial"/>
          <w:sz w:val="20"/>
        </w:rPr>
        <w:tab/>
      </w:r>
      <w:r>
        <w:rPr>
          <w:rFonts w:cs="Arial"/>
          <w:i/>
          <w:iCs/>
          <w:sz w:val="20"/>
        </w:rPr>
        <w:t xml:space="preserve">Lafrance </w:t>
      </w:r>
      <w:r>
        <w:rPr>
          <w:rFonts w:cs="Arial"/>
          <w:sz w:val="20"/>
        </w:rPr>
        <w:t xml:space="preserve">et </w:t>
      </w:r>
      <w:r>
        <w:rPr>
          <w:rFonts w:cs="Arial"/>
          <w:i/>
          <w:iCs/>
          <w:sz w:val="20"/>
        </w:rPr>
        <w:t xml:space="preserve">Commission scolaire de l’Or-et-des-Bois, </w:t>
      </w:r>
      <w:r>
        <w:rPr>
          <w:rFonts w:cs="Arial"/>
          <w:sz w:val="20"/>
        </w:rPr>
        <w:t>2011 QCCLP 7950</w:t>
      </w:r>
      <w:r w:rsidR="005346A3">
        <w:rPr>
          <w:rFonts w:cs="Arial"/>
          <w:sz w:val="20"/>
        </w:rPr>
        <w:t>;</w:t>
      </w:r>
      <w:r>
        <w:rPr>
          <w:rFonts w:cs="Arial"/>
          <w:sz w:val="20"/>
        </w:rPr>
        <w:t xml:space="preserve"> </w:t>
      </w:r>
      <w:r>
        <w:rPr>
          <w:rFonts w:cs="Arial"/>
          <w:i/>
          <w:iCs/>
          <w:sz w:val="20"/>
        </w:rPr>
        <w:t xml:space="preserve">Pinard </w:t>
      </w:r>
      <w:r>
        <w:rPr>
          <w:rFonts w:cs="Arial"/>
          <w:sz w:val="20"/>
        </w:rPr>
        <w:t xml:space="preserve">et </w:t>
      </w:r>
      <w:r>
        <w:rPr>
          <w:rFonts w:cs="Arial"/>
          <w:i/>
          <w:iCs/>
          <w:sz w:val="20"/>
        </w:rPr>
        <w:t xml:space="preserve">Automobiles Val Estrie </w:t>
      </w:r>
      <w:proofErr w:type="spellStart"/>
      <w:r>
        <w:rPr>
          <w:rFonts w:cs="Arial"/>
          <w:i/>
          <w:iCs/>
          <w:sz w:val="20"/>
        </w:rPr>
        <w:t>inc.</w:t>
      </w:r>
      <w:proofErr w:type="spellEnd"/>
      <w:r>
        <w:rPr>
          <w:rFonts w:cs="Arial"/>
          <w:i/>
          <w:iCs/>
          <w:sz w:val="20"/>
        </w:rPr>
        <w:t>,</w:t>
      </w:r>
      <w:r>
        <w:rPr>
          <w:rFonts w:cs="Arial"/>
          <w:sz w:val="20"/>
        </w:rPr>
        <w:t xml:space="preserve"> 2017 QCTAT 4946</w:t>
      </w:r>
      <w:r w:rsidR="005346A3">
        <w:rPr>
          <w:rFonts w:cs="Arial"/>
          <w:sz w:val="20"/>
        </w:rPr>
        <w:t>;</w:t>
      </w:r>
      <w:r>
        <w:rPr>
          <w:rFonts w:cs="Arial"/>
          <w:sz w:val="20"/>
        </w:rPr>
        <w:t xml:space="preserve"> </w:t>
      </w:r>
      <w:r>
        <w:rPr>
          <w:rFonts w:cs="Arial"/>
          <w:i/>
          <w:iCs/>
          <w:sz w:val="20"/>
        </w:rPr>
        <w:t xml:space="preserve">Trépanier </w:t>
      </w:r>
      <w:r>
        <w:rPr>
          <w:rFonts w:cs="Arial"/>
          <w:sz w:val="20"/>
        </w:rPr>
        <w:t xml:space="preserve">et </w:t>
      </w:r>
      <w:r w:rsidRPr="004874BA">
        <w:rPr>
          <w:rFonts w:cs="Arial"/>
          <w:i/>
          <w:iCs/>
          <w:sz w:val="20"/>
        </w:rPr>
        <w:t xml:space="preserve">Vergers Leahy </w:t>
      </w:r>
      <w:proofErr w:type="spellStart"/>
      <w:r w:rsidRPr="004874BA">
        <w:rPr>
          <w:rFonts w:cs="Arial"/>
          <w:i/>
          <w:iCs/>
          <w:sz w:val="20"/>
        </w:rPr>
        <w:t>inc</w:t>
      </w:r>
      <w:r>
        <w:rPr>
          <w:rFonts w:cs="Arial"/>
          <w:sz w:val="20"/>
        </w:rPr>
        <w:t>.</w:t>
      </w:r>
      <w:proofErr w:type="spellEnd"/>
      <w:r>
        <w:rPr>
          <w:rFonts w:cs="Arial"/>
          <w:sz w:val="20"/>
        </w:rPr>
        <w:t xml:space="preserve">, </w:t>
      </w:r>
      <w:r w:rsidRPr="004874BA">
        <w:rPr>
          <w:rFonts w:cs="Arial"/>
          <w:sz w:val="20"/>
        </w:rPr>
        <w:t>2019 QCTAT 5324</w:t>
      </w:r>
      <w:r>
        <w:rPr>
          <w:rFonts w:cs="Arial"/>
          <w:i/>
          <w:iCs/>
          <w:sz w:val="20"/>
        </w:rPr>
        <w:t>.</w:t>
      </w:r>
    </w:p>
  </w:footnote>
  <w:footnote w:id="6">
    <w:p w14:paraId="1D1B9C54" w14:textId="4E339ABF" w:rsidR="00582FCB" w:rsidRPr="003D4384" w:rsidRDefault="00582FCB" w:rsidP="00582FCB">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Pr>
          <w:rFonts w:cs="Arial"/>
          <w:i/>
          <w:iCs/>
          <w:sz w:val="20"/>
        </w:rPr>
        <w:t xml:space="preserve">Roy </w:t>
      </w:r>
      <w:r>
        <w:rPr>
          <w:rFonts w:cs="Arial"/>
          <w:sz w:val="20"/>
        </w:rPr>
        <w:t xml:space="preserve">et </w:t>
      </w:r>
      <w:r>
        <w:rPr>
          <w:rFonts w:cs="Arial"/>
          <w:i/>
          <w:iCs/>
          <w:sz w:val="20"/>
        </w:rPr>
        <w:t>C.U.M.</w:t>
      </w:r>
      <w:r>
        <w:rPr>
          <w:rFonts w:cs="Arial"/>
          <w:sz w:val="20"/>
        </w:rPr>
        <w:t>, [1990] C.A.L.P. 916</w:t>
      </w:r>
      <w:r w:rsidR="00C34793">
        <w:rPr>
          <w:rFonts w:cs="Arial"/>
          <w:sz w:val="20"/>
        </w:rPr>
        <w:t>.</w:t>
      </w:r>
    </w:p>
  </w:footnote>
  <w:footnote w:id="7">
    <w:p w14:paraId="4748F158" w14:textId="221DAAAD" w:rsidR="00582FCB" w:rsidRPr="002B5483" w:rsidRDefault="00582FCB" w:rsidP="00582FCB">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Pr>
          <w:rFonts w:cs="Arial"/>
          <w:i/>
          <w:iCs/>
          <w:sz w:val="20"/>
        </w:rPr>
        <w:t xml:space="preserve">De Miranda </w:t>
      </w:r>
      <w:proofErr w:type="spellStart"/>
      <w:r>
        <w:rPr>
          <w:rFonts w:cs="Arial"/>
          <w:i/>
          <w:iCs/>
          <w:sz w:val="20"/>
        </w:rPr>
        <w:t>Napoles</w:t>
      </w:r>
      <w:proofErr w:type="spellEnd"/>
      <w:r>
        <w:rPr>
          <w:rFonts w:cs="Arial"/>
          <w:i/>
          <w:iCs/>
          <w:sz w:val="20"/>
        </w:rPr>
        <w:t xml:space="preserve"> </w:t>
      </w:r>
      <w:r>
        <w:rPr>
          <w:rFonts w:cs="Arial"/>
          <w:sz w:val="20"/>
        </w:rPr>
        <w:t xml:space="preserve">et </w:t>
      </w:r>
      <w:proofErr w:type="spellStart"/>
      <w:r>
        <w:rPr>
          <w:rFonts w:cs="Arial"/>
          <w:i/>
          <w:iCs/>
          <w:sz w:val="20"/>
        </w:rPr>
        <w:t>Sanimax</w:t>
      </w:r>
      <w:proofErr w:type="spellEnd"/>
      <w:r>
        <w:rPr>
          <w:rFonts w:cs="Arial"/>
          <w:sz w:val="20"/>
        </w:rPr>
        <w:t>, C.L.P. 374473-63-0904, 29 juillet 2010, Jean-Pierre Arsenault</w:t>
      </w:r>
      <w:r w:rsidR="00C34793">
        <w:rPr>
          <w:rFonts w:cs="Arial"/>
          <w:sz w:val="20"/>
        </w:rPr>
        <w:t>;</w:t>
      </w:r>
      <w:r>
        <w:rPr>
          <w:rFonts w:cs="Arial"/>
          <w:sz w:val="20"/>
        </w:rPr>
        <w:t xml:space="preserve"> </w:t>
      </w:r>
      <w:r>
        <w:rPr>
          <w:rFonts w:cs="Arial"/>
          <w:i/>
          <w:iCs/>
          <w:sz w:val="20"/>
        </w:rPr>
        <w:t xml:space="preserve">Cormier </w:t>
      </w:r>
      <w:r>
        <w:rPr>
          <w:rFonts w:cs="Arial"/>
          <w:sz w:val="20"/>
        </w:rPr>
        <w:t xml:space="preserve">et </w:t>
      </w:r>
      <w:r>
        <w:rPr>
          <w:rFonts w:cs="Arial"/>
          <w:i/>
          <w:iCs/>
          <w:sz w:val="20"/>
        </w:rPr>
        <w:t>Commission des lésions professionnelles</w:t>
      </w:r>
      <w:r>
        <w:rPr>
          <w:rFonts w:cs="Arial"/>
          <w:sz w:val="20"/>
        </w:rPr>
        <w:t>, 2009 QCCS 730.</w:t>
      </w:r>
    </w:p>
  </w:footnote>
  <w:footnote w:id="8">
    <w:p w14:paraId="545FAAF6" w14:textId="77777777" w:rsidR="00582FCB" w:rsidRPr="00EA73D8" w:rsidRDefault="00582FCB" w:rsidP="00582FCB">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Pr>
          <w:rFonts w:cs="Arial"/>
          <w:i/>
          <w:iCs/>
          <w:sz w:val="20"/>
        </w:rPr>
        <w:t xml:space="preserve">Perron </w:t>
      </w:r>
      <w:r>
        <w:rPr>
          <w:rFonts w:cs="Arial"/>
          <w:sz w:val="20"/>
        </w:rPr>
        <w:t xml:space="preserve">c. </w:t>
      </w:r>
      <w:r>
        <w:rPr>
          <w:rFonts w:cs="Arial"/>
          <w:i/>
          <w:iCs/>
          <w:sz w:val="20"/>
        </w:rPr>
        <w:t xml:space="preserve">Gilles Veilleux </w:t>
      </w:r>
      <w:proofErr w:type="spellStart"/>
      <w:r>
        <w:rPr>
          <w:rFonts w:cs="Arial"/>
          <w:i/>
          <w:iCs/>
          <w:sz w:val="20"/>
        </w:rPr>
        <w:t>ltée</w:t>
      </w:r>
      <w:proofErr w:type="spellEnd"/>
      <w:r>
        <w:rPr>
          <w:rFonts w:cs="Arial"/>
          <w:i/>
          <w:iCs/>
          <w:sz w:val="20"/>
        </w:rPr>
        <w:t>,</w:t>
      </w:r>
      <w:r>
        <w:rPr>
          <w:rFonts w:cs="Arial"/>
          <w:sz w:val="20"/>
        </w:rPr>
        <w:t xml:space="preserve"> 2024 QCCA 824.</w:t>
      </w:r>
    </w:p>
  </w:footnote>
  <w:footnote w:id="9">
    <w:p w14:paraId="0AE8412B" w14:textId="37508110" w:rsidR="00777DF1" w:rsidRPr="00EB64A7" w:rsidRDefault="00777DF1" w:rsidP="00777DF1">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00BC1273">
        <w:rPr>
          <w:rFonts w:cs="Arial"/>
          <w:i/>
          <w:iCs/>
          <w:sz w:val="20"/>
        </w:rPr>
        <w:t xml:space="preserve">Lavoie </w:t>
      </w:r>
      <w:r w:rsidR="00BC1273">
        <w:rPr>
          <w:rFonts w:cs="Arial"/>
          <w:sz w:val="20"/>
        </w:rPr>
        <w:t xml:space="preserve">et </w:t>
      </w:r>
      <w:r w:rsidR="00BC1273">
        <w:rPr>
          <w:rFonts w:cs="Arial"/>
          <w:i/>
          <w:iCs/>
          <w:sz w:val="20"/>
        </w:rPr>
        <w:t xml:space="preserve">Groupe Servi-Portes 93 </w:t>
      </w:r>
      <w:proofErr w:type="spellStart"/>
      <w:r w:rsidR="00BC1273">
        <w:rPr>
          <w:rFonts w:cs="Arial"/>
          <w:i/>
          <w:iCs/>
          <w:sz w:val="20"/>
        </w:rPr>
        <w:t>Enr</w:t>
      </w:r>
      <w:proofErr w:type="spellEnd"/>
      <w:r w:rsidR="00BC1273">
        <w:rPr>
          <w:rFonts w:cs="Arial"/>
          <w:i/>
          <w:iCs/>
          <w:sz w:val="20"/>
        </w:rPr>
        <w:t xml:space="preserve">, </w:t>
      </w:r>
      <w:r w:rsidR="00BC1273">
        <w:rPr>
          <w:rFonts w:cs="Arial"/>
          <w:sz w:val="20"/>
        </w:rPr>
        <w:t xml:space="preserve">2011 QCCLP 7207; </w:t>
      </w:r>
      <w:r w:rsidR="00BC1273">
        <w:rPr>
          <w:rFonts w:cs="Arial"/>
          <w:i/>
          <w:iCs/>
          <w:sz w:val="20"/>
        </w:rPr>
        <w:t xml:space="preserve">MG Guérette </w:t>
      </w:r>
      <w:proofErr w:type="spellStart"/>
      <w:r w:rsidR="00BC1273">
        <w:rPr>
          <w:rFonts w:cs="Arial"/>
          <w:i/>
          <w:iCs/>
          <w:sz w:val="20"/>
        </w:rPr>
        <w:t>inc.</w:t>
      </w:r>
      <w:proofErr w:type="spellEnd"/>
      <w:r w:rsidR="00BC1273">
        <w:rPr>
          <w:rFonts w:cs="Arial"/>
          <w:i/>
          <w:iCs/>
          <w:sz w:val="20"/>
        </w:rPr>
        <w:t xml:space="preserve"> </w:t>
      </w:r>
      <w:r w:rsidR="00BC1273">
        <w:rPr>
          <w:rFonts w:cs="Arial"/>
          <w:sz w:val="20"/>
        </w:rPr>
        <w:t xml:space="preserve">et </w:t>
      </w:r>
      <w:r w:rsidR="00BC1273">
        <w:rPr>
          <w:rFonts w:cs="Arial"/>
          <w:i/>
          <w:iCs/>
          <w:sz w:val="20"/>
        </w:rPr>
        <w:t xml:space="preserve">Caron, </w:t>
      </w:r>
      <w:r w:rsidR="00BC1273">
        <w:rPr>
          <w:rFonts w:cs="Arial"/>
          <w:sz w:val="20"/>
        </w:rPr>
        <w:t xml:space="preserve">2017 QCTAT 165; </w:t>
      </w:r>
      <w:r w:rsidR="000C2A98">
        <w:rPr>
          <w:rFonts w:cs="Arial"/>
          <w:i/>
          <w:iCs/>
          <w:sz w:val="20"/>
        </w:rPr>
        <w:t xml:space="preserve">Trépanier </w:t>
      </w:r>
      <w:r w:rsidR="000C2A98">
        <w:rPr>
          <w:rFonts w:cs="Arial"/>
          <w:sz w:val="20"/>
        </w:rPr>
        <w:t xml:space="preserve">et </w:t>
      </w:r>
      <w:r w:rsidR="000C2A98">
        <w:rPr>
          <w:rFonts w:cs="Arial"/>
          <w:i/>
          <w:iCs/>
          <w:sz w:val="20"/>
        </w:rPr>
        <w:t xml:space="preserve">Coupe &amp; style </w:t>
      </w:r>
      <w:proofErr w:type="spellStart"/>
      <w:r w:rsidR="000C2A98">
        <w:rPr>
          <w:rFonts w:cs="Arial"/>
          <w:i/>
          <w:iCs/>
          <w:sz w:val="20"/>
        </w:rPr>
        <w:t>enr</w:t>
      </w:r>
      <w:proofErr w:type="spellEnd"/>
      <w:r w:rsidR="000C2A98">
        <w:rPr>
          <w:rFonts w:cs="Arial"/>
          <w:i/>
          <w:iCs/>
          <w:sz w:val="20"/>
        </w:rPr>
        <w:t xml:space="preserve">., </w:t>
      </w:r>
      <w:r w:rsidR="000C2A98">
        <w:rPr>
          <w:rFonts w:cs="Arial"/>
          <w:sz w:val="20"/>
        </w:rPr>
        <w:t>2018 QCTAT 5369</w:t>
      </w:r>
      <w:r w:rsidR="00955DFC">
        <w:rPr>
          <w:rFonts w:cs="Arial"/>
          <w:sz w:val="20"/>
        </w:rPr>
        <w:t>;</w:t>
      </w:r>
      <w:r w:rsidR="000C2A98">
        <w:rPr>
          <w:rFonts w:cs="Arial"/>
          <w:sz w:val="20"/>
        </w:rPr>
        <w:t xml:space="preserve"> </w:t>
      </w:r>
      <w:r w:rsidR="008B1B2A">
        <w:rPr>
          <w:rFonts w:cs="Arial"/>
          <w:i/>
          <w:iCs/>
          <w:sz w:val="20"/>
        </w:rPr>
        <w:t xml:space="preserve">Daigle </w:t>
      </w:r>
      <w:r w:rsidR="008B1B2A">
        <w:rPr>
          <w:rFonts w:cs="Arial"/>
          <w:sz w:val="20"/>
        </w:rPr>
        <w:t xml:space="preserve">et </w:t>
      </w:r>
      <w:r w:rsidR="008B1B2A">
        <w:rPr>
          <w:rFonts w:cs="Arial"/>
          <w:i/>
          <w:iCs/>
          <w:sz w:val="20"/>
        </w:rPr>
        <w:t xml:space="preserve">Bières Micro-Bec, </w:t>
      </w:r>
      <w:r w:rsidR="008B1B2A">
        <w:rPr>
          <w:rFonts w:cs="Arial"/>
          <w:sz w:val="20"/>
        </w:rPr>
        <w:t>2021 QCTAT 2644</w:t>
      </w:r>
      <w:r w:rsidR="00EB64A7">
        <w:rPr>
          <w:rFonts w:cs="Arial"/>
          <w:sz w:val="20"/>
        </w:rPr>
        <w:t>.</w:t>
      </w:r>
    </w:p>
  </w:footnote>
  <w:footnote w:id="10">
    <w:p w14:paraId="3EE74B2A" w14:textId="3A4D96A6" w:rsidR="009B57CE" w:rsidRPr="009B57CE" w:rsidRDefault="009B57CE" w:rsidP="009B57CE">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La réclamation est produite le 23 février 2023, le même jour que le travailleur apprend qu’il doit se faire opérer.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D330B6" w14:paraId="58DEEB08" w14:textId="77777777" w:rsidTr="00915710">
      <w:tc>
        <w:tcPr>
          <w:tcW w:w="8730" w:type="dxa"/>
        </w:tcPr>
        <w:p w14:paraId="475F0625" w14:textId="77777777" w:rsidR="00D330B6" w:rsidRDefault="00D330B6">
          <w:pPr>
            <w:pStyle w:val="Header"/>
            <w:ind w:left="-90"/>
          </w:pPr>
        </w:p>
      </w:tc>
      <w:tc>
        <w:tcPr>
          <w:tcW w:w="860" w:type="dxa"/>
        </w:tcPr>
        <w:p w14:paraId="237BA112" w14:textId="77777777" w:rsidR="00D330B6" w:rsidRDefault="00D330B6">
          <w:pPr>
            <w:pStyle w:val="Header"/>
            <w:ind w:left="-90"/>
          </w:pPr>
        </w:p>
      </w:tc>
    </w:tr>
    <w:tr w:rsidR="00915710" w14:paraId="6114505F" w14:textId="77777777" w:rsidTr="00915710">
      <w:tc>
        <w:tcPr>
          <w:tcW w:w="8730" w:type="dxa"/>
        </w:tcPr>
        <w:p w14:paraId="7AEB7449" w14:textId="34DC81B3" w:rsidR="00915710" w:rsidRDefault="00915710" w:rsidP="00915710">
          <w:r w:rsidRPr="00915710">
            <w:t>1327736-62-2307</w:t>
          </w:r>
        </w:p>
      </w:tc>
      <w:tc>
        <w:tcPr>
          <w:tcW w:w="860" w:type="dxa"/>
        </w:tcPr>
        <w:p w14:paraId="35D90151" w14:textId="77777777" w:rsidR="00915710" w:rsidRDefault="00915710" w:rsidP="00915710">
          <w:pPr>
            <w:pStyle w:val="Header"/>
            <w:ind w:left="-9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0F69D4">
            <w:rPr>
              <w:rStyle w:val="PageNumber"/>
              <w:noProof/>
            </w:rPr>
            <w:t>2</w:t>
          </w:r>
          <w:r>
            <w:rPr>
              <w:rStyle w:val="PageNumber"/>
            </w:rPr>
            <w:fldChar w:fldCharType="end"/>
          </w:r>
        </w:p>
      </w:tc>
    </w:tr>
    <w:tr w:rsidR="00915710" w14:paraId="04CAC42B" w14:textId="77777777" w:rsidTr="00915710">
      <w:tc>
        <w:tcPr>
          <w:tcW w:w="8730" w:type="dxa"/>
        </w:tcPr>
        <w:p w14:paraId="635C4572" w14:textId="77777777" w:rsidR="00915710" w:rsidRDefault="00915710" w:rsidP="00915710"/>
      </w:tc>
      <w:tc>
        <w:tcPr>
          <w:tcW w:w="860" w:type="dxa"/>
        </w:tcPr>
        <w:p w14:paraId="65E106B2" w14:textId="77777777" w:rsidR="00915710" w:rsidRDefault="00915710" w:rsidP="00915710">
          <w:pPr>
            <w:pStyle w:val="Header"/>
            <w:ind w:left="-90"/>
            <w:jc w:val="right"/>
          </w:pPr>
        </w:p>
      </w:tc>
    </w:tr>
  </w:tbl>
  <w:p w14:paraId="71D44F81" w14:textId="77777777" w:rsidR="00D330B6" w:rsidRDefault="00D33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93D91"/>
    <w:multiLevelType w:val="multilevel"/>
    <w:tmpl w:val="4240187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31CE60E0"/>
    <w:multiLevelType w:val="singleLevel"/>
    <w:tmpl w:val="0C0C000F"/>
    <w:lvl w:ilvl="0">
      <w:start w:val="1"/>
      <w:numFmt w:val="decimal"/>
      <w:lvlText w:val="%1."/>
      <w:lvlJc w:val="left"/>
      <w:pPr>
        <w:tabs>
          <w:tab w:val="num" w:pos="360"/>
        </w:tabs>
        <w:ind w:left="360" w:hanging="360"/>
      </w:pPr>
    </w:lvl>
  </w:abstractNum>
  <w:abstractNum w:abstractNumId="2" w15:restartNumberingAfterBreak="0">
    <w:nsid w:val="31E904DA"/>
    <w:multiLevelType w:val="hybridMultilevel"/>
    <w:tmpl w:val="5FD83D2E"/>
    <w:lvl w:ilvl="0" w:tplc="84FAD386">
      <w:start w:val="326"/>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8987ED8"/>
    <w:multiLevelType w:val="hybridMultilevel"/>
    <w:tmpl w:val="D7206A5C"/>
    <w:lvl w:ilvl="0" w:tplc="FA4E22AE">
      <w:start w:val="326"/>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DD1284B"/>
    <w:multiLevelType w:val="hybridMultilevel"/>
    <w:tmpl w:val="1AFED00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5"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32348AF"/>
    <w:multiLevelType w:val="hybridMultilevel"/>
    <w:tmpl w:val="54C694AE"/>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7"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76556088"/>
    <w:multiLevelType w:val="multilevel"/>
    <w:tmpl w:val="68483234"/>
    <w:lvl w:ilvl="0">
      <w:start w:val="1"/>
      <w:numFmt w:val="decimal"/>
      <w:pStyle w:val="corpsdedcision"/>
      <w:lvlText w:val="[%1]"/>
      <w:lvlJc w:val="left"/>
      <w:pPr>
        <w:tabs>
          <w:tab w:val="num" w:pos="360"/>
        </w:tabs>
        <w:ind w:left="0" w:firstLine="0"/>
      </w:pPr>
      <w:rPr>
        <w:i w:val="0"/>
        <w:iCs/>
      </w:r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10" w15:restartNumberingAfterBreak="0">
    <w:nsid w:val="7811078A"/>
    <w:multiLevelType w:val="hybridMultilevel"/>
    <w:tmpl w:val="E8C436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8D6079A"/>
    <w:multiLevelType w:val="hybridMultilevel"/>
    <w:tmpl w:val="80AE0E1E"/>
    <w:lvl w:ilvl="0" w:tplc="22AEE0D8">
      <w:start w:val="1"/>
      <w:numFmt w:val="lowerLetter"/>
      <w:lvlText w:val="%1."/>
      <w:lvlJc w:val="left"/>
      <w:pPr>
        <w:ind w:left="1210" w:hanging="360"/>
      </w:pPr>
      <w:rPr>
        <w:rFonts w:hint="default"/>
      </w:rPr>
    </w:lvl>
    <w:lvl w:ilvl="1" w:tplc="0C0C0019" w:tentative="1">
      <w:start w:val="1"/>
      <w:numFmt w:val="lowerLetter"/>
      <w:lvlText w:val="%2."/>
      <w:lvlJc w:val="left"/>
      <w:pPr>
        <w:ind w:left="1930" w:hanging="360"/>
      </w:pPr>
    </w:lvl>
    <w:lvl w:ilvl="2" w:tplc="0C0C001B" w:tentative="1">
      <w:start w:val="1"/>
      <w:numFmt w:val="lowerRoman"/>
      <w:lvlText w:val="%3."/>
      <w:lvlJc w:val="right"/>
      <w:pPr>
        <w:ind w:left="2650" w:hanging="180"/>
      </w:pPr>
    </w:lvl>
    <w:lvl w:ilvl="3" w:tplc="0C0C000F" w:tentative="1">
      <w:start w:val="1"/>
      <w:numFmt w:val="decimal"/>
      <w:lvlText w:val="%4."/>
      <w:lvlJc w:val="left"/>
      <w:pPr>
        <w:ind w:left="3370" w:hanging="360"/>
      </w:pPr>
    </w:lvl>
    <w:lvl w:ilvl="4" w:tplc="0C0C0019" w:tentative="1">
      <w:start w:val="1"/>
      <w:numFmt w:val="lowerLetter"/>
      <w:lvlText w:val="%5."/>
      <w:lvlJc w:val="left"/>
      <w:pPr>
        <w:ind w:left="4090" w:hanging="360"/>
      </w:pPr>
    </w:lvl>
    <w:lvl w:ilvl="5" w:tplc="0C0C001B" w:tentative="1">
      <w:start w:val="1"/>
      <w:numFmt w:val="lowerRoman"/>
      <w:lvlText w:val="%6."/>
      <w:lvlJc w:val="right"/>
      <w:pPr>
        <w:ind w:left="4810" w:hanging="180"/>
      </w:pPr>
    </w:lvl>
    <w:lvl w:ilvl="6" w:tplc="0C0C000F" w:tentative="1">
      <w:start w:val="1"/>
      <w:numFmt w:val="decimal"/>
      <w:lvlText w:val="%7."/>
      <w:lvlJc w:val="left"/>
      <w:pPr>
        <w:ind w:left="5530" w:hanging="360"/>
      </w:pPr>
    </w:lvl>
    <w:lvl w:ilvl="7" w:tplc="0C0C0019" w:tentative="1">
      <w:start w:val="1"/>
      <w:numFmt w:val="lowerLetter"/>
      <w:lvlText w:val="%8."/>
      <w:lvlJc w:val="left"/>
      <w:pPr>
        <w:ind w:left="6250" w:hanging="360"/>
      </w:pPr>
    </w:lvl>
    <w:lvl w:ilvl="8" w:tplc="0C0C001B" w:tentative="1">
      <w:start w:val="1"/>
      <w:numFmt w:val="lowerRoman"/>
      <w:lvlText w:val="%9."/>
      <w:lvlJc w:val="right"/>
      <w:pPr>
        <w:ind w:left="6970" w:hanging="180"/>
      </w:pPr>
    </w:lvl>
  </w:abstractNum>
  <w:abstractNum w:abstractNumId="12"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16cid:durableId="1697807377">
    <w:abstractNumId w:val="9"/>
  </w:num>
  <w:num w:numId="2" w16cid:durableId="1675304235">
    <w:abstractNumId w:val="8"/>
  </w:num>
  <w:num w:numId="3" w16cid:durableId="1872260532">
    <w:abstractNumId w:val="7"/>
  </w:num>
  <w:num w:numId="4" w16cid:durableId="1445687152">
    <w:abstractNumId w:val="5"/>
  </w:num>
  <w:num w:numId="5" w16cid:durableId="240213090">
    <w:abstractNumId w:val="12"/>
  </w:num>
  <w:num w:numId="6" w16cid:durableId="1010990589">
    <w:abstractNumId w:val="12"/>
  </w:num>
  <w:num w:numId="7" w16cid:durableId="1601793167">
    <w:abstractNumId w:val="0"/>
  </w:num>
  <w:num w:numId="8" w16cid:durableId="1886915801">
    <w:abstractNumId w:val="4"/>
  </w:num>
  <w:num w:numId="9" w16cid:durableId="462237944">
    <w:abstractNumId w:val="1"/>
  </w:num>
  <w:num w:numId="10" w16cid:durableId="162087752">
    <w:abstractNumId w:val="11"/>
  </w:num>
  <w:num w:numId="11" w16cid:durableId="936333788">
    <w:abstractNumId w:val="6"/>
  </w:num>
  <w:num w:numId="12" w16cid:durableId="751465097">
    <w:abstractNumId w:val="9"/>
  </w:num>
  <w:num w:numId="13" w16cid:durableId="10113614">
    <w:abstractNumId w:val="2"/>
  </w:num>
  <w:num w:numId="14" w16cid:durableId="533084360">
    <w:abstractNumId w:val="3"/>
  </w:num>
  <w:num w:numId="15" w16cid:durableId="13540668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10"/>
    <w:rsid w:val="000034B0"/>
    <w:rsid w:val="000041A1"/>
    <w:rsid w:val="00004426"/>
    <w:rsid w:val="00004A0D"/>
    <w:rsid w:val="00006DD2"/>
    <w:rsid w:val="00010F48"/>
    <w:rsid w:val="0001305E"/>
    <w:rsid w:val="00016D99"/>
    <w:rsid w:val="00021A26"/>
    <w:rsid w:val="00021B30"/>
    <w:rsid w:val="00021E4C"/>
    <w:rsid w:val="00022556"/>
    <w:rsid w:val="00023858"/>
    <w:rsid w:val="00024539"/>
    <w:rsid w:val="00025BDA"/>
    <w:rsid w:val="000352CA"/>
    <w:rsid w:val="000366EC"/>
    <w:rsid w:val="00036794"/>
    <w:rsid w:val="00043E4D"/>
    <w:rsid w:val="000536CC"/>
    <w:rsid w:val="000559A8"/>
    <w:rsid w:val="00055A3E"/>
    <w:rsid w:val="00056393"/>
    <w:rsid w:val="00057739"/>
    <w:rsid w:val="0007225E"/>
    <w:rsid w:val="00074ABE"/>
    <w:rsid w:val="00074EAE"/>
    <w:rsid w:val="000756D0"/>
    <w:rsid w:val="00076D81"/>
    <w:rsid w:val="00080885"/>
    <w:rsid w:val="00082A97"/>
    <w:rsid w:val="0008378A"/>
    <w:rsid w:val="00084B6E"/>
    <w:rsid w:val="0008784D"/>
    <w:rsid w:val="00090018"/>
    <w:rsid w:val="00090306"/>
    <w:rsid w:val="00090F69"/>
    <w:rsid w:val="00093ACD"/>
    <w:rsid w:val="00095814"/>
    <w:rsid w:val="00097D81"/>
    <w:rsid w:val="00097FCE"/>
    <w:rsid w:val="000A1DAC"/>
    <w:rsid w:val="000A4AD0"/>
    <w:rsid w:val="000A5AD1"/>
    <w:rsid w:val="000A63DF"/>
    <w:rsid w:val="000A77C5"/>
    <w:rsid w:val="000B4829"/>
    <w:rsid w:val="000B6275"/>
    <w:rsid w:val="000B7F1B"/>
    <w:rsid w:val="000C2A98"/>
    <w:rsid w:val="000C710F"/>
    <w:rsid w:val="000D2787"/>
    <w:rsid w:val="000D3948"/>
    <w:rsid w:val="000E0C28"/>
    <w:rsid w:val="000E0C3A"/>
    <w:rsid w:val="000E1320"/>
    <w:rsid w:val="000E1A84"/>
    <w:rsid w:val="000E3FF6"/>
    <w:rsid w:val="000E56A6"/>
    <w:rsid w:val="000F20A5"/>
    <w:rsid w:val="000F3423"/>
    <w:rsid w:val="000F5F81"/>
    <w:rsid w:val="000F69D4"/>
    <w:rsid w:val="00100AB8"/>
    <w:rsid w:val="00104550"/>
    <w:rsid w:val="00104C3D"/>
    <w:rsid w:val="001050B4"/>
    <w:rsid w:val="001144AB"/>
    <w:rsid w:val="00115CC1"/>
    <w:rsid w:val="0012224D"/>
    <w:rsid w:val="001225BC"/>
    <w:rsid w:val="00122A9E"/>
    <w:rsid w:val="00122F94"/>
    <w:rsid w:val="0012326A"/>
    <w:rsid w:val="00126AAB"/>
    <w:rsid w:val="00132622"/>
    <w:rsid w:val="00137E7E"/>
    <w:rsid w:val="001407FC"/>
    <w:rsid w:val="00144572"/>
    <w:rsid w:val="00146116"/>
    <w:rsid w:val="00147A49"/>
    <w:rsid w:val="00147B8B"/>
    <w:rsid w:val="0015125A"/>
    <w:rsid w:val="00152464"/>
    <w:rsid w:val="0015539F"/>
    <w:rsid w:val="00160597"/>
    <w:rsid w:val="00162ECC"/>
    <w:rsid w:val="00163914"/>
    <w:rsid w:val="001664C8"/>
    <w:rsid w:val="00167AD0"/>
    <w:rsid w:val="00167DEF"/>
    <w:rsid w:val="00167E9D"/>
    <w:rsid w:val="00173184"/>
    <w:rsid w:val="00175079"/>
    <w:rsid w:val="001761B9"/>
    <w:rsid w:val="00182805"/>
    <w:rsid w:val="00183515"/>
    <w:rsid w:val="001846FC"/>
    <w:rsid w:val="001924FE"/>
    <w:rsid w:val="001965E1"/>
    <w:rsid w:val="001A03BE"/>
    <w:rsid w:val="001A067E"/>
    <w:rsid w:val="001A2900"/>
    <w:rsid w:val="001A4081"/>
    <w:rsid w:val="001A65F1"/>
    <w:rsid w:val="001A7B9E"/>
    <w:rsid w:val="001B2B40"/>
    <w:rsid w:val="001B3E9D"/>
    <w:rsid w:val="001B4A40"/>
    <w:rsid w:val="001B5524"/>
    <w:rsid w:val="001B6D8A"/>
    <w:rsid w:val="001C19D4"/>
    <w:rsid w:val="001C2B0B"/>
    <w:rsid w:val="001C436D"/>
    <w:rsid w:val="001C6A07"/>
    <w:rsid w:val="001D63C8"/>
    <w:rsid w:val="001D65D8"/>
    <w:rsid w:val="001E3DFD"/>
    <w:rsid w:val="001E42F0"/>
    <w:rsid w:val="001E497A"/>
    <w:rsid w:val="001E5E3B"/>
    <w:rsid w:val="001E6D83"/>
    <w:rsid w:val="00225C46"/>
    <w:rsid w:val="00226493"/>
    <w:rsid w:val="00227040"/>
    <w:rsid w:val="00230CFC"/>
    <w:rsid w:val="0023162A"/>
    <w:rsid w:val="00231C1D"/>
    <w:rsid w:val="00232BA1"/>
    <w:rsid w:val="00233532"/>
    <w:rsid w:val="00234BC8"/>
    <w:rsid w:val="00241CED"/>
    <w:rsid w:val="00242FB4"/>
    <w:rsid w:val="00244939"/>
    <w:rsid w:val="00245605"/>
    <w:rsid w:val="002542E0"/>
    <w:rsid w:val="002563F0"/>
    <w:rsid w:val="00256DBB"/>
    <w:rsid w:val="00260119"/>
    <w:rsid w:val="002644B8"/>
    <w:rsid w:val="00266064"/>
    <w:rsid w:val="00267C8D"/>
    <w:rsid w:val="002701DD"/>
    <w:rsid w:val="002710FD"/>
    <w:rsid w:val="00273F49"/>
    <w:rsid w:val="00275726"/>
    <w:rsid w:val="002769B5"/>
    <w:rsid w:val="00276B25"/>
    <w:rsid w:val="00276B59"/>
    <w:rsid w:val="00281319"/>
    <w:rsid w:val="00286149"/>
    <w:rsid w:val="0028668D"/>
    <w:rsid w:val="00290289"/>
    <w:rsid w:val="00292188"/>
    <w:rsid w:val="002923D9"/>
    <w:rsid w:val="00296645"/>
    <w:rsid w:val="00296A4B"/>
    <w:rsid w:val="00297284"/>
    <w:rsid w:val="002A0077"/>
    <w:rsid w:val="002A07DC"/>
    <w:rsid w:val="002A3573"/>
    <w:rsid w:val="002A374B"/>
    <w:rsid w:val="002A73E9"/>
    <w:rsid w:val="002B132B"/>
    <w:rsid w:val="002B2FC3"/>
    <w:rsid w:val="002B35F0"/>
    <w:rsid w:val="002B58AF"/>
    <w:rsid w:val="002C3748"/>
    <w:rsid w:val="002C5E89"/>
    <w:rsid w:val="002D42BC"/>
    <w:rsid w:val="002D71A9"/>
    <w:rsid w:val="002D7846"/>
    <w:rsid w:val="002D7FCB"/>
    <w:rsid w:val="002E05AE"/>
    <w:rsid w:val="002F7507"/>
    <w:rsid w:val="0030059B"/>
    <w:rsid w:val="00302FB4"/>
    <w:rsid w:val="00305273"/>
    <w:rsid w:val="003057FC"/>
    <w:rsid w:val="00305AFB"/>
    <w:rsid w:val="00307C85"/>
    <w:rsid w:val="00312983"/>
    <w:rsid w:val="00323DC5"/>
    <w:rsid w:val="003248CB"/>
    <w:rsid w:val="00331EA7"/>
    <w:rsid w:val="003332B8"/>
    <w:rsid w:val="00337555"/>
    <w:rsid w:val="00343B46"/>
    <w:rsid w:val="00344465"/>
    <w:rsid w:val="003454F3"/>
    <w:rsid w:val="0034740A"/>
    <w:rsid w:val="0035375B"/>
    <w:rsid w:val="00362D74"/>
    <w:rsid w:val="003664E9"/>
    <w:rsid w:val="00366D1E"/>
    <w:rsid w:val="003703A5"/>
    <w:rsid w:val="0037112C"/>
    <w:rsid w:val="00373EE5"/>
    <w:rsid w:val="003817E7"/>
    <w:rsid w:val="00382E55"/>
    <w:rsid w:val="00390B55"/>
    <w:rsid w:val="003961B2"/>
    <w:rsid w:val="003A0AE0"/>
    <w:rsid w:val="003A41AD"/>
    <w:rsid w:val="003A60CF"/>
    <w:rsid w:val="003B0C41"/>
    <w:rsid w:val="003B152B"/>
    <w:rsid w:val="003B1734"/>
    <w:rsid w:val="003B1735"/>
    <w:rsid w:val="003B2D2E"/>
    <w:rsid w:val="003B6CBF"/>
    <w:rsid w:val="003C47A7"/>
    <w:rsid w:val="003D0826"/>
    <w:rsid w:val="003D0FED"/>
    <w:rsid w:val="003D1820"/>
    <w:rsid w:val="003D18FC"/>
    <w:rsid w:val="003D3C93"/>
    <w:rsid w:val="003D71BB"/>
    <w:rsid w:val="003E00D5"/>
    <w:rsid w:val="003E02BA"/>
    <w:rsid w:val="003E1AA2"/>
    <w:rsid w:val="003F0578"/>
    <w:rsid w:val="003F7F38"/>
    <w:rsid w:val="00401325"/>
    <w:rsid w:val="004019AA"/>
    <w:rsid w:val="0040399B"/>
    <w:rsid w:val="00406F0C"/>
    <w:rsid w:val="004106DB"/>
    <w:rsid w:val="00410A9A"/>
    <w:rsid w:val="00411251"/>
    <w:rsid w:val="00412585"/>
    <w:rsid w:val="0041363B"/>
    <w:rsid w:val="00414FA8"/>
    <w:rsid w:val="00415D5D"/>
    <w:rsid w:val="0041643A"/>
    <w:rsid w:val="004232E9"/>
    <w:rsid w:val="0042650F"/>
    <w:rsid w:val="0042684F"/>
    <w:rsid w:val="00427D5D"/>
    <w:rsid w:val="00431E0B"/>
    <w:rsid w:val="004337FE"/>
    <w:rsid w:val="00433E98"/>
    <w:rsid w:val="00435738"/>
    <w:rsid w:val="00437137"/>
    <w:rsid w:val="004403B8"/>
    <w:rsid w:val="00441ADA"/>
    <w:rsid w:val="004422CA"/>
    <w:rsid w:val="00442660"/>
    <w:rsid w:val="0044274C"/>
    <w:rsid w:val="0044371C"/>
    <w:rsid w:val="0044627E"/>
    <w:rsid w:val="0045114F"/>
    <w:rsid w:val="004529D3"/>
    <w:rsid w:val="00453F31"/>
    <w:rsid w:val="00456B0C"/>
    <w:rsid w:val="00460101"/>
    <w:rsid w:val="00463CF0"/>
    <w:rsid w:val="0046538B"/>
    <w:rsid w:val="00471C92"/>
    <w:rsid w:val="004739AC"/>
    <w:rsid w:val="00474489"/>
    <w:rsid w:val="00475FEF"/>
    <w:rsid w:val="0047680F"/>
    <w:rsid w:val="00477536"/>
    <w:rsid w:val="0047776F"/>
    <w:rsid w:val="00482D5B"/>
    <w:rsid w:val="004832E2"/>
    <w:rsid w:val="004870EA"/>
    <w:rsid w:val="004873EC"/>
    <w:rsid w:val="004874BA"/>
    <w:rsid w:val="00487F13"/>
    <w:rsid w:val="0049595F"/>
    <w:rsid w:val="00496193"/>
    <w:rsid w:val="004A02AF"/>
    <w:rsid w:val="004A2D66"/>
    <w:rsid w:val="004A4449"/>
    <w:rsid w:val="004A679B"/>
    <w:rsid w:val="004C0FB4"/>
    <w:rsid w:val="004C1811"/>
    <w:rsid w:val="004C2944"/>
    <w:rsid w:val="004C4555"/>
    <w:rsid w:val="004D16D6"/>
    <w:rsid w:val="004D6CEA"/>
    <w:rsid w:val="004E0E02"/>
    <w:rsid w:val="004E3564"/>
    <w:rsid w:val="004E3D9F"/>
    <w:rsid w:val="004E51C0"/>
    <w:rsid w:val="004E64BE"/>
    <w:rsid w:val="004F6293"/>
    <w:rsid w:val="00503B8D"/>
    <w:rsid w:val="00503EE3"/>
    <w:rsid w:val="00505811"/>
    <w:rsid w:val="00511B73"/>
    <w:rsid w:val="0051261C"/>
    <w:rsid w:val="00515DE7"/>
    <w:rsid w:val="00515EEE"/>
    <w:rsid w:val="00517EB0"/>
    <w:rsid w:val="005205CB"/>
    <w:rsid w:val="0052430C"/>
    <w:rsid w:val="005245C5"/>
    <w:rsid w:val="005346A3"/>
    <w:rsid w:val="005348E4"/>
    <w:rsid w:val="00534D8F"/>
    <w:rsid w:val="005352F1"/>
    <w:rsid w:val="00540094"/>
    <w:rsid w:val="005433D0"/>
    <w:rsid w:val="00545CFF"/>
    <w:rsid w:val="00547A9C"/>
    <w:rsid w:val="00555800"/>
    <w:rsid w:val="00556DBB"/>
    <w:rsid w:val="00560781"/>
    <w:rsid w:val="0056268F"/>
    <w:rsid w:val="005662E9"/>
    <w:rsid w:val="005700F8"/>
    <w:rsid w:val="00572AAF"/>
    <w:rsid w:val="005801AE"/>
    <w:rsid w:val="00582868"/>
    <w:rsid w:val="005828CD"/>
    <w:rsid w:val="00582ECC"/>
    <w:rsid w:val="00582FCB"/>
    <w:rsid w:val="0058399B"/>
    <w:rsid w:val="0058692F"/>
    <w:rsid w:val="00587045"/>
    <w:rsid w:val="00587C22"/>
    <w:rsid w:val="005907BE"/>
    <w:rsid w:val="0059436D"/>
    <w:rsid w:val="005945C0"/>
    <w:rsid w:val="00596AB2"/>
    <w:rsid w:val="00597016"/>
    <w:rsid w:val="005974B7"/>
    <w:rsid w:val="005A0D51"/>
    <w:rsid w:val="005A181B"/>
    <w:rsid w:val="005A1CB3"/>
    <w:rsid w:val="005A3073"/>
    <w:rsid w:val="005A33A5"/>
    <w:rsid w:val="005A37D7"/>
    <w:rsid w:val="005A4B53"/>
    <w:rsid w:val="005A5437"/>
    <w:rsid w:val="005A6969"/>
    <w:rsid w:val="005A70A0"/>
    <w:rsid w:val="005B0612"/>
    <w:rsid w:val="005B13F0"/>
    <w:rsid w:val="005B2E0C"/>
    <w:rsid w:val="005B30F6"/>
    <w:rsid w:val="005B45BA"/>
    <w:rsid w:val="005B5689"/>
    <w:rsid w:val="005B6680"/>
    <w:rsid w:val="005B6774"/>
    <w:rsid w:val="005C0A89"/>
    <w:rsid w:val="005C3BC4"/>
    <w:rsid w:val="005D26CC"/>
    <w:rsid w:val="005D4062"/>
    <w:rsid w:val="005D4711"/>
    <w:rsid w:val="005D59B1"/>
    <w:rsid w:val="005D764B"/>
    <w:rsid w:val="005E2367"/>
    <w:rsid w:val="005E34D2"/>
    <w:rsid w:val="005E5E90"/>
    <w:rsid w:val="005E62C7"/>
    <w:rsid w:val="005E654C"/>
    <w:rsid w:val="005F05F6"/>
    <w:rsid w:val="005F0D07"/>
    <w:rsid w:val="00605734"/>
    <w:rsid w:val="0061488E"/>
    <w:rsid w:val="0061574B"/>
    <w:rsid w:val="00616406"/>
    <w:rsid w:val="00622670"/>
    <w:rsid w:val="00623328"/>
    <w:rsid w:val="006239D5"/>
    <w:rsid w:val="00623A1A"/>
    <w:rsid w:val="00626E8D"/>
    <w:rsid w:val="0063156B"/>
    <w:rsid w:val="006326A9"/>
    <w:rsid w:val="00632DA8"/>
    <w:rsid w:val="00634C4B"/>
    <w:rsid w:val="00634E6E"/>
    <w:rsid w:val="0063651F"/>
    <w:rsid w:val="0064342A"/>
    <w:rsid w:val="00643632"/>
    <w:rsid w:val="00643A28"/>
    <w:rsid w:val="006452FA"/>
    <w:rsid w:val="0065093D"/>
    <w:rsid w:val="00652A16"/>
    <w:rsid w:val="00655193"/>
    <w:rsid w:val="00655459"/>
    <w:rsid w:val="00656FB2"/>
    <w:rsid w:val="00657A70"/>
    <w:rsid w:val="00661454"/>
    <w:rsid w:val="006620AA"/>
    <w:rsid w:val="006626AF"/>
    <w:rsid w:val="0066642D"/>
    <w:rsid w:val="006722E2"/>
    <w:rsid w:val="00675E85"/>
    <w:rsid w:val="0067750F"/>
    <w:rsid w:val="00681305"/>
    <w:rsid w:val="00681396"/>
    <w:rsid w:val="0068171F"/>
    <w:rsid w:val="00681F6F"/>
    <w:rsid w:val="0068401E"/>
    <w:rsid w:val="006841A4"/>
    <w:rsid w:val="0068643F"/>
    <w:rsid w:val="006877A1"/>
    <w:rsid w:val="00692150"/>
    <w:rsid w:val="00692F0C"/>
    <w:rsid w:val="006944B0"/>
    <w:rsid w:val="00696E7C"/>
    <w:rsid w:val="00696EF2"/>
    <w:rsid w:val="006A0C54"/>
    <w:rsid w:val="006A3E54"/>
    <w:rsid w:val="006A7C53"/>
    <w:rsid w:val="006B140A"/>
    <w:rsid w:val="006B309C"/>
    <w:rsid w:val="006B4316"/>
    <w:rsid w:val="006B727F"/>
    <w:rsid w:val="006C1B57"/>
    <w:rsid w:val="006C6D3A"/>
    <w:rsid w:val="006C7B36"/>
    <w:rsid w:val="006C7B7F"/>
    <w:rsid w:val="006D19E8"/>
    <w:rsid w:val="006D7768"/>
    <w:rsid w:val="006E04B5"/>
    <w:rsid w:val="006E330C"/>
    <w:rsid w:val="006E3DD8"/>
    <w:rsid w:val="006E793F"/>
    <w:rsid w:val="006F0154"/>
    <w:rsid w:val="006F1D96"/>
    <w:rsid w:val="006F5C66"/>
    <w:rsid w:val="006F608D"/>
    <w:rsid w:val="006F7944"/>
    <w:rsid w:val="00704121"/>
    <w:rsid w:val="00705BB5"/>
    <w:rsid w:val="0071326F"/>
    <w:rsid w:val="007153D7"/>
    <w:rsid w:val="00720ED4"/>
    <w:rsid w:val="00722736"/>
    <w:rsid w:val="007315F8"/>
    <w:rsid w:val="0074488F"/>
    <w:rsid w:val="00745AA8"/>
    <w:rsid w:val="007503E0"/>
    <w:rsid w:val="007510EC"/>
    <w:rsid w:val="0075233C"/>
    <w:rsid w:val="0075256A"/>
    <w:rsid w:val="00752DCD"/>
    <w:rsid w:val="007546DB"/>
    <w:rsid w:val="007569DE"/>
    <w:rsid w:val="0075723C"/>
    <w:rsid w:val="0076146A"/>
    <w:rsid w:val="0076350E"/>
    <w:rsid w:val="00763F36"/>
    <w:rsid w:val="0076735D"/>
    <w:rsid w:val="00775BDF"/>
    <w:rsid w:val="0077614D"/>
    <w:rsid w:val="00777DF1"/>
    <w:rsid w:val="00782C8F"/>
    <w:rsid w:val="00785F78"/>
    <w:rsid w:val="0078659D"/>
    <w:rsid w:val="007869EC"/>
    <w:rsid w:val="00790604"/>
    <w:rsid w:val="00791ED8"/>
    <w:rsid w:val="00793E0B"/>
    <w:rsid w:val="007A1E58"/>
    <w:rsid w:val="007A5C7E"/>
    <w:rsid w:val="007A63F9"/>
    <w:rsid w:val="007A69A9"/>
    <w:rsid w:val="007A6E2F"/>
    <w:rsid w:val="007B0DF2"/>
    <w:rsid w:val="007B3BC5"/>
    <w:rsid w:val="007B5F81"/>
    <w:rsid w:val="007B6F8D"/>
    <w:rsid w:val="007C1832"/>
    <w:rsid w:val="007D03DF"/>
    <w:rsid w:val="007D4953"/>
    <w:rsid w:val="007D50F4"/>
    <w:rsid w:val="007D7173"/>
    <w:rsid w:val="007E1216"/>
    <w:rsid w:val="007E4CD4"/>
    <w:rsid w:val="007E530C"/>
    <w:rsid w:val="007F0E8E"/>
    <w:rsid w:val="007F2149"/>
    <w:rsid w:val="007F4E00"/>
    <w:rsid w:val="007F5885"/>
    <w:rsid w:val="008048CF"/>
    <w:rsid w:val="008079DD"/>
    <w:rsid w:val="0081130F"/>
    <w:rsid w:val="00813095"/>
    <w:rsid w:val="008145AD"/>
    <w:rsid w:val="008146B2"/>
    <w:rsid w:val="00823FE8"/>
    <w:rsid w:val="00824430"/>
    <w:rsid w:val="00825B1F"/>
    <w:rsid w:val="00827D55"/>
    <w:rsid w:val="00832C84"/>
    <w:rsid w:val="00840EDD"/>
    <w:rsid w:val="00841F17"/>
    <w:rsid w:val="0084255F"/>
    <w:rsid w:val="00846FB1"/>
    <w:rsid w:val="00854FB3"/>
    <w:rsid w:val="00857FCA"/>
    <w:rsid w:val="00860F13"/>
    <w:rsid w:val="0086199C"/>
    <w:rsid w:val="00861F8B"/>
    <w:rsid w:val="0086561F"/>
    <w:rsid w:val="00865A7A"/>
    <w:rsid w:val="00865FE1"/>
    <w:rsid w:val="0087069B"/>
    <w:rsid w:val="00874542"/>
    <w:rsid w:val="008748C7"/>
    <w:rsid w:val="0087521A"/>
    <w:rsid w:val="008808C0"/>
    <w:rsid w:val="00881687"/>
    <w:rsid w:val="00882255"/>
    <w:rsid w:val="00890BDE"/>
    <w:rsid w:val="00892AD3"/>
    <w:rsid w:val="00894155"/>
    <w:rsid w:val="008962E7"/>
    <w:rsid w:val="008A1118"/>
    <w:rsid w:val="008A281F"/>
    <w:rsid w:val="008A3987"/>
    <w:rsid w:val="008A48D2"/>
    <w:rsid w:val="008A4AF6"/>
    <w:rsid w:val="008A4FF8"/>
    <w:rsid w:val="008A5ED1"/>
    <w:rsid w:val="008A73CE"/>
    <w:rsid w:val="008A7FD1"/>
    <w:rsid w:val="008B042E"/>
    <w:rsid w:val="008B1B2A"/>
    <w:rsid w:val="008B211E"/>
    <w:rsid w:val="008B6D48"/>
    <w:rsid w:val="008C7660"/>
    <w:rsid w:val="008C79A7"/>
    <w:rsid w:val="008D5521"/>
    <w:rsid w:val="008D555F"/>
    <w:rsid w:val="008D625D"/>
    <w:rsid w:val="008D650E"/>
    <w:rsid w:val="008D6F9F"/>
    <w:rsid w:val="008E2D0C"/>
    <w:rsid w:val="008E3A32"/>
    <w:rsid w:val="008E673E"/>
    <w:rsid w:val="008E67D1"/>
    <w:rsid w:val="008E6A41"/>
    <w:rsid w:val="008E6FC1"/>
    <w:rsid w:val="008F15D5"/>
    <w:rsid w:val="008F20EA"/>
    <w:rsid w:val="008F79C4"/>
    <w:rsid w:val="00903990"/>
    <w:rsid w:val="009042A8"/>
    <w:rsid w:val="00904950"/>
    <w:rsid w:val="0091442E"/>
    <w:rsid w:val="00915710"/>
    <w:rsid w:val="00915E5E"/>
    <w:rsid w:val="009166B8"/>
    <w:rsid w:val="00916FA5"/>
    <w:rsid w:val="00917915"/>
    <w:rsid w:val="00920684"/>
    <w:rsid w:val="009216E6"/>
    <w:rsid w:val="009224EC"/>
    <w:rsid w:val="00922DB7"/>
    <w:rsid w:val="0092684A"/>
    <w:rsid w:val="00927654"/>
    <w:rsid w:val="00937FAB"/>
    <w:rsid w:val="0094094D"/>
    <w:rsid w:val="00942982"/>
    <w:rsid w:val="00942AB8"/>
    <w:rsid w:val="0094548C"/>
    <w:rsid w:val="00945CAF"/>
    <w:rsid w:val="00946AC9"/>
    <w:rsid w:val="00947448"/>
    <w:rsid w:val="00952B38"/>
    <w:rsid w:val="00952C99"/>
    <w:rsid w:val="00955DFC"/>
    <w:rsid w:val="009619EB"/>
    <w:rsid w:val="00965333"/>
    <w:rsid w:val="009712EF"/>
    <w:rsid w:val="00971F77"/>
    <w:rsid w:val="009727BF"/>
    <w:rsid w:val="00973321"/>
    <w:rsid w:val="00975C2E"/>
    <w:rsid w:val="009770EB"/>
    <w:rsid w:val="00977270"/>
    <w:rsid w:val="00981C8B"/>
    <w:rsid w:val="009824F2"/>
    <w:rsid w:val="00983080"/>
    <w:rsid w:val="00986AA3"/>
    <w:rsid w:val="00993B24"/>
    <w:rsid w:val="0099611F"/>
    <w:rsid w:val="009A083F"/>
    <w:rsid w:val="009A135C"/>
    <w:rsid w:val="009A2211"/>
    <w:rsid w:val="009A67E7"/>
    <w:rsid w:val="009B57CE"/>
    <w:rsid w:val="009C603A"/>
    <w:rsid w:val="009C74CD"/>
    <w:rsid w:val="009D048F"/>
    <w:rsid w:val="009D162F"/>
    <w:rsid w:val="009D23FF"/>
    <w:rsid w:val="009D401F"/>
    <w:rsid w:val="009D5B42"/>
    <w:rsid w:val="009D68FA"/>
    <w:rsid w:val="009E1E4F"/>
    <w:rsid w:val="009E32CF"/>
    <w:rsid w:val="009E4261"/>
    <w:rsid w:val="009E4FC2"/>
    <w:rsid w:val="009F44AE"/>
    <w:rsid w:val="009F59B9"/>
    <w:rsid w:val="00A02529"/>
    <w:rsid w:val="00A02EF2"/>
    <w:rsid w:val="00A04A1D"/>
    <w:rsid w:val="00A04D5E"/>
    <w:rsid w:val="00A10DDF"/>
    <w:rsid w:val="00A11172"/>
    <w:rsid w:val="00A1219E"/>
    <w:rsid w:val="00A12E55"/>
    <w:rsid w:val="00A168D7"/>
    <w:rsid w:val="00A20F81"/>
    <w:rsid w:val="00A21B8F"/>
    <w:rsid w:val="00A2411A"/>
    <w:rsid w:val="00A242E4"/>
    <w:rsid w:val="00A24437"/>
    <w:rsid w:val="00A24CA0"/>
    <w:rsid w:val="00A24F19"/>
    <w:rsid w:val="00A25D4B"/>
    <w:rsid w:val="00A33601"/>
    <w:rsid w:val="00A3362A"/>
    <w:rsid w:val="00A33C3F"/>
    <w:rsid w:val="00A33FBD"/>
    <w:rsid w:val="00A34251"/>
    <w:rsid w:val="00A35278"/>
    <w:rsid w:val="00A36257"/>
    <w:rsid w:val="00A37045"/>
    <w:rsid w:val="00A37B70"/>
    <w:rsid w:val="00A40AC7"/>
    <w:rsid w:val="00A435C7"/>
    <w:rsid w:val="00A55607"/>
    <w:rsid w:val="00A569B2"/>
    <w:rsid w:val="00A60CDA"/>
    <w:rsid w:val="00A611A4"/>
    <w:rsid w:val="00A61F09"/>
    <w:rsid w:val="00A637ED"/>
    <w:rsid w:val="00A63E1A"/>
    <w:rsid w:val="00A643DC"/>
    <w:rsid w:val="00A6695B"/>
    <w:rsid w:val="00A72703"/>
    <w:rsid w:val="00A727F6"/>
    <w:rsid w:val="00A72E71"/>
    <w:rsid w:val="00A76432"/>
    <w:rsid w:val="00A770C0"/>
    <w:rsid w:val="00A84FC6"/>
    <w:rsid w:val="00A8528E"/>
    <w:rsid w:val="00A86754"/>
    <w:rsid w:val="00A90BD9"/>
    <w:rsid w:val="00A9101B"/>
    <w:rsid w:val="00A94A49"/>
    <w:rsid w:val="00A95C5E"/>
    <w:rsid w:val="00A97932"/>
    <w:rsid w:val="00AA1815"/>
    <w:rsid w:val="00AA1D3E"/>
    <w:rsid w:val="00AA20E7"/>
    <w:rsid w:val="00AA39F9"/>
    <w:rsid w:val="00AA79D3"/>
    <w:rsid w:val="00AB0931"/>
    <w:rsid w:val="00AB175D"/>
    <w:rsid w:val="00AB4B22"/>
    <w:rsid w:val="00AB4DC4"/>
    <w:rsid w:val="00AB5C9B"/>
    <w:rsid w:val="00AC0159"/>
    <w:rsid w:val="00AC0276"/>
    <w:rsid w:val="00AC0312"/>
    <w:rsid w:val="00AC0449"/>
    <w:rsid w:val="00AC0DC3"/>
    <w:rsid w:val="00AD035F"/>
    <w:rsid w:val="00AD0CE3"/>
    <w:rsid w:val="00AD2497"/>
    <w:rsid w:val="00AD5C04"/>
    <w:rsid w:val="00AD5EB4"/>
    <w:rsid w:val="00AD667B"/>
    <w:rsid w:val="00AE134F"/>
    <w:rsid w:val="00AE63E2"/>
    <w:rsid w:val="00AE7976"/>
    <w:rsid w:val="00AF04C9"/>
    <w:rsid w:val="00AF19A2"/>
    <w:rsid w:val="00AF1DC4"/>
    <w:rsid w:val="00AF26B6"/>
    <w:rsid w:val="00AF2979"/>
    <w:rsid w:val="00AF3189"/>
    <w:rsid w:val="00AF5BF8"/>
    <w:rsid w:val="00B0155A"/>
    <w:rsid w:val="00B0375C"/>
    <w:rsid w:val="00B052CB"/>
    <w:rsid w:val="00B12052"/>
    <w:rsid w:val="00B156C3"/>
    <w:rsid w:val="00B15F67"/>
    <w:rsid w:val="00B1624F"/>
    <w:rsid w:val="00B20F5D"/>
    <w:rsid w:val="00B21184"/>
    <w:rsid w:val="00B224C5"/>
    <w:rsid w:val="00B325CD"/>
    <w:rsid w:val="00B36C0F"/>
    <w:rsid w:val="00B37793"/>
    <w:rsid w:val="00B41203"/>
    <w:rsid w:val="00B4561E"/>
    <w:rsid w:val="00B4768D"/>
    <w:rsid w:val="00B518E5"/>
    <w:rsid w:val="00B51E1F"/>
    <w:rsid w:val="00B52601"/>
    <w:rsid w:val="00B56E38"/>
    <w:rsid w:val="00B57032"/>
    <w:rsid w:val="00B60222"/>
    <w:rsid w:val="00B62CFB"/>
    <w:rsid w:val="00B66029"/>
    <w:rsid w:val="00B662F5"/>
    <w:rsid w:val="00B7000C"/>
    <w:rsid w:val="00B75C0E"/>
    <w:rsid w:val="00B760D5"/>
    <w:rsid w:val="00B77495"/>
    <w:rsid w:val="00B80B56"/>
    <w:rsid w:val="00B8166A"/>
    <w:rsid w:val="00B83B2C"/>
    <w:rsid w:val="00B85A6A"/>
    <w:rsid w:val="00B92049"/>
    <w:rsid w:val="00B94740"/>
    <w:rsid w:val="00B95002"/>
    <w:rsid w:val="00B97F75"/>
    <w:rsid w:val="00BA0A4F"/>
    <w:rsid w:val="00BA1CAE"/>
    <w:rsid w:val="00BA33BB"/>
    <w:rsid w:val="00BA4830"/>
    <w:rsid w:val="00BA6E22"/>
    <w:rsid w:val="00BB1460"/>
    <w:rsid w:val="00BB362C"/>
    <w:rsid w:val="00BB5942"/>
    <w:rsid w:val="00BC0A03"/>
    <w:rsid w:val="00BC1273"/>
    <w:rsid w:val="00BC4A42"/>
    <w:rsid w:val="00BC5BB4"/>
    <w:rsid w:val="00BD3D9E"/>
    <w:rsid w:val="00BD4139"/>
    <w:rsid w:val="00BE059A"/>
    <w:rsid w:val="00BE1981"/>
    <w:rsid w:val="00BE2DA6"/>
    <w:rsid w:val="00BE2E86"/>
    <w:rsid w:val="00BE320B"/>
    <w:rsid w:val="00BE56E9"/>
    <w:rsid w:val="00BE63CF"/>
    <w:rsid w:val="00BE7014"/>
    <w:rsid w:val="00BE7991"/>
    <w:rsid w:val="00BF25C7"/>
    <w:rsid w:val="00BF583B"/>
    <w:rsid w:val="00C009B7"/>
    <w:rsid w:val="00C02B8F"/>
    <w:rsid w:val="00C04E32"/>
    <w:rsid w:val="00C05DFA"/>
    <w:rsid w:val="00C116B1"/>
    <w:rsid w:val="00C15A3F"/>
    <w:rsid w:val="00C20630"/>
    <w:rsid w:val="00C216C4"/>
    <w:rsid w:val="00C224A4"/>
    <w:rsid w:val="00C22F7A"/>
    <w:rsid w:val="00C2666F"/>
    <w:rsid w:val="00C32020"/>
    <w:rsid w:val="00C32099"/>
    <w:rsid w:val="00C32D02"/>
    <w:rsid w:val="00C333C7"/>
    <w:rsid w:val="00C3408C"/>
    <w:rsid w:val="00C34793"/>
    <w:rsid w:val="00C3484D"/>
    <w:rsid w:val="00C351CC"/>
    <w:rsid w:val="00C35435"/>
    <w:rsid w:val="00C4296A"/>
    <w:rsid w:val="00C432FD"/>
    <w:rsid w:val="00C43709"/>
    <w:rsid w:val="00C43CDF"/>
    <w:rsid w:val="00C4608E"/>
    <w:rsid w:val="00C470C2"/>
    <w:rsid w:val="00C512B2"/>
    <w:rsid w:val="00C53B5D"/>
    <w:rsid w:val="00C571FB"/>
    <w:rsid w:val="00C57381"/>
    <w:rsid w:val="00C61D56"/>
    <w:rsid w:val="00C62B69"/>
    <w:rsid w:val="00C644B7"/>
    <w:rsid w:val="00C64564"/>
    <w:rsid w:val="00C66D6F"/>
    <w:rsid w:val="00C71377"/>
    <w:rsid w:val="00C73C87"/>
    <w:rsid w:val="00C74B6F"/>
    <w:rsid w:val="00C87EF3"/>
    <w:rsid w:val="00C9015F"/>
    <w:rsid w:val="00C912F9"/>
    <w:rsid w:val="00C91B22"/>
    <w:rsid w:val="00C9241B"/>
    <w:rsid w:val="00C9370B"/>
    <w:rsid w:val="00C96DDF"/>
    <w:rsid w:val="00C97569"/>
    <w:rsid w:val="00CA199D"/>
    <w:rsid w:val="00CA4D9C"/>
    <w:rsid w:val="00CA4FE8"/>
    <w:rsid w:val="00CB05A7"/>
    <w:rsid w:val="00CB06A4"/>
    <w:rsid w:val="00CB325B"/>
    <w:rsid w:val="00CB3EFF"/>
    <w:rsid w:val="00CB64FF"/>
    <w:rsid w:val="00CB7078"/>
    <w:rsid w:val="00CB711D"/>
    <w:rsid w:val="00CB735D"/>
    <w:rsid w:val="00CB7902"/>
    <w:rsid w:val="00CC014B"/>
    <w:rsid w:val="00CC0E81"/>
    <w:rsid w:val="00CC21D8"/>
    <w:rsid w:val="00CC3369"/>
    <w:rsid w:val="00CC4719"/>
    <w:rsid w:val="00CC5343"/>
    <w:rsid w:val="00CC59D7"/>
    <w:rsid w:val="00CC6338"/>
    <w:rsid w:val="00CC78DE"/>
    <w:rsid w:val="00CD04D9"/>
    <w:rsid w:val="00CD0F93"/>
    <w:rsid w:val="00CD6D6E"/>
    <w:rsid w:val="00CD6F23"/>
    <w:rsid w:val="00CD725F"/>
    <w:rsid w:val="00CF640B"/>
    <w:rsid w:val="00CF6B5A"/>
    <w:rsid w:val="00D000CC"/>
    <w:rsid w:val="00D027AF"/>
    <w:rsid w:val="00D0323E"/>
    <w:rsid w:val="00D06652"/>
    <w:rsid w:val="00D07FA6"/>
    <w:rsid w:val="00D16ADF"/>
    <w:rsid w:val="00D17C53"/>
    <w:rsid w:val="00D17D57"/>
    <w:rsid w:val="00D2341D"/>
    <w:rsid w:val="00D252DA"/>
    <w:rsid w:val="00D25E0E"/>
    <w:rsid w:val="00D302EB"/>
    <w:rsid w:val="00D31679"/>
    <w:rsid w:val="00D320C8"/>
    <w:rsid w:val="00D330B6"/>
    <w:rsid w:val="00D3672F"/>
    <w:rsid w:val="00D40ABA"/>
    <w:rsid w:val="00D40FE2"/>
    <w:rsid w:val="00D440FA"/>
    <w:rsid w:val="00D44BCF"/>
    <w:rsid w:val="00D46E73"/>
    <w:rsid w:val="00D5548D"/>
    <w:rsid w:val="00D56572"/>
    <w:rsid w:val="00D60F81"/>
    <w:rsid w:val="00D63951"/>
    <w:rsid w:val="00D63BF2"/>
    <w:rsid w:val="00D66EB1"/>
    <w:rsid w:val="00D67348"/>
    <w:rsid w:val="00D70A26"/>
    <w:rsid w:val="00D73BB4"/>
    <w:rsid w:val="00D75FEC"/>
    <w:rsid w:val="00D76B98"/>
    <w:rsid w:val="00D82E63"/>
    <w:rsid w:val="00D835A0"/>
    <w:rsid w:val="00D86905"/>
    <w:rsid w:val="00D86F2C"/>
    <w:rsid w:val="00D871E5"/>
    <w:rsid w:val="00D94301"/>
    <w:rsid w:val="00D949DB"/>
    <w:rsid w:val="00D96248"/>
    <w:rsid w:val="00DA0680"/>
    <w:rsid w:val="00DA36F6"/>
    <w:rsid w:val="00DA48F0"/>
    <w:rsid w:val="00DB0C8D"/>
    <w:rsid w:val="00DB144D"/>
    <w:rsid w:val="00DB6AF2"/>
    <w:rsid w:val="00DC1599"/>
    <w:rsid w:val="00DC1611"/>
    <w:rsid w:val="00DD3C53"/>
    <w:rsid w:val="00DD6B73"/>
    <w:rsid w:val="00DE745D"/>
    <w:rsid w:val="00DF0774"/>
    <w:rsid w:val="00DF1036"/>
    <w:rsid w:val="00DF356E"/>
    <w:rsid w:val="00DF4644"/>
    <w:rsid w:val="00DF68F6"/>
    <w:rsid w:val="00DF7A83"/>
    <w:rsid w:val="00E012B4"/>
    <w:rsid w:val="00E05451"/>
    <w:rsid w:val="00E05651"/>
    <w:rsid w:val="00E100F6"/>
    <w:rsid w:val="00E11BA5"/>
    <w:rsid w:val="00E17CBD"/>
    <w:rsid w:val="00E17DA4"/>
    <w:rsid w:val="00E20425"/>
    <w:rsid w:val="00E21768"/>
    <w:rsid w:val="00E25DCB"/>
    <w:rsid w:val="00E2613B"/>
    <w:rsid w:val="00E313DF"/>
    <w:rsid w:val="00E330E0"/>
    <w:rsid w:val="00E36C70"/>
    <w:rsid w:val="00E4156E"/>
    <w:rsid w:val="00E44D61"/>
    <w:rsid w:val="00E453F2"/>
    <w:rsid w:val="00E460AD"/>
    <w:rsid w:val="00E46F07"/>
    <w:rsid w:val="00E61925"/>
    <w:rsid w:val="00E6363B"/>
    <w:rsid w:val="00E64817"/>
    <w:rsid w:val="00E65C0E"/>
    <w:rsid w:val="00E65FB9"/>
    <w:rsid w:val="00E730FC"/>
    <w:rsid w:val="00E746F0"/>
    <w:rsid w:val="00E753F2"/>
    <w:rsid w:val="00E809B9"/>
    <w:rsid w:val="00E82A15"/>
    <w:rsid w:val="00E85445"/>
    <w:rsid w:val="00E87589"/>
    <w:rsid w:val="00E90E4D"/>
    <w:rsid w:val="00E938FF"/>
    <w:rsid w:val="00E93DFE"/>
    <w:rsid w:val="00EA19C9"/>
    <w:rsid w:val="00EA2124"/>
    <w:rsid w:val="00EA2B12"/>
    <w:rsid w:val="00EA34DC"/>
    <w:rsid w:val="00EA456C"/>
    <w:rsid w:val="00EA5017"/>
    <w:rsid w:val="00EA6BED"/>
    <w:rsid w:val="00EB14F0"/>
    <w:rsid w:val="00EB3844"/>
    <w:rsid w:val="00EB4B31"/>
    <w:rsid w:val="00EB5A9F"/>
    <w:rsid w:val="00EB64A7"/>
    <w:rsid w:val="00EC573F"/>
    <w:rsid w:val="00EC5C8D"/>
    <w:rsid w:val="00ED106C"/>
    <w:rsid w:val="00ED2D34"/>
    <w:rsid w:val="00ED4805"/>
    <w:rsid w:val="00ED57F6"/>
    <w:rsid w:val="00ED6C51"/>
    <w:rsid w:val="00ED6DA1"/>
    <w:rsid w:val="00EF0852"/>
    <w:rsid w:val="00EF0AF8"/>
    <w:rsid w:val="00EF207D"/>
    <w:rsid w:val="00EF29F1"/>
    <w:rsid w:val="00EF4258"/>
    <w:rsid w:val="00EF6D31"/>
    <w:rsid w:val="00F02237"/>
    <w:rsid w:val="00F046F1"/>
    <w:rsid w:val="00F072E2"/>
    <w:rsid w:val="00F079A6"/>
    <w:rsid w:val="00F10236"/>
    <w:rsid w:val="00F15811"/>
    <w:rsid w:val="00F22423"/>
    <w:rsid w:val="00F24C72"/>
    <w:rsid w:val="00F30267"/>
    <w:rsid w:val="00F31D22"/>
    <w:rsid w:val="00F348B2"/>
    <w:rsid w:val="00F34BF0"/>
    <w:rsid w:val="00F34ED8"/>
    <w:rsid w:val="00F4095A"/>
    <w:rsid w:val="00F452CC"/>
    <w:rsid w:val="00F45845"/>
    <w:rsid w:val="00F50189"/>
    <w:rsid w:val="00F508FC"/>
    <w:rsid w:val="00F510B7"/>
    <w:rsid w:val="00F53571"/>
    <w:rsid w:val="00F54044"/>
    <w:rsid w:val="00F576E7"/>
    <w:rsid w:val="00F73D1C"/>
    <w:rsid w:val="00F763FC"/>
    <w:rsid w:val="00F76B4A"/>
    <w:rsid w:val="00F772C1"/>
    <w:rsid w:val="00F8026D"/>
    <w:rsid w:val="00F8240A"/>
    <w:rsid w:val="00F8245F"/>
    <w:rsid w:val="00F82E40"/>
    <w:rsid w:val="00F91629"/>
    <w:rsid w:val="00F91E2A"/>
    <w:rsid w:val="00F96C39"/>
    <w:rsid w:val="00F96E41"/>
    <w:rsid w:val="00FA153F"/>
    <w:rsid w:val="00FA1D78"/>
    <w:rsid w:val="00FA1F7E"/>
    <w:rsid w:val="00FA280F"/>
    <w:rsid w:val="00FA2D56"/>
    <w:rsid w:val="00FA5289"/>
    <w:rsid w:val="00FA6213"/>
    <w:rsid w:val="00FB2186"/>
    <w:rsid w:val="00FB43D6"/>
    <w:rsid w:val="00FB7E03"/>
    <w:rsid w:val="00FD0133"/>
    <w:rsid w:val="00FD25FE"/>
    <w:rsid w:val="00FD455D"/>
    <w:rsid w:val="00FD6206"/>
    <w:rsid w:val="00FE1318"/>
    <w:rsid w:val="00FE208F"/>
    <w:rsid w:val="00FE54CD"/>
    <w:rsid w:val="00FE6DF6"/>
    <w:rsid w:val="00FF32C3"/>
    <w:rsid w:val="00FF3F8B"/>
    <w:rsid w:val="00FF6168"/>
    <w:rsid w:val="00FF777A"/>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E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corpsdedcision"/>
    <w:link w:val="Heading1Char"/>
    <w:qFormat/>
    <w:rsid w:val="00F96E41"/>
    <w:pPr>
      <w:keepNext/>
      <w:spacing w:before="240" w:after="240"/>
      <w:outlineLvl w:val="0"/>
    </w:pPr>
    <w:rPr>
      <w:rFonts w:cs="Arial"/>
      <w:b/>
      <w:bCs/>
      <w:caps/>
      <w:kern w:val="32"/>
      <w:szCs w:val="32"/>
      <w:u w:val="single"/>
      <w:lang w:eastAsia="fr-FR"/>
    </w:rPr>
  </w:style>
  <w:style w:type="paragraph" w:styleId="Heading2">
    <w:name w:val="heading 2"/>
    <w:basedOn w:val="Normal"/>
    <w:next w:val="corpsdedcision"/>
    <w:qFormat/>
    <w:rsid w:val="0047680F"/>
    <w:pPr>
      <w:keepNext/>
      <w:spacing w:before="240" w:after="240"/>
      <w:outlineLvl w:val="1"/>
    </w:pPr>
    <w:rPr>
      <w:rFonts w:cs="Arial"/>
      <w:bCs/>
      <w:iCs/>
      <w:caps/>
      <w:szCs w:val="28"/>
      <w:lang w:eastAsia="fr-FR"/>
    </w:rPr>
  </w:style>
  <w:style w:type="paragraph" w:styleId="Heading3">
    <w:name w:val="heading 3"/>
    <w:basedOn w:val="Normal"/>
    <w:next w:val="corpsdedcision"/>
    <w:qFormat/>
    <w:rsid w:val="00EA456C"/>
    <w:pPr>
      <w:keepNext/>
      <w:spacing w:before="240" w:after="240"/>
      <w:outlineLvl w:val="2"/>
    </w:pPr>
    <w:rPr>
      <w:rFonts w:cs="Arial"/>
      <w:b/>
      <w:szCs w:val="24"/>
      <w:lang w:eastAsia="fr-FR"/>
    </w:rPr>
  </w:style>
  <w:style w:type="paragraph" w:styleId="Heading4">
    <w:name w:val="heading 4"/>
    <w:basedOn w:val="Normal"/>
    <w:next w:val="corpsdedcision"/>
    <w:qFormat/>
    <w:rsid w:val="008F15D5"/>
    <w:pPr>
      <w:keepNext/>
      <w:spacing w:before="240" w:after="240"/>
      <w:outlineLvl w:val="3"/>
    </w:pPr>
    <w:rPr>
      <w:rFonts w:cs="Arial"/>
      <w:szCs w:val="24"/>
      <w:u w:val="single"/>
      <w:lang w:eastAsia="fr-FR"/>
    </w:rPr>
  </w:style>
  <w:style w:type="paragraph" w:styleId="Heading5">
    <w:name w:val="heading 5"/>
    <w:basedOn w:val="Normal"/>
    <w:next w:val="Normal"/>
    <w:qFormat/>
    <w:rsid w:val="005E2367"/>
    <w:pPr>
      <w:numPr>
        <w:ilvl w:val="4"/>
        <w:numId w:val="2"/>
      </w:numPr>
      <w:spacing w:before="240" w:after="60"/>
      <w:outlineLvl w:val="4"/>
    </w:pPr>
    <w:rPr>
      <w:b/>
      <w:bCs/>
      <w:i/>
      <w:iCs/>
      <w:sz w:val="26"/>
      <w:szCs w:val="26"/>
    </w:rPr>
  </w:style>
  <w:style w:type="paragraph" w:styleId="Heading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Heading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Heading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FootnoteReference">
    <w:name w:val="footnote reference"/>
    <w:uiPriority w:val="99"/>
    <w:semiHidden/>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link w:val="corpsdedcisionCar"/>
    <w:pPr>
      <w:numPr>
        <w:numId w:val="1"/>
      </w:numPr>
      <w:tabs>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FootnoteText">
    <w:name w:val="footnote text"/>
    <w:basedOn w:val="Normal"/>
    <w:link w:val="FootnoteTextChar1"/>
    <w:semiHidden/>
  </w:style>
  <w:style w:type="paragraph" w:styleId="Header">
    <w:name w:val="header"/>
    <w:basedOn w:val="Normal"/>
    <w:pPr>
      <w:tabs>
        <w:tab w:val="center" w:pos="4320"/>
        <w:tab w:val="right" w:pos="8640"/>
      </w:tabs>
    </w:pPr>
  </w:style>
  <w:style w:type="character" w:styleId="PageNumber">
    <w:name w:val="page number"/>
    <w:rPr>
      <w:rFonts w:ascii="Arial" w:hAnsi="Arial"/>
      <w:sz w:val="24"/>
    </w:rPr>
  </w:style>
  <w:style w:type="paragraph" w:styleId="Footer">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FootnoteTextChar1">
    <w:name w:val="Footnote Text Char1"/>
    <w:link w:val="FootnoteText"/>
    <w:semiHidden/>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link w:val="CitationenretraitCar"/>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link w:val="CitationendoubleretraitCar"/>
    <w:rsid w:val="008048CF"/>
    <w:pPr>
      <w:spacing w:before="0" w:after="0"/>
      <w:ind w:left="1440" w:right="1440"/>
    </w:pPr>
    <w:rPr>
      <w:sz w:val="18"/>
    </w:rPr>
  </w:style>
  <w:style w:type="character" w:customStyle="1" w:styleId="Citationintgre">
    <w:name w:val="Citation intégrée"/>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Heading1Char">
    <w:name w:val="Heading 1 Char"/>
    <w:link w:val="Heading1"/>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Hyperlink">
    <w:name w:val="Hyperlink"/>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ListParagraph">
    <w:name w:val="List Paragraph"/>
    <w:basedOn w:val="Normal"/>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locked/>
    <w:rsid w:val="00ED57F6"/>
    <w:rPr>
      <w:rFonts w:ascii="Arial" w:hAnsi="Arial" w:cs="Times New Roman"/>
      <w:sz w:val="24"/>
    </w:rPr>
  </w:style>
  <w:style w:type="character" w:customStyle="1" w:styleId="CitationenretraitCar">
    <w:name w:val="Citation en retrait Car"/>
    <w:link w:val="Citationenretrait"/>
    <w:rsid w:val="00DB6AF2"/>
    <w:rPr>
      <w:rFonts w:ascii="Arial" w:hAnsi="Arial"/>
      <w:kern w:val="24"/>
      <w:sz w:val="22"/>
      <w:lang w:val="fr-CA" w:eastAsia="fr-FR" w:bidi="ar-SA"/>
    </w:rPr>
  </w:style>
  <w:style w:type="character" w:customStyle="1" w:styleId="CitationendoubleretraitCar">
    <w:name w:val="Citation en double retrait Car"/>
    <w:link w:val="Citationendoubleretrait"/>
    <w:rsid w:val="00DB6AF2"/>
    <w:rPr>
      <w:rFonts w:ascii="Arial" w:hAnsi="Arial"/>
      <w:kern w:val="24"/>
      <w:sz w:val="18"/>
      <w:lang w:val="fr-CA" w:eastAsia="fr-FR" w:bidi="ar-SA"/>
    </w:rPr>
  </w:style>
  <w:style w:type="paragraph" w:customStyle="1" w:styleId="corpsdedcision0">
    <w:name w:val="corpsdedcision"/>
    <w:basedOn w:val="Normal"/>
    <w:rsid w:val="00B80B56"/>
    <w:pPr>
      <w:spacing w:before="100" w:beforeAutospacing="1" w:after="100" w:afterAutospacing="1"/>
    </w:pPr>
    <w:rPr>
      <w:rFonts w:ascii="Times New Roman" w:hAnsi="Times New Roman"/>
      <w:szCs w:val="24"/>
    </w:rPr>
  </w:style>
  <w:style w:type="character" w:customStyle="1" w:styleId="solexhl">
    <w:name w:val="solexhl"/>
    <w:basedOn w:val="DefaultParagraphFont"/>
    <w:rsid w:val="00B80B56"/>
  </w:style>
  <w:style w:type="character" w:styleId="CommentReference">
    <w:name w:val="annotation reference"/>
    <w:basedOn w:val="DefaultParagraphFont"/>
    <w:rsid w:val="00B66029"/>
    <w:rPr>
      <w:sz w:val="16"/>
      <w:szCs w:val="16"/>
    </w:rPr>
  </w:style>
  <w:style w:type="paragraph" w:styleId="CommentText">
    <w:name w:val="annotation text"/>
    <w:basedOn w:val="Normal"/>
    <w:link w:val="CommentTextChar"/>
    <w:rsid w:val="00B66029"/>
    <w:rPr>
      <w:sz w:val="20"/>
    </w:rPr>
  </w:style>
  <w:style w:type="character" w:customStyle="1" w:styleId="CommentTextChar">
    <w:name w:val="Comment Text Char"/>
    <w:basedOn w:val="DefaultParagraphFont"/>
    <w:link w:val="CommentText"/>
    <w:rsid w:val="00B66029"/>
    <w:rPr>
      <w:rFonts w:ascii="Arial" w:hAnsi="Arial"/>
    </w:rPr>
  </w:style>
  <w:style w:type="paragraph" w:styleId="CommentSubject">
    <w:name w:val="annotation subject"/>
    <w:basedOn w:val="CommentText"/>
    <w:next w:val="CommentText"/>
    <w:link w:val="CommentSubjectChar"/>
    <w:rsid w:val="00B66029"/>
    <w:rPr>
      <w:b/>
      <w:bCs/>
    </w:rPr>
  </w:style>
  <w:style w:type="character" w:customStyle="1" w:styleId="CommentSubjectChar">
    <w:name w:val="Comment Subject Char"/>
    <w:basedOn w:val="CommentTextChar"/>
    <w:link w:val="CommentSubject"/>
    <w:rsid w:val="00B66029"/>
    <w:rPr>
      <w:rFonts w:ascii="Arial" w:hAnsi="Arial"/>
      <w:b/>
      <w:bCs/>
    </w:rPr>
  </w:style>
  <w:style w:type="character" w:customStyle="1" w:styleId="corpsdedcisionCar">
    <w:name w:val="corps de décision Car"/>
    <w:link w:val="corpsdedcision"/>
    <w:rsid w:val="00CA4FE8"/>
    <w:rPr>
      <w:rFonts w:ascii="Arial" w:hAnsi="Arial"/>
      <w:sz w:val="24"/>
    </w:rPr>
  </w:style>
  <w:style w:type="paragraph" w:styleId="Revision">
    <w:name w:val="Revision"/>
    <w:hidden/>
    <w:uiPriority w:val="99"/>
    <w:semiHidden/>
    <w:rsid w:val="008E3A3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440969">
      <w:bodyDiv w:val="1"/>
      <w:marLeft w:val="0"/>
      <w:marRight w:val="0"/>
      <w:marTop w:val="0"/>
      <w:marBottom w:val="0"/>
      <w:divBdr>
        <w:top w:val="none" w:sz="0" w:space="0" w:color="auto"/>
        <w:left w:val="none" w:sz="0" w:space="0" w:color="auto"/>
        <w:bottom w:val="none" w:sz="0" w:space="0" w:color="auto"/>
        <w:right w:val="none" w:sz="0" w:space="0" w:color="auto"/>
      </w:divBdr>
    </w:div>
    <w:div w:id="1630744207">
      <w:bodyDiv w:val="1"/>
      <w:marLeft w:val="0"/>
      <w:marRight w:val="0"/>
      <w:marTop w:val="0"/>
      <w:marBottom w:val="0"/>
      <w:divBdr>
        <w:top w:val="none" w:sz="0" w:space="0" w:color="auto"/>
        <w:left w:val="none" w:sz="0" w:space="0" w:color="auto"/>
        <w:bottom w:val="none" w:sz="0" w:space="0" w:color="auto"/>
        <w:right w:val="none" w:sz="0" w:space="0" w:color="auto"/>
      </w:divBdr>
      <w:divsChild>
        <w:div w:id="352805202">
          <w:marLeft w:val="0"/>
          <w:marRight w:val="0"/>
          <w:marTop w:val="0"/>
          <w:marBottom w:val="0"/>
          <w:divBdr>
            <w:top w:val="none" w:sz="0" w:space="0" w:color="auto"/>
            <w:left w:val="none" w:sz="0" w:space="0" w:color="auto"/>
            <w:bottom w:val="none" w:sz="0" w:space="0" w:color="auto"/>
            <w:right w:val="none" w:sz="0" w:space="0" w:color="auto"/>
          </w:divBdr>
        </w:div>
        <w:div w:id="640117791">
          <w:marLeft w:val="0"/>
          <w:marRight w:val="0"/>
          <w:marTop w:val="0"/>
          <w:marBottom w:val="0"/>
          <w:divBdr>
            <w:top w:val="none" w:sz="0" w:space="0" w:color="auto"/>
            <w:left w:val="none" w:sz="0" w:space="0" w:color="auto"/>
            <w:bottom w:val="none" w:sz="0" w:space="0" w:color="auto"/>
            <w:right w:val="none" w:sz="0" w:space="0" w:color="auto"/>
          </w:divBdr>
        </w:div>
        <w:div w:id="2123382384">
          <w:marLeft w:val="0"/>
          <w:marRight w:val="0"/>
          <w:marTop w:val="0"/>
          <w:marBottom w:val="0"/>
          <w:divBdr>
            <w:top w:val="none" w:sz="0" w:space="0" w:color="auto"/>
            <w:left w:val="none" w:sz="0" w:space="0" w:color="auto"/>
            <w:bottom w:val="none" w:sz="0" w:space="0" w:color="auto"/>
            <w:right w:val="none" w:sz="0" w:space="0" w:color="auto"/>
          </w:divBdr>
        </w:div>
      </w:divsChild>
    </w:div>
    <w:div w:id="185534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2223</Words>
  <Characters>12673</Characters>
  <Application>Microsoft Office Word</Application>
  <DocSecurity>0</DocSecurity>
  <Lines>105</Lines>
  <Paragraphs>29</Paragraphs>
  <ScaleCrop>false</ScaleCrop>
  <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2026-06-02T22:03:00Z</dcterms:created>
  <dcterms:modified xsi:type="dcterms:W3CDTF">2026-06-02T22:03:00Z</dcterms:modified>
</cp:coreProperties>
</file>