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4B47767D" w14:textId="77777777" w:rsidTr="00187C88">
        <w:trPr>
          <w:cantSplit/>
          <w:trHeight w:val="142"/>
        </w:trPr>
        <w:tc>
          <w:tcPr>
            <w:tcW w:w="4795" w:type="dxa"/>
          </w:tcPr>
          <w:p w14:paraId="5C49C8BF" w14:textId="7F9DA4DA" w:rsidR="008A7FD1" w:rsidRPr="00C13911" w:rsidRDefault="00C13911" w:rsidP="00C13911">
            <w:pPr>
              <w:pStyle w:val="zSoquijdatRepertorie"/>
              <w:rPr>
                <w:rFonts w:cs="Arial"/>
              </w:rPr>
            </w:pPr>
            <w:proofErr w:type="spellStart"/>
            <w:r>
              <w:rPr>
                <w:rFonts w:cs="Arial"/>
              </w:rPr>
              <w:t>Cubeddu</w:t>
            </w:r>
            <w:proofErr w:type="spellEnd"/>
            <w:r>
              <w:rPr>
                <w:rFonts w:cs="Arial"/>
              </w:rPr>
              <w:t xml:space="preserve"> et </w:t>
            </w:r>
            <w:proofErr w:type="spellStart"/>
            <w:r>
              <w:rPr>
                <w:rFonts w:cs="Arial"/>
              </w:rPr>
              <w:t>Labelink</w:t>
            </w:r>
            <w:proofErr w:type="spellEnd"/>
            <w:r>
              <w:rPr>
                <w:rFonts w:cs="Arial"/>
              </w:rPr>
              <w:t xml:space="preserve"> </w:t>
            </w:r>
            <w:proofErr w:type="spellStart"/>
            <w:r>
              <w:rPr>
                <w:rFonts w:cs="Arial"/>
              </w:rPr>
              <w:t>Products</w:t>
            </w:r>
            <w:proofErr w:type="spellEnd"/>
            <w:r>
              <w:rPr>
                <w:rFonts w:cs="Arial"/>
              </w:rPr>
              <w:t xml:space="preserve"> Inc.</w:t>
            </w:r>
          </w:p>
        </w:tc>
        <w:tc>
          <w:tcPr>
            <w:tcW w:w="2477" w:type="dxa"/>
          </w:tcPr>
          <w:p w14:paraId="15A73921" w14:textId="147D3957" w:rsidR="008A7FD1" w:rsidRPr="00887C3F" w:rsidRDefault="00887C3F" w:rsidP="00887C3F">
            <w:pPr>
              <w:pStyle w:val="zSoquijdatRefNeutre"/>
              <w:rPr>
                <w:rFonts w:cs="Arial"/>
              </w:rPr>
            </w:pPr>
            <w:r w:rsidRPr="00887C3F">
              <w:rPr>
                <w:rFonts w:cs="Arial"/>
              </w:rPr>
              <w:t>2020 QCTAT 3815</w:t>
            </w:r>
          </w:p>
        </w:tc>
      </w:tr>
    </w:tbl>
    <w:p w14:paraId="0F99688A"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02D123C3" w14:textId="77777777" w:rsidTr="002A374B">
        <w:trPr>
          <w:cantSplit/>
        </w:trPr>
        <w:tc>
          <w:tcPr>
            <w:tcW w:w="9568" w:type="dxa"/>
            <w:gridSpan w:val="4"/>
          </w:tcPr>
          <w:p w14:paraId="0B4C226B" w14:textId="77777777" w:rsidR="00C74B6F" w:rsidRPr="00BE1981" w:rsidRDefault="00C74B6F">
            <w:pPr>
              <w:rPr>
                <w:szCs w:val="24"/>
              </w:rPr>
            </w:pPr>
          </w:p>
        </w:tc>
      </w:tr>
      <w:tr w:rsidR="00C74B6F" w14:paraId="6E21D82E" w14:textId="77777777" w:rsidTr="002A374B">
        <w:trPr>
          <w:cantSplit/>
        </w:trPr>
        <w:tc>
          <w:tcPr>
            <w:tcW w:w="9568" w:type="dxa"/>
            <w:gridSpan w:val="4"/>
            <w:vAlign w:val="center"/>
          </w:tcPr>
          <w:p w14:paraId="2C55AEDB" w14:textId="77777777" w:rsidR="00C74B6F" w:rsidRPr="000E1320" w:rsidRDefault="000E1320">
            <w:pPr>
              <w:jc w:val="center"/>
              <w:rPr>
                <w:sz w:val="36"/>
                <w:szCs w:val="36"/>
              </w:rPr>
            </w:pPr>
            <w:r w:rsidRPr="000E1320">
              <w:rPr>
                <w:b/>
                <w:sz w:val="36"/>
                <w:szCs w:val="36"/>
              </w:rPr>
              <w:t>TRIBUNAL ADMINISTRATIF DU TRAVAIL</w:t>
            </w:r>
          </w:p>
        </w:tc>
      </w:tr>
      <w:tr w:rsidR="00C74B6F" w14:paraId="028E6BDC" w14:textId="77777777" w:rsidTr="002A374B">
        <w:trPr>
          <w:cantSplit/>
        </w:trPr>
        <w:tc>
          <w:tcPr>
            <w:tcW w:w="9568" w:type="dxa"/>
            <w:gridSpan w:val="4"/>
          </w:tcPr>
          <w:p w14:paraId="236F5EA4" w14:textId="77777777" w:rsidR="00C74B6F" w:rsidRPr="00BE7014" w:rsidRDefault="006F0154" w:rsidP="009A67E7">
            <w:pPr>
              <w:pStyle w:val="zSoquijdatDivision"/>
            </w:pPr>
            <w:r w:rsidRPr="00BE7014">
              <w:t>(</w:t>
            </w:r>
            <w:r w:rsidR="00691D13" w:rsidRPr="00441ADA">
              <w:t>Division de la santé et de la sécurité du travail</w:t>
            </w:r>
            <w:r w:rsidRPr="00BE7014">
              <w:t>)</w:t>
            </w:r>
          </w:p>
        </w:tc>
      </w:tr>
      <w:tr w:rsidR="00C74B6F" w14:paraId="3D36E49E" w14:textId="77777777" w:rsidTr="002A374B">
        <w:trPr>
          <w:cantSplit/>
        </w:trPr>
        <w:tc>
          <w:tcPr>
            <w:tcW w:w="9568" w:type="dxa"/>
            <w:gridSpan w:val="4"/>
          </w:tcPr>
          <w:p w14:paraId="2CCC85D4" w14:textId="77777777" w:rsidR="002B2FC3" w:rsidRDefault="002B2FC3" w:rsidP="002B2FC3"/>
        </w:tc>
      </w:tr>
      <w:tr w:rsidR="00A84FC6" w14:paraId="16A0FB86" w14:textId="77777777" w:rsidTr="002A374B">
        <w:trPr>
          <w:cantSplit/>
        </w:trPr>
        <w:tc>
          <w:tcPr>
            <w:tcW w:w="9568" w:type="dxa"/>
            <w:gridSpan w:val="4"/>
          </w:tcPr>
          <w:p w14:paraId="7DED60A1" w14:textId="77777777" w:rsidR="00A84FC6" w:rsidRDefault="00A84FC6" w:rsidP="002B2FC3"/>
        </w:tc>
      </w:tr>
      <w:tr w:rsidR="00C74B6F" w14:paraId="66BABCD8" w14:textId="77777777" w:rsidTr="005E654C">
        <w:tc>
          <w:tcPr>
            <w:tcW w:w="3614" w:type="dxa"/>
          </w:tcPr>
          <w:p w14:paraId="38DE010C" w14:textId="77777777" w:rsidR="00C74B6F" w:rsidRDefault="0084255F">
            <w:bookmarkStart w:id="0" w:name="region" w:colFirst="1" w:colLast="1"/>
            <w:r>
              <w:t>Région :</w:t>
            </w:r>
          </w:p>
        </w:tc>
        <w:tc>
          <w:tcPr>
            <w:tcW w:w="5954" w:type="dxa"/>
            <w:gridSpan w:val="3"/>
          </w:tcPr>
          <w:p w14:paraId="37DAFA22" w14:textId="77777777" w:rsidR="00C74B6F" w:rsidRDefault="00691D13" w:rsidP="00F4095A">
            <w:pPr>
              <w:pStyle w:val="zSoquijdatGreffe"/>
            </w:pPr>
            <w:r>
              <w:t>Montréal</w:t>
            </w:r>
          </w:p>
        </w:tc>
      </w:tr>
      <w:bookmarkEnd w:id="0"/>
      <w:tr w:rsidR="00C74B6F" w14:paraId="7FEB3B0F" w14:textId="77777777" w:rsidTr="002A374B">
        <w:trPr>
          <w:cantSplit/>
        </w:trPr>
        <w:tc>
          <w:tcPr>
            <w:tcW w:w="9568" w:type="dxa"/>
            <w:gridSpan w:val="4"/>
          </w:tcPr>
          <w:p w14:paraId="24EBAA26" w14:textId="77777777" w:rsidR="00C74B6F" w:rsidRDefault="00C74B6F"/>
        </w:tc>
      </w:tr>
      <w:tr w:rsidR="00C74B6F" w14:paraId="3385B55B" w14:textId="77777777" w:rsidTr="005E654C">
        <w:tc>
          <w:tcPr>
            <w:tcW w:w="3614" w:type="dxa"/>
          </w:tcPr>
          <w:p w14:paraId="7E45A4AF" w14:textId="07EFF5A8" w:rsidR="00C74B6F" w:rsidRPr="00DF7376" w:rsidRDefault="0084255F">
            <w:bookmarkStart w:id="1" w:name="ref_dossier" w:colFirst="1" w:colLast="1"/>
            <w:r w:rsidRPr="00DF7376">
              <w:t>Dossier</w:t>
            </w:r>
            <w:bookmarkStart w:id="2" w:name="dossiers"/>
            <w:bookmarkEnd w:id="2"/>
            <w:r w:rsidR="00D12027">
              <w:t>s</w:t>
            </w:r>
            <w:r w:rsidRPr="00DF7376">
              <w:t> :</w:t>
            </w:r>
          </w:p>
        </w:tc>
        <w:tc>
          <w:tcPr>
            <w:tcW w:w="5954" w:type="dxa"/>
            <w:gridSpan w:val="3"/>
          </w:tcPr>
          <w:p w14:paraId="50CBBFB0" w14:textId="74652E64" w:rsidR="00C74B6F" w:rsidRPr="00DF7376" w:rsidRDefault="00691D13" w:rsidP="00D12027">
            <w:pPr>
              <w:pStyle w:val="zSoquijdatNoDossier"/>
            </w:pPr>
            <w:r w:rsidRPr="00DF7376">
              <w:t>721409-71-1912</w:t>
            </w:r>
            <w:r w:rsidR="00D12027">
              <w:tab/>
            </w:r>
            <w:r w:rsidRPr="00DF7376">
              <w:t>723366-71-1912</w:t>
            </w:r>
          </w:p>
        </w:tc>
      </w:tr>
      <w:bookmarkEnd w:id="1"/>
      <w:tr w:rsidR="00C74B6F" w14:paraId="142C3C43" w14:textId="77777777" w:rsidTr="002A374B">
        <w:trPr>
          <w:cantSplit/>
        </w:trPr>
        <w:tc>
          <w:tcPr>
            <w:tcW w:w="9568" w:type="dxa"/>
            <w:gridSpan w:val="4"/>
          </w:tcPr>
          <w:p w14:paraId="2B8B258C" w14:textId="77777777" w:rsidR="00C74B6F" w:rsidRDefault="00D44BCF">
            <w:r>
              <w:fldChar w:fldCharType="begin"/>
            </w:r>
            <w:r>
              <w:instrText xml:space="preserve"> AUTOTEXTLIST  \* Upper  \* MERGEFORMAT </w:instrText>
            </w:r>
            <w:r>
              <w:fldChar w:fldCharType="end"/>
            </w:r>
          </w:p>
        </w:tc>
      </w:tr>
      <w:tr w:rsidR="00C74B6F" w14:paraId="0877F68E" w14:textId="77777777" w:rsidTr="005E654C">
        <w:tc>
          <w:tcPr>
            <w:tcW w:w="3614" w:type="dxa"/>
          </w:tcPr>
          <w:p w14:paraId="00108600" w14:textId="77777777" w:rsidR="00C74B6F" w:rsidRDefault="008C79A7" w:rsidP="0045114F">
            <w:pPr>
              <w:ind w:right="46"/>
            </w:pPr>
            <w:r>
              <w:t xml:space="preserve">Dossier </w:t>
            </w:r>
            <w:r w:rsidR="00D16DA0" w:rsidRPr="00D16DA0">
              <w:rPr>
                <w:szCs w:val="24"/>
              </w:rPr>
              <w:t>CNESST</w:t>
            </w:r>
            <w:r w:rsidRPr="008C79A7">
              <w:rPr>
                <w:szCs w:val="24"/>
              </w:rPr>
              <w:t xml:space="preserve"> :</w:t>
            </w:r>
          </w:p>
        </w:tc>
        <w:tc>
          <w:tcPr>
            <w:tcW w:w="5954" w:type="dxa"/>
            <w:gridSpan w:val="3"/>
          </w:tcPr>
          <w:p w14:paraId="14F14F32" w14:textId="77777777" w:rsidR="00C74B6F" w:rsidRDefault="00D16DA0" w:rsidP="004D6CEA">
            <w:pPr>
              <w:pStyle w:val="zSoquijdatNCSST"/>
            </w:pPr>
            <w:r>
              <w:t>505352666</w:t>
            </w:r>
          </w:p>
        </w:tc>
      </w:tr>
      <w:tr w:rsidR="00C74B6F" w14:paraId="3FE8E1F0" w14:textId="77777777" w:rsidTr="002A374B">
        <w:trPr>
          <w:cantSplit/>
        </w:trPr>
        <w:tc>
          <w:tcPr>
            <w:tcW w:w="9568" w:type="dxa"/>
            <w:gridSpan w:val="4"/>
          </w:tcPr>
          <w:p w14:paraId="7D3A47FE" w14:textId="77777777" w:rsidR="00C74B6F" w:rsidRDefault="00C74B6F"/>
        </w:tc>
      </w:tr>
      <w:tr w:rsidR="00C74B6F" w14:paraId="1C3013C8" w14:textId="77777777" w:rsidTr="005E654C">
        <w:tc>
          <w:tcPr>
            <w:tcW w:w="3614" w:type="dxa"/>
          </w:tcPr>
          <w:p w14:paraId="643095F8" w14:textId="77777777" w:rsidR="00C74B6F" w:rsidRDefault="00E90455" w:rsidP="00E90455">
            <w:r>
              <w:t>Assesseure :</w:t>
            </w:r>
          </w:p>
        </w:tc>
        <w:tc>
          <w:tcPr>
            <w:tcW w:w="5954" w:type="dxa"/>
            <w:gridSpan w:val="3"/>
          </w:tcPr>
          <w:p w14:paraId="36F62682" w14:textId="77777777" w:rsidR="00C74B6F" w:rsidRDefault="00E90455" w:rsidP="00F4095A">
            <w:pPr>
              <w:pStyle w:val="zSoquijdatAssesseurs"/>
            </w:pPr>
            <w:r>
              <w:t>Manon Dubois, médecin</w:t>
            </w:r>
          </w:p>
        </w:tc>
      </w:tr>
      <w:tr w:rsidR="00C74B6F" w14:paraId="20164087" w14:textId="77777777" w:rsidTr="002A374B">
        <w:trPr>
          <w:cantSplit/>
        </w:trPr>
        <w:tc>
          <w:tcPr>
            <w:tcW w:w="9568" w:type="dxa"/>
            <w:gridSpan w:val="4"/>
          </w:tcPr>
          <w:p w14:paraId="7B73AF3A" w14:textId="77777777" w:rsidR="00C74B6F" w:rsidRDefault="00C74B6F"/>
        </w:tc>
      </w:tr>
      <w:tr w:rsidR="00C74B6F" w14:paraId="3C34072C" w14:textId="77777777" w:rsidTr="002A374B">
        <w:trPr>
          <w:cantSplit/>
        </w:trPr>
        <w:tc>
          <w:tcPr>
            <w:tcW w:w="9568" w:type="dxa"/>
            <w:gridSpan w:val="4"/>
          </w:tcPr>
          <w:p w14:paraId="10B649A5" w14:textId="77777777" w:rsidR="00C74B6F" w:rsidRDefault="00C74B6F"/>
        </w:tc>
      </w:tr>
      <w:tr w:rsidR="006E3DD8" w14:paraId="7C5857DA" w14:textId="77777777" w:rsidTr="005E654C">
        <w:trPr>
          <w:cantSplit/>
        </w:trPr>
        <w:tc>
          <w:tcPr>
            <w:tcW w:w="3614" w:type="dxa"/>
          </w:tcPr>
          <w:p w14:paraId="330400B9" w14:textId="77777777" w:rsidR="006E3DD8" w:rsidRDefault="00E90455" w:rsidP="006E3DD8">
            <w:pPr>
              <w:tabs>
                <w:tab w:val="left" w:pos="2672"/>
              </w:tabs>
            </w:pPr>
            <w:r>
              <w:t>Montréal</w:t>
            </w:r>
            <w:r w:rsidR="00C04E32">
              <w:t>,</w:t>
            </w:r>
          </w:p>
        </w:tc>
        <w:tc>
          <w:tcPr>
            <w:tcW w:w="5954" w:type="dxa"/>
            <w:gridSpan w:val="3"/>
          </w:tcPr>
          <w:p w14:paraId="3B9C759A" w14:textId="1E43D49E" w:rsidR="006E3DD8" w:rsidRDefault="00C04E32" w:rsidP="008911F1">
            <w:pPr>
              <w:pStyle w:val="zSoquijdatDateJugement"/>
            </w:pPr>
            <w:proofErr w:type="gramStart"/>
            <w:r>
              <w:t>le</w:t>
            </w:r>
            <w:proofErr w:type="gramEnd"/>
            <w:r>
              <w:t xml:space="preserve"> </w:t>
            </w:r>
            <w:r w:rsidR="00D8058E">
              <w:t>20</w:t>
            </w:r>
            <w:r w:rsidR="008911F1">
              <w:t xml:space="preserve"> octobre </w:t>
            </w:r>
            <w:r w:rsidR="00D16DA0">
              <w:t>2020</w:t>
            </w:r>
          </w:p>
        </w:tc>
      </w:tr>
      <w:tr w:rsidR="00942AB8" w14:paraId="05DA5B27" w14:textId="77777777" w:rsidTr="002A374B">
        <w:trPr>
          <w:cantSplit/>
        </w:trPr>
        <w:tc>
          <w:tcPr>
            <w:tcW w:w="9568" w:type="dxa"/>
            <w:gridSpan w:val="4"/>
          </w:tcPr>
          <w:p w14:paraId="642F4E43" w14:textId="77777777" w:rsidR="00942AB8" w:rsidRDefault="00942AB8" w:rsidP="00FA153F">
            <w:r>
              <w:t>______________________________________________________________________</w:t>
            </w:r>
          </w:p>
        </w:tc>
      </w:tr>
      <w:tr w:rsidR="00942AB8" w14:paraId="627830E2" w14:textId="77777777" w:rsidTr="002A374B">
        <w:trPr>
          <w:cantSplit/>
          <w:trHeight w:val="148"/>
        </w:trPr>
        <w:tc>
          <w:tcPr>
            <w:tcW w:w="9568" w:type="dxa"/>
            <w:gridSpan w:val="4"/>
          </w:tcPr>
          <w:p w14:paraId="24E78F7B" w14:textId="77777777" w:rsidR="00942AB8" w:rsidRDefault="00942AB8" w:rsidP="00FA153F"/>
        </w:tc>
      </w:tr>
      <w:tr w:rsidR="0035375B" w14:paraId="3424986D" w14:textId="77777777" w:rsidTr="00A12E55">
        <w:trPr>
          <w:cantSplit/>
          <w:trHeight w:val="148"/>
        </w:trPr>
        <w:tc>
          <w:tcPr>
            <w:tcW w:w="5457" w:type="dxa"/>
            <w:gridSpan w:val="3"/>
          </w:tcPr>
          <w:p w14:paraId="37F827B7" w14:textId="77777777" w:rsidR="0035375B" w:rsidRPr="00942AB8" w:rsidRDefault="0035375B" w:rsidP="00D16DA0">
            <w:pPr>
              <w:rPr>
                <w:b/>
                <w:bCs/>
              </w:rPr>
            </w:pPr>
            <w:bookmarkStart w:id="3" w:name="ref_commissaire" w:colFirst="1" w:colLast="1"/>
            <w:r w:rsidRPr="00942AB8">
              <w:rPr>
                <w:b/>
                <w:bCs/>
              </w:rPr>
              <w:t>DEVANT L</w:t>
            </w:r>
            <w:r w:rsidR="00D16DA0">
              <w:rPr>
                <w:b/>
                <w:bCs/>
              </w:rPr>
              <w:t>A</w:t>
            </w:r>
            <w:r w:rsidRPr="00942AB8">
              <w:rPr>
                <w:b/>
                <w:bCs/>
              </w:rPr>
              <w:t xml:space="preserve"> JUGE ADMINISTRATI</w:t>
            </w:r>
            <w:r w:rsidR="00D16DA0">
              <w:rPr>
                <w:b/>
                <w:bCs/>
              </w:rPr>
              <w:t>VE</w:t>
            </w:r>
            <w:r w:rsidRPr="00942AB8">
              <w:rPr>
                <w:b/>
                <w:bCs/>
              </w:rPr>
              <w:t> :</w:t>
            </w:r>
          </w:p>
        </w:tc>
        <w:tc>
          <w:tcPr>
            <w:tcW w:w="4111" w:type="dxa"/>
          </w:tcPr>
          <w:p w14:paraId="46187A9C" w14:textId="77777777" w:rsidR="0035375B" w:rsidRPr="00942AB8" w:rsidRDefault="00D16DA0" w:rsidP="005B5689">
            <w:pPr>
              <w:pStyle w:val="zSoquijdatJuge"/>
              <w:rPr>
                <w:bCs/>
              </w:rPr>
            </w:pPr>
            <w:r>
              <w:t>Maude Côté</w:t>
            </w:r>
          </w:p>
        </w:tc>
      </w:tr>
      <w:bookmarkEnd w:id="3"/>
      <w:tr w:rsidR="00942AB8" w14:paraId="24BC5B59" w14:textId="77777777" w:rsidTr="002A374B">
        <w:trPr>
          <w:cantSplit/>
          <w:trHeight w:val="148"/>
        </w:trPr>
        <w:tc>
          <w:tcPr>
            <w:tcW w:w="9568" w:type="dxa"/>
            <w:gridSpan w:val="4"/>
          </w:tcPr>
          <w:p w14:paraId="7AF85AB2" w14:textId="77777777" w:rsidR="00942AB8" w:rsidRDefault="00942AB8" w:rsidP="00FA153F">
            <w:r>
              <w:t>______________________________________________________________________</w:t>
            </w:r>
          </w:p>
        </w:tc>
      </w:tr>
      <w:tr w:rsidR="00942AB8" w14:paraId="1E797E52" w14:textId="77777777" w:rsidTr="002A374B">
        <w:tc>
          <w:tcPr>
            <w:tcW w:w="9568" w:type="dxa"/>
            <w:gridSpan w:val="4"/>
          </w:tcPr>
          <w:p w14:paraId="69092265" w14:textId="77777777" w:rsidR="00942AB8" w:rsidRDefault="00942AB8"/>
        </w:tc>
      </w:tr>
      <w:tr w:rsidR="00942AB8" w14:paraId="438887ED" w14:textId="77777777" w:rsidTr="00D40ABA">
        <w:tc>
          <w:tcPr>
            <w:tcW w:w="4748" w:type="dxa"/>
            <w:gridSpan w:val="2"/>
          </w:tcPr>
          <w:p w14:paraId="35EFCC68" w14:textId="77777777" w:rsidR="00942AB8" w:rsidRDefault="00942AB8">
            <w:bookmarkStart w:id="4" w:name="bloc_parties_gauche"/>
            <w:bookmarkEnd w:id="4"/>
          </w:p>
        </w:tc>
        <w:tc>
          <w:tcPr>
            <w:tcW w:w="4820" w:type="dxa"/>
            <w:gridSpan w:val="2"/>
          </w:tcPr>
          <w:p w14:paraId="4B818999" w14:textId="77777777" w:rsidR="00942AB8" w:rsidRDefault="00942AB8"/>
        </w:tc>
      </w:tr>
      <w:tr w:rsidR="00942AB8" w14:paraId="5CAD8D8B" w14:textId="77777777" w:rsidTr="00D40ABA">
        <w:tc>
          <w:tcPr>
            <w:tcW w:w="4748" w:type="dxa"/>
            <w:gridSpan w:val="2"/>
          </w:tcPr>
          <w:p w14:paraId="67D364AA" w14:textId="77777777" w:rsidR="00942AB8" w:rsidRDefault="00D16DA0">
            <w:pPr>
              <w:pStyle w:val="zSoquijdatNomPartieDem"/>
              <w:rPr>
                <w:b/>
              </w:rPr>
            </w:pPr>
            <w:r>
              <w:rPr>
                <w:b/>
              </w:rPr>
              <w:t>Mauro Cubeddu</w:t>
            </w:r>
          </w:p>
        </w:tc>
        <w:tc>
          <w:tcPr>
            <w:tcW w:w="4820" w:type="dxa"/>
            <w:gridSpan w:val="2"/>
          </w:tcPr>
          <w:p w14:paraId="33C9B83B" w14:textId="77777777" w:rsidR="00942AB8" w:rsidRDefault="00942AB8"/>
        </w:tc>
      </w:tr>
      <w:tr w:rsidR="00942AB8" w14:paraId="617F7586" w14:textId="77777777" w:rsidTr="00D40ABA">
        <w:tc>
          <w:tcPr>
            <w:tcW w:w="4748" w:type="dxa"/>
            <w:gridSpan w:val="2"/>
          </w:tcPr>
          <w:p w14:paraId="091BECBC" w14:textId="77777777" w:rsidR="00942AB8" w:rsidRDefault="0027181E">
            <w:pPr>
              <w:pStyle w:val="zSoquijdatQtePartieDem"/>
              <w:ind w:left="708"/>
            </w:pPr>
            <w:r>
              <w:t>Partie demanderesse</w:t>
            </w:r>
          </w:p>
        </w:tc>
        <w:tc>
          <w:tcPr>
            <w:tcW w:w="4820" w:type="dxa"/>
            <w:gridSpan w:val="2"/>
          </w:tcPr>
          <w:p w14:paraId="0F55969B" w14:textId="77777777" w:rsidR="00942AB8" w:rsidRDefault="00942AB8"/>
        </w:tc>
      </w:tr>
      <w:tr w:rsidR="00942AB8" w14:paraId="394B18F6" w14:textId="77777777" w:rsidTr="00D40ABA">
        <w:tc>
          <w:tcPr>
            <w:tcW w:w="4748" w:type="dxa"/>
            <w:gridSpan w:val="2"/>
          </w:tcPr>
          <w:p w14:paraId="71CC7EE0" w14:textId="77777777" w:rsidR="00942AB8" w:rsidRDefault="00942AB8"/>
        </w:tc>
        <w:tc>
          <w:tcPr>
            <w:tcW w:w="4820" w:type="dxa"/>
            <w:gridSpan w:val="2"/>
          </w:tcPr>
          <w:p w14:paraId="4D2C587A" w14:textId="77777777" w:rsidR="00942AB8" w:rsidRDefault="00942AB8"/>
        </w:tc>
      </w:tr>
      <w:tr w:rsidR="00942AB8" w14:paraId="681AC328" w14:textId="77777777" w:rsidTr="00D40ABA">
        <w:tc>
          <w:tcPr>
            <w:tcW w:w="4748" w:type="dxa"/>
            <w:gridSpan w:val="2"/>
          </w:tcPr>
          <w:p w14:paraId="11096AA4" w14:textId="77777777" w:rsidR="00942AB8" w:rsidRDefault="0027181E" w:rsidP="00D06652">
            <w:pPr>
              <w:pStyle w:val="zSoquijlblLienParties"/>
            </w:pPr>
            <w:proofErr w:type="gramStart"/>
            <w:r>
              <w:t>et</w:t>
            </w:r>
            <w:proofErr w:type="gramEnd"/>
          </w:p>
        </w:tc>
        <w:tc>
          <w:tcPr>
            <w:tcW w:w="4820" w:type="dxa"/>
            <w:gridSpan w:val="2"/>
          </w:tcPr>
          <w:p w14:paraId="314CBDD1" w14:textId="77777777" w:rsidR="00942AB8" w:rsidRDefault="00942AB8"/>
        </w:tc>
      </w:tr>
      <w:tr w:rsidR="00942AB8" w14:paraId="5B6AE3C7" w14:textId="77777777" w:rsidTr="00D40ABA">
        <w:tc>
          <w:tcPr>
            <w:tcW w:w="4748" w:type="dxa"/>
            <w:gridSpan w:val="2"/>
          </w:tcPr>
          <w:p w14:paraId="65BDB344" w14:textId="77777777" w:rsidR="00942AB8" w:rsidRDefault="00942AB8"/>
        </w:tc>
        <w:tc>
          <w:tcPr>
            <w:tcW w:w="4820" w:type="dxa"/>
            <w:gridSpan w:val="2"/>
          </w:tcPr>
          <w:p w14:paraId="39931A76" w14:textId="77777777" w:rsidR="00942AB8" w:rsidRDefault="00942AB8"/>
        </w:tc>
      </w:tr>
      <w:tr w:rsidR="00942AB8" w14:paraId="6118AB16" w14:textId="77777777" w:rsidTr="00D40ABA">
        <w:tc>
          <w:tcPr>
            <w:tcW w:w="4748" w:type="dxa"/>
            <w:gridSpan w:val="2"/>
          </w:tcPr>
          <w:p w14:paraId="2EB12B00" w14:textId="77777777" w:rsidR="00942AB8" w:rsidRDefault="0027181E">
            <w:pPr>
              <w:pStyle w:val="zSoquijdatNomPartieDef"/>
              <w:rPr>
                <w:b/>
              </w:rPr>
            </w:pPr>
            <w:proofErr w:type="spellStart"/>
            <w:r>
              <w:rPr>
                <w:b/>
              </w:rPr>
              <w:t>Labelink</w:t>
            </w:r>
            <w:proofErr w:type="spellEnd"/>
            <w:r>
              <w:rPr>
                <w:b/>
              </w:rPr>
              <w:t xml:space="preserve"> </w:t>
            </w:r>
            <w:proofErr w:type="spellStart"/>
            <w:r>
              <w:rPr>
                <w:b/>
              </w:rPr>
              <w:t>Products</w:t>
            </w:r>
            <w:proofErr w:type="spellEnd"/>
            <w:r>
              <w:rPr>
                <w:b/>
              </w:rPr>
              <w:t xml:space="preserve"> </w:t>
            </w:r>
            <w:proofErr w:type="spellStart"/>
            <w:r>
              <w:rPr>
                <w:b/>
              </w:rPr>
              <w:t>inc.</w:t>
            </w:r>
            <w:proofErr w:type="spellEnd"/>
            <w:r>
              <w:rPr>
                <w:b/>
              </w:rPr>
              <w:t xml:space="preserve"> </w:t>
            </w:r>
          </w:p>
        </w:tc>
        <w:tc>
          <w:tcPr>
            <w:tcW w:w="4820" w:type="dxa"/>
            <w:gridSpan w:val="2"/>
          </w:tcPr>
          <w:p w14:paraId="5DCB7371" w14:textId="77777777" w:rsidR="00942AB8" w:rsidRDefault="00942AB8"/>
        </w:tc>
      </w:tr>
      <w:tr w:rsidR="00942AB8" w14:paraId="6233E4A8" w14:textId="77777777" w:rsidTr="00D40ABA">
        <w:tc>
          <w:tcPr>
            <w:tcW w:w="4748" w:type="dxa"/>
            <w:gridSpan w:val="2"/>
          </w:tcPr>
          <w:p w14:paraId="0A68608F" w14:textId="77777777" w:rsidR="00942AB8" w:rsidRDefault="0027181E">
            <w:pPr>
              <w:pStyle w:val="zSoquijdatQtePartieDef"/>
              <w:ind w:left="708"/>
            </w:pPr>
            <w:r>
              <w:t>Partie mise en cause</w:t>
            </w:r>
          </w:p>
        </w:tc>
        <w:tc>
          <w:tcPr>
            <w:tcW w:w="4820" w:type="dxa"/>
            <w:gridSpan w:val="2"/>
          </w:tcPr>
          <w:p w14:paraId="614D0133" w14:textId="77777777" w:rsidR="00942AB8" w:rsidRDefault="00942AB8"/>
        </w:tc>
      </w:tr>
      <w:tr w:rsidR="0065093D" w14:paraId="1402CDA8" w14:textId="77777777" w:rsidTr="00D40ABA">
        <w:tc>
          <w:tcPr>
            <w:tcW w:w="4748" w:type="dxa"/>
            <w:gridSpan w:val="2"/>
          </w:tcPr>
          <w:p w14:paraId="7BD7E6C8" w14:textId="77777777" w:rsidR="0065093D" w:rsidRDefault="0065093D"/>
        </w:tc>
        <w:tc>
          <w:tcPr>
            <w:tcW w:w="4820" w:type="dxa"/>
            <w:gridSpan w:val="2"/>
          </w:tcPr>
          <w:p w14:paraId="24BD7A1F" w14:textId="77777777" w:rsidR="0065093D" w:rsidRDefault="0065093D"/>
        </w:tc>
      </w:tr>
      <w:tr w:rsidR="00942AB8" w14:paraId="664F37C7" w14:textId="77777777" w:rsidTr="00D40ABA">
        <w:tc>
          <w:tcPr>
            <w:tcW w:w="4748" w:type="dxa"/>
            <w:gridSpan w:val="2"/>
          </w:tcPr>
          <w:p w14:paraId="4A986A11" w14:textId="77777777" w:rsidR="00942AB8" w:rsidRDefault="00942AB8"/>
        </w:tc>
        <w:tc>
          <w:tcPr>
            <w:tcW w:w="4820" w:type="dxa"/>
            <w:gridSpan w:val="2"/>
          </w:tcPr>
          <w:p w14:paraId="5429E551" w14:textId="77777777" w:rsidR="00942AB8" w:rsidRDefault="00942AB8"/>
        </w:tc>
      </w:tr>
    </w:tbl>
    <w:p w14:paraId="081BC7F4" w14:textId="77777777" w:rsidR="00C74B6F" w:rsidRDefault="00C74B6F">
      <w:r>
        <w:t>______________________________________________________________________</w:t>
      </w:r>
    </w:p>
    <w:p w14:paraId="2CD29C61" w14:textId="77777777" w:rsidR="00C74B6F" w:rsidRDefault="00C74B6F"/>
    <w:p w14:paraId="26C60CAE" w14:textId="77777777" w:rsidR="00C74B6F" w:rsidRPr="005B0612" w:rsidRDefault="00C74B6F" w:rsidP="008B042E">
      <w:pPr>
        <w:jc w:val="center"/>
        <w:rPr>
          <w:b/>
          <w:bCs/>
        </w:rPr>
      </w:pPr>
      <w:bookmarkStart w:id="5" w:name="decision"/>
      <w:r w:rsidRPr="005B0612">
        <w:rPr>
          <w:b/>
          <w:bCs/>
        </w:rPr>
        <w:t>DÉCISION</w:t>
      </w:r>
      <w:bookmarkEnd w:id="5"/>
    </w:p>
    <w:p w14:paraId="16E14814" w14:textId="77777777" w:rsidR="00C74B6F" w:rsidRDefault="00C74B6F">
      <w:pPr>
        <w:jc w:val="center"/>
      </w:pPr>
      <w:r>
        <w:t>______________________________________________________________________</w:t>
      </w:r>
    </w:p>
    <w:p w14:paraId="5B96EB13" w14:textId="77777777" w:rsidR="00C74B6F" w:rsidRDefault="00C74B6F"/>
    <w:p w14:paraId="47C52081" w14:textId="77777777" w:rsidR="00C74B6F" w:rsidRDefault="00C74B6F"/>
    <w:p w14:paraId="707CBE37" w14:textId="77777777" w:rsidR="00A04912" w:rsidRDefault="00A04912" w:rsidP="00A04912">
      <w:pPr>
        <w:rPr>
          <w:b/>
        </w:rPr>
      </w:pPr>
      <w:r w:rsidRPr="00E316CF">
        <w:rPr>
          <w:b/>
        </w:rPr>
        <w:t>APERÇU</w:t>
      </w:r>
    </w:p>
    <w:p w14:paraId="7C9A3D83" w14:textId="77777777" w:rsidR="00A04912" w:rsidRPr="00AD47AC" w:rsidRDefault="00A04912" w:rsidP="00A04912"/>
    <w:p w14:paraId="4436BC68" w14:textId="366B423A" w:rsidR="00B14FD7" w:rsidRPr="00B14FD7" w:rsidRDefault="00A04912" w:rsidP="00A04912">
      <w:pPr>
        <w:pStyle w:val="corpsdedcision"/>
      </w:pPr>
      <w:r w:rsidRPr="00B14FD7">
        <w:t xml:space="preserve">Monsieur </w:t>
      </w:r>
      <w:r w:rsidR="00B14FD7" w:rsidRPr="00B14FD7">
        <w:t>Mauro Cubeddu</w:t>
      </w:r>
      <w:r w:rsidR="00B14FD7">
        <w:t xml:space="preserve"> </w:t>
      </w:r>
      <w:r w:rsidR="00045CD5">
        <w:t>est technicien à la fini</w:t>
      </w:r>
      <w:r w:rsidR="00554554">
        <w:t xml:space="preserve">tion HP </w:t>
      </w:r>
      <w:r w:rsidR="002D1643">
        <w:t>depuis 2005</w:t>
      </w:r>
      <w:r w:rsidR="00554554">
        <w:t xml:space="preserve">, d’abord chez Étiquettes </w:t>
      </w:r>
      <w:proofErr w:type="spellStart"/>
      <w:r w:rsidR="00554554">
        <w:t>Flexo</w:t>
      </w:r>
      <w:proofErr w:type="spellEnd"/>
      <w:r w:rsidR="00554554">
        <w:t xml:space="preserve">, </w:t>
      </w:r>
      <w:r w:rsidR="004F4AD4">
        <w:t xml:space="preserve">puis chez </w:t>
      </w:r>
      <w:proofErr w:type="spellStart"/>
      <w:r w:rsidR="00554554">
        <w:t>Labelink</w:t>
      </w:r>
      <w:proofErr w:type="spellEnd"/>
      <w:r w:rsidR="0008625F">
        <w:t xml:space="preserve"> </w:t>
      </w:r>
      <w:proofErr w:type="spellStart"/>
      <w:r w:rsidR="0008625F">
        <w:t>Products</w:t>
      </w:r>
      <w:proofErr w:type="spellEnd"/>
      <w:r w:rsidR="0008625F">
        <w:t xml:space="preserve"> </w:t>
      </w:r>
      <w:proofErr w:type="spellStart"/>
      <w:r w:rsidR="0008625F">
        <w:t>inc</w:t>
      </w:r>
      <w:r w:rsidR="00045CD5">
        <w:t>.</w:t>
      </w:r>
      <w:proofErr w:type="spellEnd"/>
      <w:r w:rsidR="004F4AD4">
        <w:t xml:space="preserve">, </w:t>
      </w:r>
      <w:r w:rsidR="008451D6">
        <w:t>qui a acheté la première compagnie en 2016.</w:t>
      </w:r>
      <w:r w:rsidR="00045CD5">
        <w:t xml:space="preserve"> </w:t>
      </w:r>
      <w:r w:rsidR="001B20F7">
        <w:t>Le</w:t>
      </w:r>
      <w:r w:rsidR="00853AA1">
        <w:t xml:space="preserve"> diagnostic de </w:t>
      </w:r>
      <w:r w:rsidR="00853AA1" w:rsidRPr="00853AA1">
        <w:t>surdité neurosensorielle</w:t>
      </w:r>
      <w:r w:rsidR="00EA70C0">
        <w:t xml:space="preserve"> </w:t>
      </w:r>
      <w:r w:rsidR="001B20F7">
        <w:t xml:space="preserve">est </w:t>
      </w:r>
      <w:r w:rsidR="00EA70C0">
        <w:t>retenu le 21</w:t>
      </w:r>
      <w:r w:rsidR="00853AA1" w:rsidRPr="00853AA1">
        <w:t xml:space="preserve"> août 2018, </w:t>
      </w:r>
      <w:r w:rsidR="001B20F7">
        <w:t xml:space="preserve">et </w:t>
      </w:r>
      <w:r w:rsidR="00853AA1" w:rsidRPr="00853AA1">
        <w:t>l</w:t>
      </w:r>
      <w:r w:rsidR="00045CD5" w:rsidRPr="00853AA1">
        <w:t xml:space="preserve">a </w:t>
      </w:r>
      <w:r w:rsidR="00853AA1" w:rsidRPr="00853AA1">
        <w:t>Commission</w:t>
      </w:r>
      <w:r w:rsidR="00853AA1" w:rsidRPr="00853AA1">
        <w:rPr>
          <w:lang w:val="fr-FR"/>
        </w:rPr>
        <w:t xml:space="preserve"> des normes, de l’équité, de la santé et de la sécurité du travail </w:t>
      </w:r>
      <w:r w:rsidR="0098043E">
        <w:rPr>
          <w:lang w:val="fr-FR"/>
        </w:rPr>
        <w:t>reconnaît qu’il s’agit d’</w:t>
      </w:r>
      <w:r w:rsidR="00853AA1" w:rsidRPr="00853AA1">
        <w:rPr>
          <w:lang w:val="fr-FR"/>
        </w:rPr>
        <w:t>une maladie professionnelle</w:t>
      </w:r>
      <w:r w:rsidR="001B20F7">
        <w:rPr>
          <w:lang w:val="fr-FR"/>
        </w:rPr>
        <w:t>. C</w:t>
      </w:r>
      <w:r w:rsidR="00853AA1" w:rsidRPr="00853AA1">
        <w:rPr>
          <w:lang w:val="fr-FR"/>
        </w:rPr>
        <w:t>ette décision n’est pas contestée.</w:t>
      </w:r>
    </w:p>
    <w:p w14:paraId="02E6B854" w14:textId="05D28524" w:rsidR="003F7AC7" w:rsidRPr="00A555D9" w:rsidRDefault="00182AA1" w:rsidP="00A555D9">
      <w:pPr>
        <w:pStyle w:val="corpsdedcision"/>
        <w:rPr>
          <w:lang w:val="fr-FR"/>
        </w:rPr>
      </w:pPr>
      <w:r>
        <w:rPr>
          <w:lang w:val="fr-FR"/>
        </w:rPr>
        <w:lastRenderedPageBreak/>
        <w:t>Le 12 septembre 2018,</w:t>
      </w:r>
      <w:r w:rsidR="00A04912" w:rsidRPr="00CE1E78">
        <w:rPr>
          <w:lang w:val="fr-FR"/>
        </w:rPr>
        <w:t xml:space="preserve"> le </w:t>
      </w:r>
      <w:r w:rsidR="009447A5">
        <w:rPr>
          <w:lang w:val="fr-FR"/>
        </w:rPr>
        <w:t xml:space="preserve">médecin qui a charge du travailleur, le docteur </w:t>
      </w:r>
      <w:r w:rsidR="00A258D9">
        <w:rPr>
          <w:lang w:val="fr-FR"/>
        </w:rPr>
        <w:t>Erik Brown, oto-rhino-laryngologiste</w:t>
      </w:r>
      <w:r w:rsidR="001C2B6E">
        <w:rPr>
          <w:lang w:val="fr-FR"/>
        </w:rPr>
        <w:t>,</w:t>
      </w:r>
      <w:r w:rsidR="008D49D0">
        <w:rPr>
          <w:lang w:val="fr-FR"/>
        </w:rPr>
        <w:t xml:space="preserve"> </w:t>
      </w:r>
      <w:r w:rsidR="00A04912" w:rsidRPr="00CE1E78">
        <w:rPr>
          <w:lang w:val="fr-FR"/>
        </w:rPr>
        <w:t>pose le</w:t>
      </w:r>
      <w:r w:rsidR="009447A5">
        <w:rPr>
          <w:lang w:val="fr-FR"/>
        </w:rPr>
        <w:t>s</w:t>
      </w:r>
      <w:r w:rsidR="00A04912" w:rsidRPr="00CE1E78">
        <w:rPr>
          <w:lang w:val="fr-FR"/>
        </w:rPr>
        <w:t xml:space="preserve"> nouveau</w:t>
      </w:r>
      <w:r w:rsidR="009447A5">
        <w:rPr>
          <w:lang w:val="fr-FR"/>
        </w:rPr>
        <w:t>x</w:t>
      </w:r>
      <w:r w:rsidR="00A04912" w:rsidRPr="00CE1E78">
        <w:rPr>
          <w:lang w:val="fr-FR"/>
        </w:rPr>
        <w:t xml:space="preserve"> diagnostic</w:t>
      </w:r>
      <w:r w:rsidR="009447A5">
        <w:rPr>
          <w:lang w:val="fr-FR"/>
        </w:rPr>
        <w:t>s</w:t>
      </w:r>
      <w:r w:rsidR="00A04912" w:rsidRPr="00CE1E78">
        <w:rPr>
          <w:lang w:val="fr-FR"/>
        </w:rPr>
        <w:t xml:space="preserve"> d</w:t>
      </w:r>
      <w:r w:rsidR="009447A5">
        <w:rPr>
          <w:lang w:val="fr-FR"/>
        </w:rPr>
        <w:t>’acouphène</w:t>
      </w:r>
      <w:r w:rsidR="00AE2858">
        <w:rPr>
          <w:lang w:val="fr-FR"/>
        </w:rPr>
        <w:t>s</w:t>
      </w:r>
      <w:r w:rsidR="009447A5">
        <w:rPr>
          <w:lang w:val="fr-FR"/>
        </w:rPr>
        <w:t xml:space="preserve"> </w:t>
      </w:r>
      <w:r w:rsidR="00EA70C0" w:rsidRPr="00CE1E78">
        <w:rPr>
          <w:lang w:val="fr-FR"/>
        </w:rPr>
        <w:t>et</w:t>
      </w:r>
      <w:r w:rsidR="009447A5">
        <w:rPr>
          <w:lang w:val="fr-FR"/>
        </w:rPr>
        <w:t xml:space="preserve"> de</w:t>
      </w:r>
      <w:r w:rsidR="008D49D0">
        <w:rPr>
          <w:lang w:val="fr-FR"/>
        </w:rPr>
        <w:t xml:space="preserve"> déséquilibre, puis, le 30 octobre 2018, ceux de vertige causé par le bruit</w:t>
      </w:r>
      <w:r w:rsidR="00624509">
        <w:rPr>
          <w:lang w:val="fr-FR"/>
        </w:rPr>
        <w:t xml:space="preserve"> et de pression aux oreilles. </w:t>
      </w:r>
      <w:r w:rsidR="00A04912" w:rsidRPr="00CE1E78">
        <w:rPr>
          <w:lang w:val="fr-FR"/>
        </w:rPr>
        <w:t xml:space="preserve">La Commission refuse de reconnaître </w:t>
      </w:r>
      <w:r w:rsidR="00EA70C0" w:rsidRPr="00CE1E78">
        <w:rPr>
          <w:lang w:val="fr-FR"/>
        </w:rPr>
        <w:t>la relation entre ces</w:t>
      </w:r>
      <w:r w:rsidR="00A04912" w:rsidRPr="00CE1E78">
        <w:rPr>
          <w:lang w:val="fr-FR"/>
        </w:rPr>
        <w:t xml:space="preserve"> nouveau</w:t>
      </w:r>
      <w:r w:rsidR="00EA70C0" w:rsidRPr="00CE1E78">
        <w:rPr>
          <w:lang w:val="fr-FR"/>
        </w:rPr>
        <w:t>x</w:t>
      </w:r>
      <w:r w:rsidR="00A04912" w:rsidRPr="00CE1E78">
        <w:rPr>
          <w:lang w:val="fr-FR"/>
        </w:rPr>
        <w:t xml:space="preserve"> diagnostic</w:t>
      </w:r>
      <w:r w:rsidR="00EA70C0" w:rsidRPr="00CE1E78">
        <w:rPr>
          <w:lang w:val="fr-FR"/>
        </w:rPr>
        <w:t>s</w:t>
      </w:r>
      <w:r w:rsidR="00A04912" w:rsidRPr="00CE1E78">
        <w:rPr>
          <w:lang w:val="fr-FR"/>
        </w:rPr>
        <w:t xml:space="preserve"> et l’</w:t>
      </w:r>
      <w:r w:rsidR="005408EF">
        <w:rPr>
          <w:lang w:val="fr-FR"/>
        </w:rPr>
        <w:t>événement</w:t>
      </w:r>
      <w:r w:rsidR="00A04912" w:rsidRPr="00CE1E78">
        <w:rPr>
          <w:lang w:val="fr-FR"/>
        </w:rPr>
        <w:t xml:space="preserve"> </w:t>
      </w:r>
      <w:r w:rsidR="00EA70C0" w:rsidRPr="00CE1E78">
        <w:rPr>
          <w:lang w:val="fr-FR"/>
        </w:rPr>
        <w:t>initial</w:t>
      </w:r>
      <w:r w:rsidR="009A7C0D">
        <w:rPr>
          <w:lang w:val="fr-FR"/>
        </w:rPr>
        <w:t>,</w:t>
      </w:r>
      <w:r w:rsidR="00A555D9">
        <w:rPr>
          <w:lang w:val="fr-FR"/>
        </w:rPr>
        <w:t xml:space="preserve"> au motif qu’il s’agit d</w:t>
      </w:r>
      <w:r w:rsidR="00E41838">
        <w:rPr>
          <w:lang w:val="fr-FR"/>
        </w:rPr>
        <w:t>e</w:t>
      </w:r>
      <w:r w:rsidR="00A555D9">
        <w:rPr>
          <w:lang w:val="fr-FR"/>
        </w:rPr>
        <w:t xml:space="preserve"> symptôme</w:t>
      </w:r>
      <w:r w:rsidR="00E41838">
        <w:rPr>
          <w:lang w:val="fr-FR"/>
        </w:rPr>
        <w:t>s</w:t>
      </w:r>
      <w:r w:rsidR="00A555D9">
        <w:rPr>
          <w:lang w:val="fr-FR"/>
        </w:rPr>
        <w:t xml:space="preserve"> qui n</w:t>
      </w:r>
      <w:r w:rsidR="00E41838">
        <w:rPr>
          <w:lang w:val="fr-FR"/>
        </w:rPr>
        <w:t>e sont</w:t>
      </w:r>
      <w:r w:rsidR="00A555D9">
        <w:rPr>
          <w:lang w:val="fr-FR"/>
        </w:rPr>
        <w:t xml:space="preserve"> pas objectivé</w:t>
      </w:r>
      <w:r w:rsidR="00FD5A5E">
        <w:rPr>
          <w:lang w:val="fr-FR"/>
        </w:rPr>
        <w:t>s</w:t>
      </w:r>
      <w:r w:rsidR="00A555D9">
        <w:rPr>
          <w:lang w:val="fr-FR"/>
        </w:rPr>
        <w:t xml:space="preserve">. </w:t>
      </w:r>
      <w:r w:rsidR="00A04912" w:rsidRPr="00A555D9">
        <w:rPr>
          <w:lang w:val="fr-FR"/>
        </w:rPr>
        <w:t>Le travailleur conteste cette décision</w:t>
      </w:r>
      <w:r w:rsidR="00A04912" w:rsidRPr="00CE1E78">
        <w:rPr>
          <w:rStyle w:val="FootnoteReference"/>
          <w:lang w:val="fr-FR"/>
        </w:rPr>
        <w:footnoteReference w:id="1"/>
      </w:r>
      <w:r w:rsidR="00A04912" w:rsidRPr="00A555D9">
        <w:rPr>
          <w:lang w:val="fr-FR"/>
        </w:rPr>
        <w:t xml:space="preserve"> au Tribunal.</w:t>
      </w:r>
      <w:r w:rsidR="00122B59" w:rsidRPr="00A555D9">
        <w:rPr>
          <w:lang w:val="fr-FR"/>
        </w:rPr>
        <w:t xml:space="preserve"> Dans cette même décision, la Commission</w:t>
      </w:r>
      <w:r w:rsidR="001B4542" w:rsidRPr="00A555D9">
        <w:rPr>
          <w:lang w:val="fr-FR"/>
        </w:rPr>
        <w:t>, en révision administrative,</w:t>
      </w:r>
      <w:r w:rsidR="00122B59" w:rsidRPr="00A555D9">
        <w:rPr>
          <w:lang w:val="fr-FR"/>
        </w:rPr>
        <w:t xml:space="preserve"> </w:t>
      </w:r>
      <w:r w:rsidR="002778BA" w:rsidRPr="00A555D9">
        <w:rPr>
          <w:lang w:val="fr-FR"/>
        </w:rPr>
        <w:t>déclare</w:t>
      </w:r>
      <w:r w:rsidR="00122B59" w:rsidRPr="00A555D9">
        <w:rPr>
          <w:lang w:val="fr-FR"/>
        </w:rPr>
        <w:t xml:space="preserve"> que </w:t>
      </w:r>
      <w:r w:rsidR="002778BA" w:rsidRPr="00A555D9">
        <w:rPr>
          <w:lang w:val="fr-FR"/>
        </w:rPr>
        <w:t xml:space="preserve">la partie de </w:t>
      </w:r>
      <w:r w:rsidR="001B4542" w:rsidRPr="00A555D9">
        <w:rPr>
          <w:lang w:val="fr-FR"/>
        </w:rPr>
        <w:t xml:space="preserve">la décision de première instance </w:t>
      </w:r>
      <w:r w:rsidR="00493AD7" w:rsidRPr="00A555D9">
        <w:rPr>
          <w:lang w:val="fr-FR"/>
        </w:rPr>
        <w:t xml:space="preserve">du 3 mai 2019, qui conclut que </w:t>
      </w:r>
      <w:r w:rsidR="00122B59" w:rsidRPr="00A555D9">
        <w:rPr>
          <w:lang w:val="fr-FR"/>
        </w:rPr>
        <w:t>le travailleur n’a pas droit à l’indemnité de remplacement de revenu</w:t>
      </w:r>
      <w:r w:rsidR="00493AD7" w:rsidRPr="00A555D9">
        <w:rPr>
          <w:lang w:val="fr-FR"/>
        </w:rPr>
        <w:t xml:space="preserve"> en regard du diagnostic de surdité neurosensorielle, </w:t>
      </w:r>
      <w:r w:rsidR="002778BA" w:rsidRPr="00A555D9">
        <w:rPr>
          <w:lang w:val="fr-FR"/>
        </w:rPr>
        <w:t xml:space="preserve">est prématurée. </w:t>
      </w:r>
    </w:p>
    <w:p w14:paraId="683A1A1F" w14:textId="06FBCF8A" w:rsidR="00372705" w:rsidRPr="00D44305" w:rsidRDefault="00372705" w:rsidP="00CE1E78">
      <w:pPr>
        <w:pStyle w:val="corpsdedcision"/>
      </w:pPr>
      <w:r>
        <w:rPr>
          <w:lang w:val="fr-FR"/>
        </w:rPr>
        <w:t>L</w:t>
      </w:r>
      <w:r w:rsidR="00122B59">
        <w:rPr>
          <w:lang w:val="fr-FR"/>
        </w:rPr>
        <w:t>e même jour, l</w:t>
      </w:r>
      <w:r>
        <w:rPr>
          <w:lang w:val="fr-FR"/>
        </w:rPr>
        <w:t xml:space="preserve">a Commission </w:t>
      </w:r>
      <w:r w:rsidR="000E6A93">
        <w:rPr>
          <w:lang w:val="fr-FR"/>
        </w:rPr>
        <w:t xml:space="preserve">rend une seconde décision au sujet de l’atteinte permanente à l’intégrité physique ou psychique du travailleur </w:t>
      </w:r>
      <w:r w:rsidR="00D72A35">
        <w:rPr>
          <w:lang w:val="fr-FR"/>
        </w:rPr>
        <w:t>à la suite du</w:t>
      </w:r>
      <w:r w:rsidR="000E6A93">
        <w:rPr>
          <w:lang w:val="fr-FR"/>
        </w:rPr>
        <w:t xml:space="preserve"> diagnostic reconnu de surdité neurosensorielle, qui équivaut à 11.50 %, et donne droit à une indemnité pour préjudice corporel de 8729,19 $. Le travailleur conteste aussi cette décision</w:t>
      </w:r>
      <w:r w:rsidR="000634E5">
        <w:rPr>
          <w:rStyle w:val="FootnoteReference"/>
          <w:lang w:val="fr-FR"/>
        </w:rPr>
        <w:footnoteReference w:id="2"/>
      </w:r>
      <w:r w:rsidR="000E6A93">
        <w:rPr>
          <w:lang w:val="fr-FR"/>
        </w:rPr>
        <w:t xml:space="preserve"> au Tribunal. </w:t>
      </w:r>
      <w:r w:rsidR="00F951EF">
        <w:rPr>
          <w:lang w:val="fr-FR"/>
        </w:rPr>
        <w:t>Toutefois, à l’audience, il affirme</w:t>
      </w:r>
      <w:r w:rsidR="009C0E19">
        <w:rPr>
          <w:lang w:val="fr-FR"/>
        </w:rPr>
        <w:t xml:space="preserve"> qu’il</w:t>
      </w:r>
      <w:r w:rsidR="00F951EF">
        <w:rPr>
          <w:lang w:val="fr-FR"/>
        </w:rPr>
        <w:t xml:space="preserve"> ne conteste pas le pourcentage de l’atteinte permanente à l’intégrité physique ou psychique pour le diagnostic de surdité neurosensorielle.</w:t>
      </w:r>
      <w:r w:rsidR="009A7C0D">
        <w:rPr>
          <w:lang w:val="fr-FR"/>
        </w:rPr>
        <w:t xml:space="preserve"> </w:t>
      </w:r>
    </w:p>
    <w:p w14:paraId="18090C88" w14:textId="7FC211B1" w:rsidR="00D44305" w:rsidRPr="00CE1E78" w:rsidRDefault="00D44305" w:rsidP="00CE1E78">
      <w:pPr>
        <w:pStyle w:val="corpsdedcision"/>
      </w:pPr>
      <w:r>
        <w:rPr>
          <w:lang w:val="fr-FR"/>
        </w:rPr>
        <w:t>La conjointe du travailleur le représente à l’audience</w:t>
      </w:r>
      <w:r w:rsidR="00912A7C">
        <w:rPr>
          <w:lang w:val="fr-FR"/>
        </w:rPr>
        <w:t>,</w:t>
      </w:r>
      <w:r>
        <w:rPr>
          <w:lang w:val="fr-FR"/>
        </w:rPr>
        <w:t xml:space="preserve"> et une représentante de l’employeur est aussi présente. Un délai lui est offert afin de </w:t>
      </w:r>
      <w:r w:rsidR="004D4FEA">
        <w:rPr>
          <w:lang w:val="fr-FR"/>
        </w:rPr>
        <w:t xml:space="preserve">répondre à la jurisprudence qui est présentée par le travailleur </w:t>
      </w:r>
      <w:r w:rsidR="00B600B0">
        <w:rPr>
          <w:lang w:val="fr-FR"/>
        </w:rPr>
        <w:t xml:space="preserve">et de soumettre des arguments supplémentaires, </w:t>
      </w:r>
      <w:r w:rsidR="00D92AB5">
        <w:rPr>
          <w:lang w:val="fr-FR"/>
        </w:rPr>
        <w:t>à la suite de quoi</w:t>
      </w:r>
      <w:r w:rsidR="00D72A35">
        <w:rPr>
          <w:lang w:val="fr-FR"/>
        </w:rPr>
        <w:t xml:space="preserve"> </w:t>
      </w:r>
      <w:r w:rsidR="00B600B0">
        <w:rPr>
          <w:lang w:val="fr-FR"/>
        </w:rPr>
        <w:t xml:space="preserve">le dossier est mis en délibéré. </w:t>
      </w:r>
    </w:p>
    <w:p w14:paraId="2E326BCA" w14:textId="4885132D" w:rsidR="000E6A93" w:rsidRPr="00E15B36" w:rsidRDefault="00A04912" w:rsidP="00A04912">
      <w:pPr>
        <w:pStyle w:val="corpsdedcision"/>
      </w:pPr>
      <w:r w:rsidRPr="00E15B36">
        <w:t>L</w:t>
      </w:r>
      <w:r w:rsidRPr="00E15B36">
        <w:rPr>
          <w:lang w:val="fr-FR"/>
        </w:rPr>
        <w:t xml:space="preserve">e travailleur demande </w:t>
      </w:r>
      <w:r w:rsidR="00E15B36" w:rsidRPr="00E15B36">
        <w:rPr>
          <w:lang w:val="fr-FR"/>
        </w:rPr>
        <w:t>au Tribunal de reconnaître le diagnostic d’acouphène</w:t>
      </w:r>
      <w:r w:rsidR="000D7AED">
        <w:rPr>
          <w:lang w:val="fr-FR"/>
        </w:rPr>
        <w:t>s</w:t>
      </w:r>
      <w:r w:rsidR="00E15B36" w:rsidRPr="00E15B36">
        <w:rPr>
          <w:lang w:val="fr-FR"/>
        </w:rPr>
        <w:t xml:space="preserve"> comme étant en relation avec la lésion professionnelle initiale, en tant que diagnostic distinct et non comme conséquence de cette lésion</w:t>
      </w:r>
      <w:r w:rsidRPr="00E15B36">
        <w:rPr>
          <w:lang w:val="fr-FR"/>
        </w:rPr>
        <w:t xml:space="preserve">. </w:t>
      </w:r>
      <w:r w:rsidR="00A5627E">
        <w:rPr>
          <w:lang w:val="fr-FR"/>
        </w:rPr>
        <w:t xml:space="preserve">Il affirme qu’il a droit à l’indemnité de remplacement du revenu </w:t>
      </w:r>
      <w:r w:rsidR="00A976AD">
        <w:rPr>
          <w:lang w:val="fr-FR"/>
        </w:rPr>
        <w:t xml:space="preserve">à la suite de </w:t>
      </w:r>
      <w:r w:rsidR="00A5627E">
        <w:rPr>
          <w:lang w:val="fr-FR"/>
        </w:rPr>
        <w:t xml:space="preserve">la reconnaissance du diagnostic de surdité neurosensorielle. </w:t>
      </w:r>
      <w:r w:rsidR="00874C98">
        <w:rPr>
          <w:lang w:val="fr-FR"/>
        </w:rPr>
        <w:t xml:space="preserve">Il souhaite aussi recevoir une indemnité pour préjudice corporel en raison de ses acouphènes. </w:t>
      </w:r>
    </w:p>
    <w:p w14:paraId="5F5DE891" w14:textId="77777777" w:rsidR="00A04912" w:rsidRDefault="002738B3" w:rsidP="00A04912">
      <w:pPr>
        <w:pStyle w:val="corpsdedcision"/>
      </w:pPr>
      <w:r w:rsidRPr="00F01F30">
        <w:t>L’employeur demande que les</w:t>
      </w:r>
      <w:r w:rsidR="00A04912" w:rsidRPr="00F01F30">
        <w:t xml:space="preserve"> décision</w:t>
      </w:r>
      <w:r w:rsidRPr="00F01F30">
        <w:t>s</w:t>
      </w:r>
      <w:r w:rsidR="00A04912" w:rsidRPr="00F01F30">
        <w:t xml:space="preserve"> soi</w:t>
      </w:r>
      <w:r w:rsidRPr="00F01F30">
        <w:t>en</w:t>
      </w:r>
      <w:r w:rsidR="00A04912" w:rsidRPr="00F01F30">
        <w:t>t maintenue</w:t>
      </w:r>
      <w:r w:rsidRPr="00F01F30">
        <w:t>s</w:t>
      </w:r>
      <w:r w:rsidR="001543FB">
        <w:t xml:space="preserve">, car les acouphènes sont un symptôme </w:t>
      </w:r>
      <w:r w:rsidR="00EC18CB">
        <w:t xml:space="preserve">et non une lésion professionnelle, et constituent une manifestation de la surdité neurosensorielle, qui est déjà indemnisée. </w:t>
      </w:r>
    </w:p>
    <w:p w14:paraId="30AFE7C1" w14:textId="2F2C960C" w:rsidR="007A3732" w:rsidRPr="00F66C10" w:rsidRDefault="001E54D1" w:rsidP="007A3732">
      <w:pPr>
        <w:pStyle w:val="corpsdedcision"/>
      </w:pPr>
      <w:r w:rsidRPr="00F66C10">
        <w:rPr>
          <w:lang w:val="fr-FR"/>
        </w:rPr>
        <w:t>Quant à la question de l’indemnité de remplacement du revenu</w:t>
      </w:r>
      <w:r w:rsidR="007A3732" w:rsidRPr="00F66C10">
        <w:rPr>
          <w:lang w:val="fr-FR"/>
        </w:rPr>
        <w:t xml:space="preserve">, les notes évolutives révèlent que quatre jours après </w:t>
      </w:r>
      <w:r w:rsidRPr="00F66C10">
        <w:rPr>
          <w:lang w:val="fr-FR"/>
        </w:rPr>
        <w:t>la</w:t>
      </w:r>
      <w:r w:rsidR="007A3732" w:rsidRPr="00F66C10">
        <w:rPr>
          <w:lang w:val="fr-FR"/>
        </w:rPr>
        <w:t xml:space="preserve"> décision</w:t>
      </w:r>
      <w:r w:rsidRPr="00F66C10">
        <w:rPr>
          <w:lang w:val="fr-FR"/>
        </w:rPr>
        <w:t xml:space="preserve"> rendue </w:t>
      </w:r>
      <w:r w:rsidR="00E9603C">
        <w:rPr>
          <w:lang w:val="fr-FR"/>
        </w:rPr>
        <w:t>à la suite d’</w:t>
      </w:r>
      <w:r w:rsidRPr="00F66C10">
        <w:rPr>
          <w:lang w:val="fr-FR"/>
        </w:rPr>
        <w:t>une révision administrative</w:t>
      </w:r>
      <w:r w:rsidR="00036D47">
        <w:rPr>
          <w:rStyle w:val="FootnoteReference"/>
          <w:lang w:val="fr-FR"/>
        </w:rPr>
        <w:footnoteReference w:id="3"/>
      </w:r>
      <w:r w:rsidR="007A3732" w:rsidRPr="00F66C10">
        <w:rPr>
          <w:lang w:val="fr-FR"/>
        </w:rPr>
        <w:t>, la Commission conclut que le travailleur a droit à l’indemnité de remplacement du revenu</w:t>
      </w:r>
      <w:r w:rsidR="005408EF">
        <w:rPr>
          <w:lang w:val="fr-FR"/>
        </w:rPr>
        <w:t>,</w:t>
      </w:r>
      <w:r w:rsidR="00D90E8F" w:rsidRPr="00F66C10">
        <w:rPr>
          <w:lang w:val="fr-FR"/>
        </w:rPr>
        <w:t xml:space="preserve"> car il est en arrêt de travail en raison de sa surdité et qu’il aura besoin de réadaptation professionnelle</w:t>
      </w:r>
      <w:r w:rsidR="007A3732" w:rsidRPr="00F66C10">
        <w:rPr>
          <w:lang w:val="fr-FR"/>
        </w:rPr>
        <w:t xml:space="preserve">. </w:t>
      </w:r>
      <w:r w:rsidR="00F5264A">
        <w:rPr>
          <w:lang w:val="fr-FR"/>
        </w:rPr>
        <w:t>Puisque</w:t>
      </w:r>
      <w:r w:rsidR="00FF3E3A">
        <w:rPr>
          <w:lang w:val="fr-FR"/>
        </w:rPr>
        <w:t xml:space="preserve"> la décision rendue </w:t>
      </w:r>
      <w:r w:rsidR="00E9603C">
        <w:rPr>
          <w:lang w:val="fr-FR"/>
        </w:rPr>
        <w:t xml:space="preserve">à la suite </w:t>
      </w:r>
      <w:r w:rsidR="00E9603C">
        <w:rPr>
          <w:lang w:val="fr-FR"/>
        </w:rPr>
        <w:lastRenderedPageBreak/>
        <w:t>d’</w:t>
      </w:r>
      <w:r w:rsidR="00E9603C" w:rsidRPr="00F66C10">
        <w:rPr>
          <w:lang w:val="fr-FR"/>
        </w:rPr>
        <w:t xml:space="preserve">une </w:t>
      </w:r>
      <w:r w:rsidR="00FF3E3A">
        <w:rPr>
          <w:lang w:val="fr-FR"/>
        </w:rPr>
        <w:t xml:space="preserve">révision administrative ne se prononce pas </w:t>
      </w:r>
      <w:r w:rsidR="00F5264A">
        <w:rPr>
          <w:lang w:val="fr-FR"/>
        </w:rPr>
        <w:t>sur le</w:t>
      </w:r>
      <w:r w:rsidR="00FF3E3A">
        <w:rPr>
          <w:lang w:val="fr-FR"/>
        </w:rPr>
        <w:t xml:space="preserve"> droit à l’indemnité de remplacement du revenu</w:t>
      </w:r>
      <w:r w:rsidR="00D90E8F" w:rsidRPr="00F66C10">
        <w:rPr>
          <w:lang w:val="fr-FR"/>
        </w:rPr>
        <w:t>, l</w:t>
      </w:r>
      <w:r w:rsidR="007A3732" w:rsidRPr="00F66C10">
        <w:rPr>
          <w:lang w:val="fr-FR"/>
        </w:rPr>
        <w:t xml:space="preserve">e Tribunal </w:t>
      </w:r>
      <w:r w:rsidR="00FF3E3A">
        <w:rPr>
          <w:lang w:val="fr-FR"/>
        </w:rPr>
        <w:t xml:space="preserve">n’a pas à </w:t>
      </w:r>
      <w:r w:rsidR="0009227F">
        <w:rPr>
          <w:lang w:val="fr-FR"/>
        </w:rPr>
        <w:t>disposer de cette question.</w:t>
      </w:r>
      <w:r w:rsidR="00D90E8F" w:rsidRPr="00F66C10">
        <w:rPr>
          <w:lang w:val="fr-FR"/>
        </w:rPr>
        <w:t xml:space="preserve"> </w:t>
      </w:r>
    </w:p>
    <w:p w14:paraId="675AB239" w14:textId="77777777" w:rsidR="003A4816" w:rsidRDefault="00B56D74" w:rsidP="001E54D1">
      <w:pPr>
        <w:pStyle w:val="corpsdedcision"/>
        <w:rPr>
          <w:lang w:val="fr-FR"/>
        </w:rPr>
      </w:pPr>
      <w:r>
        <w:rPr>
          <w:lang w:val="fr-FR"/>
        </w:rPr>
        <w:t>Le</w:t>
      </w:r>
      <w:r w:rsidR="00A04912" w:rsidRPr="00122B59">
        <w:rPr>
          <w:lang w:val="fr-FR"/>
        </w:rPr>
        <w:t xml:space="preserve"> Tribunal </w:t>
      </w:r>
      <w:r>
        <w:rPr>
          <w:lang w:val="fr-FR"/>
        </w:rPr>
        <w:t>doit</w:t>
      </w:r>
      <w:r w:rsidR="00A04912" w:rsidRPr="00122B59">
        <w:rPr>
          <w:lang w:val="fr-FR"/>
        </w:rPr>
        <w:t xml:space="preserve"> déterminer si le nouveau diagnostic </w:t>
      </w:r>
      <w:r w:rsidR="00150BAC">
        <w:rPr>
          <w:lang w:val="fr-FR"/>
        </w:rPr>
        <w:t>d’acouphène</w:t>
      </w:r>
      <w:r w:rsidR="00CA7645">
        <w:rPr>
          <w:lang w:val="fr-FR"/>
        </w:rPr>
        <w:t>s</w:t>
      </w:r>
      <w:r w:rsidR="00150BAC">
        <w:rPr>
          <w:lang w:val="fr-FR"/>
        </w:rPr>
        <w:t xml:space="preserve"> </w:t>
      </w:r>
      <w:r w:rsidR="00A04912" w:rsidRPr="00122B59">
        <w:rPr>
          <w:lang w:val="fr-FR"/>
        </w:rPr>
        <w:t xml:space="preserve">est en relation avec la lésion professionnelle du </w:t>
      </w:r>
      <w:r w:rsidR="00EC18CB">
        <w:rPr>
          <w:lang w:val="fr-FR"/>
        </w:rPr>
        <w:t>21 août 2018</w:t>
      </w:r>
      <w:r w:rsidR="001E54D1">
        <w:rPr>
          <w:lang w:val="fr-FR"/>
        </w:rPr>
        <w:t xml:space="preserve">, et conclut par l’affirmative. </w:t>
      </w:r>
      <w:r w:rsidR="008610D3">
        <w:rPr>
          <w:lang w:val="fr-FR"/>
        </w:rPr>
        <w:t xml:space="preserve">Le dossier est </w:t>
      </w:r>
      <w:r w:rsidR="00CA7645">
        <w:rPr>
          <w:lang w:val="fr-FR"/>
        </w:rPr>
        <w:t>retourné</w:t>
      </w:r>
      <w:r w:rsidR="008610D3">
        <w:rPr>
          <w:lang w:val="fr-FR"/>
        </w:rPr>
        <w:t xml:space="preserve"> à la Commission </w:t>
      </w:r>
      <w:r w:rsidR="00AD31F2">
        <w:rPr>
          <w:lang w:val="fr-FR"/>
        </w:rPr>
        <w:t xml:space="preserve">pour le traitement approprié, dont </w:t>
      </w:r>
      <w:r w:rsidR="008610D3">
        <w:rPr>
          <w:lang w:val="fr-FR"/>
        </w:rPr>
        <w:t>la détermination de l’indemnité pour préjudice corporel relié</w:t>
      </w:r>
      <w:r w:rsidR="00CA7645">
        <w:rPr>
          <w:lang w:val="fr-FR"/>
        </w:rPr>
        <w:t>e</w:t>
      </w:r>
      <w:r w:rsidR="008610D3">
        <w:rPr>
          <w:lang w:val="fr-FR"/>
        </w:rPr>
        <w:t xml:space="preserve"> aux acouphènes. </w:t>
      </w:r>
    </w:p>
    <w:p w14:paraId="1D74301E" w14:textId="77777777" w:rsidR="00A04912" w:rsidRPr="003A4816" w:rsidRDefault="00A04912" w:rsidP="003A4816">
      <w:pPr>
        <w:pStyle w:val="corpsdedcision"/>
        <w:numPr>
          <w:ilvl w:val="0"/>
          <w:numId w:val="0"/>
        </w:numPr>
      </w:pPr>
      <w:r w:rsidRPr="003A4816">
        <w:rPr>
          <w:b/>
          <w:bCs/>
          <w:lang w:val="fr-FR"/>
        </w:rPr>
        <w:t>ANALYSE</w:t>
      </w:r>
    </w:p>
    <w:p w14:paraId="0D66A899" w14:textId="34C8D6B8" w:rsidR="003B6F33" w:rsidRPr="00B63CAD" w:rsidRDefault="006948CD" w:rsidP="00A04912">
      <w:pPr>
        <w:pStyle w:val="corpsdedcision"/>
      </w:pPr>
      <w:r>
        <w:t xml:space="preserve">Puisque le travailleur </w:t>
      </w:r>
      <w:r w:rsidR="003B6F33" w:rsidRPr="00B63CAD">
        <w:t>demande au Tribunal de</w:t>
      </w:r>
      <w:r w:rsidR="006318D9">
        <w:t xml:space="preserve"> ne reconnaître, parmi les nouveaux diagnostics posés, que </w:t>
      </w:r>
      <w:r w:rsidR="003B6F33" w:rsidRPr="00B63CAD">
        <w:t>le diagnostic d’acouphène</w:t>
      </w:r>
      <w:r w:rsidR="00AE2858">
        <w:t>s</w:t>
      </w:r>
      <w:r w:rsidR="003B6F33" w:rsidRPr="00B63CAD">
        <w:t xml:space="preserve"> comme étant en relation avec la lésion professionnelle initiale, </w:t>
      </w:r>
      <w:r w:rsidR="00B63CAD">
        <w:t xml:space="preserve">le Tribunal se limite à l’analyse de la relation de ce diagnostic. </w:t>
      </w:r>
    </w:p>
    <w:p w14:paraId="365EA3D0" w14:textId="28EB4B46" w:rsidR="00A04912" w:rsidRPr="00C24603" w:rsidRDefault="00A04912" w:rsidP="00A04912">
      <w:pPr>
        <w:pStyle w:val="corpsdedcision"/>
      </w:pPr>
      <w:r w:rsidRPr="00C24603">
        <w:t xml:space="preserve">La </w:t>
      </w:r>
      <w:r w:rsidRPr="00C24603">
        <w:rPr>
          <w:i/>
        </w:rPr>
        <w:t>Loi sur les accidents du travail et les maladies professionnelles</w:t>
      </w:r>
      <w:r w:rsidRPr="00C24603">
        <w:rPr>
          <w:rStyle w:val="FootnoteReference"/>
        </w:rPr>
        <w:footnoteReference w:id="4"/>
      </w:r>
      <w:r w:rsidRPr="00C24603">
        <w:rPr>
          <w:i/>
        </w:rPr>
        <w:t xml:space="preserve"> </w:t>
      </w:r>
      <w:r w:rsidRPr="00C24603">
        <w:t>prévoit qu’en l’absence d’un avis rendu sur cette question par le Bureau d’évaluation médicale, le diagnostic posé par le médecin qui a charge du travailleur ne peut être contesté</w:t>
      </w:r>
      <w:r w:rsidRPr="00C24603">
        <w:rPr>
          <w:rStyle w:val="FootnoteReference"/>
        </w:rPr>
        <w:footnoteReference w:id="5"/>
      </w:r>
      <w:r w:rsidRPr="00C24603">
        <w:t>. En l’espèce,</w:t>
      </w:r>
      <w:r w:rsidR="00730DF2" w:rsidRPr="00C24603">
        <w:t xml:space="preserve"> le dossier ne contient pas d’avis du Bureau d’</w:t>
      </w:r>
      <w:r w:rsidR="00765477">
        <w:t>évaluation médicale au sujet du</w:t>
      </w:r>
      <w:r w:rsidRPr="00C24603">
        <w:t xml:space="preserve"> diagnostic </w:t>
      </w:r>
      <w:r w:rsidR="00730DF2" w:rsidRPr="00C24603">
        <w:t>d’acouphène</w:t>
      </w:r>
      <w:r w:rsidR="00E02477">
        <w:t>s</w:t>
      </w:r>
      <w:r w:rsidR="00765477">
        <w:t>.</w:t>
      </w:r>
      <w:r w:rsidRPr="00C24603">
        <w:t xml:space="preserve"> </w:t>
      </w:r>
      <w:r w:rsidR="001E5D08">
        <w:rPr>
          <w:lang w:val="fr-FR"/>
        </w:rPr>
        <w:t>Le 12 septembre 2018,</w:t>
      </w:r>
      <w:r w:rsidR="001E5D08" w:rsidRPr="00CE1E78">
        <w:rPr>
          <w:lang w:val="fr-FR"/>
        </w:rPr>
        <w:t xml:space="preserve"> le </w:t>
      </w:r>
      <w:r w:rsidR="001E5D08">
        <w:rPr>
          <w:lang w:val="fr-FR"/>
        </w:rPr>
        <w:t xml:space="preserve">médecin qui a charge du travailleur, le docteur Brown, oto-rhino-laryngologiste, </w:t>
      </w:r>
      <w:r w:rsidR="001E5D08" w:rsidRPr="00CE1E78">
        <w:rPr>
          <w:lang w:val="fr-FR"/>
        </w:rPr>
        <w:t>pose le diagnostic d</w:t>
      </w:r>
      <w:r w:rsidR="001E5D08">
        <w:rPr>
          <w:lang w:val="fr-FR"/>
        </w:rPr>
        <w:t>’acouphène</w:t>
      </w:r>
      <w:r w:rsidR="00E02477">
        <w:rPr>
          <w:lang w:val="fr-FR"/>
        </w:rPr>
        <w:t>s</w:t>
      </w:r>
      <w:r w:rsidR="001E5D08">
        <w:rPr>
          <w:lang w:val="fr-FR"/>
        </w:rPr>
        <w:t>.</w:t>
      </w:r>
    </w:p>
    <w:p w14:paraId="67BF3F2C" w14:textId="65B374D9" w:rsidR="00A04912" w:rsidRPr="00B40C33" w:rsidRDefault="00A04912" w:rsidP="00A04912">
      <w:pPr>
        <w:pStyle w:val="corpsdedcision"/>
      </w:pPr>
      <w:r w:rsidRPr="00B40C33">
        <w:t xml:space="preserve">Le Tribunal doit </w:t>
      </w:r>
      <w:r w:rsidRPr="00B40C33">
        <w:rPr>
          <w:lang w:val="fr-FR"/>
        </w:rPr>
        <w:t xml:space="preserve">déterminer si ce nouveau diagnostic </w:t>
      </w:r>
      <w:r w:rsidR="00B63CAD" w:rsidRPr="00B40C33">
        <w:rPr>
          <w:lang w:val="fr-FR"/>
        </w:rPr>
        <w:t>d’acouphène</w:t>
      </w:r>
      <w:r w:rsidR="00E02477">
        <w:rPr>
          <w:lang w:val="fr-FR"/>
        </w:rPr>
        <w:t>s</w:t>
      </w:r>
      <w:r w:rsidRPr="00B40C33">
        <w:rPr>
          <w:lang w:val="fr-FR"/>
        </w:rPr>
        <w:t xml:space="preserve"> est en relation avec la lésion professionnelle</w:t>
      </w:r>
      <w:r w:rsidR="00765477">
        <w:rPr>
          <w:lang w:val="fr-FR"/>
        </w:rPr>
        <w:t xml:space="preserve"> </w:t>
      </w:r>
      <w:r w:rsidR="00765477" w:rsidRPr="00122B59">
        <w:rPr>
          <w:lang w:val="fr-FR"/>
        </w:rPr>
        <w:t xml:space="preserve">du </w:t>
      </w:r>
      <w:r w:rsidR="00765477">
        <w:rPr>
          <w:lang w:val="fr-FR"/>
        </w:rPr>
        <w:t>21 août 2018</w:t>
      </w:r>
      <w:r w:rsidRPr="00B40C33">
        <w:rPr>
          <w:lang w:val="fr-FR"/>
        </w:rPr>
        <w:t xml:space="preserve">, </w:t>
      </w:r>
      <w:r w:rsidR="00765477">
        <w:rPr>
          <w:lang w:val="fr-FR"/>
        </w:rPr>
        <w:t xml:space="preserve">pour </w:t>
      </w:r>
      <w:r w:rsidRPr="00B40C33">
        <w:rPr>
          <w:lang w:val="fr-FR"/>
        </w:rPr>
        <w:t>laquelle un diagnostic de s</w:t>
      </w:r>
      <w:r w:rsidR="00B63CAD" w:rsidRPr="00B40C33">
        <w:rPr>
          <w:lang w:val="fr-FR"/>
        </w:rPr>
        <w:t>urdité neurosensorielle</w:t>
      </w:r>
      <w:r w:rsidRPr="00B40C33">
        <w:rPr>
          <w:lang w:val="fr-FR"/>
        </w:rPr>
        <w:t xml:space="preserve"> est posé.</w:t>
      </w:r>
      <w:r w:rsidRPr="00B40C33">
        <w:t xml:space="preserve"> </w:t>
      </w:r>
      <w:r w:rsidRPr="00B40C33">
        <w:rPr>
          <w:lang w:val="fr-FR"/>
        </w:rPr>
        <w:t>La jurisprudence</w:t>
      </w:r>
      <w:r w:rsidRPr="00B40C33">
        <w:rPr>
          <w:rStyle w:val="FootnoteReference"/>
          <w:lang w:val="fr-FR"/>
        </w:rPr>
        <w:footnoteReference w:id="6"/>
      </w:r>
      <w:r w:rsidR="003A7200">
        <w:rPr>
          <w:lang w:val="fr-FR"/>
        </w:rPr>
        <w:t xml:space="preserve"> </w:t>
      </w:r>
      <w:r w:rsidRPr="00B40C33">
        <w:rPr>
          <w:lang w:val="fr-FR"/>
        </w:rPr>
        <w:t>établi</w:t>
      </w:r>
      <w:r w:rsidR="003A7200">
        <w:rPr>
          <w:lang w:val="fr-FR"/>
        </w:rPr>
        <w:t>t</w:t>
      </w:r>
      <w:r w:rsidRPr="00B40C33">
        <w:rPr>
          <w:lang w:val="fr-FR"/>
        </w:rPr>
        <w:t xml:space="preserve"> les paramètres suivants concernant les décisions de </w:t>
      </w:r>
      <w:proofErr w:type="gramStart"/>
      <w:r w:rsidRPr="00B40C33">
        <w:rPr>
          <w:lang w:val="fr-FR"/>
        </w:rPr>
        <w:t>relation:</w:t>
      </w:r>
      <w:proofErr w:type="gramEnd"/>
      <w:r w:rsidRPr="00B40C33">
        <w:rPr>
          <w:lang w:val="fr-FR"/>
        </w:rPr>
        <w:t xml:space="preserve"> </w:t>
      </w:r>
    </w:p>
    <w:p w14:paraId="2EE7684E" w14:textId="77777777" w:rsidR="00A04912" w:rsidRPr="00B40C33" w:rsidRDefault="00A04912" w:rsidP="00A04912">
      <w:pPr>
        <w:pStyle w:val="Citationendoubleretrait"/>
        <w:rPr>
          <w:sz w:val="24"/>
          <w:lang w:val="fr-FR"/>
        </w:rPr>
      </w:pPr>
      <w:r w:rsidRPr="00B40C33">
        <w:rPr>
          <w:lang w:val="fr-FR"/>
        </w:rPr>
        <w:t>[</w:t>
      </w:r>
      <w:bookmarkStart w:id="6" w:name="par31"/>
      <w:r w:rsidRPr="00B40C33">
        <w:rPr>
          <w:lang w:val="fr-FR"/>
        </w:rPr>
        <w:t>31</w:t>
      </w:r>
      <w:bookmarkEnd w:id="6"/>
      <w:r w:rsidRPr="00B40C33">
        <w:rPr>
          <w:lang w:val="fr-FR"/>
        </w:rPr>
        <w:t>]</w:t>
      </w:r>
      <w:r w:rsidRPr="00B40C33">
        <w:rPr>
          <w:rFonts w:ascii="Times New Roman" w:hAnsi="Times New Roman"/>
          <w:sz w:val="14"/>
          <w:szCs w:val="14"/>
          <w:lang w:val="fr-FR"/>
        </w:rPr>
        <w:t>       </w:t>
      </w:r>
      <w:r w:rsidRPr="00B40C33">
        <w:rPr>
          <w:lang w:val="fr-FR"/>
        </w:rPr>
        <w:t>Lorsqu’il s’agit de déterminer la relation entre un nouveau diagnostic et la lésion professionnelle, la jurisprudence du tribunal a posé les balises suivantes :</w:t>
      </w:r>
    </w:p>
    <w:p w14:paraId="7E9952B2" w14:textId="607F4904" w:rsidR="00A04912" w:rsidRPr="00B40C33" w:rsidRDefault="00A04912" w:rsidP="00A04912">
      <w:pPr>
        <w:pStyle w:val="Citationendoubleretrait"/>
        <w:ind w:left="2124"/>
        <w:rPr>
          <w:lang w:val="fr-FR"/>
        </w:rPr>
      </w:pPr>
      <w:proofErr w:type="gramStart"/>
      <w:r w:rsidRPr="00B40C33">
        <w:rPr>
          <w:rFonts w:ascii="Segoe UI Symbol" w:hAnsi="Segoe UI Symbol" w:cs="Segoe UI Symbol"/>
          <w:lang w:val="fr-FR"/>
        </w:rPr>
        <w:t>➢</w:t>
      </w:r>
      <w:r w:rsidRPr="00B40C33">
        <w:rPr>
          <w:rFonts w:ascii="Times New Roman" w:hAnsi="Times New Roman"/>
          <w:sz w:val="14"/>
          <w:szCs w:val="14"/>
          <w:lang w:val="fr-FR"/>
        </w:rPr>
        <w:t xml:space="preserve">  </w:t>
      </w:r>
      <w:r w:rsidRPr="00B40C33">
        <w:rPr>
          <w:lang w:val="fr-FR"/>
        </w:rPr>
        <w:t>Une</w:t>
      </w:r>
      <w:proofErr w:type="gramEnd"/>
      <w:r w:rsidRPr="00B40C33">
        <w:rPr>
          <w:lang w:val="fr-FR"/>
        </w:rPr>
        <w:t xml:space="preserve"> décision de la CSST qui statue sur la relation n’est pas une décision d’admissibilité. Dans ce contexte, il n’y a pas lieu de faire l’analyse de la preuve factuelle et médicale en utilisant les critères de l’article 2 de la loi pour un accident du travail, de se prononcer sur l’application de la présomption prévue à l’article 28 de la loi, sur les critères de la maladie professionnelle ou de la récidive, rechute ou </w:t>
      </w:r>
      <w:bookmarkStart w:id="7" w:name="_ftnref2"/>
      <w:r w:rsidR="00A72706" w:rsidRPr="00B40C33">
        <w:rPr>
          <w:lang w:val="fr-FR"/>
        </w:rPr>
        <w:t>aggravation</w:t>
      </w:r>
      <w:r w:rsidR="00A72706">
        <w:rPr>
          <w:color w:val="027ABB"/>
          <w:lang w:val="fr-FR"/>
        </w:rPr>
        <w:t xml:space="preserve"> [</w:t>
      </w:r>
      <w:r w:rsidR="0009564F">
        <w:rPr>
          <w:color w:val="027ABB"/>
          <w:lang w:val="fr-FR"/>
        </w:rPr>
        <w:t>2</w:t>
      </w:r>
      <w:proofErr w:type="gramStart"/>
      <w:r w:rsidR="0009564F">
        <w:rPr>
          <w:color w:val="027ABB"/>
          <w:lang w:val="fr-FR"/>
        </w:rPr>
        <w:t>]</w:t>
      </w:r>
      <w:bookmarkEnd w:id="7"/>
      <w:r w:rsidRPr="00B40C33">
        <w:rPr>
          <w:lang w:val="fr-FR"/>
        </w:rPr>
        <w:t>;</w:t>
      </w:r>
      <w:proofErr w:type="gramEnd"/>
    </w:p>
    <w:p w14:paraId="5B06791D" w14:textId="77777777" w:rsidR="00A04912" w:rsidRPr="00B40C33" w:rsidRDefault="00A04912" w:rsidP="00A04912">
      <w:pPr>
        <w:pStyle w:val="Citationendoubleretrait"/>
        <w:ind w:left="2124"/>
        <w:rPr>
          <w:lang w:val="fr-FR"/>
        </w:rPr>
      </w:pPr>
    </w:p>
    <w:p w14:paraId="22613084" w14:textId="0F921CCC" w:rsidR="00A04912" w:rsidRPr="00B40C33" w:rsidRDefault="00A04912" w:rsidP="00A04912">
      <w:pPr>
        <w:pStyle w:val="Citationendoubleretrait"/>
        <w:ind w:left="2124"/>
        <w:rPr>
          <w:lang w:val="fr-FR"/>
        </w:rPr>
      </w:pPr>
      <w:proofErr w:type="gramStart"/>
      <w:r w:rsidRPr="00B40C33">
        <w:rPr>
          <w:rFonts w:ascii="Segoe UI Symbol" w:hAnsi="Segoe UI Symbol" w:cs="Segoe UI Symbol"/>
          <w:lang w:val="fr-FR"/>
        </w:rPr>
        <w:t>➢</w:t>
      </w:r>
      <w:r w:rsidRPr="00B40C33">
        <w:rPr>
          <w:rFonts w:ascii="Times New Roman" w:hAnsi="Times New Roman"/>
          <w:sz w:val="14"/>
          <w:szCs w:val="14"/>
          <w:lang w:val="fr-FR"/>
        </w:rPr>
        <w:t xml:space="preserve">  </w:t>
      </w:r>
      <w:r w:rsidRPr="00B40C33">
        <w:rPr>
          <w:lang w:val="fr-FR"/>
        </w:rPr>
        <w:t>Le</w:t>
      </w:r>
      <w:proofErr w:type="gramEnd"/>
      <w:r w:rsidRPr="00B40C33">
        <w:rPr>
          <w:lang w:val="fr-FR"/>
        </w:rPr>
        <w:t xml:space="preserve"> rôle du tribunal est d’évaluer si le nouveau diagnostic est en lien avec l’événement ou la lésion professionnelle déjà reconnue et non pas de déterminer l’existence d’une lésion </w:t>
      </w:r>
      <w:proofErr w:type="gramStart"/>
      <w:r w:rsidRPr="00B40C33">
        <w:rPr>
          <w:lang w:val="fr-FR"/>
        </w:rPr>
        <w:t>professionnelle</w:t>
      </w:r>
      <w:bookmarkStart w:id="8" w:name="_ftnref3"/>
      <w:r w:rsidR="0009564F">
        <w:rPr>
          <w:color w:val="027ABB"/>
          <w:lang w:val="fr-FR"/>
        </w:rPr>
        <w:t>[</w:t>
      </w:r>
      <w:proofErr w:type="gramEnd"/>
      <w:r w:rsidR="0009564F">
        <w:rPr>
          <w:color w:val="027ABB"/>
          <w:lang w:val="fr-FR"/>
        </w:rPr>
        <w:t>3</w:t>
      </w:r>
      <w:proofErr w:type="gramStart"/>
      <w:r w:rsidR="0009564F">
        <w:rPr>
          <w:color w:val="027ABB"/>
          <w:lang w:val="fr-FR"/>
        </w:rPr>
        <w:t>]</w:t>
      </w:r>
      <w:bookmarkEnd w:id="8"/>
      <w:r w:rsidRPr="00B40C33">
        <w:rPr>
          <w:lang w:val="fr-FR"/>
        </w:rPr>
        <w:t>;</w:t>
      </w:r>
      <w:proofErr w:type="gramEnd"/>
    </w:p>
    <w:p w14:paraId="058F0FC6" w14:textId="77777777" w:rsidR="00A04912" w:rsidRPr="00B40C33" w:rsidRDefault="00A04912" w:rsidP="00A04912">
      <w:pPr>
        <w:pStyle w:val="Citationendoubleretrait"/>
        <w:ind w:left="2124"/>
        <w:rPr>
          <w:lang w:val="fr-FR"/>
        </w:rPr>
      </w:pPr>
    </w:p>
    <w:p w14:paraId="5C5CCDE9" w14:textId="55BAEBA4" w:rsidR="00A04912" w:rsidRPr="00B40C33" w:rsidRDefault="00A04912" w:rsidP="00A04912">
      <w:pPr>
        <w:pStyle w:val="Citationendoubleretrait"/>
        <w:ind w:left="2124"/>
        <w:rPr>
          <w:lang w:val="fr-FR"/>
        </w:rPr>
      </w:pPr>
      <w:proofErr w:type="gramStart"/>
      <w:r w:rsidRPr="00B40C33">
        <w:rPr>
          <w:rFonts w:ascii="Segoe UI Symbol" w:hAnsi="Segoe UI Symbol" w:cs="Segoe UI Symbol"/>
          <w:lang w:val="fr-FR"/>
        </w:rPr>
        <w:t>➢</w:t>
      </w:r>
      <w:r w:rsidRPr="00B40C33">
        <w:rPr>
          <w:rFonts w:ascii="Times New Roman" w:hAnsi="Times New Roman"/>
          <w:sz w:val="14"/>
          <w:szCs w:val="14"/>
          <w:lang w:val="fr-FR"/>
        </w:rPr>
        <w:t xml:space="preserve">  </w:t>
      </w:r>
      <w:r w:rsidRPr="00B40C33">
        <w:rPr>
          <w:lang w:val="fr-FR"/>
        </w:rPr>
        <w:t>L’existence</w:t>
      </w:r>
      <w:proofErr w:type="gramEnd"/>
      <w:r w:rsidRPr="00B40C33">
        <w:rPr>
          <w:lang w:val="fr-FR"/>
        </w:rPr>
        <w:t xml:space="preserve"> d’une relation peut s’apprécier en tenant compte </w:t>
      </w:r>
      <w:r w:rsidRPr="00AF6B7D">
        <w:rPr>
          <w:lang w:val="fr-FR"/>
        </w:rPr>
        <w:t>des critères suivants : la concomitance entre l’événement et le diagnostic, la contemporanéité de celui</w:t>
      </w:r>
      <w:r w:rsidRPr="00AF6B7D">
        <w:rPr>
          <w:lang w:val="fr-FR"/>
        </w:rPr>
        <w:noBreakHyphen/>
        <w:t xml:space="preserve">ci, l’existence d’antécédents, la présence ou l’absence de consultation médicale et l’existence d’un suivi </w:t>
      </w:r>
      <w:bookmarkStart w:id="9" w:name="_ftnref4"/>
      <w:r w:rsidR="00CD4495" w:rsidRPr="00AF6B7D">
        <w:rPr>
          <w:lang w:val="fr-FR"/>
        </w:rPr>
        <w:t>médical</w:t>
      </w:r>
      <w:r w:rsidR="00CD4495">
        <w:rPr>
          <w:color w:val="027ABB"/>
          <w:lang w:val="fr-FR"/>
        </w:rPr>
        <w:t xml:space="preserve"> [</w:t>
      </w:r>
      <w:r w:rsidR="0009564F">
        <w:rPr>
          <w:color w:val="027ABB"/>
          <w:lang w:val="fr-FR"/>
        </w:rPr>
        <w:t>4</w:t>
      </w:r>
      <w:proofErr w:type="gramStart"/>
      <w:r w:rsidR="0009564F">
        <w:rPr>
          <w:color w:val="027ABB"/>
          <w:lang w:val="fr-FR"/>
        </w:rPr>
        <w:t>]</w:t>
      </w:r>
      <w:bookmarkEnd w:id="9"/>
      <w:r w:rsidRPr="00AF6B7D">
        <w:rPr>
          <w:lang w:val="fr-FR"/>
        </w:rPr>
        <w:t>;</w:t>
      </w:r>
      <w:proofErr w:type="gramEnd"/>
    </w:p>
    <w:p w14:paraId="6F543936" w14:textId="77777777" w:rsidR="00A04912" w:rsidRPr="00B40C33" w:rsidRDefault="00A04912" w:rsidP="00A04912">
      <w:pPr>
        <w:pStyle w:val="Citationendoubleretrait"/>
        <w:ind w:left="2124"/>
        <w:rPr>
          <w:lang w:val="fr-FR"/>
        </w:rPr>
      </w:pPr>
    </w:p>
    <w:p w14:paraId="0D23B718" w14:textId="3252A1E6" w:rsidR="00A04912" w:rsidRPr="00B40C33" w:rsidRDefault="00A04912" w:rsidP="00A04912">
      <w:pPr>
        <w:pStyle w:val="Citationendoubleretrait"/>
        <w:ind w:left="2124"/>
        <w:rPr>
          <w:lang w:val="fr-FR"/>
        </w:rPr>
      </w:pPr>
      <w:proofErr w:type="gramStart"/>
      <w:r w:rsidRPr="00B40C33">
        <w:rPr>
          <w:rFonts w:ascii="Segoe UI Symbol" w:hAnsi="Segoe UI Symbol" w:cs="Segoe UI Symbol"/>
          <w:lang w:val="fr-FR"/>
        </w:rPr>
        <w:t>➢</w:t>
      </w:r>
      <w:r w:rsidRPr="00B40C33">
        <w:rPr>
          <w:rFonts w:ascii="Times New Roman" w:hAnsi="Times New Roman"/>
          <w:sz w:val="14"/>
          <w:szCs w:val="14"/>
          <w:lang w:val="fr-FR"/>
        </w:rPr>
        <w:t xml:space="preserve">  </w:t>
      </w:r>
      <w:r w:rsidRPr="00B40C33">
        <w:rPr>
          <w:lang w:val="fr-FR"/>
        </w:rPr>
        <w:t>En</w:t>
      </w:r>
      <w:proofErr w:type="gramEnd"/>
      <w:r w:rsidRPr="00B40C33">
        <w:rPr>
          <w:lang w:val="fr-FR"/>
        </w:rPr>
        <w:t xml:space="preserve"> matière de diagnostic de nature psychologique, le travailleur doit établir que l’événement initial a contribué de façon significative et déterminante à l’apparition ou au développement de la lésion psychologique de celui-</w:t>
      </w:r>
      <w:bookmarkStart w:id="10" w:name="_ftnref5"/>
      <w:r w:rsidR="00CD4495" w:rsidRPr="00B40C33">
        <w:rPr>
          <w:lang w:val="fr-FR"/>
        </w:rPr>
        <w:t>ci</w:t>
      </w:r>
      <w:r w:rsidR="00CD4495">
        <w:rPr>
          <w:color w:val="027ABB"/>
          <w:lang w:val="fr-FR"/>
        </w:rPr>
        <w:t xml:space="preserve"> [</w:t>
      </w:r>
      <w:r w:rsidR="0009564F">
        <w:rPr>
          <w:color w:val="027ABB"/>
          <w:lang w:val="fr-FR"/>
        </w:rPr>
        <w:t>5</w:t>
      </w:r>
      <w:proofErr w:type="gramStart"/>
      <w:r w:rsidR="0009564F">
        <w:rPr>
          <w:color w:val="027ABB"/>
          <w:lang w:val="fr-FR"/>
        </w:rPr>
        <w:t>]</w:t>
      </w:r>
      <w:bookmarkEnd w:id="10"/>
      <w:r w:rsidRPr="00B40C33">
        <w:rPr>
          <w:lang w:val="fr-FR"/>
        </w:rPr>
        <w:t>;</w:t>
      </w:r>
      <w:proofErr w:type="gramEnd"/>
    </w:p>
    <w:p w14:paraId="2E33CB8B" w14:textId="77777777" w:rsidR="00A04912" w:rsidRPr="00B40C33" w:rsidRDefault="00A04912" w:rsidP="00A04912">
      <w:pPr>
        <w:pStyle w:val="Citationendoubleretrait"/>
        <w:ind w:left="2124"/>
        <w:rPr>
          <w:lang w:val="fr-FR"/>
        </w:rPr>
      </w:pPr>
    </w:p>
    <w:p w14:paraId="14145357" w14:textId="364E6EDF" w:rsidR="00A04912" w:rsidRPr="00B40C33" w:rsidRDefault="00A04912" w:rsidP="00A04912">
      <w:pPr>
        <w:pStyle w:val="Citationendoubleretrait"/>
        <w:ind w:left="2124"/>
        <w:rPr>
          <w:lang w:val="fr-FR"/>
        </w:rPr>
      </w:pPr>
      <w:proofErr w:type="gramStart"/>
      <w:r w:rsidRPr="00B40C33">
        <w:rPr>
          <w:rFonts w:ascii="Segoe UI Symbol" w:hAnsi="Segoe UI Symbol" w:cs="Segoe UI Symbol"/>
          <w:lang w:val="fr-FR"/>
        </w:rPr>
        <w:t>➢</w:t>
      </w:r>
      <w:r w:rsidRPr="00B40C33">
        <w:rPr>
          <w:rFonts w:ascii="Times New Roman" w:hAnsi="Times New Roman"/>
          <w:sz w:val="14"/>
          <w:szCs w:val="14"/>
          <w:lang w:val="fr-FR"/>
        </w:rPr>
        <w:t xml:space="preserve">  </w:t>
      </w:r>
      <w:r w:rsidRPr="00B40C33">
        <w:rPr>
          <w:lang w:val="fr-FR"/>
        </w:rPr>
        <w:t>La</w:t>
      </w:r>
      <w:proofErr w:type="gramEnd"/>
      <w:r w:rsidRPr="00B40C33">
        <w:rPr>
          <w:lang w:val="fr-FR"/>
        </w:rPr>
        <w:t xml:space="preserve"> question de la relation n’est pas une question médicale proprement dite, il s’agit plutôt d’une question d’ordre juridique qui relève du tribunal, même si la preuve médicale et l’opinion des experts sont </w:t>
      </w:r>
      <w:bookmarkStart w:id="11" w:name="_ftnref6"/>
      <w:r w:rsidR="00CD4495" w:rsidRPr="00B40C33">
        <w:rPr>
          <w:lang w:val="fr-FR"/>
        </w:rPr>
        <w:t>importantes</w:t>
      </w:r>
      <w:r w:rsidR="00CD4495">
        <w:rPr>
          <w:color w:val="027ABB"/>
          <w:lang w:val="fr-FR"/>
        </w:rPr>
        <w:t xml:space="preserve"> [</w:t>
      </w:r>
      <w:r w:rsidR="0009564F">
        <w:rPr>
          <w:color w:val="027ABB"/>
          <w:lang w:val="fr-FR"/>
        </w:rPr>
        <w:t>6]</w:t>
      </w:r>
      <w:bookmarkEnd w:id="11"/>
      <w:r w:rsidRPr="00B40C33">
        <w:rPr>
          <w:lang w:val="fr-FR"/>
        </w:rPr>
        <w:t>.</w:t>
      </w:r>
    </w:p>
    <w:p w14:paraId="6ACDDACA" w14:textId="77777777" w:rsidR="00A04912" w:rsidRPr="00B40C33" w:rsidRDefault="00A04912" w:rsidP="00A04912">
      <w:pPr>
        <w:pStyle w:val="Citationendoubleretrait"/>
        <w:ind w:left="2124"/>
        <w:rPr>
          <w:lang w:val="fr-FR"/>
        </w:rPr>
      </w:pPr>
    </w:p>
    <w:p w14:paraId="764F5B56" w14:textId="77777777" w:rsidR="00A04912" w:rsidRPr="00B40C33" w:rsidRDefault="00A04912" w:rsidP="00A04912">
      <w:pPr>
        <w:pStyle w:val="Citationendoubleretrait"/>
        <w:ind w:left="2124"/>
        <w:rPr>
          <w:sz w:val="24"/>
          <w:szCs w:val="24"/>
          <w:lang w:val="fr-FR"/>
        </w:rPr>
      </w:pPr>
      <w:r w:rsidRPr="00B40C33">
        <w:rPr>
          <w:rFonts w:cs="Arial"/>
          <w:sz w:val="24"/>
          <w:szCs w:val="24"/>
          <w:lang w:val="fr-FR"/>
        </w:rPr>
        <w:t>[N</w:t>
      </w:r>
      <w:r w:rsidRPr="00B40C33">
        <w:rPr>
          <w:sz w:val="24"/>
          <w:szCs w:val="24"/>
          <w:lang w:val="fr-FR"/>
        </w:rPr>
        <w:t>otes omises</w:t>
      </w:r>
      <w:r w:rsidRPr="00B40C33">
        <w:rPr>
          <w:rFonts w:cs="Arial"/>
          <w:sz w:val="24"/>
          <w:szCs w:val="24"/>
          <w:lang w:val="fr-FR"/>
        </w:rPr>
        <w:t>]</w:t>
      </w:r>
    </w:p>
    <w:p w14:paraId="5D6FD811" w14:textId="77777777" w:rsidR="00A04912" w:rsidRPr="00AC3ECB" w:rsidRDefault="00A04912" w:rsidP="00A04912">
      <w:pPr>
        <w:pStyle w:val="Citationendoubleretrait"/>
        <w:ind w:left="2124"/>
        <w:rPr>
          <w:highlight w:val="yellow"/>
          <w:lang w:val="fr-FR"/>
        </w:rPr>
      </w:pPr>
    </w:p>
    <w:p w14:paraId="26C0FEAF" w14:textId="77777777" w:rsidR="00FA0A0D" w:rsidRPr="00DE6C63" w:rsidRDefault="00FA0A0D" w:rsidP="00DE6C63">
      <w:pPr>
        <w:pStyle w:val="corpsdedcision"/>
        <w:rPr>
          <w:lang w:val="fr-FR"/>
        </w:rPr>
      </w:pPr>
      <w:r>
        <w:rPr>
          <w:lang w:val="fr-FR"/>
        </w:rPr>
        <w:t xml:space="preserve">Le travailleur </w:t>
      </w:r>
      <w:r w:rsidR="004C2EC2">
        <w:t xml:space="preserve">est technicien à la finition HP depuis 2005 lorsque le </w:t>
      </w:r>
      <w:r w:rsidR="004C2EC2">
        <w:rPr>
          <w:lang w:val="fr-FR"/>
        </w:rPr>
        <w:t xml:space="preserve">diagnostic de surdité neurosensorielle est posé le </w:t>
      </w:r>
      <w:r w:rsidR="004C2EC2">
        <w:t>21</w:t>
      </w:r>
      <w:r w:rsidR="004C2EC2" w:rsidRPr="00853AA1">
        <w:t xml:space="preserve"> août 2018</w:t>
      </w:r>
      <w:r w:rsidR="00403399">
        <w:t>, diagnostic reconnu en tant que lésion professionnelle par la Commission.</w:t>
      </w:r>
    </w:p>
    <w:p w14:paraId="54F758BD" w14:textId="267BF79F" w:rsidR="00FA0A0D" w:rsidRPr="005C5C7D" w:rsidRDefault="00FA0A0D" w:rsidP="00542061">
      <w:pPr>
        <w:pStyle w:val="corpsdedcision"/>
        <w:rPr>
          <w:lang w:val="fr-FR"/>
        </w:rPr>
      </w:pPr>
      <w:r>
        <w:rPr>
          <w:lang w:val="fr-FR"/>
        </w:rPr>
        <w:t>Le</w:t>
      </w:r>
      <w:r w:rsidR="00713DFD">
        <w:rPr>
          <w:lang w:val="fr-FR"/>
        </w:rPr>
        <w:t xml:space="preserve"> </w:t>
      </w:r>
      <w:r w:rsidR="00713DFD">
        <w:t>rapport d’évaluation médicale</w:t>
      </w:r>
      <w:r w:rsidR="00286262">
        <w:rPr>
          <w:rStyle w:val="FootnoteReference"/>
        </w:rPr>
        <w:footnoteReference w:id="7"/>
      </w:r>
      <w:r w:rsidR="00713DFD">
        <w:t xml:space="preserve"> du docteur</w:t>
      </w:r>
      <w:r w:rsidR="00286262" w:rsidRPr="00286262">
        <w:rPr>
          <w:lang w:val="fr-FR"/>
        </w:rPr>
        <w:t xml:space="preserve"> </w:t>
      </w:r>
      <w:r w:rsidR="00286262" w:rsidRPr="00542061">
        <w:rPr>
          <w:lang w:val="fr-FR"/>
        </w:rPr>
        <w:t>Brown</w:t>
      </w:r>
      <w:r w:rsidR="00511A8C">
        <w:rPr>
          <w:lang w:val="fr-FR"/>
        </w:rPr>
        <w:t xml:space="preserve"> </w:t>
      </w:r>
      <w:r w:rsidR="00713DFD">
        <w:t xml:space="preserve">mentionne </w:t>
      </w:r>
      <w:r>
        <w:t>la présence d</w:t>
      </w:r>
      <w:proofErr w:type="gramStart"/>
      <w:r>
        <w:t>’«</w:t>
      </w:r>
      <w:proofErr w:type="gramEnd"/>
      <w:r>
        <w:t> </w:t>
      </w:r>
      <w:r w:rsidRPr="005809AE">
        <w:rPr>
          <w:rStyle w:val="Citationintgre"/>
        </w:rPr>
        <w:t>acouphène de type sifflement bilatéral, continuel, et non-pulsatile depuis 5 ans ce qui est dérangeant</w:t>
      </w:r>
      <w:r>
        <w:t> »</w:t>
      </w:r>
      <w:r w:rsidR="002B0C08">
        <w:t xml:space="preserve">, soit depuis environ 2014. </w:t>
      </w:r>
      <w:r w:rsidR="00F70ED0">
        <w:t xml:space="preserve">Aux notes évolutives du 18 septembre 2019, </w:t>
      </w:r>
      <w:r w:rsidR="00C3681D">
        <w:t xml:space="preserve">le travailleur </w:t>
      </w:r>
      <w:r w:rsidR="00F70ED0">
        <w:t>mentionne avoir « </w:t>
      </w:r>
      <w:r w:rsidR="00F70ED0" w:rsidRPr="00F70ED0">
        <w:rPr>
          <w:rStyle w:val="Citationintgre"/>
        </w:rPr>
        <w:t>des problèmes</w:t>
      </w:r>
      <w:r w:rsidR="00F70ED0">
        <w:t xml:space="preserve"> » depuis quatre ans. </w:t>
      </w:r>
      <w:r w:rsidR="007C6B12">
        <w:t xml:space="preserve">Or, dans un rapport de consultation en audiologie </w:t>
      </w:r>
      <w:r w:rsidR="000E75ED">
        <w:t xml:space="preserve">daté </w:t>
      </w:r>
      <w:r w:rsidR="007C6B12">
        <w:t xml:space="preserve">du 11 avril 2019, il affirme que les acouphènes sont apparus de façon brutale depuis le 23 mai 2018. </w:t>
      </w:r>
      <w:r w:rsidR="00B33E89">
        <w:t xml:space="preserve">À l’audience, il témoigne avoir parlé à son médecin de famille de pression dans ses oreilles et d’étourdissements légers vers 2017, et que les acouphènes ont débuté le 23 mai 2018. </w:t>
      </w:r>
    </w:p>
    <w:p w14:paraId="30142A58" w14:textId="7FD8A84B" w:rsidR="001C0A60" w:rsidRPr="001C0A60" w:rsidRDefault="005C5C7D" w:rsidP="00542061">
      <w:pPr>
        <w:pStyle w:val="corpsdedcision"/>
        <w:rPr>
          <w:rStyle w:val="Citationintgre"/>
          <w:i w:val="0"/>
          <w:sz w:val="24"/>
          <w:lang w:val="fr-FR"/>
        </w:rPr>
      </w:pPr>
      <w:r>
        <w:t xml:space="preserve">L’acouphène est mentionné comme symptôme </w:t>
      </w:r>
      <w:r w:rsidR="00543CB8">
        <w:t>dès les</w:t>
      </w:r>
      <w:r>
        <w:t xml:space="preserve"> premières consultations médicales avec le docteur</w:t>
      </w:r>
      <w:r w:rsidR="00286262">
        <w:t xml:space="preserve"> Brown</w:t>
      </w:r>
      <w:r w:rsidR="001D22C2">
        <w:rPr>
          <w:lang w:val="fr-FR"/>
        </w:rPr>
        <w:t xml:space="preserve">, </w:t>
      </w:r>
      <w:r w:rsidR="00427F10">
        <w:rPr>
          <w:lang w:val="fr-FR"/>
        </w:rPr>
        <w:t xml:space="preserve">soit </w:t>
      </w:r>
      <w:r w:rsidR="001D22C2">
        <w:rPr>
          <w:lang w:val="fr-FR"/>
        </w:rPr>
        <w:t xml:space="preserve">le 12 juin 2018, </w:t>
      </w:r>
      <w:r w:rsidR="00427F10">
        <w:rPr>
          <w:lang w:val="fr-FR"/>
        </w:rPr>
        <w:t>où il est question de déséquilibre constant, de pression aux oreilles, d’acouphène</w:t>
      </w:r>
      <w:r w:rsidR="007C21BD">
        <w:rPr>
          <w:lang w:val="fr-FR"/>
        </w:rPr>
        <w:t>s</w:t>
      </w:r>
      <w:r w:rsidR="00427F10">
        <w:rPr>
          <w:lang w:val="fr-FR"/>
        </w:rPr>
        <w:t xml:space="preserve">, d’insomnie et de fatigue. Puis, lors de </w:t>
      </w:r>
      <w:r w:rsidR="001D22C2">
        <w:rPr>
          <w:lang w:val="fr-FR"/>
        </w:rPr>
        <w:t>l’audiogramme du 20 juin 2018,</w:t>
      </w:r>
      <w:r w:rsidR="00427F10">
        <w:rPr>
          <w:lang w:val="fr-FR"/>
        </w:rPr>
        <w:t xml:space="preserve"> le travailleur mentionne </w:t>
      </w:r>
      <w:r w:rsidR="00620286">
        <w:rPr>
          <w:lang w:val="fr-FR"/>
        </w:rPr>
        <w:t>les symptômes suivants : « </w:t>
      </w:r>
      <w:r w:rsidR="00620286" w:rsidRPr="00DE19CB">
        <w:rPr>
          <w:rStyle w:val="Citationintgre"/>
        </w:rPr>
        <w:t xml:space="preserve">acouphène bilatéral </w:t>
      </w:r>
      <w:r w:rsidR="00C3065E">
        <w:rPr>
          <w:rStyle w:val="Citationintgre"/>
        </w:rPr>
        <w:t>de type cillement constant depuis 5 semaines, dérangeant </w:t>
      </w:r>
      <w:r w:rsidR="00C3065E">
        <w:rPr>
          <w:lang w:val="fr-FR"/>
        </w:rPr>
        <w:t>»</w:t>
      </w:r>
      <w:r w:rsidR="001C0A60">
        <w:rPr>
          <w:lang w:val="fr-FR"/>
        </w:rPr>
        <w:t xml:space="preserve">, et </w:t>
      </w:r>
      <w:r w:rsidR="00620286" w:rsidRPr="008676C2">
        <w:rPr>
          <w:lang w:val="fr-FR"/>
        </w:rPr>
        <w:t xml:space="preserve">étourdissement avec </w:t>
      </w:r>
      <w:r w:rsidR="001C0A60" w:rsidRPr="008676C2">
        <w:rPr>
          <w:lang w:val="fr-FR"/>
        </w:rPr>
        <w:t xml:space="preserve">maux de tête et nausées causés par </w:t>
      </w:r>
      <w:r w:rsidR="00C3681D">
        <w:rPr>
          <w:lang w:val="fr-FR"/>
        </w:rPr>
        <w:t xml:space="preserve">des </w:t>
      </w:r>
      <w:r w:rsidR="001C0A60" w:rsidRPr="008676C2">
        <w:rPr>
          <w:lang w:val="fr-FR"/>
        </w:rPr>
        <w:t>efforts physique</w:t>
      </w:r>
      <w:r w:rsidR="00C3681D">
        <w:rPr>
          <w:lang w:val="fr-FR"/>
        </w:rPr>
        <w:t>s</w:t>
      </w:r>
      <w:r w:rsidR="001C0A60" w:rsidRPr="008676C2">
        <w:rPr>
          <w:lang w:val="fr-FR"/>
        </w:rPr>
        <w:t>, difficulté de compréhension de la parole dans le bruit</w:t>
      </w:r>
      <w:r w:rsidR="008676C2">
        <w:rPr>
          <w:lang w:val="fr-FR"/>
        </w:rPr>
        <w:t xml:space="preserve">, </w:t>
      </w:r>
      <w:r w:rsidR="008676C2" w:rsidRPr="008676C2">
        <w:rPr>
          <w:lang w:val="fr-FR"/>
        </w:rPr>
        <w:t>intolérance au bruit fort et sensation de plénitude bilatérale.</w:t>
      </w:r>
      <w:r w:rsidR="008676C2">
        <w:rPr>
          <w:rStyle w:val="Citationintgre"/>
        </w:rPr>
        <w:t xml:space="preserve"> </w:t>
      </w:r>
    </w:p>
    <w:p w14:paraId="10A94A16" w14:textId="77777777" w:rsidR="00EB2623" w:rsidRDefault="00EB2623" w:rsidP="00542061">
      <w:pPr>
        <w:pStyle w:val="corpsdedcision"/>
        <w:rPr>
          <w:lang w:val="fr-FR"/>
        </w:rPr>
      </w:pPr>
      <w:r>
        <w:rPr>
          <w:lang w:val="fr-FR"/>
        </w:rPr>
        <w:t xml:space="preserve">Lors du suivi médical du 21 août 2018, le docteur Brown mentionne </w:t>
      </w:r>
      <w:r w:rsidR="00122531">
        <w:rPr>
          <w:lang w:val="fr-FR"/>
        </w:rPr>
        <w:t>« </w:t>
      </w:r>
      <w:r w:rsidR="00122531" w:rsidRPr="00122531">
        <w:rPr>
          <w:rStyle w:val="Citationintgre"/>
        </w:rPr>
        <w:t>un antécédent de migraine, une augmentation de la surdité et de son acouphène depuis 2 mois </w:t>
      </w:r>
      <w:r w:rsidR="00122531">
        <w:rPr>
          <w:lang w:val="fr-FR"/>
        </w:rPr>
        <w:t>»</w:t>
      </w:r>
      <w:r w:rsidR="009B29ED">
        <w:rPr>
          <w:lang w:val="fr-FR"/>
        </w:rPr>
        <w:t xml:space="preserve">, et pose le diagnostic de surdité neurosensorielle le même jour. </w:t>
      </w:r>
    </w:p>
    <w:p w14:paraId="498BF8D8" w14:textId="3906FB1B" w:rsidR="00371A6D" w:rsidRDefault="00326A62" w:rsidP="00542061">
      <w:pPr>
        <w:pStyle w:val="corpsdedcision"/>
        <w:rPr>
          <w:lang w:val="fr-FR"/>
        </w:rPr>
      </w:pPr>
      <w:r>
        <w:rPr>
          <w:lang w:val="fr-FR"/>
        </w:rPr>
        <w:lastRenderedPageBreak/>
        <w:t>Le diagnostic d’acouphène</w:t>
      </w:r>
      <w:r w:rsidR="00C3681D">
        <w:rPr>
          <w:lang w:val="fr-FR"/>
        </w:rPr>
        <w:t>s</w:t>
      </w:r>
      <w:r>
        <w:rPr>
          <w:lang w:val="fr-FR"/>
        </w:rPr>
        <w:t xml:space="preserve"> est quant à lui retenu par le docteur Brown</w:t>
      </w:r>
      <w:r w:rsidR="00371A6D" w:rsidRPr="00542061">
        <w:rPr>
          <w:lang w:val="fr-FR"/>
        </w:rPr>
        <w:t xml:space="preserve"> le 12</w:t>
      </w:r>
      <w:r w:rsidR="00C3681D">
        <w:rPr>
          <w:lang w:val="fr-FR"/>
        </w:rPr>
        <w:t> </w:t>
      </w:r>
      <w:r w:rsidR="00371A6D" w:rsidRPr="00542061">
        <w:rPr>
          <w:lang w:val="fr-FR"/>
        </w:rPr>
        <w:t>septembre 2018</w:t>
      </w:r>
      <w:r>
        <w:rPr>
          <w:lang w:val="fr-FR"/>
        </w:rPr>
        <w:t>,</w:t>
      </w:r>
      <w:r w:rsidR="00371A6D" w:rsidRPr="00542061">
        <w:rPr>
          <w:lang w:val="fr-FR"/>
        </w:rPr>
        <w:t xml:space="preserve"> </w:t>
      </w:r>
      <w:r w:rsidR="008F26C9" w:rsidRPr="00542061">
        <w:rPr>
          <w:lang w:val="fr-FR"/>
        </w:rPr>
        <w:t xml:space="preserve">et est repris par celui-ci </w:t>
      </w:r>
      <w:r w:rsidR="00371A6D" w:rsidRPr="00542061">
        <w:rPr>
          <w:lang w:val="fr-FR"/>
        </w:rPr>
        <w:t>le 30 octobre 2018</w:t>
      </w:r>
      <w:r w:rsidR="008F26C9" w:rsidRPr="00542061">
        <w:rPr>
          <w:lang w:val="fr-FR"/>
        </w:rPr>
        <w:t>.</w:t>
      </w:r>
      <w:r w:rsidR="00775D10" w:rsidRPr="00542061">
        <w:rPr>
          <w:lang w:val="fr-FR"/>
        </w:rPr>
        <w:t xml:space="preserve"> </w:t>
      </w:r>
      <w:r w:rsidR="006A6930">
        <w:rPr>
          <w:lang w:val="fr-FR"/>
        </w:rPr>
        <w:t>Il</w:t>
      </w:r>
      <w:r w:rsidR="008F26C9" w:rsidRPr="00542061">
        <w:rPr>
          <w:lang w:val="fr-FR"/>
        </w:rPr>
        <w:t xml:space="preserve"> </w:t>
      </w:r>
      <w:r w:rsidR="00775D10" w:rsidRPr="00542061">
        <w:rPr>
          <w:lang w:val="fr-FR"/>
        </w:rPr>
        <w:t>inscrit dans la section « </w:t>
      </w:r>
      <w:r w:rsidR="00775D10" w:rsidRPr="002E199B">
        <w:rPr>
          <w:rStyle w:val="Citationintgre"/>
        </w:rPr>
        <w:t>diagnostic(s) précis et renseignements complémentaires</w:t>
      </w:r>
      <w:r w:rsidR="00775D10" w:rsidRPr="00542061">
        <w:rPr>
          <w:lang w:val="fr-FR"/>
        </w:rPr>
        <w:t> » de son rapport médical du 12</w:t>
      </w:r>
      <w:r w:rsidR="00C3681D">
        <w:rPr>
          <w:lang w:val="fr-FR"/>
        </w:rPr>
        <w:t> </w:t>
      </w:r>
      <w:r w:rsidR="00775D10" w:rsidRPr="00542061">
        <w:rPr>
          <w:lang w:val="fr-FR"/>
        </w:rPr>
        <w:t>septembre 2018 : surdité n/s (neurosensorielle), acouphène et déséquilibre. Le 30</w:t>
      </w:r>
      <w:r w:rsidR="00C3681D">
        <w:rPr>
          <w:lang w:val="fr-FR"/>
        </w:rPr>
        <w:t> </w:t>
      </w:r>
      <w:r w:rsidR="00775D10" w:rsidRPr="00542061">
        <w:rPr>
          <w:lang w:val="fr-FR"/>
        </w:rPr>
        <w:t>octobre 2018, il inscrit à la même section : vertige causé par le bruit, acouphène, surdité n/s, pression oreille. La mention de l’acouphène est faite au même titre que les autres diagnostics, tels que la surdité neurosensorielle, et figure à la section « </w:t>
      </w:r>
      <w:r w:rsidR="00775D10" w:rsidRPr="005546FC">
        <w:rPr>
          <w:rStyle w:val="Citationintgre"/>
        </w:rPr>
        <w:t>diagnostics</w:t>
      </w:r>
      <w:r w:rsidR="00775D10" w:rsidRPr="00542061">
        <w:rPr>
          <w:lang w:val="fr-FR"/>
        </w:rPr>
        <w:t> ».</w:t>
      </w:r>
    </w:p>
    <w:p w14:paraId="19D661EB" w14:textId="77777777" w:rsidR="00C56B22" w:rsidRDefault="0090308F" w:rsidP="00C56B22">
      <w:pPr>
        <w:pStyle w:val="corpsdedcision"/>
        <w:rPr>
          <w:lang w:val="fr-FR"/>
        </w:rPr>
      </w:pPr>
      <w:r>
        <w:rPr>
          <w:lang w:val="fr-FR"/>
        </w:rPr>
        <w:t xml:space="preserve">Le 19 octobre 2018, </w:t>
      </w:r>
      <w:r w:rsidR="00FA3B04">
        <w:rPr>
          <w:lang w:val="fr-FR"/>
        </w:rPr>
        <w:t xml:space="preserve">le travailleur voit le docteur Issam Saliba, un spécialiste en </w:t>
      </w:r>
      <w:proofErr w:type="spellStart"/>
      <w:r w:rsidR="00FA3B04">
        <w:rPr>
          <w:lang w:val="fr-FR"/>
        </w:rPr>
        <w:t>otoneurologie</w:t>
      </w:r>
      <w:proofErr w:type="spellEnd"/>
      <w:r w:rsidR="00FA3B04">
        <w:rPr>
          <w:lang w:val="fr-FR"/>
        </w:rPr>
        <w:t xml:space="preserve">. </w:t>
      </w:r>
      <w:r w:rsidR="00C56B22">
        <w:rPr>
          <w:lang w:val="fr-FR"/>
        </w:rPr>
        <w:t>Il note l</w:t>
      </w:r>
      <w:r w:rsidR="00FA3B04">
        <w:rPr>
          <w:lang w:val="fr-FR"/>
        </w:rPr>
        <w:t xml:space="preserve">es symptômes </w:t>
      </w:r>
      <w:r w:rsidR="00C56B22">
        <w:rPr>
          <w:lang w:val="fr-FR"/>
        </w:rPr>
        <w:t xml:space="preserve">suivants : </w:t>
      </w:r>
    </w:p>
    <w:p w14:paraId="507739FB" w14:textId="77777777" w:rsidR="0090308F" w:rsidRDefault="00BC59F1" w:rsidP="00BC59F1">
      <w:pPr>
        <w:pStyle w:val="Citationendoubleretrait"/>
        <w:rPr>
          <w:lang w:val="fr-FR"/>
        </w:rPr>
      </w:pPr>
      <w:r>
        <w:rPr>
          <w:lang w:val="fr-FR"/>
        </w:rPr>
        <w:t xml:space="preserve">(…) </w:t>
      </w:r>
      <w:r w:rsidR="00FA3B04" w:rsidRPr="00C56B22">
        <w:rPr>
          <w:lang w:val="fr-FR"/>
        </w:rPr>
        <w:t xml:space="preserve">hypoacousie bilatérale fluctuante, otalgie droite, acouphènes bilatéraux constants, plénitude bilatérale fluctuante, inconfort aux bruits, </w:t>
      </w:r>
      <w:r w:rsidR="00C56B22" w:rsidRPr="00C56B22">
        <w:rPr>
          <w:lang w:val="fr-FR"/>
        </w:rPr>
        <w:t>un épisode de vertige rotatoire « le 27 mai » (</w:t>
      </w:r>
      <w:r w:rsidR="00C56B22" w:rsidRPr="00C56B22">
        <w:rPr>
          <w:i/>
          <w:lang w:val="fr-FR"/>
        </w:rPr>
        <w:t>sic</w:t>
      </w:r>
      <w:r w:rsidR="00C56B22" w:rsidRPr="00C56B22">
        <w:rPr>
          <w:lang w:val="fr-FR"/>
        </w:rPr>
        <w:t xml:space="preserve">), </w:t>
      </w:r>
      <w:r>
        <w:rPr>
          <w:lang w:val="fr-FR"/>
        </w:rPr>
        <w:t>sinon une instabilité constante, déclenchée par le bruit et souvent accompagnée de nausées et parfois de vomissements.</w:t>
      </w:r>
    </w:p>
    <w:p w14:paraId="08F82236" w14:textId="77777777" w:rsidR="00BC59F1" w:rsidRPr="00C56B22" w:rsidRDefault="00BC59F1" w:rsidP="00BC59F1">
      <w:pPr>
        <w:pStyle w:val="Citationendoubleretrait"/>
        <w:rPr>
          <w:lang w:val="fr-FR"/>
        </w:rPr>
      </w:pPr>
    </w:p>
    <w:p w14:paraId="324524CB" w14:textId="77777777" w:rsidR="004869C6" w:rsidRDefault="004869C6" w:rsidP="00A04912">
      <w:pPr>
        <w:pStyle w:val="corpsdedcision"/>
        <w:rPr>
          <w:lang w:val="fr-FR"/>
        </w:rPr>
      </w:pPr>
      <w:r>
        <w:rPr>
          <w:lang w:val="fr-FR"/>
        </w:rPr>
        <w:t xml:space="preserve">Le docteur Saliba pose le diagnostic de migraine vestibulaire probable. </w:t>
      </w:r>
    </w:p>
    <w:p w14:paraId="21A15BE9" w14:textId="77777777" w:rsidR="004869C6" w:rsidRDefault="004869C6" w:rsidP="00A04912">
      <w:pPr>
        <w:pStyle w:val="corpsdedcision"/>
        <w:rPr>
          <w:lang w:val="fr-FR"/>
        </w:rPr>
      </w:pPr>
      <w:r>
        <w:rPr>
          <w:lang w:val="fr-FR"/>
        </w:rPr>
        <w:t>Le travailleur est aussi suivi en audiologie</w:t>
      </w:r>
      <w:r w:rsidR="00AA72B9">
        <w:rPr>
          <w:lang w:val="fr-FR"/>
        </w:rPr>
        <w:t xml:space="preserve"> pour ses symptômes d’acouphènes et d’</w:t>
      </w:r>
      <w:proofErr w:type="spellStart"/>
      <w:r w:rsidR="00AA72B9">
        <w:rPr>
          <w:lang w:val="fr-FR"/>
        </w:rPr>
        <w:t>hypersonie</w:t>
      </w:r>
      <w:proofErr w:type="spellEnd"/>
      <w:r w:rsidR="00AA72B9">
        <w:rPr>
          <w:lang w:val="fr-FR"/>
        </w:rPr>
        <w:t xml:space="preserve">. </w:t>
      </w:r>
      <w:r w:rsidR="006049C8">
        <w:rPr>
          <w:lang w:val="fr-FR"/>
        </w:rPr>
        <w:t xml:space="preserve">Le 7 novembre 2018, il rapporte d’ailleurs les symptômes de </w:t>
      </w:r>
      <w:r w:rsidR="00FC3AE4">
        <w:rPr>
          <w:lang w:val="fr-FR"/>
        </w:rPr>
        <w:t>« </w:t>
      </w:r>
      <w:r w:rsidR="006049C8" w:rsidRPr="00FC3AE4">
        <w:rPr>
          <w:rStyle w:val="Citationintgre"/>
        </w:rPr>
        <w:t>difficulté d’écoute dans le bruit, en groupe et à distance, acouphène de type sifflement continu bilatéral, déséquilibre avec certains sons comme le bruit du frigo et sensation de plénitude bilatérale</w:t>
      </w:r>
      <w:r w:rsidR="006049C8">
        <w:rPr>
          <w:lang w:val="fr-FR"/>
        </w:rPr>
        <w:t xml:space="preserve"> ». </w:t>
      </w:r>
      <w:r w:rsidR="00C54D36">
        <w:rPr>
          <w:lang w:val="fr-FR"/>
        </w:rPr>
        <w:t xml:space="preserve">Il s’inscrit au programme Acouphène de l’Institut Raymond-Dewar et </w:t>
      </w:r>
      <w:r w:rsidR="00AF1755">
        <w:rPr>
          <w:lang w:val="fr-FR"/>
        </w:rPr>
        <w:t>participe aux rencontres de groupe de la Clinique d’acouphènes du Centre hospita</w:t>
      </w:r>
      <w:r w:rsidR="0060227A">
        <w:rPr>
          <w:lang w:val="fr-FR"/>
        </w:rPr>
        <w:t xml:space="preserve">lier universitaire de Montréal en décembre 2018. </w:t>
      </w:r>
    </w:p>
    <w:p w14:paraId="464FBD28" w14:textId="77777777" w:rsidR="007D3B63" w:rsidRDefault="003B00D2" w:rsidP="00A04912">
      <w:pPr>
        <w:pStyle w:val="corpsdedcision"/>
        <w:rPr>
          <w:lang w:val="fr-FR"/>
        </w:rPr>
      </w:pPr>
      <w:r>
        <w:rPr>
          <w:lang w:val="fr-FR"/>
        </w:rPr>
        <w:t xml:space="preserve">Dans son rapport final, le docteur Brown </w:t>
      </w:r>
      <w:r w:rsidR="00737E16">
        <w:rPr>
          <w:lang w:val="fr-FR"/>
        </w:rPr>
        <w:t>retient le</w:t>
      </w:r>
      <w:r w:rsidR="007D3B63">
        <w:rPr>
          <w:lang w:val="fr-FR"/>
        </w:rPr>
        <w:t xml:space="preserve"> diagnostic de surdité professionnelle. Au rapport d’évolution médicale du 27 juin 2019, il indique que :</w:t>
      </w:r>
    </w:p>
    <w:p w14:paraId="7C187441" w14:textId="77777777" w:rsidR="005B2B91" w:rsidRDefault="007D3B63" w:rsidP="007D3B63">
      <w:pPr>
        <w:pStyle w:val="Citationendoubleretrait"/>
        <w:rPr>
          <w:lang w:val="fr-FR"/>
        </w:rPr>
      </w:pPr>
      <w:r>
        <w:rPr>
          <w:lang w:val="fr-FR"/>
        </w:rPr>
        <w:t xml:space="preserve">Le patient présente une surdité neurosensorielle bilatérale qui est invalidante sur le plan fonctionnel et dont l’étiologie est possiblement causée par ses antécédents d’exposition au bruit professionnel selon le questionnaire. La période d’exposition est suffisamment importante pour contribuer à l’étiologie principale de cette surdité et la relation médicale est acceptable. </w:t>
      </w:r>
    </w:p>
    <w:p w14:paraId="5130E1D1" w14:textId="77777777" w:rsidR="007D3B63" w:rsidRDefault="007D3B63" w:rsidP="007D3B63">
      <w:pPr>
        <w:pStyle w:val="Citationendoubleretrait"/>
        <w:rPr>
          <w:lang w:val="fr-FR"/>
        </w:rPr>
      </w:pPr>
    </w:p>
    <w:p w14:paraId="5B53E0AC" w14:textId="762500F3" w:rsidR="007D3B63" w:rsidRDefault="003211E2" w:rsidP="00A04912">
      <w:pPr>
        <w:pStyle w:val="corpsdedcision"/>
        <w:rPr>
          <w:lang w:val="fr-FR"/>
        </w:rPr>
      </w:pPr>
      <w:r>
        <w:rPr>
          <w:lang w:val="fr-FR"/>
        </w:rPr>
        <w:t xml:space="preserve">À ce même rapport, il note à la section </w:t>
      </w:r>
      <w:r w:rsidR="002F45D5">
        <w:rPr>
          <w:lang w:val="fr-FR"/>
        </w:rPr>
        <w:t xml:space="preserve">relative </w:t>
      </w:r>
      <w:r w:rsidR="002F45D5" w:rsidRPr="002F45D5">
        <w:rPr>
          <w:lang w:val="fr-FR"/>
        </w:rPr>
        <w:t xml:space="preserve">aux </w:t>
      </w:r>
      <w:r w:rsidRPr="002F45D5">
        <w:rPr>
          <w:lang w:val="fr-FR"/>
        </w:rPr>
        <w:t xml:space="preserve">limitations fonctionnelles </w:t>
      </w:r>
      <w:r w:rsidR="00026101" w:rsidRPr="002F45D5">
        <w:rPr>
          <w:lang w:val="fr-FR"/>
        </w:rPr>
        <w:t>un</w:t>
      </w:r>
      <w:r w:rsidR="00026101">
        <w:rPr>
          <w:lang w:val="fr-FR"/>
        </w:rPr>
        <w:t xml:space="preserve"> « </w:t>
      </w:r>
      <w:r w:rsidR="00026101" w:rsidRPr="002F45D5">
        <w:rPr>
          <w:rStyle w:val="Citationintgre"/>
        </w:rPr>
        <w:t>acouphène dérangeant mais qui ne l’empêche pas de dormir et ne perturbe pas les activités quotidiennes </w:t>
      </w:r>
      <w:r w:rsidR="00026101">
        <w:rPr>
          <w:lang w:val="fr-FR"/>
        </w:rPr>
        <w:t>», puis raye la partie « </w:t>
      </w:r>
      <w:r w:rsidR="00026101" w:rsidRPr="002F45D5">
        <w:rPr>
          <w:rStyle w:val="Citationintgre"/>
        </w:rPr>
        <w:t>mais ne l’empêche pas de dormir et ne perturbe pas les activités quotidiennes </w:t>
      </w:r>
      <w:r w:rsidR="00026101">
        <w:rPr>
          <w:lang w:val="fr-FR"/>
        </w:rPr>
        <w:t>» et ajoute « </w:t>
      </w:r>
      <w:r w:rsidR="00026101" w:rsidRPr="002F45D5">
        <w:rPr>
          <w:rStyle w:val="Citationintgre"/>
        </w:rPr>
        <w:t>incapable de travailler dans milieu bruyant, -niveau confortable moins ou égal à 55 dB </w:t>
      </w:r>
      <w:r w:rsidR="00026101">
        <w:rPr>
          <w:lang w:val="fr-FR"/>
        </w:rPr>
        <w:t>»</w:t>
      </w:r>
      <w:r w:rsidR="007302DF">
        <w:rPr>
          <w:lang w:val="fr-FR"/>
        </w:rPr>
        <w:t xml:space="preserve"> </w:t>
      </w:r>
      <w:r w:rsidR="007302DF">
        <w:rPr>
          <w:rFonts w:cs="Arial"/>
          <w:lang w:val="fr-FR"/>
        </w:rPr>
        <w:t>[</w:t>
      </w:r>
      <w:r w:rsidR="007302DF">
        <w:rPr>
          <w:lang w:val="fr-FR"/>
        </w:rPr>
        <w:t>sic</w:t>
      </w:r>
      <w:r w:rsidR="007302DF">
        <w:rPr>
          <w:rFonts w:cs="Arial"/>
          <w:lang w:val="fr-FR"/>
        </w:rPr>
        <w:t>]</w:t>
      </w:r>
      <w:r w:rsidR="00026101">
        <w:rPr>
          <w:lang w:val="fr-FR"/>
        </w:rPr>
        <w:t xml:space="preserve">. </w:t>
      </w:r>
    </w:p>
    <w:p w14:paraId="3BDF06D8" w14:textId="7E04780E" w:rsidR="00541123" w:rsidRPr="00541123" w:rsidRDefault="00541123" w:rsidP="00541123">
      <w:pPr>
        <w:pStyle w:val="corpsdedcision"/>
        <w:rPr>
          <w:lang w:val="fr-FR"/>
        </w:rPr>
      </w:pPr>
      <w:r>
        <w:rPr>
          <w:lang w:val="fr-FR"/>
        </w:rPr>
        <w:lastRenderedPageBreak/>
        <w:t>La docteure Lynn Gaudreault, qui évalue le travailleur à la demande de la Commission</w:t>
      </w:r>
      <w:r>
        <w:rPr>
          <w:rStyle w:val="FootnoteReference"/>
          <w:lang w:val="fr-FR"/>
        </w:rPr>
        <w:footnoteReference w:id="8"/>
      </w:r>
      <w:r>
        <w:rPr>
          <w:lang w:val="fr-FR"/>
        </w:rPr>
        <w:t xml:space="preserve">, </w:t>
      </w:r>
      <w:r w:rsidR="003A3837">
        <w:rPr>
          <w:lang w:val="fr-FR"/>
        </w:rPr>
        <w:t>mentionne que le travailleur « </w:t>
      </w:r>
      <w:r w:rsidR="003A3837" w:rsidRPr="003A3837">
        <w:rPr>
          <w:rStyle w:val="Citationintgre"/>
        </w:rPr>
        <w:t>présente des acouphènes de type sifflement continuel, plutôt central, qui augmente s’il est exposé à des bruits ou porte ses prothèses auditives</w:t>
      </w:r>
      <w:r w:rsidR="003A3837">
        <w:rPr>
          <w:lang w:val="fr-FR"/>
        </w:rPr>
        <w:t> »</w:t>
      </w:r>
      <w:r w:rsidR="00A540D8" w:rsidRPr="00A540D8">
        <w:rPr>
          <w:rFonts w:cs="Arial"/>
          <w:lang w:val="fr-FR"/>
        </w:rPr>
        <w:t xml:space="preserve"> </w:t>
      </w:r>
      <w:r w:rsidR="00A540D8">
        <w:rPr>
          <w:rFonts w:cs="Arial"/>
          <w:lang w:val="fr-FR"/>
        </w:rPr>
        <w:t>[</w:t>
      </w:r>
      <w:r w:rsidR="00A540D8">
        <w:rPr>
          <w:lang w:val="fr-FR"/>
        </w:rPr>
        <w:t>sic</w:t>
      </w:r>
      <w:r w:rsidR="00A540D8">
        <w:rPr>
          <w:rFonts w:cs="Arial"/>
          <w:lang w:val="fr-FR"/>
        </w:rPr>
        <w:t>]</w:t>
      </w:r>
      <w:r w:rsidR="003A3837">
        <w:rPr>
          <w:lang w:val="fr-FR"/>
        </w:rPr>
        <w:t xml:space="preserve">. </w:t>
      </w:r>
      <w:r w:rsidR="000F77C4">
        <w:rPr>
          <w:lang w:val="fr-FR"/>
        </w:rPr>
        <w:t>Les réponses données</w:t>
      </w:r>
      <w:r w:rsidR="007E5513">
        <w:rPr>
          <w:lang w:val="fr-FR"/>
        </w:rPr>
        <w:t xml:space="preserve"> par le travailleur</w:t>
      </w:r>
      <w:r w:rsidR="000F77C4">
        <w:rPr>
          <w:lang w:val="fr-FR"/>
        </w:rPr>
        <w:t xml:space="preserve"> à un questionnaire correspondent à un niveau de handicap important. </w:t>
      </w:r>
      <w:r w:rsidR="00637A26">
        <w:rPr>
          <w:lang w:val="fr-FR"/>
        </w:rPr>
        <w:t xml:space="preserve">Elle </w:t>
      </w:r>
      <w:r w:rsidR="00E46091">
        <w:rPr>
          <w:lang w:val="fr-FR"/>
        </w:rPr>
        <w:t>conclut</w:t>
      </w:r>
      <w:r>
        <w:rPr>
          <w:lang w:val="fr-FR"/>
        </w:rPr>
        <w:t xml:space="preserve"> dans son rapport médical du 13</w:t>
      </w:r>
      <w:r w:rsidR="00A540D8">
        <w:rPr>
          <w:lang w:val="fr-FR"/>
        </w:rPr>
        <w:t> </w:t>
      </w:r>
      <w:r>
        <w:rPr>
          <w:lang w:val="fr-FR"/>
        </w:rPr>
        <w:t>mars</w:t>
      </w:r>
      <w:r w:rsidR="00A540D8">
        <w:rPr>
          <w:lang w:val="fr-FR"/>
        </w:rPr>
        <w:t> </w:t>
      </w:r>
      <w:r>
        <w:rPr>
          <w:lang w:val="fr-FR"/>
        </w:rPr>
        <w:t xml:space="preserve">2020 que </w:t>
      </w:r>
      <w:r w:rsidRPr="00CA52CB">
        <w:rPr>
          <w:b/>
          <w:lang w:val="fr-FR"/>
        </w:rPr>
        <w:t>les symptômes d’acouphènes et d’hyperacousie sont les conséquences directes de la perte auditive</w:t>
      </w:r>
      <w:r w:rsidR="00CA52CB">
        <w:rPr>
          <w:b/>
          <w:lang w:val="fr-FR"/>
        </w:rPr>
        <w:t xml:space="preserve"> </w:t>
      </w:r>
      <w:r w:rsidR="00A540D8">
        <w:rPr>
          <w:rFonts w:cs="Arial"/>
          <w:lang w:val="fr-FR"/>
        </w:rPr>
        <w:t>[</w:t>
      </w:r>
      <w:r w:rsidR="00CA52CB">
        <w:rPr>
          <w:lang w:val="fr-FR"/>
        </w:rPr>
        <w:t>notre emphase</w:t>
      </w:r>
      <w:r w:rsidR="00A540D8">
        <w:rPr>
          <w:rFonts w:cs="Arial"/>
          <w:lang w:val="fr-FR"/>
        </w:rPr>
        <w:t>]</w:t>
      </w:r>
      <w:r>
        <w:rPr>
          <w:lang w:val="fr-FR"/>
        </w:rPr>
        <w:t xml:space="preserve">. </w:t>
      </w:r>
    </w:p>
    <w:p w14:paraId="76165692" w14:textId="7552175B" w:rsidR="00A64B4B" w:rsidRDefault="008F26C9" w:rsidP="00A04912">
      <w:pPr>
        <w:pStyle w:val="corpsdedcision"/>
        <w:rPr>
          <w:lang w:val="fr-FR"/>
        </w:rPr>
      </w:pPr>
      <w:r>
        <w:rPr>
          <w:lang w:val="fr-FR"/>
        </w:rPr>
        <w:t xml:space="preserve">Le dossier ne démontre </w:t>
      </w:r>
      <w:r w:rsidR="0046701F">
        <w:rPr>
          <w:lang w:val="fr-FR"/>
        </w:rPr>
        <w:t xml:space="preserve">pas d’antécédents d’acouphènes, mais une otalgie depuis 2017, soit une </w:t>
      </w:r>
      <w:r w:rsidR="00D10EA2">
        <w:rPr>
          <w:lang w:val="fr-FR"/>
        </w:rPr>
        <w:t>douleur</w:t>
      </w:r>
      <w:r w:rsidR="0046701F">
        <w:rPr>
          <w:lang w:val="fr-FR"/>
        </w:rPr>
        <w:t xml:space="preserve"> au niveau des oreilles. </w:t>
      </w:r>
      <w:r w:rsidR="00466088">
        <w:rPr>
          <w:lang w:val="fr-FR"/>
        </w:rPr>
        <w:t xml:space="preserve">Bien que le </w:t>
      </w:r>
      <w:r w:rsidR="001018BC">
        <w:rPr>
          <w:lang w:val="fr-FR"/>
        </w:rPr>
        <w:t>rapport de la docteure Gaudreault mentionne que le type de perte auditive du travailleur (« </w:t>
      </w:r>
      <w:r w:rsidR="001018BC" w:rsidRPr="001018BC">
        <w:rPr>
          <w:rStyle w:val="Citationintgre"/>
        </w:rPr>
        <w:t>cookie-cutter</w:t>
      </w:r>
      <w:r w:rsidR="001018BC">
        <w:rPr>
          <w:lang w:val="fr-FR"/>
        </w:rPr>
        <w:t xml:space="preserve"> ») </w:t>
      </w:r>
      <w:r w:rsidR="00DA522B">
        <w:rPr>
          <w:lang w:val="fr-FR"/>
        </w:rPr>
        <w:t xml:space="preserve">est </w:t>
      </w:r>
      <w:r w:rsidR="00A01DCE">
        <w:rPr>
          <w:lang w:val="fr-FR"/>
        </w:rPr>
        <w:t>« </w:t>
      </w:r>
      <w:r w:rsidR="00DA522B" w:rsidRPr="00A01DCE">
        <w:rPr>
          <w:rStyle w:val="Citationintgre"/>
        </w:rPr>
        <w:t>généralement associé</w:t>
      </w:r>
      <w:r w:rsidR="00A01DCE" w:rsidRPr="00A01DCE">
        <w:rPr>
          <w:rStyle w:val="Citationintgre"/>
        </w:rPr>
        <w:t xml:space="preserve"> dans la littérature scientifique à une perte de nature génétique </w:t>
      </w:r>
      <w:r w:rsidR="00A01DCE">
        <w:rPr>
          <w:lang w:val="fr-FR"/>
        </w:rPr>
        <w:t>»</w:t>
      </w:r>
      <w:r w:rsidR="00D86E29">
        <w:rPr>
          <w:lang w:val="fr-FR"/>
        </w:rPr>
        <w:t xml:space="preserve">, l’étude de bruit confirme </w:t>
      </w:r>
      <w:r w:rsidR="00A64B4B">
        <w:rPr>
          <w:lang w:val="fr-FR"/>
        </w:rPr>
        <w:t xml:space="preserve">que le travailleur a pu être exposé à des niveaux de bruits supérieurs à la norme réglementaire pour la période de 2014 à 2018. </w:t>
      </w:r>
      <w:r w:rsidR="006907B8">
        <w:rPr>
          <w:lang w:val="fr-FR"/>
        </w:rPr>
        <w:t xml:space="preserve">La docteure Gaudreault conclut d’ailleurs que le travailleur </w:t>
      </w:r>
      <w:r w:rsidR="00EF4ED1">
        <w:rPr>
          <w:lang w:val="fr-FR"/>
        </w:rPr>
        <w:t>« </w:t>
      </w:r>
      <w:r w:rsidR="006907B8" w:rsidRPr="00EF4ED1">
        <w:rPr>
          <w:rStyle w:val="Citationintgre"/>
        </w:rPr>
        <w:t>souffre d’une hypoacousie neurosensorielle bilatérale et relativement symétrique qui, compte tenu de ses antécédents de travail, est compatible avec une surdité industrielle secondaire à l’exposition répétée et pro</w:t>
      </w:r>
      <w:r w:rsidR="00EF4ED1" w:rsidRPr="00EF4ED1">
        <w:rPr>
          <w:rStyle w:val="Citationintgre"/>
        </w:rPr>
        <w:t>longée à des ondes sonores dommageables</w:t>
      </w:r>
      <w:r w:rsidR="006907B8" w:rsidRPr="00EF4ED1">
        <w:rPr>
          <w:rStyle w:val="Citationintgre"/>
        </w:rPr>
        <w:t xml:space="preserve"> dans son milieu de travail </w:t>
      </w:r>
      <w:r w:rsidR="006907B8">
        <w:rPr>
          <w:lang w:val="fr-FR"/>
        </w:rPr>
        <w:t xml:space="preserve">». </w:t>
      </w:r>
    </w:p>
    <w:p w14:paraId="52041187" w14:textId="77777777" w:rsidR="00B76F43" w:rsidRPr="00EA6F5F" w:rsidRDefault="00C34382" w:rsidP="00B76F43">
      <w:pPr>
        <w:pStyle w:val="corpsdedcision"/>
        <w:rPr>
          <w:lang w:val="fr-FR"/>
        </w:rPr>
      </w:pPr>
      <w:r>
        <w:rPr>
          <w:lang w:val="fr-FR"/>
        </w:rPr>
        <w:t xml:space="preserve">En raison de l’absence d’antécédents, </w:t>
      </w:r>
      <w:r w:rsidR="00C472FD">
        <w:rPr>
          <w:lang w:val="fr-FR"/>
        </w:rPr>
        <w:t xml:space="preserve">du fait </w:t>
      </w:r>
      <w:r>
        <w:rPr>
          <w:lang w:val="fr-FR"/>
        </w:rPr>
        <w:t xml:space="preserve">que le diagnostic d’acouphènes est posé </w:t>
      </w:r>
      <w:r w:rsidR="00C472FD">
        <w:rPr>
          <w:lang w:val="fr-FR"/>
        </w:rPr>
        <w:t>environ trois semaines après celui de surdité neurosensorielle, reconnu comme lésion professionnelle, que les symptômes d’acouphènes sont parmi les premiers mentionnés par le travailleur</w:t>
      </w:r>
      <w:r w:rsidR="007E5513">
        <w:rPr>
          <w:lang w:val="fr-FR"/>
        </w:rPr>
        <w:t xml:space="preserve">, et qu’il </w:t>
      </w:r>
      <w:r w:rsidR="00B76F43">
        <w:rPr>
          <w:lang w:val="fr-FR"/>
        </w:rPr>
        <w:t>fait l’objet d’un suivi médical auprès de plusieurs spécialistes et cliniques, l</w:t>
      </w:r>
      <w:r w:rsidR="00B76F43" w:rsidRPr="00EA6F5F">
        <w:rPr>
          <w:lang w:val="fr-FR"/>
        </w:rPr>
        <w:t xml:space="preserve">a preuve prépondérante démontre la relation entre le nouveau diagnostic d’acouphène et la lésion professionnelle du 21 août 2018. </w:t>
      </w:r>
    </w:p>
    <w:p w14:paraId="012156DE" w14:textId="77777777" w:rsidR="002A6C10" w:rsidRDefault="00F440CE" w:rsidP="00F440CE">
      <w:pPr>
        <w:pStyle w:val="corpsdedcision"/>
        <w:rPr>
          <w:lang w:val="fr-FR"/>
        </w:rPr>
      </w:pPr>
      <w:r>
        <w:rPr>
          <w:lang w:val="fr-FR"/>
        </w:rPr>
        <w:t xml:space="preserve">Contrairement à ce que mentionne la Commission, les acouphènes sont considérés </w:t>
      </w:r>
      <w:r w:rsidR="00512793">
        <w:rPr>
          <w:lang w:val="fr-FR"/>
        </w:rPr>
        <w:t xml:space="preserve">par le docteur Brown </w:t>
      </w:r>
      <w:r>
        <w:rPr>
          <w:lang w:val="fr-FR"/>
        </w:rPr>
        <w:t>comme étant un diagnostic (et non seulement un sympt</w:t>
      </w:r>
      <w:r w:rsidR="005E7591">
        <w:rPr>
          <w:lang w:val="fr-FR"/>
        </w:rPr>
        <w:t>ôme</w:t>
      </w:r>
      <w:r>
        <w:rPr>
          <w:lang w:val="fr-FR"/>
        </w:rPr>
        <w:t xml:space="preserve">), </w:t>
      </w:r>
      <w:r w:rsidR="00512793">
        <w:rPr>
          <w:lang w:val="fr-FR"/>
        </w:rPr>
        <w:t>qui</w:t>
      </w:r>
      <w:r w:rsidR="00EA6F5F" w:rsidRPr="00F440CE">
        <w:rPr>
          <w:lang w:val="fr-FR"/>
        </w:rPr>
        <w:t xml:space="preserve"> inscrit la mention « </w:t>
      </w:r>
      <w:r w:rsidR="00EA6F5F" w:rsidRPr="00F440CE">
        <w:rPr>
          <w:rStyle w:val="Citationintgre"/>
          <w:lang w:val="fr-FR"/>
        </w:rPr>
        <w:t>acouphène</w:t>
      </w:r>
      <w:r w:rsidR="00EA6F5F" w:rsidRPr="00F440CE">
        <w:rPr>
          <w:lang w:val="fr-FR"/>
        </w:rPr>
        <w:t> » dans la section « </w:t>
      </w:r>
      <w:r w:rsidR="00EA6F5F" w:rsidRPr="00F440CE">
        <w:rPr>
          <w:rStyle w:val="Citationintgre"/>
          <w:lang w:val="fr-FR"/>
        </w:rPr>
        <w:t>diagnostics</w:t>
      </w:r>
      <w:r w:rsidR="00EA6F5F" w:rsidRPr="00F440CE">
        <w:rPr>
          <w:lang w:val="fr-FR"/>
        </w:rPr>
        <w:t> »</w:t>
      </w:r>
      <w:r>
        <w:rPr>
          <w:lang w:val="fr-FR"/>
        </w:rPr>
        <w:t xml:space="preserve"> de ses rapports médicaux. </w:t>
      </w:r>
    </w:p>
    <w:p w14:paraId="770E288F" w14:textId="77777777" w:rsidR="00EA6F5F" w:rsidRDefault="002978BC" w:rsidP="00F440CE">
      <w:pPr>
        <w:pStyle w:val="corpsdedcision"/>
        <w:rPr>
          <w:lang w:val="fr-FR"/>
        </w:rPr>
      </w:pPr>
      <w:r>
        <w:rPr>
          <w:lang w:val="fr-FR"/>
        </w:rPr>
        <w:t>Dans des cas semblables, le</w:t>
      </w:r>
      <w:r w:rsidR="005E7591">
        <w:rPr>
          <w:lang w:val="fr-FR"/>
        </w:rPr>
        <w:t xml:space="preserve"> Tribunal a </w:t>
      </w:r>
      <w:r>
        <w:rPr>
          <w:lang w:val="fr-FR"/>
        </w:rPr>
        <w:t xml:space="preserve">d’ailleurs </w:t>
      </w:r>
      <w:r w:rsidR="005E7591">
        <w:rPr>
          <w:lang w:val="fr-FR"/>
        </w:rPr>
        <w:t xml:space="preserve">reconnu le diagnostic d’acouphènes comme </w:t>
      </w:r>
      <w:r w:rsidR="00B938E4">
        <w:rPr>
          <w:lang w:val="fr-FR"/>
        </w:rPr>
        <w:t xml:space="preserve">lésion </w:t>
      </w:r>
      <w:r w:rsidR="00E71472">
        <w:rPr>
          <w:lang w:val="fr-FR"/>
        </w:rPr>
        <w:t xml:space="preserve">professionnelle </w:t>
      </w:r>
      <w:r w:rsidR="00B938E4">
        <w:rPr>
          <w:lang w:val="fr-FR"/>
        </w:rPr>
        <w:t xml:space="preserve">distincte de la surdité professionnelle, </w:t>
      </w:r>
      <w:r w:rsidR="002A6C10">
        <w:rPr>
          <w:lang w:val="fr-FR"/>
        </w:rPr>
        <w:t xml:space="preserve">car </w:t>
      </w:r>
      <w:proofErr w:type="gramStart"/>
      <w:r w:rsidR="002A6C10">
        <w:rPr>
          <w:rFonts w:cs="Arial"/>
          <w:color w:val="000000"/>
          <w:shd w:val="clear" w:color="auto" w:fill="FFFFFF"/>
        </w:rPr>
        <w:t>«  (</w:t>
      </w:r>
      <w:proofErr w:type="gramEnd"/>
      <w:r w:rsidR="002A6C10">
        <w:rPr>
          <w:rFonts w:cs="Arial"/>
          <w:color w:val="000000"/>
          <w:shd w:val="clear" w:color="auto" w:fill="FFFFFF"/>
        </w:rPr>
        <w:t xml:space="preserve">…) </w:t>
      </w:r>
      <w:r w:rsidR="002A6C10" w:rsidRPr="002A6C10">
        <w:rPr>
          <w:rStyle w:val="Citationintgre"/>
        </w:rPr>
        <w:t>une personne porteuse d’une surdité de type neurosensoriel présente une diminution de son audition sans pour autant être porteuse d’acouphènes, l’inverse pouvant également être possible. Et, au surplus, l’un n’empêche pas l’autre</w:t>
      </w:r>
      <w:r w:rsidR="002A6C10">
        <w:rPr>
          <w:rFonts w:cs="Arial"/>
          <w:color w:val="000000"/>
          <w:shd w:val="clear" w:color="auto" w:fill="FFFFFF"/>
        </w:rPr>
        <w:t> »</w:t>
      </w:r>
      <w:r w:rsidR="00B938E4">
        <w:rPr>
          <w:rStyle w:val="FootnoteReference"/>
          <w:lang w:val="fr-FR"/>
        </w:rPr>
        <w:footnoteReference w:id="9"/>
      </w:r>
      <w:r w:rsidR="00B938E4">
        <w:rPr>
          <w:lang w:val="fr-FR"/>
        </w:rPr>
        <w:t xml:space="preserve">. </w:t>
      </w:r>
    </w:p>
    <w:p w14:paraId="7536F2B4" w14:textId="77777777" w:rsidR="00073CD2" w:rsidRPr="00073CD2" w:rsidRDefault="005104B9" w:rsidP="00073CD2">
      <w:pPr>
        <w:pStyle w:val="corpsdedcision"/>
        <w:rPr>
          <w:lang w:val="fr-FR"/>
        </w:rPr>
      </w:pPr>
      <w:r>
        <w:rPr>
          <w:lang w:val="fr-FR"/>
        </w:rPr>
        <w:lastRenderedPageBreak/>
        <w:t>Le Tribunal ne retient pas la décision déposée</w:t>
      </w:r>
      <w:r w:rsidR="00073CD2">
        <w:rPr>
          <w:lang w:val="fr-FR"/>
        </w:rPr>
        <w:t xml:space="preserve"> par la représentante de l’employeur à l’effet </w:t>
      </w:r>
      <w:r w:rsidR="00073CD2" w:rsidRPr="00A023EE">
        <w:rPr>
          <w:lang w:val="fr-FR"/>
        </w:rPr>
        <w:t>que les acouphènes sont des symptômes de la surdité neurosensorielle</w:t>
      </w:r>
      <w:r>
        <w:rPr>
          <w:rStyle w:val="FootnoteReference"/>
          <w:lang w:val="fr-FR"/>
        </w:rPr>
        <w:footnoteReference w:id="10"/>
      </w:r>
      <w:r w:rsidR="00A023EE" w:rsidRPr="00A023EE">
        <w:rPr>
          <w:lang w:val="fr-FR"/>
        </w:rPr>
        <w:t>, car</w:t>
      </w:r>
      <w:r w:rsidR="00A023EE">
        <w:rPr>
          <w:lang w:val="fr-FR"/>
        </w:rPr>
        <w:t xml:space="preserve"> la jurisprudence du Tribunal a évolué depuis. </w:t>
      </w:r>
      <w:r>
        <w:rPr>
          <w:lang w:val="fr-FR"/>
        </w:rPr>
        <w:t>Les autres décisions</w:t>
      </w:r>
      <w:r w:rsidR="00E949C7">
        <w:rPr>
          <w:rStyle w:val="FootnoteReference"/>
          <w:lang w:val="fr-FR"/>
        </w:rPr>
        <w:footnoteReference w:id="11"/>
      </w:r>
      <w:r>
        <w:rPr>
          <w:lang w:val="fr-FR"/>
        </w:rPr>
        <w:t xml:space="preserve"> traitent d</w:t>
      </w:r>
      <w:r w:rsidR="00100778">
        <w:rPr>
          <w:lang w:val="fr-FR"/>
        </w:rPr>
        <w:t>u déficit anatomo-physiologique en lien avec les acouphènes</w:t>
      </w:r>
      <w:r w:rsidR="00C966CB">
        <w:rPr>
          <w:lang w:val="fr-FR"/>
        </w:rPr>
        <w:t xml:space="preserve">, sujet qui fera l’objet d’une décision par la Commission </w:t>
      </w:r>
      <w:proofErr w:type="gramStart"/>
      <w:r w:rsidR="00C966CB">
        <w:rPr>
          <w:lang w:val="fr-FR"/>
        </w:rPr>
        <w:t>suite à</w:t>
      </w:r>
      <w:proofErr w:type="gramEnd"/>
      <w:r w:rsidR="00C966CB">
        <w:rPr>
          <w:lang w:val="fr-FR"/>
        </w:rPr>
        <w:t xml:space="preserve"> la présente décision. </w:t>
      </w:r>
    </w:p>
    <w:p w14:paraId="5809D967" w14:textId="77777777" w:rsidR="00B6502A" w:rsidRDefault="00B6502A" w:rsidP="00A04912">
      <w:pPr>
        <w:pStyle w:val="corpsdedcision"/>
        <w:rPr>
          <w:lang w:val="fr-FR"/>
        </w:rPr>
      </w:pPr>
      <w:r>
        <w:rPr>
          <w:lang w:val="fr-FR"/>
        </w:rPr>
        <w:t>Le Tribunal conclut que le diagnostic d’acouphènes est en relation avec la lésion p</w:t>
      </w:r>
      <w:r w:rsidR="00073CD2">
        <w:rPr>
          <w:lang w:val="fr-FR"/>
        </w:rPr>
        <w:t>rofessionnelle du 21 août 2018 et que le travailleur a droit aux prestations prévues à la Loi au regard de ce diagnostic.</w:t>
      </w:r>
    </w:p>
    <w:p w14:paraId="0CE6218F" w14:textId="77777777" w:rsidR="00A04912" w:rsidRPr="00215449" w:rsidRDefault="00A04912" w:rsidP="00A04912">
      <w:pPr>
        <w:pStyle w:val="corpsdedcision"/>
        <w:numPr>
          <w:ilvl w:val="0"/>
          <w:numId w:val="0"/>
        </w:numPr>
        <w:rPr>
          <w:lang w:val="fr-FR"/>
        </w:rPr>
      </w:pPr>
      <w:r w:rsidRPr="00215449">
        <w:rPr>
          <w:b/>
        </w:rPr>
        <w:t>PAR CES MOTIFS, LE TRIBUNAL ADMINISTRATIF DU TRAVAIL :</w:t>
      </w:r>
    </w:p>
    <w:p w14:paraId="73A215F5" w14:textId="77777777" w:rsidR="00A04912" w:rsidRPr="00AC3ECB" w:rsidRDefault="00A36DB2" w:rsidP="00A04912">
      <w:pPr>
        <w:pStyle w:val="dispositif1"/>
        <w:keepNext/>
        <w:shd w:val="clear" w:color="auto" w:fill="FFFFFF"/>
        <w:rPr>
          <w:highlight w:val="yellow"/>
          <w:lang w:val="fr-FR"/>
        </w:rPr>
      </w:pPr>
      <w:r w:rsidRPr="00073489">
        <w:rPr>
          <w:b/>
          <w:bCs/>
          <w:lang w:val="fr-FR"/>
        </w:rPr>
        <w:t>ACCUEILLE</w:t>
      </w:r>
      <w:r w:rsidR="00A04912" w:rsidRPr="00073489">
        <w:rPr>
          <w:lang w:val="fr-FR"/>
        </w:rPr>
        <w:t xml:space="preserve"> la contestation</w:t>
      </w:r>
      <w:r w:rsidR="00A04912" w:rsidRPr="001D1A13">
        <w:rPr>
          <w:lang w:val="fr-FR"/>
        </w:rPr>
        <w:t xml:space="preserve"> de monsieur </w:t>
      </w:r>
      <w:r w:rsidRPr="001D1A13">
        <w:rPr>
          <w:lang w:val="fr-FR"/>
        </w:rPr>
        <w:t>Mauro Cubeddu</w:t>
      </w:r>
      <w:r w:rsidR="00A04912" w:rsidRPr="001D1A13">
        <w:rPr>
          <w:lang w:val="fr-FR"/>
        </w:rPr>
        <w:t xml:space="preserve">, le </w:t>
      </w:r>
      <w:proofErr w:type="gramStart"/>
      <w:r w:rsidR="00A04912" w:rsidRPr="001D1A13">
        <w:rPr>
          <w:lang w:val="fr-FR"/>
        </w:rPr>
        <w:t>travailleur;</w:t>
      </w:r>
      <w:proofErr w:type="gramEnd"/>
    </w:p>
    <w:p w14:paraId="2C313BE3" w14:textId="1061E3B6" w:rsidR="00A04912" w:rsidRDefault="00874113" w:rsidP="00A04912">
      <w:pPr>
        <w:pStyle w:val="dispositif1"/>
        <w:shd w:val="clear" w:color="auto" w:fill="FFFFFF"/>
        <w:rPr>
          <w:lang w:val="fr-FR"/>
        </w:rPr>
      </w:pPr>
      <w:r w:rsidRPr="00073489">
        <w:rPr>
          <w:b/>
          <w:bCs/>
          <w:lang w:val="fr-FR"/>
        </w:rPr>
        <w:t xml:space="preserve">MODIFIE </w:t>
      </w:r>
      <w:r w:rsidR="004D116E">
        <w:rPr>
          <w:lang w:val="fr-FR"/>
        </w:rPr>
        <w:t>la</w:t>
      </w:r>
      <w:r w:rsidR="00A04912" w:rsidRPr="001D1A13">
        <w:rPr>
          <w:lang w:val="fr-FR"/>
        </w:rPr>
        <w:t xml:space="preserve"> décision rendue le </w:t>
      </w:r>
      <w:r w:rsidR="001D1A13" w:rsidRPr="001D1A13">
        <w:rPr>
          <w:lang w:val="fr-FR"/>
        </w:rPr>
        <w:t>5 décembre 2019</w:t>
      </w:r>
      <w:r w:rsidR="00A04912" w:rsidRPr="001D1A13">
        <w:rPr>
          <w:lang w:val="fr-FR"/>
        </w:rPr>
        <w:t xml:space="preserve"> par la Commission des normes, de l’équité, de la santé et de la sécurité du travail</w:t>
      </w:r>
      <w:r w:rsidR="00907A40">
        <w:rPr>
          <w:lang w:val="fr-FR"/>
        </w:rPr>
        <w:t xml:space="preserve"> au sujet de la relation du diagnostic d’acouphène avec la lésion professionnelle du 21 août </w:t>
      </w:r>
      <w:proofErr w:type="gramStart"/>
      <w:r w:rsidR="00907A40">
        <w:rPr>
          <w:lang w:val="fr-FR"/>
        </w:rPr>
        <w:t>2018</w:t>
      </w:r>
      <w:r w:rsidR="00A04912" w:rsidRPr="001D1A13">
        <w:rPr>
          <w:lang w:val="fr-FR"/>
        </w:rPr>
        <w:t>;</w:t>
      </w:r>
      <w:proofErr w:type="gramEnd"/>
      <w:r w:rsidR="00A04912" w:rsidRPr="001D1A13">
        <w:rPr>
          <w:lang w:val="fr-FR"/>
        </w:rPr>
        <w:t xml:space="preserve"> </w:t>
      </w:r>
    </w:p>
    <w:p w14:paraId="77D32BE2" w14:textId="77777777" w:rsidR="00A04912" w:rsidRDefault="00A04912" w:rsidP="00A04912">
      <w:pPr>
        <w:shd w:val="clear" w:color="auto" w:fill="FFFFFF"/>
        <w:spacing w:after="360"/>
        <w:jc w:val="both"/>
        <w:rPr>
          <w:lang w:val="fr-FR"/>
        </w:rPr>
      </w:pPr>
      <w:r w:rsidRPr="00073489">
        <w:rPr>
          <w:b/>
          <w:bCs/>
          <w:lang w:val="fr-FR"/>
        </w:rPr>
        <w:t>DÉCLARE</w:t>
      </w:r>
      <w:r w:rsidRPr="00073489">
        <w:rPr>
          <w:lang w:val="fr-FR"/>
        </w:rPr>
        <w:t xml:space="preserve"> le diagnostic </w:t>
      </w:r>
      <w:r w:rsidR="00B63CAD" w:rsidRPr="00073489">
        <w:rPr>
          <w:lang w:val="fr-FR"/>
        </w:rPr>
        <w:t>d’acouphène</w:t>
      </w:r>
      <w:r w:rsidR="001D1A13" w:rsidRPr="00073489">
        <w:rPr>
          <w:lang w:val="fr-FR"/>
        </w:rPr>
        <w:t xml:space="preserve"> comme étant en relation avec</w:t>
      </w:r>
      <w:r w:rsidRPr="00073489">
        <w:rPr>
          <w:lang w:val="fr-FR"/>
        </w:rPr>
        <w:t xml:space="preserve"> </w:t>
      </w:r>
      <w:r w:rsidR="00073CD2">
        <w:rPr>
          <w:lang w:val="fr-FR"/>
        </w:rPr>
        <w:t>la lésion professionnelle</w:t>
      </w:r>
      <w:r w:rsidR="00073489" w:rsidRPr="00073489">
        <w:rPr>
          <w:lang w:val="fr-FR"/>
        </w:rPr>
        <w:t xml:space="preserve"> du 21 août </w:t>
      </w:r>
      <w:proofErr w:type="gramStart"/>
      <w:r w:rsidR="00073489" w:rsidRPr="00073489">
        <w:rPr>
          <w:lang w:val="fr-FR"/>
        </w:rPr>
        <w:t>2018</w:t>
      </w:r>
      <w:r w:rsidR="007D171E" w:rsidRPr="00073489">
        <w:rPr>
          <w:lang w:val="fr-FR"/>
        </w:rPr>
        <w:t>;</w:t>
      </w:r>
      <w:proofErr w:type="gramEnd"/>
    </w:p>
    <w:p w14:paraId="7B4774AF" w14:textId="7CF0C68D" w:rsidR="00505CF6" w:rsidRDefault="00926358" w:rsidP="00EE7DFE">
      <w:pPr>
        <w:shd w:val="clear" w:color="auto" w:fill="FFFFFF"/>
        <w:spacing w:after="360"/>
        <w:jc w:val="both"/>
        <w:rPr>
          <w:lang w:val="fr-FR"/>
        </w:rPr>
      </w:pPr>
      <w:r w:rsidRPr="00073489">
        <w:rPr>
          <w:b/>
          <w:lang w:val="fr-FR"/>
        </w:rPr>
        <w:t>DÉCLARE</w:t>
      </w:r>
      <w:r>
        <w:rPr>
          <w:lang w:val="fr-FR"/>
        </w:rPr>
        <w:t xml:space="preserve"> que le travailleur a droit aux prestations prévues à la</w:t>
      </w:r>
      <w:r w:rsidR="0075527A">
        <w:rPr>
          <w:lang w:val="fr-FR"/>
        </w:rPr>
        <w:t xml:space="preserve"> </w:t>
      </w:r>
      <w:r w:rsidR="00DE3266">
        <w:rPr>
          <w:lang w:val="fr-FR"/>
        </w:rPr>
        <w:t>Loi au regard de ce diagnostic.</w:t>
      </w:r>
    </w:p>
    <w:p w14:paraId="6208F3C3" w14:textId="214D306D"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6336EA11" w14:textId="77777777">
        <w:tc>
          <w:tcPr>
            <w:tcW w:w="4795" w:type="dxa"/>
          </w:tcPr>
          <w:p w14:paraId="0C7C76C1" w14:textId="77777777" w:rsidR="00C74B6F" w:rsidRDefault="00C74B6F"/>
        </w:tc>
        <w:tc>
          <w:tcPr>
            <w:tcW w:w="4795" w:type="dxa"/>
          </w:tcPr>
          <w:p w14:paraId="1DE487B5" w14:textId="77777777" w:rsidR="00C74B6F" w:rsidRDefault="00C74B6F">
            <w:bookmarkStart w:id="12" w:name="signature"/>
            <w:bookmarkEnd w:id="12"/>
            <w:r>
              <w:t>__________________________________</w:t>
            </w:r>
          </w:p>
        </w:tc>
      </w:tr>
      <w:tr w:rsidR="00C74B6F" w14:paraId="1B982ACB" w14:textId="77777777">
        <w:tc>
          <w:tcPr>
            <w:tcW w:w="4795" w:type="dxa"/>
          </w:tcPr>
          <w:p w14:paraId="4CBE7AAC" w14:textId="77777777" w:rsidR="00C74B6F" w:rsidRDefault="00C74B6F"/>
        </w:tc>
        <w:tc>
          <w:tcPr>
            <w:tcW w:w="4795" w:type="dxa"/>
          </w:tcPr>
          <w:p w14:paraId="4274F2EC" w14:textId="77777777" w:rsidR="00C74B6F" w:rsidRDefault="00691D13">
            <w:r>
              <w:t>Maude Côté</w:t>
            </w:r>
          </w:p>
        </w:tc>
      </w:tr>
      <w:tr w:rsidR="00C74B6F" w14:paraId="389250D8" w14:textId="77777777">
        <w:trPr>
          <w:cantSplit/>
        </w:trPr>
        <w:tc>
          <w:tcPr>
            <w:tcW w:w="9590" w:type="dxa"/>
            <w:gridSpan w:val="2"/>
          </w:tcPr>
          <w:p w14:paraId="37AE662B" w14:textId="77777777" w:rsidR="00C74B6F" w:rsidRDefault="00C74B6F"/>
        </w:tc>
      </w:tr>
      <w:tr w:rsidR="00C74B6F" w14:paraId="50315718" w14:textId="77777777">
        <w:trPr>
          <w:cantSplit/>
        </w:trPr>
        <w:tc>
          <w:tcPr>
            <w:tcW w:w="9590" w:type="dxa"/>
            <w:gridSpan w:val="2"/>
          </w:tcPr>
          <w:p w14:paraId="60344469" w14:textId="77777777" w:rsidR="00C74B6F" w:rsidRPr="00C912F9" w:rsidRDefault="00C74B6F" w:rsidP="00EC5C8D">
            <w:pPr>
              <w:tabs>
                <w:tab w:val="left" w:pos="1592"/>
              </w:tabs>
            </w:pPr>
          </w:p>
        </w:tc>
      </w:tr>
      <w:tr w:rsidR="00C74B6F" w14:paraId="314D129A" w14:textId="77777777">
        <w:trPr>
          <w:cantSplit/>
        </w:trPr>
        <w:tc>
          <w:tcPr>
            <w:tcW w:w="9590" w:type="dxa"/>
            <w:gridSpan w:val="2"/>
          </w:tcPr>
          <w:p w14:paraId="0FE72397" w14:textId="77777777" w:rsidR="00C74B6F" w:rsidRDefault="00C74B6F"/>
        </w:tc>
      </w:tr>
      <w:tr w:rsidR="00861F8B" w14:paraId="52C95301" w14:textId="77777777">
        <w:trPr>
          <w:cantSplit/>
        </w:trPr>
        <w:tc>
          <w:tcPr>
            <w:tcW w:w="9590" w:type="dxa"/>
            <w:gridSpan w:val="2"/>
          </w:tcPr>
          <w:p w14:paraId="74CF6101" w14:textId="0C7E9BF0" w:rsidR="00861F8B" w:rsidRDefault="00E90455" w:rsidP="002B767A">
            <w:r>
              <w:rPr>
                <w:lang w:val="en-CA"/>
              </w:rPr>
              <w:t>M</w:t>
            </w:r>
            <w:r w:rsidR="002B767A" w:rsidRPr="00D525D2">
              <w:rPr>
                <w:vertAlign w:val="superscript"/>
                <w:lang w:val="en-CA"/>
              </w:rPr>
              <w:t>me</w:t>
            </w:r>
            <w:r w:rsidR="002B767A">
              <w:rPr>
                <w:lang w:val="en-CA"/>
              </w:rPr>
              <w:t xml:space="preserve"> </w:t>
            </w:r>
            <w:r>
              <w:rPr>
                <w:lang w:val="en-CA"/>
              </w:rPr>
              <w:t>Pamela Moscato</w:t>
            </w:r>
          </w:p>
        </w:tc>
      </w:tr>
      <w:tr w:rsidR="00861F8B" w14:paraId="6FE11CA0" w14:textId="77777777">
        <w:trPr>
          <w:cantSplit/>
        </w:trPr>
        <w:tc>
          <w:tcPr>
            <w:tcW w:w="9590" w:type="dxa"/>
            <w:gridSpan w:val="2"/>
          </w:tcPr>
          <w:p w14:paraId="10824015" w14:textId="77777777" w:rsidR="00861F8B" w:rsidRDefault="00E25DCB" w:rsidP="00E90455">
            <w:r>
              <w:fldChar w:fldCharType="begin"/>
            </w:r>
            <w:r>
              <w:instrText xml:space="preserve"> MACROBUTTON  AbaisserNiveauListe </w:instrText>
            </w:r>
            <w:r>
              <w:fldChar w:fldCharType="end"/>
            </w:r>
            <w:r w:rsidR="00E90455">
              <w:t xml:space="preserve">Pour la partie demanderesse </w:t>
            </w:r>
          </w:p>
        </w:tc>
      </w:tr>
      <w:tr w:rsidR="00C74B6F" w14:paraId="66E19EF9" w14:textId="77777777">
        <w:trPr>
          <w:cantSplit/>
        </w:trPr>
        <w:tc>
          <w:tcPr>
            <w:tcW w:w="9590" w:type="dxa"/>
            <w:gridSpan w:val="2"/>
          </w:tcPr>
          <w:p w14:paraId="71766A87" w14:textId="77777777" w:rsidR="00C74B6F" w:rsidRDefault="00C74B6F"/>
        </w:tc>
      </w:tr>
      <w:tr w:rsidR="00C74B6F" w14:paraId="2BAE6A62" w14:textId="77777777">
        <w:trPr>
          <w:cantSplit/>
        </w:trPr>
        <w:tc>
          <w:tcPr>
            <w:tcW w:w="9590" w:type="dxa"/>
            <w:gridSpan w:val="2"/>
          </w:tcPr>
          <w:p w14:paraId="789C9FE1" w14:textId="7030FA8F" w:rsidR="00C74B6F" w:rsidRDefault="00AC3ECB" w:rsidP="002B767A">
            <w:pPr>
              <w:pStyle w:val="zSoquijdatNomProcureurDef"/>
            </w:pPr>
            <w:r>
              <w:t>M</w:t>
            </w:r>
            <w:r w:rsidR="002B767A" w:rsidRPr="00D525D2">
              <w:rPr>
                <w:vertAlign w:val="superscript"/>
              </w:rPr>
              <w:t>me</w:t>
            </w:r>
            <w:r>
              <w:t xml:space="preserve"> Dominique Bigras</w:t>
            </w:r>
          </w:p>
        </w:tc>
      </w:tr>
      <w:tr w:rsidR="00C74B6F" w14:paraId="2EA25701" w14:textId="77777777">
        <w:trPr>
          <w:cantSplit/>
        </w:trPr>
        <w:tc>
          <w:tcPr>
            <w:tcW w:w="9590" w:type="dxa"/>
            <w:gridSpan w:val="2"/>
          </w:tcPr>
          <w:p w14:paraId="5D33FDF4" w14:textId="77777777" w:rsidR="00C74B6F" w:rsidRDefault="00CB05A7" w:rsidP="00AC3ECB">
            <w:pPr>
              <w:pStyle w:val="zSoquijlblProcureurDef"/>
            </w:pPr>
            <w:r>
              <w:t xml:space="preserve">Pour la partie </w:t>
            </w:r>
            <w:r w:rsidR="00AC3ECB">
              <w:t>mise en cause</w:t>
            </w:r>
          </w:p>
        </w:tc>
      </w:tr>
      <w:tr w:rsidR="00C15A3F" w14:paraId="6ED87D75" w14:textId="77777777">
        <w:trPr>
          <w:cantSplit/>
        </w:trPr>
        <w:tc>
          <w:tcPr>
            <w:tcW w:w="9590" w:type="dxa"/>
            <w:gridSpan w:val="2"/>
          </w:tcPr>
          <w:p w14:paraId="3DF4AE88" w14:textId="77777777" w:rsidR="00C15A3F" w:rsidRDefault="00C15A3F">
            <w:pPr>
              <w:pStyle w:val="zSoquijlblProcureurInt"/>
            </w:pPr>
          </w:p>
        </w:tc>
      </w:tr>
      <w:tr w:rsidR="00C15A3F" w14:paraId="19376698" w14:textId="77777777">
        <w:trPr>
          <w:cantSplit/>
        </w:trPr>
        <w:tc>
          <w:tcPr>
            <w:tcW w:w="9590" w:type="dxa"/>
            <w:gridSpan w:val="2"/>
          </w:tcPr>
          <w:p w14:paraId="0251DA7C" w14:textId="22093EE1" w:rsidR="00C15A3F" w:rsidRDefault="00E90455" w:rsidP="002B767A">
            <w:pPr>
              <w:pStyle w:val="zSoquijdatDateAudience"/>
            </w:pPr>
            <w:r>
              <w:t>Date de l’</w:t>
            </w:r>
            <w:r w:rsidR="00C15A3F">
              <w:t>audience :</w:t>
            </w:r>
            <w:r w:rsidR="00597016">
              <w:tab/>
            </w:r>
            <w:r w:rsidR="002B767A">
              <w:tab/>
            </w:r>
            <w:r>
              <w:t>27 juillet 2020</w:t>
            </w:r>
          </w:p>
        </w:tc>
      </w:tr>
    </w:tbl>
    <w:p w14:paraId="069472BB" w14:textId="77777777" w:rsidR="009A135C" w:rsidRDefault="009A135C" w:rsidP="009A135C">
      <w:pPr>
        <w:pStyle w:val="articlesdelaLSST"/>
        <w:ind w:left="0"/>
      </w:pPr>
    </w:p>
    <w:sectPr w:rsidR="009A135C">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8AEF" w14:textId="77777777" w:rsidR="00EF2ECC" w:rsidRDefault="00EF2ECC">
      <w:r>
        <w:separator/>
      </w:r>
    </w:p>
  </w:endnote>
  <w:endnote w:type="continuationSeparator" w:id="0">
    <w:p w14:paraId="01FDF441" w14:textId="77777777" w:rsidR="00EF2ECC" w:rsidRDefault="00EF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5D21" w14:textId="77777777" w:rsidR="00EF2ECC" w:rsidRDefault="00EF2ECC">
      <w:r>
        <w:separator/>
      </w:r>
    </w:p>
  </w:footnote>
  <w:footnote w:type="continuationSeparator" w:id="0">
    <w:p w14:paraId="312A5355" w14:textId="77777777" w:rsidR="00EF2ECC" w:rsidRDefault="00EF2ECC">
      <w:r>
        <w:continuationSeparator/>
      </w:r>
    </w:p>
  </w:footnote>
  <w:footnote w:id="1">
    <w:p w14:paraId="70394C7E" w14:textId="77777777" w:rsidR="00A04912" w:rsidRPr="00D702C3" w:rsidRDefault="00A04912" w:rsidP="00A0491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Décision rendue le </w:t>
      </w:r>
      <w:r w:rsidR="000634E5">
        <w:rPr>
          <w:rFonts w:cs="Arial"/>
          <w:sz w:val="20"/>
        </w:rPr>
        <w:t>5 décembre 2019 (séquence 001).</w:t>
      </w:r>
    </w:p>
  </w:footnote>
  <w:footnote w:id="2">
    <w:p w14:paraId="613872E2" w14:textId="77777777" w:rsidR="000634E5" w:rsidRPr="000634E5" w:rsidRDefault="000634E5" w:rsidP="000634E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Deuxième décision rendue le 5 décembre 2019 (séquence 002).</w:t>
      </w:r>
    </w:p>
  </w:footnote>
  <w:footnote w:id="3">
    <w:p w14:paraId="4D9C44B5" w14:textId="22C56A6E" w:rsidR="00036D47" w:rsidRPr="00036D47" w:rsidRDefault="00036D47" w:rsidP="00036D47">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Décision rendue le 5 décembre 2019 (séquence 001)</w:t>
      </w:r>
      <w:r w:rsidR="00AE2858">
        <w:rPr>
          <w:rFonts w:cs="Arial"/>
          <w:sz w:val="20"/>
        </w:rPr>
        <w:t>, précitée note 1</w:t>
      </w:r>
      <w:r>
        <w:rPr>
          <w:rFonts w:cs="Arial"/>
          <w:sz w:val="20"/>
        </w:rPr>
        <w:t>.</w:t>
      </w:r>
    </w:p>
  </w:footnote>
  <w:footnote w:id="4">
    <w:p w14:paraId="7F04B036" w14:textId="77777777" w:rsidR="00A04912" w:rsidRPr="008A22E4" w:rsidRDefault="00A04912" w:rsidP="00A04912">
      <w:pPr>
        <w:pStyle w:val="FootnoteText"/>
        <w:tabs>
          <w:tab w:val="left" w:pos="720"/>
        </w:tabs>
        <w:ind w:left="720" w:hanging="720"/>
        <w:jc w:val="both"/>
        <w:rPr>
          <w:rFonts w:cs="Arial"/>
          <w:sz w:val="20"/>
        </w:rPr>
      </w:pPr>
      <w:r w:rsidRPr="008A22E4">
        <w:rPr>
          <w:rStyle w:val="FootnoteReference"/>
          <w:sz w:val="20"/>
        </w:rPr>
        <w:footnoteRef/>
      </w:r>
      <w:r w:rsidRPr="008A22E4">
        <w:rPr>
          <w:sz w:val="20"/>
        </w:rPr>
        <w:t xml:space="preserve"> </w:t>
      </w:r>
      <w:r w:rsidRPr="008A22E4">
        <w:rPr>
          <w:rFonts w:cs="Arial"/>
          <w:sz w:val="20"/>
        </w:rPr>
        <w:tab/>
        <w:t>RLRQ, c. A-3.001.</w:t>
      </w:r>
    </w:p>
  </w:footnote>
  <w:footnote w:id="5">
    <w:p w14:paraId="71E90D5D" w14:textId="77777777" w:rsidR="00A04912" w:rsidRPr="0047612A" w:rsidRDefault="00A04912" w:rsidP="00A04912">
      <w:pPr>
        <w:pStyle w:val="FootnoteText"/>
        <w:tabs>
          <w:tab w:val="left" w:pos="720"/>
        </w:tabs>
        <w:ind w:left="720" w:hanging="720"/>
        <w:jc w:val="both"/>
        <w:rPr>
          <w:rFonts w:cs="Arial"/>
          <w:sz w:val="20"/>
        </w:rPr>
      </w:pPr>
      <w:r w:rsidRPr="009C2B96">
        <w:rPr>
          <w:rStyle w:val="FootnoteReference"/>
          <w:szCs w:val="24"/>
        </w:rPr>
        <w:footnoteRef/>
      </w:r>
      <w:r>
        <w:t xml:space="preserve"> </w:t>
      </w:r>
      <w:r>
        <w:rPr>
          <w:rFonts w:cs="Arial"/>
          <w:sz w:val="20"/>
        </w:rPr>
        <w:tab/>
        <w:t xml:space="preserve">Articles 212, 224 et 358 de </w:t>
      </w:r>
      <w:r w:rsidRPr="00E90B5B">
        <w:rPr>
          <w:rFonts w:cs="Arial"/>
          <w:sz w:val="20"/>
        </w:rPr>
        <w:t>la</w:t>
      </w:r>
      <w:r>
        <w:rPr>
          <w:rFonts w:cs="Arial"/>
          <w:sz w:val="20"/>
        </w:rPr>
        <w:t xml:space="preserve"> </w:t>
      </w:r>
      <w:r w:rsidRPr="00E90B5B">
        <w:rPr>
          <w:rFonts w:cs="Arial"/>
          <w:sz w:val="20"/>
        </w:rPr>
        <w:t>Loi.</w:t>
      </w:r>
    </w:p>
  </w:footnote>
  <w:footnote w:id="6">
    <w:p w14:paraId="14B28B78" w14:textId="77777777" w:rsidR="00A04912" w:rsidRPr="00F72175" w:rsidRDefault="00A04912" w:rsidP="00A0491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72175">
        <w:rPr>
          <w:rFonts w:cs="Arial"/>
          <w:i/>
          <w:sz w:val="20"/>
        </w:rPr>
        <w:t xml:space="preserve">Beauséjour </w:t>
      </w:r>
      <w:r w:rsidRPr="00F72175">
        <w:rPr>
          <w:rFonts w:cs="Arial"/>
          <w:sz w:val="20"/>
        </w:rPr>
        <w:t>et</w:t>
      </w:r>
      <w:r w:rsidRPr="00F72175">
        <w:rPr>
          <w:rFonts w:cs="Arial"/>
          <w:i/>
          <w:sz w:val="20"/>
        </w:rPr>
        <w:t xml:space="preserve"> Benoît Dupuis Extincteurs</w:t>
      </w:r>
      <w:r w:rsidRPr="00F72175">
        <w:rPr>
          <w:rFonts w:cs="Arial"/>
          <w:sz w:val="20"/>
        </w:rPr>
        <w:t>, 2014 QCCLP 5754.</w:t>
      </w:r>
    </w:p>
  </w:footnote>
  <w:footnote w:id="7">
    <w:p w14:paraId="209D369D" w14:textId="77777777" w:rsidR="00286262" w:rsidRPr="00713DFD" w:rsidRDefault="00286262" w:rsidP="0028626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Rapport du </w:t>
      </w:r>
      <w:r w:rsidRPr="00713DFD">
        <w:rPr>
          <w:rFonts w:cs="Arial"/>
          <w:sz w:val="20"/>
        </w:rPr>
        <w:t>27 juin 2019.</w:t>
      </w:r>
    </w:p>
  </w:footnote>
  <w:footnote w:id="8">
    <w:p w14:paraId="4A44EB78" w14:textId="77777777" w:rsidR="00541123" w:rsidRPr="005926FE" w:rsidRDefault="00541123" w:rsidP="0054112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En vertu de l’article 204 de la Loi. </w:t>
      </w:r>
    </w:p>
  </w:footnote>
  <w:footnote w:id="9">
    <w:p w14:paraId="510A2A8B" w14:textId="77777777" w:rsidR="00B938E4" w:rsidRPr="00B938E4" w:rsidRDefault="00B938E4" w:rsidP="00B938E4">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144A1D" w:rsidRPr="00144A1D">
        <w:rPr>
          <w:rFonts w:cs="Arial"/>
          <w:i/>
          <w:sz w:val="20"/>
        </w:rPr>
        <w:t xml:space="preserve">Grégoire </w:t>
      </w:r>
      <w:r w:rsidR="00144A1D" w:rsidRPr="00144A1D">
        <w:rPr>
          <w:rFonts w:cs="Arial"/>
          <w:sz w:val="20"/>
        </w:rPr>
        <w:t>et</w:t>
      </w:r>
      <w:r w:rsidR="00144A1D" w:rsidRPr="00144A1D">
        <w:rPr>
          <w:rFonts w:cs="Arial"/>
          <w:i/>
          <w:sz w:val="20"/>
        </w:rPr>
        <w:t xml:space="preserve"> Olymel Vallée-Jonction</w:t>
      </w:r>
      <w:r w:rsidR="00144A1D" w:rsidRPr="00144A1D">
        <w:rPr>
          <w:rFonts w:cs="Arial"/>
          <w:sz w:val="20"/>
        </w:rPr>
        <w:t>, 2015 QCCLP 5278</w:t>
      </w:r>
      <w:r w:rsidR="00377BFB">
        <w:rPr>
          <w:rFonts w:cs="Arial"/>
          <w:sz w:val="20"/>
        </w:rPr>
        <w:t xml:space="preserve">. Voir aussi : </w:t>
      </w:r>
      <w:r w:rsidR="0047103C" w:rsidRPr="0047103C">
        <w:rPr>
          <w:rFonts w:cs="Arial"/>
          <w:i/>
          <w:sz w:val="20"/>
        </w:rPr>
        <w:t xml:space="preserve">Goulet </w:t>
      </w:r>
      <w:r w:rsidR="0047103C" w:rsidRPr="0047103C">
        <w:rPr>
          <w:rFonts w:cs="Arial"/>
          <w:sz w:val="20"/>
        </w:rPr>
        <w:t>et</w:t>
      </w:r>
      <w:r w:rsidR="0047103C" w:rsidRPr="0047103C">
        <w:rPr>
          <w:rFonts w:cs="Arial"/>
          <w:i/>
          <w:sz w:val="20"/>
        </w:rPr>
        <w:t xml:space="preserve"> Carrossier </w:t>
      </w:r>
      <w:proofErr w:type="spellStart"/>
      <w:r w:rsidR="0047103C" w:rsidRPr="0047103C">
        <w:rPr>
          <w:rFonts w:cs="Arial"/>
          <w:i/>
          <w:sz w:val="20"/>
        </w:rPr>
        <w:t>ProColor</w:t>
      </w:r>
      <w:proofErr w:type="spellEnd"/>
      <w:r w:rsidR="0047103C" w:rsidRPr="0047103C">
        <w:rPr>
          <w:rFonts w:cs="Arial"/>
          <w:i/>
          <w:sz w:val="20"/>
        </w:rPr>
        <w:t xml:space="preserve"> Val-Bélair</w:t>
      </w:r>
      <w:r w:rsidR="0047103C" w:rsidRPr="0047103C">
        <w:rPr>
          <w:rFonts w:cs="Arial"/>
          <w:sz w:val="20"/>
        </w:rPr>
        <w:t>, 2019 QCTAT 3711,</w:t>
      </w:r>
      <w:r w:rsidR="0047103C" w:rsidRPr="00B53038">
        <w:rPr>
          <w:rFonts w:cs="Arial"/>
          <w:i/>
          <w:sz w:val="20"/>
        </w:rPr>
        <w:t xml:space="preserve"> </w:t>
      </w:r>
      <w:r w:rsidR="001A6436" w:rsidRPr="00B53038">
        <w:rPr>
          <w:rFonts w:cs="Arial"/>
          <w:i/>
          <w:sz w:val="20"/>
        </w:rPr>
        <w:t xml:space="preserve">Lapointe </w:t>
      </w:r>
      <w:r w:rsidR="001A6436" w:rsidRPr="00B53038">
        <w:rPr>
          <w:rFonts w:cs="Arial"/>
          <w:sz w:val="20"/>
        </w:rPr>
        <w:t>et</w:t>
      </w:r>
      <w:r w:rsidR="001A6436" w:rsidRPr="00B53038">
        <w:rPr>
          <w:rFonts w:cs="Arial"/>
          <w:i/>
          <w:sz w:val="20"/>
        </w:rPr>
        <w:t xml:space="preserve"> Bois </w:t>
      </w:r>
      <w:proofErr w:type="spellStart"/>
      <w:r w:rsidR="001A6436" w:rsidRPr="00B53038">
        <w:rPr>
          <w:rFonts w:cs="Arial"/>
          <w:i/>
          <w:sz w:val="20"/>
        </w:rPr>
        <w:t>Daaquam</w:t>
      </w:r>
      <w:proofErr w:type="spellEnd"/>
      <w:r w:rsidR="001A6436" w:rsidRPr="00B53038">
        <w:rPr>
          <w:rFonts w:cs="Arial"/>
          <w:i/>
          <w:sz w:val="20"/>
        </w:rPr>
        <w:t xml:space="preserve"> </w:t>
      </w:r>
      <w:proofErr w:type="spellStart"/>
      <w:r w:rsidR="001A6436" w:rsidRPr="00B53038">
        <w:rPr>
          <w:rFonts w:cs="Arial"/>
          <w:i/>
          <w:sz w:val="20"/>
        </w:rPr>
        <w:t>inc.</w:t>
      </w:r>
      <w:proofErr w:type="spellEnd"/>
      <w:r w:rsidR="001A6436" w:rsidRPr="00B53038">
        <w:rPr>
          <w:rFonts w:cs="Arial"/>
          <w:i/>
          <w:sz w:val="20"/>
        </w:rPr>
        <w:t>,</w:t>
      </w:r>
      <w:r w:rsidR="001A6436" w:rsidRPr="001A6436">
        <w:rPr>
          <w:rFonts w:cs="Arial"/>
          <w:sz w:val="20"/>
        </w:rPr>
        <w:t xml:space="preserve"> 2003 </w:t>
      </w:r>
      <w:r w:rsidR="001A6436">
        <w:rPr>
          <w:rFonts w:cs="Arial"/>
          <w:sz w:val="20"/>
        </w:rPr>
        <w:t xml:space="preserve">QCCLP </w:t>
      </w:r>
      <w:r w:rsidR="001A6436" w:rsidRPr="001A6436">
        <w:rPr>
          <w:rFonts w:cs="Arial"/>
          <w:sz w:val="20"/>
        </w:rPr>
        <w:t xml:space="preserve">87466, </w:t>
      </w:r>
      <w:r w:rsidR="00762B2F" w:rsidRPr="00762B2F">
        <w:rPr>
          <w:rFonts w:cs="Arial"/>
          <w:i/>
          <w:sz w:val="20"/>
        </w:rPr>
        <w:t xml:space="preserve">Poulin </w:t>
      </w:r>
      <w:r w:rsidR="00762B2F" w:rsidRPr="00762B2F">
        <w:rPr>
          <w:rFonts w:cs="Arial"/>
          <w:sz w:val="20"/>
        </w:rPr>
        <w:t>et</w:t>
      </w:r>
      <w:r w:rsidR="00762B2F" w:rsidRPr="00762B2F">
        <w:rPr>
          <w:rFonts w:cs="Arial"/>
          <w:i/>
          <w:sz w:val="20"/>
        </w:rPr>
        <w:t xml:space="preserve"> 9188-3363 Québec </w:t>
      </w:r>
      <w:proofErr w:type="spellStart"/>
      <w:r w:rsidR="00762B2F" w:rsidRPr="00762B2F">
        <w:rPr>
          <w:rFonts w:cs="Arial"/>
          <w:i/>
          <w:sz w:val="20"/>
        </w:rPr>
        <w:t>inc.</w:t>
      </w:r>
      <w:proofErr w:type="spellEnd"/>
      <w:r w:rsidR="00762B2F" w:rsidRPr="00762B2F">
        <w:rPr>
          <w:rFonts w:cs="Arial"/>
          <w:i/>
          <w:sz w:val="20"/>
        </w:rPr>
        <w:t xml:space="preserve">, </w:t>
      </w:r>
      <w:r w:rsidR="00762B2F" w:rsidRPr="00762B2F">
        <w:rPr>
          <w:rFonts w:cs="Arial"/>
          <w:sz w:val="20"/>
        </w:rPr>
        <w:t xml:space="preserve">2020 QCTAT 1977, </w:t>
      </w:r>
      <w:r w:rsidR="00377BFB" w:rsidRPr="00377BFB">
        <w:rPr>
          <w:rFonts w:cs="Arial"/>
          <w:i/>
          <w:sz w:val="20"/>
        </w:rPr>
        <w:t xml:space="preserve">Ranallo </w:t>
      </w:r>
      <w:r w:rsidR="00377BFB" w:rsidRPr="00377BFB">
        <w:rPr>
          <w:rFonts w:cs="Arial"/>
          <w:sz w:val="20"/>
        </w:rPr>
        <w:t>et</w:t>
      </w:r>
      <w:r w:rsidR="00377BFB" w:rsidRPr="00377BFB">
        <w:rPr>
          <w:rFonts w:cs="Arial"/>
          <w:i/>
          <w:sz w:val="20"/>
        </w:rPr>
        <w:t xml:space="preserve"> Emballage Hood Corporation</w:t>
      </w:r>
      <w:r w:rsidR="00377BFB" w:rsidRPr="00377BFB">
        <w:rPr>
          <w:rFonts w:cs="Arial"/>
          <w:sz w:val="20"/>
        </w:rPr>
        <w:t>, 2016 QCTAT 6357</w:t>
      </w:r>
      <w:r w:rsidR="00377BFB">
        <w:rPr>
          <w:rFonts w:cs="Arial"/>
          <w:sz w:val="20"/>
        </w:rPr>
        <w:t>.</w:t>
      </w:r>
    </w:p>
  </w:footnote>
  <w:footnote w:id="10">
    <w:p w14:paraId="0E0EE912" w14:textId="77777777" w:rsidR="005104B9" w:rsidRPr="00E949C7" w:rsidRDefault="005104B9" w:rsidP="005104B9">
      <w:pPr>
        <w:pStyle w:val="FootnoteText"/>
        <w:tabs>
          <w:tab w:val="left" w:pos="720"/>
        </w:tabs>
        <w:ind w:left="720" w:hanging="720"/>
        <w:jc w:val="both"/>
        <w:rPr>
          <w:rFonts w:cs="Arial"/>
          <w:sz w:val="20"/>
          <w:lang w:val="en-CA"/>
        </w:rPr>
      </w:pPr>
      <w:r>
        <w:rPr>
          <w:rStyle w:val="FootnoteReference"/>
        </w:rPr>
        <w:footnoteRef/>
      </w:r>
      <w:r w:rsidRPr="00E949C7">
        <w:rPr>
          <w:lang w:val="en-CA"/>
        </w:rPr>
        <w:t xml:space="preserve"> </w:t>
      </w:r>
      <w:r w:rsidRPr="00E949C7">
        <w:rPr>
          <w:rFonts w:cs="Arial"/>
          <w:sz w:val="20"/>
          <w:lang w:val="en-CA"/>
        </w:rPr>
        <w:tab/>
      </w:r>
      <w:r w:rsidR="00986062" w:rsidRPr="00986062">
        <w:rPr>
          <w:rFonts w:cs="Arial"/>
          <w:i/>
          <w:sz w:val="20"/>
          <w:lang w:val="en-CA"/>
        </w:rPr>
        <w:t>Plamondon</w:t>
      </w:r>
      <w:r w:rsidR="00986062">
        <w:rPr>
          <w:rFonts w:cs="Arial"/>
          <w:sz w:val="20"/>
          <w:lang w:val="en-CA"/>
        </w:rPr>
        <w:t xml:space="preserve"> et </w:t>
      </w:r>
      <w:r w:rsidRPr="00E949C7">
        <w:rPr>
          <w:rFonts w:cs="Arial"/>
          <w:i/>
          <w:sz w:val="20"/>
          <w:lang w:val="en-CA"/>
        </w:rPr>
        <w:t xml:space="preserve">G. Doyon TV (Sherbrooke) inc., </w:t>
      </w:r>
      <w:r w:rsidR="00E949C7">
        <w:rPr>
          <w:rFonts w:cs="Arial"/>
          <w:sz w:val="20"/>
          <w:lang w:val="en-CA"/>
        </w:rPr>
        <w:t>2012</w:t>
      </w:r>
      <w:r w:rsidRPr="00E949C7">
        <w:rPr>
          <w:rFonts w:cs="Arial"/>
          <w:sz w:val="20"/>
          <w:lang w:val="en-CA"/>
        </w:rPr>
        <w:t xml:space="preserve"> QCCLP 5203.</w:t>
      </w:r>
    </w:p>
  </w:footnote>
  <w:footnote w:id="11">
    <w:p w14:paraId="6D101175" w14:textId="343D77FF" w:rsidR="00E949C7" w:rsidRPr="00E949C7" w:rsidRDefault="00E949C7" w:rsidP="00E949C7">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071122">
        <w:rPr>
          <w:rFonts w:cs="Arial"/>
          <w:i/>
          <w:sz w:val="20"/>
        </w:rPr>
        <w:t xml:space="preserve">Grondin </w:t>
      </w:r>
      <w:r w:rsidRPr="00071122">
        <w:rPr>
          <w:rFonts w:cs="Arial"/>
          <w:sz w:val="20"/>
        </w:rPr>
        <w:t>et</w:t>
      </w:r>
      <w:r w:rsidRPr="00071122">
        <w:rPr>
          <w:rFonts w:cs="Arial"/>
          <w:i/>
          <w:sz w:val="20"/>
        </w:rPr>
        <w:t xml:space="preserve"> Manac </w:t>
      </w:r>
      <w:proofErr w:type="spellStart"/>
      <w:r w:rsidR="002B767A">
        <w:rPr>
          <w:rFonts w:cs="Arial"/>
          <w:i/>
          <w:sz w:val="20"/>
        </w:rPr>
        <w:t>i</w:t>
      </w:r>
      <w:r w:rsidRPr="00071122">
        <w:rPr>
          <w:rFonts w:cs="Arial"/>
          <w:i/>
          <w:sz w:val="20"/>
        </w:rPr>
        <w:t>nc.</w:t>
      </w:r>
      <w:proofErr w:type="spellEnd"/>
      <w:r w:rsidRPr="00071122">
        <w:rPr>
          <w:rFonts w:cs="Arial"/>
          <w:i/>
          <w:sz w:val="20"/>
        </w:rPr>
        <w:t xml:space="preserve"> – Direction des Ressources Humaines</w:t>
      </w:r>
      <w:r>
        <w:rPr>
          <w:rFonts w:cs="Arial"/>
          <w:sz w:val="20"/>
        </w:rPr>
        <w:t>, 2000 QCCLP 32724</w:t>
      </w:r>
      <w:r w:rsidRPr="00B43B24">
        <w:rPr>
          <w:rFonts w:cs="Arial"/>
          <w:sz w:val="20"/>
        </w:rPr>
        <w:t>,</w:t>
      </w:r>
      <w:r>
        <w:rPr>
          <w:rFonts w:ascii="inherit" w:hAnsi="inherit"/>
          <w:sz w:val="36"/>
          <w:szCs w:val="36"/>
          <w:shd w:val="clear" w:color="auto" w:fill="FFFFFF"/>
        </w:rPr>
        <w:t xml:space="preserve"> </w:t>
      </w:r>
      <w:r w:rsidRPr="00E3613A">
        <w:rPr>
          <w:rFonts w:cs="Arial"/>
          <w:i/>
          <w:sz w:val="20"/>
        </w:rPr>
        <w:t xml:space="preserve">Paradis </w:t>
      </w:r>
      <w:r w:rsidRPr="00E3613A">
        <w:rPr>
          <w:rFonts w:cs="Arial"/>
          <w:sz w:val="20"/>
        </w:rPr>
        <w:t>et</w:t>
      </w:r>
      <w:r w:rsidRPr="00E3613A">
        <w:rPr>
          <w:rFonts w:cs="Arial"/>
          <w:i/>
          <w:sz w:val="20"/>
        </w:rPr>
        <w:t xml:space="preserve"> Groupe </w:t>
      </w:r>
      <w:proofErr w:type="spellStart"/>
      <w:r w:rsidRPr="00E3613A">
        <w:rPr>
          <w:rFonts w:cs="Arial"/>
          <w:i/>
          <w:sz w:val="20"/>
        </w:rPr>
        <w:t>Permacon</w:t>
      </w:r>
      <w:proofErr w:type="spellEnd"/>
      <w:r w:rsidRPr="00E3613A">
        <w:rPr>
          <w:rFonts w:cs="Arial"/>
          <w:i/>
          <w:sz w:val="20"/>
        </w:rPr>
        <w:t xml:space="preserve"> (division Québec)</w:t>
      </w:r>
      <w:r>
        <w:rPr>
          <w:rFonts w:cs="Arial"/>
          <w:sz w:val="20"/>
        </w:rPr>
        <w:t>, 2014</w:t>
      </w:r>
      <w:r w:rsidRPr="00E3613A">
        <w:rPr>
          <w:rFonts w:cs="Arial"/>
          <w:sz w:val="20"/>
        </w:rPr>
        <w:t xml:space="preserve"> </w:t>
      </w:r>
      <w:r>
        <w:rPr>
          <w:rFonts w:cs="Arial"/>
          <w:sz w:val="20"/>
        </w:rPr>
        <w:t>QCCLP 3928</w:t>
      </w:r>
      <w:r w:rsidR="00986062">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A02529" w14:paraId="4B4043C5" w14:textId="77777777" w:rsidTr="00D12027">
      <w:tc>
        <w:tcPr>
          <w:tcW w:w="8730" w:type="dxa"/>
        </w:tcPr>
        <w:p w14:paraId="64C5CEA0" w14:textId="77777777" w:rsidR="00A02529" w:rsidRDefault="00A02529">
          <w:pPr>
            <w:pStyle w:val="Header"/>
            <w:ind w:left="-90"/>
          </w:pPr>
        </w:p>
      </w:tc>
      <w:tc>
        <w:tcPr>
          <w:tcW w:w="860" w:type="dxa"/>
        </w:tcPr>
        <w:p w14:paraId="1394B714" w14:textId="77777777" w:rsidR="00A02529" w:rsidRDefault="00A02529">
          <w:pPr>
            <w:pStyle w:val="Header"/>
            <w:ind w:left="-90"/>
          </w:pPr>
        </w:p>
      </w:tc>
    </w:tr>
    <w:tr w:rsidR="00D12027" w14:paraId="5768AC00" w14:textId="77777777" w:rsidTr="00D12027">
      <w:tc>
        <w:tcPr>
          <w:tcW w:w="8730" w:type="dxa"/>
        </w:tcPr>
        <w:p w14:paraId="7B74BDAC" w14:textId="31279C71" w:rsidR="00D12027" w:rsidRPr="00691D13" w:rsidRDefault="00D12027" w:rsidP="00D12027">
          <w:pPr>
            <w:rPr>
              <w:highlight w:val="yellow"/>
            </w:rPr>
          </w:pPr>
          <w:r w:rsidRPr="00DF7376">
            <w:t>721409-71-1912</w:t>
          </w:r>
          <w:r>
            <w:tab/>
          </w:r>
          <w:r w:rsidRPr="00DF7376">
            <w:t>723366-71-1912</w:t>
          </w:r>
        </w:p>
      </w:tc>
      <w:tc>
        <w:tcPr>
          <w:tcW w:w="860" w:type="dxa"/>
        </w:tcPr>
        <w:p w14:paraId="489D58E9" w14:textId="77777777" w:rsidR="00D12027" w:rsidRDefault="00D12027" w:rsidP="00D12027">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09564F">
            <w:rPr>
              <w:rStyle w:val="PageNumber"/>
              <w:noProof/>
            </w:rPr>
            <w:t>7</w:t>
          </w:r>
          <w:r>
            <w:rPr>
              <w:rStyle w:val="PageNumber"/>
            </w:rPr>
            <w:fldChar w:fldCharType="end"/>
          </w:r>
        </w:p>
      </w:tc>
    </w:tr>
    <w:tr w:rsidR="00D12027" w14:paraId="3318DD6A" w14:textId="77777777" w:rsidTr="00D12027">
      <w:tc>
        <w:tcPr>
          <w:tcW w:w="8730" w:type="dxa"/>
        </w:tcPr>
        <w:p w14:paraId="659B4F2B" w14:textId="77777777" w:rsidR="00D12027" w:rsidRDefault="00D12027" w:rsidP="00D12027"/>
      </w:tc>
      <w:tc>
        <w:tcPr>
          <w:tcW w:w="860" w:type="dxa"/>
        </w:tcPr>
        <w:p w14:paraId="1239164A" w14:textId="77777777" w:rsidR="00D12027" w:rsidRDefault="00D12027" w:rsidP="00D12027">
          <w:pPr>
            <w:pStyle w:val="Header"/>
            <w:ind w:left="-90"/>
            <w:jc w:val="right"/>
          </w:pPr>
        </w:p>
      </w:tc>
    </w:tr>
  </w:tbl>
  <w:p w14:paraId="5BF2FEC0" w14:textId="77777777" w:rsidR="00A02529" w:rsidRDefault="00A0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4"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379329314">
    <w:abstractNumId w:val="3"/>
  </w:num>
  <w:num w:numId="2" w16cid:durableId="664017740">
    <w:abstractNumId w:val="2"/>
  </w:num>
  <w:num w:numId="3" w16cid:durableId="325595050">
    <w:abstractNumId w:val="1"/>
  </w:num>
  <w:num w:numId="4" w16cid:durableId="841893139">
    <w:abstractNumId w:val="0"/>
  </w:num>
  <w:num w:numId="5" w16cid:durableId="843276376">
    <w:abstractNumId w:val="4"/>
  </w:num>
  <w:num w:numId="6" w16cid:durableId="1089886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13"/>
    <w:rsid w:val="000034B0"/>
    <w:rsid w:val="000041A1"/>
    <w:rsid w:val="00021B30"/>
    <w:rsid w:val="00021E4C"/>
    <w:rsid w:val="00022556"/>
    <w:rsid w:val="00026101"/>
    <w:rsid w:val="000366EC"/>
    <w:rsid w:val="00036D47"/>
    <w:rsid w:val="000424E7"/>
    <w:rsid w:val="00043E4D"/>
    <w:rsid w:val="000454E2"/>
    <w:rsid w:val="00045CD5"/>
    <w:rsid w:val="00056393"/>
    <w:rsid w:val="000634E5"/>
    <w:rsid w:val="00071122"/>
    <w:rsid w:val="0007225E"/>
    <w:rsid w:val="00073489"/>
    <w:rsid w:val="00073CD2"/>
    <w:rsid w:val="00076D81"/>
    <w:rsid w:val="0008378A"/>
    <w:rsid w:val="0008625F"/>
    <w:rsid w:val="0008784D"/>
    <w:rsid w:val="00090018"/>
    <w:rsid w:val="00090306"/>
    <w:rsid w:val="00090FC7"/>
    <w:rsid w:val="0009227F"/>
    <w:rsid w:val="00093ACD"/>
    <w:rsid w:val="0009564F"/>
    <w:rsid w:val="00095814"/>
    <w:rsid w:val="00097D81"/>
    <w:rsid w:val="000A4AD0"/>
    <w:rsid w:val="000A77C5"/>
    <w:rsid w:val="000B6E36"/>
    <w:rsid w:val="000B7F1B"/>
    <w:rsid w:val="000D3948"/>
    <w:rsid w:val="000D7AED"/>
    <w:rsid w:val="000E0C28"/>
    <w:rsid w:val="000E1320"/>
    <w:rsid w:val="000E56A6"/>
    <w:rsid w:val="000E6A93"/>
    <w:rsid w:val="000E75ED"/>
    <w:rsid w:val="000F274C"/>
    <w:rsid w:val="000F3423"/>
    <w:rsid w:val="000F77C4"/>
    <w:rsid w:val="00100778"/>
    <w:rsid w:val="001018BC"/>
    <w:rsid w:val="001050B4"/>
    <w:rsid w:val="0012224D"/>
    <w:rsid w:val="00122531"/>
    <w:rsid w:val="001225BC"/>
    <w:rsid w:val="00122A9E"/>
    <w:rsid w:val="00122B59"/>
    <w:rsid w:val="0012326A"/>
    <w:rsid w:val="00125090"/>
    <w:rsid w:val="001407FC"/>
    <w:rsid w:val="00144A1D"/>
    <w:rsid w:val="00147A49"/>
    <w:rsid w:val="00147B8B"/>
    <w:rsid w:val="00150BAC"/>
    <w:rsid w:val="0015125A"/>
    <w:rsid w:val="00152464"/>
    <w:rsid w:val="001543FB"/>
    <w:rsid w:val="0015539F"/>
    <w:rsid w:val="00160597"/>
    <w:rsid w:val="0016401E"/>
    <w:rsid w:val="001664C8"/>
    <w:rsid w:val="00167AD0"/>
    <w:rsid w:val="00170F15"/>
    <w:rsid w:val="00172D27"/>
    <w:rsid w:val="00173184"/>
    <w:rsid w:val="00175079"/>
    <w:rsid w:val="00182AA1"/>
    <w:rsid w:val="00183515"/>
    <w:rsid w:val="00187C88"/>
    <w:rsid w:val="001A03BE"/>
    <w:rsid w:val="001A067E"/>
    <w:rsid w:val="001A2900"/>
    <w:rsid w:val="001A4081"/>
    <w:rsid w:val="001A5AF4"/>
    <w:rsid w:val="001A6436"/>
    <w:rsid w:val="001A65F1"/>
    <w:rsid w:val="001B20F7"/>
    <w:rsid w:val="001B2B40"/>
    <w:rsid w:val="001B3E9D"/>
    <w:rsid w:val="001B4542"/>
    <w:rsid w:val="001B4A40"/>
    <w:rsid w:val="001C0A60"/>
    <w:rsid w:val="001C2B0B"/>
    <w:rsid w:val="001C2B6E"/>
    <w:rsid w:val="001C5FEC"/>
    <w:rsid w:val="001D1A13"/>
    <w:rsid w:val="001D22C2"/>
    <w:rsid w:val="001D250B"/>
    <w:rsid w:val="001E54D1"/>
    <w:rsid w:val="001E5D08"/>
    <w:rsid w:val="00205F7A"/>
    <w:rsid w:val="0021150B"/>
    <w:rsid w:val="002134D0"/>
    <w:rsid w:val="002142B9"/>
    <w:rsid w:val="00214958"/>
    <w:rsid w:val="00215449"/>
    <w:rsid w:val="0022264A"/>
    <w:rsid w:val="00227040"/>
    <w:rsid w:val="00230CFC"/>
    <w:rsid w:val="00231C1D"/>
    <w:rsid w:val="00241CED"/>
    <w:rsid w:val="00242FB4"/>
    <w:rsid w:val="00245138"/>
    <w:rsid w:val="002453E3"/>
    <w:rsid w:val="00245605"/>
    <w:rsid w:val="002563F0"/>
    <w:rsid w:val="00266064"/>
    <w:rsid w:val="00267C8D"/>
    <w:rsid w:val="002701DD"/>
    <w:rsid w:val="00270827"/>
    <w:rsid w:val="0027181E"/>
    <w:rsid w:val="00272168"/>
    <w:rsid w:val="002738B3"/>
    <w:rsid w:val="002769B5"/>
    <w:rsid w:val="00276B59"/>
    <w:rsid w:val="002778BA"/>
    <w:rsid w:val="00281319"/>
    <w:rsid w:val="00286149"/>
    <w:rsid w:val="00286262"/>
    <w:rsid w:val="0028668D"/>
    <w:rsid w:val="00290289"/>
    <w:rsid w:val="00296645"/>
    <w:rsid w:val="00296A4B"/>
    <w:rsid w:val="00297284"/>
    <w:rsid w:val="002978BC"/>
    <w:rsid w:val="002A0077"/>
    <w:rsid w:val="002A374B"/>
    <w:rsid w:val="002A6932"/>
    <w:rsid w:val="002A6C10"/>
    <w:rsid w:val="002A73E9"/>
    <w:rsid w:val="002B0C08"/>
    <w:rsid w:val="002B1904"/>
    <w:rsid w:val="002B2FC3"/>
    <w:rsid w:val="002B35F0"/>
    <w:rsid w:val="002B4CF1"/>
    <w:rsid w:val="002B5023"/>
    <w:rsid w:val="002B58AF"/>
    <w:rsid w:val="002B767A"/>
    <w:rsid w:val="002C3748"/>
    <w:rsid w:val="002C5E89"/>
    <w:rsid w:val="002D1643"/>
    <w:rsid w:val="002D3AD5"/>
    <w:rsid w:val="002D71A9"/>
    <w:rsid w:val="002E199B"/>
    <w:rsid w:val="002F45D5"/>
    <w:rsid w:val="002F661A"/>
    <w:rsid w:val="002F7507"/>
    <w:rsid w:val="00302FB4"/>
    <w:rsid w:val="00305273"/>
    <w:rsid w:val="003057FC"/>
    <w:rsid w:val="00307C85"/>
    <w:rsid w:val="00312983"/>
    <w:rsid w:val="003211E2"/>
    <w:rsid w:val="003248CB"/>
    <w:rsid w:val="00326A62"/>
    <w:rsid w:val="00331EA7"/>
    <w:rsid w:val="003332B8"/>
    <w:rsid w:val="00344465"/>
    <w:rsid w:val="0034740A"/>
    <w:rsid w:val="0035080D"/>
    <w:rsid w:val="0035375B"/>
    <w:rsid w:val="00356567"/>
    <w:rsid w:val="003664E9"/>
    <w:rsid w:val="00366D1E"/>
    <w:rsid w:val="00371A6D"/>
    <w:rsid w:val="00372705"/>
    <w:rsid w:val="00373EE5"/>
    <w:rsid w:val="00377BFB"/>
    <w:rsid w:val="003817E7"/>
    <w:rsid w:val="00382E55"/>
    <w:rsid w:val="00390427"/>
    <w:rsid w:val="0039336C"/>
    <w:rsid w:val="003961B2"/>
    <w:rsid w:val="003A3837"/>
    <w:rsid w:val="003A41AD"/>
    <w:rsid w:val="003A4816"/>
    <w:rsid w:val="003A7200"/>
    <w:rsid w:val="003B00D2"/>
    <w:rsid w:val="003B152B"/>
    <w:rsid w:val="003B1734"/>
    <w:rsid w:val="003B1735"/>
    <w:rsid w:val="003B6CBF"/>
    <w:rsid w:val="003B6F33"/>
    <w:rsid w:val="003C47A7"/>
    <w:rsid w:val="003D0826"/>
    <w:rsid w:val="003D3C93"/>
    <w:rsid w:val="003D7174"/>
    <w:rsid w:val="003E00D5"/>
    <w:rsid w:val="003E02BA"/>
    <w:rsid w:val="003F7AC7"/>
    <w:rsid w:val="003F7F38"/>
    <w:rsid w:val="00403399"/>
    <w:rsid w:val="0040399B"/>
    <w:rsid w:val="00406F0C"/>
    <w:rsid w:val="00412585"/>
    <w:rsid w:val="0041363B"/>
    <w:rsid w:val="00415D5D"/>
    <w:rsid w:val="00422253"/>
    <w:rsid w:val="0042650F"/>
    <w:rsid w:val="00427F10"/>
    <w:rsid w:val="00431E0B"/>
    <w:rsid w:val="004337FE"/>
    <w:rsid w:val="00433E98"/>
    <w:rsid w:val="00435738"/>
    <w:rsid w:val="00437137"/>
    <w:rsid w:val="004403B8"/>
    <w:rsid w:val="00441ADA"/>
    <w:rsid w:val="004420C6"/>
    <w:rsid w:val="0044371C"/>
    <w:rsid w:val="0044627E"/>
    <w:rsid w:val="00447BF3"/>
    <w:rsid w:val="0045114F"/>
    <w:rsid w:val="004529D3"/>
    <w:rsid w:val="00453F31"/>
    <w:rsid w:val="00456B0C"/>
    <w:rsid w:val="0046538B"/>
    <w:rsid w:val="00466088"/>
    <w:rsid w:val="0046701F"/>
    <w:rsid w:val="0047103C"/>
    <w:rsid w:val="00471C92"/>
    <w:rsid w:val="0047398E"/>
    <w:rsid w:val="004739AC"/>
    <w:rsid w:val="00475FEF"/>
    <w:rsid w:val="0047776F"/>
    <w:rsid w:val="0048431A"/>
    <w:rsid w:val="004869C6"/>
    <w:rsid w:val="004870EA"/>
    <w:rsid w:val="00487F13"/>
    <w:rsid w:val="00492A77"/>
    <w:rsid w:val="00493AD7"/>
    <w:rsid w:val="00496193"/>
    <w:rsid w:val="004A02AF"/>
    <w:rsid w:val="004A679B"/>
    <w:rsid w:val="004B02A2"/>
    <w:rsid w:val="004C0FB4"/>
    <w:rsid w:val="004C1811"/>
    <w:rsid w:val="004C2EC2"/>
    <w:rsid w:val="004C4555"/>
    <w:rsid w:val="004D116E"/>
    <w:rsid w:val="004D242E"/>
    <w:rsid w:val="004D4FEA"/>
    <w:rsid w:val="004D6CEA"/>
    <w:rsid w:val="004E3564"/>
    <w:rsid w:val="004E51C0"/>
    <w:rsid w:val="004E64BE"/>
    <w:rsid w:val="004F4AD4"/>
    <w:rsid w:val="00503B8D"/>
    <w:rsid w:val="00503EE3"/>
    <w:rsid w:val="00504779"/>
    <w:rsid w:val="00505811"/>
    <w:rsid w:val="00505CF6"/>
    <w:rsid w:val="005104B9"/>
    <w:rsid w:val="00511A8C"/>
    <w:rsid w:val="00512793"/>
    <w:rsid w:val="00515DE7"/>
    <w:rsid w:val="00517EB0"/>
    <w:rsid w:val="005205CB"/>
    <w:rsid w:val="005352F1"/>
    <w:rsid w:val="00540094"/>
    <w:rsid w:val="005408EF"/>
    <w:rsid w:val="00541123"/>
    <w:rsid w:val="00542061"/>
    <w:rsid w:val="00543CB8"/>
    <w:rsid w:val="00545CFF"/>
    <w:rsid w:val="00552471"/>
    <w:rsid w:val="00554554"/>
    <w:rsid w:val="005546FC"/>
    <w:rsid w:val="00555800"/>
    <w:rsid w:val="00556DBB"/>
    <w:rsid w:val="00560781"/>
    <w:rsid w:val="0056268F"/>
    <w:rsid w:val="005662E9"/>
    <w:rsid w:val="005713E8"/>
    <w:rsid w:val="00572AAF"/>
    <w:rsid w:val="005801AE"/>
    <w:rsid w:val="005809AE"/>
    <w:rsid w:val="00582868"/>
    <w:rsid w:val="005829B1"/>
    <w:rsid w:val="00582ECC"/>
    <w:rsid w:val="0058399B"/>
    <w:rsid w:val="0058625E"/>
    <w:rsid w:val="0058692F"/>
    <w:rsid w:val="00587045"/>
    <w:rsid w:val="00587C22"/>
    <w:rsid w:val="005926FE"/>
    <w:rsid w:val="005931A5"/>
    <w:rsid w:val="0059436D"/>
    <w:rsid w:val="005945C0"/>
    <w:rsid w:val="00597016"/>
    <w:rsid w:val="005974B7"/>
    <w:rsid w:val="005A0D51"/>
    <w:rsid w:val="005A181B"/>
    <w:rsid w:val="005A1CB3"/>
    <w:rsid w:val="005A3073"/>
    <w:rsid w:val="005A33A5"/>
    <w:rsid w:val="005A70A0"/>
    <w:rsid w:val="005B0612"/>
    <w:rsid w:val="005B13F0"/>
    <w:rsid w:val="005B2B91"/>
    <w:rsid w:val="005B30F6"/>
    <w:rsid w:val="005B45BA"/>
    <w:rsid w:val="005B5689"/>
    <w:rsid w:val="005B6774"/>
    <w:rsid w:val="005C0A89"/>
    <w:rsid w:val="005C3BC4"/>
    <w:rsid w:val="005C5C7D"/>
    <w:rsid w:val="005D59B1"/>
    <w:rsid w:val="005D764B"/>
    <w:rsid w:val="005E2367"/>
    <w:rsid w:val="005E5E90"/>
    <w:rsid w:val="005E654C"/>
    <w:rsid w:val="005E7591"/>
    <w:rsid w:val="005F05F6"/>
    <w:rsid w:val="005F2808"/>
    <w:rsid w:val="0060227A"/>
    <w:rsid w:val="006049C8"/>
    <w:rsid w:val="00605734"/>
    <w:rsid w:val="0060586F"/>
    <w:rsid w:val="0061488E"/>
    <w:rsid w:val="0061574B"/>
    <w:rsid w:val="00620286"/>
    <w:rsid w:val="00622670"/>
    <w:rsid w:val="00623A1A"/>
    <w:rsid w:val="00624509"/>
    <w:rsid w:val="00626E8D"/>
    <w:rsid w:val="006318D9"/>
    <w:rsid w:val="00632DA8"/>
    <w:rsid w:val="00634E6E"/>
    <w:rsid w:val="00637A26"/>
    <w:rsid w:val="0064342A"/>
    <w:rsid w:val="00643A28"/>
    <w:rsid w:val="006452FA"/>
    <w:rsid w:val="0065093D"/>
    <w:rsid w:val="00652864"/>
    <w:rsid w:val="0065346A"/>
    <w:rsid w:val="00655193"/>
    <w:rsid w:val="00655459"/>
    <w:rsid w:val="00656FB2"/>
    <w:rsid w:val="00661454"/>
    <w:rsid w:val="0066642D"/>
    <w:rsid w:val="00675E85"/>
    <w:rsid w:val="0067750F"/>
    <w:rsid w:val="0068401E"/>
    <w:rsid w:val="006841A4"/>
    <w:rsid w:val="00685FEE"/>
    <w:rsid w:val="0068643F"/>
    <w:rsid w:val="006877A1"/>
    <w:rsid w:val="006907B8"/>
    <w:rsid w:val="00691D13"/>
    <w:rsid w:val="00692150"/>
    <w:rsid w:val="00692F0C"/>
    <w:rsid w:val="006948CD"/>
    <w:rsid w:val="00696E7C"/>
    <w:rsid w:val="00697F3B"/>
    <w:rsid w:val="006A0C54"/>
    <w:rsid w:val="006A6930"/>
    <w:rsid w:val="006A7C53"/>
    <w:rsid w:val="006B14BE"/>
    <w:rsid w:val="006B309C"/>
    <w:rsid w:val="006B727F"/>
    <w:rsid w:val="006C58EF"/>
    <w:rsid w:val="006C6D3A"/>
    <w:rsid w:val="006C7B36"/>
    <w:rsid w:val="006C7B7F"/>
    <w:rsid w:val="006D19E8"/>
    <w:rsid w:val="006D67E8"/>
    <w:rsid w:val="006E04B5"/>
    <w:rsid w:val="006E330C"/>
    <w:rsid w:val="006E3DD8"/>
    <w:rsid w:val="006E793F"/>
    <w:rsid w:val="006F0154"/>
    <w:rsid w:val="006F7944"/>
    <w:rsid w:val="00704121"/>
    <w:rsid w:val="00705BB5"/>
    <w:rsid w:val="0071326F"/>
    <w:rsid w:val="00713DFD"/>
    <w:rsid w:val="007153D7"/>
    <w:rsid w:val="00720ED4"/>
    <w:rsid w:val="00722905"/>
    <w:rsid w:val="007302DF"/>
    <w:rsid w:val="00730DF2"/>
    <w:rsid w:val="00732D95"/>
    <w:rsid w:val="00734243"/>
    <w:rsid w:val="00736675"/>
    <w:rsid w:val="00737E16"/>
    <w:rsid w:val="007418A2"/>
    <w:rsid w:val="0074488F"/>
    <w:rsid w:val="00745AA8"/>
    <w:rsid w:val="007510EC"/>
    <w:rsid w:val="0075233C"/>
    <w:rsid w:val="0075256A"/>
    <w:rsid w:val="0075527A"/>
    <w:rsid w:val="007569DE"/>
    <w:rsid w:val="0075723C"/>
    <w:rsid w:val="00762B2F"/>
    <w:rsid w:val="00765477"/>
    <w:rsid w:val="007736B6"/>
    <w:rsid w:val="00775D10"/>
    <w:rsid w:val="00782C8F"/>
    <w:rsid w:val="00783068"/>
    <w:rsid w:val="00785F78"/>
    <w:rsid w:val="0078659D"/>
    <w:rsid w:val="007869EC"/>
    <w:rsid w:val="00791B32"/>
    <w:rsid w:val="0079598B"/>
    <w:rsid w:val="007A1E58"/>
    <w:rsid w:val="007A3200"/>
    <w:rsid w:val="007A3732"/>
    <w:rsid w:val="007A5C7E"/>
    <w:rsid w:val="007A6E2F"/>
    <w:rsid w:val="007B0873"/>
    <w:rsid w:val="007B3BC5"/>
    <w:rsid w:val="007B565D"/>
    <w:rsid w:val="007C21BD"/>
    <w:rsid w:val="007C61F1"/>
    <w:rsid w:val="007C6B12"/>
    <w:rsid w:val="007D03DF"/>
    <w:rsid w:val="007D171E"/>
    <w:rsid w:val="007D3B63"/>
    <w:rsid w:val="007D424A"/>
    <w:rsid w:val="007D4953"/>
    <w:rsid w:val="007D50F4"/>
    <w:rsid w:val="007D7173"/>
    <w:rsid w:val="007E1216"/>
    <w:rsid w:val="007E4A27"/>
    <w:rsid w:val="007E4CD4"/>
    <w:rsid w:val="007E5513"/>
    <w:rsid w:val="007F007D"/>
    <w:rsid w:val="007F0E8E"/>
    <w:rsid w:val="007F6EDA"/>
    <w:rsid w:val="008079DD"/>
    <w:rsid w:val="0081130F"/>
    <w:rsid w:val="0081796B"/>
    <w:rsid w:val="00824430"/>
    <w:rsid w:val="00825B1F"/>
    <w:rsid w:val="00827D55"/>
    <w:rsid w:val="00840747"/>
    <w:rsid w:val="00840EDD"/>
    <w:rsid w:val="0084255F"/>
    <w:rsid w:val="008451D6"/>
    <w:rsid w:val="00853AA1"/>
    <w:rsid w:val="00854FB3"/>
    <w:rsid w:val="00860B0E"/>
    <w:rsid w:val="00860F13"/>
    <w:rsid w:val="008610D3"/>
    <w:rsid w:val="00861F8B"/>
    <w:rsid w:val="0086561F"/>
    <w:rsid w:val="00865FE1"/>
    <w:rsid w:val="008676C2"/>
    <w:rsid w:val="00874113"/>
    <w:rsid w:val="008748C7"/>
    <w:rsid w:val="00874C98"/>
    <w:rsid w:val="0087521A"/>
    <w:rsid w:val="008808C0"/>
    <w:rsid w:val="00887C3F"/>
    <w:rsid w:val="00890BDE"/>
    <w:rsid w:val="008911F1"/>
    <w:rsid w:val="008962E7"/>
    <w:rsid w:val="008A1118"/>
    <w:rsid w:val="008A281F"/>
    <w:rsid w:val="008A48D2"/>
    <w:rsid w:val="008A4AF6"/>
    <w:rsid w:val="008A4FF8"/>
    <w:rsid w:val="008A5ED1"/>
    <w:rsid w:val="008A7FD1"/>
    <w:rsid w:val="008B042E"/>
    <w:rsid w:val="008B211E"/>
    <w:rsid w:val="008B5F58"/>
    <w:rsid w:val="008B6D48"/>
    <w:rsid w:val="008C7660"/>
    <w:rsid w:val="008C79A7"/>
    <w:rsid w:val="008D49D0"/>
    <w:rsid w:val="008D555F"/>
    <w:rsid w:val="008D625D"/>
    <w:rsid w:val="008D650E"/>
    <w:rsid w:val="008E6268"/>
    <w:rsid w:val="008E6A41"/>
    <w:rsid w:val="008F26C9"/>
    <w:rsid w:val="008F57B0"/>
    <w:rsid w:val="008F7F4B"/>
    <w:rsid w:val="0090308F"/>
    <w:rsid w:val="00903990"/>
    <w:rsid w:val="00903E53"/>
    <w:rsid w:val="00904089"/>
    <w:rsid w:val="00904950"/>
    <w:rsid w:val="00907A40"/>
    <w:rsid w:val="00910240"/>
    <w:rsid w:val="0091030A"/>
    <w:rsid w:val="00912273"/>
    <w:rsid w:val="00912A7C"/>
    <w:rsid w:val="00915E5E"/>
    <w:rsid w:val="009166B8"/>
    <w:rsid w:val="00922DB7"/>
    <w:rsid w:val="009234A1"/>
    <w:rsid w:val="00926358"/>
    <w:rsid w:val="0092684A"/>
    <w:rsid w:val="00931C40"/>
    <w:rsid w:val="009341C3"/>
    <w:rsid w:val="00935444"/>
    <w:rsid w:val="00937FAB"/>
    <w:rsid w:val="00940595"/>
    <w:rsid w:val="0094094D"/>
    <w:rsid w:val="00942AB8"/>
    <w:rsid w:val="009447A5"/>
    <w:rsid w:val="00945CAF"/>
    <w:rsid w:val="00947448"/>
    <w:rsid w:val="00952B38"/>
    <w:rsid w:val="00952C99"/>
    <w:rsid w:val="00965333"/>
    <w:rsid w:val="009712EF"/>
    <w:rsid w:val="009727BF"/>
    <w:rsid w:val="00973321"/>
    <w:rsid w:val="00975C2E"/>
    <w:rsid w:val="00977270"/>
    <w:rsid w:val="0098043E"/>
    <w:rsid w:val="00982097"/>
    <w:rsid w:val="009824F2"/>
    <w:rsid w:val="00983080"/>
    <w:rsid w:val="00986062"/>
    <w:rsid w:val="00986AA3"/>
    <w:rsid w:val="00993B24"/>
    <w:rsid w:val="0099611F"/>
    <w:rsid w:val="0099726C"/>
    <w:rsid w:val="009A083F"/>
    <w:rsid w:val="009A0BDA"/>
    <w:rsid w:val="009A135C"/>
    <w:rsid w:val="009A67E7"/>
    <w:rsid w:val="009A7C0D"/>
    <w:rsid w:val="009B29ED"/>
    <w:rsid w:val="009C0E19"/>
    <w:rsid w:val="009C603A"/>
    <w:rsid w:val="009C74CD"/>
    <w:rsid w:val="009D048F"/>
    <w:rsid w:val="009D266A"/>
    <w:rsid w:val="009D401F"/>
    <w:rsid w:val="009D68FA"/>
    <w:rsid w:val="009E13EC"/>
    <w:rsid w:val="009E32CF"/>
    <w:rsid w:val="009E4FC2"/>
    <w:rsid w:val="009F44AE"/>
    <w:rsid w:val="009F7F62"/>
    <w:rsid w:val="00A01DCE"/>
    <w:rsid w:val="00A023EE"/>
    <w:rsid w:val="00A02529"/>
    <w:rsid w:val="00A02EF2"/>
    <w:rsid w:val="00A04912"/>
    <w:rsid w:val="00A04D5E"/>
    <w:rsid w:val="00A10DDF"/>
    <w:rsid w:val="00A11172"/>
    <w:rsid w:val="00A12E55"/>
    <w:rsid w:val="00A20605"/>
    <w:rsid w:val="00A20B57"/>
    <w:rsid w:val="00A242E4"/>
    <w:rsid w:val="00A24437"/>
    <w:rsid w:val="00A24CA0"/>
    <w:rsid w:val="00A258D9"/>
    <w:rsid w:val="00A3362A"/>
    <w:rsid w:val="00A36DB2"/>
    <w:rsid w:val="00A37B70"/>
    <w:rsid w:val="00A40AC7"/>
    <w:rsid w:val="00A40D7D"/>
    <w:rsid w:val="00A435C7"/>
    <w:rsid w:val="00A46846"/>
    <w:rsid w:val="00A540D8"/>
    <w:rsid w:val="00A555D9"/>
    <w:rsid w:val="00A5627E"/>
    <w:rsid w:val="00A569B2"/>
    <w:rsid w:val="00A611A4"/>
    <w:rsid w:val="00A64B4B"/>
    <w:rsid w:val="00A6695B"/>
    <w:rsid w:val="00A72169"/>
    <w:rsid w:val="00A721D6"/>
    <w:rsid w:val="00A72703"/>
    <w:rsid w:val="00A72706"/>
    <w:rsid w:val="00A727F6"/>
    <w:rsid w:val="00A72E71"/>
    <w:rsid w:val="00A76432"/>
    <w:rsid w:val="00A83019"/>
    <w:rsid w:val="00A84FC6"/>
    <w:rsid w:val="00A8528E"/>
    <w:rsid w:val="00A867C8"/>
    <w:rsid w:val="00A94A49"/>
    <w:rsid w:val="00A976AD"/>
    <w:rsid w:val="00AA1815"/>
    <w:rsid w:val="00AA1D3E"/>
    <w:rsid w:val="00AA39F9"/>
    <w:rsid w:val="00AA72B9"/>
    <w:rsid w:val="00AB0931"/>
    <w:rsid w:val="00AB10F2"/>
    <w:rsid w:val="00AB5C9B"/>
    <w:rsid w:val="00AC0276"/>
    <w:rsid w:val="00AC0312"/>
    <w:rsid w:val="00AC0449"/>
    <w:rsid w:val="00AC3ECB"/>
    <w:rsid w:val="00AD0DC8"/>
    <w:rsid w:val="00AD2497"/>
    <w:rsid w:val="00AD31F2"/>
    <w:rsid w:val="00AD5EB4"/>
    <w:rsid w:val="00AE2858"/>
    <w:rsid w:val="00AE63E2"/>
    <w:rsid w:val="00AF04C9"/>
    <w:rsid w:val="00AF1755"/>
    <w:rsid w:val="00AF26B6"/>
    <w:rsid w:val="00AF2979"/>
    <w:rsid w:val="00AF6B7D"/>
    <w:rsid w:val="00B0375C"/>
    <w:rsid w:val="00B052CB"/>
    <w:rsid w:val="00B05A8F"/>
    <w:rsid w:val="00B14FD7"/>
    <w:rsid w:val="00B156C3"/>
    <w:rsid w:val="00B15F67"/>
    <w:rsid w:val="00B1624F"/>
    <w:rsid w:val="00B20E25"/>
    <w:rsid w:val="00B21A87"/>
    <w:rsid w:val="00B224C5"/>
    <w:rsid w:val="00B25F1D"/>
    <w:rsid w:val="00B325CD"/>
    <w:rsid w:val="00B327A5"/>
    <w:rsid w:val="00B33E89"/>
    <w:rsid w:val="00B40C33"/>
    <w:rsid w:val="00B42065"/>
    <w:rsid w:val="00B43B24"/>
    <w:rsid w:val="00B4768D"/>
    <w:rsid w:val="00B518E5"/>
    <w:rsid w:val="00B51E1F"/>
    <w:rsid w:val="00B53038"/>
    <w:rsid w:val="00B56D74"/>
    <w:rsid w:val="00B600B0"/>
    <w:rsid w:val="00B60222"/>
    <w:rsid w:val="00B62CFB"/>
    <w:rsid w:val="00B63CAD"/>
    <w:rsid w:val="00B6502A"/>
    <w:rsid w:val="00B662F5"/>
    <w:rsid w:val="00B7000C"/>
    <w:rsid w:val="00B72093"/>
    <w:rsid w:val="00B75265"/>
    <w:rsid w:val="00B760D5"/>
    <w:rsid w:val="00B76F43"/>
    <w:rsid w:val="00B83B2C"/>
    <w:rsid w:val="00B9050C"/>
    <w:rsid w:val="00B938E4"/>
    <w:rsid w:val="00B9401D"/>
    <w:rsid w:val="00B94740"/>
    <w:rsid w:val="00B97F75"/>
    <w:rsid w:val="00BA1CAE"/>
    <w:rsid w:val="00BA33BB"/>
    <w:rsid w:val="00BA4830"/>
    <w:rsid w:val="00BA4D10"/>
    <w:rsid w:val="00BA6E22"/>
    <w:rsid w:val="00BB362C"/>
    <w:rsid w:val="00BC0A03"/>
    <w:rsid w:val="00BC59F1"/>
    <w:rsid w:val="00BD06B9"/>
    <w:rsid w:val="00BD4139"/>
    <w:rsid w:val="00BE059A"/>
    <w:rsid w:val="00BE1981"/>
    <w:rsid w:val="00BE2127"/>
    <w:rsid w:val="00BE2FE9"/>
    <w:rsid w:val="00BE56E9"/>
    <w:rsid w:val="00BE63CF"/>
    <w:rsid w:val="00BE7014"/>
    <w:rsid w:val="00BF25C7"/>
    <w:rsid w:val="00C009B7"/>
    <w:rsid w:val="00C02A81"/>
    <w:rsid w:val="00C04E32"/>
    <w:rsid w:val="00C10CE3"/>
    <w:rsid w:val="00C13911"/>
    <w:rsid w:val="00C15A3F"/>
    <w:rsid w:val="00C20630"/>
    <w:rsid w:val="00C22F7A"/>
    <w:rsid w:val="00C24603"/>
    <w:rsid w:val="00C24AA4"/>
    <w:rsid w:val="00C2666F"/>
    <w:rsid w:val="00C3065E"/>
    <w:rsid w:val="00C32020"/>
    <w:rsid w:val="00C3408C"/>
    <w:rsid w:val="00C34382"/>
    <w:rsid w:val="00C351CC"/>
    <w:rsid w:val="00C35435"/>
    <w:rsid w:val="00C3681D"/>
    <w:rsid w:val="00C401E7"/>
    <w:rsid w:val="00C432FD"/>
    <w:rsid w:val="00C43CDF"/>
    <w:rsid w:val="00C472FD"/>
    <w:rsid w:val="00C512B2"/>
    <w:rsid w:val="00C54D36"/>
    <w:rsid w:val="00C56B22"/>
    <w:rsid w:val="00C62B69"/>
    <w:rsid w:val="00C62CB2"/>
    <w:rsid w:val="00C644B7"/>
    <w:rsid w:val="00C64564"/>
    <w:rsid w:val="00C707DC"/>
    <w:rsid w:val="00C73C87"/>
    <w:rsid w:val="00C74B6F"/>
    <w:rsid w:val="00C87EF3"/>
    <w:rsid w:val="00C9015F"/>
    <w:rsid w:val="00C912F9"/>
    <w:rsid w:val="00C9241B"/>
    <w:rsid w:val="00C966CB"/>
    <w:rsid w:val="00C96A5D"/>
    <w:rsid w:val="00C97569"/>
    <w:rsid w:val="00CA199D"/>
    <w:rsid w:val="00CA27E8"/>
    <w:rsid w:val="00CA339E"/>
    <w:rsid w:val="00CA34F6"/>
    <w:rsid w:val="00CA4D9C"/>
    <w:rsid w:val="00CA52CB"/>
    <w:rsid w:val="00CA7645"/>
    <w:rsid w:val="00CB05A7"/>
    <w:rsid w:val="00CB06A4"/>
    <w:rsid w:val="00CB325B"/>
    <w:rsid w:val="00CB64FF"/>
    <w:rsid w:val="00CB7078"/>
    <w:rsid w:val="00CC014B"/>
    <w:rsid w:val="00CC21D8"/>
    <w:rsid w:val="00CC3369"/>
    <w:rsid w:val="00CC5343"/>
    <w:rsid w:val="00CC78DE"/>
    <w:rsid w:val="00CD0F93"/>
    <w:rsid w:val="00CD4495"/>
    <w:rsid w:val="00CD6D6E"/>
    <w:rsid w:val="00CD6F23"/>
    <w:rsid w:val="00CE1E78"/>
    <w:rsid w:val="00CE23B0"/>
    <w:rsid w:val="00CF640B"/>
    <w:rsid w:val="00D0113A"/>
    <w:rsid w:val="00D027AF"/>
    <w:rsid w:val="00D06652"/>
    <w:rsid w:val="00D07FA6"/>
    <w:rsid w:val="00D10EA2"/>
    <w:rsid w:val="00D11359"/>
    <w:rsid w:val="00D12027"/>
    <w:rsid w:val="00D16DA0"/>
    <w:rsid w:val="00D17C53"/>
    <w:rsid w:val="00D17D57"/>
    <w:rsid w:val="00D2341D"/>
    <w:rsid w:val="00D25E0E"/>
    <w:rsid w:val="00D302EB"/>
    <w:rsid w:val="00D31679"/>
    <w:rsid w:val="00D320C8"/>
    <w:rsid w:val="00D3672F"/>
    <w:rsid w:val="00D4027D"/>
    <w:rsid w:val="00D40ABA"/>
    <w:rsid w:val="00D40FE2"/>
    <w:rsid w:val="00D440FA"/>
    <w:rsid w:val="00D44305"/>
    <w:rsid w:val="00D44BCF"/>
    <w:rsid w:val="00D46E73"/>
    <w:rsid w:val="00D525D2"/>
    <w:rsid w:val="00D5548D"/>
    <w:rsid w:val="00D60F81"/>
    <w:rsid w:val="00D63951"/>
    <w:rsid w:val="00D63BF2"/>
    <w:rsid w:val="00D67348"/>
    <w:rsid w:val="00D72A35"/>
    <w:rsid w:val="00D75FEC"/>
    <w:rsid w:val="00D76B98"/>
    <w:rsid w:val="00D8058E"/>
    <w:rsid w:val="00D86E29"/>
    <w:rsid w:val="00D86F2C"/>
    <w:rsid w:val="00D90E8F"/>
    <w:rsid w:val="00D92AB5"/>
    <w:rsid w:val="00D965DA"/>
    <w:rsid w:val="00DA244D"/>
    <w:rsid w:val="00DA2F51"/>
    <w:rsid w:val="00DA36F6"/>
    <w:rsid w:val="00DA522B"/>
    <w:rsid w:val="00DC1611"/>
    <w:rsid w:val="00DE19CB"/>
    <w:rsid w:val="00DE3266"/>
    <w:rsid w:val="00DE3635"/>
    <w:rsid w:val="00DE6C63"/>
    <w:rsid w:val="00DF0774"/>
    <w:rsid w:val="00DF1036"/>
    <w:rsid w:val="00DF1AE5"/>
    <w:rsid w:val="00DF7376"/>
    <w:rsid w:val="00E02477"/>
    <w:rsid w:val="00E05451"/>
    <w:rsid w:val="00E05651"/>
    <w:rsid w:val="00E11BA5"/>
    <w:rsid w:val="00E15B36"/>
    <w:rsid w:val="00E20425"/>
    <w:rsid w:val="00E25DCB"/>
    <w:rsid w:val="00E3613A"/>
    <w:rsid w:val="00E373B8"/>
    <w:rsid w:val="00E4124F"/>
    <w:rsid w:val="00E4156E"/>
    <w:rsid w:val="00E41838"/>
    <w:rsid w:val="00E41D04"/>
    <w:rsid w:val="00E453F2"/>
    <w:rsid w:val="00E46091"/>
    <w:rsid w:val="00E460AD"/>
    <w:rsid w:val="00E50F79"/>
    <w:rsid w:val="00E61925"/>
    <w:rsid w:val="00E65C0E"/>
    <w:rsid w:val="00E71472"/>
    <w:rsid w:val="00E730FC"/>
    <w:rsid w:val="00E746F0"/>
    <w:rsid w:val="00E82A15"/>
    <w:rsid w:val="00E87589"/>
    <w:rsid w:val="00E90455"/>
    <w:rsid w:val="00E910B3"/>
    <w:rsid w:val="00E938FF"/>
    <w:rsid w:val="00E949C7"/>
    <w:rsid w:val="00E9603C"/>
    <w:rsid w:val="00EA34DC"/>
    <w:rsid w:val="00EA5017"/>
    <w:rsid w:val="00EA6BED"/>
    <w:rsid w:val="00EA6F5F"/>
    <w:rsid w:val="00EA70C0"/>
    <w:rsid w:val="00EB14F0"/>
    <w:rsid w:val="00EB2623"/>
    <w:rsid w:val="00EB3844"/>
    <w:rsid w:val="00EB5A9F"/>
    <w:rsid w:val="00EB739F"/>
    <w:rsid w:val="00EC18CB"/>
    <w:rsid w:val="00EC55B6"/>
    <w:rsid w:val="00EC5C8D"/>
    <w:rsid w:val="00ED0693"/>
    <w:rsid w:val="00ED106C"/>
    <w:rsid w:val="00ED21EC"/>
    <w:rsid w:val="00ED2D34"/>
    <w:rsid w:val="00ED4805"/>
    <w:rsid w:val="00ED6C51"/>
    <w:rsid w:val="00EE6D7D"/>
    <w:rsid w:val="00EE7DFE"/>
    <w:rsid w:val="00EF2ECC"/>
    <w:rsid w:val="00EF4258"/>
    <w:rsid w:val="00EF4ED1"/>
    <w:rsid w:val="00F01F30"/>
    <w:rsid w:val="00F02237"/>
    <w:rsid w:val="00F21424"/>
    <w:rsid w:val="00F22423"/>
    <w:rsid w:val="00F23376"/>
    <w:rsid w:val="00F24C72"/>
    <w:rsid w:val="00F31D22"/>
    <w:rsid w:val="00F348B2"/>
    <w:rsid w:val="00F34BF0"/>
    <w:rsid w:val="00F4095A"/>
    <w:rsid w:val="00F440CE"/>
    <w:rsid w:val="00F45845"/>
    <w:rsid w:val="00F50189"/>
    <w:rsid w:val="00F508FC"/>
    <w:rsid w:val="00F5264A"/>
    <w:rsid w:val="00F54044"/>
    <w:rsid w:val="00F576E7"/>
    <w:rsid w:val="00F6004D"/>
    <w:rsid w:val="00F66C10"/>
    <w:rsid w:val="00F70ED0"/>
    <w:rsid w:val="00F763FC"/>
    <w:rsid w:val="00F772C1"/>
    <w:rsid w:val="00F8026D"/>
    <w:rsid w:val="00F8245F"/>
    <w:rsid w:val="00F91629"/>
    <w:rsid w:val="00F91E2A"/>
    <w:rsid w:val="00F951EF"/>
    <w:rsid w:val="00F96C39"/>
    <w:rsid w:val="00FA0A0D"/>
    <w:rsid w:val="00FA153F"/>
    <w:rsid w:val="00FA1D78"/>
    <w:rsid w:val="00FA1F7E"/>
    <w:rsid w:val="00FA280F"/>
    <w:rsid w:val="00FA3B04"/>
    <w:rsid w:val="00FB2186"/>
    <w:rsid w:val="00FB5916"/>
    <w:rsid w:val="00FC3AE4"/>
    <w:rsid w:val="00FC48B3"/>
    <w:rsid w:val="00FD0133"/>
    <w:rsid w:val="00FD0FA8"/>
    <w:rsid w:val="00FD5A5E"/>
    <w:rsid w:val="00FD6206"/>
    <w:rsid w:val="00FE655C"/>
    <w:rsid w:val="00FF32C3"/>
    <w:rsid w:val="00FF3E3A"/>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7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34740A"/>
    <w:pPr>
      <w:keepNext/>
      <w:spacing w:before="240" w:after="240"/>
      <w:outlineLvl w:val="2"/>
    </w:pPr>
    <w:rPr>
      <w:rFonts w:cs="Arial"/>
      <w:bCs/>
      <w:szCs w:val="26"/>
      <w:u w:val="single"/>
      <w:lang w:eastAsia="fr-FR"/>
    </w:rPr>
  </w:style>
  <w:style w:type="paragraph" w:styleId="Heading4">
    <w:name w:val="heading 4"/>
    <w:basedOn w:val="Normal"/>
    <w:next w:val="corpsdedcision"/>
    <w:qFormat/>
    <w:rsid w:val="0034740A"/>
    <w:pPr>
      <w:keepNext/>
      <w:spacing w:before="240" w:after="240"/>
      <w:outlineLvl w:val="3"/>
    </w:pPr>
    <w:rPr>
      <w:bCs/>
      <w:szCs w:val="28"/>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uiPriority w:val="99"/>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aliases w:val="Note de bas de page art 65,Note de bas de page + 10pt"/>
    <w:basedOn w:val="Normal"/>
    <w:link w:val="FootnoteTextChar"/>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
    <w:name w:val="Footnote Text Char"/>
    <w:aliases w:val="Note de bas de page art 65 Char,Note de bas de page + 10pt Char"/>
    <w:basedOn w:val="DefaultParagraphFont"/>
    <w:link w:val="FootnoteText"/>
    <w:locked/>
    <w:rsid w:val="00BC0A03"/>
    <w:rPr>
      <w:rFonts w:ascii="Arial" w:hAnsi="Arial"/>
      <w:sz w:val="24"/>
      <w:lang w:val="fr-CA" w:eastAsia="fr-CA" w:bidi="ar-SA"/>
    </w:rPr>
  </w:style>
  <w:style w:type="paragraph" w:customStyle="1" w:styleId="dispositif1">
    <w:name w:val="dispositif1"/>
    <w:basedOn w:val="Normal"/>
    <w:rsid w:val="00A04912"/>
    <w:pPr>
      <w:spacing w:after="360"/>
      <w:jc w:val="both"/>
    </w:pPr>
    <w:rPr>
      <w:rFonts w:cs="Arial"/>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corpsdedcisionCar">
    <w:name w:val="corps de décision Car"/>
    <w:basedOn w:val="DefaultParagraphFont"/>
    <w:link w:val="corpsdedcision"/>
    <w:locked/>
    <w:rsid w:val="00A04912"/>
    <w:rPr>
      <w:rFonts w:ascii="Arial" w:hAnsi="Arial"/>
      <w:sz w:val="24"/>
    </w:rPr>
  </w:style>
  <w:style w:type="paragraph" w:customStyle="1" w:styleId="corpsdedcision1">
    <w:name w:val="corpsdedcision1"/>
    <w:basedOn w:val="Normal"/>
    <w:rsid w:val="00A04912"/>
    <w:pPr>
      <w:spacing w:after="360"/>
      <w:jc w:val="both"/>
    </w:pPr>
    <w:rPr>
      <w:rFonts w:cs="Arial"/>
      <w:szCs w:val="24"/>
    </w:rPr>
  </w:style>
  <w:style w:type="character" w:styleId="CommentReference">
    <w:name w:val="annotation reference"/>
    <w:basedOn w:val="DefaultParagraphFont"/>
    <w:rsid w:val="00734243"/>
    <w:rPr>
      <w:sz w:val="16"/>
      <w:szCs w:val="16"/>
    </w:rPr>
  </w:style>
  <w:style w:type="paragraph" w:styleId="CommentText">
    <w:name w:val="annotation text"/>
    <w:basedOn w:val="Normal"/>
    <w:link w:val="CommentTextChar"/>
    <w:rsid w:val="00734243"/>
    <w:rPr>
      <w:sz w:val="20"/>
    </w:rPr>
  </w:style>
  <w:style w:type="character" w:customStyle="1" w:styleId="CommentTextChar">
    <w:name w:val="Comment Text Char"/>
    <w:basedOn w:val="DefaultParagraphFont"/>
    <w:link w:val="CommentText"/>
    <w:rsid w:val="00734243"/>
    <w:rPr>
      <w:rFonts w:ascii="Arial" w:hAnsi="Arial"/>
    </w:rPr>
  </w:style>
  <w:style w:type="paragraph" w:styleId="CommentSubject">
    <w:name w:val="annotation subject"/>
    <w:basedOn w:val="CommentText"/>
    <w:next w:val="CommentText"/>
    <w:link w:val="CommentSubjectChar"/>
    <w:rsid w:val="00734243"/>
    <w:rPr>
      <w:b/>
      <w:bCs/>
    </w:rPr>
  </w:style>
  <w:style w:type="character" w:customStyle="1" w:styleId="CommentSubjectChar">
    <w:name w:val="Comment Subject Char"/>
    <w:basedOn w:val="CommentTextChar"/>
    <w:link w:val="CommentSubject"/>
    <w:rsid w:val="00734243"/>
    <w:rPr>
      <w:rFonts w:ascii="Arial" w:hAnsi="Arial"/>
      <w:b/>
      <w:bCs/>
    </w:rPr>
  </w:style>
  <w:style w:type="paragraph" w:styleId="BalloonText">
    <w:name w:val="Balloon Text"/>
    <w:basedOn w:val="Normal"/>
    <w:link w:val="BalloonTextChar"/>
    <w:rsid w:val="00734243"/>
    <w:rPr>
      <w:rFonts w:ascii="Segoe UI" w:hAnsi="Segoe UI" w:cs="Segoe UI"/>
      <w:sz w:val="18"/>
      <w:szCs w:val="18"/>
    </w:rPr>
  </w:style>
  <w:style w:type="character" w:customStyle="1" w:styleId="BalloonTextChar">
    <w:name w:val="Balloon Text Char"/>
    <w:basedOn w:val="DefaultParagraphFont"/>
    <w:link w:val="BalloonText"/>
    <w:rsid w:val="00734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2289</Words>
  <Characters>13052</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2026-06-25T16:14:00Z</dcterms:created>
  <dcterms:modified xsi:type="dcterms:W3CDTF">2026-06-25T16:14:00Z</dcterms:modified>
</cp:coreProperties>
</file>