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50DFF859" w14:textId="77777777">
        <w:trPr>
          <w:cantSplit/>
        </w:trPr>
        <w:tc>
          <w:tcPr>
            <w:tcW w:w="4795" w:type="dxa"/>
          </w:tcPr>
          <w:p w14:paraId="480A27D7" w14:textId="5EE180D6" w:rsidR="008A7FD1" w:rsidRPr="002B0AD6" w:rsidRDefault="002B0AD6" w:rsidP="002B0AD6">
            <w:pPr>
              <w:pStyle w:val="zSoquijdatRepertorie"/>
              <w:rPr>
                <w:rFonts w:cs="Arial"/>
              </w:rPr>
            </w:pPr>
            <w:r>
              <w:rPr>
                <w:rFonts w:cs="Arial"/>
              </w:rPr>
              <w:t>Charest</w:t>
            </w:r>
          </w:p>
        </w:tc>
        <w:tc>
          <w:tcPr>
            <w:tcW w:w="2477" w:type="dxa"/>
          </w:tcPr>
          <w:p w14:paraId="48A72FC2" w14:textId="5DB7133D" w:rsidR="008A7FD1" w:rsidRPr="00BB3C27" w:rsidRDefault="00BB3C27" w:rsidP="00BB3C27">
            <w:pPr>
              <w:pStyle w:val="zSoquijdatRefNeutre"/>
              <w:rPr>
                <w:rFonts w:cs="Arial"/>
              </w:rPr>
            </w:pPr>
            <w:r w:rsidRPr="00BB3C27">
              <w:rPr>
                <w:rFonts w:cs="Arial"/>
              </w:rPr>
              <w:t>2024 QCTAT 4655</w:t>
            </w:r>
          </w:p>
        </w:tc>
      </w:tr>
    </w:tbl>
    <w:p w14:paraId="3B474420" w14:textId="77777777" w:rsidR="008A7FD1" w:rsidRDefault="008A7FD1" w:rsidP="00C82DCB"/>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730E5D52" w14:textId="77777777" w:rsidTr="00036794">
        <w:trPr>
          <w:cantSplit/>
        </w:trPr>
        <w:tc>
          <w:tcPr>
            <w:tcW w:w="9568" w:type="dxa"/>
            <w:gridSpan w:val="4"/>
          </w:tcPr>
          <w:p w14:paraId="380D58A4" w14:textId="77777777" w:rsidR="00C74B6F" w:rsidRPr="00BE1981" w:rsidRDefault="00C74B6F" w:rsidP="00C82DCB">
            <w:pPr>
              <w:rPr>
                <w:szCs w:val="24"/>
              </w:rPr>
            </w:pPr>
          </w:p>
        </w:tc>
      </w:tr>
      <w:tr w:rsidR="00C74B6F" w14:paraId="092280D9" w14:textId="77777777" w:rsidTr="00036794">
        <w:trPr>
          <w:cantSplit/>
        </w:trPr>
        <w:tc>
          <w:tcPr>
            <w:tcW w:w="9568" w:type="dxa"/>
            <w:gridSpan w:val="4"/>
            <w:vAlign w:val="center"/>
          </w:tcPr>
          <w:p w14:paraId="091F1984" w14:textId="77777777" w:rsidR="00C74B6F" w:rsidRPr="000E1320" w:rsidRDefault="000E1320" w:rsidP="00C82DCB">
            <w:pPr>
              <w:jc w:val="center"/>
              <w:rPr>
                <w:sz w:val="36"/>
                <w:szCs w:val="36"/>
              </w:rPr>
            </w:pPr>
            <w:r w:rsidRPr="000E1320">
              <w:rPr>
                <w:b/>
                <w:sz w:val="36"/>
                <w:szCs w:val="36"/>
              </w:rPr>
              <w:t>TRIBUNAL ADMINISTRATIF DU TRAVAIL</w:t>
            </w:r>
          </w:p>
        </w:tc>
      </w:tr>
      <w:tr w:rsidR="00C74B6F" w14:paraId="55751FFB" w14:textId="77777777" w:rsidTr="00036794">
        <w:trPr>
          <w:cantSplit/>
        </w:trPr>
        <w:tc>
          <w:tcPr>
            <w:tcW w:w="9568" w:type="dxa"/>
            <w:gridSpan w:val="4"/>
          </w:tcPr>
          <w:p w14:paraId="0BB5B889" w14:textId="11FB90A5" w:rsidR="00C74B6F" w:rsidRPr="00BE7014" w:rsidRDefault="006F0154" w:rsidP="00C82DCB">
            <w:pPr>
              <w:pStyle w:val="zSoquijdatDivision"/>
            </w:pPr>
            <w:r w:rsidRPr="00BE7014">
              <w:t>(</w:t>
            </w:r>
            <w:r w:rsidR="00C4749E" w:rsidRPr="00441ADA">
              <w:t>Division de la santé et de la sécurité du travail</w:t>
            </w:r>
            <w:r w:rsidRPr="00BE7014">
              <w:t>)</w:t>
            </w:r>
          </w:p>
        </w:tc>
      </w:tr>
      <w:tr w:rsidR="00C74B6F" w14:paraId="2FB97DC1" w14:textId="77777777" w:rsidTr="00036794">
        <w:trPr>
          <w:cantSplit/>
        </w:trPr>
        <w:tc>
          <w:tcPr>
            <w:tcW w:w="9568" w:type="dxa"/>
            <w:gridSpan w:val="4"/>
          </w:tcPr>
          <w:p w14:paraId="0958D394" w14:textId="77777777" w:rsidR="002B2FC3" w:rsidRDefault="002B2FC3" w:rsidP="00C82DCB"/>
        </w:tc>
      </w:tr>
      <w:tr w:rsidR="00A84FC6" w14:paraId="55D662DC" w14:textId="77777777" w:rsidTr="00036794">
        <w:trPr>
          <w:cantSplit/>
        </w:trPr>
        <w:tc>
          <w:tcPr>
            <w:tcW w:w="9568" w:type="dxa"/>
            <w:gridSpan w:val="4"/>
          </w:tcPr>
          <w:p w14:paraId="7A1A164C" w14:textId="77777777" w:rsidR="00A84FC6" w:rsidRDefault="00A84FC6" w:rsidP="00C82DCB"/>
        </w:tc>
      </w:tr>
      <w:tr w:rsidR="00C74B6F" w14:paraId="7AAA7164" w14:textId="77777777" w:rsidTr="00036794">
        <w:tc>
          <w:tcPr>
            <w:tcW w:w="3331" w:type="dxa"/>
          </w:tcPr>
          <w:p w14:paraId="1C9B7880" w14:textId="77777777" w:rsidR="00C74B6F" w:rsidRDefault="0084255F" w:rsidP="00C82DCB">
            <w:bookmarkStart w:id="0" w:name="region" w:colFirst="1" w:colLast="1"/>
            <w:r>
              <w:t>Région :</w:t>
            </w:r>
          </w:p>
        </w:tc>
        <w:tc>
          <w:tcPr>
            <w:tcW w:w="6237" w:type="dxa"/>
            <w:gridSpan w:val="3"/>
          </w:tcPr>
          <w:p w14:paraId="136A9388" w14:textId="4CFF8BD2" w:rsidR="00C74B6F" w:rsidRDefault="00C4749E" w:rsidP="00C82DCB">
            <w:pPr>
              <w:pStyle w:val="zSoquijdatGreffe"/>
            </w:pPr>
            <w:r>
              <w:t>Chaudière-Appalaches</w:t>
            </w:r>
          </w:p>
        </w:tc>
      </w:tr>
      <w:bookmarkEnd w:id="0"/>
      <w:tr w:rsidR="00C74B6F" w14:paraId="0C41C2C8" w14:textId="77777777" w:rsidTr="00036794">
        <w:trPr>
          <w:cantSplit/>
        </w:trPr>
        <w:tc>
          <w:tcPr>
            <w:tcW w:w="9568" w:type="dxa"/>
            <w:gridSpan w:val="4"/>
          </w:tcPr>
          <w:p w14:paraId="77CCF0E0" w14:textId="77777777" w:rsidR="00C74B6F" w:rsidRDefault="00C74B6F" w:rsidP="00C82DCB"/>
        </w:tc>
      </w:tr>
      <w:tr w:rsidR="00C74B6F" w14:paraId="12B910A1" w14:textId="77777777" w:rsidTr="00036794">
        <w:tc>
          <w:tcPr>
            <w:tcW w:w="3331" w:type="dxa"/>
          </w:tcPr>
          <w:p w14:paraId="51DA1A71" w14:textId="758E12A7" w:rsidR="00C74B6F" w:rsidRDefault="0084255F" w:rsidP="00C82DCB">
            <w:bookmarkStart w:id="1" w:name="ref_dossier" w:colFirst="1" w:colLast="1"/>
            <w:r>
              <w:t>Dossier</w:t>
            </w:r>
            <w:bookmarkStart w:id="2" w:name="dossiers"/>
            <w:bookmarkEnd w:id="2"/>
            <w:r>
              <w:t> :</w:t>
            </w:r>
          </w:p>
        </w:tc>
        <w:tc>
          <w:tcPr>
            <w:tcW w:w="6237" w:type="dxa"/>
            <w:gridSpan w:val="3"/>
          </w:tcPr>
          <w:p w14:paraId="37354C33" w14:textId="1B5CA6F3" w:rsidR="00C74B6F" w:rsidRDefault="00C4749E" w:rsidP="00C82DCB">
            <w:pPr>
              <w:pStyle w:val="zSoquijdatNoDossier"/>
            </w:pPr>
            <w:r>
              <w:t>1320786</w:t>
            </w:r>
            <w:r w:rsidR="00C82DCB">
              <w:t>-</w:t>
            </w:r>
            <w:r>
              <w:t>03B</w:t>
            </w:r>
            <w:r w:rsidR="00C82DCB">
              <w:t>-</w:t>
            </w:r>
            <w:r>
              <w:t>2305</w:t>
            </w:r>
          </w:p>
        </w:tc>
      </w:tr>
      <w:bookmarkEnd w:id="1"/>
      <w:tr w:rsidR="00C74B6F" w14:paraId="3401E0E5" w14:textId="77777777" w:rsidTr="00036794">
        <w:trPr>
          <w:cantSplit/>
        </w:trPr>
        <w:tc>
          <w:tcPr>
            <w:tcW w:w="9568" w:type="dxa"/>
            <w:gridSpan w:val="4"/>
          </w:tcPr>
          <w:p w14:paraId="60BFAAA2" w14:textId="77777777" w:rsidR="00C74B6F" w:rsidRDefault="00D44BCF" w:rsidP="00C82DCB">
            <w:r>
              <w:fldChar w:fldCharType="begin"/>
            </w:r>
            <w:r>
              <w:instrText xml:space="preserve"> AUTOTEXTLIST  \* Upper  \* MERGEFORMAT </w:instrText>
            </w:r>
            <w:r>
              <w:fldChar w:fldCharType="end"/>
            </w:r>
          </w:p>
        </w:tc>
      </w:tr>
      <w:tr w:rsidR="00C74B6F" w14:paraId="280C6C31" w14:textId="77777777" w:rsidTr="00036794">
        <w:tc>
          <w:tcPr>
            <w:tcW w:w="3331" w:type="dxa"/>
          </w:tcPr>
          <w:p w14:paraId="471D7514" w14:textId="299ED52F" w:rsidR="00C74B6F" w:rsidRDefault="008C79A7" w:rsidP="00C82DCB">
            <w:pPr>
              <w:ind w:right="46"/>
            </w:pPr>
            <w:r>
              <w:t xml:space="preserve">Dossier </w:t>
            </w:r>
            <w:r w:rsidR="00C82DCB">
              <w:t>CNESST </w:t>
            </w:r>
            <w:r w:rsidRPr="008C79A7">
              <w:rPr>
                <w:szCs w:val="24"/>
              </w:rPr>
              <w:t>:</w:t>
            </w:r>
          </w:p>
        </w:tc>
        <w:tc>
          <w:tcPr>
            <w:tcW w:w="6237" w:type="dxa"/>
            <w:gridSpan w:val="3"/>
          </w:tcPr>
          <w:p w14:paraId="50214978" w14:textId="5F53E99B" w:rsidR="00C74B6F" w:rsidRDefault="00C4749E" w:rsidP="00C82DCB">
            <w:pPr>
              <w:pStyle w:val="zSoquijdatNCSST"/>
            </w:pPr>
            <w:r>
              <w:t>513108613</w:t>
            </w:r>
          </w:p>
        </w:tc>
      </w:tr>
      <w:tr w:rsidR="00C74B6F" w14:paraId="214C891E" w14:textId="77777777" w:rsidTr="00036794">
        <w:trPr>
          <w:cantSplit/>
        </w:trPr>
        <w:tc>
          <w:tcPr>
            <w:tcW w:w="9568" w:type="dxa"/>
            <w:gridSpan w:val="4"/>
          </w:tcPr>
          <w:p w14:paraId="7F9F6758" w14:textId="77777777" w:rsidR="00C74B6F" w:rsidRDefault="00C74B6F" w:rsidP="00C82DCB"/>
        </w:tc>
      </w:tr>
      <w:tr w:rsidR="00C74B6F" w14:paraId="27833202" w14:textId="77777777" w:rsidTr="00036794">
        <w:trPr>
          <w:cantSplit/>
        </w:trPr>
        <w:tc>
          <w:tcPr>
            <w:tcW w:w="9568" w:type="dxa"/>
            <w:gridSpan w:val="4"/>
          </w:tcPr>
          <w:p w14:paraId="0A819022" w14:textId="77777777" w:rsidR="00C74B6F" w:rsidRDefault="00C74B6F" w:rsidP="00C82DCB"/>
        </w:tc>
      </w:tr>
      <w:tr w:rsidR="006E3DD8" w14:paraId="397322D6" w14:textId="77777777" w:rsidTr="00036794">
        <w:trPr>
          <w:cantSplit/>
        </w:trPr>
        <w:tc>
          <w:tcPr>
            <w:tcW w:w="3331" w:type="dxa"/>
          </w:tcPr>
          <w:p w14:paraId="6F223F68" w14:textId="0663300B" w:rsidR="006E3DD8" w:rsidRDefault="00C4749E" w:rsidP="00C82DCB">
            <w:pPr>
              <w:ind w:right="-70"/>
            </w:pPr>
            <w:r>
              <w:t>Lévis</w:t>
            </w:r>
            <w:r w:rsidR="00C04E32">
              <w:t>,</w:t>
            </w:r>
          </w:p>
        </w:tc>
        <w:tc>
          <w:tcPr>
            <w:tcW w:w="6237" w:type="dxa"/>
            <w:gridSpan w:val="3"/>
          </w:tcPr>
          <w:p w14:paraId="0FE759F7" w14:textId="1604F008" w:rsidR="006E3DD8" w:rsidRDefault="00C04E32" w:rsidP="00C82DCB">
            <w:pPr>
              <w:pStyle w:val="zSoquijdatDateJugement"/>
            </w:pPr>
            <w:proofErr w:type="gramStart"/>
            <w:r>
              <w:t>le</w:t>
            </w:r>
            <w:proofErr w:type="gramEnd"/>
            <w:r>
              <w:t xml:space="preserve"> </w:t>
            </w:r>
            <w:r w:rsidR="00353026">
              <w:t>1</w:t>
            </w:r>
            <w:r w:rsidR="00D4729E">
              <w:t>9</w:t>
            </w:r>
            <w:r w:rsidR="00353026">
              <w:t xml:space="preserve"> décembre 2024</w:t>
            </w:r>
          </w:p>
        </w:tc>
      </w:tr>
      <w:tr w:rsidR="00942AB8" w14:paraId="1CC82E78" w14:textId="77777777" w:rsidTr="00036794">
        <w:trPr>
          <w:cantSplit/>
        </w:trPr>
        <w:tc>
          <w:tcPr>
            <w:tcW w:w="9568" w:type="dxa"/>
            <w:gridSpan w:val="4"/>
          </w:tcPr>
          <w:p w14:paraId="110C37DF" w14:textId="77777777" w:rsidR="00942AB8" w:rsidRDefault="00942AB8" w:rsidP="00C82DCB">
            <w:r>
              <w:t>______________________________________________________________________</w:t>
            </w:r>
          </w:p>
        </w:tc>
      </w:tr>
      <w:tr w:rsidR="00942AB8" w14:paraId="3C08AA68" w14:textId="77777777" w:rsidTr="00036794">
        <w:trPr>
          <w:cantSplit/>
          <w:trHeight w:val="148"/>
        </w:trPr>
        <w:tc>
          <w:tcPr>
            <w:tcW w:w="9568" w:type="dxa"/>
            <w:gridSpan w:val="4"/>
          </w:tcPr>
          <w:p w14:paraId="46AB7DDF" w14:textId="77777777" w:rsidR="00942AB8" w:rsidRDefault="00942AB8" w:rsidP="00C82DCB"/>
        </w:tc>
      </w:tr>
      <w:tr w:rsidR="0035375B" w14:paraId="35228788" w14:textId="77777777" w:rsidTr="00036794">
        <w:trPr>
          <w:cantSplit/>
          <w:trHeight w:val="148"/>
        </w:trPr>
        <w:tc>
          <w:tcPr>
            <w:tcW w:w="5883" w:type="dxa"/>
            <w:gridSpan w:val="3"/>
          </w:tcPr>
          <w:p w14:paraId="337E1BD1" w14:textId="24FCEAA9" w:rsidR="0035375B" w:rsidRPr="00942AB8" w:rsidRDefault="0035375B" w:rsidP="00C82DCB">
            <w:pPr>
              <w:rPr>
                <w:b/>
                <w:bCs/>
              </w:rPr>
            </w:pPr>
            <w:bookmarkStart w:id="3" w:name="ref_commissaire" w:colFirst="1" w:colLast="1"/>
            <w:r w:rsidRPr="00942AB8">
              <w:rPr>
                <w:b/>
                <w:bCs/>
              </w:rPr>
              <w:t>DEVANT L</w:t>
            </w:r>
            <w:r w:rsidR="00C4749E">
              <w:rPr>
                <w:b/>
                <w:bCs/>
              </w:rPr>
              <w:t>A</w:t>
            </w:r>
            <w:r w:rsidRPr="00942AB8">
              <w:rPr>
                <w:b/>
                <w:bCs/>
              </w:rPr>
              <w:t xml:space="preserve"> JUGE ADMINISTRATI</w:t>
            </w:r>
            <w:r w:rsidR="00C4749E">
              <w:rPr>
                <w:b/>
                <w:bCs/>
              </w:rPr>
              <w:t>VE</w:t>
            </w:r>
            <w:r w:rsidRPr="00942AB8">
              <w:rPr>
                <w:b/>
                <w:bCs/>
              </w:rPr>
              <w:t> :</w:t>
            </w:r>
          </w:p>
        </w:tc>
        <w:tc>
          <w:tcPr>
            <w:tcW w:w="3685" w:type="dxa"/>
          </w:tcPr>
          <w:p w14:paraId="07FDF812" w14:textId="7EFB1DD6" w:rsidR="0035375B" w:rsidRPr="00942AB8" w:rsidRDefault="00C4749E" w:rsidP="00C82DCB">
            <w:pPr>
              <w:pStyle w:val="zSoquijdatJuge"/>
              <w:rPr>
                <w:bCs/>
              </w:rPr>
            </w:pPr>
            <w:r>
              <w:t>Julie Samson</w:t>
            </w:r>
          </w:p>
        </w:tc>
      </w:tr>
      <w:bookmarkEnd w:id="3"/>
      <w:tr w:rsidR="00942AB8" w14:paraId="52DCFA21" w14:textId="77777777" w:rsidTr="00036794">
        <w:trPr>
          <w:cantSplit/>
          <w:trHeight w:val="148"/>
        </w:trPr>
        <w:tc>
          <w:tcPr>
            <w:tcW w:w="9568" w:type="dxa"/>
            <w:gridSpan w:val="4"/>
          </w:tcPr>
          <w:p w14:paraId="08B640B4" w14:textId="77777777" w:rsidR="00942AB8" w:rsidRDefault="00942AB8" w:rsidP="00C82DCB">
            <w:r>
              <w:t>______________________________________________________________________</w:t>
            </w:r>
          </w:p>
        </w:tc>
      </w:tr>
      <w:tr w:rsidR="00942AB8" w14:paraId="4E7BA3D3" w14:textId="77777777" w:rsidTr="00036794">
        <w:tc>
          <w:tcPr>
            <w:tcW w:w="9568" w:type="dxa"/>
            <w:gridSpan w:val="4"/>
          </w:tcPr>
          <w:p w14:paraId="02749B6F" w14:textId="77777777" w:rsidR="00942AB8" w:rsidRDefault="00942AB8" w:rsidP="00C82DCB"/>
        </w:tc>
      </w:tr>
      <w:tr w:rsidR="00942AB8" w14:paraId="40E10157" w14:textId="77777777" w:rsidTr="00E21768">
        <w:tc>
          <w:tcPr>
            <w:tcW w:w="4890" w:type="dxa"/>
            <w:gridSpan w:val="2"/>
          </w:tcPr>
          <w:p w14:paraId="7848BFD3" w14:textId="77777777" w:rsidR="00942AB8" w:rsidRDefault="00942AB8" w:rsidP="00C82DCB">
            <w:bookmarkStart w:id="4" w:name="bloc_parties_gauche"/>
            <w:bookmarkEnd w:id="4"/>
          </w:p>
        </w:tc>
        <w:tc>
          <w:tcPr>
            <w:tcW w:w="4678" w:type="dxa"/>
            <w:gridSpan w:val="2"/>
          </w:tcPr>
          <w:p w14:paraId="19F40142" w14:textId="77777777" w:rsidR="00942AB8" w:rsidRDefault="00942AB8" w:rsidP="00C82DCB"/>
        </w:tc>
      </w:tr>
      <w:tr w:rsidR="00942AB8" w14:paraId="7C6E84BD" w14:textId="77777777" w:rsidTr="00E21768">
        <w:tc>
          <w:tcPr>
            <w:tcW w:w="4890" w:type="dxa"/>
            <w:gridSpan w:val="2"/>
          </w:tcPr>
          <w:p w14:paraId="12FD4192" w14:textId="5E2E7AEE" w:rsidR="00942AB8" w:rsidRDefault="00C4749E" w:rsidP="00C82DCB">
            <w:pPr>
              <w:pStyle w:val="zSoquijdatNomPartieDem"/>
              <w:rPr>
                <w:b/>
              </w:rPr>
            </w:pPr>
            <w:r>
              <w:rPr>
                <w:b/>
              </w:rPr>
              <w:t>Michel Charest</w:t>
            </w:r>
          </w:p>
        </w:tc>
        <w:tc>
          <w:tcPr>
            <w:tcW w:w="4678" w:type="dxa"/>
            <w:gridSpan w:val="2"/>
          </w:tcPr>
          <w:p w14:paraId="18C94526" w14:textId="77777777" w:rsidR="00942AB8" w:rsidRDefault="00942AB8" w:rsidP="00C82DCB"/>
        </w:tc>
      </w:tr>
      <w:tr w:rsidR="00942AB8" w14:paraId="6AA12202" w14:textId="77777777" w:rsidTr="00E21768">
        <w:tc>
          <w:tcPr>
            <w:tcW w:w="4890" w:type="dxa"/>
            <w:gridSpan w:val="2"/>
          </w:tcPr>
          <w:p w14:paraId="36E740DE" w14:textId="7CED9F72" w:rsidR="00942AB8" w:rsidRDefault="00C4749E" w:rsidP="00C82DCB">
            <w:pPr>
              <w:pStyle w:val="zSoquijdatQtePartieDem"/>
              <w:tabs>
                <w:tab w:val="left" w:pos="3539"/>
              </w:tabs>
              <w:ind w:left="708"/>
            </w:pPr>
            <w:bookmarkStart w:id="5" w:name="partie_demanderesse"/>
            <w:bookmarkEnd w:id="5"/>
            <w:r>
              <w:t>Partie demanderesse</w:t>
            </w:r>
          </w:p>
        </w:tc>
        <w:tc>
          <w:tcPr>
            <w:tcW w:w="4678" w:type="dxa"/>
            <w:gridSpan w:val="2"/>
          </w:tcPr>
          <w:p w14:paraId="60B06860" w14:textId="77777777" w:rsidR="00942AB8" w:rsidRDefault="00942AB8" w:rsidP="00C82DCB"/>
        </w:tc>
      </w:tr>
      <w:tr w:rsidR="00942AB8" w14:paraId="3764CA75" w14:textId="77777777" w:rsidTr="00E21768">
        <w:tc>
          <w:tcPr>
            <w:tcW w:w="4890" w:type="dxa"/>
            <w:gridSpan w:val="2"/>
          </w:tcPr>
          <w:p w14:paraId="42A29F96" w14:textId="77777777" w:rsidR="00942AB8" w:rsidRDefault="00942AB8" w:rsidP="00C82DCB"/>
        </w:tc>
        <w:tc>
          <w:tcPr>
            <w:tcW w:w="4678" w:type="dxa"/>
            <w:gridSpan w:val="2"/>
          </w:tcPr>
          <w:p w14:paraId="73D116CE" w14:textId="77777777" w:rsidR="00942AB8" w:rsidRDefault="00942AB8" w:rsidP="00C82DCB"/>
        </w:tc>
      </w:tr>
    </w:tbl>
    <w:p w14:paraId="63541F2C" w14:textId="77777777" w:rsidR="00C74B6F" w:rsidRDefault="00C74B6F" w:rsidP="00C82DCB">
      <w:r>
        <w:t>______________________________________________________________________</w:t>
      </w:r>
    </w:p>
    <w:p w14:paraId="2D3CBBA5" w14:textId="77777777" w:rsidR="00C74B6F" w:rsidRDefault="00C74B6F" w:rsidP="00C82DCB"/>
    <w:p w14:paraId="0DF7688F" w14:textId="77777777" w:rsidR="00C74B6F" w:rsidRPr="005B0612" w:rsidRDefault="00C74B6F" w:rsidP="00C82DCB">
      <w:pPr>
        <w:jc w:val="center"/>
        <w:rPr>
          <w:b/>
          <w:bCs/>
        </w:rPr>
      </w:pPr>
      <w:bookmarkStart w:id="6" w:name="decision"/>
      <w:r w:rsidRPr="005B0612">
        <w:rPr>
          <w:b/>
          <w:bCs/>
        </w:rPr>
        <w:t>DÉCISION</w:t>
      </w:r>
      <w:bookmarkEnd w:id="6"/>
    </w:p>
    <w:p w14:paraId="6772F197" w14:textId="77777777" w:rsidR="008F20EA" w:rsidRDefault="008F20EA" w:rsidP="00C82DCB">
      <w:pPr>
        <w:spacing w:line="480" w:lineRule="auto"/>
      </w:pPr>
      <w:bookmarkStart w:id="7" w:name="separation"/>
      <w:bookmarkStart w:id="8" w:name="parag_1"/>
      <w:r>
        <w:t>______________________________________________________________________</w:t>
      </w:r>
    </w:p>
    <w:bookmarkEnd w:id="7"/>
    <w:bookmarkEnd w:id="8"/>
    <w:p w14:paraId="0DC07E0B" w14:textId="20995FF6" w:rsidR="00A61363" w:rsidRPr="00A61363" w:rsidRDefault="00A61363" w:rsidP="00C82DCB">
      <w:pPr>
        <w:pStyle w:val="corpsdedcision"/>
        <w:numPr>
          <w:ilvl w:val="0"/>
          <w:numId w:val="0"/>
        </w:numPr>
        <w:tabs>
          <w:tab w:val="clear" w:pos="720"/>
        </w:tabs>
        <w:rPr>
          <w:b/>
          <w:bCs/>
          <w:u w:val="single"/>
        </w:rPr>
      </w:pPr>
      <w:r w:rsidRPr="00A61363">
        <w:rPr>
          <w:b/>
          <w:bCs/>
          <w:u w:val="single"/>
        </w:rPr>
        <w:t>L’APERÇU</w:t>
      </w:r>
    </w:p>
    <w:p w14:paraId="058CC962" w14:textId="70EB4CDD" w:rsidR="00516BCB" w:rsidRDefault="00516BCB" w:rsidP="00983348">
      <w:pPr>
        <w:pStyle w:val="corpsdedcision"/>
      </w:pPr>
      <w:r w:rsidRPr="00D33521">
        <w:t xml:space="preserve">Monsieur </w:t>
      </w:r>
      <w:r>
        <w:t>Michel Charest</w:t>
      </w:r>
      <w:r w:rsidR="0073402D">
        <w:t xml:space="preserve"> </w:t>
      </w:r>
      <w:r w:rsidR="00D94912">
        <w:t xml:space="preserve">est retraité depuis une </w:t>
      </w:r>
      <w:r w:rsidR="004C1635">
        <w:t>vingtaine</w:t>
      </w:r>
      <w:r w:rsidR="00D94912">
        <w:t xml:space="preserve"> </w:t>
      </w:r>
      <w:r w:rsidR="00D94912" w:rsidRPr="004C1635">
        <w:t xml:space="preserve">d’années. Auparavant, il a occupé divers emplois, notamment comme travailleur forestier, opérateur de machinerie forestière et travailleur de mines. </w:t>
      </w:r>
      <w:r w:rsidR="00983348">
        <w:t>Le 30 </w:t>
      </w:r>
      <w:r w:rsidR="00D94912" w:rsidRPr="004C1635">
        <w:t>septembre</w:t>
      </w:r>
      <w:r w:rsidR="00983348">
        <w:t> </w:t>
      </w:r>
      <w:r w:rsidR="00D94912" w:rsidRPr="004C1635">
        <w:t>2022, il p</w:t>
      </w:r>
      <w:r w:rsidR="0073402D" w:rsidRPr="004C1635">
        <w:t>roduit une réclamation à la Commission des normes, de l’équité, de la santé et de la sécurité</w:t>
      </w:r>
      <w:r w:rsidR="0073402D" w:rsidRPr="001A3273">
        <w:t xml:space="preserve"> </w:t>
      </w:r>
      <w:r w:rsidR="0073402D" w:rsidRPr="002E3826">
        <w:t>du travail, visant à faire reconnaître le caractère professionnel de sa surdité.</w:t>
      </w:r>
    </w:p>
    <w:p w14:paraId="051675DE" w14:textId="4D652F49" w:rsidR="00516BCB" w:rsidRPr="0073402D" w:rsidRDefault="00516BCB" w:rsidP="00C82DCB">
      <w:pPr>
        <w:pStyle w:val="corpsdedcision"/>
      </w:pPr>
      <w:r w:rsidRPr="0073402D">
        <w:t xml:space="preserve">La Commission </w:t>
      </w:r>
      <w:r w:rsidR="0073402D" w:rsidRPr="0073402D">
        <w:t xml:space="preserve">refuse la réclamation au motif que la preuve ne permet pas d’établir </w:t>
      </w:r>
      <w:r w:rsidR="00D94912">
        <w:t>qu’il</w:t>
      </w:r>
      <w:r w:rsidR="0073402D" w:rsidRPr="0073402D">
        <w:t xml:space="preserve"> a été exposé </w:t>
      </w:r>
      <w:r w:rsidR="00A92F72">
        <w:t>à des</w:t>
      </w:r>
      <w:r w:rsidR="0073402D" w:rsidRPr="0073402D">
        <w:t xml:space="preserve"> bruit</w:t>
      </w:r>
      <w:r w:rsidR="00A92F72">
        <w:t>s</w:t>
      </w:r>
      <w:r w:rsidR="0073402D" w:rsidRPr="0073402D">
        <w:t xml:space="preserve"> </w:t>
      </w:r>
      <w:r w:rsidR="00D94912">
        <w:t>pouvant lui</w:t>
      </w:r>
      <w:r w:rsidR="0073402D" w:rsidRPr="0073402D">
        <w:t xml:space="preserve"> causer une surdité. </w:t>
      </w:r>
      <w:r w:rsidRPr="0073402D">
        <w:t>Le travailleur conteste cette décision</w:t>
      </w:r>
      <w:r w:rsidR="0073402D" w:rsidRPr="0073402D">
        <w:rPr>
          <w:rStyle w:val="FootnoteReference"/>
        </w:rPr>
        <w:footnoteReference w:id="1"/>
      </w:r>
      <w:r w:rsidRPr="0073402D">
        <w:t xml:space="preserve"> devant le Tribunal</w:t>
      </w:r>
      <w:r w:rsidR="00D94912">
        <w:t>, d’où le présent litige</w:t>
      </w:r>
      <w:r w:rsidRPr="0073402D">
        <w:t>.</w:t>
      </w:r>
    </w:p>
    <w:p w14:paraId="49B48124" w14:textId="5063BFDC" w:rsidR="00516BCB" w:rsidRPr="00D94912" w:rsidRDefault="00516BCB" w:rsidP="003478DE">
      <w:pPr>
        <w:pStyle w:val="corpsdedcision"/>
      </w:pPr>
      <w:r w:rsidRPr="00D94912">
        <w:t>Le travailleur allègue que sa perte auditive découle de son exposition à des bruits excessifs provenant, à la fois, des outils qu’il utilisait dans l’exercice de ses différents emplois, mais également du bruit ambiant propre au</w:t>
      </w:r>
      <w:r w:rsidR="0073402D" w:rsidRPr="00D94912">
        <w:t xml:space="preserve"> domaine forestier, aux </w:t>
      </w:r>
      <w:proofErr w:type="gramStart"/>
      <w:r w:rsidR="0073402D" w:rsidRPr="00D94912">
        <w:lastRenderedPageBreak/>
        <w:t>entreprises</w:t>
      </w:r>
      <w:proofErr w:type="gramEnd"/>
      <w:r w:rsidR="0073402D" w:rsidRPr="00D94912">
        <w:t xml:space="preserve"> de sciage et </w:t>
      </w:r>
      <w:r w:rsidR="00D27E8C" w:rsidRPr="00353026">
        <w:t>des</w:t>
      </w:r>
      <w:r w:rsidR="0073402D" w:rsidRPr="00353026">
        <w:t xml:space="preserve"> mines</w:t>
      </w:r>
      <w:r w:rsidRPr="00353026">
        <w:t>.</w:t>
      </w:r>
      <w:r w:rsidRPr="00D94912">
        <w:t xml:space="preserve"> Incidemment, il soutient qu’il bénéficie de l’application de la présomption prévue à la </w:t>
      </w:r>
      <w:r w:rsidRPr="00D55CB2">
        <w:rPr>
          <w:i/>
        </w:rPr>
        <w:t>Loi</w:t>
      </w:r>
      <w:r w:rsidR="00983348" w:rsidRPr="00D55CB2">
        <w:rPr>
          <w:i/>
        </w:rPr>
        <w:t xml:space="preserve"> sur les accidents du travail et les maladies professionnelles</w:t>
      </w:r>
      <w:r w:rsidR="00983348">
        <w:rPr>
          <w:rStyle w:val="FootnoteReference"/>
          <w:iCs/>
        </w:rPr>
        <w:footnoteReference w:id="2"/>
      </w:r>
      <w:r w:rsidR="00983348">
        <w:rPr>
          <w:iCs/>
        </w:rPr>
        <w:t>, la Loi</w:t>
      </w:r>
      <w:r w:rsidRPr="00D94912">
        <w:t>.</w:t>
      </w:r>
    </w:p>
    <w:p w14:paraId="0842894E" w14:textId="077363F5" w:rsidR="00516BCB" w:rsidRPr="0073402D" w:rsidRDefault="00516BCB" w:rsidP="00983348">
      <w:pPr>
        <w:pStyle w:val="corpsdedcision"/>
      </w:pPr>
      <w:r w:rsidRPr="0073402D">
        <w:t xml:space="preserve">Pour les motifs qui suivent, le Tribunal est d’avis que la preuve soumise démontre que le travailleur est atteint d’une </w:t>
      </w:r>
      <w:r w:rsidRPr="00353026">
        <w:t xml:space="preserve">surdité </w:t>
      </w:r>
      <w:r w:rsidR="00D27E8C" w:rsidRPr="00353026">
        <w:t xml:space="preserve">d’origine </w:t>
      </w:r>
      <w:r w:rsidRPr="00353026">
        <w:t>professionnelle</w:t>
      </w:r>
      <w:r w:rsidRPr="0073402D">
        <w:rPr>
          <w:iCs/>
        </w:rPr>
        <w:t>.</w:t>
      </w:r>
    </w:p>
    <w:p w14:paraId="7B9A1EEB" w14:textId="238A3DEB" w:rsidR="00516BCB" w:rsidRPr="0073402D" w:rsidRDefault="0073402D" w:rsidP="00C82DCB">
      <w:pPr>
        <w:pStyle w:val="corpsdedcision"/>
        <w:numPr>
          <w:ilvl w:val="0"/>
          <w:numId w:val="0"/>
        </w:numPr>
        <w:tabs>
          <w:tab w:val="clear" w:pos="720"/>
        </w:tabs>
        <w:rPr>
          <w:b/>
          <w:u w:val="single"/>
        </w:rPr>
      </w:pPr>
      <w:r>
        <w:rPr>
          <w:b/>
          <w:u w:val="single"/>
        </w:rPr>
        <w:t>L’</w:t>
      </w:r>
      <w:r w:rsidR="00516BCB" w:rsidRPr="0073402D">
        <w:rPr>
          <w:b/>
          <w:u w:val="single"/>
        </w:rPr>
        <w:t>ANALYSE</w:t>
      </w:r>
    </w:p>
    <w:p w14:paraId="284C35FC" w14:textId="77777777" w:rsidR="00A61363" w:rsidRPr="001C1862" w:rsidRDefault="00A61363" w:rsidP="00C82DCB">
      <w:pPr>
        <w:pStyle w:val="corpsdedcision"/>
        <w:numPr>
          <w:ilvl w:val="0"/>
          <w:numId w:val="0"/>
        </w:numPr>
        <w:tabs>
          <w:tab w:val="clear" w:pos="720"/>
        </w:tabs>
        <w:rPr>
          <w:b/>
          <w:bCs/>
        </w:rPr>
      </w:pPr>
      <w:r w:rsidRPr="001C1862">
        <w:rPr>
          <w:b/>
          <w:bCs/>
        </w:rPr>
        <w:t xml:space="preserve">Est-ce que le travailleur </w:t>
      </w:r>
      <w:r w:rsidRPr="002E3826">
        <w:rPr>
          <w:b/>
          <w:bCs/>
        </w:rPr>
        <w:t>est atteint d’une surdité d’origine</w:t>
      </w:r>
      <w:r>
        <w:rPr>
          <w:b/>
          <w:bCs/>
        </w:rPr>
        <w:t xml:space="preserve"> </w:t>
      </w:r>
      <w:r w:rsidRPr="001C1862">
        <w:rPr>
          <w:b/>
          <w:bCs/>
        </w:rPr>
        <w:t>professionnelle?</w:t>
      </w:r>
    </w:p>
    <w:p w14:paraId="0EBFDA1F" w14:textId="7FCA6290" w:rsidR="00A61363" w:rsidRPr="000C0743" w:rsidRDefault="00D27E8C" w:rsidP="00C82DCB">
      <w:pPr>
        <w:pStyle w:val="corpsdedcision"/>
      </w:pPr>
      <w:r w:rsidRPr="00353026">
        <w:t>Une</w:t>
      </w:r>
      <w:r w:rsidR="00EB3AC5" w:rsidRPr="00353026">
        <w:t xml:space="preserve"> surdité d’origine professionnelle</w:t>
      </w:r>
      <w:r w:rsidRPr="00353026">
        <w:t xml:space="preserve"> </w:t>
      </w:r>
      <w:r w:rsidR="00EB3AC5" w:rsidRPr="00353026">
        <w:t xml:space="preserve">constitue une </w:t>
      </w:r>
      <w:r w:rsidRPr="00353026">
        <w:t xml:space="preserve">forme de </w:t>
      </w:r>
      <w:r w:rsidR="00EB3AC5" w:rsidRPr="00353026">
        <w:t xml:space="preserve">maladie professionnelle au sens de la Loi. Celle-ci </w:t>
      </w:r>
      <w:r w:rsidR="00A61363" w:rsidRPr="00353026">
        <w:t>définit la</w:t>
      </w:r>
      <w:r w:rsidR="00A61363">
        <w:t xml:space="preserve"> </w:t>
      </w:r>
      <w:r w:rsidR="00A61363" w:rsidRPr="001C1862">
        <w:t xml:space="preserve">« maladie professionnelle » comme étant une maladie contractée par le fait ou à l’occasion du travail et qui est caractéristique de celui-ci ou </w:t>
      </w:r>
      <w:r w:rsidR="00A61363" w:rsidRPr="000C0743">
        <w:t>reliée à des risques particuliers de ce travail</w:t>
      </w:r>
      <w:r w:rsidR="00A61363" w:rsidRPr="000C0743">
        <w:rPr>
          <w:rStyle w:val="FootnoteReference"/>
        </w:rPr>
        <w:footnoteReference w:id="3"/>
      </w:r>
      <w:r w:rsidR="00A61363" w:rsidRPr="000C0743">
        <w:t>.</w:t>
      </w:r>
    </w:p>
    <w:p w14:paraId="22BEE56C" w14:textId="6EB925ED" w:rsidR="00A61363" w:rsidRPr="00F1205D" w:rsidRDefault="00EB3AC5" w:rsidP="00C82DCB">
      <w:pPr>
        <w:pStyle w:val="corpsdedcision"/>
      </w:pPr>
      <w:r>
        <w:t>Le</w:t>
      </w:r>
      <w:r w:rsidR="00A61363" w:rsidRPr="00AF0F91">
        <w:t xml:space="preserve"> cadre juridique pour </w:t>
      </w:r>
      <w:r w:rsidR="00A61363" w:rsidRPr="00F1205D">
        <w:t xml:space="preserve">déterminer si le travailleur est atteint d’une surdité </w:t>
      </w:r>
      <w:r>
        <w:t xml:space="preserve">d’origine </w:t>
      </w:r>
      <w:r w:rsidR="00A61363" w:rsidRPr="00F1205D">
        <w:t>professionnelle relève de l’application des articles 29 et 30 de la Loi</w:t>
      </w:r>
      <w:r w:rsidR="0059065D">
        <w:t>,</w:t>
      </w:r>
      <w:r w:rsidR="00A61363" w:rsidRPr="00F1205D">
        <w:t xml:space="preserve"> dont les libellés ont été légèrement modifiés depuis l’entrée en vigueur de la </w:t>
      </w:r>
      <w:r w:rsidRPr="00EB3AC5">
        <w:rPr>
          <w:i/>
          <w:szCs w:val="24"/>
        </w:rPr>
        <w:t>Loi modernisant le régime de santé et de sécurité du travail</w:t>
      </w:r>
      <w:r>
        <w:rPr>
          <w:rStyle w:val="FootnoteReference"/>
          <w:szCs w:val="24"/>
        </w:rPr>
        <w:footnoteReference w:id="4"/>
      </w:r>
      <w:r w:rsidRPr="00EB3AC5">
        <w:rPr>
          <w:szCs w:val="24"/>
        </w:rPr>
        <w:t>,</w:t>
      </w:r>
      <w:r w:rsidRPr="00EB3AC5">
        <w:rPr>
          <w:i/>
          <w:szCs w:val="24"/>
        </w:rPr>
        <w:t xml:space="preserve"> </w:t>
      </w:r>
      <w:r w:rsidRPr="00EB3AC5">
        <w:rPr>
          <w:iCs/>
          <w:szCs w:val="24"/>
        </w:rPr>
        <w:t>la LMRSS</w:t>
      </w:r>
      <w:r>
        <w:rPr>
          <w:iCs/>
          <w:szCs w:val="24"/>
        </w:rPr>
        <w:t>T</w:t>
      </w:r>
      <w:r>
        <w:rPr>
          <w:rStyle w:val="FootnoteReference"/>
        </w:rPr>
        <w:footnoteReference w:id="5"/>
      </w:r>
      <w:r w:rsidR="00A61363" w:rsidRPr="00F1205D">
        <w:t>.</w:t>
      </w:r>
    </w:p>
    <w:p w14:paraId="53C854E3" w14:textId="5AD8010F" w:rsidR="00A61363" w:rsidRPr="00353026" w:rsidRDefault="00A61363" w:rsidP="006108B1">
      <w:pPr>
        <w:pStyle w:val="corpsdedcision"/>
      </w:pPr>
      <w:r w:rsidRPr="00F1205D">
        <w:t xml:space="preserve">L’article 29 de la Loi énonce une présomption légale qui a pour but de simplifier le fardeau de preuve qui incombe </w:t>
      </w:r>
      <w:r w:rsidRPr="00353026">
        <w:t xml:space="preserve">au travailleur. </w:t>
      </w:r>
      <w:r w:rsidR="006108B1" w:rsidRPr="00353026">
        <w:t xml:space="preserve">Pour présumer qu’un </w:t>
      </w:r>
      <w:r w:rsidRPr="00353026">
        <w:rPr>
          <w:bCs/>
        </w:rPr>
        <w:t xml:space="preserve">travailleur </w:t>
      </w:r>
      <w:r w:rsidR="00454656" w:rsidRPr="00353026">
        <w:rPr>
          <w:bCs/>
        </w:rPr>
        <w:t>est</w:t>
      </w:r>
      <w:r w:rsidR="006108B1" w:rsidRPr="00353026">
        <w:rPr>
          <w:bCs/>
        </w:rPr>
        <w:t xml:space="preserve"> atteint </w:t>
      </w:r>
      <w:r w:rsidRPr="00353026">
        <w:rPr>
          <w:bCs/>
        </w:rPr>
        <w:t>d’une maladie professionnelle</w:t>
      </w:r>
      <w:r w:rsidR="006108B1" w:rsidRPr="00353026">
        <w:rPr>
          <w:bCs/>
        </w:rPr>
        <w:t xml:space="preserve">, </w:t>
      </w:r>
      <w:r w:rsidR="00454656" w:rsidRPr="00353026">
        <w:rPr>
          <w:bCs/>
        </w:rPr>
        <w:t>la</w:t>
      </w:r>
      <w:r w:rsidRPr="00353026">
        <w:rPr>
          <w:bCs/>
        </w:rPr>
        <w:t xml:space="preserve"> maladie </w:t>
      </w:r>
      <w:r w:rsidR="00454656" w:rsidRPr="00353026">
        <w:rPr>
          <w:bCs/>
        </w:rPr>
        <w:t xml:space="preserve">doit être </w:t>
      </w:r>
      <w:r w:rsidRPr="00353026">
        <w:rPr>
          <w:bCs/>
        </w:rPr>
        <w:t xml:space="preserve">prévue </w:t>
      </w:r>
      <w:r w:rsidR="006108B1" w:rsidRPr="00353026">
        <w:rPr>
          <w:bCs/>
        </w:rPr>
        <w:t xml:space="preserve">au </w:t>
      </w:r>
      <w:r w:rsidR="006108B1" w:rsidRPr="00353026">
        <w:rPr>
          <w:i/>
        </w:rPr>
        <w:t>Règlement sur les maladies professionnelles</w:t>
      </w:r>
      <w:r w:rsidR="006108B1" w:rsidRPr="00353026">
        <w:rPr>
          <w:rStyle w:val="FootnoteReference"/>
        </w:rPr>
        <w:footnoteReference w:id="6"/>
      </w:r>
      <w:r w:rsidR="006108B1" w:rsidRPr="00353026">
        <w:t>, le Règlement,</w:t>
      </w:r>
      <w:r w:rsidRPr="00353026">
        <w:rPr>
          <w:bCs/>
        </w:rPr>
        <w:t xml:space="preserve"> au jour où il reçoit le diagnostic de cette maladie</w:t>
      </w:r>
      <w:r w:rsidR="00454656" w:rsidRPr="00353026">
        <w:rPr>
          <w:bCs/>
        </w:rPr>
        <w:t xml:space="preserve"> et</w:t>
      </w:r>
      <w:r w:rsidRPr="00353026">
        <w:rPr>
          <w:bCs/>
        </w:rPr>
        <w:t xml:space="preserve"> </w:t>
      </w:r>
      <w:r w:rsidR="00353026" w:rsidRPr="00353026">
        <w:rPr>
          <w:bCs/>
        </w:rPr>
        <w:t>s’</w:t>
      </w:r>
      <w:r w:rsidRPr="00353026">
        <w:rPr>
          <w:bCs/>
        </w:rPr>
        <w:t xml:space="preserve">il rencontre les conditions particulières en lien avec cette maladie prévues par </w:t>
      </w:r>
      <w:r w:rsidR="00454656" w:rsidRPr="00353026">
        <w:rPr>
          <w:bCs/>
        </w:rPr>
        <w:t>ce R</w:t>
      </w:r>
      <w:r w:rsidRPr="00353026">
        <w:rPr>
          <w:bCs/>
        </w:rPr>
        <w:t>èglement.</w:t>
      </w:r>
    </w:p>
    <w:p w14:paraId="476D6959" w14:textId="78B0E30C" w:rsidR="00A61363" w:rsidRPr="00353026" w:rsidRDefault="006108B1" w:rsidP="00C82DCB">
      <w:pPr>
        <w:pStyle w:val="corpsdedcision"/>
      </w:pPr>
      <w:r w:rsidRPr="00353026">
        <w:t xml:space="preserve">Lorsqu’il est question d’une atteinte auditive comme en l’instance, il faut se référer plus particulièrement à la </w:t>
      </w:r>
      <w:r w:rsidR="00A61363" w:rsidRPr="00353026">
        <w:t>section</w:t>
      </w:r>
      <w:r w:rsidR="0059065D" w:rsidRPr="00353026">
        <w:t> </w:t>
      </w:r>
      <w:r w:rsidR="00A61363" w:rsidRPr="00353026">
        <w:t>IV de l’annexe</w:t>
      </w:r>
      <w:r w:rsidR="0059065D" w:rsidRPr="00353026">
        <w:t> </w:t>
      </w:r>
      <w:r w:rsidR="00A61363" w:rsidRPr="00353026">
        <w:t xml:space="preserve">A </w:t>
      </w:r>
      <w:r w:rsidRPr="00353026">
        <w:t>du Règlement</w:t>
      </w:r>
      <w:r w:rsidR="00A61363" w:rsidRPr="00353026">
        <w:t xml:space="preserve">. </w:t>
      </w:r>
      <w:r w:rsidRPr="00353026">
        <w:t>C</w:t>
      </w:r>
      <w:r w:rsidR="00A61363" w:rsidRPr="00353026">
        <w:t xml:space="preserve">ette section reprend textuellement les </w:t>
      </w:r>
      <w:r w:rsidR="00454656" w:rsidRPr="00353026">
        <w:t xml:space="preserve">deux </w:t>
      </w:r>
      <w:r w:rsidR="00A61363" w:rsidRPr="00353026">
        <w:t>mêmes</w:t>
      </w:r>
      <w:r w:rsidR="00A61363" w:rsidRPr="00F1205D">
        <w:t xml:space="preserve"> conditions que celles qui étaient énoncées antérieurement à la section</w:t>
      </w:r>
      <w:r w:rsidR="009C0AA4">
        <w:t> </w:t>
      </w:r>
      <w:r w:rsidR="00A61363" w:rsidRPr="00F1205D">
        <w:t>IV de l’annexe</w:t>
      </w:r>
      <w:r w:rsidR="009C0AA4">
        <w:t> </w:t>
      </w:r>
      <w:r w:rsidR="00A61363" w:rsidRPr="00F1205D">
        <w:t>1 de la Loi</w:t>
      </w:r>
      <w:r w:rsidR="00495F59" w:rsidRPr="00353026">
        <w:t xml:space="preserve">, à savoir </w:t>
      </w:r>
      <w:r w:rsidR="00454656" w:rsidRPr="00353026">
        <w:t xml:space="preserve">que le travailleur doit démonter qu’il présente une </w:t>
      </w:r>
      <w:r w:rsidR="00495F59" w:rsidRPr="00353026">
        <w:t>atteint</w:t>
      </w:r>
      <w:r w:rsidR="00454656" w:rsidRPr="00353026">
        <w:t>e</w:t>
      </w:r>
      <w:r w:rsidR="00495F59" w:rsidRPr="00353026">
        <w:t xml:space="preserve"> auditive causée par le bruit et </w:t>
      </w:r>
      <w:r w:rsidR="00454656" w:rsidRPr="00353026">
        <w:t xml:space="preserve">qu’il a </w:t>
      </w:r>
      <w:r w:rsidR="00495F59" w:rsidRPr="00353026">
        <w:t xml:space="preserve">exercé un travail </w:t>
      </w:r>
      <w:r w:rsidR="00454656" w:rsidRPr="00353026">
        <w:t xml:space="preserve">l’ayant exposé </w:t>
      </w:r>
      <w:r w:rsidR="00495F59" w:rsidRPr="00353026">
        <w:t>à un bruit excessif.</w:t>
      </w:r>
    </w:p>
    <w:p w14:paraId="085733D8" w14:textId="420DA10D" w:rsidR="00A61363" w:rsidRDefault="00320D42" w:rsidP="00C82DCB">
      <w:pPr>
        <w:pStyle w:val="corpsdedcision"/>
      </w:pPr>
      <w:r w:rsidRPr="00353026">
        <w:lastRenderedPageBreak/>
        <w:t xml:space="preserve">Dans ces circonstances, il est toujours pertinent de </w:t>
      </w:r>
      <w:r w:rsidR="00353026">
        <w:t xml:space="preserve">faire référence </w:t>
      </w:r>
      <w:r w:rsidRPr="00353026">
        <w:t xml:space="preserve">à la </w:t>
      </w:r>
      <w:r w:rsidR="00A61363" w:rsidRPr="00353026">
        <w:t>jurisprudence antérieure</w:t>
      </w:r>
      <w:r w:rsidRPr="00353026">
        <w:t xml:space="preserve"> à la modification de l’</w:t>
      </w:r>
      <w:r w:rsidR="00A61363" w:rsidRPr="00353026">
        <w:t>article 29 de la Loi</w:t>
      </w:r>
      <w:r w:rsidRPr="00353026">
        <w:t xml:space="preserve"> puisque la substance de la règle n’a pas été modifiée </w:t>
      </w:r>
      <w:r w:rsidR="007E0DE5" w:rsidRPr="00353026">
        <w:t>comme le confirmait en</w:t>
      </w:r>
      <w:r w:rsidR="007E0DE5">
        <w:t>core récemment</w:t>
      </w:r>
      <w:r w:rsidR="00A61363" w:rsidRPr="00F1205D">
        <w:t xml:space="preserve"> le Tribunal dans l’affaire </w:t>
      </w:r>
      <w:r w:rsidR="00A61363" w:rsidRPr="00F1205D">
        <w:rPr>
          <w:i/>
        </w:rPr>
        <w:t>Pelletier</w:t>
      </w:r>
      <w:r w:rsidR="00A61363" w:rsidRPr="00F1205D">
        <w:rPr>
          <w:iCs/>
        </w:rPr>
        <w:t xml:space="preserve"> </w:t>
      </w:r>
      <w:r w:rsidR="00A61363" w:rsidRPr="00F1205D">
        <w:t xml:space="preserve">et </w:t>
      </w:r>
      <w:r w:rsidR="00A61363" w:rsidRPr="00F1205D">
        <w:rPr>
          <w:i/>
        </w:rPr>
        <w:t xml:space="preserve">Thiro Construction </w:t>
      </w:r>
      <w:proofErr w:type="spellStart"/>
      <w:r w:rsidR="00A61363" w:rsidRPr="00F1205D">
        <w:rPr>
          <w:i/>
        </w:rPr>
        <w:t>ltée</w:t>
      </w:r>
      <w:proofErr w:type="spellEnd"/>
      <w:r w:rsidR="00A61363" w:rsidRPr="00F1205D">
        <w:rPr>
          <w:rStyle w:val="FootnoteReference"/>
        </w:rPr>
        <w:footnoteReference w:id="7"/>
      </w:r>
      <w:r w:rsidR="00A61363" w:rsidRPr="00F1205D">
        <w:t>.</w:t>
      </w:r>
    </w:p>
    <w:p w14:paraId="3CF43D55" w14:textId="77777777" w:rsidR="00320D42" w:rsidRPr="00353026" w:rsidRDefault="00320D42" w:rsidP="00320D42">
      <w:pPr>
        <w:pStyle w:val="corpsdedcision"/>
      </w:pPr>
      <w:r w:rsidRPr="00353026">
        <w:t>Lorsque la présomption s’applique, elle fait présumer de l’existence d’une relation causale entre la surdité et le bruit auquel le travailleur a été exposé dans son milieu de travail. Il devient alors dispensé de présenter une preuve prépondérante de causalité</w:t>
      </w:r>
      <w:r w:rsidRPr="00353026">
        <w:rPr>
          <w:rStyle w:val="FootnoteReference"/>
        </w:rPr>
        <w:footnoteReference w:id="8"/>
      </w:r>
      <w:r w:rsidRPr="00353026">
        <w:t>.</w:t>
      </w:r>
    </w:p>
    <w:p w14:paraId="146C8A30" w14:textId="77777777" w:rsidR="00A61363" w:rsidRPr="00F1205D" w:rsidRDefault="00A61363" w:rsidP="00C82DCB">
      <w:pPr>
        <w:pStyle w:val="corpsdedcision"/>
      </w:pPr>
      <w:r w:rsidRPr="00F1205D">
        <w:t>À défaut de pouvoir bénéficier de cette présomption légale</w:t>
      </w:r>
      <w:r w:rsidRPr="001C1862">
        <w:t xml:space="preserve">, il revient au travailleur de démontrer, de façon prépondérante, que sa surdité est caractéristique ou reliée aux risques </w:t>
      </w:r>
      <w:r w:rsidRPr="00F1205D">
        <w:t>particuliers de son travail</w:t>
      </w:r>
      <w:r w:rsidRPr="00F1205D">
        <w:rPr>
          <w:rStyle w:val="FootnoteReference"/>
        </w:rPr>
        <w:footnoteReference w:id="9"/>
      </w:r>
      <w:r w:rsidRPr="00F1205D">
        <w:t>.</w:t>
      </w:r>
    </w:p>
    <w:p w14:paraId="22FE0711" w14:textId="1F8E97CC" w:rsidR="00A61363" w:rsidRPr="00F1205D" w:rsidRDefault="00A61363" w:rsidP="00C82DCB">
      <w:pPr>
        <w:pStyle w:val="corpsdedcision"/>
      </w:pPr>
      <w:r w:rsidRPr="00F1205D">
        <w:t xml:space="preserve">La première étape de l’analyse consiste donc à vérifier si le travailleur </w:t>
      </w:r>
      <w:r w:rsidR="00076D0A">
        <w:t>peut</w:t>
      </w:r>
      <w:r w:rsidRPr="00F1205D">
        <w:t xml:space="preserve"> bénéficier de la présomption de maladie professionnelle.</w:t>
      </w:r>
    </w:p>
    <w:p w14:paraId="0661D06D" w14:textId="77777777" w:rsidR="00A61363" w:rsidRPr="007505D9" w:rsidRDefault="00A61363" w:rsidP="00C82DCB">
      <w:pPr>
        <w:pStyle w:val="corpsdedcision"/>
        <w:numPr>
          <w:ilvl w:val="0"/>
          <w:numId w:val="0"/>
        </w:numPr>
        <w:tabs>
          <w:tab w:val="clear" w:pos="720"/>
        </w:tabs>
        <w:rPr>
          <w:u w:val="single"/>
        </w:rPr>
      </w:pPr>
      <w:r w:rsidRPr="007505D9">
        <w:rPr>
          <w:u w:val="single"/>
        </w:rPr>
        <w:t>La présomption légale</w:t>
      </w:r>
    </w:p>
    <w:p w14:paraId="71859061" w14:textId="6386D464" w:rsidR="00A61363" w:rsidRDefault="00A61363" w:rsidP="00C82DCB">
      <w:pPr>
        <w:pStyle w:val="corpsdedcision"/>
      </w:pPr>
      <w:r>
        <w:t>Pour bénéficier de l’application de la présomption légale</w:t>
      </w:r>
      <w:r>
        <w:rPr>
          <w:rStyle w:val="FootnoteReference"/>
        </w:rPr>
        <w:footnoteReference w:id="10"/>
      </w:r>
      <w:r>
        <w:t>, le travailleur</w:t>
      </w:r>
      <w:r w:rsidRPr="00CD3C15">
        <w:t xml:space="preserve"> </w:t>
      </w:r>
      <w:r>
        <w:t xml:space="preserve">doit </w:t>
      </w:r>
      <w:r w:rsidR="00320D42" w:rsidRPr="00353026">
        <w:t>donc</w:t>
      </w:r>
      <w:r w:rsidR="00320D42">
        <w:t xml:space="preserve"> </w:t>
      </w:r>
      <w:r w:rsidRPr="00CD3C15">
        <w:t>démontrer</w:t>
      </w:r>
      <w:r>
        <w:t>, par une preuve prépondérante, les deux éléments suivants </w:t>
      </w:r>
      <w:r w:rsidRPr="00CD3C15">
        <w:t>:</w:t>
      </w:r>
    </w:p>
    <w:p w14:paraId="2C00CE94" w14:textId="5ADBC682" w:rsidR="00A61363" w:rsidRPr="00CD3C15" w:rsidRDefault="00A61363" w:rsidP="00C82DCB">
      <w:pPr>
        <w:pStyle w:val="corpsdedcision"/>
        <w:numPr>
          <w:ilvl w:val="0"/>
          <w:numId w:val="13"/>
        </w:numPr>
        <w:tabs>
          <w:tab w:val="clear" w:pos="720"/>
        </w:tabs>
        <w:ind w:left="1276" w:hanging="567"/>
      </w:pPr>
      <w:proofErr w:type="gramStart"/>
      <w:r>
        <w:t>qu’il</w:t>
      </w:r>
      <w:proofErr w:type="gramEnd"/>
      <w:r w:rsidRPr="00CD3C15">
        <w:t xml:space="preserve"> souffre d’une atteinte auditive causée par le bruit;</w:t>
      </w:r>
    </w:p>
    <w:p w14:paraId="3601C8A0" w14:textId="77777777" w:rsidR="00A61363" w:rsidRDefault="00A61363" w:rsidP="00C82DCB">
      <w:pPr>
        <w:pStyle w:val="corpsdedcision"/>
        <w:numPr>
          <w:ilvl w:val="0"/>
          <w:numId w:val="13"/>
        </w:numPr>
        <w:tabs>
          <w:tab w:val="clear" w:pos="720"/>
        </w:tabs>
        <w:ind w:left="1276" w:hanging="567"/>
      </w:pPr>
      <w:proofErr w:type="gramStart"/>
      <w:r>
        <w:t>qu’il</w:t>
      </w:r>
      <w:proofErr w:type="gramEnd"/>
      <w:r w:rsidRPr="00CD3C15">
        <w:t xml:space="preserve"> a exercé un travail impliquant une exposition à un bruit excessif.</w:t>
      </w:r>
    </w:p>
    <w:p w14:paraId="7D7A7930" w14:textId="4AC29DAD" w:rsidR="00A61363" w:rsidRPr="003E6191" w:rsidRDefault="00320D42" w:rsidP="00C82DCB">
      <w:pPr>
        <w:pStyle w:val="corpsdedcision"/>
      </w:pPr>
      <w:r w:rsidRPr="00353026">
        <w:t>Les</w:t>
      </w:r>
      <w:r w:rsidR="00A61363" w:rsidRPr="00353026">
        <w:t xml:space="preserve"> caractéristiques d’une atteinte auditive causée par le bruit</w:t>
      </w:r>
      <w:r w:rsidR="00D47ABE" w:rsidRPr="00353026">
        <w:t>, première condition à démontrer,</w:t>
      </w:r>
      <w:r w:rsidRPr="00353026">
        <w:t xml:space="preserve"> </w:t>
      </w:r>
      <w:r w:rsidR="00A61363" w:rsidRPr="00353026">
        <w:t>sont bien établies au sein de la jurisprudence</w:t>
      </w:r>
      <w:r w:rsidR="00A61363" w:rsidRPr="00353026">
        <w:rPr>
          <w:rStyle w:val="FootnoteReference"/>
        </w:rPr>
        <w:footnoteReference w:id="11"/>
      </w:r>
      <w:r w:rsidR="00A61363" w:rsidRPr="00353026">
        <w:t xml:space="preserve">. Cette atteinte </w:t>
      </w:r>
      <w:r w:rsidR="00A61363" w:rsidRPr="00353026">
        <w:rPr>
          <w:color w:val="000000"/>
        </w:rPr>
        <w:t>doit être neurosensoriel</w:t>
      </w:r>
      <w:r w:rsidR="002060D0" w:rsidRPr="00353026">
        <w:rPr>
          <w:color w:val="000000"/>
        </w:rPr>
        <w:t>le</w:t>
      </w:r>
      <w:r w:rsidR="00A61363" w:rsidRPr="00353026">
        <w:rPr>
          <w:color w:val="000000"/>
        </w:rPr>
        <w:t>, bilatéral</w:t>
      </w:r>
      <w:r w:rsidR="002060D0" w:rsidRPr="00353026">
        <w:rPr>
          <w:color w:val="000000"/>
        </w:rPr>
        <w:t>e</w:t>
      </w:r>
      <w:r w:rsidR="00A61363" w:rsidRPr="00353026">
        <w:rPr>
          <w:color w:val="000000"/>
        </w:rPr>
        <w:t xml:space="preserve"> et symétrique. </w:t>
      </w:r>
      <w:r w:rsidR="00DF69B2" w:rsidRPr="00353026">
        <w:t>En effet,</w:t>
      </w:r>
      <w:r w:rsidR="00A61363" w:rsidRPr="00353026">
        <w:t xml:space="preserve"> le bruit ambiant affecte normalement les deux oreilles de façon égale à moins d’une preuve contraire, </w:t>
      </w:r>
      <w:r w:rsidR="00DF69B2" w:rsidRPr="00353026">
        <w:t xml:space="preserve">lorsque par exemple la surdité découle d’un traumatisme, </w:t>
      </w:r>
      <w:r w:rsidR="00A61363" w:rsidRPr="00353026">
        <w:t>ce</w:t>
      </w:r>
      <w:r w:rsidR="00A61363" w:rsidRPr="006E6194">
        <w:t xml:space="preserve"> qui n’est pas allégué dans le présent dossier.</w:t>
      </w:r>
    </w:p>
    <w:p w14:paraId="5E882930" w14:textId="5EE723BF" w:rsidR="00A61363" w:rsidRPr="0048642F" w:rsidRDefault="00A61363" w:rsidP="00C82DCB">
      <w:pPr>
        <w:pStyle w:val="corpsdedcision"/>
      </w:pPr>
      <w:r w:rsidRPr="006E6194">
        <w:rPr>
          <w:color w:val="000000"/>
        </w:rPr>
        <w:t>Comme autre caractéristique, l’atteinte</w:t>
      </w:r>
      <w:r w:rsidRPr="003E6191">
        <w:rPr>
          <w:color w:val="000000"/>
        </w:rPr>
        <w:t xml:space="preserve"> auditive </w:t>
      </w:r>
      <w:r w:rsidRPr="006E6194">
        <w:rPr>
          <w:color w:val="000000"/>
        </w:rPr>
        <w:t>doit être</w:t>
      </w:r>
      <w:r w:rsidRPr="003E6191">
        <w:rPr>
          <w:color w:val="000000"/>
        </w:rPr>
        <w:t xml:space="preserve"> plus sévère dans les hautes </w:t>
      </w:r>
      <w:r w:rsidRPr="003E6191">
        <w:rPr>
          <w:color w:val="000000"/>
          <w:szCs w:val="24"/>
        </w:rPr>
        <w:t xml:space="preserve">fréquences </w:t>
      </w:r>
      <w:r w:rsidRPr="006E6194">
        <w:rPr>
          <w:color w:val="000000"/>
          <w:szCs w:val="24"/>
        </w:rPr>
        <w:t>alors que</w:t>
      </w:r>
      <w:r w:rsidRPr="003E6191">
        <w:rPr>
          <w:color w:val="000000"/>
          <w:szCs w:val="24"/>
        </w:rPr>
        <w:t xml:space="preserve"> </w:t>
      </w:r>
      <w:r w:rsidRPr="006E6194">
        <w:rPr>
          <w:rFonts w:cs="Arial"/>
        </w:rPr>
        <w:t>les basses</w:t>
      </w:r>
      <w:r w:rsidRPr="003E6191">
        <w:rPr>
          <w:rFonts w:cs="Arial"/>
        </w:rPr>
        <w:t xml:space="preserve"> fréquences sont </w:t>
      </w:r>
      <w:r>
        <w:rPr>
          <w:rFonts w:cs="Arial"/>
        </w:rPr>
        <w:t>peu</w:t>
      </w:r>
      <w:r w:rsidRPr="003E6191">
        <w:rPr>
          <w:rFonts w:cs="Arial"/>
        </w:rPr>
        <w:t xml:space="preserve"> ou </w:t>
      </w:r>
      <w:r>
        <w:rPr>
          <w:rFonts w:cs="Arial"/>
        </w:rPr>
        <w:t>pas</w:t>
      </w:r>
      <w:r w:rsidRPr="003E6191">
        <w:rPr>
          <w:rFonts w:cs="Arial"/>
        </w:rPr>
        <w:t xml:space="preserve"> touchées</w:t>
      </w:r>
      <w:r>
        <w:rPr>
          <w:rFonts w:cs="Arial"/>
        </w:rPr>
        <w:t xml:space="preserve">. Cette </w:t>
      </w:r>
      <w:r>
        <w:rPr>
          <w:rFonts w:cs="Arial"/>
        </w:rPr>
        <w:lastRenderedPageBreak/>
        <w:t xml:space="preserve">atteinte dans les hautes fréquences </w:t>
      </w:r>
      <w:r w:rsidRPr="00353026">
        <w:rPr>
          <w:rFonts w:cs="Arial"/>
        </w:rPr>
        <w:t xml:space="preserve">est </w:t>
      </w:r>
      <w:r w:rsidR="00DF69B2" w:rsidRPr="00353026">
        <w:rPr>
          <w:rFonts w:cs="Arial"/>
        </w:rPr>
        <w:t>généralement</w:t>
      </w:r>
      <w:r w:rsidR="00DF69B2">
        <w:rPr>
          <w:rFonts w:cs="Arial"/>
        </w:rPr>
        <w:t xml:space="preserve"> </w:t>
      </w:r>
      <w:r>
        <w:rPr>
          <w:rFonts w:cs="Arial"/>
        </w:rPr>
        <w:t xml:space="preserve">démontrée par </w:t>
      </w:r>
      <w:r w:rsidRPr="003E6191">
        <w:rPr>
          <w:rStyle w:val="Citationintgre"/>
          <w:i w:val="0"/>
          <w:sz w:val="24"/>
          <w:szCs w:val="24"/>
        </w:rPr>
        <w:t xml:space="preserve">une chute du seuil d’audition autour des fréquences de </w:t>
      </w:r>
      <w:r>
        <w:rPr>
          <w:rStyle w:val="Citationintgre"/>
          <w:i w:val="0"/>
          <w:sz w:val="24"/>
          <w:szCs w:val="24"/>
        </w:rPr>
        <w:t xml:space="preserve">3 000 à </w:t>
      </w:r>
      <w:r w:rsidRPr="003E6191">
        <w:rPr>
          <w:rStyle w:val="Citationintgre"/>
          <w:i w:val="0"/>
          <w:sz w:val="24"/>
          <w:szCs w:val="24"/>
        </w:rPr>
        <w:t xml:space="preserve">4 000 hertz, </w:t>
      </w:r>
      <w:r w:rsidRPr="006E6194">
        <w:rPr>
          <w:rStyle w:val="Citationintgre"/>
          <w:i w:val="0"/>
          <w:sz w:val="24"/>
          <w:szCs w:val="24"/>
        </w:rPr>
        <w:t>suivie</w:t>
      </w:r>
      <w:r w:rsidRPr="003E6191">
        <w:rPr>
          <w:rStyle w:val="Citationintgre"/>
          <w:i w:val="0"/>
          <w:sz w:val="24"/>
          <w:szCs w:val="24"/>
        </w:rPr>
        <w:t xml:space="preserve"> d’une remontée à 8 000 hertz</w:t>
      </w:r>
      <w:r w:rsidRPr="00B43618">
        <w:rPr>
          <w:rStyle w:val="FootnoteReference"/>
          <w:iCs/>
          <w:szCs w:val="24"/>
        </w:rPr>
        <w:footnoteReference w:id="12"/>
      </w:r>
      <w:r w:rsidRPr="003E6191">
        <w:rPr>
          <w:color w:val="000000"/>
        </w:rPr>
        <w:t>.</w:t>
      </w:r>
      <w:r w:rsidRPr="003E6191">
        <w:rPr>
          <w:rFonts w:cs="Arial"/>
        </w:rPr>
        <w:t xml:space="preserve"> </w:t>
      </w:r>
      <w:r w:rsidR="00076D0A" w:rsidRPr="006E6194">
        <w:rPr>
          <w:rFonts w:cs="Arial"/>
        </w:rPr>
        <w:t xml:space="preserve">Ce type de courbe </w:t>
      </w:r>
      <w:r w:rsidR="00076D0A">
        <w:rPr>
          <w:rFonts w:cs="Arial"/>
        </w:rPr>
        <w:t xml:space="preserve">apparaissant à l’audiogramme </w:t>
      </w:r>
      <w:r w:rsidR="00076D0A" w:rsidRPr="006E6194">
        <w:rPr>
          <w:rFonts w:cs="Arial"/>
        </w:rPr>
        <w:t>se distingue de</w:t>
      </w:r>
      <w:r w:rsidR="00076D0A" w:rsidRPr="003E6191">
        <w:rPr>
          <w:rFonts w:cs="Arial"/>
        </w:rPr>
        <w:t xml:space="preserve"> celle</w:t>
      </w:r>
      <w:r w:rsidR="00076D0A" w:rsidRPr="003E6191">
        <w:t xml:space="preserve"> d’une presbyacousie, soit une surdité causée par le vieillissement normal, laquelle </w:t>
      </w:r>
      <w:r w:rsidR="00076D0A" w:rsidRPr="00353026">
        <w:t xml:space="preserve">présente plutôt un modèle de courbe descendante sans remontée dans les 8 000 hertz. </w:t>
      </w:r>
      <w:r w:rsidRPr="00353026">
        <w:rPr>
          <w:rFonts w:cs="Arial"/>
        </w:rPr>
        <w:t xml:space="preserve">Il faut cependant noter </w:t>
      </w:r>
      <w:r w:rsidR="00076D0A" w:rsidRPr="00353026">
        <w:rPr>
          <w:rFonts w:cs="Arial"/>
        </w:rPr>
        <w:t>que l’absence de remontée</w:t>
      </w:r>
      <w:r w:rsidR="00320D42" w:rsidRPr="00353026">
        <w:rPr>
          <w:rFonts w:cs="Arial"/>
        </w:rPr>
        <w:t xml:space="preserve"> </w:t>
      </w:r>
      <w:r w:rsidR="00614CF3" w:rsidRPr="00353026">
        <w:rPr>
          <w:rFonts w:cs="Arial"/>
        </w:rPr>
        <w:t>dans les hautes fréquences ne constitue</w:t>
      </w:r>
      <w:r w:rsidR="00320D42" w:rsidRPr="00353026">
        <w:rPr>
          <w:rFonts w:cs="Arial"/>
        </w:rPr>
        <w:t xml:space="preserve"> pas une caractéristique essentielle puisqu’elle</w:t>
      </w:r>
      <w:r w:rsidR="00076D0A" w:rsidRPr="00353026">
        <w:rPr>
          <w:rFonts w:cs="Arial"/>
        </w:rPr>
        <w:t xml:space="preserve"> peut</w:t>
      </w:r>
      <w:r w:rsidR="00076D0A">
        <w:rPr>
          <w:rFonts w:cs="Arial"/>
        </w:rPr>
        <w:t xml:space="preserve"> s’expliquer par </w:t>
      </w:r>
      <w:r w:rsidRPr="00475E01">
        <w:rPr>
          <w:rFonts w:cs="Arial"/>
        </w:rPr>
        <w:t xml:space="preserve">une longue période d'exposition au bruit ou </w:t>
      </w:r>
      <w:r>
        <w:rPr>
          <w:rFonts w:cs="Arial"/>
        </w:rPr>
        <w:t>en raison d</w:t>
      </w:r>
      <w:r w:rsidR="00076D0A">
        <w:rPr>
          <w:rFonts w:cs="Arial"/>
        </w:rPr>
        <w:t>e</w:t>
      </w:r>
      <w:r w:rsidRPr="00475E01">
        <w:rPr>
          <w:rFonts w:cs="Arial"/>
        </w:rPr>
        <w:t xml:space="preserve"> </w:t>
      </w:r>
      <w:r w:rsidR="00076D0A">
        <w:rPr>
          <w:rFonts w:cs="Arial"/>
        </w:rPr>
        <w:t>l’</w:t>
      </w:r>
      <w:r w:rsidRPr="00475E01">
        <w:rPr>
          <w:rFonts w:cs="Arial"/>
        </w:rPr>
        <w:t>âge avancé</w:t>
      </w:r>
      <w:r w:rsidR="00076D0A">
        <w:rPr>
          <w:rFonts w:cs="Arial"/>
        </w:rPr>
        <w:t xml:space="preserve"> du travailleur</w:t>
      </w:r>
      <w:r w:rsidRPr="00844814">
        <w:rPr>
          <w:rStyle w:val="FootnoteReference"/>
          <w:rFonts w:cs="Arial"/>
        </w:rPr>
        <w:footnoteReference w:id="13"/>
      </w:r>
      <w:r w:rsidRPr="00475E01">
        <w:rPr>
          <w:rFonts w:cs="Arial"/>
        </w:rPr>
        <w:t>.</w:t>
      </w:r>
    </w:p>
    <w:p w14:paraId="28A0EEEE" w14:textId="64534EDF" w:rsidR="00A61363" w:rsidRPr="00353026" w:rsidRDefault="00A61363" w:rsidP="00B43618">
      <w:pPr>
        <w:pStyle w:val="corpsdedcision"/>
      </w:pPr>
      <w:r>
        <w:t>En</w:t>
      </w:r>
      <w:r w:rsidRPr="004729F2">
        <w:t>fin</w:t>
      </w:r>
      <w:r>
        <w:t>,</w:t>
      </w:r>
      <w:r w:rsidRPr="004729F2">
        <w:t xml:space="preserve"> </w:t>
      </w:r>
      <w:r w:rsidRPr="00D713FA">
        <w:t>toujours selon la jurisprudence, une</w:t>
      </w:r>
      <w:r w:rsidRPr="004729F2">
        <w:t xml:space="preserve"> atteinte auditive causée par le bruit se développe rapidement dans les </w:t>
      </w:r>
      <w:r>
        <w:t xml:space="preserve">dix à quinze </w:t>
      </w:r>
      <w:r w:rsidRPr="004729F2">
        <w:t xml:space="preserve">premières </w:t>
      </w:r>
      <w:r w:rsidRPr="00353026">
        <w:t>années d’exposition</w:t>
      </w:r>
      <w:r w:rsidR="00DF69B2" w:rsidRPr="00353026">
        <w:t xml:space="preserve"> et </w:t>
      </w:r>
      <w:r w:rsidRPr="00353026">
        <w:t xml:space="preserve">évolue plus lentement </w:t>
      </w:r>
      <w:r w:rsidR="00076D0A" w:rsidRPr="00353026">
        <w:t xml:space="preserve">ensuite </w:t>
      </w:r>
      <w:r w:rsidRPr="00353026">
        <w:t xml:space="preserve">si l’exposition au bruit demeure. Cependant, </w:t>
      </w:r>
      <w:r w:rsidR="00DF69B2" w:rsidRPr="00353026">
        <w:t>l’atteinte</w:t>
      </w:r>
      <w:r w:rsidRPr="00353026">
        <w:t xml:space="preserve"> cesse </w:t>
      </w:r>
      <w:r w:rsidR="00DF69B2" w:rsidRPr="00353026">
        <w:t xml:space="preserve">d’augmenter </w:t>
      </w:r>
      <w:r w:rsidRPr="00353026">
        <w:t>dès qu’il n’y a plus d’exposition au bruit</w:t>
      </w:r>
      <w:r w:rsidRPr="00353026">
        <w:rPr>
          <w:rStyle w:val="FootnoteReference"/>
        </w:rPr>
        <w:footnoteReference w:id="14"/>
      </w:r>
      <w:r w:rsidRPr="00353026">
        <w:t>.</w:t>
      </w:r>
    </w:p>
    <w:p w14:paraId="40FAE7CB" w14:textId="4F53976B" w:rsidR="00A61363" w:rsidRPr="00F1205D" w:rsidRDefault="00A61363" w:rsidP="00C82DCB">
      <w:pPr>
        <w:pStyle w:val="corpsdedcision"/>
      </w:pPr>
      <w:r>
        <w:t>P</w:t>
      </w:r>
      <w:r w:rsidRPr="00F1205D">
        <w:rPr>
          <w:rFonts w:cs="Arial"/>
        </w:rPr>
        <w:t xml:space="preserve">our les fins de l'analyse du caractère professionnel de la surdité, le Tribunal est lié au diagnostic de surdité neurosensorielle posé le </w:t>
      </w:r>
      <w:r>
        <w:rPr>
          <w:rFonts w:cs="Arial"/>
        </w:rPr>
        <w:t>30</w:t>
      </w:r>
      <w:r w:rsidR="00051CF6">
        <w:rPr>
          <w:rFonts w:cs="Arial"/>
        </w:rPr>
        <w:t> </w:t>
      </w:r>
      <w:r>
        <w:rPr>
          <w:rFonts w:cs="Arial"/>
        </w:rPr>
        <w:t>septembre</w:t>
      </w:r>
      <w:r w:rsidR="00051CF6">
        <w:rPr>
          <w:rFonts w:cs="Arial"/>
        </w:rPr>
        <w:t> </w:t>
      </w:r>
      <w:r>
        <w:rPr>
          <w:rFonts w:cs="Arial"/>
        </w:rPr>
        <w:t>2022</w:t>
      </w:r>
      <w:r w:rsidRPr="00F1205D">
        <w:rPr>
          <w:rFonts w:cs="Arial"/>
        </w:rPr>
        <w:t xml:space="preserve"> par la docteure </w:t>
      </w:r>
      <w:r>
        <w:rPr>
          <w:rFonts w:cs="Arial"/>
        </w:rPr>
        <w:t>Marisol</w:t>
      </w:r>
      <w:r w:rsidR="00051CF6">
        <w:rPr>
          <w:rFonts w:cs="Arial"/>
        </w:rPr>
        <w:t> </w:t>
      </w:r>
      <w:r w:rsidRPr="00F1205D">
        <w:rPr>
          <w:rFonts w:cs="Arial"/>
        </w:rPr>
        <w:t>Carignan</w:t>
      </w:r>
      <w:r w:rsidRPr="00F1205D">
        <w:t>,</w:t>
      </w:r>
      <w:r w:rsidRPr="00F1205D">
        <w:rPr>
          <w:rFonts w:cs="Arial"/>
        </w:rPr>
        <w:t xml:space="preserve"> vu</w:t>
      </w:r>
      <w:r w:rsidRPr="00F1205D">
        <w:t xml:space="preserve"> l’absence de contestation par le biais de la procédure prévue à la </w:t>
      </w:r>
      <w:r w:rsidRPr="00F1205D">
        <w:rPr>
          <w:iCs/>
        </w:rPr>
        <w:t>Loi</w:t>
      </w:r>
      <w:r w:rsidRPr="00F1205D">
        <w:rPr>
          <w:rStyle w:val="FootnoteReference"/>
        </w:rPr>
        <w:footnoteReference w:id="15"/>
      </w:r>
      <w:r w:rsidRPr="00F1205D">
        <w:t>.</w:t>
      </w:r>
    </w:p>
    <w:p w14:paraId="6FDA4F3A" w14:textId="54E4D264" w:rsidR="00495F59" w:rsidRDefault="00596CC6" w:rsidP="00C82DCB">
      <w:pPr>
        <w:pStyle w:val="corpsdedcision"/>
        <w:tabs>
          <w:tab w:val="clear" w:pos="720"/>
          <w:tab w:val="num" w:pos="709"/>
        </w:tabs>
      </w:pPr>
      <w:r>
        <w:t>En tenant compte des critères mentionnés précédemment</w:t>
      </w:r>
      <w:r w:rsidR="007C3775" w:rsidRPr="007C3775">
        <w:t xml:space="preserve">, </w:t>
      </w:r>
      <w:r w:rsidR="00A61363" w:rsidRPr="007C3775">
        <w:t xml:space="preserve">le Tribunal </w:t>
      </w:r>
      <w:r w:rsidR="007C3775">
        <w:t xml:space="preserve">conclut </w:t>
      </w:r>
      <w:r w:rsidR="00A61363" w:rsidRPr="007C3775">
        <w:t>que la première condition d’application de la présomption est démontrée.</w:t>
      </w:r>
    </w:p>
    <w:p w14:paraId="39B95730" w14:textId="399E0437" w:rsidR="007C3775" w:rsidRPr="007C3775" w:rsidRDefault="00A61363" w:rsidP="00C82DCB">
      <w:pPr>
        <w:pStyle w:val="corpsdedcision"/>
        <w:tabs>
          <w:tab w:val="clear" w:pos="720"/>
          <w:tab w:val="num" w:pos="709"/>
        </w:tabs>
      </w:pPr>
      <w:r w:rsidRPr="007C3775">
        <w:t>L’audiogramme du 17</w:t>
      </w:r>
      <w:r w:rsidR="00051CF6">
        <w:t> </w:t>
      </w:r>
      <w:r w:rsidRPr="007C3775">
        <w:t>août</w:t>
      </w:r>
      <w:r w:rsidR="00051CF6">
        <w:t> </w:t>
      </w:r>
      <w:r w:rsidRPr="007C3775">
        <w:t>2022 démontre effectivement une hypoacousie neurosensorielle bilatérale</w:t>
      </w:r>
      <w:r w:rsidR="00495F59" w:rsidRPr="00353026">
        <w:t xml:space="preserve">, </w:t>
      </w:r>
      <w:r w:rsidRPr="00353026">
        <w:t>avec une courbe</w:t>
      </w:r>
      <w:r w:rsidRPr="007C3775">
        <w:t xml:space="preserve"> </w:t>
      </w:r>
      <w:r w:rsidRPr="007C3775">
        <w:rPr>
          <w:rFonts w:cs="Arial"/>
        </w:rPr>
        <w:t xml:space="preserve">audiométrique </w:t>
      </w:r>
      <w:r w:rsidRPr="007C3775">
        <w:t xml:space="preserve">démontrant une pente descendante avec une encoche </w:t>
      </w:r>
      <w:r w:rsidR="007C3775" w:rsidRPr="007C3775">
        <w:t>autour de</w:t>
      </w:r>
      <w:r w:rsidRPr="007C3775">
        <w:t xml:space="preserve"> 4 000 hertz suivi</w:t>
      </w:r>
      <w:r w:rsidR="003478DE">
        <w:t>,</w:t>
      </w:r>
      <w:r w:rsidRPr="007C3775">
        <w:t xml:space="preserve"> d’une </w:t>
      </w:r>
      <w:r w:rsidR="007C3775" w:rsidRPr="007C3775">
        <w:t xml:space="preserve">légère </w:t>
      </w:r>
      <w:r w:rsidRPr="007C3775">
        <w:t>remontée à 8 000 hertz.</w:t>
      </w:r>
    </w:p>
    <w:p w14:paraId="57045B6A" w14:textId="6A7D7ABF" w:rsidR="002F35B4" w:rsidRPr="00353026" w:rsidRDefault="00495F59" w:rsidP="00C82DCB">
      <w:pPr>
        <w:pStyle w:val="corpsdedcision"/>
        <w:tabs>
          <w:tab w:val="clear" w:pos="720"/>
          <w:tab w:val="num" w:pos="709"/>
        </w:tabs>
      </w:pPr>
      <w:r w:rsidRPr="00353026">
        <w:t xml:space="preserve">Les résultats obtenus lors de cet audiogramme, </w:t>
      </w:r>
      <w:r w:rsidRPr="00353026">
        <w:rPr>
          <w:rFonts w:cs="Arial"/>
          <w:szCs w:val="24"/>
        </w:rPr>
        <w:t xml:space="preserve">mesurés </w:t>
      </w:r>
      <w:r w:rsidR="00614CF3" w:rsidRPr="00353026">
        <w:rPr>
          <w:rFonts w:cs="Arial"/>
          <w:szCs w:val="24"/>
        </w:rPr>
        <w:t>aux fréquences de</w:t>
      </w:r>
      <w:r w:rsidRPr="00353026">
        <w:rPr>
          <w:rFonts w:cs="Arial"/>
          <w:szCs w:val="24"/>
        </w:rPr>
        <w:t xml:space="preserve"> 500, 1 000, 2 000 et 4 000 hertz de la courbe </w:t>
      </w:r>
      <w:proofErr w:type="spellStart"/>
      <w:r w:rsidRPr="00353026">
        <w:rPr>
          <w:rFonts w:cs="Arial"/>
          <w:szCs w:val="24"/>
        </w:rPr>
        <w:t>audiologique</w:t>
      </w:r>
      <w:proofErr w:type="spellEnd"/>
      <w:r w:rsidRPr="00353026">
        <w:rPr>
          <w:rFonts w:cs="Arial"/>
          <w:szCs w:val="24"/>
        </w:rPr>
        <w:t xml:space="preserve"> </w:t>
      </w:r>
      <w:r w:rsidRPr="00353026">
        <w:t xml:space="preserve">selon le </w:t>
      </w:r>
      <w:r w:rsidRPr="00353026">
        <w:rPr>
          <w:i/>
        </w:rPr>
        <w:t>Règlement sur le barème des dommages corporels</w:t>
      </w:r>
      <w:r w:rsidRPr="00353026">
        <w:rPr>
          <w:rStyle w:val="FootnoteReference"/>
        </w:rPr>
        <w:footnoteReference w:id="16"/>
      </w:r>
      <w:r w:rsidRPr="00353026">
        <w:t xml:space="preserve">, le Barème, démontrent une </w:t>
      </w:r>
      <w:r w:rsidR="002F35B4" w:rsidRPr="00353026">
        <w:rPr>
          <w:rFonts w:cs="Arial"/>
          <w:szCs w:val="24"/>
        </w:rPr>
        <w:t xml:space="preserve">atteinte </w:t>
      </w:r>
      <w:r w:rsidR="001B2496" w:rsidRPr="00353026">
        <w:rPr>
          <w:rFonts w:cs="Arial"/>
          <w:szCs w:val="24"/>
        </w:rPr>
        <w:t xml:space="preserve">auditive </w:t>
      </w:r>
      <w:r w:rsidR="000A570C" w:rsidRPr="00353026">
        <w:rPr>
          <w:rFonts w:cs="Arial"/>
          <w:szCs w:val="24"/>
        </w:rPr>
        <w:t xml:space="preserve">moyenne arrondie </w:t>
      </w:r>
      <w:r w:rsidRPr="00353026">
        <w:rPr>
          <w:rFonts w:cs="Arial"/>
          <w:szCs w:val="24"/>
        </w:rPr>
        <w:t xml:space="preserve">de 40 hertz pour l’oreille droite et de 45 hertz pour l’oreille gauche, ce qui est considéré comme étant </w:t>
      </w:r>
      <w:r w:rsidR="008D15FC" w:rsidRPr="00353026">
        <w:rPr>
          <w:rFonts w:cs="Arial"/>
          <w:szCs w:val="24"/>
        </w:rPr>
        <w:t xml:space="preserve">relativement </w:t>
      </w:r>
      <w:r w:rsidRPr="00353026">
        <w:t>symétrique</w:t>
      </w:r>
      <w:r w:rsidR="00CC194B" w:rsidRPr="00353026">
        <w:t xml:space="preserve">. De même, </w:t>
      </w:r>
      <w:r w:rsidRPr="00353026">
        <w:t xml:space="preserve">l’atteinte </w:t>
      </w:r>
      <w:r w:rsidR="00614CF3" w:rsidRPr="00353026">
        <w:t xml:space="preserve">auditive </w:t>
      </w:r>
      <w:r w:rsidR="00596CC6" w:rsidRPr="00353026">
        <w:rPr>
          <w:rFonts w:cs="Arial"/>
          <w:szCs w:val="24"/>
        </w:rPr>
        <w:t>permet une indemnisation puisque le</w:t>
      </w:r>
      <w:r w:rsidR="002F35B4" w:rsidRPr="00353026">
        <w:rPr>
          <w:rFonts w:cs="Arial"/>
          <w:szCs w:val="24"/>
        </w:rPr>
        <w:t xml:space="preserve"> Barème prévoit une indemnisation à compter d’une perte auditive de 30</w:t>
      </w:r>
      <w:r w:rsidR="00453B10" w:rsidRPr="00353026">
        <w:rPr>
          <w:rFonts w:cs="Arial"/>
          <w:szCs w:val="24"/>
        </w:rPr>
        <w:t> hertz</w:t>
      </w:r>
      <w:r w:rsidR="002F35B4" w:rsidRPr="00353026">
        <w:rPr>
          <w:rFonts w:cs="Arial"/>
          <w:szCs w:val="24"/>
        </w:rPr>
        <w:t>.</w:t>
      </w:r>
    </w:p>
    <w:p w14:paraId="40B8FE29" w14:textId="1D88A14D" w:rsidR="002F35B4" w:rsidRPr="00353026" w:rsidRDefault="000A570C" w:rsidP="00C82DCB">
      <w:pPr>
        <w:pStyle w:val="corpsdedcision"/>
        <w:tabs>
          <w:tab w:val="clear" w:pos="720"/>
          <w:tab w:val="num" w:pos="709"/>
        </w:tabs>
      </w:pPr>
      <w:r>
        <w:rPr>
          <w:rFonts w:cs="Arial"/>
          <w:szCs w:val="24"/>
        </w:rPr>
        <w:lastRenderedPageBreak/>
        <w:t>L</w:t>
      </w:r>
      <w:r w:rsidR="007C3775" w:rsidRPr="002F35B4">
        <w:rPr>
          <w:rFonts w:cs="Arial"/>
          <w:szCs w:val="24"/>
        </w:rPr>
        <w:t xml:space="preserve">’audiologiste </w:t>
      </w:r>
      <w:r w:rsidR="00596CC6" w:rsidRPr="002F35B4">
        <w:rPr>
          <w:rFonts w:cs="Arial"/>
          <w:szCs w:val="24"/>
        </w:rPr>
        <w:t xml:space="preserve">recommande </w:t>
      </w:r>
      <w:r w:rsidR="00596CC6">
        <w:rPr>
          <w:rFonts w:cs="Arial"/>
          <w:szCs w:val="24"/>
        </w:rPr>
        <w:t>d’ailleurs le port d’</w:t>
      </w:r>
      <w:r w:rsidR="00596CC6" w:rsidRPr="002F35B4">
        <w:rPr>
          <w:rFonts w:cs="Arial"/>
          <w:szCs w:val="24"/>
        </w:rPr>
        <w:t>un appareillage binaural</w:t>
      </w:r>
      <w:r w:rsidR="00596CC6">
        <w:rPr>
          <w:rFonts w:cs="Arial"/>
          <w:szCs w:val="24"/>
        </w:rPr>
        <w:t xml:space="preserve"> pour pallier cette atteinte </w:t>
      </w:r>
      <w:r w:rsidR="00596CC6" w:rsidRPr="00353026">
        <w:rPr>
          <w:rFonts w:cs="Arial"/>
          <w:szCs w:val="24"/>
        </w:rPr>
        <w:t xml:space="preserve">auditive. </w:t>
      </w:r>
      <w:r w:rsidR="00614CF3" w:rsidRPr="00353026">
        <w:rPr>
          <w:rFonts w:cs="Arial"/>
          <w:szCs w:val="24"/>
        </w:rPr>
        <w:t>Quant à l’origine de l’atteinte, elle conclut</w:t>
      </w:r>
      <w:r w:rsidR="008D15FC" w:rsidRPr="00353026">
        <w:rPr>
          <w:rFonts w:cs="Arial"/>
          <w:szCs w:val="24"/>
        </w:rPr>
        <w:t>,</w:t>
      </w:r>
      <w:r w:rsidR="00614CF3" w:rsidRPr="00353026">
        <w:rPr>
          <w:rFonts w:cs="Arial"/>
          <w:szCs w:val="24"/>
        </w:rPr>
        <w:t xml:space="preserve"> à son rapport</w:t>
      </w:r>
      <w:r w:rsidR="008D15FC" w:rsidRPr="00353026">
        <w:rPr>
          <w:rFonts w:cs="Arial"/>
          <w:szCs w:val="24"/>
        </w:rPr>
        <w:t xml:space="preserve"> du 18</w:t>
      </w:r>
      <w:r w:rsidR="00353026" w:rsidRPr="00353026">
        <w:rPr>
          <w:rFonts w:cs="Arial"/>
          <w:szCs w:val="24"/>
        </w:rPr>
        <w:t> </w:t>
      </w:r>
      <w:r w:rsidR="008D15FC" w:rsidRPr="00353026">
        <w:rPr>
          <w:rFonts w:cs="Arial"/>
          <w:szCs w:val="24"/>
        </w:rPr>
        <w:t>août</w:t>
      </w:r>
      <w:r w:rsidR="00353026" w:rsidRPr="00353026">
        <w:rPr>
          <w:rFonts w:cs="Arial"/>
          <w:szCs w:val="24"/>
        </w:rPr>
        <w:t> </w:t>
      </w:r>
      <w:r w:rsidR="008D15FC" w:rsidRPr="00353026">
        <w:rPr>
          <w:rFonts w:cs="Arial"/>
          <w:szCs w:val="24"/>
        </w:rPr>
        <w:t>2022,</w:t>
      </w:r>
      <w:r w:rsidR="00614CF3" w:rsidRPr="00353026">
        <w:rPr>
          <w:rFonts w:cs="Arial"/>
          <w:szCs w:val="24"/>
        </w:rPr>
        <w:t xml:space="preserve"> </w:t>
      </w:r>
      <w:r w:rsidR="007C3775" w:rsidRPr="00353026">
        <w:rPr>
          <w:rFonts w:cs="Arial"/>
          <w:szCs w:val="24"/>
        </w:rPr>
        <w:t>que le travailleur présente une hypoacousie compatible avec un historique professionnel d’exposition au bruit</w:t>
      </w:r>
      <w:r w:rsidR="00596CC6" w:rsidRPr="00353026">
        <w:rPr>
          <w:rFonts w:cs="Arial"/>
          <w:szCs w:val="24"/>
        </w:rPr>
        <w:t xml:space="preserve">. L’opinion de </w:t>
      </w:r>
      <w:r w:rsidR="002F35B4" w:rsidRPr="00353026">
        <w:t>l’oto-rhin</w:t>
      </w:r>
      <w:r w:rsidR="00453B10" w:rsidRPr="00353026">
        <w:t>o</w:t>
      </w:r>
      <w:r w:rsidR="002F35B4" w:rsidRPr="00353026">
        <w:t xml:space="preserve">-laryngologiste ayant examiné le travailleur </w:t>
      </w:r>
      <w:r w:rsidR="008D15FC" w:rsidRPr="00353026">
        <w:t>est</w:t>
      </w:r>
      <w:r w:rsidR="00596CC6" w:rsidRPr="00353026">
        <w:t xml:space="preserve"> au même effet. Elle écrit sur l’</w:t>
      </w:r>
      <w:r w:rsidR="00596CC6" w:rsidRPr="00353026">
        <w:rPr>
          <w:i/>
          <w:iCs/>
        </w:rPr>
        <w:t>Attestation médicale</w:t>
      </w:r>
      <w:r w:rsidR="002F35B4" w:rsidRPr="00353026">
        <w:t xml:space="preserve"> </w:t>
      </w:r>
      <w:r w:rsidR="00614CF3" w:rsidRPr="00353026">
        <w:t>du 30</w:t>
      </w:r>
      <w:r w:rsidR="00353026" w:rsidRPr="00353026">
        <w:t> </w:t>
      </w:r>
      <w:r w:rsidR="00614CF3" w:rsidRPr="00353026">
        <w:t>septembre</w:t>
      </w:r>
      <w:r w:rsidR="00353026" w:rsidRPr="00353026">
        <w:t> </w:t>
      </w:r>
      <w:r w:rsidR="00614CF3" w:rsidRPr="00353026">
        <w:t xml:space="preserve">2022 qu’elle remet au </w:t>
      </w:r>
      <w:r w:rsidR="00596CC6" w:rsidRPr="00353026">
        <w:t xml:space="preserve">travailleur </w:t>
      </w:r>
      <w:r w:rsidR="00614CF3" w:rsidRPr="00353026">
        <w:t xml:space="preserve">qu’il </w:t>
      </w:r>
      <w:r w:rsidR="00596CC6" w:rsidRPr="00353026">
        <w:t>présente une</w:t>
      </w:r>
      <w:r w:rsidR="002F35B4" w:rsidRPr="00353026">
        <w:t xml:space="preserve"> « </w:t>
      </w:r>
      <w:r w:rsidR="002F35B4" w:rsidRPr="00353026">
        <w:rPr>
          <w:i/>
          <w:iCs/>
          <w:sz w:val="22"/>
          <w:szCs w:val="22"/>
        </w:rPr>
        <w:t>surdité neurosensorielle bilatérale permanente</w:t>
      </w:r>
      <w:r w:rsidR="002F35B4" w:rsidRPr="00353026">
        <w:t xml:space="preserve"> » et </w:t>
      </w:r>
      <w:r w:rsidR="00596CC6" w:rsidRPr="00353026">
        <w:t>que celle-ci</w:t>
      </w:r>
      <w:r w:rsidR="002F35B4" w:rsidRPr="00353026">
        <w:t xml:space="preserve"> est </w:t>
      </w:r>
      <w:r w:rsidR="008D15FC" w:rsidRPr="00353026">
        <w:t>« </w:t>
      </w:r>
      <w:r w:rsidR="002F35B4" w:rsidRPr="00353026">
        <w:rPr>
          <w:i/>
          <w:iCs/>
          <w:sz w:val="22"/>
          <w:szCs w:val="22"/>
        </w:rPr>
        <w:t xml:space="preserve">secondaire à </w:t>
      </w:r>
      <w:r w:rsidR="00596CC6" w:rsidRPr="00353026">
        <w:rPr>
          <w:i/>
          <w:iCs/>
          <w:sz w:val="22"/>
          <w:szCs w:val="22"/>
        </w:rPr>
        <w:t xml:space="preserve">une </w:t>
      </w:r>
      <w:r w:rsidR="002F35B4" w:rsidRPr="00353026">
        <w:rPr>
          <w:i/>
          <w:iCs/>
          <w:sz w:val="22"/>
          <w:szCs w:val="22"/>
        </w:rPr>
        <w:t>exposition au bruit</w:t>
      </w:r>
      <w:r w:rsidR="008D15FC" w:rsidRPr="00353026">
        <w:t> »</w:t>
      </w:r>
      <w:r w:rsidR="002F35B4" w:rsidRPr="00353026">
        <w:t>.</w:t>
      </w:r>
    </w:p>
    <w:p w14:paraId="01175B7B" w14:textId="230ACB99" w:rsidR="002F35B4" w:rsidRDefault="002F35B4" w:rsidP="00C82DCB">
      <w:pPr>
        <w:pStyle w:val="corpsdedcision"/>
        <w:tabs>
          <w:tab w:val="clear" w:pos="720"/>
          <w:tab w:val="num" w:pos="709"/>
        </w:tabs>
      </w:pPr>
      <w:r>
        <w:t xml:space="preserve">Enfin, le travailleur </w:t>
      </w:r>
      <w:r w:rsidRPr="001962EA">
        <w:t>témoign</w:t>
      </w:r>
      <w:r w:rsidR="00D01563">
        <w:t>e</w:t>
      </w:r>
      <w:r w:rsidRPr="001962EA">
        <w:t xml:space="preserve"> </w:t>
      </w:r>
      <w:r>
        <w:t>qu’il n’a subi aucun accident</w:t>
      </w:r>
      <w:r w:rsidR="00596CC6">
        <w:t xml:space="preserve"> particulier</w:t>
      </w:r>
      <w:r>
        <w:t xml:space="preserve"> impliquant un traumatisme aux oreilles, qu’il ne souffre d’aucun problème de santé connu pouvant avoir un lien avec ses problèmes auditifs et que ses parents n’ont pas souffert de surdité. En revanche, il témoigne que sa fille présenterait une atteinte auditive depuis </w:t>
      </w:r>
      <w:r w:rsidR="004C1635">
        <w:t>deux ans environ</w:t>
      </w:r>
      <w:r>
        <w:t xml:space="preserve"> dont il ignore la cause</w:t>
      </w:r>
      <w:r w:rsidR="00D01563">
        <w:t>,</w:t>
      </w:r>
      <w:r>
        <w:t xml:space="preserve"> mais qui requiert le port d’un appareil auditif.</w:t>
      </w:r>
    </w:p>
    <w:p w14:paraId="5D85856B" w14:textId="5A8BCE34" w:rsidR="00A61363" w:rsidRDefault="00A61363" w:rsidP="00C82DCB">
      <w:pPr>
        <w:pStyle w:val="corpsdedcision"/>
        <w:tabs>
          <w:tab w:val="num" w:pos="360"/>
        </w:tabs>
      </w:pPr>
      <w:r w:rsidRPr="001C03F5">
        <w:t>Quant à la deuxième condition d’application de l</w:t>
      </w:r>
      <w:r>
        <w:t xml:space="preserve">a présomption, le travailleur doit démontrer qu’il a </w:t>
      </w:r>
      <w:r w:rsidRPr="00C2091C">
        <w:t xml:space="preserve">été exposé </w:t>
      </w:r>
      <w:r w:rsidRPr="00353026">
        <w:t xml:space="preserve">à </w:t>
      </w:r>
      <w:r w:rsidR="008D15FC" w:rsidRPr="00353026">
        <w:t>un</w:t>
      </w:r>
      <w:r w:rsidRPr="00353026">
        <w:t xml:space="preserve"> « bruit excessif » dans son milieu de travail</w:t>
      </w:r>
      <w:r w:rsidR="000A570C" w:rsidRPr="00353026">
        <w:t xml:space="preserve"> et </w:t>
      </w:r>
      <w:r w:rsidR="007D071A" w:rsidRPr="00353026">
        <w:t xml:space="preserve">non </w:t>
      </w:r>
      <w:r w:rsidR="000A570C" w:rsidRPr="00353026">
        <w:t xml:space="preserve">pas se limiter à alléguer qu’il a </w:t>
      </w:r>
      <w:r w:rsidR="003478DE" w:rsidRPr="00353026">
        <w:t>œ</w:t>
      </w:r>
      <w:r w:rsidR="000A570C" w:rsidRPr="00353026">
        <w:t>uvré dans des environnements</w:t>
      </w:r>
      <w:r w:rsidR="000A570C">
        <w:t xml:space="preserve"> bruyants</w:t>
      </w:r>
      <w:r w:rsidR="000A570C" w:rsidRPr="00C2091C">
        <w:rPr>
          <w:rStyle w:val="FootnoteReference"/>
          <w:rFonts w:eastAsia="Arial Unicode MS"/>
        </w:rPr>
        <w:footnoteReference w:id="17"/>
      </w:r>
      <w:r w:rsidR="000A570C">
        <w:t>.</w:t>
      </w:r>
    </w:p>
    <w:p w14:paraId="665C5247" w14:textId="37FA6B1B" w:rsidR="00A61363" w:rsidRDefault="00A61363" w:rsidP="00C82DCB">
      <w:pPr>
        <w:pStyle w:val="corpsdedcision"/>
        <w:tabs>
          <w:tab w:val="num" w:pos="360"/>
        </w:tabs>
      </w:pPr>
      <w:r w:rsidRPr="00C2091C">
        <w:rPr>
          <w:lang w:val="fr-FR"/>
        </w:rPr>
        <w:t xml:space="preserve">La </w:t>
      </w:r>
      <w:r w:rsidR="000A570C">
        <w:rPr>
          <w:lang w:val="fr-FR"/>
        </w:rPr>
        <w:t xml:space="preserve">Loi ne définit pas ce que constitue un </w:t>
      </w:r>
      <w:r w:rsidRPr="00C2091C">
        <w:t>« bruit excessif »</w:t>
      </w:r>
      <w:r w:rsidR="000A570C">
        <w:t>.</w:t>
      </w:r>
      <w:r w:rsidRPr="00C2091C">
        <w:rPr>
          <w:lang w:val="fr-FR"/>
        </w:rPr>
        <w:t xml:space="preserve"> Selon la jurisprudence, </w:t>
      </w:r>
      <w:r w:rsidR="000A570C">
        <w:rPr>
          <w:lang w:val="fr-FR"/>
        </w:rPr>
        <w:t>il faut s’en remettre à la définition usuelle que l’on retrouve dans les dictionnaires. U</w:t>
      </w:r>
      <w:r w:rsidRPr="00C2091C">
        <w:rPr>
          <w:lang w:val="fr-FR"/>
        </w:rPr>
        <w:t xml:space="preserve">n </w:t>
      </w:r>
      <w:r w:rsidRPr="00620D67">
        <w:rPr>
          <w:rStyle w:val="Citationintgre"/>
          <w:i w:val="0"/>
          <w:iCs/>
          <w:sz w:val="24"/>
          <w:szCs w:val="24"/>
        </w:rPr>
        <w:t>bruit excessif</w:t>
      </w:r>
      <w:r w:rsidRPr="00C2091C">
        <w:rPr>
          <w:lang w:val="fr-FR"/>
        </w:rPr>
        <w:t xml:space="preserve"> se dit d’un bruit qui </w:t>
      </w:r>
      <w:r w:rsidRPr="00C2091C">
        <w:t>«</w:t>
      </w:r>
      <w:r w:rsidRPr="00C2091C">
        <w:rPr>
          <w:rStyle w:val="Citationintgre"/>
        </w:rPr>
        <w:t> dépasse la mesure souhaitable ou permise, qui est trop grand, trop important. Démesuré, énorme, extrême, monstrueux, prodigieux, surabondant</w:t>
      </w:r>
      <w:r w:rsidRPr="00C2091C">
        <w:t> »</w:t>
      </w:r>
      <w:r w:rsidRPr="00C2091C">
        <w:rPr>
          <w:rStyle w:val="FootnoteReference"/>
        </w:rPr>
        <w:footnoteReference w:id="18"/>
      </w:r>
      <w:r w:rsidRPr="00C2091C">
        <w:t>.</w:t>
      </w:r>
    </w:p>
    <w:p w14:paraId="0EC3CD56" w14:textId="66BD53C1" w:rsidR="000A570C" w:rsidRDefault="000A570C" w:rsidP="00C82DCB">
      <w:pPr>
        <w:pStyle w:val="corpsdedcision"/>
      </w:pPr>
      <w:r>
        <w:t>Le</w:t>
      </w:r>
      <w:r w:rsidRPr="006322AE">
        <w:rPr>
          <w:rFonts w:cs="Arial"/>
          <w:i/>
          <w:iCs/>
          <w:color w:val="000000"/>
          <w:szCs w:val="24"/>
        </w:rPr>
        <w:t xml:space="preserve"> </w:t>
      </w:r>
      <w:r w:rsidRPr="00EE2184">
        <w:rPr>
          <w:rFonts w:cs="Arial"/>
          <w:i/>
          <w:iCs/>
          <w:color w:val="000000"/>
          <w:szCs w:val="24"/>
        </w:rPr>
        <w:t>Règlement sur la santé et la sécurité du travail</w:t>
      </w:r>
      <w:r w:rsidRPr="00B43618">
        <w:rPr>
          <w:rStyle w:val="FootnoteReference"/>
          <w:color w:val="000000"/>
          <w:szCs w:val="24"/>
        </w:rPr>
        <w:footnoteReference w:id="19"/>
      </w:r>
      <w:r>
        <w:t xml:space="preserve"> adopté en vertu de la </w:t>
      </w:r>
      <w:r w:rsidRPr="004E71ED">
        <w:rPr>
          <w:i/>
        </w:rPr>
        <w:t>Loi sur la santé et la sécurité du travail</w:t>
      </w:r>
      <w:r>
        <w:rPr>
          <w:rStyle w:val="FootnoteReference"/>
        </w:rPr>
        <w:footnoteReference w:id="20"/>
      </w:r>
      <w:r>
        <w:t xml:space="preserve"> énonce les normes </w:t>
      </w:r>
      <w:r w:rsidR="00F53189">
        <w:t>relatives au bruit acceptables</w:t>
      </w:r>
      <w:r>
        <w:t xml:space="preserve"> sur le marché du travail. Il prescrit, par exemple, qu’aucun travailleur ne doi</w:t>
      </w:r>
      <w:r w:rsidR="00F53189">
        <w:t>t</w:t>
      </w:r>
      <w:r>
        <w:t xml:space="preserve"> être exposé plus de quatre</w:t>
      </w:r>
      <w:r w:rsidR="00E914E0">
        <w:t> </w:t>
      </w:r>
      <w:r>
        <w:t>heures dans une journée à un niveau de bruit de 88</w:t>
      </w:r>
      <w:r w:rsidR="00E914E0">
        <w:t> décibels</w:t>
      </w:r>
      <w:r>
        <w:t>, plus de huit</w:t>
      </w:r>
      <w:r w:rsidR="00E914E0">
        <w:t> </w:t>
      </w:r>
      <w:r>
        <w:t>heures par jour à un niveau de bruit de 85</w:t>
      </w:r>
      <w:r w:rsidR="00E914E0">
        <w:t> décibels</w:t>
      </w:r>
      <w:r>
        <w:t xml:space="preserve"> et plus de seize</w:t>
      </w:r>
      <w:r w:rsidR="00E914E0">
        <w:t> </w:t>
      </w:r>
      <w:r>
        <w:t>heures par jour à un niveau de bruit de 82</w:t>
      </w:r>
      <w:r w:rsidR="00E914E0">
        <w:t> décibels</w:t>
      </w:r>
      <w:r>
        <w:t>.</w:t>
      </w:r>
    </w:p>
    <w:p w14:paraId="574C142B" w14:textId="6795E28E" w:rsidR="00F53189" w:rsidRPr="00353026" w:rsidRDefault="007D071A" w:rsidP="00C82DCB">
      <w:pPr>
        <w:pStyle w:val="corpsdedcision"/>
      </w:pPr>
      <w:r w:rsidRPr="00353026">
        <w:t>Comme ces normes ont été énoncées dans un but de prévention de la santé et</w:t>
      </w:r>
      <w:r w:rsidR="00353026" w:rsidRPr="00353026">
        <w:t xml:space="preserve"> de la</w:t>
      </w:r>
      <w:r w:rsidRPr="00353026">
        <w:t xml:space="preserve"> sécurité du travail</w:t>
      </w:r>
      <w:r w:rsidR="00F53189" w:rsidRPr="00353026">
        <w:t>, le</w:t>
      </w:r>
      <w:r w:rsidR="000A570C" w:rsidRPr="00353026">
        <w:t xml:space="preserve"> travailleur n’a pas à démontrer que </w:t>
      </w:r>
      <w:r w:rsidR="00D47ABE" w:rsidRPr="00353026">
        <w:t>le bruit auquel il a été exposé excède ces</w:t>
      </w:r>
      <w:r w:rsidR="000A570C" w:rsidRPr="00353026">
        <w:t xml:space="preserve"> normes r</w:t>
      </w:r>
      <w:r w:rsidR="00D47ABE" w:rsidRPr="00353026">
        <w:t>é</w:t>
      </w:r>
      <w:r w:rsidR="000A570C" w:rsidRPr="00353026">
        <w:t>glement</w:t>
      </w:r>
      <w:r w:rsidR="00D47ABE" w:rsidRPr="00353026">
        <w:t>aires</w:t>
      </w:r>
      <w:r w:rsidR="00F53189" w:rsidRPr="00353026">
        <w:rPr>
          <w:rStyle w:val="FootnoteReference"/>
        </w:rPr>
        <w:footnoteReference w:id="21"/>
      </w:r>
      <w:r w:rsidR="00F53189" w:rsidRPr="00353026">
        <w:t>. L</w:t>
      </w:r>
      <w:r w:rsidR="000A570C" w:rsidRPr="00353026">
        <w:t xml:space="preserve">a notion de </w:t>
      </w:r>
      <w:r w:rsidR="00E914E0" w:rsidRPr="00353026">
        <w:t>« </w:t>
      </w:r>
      <w:r w:rsidR="000A570C" w:rsidRPr="00353026">
        <w:t>bruit excessif</w:t>
      </w:r>
      <w:r w:rsidR="00E914E0" w:rsidRPr="00353026">
        <w:t> »</w:t>
      </w:r>
      <w:r w:rsidR="000A570C" w:rsidRPr="00353026">
        <w:t xml:space="preserve"> </w:t>
      </w:r>
      <w:r w:rsidR="00F53189" w:rsidRPr="00353026">
        <w:t xml:space="preserve">dont il </w:t>
      </w:r>
      <w:r w:rsidR="00E914E0" w:rsidRPr="00353026">
        <w:t xml:space="preserve">est </w:t>
      </w:r>
      <w:r w:rsidR="00F53189" w:rsidRPr="00353026">
        <w:lastRenderedPageBreak/>
        <w:t xml:space="preserve">question </w:t>
      </w:r>
      <w:r w:rsidR="001D19AD" w:rsidRPr="00353026">
        <w:t xml:space="preserve">à </w:t>
      </w:r>
      <w:r w:rsidR="00D47ABE" w:rsidRPr="00353026">
        <w:t>la deuxième</w:t>
      </w:r>
      <w:r w:rsidR="001D19AD" w:rsidRPr="00353026">
        <w:t xml:space="preserve"> condition</w:t>
      </w:r>
      <w:r w:rsidR="00D47ABE" w:rsidRPr="00353026">
        <w:t xml:space="preserve"> est </w:t>
      </w:r>
      <w:r w:rsidR="000A570C" w:rsidRPr="00353026">
        <w:t>plus générale</w:t>
      </w:r>
      <w:r w:rsidR="00D47ABE" w:rsidRPr="00353026">
        <w:t xml:space="preserve"> et fait référence </w:t>
      </w:r>
      <w:r w:rsidR="000A570C" w:rsidRPr="00353026">
        <w:t xml:space="preserve">à un niveau de bruit </w:t>
      </w:r>
      <w:r w:rsidR="00F53189" w:rsidRPr="00353026">
        <w:t>susceptible de</w:t>
      </w:r>
      <w:r w:rsidR="000A570C" w:rsidRPr="00353026">
        <w:t xml:space="preserve"> </w:t>
      </w:r>
      <w:r w:rsidR="00D47ABE" w:rsidRPr="00353026">
        <w:t xml:space="preserve">lui </w:t>
      </w:r>
      <w:r w:rsidR="000A570C" w:rsidRPr="00353026">
        <w:t>causer une atteinte neurosensorielle.</w:t>
      </w:r>
    </w:p>
    <w:p w14:paraId="2969482A" w14:textId="6366EE1E" w:rsidR="00A61363" w:rsidRPr="00353026" w:rsidRDefault="00D47ABE" w:rsidP="00C82DCB">
      <w:pPr>
        <w:pStyle w:val="corpsdedcision"/>
      </w:pPr>
      <w:r w:rsidRPr="00353026">
        <w:t xml:space="preserve">Toujours selon la jurisprudence, </w:t>
      </w:r>
      <w:r w:rsidR="000A570C" w:rsidRPr="00353026">
        <w:t>un tr</w:t>
      </w:r>
      <w:r w:rsidR="000A570C">
        <w:t xml:space="preserve">availleur </w:t>
      </w:r>
      <w:r w:rsidR="000A570C" w:rsidRPr="00C2091C">
        <w:t xml:space="preserve">n’a pas à produire une étude de bruit qui lui est </w:t>
      </w:r>
      <w:r w:rsidR="000A570C" w:rsidRPr="000A570C">
        <w:rPr>
          <w:szCs w:val="24"/>
        </w:rPr>
        <w:t>spécifique</w:t>
      </w:r>
      <w:r w:rsidR="000A570C">
        <w:rPr>
          <w:szCs w:val="24"/>
        </w:rPr>
        <w:t xml:space="preserve"> p</w:t>
      </w:r>
      <w:r w:rsidR="00A61363" w:rsidRPr="00C2091C">
        <w:t>our établir que le bruit auquel il a été exposé était excessif</w:t>
      </w:r>
      <w:r w:rsidR="000A570C">
        <w:t>.</w:t>
      </w:r>
      <w:r w:rsidR="00A61363" w:rsidRPr="00CF3BD6">
        <w:t xml:space="preserve"> </w:t>
      </w:r>
      <w:r w:rsidR="00A61363" w:rsidRPr="000A570C">
        <w:rPr>
          <w:szCs w:val="24"/>
        </w:rPr>
        <w:t>Une preuve de reconnaissance générale du milieu de travail est acceptée</w:t>
      </w:r>
      <w:r w:rsidR="00A61363" w:rsidRPr="00CF3BD6">
        <w:rPr>
          <w:rStyle w:val="FootnoteReference"/>
          <w:szCs w:val="24"/>
        </w:rPr>
        <w:footnoteReference w:id="22"/>
      </w:r>
      <w:r w:rsidR="00A61363" w:rsidRPr="000A570C">
        <w:rPr>
          <w:szCs w:val="24"/>
        </w:rPr>
        <w:t xml:space="preserve">. Toutefois, cette preuve </w:t>
      </w:r>
      <w:r w:rsidR="00A61363" w:rsidRPr="00353026">
        <w:rPr>
          <w:szCs w:val="24"/>
        </w:rPr>
        <w:t xml:space="preserve">ne </w:t>
      </w:r>
      <w:r w:rsidRPr="00353026">
        <w:rPr>
          <w:szCs w:val="24"/>
        </w:rPr>
        <w:t>doit</w:t>
      </w:r>
      <w:r w:rsidR="00A61363" w:rsidRPr="00353026">
        <w:rPr>
          <w:szCs w:val="24"/>
        </w:rPr>
        <w:t xml:space="preserve"> pas se fonder sur des allégations générales. </w:t>
      </w:r>
      <w:r w:rsidRPr="00353026">
        <w:rPr>
          <w:szCs w:val="24"/>
        </w:rPr>
        <w:t>En effet, le</w:t>
      </w:r>
      <w:r w:rsidR="00A61363" w:rsidRPr="00353026">
        <w:rPr>
          <w:szCs w:val="24"/>
        </w:rPr>
        <w:t xml:space="preserve"> travailleur doit </w:t>
      </w:r>
      <w:r w:rsidRPr="00353026">
        <w:rPr>
          <w:szCs w:val="24"/>
        </w:rPr>
        <w:t xml:space="preserve">identifier </w:t>
      </w:r>
      <w:r w:rsidR="00A61363" w:rsidRPr="00353026">
        <w:rPr>
          <w:szCs w:val="24"/>
        </w:rPr>
        <w:t>les endroits où il a travaillé</w:t>
      </w:r>
      <w:r w:rsidRPr="00353026">
        <w:rPr>
          <w:szCs w:val="24"/>
        </w:rPr>
        <w:t xml:space="preserve"> ainsi que </w:t>
      </w:r>
      <w:r w:rsidR="00A61363" w:rsidRPr="00353026">
        <w:rPr>
          <w:szCs w:val="24"/>
        </w:rPr>
        <w:t>les sources de bruits</w:t>
      </w:r>
      <w:r w:rsidRPr="00353026">
        <w:rPr>
          <w:szCs w:val="24"/>
        </w:rPr>
        <w:t xml:space="preserve"> dommageables, il doit pouvoir indiquer </w:t>
      </w:r>
      <w:r w:rsidR="00A61363" w:rsidRPr="00353026">
        <w:rPr>
          <w:szCs w:val="24"/>
        </w:rPr>
        <w:t xml:space="preserve">la durée d’exposition </w:t>
      </w:r>
      <w:r w:rsidRPr="00353026">
        <w:rPr>
          <w:szCs w:val="24"/>
        </w:rPr>
        <w:t xml:space="preserve">à ces bruits </w:t>
      </w:r>
      <w:r w:rsidR="00A61363" w:rsidRPr="00353026">
        <w:rPr>
          <w:szCs w:val="24"/>
        </w:rPr>
        <w:t>et</w:t>
      </w:r>
      <w:r w:rsidRPr="00353026">
        <w:rPr>
          <w:szCs w:val="24"/>
        </w:rPr>
        <w:t xml:space="preserve"> évaluer </w:t>
      </w:r>
      <w:r w:rsidR="00A61363" w:rsidRPr="00353026">
        <w:rPr>
          <w:szCs w:val="24"/>
        </w:rPr>
        <w:t>le niveau de bruit auquel il a été soumis, le tout, à partir de données objectives et fiables</w:t>
      </w:r>
      <w:r w:rsidR="00A61363" w:rsidRPr="00353026">
        <w:rPr>
          <w:rStyle w:val="FootnoteReference"/>
          <w:rFonts w:cs="Arial"/>
        </w:rPr>
        <w:footnoteReference w:id="23"/>
      </w:r>
      <w:r w:rsidR="00A61363" w:rsidRPr="00353026">
        <w:rPr>
          <w:rFonts w:cs="Arial"/>
        </w:rPr>
        <w:t>.</w:t>
      </w:r>
    </w:p>
    <w:p w14:paraId="14B99A41" w14:textId="5818D17F" w:rsidR="00905D09" w:rsidRPr="00353026" w:rsidRDefault="00905D09" w:rsidP="00905D09">
      <w:pPr>
        <w:pStyle w:val="corpsdedcision"/>
      </w:pPr>
      <w:r w:rsidRPr="00995DD1">
        <w:t>Ces b</w:t>
      </w:r>
      <w:r w:rsidRPr="00353026">
        <w:t>alises juridiques étant établies, le Tribunal conclut que l</w:t>
      </w:r>
      <w:r w:rsidR="00A6475D" w:rsidRPr="00353026">
        <w:t>a preuve permet de considérer que le travailleur a été exposé, au cours de sa carrière, à des bruits excessifs. La deuxième condition d’application de la présomption est donc démontrée.</w:t>
      </w:r>
    </w:p>
    <w:p w14:paraId="116D90F1" w14:textId="70EA7768" w:rsidR="004C1635" w:rsidRPr="00353026" w:rsidRDefault="000A570C" w:rsidP="00C82DCB">
      <w:pPr>
        <w:pStyle w:val="corpsdedcision"/>
      </w:pPr>
      <w:r w:rsidRPr="00353026">
        <w:t xml:space="preserve">À l’audience, le travailleur témoigne sur les différents emplois qu’il a occupés au cours de sa carrière. Il a </w:t>
      </w:r>
      <w:r w:rsidR="004C1635" w:rsidRPr="00353026">
        <w:t xml:space="preserve">cessé l’école </w:t>
      </w:r>
      <w:r w:rsidR="00735840" w:rsidRPr="00353026">
        <w:t xml:space="preserve">tôt pour entrer sur le marché du travail </w:t>
      </w:r>
      <w:r w:rsidR="004C1635" w:rsidRPr="00353026">
        <w:t>à l’âge de 14</w:t>
      </w:r>
      <w:r w:rsidR="00E914E0" w:rsidRPr="00353026">
        <w:t> </w:t>
      </w:r>
      <w:r w:rsidR="004C1635" w:rsidRPr="00353026">
        <w:t>ans, soit en 1974.</w:t>
      </w:r>
    </w:p>
    <w:p w14:paraId="7C87FF87" w14:textId="74887862" w:rsidR="000A570C" w:rsidRDefault="004C1635" w:rsidP="00C82DCB">
      <w:pPr>
        <w:pStyle w:val="corpsdedcision"/>
      </w:pPr>
      <w:r>
        <w:t xml:space="preserve">Le premier travail qu’il a occupé est celui de </w:t>
      </w:r>
      <w:r w:rsidR="000A570C">
        <w:t xml:space="preserve">bûcheron </w:t>
      </w:r>
      <w:r>
        <w:t>pendant deux</w:t>
      </w:r>
      <w:r w:rsidR="0041180B">
        <w:t> </w:t>
      </w:r>
      <w:r>
        <w:t xml:space="preserve">ans pour le </w:t>
      </w:r>
      <w:r w:rsidR="00E6013F">
        <w:t>compte de Gilbert Irenée</w:t>
      </w:r>
      <w:r w:rsidR="000A570C">
        <w:t>. Il effectuait ce travail avec une scie mécanique</w:t>
      </w:r>
      <w:r w:rsidR="00E6013F">
        <w:t xml:space="preserve"> le</w:t>
      </w:r>
      <w:r w:rsidR="0041180B">
        <w:t>s</w:t>
      </w:r>
      <w:r w:rsidR="00E6013F">
        <w:t xml:space="preserve"> </w:t>
      </w:r>
      <w:r w:rsidR="0041180B">
        <w:t>trois</w:t>
      </w:r>
      <w:r w:rsidR="003478DE">
        <w:t xml:space="preserve"> </w:t>
      </w:r>
      <w:r w:rsidR="0041180B">
        <w:t>quarts</w:t>
      </w:r>
      <w:r w:rsidR="00E6013F">
        <w:t xml:space="preserve"> du temps</w:t>
      </w:r>
      <w:r w:rsidR="00995DD1">
        <w:t>,</w:t>
      </w:r>
      <w:r w:rsidR="00E6013F">
        <w:t xml:space="preserve"> et le reste du temps </w:t>
      </w:r>
      <w:r w:rsidR="00E6013F" w:rsidRPr="00353026">
        <w:t>il cordait</w:t>
      </w:r>
      <w:r w:rsidR="00CC194B" w:rsidRPr="00353026">
        <w:t xml:space="preserve"> le bois coupé</w:t>
      </w:r>
      <w:r w:rsidR="000A570C" w:rsidRPr="00353026">
        <w:t xml:space="preserve">. Il travaillait </w:t>
      </w:r>
      <w:r w:rsidR="00E6013F" w:rsidRPr="00353026">
        <w:t xml:space="preserve">du lundi au vendredi </w:t>
      </w:r>
      <w:r w:rsidR="000A570C" w:rsidRPr="00353026">
        <w:t xml:space="preserve">à raison de </w:t>
      </w:r>
      <w:r w:rsidR="00E6013F" w:rsidRPr="00353026">
        <w:t>50</w:t>
      </w:r>
      <w:r w:rsidR="0041180B" w:rsidRPr="00353026">
        <w:t> </w:t>
      </w:r>
      <w:r w:rsidR="000A570C" w:rsidRPr="00353026">
        <w:t>heures par semaine</w:t>
      </w:r>
      <w:r w:rsidR="00E6013F" w:rsidRPr="00353026">
        <w:t>. Il portait des petits bouchons</w:t>
      </w:r>
      <w:r w:rsidR="0041180B" w:rsidRPr="00353026">
        <w:t>,</w:t>
      </w:r>
      <w:r w:rsidR="00E6013F" w:rsidRPr="00353026">
        <w:t xml:space="preserve"> mais il témoigne qu’ils étaient peu efficaces</w:t>
      </w:r>
      <w:r w:rsidR="001D19AD" w:rsidRPr="00353026">
        <w:t>. En effet,</w:t>
      </w:r>
      <w:r w:rsidR="00E6013F" w:rsidRPr="00353026">
        <w:t xml:space="preserve"> l</w:t>
      </w:r>
      <w:r w:rsidR="000A570C" w:rsidRPr="00353026">
        <w:t>e bruit des scies</w:t>
      </w:r>
      <w:r w:rsidR="000A570C">
        <w:t xml:space="preserve"> mécaniques utilisées était à ce point important qu’</w:t>
      </w:r>
      <w:r w:rsidR="00E6013F">
        <w:t xml:space="preserve">il fallait crier pour se faire entendre, même à courte distance. </w:t>
      </w:r>
      <w:r w:rsidR="001A3145">
        <w:t xml:space="preserve">Il a effectué un emploi similaire en 1988, alors qu’il a travaillé pour </w:t>
      </w:r>
      <w:r w:rsidR="00E27B66">
        <w:t>la</w:t>
      </w:r>
      <w:r w:rsidR="001A3145">
        <w:t xml:space="preserve"> coopérative forest</w:t>
      </w:r>
      <w:r w:rsidR="005268DD">
        <w:t>i</w:t>
      </w:r>
      <w:r w:rsidR="001A3145">
        <w:t>ère Laforet.</w:t>
      </w:r>
    </w:p>
    <w:p w14:paraId="5211E4A6" w14:textId="03E2E940" w:rsidR="00E6013F" w:rsidRDefault="00E6013F" w:rsidP="00C82DCB">
      <w:pPr>
        <w:pStyle w:val="corpsdedcision"/>
      </w:pPr>
      <w:r>
        <w:t xml:space="preserve">Par la suite, il </w:t>
      </w:r>
      <w:r w:rsidR="0041180B">
        <w:t xml:space="preserve">a </w:t>
      </w:r>
      <w:r>
        <w:t>œuvré comme journalier dans un moulin à scie pour l’entreprise Blanchette &amp; Blanchette</w:t>
      </w:r>
      <w:r w:rsidR="001A3145">
        <w:t xml:space="preserve"> </w:t>
      </w:r>
      <w:proofErr w:type="spellStart"/>
      <w:r w:rsidR="001A3145">
        <w:t>inc.</w:t>
      </w:r>
      <w:proofErr w:type="spellEnd"/>
      <w:r w:rsidR="001A3145">
        <w:t xml:space="preserve"> pendant environ </w:t>
      </w:r>
      <w:r w:rsidR="0041180B">
        <w:t>deux </w:t>
      </w:r>
      <w:r w:rsidR="001A3145">
        <w:t>ans</w:t>
      </w:r>
      <w:r w:rsidR="0041180B">
        <w:t xml:space="preserve"> et demi</w:t>
      </w:r>
      <w:r w:rsidR="001A3145">
        <w:t>. Il travaillait du lundi au vendredi à raison de 40</w:t>
      </w:r>
      <w:r w:rsidR="0041180B">
        <w:t> </w:t>
      </w:r>
      <w:r w:rsidR="001A3145">
        <w:t>heures par semaine. Il portait des petits bouchons</w:t>
      </w:r>
      <w:r w:rsidR="0041180B">
        <w:t>,</w:t>
      </w:r>
      <w:r w:rsidR="001A3145">
        <w:t xml:space="preserve"> mais il témoigne à nouveau qu’ils étaient peu efficaces et qu’il était difficile de communiquer avec des collègues à proximité.</w:t>
      </w:r>
    </w:p>
    <w:p w14:paraId="0862E811" w14:textId="2AB38C85" w:rsidR="000A570C" w:rsidRPr="00B625B0" w:rsidRDefault="005268DD" w:rsidP="00C82DCB">
      <w:pPr>
        <w:pStyle w:val="corpsdedcision"/>
      </w:pPr>
      <w:r>
        <w:t xml:space="preserve">Il a œuvré ensuite environ </w:t>
      </w:r>
      <w:r w:rsidR="0041180B">
        <w:t>trois </w:t>
      </w:r>
      <w:r>
        <w:t>ans pour de</w:t>
      </w:r>
      <w:r w:rsidR="00B625B0">
        <w:t>ux</w:t>
      </w:r>
      <w:r>
        <w:t xml:space="preserve"> compagnies minières. Pendant </w:t>
      </w:r>
      <w:r w:rsidR="0041180B">
        <w:t>six </w:t>
      </w:r>
      <w:r>
        <w:t xml:space="preserve">mois environ, il a défait un bâtiment </w:t>
      </w:r>
      <w:r w:rsidR="0041180B">
        <w:t>construit</w:t>
      </w:r>
      <w:r w:rsidR="00E509FF">
        <w:t xml:space="preserve"> </w:t>
      </w:r>
      <w:r>
        <w:t xml:space="preserve">de métal et de fer. Le bruit des matériaux qui se cognaient et tombaient par terre </w:t>
      </w:r>
      <w:r w:rsidR="00E509FF">
        <w:t>é</w:t>
      </w:r>
      <w:r>
        <w:t xml:space="preserve">tait extrêmement bruyant. Malgré le port de bouchons, ses oreilles bourdonnaient à la fin d’une journée de travail. </w:t>
      </w:r>
      <w:r w:rsidR="0041180B">
        <w:t xml:space="preserve">Par la </w:t>
      </w:r>
      <w:r w:rsidR="0041180B">
        <w:lastRenderedPageBreak/>
        <w:t>suite</w:t>
      </w:r>
      <w:r>
        <w:t xml:space="preserve">, il </w:t>
      </w:r>
      <w:r w:rsidR="00E509FF">
        <w:t xml:space="preserve">a </w:t>
      </w:r>
      <w:r>
        <w:t xml:space="preserve">conduit </w:t>
      </w:r>
      <w:r w:rsidR="00E509FF">
        <w:t>un</w:t>
      </w:r>
      <w:r>
        <w:t xml:space="preserve"> tracteur de ferme à l’intérieur d</w:t>
      </w:r>
      <w:r w:rsidR="00E509FF">
        <w:t>’une</w:t>
      </w:r>
      <w:r>
        <w:t xml:space="preserve"> </w:t>
      </w:r>
      <w:r w:rsidRPr="00B625B0">
        <w:t xml:space="preserve">mine pour transporter des matériaux et de la dynamite. Le bruit ambiant provenant de la machinerie qui ramassait les pierres, </w:t>
      </w:r>
      <w:r w:rsidR="00E509FF">
        <w:t>du</w:t>
      </w:r>
      <w:r w:rsidRPr="00B625B0">
        <w:t xml:space="preserve"> dynamitage et </w:t>
      </w:r>
      <w:r w:rsidR="00E509FF">
        <w:t>des</w:t>
      </w:r>
      <w:r w:rsidRPr="00B625B0">
        <w:t xml:space="preserve"> marteau</w:t>
      </w:r>
      <w:r w:rsidR="00E509FF">
        <w:t>x</w:t>
      </w:r>
      <w:r w:rsidRPr="00B625B0">
        <w:t xml:space="preserve"> piqueur</w:t>
      </w:r>
      <w:r w:rsidR="00E509FF">
        <w:t>s</w:t>
      </w:r>
      <w:r w:rsidRPr="00B625B0">
        <w:t xml:space="preserve"> était </w:t>
      </w:r>
      <w:r w:rsidR="00E509FF">
        <w:t xml:space="preserve">également </w:t>
      </w:r>
      <w:r w:rsidRPr="00B625B0">
        <w:t xml:space="preserve">extrêmement bruyant. </w:t>
      </w:r>
      <w:r w:rsidR="000A570C" w:rsidRPr="00B625B0">
        <w:t>Il travaillait cinq</w:t>
      </w:r>
      <w:r w:rsidR="0041180B">
        <w:t> </w:t>
      </w:r>
      <w:r w:rsidR="000A570C" w:rsidRPr="00B625B0">
        <w:t>jours par semaine à raison de huit</w:t>
      </w:r>
      <w:r w:rsidR="0041180B">
        <w:t> </w:t>
      </w:r>
      <w:r w:rsidR="000A570C" w:rsidRPr="00B625B0">
        <w:t>heures par jour</w:t>
      </w:r>
      <w:r w:rsidR="00E509FF">
        <w:t xml:space="preserve"> dans cet environnement</w:t>
      </w:r>
      <w:r w:rsidR="000A570C" w:rsidRPr="00B625B0">
        <w:t>.</w:t>
      </w:r>
    </w:p>
    <w:p w14:paraId="501DAF4F" w14:textId="327F366C" w:rsidR="00B625B0" w:rsidRPr="00FB22C8" w:rsidRDefault="00874C65" w:rsidP="00C82DCB">
      <w:pPr>
        <w:pStyle w:val="corpsdedcision"/>
      </w:pPr>
      <w:r w:rsidRPr="00FB22C8">
        <w:t>Au cours des années qui suivent</w:t>
      </w:r>
      <w:r w:rsidR="00E509FF" w:rsidRPr="00FB22C8">
        <w:t xml:space="preserve">, </w:t>
      </w:r>
      <w:r w:rsidRPr="00FB22C8">
        <w:t xml:space="preserve">le travailleur est peu exposé au bruit ou son </w:t>
      </w:r>
      <w:r w:rsidR="00E509FF" w:rsidRPr="00FB22C8">
        <w:t>exposition professionnelle</w:t>
      </w:r>
      <w:r w:rsidR="000210FA" w:rsidRPr="00FB22C8">
        <w:t xml:space="preserve"> ne peut pas </w:t>
      </w:r>
      <w:r w:rsidR="00E509FF" w:rsidRPr="00FB22C8">
        <w:t>être considérée.</w:t>
      </w:r>
      <w:r w:rsidR="000210FA" w:rsidRPr="00FB22C8">
        <w:t xml:space="preserve"> En effet, </w:t>
      </w:r>
      <w:r w:rsidR="00B625B0" w:rsidRPr="00FB22C8">
        <w:t xml:space="preserve">il y a </w:t>
      </w:r>
      <w:r w:rsidRPr="00FB22C8">
        <w:t>environ une quinzaine</w:t>
      </w:r>
      <w:r w:rsidR="00B625B0" w:rsidRPr="00FB22C8">
        <w:t xml:space="preserve"> </w:t>
      </w:r>
      <w:r w:rsidRPr="00FB22C8">
        <w:t>d’</w:t>
      </w:r>
      <w:r w:rsidR="00B625B0" w:rsidRPr="00FB22C8">
        <w:t>années où il n’y a pas d’inscriptions d’employeurs selon l’historique provenant de</w:t>
      </w:r>
      <w:r w:rsidRPr="00FB22C8">
        <w:t xml:space="preserve"> l’organisme</w:t>
      </w:r>
      <w:r w:rsidR="00B625B0" w:rsidRPr="00FB22C8">
        <w:t xml:space="preserve"> Retraite Québec. </w:t>
      </w:r>
      <w:r w:rsidRPr="00FB22C8">
        <w:t xml:space="preserve">Il </w:t>
      </w:r>
      <w:r w:rsidR="00EA059C" w:rsidRPr="00FB22C8">
        <w:t>témoigne</w:t>
      </w:r>
      <w:r w:rsidRPr="00FB22C8">
        <w:t xml:space="preserve"> que pendant cette période il a fait plusieurs menus travaux </w:t>
      </w:r>
      <w:r w:rsidR="00EA059C" w:rsidRPr="00FB22C8">
        <w:t xml:space="preserve">ou </w:t>
      </w:r>
      <w:r w:rsidRPr="00FB22C8">
        <w:t xml:space="preserve">qu’il </w:t>
      </w:r>
      <w:r w:rsidR="00B625B0" w:rsidRPr="00FB22C8">
        <w:t>a œuvré comme bûcheron</w:t>
      </w:r>
      <w:r w:rsidR="008D15FC" w:rsidRPr="00FB22C8">
        <w:t>, à son compte</w:t>
      </w:r>
      <w:r w:rsidRPr="00FB22C8">
        <w:t xml:space="preserve">. </w:t>
      </w:r>
      <w:r w:rsidR="008D15FC" w:rsidRPr="00FB22C8">
        <w:t>À cet égard, il</w:t>
      </w:r>
      <w:r w:rsidRPr="00FB22C8">
        <w:t xml:space="preserve"> ne témoigne pas </w:t>
      </w:r>
      <w:r w:rsidR="00E509FF" w:rsidRPr="00FB22C8">
        <w:t xml:space="preserve">qu’il </w:t>
      </w:r>
      <w:r w:rsidRPr="00FB22C8">
        <w:t>a</w:t>
      </w:r>
      <w:r w:rsidR="00905D09" w:rsidRPr="00FB22C8">
        <w:t>it souscrit à une protection personnelle auprès de</w:t>
      </w:r>
      <w:r w:rsidR="00E509FF" w:rsidRPr="00FB22C8">
        <w:t xml:space="preserve"> la Commission</w:t>
      </w:r>
      <w:r w:rsidRPr="00FB22C8">
        <w:t xml:space="preserve"> pendant cette période</w:t>
      </w:r>
      <w:r w:rsidR="00E27B66">
        <w:t>,</w:t>
      </w:r>
      <w:r w:rsidR="00905D09" w:rsidRPr="00FB22C8">
        <w:t xml:space="preserve"> soit comme travailleur autonome ou dirigeant</w:t>
      </w:r>
      <w:r w:rsidR="00C03002" w:rsidRPr="00FB22C8">
        <w:rPr>
          <w:rStyle w:val="FootnoteReference"/>
        </w:rPr>
        <w:footnoteReference w:id="24"/>
      </w:r>
      <w:r w:rsidR="00B625B0" w:rsidRPr="00FB22C8">
        <w:t>. Depuis 2003, le travailleur aurait été déclaré invalide par Retraite Québec.</w:t>
      </w:r>
    </w:p>
    <w:p w14:paraId="6C43A92C" w14:textId="5C372D41" w:rsidR="000A570C" w:rsidRPr="00006954" w:rsidRDefault="000A570C" w:rsidP="00C82DCB">
      <w:pPr>
        <w:pStyle w:val="corpsdedcision"/>
      </w:pPr>
      <w:r w:rsidRPr="00006954">
        <w:t xml:space="preserve">Outre son exposition professionnelle au bruit, </w:t>
      </w:r>
      <w:r w:rsidR="0041180B">
        <w:t>le travailleur</w:t>
      </w:r>
      <w:r w:rsidRPr="00006954">
        <w:t xml:space="preserve"> indique ne pratiquer aucune activité personnelle impliquant une exposition significative au bruit.</w:t>
      </w:r>
    </w:p>
    <w:p w14:paraId="160DEAF9" w14:textId="63317649" w:rsidR="00A22266" w:rsidRPr="00FB22C8" w:rsidRDefault="00E509FF" w:rsidP="00A22266">
      <w:pPr>
        <w:pStyle w:val="corpsdedcision"/>
      </w:pPr>
      <w:r w:rsidRPr="00006954">
        <w:t>De ce qui précède</w:t>
      </w:r>
      <w:r w:rsidRPr="00FB22C8">
        <w:t xml:space="preserve">, le Tribunal retient que </w:t>
      </w:r>
      <w:r w:rsidR="0041180B" w:rsidRPr="00FB22C8">
        <w:t>le travailleur</w:t>
      </w:r>
      <w:r w:rsidRPr="00FB22C8">
        <w:t xml:space="preserve"> a été exposé à des bruits excessifs</w:t>
      </w:r>
      <w:r w:rsidR="008D15FC" w:rsidRPr="00FB22C8">
        <w:t xml:space="preserve"> minimalement pendant</w:t>
      </w:r>
      <w:r w:rsidRPr="00FB22C8">
        <w:t xml:space="preserve"> les sept</w:t>
      </w:r>
      <w:r w:rsidR="0041180B" w:rsidRPr="00FB22C8">
        <w:t> </w:t>
      </w:r>
      <w:r w:rsidR="008D15FC" w:rsidRPr="00FB22C8">
        <w:t xml:space="preserve">premières </w:t>
      </w:r>
      <w:r w:rsidRPr="00FB22C8">
        <w:t xml:space="preserve">années </w:t>
      </w:r>
      <w:r w:rsidR="008D15FC" w:rsidRPr="00FB22C8">
        <w:t>de sa carrière. Cette période est suffisante pour lui</w:t>
      </w:r>
      <w:r w:rsidRPr="00FB22C8">
        <w:t xml:space="preserve"> avoir causé </w:t>
      </w:r>
      <w:r w:rsidR="008D15FC" w:rsidRPr="00FB22C8">
        <w:t xml:space="preserve">en partie </w:t>
      </w:r>
      <w:r w:rsidRPr="00FB22C8">
        <w:t xml:space="preserve">l’atteinte auditive objectivée pour la première fois à l’audiogramme de 2022. </w:t>
      </w:r>
      <w:r w:rsidR="00A22266" w:rsidRPr="00FB22C8">
        <w:t>Surtout que</w:t>
      </w:r>
      <w:r w:rsidR="00A61363" w:rsidRPr="00FB22C8">
        <w:t xml:space="preserve"> le dommage est plus important dans les premières années d’exposition</w:t>
      </w:r>
      <w:r w:rsidR="00006954" w:rsidRPr="00FB22C8">
        <w:t xml:space="preserve"> comme mentionné précédemment</w:t>
      </w:r>
      <w:r w:rsidR="00A22266" w:rsidRPr="00FB22C8">
        <w:t>.</w:t>
      </w:r>
    </w:p>
    <w:p w14:paraId="5DF5ABCA" w14:textId="44ED9234" w:rsidR="00A22266" w:rsidRPr="00FB22C8" w:rsidRDefault="00A22266" w:rsidP="00A22266">
      <w:pPr>
        <w:pStyle w:val="corpsdedcision"/>
      </w:pPr>
      <w:r w:rsidRPr="00FB22C8">
        <w:t xml:space="preserve">Certes, le Tribunal ne peut </w:t>
      </w:r>
      <w:r w:rsidR="00FB22C8" w:rsidRPr="00FB22C8">
        <w:t xml:space="preserve">pas </w:t>
      </w:r>
      <w:r w:rsidRPr="00FB22C8">
        <w:t>ignorer que le travailleur a probablement continué d’être exposé à des niveaux de bruit significatifs lorsqu’il a œuvré comme b</w:t>
      </w:r>
      <w:r w:rsidR="00CB78E0">
        <w:t>û</w:t>
      </w:r>
      <w:r w:rsidRPr="00FB22C8">
        <w:t>cheron à son compte. Cependant</w:t>
      </w:r>
      <w:r w:rsidR="00FB22C8" w:rsidRPr="00FB22C8">
        <w:t>,</w:t>
      </w:r>
      <w:r w:rsidRPr="00FB22C8">
        <w:t xml:space="preserve"> cela ne constitue pas une fin de non-recevoir dans la mesure où la preuve démontre, comme en l’espèce, que celui-ci a eu une exposition antérieure à des bruits </w:t>
      </w:r>
      <w:r w:rsidR="008D15FC" w:rsidRPr="00FB22C8">
        <w:t>excessifs</w:t>
      </w:r>
      <w:r w:rsidRPr="00FB22C8">
        <w:t xml:space="preserve"> alors qu’il était couvert par le régime d’indemnisation de la Commission comme le soulignait le Tribunal dans </w:t>
      </w:r>
      <w:r w:rsidRPr="00FB22C8">
        <w:rPr>
          <w:rFonts w:cs="Arial"/>
          <w:i/>
          <w:iCs/>
          <w:szCs w:val="24"/>
        </w:rPr>
        <w:t>Houde</w:t>
      </w:r>
      <w:r w:rsidRPr="00FB22C8">
        <w:rPr>
          <w:rFonts w:cs="Arial"/>
          <w:szCs w:val="24"/>
        </w:rPr>
        <w:t xml:space="preserve"> et </w:t>
      </w:r>
      <w:r w:rsidRPr="00FB22C8">
        <w:rPr>
          <w:rFonts w:cs="Arial"/>
          <w:i/>
          <w:iCs/>
          <w:szCs w:val="24"/>
        </w:rPr>
        <w:t>Produits forestiers Résolu</w:t>
      </w:r>
      <w:r w:rsidRPr="00FB22C8">
        <w:rPr>
          <w:rStyle w:val="FootnoteReference"/>
          <w:rFonts w:cs="Arial"/>
          <w:szCs w:val="24"/>
        </w:rPr>
        <w:footnoteReference w:id="25"/>
      </w:r>
      <w:r w:rsidRPr="00FB22C8">
        <w:rPr>
          <w:rFonts w:cs="Arial"/>
          <w:szCs w:val="24"/>
        </w:rPr>
        <w:t>.</w:t>
      </w:r>
    </w:p>
    <w:p w14:paraId="036806C8" w14:textId="607F58F9" w:rsidR="00A22266" w:rsidRPr="00FB22C8" w:rsidRDefault="00A22266" w:rsidP="00A22266">
      <w:pPr>
        <w:pStyle w:val="corpsdedcision"/>
      </w:pPr>
      <w:r w:rsidRPr="00FB22C8">
        <w:t xml:space="preserve">Il reviendra donc à la </w:t>
      </w:r>
      <w:r w:rsidR="008D15FC" w:rsidRPr="00FB22C8">
        <w:t>Commission</w:t>
      </w:r>
      <w:r w:rsidRPr="00FB22C8">
        <w:t xml:space="preserve"> de tenir compte, dans la mesure du possible, qu’une partie de l’atteinte auditive du travailleur découle d’une période d’exposition où celui-ci n’était pas </w:t>
      </w:r>
      <w:r w:rsidR="00B93E1A" w:rsidRPr="00FB22C8">
        <w:t xml:space="preserve">inscrit </w:t>
      </w:r>
      <w:r w:rsidR="008D15FC" w:rsidRPr="00FB22C8">
        <w:t>au régime prévu par la Loi</w:t>
      </w:r>
      <w:r w:rsidR="00B93E1A" w:rsidRPr="00FB22C8">
        <w:t xml:space="preserve"> et que cette </w:t>
      </w:r>
      <w:r w:rsidRPr="00FB22C8">
        <w:t xml:space="preserve">portion ne peut </w:t>
      </w:r>
      <w:r w:rsidR="00B93E1A" w:rsidRPr="00FB22C8">
        <w:t xml:space="preserve">pas </w:t>
      </w:r>
      <w:r w:rsidRPr="00FB22C8">
        <w:t xml:space="preserve">être </w:t>
      </w:r>
      <w:r w:rsidR="008D15FC" w:rsidRPr="00FB22C8">
        <w:t>indemnisée</w:t>
      </w:r>
      <w:r w:rsidRPr="00FB22C8">
        <w:t xml:space="preserve"> en vertu de </w:t>
      </w:r>
      <w:r w:rsidR="008D15FC" w:rsidRPr="00FB22C8">
        <w:t>celle-ci</w:t>
      </w:r>
      <w:r w:rsidRPr="00FB22C8">
        <w:t>.</w:t>
      </w:r>
    </w:p>
    <w:p w14:paraId="2B8AC5D6" w14:textId="08182495" w:rsidR="00A61363" w:rsidRPr="00FB22C8" w:rsidRDefault="00B93E1A" w:rsidP="00DF775A">
      <w:pPr>
        <w:pStyle w:val="corpsdedcision"/>
      </w:pPr>
      <w:r w:rsidRPr="00FB22C8">
        <w:t xml:space="preserve">Bien que </w:t>
      </w:r>
      <w:r w:rsidR="003972C7" w:rsidRPr="00FB22C8">
        <w:t xml:space="preserve">la preuve ne </w:t>
      </w:r>
      <w:r w:rsidR="00BE3908" w:rsidRPr="00FB22C8">
        <w:t>permette</w:t>
      </w:r>
      <w:r w:rsidR="003972C7" w:rsidRPr="00FB22C8">
        <w:t xml:space="preserve"> </w:t>
      </w:r>
      <w:r w:rsidR="00FB22C8" w:rsidRPr="00FB22C8">
        <w:t xml:space="preserve">pas </w:t>
      </w:r>
      <w:r w:rsidR="003972C7" w:rsidRPr="00FB22C8">
        <w:t xml:space="preserve">de préciser </w:t>
      </w:r>
      <w:r w:rsidR="008D15FC" w:rsidRPr="00FB22C8">
        <w:t>avec exactitude</w:t>
      </w:r>
      <w:r w:rsidR="00BE3908" w:rsidRPr="00FB22C8">
        <w:t xml:space="preserve"> </w:t>
      </w:r>
      <w:r w:rsidR="003972C7" w:rsidRPr="00FB22C8">
        <w:t>le</w:t>
      </w:r>
      <w:r w:rsidRPr="00FB22C8">
        <w:t xml:space="preserve"> niveau </w:t>
      </w:r>
      <w:r w:rsidR="00BE3908" w:rsidRPr="00FB22C8">
        <w:t xml:space="preserve">de bruit </w:t>
      </w:r>
      <w:r w:rsidRPr="00FB22C8">
        <w:t xml:space="preserve">auquel le travailleur a pu être exposé dans ses emplois, </w:t>
      </w:r>
      <w:r w:rsidRPr="00FB22C8">
        <w:rPr>
          <w:szCs w:val="24"/>
        </w:rPr>
        <w:t>l</w:t>
      </w:r>
      <w:r w:rsidR="00411A6C" w:rsidRPr="00FB22C8">
        <w:rPr>
          <w:szCs w:val="24"/>
        </w:rPr>
        <w:t xml:space="preserve">e Tribunal retient que la jurisprudence a régulièrement </w:t>
      </w:r>
      <w:r w:rsidRPr="00FB22C8">
        <w:rPr>
          <w:szCs w:val="24"/>
        </w:rPr>
        <w:t xml:space="preserve">conclu à </w:t>
      </w:r>
      <w:r w:rsidRPr="00FB22C8">
        <w:t>une exposition à des bruits excessifs</w:t>
      </w:r>
      <w:r w:rsidRPr="00B93E1A">
        <w:rPr>
          <w:szCs w:val="24"/>
        </w:rPr>
        <w:t xml:space="preserve"> dans des </w:t>
      </w:r>
      <w:r w:rsidRPr="00006954">
        <w:lastRenderedPageBreak/>
        <w:t>milieux similaires</w:t>
      </w:r>
      <w:r w:rsidRPr="00B93E1A">
        <w:rPr>
          <w:szCs w:val="24"/>
        </w:rPr>
        <w:t xml:space="preserve">, en raison de l’utilisation de scies mécaniques et du bruit des outils dans des scieries ou des </w:t>
      </w:r>
      <w:r w:rsidRPr="00FB22C8">
        <w:rPr>
          <w:szCs w:val="24"/>
        </w:rPr>
        <w:t>mines</w:t>
      </w:r>
      <w:r w:rsidRPr="00FB22C8">
        <w:rPr>
          <w:rStyle w:val="FootnoteReference"/>
          <w:szCs w:val="24"/>
        </w:rPr>
        <w:footnoteReference w:id="26"/>
      </w:r>
      <w:r w:rsidRPr="00FB22C8">
        <w:rPr>
          <w:szCs w:val="24"/>
        </w:rPr>
        <w:t>.</w:t>
      </w:r>
    </w:p>
    <w:p w14:paraId="1E80688A" w14:textId="070DBD30" w:rsidR="003972C7" w:rsidRPr="00FB22C8" w:rsidRDefault="003972C7" w:rsidP="003972C7">
      <w:pPr>
        <w:pStyle w:val="corpsdedcision"/>
        <w:tabs>
          <w:tab w:val="num" w:pos="720"/>
        </w:tabs>
      </w:pPr>
      <w:r w:rsidRPr="00FB22C8">
        <w:t xml:space="preserve">D’ailleurs, comme mentionné dans l’affaire </w:t>
      </w:r>
      <w:proofErr w:type="spellStart"/>
      <w:r w:rsidRPr="00FB22C8">
        <w:rPr>
          <w:i/>
          <w:iCs/>
        </w:rPr>
        <w:t>Desgagné</w:t>
      </w:r>
      <w:proofErr w:type="spellEnd"/>
      <w:r w:rsidRPr="00FB22C8">
        <w:t xml:space="preserve"> et </w:t>
      </w:r>
      <w:r w:rsidRPr="00FB22C8">
        <w:rPr>
          <w:i/>
          <w:iCs/>
        </w:rPr>
        <w:t>Brasserie Labatt limitée</w:t>
      </w:r>
      <w:r w:rsidRPr="00FB22C8">
        <w:rPr>
          <w:rStyle w:val="FootnoteReference"/>
        </w:rPr>
        <w:footnoteReference w:id="27"/>
      </w:r>
      <w:r w:rsidRPr="00FB22C8">
        <w:t>, au stade de l’application de la présomption de l’article</w:t>
      </w:r>
      <w:r w:rsidR="00FB22C8" w:rsidRPr="00FB22C8">
        <w:t> </w:t>
      </w:r>
      <w:r w:rsidRPr="00FB22C8">
        <w:t xml:space="preserve">29 de la Loi, il n’est pas opportun d’exiger la preuve d’une durée </w:t>
      </w:r>
      <w:r w:rsidR="00411A6C" w:rsidRPr="00FB22C8">
        <w:t xml:space="preserve">spécifique </w:t>
      </w:r>
      <w:r w:rsidRPr="00FB22C8">
        <w:t>d’exposition à des bruits excessifs ni à un niveau sonore précis.</w:t>
      </w:r>
    </w:p>
    <w:p w14:paraId="51A833D0" w14:textId="58F95728" w:rsidR="004614D4" w:rsidRPr="00FB22C8" w:rsidRDefault="000B1D99" w:rsidP="00C82DCB">
      <w:pPr>
        <w:pStyle w:val="corpsdedcision"/>
      </w:pPr>
      <w:r w:rsidRPr="00FB22C8">
        <w:t>Le</w:t>
      </w:r>
      <w:r w:rsidR="00BE3908" w:rsidRPr="00FB22C8">
        <w:t xml:space="preserve">s </w:t>
      </w:r>
      <w:r w:rsidR="004614D4" w:rsidRPr="00FB22C8">
        <w:t>deux éléments requis pour bénéficier de la présomption de maladie professionnelle énoncée à l’article</w:t>
      </w:r>
      <w:r w:rsidRPr="00FB22C8">
        <w:t> </w:t>
      </w:r>
      <w:r w:rsidR="004614D4" w:rsidRPr="00FB22C8">
        <w:t xml:space="preserve">29 de la Loi </w:t>
      </w:r>
      <w:r w:rsidR="00BE3908" w:rsidRPr="00FB22C8">
        <w:t>étant démontrés, l</w:t>
      </w:r>
      <w:r w:rsidR="000210FA" w:rsidRPr="00FB22C8">
        <w:t>e travailleur est présumé atteint d’une surdité d’origine professionnelle.</w:t>
      </w:r>
    </w:p>
    <w:p w14:paraId="3CD88895" w14:textId="31A3EFAC" w:rsidR="004614D4" w:rsidRPr="00FB22C8" w:rsidRDefault="000210FA" w:rsidP="00C82DCB">
      <w:pPr>
        <w:pStyle w:val="corpsdedcision"/>
        <w:rPr>
          <w:rFonts w:cs="Arial"/>
          <w:szCs w:val="24"/>
        </w:rPr>
      </w:pPr>
      <w:r w:rsidRPr="00FB22C8">
        <w:t>L</w:t>
      </w:r>
      <w:r w:rsidR="00BE3908" w:rsidRPr="00FB22C8">
        <w:t>’application de cette</w:t>
      </w:r>
      <w:r w:rsidR="004614D4" w:rsidRPr="00FB22C8">
        <w:rPr>
          <w:rFonts w:cs="Arial"/>
          <w:szCs w:val="24"/>
          <w:lang w:val="fr-FR"/>
        </w:rPr>
        <w:t xml:space="preserve"> présomption peut être renversée par une preuve qui démontre que le travail ne peut</w:t>
      </w:r>
      <w:r w:rsidR="000B1D99" w:rsidRPr="00FB22C8">
        <w:rPr>
          <w:rFonts w:cs="Arial"/>
          <w:szCs w:val="24"/>
          <w:lang w:val="fr-FR"/>
        </w:rPr>
        <w:t xml:space="preserve"> pas</w:t>
      </w:r>
      <w:r w:rsidR="004614D4" w:rsidRPr="00FB22C8">
        <w:rPr>
          <w:rFonts w:cs="Arial"/>
          <w:szCs w:val="24"/>
          <w:lang w:val="fr-FR"/>
        </w:rPr>
        <w:t xml:space="preserve"> avoir été la cause de la surdité ou par une preuve démontrant que le niveau d’exposition n’a pas été suffisant pour engendrer cette pathologie</w:t>
      </w:r>
      <w:r w:rsidR="004614D4" w:rsidRPr="00FB22C8">
        <w:rPr>
          <w:rStyle w:val="FootnoteReference"/>
          <w:rFonts w:cs="Arial"/>
          <w:szCs w:val="24"/>
          <w:lang w:val="fr-FR"/>
        </w:rPr>
        <w:footnoteReference w:id="28"/>
      </w:r>
      <w:r w:rsidR="004614D4" w:rsidRPr="00FB22C8">
        <w:rPr>
          <w:rFonts w:cs="Arial"/>
          <w:szCs w:val="24"/>
          <w:lang w:val="fr-FR"/>
        </w:rPr>
        <w:t>. Cette démonstration peut</w:t>
      </w:r>
      <w:r w:rsidRPr="00FB22C8">
        <w:rPr>
          <w:rFonts w:cs="Arial"/>
          <w:szCs w:val="24"/>
          <w:lang w:val="fr-FR"/>
        </w:rPr>
        <w:t xml:space="preserve"> également</w:t>
      </w:r>
      <w:r w:rsidR="004614D4" w:rsidRPr="00FB22C8">
        <w:rPr>
          <w:rFonts w:cs="Arial"/>
          <w:szCs w:val="24"/>
          <w:lang w:val="fr-FR"/>
        </w:rPr>
        <w:t xml:space="preserve"> être faite par une preuve prépondérante démontrant que la surdité est le reflet d’une condition personnelle ou le résultat de la pratique de certaines activités personnelles.</w:t>
      </w:r>
    </w:p>
    <w:p w14:paraId="3FA5E52F" w14:textId="385644A4" w:rsidR="0039121B" w:rsidRPr="00FB22C8" w:rsidRDefault="000210FA" w:rsidP="00C82DCB">
      <w:pPr>
        <w:pStyle w:val="corpsdedcision"/>
        <w:rPr>
          <w:szCs w:val="24"/>
        </w:rPr>
      </w:pPr>
      <w:r w:rsidRPr="00FB22C8">
        <w:t xml:space="preserve">Aucune </w:t>
      </w:r>
      <w:r w:rsidR="0039121B" w:rsidRPr="00FB22C8">
        <w:t>preuve permettant le renversement</w:t>
      </w:r>
      <w:r w:rsidR="0039121B" w:rsidRPr="00FB22C8">
        <w:rPr>
          <w:szCs w:val="24"/>
        </w:rPr>
        <w:t xml:space="preserve"> de cette présomption</w:t>
      </w:r>
      <w:r w:rsidRPr="00FB22C8">
        <w:rPr>
          <w:szCs w:val="24"/>
        </w:rPr>
        <w:t xml:space="preserve"> n’a été présentée.</w:t>
      </w:r>
    </w:p>
    <w:p w14:paraId="7DBBCDE6" w14:textId="696807C6" w:rsidR="00A61363" w:rsidRPr="00A25B88" w:rsidRDefault="00A61363" w:rsidP="00B43618">
      <w:pPr>
        <w:pStyle w:val="corpsdedcision"/>
      </w:pPr>
      <w:r w:rsidRPr="0039121B">
        <w:t>Après considération de la preuve</w:t>
      </w:r>
      <w:r w:rsidRPr="00A25B88">
        <w:t xml:space="preserve"> au dossier, des arguments soumis et de la jurisprudence sur la question, le Tribunal est d’avis que le travailleur est atteint d’une surdité d’origine professionnelle.</w:t>
      </w:r>
    </w:p>
    <w:p w14:paraId="2363004B" w14:textId="77777777" w:rsidR="00516BCB" w:rsidRPr="004614D4" w:rsidRDefault="00516BCB" w:rsidP="00C82DCB">
      <w:pPr>
        <w:pStyle w:val="Dispositif"/>
      </w:pPr>
      <w:r w:rsidRPr="004614D4">
        <w:rPr>
          <w:b/>
        </w:rPr>
        <w:t>PAR CES MOTIFS, LE TRIBUNAL ADMINISTRATIF DU TRAVAIL :</w:t>
      </w:r>
    </w:p>
    <w:p w14:paraId="280F06E7" w14:textId="69F8FB03" w:rsidR="00516BCB" w:rsidRDefault="00516BCB" w:rsidP="00C82DCB">
      <w:pPr>
        <w:pStyle w:val="Dispositif"/>
      </w:pPr>
      <w:r w:rsidRPr="004614D4">
        <w:rPr>
          <w:b/>
        </w:rPr>
        <w:t>ACCUEILLE</w:t>
      </w:r>
      <w:r w:rsidRPr="004614D4">
        <w:t xml:space="preserve"> la contestation </w:t>
      </w:r>
      <w:r w:rsidR="00A61363" w:rsidRPr="004614D4">
        <w:t xml:space="preserve">du travailleur, </w:t>
      </w:r>
      <w:r w:rsidRPr="004614D4">
        <w:t xml:space="preserve">monsieur </w:t>
      </w:r>
      <w:r w:rsidR="00A61363" w:rsidRPr="004614D4">
        <w:t>Michel Charest</w:t>
      </w:r>
      <w:r w:rsidRPr="004614D4">
        <w:t>;</w:t>
      </w:r>
    </w:p>
    <w:p w14:paraId="2481225C" w14:textId="2105BA64" w:rsidR="000B1D99" w:rsidRPr="000B1D99" w:rsidRDefault="000B1D99" w:rsidP="00C82DCB">
      <w:pPr>
        <w:pStyle w:val="Dispositif"/>
      </w:pPr>
      <w:r>
        <w:rPr>
          <w:b/>
          <w:bCs/>
        </w:rPr>
        <w:t>INFIRME</w:t>
      </w:r>
      <w:r>
        <w:t xml:space="preserve"> la décision de la Commission des normes, de l’équité, de la santé et de la sécurité du travail rendue le 5 mai 2023, à la suite d’une révision administrative;</w:t>
      </w:r>
    </w:p>
    <w:p w14:paraId="63889499" w14:textId="6F6C6EF8" w:rsidR="00516BCB" w:rsidRDefault="00516BCB" w:rsidP="002A64FB">
      <w:pPr>
        <w:pStyle w:val="Dispositif"/>
        <w:keepNext/>
        <w:keepLines/>
        <w:spacing w:after="720"/>
      </w:pPr>
      <w:r w:rsidRPr="004614D4">
        <w:rPr>
          <w:b/>
        </w:rPr>
        <w:lastRenderedPageBreak/>
        <w:t>DÉCLARE</w:t>
      </w:r>
      <w:r w:rsidRPr="004614D4">
        <w:t xml:space="preserve"> que le travailleur est porteur d’une maladie professionnelle, soit une surdité</w:t>
      </w:r>
      <w:r w:rsidR="000C578C">
        <w:t xml:space="preserve"> d’origine</w:t>
      </w:r>
      <w:r w:rsidRPr="004614D4">
        <w:t xml:space="preserve"> professionnelle à compter du </w:t>
      </w:r>
      <w:r w:rsidR="00A61363" w:rsidRPr="004614D4">
        <w:t>30</w:t>
      </w:r>
      <w:r w:rsidR="000B1D99">
        <w:t> </w:t>
      </w:r>
      <w:r w:rsidR="00A61363" w:rsidRPr="004614D4">
        <w:t>septembre</w:t>
      </w:r>
      <w:r w:rsidR="000B1D99">
        <w:t> </w:t>
      </w:r>
      <w:r w:rsidRPr="004614D4">
        <w:t>20</w:t>
      </w:r>
      <w:r w:rsidR="00A61363" w:rsidRPr="004614D4">
        <w:t>22</w:t>
      </w:r>
      <w:r w:rsidRPr="004614D4">
        <w:t xml:space="preserve"> et qu’il a droit aux prestations de la </w:t>
      </w:r>
      <w:r w:rsidRPr="004614D4">
        <w:rPr>
          <w:i/>
          <w:iCs/>
        </w:rPr>
        <w:t>Loi sur les accidents du travail et les maladies professionnelles</w:t>
      </w:r>
      <w:r w:rsidRPr="004614D4">
        <w:t>.</w:t>
      </w: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12EC6537" w14:textId="77777777">
        <w:tc>
          <w:tcPr>
            <w:tcW w:w="4795" w:type="dxa"/>
          </w:tcPr>
          <w:p w14:paraId="2BB661F1" w14:textId="77777777" w:rsidR="00C74B6F" w:rsidRDefault="00C74B6F" w:rsidP="002A64FB">
            <w:pPr>
              <w:keepNext/>
              <w:keepLines/>
            </w:pPr>
          </w:p>
        </w:tc>
        <w:tc>
          <w:tcPr>
            <w:tcW w:w="4795" w:type="dxa"/>
          </w:tcPr>
          <w:p w14:paraId="0ED816B9" w14:textId="77777777" w:rsidR="00C74B6F" w:rsidRDefault="00C74B6F" w:rsidP="002A64FB">
            <w:pPr>
              <w:keepNext/>
              <w:keepLines/>
            </w:pPr>
            <w:bookmarkStart w:id="9" w:name="signature"/>
            <w:bookmarkEnd w:id="9"/>
            <w:r>
              <w:t>__________________________________</w:t>
            </w:r>
          </w:p>
        </w:tc>
      </w:tr>
      <w:tr w:rsidR="00C74B6F" w14:paraId="199E2A38" w14:textId="77777777">
        <w:tc>
          <w:tcPr>
            <w:tcW w:w="4795" w:type="dxa"/>
          </w:tcPr>
          <w:p w14:paraId="11F3B6B1" w14:textId="77777777" w:rsidR="00C74B6F" w:rsidRDefault="00C74B6F" w:rsidP="002A64FB">
            <w:pPr>
              <w:keepNext/>
              <w:keepLines/>
            </w:pPr>
          </w:p>
        </w:tc>
        <w:tc>
          <w:tcPr>
            <w:tcW w:w="4795" w:type="dxa"/>
          </w:tcPr>
          <w:p w14:paraId="4DB45142" w14:textId="666EF2F9" w:rsidR="00C74B6F" w:rsidRDefault="00C4749E" w:rsidP="002A64FB">
            <w:pPr>
              <w:keepNext/>
              <w:keepLines/>
            </w:pPr>
            <w:r>
              <w:t>Julie Samson</w:t>
            </w:r>
          </w:p>
        </w:tc>
      </w:tr>
      <w:tr w:rsidR="00C74B6F" w14:paraId="4D5C28D8" w14:textId="77777777">
        <w:trPr>
          <w:cantSplit/>
        </w:trPr>
        <w:tc>
          <w:tcPr>
            <w:tcW w:w="9590" w:type="dxa"/>
            <w:gridSpan w:val="2"/>
          </w:tcPr>
          <w:p w14:paraId="63C666A1" w14:textId="77777777" w:rsidR="00C74B6F" w:rsidRDefault="00C74B6F" w:rsidP="002A64FB">
            <w:pPr>
              <w:keepNext/>
              <w:keepLines/>
            </w:pPr>
          </w:p>
        </w:tc>
      </w:tr>
      <w:tr w:rsidR="00C74B6F" w14:paraId="53489F60" w14:textId="77777777">
        <w:trPr>
          <w:cantSplit/>
        </w:trPr>
        <w:tc>
          <w:tcPr>
            <w:tcW w:w="9590" w:type="dxa"/>
            <w:gridSpan w:val="2"/>
          </w:tcPr>
          <w:p w14:paraId="6397D80F" w14:textId="77777777" w:rsidR="00C74B6F" w:rsidRPr="00C912F9" w:rsidRDefault="00C74B6F" w:rsidP="002A64FB">
            <w:pPr>
              <w:keepNext/>
              <w:keepLines/>
              <w:tabs>
                <w:tab w:val="left" w:pos="1592"/>
              </w:tabs>
            </w:pPr>
          </w:p>
        </w:tc>
      </w:tr>
      <w:tr w:rsidR="00C74B6F" w14:paraId="20FE056C" w14:textId="77777777">
        <w:trPr>
          <w:cantSplit/>
        </w:trPr>
        <w:tc>
          <w:tcPr>
            <w:tcW w:w="9590" w:type="dxa"/>
            <w:gridSpan w:val="2"/>
          </w:tcPr>
          <w:p w14:paraId="2416FD3E" w14:textId="77777777" w:rsidR="00C74B6F" w:rsidRDefault="00C74B6F" w:rsidP="002A64FB">
            <w:pPr>
              <w:keepNext/>
              <w:keepLines/>
            </w:pPr>
          </w:p>
        </w:tc>
      </w:tr>
      <w:tr w:rsidR="00C74B6F" w14:paraId="6B837C48" w14:textId="77777777">
        <w:trPr>
          <w:cantSplit/>
        </w:trPr>
        <w:tc>
          <w:tcPr>
            <w:tcW w:w="9590" w:type="dxa"/>
            <w:gridSpan w:val="2"/>
          </w:tcPr>
          <w:p w14:paraId="68C8697B" w14:textId="74145159" w:rsidR="00C74B6F" w:rsidRDefault="00C4749E" w:rsidP="002A64FB">
            <w:pPr>
              <w:pStyle w:val="zSoquijdatNomProcureurDem"/>
              <w:keepNext/>
              <w:keepLines/>
            </w:pPr>
            <w:r>
              <w:t>M. Mario Dufresne</w:t>
            </w:r>
          </w:p>
        </w:tc>
      </w:tr>
      <w:tr w:rsidR="00C74B6F" w14:paraId="790AF59E" w14:textId="77777777">
        <w:trPr>
          <w:cantSplit/>
        </w:trPr>
        <w:tc>
          <w:tcPr>
            <w:tcW w:w="9590" w:type="dxa"/>
            <w:gridSpan w:val="2"/>
          </w:tcPr>
          <w:p w14:paraId="2E43C5E0" w14:textId="306D1943" w:rsidR="00C74B6F" w:rsidRDefault="00C4749E" w:rsidP="002A64FB">
            <w:pPr>
              <w:pStyle w:val="zSoquijdatCabinetProcureurDem"/>
              <w:keepNext/>
              <w:keepLines/>
            </w:pPr>
            <w:r>
              <w:t>CATTARA INC.</w:t>
            </w:r>
          </w:p>
        </w:tc>
      </w:tr>
      <w:tr w:rsidR="00C74B6F" w14:paraId="537DC8D4" w14:textId="77777777">
        <w:trPr>
          <w:cantSplit/>
        </w:trPr>
        <w:tc>
          <w:tcPr>
            <w:tcW w:w="9590" w:type="dxa"/>
            <w:gridSpan w:val="2"/>
          </w:tcPr>
          <w:p w14:paraId="347DA709" w14:textId="77777777" w:rsidR="00C74B6F" w:rsidRDefault="00CB05A7" w:rsidP="002A64FB">
            <w:pPr>
              <w:pStyle w:val="zSoquijlblProcureurDem"/>
              <w:keepNext/>
              <w:keepLines/>
            </w:pPr>
            <w:r>
              <w:t>Pour la partie demanderesse</w:t>
            </w:r>
          </w:p>
        </w:tc>
      </w:tr>
      <w:tr w:rsidR="00C15A3F" w14:paraId="2B6C17CF" w14:textId="77777777">
        <w:trPr>
          <w:cantSplit/>
        </w:trPr>
        <w:tc>
          <w:tcPr>
            <w:tcW w:w="9590" w:type="dxa"/>
            <w:gridSpan w:val="2"/>
          </w:tcPr>
          <w:p w14:paraId="48381AE1" w14:textId="77777777" w:rsidR="00C15A3F" w:rsidRDefault="00C15A3F" w:rsidP="002A64FB">
            <w:pPr>
              <w:pStyle w:val="zSoquijlblProcureurInt"/>
              <w:keepNext/>
              <w:keepLines/>
            </w:pPr>
          </w:p>
        </w:tc>
      </w:tr>
      <w:tr w:rsidR="00C15A3F" w14:paraId="09F74E8F" w14:textId="77777777">
        <w:trPr>
          <w:cantSplit/>
        </w:trPr>
        <w:tc>
          <w:tcPr>
            <w:tcW w:w="9590" w:type="dxa"/>
            <w:gridSpan w:val="2"/>
          </w:tcPr>
          <w:p w14:paraId="6CDA3384" w14:textId="44852189" w:rsidR="00C15A3F" w:rsidRDefault="00C15A3F" w:rsidP="002A64FB">
            <w:pPr>
              <w:pStyle w:val="zSoquijdatDateAudience"/>
              <w:keepNext/>
              <w:keepLines/>
            </w:pPr>
            <w:bookmarkStart w:id="10" w:name="Date_derniere_audience"/>
            <w:bookmarkEnd w:id="10"/>
            <w:r>
              <w:t xml:space="preserve">Date de la </w:t>
            </w:r>
            <w:r w:rsidR="00CC6338">
              <w:t>mise en délibéré</w:t>
            </w:r>
            <w:r>
              <w:t> :</w:t>
            </w:r>
            <w:r w:rsidR="00597016">
              <w:tab/>
            </w:r>
            <w:r w:rsidR="00C82DCB">
              <w:t>24 octobre 2024</w:t>
            </w:r>
          </w:p>
        </w:tc>
      </w:tr>
    </w:tbl>
    <w:p w14:paraId="2319CC07" w14:textId="77777777" w:rsidR="002542E0" w:rsidRDefault="002542E0" w:rsidP="002A64FB">
      <w:pPr>
        <w:pStyle w:val="corpsdedcision"/>
        <w:keepNext/>
        <w:keepLines/>
        <w:numPr>
          <w:ilvl w:val="0"/>
          <w:numId w:val="0"/>
        </w:numPr>
        <w:tabs>
          <w:tab w:val="clear" w:pos="720"/>
        </w:tabs>
      </w:pPr>
    </w:p>
    <w:sectPr w:rsidR="002542E0">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E6EE" w14:textId="77777777" w:rsidR="00FB274F" w:rsidRDefault="00FB274F">
      <w:r>
        <w:separator/>
      </w:r>
    </w:p>
  </w:endnote>
  <w:endnote w:type="continuationSeparator" w:id="0">
    <w:p w14:paraId="648623E3" w14:textId="77777777" w:rsidR="00FB274F" w:rsidRDefault="00FB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B204" w14:textId="77777777" w:rsidR="00FB274F" w:rsidRDefault="00FB274F">
      <w:r>
        <w:separator/>
      </w:r>
    </w:p>
  </w:footnote>
  <w:footnote w:type="continuationSeparator" w:id="0">
    <w:p w14:paraId="52E258C0" w14:textId="77777777" w:rsidR="00FB274F" w:rsidRDefault="00FB274F">
      <w:r>
        <w:continuationSeparator/>
      </w:r>
    </w:p>
  </w:footnote>
  <w:footnote w:id="1">
    <w:p w14:paraId="5FBA563B" w14:textId="6B7260D9" w:rsidR="0073402D" w:rsidRPr="0073402D" w:rsidRDefault="0073402D" w:rsidP="0073402D">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Décision rendue le 5</w:t>
      </w:r>
      <w:r w:rsidR="00983348">
        <w:rPr>
          <w:rFonts w:cs="Arial"/>
          <w:sz w:val="20"/>
        </w:rPr>
        <w:t> </w:t>
      </w:r>
      <w:r>
        <w:rPr>
          <w:rFonts w:cs="Arial"/>
          <w:sz w:val="20"/>
        </w:rPr>
        <w:t>mai</w:t>
      </w:r>
      <w:r w:rsidR="00983348">
        <w:rPr>
          <w:rFonts w:cs="Arial"/>
          <w:sz w:val="20"/>
        </w:rPr>
        <w:t> </w:t>
      </w:r>
      <w:r>
        <w:rPr>
          <w:rFonts w:cs="Arial"/>
          <w:sz w:val="20"/>
        </w:rPr>
        <w:t>2023, à la suite d’une révision administrative.</w:t>
      </w:r>
    </w:p>
  </w:footnote>
  <w:footnote w:id="2">
    <w:p w14:paraId="63DEC5CE" w14:textId="3B1CCB8F" w:rsidR="00983348" w:rsidRPr="00D55CB2" w:rsidRDefault="00983348" w:rsidP="00D55CB2">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RLRQ, c. A-3.001.</w:t>
      </w:r>
    </w:p>
  </w:footnote>
  <w:footnote w:id="3">
    <w:p w14:paraId="28D6FE53" w14:textId="77777777" w:rsidR="00A61363" w:rsidRPr="009E7E54" w:rsidRDefault="00A61363" w:rsidP="00A61363">
      <w:pPr>
        <w:pStyle w:val="FootnoteText"/>
        <w:tabs>
          <w:tab w:val="left" w:pos="720"/>
        </w:tabs>
        <w:ind w:left="720" w:hanging="720"/>
        <w:jc w:val="both"/>
        <w:rPr>
          <w:rFonts w:cs="Arial"/>
          <w:sz w:val="20"/>
        </w:rPr>
      </w:pPr>
      <w:r w:rsidRPr="00C048C0">
        <w:rPr>
          <w:rStyle w:val="FootnoteReference"/>
          <w:szCs w:val="24"/>
        </w:rPr>
        <w:footnoteRef/>
      </w:r>
      <w:r w:rsidRPr="009E7E54">
        <w:rPr>
          <w:sz w:val="20"/>
        </w:rPr>
        <w:t xml:space="preserve"> </w:t>
      </w:r>
      <w:r w:rsidRPr="009E7E54">
        <w:rPr>
          <w:rFonts w:cs="Arial"/>
          <w:sz w:val="20"/>
        </w:rPr>
        <w:tab/>
      </w:r>
      <w:r>
        <w:rPr>
          <w:rFonts w:cs="Arial"/>
          <w:sz w:val="20"/>
        </w:rPr>
        <w:t>Article 2 de la Loi.</w:t>
      </w:r>
    </w:p>
  </w:footnote>
  <w:footnote w:id="4">
    <w:p w14:paraId="7A52CB9A" w14:textId="54E39078" w:rsidR="00EB3AC5" w:rsidRPr="00EB3AC5" w:rsidRDefault="00EB3AC5" w:rsidP="00EB3AC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L.Q. 2021</w:t>
      </w:r>
      <w:r w:rsidR="00F46344">
        <w:rPr>
          <w:rFonts w:cs="Arial"/>
          <w:sz w:val="20"/>
        </w:rPr>
        <w:t>,</w:t>
      </w:r>
      <w:r>
        <w:rPr>
          <w:rFonts w:cs="Arial"/>
          <w:sz w:val="20"/>
        </w:rPr>
        <w:t xml:space="preserve"> c. 27.</w:t>
      </w:r>
    </w:p>
  </w:footnote>
  <w:footnote w:id="5">
    <w:p w14:paraId="743CA652" w14:textId="69CAAC2F" w:rsidR="00EB3AC5" w:rsidRPr="00EB3AC5" w:rsidRDefault="00EB3AC5" w:rsidP="00F46344">
      <w:pPr>
        <w:pStyle w:val="corpsdedcision"/>
        <w:numPr>
          <w:ilvl w:val="0"/>
          <w:numId w:val="0"/>
        </w:numPr>
        <w:tabs>
          <w:tab w:val="clear" w:pos="720"/>
        </w:tabs>
        <w:spacing w:after="0"/>
        <w:ind w:left="709" w:hanging="709"/>
        <w:rPr>
          <w:rFonts w:cs="Arial"/>
          <w:sz w:val="20"/>
        </w:rPr>
      </w:pPr>
      <w:r>
        <w:rPr>
          <w:rStyle w:val="FootnoteReference"/>
        </w:rPr>
        <w:footnoteRef/>
      </w:r>
      <w:r>
        <w:t xml:space="preserve"> </w:t>
      </w:r>
      <w:r>
        <w:rPr>
          <w:rFonts w:cs="Arial"/>
          <w:sz w:val="20"/>
        </w:rPr>
        <w:tab/>
      </w:r>
      <w:r w:rsidRPr="00EB3AC5">
        <w:rPr>
          <w:sz w:val="20"/>
        </w:rPr>
        <w:t>Le nouvel article 28.1 de la Loi, entrée en vigueur le 6 octobre 2021, par l’application de l</w:t>
      </w:r>
      <w:r w:rsidRPr="00EB3AC5">
        <w:rPr>
          <w:iCs/>
          <w:sz w:val="20"/>
        </w:rPr>
        <w:t xml:space="preserve">a </w:t>
      </w:r>
      <w:r w:rsidR="006108B1">
        <w:rPr>
          <w:iCs/>
          <w:sz w:val="20"/>
        </w:rPr>
        <w:t>LMRSST</w:t>
      </w:r>
      <w:r w:rsidR="00FD2C9E">
        <w:rPr>
          <w:iCs/>
          <w:sz w:val="20"/>
        </w:rPr>
        <w:t>,</w:t>
      </w:r>
      <w:r w:rsidR="006108B1">
        <w:rPr>
          <w:iCs/>
          <w:sz w:val="20"/>
        </w:rPr>
        <w:t xml:space="preserve"> </w:t>
      </w:r>
      <w:r w:rsidRPr="00EB3AC5">
        <w:rPr>
          <w:iCs/>
          <w:sz w:val="20"/>
        </w:rPr>
        <w:t xml:space="preserve">prévoit </w:t>
      </w:r>
      <w:r w:rsidRPr="00EB3AC5">
        <w:rPr>
          <w:sz w:val="20"/>
        </w:rPr>
        <w:t>qu’un travailleur atteint d’une maladie dont le diagnostic est une atteinte auditive causée par le bruit, peut déposer une réclamation à la Commission s’il satisfait aux critères d’admissibilité prévus par règlement.</w:t>
      </w:r>
      <w:r w:rsidR="006108B1">
        <w:rPr>
          <w:sz w:val="20"/>
        </w:rPr>
        <w:t xml:space="preserve"> </w:t>
      </w:r>
      <w:r w:rsidRPr="00EB3AC5">
        <w:rPr>
          <w:sz w:val="20"/>
        </w:rPr>
        <w:t>Or, la Commission n’a toujours pas adopté ce règlement à ce jour. Ainsi, cette disposition ne trouve pas application pour l’instant.</w:t>
      </w:r>
    </w:p>
  </w:footnote>
  <w:footnote w:id="6">
    <w:p w14:paraId="5E13B2C1" w14:textId="77777777" w:rsidR="006108B1" w:rsidRPr="00AF0F91" w:rsidRDefault="006108B1" w:rsidP="006108B1">
      <w:pPr>
        <w:pStyle w:val="FootnoteText"/>
        <w:tabs>
          <w:tab w:val="left" w:pos="720"/>
        </w:tabs>
        <w:ind w:left="720" w:hanging="720"/>
        <w:jc w:val="both"/>
        <w:rPr>
          <w:rFonts w:cs="Arial"/>
          <w:sz w:val="20"/>
        </w:rPr>
      </w:pPr>
      <w:r w:rsidRPr="00AF0F91">
        <w:rPr>
          <w:rStyle w:val="FootnoteReference"/>
        </w:rPr>
        <w:footnoteRef/>
      </w:r>
      <w:r w:rsidRPr="00AF0F91">
        <w:t xml:space="preserve"> </w:t>
      </w:r>
      <w:r w:rsidRPr="00AF0F91">
        <w:rPr>
          <w:rFonts w:cs="Arial"/>
          <w:sz w:val="20"/>
        </w:rPr>
        <w:tab/>
        <w:t>RLRQ, c. A-3.001, r.</w:t>
      </w:r>
      <w:r>
        <w:rPr>
          <w:rFonts w:cs="Arial"/>
          <w:sz w:val="20"/>
        </w:rPr>
        <w:t> </w:t>
      </w:r>
      <w:r w:rsidRPr="00AF0F91">
        <w:rPr>
          <w:rFonts w:cs="Arial"/>
          <w:sz w:val="20"/>
        </w:rPr>
        <w:t>8.1.</w:t>
      </w:r>
    </w:p>
  </w:footnote>
  <w:footnote w:id="7">
    <w:p w14:paraId="0832F03A" w14:textId="3CEBC410" w:rsidR="00A61363" w:rsidRPr="006565D4" w:rsidRDefault="00A61363" w:rsidP="00A6136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2023</w:t>
      </w:r>
      <w:r w:rsidR="009C0AA4">
        <w:rPr>
          <w:rFonts w:cs="Arial"/>
          <w:sz w:val="20"/>
        </w:rPr>
        <w:t> </w:t>
      </w:r>
      <w:r>
        <w:rPr>
          <w:rFonts w:cs="Arial"/>
          <w:sz w:val="20"/>
        </w:rPr>
        <w:t>QCTAT</w:t>
      </w:r>
      <w:r w:rsidR="009C0AA4">
        <w:rPr>
          <w:rFonts w:cs="Arial"/>
          <w:sz w:val="20"/>
        </w:rPr>
        <w:t> </w:t>
      </w:r>
      <w:r>
        <w:rPr>
          <w:rFonts w:cs="Arial"/>
          <w:sz w:val="20"/>
        </w:rPr>
        <w:t>557, par.</w:t>
      </w:r>
      <w:r w:rsidR="009C0AA4">
        <w:rPr>
          <w:rFonts w:cs="Arial"/>
          <w:sz w:val="20"/>
        </w:rPr>
        <w:t> </w:t>
      </w:r>
      <w:r>
        <w:rPr>
          <w:rFonts w:cs="Arial"/>
          <w:sz w:val="20"/>
        </w:rPr>
        <w:t>52.</w:t>
      </w:r>
    </w:p>
  </w:footnote>
  <w:footnote w:id="8">
    <w:p w14:paraId="00E1BB61" w14:textId="77777777" w:rsidR="00320D42" w:rsidRPr="00784244" w:rsidRDefault="00320D42" w:rsidP="00320D42">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Article 29 de la Loi.</w:t>
      </w:r>
    </w:p>
  </w:footnote>
  <w:footnote w:id="9">
    <w:p w14:paraId="25368E2E" w14:textId="77777777" w:rsidR="00A61363" w:rsidRPr="00624483" w:rsidRDefault="00A61363" w:rsidP="00A6136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Article 30 de la Loi.</w:t>
      </w:r>
    </w:p>
  </w:footnote>
  <w:footnote w:id="10">
    <w:p w14:paraId="38F93B86" w14:textId="1815DB30" w:rsidR="00A61363" w:rsidRPr="00772C7B" w:rsidRDefault="00A61363" w:rsidP="00A6136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F1205D">
        <w:rPr>
          <w:rFonts w:cs="Arial"/>
          <w:sz w:val="20"/>
        </w:rPr>
        <w:t>Section</w:t>
      </w:r>
      <w:r w:rsidR="009C0AA4">
        <w:rPr>
          <w:rFonts w:cs="Arial"/>
          <w:sz w:val="20"/>
        </w:rPr>
        <w:t> </w:t>
      </w:r>
      <w:r w:rsidRPr="00F1205D">
        <w:rPr>
          <w:rFonts w:cs="Arial"/>
          <w:sz w:val="20"/>
        </w:rPr>
        <w:t>IV de l’</w:t>
      </w:r>
      <w:r w:rsidR="009C0AA4">
        <w:rPr>
          <w:rFonts w:cs="Arial"/>
          <w:sz w:val="20"/>
        </w:rPr>
        <w:t>a</w:t>
      </w:r>
      <w:r w:rsidRPr="00F1205D">
        <w:rPr>
          <w:rFonts w:cs="Arial"/>
          <w:sz w:val="20"/>
        </w:rPr>
        <w:t>nnexe</w:t>
      </w:r>
      <w:r w:rsidR="009C0AA4">
        <w:rPr>
          <w:rFonts w:cs="Arial"/>
          <w:sz w:val="20"/>
        </w:rPr>
        <w:t> </w:t>
      </w:r>
      <w:r w:rsidRPr="00F1205D">
        <w:rPr>
          <w:rFonts w:cs="Arial"/>
          <w:sz w:val="20"/>
        </w:rPr>
        <w:t>A du Règlement.</w:t>
      </w:r>
    </w:p>
  </w:footnote>
  <w:footnote w:id="11">
    <w:p w14:paraId="4C6D6217" w14:textId="77777777" w:rsidR="00A61363" w:rsidRPr="009C59A4" w:rsidRDefault="00A61363" w:rsidP="00A6136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AE55D3">
        <w:rPr>
          <w:rFonts w:cs="Arial"/>
          <w:i/>
          <w:iCs/>
          <w:sz w:val="20"/>
          <w:lang w:val="fr-FR"/>
        </w:rPr>
        <w:t>Thuot</w:t>
      </w:r>
      <w:r w:rsidRPr="008B0ABF">
        <w:rPr>
          <w:rFonts w:cs="Arial"/>
          <w:sz w:val="20"/>
          <w:lang w:val="fr-FR"/>
        </w:rPr>
        <w:t xml:space="preserve"> </w:t>
      </w:r>
      <w:r w:rsidRPr="00AE55D3">
        <w:rPr>
          <w:rFonts w:cs="Arial"/>
          <w:sz w:val="20"/>
          <w:lang w:val="fr-FR"/>
        </w:rPr>
        <w:t xml:space="preserve">et </w:t>
      </w:r>
      <w:r w:rsidRPr="00AE55D3">
        <w:rPr>
          <w:rFonts w:cs="Arial"/>
          <w:i/>
          <w:iCs/>
          <w:sz w:val="20"/>
          <w:lang w:val="fr-FR"/>
        </w:rPr>
        <w:t>Multi-</w:t>
      </w:r>
      <w:r>
        <w:rPr>
          <w:rFonts w:cs="Arial"/>
          <w:i/>
          <w:iCs/>
          <w:sz w:val="20"/>
          <w:lang w:val="fr-FR"/>
        </w:rPr>
        <w:t>m</w:t>
      </w:r>
      <w:r w:rsidRPr="00AE55D3">
        <w:rPr>
          <w:rFonts w:cs="Arial"/>
          <w:i/>
          <w:iCs/>
          <w:sz w:val="20"/>
          <w:lang w:val="fr-FR"/>
        </w:rPr>
        <w:t xml:space="preserve">arques distribution </w:t>
      </w:r>
      <w:proofErr w:type="spellStart"/>
      <w:r w:rsidRPr="00AE55D3">
        <w:rPr>
          <w:rFonts w:cs="Arial"/>
          <w:i/>
          <w:iCs/>
          <w:sz w:val="20"/>
          <w:lang w:val="fr-FR"/>
        </w:rPr>
        <w:t>inc.</w:t>
      </w:r>
      <w:proofErr w:type="spellEnd"/>
      <w:r w:rsidRPr="00AE55D3">
        <w:rPr>
          <w:rFonts w:cs="Arial"/>
          <w:sz w:val="20"/>
          <w:lang w:val="fr-FR"/>
        </w:rPr>
        <w:t xml:space="preserve">, </w:t>
      </w:r>
      <w:r w:rsidRPr="00AE55D3">
        <w:rPr>
          <w:rFonts w:cs="Arial"/>
          <w:sz w:val="20"/>
        </w:rPr>
        <w:t>C.L.P</w:t>
      </w:r>
      <w:r w:rsidRPr="00AE55D3">
        <w:rPr>
          <w:rFonts w:cs="Arial"/>
          <w:i/>
          <w:iCs/>
          <w:sz w:val="20"/>
        </w:rPr>
        <w:t>.</w:t>
      </w:r>
      <w:r>
        <w:rPr>
          <w:rFonts w:cs="Arial"/>
          <w:i/>
          <w:iCs/>
          <w:sz w:val="20"/>
        </w:rPr>
        <w:t> </w:t>
      </w:r>
      <w:r w:rsidRPr="00AE55D3">
        <w:rPr>
          <w:rFonts w:cs="Arial"/>
          <w:sz w:val="20"/>
        </w:rPr>
        <w:t>144647-61-0008, 17 janvier 2001, B. </w:t>
      </w:r>
      <w:proofErr w:type="gramStart"/>
      <w:r w:rsidRPr="00AE55D3">
        <w:rPr>
          <w:rFonts w:cs="Arial"/>
          <w:sz w:val="20"/>
        </w:rPr>
        <w:t>Lemay;</w:t>
      </w:r>
      <w:proofErr w:type="gramEnd"/>
      <w:r w:rsidRPr="00AE55D3">
        <w:rPr>
          <w:rFonts w:cs="Arial"/>
          <w:sz w:val="20"/>
        </w:rPr>
        <w:t xml:space="preserve"> </w:t>
      </w:r>
      <w:r w:rsidRPr="00AE55D3">
        <w:rPr>
          <w:rFonts w:cs="Arial"/>
          <w:i/>
          <w:sz w:val="20"/>
        </w:rPr>
        <w:t>Deschamps</w:t>
      </w:r>
      <w:r w:rsidRPr="00AE55D3">
        <w:rPr>
          <w:rFonts w:cs="Arial"/>
          <w:sz w:val="20"/>
        </w:rPr>
        <w:t xml:space="preserve"> et </w:t>
      </w:r>
      <w:r w:rsidRPr="00AE55D3">
        <w:rPr>
          <w:rFonts w:cs="Arial"/>
          <w:i/>
          <w:sz w:val="20"/>
        </w:rPr>
        <w:t xml:space="preserve">Carrières </w:t>
      </w:r>
      <w:proofErr w:type="spellStart"/>
      <w:r w:rsidRPr="00AE55D3">
        <w:rPr>
          <w:rFonts w:cs="Arial"/>
          <w:i/>
          <w:sz w:val="20"/>
        </w:rPr>
        <w:t>Témis</w:t>
      </w:r>
      <w:proofErr w:type="spellEnd"/>
      <w:r w:rsidRPr="00AE55D3">
        <w:rPr>
          <w:rFonts w:cs="Arial"/>
          <w:sz w:val="20"/>
        </w:rPr>
        <w:t>,</w:t>
      </w:r>
      <w:r w:rsidRPr="00AE55D3">
        <w:rPr>
          <w:rFonts w:cs="Arial"/>
          <w:i/>
          <w:sz w:val="20"/>
        </w:rPr>
        <w:t xml:space="preserve"> </w:t>
      </w:r>
      <w:r w:rsidRPr="00AE55D3">
        <w:rPr>
          <w:rFonts w:cs="Arial"/>
          <w:sz w:val="20"/>
        </w:rPr>
        <w:t>2012 QCCLP </w:t>
      </w:r>
      <w:proofErr w:type="gramStart"/>
      <w:r w:rsidRPr="00AE55D3">
        <w:rPr>
          <w:rFonts w:cs="Arial"/>
          <w:sz w:val="20"/>
        </w:rPr>
        <w:t>4568;</w:t>
      </w:r>
      <w:proofErr w:type="gramEnd"/>
      <w:r w:rsidRPr="00AE55D3">
        <w:rPr>
          <w:rFonts w:cs="Arial"/>
          <w:i/>
          <w:sz w:val="20"/>
        </w:rPr>
        <w:t xml:space="preserve"> Labranche</w:t>
      </w:r>
      <w:r w:rsidRPr="00AE55D3">
        <w:rPr>
          <w:rFonts w:cs="Arial"/>
          <w:sz w:val="20"/>
        </w:rPr>
        <w:t xml:space="preserve"> et </w:t>
      </w:r>
      <w:r w:rsidRPr="00AE55D3">
        <w:rPr>
          <w:rFonts w:cs="Arial"/>
          <w:i/>
          <w:sz w:val="20"/>
        </w:rPr>
        <w:t xml:space="preserve">ArcelorMittal Montréal </w:t>
      </w:r>
      <w:proofErr w:type="spellStart"/>
      <w:r w:rsidRPr="00AE55D3">
        <w:rPr>
          <w:rFonts w:cs="Arial"/>
          <w:i/>
          <w:sz w:val="20"/>
        </w:rPr>
        <w:t>inc.</w:t>
      </w:r>
      <w:proofErr w:type="spellEnd"/>
      <w:r w:rsidRPr="009E7E22">
        <w:rPr>
          <w:rFonts w:cs="Arial"/>
          <w:sz w:val="20"/>
        </w:rPr>
        <w:t>,</w:t>
      </w:r>
      <w:r w:rsidRPr="00AE55D3">
        <w:rPr>
          <w:rFonts w:cs="Arial"/>
          <w:i/>
          <w:sz w:val="20"/>
        </w:rPr>
        <w:t xml:space="preserve"> </w:t>
      </w:r>
      <w:r w:rsidRPr="00AE55D3">
        <w:rPr>
          <w:rFonts w:cs="Arial"/>
          <w:sz w:val="20"/>
        </w:rPr>
        <w:t>2017</w:t>
      </w:r>
      <w:r>
        <w:rPr>
          <w:rFonts w:cs="Arial"/>
          <w:sz w:val="20"/>
        </w:rPr>
        <w:t> </w:t>
      </w:r>
      <w:r w:rsidRPr="00AE55D3">
        <w:rPr>
          <w:rFonts w:cs="Arial"/>
          <w:sz w:val="20"/>
        </w:rPr>
        <w:t>Q</w:t>
      </w:r>
      <w:r>
        <w:rPr>
          <w:rFonts w:cs="Arial"/>
          <w:sz w:val="20"/>
        </w:rPr>
        <w:t>CTAT </w:t>
      </w:r>
      <w:proofErr w:type="gramStart"/>
      <w:r w:rsidRPr="00AE55D3">
        <w:rPr>
          <w:rFonts w:cs="Arial"/>
          <w:sz w:val="20"/>
        </w:rPr>
        <w:t>1410;</w:t>
      </w:r>
      <w:proofErr w:type="gramEnd"/>
      <w:r w:rsidRPr="00AE55D3">
        <w:rPr>
          <w:rFonts w:cs="Arial"/>
          <w:sz w:val="20"/>
        </w:rPr>
        <w:t xml:space="preserve"> </w:t>
      </w:r>
      <w:r w:rsidRPr="00AE55D3">
        <w:rPr>
          <w:rFonts w:cs="Arial"/>
          <w:i/>
          <w:sz w:val="20"/>
        </w:rPr>
        <w:t>Titley</w:t>
      </w:r>
      <w:r w:rsidRPr="00AE55D3">
        <w:rPr>
          <w:rFonts w:cs="Arial"/>
          <w:sz w:val="20"/>
        </w:rPr>
        <w:t>, 2019 QCTAT </w:t>
      </w:r>
      <w:proofErr w:type="gramStart"/>
      <w:r w:rsidRPr="00AE55D3">
        <w:rPr>
          <w:rFonts w:cs="Arial"/>
          <w:sz w:val="20"/>
        </w:rPr>
        <w:t>1112</w:t>
      </w:r>
      <w:r>
        <w:rPr>
          <w:rFonts w:cs="Arial"/>
          <w:sz w:val="20"/>
        </w:rPr>
        <w:t>;</w:t>
      </w:r>
      <w:proofErr w:type="gramEnd"/>
      <w:r>
        <w:rPr>
          <w:rFonts w:cs="Arial"/>
          <w:sz w:val="20"/>
        </w:rPr>
        <w:t xml:space="preserve"> </w:t>
      </w:r>
      <w:r w:rsidRPr="00F10638">
        <w:rPr>
          <w:rFonts w:cs="Arial"/>
          <w:i/>
          <w:sz w:val="20"/>
        </w:rPr>
        <w:t>Leboeuf</w:t>
      </w:r>
      <w:r>
        <w:rPr>
          <w:rFonts w:cs="Arial"/>
          <w:sz w:val="20"/>
        </w:rPr>
        <w:t xml:space="preserve">, </w:t>
      </w:r>
      <w:r w:rsidRPr="00F10638">
        <w:rPr>
          <w:rFonts w:cs="Arial"/>
          <w:sz w:val="20"/>
        </w:rPr>
        <w:t>2021</w:t>
      </w:r>
      <w:r>
        <w:rPr>
          <w:rFonts w:cs="Arial"/>
          <w:sz w:val="20"/>
        </w:rPr>
        <w:t> </w:t>
      </w:r>
      <w:r w:rsidRPr="00F10638">
        <w:rPr>
          <w:rFonts w:cs="Arial"/>
          <w:sz w:val="20"/>
        </w:rPr>
        <w:t>QCTAT</w:t>
      </w:r>
      <w:r>
        <w:rPr>
          <w:rFonts w:cs="Arial"/>
          <w:sz w:val="20"/>
        </w:rPr>
        <w:t> </w:t>
      </w:r>
      <w:r w:rsidRPr="00F10638">
        <w:rPr>
          <w:rFonts w:cs="Arial"/>
          <w:sz w:val="20"/>
        </w:rPr>
        <w:t>2120</w:t>
      </w:r>
      <w:r>
        <w:rPr>
          <w:rFonts w:cs="Arial"/>
          <w:sz w:val="20"/>
        </w:rPr>
        <w:t>.</w:t>
      </w:r>
    </w:p>
  </w:footnote>
  <w:footnote w:id="12">
    <w:p w14:paraId="1B58E11A" w14:textId="77777777" w:rsidR="00A61363" w:rsidRPr="00BA4A99" w:rsidRDefault="00A61363" w:rsidP="00A6136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proofErr w:type="spellStart"/>
      <w:r w:rsidRPr="000F65C1">
        <w:rPr>
          <w:i/>
          <w:sz w:val="20"/>
        </w:rPr>
        <w:t>Kolostat</w:t>
      </w:r>
      <w:proofErr w:type="spellEnd"/>
      <w:r w:rsidRPr="000F65C1">
        <w:rPr>
          <w:i/>
          <w:sz w:val="20"/>
        </w:rPr>
        <w:t xml:space="preserve"> </w:t>
      </w:r>
      <w:proofErr w:type="spellStart"/>
      <w:r w:rsidRPr="000F65C1">
        <w:rPr>
          <w:i/>
          <w:sz w:val="20"/>
        </w:rPr>
        <w:t>inc.</w:t>
      </w:r>
      <w:proofErr w:type="spellEnd"/>
      <w:r w:rsidRPr="008B0ABF">
        <w:rPr>
          <w:iCs/>
          <w:sz w:val="20"/>
        </w:rPr>
        <w:t xml:space="preserve"> </w:t>
      </w:r>
      <w:r w:rsidRPr="000F65C1">
        <w:rPr>
          <w:sz w:val="20"/>
        </w:rPr>
        <w:t>et</w:t>
      </w:r>
      <w:r w:rsidRPr="008B0ABF">
        <w:rPr>
          <w:iCs/>
          <w:sz w:val="20"/>
        </w:rPr>
        <w:t xml:space="preserve"> </w:t>
      </w:r>
      <w:r w:rsidRPr="000F65C1">
        <w:rPr>
          <w:i/>
          <w:sz w:val="20"/>
        </w:rPr>
        <w:t>Thérien</w:t>
      </w:r>
      <w:r w:rsidRPr="000F65C1">
        <w:rPr>
          <w:sz w:val="20"/>
        </w:rPr>
        <w:t xml:space="preserve">, [2009] C.L.P. 537; </w:t>
      </w:r>
      <w:r w:rsidRPr="000F65C1">
        <w:rPr>
          <w:rFonts w:cs="Arial"/>
          <w:i/>
          <w:sz w:val="20"/>
        </w:rPr>
        <w:t>Rodrigue</w:t>
      </w:r>
      <w:r w:rsidRPr="000F65C1">
        <w:rPr>
          <w:rFonts w:cs="Arial"/>
          <w:sz w:val="20"/>
        </w:rPr>
        <w:t xml:space="preserve"> et </w:t>
      </w:r>
      <w:proofErr w:type="spellStart"/>
      <w:r w:rsidRPr="000F65C1">
        <w:rPr>
          <w:rFonts w:cs="Arial"/>
          <w:i/>
          <w:sz w:val="20"/>
        </w:rPr>
        <w:t>Telus</w:t>
      </w:r>
      <w:proofErr w:type="spellEnd"/>
      <w:r w:rsidRPr="000F65C1">
        <w:rPr>
          <w:rFonts w:cs="Arial"/>
          <w:i/>
          <w:sz w:val="20"/>
        </w:rPr>
        <w:t xml:space="preserve"> Communications </w:t>
      </w:r>
      <w:proofErr w:type="spellStart"/>
      <w:r w:rsidRPr="000F65C1">
        <w:rPr>
          <w:rFonts w:cs="Arial"/>
          <w:i/>
          <w:sz w:val="20"/>
        </w:rPr>
        <w:t>inc</w:t>
      </w:r>
      <w:r w:rsidRPr="000F65C1">
        <w:rPr>
          <w:rFonts w:cs="Arial"/>
          <w:sz w:val="20"/>
        </w:rPr>
        <w:t>.</w:t>
      </w:r>
      <w:proofErr w:type="spellEnd"/>
      <w:r w:rsidRPr="000F65C1">
        <w:rPr>
          <w:rFonts w:cs="Arial"/>
          <w:sz w:val="20"/>
        </w:rPr>
        <w:t>, 2016</w:t>
      </w:r>
      <w:r>
        <w:rPr>
          <w:rFonts w:cs="Arial"/>
          <w:sz w:val="20"/>
        </w:rPr>
        <w:t> </w:t>
      </w:r>
      <w:r w:rsidRPr="000F65C1">
        <w:rPr>
          <w:rFonts w:cs="Arial"/>
          <w:sz w:val="20"/>
        </w:rPr>
        <w:t>QCTAT</w:t>
      </w:r>
      <w:r>
        <w:rPr>
          <w:rFonts w:cs="Arial"/>
          <w:sz w:val="20"/>
        </w:rPr>
        <w:t> </w:t>
      </w:r>
      <w:r w:rsidRPr="000F65C1">
        <w:rPr>
          <w:rFonts w:cs="Arial"/>
          <w:sz w:val="20"/>
        </w:rPr>
        <w:t>6627.</w:t>
      </w:r>
    </w:p>
  </w:footnote>
  <w:footnote w:id="13">
    <w:p w14:paraId="3BC066A1" w14:textId="77777777" w:rsidR="00A61363" w:rsidRPr="000F65C1" w:rsidRDefault="00A61363" w:rsidP="00A61363">
      <w:pPr>
        <w:pStyle w:val="FootnoteText"/>
        <w:tabs>
          <w:tab w:val="left" w:pos="720"/>
        </w:tabs>
        <w:ind w:left="720" w:hanging="720"/>
        <w:jc w:val="both"/>
        <w:rPr>
          <w:rFonts w:cs="Arial"/>
          <w:sz w:val="20"/>
        </w:rPr>
      </w:pPr>
      <w:r w:rsidRPr="000F65C1">
        <w:rPr>
          <w:rStyle w:val="FootnoteReference"/>
        </w:rPr>
        <w:footnoteRef/>
      </w:r>
      <w:r w:rsidRPr="000F65C1">
        <w:t xml:space="preserve"> </w:t>
      </w:r>
      <w:r w:rsidRPr="000F65C1">
        <w:rPr>
          <w:rFonts w:cs="Arial"/>
          <w:sz w:val="20"/>
        </w:rPr>
        <w:tab/>
      </w:r>
      <w:r w:rsidRPr="000F65C1">
        <w:rPr>
          <w:rFonts w:cs="Arial"/>
          <w:i/>
          <w:sz w:val="20"/>
        </w:rPr>
        <w:t>Binette</w:t>
      </w:r>
      <w:r w:rsidRPr="000F65C1">
        <w:rPr>
          <w:rFonts w:cs="Arial"/>
          <w:sz w:val="20"/>
        </w:rPr>
        <w:t xml:space="preserve"> et </w:t>
      </w:r>
      <w:r w:rsidRPr="000F65C1">
        <w:rPr>
          <w:rFonts w:cs="Arial"/>
          <w:i/>
          <w:sz w:val="20"/>
        </w:rPr>
        <w:t xml:space="preserve">Confection Andrée Anne </w:t>
      </w:r>
      <w:proofErr w:type="spellStart"/>
      <w:r w:rsidRPr="000F65C1">
        <w:rPr>
          <w:rFonts w:cs="Arial"/>
          <w:i/>
          <w:sz w:val="20"/>
        </w:rPr>
        <w:t>inc.</w:t>
      </w:r>
      <w:proofErr w:type="spellEnd"/>
      <w:r w:rsidRPr="000F65C1">
        <w:rPr>
          <w:rFonts w:cs="Arial"/>
          <w:i/>
          <w:sz w:val="20"/>
        </w:rPr>
        <w:t xml:space="preserve"> (F)</w:t>
      </w:r>
      <w:r w:rsidRPr="000F65C1">
        <w:rPr>
          <w:rFonts w:ascii="Helv" w:hAnsi="Helv" w:cs="Helv"/>
          <w:sz w:val="20"/>
        </w:rPr>
        <w:t>, 2017</w:t>
      </w:r>
      <w:r>
        <w:rPr>
          <w:rFonts w:ascii="Helv" w:hAnsi="Helv" w:cs="Helv"/>
          <w:sz w:val="20"/>
        </w:rPr>
        <w:t> </w:t>
      </w:r>
      <w:r w:rsidRPr="000F65C1">
        <w:rPr>
          <w:rFonts w:ascii="Helv" w:hAnsi="Helv" w:cs="Helv"/>
          <w:sz w:val="20"/>
        </w:rPr>
        <w:t>QCTAT</w:t>
      </w:r>
      <w:r>
        <w:rPr>
          <w:rFonts w:ascii="Helv" w:hAnsi="Helv" w:cs="Helv"/>
          <w:sz w:val="20"/>
        </w:rPr>
        <w:t> </w:t>
      </w:r>
      <w:r w:rsidRPr="000F65C1">
        <w:rPr>
          <w:rFonts w:ascii="Helv" w:hAnsi="Helv" w:cs="Helv"/>
          <w:sz w:val="20"/>
        </w:rPr>
        <w:t>842.</w:t>
      </w:r>
    </w:p>
  </w:footnote>
  <w:footnote w:id="14">
    <w:p w14:paraId="5F2E1391" w14:textId="5A310898" w:rsidR="00A61363" w:rsidRPr="004729F2" w:rsidRDefault="00A61363" w:rsidP="00A61363">
      <w:pPr>
        <w:pStyle w:val="FootnoteText"/>
        <w:tabs>
          <w:tab w:val="left" w:pos="720"/>
        </w:tabs>
        <w:ind w:left="720" w:hanging="720"/>
        <w:jc w:val="both"/>
        <w:rPr>
          <w:rFonts w:cs="Arial"/>
          <w:sz w:val="20"/>
        </w:rPr>
      </w:pPr>
      <w:r w:rsidRPr="000F65C1">
        <w:rPr>
          <w:rStyle w:val="FootnoteReference"/>
        </w:rPr>
        <w:footnoteRef/>
      </w:r>
      <w:r w:rsidRPr="000F65C1">
        <w:t xml:space="preserve"> </w:t>
      </w:r>
      <w:r w:rsidRPr="000F65C1">
        <w:rPr>
          <w:rFonts w:cs="Arial"/>
          <w:sz w:val="20"/>
        </w:rPr>
        <w:tab/>
      </w:r>
      <w:r w:rsidRPr="000F65C1">
        <w:rPr>
          <w:rFonts w:cs="Arial"/>
          <w:i/>
          <w:sz w:val="20"/>
        </w:rPr>
        <w:t>Trudel</w:t>
      </w:r>
      <w:r w:rsidRPr="000F65C1">
        <w:rPr>
          <w:rFonts w:cs="Arial"/>
          <w:sz w:val="20"/>
        </w:rPr>
        <w:t xml:space="preserve"> et </w:t>
      </w:r>
      <w:proofErr w:type="spellStart"/>
      <w:r w:rsidRPr="000F65C1">
        <w:rPr>
          <w:rFonts w:cs="Arial"/>
          <w:i/>
          <w:sz w:val="20"/>
        </w:rPr>
        <w:t>Sanimax</w:t>
      </w:r>
      <w:proofErr w:type="spellEnd"/>
      <w:r w:rsidRPr="000F65C1">
        <w:rPr>
          <w:rFonts w:cs="Arial"/>
          <w:i/>
          <w:sz w:val="20"/>
        </w:rPr>
        <w:t xml:space="preserve"> ACI </w:t>
      </w:r>
      <w:proofErr w:type="spellStart"/>
      <w:r w:rsidRPr="000F65C1">
        <w:rPr>
          <w:rFonts w:cs="Arial"/>
          <w:i/>
          <w:sz w:val="20"/>
        </w:rPr>
        <w:t>inc.</w:t>
      </w:r>
      <w:proofErr w:type="spellEnd"/>
      <w:r w:rsidRPr="000F65C1">
        <w:rPr>
          <w:rFonts w:cs="Arial"/>
          <w:i/>
          <w:sz w:val="20"/>
        </w:rPr>
        <w:t>,</w:t>
      </w:r>
      <w:r w:rsidRPr="000F65C1">
        <w:rPr>
          <w:rFonts w:cs="Arial"/>
          <w:sz w:val="20"/>
        </w:rPr>
        <w:t xml:space="preserve"> 2018</w:t>
      </w:r>
      <w:r>
        <w:rPr>
          <w:rFonts w:cs="Arial"/>
          <w:sz w:val="20"/>
        </w:rPr>
        <w:t> </w:t>
      </w:r>
      <w:r w:rsidRPr="000F65C1">
        <w:rPr>
          <w:rFonts w:cs="Arial"/>
          <w:sz w:val="20"/>
        </w:rPr>
        <w:t>QCTAT</w:t>
      </w:r>
      <w:r>
        <w:rPr>
          <w:rFonts w:cs="Arial"/>
          <w:sz w:val="20"/>
        </w:rPr>
        <w:t> </w:t>
      </w:r>
      <w:r w:rsidRPr="000F65C1">
        <w:rPr>
          <w:rFonts w:cs="Arial"/>
          <w:sz w:val="20"/>
        </w:rPr>
        <w:t>651</w:t>
      </w:r>
      <w:r>
        <w:rPr>
          <w:rFonts w:cs="Arial"/>
          <w:sz w:val="20"/>
        </w:rPr>
        <w:t>;</w:t>
      </w:r>
      <w:r w:rsidRPr="000F65C1">
        <w:rPr>
          <w:rFonts w:cs="Arial"/>
          <w:sz w:val="20"/>
        </w:rPr>
        <w:t xml:space="preserve"> </w:t>
      </w:r>
      <w:r w:rsidRPr="000F65C1">
        <w:rPr>
          <w:rStyle w:val="Citationintgre"/>
          <w:sz w:val="20"/>
        </w:rPr>
        <w:t>Labranche</w:t>
      </w:r>
      <w:r w:rsidRPr="00326B73">
        <w:rPr>
          <w:rStyle w:val="Citationintgre"/>
          <w:i w:val="0"/>
          <w:iCs/>
          <w:sz w:val="20"/>
        </w:rPr>
        <w:t xml:space="preserve"> et </w:t>
      </w:r>
      <w:proofErr w:type="spellStart"/>
      <w:r w:rsidRPr="000F65C1">
        <w:rPr>
          <w:rStyle w:val="Citationintgre"/>
          <w:sz w:val="20"/>
        </w:rPr>
        <w:t>Arcelormittal</w:t>
      </w:r>
      <w:proofErr w:type="spellEnd"/>
      <w:r w:rsidRPr="000F65C1">
        <w:rPr>
          <w:rStyle w:val="Citationintgre"/>
          <w:sz w:val="20"/>
        </w:rPr>
        <w:t xml:space="preserve"> Montréal </w:t>
      </w:r>
      <w:proofErr w:type="spellStart"/>
      <w:r w:rsidRPr="000F65C1">
        <w:rPr>
          <w:rStyle w:val="Citationintgre"/>
          <w:sz w:val="20"/>
        </w:rPr>
        <w:t>inc.</w:t>
      </w:r>
      <w:proofErr w:type="spellEnd"/>
      <w:r w:rsidRPr="00326B73">
        <w:rPr>
          <w:rStyle w:val="Citationintgre"/>
          <w:i w:val="0"/>
          <w:iCs/>
          <w:sz w:val="20"/>
        </w:rPr>
        <w:t>,</w:t>
      </w:r>
      <w:r w:rsidRPr="000F65C1">
        <w:rPr>
          <w:rStyle w:val="Citationintgre"/>
          <w:sz w:val="20"/>
        </w:rPr>
        <w:t xml:space="preserve"> </w:t>
      </w:r>
      <w:r>
        <w:rPr>
          <w:rStyle w:val="Citationintgre"/>
          <w:i w:val="0"/>
          <w:sz w:val="20"/>
        </w:rPr>
        <w:t>précitée, note </w:t>
      </w:r>
      <w:r w:rsidR="00D071DC">
        <w:rPr>
          <w:rStyle w:val="Citationintgre"/>
          <w:i w:val="0"/>
          <w:sz w:val="20"/>
        </w:rPr>
        <w:t>1</w:t>
      </w:r>
      <w:r w:rsidR="005D7DEE">
        <w:rPr>
          <w:rStyle w:val="Citationintgre"/>
          <w:i w:val="0"/>
          <w:sz w:val="20"/>
        </w:rPr>
        <w:t>1</w:t>
      </w:r>
      <w:r>
        <w:rPr>
          <w:rStyle w:val="Citationintgre"/>
          <w:i w:val="0"/>
          <w:sz w:val="20"/>
        </w:rPr>
        <w:t>.</w:t>
      </w:r>
    </w:p>
  </w:footnote>
  <w:footnote w:id="15">
    <w:p w14:paraId="05B17CCB" w14:textId="77777777" w:rsidR="00A61363" w:rsidRPr="004658BC" w:rsidRDefault="00A61363" w:rsidP="00A6136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8B61A1">
        <w:rPr>
          <w:rFonts w:cs="Arial"/>
          <w:sz w:val="20"/>
        </w:rPr>
        <w:t>Article</w:t>
      </w:r>
      <w:r>
        <w:rPr>
          <w:rFonts w:cs="Arial"/>
          <w:sz w:val="20"/>
        </w:rPr>
        <w:t> </w:t>
      </w:r>
      <w:r w:rsidRPr="008B61A1">
        <w:rPr>
          <w:rFonts w:cs="Arial"/>
          <w:sz w:val="20"/>
        </w:rPr>
        <w:t>224 de la Loi.</w:t>
      </w:r>
    </w:p>
  </w:footnote>
  <w:footnote w:id="16">
    <w:p w14:paraId="1FF432FA" w14:textId="77777777" w:rsidR="00495F59" w:rsidRPr="00FE30BB" w:rsidRDefault="00495F59" w:rsidP="00495F59">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RLRQ, c. A-3.001, r. 2.</w:t>
      </w:r>
    </w:p>
  </w:footnote>
  <w:footnote w:id="17">
    <w:p w14:paraId="7D12A9F1" w14:textId="77777777" w:rsidR="000A570C" w:rsidRPr="0020699B" w:rsidRDefault="000A570C" w:rsidP="000A570C">
      <w:pPr>
        <w:pStyle w:val="FootnoteText"/>
        <w:ind w:left="708" w:hanging="708"/>
        <w:jc w:val="both"/>
        <w:rPr>
          <w:sz w:val="20"/>
        </w:rPr>
      </w:pPr>
      <w:r w:rsidRPr="0020699B">
        <w:rPr>
          <w:rStyle w:val="FootnoteReference"/>
          <w:szCs w:val="24"/>
        </w:rPr>
        <w:footnoteRef/>
      </w:r>
      <w:r w:rsidRPr="0020699B">
        <w:rPr>
          <w:sz w:val="20"/>
        </w:rPr>
        <w:t xml:space="preserve"> </w:t>
      </w:r>
      <w:r w:rsidRPr="0020699B">
        <w:rPr>
          <w:sz w:val="20"/>
        </w:rPr>
        <w:tab/>
      </w:r>
      <w:r w:rsidRPr="0020699B">
        <w:rPr>
          <w:i/>
          <w:sz w:val="20"/>
        </w:rPr>
        <w:t>Matte</w:t>
      </w:r>
      <w:r w:rsidRPr="00326B73">
        <w:rPr>
          <w:iCs/>
          <w:sz w:val="20"/>
        </w:rPr>
        <w:t xml:space="preserve"> </w:t>
      </w:r>
      <w:r w:rsidRPr="0020699B">
        <w:rPr>
          <w:sz w:val="20"/>
        </w:rPr>
        <w:t>et</w:t>
      </w:r>
      <w:r w:rsidRPr="00326B73">
        <w:rPr>
          <w:iCs/>
          <w:sz w:val="20"/>
        </w:rPr>
        <w:t xml:space="preserve"> </w:t>
      </w:r>
      <w:r w:rsidRPr="0020699B">
        <w:rPr>
          <w:i/>
          <w:sz w:val="20"/>
        </w:rPr>
        <w:t>Chemins de fer nationaux du Canada</w:t>
      </w:r>
      <w:r w:rsidRPr="00326B73">
        <w:rPr>
          <w:iCs/>
          <w:sz w:val="20"/>
        </w:rPr>
        <w:t xml:space="preserve">, </w:t>
      </w:r>
      <w:r w:rsidRPr="0020699B">
        <w:rPr>
          <w:sz w:val="20"/>
        </w:rPr>
        <w:t>2014</w:t>
      </w:r>
      <w:r>
        <w:rPr>
          <w:sz w:val="20"/>
        </w:rPr>
        <w:t> </w:t>
      </w:r>
      <w:r w:rsidRPr="0020699B">
        <w:rPr>
          <w:sz w:val="20"/>
        </w:rPr>
        <w:t>QCCLP</w:t>
      </w:r>
      <w:r>
        <w:rPr>
          <w:sz w:val="20"/>
        </w:rPr>
        <w:t> </w:t>
      </w:r>
      <w:r w:rsidRPr="0020699B">
        <w:rPr>
          <w:sz w:val="20"/>
        </w:rPr>
        <w:t>6874</w:t>
      </w:r>
      <w:r>
        <w:rPr>
          <w:sz w:val="20"/>
        </w:rPr>
        <w:t xml:space="preserve">; </w:t>
      </w:r>
      <w:r w:rsidRPr="00CF3BD6">
        <w:rPr>
          <w:rFonts w:cs="Arial"/>
          <w:i/>
          <w:iCs/>
          <w:sz w:val="20"/>
        </w:rPr>
        <w:t>Air Canada</w:t>
      </w:r>
      <w:r w:rsidRPr="00CF3BD6">
        <w:rPr>
          <w:rFonts w:cs="Arial"/>
          <w:sz w:val="20"/>
        </w:rPr>
        <w:t xml:space="preserve"> et </w:t>
      </w:r>
      <w:r w:rsidRPr="00CF3BD6">
        <w:rPr>
          <w:rFonts w:cs="Arial"/>
          <w:i/>
          <w:iCs/>
          <w:sz w:val="20"/>
        </w:rPr>
        <w:t>Picard</w:t>
      </w:r>
      <w:r w:rsidRPr="00CF3BD6">
        <w:rPr>
          <w:rFonts w:cs="Arial"/>
          <w:sz w:val="20"/>
        </w:rPr>
        <w:t>, 2024 QCTAT 504.</w:t>
      </w:r>
    </w:p>
  </w:footnote>
  <w:footnote w:id="18">
    <w:p w14:paraId="050D266E" w14:textId="1DA0C82A" w:rsidR="00A61363" w:rsidRPr="0020699B" w:rsidRDefault="00A61363" w:rsidP="00A61363">
      <w:pPr>
        <w:pStyle w:val="FootnoteText"/>
        <w:tabs>
          <w:tab w:val="left" w:pos="720"/>
        </w:tabs>
        <w:ind w:left="720" w:hanging="720"/>
        <w:jc w:val="both"/>
        <w:rPr>
          <w:rFonts w:cs="Arial"/>
          <w:sz w:val="20"/>
        </w:rPr>
      </w:pPr>
      <w:r w:rsidRPr="0020699B">
        <w:rPr>
          <w:rStyle w:val="FootnoteReference"/>
          <w:szCs w:val="24"/>
        </w:rPr>
        <w:footnoteRef/>
      </w:r>
      <w:r w:rsidRPr="0020699B">
        <w:rPr>
          <w:sz w:val="20"/>
        </w:rPr>
        <w:t xml:space="preserve"> </w:t>
      </w:r>
      <w:r w:rsidRPr="0020699B">
        <w:rPr>
          <w:rFonts w:cs="Arial"/>
          <w:sz w:val="20"/>
        </w:rPr>
        <w:tab/>
        <w:t xml:space="preserve">Josette REY-DEBOVE et Alain REY, </w:t>
      </w:r>
      <w:r w:rsidRPr="0020699B">
        <w:rPr>
          <w:rFonts w:cs="Arial"/>
          <w:i/>
          <w:sz w:val="20"/>
        </w:rPr>
        <w:t>Le nouveau petit Robert : dictionnaire alphabétique et analogique de la langue française 2007</w:t>
      </w:r>
      <w:r w:rsidRPr="0020699B">
        <w:rPr>
          <w:rFonts w:cs="Arial"/>
          <w:sz w:val="20"/>
        </w:rPr>
        <w:t xml:space="preserve">, </w:t>
      </w:r>
      <w:proofErr w:type="spellStart"/>
      <w:r w:rsidRPr="0020699B">
        <w:rPr>
          <w:rFonts w:cs="Arial"/>
          <w:sz w:val="20"/>
        </w:rPr>
        <w:t>nouv</w:t>
      </w:r>
      <w:proofErr w:type="spellEnd"/>
      <w:r w:rsidRPr="0020699B">
        <w:rPr>
          <w:rFonts w:cs="Arial"/>
          <w:sz w:val="20"/>
        </w:rPr>
        <w:t xml:space="preserve">. </w:t>
      </w:r>
      <w:proofErr w:type="gramStart"/>
      <w:r w:rsidRPr="0020699B">
        <w:rPr>
          <w:rFonts w:cs="Arial"/>
          <w:sz w:val="20"/>
        </w:rPr>
        <w:t>éd</w:t>
      </w:r>
      <w:proofErr w:type="gramEnd"/>
      <w:r w:rsidRPr="0020699B">
        <w:rPr>
          <w:rFonts w:cs="Arial"/>
          <w:sz w:val="20"/>
        </w:rPr>
        <w:t>.</w:t>
      </w:r>
      <w:r w:rsidR="005D7DEE">
        <w:rPr>
          <w:rFonts w:cs="Arial"/>
          <w:sz w:val="20"/>
        </w:rPr>
        <w:t>,</w:t>
      </w:r>
      <w:r w:rsidRPr="0020699B">
        <w:rPr>
          <w:rFonts w:cs="Arial"/>
          <w:sz w:val="20"/>
        </w:rPr>
        <w:t xml:space="preserve"> Paris, Le Robert, 2006.</w:t>
      </w:r>
    </w:p>
  </w:footnote>
  <w:footnote w:id="19">
    <w:p w14:paraId="575FC7F0" w14:textId="3AB449D9" w:rsidR="000A570C" w:rsidRPr="00995DD1" w:rsidRDefault="000A570C" w:rsidP="00C82DCB">
      <w:pPr>
        <w:pStyle w:val="FootnoteText"/>
        <w:ind w:left="709" w:hanging="709"/>
        <w:jc w:val="both"/>
        <w:rPr>
          <w:rFonts w:cs="Arial"/>
          <w:sz w:val="20"/>
          <w:lang w:val="en-CA"/>
        </w:rPr>
      </w:pPr>
      <w:r w:rsidRPr="00C82DCB">
        <w:rPr>
          <w:rStyle w:val="FootnoteReference"/>
          <w:szCs w:val="24"/>
        </w:rPr>
        <w:footnoteRef/>
      </w:r>
      <w:r w:rsidRPr="00995DD1">
        <w:rPr>
          <w:szCs w:val="24"/>
          <w:lang w:val="en-CA"/>
        </w:rPr>
        <w:t xml:space="preserve"> </w:t>
      </w:r>
      <w:r w:rsidRPr="00995DD1">
        <w:rPr>
          <w:rFonts w:cs="Arial"/>
          <w:sz w:val="20"/>
          <w:lang w:val="en-CA"/>
        </w:rPr>
        <w:tab/>
        <w:t>RLRQ, c. S-2.1, r.</w:t>
      </w:r>
      <w:r w:rsidR="00D01563" w:rsidRPr="00995DD1">
        <w:rPr>
          <w:rFonts w:cs="Arial"/>
          <w:sz w:val="20"/>
          <w:lang w:val="en-CA"/>
        </w:rPr>
        <w:t> </w:t>
      </w:r>
      <w:r w:rsidRPr="00995DD1">
        <w:rPr>
          <w:rFonts w:cs="Arial"/>
          <w:sz w:val="20"/>
          <w:lang w:val="en-CA"/>
        </w:rPr>
        <w:t>13.</w:t>
      </w:r>
    </w:p>
  </w:footnote>
  <w:footnote w:id="20">
    <w:p w14:paraId="1086343B" w14:textId="77777777" w:rsidR="000A570C" w:rsidRPr="00995DD1" w:rsidRDefault="000A570C" w:rsidP="00C82DCB">
      <w:pPr>
        <w:pStyle w:val="FootnoteText"/>
        <w:ind w:left="709" w:hanging="709"/>
        <w:jc w:val="both"/>
        <w:rPr>
          <w:rFonts w:cs="Arial"/>
          <w:sz w:val="20"/>
          <w:lang w:val="en-CA"/>
        </w:rPr>
      </w:pPr>
      <w:r w:rsidRPr="00C82DCB">
        <w:rPr>
          <w:rStyle w:val="FootnoteReference"/>
          <w:szCs w:val="24"/>
        </w:rPr>
        <w:footnoteRef/>
      </w:r>
      <w:r w:rsidRPr="00995DD1">
        <w:rPr>
          <w:szCs w:val="24"/>
          <w:lang w:val="en-CA"/>
        </w:rPr>
        <w:t xml:space="preserve"> </w:t>
      </w:r>
      <w:r w:rsidRPr="00995DD1">
        <w:rPr>
          <w:sz w:val="20"/>
          <w:lang w:val="en-CA"/>
        </w:rPr>
        <w:tab/>
        <w:t>RLRQ, c. S-2.1.</w:t>
      </w:r>
    </w:p>
  </w:footnote>
  <w:footnote w:id="21">
    <w:p w14:paraId="1BC30239" w14:textId="56408099" w:rsidR="00F53189" w:rsidRPr="002F1118" w:rsidRDefault="00F53189" w:rsidP="00B43618">
      <w:pPr>
        <w:pStyle w:val="FootnoteText"/>
        <w:ind w:left="709" w:hanging="709"/>
        <w:jc w:val="both"/>
        <w:rPr>
          <w:sz w:val="20"/>
        </w:rPr>
      </w:pPr>
      <w:r w:rsidRPr="00B43618">
        <w:rPr>
          <w:rStyle w:val="FootnoteReference"/>
          <w:szCs w:val="24"/>
        </w:rPr>
        <w:footnoteRef/>
      </w:r>
      <w:r w:rsidRPr="00B43618">
        <w:rPr>
          <w:szCs w:val="24"/>
        </w:rPr>
        <w:t xml:space="preserve"> </w:t>
      </w:r>
      <w:r>
        <w:rPr>
          <w:sz w:val="20"/>
        </w:rPr>
        <w:tab/>
        <w:t xml:space="preserve">Voir, à titre d’illustration, la décision dans l’affaire </w:t>
      </w:r>
      <w:r w:rsidRPr="00C954B5">
        <w:rPr>
          <w:rFonts w:cs="Arial"/>
          <w:i/>
          <w:sz w:val="20"/>
        </w:rPr>
        <w:t>Jalbert</w:t>
      </w:r>
      <w:r w:rsidRPr="00C954B5">
        <w:rPr>
          <w:rFonts w:cs="Arial"/>
          <w:sz w:val="20"/>
        </w:rPr>
        <w:t xml:space="preserve"> et </w:t>
      </w:r>
      <w:r w:rsidRPr="00C954B5">
        <w:rPr>
          <w:rFonts w:cs="Arial"/>
          <w:i/>
          <w:sz w:val="20"/>
        </w:rPr>
        <w:t>Gaspé (Ville de)</w:t>
      </w:r>
      <w:r>
        <w:rPr>
          <w:rFonts w:cs="Arial"/>
          <w:i/>
          <w:sz w:val="20"/>
        </w:rPr>
        <w:t xml:space="preserve">, </w:t>
      </w:r>
      <w:r w:rsidRPr="00C954B5">
        <w:rPr>
          <w:rFonts w:cs="Arial"/>
          <w:sz w:val="20"/>
        </w:rPr>
        <w:t>2013</w:t>
      </w:r>
      <w:r w:rsidR="0041180B">
        <w:rPr>
          <w:rFonts w:cs="Arial"/>
          <w:sz w:val="20"/>
        </w:rPr>
        <w:t> </w:t>
      </w:r>
      <w:r w:rsidRPr="00C954B5">
        <w:rPr>
          <w:rFonts w:cs="Arial"/>
          <w:sz w:val="20"/>
        </w:rPr>
        <w:t>QCCLP</w:t>
      </w:r>
      <w:r w:rsidR="0041180B">
        <w:rPr>
          <w:rFonts w:cs="Arial"/>
          <w:sz w:val="20"/>
        </w:rPr>
        <w:t> </w:t>
      </w:r>
      <w:r>
        <w:rPr>
          <w:rFonts w:cs="Arial"/>
          <w:sz w:val="20"/>
        </w:rPr>
        <w:t>1916.</w:t>
      </w:r>
    </w:p>
  </w:footnote>
  <w:footnote w:id="22">
    <w:p w14:paraId="321A8EBD" w14:textId="6C325D48" w:rsidR="00A61363" w:rsidRPr="00325AC9" w:rsidRDefault="00A61363" w:rsidP="00A61363">
      <w:pPr>
        <w:pStyle w:val="FootnoteText"/>
        <w:tabs>
          <w:tab w:val="left" w:pos="720"/>
        </w:tabs>
        <w:ind w:left="720" w:hanging="720"/>
        <w:jc w:val="both"/>
        <w:rPr>
          <w:rFonts w:cs="Arial"/>
          <w:sz w:val="20"/>
        </w:rPr>
      </w:pPr>
      <w:r>
        <w:rPr>
          <w:rStyle w:val="FootnoteReference"/>
        </w:rPr>
        <w:footnoteRef/>
      </w:r>
      <w:r w:rsidRPr="00325AC9">
        <w:t xml:space="preserve"> </w:t>
      </w:r>
      <w:r w:rsidRPr="00325AC9">
        <w:rPr>
          <w:rFonts w:cs="Arial"/>
          <w:sz w:val="20"/>
        </w:rPr>
        <w:tab/>
      </w:r>
      <w:r w:rsidR="00905D09" w:rsidRPr="00353026">
        <w:rPr>
          <w:i/>
          <w:sz w:val="20"/>
        </w:rPr>
        <w:t>Lamoureux</w:t>
      </w:r>
      <w:r w:rsidR="00905D09" w:rsidRPr="00353026">
        <w:rPr>
          <w:sz w:val="20"/>
        </w:rPr>
        <w:t xml:space="preserve"> et </w:t>
      </w:r>
      <w:proofErr w:type="spellStart"/>
      <w:r w:rsidR="00905D09" w:rsidRPr="00353026">
        <w:rPr>
          <w:i/>
          <w:sz w:val="20"/>
        </w:rPr>
        <w:t>Adanac</w:t>
      </w:r>
      <w:proofErr w:type="spellEnd"/>
      <w:r w:rsidR="00905D09" w:rsidRPr="00353026">
        <w:rPr>
          <w:i/>
          <w:sz w:val="20"/>
        </w:rPr>
        <w:t xml:space="preserve"> Démolition </w:t>
      </w:r>
      <w:proofErr w:type="spellStart"/>
      <w:r w:rsidR="00905D09" w:rsidRPr="00353026">
        <w:rPr>
          <w:i/>
          <w:sz w:val="20"/>
        </w:rPr>
        <w:t>inc.</w:t>
      </w:r>
      <w:proofErr w:type="spellEnd"/>
      <w:r w:rsidR="00905D09" w:rsidRPr="00353026">
        <w:rPr>
          <w:i/>
          <w:sz w:val="20"/>
        </w:rPr>
        <w:t xml:space="preserve"> (fermée)</w:t>
      </w:r>
      <w:r w:rsidR="00905D09" w:rsidRPr="00353026">
        <w:rPr>
          <w:iCs/>
          <w:sz w:val="20"/>
        </w:rPr>
        <w:t xml:space="preserve">, </w:t>
      </w:r>
      <w:r w:rsidR="00905D09" w:rsidRPr="00353026">
        <w:rPr>
          <w:sz w:val="20"/>
        </w:rPr>
        <w:t>2011</w:t>
      </w:r>
      <w:r w:rsidR="00353026" w:rsidRPr="00353026">
        <w:rPr>
          <w:sz w:val="20"/>
        </w:rPr>
        <w:t> </w:t>
      </w:r>
      <w:r w:rsidR="00905D09" w:rsidRPr="00353026">
        <w:rPr>
          <w:sz w:val="20"/>
        </w:rPr>
        <w:t>QCCLP</w:t>
      </w:r>
      <w:r w:rsidR="00353026" w:rsidRPr="00353026">
        <w:rPr>
          <w:sz w:val="20"/>
        </w:rPr>
        <w:t> </w:t>
      </w:r>
      <w:r w:rsidR="00905D09" w:rsidRPr="00353026">
        <w:rPr>
          <w:sz w:val="20"/>
        </w:rPr>
        <w:t xml:space="preserve">3365; </w:t>
      </w:r>
      <w:r w:rsidRPr="00353026">
        <w:rPr>
          <w:rFonts w:cs="Arial"/>
          <w:i/>
          <w:iCs/>
          <w:sz w:val="20"/>
        </w:rPr>
        <w:t>Labrecque</w:t>
      </w:r>
      <w:r w:rsidRPr="00325AC9">
        <w:rPr>
          <w:rFonts w:cs="Arial"/>
          <w:sz w:val="20"/>
        </w:rPr>
        <w:t xml:space="preserve"> et </w:t>
      </w:r>
      <w:r w:rsidRPr="00326B73">
        <w:rPr>
          <w:rFonts w:cs="Arial"/>
          <w:i/>
          <w:iCs/>
          <w:sz w:val="20"/>
        </w:rPr>
        <w:t xml:space="preserve">175094 Canada </w:t>
      </w:r>
      <w:proofErr w:type="spellStart"/>
      <w:r w:rsidRPr="00326B73">
        <w:rPr>
          <w:rFonts w:cs="Arial"/>
          <w:i/>
          <w:iCs/>
          <w:sz w:val="20"/>
        </w:rPr>
        <w:t>inc.</w:t>
      </w:r>
      <w:proofErr w:type="spellEnd"/>
      <w:r w:rsidRPr="00325AC9">
        <w:rPr>
          <w:rFonts w:cs="Arial"/>
          <w:sz w:val="20"/>
        </w:rPr>
        <w:t>,</w:t>
      </w:r>
      <w:r w:rsidRPr="00326B73">
        <w:rPr>
          <w:rFonts w:cs="Arial"/>
          <w:sz w:val="20"/>
        </w:rPr>
        <w:t xml:space="preserve"> </w:t>
      </w:r>
      <w:r w:rsidRPr="00325AC9">
        <w:rPr>
          <w:rFonts w:cs="Arial"/>
          <w:sz w:val="20"/>
        </w:rPr>
        <w:t>2016</w:t>
      </w:r>
      <w:r>
        <w:rPr>
          <w:rFonts w:cs="Arial"/>
          <w:sz w:val="20"/>
        </w:rPr>
        <w:t> </w:t>
      </w:r>
      <w:r w:rsidRPr="00325AC9">
        <w:rPr>
          <w:rFonts w:cs="Arial"/>
          <w:sz w:val="20"/>
        </w:rPr>
        <w:t>QCTAT</w:t>
      </w:r>
      <w:r>
        <w:rPr>
          <w:rFonts w:cs="Arial"/>
          <w:sz w:val="20"/>
        </w:rPr>
        <w:t> </w:t>
      </w:r>
      <w:r w:rsidRPr="00325AC9">
        <w:rPr>
          <w:rFonts w:cs="Arial"/>
          <w:sz w:val="20"/>
        </w:rPr>
        <w:t>661</w:t>
      </w:r>
      <w:r>
        <w:rPr>
          <w:rFonts w:cs="Arial"/>
          <w:sz w:val="20"/>
        </w:rPr>
        <w:t xml:space="preserve">; </w:t>
      </w:r>
      <w:r w:rsidRPr="00A76F50">
        <w:rPr>
          <w:rFonts w:cs="Arial"/>
          <w:i/>
          <w:iCs/>
          <w:sz w:val="20"/>
        </w:rPr>
        <w:t>Regueiro-Arias</w:t>
      </w:r>
      <w:r w:rsidRPr="00A76F50">
        <w:rPr>
          <w:rFonts w:cs="Arial"/>
          <w:sz w:val="20"/>
        </w:rPr>
        <w:t xml:space="preserve"> et </w:t>
      </w:r>
      <w:r w:rsidRPr="00A76F50">
        <w:rPr>
          <w:rFonts w:cs="Arial"/>
          <w:i/>
          <w:iCs/>
          <w:sz w:val="20"/>
        </w:rPr>
        <w:t>Restaurant Café Bar Trattoria Bel Mondo (F)</w:t>
      </w:r>
      <w:r w:rsidRPr="00A76F50">
        <w:rPr>
          <w:rFonts w:cs="Arial"/>
          <w:sz w:val="20"/>
        </w:rPr>
        <w:t>, 2023 QCTAT 1142.</w:t>
      </w:r>
    </w:p>
  </w:footnote>
  <w:footnote w:id="23">
    <w:p w14:paraId="3FE2AF9E" w14:textId="77777777" w:rsidR="00A61363" w:rsidRPr="009F74DF" w:rsidRDefault="00A61363" w:rsidP="00A61363">
      <w:pPr>
        <w:pStyle w:val="FootnoteText"/>
        <w:tabs>
          <w:tab w:val="left" w:pos="720"/>
        </w:tabs>
        <w:ind w:left="720" w:hanging="720"/>
        <w:jc w:val="both"/>
        <w:rPr>
          <w:rFonts w:cs="Arial"/>
          <w:sz w:val="20"/>
        </w:rPr>
      </w:pPr>
      <w:r w:rsidRPr="0020699B">
        <w:rPr>
          <w:rStyle w:val="FootnoteReference"/>
        </w:rPr>
        <w:footnoteRef/>
      </w:r>
      <w:r w:rsidRPr="0020699B">
        <w:rPr>
          <w:lang w:val="en-CA"/>
        </w:rPr>
        <w:t xml:space="preserve"> </w:t>
      </w:r>
      <w:r w:rsidRPr="0020699B">
        <w:rPr>
          <w:rFonts w:cs="Arial"/>
          <w:sz w:val="20"/>
          <w:lang w:val="en-CA"/>
        </w:rPr>
        <w:tab/>
      </w:r>
      <w:r w:rsidRPr="0020699B">
        <w:rPr>
          <w:rFonts w:cs="Arial"/>
          <w:i/>
          <w:sz w:val="20"/>
          <w:lang w:val="en-CA"/>
        </w:rPr>
        <w:t>Belley</w:t>
      </w:r>
      <w:r w:rsidRPr="00326B73">
        <w:rPr>
          <w:rFonts w:cs="Arial"/>
          <w:iCs/>
          <w:sz w:val="20"/>
          <w:lang w:val="en-CA"/>
        </w:rPr>
        <w:t xml:space="preserve"> </w:t>
      </w:r>
      <w:r w:rsidRPr="0020699B">
        <w:rPr>
          <w:rFonts w:cs="Arial"/>
          <w:sz w:val="20"/>
          <w:lang w:val="en-CA"/>
        </w:rPr>
        <w:t>et</w:t>
      </w:r>
      <w:r w:rsidRPr="00326B73">
        <w:rPr>
          <w:rFonts w:cs="Arial"/>
          <w:iCs/>
          <w:sz w:val="20"/>
          <w:lang w:val="en-CA"/>
        </w:rPr>
        <w:t xml:space="preserve"> </w:t>
      </w:r>
      <w:r w:rsidRPr="0020699B">
        <w:rPr>
          <w:rFonts w:cs="Arial"/>
          <w:i/>
          <w:sz w:val="20"/>
          <w:lang w:val="en-CA"/>
        </w:rPr>
        <w:t>Allied Systems (Canada)</w:t>
      </w:r>
      <w:r w:rsidRPr="00326B73">
        <w:rPr>
          <w:rFonts w:cs="Arial"/>
          <w:iCs/>
          <w:sz w:val="20"/>
          <w:lang w:val="en-CA"/>
        </w:rPr>
        <w:t xml:space="preserve">, </w:t>
      </w:r>
      <w:r w:rsidRPr="0020699B">
        <w:rPr>
          <w:rFonts w:cs="Arial"/>
          <w:sz w:val="20"/>
          <w:lang w:val="en-CA"/>
        </w:rPr>
        <w:t>2019</w:t>
      </w:r>
      <w:r>
        <w:rPr>
          <w:rFonts w:cs="Arial"/>
          <w:sz w:val="20"/>
          <w:lang w:val="en-CA"/>
        </w:rPr>
        <w:t> </w:t>
      </w:r>
      <w:r w:rsidRPr="0020699B">
        <w:rPr>
          <w:rFonts w:cs="Arial"/>
          <w:sz w:val="20"/>
          <w:lang w:val="en-CA"/>
        </w:rPr>
        <w:t>QCTAT</w:t>
      </w:r>
      <w:r>
        <w:rPr>
          <w:rFonts w:cs="Arial"/>
          <w:sz w:val="20"/>
          <w:lang w:val="en-CA"/>
        </w:rPr>
        <w:t> </w:t>
      </w:r>
      <w:r w:rsidRPr="0020699B">
        <w:rPr>
          <w:rFonts w:cs="Arial"/>
          <w:sz w:val="20"/>
          <w:lang w:val="en-CA"/>
        </w:rPr>
        <w:t xml:space="preserve">1225. </w:t>
      </w:r>
      <w:r w:rsidRPr="0020699B">
        <w:rPr>
          <w:rFonts w:cs="Arial"/>
          <w:sz w:val="20"/>
        </w:rPr>
        <w:t xml:space="preserve">Voir également : </w:t>
      </w:r>
      <w:r w:rsidRPr="0020699B">
        <w:rPr>
          <w:rFonts w:cs="Arial"/>
          <w:i/>
          <w:sz w:val="20"/>
        </w:rPr>
        <w:t>Roof</w:t>
      </w:r>
      <w:r w:rsidRPr="0020699B">
        <w:rPr>
          <w:rFonts w:cs="Arial"/>
          <w:sz w:val="20"/>
        </w:rPr>
        <w:t xml:space="preserve"> et </w:t>
      </w:r>
      <w:r w:rsidRPr="0020699B">
        <w:rPr>
          <w:rFonts w:cs="Arial"/>
          <w:i/>
          <w:sz w:val="20"/>
        </w:rPr>
        <w:t xml:space="preserve">Groupe Pro-B </w:t>
      </w:r>
      <w:proofErr w:type="spellStart"/>
      <w:r w:rsidRPr="0020699B">
        <w:rPr>
          <w:rFonts w:cs="Arial"/>
          <w:i/>
          <w:sz w:val="20"/>
        </w:rPr>
        <w:t>inc.</w:t>
      </w:r>
      <w:proofErr w:type="spellEnd"/>
      <w:r w:rsidRPr="00326B73">
        <w:rPr>
          <w:rFonts w:cs="Arial"/>
          <w:iCs/>
          <w:sz w:val="20"/>
        </w:rPr>
        <w:t>,</w:t>
      </w:r>
      <w:r w:rsidRPr="0020699B">
        <w:rPr>
          <w:rFonts w:cs="Arial"/>
          <w:sz w:val="20"/>
        </w:rPr>
        <w:t xml:space="preserve"> 2016</w:t>
      </w:r>
      <w:r>
        <w:rPr>
          <w:rFonts w:cs="Arial"/>
          <w:sz w:val="20"/>
        </w:rPr>
        <w:t> </w:t>
      </w:r>
      <w:r w:rsidRPr="0020699B">
        <w:rPr>
          <w:rFonts w:cs="Arial"/>
          <w:sz w:val="20"/>
        </w:rPr>
        <w:t>QCTAT</w:t>
      </w:r>
      <w:r>
        <w:rPr>
          <w:rFonts w:cs="Arial"/>
          <w:sz w:val="20"/>
        </w:rPr>
        <w:t> </w:t>
      </w:r>
      <w:r w:rsidRPr="0020699B">
        <w:rPr>
          <w:rFonts w:cs="Arial"/>
          <w:sz w:val="20"/>
        </w:rPr>
        <w:t xml:space="preserve">3789; </w:t>
      </w:r>
      <w:r w:rsidRPr="0020699B">
        <w:rPr>
          <w:rFonts w:cs="Arial"/>
          <w:i/>
          <w:iCs/>
          <w:sz w:val="20"/>
          <w:lang w:val="fr-FR"/>
        </w:rPr>
        <w:t>Murray</w:t>
      </w:r>
      <w:r w:rsidRPr="00326B73">
        <w:rPr>
          <w:rFonts w:cs="Arial"/>
          <w:sz w:val="20"/>
          <w:lang w:val="fr-FR"/>
        </w:rPr>
        <w:t xml:space="preserve"> </w:t>
      </w:r>
      <w:r w:rsidRPr="0020699B">
        <w:rPr>
          <w:rFonts w:cs="Arial"/>
          <w:sz w:val="20"/>
          <w:lang w:val="fr-FR"/>
        </w:rPr>
        <w:t xml:space="preserve">et </w:t>
      </w:r>
      <w:r w:rsidRPr="0020699B">
        <w:rPr>
          <w:rFonts w:cs="Arial"/>
          <w:i/>
          <w:iCs/>
          <w:sz w:val="20"/>
          <w:lang w:val="fr-FR"/>
        </w:rPr>
        <w:t>Pièces de carrosserie Murray (F)</w:t>
      </w:r>
      <w:r w:rsidRPr="0020699B">
        <w:rPr>
          <w:rFonts w:cs="Arial"/>
          <w:iCs/>
          <w:sz w:val="20"/>
          <w:lang w:val="fr-FR"/>
        </w:rPr>
        <w:t>,</w:t>
      </w:r>
      <w:r w:rsidRPr="0020699B">
        <w:rPr>
          <w:rFonts w:cs="Arial"/>
          <w:i/>
          <w:iCs/>
          <w:sz w:val="20"/>
          <w:lang w:val="fr-FR"/>
        </w:rPr>
        <w:t xml:space="preserve"> </w:t>
      </w:r>
      <w:r w:rsidRPr="0020699B">
        <w:rPr>
          <w:rFonts w:cs="Arial"/>
          <w:sz w:val="20"/>
          <w:lang w:val="fr-FR"/>
        </w:rPr>
        <w:t>2017</w:t>
      </w:r>
      <w:r>
        <w:rPr>
          <w:rFonts w:cs="Arial"/>
          <w:sz w:val="20"/>
          <w:lang w:val="fr-FR"/>
        </w:rPr>
        <w:t> </w:t>
      </w:r>
      <w:r w:rsidRPr="0020699B">
        <w:rPr>
          <w:rFonts w:cs="Arial"/>
          <w:sz w:val="20"/>
          <w:lang w:val="fr-FR"/>
        </w:rPr>
        <w:t>QCTAT</w:t>
      </w:r>
      <w:r>
        <w:rPr>
          <w:rFonts w:cs="Arial"/>
          <w:sz w:val="20"/>
          <w:lang w:val="fr-FR"/>
        </w:rPr>
        <w:t> </w:t>
      </w:r>
      <w:r w:rsidRPr="0020699B">
        <w:rPr>
          <w:rFonts w:cs="Arial"/>
          <w:sz w:val="20"/>
          <w:lang w:val="fr-FR"/>
        </w:rPr>
        <w:t>954.</w:t>
      </w:r>
    </w:p>
  </w:footnote>
  <w:footnote w:id="24">
    <w:p w14:paraId="3C6EB343" w14:textId="55BA208B" w:rsidR="00C03002" w:rsidRPr="00FB22C8" w:rsidRDefault="00C03002" w:rsidP="00C03002">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FB22C8">
        <w:rPr>
          <w:rFonts w:cs="Arial"/>
          <w:sz w:val="20"/>
        </w:rPr>
        <w:t>Articles</w:t>
      </w:r>
      <w:r w:rsidR="00FB22C8" w:rsidRPr="00FB22C8">
        <w:rPr>
          <w:rFonts w:cs="Arial"/>
          <w:sz w:val="20"/>
        </w:rPr>
        <w:t> </w:t>
      </w:r>
      <w:r w:rsidRPr="00FB22C8">
        <w:rPr>
          <w:rFonts w:cs="Arial"/>
          <w:sz w:val="20"/>
        </w:rPr>
        <w:t xml:space="preserve">18 </w:t>
      </w:r>
      <w:r w:rsidR="00A22266" w:rsidRPr="00FB22C8">
        <w:rPr>
          <w:rFonts w:cs="Arial"/>
          <w:sz w:val="20"/>
        </w:rPr>
        <w:t>et 20 de la Loi.</w:t>
      </w:r>
    </w:p>
  </w:footnote>
  <w:footnote w:id="25">
    <w:p w14:paraId="30EFEC19" w14:textId="4F818DFF" w:rsidR="00A22266" w:rsidRPr="00A22266" w:rsidRDefault="00A22266" w:rsidP="00A22266">
      <w:pPr>
        <w:pStyle w:val="FootnoteText"/>
        <w:tabs>
          <w:tab w:val="left" w:pos="720"/>
        </w:tabs>
        <w:ind w:left="720" w:hanging="720"/>
        <w:jc w:val="both"/>
        <w:rPr>
          <w:rFonts w:cs="Arial"/>
          <w:sz w:val="20"/>
        </w:rPr>
      </w:pPr>
      <w:r w:rsidRPr="00FB22C8">
        <w:rPr>
          <w:rStyle w:val="FootnoteReference"/>
        </w:rPr>
        <w:footnoteRef/>
      </w:r>
      <w:r w:rsidRPr="00FB22C8">
        <w:t xml:space="preserve"> </w:t>
      </w:r>
      <w:r w:rsidRPr="00FB22C8">
        <w:rPr>
          <w:rFonts w:cs="Arial"/>
          <w:sz w:val="20"/>
        </w:rPr>
        <w:tab/>
        <w:t>2015</w:t>
      </w:r>
      <w:r w:rsidR="00FB22C8" w:rsidRPr="00FB22C8">
        <w:rPr>
          <w:rFonts w:cs="Arial"/>
          <w:sz w:val="20"/>
        </w:rPr>
        <w:t> </w:t>
      </w:r>
      <w:r w:rsidRPr="00FB22C8">
        <w:rPr>
          <w:rFonts w:cs="Arial"/>
          <w:sz w:val="20"/>
        </w:rPr>
        <w:t>QCCLP</w:t>
      </w:r>
      <w:r w:rsidR="00FB22C8" w:rsidRPr="00FB22C8">
        <w:rPr>
          <w:rFonts w:cs="Arial"/>
          <w:sz w:val="20"/>
        </w:rPr>
        <w:t> </w:t>
      </w:r>
      <w:r w:rsidRPr="00FB22C8">
        <w:rPr>
          <w:rFonts w:cs="Arial"/>
          <w:sz w:val="20"/>
        </w:rPr>
        <w:t>4123.</w:t>
      </w:r>
    </w:p>
  </w:footnote>
  <w:footnote w:id="26">
    <w:p w14:paraId="44F87D9D" w14:textId="1682C5A6" w:rsidR="00B93E1A" w:rsidRPr="00FB22C8" w:rsidRDefault="00B93E1A" w:rsidP="00B93E1A">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Voir notamment </w:t>
      </w:r>
      <w:r w:rsidRPr="00FB22C8">
        <w:rPr>
          <w:rFonts w:cs="Arial"/>
          <w:sz w:val="20"/>
        </w:rPr>
        <w:t xml:space="preserve">: </w:t>
      </w:r>
      <w:r w:rsidRPr="00FB22C8">
        <w:rPr>
          <w:rFonts w:cs="Arial"/>
          <w:i/>
          <w:iCs/>
          <w:sz w:val="20"/>
        </w:rPr>
        <w:t>Houde</w:t>
      </w:r>
      <w:r w:rsidRPr="00FB22C8">
        <w:rPr>
          <w:rFonts w:cs="Arial"/>
          <w:sz w:val="20"/>
        </w:rPr>
        <w:t xml:space="preserve"> et </w:t>
      </w:r>
      <w:r w:rsidRPr="00FB22C8">
        <w:rPr>
          <w:rFonts w:cs="Arial"/>
          <w:i/>
          <w:iCs/>
          <w:sz w:val="20"/>
        </w:rPr>
        <w:t>Produits forestiers Résolu</w:t>
      </w:r>
      <w:r w:rsidRPr="00FB22C8">
        <w:rPr>
          <w:rFonts w:cs="Arial"/>
          <w:sz w:val="20"/>
        </w:rPr>
        <w:t>, précité</w:t>
      </w:r>
      <w:r w:rsidR="00FB22C8" w:rsidRPr="00FB22C8">
        <w:rPr>
          <w:rFonts w:cs="Arial"/>
          <w:sz w:val="20"/>
        </w:rPr>
        <w:t>e,</w:t>
      </w:r>
      <w:r w:rsidRPr="00FB22C8">
        <w:rPr>
          <w:rFonts w:cs="Arial"/>
          <w:sz w:val="20"/>
        </w:rPr>
        <w:t xml:space="preserve"> note</w:t>
      </w:r>
      <w:r w:rsidR="00FB22C8" w:rsidRPr="00FB22C8">
        <w:rPr>
          <w:rFonts w:cs="Arial"/>
          <w:sz w:val="20"/>
        </w:rPr>
        <w:t> </w:t>
      </w:r>
      <w:r w:rsidRPr="00FB22C8">
        <w:rPr>
          <w:rFonts w:cs="Arial"/>
          <w:sz w:val="20"/>
        </w:rPr>
        <w:t xml:space="preserve">25; </w:t>
      </w:r>
      <w:r w:rsidRPr="00FB22C8">
        <w:rPr>
          <w:rFonts w:cs="Arial"/>
          <w:i/>
          <w:iCs/>
          <w:sz w:val="20"/>
        </w:rPr>
        <w:t>Tremblay</w:t>
      </w:r>
      <w:r w:rsidRPr="00FB22C8">
        <w:rPr>
          <w:rFonts w:cs="Arial"/>
          <w:sz w:val="20"/>
        </w:rPr>
        <w:t xml:space="preserve"> et </w:t>
      </w:r>
      <w:r w:rsidRPr="00FB22C8">
        <w:rPr>
          <w:rFonts w:cs="Arial"/>
          <w:i/>
          <w:iCs/>
          <w:sz w:val="20"/>
        </w:rPr>
        <w:t>Carrière Richard P</w:t>
      </w:r>
      <w:r w:rsidR="00285F19" w:rsidRPr="00FB22C8">
        <w:rPr>
          <w:rFonts w:cs="Arial"/>
          <w:i/>
          <w:iCs/>
          <w:sz w:val="20"/>
        </w:rPr>
        <w:t>o</w:t>
      </w:r>
      <w:r w:rsidRPr="00FB22C8">
        <w:rPr>
          <w:rFonts w:cs="Arial"/>
          <w:i/>
          <w:iCs/>
          <w:sz w:val="20"/>
        </w:rPr>
        <w:t>u</w:t>
      </w:r>
      <w:r w:rsidR="00FB22C8" w:rsidRPr="00FB22C8">
        <w:rPr>
          <w:rFonts w:cs="Arial"/>
          <w:i/>
          <w:iCs/>
          <w:sz w:val="20"/>
        </w:rPr>
        <w:t>dr</w:t>
      </w:r>
      <w:r w:rsidRPr="00FB22C8">
        <w:rPr>
          <w:rFonts w:cs="Arial"/>
          <w:i/>
          <w:iCs/>
          <w:sz w:val="20"/>
        </w:rPr>
        <w:t xml:space="preserve">ette </w:t>
      </w:r>
      <w:proofErr w:type="spellStart"/>
      <w:r w:rsidRPr="00FB22C8">
        <w:rPr>
          <w:rFonts w:cs="Arial"/>
          <w:i/>
          <w:iCs/>
          <w:sz w:val="20"/>
        </w:rPr>
        <w:t>inc.</w:t>
      </w:r>
      <w:proofErr w:type="spellEnd"/>
      <w:r w:rsidRPr="00FB22C8">
        <w:rPr>
          <w:rFonts w:cs="Arial"/>
          <w:sz w:val="20"/>
        </w:rPr>
        <w:t>, C.L.P.</w:t>
      </w:r>
      <w:r w:rsidR="00FB22C8" w:rsidRPr="00FB22C8">
        <w:rPr>
          <w:rFonts w:cs="Arial"/>
          <w:sz w:val="20"/>
        </w:rPr>
        <w:t> </w:t>
      </w:r>
      <w:r w:rsidRPr="00FB22C8">
        <w:rPr>
          <w:rFonts w:cs="Arial"/>
          <w:sz w:val="20"/>
        </w:rPr>
        <w:t>233972</w:t>
      </w:r>
      <w:r w:rsidR="00285F19" w:rsidRPr="00FB22C8">
        <w:rPr>
          <w:rFonts w:cs="Arial"/>
          <w:sz w:val="20"/>
        </w:rPr>
        <w:t>-62B-0404, 30</w:t>
      </w:r>
      <w:r w:rsidR="00FB22C8" w:rsidRPr="00FB22C8">
        <w:rPr>
          <w:rFonts w:cs="Arial"/>
          <w:sz w:val="20"/>
        </w:rPr>
        <w:t> </w:t>
      </w:r>
      <w:r w:rsidR="00285F19" w:rsidRPr="00FB22C8">
        <w:rPr>
          <w:rFonts w:cs="Arial"/>
          <w:sz w:val="20"/>
        </w:rPr>
        <w:t>novembre</w:t>
      </w:r>
      <w:r w:rsidR="00FB22C8" w:rsidRPr="00FB22C8">
        <w:rPr>
          <w:rFonts w:cs="Arial"/>
          <w:sz w:val="20"/>
        </w:rPr>
        <w:t> </w:t>
      </w:r>
      <w:r w:rsidR="00285F19" w:rsidRPr="00FB22C8">
        <w:rPr>
          <w:rFonts w:cs="Arial"/>
          <w:sz w:val="20"/>
        </w:rPr>
        <w:t>2006, M</w:t>
      </w:r>
      <w:r w:rsidR="00FB22C8" w:rsidRPr="00FB22C8">
        <w:rPr>
          <w:rFonts w:cs="Arial"/>
          <w:sz w:val="20"/>
        </w:rPr>
        <w:t>. </w:t>
      </w:r>
      <w:r w:rsidR="00285F19" w:rsidRPr="00FB22C8">
        <w:rPr>
          <w:rFonts w:cs="Arial"/>
          <w:sz w:val="20"/>
        </w:rPr>
        <w:t>D</w:t>
      </w:r>
      <w:r w:rsidR="00FB22C8" w:rsidRPr="00FB22C8">
        <w:rPr>
          <w:rFonts w:cs="Arial"/>
          <w:sz w:val="20"/>
        </w:rPr>
        <w:t>. </w:t>
      </w:r>
      <w:r w:rsidR="00285F19" w:rsidRPr="00FB22C8">
        <w:rPr>
          <w:rFonts w:cs="Arial"/>
          <w:sz w:val="20"/>
        </w:rPr>
        <w:t xml:space="preserve">Lampron; </w:t>
      </w:r>
      <w:r w:rsidRPr="00FB22C8">
        <w:rPr>
          <w:rFonts w:cs="Arial"/>
          <w:i/>
          <w:iCs/>
          <w:sz w:val="20"/>
        </w:rPr>
        <w:t>Therrien</w:t>
      </w:r>
      <w:r w:rsidRPr="00FB22C8">
        <w:rPr>
          <w:rFonts w:cs="Arial"/>
          <w:sz w:val="20"/>
        </w:rPr>
        <w:t xml:space="preserve"> et </w:t>
      </w:r>
      <w:r w:rsidRPr="00FB22C8">
        <w:rPr>
          <w:rFonts w:cs="Arial"/>
          <w:i/>
          <w:iCs/>
          <w:sz w:val="20"/>
        </w:rPr>
        <w:t>Administration portuaire du havre polyvalent de Sainte-Anne-des-Monts</w:t>
      </w:r>
      <w:r w:rsidRPr="00FB22C8">
        <w:rPr>
          <w:rFonts w:cs="Arial"/>
          <w:sz w:val="20"/>
        </w:rPr>
        <w:t>, 2024 QCTAT 2553.</w:t>
      </w:r>
    </w:p>
  </w:footnote>
  <w:footnote w:id="27">
    <w:p w14:paraId="47575CE3" w14:textId="0FC05C07" w:rsidR="003972C7" w:rsidRPr="00FB22C8" w:rsidRDefault="003972C7" w:rsidP="003972C7">
      <w:pPr>
        <w:pStyle w:val="FootnoteText"/>
        <w:tabs>
          <w:tab w:val="left" w:pos="720"/>
        </w:tabs>
        <w:ind w:left="720" w:hanging="720"/>
        <w:jc w:val="both"/>
        <w:rPr>
          <w:rFonts w:cs="Arial"/>
          <w:sz w:val="20"/>
        </w:rPr>
      </w:pPr>
      <w:r w:rsidRPr="00FB22C8">
        <w:rPr>
          <w:rStyle w:val="FootnoteReference"/>
        </w:rPr>
        <w:footnoteRef/>
      </w:r>
      <w:r w:rsidRPr="00FB22C8">
        <w:t xml:space="preserve"> </w:t>
      </w:r>
      <w:r w:rsidRPr="00FB22C8">
        <w:rPr>
          <w:rFonts w:cs="Arial"/>
          <w:sz w:val="20"/>
        </w:rPr>
        <w:tab/>
        <w:t>2019</w:t>
      </w:r>
      <w:r w:rsidR="00FB22C8" w:rsidRPr="00FB22C8">
        <w:rPr>
          <w:rFonts w:cs="Arial"/>
          <w:sz w:val="20"/>
        </w:rPr>
        <w:t> </w:t>
      </w:r>
      <w:r w:rsidRPr="00FB22C8">
        <w:rPr>
          <w:rFonts w:cs="Arial"/>
          <w:sz w:val="20"/>
        </w:rPr>
        <w:t>QCTAT</w:t>
      </w:r>
      <w:r w:rsidR="00FB22C8" w:rsidRPr="00FB22C8">
        <w:rPr>
          <w:rFonts w:cs="Arial"/>
          <w:sz w:val="20"/>
        </w:rPr>
        <w:t> </w:t>
      </w:r>
      <w:r w:rsidRPr="00FB22C8">
        <w:rPr>
          <w:rFonts w:cs="Arial"/>
          <w:sz w:val="20"/>
        </w:rPr>
        <w:t>1419. Voir également</w:t>
      </w:r>
      <w:r w:rsidR="00BE3908" w:rsidRPr="00FB22C8">
        <w:rPr>
          <w:rFonts w:cs="Arial"/>
          <w:sz w:val="20"/>
        </w:rPr>
        <w:t xml:space="preserve"> : </w:t>
      </w:r>
      <w:r w:rsidR="00BE3908" w:rsidRPr="00FB22C8">
        <w:rPr>
          <w:rFonts w:cs="Arial"/>
          <w:i/>
          <w:iCs/>
          <w:sz w:val="20"/>
        </w:rPr>
        <w:t>Lefrançois</w:t>
      </w:r>
      <w:r w:rsidR="00BE3908" w:rsidRPr="00FB22C8">
        <w:rPr>
          <w:rFonts w:cs="Arial"/>
          <w:sz w:val="20"/>
        </w:rPr>
        <w:t>, 2024</w:t>
      </w:r>
      <w:r w:rsidR="00FB22C8">
        <w:rPr>
          <w:rFonts w:cs="Arial"/>
          <w:sz w:val="20"/>
        </w:rPr>
        <w:t> </w:t>
      </w:r>
      <w:r w:rsidR="00BE3908" w:rsidRPr="00FB22C8">
        <w:rPr>
          <w:rFonts w:cs="Arial"/>
          <w:sz w:val="20"/>
        </w:rPr>
        <w:t>QCTAT</w:t>
      </w:r>
      <w:r w:rsidR="00FB22C8">
        <w:rPr>
          <w:rFonts w:cs="Arial"/>
          <w:sz w:val="20"/>
        </w:rPr>
        <w:t> </w:t>
      </w:r>
      <w:r w:rsidR="00BE3908" w:rsidRPr="00FB22C8">
        <w:rPr>
          <w:rFonts w:cs="Arial"/>
          <w:sz w:val="20"/>
        </w:rPr>
        <w:t>1613.</w:t>
      </w:r>
    </w:p>
  </w:footnote>
  <w:footnote w:id="28">
    <w:p w14:paraId="18C97746" w14:textId="7A29052B" w:rsidR="004614D4" w:rsidRPr="00937068" w:rsidRDefault="004614D4" w:rsidP="00B43618">
      <w:pPr>
        <w:pStyle w:val="FootnoteText"/>
        <w:ind w:left="709" w:hanging="709"/>
        <w:jc w:val="both"/>
        <w:rPr>
          <w:rFonts w:cs="Arial"/>
          <w:sz w:val="20"/>
        </w:rPr>
      </w:pPr>
      <w:r w:rsidRPr="00FB22C8">
        <w:rPr>
          <w:rStyle w:val="FootnoteReference"/>
          <w:szCs w:val="24"/>
        </w:rPr>
        <w:footnoteRef/>
      </w:r>
      <w:r w:rsidRPr="00FB22C8">
        <w:rPr>
          <w:szCs w:val="24"/>
        </w:rPr>
        <w:t xml:space="preserve"> </w:t>
      </w:r>
      <w:r w:rsidRPr="00FB22C8">
        <w:rPr>
          <w:rFonts w:cs="Arial"/>
          <w:sz w:val="20"/>
        </w:rPr>
        <w:tab/>
      </w:r>
      <w:r w:rsidRPr="00FB22C8">
        <w:rPr>
          <w:rStyle w:val="former-anchor2"/>
          <w:rFonts w:cs="Arial"/>
          <w:i/>
          <w:iCs/>
          <w:sz w:val="20"/>
          <w:lang w:val="fr-FR"/>
        </w:rPr>
        <w:t>Bell Canada</w:t>
      </w:r>
      <w:r w:rsidRPr="00FB22C8">
        <w:rPr>
          <w:rStyle w:val="former-anchor2"/>
          <w:rFonts w:cs="Arial"/>
          <w:sz w:val="20"/>
          <w:lang w:val="fr-FR"/>
        </w:rPr>
        <w:t xml:space="preserve"> et </w:t>
      </w:r>
      <w:r w:rsidRPr="00FB22C8">
        <w:rPr>
          <w:rStyle w:val="former-anchor2"/>
          <w:rFonts w:cs="Arial"/>
          <w:i/>
          <w:iCs/>
          <w:sz w:val="20"/>
          <w:lang w:val="fr-FR"/>
        </w:rPr>
        <w:t>Labrosse</w:t>
      </w:r>
      <w:r w:rsidRPr="00FB22C8">
        <w:rPr>
          <w:rStyle w:val="former-anchor2"/>
          <w:rFonts w:cs="Arial"/>
          <w:sz w:val="20"/>
          <w:lang w:val="fr-FR"/>
        </w:rPr>
        <w:t>,</w:t>
      </w:r>
      <w:r w:rsidRPr="00FB22C8">
        <w:rPr>
          <w:rFonts w:cs="Arial"/>
          <w:sz w:val="20"/>
          <w:lang w:val="fr-FR"/>
        </w:rPr>
        <w:t xml:space="preserve"> C.L.P.</w:t>
      </w:r>
      <w:r w:rsidR="000B1D99" w:rsidRPr="00FB22C8">
        <w:rPr>
          <w:rFonts w:cs="Arial"/>
          <w:sz w:val="20"/>
          <w:lang w:val="fr-FR"/>
        </w:rPr>
        <w:t> </w:t>
      </w:r>
      <w:r w:rsidRPr="00FB22C8">
        <w:rPr>
          <w:rFonts w:cs="Arial"/>
          <w:sz w:val="20"/>
          <w:lang w:val="fr-FR"/>
        </w:rPr>
        <w:t>293761-62-0607, 27</w:t>
      </w:r>
      <w:r w:rsidR="000B1D99" w:rsidRPr="00FB22C8">
        <w:rPr>
          <w:rFonts w:cs="Arial"/>
          <w:sz w:val="20"/>
          <w:lang w:val="fr-FR"/>
        </w:rPr>
        <w:t> </w:t>
      </w:r>
      <w:r w:rsidRPr="00FB22C8">
        <w:rPr>
          <w:rFonts w:cs="Arial"/>
          <w:sz w:val="20"/>
          <w:lang w:val="fr-FR"/>
        </w:rPr>
        <w:t>février</w:t>
      </w:r>
      <w:r w:rsidR="000B1D99" w:rsidRPr="00FB22C8">
        <w:rPr>
          <w:rFonts w:cs="Arial"/>
          <w:sz w:val="20"/>
          <w:lang w:val="fr-FR"/>
        </w:rPr>
        <w:t> </w:t>
      </w:r>
      <w:r w:rsidRPr="00FB22C8">
        <w:rPr>
          <w:rFonts w:cs="Arial"/>
          <w:sz w:val="20"/>
          <w:lang w:val="fr-FR"/>
        </w:rPr>
        <w:t>2007, L.</w:t>
      </w:r>
      <w:r w:rsidR="000B1D99" w:rsidRPr="00FB22C8">
        <w:rPr>
          <w:rFonts w:cs="Arial"/>
          <w:sz w:val="20"/>
          <w:lang w:val="fr-FR"/>
        </w:rPr>
        <w:t> </w:t>
      </w:r>
      <w:r w:rsidRPr="00FB22C8">
        <w:rPr>
          <w:rFonts w:cs="Arial"/>
          <w:sz w:val="20"/>
          <w:lang w:val="fr-FR"/>
        </w:rPr>
        <w:t>Couture</w:t>
      </w:r>
      <w:r>
        <w:rPr>
          <w:rFonts w:cs="Arial"/>
          <w:sz w:val="20"/>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412A8AE8" w14:textId="77777777" w:rsidTr="00C4749E">
      <w:tc>
        <w:tcPr>
          <w:tcW w:w="8730" w:type="dxa"/>
        </w:tcPr>
        <w:p w14:paraId="6BB298A0" w14:textId="77777777" w:rsidR="00D330B6" w:rsidRDefault="00D330B6">
          <w:pPr>
            <w:pStyle w:val="Header"/>
            <w:ind w:left="-90"/>
          </w:pPr>
        </w:p>
      </w:tc>
      <w:tc>
        <w:tcPr>
          <w:tcW w:w="860" w:type="dxa"/>
        </w:tcPr>
        <w:p w14:paraId="3D961182" w14:textId="77777777" w:rsidR="00D330B6" w:rsidRDefault="00D330B6">
          <w:pPr>
            <w:pStyle w:val="Header"/>
            <w:ind w:left="-90"/>
          </w:pPr>
        </w:p>
      </w:tc>
    </w:tr>
    <w:tr w:rsidR="00C82DCB" w14:paraId="56CF05DC" w14:textId="77777777" w:rsidTr="00C4749E">
      <w:tc>
        <w:tcPr>
          <w:tcW w:w="8730" w:type="dxa"/>
        </w:tcPr>
        <w:p w14:paraId="181FC897" w14:textId="767C40FA" w:rsidR="00C82DCB" w:rsidRDefault="00C82DCB" w:rsidP="00C82DCB">
          <w:r>
            <w:t>1320786-03B-2305</w:t>
          </w:r>
        </w:p>
      </w:tc>
      <w:tc>
        <w:tcPr>
          <w:tcW w:w="860" w:type="dxa"/>
        </w:tcPr>
        <w:p w14:paraId="165F0853" w14:textId="77777777" w:rsidR="00C82DCB" w:rsidRDefault="00C82DCB" w:rsidP="00C82DCB">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80E40">
            <w:rPr>
              <w:rStyle w:val="PageNumber"/>
              <w:noProof/>
            </w:rPr>
            <w:t>2</w:t>
          </w:r>
          <w:r>
            <w:rPr>
              <w:rStyle w:val="PageNumber"/>
            </w:rPr>
            <w:fldChar w:fldCharType="end"/>
          </w:r>
        </w:p>
      </w:tc>
    </w:tr>
    <w:tr w:rsidR="00C82DCB" w14:paraId="6D0D1E21" w14:textId="77777777" w:rsidTr="00C4749E">
      <w:tc>
        <w:tcPr>
          <w:tcW w:w="8730" w:type="dxa"/>
        </w:tcPr>
        <w:p w14:paraId="5F209B1E" w14:textId="77777777" w:rsidR="00C82DCB" w:rsidRDefault="00C82DCB" w:rsidP="00C82DCB"/>
      </w:tc>
      <w:tc>
        <w:tcPr>
          <w:tcW w:w="860" w:type="dxa"/>
        </w:tcPr>
        <w:p w14:paraId="00EBB1B5" w14:textId="77777777" w:rsidR="00C82DCB" w:rsidRDefault="00C82DCB" w:rsidP="00C82DCB">
          <w:pPr>
            <w:pStyle w:val="Header"/>
            <w:ind w:left="-90"/>
            <w:jc w:val="right"/>
          </w:pPr>
        </w:p>
      </w:tc>
    </w:tr>
  </w:tbl>
  <w:p w14:paraId="2B49CCBB" w14:textId="77777777" w:rsidR="00D330B6" w:rsidRDefault="00D33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38A2"/>
    <w:multiLevelType w:val="hybridMultilevel"/>
    <w:tmpl w:val="2C566760"/>
    <w:lvl w:ilvl="0" w:tplc="14B48EF8">
      <w:start w:val="1"/>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5057178"/>
    <w:multiLevelType w:val="hybridMultilevel"/>
    <w:tmpl w:val="3678F6C6"/>
    <w:lvl w:ilvl="0" w:tplc="1302860C">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743755A"/>
    <w:multiLevelType w:val="hybridMultilevel"/>
    <w:tmpl w:val="3FEE1EB0"/>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3"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5"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1"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2"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939755335">
    <w:abstractNumId w:val="10"/>
  </w:num>
  <w:num w:numId="2" w16cid:durableId="239289924">
    <w:abstractNumId w:val="9"/>
  </w:num>
  <w:num w:numId="3" w16cid:durableId="1434134525">
    <w:abstractNumId w:val="8"/>
  </w:num>
  <w:num w:numId="4" w16cid:durableId="1641417977">
    <w:abstractNumId w:val="6"/>
  </w:num>
  <w:num w:numId="5" w16cid:durableId="288781122">
    <w:abstractNumId w:val="12"/>
  </w:num>
  <w:num w:numId="6" w16cid:durableId="1654602532">
    <w:abstractNumId w:val="12"/>
  </w:num>
  <w:num w:numId="7" w16cid:durableId="505481408">
    <w:abstractNumId w:val="3"/>
  </w:num>
  <w:num w:numId="8" w16cid:durableId="20210072">
    <w:abstractNumId w:val="5"/>
  </w:num>
  <w:num w:numId="9" w16cid:durableId="658272142">
    <w:abstractNumId w:val="4"/>
  </w:num>
  <w:num w:numId="10" w16cid:durableId="2052267851">
    <w:abstractNumId w:val="11"/>
  </w:num>
  <w:num w:numId="11" w16cid:durableId="1934898990">
    <w:abstractNumId w:val="7"/>
  </w:num>
  <w:num w:numId="12" w16cid:durableId="1516260955">
    <w:abstractNumId w:val="1"/>
  </w:num>
  <w:num w:numId="13" w16cid:durableId="1746612390">
    <w:abstractNumId w:val="2"/>
  </w:num>
  <w:num w:numId="14" w16cid:durableId="191524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7"/>
    <w:rsid w:val="000034B0"/>
    <w:rsid w:val="000041A1"/>
    <w:rsid w:val="00006954"/>
    <w:rsid w:val="00006DD2"/>
    <w:rsid w:val="0001305E"/>
    <w:rsid w:val="00016D99"/>
    <w:rsid w:val="000210FA"/>
    <w:rsid w:val="00021B30"/>
    <w:rsid w:val="00021E4C"/>
    <w:rsid w:val="00022556"/>
    <w:rsid w:val="00023858"/>
    <w:rsid w:val="000352CA"/>
    <w:rsid w:val="000366EC"/>
    <w:rsid w:val="00036794"/>
    <w:rsid w:val="00043E4D"/>
    <w:rsid w:val="00051CF6"/>
    <w:rsid w:val="000536CC"/>
    <w:rsid w:val="000559A8"/>
    <w:rsid w:val="00055A3E"/>
    <w:rsid w:val="00056393"/>
    <w:rsid w:val="00057739"/>
    <w:rsid w:val="0007225E"/>
    <w:rsid w:val="00074ABE"/>
    <w:rsid w:val="00074EAE"/>
    <w:rsid w:val="000756D0"/>
    <w:rsid w:val="00076D0A"/>
    <w:rsid w:val="00076D81"/>
    <w:rsid w:val="00080885"/>
    <w:rsid w:val="00082A97"/>
    <w:rsid w:val="0008378A"/>
    <w:rsid w:val="0008784D"/>
    <w:rsid w:val="00090018"/>
    <w:rsid w:val="00090306"/>
    <w:rsid w:val="00090F69"/>
    <w:rsid w:val="00093ACD"/>
    <w:rsid w:val="00095814"/>
    <w:rsid w:val="00097D81"/>
    <w:rsid w:val="00097FCE"/>
    <w:rsid w:val="000A1DAC"/>
    <w:rsid w:val="000A4AD0"/>
    <w:rsid w:val="000A570C"/>
    <w:rsid w:val="000A5AD1"/>
    <w:rsid w:val="000A63DF"/>
    <w:rsid w:val="000A77C5"/>
    <w:rsid w:val="000A7B80"/>
    <w:rsid w:val="000B1D99"/>
    <w:rsid w:val="000B6275"/>
    <w:rsid w:val="000B7F1B"/>
    <w:rsid w:val="000C578C"/>
    <w:rsid w:val="000C710F"/>
    <w:rsid w:val="000D3948"/>
    <w:rsid w:val="000D7AD8"/>
    <w:rsid w:val="000E0C28"/>
    <w:rsid w:val="000E0C3A"/>
    <w:rsid w:val="000E1320"/>
    <w:rsid w:val="000E3FF6"/>
    <w:rsid w:val="000E56A6"/>
    <w:rsid w:val="000F20A5"/>
    <w:rsid w:val="000F3423"/>
    <w:rsid w:val="000F5F81"/>
    <w:rsid w:val="00100AB8"/>
    <w:rsid w:val="00104550"/>
    <w:rsid w:val="00104C3D"/>
    <w:rsid w:val="001050B4"/>
    <w:rsid w:val="001144AB"/>
    <w:rsid w:val="0012224D"/>
    <w:rsid w:val="001225BC"/>
    <w:rsid w:val="00122A9E"/>
    <w:rsid w:val="00122F94"/>
    <w:rsid w:val="0012326A"/>
    <w:rsid w:val="00132622"/>
    <w:rsid w:val="00137E7E"/>
    <w:rsid w:val="001407FC"/>
    <w:rsid w:val="00144572"/>
    <w:rsid w:val="00146116"/>
    <w:rsid w:val="00147A49"/>
    <w:rsid w:val="00147B8B"/>
    <w:rsid w:val="0015125A"/>
    <w:rsid w:val="00152464"/>
    <w:rsid w:val="0015539F"/>
    <w:rsid w:val="00160597"/>
    <w:rsid w:val="00162ECC"/>
    <w:rsid w:val="001664C8"/>
    <w:rsid w:val="00167AD0"/>
    <w:rsid w:val="00167DEF"/>
    <w:rsid w:val="00167E9D"/>
    <w:rsid w:val="00173184"/>
    <w:rsid w:val="00175079"/>
    <w:rsid w:val="001761B9"/>
    <w:rsid w:val="00183515"/>
    <w:rsid w:val="001846FC"/>
    <w:rsid w:val="001924FE"/>
    <w:rsid w:val="00195B78"/>
    <w:rsid w:val="001965E1"/>
    <w:rsid w:val="001A03BE"/>
    <w:rsid w:val="001A067E"/>
    <w:rsid w:val="001A2900"/>
    <w:rsid w:val="001A3145"/>
    <w:rsid w:val="001A4081"/>
    <w:rsid w:val="001A65F1"/>
    <w:rsid w:val="001B2496"/>
    <w:rsid w:val="001B2B40"/>
    <w:rsid w:val="001B3E9D"/>
    <w:rsid w:val="001B4A40"/>
    <w:rsid w:val="001B5524"/>
    <w:rsid w:val="001B6D8A"/>
    <w:rsid w:val="001C19D4"/>
    <w:rsid w:val="001C2B0B"/>
    <w:rsid w:val="001C436D"/>
    <w:rsid w:val="001D14C7"/>
    <w:rsid w:val="001D19AD"/>
    <w:rsid w:val="001D63C8"/>
    <w:rsid w:val="001D65D8"/>
    <w:rsid w:val="001E3DFD"/>
    <w:rsid w:val="001E42F0"/>
    <w:rsid w:val="001E497A"/>
    <w:rsid w:val="001E5E3B"/>
    <w:rsid w:val="001F1CD9"/>
    <w:rsid w:val="001F37BD"/>
    <w:rsid w:val="001F7E4D"/>
    <w:rsid w:val="002060D0"/>
    <w:rsid w:val="00213EC8"/>
    <w:rsid w:val="00225C46"/>
    <w:rsid w:val="00226493"/>
    <w:rsid w:val="00227040"/>
    <w:rsid w:val="00230CFC"/>
    <w:rsid w:val="0023162A"/>
    <w:rsid w:val="00231C1D"/>
    <w:rsid w:val="00233532"/>
    <w:rsid w:val="00234BC8"/>
    <w:rsid w:val="00241CED"/>
    <w:rsid w:val="00242FB4"/>
    <w:rsid w:val="00245605"/>
    <w:rsid w:val="002463D6"/>
    <w:rsid w:val="00253480"/>
    <w:rsid w:val="002542E0"/>
    <w:rsid w:val="002563F0"/>
    <w:rsid w:val="00256DBB"/>
    <w:rsid w:val="00260119"/>
    <w:rsid w:val="00266064"/>
    <w:rsid w:val="00267C8D"/>
    <w:rsid w:val="002701DD"/>
    <w:rsid w:val="002710FD"/>
    <w:rsid w:val="00273F49"/>
    <w:rsid w:val="002769B5"/>
    <w:rsid w:val="00276B25"/>
    <w:rsid w:val="00276B59"/>
    <w:rsid w:val="00281319"/>
    <w:rsid w:val="00285F19"/>
    <w:rsid w:val="00286149"/>
    <w:rsid w:val="0028668D"/>
    <w:rsid w:val="00290289"/>
    <w:rsid w:val="00292188"/>
    <w:rsid w:val="002923D9"/>
    <w:rsid w:val="00296645"/>
    <w:rsid w:val="00296A4B"/>
    <w:rsid w:val="00297284"/>
    <w:rsid w:val="002A0077"/>
    <w:rsid w:val="002A07DC"/>
    <w:rsid w:val="002A3573"/>
    <w:rsid w:val="002A374B"/>
    <w:rsid w:val="002A64FB"/>
    <w:rsid w:val="002A73E9"/>
    <w:rsid w:val="002B0AD6"/>
    <w:rsid w:val="002B132B"/>
    <w:rsid w:val="002B2FC3"/>
    <w:rsid w:val="002B35F0"/>
    <w:rsid w:val="002B58AF"/>
    <w:rsid w:val="002C3748"/>
    <w:rsid w:val="002C5E89"/>
    <w:rsid w:val="002D42BC"/>
    <w:rsid w:val="002D71A9"/>
    <w:rsid w:val="002D7846"/>
    <w:rsid w:val="002D7FCB"/>
    <w:rsid w:val="002E05AE"/>
    <w:rsid w:val="002F35B4"/>
    <w:rsid w:val="002F7507"/>
    <w:rsid w:val="0030059B"/>
    <w:rsid w:val="00302FB4"/>
    <w:rsid w:val="00305273"/>
    <w:rsid w:val="003057FC"/>
    <w:rsid w:val="00305AFB"/>
    <w:rsid w:val="00307C85"/>
    <w:rsid w:val="00312983"/>
    <w:rsid w:val="00320D42"/>
    <w:rsid w:val="00323DC5"/>
    <w:rsid w:val="003248CB"/>
    <w:rsid w:val="00331EA7"/>
    <w:rsid w:val="003332B8"/>
    <w:rsid w:val="00337555"/>
    <w:rsid w:val="00343B46"/>
    <w:rsid w:val="00344465"/>
    <w:rsid w:val="0034740A"/>
    <w:rsid w:val="003478DE"/>
    <w:rsid w:val="00353026"/>
    <w:rsid w:val="0035375B"/>
    <w:rsid w:val="00353B5B"/>
    <w:rsid w:val="00362D74"/>
    <w:rsid w:val="003664E9"/>
    <w:rsid w:val="00366D1E"/>
    <w:rsid w:val="003703A5"/>
    <w:rsid w:val="0037112C"/>
    <w:rsid w:val="00373EE5"/>
    <w:rsid w:val="003817E7"/>
    <w:rsid w:val="00382E55"/>
    <w:rsid w:val="00390B55"/>
    <w:rsid w:val="0039121B"/>
    <w:rsid w:val="003961B2"/>
    <w:rsid w:val="003972C7"/>
    <w:rsid w:val="003A41AD"/>
    <w:rsid w:val="003B0C41"/>
    <w:rsid w:val="003B152B"/>
    <w:rsid w:val="003B1734"/>
    <w:rsid w:val="003B1735"/>
    <w:rsid w:val="003B2D2E"/>
    <w:rsid w:val="003B6CBF"/>
    <w:rsid w:val="003C47A7"/>
    <w:rsid w:val="003D0826"/>
    <w:rsid w:val="003D18FC"/>
    <w:rsid w:val="003D3C93"/>
    <w:rsid w:val="003D71BB"/>
    <w:rsid w:val="003E00D5"/>
    <w:rsid w:val="003E02BA"/>
    <w:rsid w:val="003F0578"/>
    <w:rsid w:val="003F7F38"/>
    <w:rsid w:val="00401325"/>
    <w:rsid w:val="004019AA"/>
    <w:rsid w:val="0040399B"/>
    <w:rsid w:val="00406F0C"/>
    <w:rsid w:val="004106DB"/>
    <w:rsid w:val="00410A9A"/>
    <w:rsid w:val="00411251"/>
    <w:rsid w:val="0041180B"/>
    <w:rsid w:val="00411A6C"/>
    <w:rsid w:val="00412585"/>
    <w:rsid w:val="0041363B"/>
    <w:rsid w:val="00414FA8"/>
    <w:rsid w:val="00415D5D"/>
    <w:rsid w:val="0041643A"/>
    <w:rsid w:val="004232E9"/>
    <w:rsid w:val="0042650F"/>
    <w:rsid w:val="0042684F"/>
    <w:rsid w:val="00427D5D"/>
    <w:rsid w:val="00431E0B"/>
    <w:rsid w:val="004337FE"/>
    <w:rsid w:val="00433E98"/>
    <w:rsid w:val="00435738"/>
    <w:rsid w:val="00437137"/>
    <w:rsid w:val="004403B8"/>
    <w:rsid w:val="00441ADA"/>
    <w:rsid w:val="004422CA"/>
    <w:rsid w:val="0044274C"/>
    <w:rsid w:val="0044371C"/>
    <w:rsid w:val="0044627E"/>
    <w:rsid w:val="0045114F"/>
    <w:rsid w:val="004529D3"/>
    <w:rsid w:val="00453B10"/>
    <w:rsid w:val="00453F31"/>
    <w:rsid w:val="00454656"/>
    <w:rsid w:val="00456B0C"/>
    <w:rsid w:val="00460101"/>
    <w:rsid w:val="004614D4"/>
    <w:rsid w:val="0046538B"/>
    <w:rsid w:val="00471C92"/>
    <w:rsid w:val="004739AC"/>
    <w:rsid w:val="00474489"/>
    <w:rsid w:val="00475FEF"/>
    <w:rsid w:val="0047680F"/>
    <w:rsid w:val="00477536"/>
    <w:rsid w:val="0047776F"/>
    <w:rsid w:val="00482D5B"/>
    <w:rsid w:val="004832E2"/>
    <w:rsid w:val="004870EA"/>
    <w:rsid w:val="004873EC"/>
    <w:rsid w:val="00487F13"/>
    <w:rsid w:val="0049595F"/>
    <w:rsid w:val="00495F59"/>
    <w:rsid w:val="00496193"/>
    <w:rsid w:val="004A02AF"/>
    <w:rsid w:val="004A2D66"/>
    <w:rsid w:val="004A4449"/>
    <w:rsid w:val="004A4BA9"/>
    <w:rsid w:val="004A679B"/>
    <w:rsid w:val="004C0FB4"/>
    <w:rsid w:val="004C1635"/>
    <w:rsid w:val="004C1811"/>
    <w:rsid w:val="004C2944"/>
    <w:rsid w:val="004C4555"/>
    <w:rsid w:val="004D16D6"/>
    <w:rsid w:val="004D6CEA"/>
    <w:rsid w:val="004E0E02"/>
    <w:rsid w:val="004E3564"/>
    <w:rsid w:val="004E3D9F"/>
    <w:rsid w:val="004E51C0"/>
    <w:rsid w:val="004E64BE"/>
    <w:rsid w:val="004F6293"/>
    <w:rsid w:val="00503B8D"/>
    <w:rsid w:val="00503EE3"/>
    <w:rsid w:val="00505811"/>
    <w:rsid w:val="0051261C"/>
    <w:rsid w:val="00515DE7"/>
    <w:rsid w:val="00516BCB"/>
    <w:rsid w:val="00517EB0"/>
    <w:rsid w:val="005205CB"/>
    <w:rsid w:val="0052430C"/>
    <w:rsid w:val="005268DD"/>
    <w:rsid w:val="005348E4"/>
    <w:rsid w:val="00534D8F"/>
    <w:rsid w:val="005352F1"/>
    <w:rsid w:val="00540094"/>
    <w:rsid w:val="00545CFF"/>
    <w:rsid w:val="00547A9C"/>
    <w:rsid w:val="00555800"/>
    <w:rsid w:val="00556DBB"/>
    <w:rsid w:val="00560781"/>
    <w:rsid w:val="0056268F"/>
    <w:rsid w:val="005662E9"/>
    <w:rsid w:val="005700F8"/>
    <w:rsid w:val="00572AAF"/>
    <w:rsid w:val="005801AE"/>
    <w:rsid w:val="00582868"/>
    <w:rsid w:val="00582ECC"/>
    <w:rsid w:val="0058399B"/>
    <w:rsid w:val="0058692F"/>
    <w:rsid w:val="00587045"/>
    <w:rsid w:val="00587C22"/>
    <w:rsid w:val="0059065D"/>
    <w:rsid w:val="005907BE"/>
    <w:rsid w:val="0059436D"/>
    <w:rsid w:val="005945C0"/>
    <w:rsid w:val="00596AB2"/>
    <w:rsid w:val="00596CC6"/>
    <w:rsid w:val="00597016"/>
    <w:rsid w:val="005974B7"/>
    <w:rsid w:val="005A0D51"/>
    <w:rsid w:val="005A181B"/>
    <w:rsid w:val="005A1CB3"/>
    <w:rsid w:val="005A3073"/>
    <w:rsid w:val="005A33A5"/>
    <w:rsid w:val="005A37D7"/>
    <w:rsid w:val="005A5437"/>
    <w:rsid w:val="005A6969"/>
    <w:rsid w:val="005A70A0"/>
    <w:rsid w:val="005B0612"/>
    <w:rsid w:val="005B13F0"/>
    <w:rsid w:val="005B2E0C"/>
    <w:rsid w:val="005B30F6"/>
    <w:rsid w:val="005B45BA"/>
    <w:rsid w:val="005B5689"/>
    <w:rsid w:val="005B6680"/>
    <w:rsid w:val="005B6774"/>
    <w:rsid w:val="005C0A89"/>
    <w:rsid w:val="005C3BC4"/>
    <w:rsid w:val="005D26CC"/>
    <w:rsid w:val="005D4711"/>
    <w:rsid w:val="005D59B1"/>
    <w:rsid w:val="005D764B"/>
    <w:rsid w:val="005D7DEE"/>
    <w:rsid w:val="005E2367"/>
    <w:rsid w:val="005E34D2"/>
    <w:rsid w:val="005E5E90"/>
    <w:rsid w:val="005E62C7"/>
    <w:rsid w:val="005E654C"/>
    <w:rsid w:val="005F05F6"/>
    <w:rsid w:val="005F0D07"/>
    <w:rsid w:val="00605734"/>
    <w:rsid w:val="006108B1"/>
    <w:rsid w:val="0061488E"/>
    <w:rsid w:val="00614CF3"/>
    <w:rsid w:val="0061574B"/>
    <w:rsid w:val="00616406"/>
    <w:rsid w:val="00622670"/>
    <w:rsid w:val="00623328"/>
    <w:rsid w:val="00623A1A"/>
    <w:rsid w:val="00626E8D"/>
    <w:rsid w:val="0063156B"/>
    <w:rsid w:val="006326A9"/>
    <w:rsid w:val="00632DA8"/>
    <w:rsid w:val="00634C4B"/>
    <w:rsid w:val="00634E6E"/>
    <w:rsid w:val="0063651F"/>
    <w:rsid w:val="0064342A"/>
    <w:rsid w:val="00643A28"/>
    <w:rsid w:val="006452FA"/>
    <w:rsid w:val="0065093D"/>
    <w:rsid w:val="00652A16"/>
    <w:rsid w:val="00655193"/>
    <w:rsid w:val="00655459"/>
    <w:rsid w:val="00656FB2"/>
    <w:rsid w:val="00657A70"/>
    <w:rsid w:val="00661454"/>
    <w:rsid w:val="006620AA"/>
    <w:rsid w:val="006626AF"/>
    <w:rsid w:val="0066642D"/>
    <w:rsid w:val="006722E2"/>
    <w:rsid w:val="00675E85"/>
    <w:rsid w:val="0067750F"/>
    <w:rsid w:val="00681396"/>
    <w:rsid w:val="0068171F"/>
    <w:rsid w:val="0068401E"/>
    <w:rsid w:val="006841A4"/>
    <w:rsid w:val="0068643F"/>
    <w:rsid w:val="006877A1"/>
    <w:rsid w:val="00692150"/>
    <w:rsid w:val="00692F0C"/>
    <w:rsid w:val="006944B0"/>
    <w:rsid w:val="00696E7C"/>
    <w:rsid w:val="00696EF2"/>
    <w:rsid w:val="006A0C54"/>
    <w:rsid w:val="006A3E54"/>
    <w:rsid w:val="006A7C53"/>
    <w:rsid w:val="006B140A"/>
    <w:rsid w:val="006B309C"/>
    <w:rsid w:val="006B4316"/>
    <w:rsid w:val="006B727F"/>
    <w:rsid w:val="006C1B57"/>
    <w:rsid w:val="006C6D3A"/>
    <w:rsid w:val="006C7B36"/>
    <w:rsid w:val="006C7B7F"/>
    <w:rsid w:val="006D19E8"/>
    <w:rsid w:val="006D7768"/>
    <w:rsid w:val="006E04B5"/>
    <w:rsid w:val="006E330C"/>
    <w:rsid w:val="006E3DD8"/>
    <w:rsid w:val="006E793F"/>
    <w:rsid w:val="006F0154"/>
    <w:rsid w:val="006F608D"/>
    <w:rsid w:val="006F7944"/>
    <w:rsid w:val="00704121"/>
    <w:rsid w:val="00705BB5"/>
    <w:rsid w:val="0071326F"/>
    <w:rsid w:val="007153D7"/>
    <w:rsid w:val="00720ED4"/>
    <w:rsid w:val="00722736"/>
    <w:rsid w:val="0073402D"/>
    <w:rsid w:val="00735840"/>
    <w:rsid w:val="0074488F"/>
    <w:rsid w:val="00745AA8"/>
    <w:rsid w:val="007503E0"/>
    <w:rsid w:val="007510EC"/>
    <w:rsid w:val="0075233C"/>
    <w:rsid w:val="0075256A"/>
    <w:rsid w:val="00752DCD"/>
    <w:rsid w:val="007569DE"/>
    <w:rsid w:val="0075723C"/>
    <w:rsid w:val="0076146A"/>
    <w:rsid w:val="0076350E"/>
    <w:rsid w:val="00763F36"/>
    <w:rsid w:val="00775BDF"/>
    <w:rsid w:val="0077614D"/>
    <w:rsid w:val="00782C8F"/>
    <w:rsid w:val="00785F78"/>
    <w:rsid w:val="0078659D"/>
    <w:rsid w:val="007869EC"/>
    <w:rsid w:val="00791ED8"/>
    <w:rsid w:val="007A1E58"/>
    <w:rsid w:val="007A5C7E"/>
    <w:rsid w:val="007A63F9"/>
    <w:rsid w:val="007A69A9"/>
    <w:rsid w:val="007A6E2F"/>
    <w:rsid w:val="007B0DF2"/>
    <w:rsid w:val="007B3BC5"/>
    <w:rsid w:val="007B6F8D"/>
    <w:rsid w:val="007C1832"/>
    <w:rsid w:val="007C3775"/>
    <w:rsid w:val="007D03DF"/>
    <w:rsid w:val="007D071A"/>
    <w:rsid w:val="007D4953"/>
    <w:rsid w:val="007D50F4"/>
    <w:rsid w:val="007D7173"/>
    <w:rsid w:val="007E0DE5"/>
    <w:rsid w:val="007E1216"/>
    <w:rsid w:val="007E4CD4"/>
    <w:rsid w:val="007E530C"/>
    <w:rsid w:val="007F0E8E"/>
    <w:rsid w:val="007F2149"/>
    <w:rsid w:val="007F4E00"/>
    <w:rsid w:val="008048CF"/>
    <w:rsid w:val="008079DD"/>
    <w:rsid w:val="0081130F"/>
    <w:rsid w:val="00813095"/>
    <w:rsid w:val="008145AD"/>
    <w:rsid w:val="008146B2"/>
    <w:rsid w:val="00824430"/>
    <w:rsid w:val="00825B1F"/>
    <w:rsid w:val="00827D55"/>
    <w:rsid w:val="00832C84"/>
    <w:rsid w:val="00840EDD"/>
    <w:rsid w:val="0084255F"/>
    <w:rsid w:val="00846FB1"/>
    <w:rsid w:val="00854FB3"/>
    <w:rsid w:val="00857FCA"/>
    <w:rsid w:val="00860F13"/>
    <w:rsid w:val="0086199C"/>
    <w:rsid w:val="00861F8B"/>
    <w:rsid w:val="0086561F"/>
    <w:rsid w:val="00865A7A"/>
    <w:rsid w:val="00865FE1"/>
    <w:rsid w:val="0087069B"/>
    <w:rsid w:val="00874542"/>
    <w:rsid w:val="008748C7"/>
    <w:rsid w:val="00874C65"/>
    <w:rsid w:val="0087521A"/>
    <w:rsid w:val="008808C0"/>
    <w:rsid w:val="00882255"/>
    <w:rsid w:val="00890BDE"/>
    <w:rsid w:val="00892AD3"/>
    <w:rsid w:val="00894155"/>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15FC"/>
    <w:rsid w:val="008D5521"/>
    <w:rsid w:val="008D555F"/>
    <w:rsid w:val="008D625D"/>
    <w:rsid w:val="008D650E"/>
    <w:rsid w:val="008D6F9F"/>
    <w:rsid w:val="008E673E"/>
    <w:rsid w:val="008E67D1"/>
    <w:rsid w:val="008E6A41"/>
    <w:rsid w:val="008E6FC1"/>
    <w:rsid w:val="008F15D5"/>
    <w:rsid w:val="008F20EA"/>
    <w:rsid w:val="008F3D27"/>
    <w:rsid w:val="008F79C4"/>
    <w:rsid w:val="00903990"/>
    <w:rsid w:val="009042A8"/>
    <w:rsid w:val="00904950"/>
    <w:rsid w:val="00905D09"/>
    <w:rsid w:val="009130C2"/>
    <w:rsid w:val="0091442E"/>
    <w:rsid w:val="00915E5E"/>
    <w:rsid w:val="009166B8"/>
    <w:rsid w:val="00916FA5"/>
    <w:rsid w:val="00917915"/>
    <w:rsid w:val="00920684"/>
    <w:rsid w:val="009216E6"/>
    <w:rsid w:val="009224EC"/>
    <w:rsid w:val="00922DB7"/>
    <w:rsid w:val="0092684A"/>
    <w:rsid w:val="00927654"/>
    <w:rsid w:val="00937FAB"/>
    <w:rsid w:val="0094094D"/>
    <w:rsid w:val="00942AB8"/>
    <w:rsid w:val="0094548C"/>
    <w:rsid w:val="00945CAF"/>
    <w:rsid w:val="00946AC9"/>
    <w:rsid w:val="00947448"/>
    <w:rsid w:val="00952B38"/>
    <w:rsid w:val="00952C99"/>
    <w:rsid w:val="009619EB"/>
    <w:rsid w:val="00965333"/>
    <w:rsid w:val="009712EF"/>
    <w:rsid w:val="009727BF"/>
    <w:rsid w:val="00973321"/>
    <w:rsid w:val="00975C2E"/>
    <w:rsid w:val="009770EB"/>
    <w:rsid w:val="00977270"/>
    <w:rsid w:val="009824F2"/>
    <w:rsid w:val="00983080"/>
    <w:rsid w:val="00983348"/>
    <w:rsid w:val="00983FA0"/>
    <w:rsid w:val="00986AA3"/>
    <w:rsid w:val="00993B24"/>
    <w:rsid w:val="00995DD1"/>
    <w:rsid w:val="0099611F"/>
    <w:rsid w:val="009A083F"/>
    <w:rsid w:val="009A135C"/>
    <w:rsid w:val="009A67E7"/>
    <w:rsid w:val="009C0AA4"/>
    <w:rsid w:val="009C603A"/>
    <w:rsid w:val="009C74CD"/>
    <w:rsid w:val="009D048F"/>
    <w:rsid w:val="009D162F"/>
    <w:rsid w:val="009D23FF"/>
    <w:rsid w:val="009D401F"/>
    <w:rsid w:val="009D5B42"/>
    <w:rsid w:val="009D68FA"/>
    <w:rsid w:val="009E1E4F"/>
    <w:rsid w:val="009E32CF"/>
    <w:rsid w:val="009E4261"/>
    <w:rsid w:val="009E4FC2"/>
    <w:rsid w:val="009F44AE"/>
    <w:rsid w:val="009F59B9"/>
    <w:rsid w:val="00A02529"/>
    <w:rsid w:val="00A02EF2"/>
    <w:rsid w:val="00A04D5E"/>
    <w:rsid w:val="00A10DDF"/>
    <w:rsid w:val="00A11172"/>
    <w:rsid w:val="00A1219E"/>
    <w:rsid w:val="00A12E55"/>
    <w:rsid w:val="00A168D7"/>
    <w:rsid w:val="00A20F81"/>
    <w:rsid w:val="00A22266"/>
    <w:rsid w:val="00A2411A"/>
    <w:rsid w:val="00A242E4"/>
    <w:rsid w:val="00A24437"/>
    <w:rsid w:val="00A24CA0"/>
    <w:rsid w:val="00A25D4B"/>
    <w:rsid w:val="00A33601"/>
    <w:rsid w:val="00A3362A"/>
    <w:rsid w:val="00A34251"/>
    <w:rsid w:val="00A35278"/>
    <w:rsid w:val="00A36257"/>
    <w:rsid w:val="00A37045"/>
    <w:rsid w:val="00A37B70"/>
    <w:rsid w:val="00A40AC7"/>
    <w:rsid w:val="00A435C7"/>
    <w:rsid w:val="00A55607"/>
    <w:rsid w:val="00A569B2"/>
    <w:rsid w:val="00A60CDA"/>
    <w:rsid w:val="00A611A4"/>
    <w:rsid w:val="00A61363"/>
    <w:rsid w:val="00A61F09"/>
    <w:rsid w:val="00A637ED"/>
    <w:rsid w:val="00A63E1A"/>
    <w:rsid w:val="00A643DC"/>
    <w:rsid w:val="00A6475D"/>
    <w:rsid w:val="00A65BE8"/>
    <w:rsid w:val="00A6695B"/>
    <w:rsid w:val="00A72703"/>
    <w:rsid w:val="00A727F6"/>
    <w:rsid w:val="00A72E71"/>
    <w:rsid w:val="00A76432"/>
    <w:rsid w:val="00A770C0"/>
    <w:rsid w:val="00A84FC6"/>
    <w:rsid w:val="00A8528E"/>
    <w:rsid w:val="00A85F83"/>
    <w:rsid w:val="00A90BD9"/>
    <w:rsid w:val="00A9101B"/>
    <w:rsid w:val="00A92F72"/>
    <w:rsid w:val="00A94A49"/>
    <w:rsid w:val="00A94C82"/>
    <w:rsid w:val="00A95C5E"/>
    <w:rsid w:val="00AA1815"/>
    <w:rsid w:val="00AA1D3E"/>
    <w:rsid w:val="00AA20E7"/>
    <w:rsid w:val="00AA39F9"/>
    <w:rsid w:val="00AA79D3"/>
    <w:rsid w:val="00AB0931"/>
    <w:rsid w:val="00AB4DC4"/>
    <w:rsid w:val="00AB5C9B"/>
    <w:rsid w:val="00AC0159"/>
    <w:rsid w:val="00AC0276"/>
    <w:rsid w:val="00AC0312"/>
    <w:rsid w:val="00AC0449"/>
    <w:rsid w:val="00AC0DC3"/>
    <w:rsid w:val="00AD035F"/>
    <w:rsid w:val="00AD2497"/>
    <w:rsid w:val="00AD5C04"/>
    <w:rsid w:val="00AD5EB4"/>
    <w:rsid w:val="00AD667B"/>
    <w:rsid w:val="00AE63E2"/>
    <w:rsid w:val="00AE7976"/>
    <w:rsid w:val="00AF04C9"/>
    <w:rsid w:val="00AF19A2"/>
    <w:rsid w:val="00AF1DC4"/>
    <w:rsid w:val="00AF26B6"/>
    <w:rsid w:val="00AF2979"/>
    <w:rsid w:val="00AF3189"/>
    <w:rsid w:val="00AF5BF8"/>
    <w:rsid w:val="00B0375C"/>
    <w:rsid w:val="00B052CB"/>
    <w:rsid w:val="00B156C3"/>
    <w:rsid w:val="00B15F67"/>
    <w:rsid w:val="00B1624F"/>
    <w:rsid w:val="00B20E25"/>
    <w:rsid w:val="00B20F5D"/>
    <w:rsid w:val="00B21184"/>
    <w:rsid w:val="00B224C5"/>
    <w:rsid w:val="00B325CD"/>
    <w:rsid w:val="00B36C0F"/>
    <w:rsid w:val="00B37793"/>
    <w:rsid w:val="00B41203"/>
    <w:rsid w:val="00B43618"/>
    <w:rsid w:val="00B4561E"/>
    <w:rsid w:val="00B4768D"/>
    <w:rsid w:val="00B518E5"/>
    <w:rsid w:val="00B51E1F"/>
    <w:rsid w:val="00B52601"/>
    <w:rsid w:val="00B57032"/>
    <w:rsid w:val="00B60222"/>
    <w:rsid w:val="00B625B0"/>
    <w:rsid w:val="00B62CFB"/>
    <w:rsid w:val="00B662F5"/>
    <w:rsid w:val="00B7000C"/>
    <w:rsid w:val="00B760D5"/>
    <w:rsid w:val="00B77495"/>
    <w:rsid w:val="00B83B2C"/>
    <w:rsid w:val="00B92049"/>
    <w:rsid w:val="00B93E1A"/>
    <w:rsid w:val="00B94740"/>
    <w:rsid w:val="00B95002"/>
    <w:rsid w:val="00B97F75"/>
    <w:rsid w:val="00BA0A4F"/>
    <w:rsid w:val="00BA1CAE"/>
    <w:rsid w:val="00BA33BB"/>
    <w:rsid w:val="00BA4830"/>
    <w:rsid w:val="00BA6E22"/>
    <w:rsid w:val="00BB1460"/>
    <w:rsid w:val="00BB362C"/>
    <w:rsid w:val="00BB3C27"/>
    <w:rsid w:val="00BB5942"/>
    <w:rsid w:val="00BC0A03"/>
    <w:rsid w:val="00BC4A42"/>
    <w:rsid w:val="00BC5BB4"/>
    <w:rsid w:val="00BD4139"/>
    <w:rsid w:val="00BE059A"/>
    <w:rsid w:val="00BE1981"/>
    <w:rsid w:val="00BE2DA6"/>
    <w:rsid w:val="00BE2E86"/>
    <w:rsid w:val="00BE320B"/>
    <w:rsid w:val="00BE3908"/>
    <w:rsid w:val="00BE56E9"/>
    <w:rsid w:val="00BE63CF"/>
    <w:rsid w:val="00BE7014"/>
    <w:rsid w:val="00BE7991"/>
    <w:rsid w:val="00BF25C7"/>
    <w:rsid w:val="00C009B7"/>
    <w:rsid w:val="00C02B8F"/>
    <w:rsid w:val="00C03002"/>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4608E"/>
    <w:rsid w:val="00C4749E"/>
    <w:rsid w:val="00C512B2"/>
    <w:rsid w:val="00C53B5D"/>
    <w:rsid w:val="00C571FB"/>
    <w:rsid w:val="00C57381"/>
    <w:rsid w:val="00C61D56"/>
    <w:rsid w:val="00C62B69"/>
    <w:rsid w:val="00C644B7"/>
    <w:rsid w:val="00C64564"/>
    <w:rsid w:val="00C66702"/>
    <w:rsid w:val="00C66D6F"/>
    <w:rsid w:val="00C71377"/>
    <w:rsid w:val="00C73C87"/>
    <w:rsid w:val="00C74B6F"/>
    <w:rsid w:val="00C82DCB"/>
    <w:rsid w:val="00C87EF3"/>
    <w:rsid w:val="00C9015F"/>
    <w:rsid w:val="00C912F9"/>
    <w:rsid w:val="00C91B22"/>
    <w:rsid w:val="00C9241B"/>
    <w:rsid w:val="00C9370B"/>
    <w:rsid w:val="00C96DDF"/>
    <w:rsid w:val="00C97569"/>
    <w:rsid w:val="00CA199D"/>
    <w:rsid w:val="00CA4D9C"/>
    <w:rsid w:val="00CB05A7"/>
    <w:rsid w:val="00CB06A4"/>
    <w:rsid w:val="00CB325B"/>
    <w:rsid w:val="00CB3EFF"/>
    <w:rsid w:val="00CB64FF"/>
    <w:rsid w:val="00CB7078"/>
    <w:rsid w:val="00CB711D"/>
    <w:rsid w:val="00CB78E0"/>
    <w:rsid w:val="00CB7902"/>
    <w:rsid w:val="00CC014B"/>
    <w:rsid w:val="00CC0E81"/>
    <w:rsid w:val="00CC194B"/>
    <w:rsid w:val="00CC21D8"/>
    <w:rsid w:val="00CC3369"/>
    <w:rsid w:val="00CC5343"/>
    <w:rsid w:val="00CC59D7"/>
    <w:rsid w:val="00CC6338"/>
    <w:rsid w:val="00CC78DE"/>
    <w:rsid w:val="00CD04D9"/>
    <w:rsid w:val="00CD0F93"/>
    <w:rsid w:val="00CD6D6E"/>
    <w:rsid w:val="00CD6F23"/>
    <w:rsid w:val="00CF640B"/>
    <w:rsid w:val="00CF6B5A"/>
    <w:rsid w:val="00D01563"/>
    <w:rsid w:val="00D027AF"/>
    <w:rsid w:val="00D0323E"/>
    <w:rsid w:val="00D06652"/>
    <w:rsid w:val="00D071DC"/>
    <w:rsid w:val="00D07FA6"/>
    <w:rsid w:val="00D16ADF"/>
    <w:rsid w:val="00D17C53"/>
    <w:rsid w:val="00D17D57"/>
    <w:rsid w:val="00D2341D"/>
    <w:rsid w:val="00D252DA"/>
    <w:rsid w:val="00D25E0E"/>
    <w:rsid w:val="00D27E8C"/>
    <w:rsid w:val="00D302EB"/>
    <w:rsid w:val="00D31679"/>
    <w:rsid w:val="00D320C8"/>
    <w:rsid w:val="00D330B6"/>
    <w:rsid w:val="00D3672F"/>
    <w:rsid w:val="00D40ABA"/>
    <w:rsid w:val="00D40FE2"/>
    <w:rsid w:val="00D440FA"/>
    <w:rsid w:val="00D44BCF"/>
    <w:rsid w:val="00D46E73"/>
    <w:rsid w:val="00D4729E"/>
    <w:rsid w:val="00D47ABE"/>
    <w:rsid w:val="00D5548D"/>
    <w:rsid w:val="00D55CB2"/>
    <w:rsid w:val="00D56572"/>
    <w:rsid w:val="00D60F81"/>
    <w:rsid w:val="00D63951"/>
    <w:rsid w:val="00D63BF2"/>
    <w:rsid w:val="00D67348"/>
    <w:rsid w:val="00D70A26"/>
    <w:rsid w:val="00D73BB4"/>
    <w:rsid w:val="00D75FEC"/>
    <w:rsid w:val="00D76B98"/>
    <w:rsid w:val="00D82E63"/>
    <w:rsid w:val="00D835A0"/>
    <w:rsid w:val="00D86905"/>
    <w:rsid w:val="00D86F2C"/>
    <w:rsid w:val="00D94301"/>
    <w:rsid w:val="00D94912"/>
    <w:rsid w:val="00D96248"/>
    <w:rsid w:val="00DA0680"/>
    <w:rsid w:val="00DA36F6"/>
    <w:rsid w:val="00DA48F0"/>
    <w:rsid w:val="00DB0C8D"/>
    <w:rsid w:val="00DB3660"/>
    <w:rsid w:val="00DB6AF2"/>
    <w:rsid w:val="00DC1599"/>
    <w:rsid w:val="00DC1611"/>
    <w:rsid w:val="00DD3C53"/>
    <w:rsid w:val="00DD6B73"/>
    <w:rsid w:val="00DE745D"/>
    <w:rsid w:val="00DF0774"/>
    <w:rsid w:val="00DF1036"/>
    <w:rsid w:val="00DF4644"/>
    <w:rsid w:val="00DF68F6"/>
    <w:rsid w:val="00DF69B2"/>
    <w:rsid w:val="00DF7A83"/>
    <w:rsid w:val="00E012B4"/>
    <w:rsid w:val="00E05451"/>
    <w:rsid w:val="00E05651"/>
    <w:rsid w:val="00E100F6"/>
    <w:rsid w:val="00E11BA5"/>
    <w:rsid w:val="00E17CBD"/>
    <w:rsid w:val="00E20425"/>
    <w:rsid w:val="00E21768"/>
    <w:rsid w:val="00E25DCB"/>
    <w:rsid w:val="00E2613B"/>
    <w:rsid w:val="00E27B66"/>
    <w:rsid w:val="00E313DF"/>
    <w:rsid w:val="00E330E0"/>
    <w:rsid w:val="00E36C70"/>
    <w:rsid w:val="00E4156E"/>
    <w:rsid w:val="00E44D61"/>
    <w:rsid w:val="00E453F2"/>
    <w:rsid w:val="00E460AD"/>
    <w:rsid w:val="00E509FF"/>
    <w:rsid w:val="00E6013F"/>
    <w:rsid w:val="00E61925"/>
    <w:rsid w:val="00E6363B"/>
    <w:rsid w:val="00E65C0E"/>
    <w:rsid w:val="00E65FB9"/>
    <w:rsid w:val="00E730FC"/>
    <w:rsid w:val="00E74483"/>
    <w:rsid w:val="00E746F0"/>
    <w:rsid w:val="00E809B9"/>
    <w:rsid w:val="00E82A15"/>
    <w:rsid w:val="00E85445"/>
    <w:rsid w:val="00E87589"/>
    <w:rsid w:val="00E914E0"/>
    <w:rsid w:val="00E938FF"/>
    <w:rsid w:val="00E93DFE"/>
    <w:rsid w:val="00EA059C"/>
    <w:rsid w:val="00EA2124"/>
    <w:rsid w:val="00EA2B12"/>
    <w:rsid w:val="00EA34DC"/>
    <w:rsid w:val="00EA456C"/>
    <w:rsid w:val="00EA5017"/>
    <w:rsid w:val="00EA6BED"/>
    <w:rsid w:val="00EB14F0"/>
    <w:rsid w:val="00EB3844"/>
    <w:rsid w:val="00EB3AC5"/>
    <w:rsid w:val="00EB5A9F"/>
    <w:rsid w:val="00EC573F"/>
    <w:rsid w:val="00EC5C8D"/>
    <w:rsid w:val="00ED106C"/>
    <w:rsid w:val="00ED2D34"/>
    <w:rsid w:val="00ED4805"/>
    <w:rsid w:val="00ED57F6"/>
    <w:rsid w:val="00ED6C51"/>
    <w:rsid w:val="00ED6DA1"/>
    <w:rsid w:val="00EF0AF8"/>
    <w:rsid w:val="00EF207D"/>
    <w:rsid w:val="00EF4258"/>
    <w:rsid w:val="00EF6D31"/>
    <w:rsid w:val="00F02237"/>
    <w:rsid w:val="00F046F1"/>
    <w:rsid w:val="00F072E2"/>
    <w:rsid w:val="00F079A6"/>
    <w:rsid w:val="00F10236"/>
    <w:rsid w:val="00F15811"/>
    <w:rsid w:val="00F22423"/>
    <w:rsid w:val="00F24C72"/>
    <w:rsid w:val="00F30267"/>
    <w:rsid w:val="00F31D22"/>
    <w:rsid w:val="00F348B2"/>
    <w:rsid w:val="00F34BF0"/>
    <w:rsid w:val="00F34ED8"/>
    <w:rsid w:val="00F4095A"/>
    <w:rsid w:val="00F452CC"/>
    <w:rsid w:val="00F45845"/>
    <w:rsid w:val="00F46344"/>
    <w:rsid w:val="00F50189"/>
    <w:rsid w:val="00F508FC"/>
    <w:rsid w:val="00F510B7"/>
    <w:rsid w:val="00F53189"/>
    <w:rsid w:val="00F53571"/>
    <w:rsid w:val="00F54044"/>
    <w:rsid w:val="00F576E7"/>
    <w:rsid w:val="00F73D1C"/>
    <w:rsid w:val="00F763FC"/>
    <w:rsid w:val="00F76B4A"/>
    <w:rsid w:val="00F772C1"/>
    <w:rsid w:val="00F8026D"/>
    <w:rsid w:val="00F80E40"/>
    <w:rsid w:val="00F8245F"/>
    <w:rsid w:val="00F82E40"/>
    <w:rsid w:val="00F91629"/>
    <w:rsid w:val="00F91E2A"/>
    <w:rsid w:val="00F96C39"/>
    <w:rsid w:val="00F96E41"/>
    <w:rsid w:val="00FA153F"/>
    <w:rsid w:val="00FA1D78"/>
    <w:rsid w:val="00FA1F7E"/>
    <w:rsid w:val="00FA280F"/>
    <w:rsid w:val="00FA5289"/>
    <w:rsid w:val="00FA6213"/>
    <w:rsid w:val="00FB2186"/>
    <w:rsid w:val="00FB22C8"/>
    <w:rsid w:val="00FB274F"/>
    <w:rsid w:val="00FB50B6"/>
    <w:rsid w:val="00FB7E03"/>
    <w:rsid w:val="00FD0133"/>
    <w:rsid w:val="00FD25FE"/>
    <w:rsid w:val="00FD2C9E"/>
    <w:rsid w:val="00FD6206"/>
    <w:rsid w:val="00FE1318"/>
    <w:rsid w:val="00FE1C1D"/>
    <w:rsid w:val="00FE208F"/>
    <w:rsid w:val="00FE54CD"/>
    <w:rsid w:val="00FE6DF6"/>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1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link w:val="Heading1Char"/>
    <w:qFormat/>
    <w:rsid w:val="00F96E41"/>
    <w:pPr>
      <w:keepNext/>
      <w:spacing w:before="240" w:after="240"/>
      <w:outlineLvl w:val="0"/>
    </w:pPr>
    <w:rPr>
      <w:rFonts w:cs="Arial"/>
      <w:b/>
      <w:bCs/>
      <w:caps/>
      <w:kern w:val="32"/>
      <w:szCs w:val="32"/>
      <w:u w:val="single"/>
      <w:lang w:eastAsia="fr-FR"/>
    </w:rPr>
  </w:style>
  <w:style w:type="paragraph" w:styleId="Heading2">
    <w:name w:val="heading 2"/>
    <w:basedOn w:val="Normal"/>
    <w:next w:val="corpsdedcision"/>
    <w:qFormat/>
    <w:rsid w:val="0047680F"/>
    <w:pPr>
      <w:keepNext/>
      <w:spacing w:before="240" w:after="240"/>
      <w:outlineLvl w:val="1"/>
    </w:pPr>
    <w:rPr>
      <w:rFonts w:cs="Arial"/>
      <w:bCs/>
      <w:iCs/>
      <w:caps/>
      <w:szCs w:val="28"/>
      <w:lang w:eastAsia="fr-FR"/>
    </w:rPr>
  </w:style>
  <w:style w:type="paragraph" w:styleId="Heading3">
    <w:name w:val="heading 3"/>
    <w:basedOn w:val="Normal"/>
    <w:next w:val="corpsdedcision"/>
    <w:qFormat/>
    <w:rsid w:val="00EA456C"/>
    <w:pPr>
      <w:keepNext/>
      <w:spacing w:before="240" w:after="240"/>
      <w:outlineLvl w:val="2"/>
    </w:pPr>
    <w:rPr>
      <w:rFonts w:cs="Arial"/>
      <w:b/>
      <w:szCs w:val="24"/>
      <w:lang w:eastAsia="fr-FR"/>
    </w:rPr>
  </w:style>
  <w:style w:type="paragraph" w:styleId="Heading4">
    <w:name w:val="heading 4"/>
    <w:basedOn w:val="Normal"/>
    <w:next w:val="corpsdedcision"/>
    <w:qFormat/>
    <w:rsid w:val="008F15D5"/>
    <w:pPr>
      <w:keepNext/>
      <w:spacing w:before="240" w:after="240"/>
      <w:outlineLvl w:val="3"/>
    </w:pPr>
    <w:rPr>
      <w:rFonts w:cs="Arial"/>
      <w:szCs w:val="24"/>
      <w:u w:val="single"/>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qFormat/>
    <w:rPr>
      <w:rFonts w:ascii="Arial" w:hAnsi="Arial"/>
      <w:vertAlign w:val="superscript"/>
    </w:rPr>
  </w:style>
  <w:style w:type="paragraph" w:customStyle="1" w:styleId="citation">
    <w:name w:val="citation"/>
    <w:basedOn w:val="Normal"/>
    <w:link w:val="citationCar"/>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aliases w:val="Note de bas de page art 65,Note de bas de page + 10pt,Car,Car Car Car Car Car,Car Car Car Car,Car Car Car,Car Car Car Car Car Car Car Car Car,Car Car, Car, Car Car Car Car Car, Car Car Car Car, Car Car Car"/>
    <w:basedOn w:val="Normal"/>
    <w:link w:val="FootnoteTextChar1"/>
  </w:style>
  <w:style w:type="paragraph" w:styleId="Header">
    <w:name w:val="header"/>
    <w:basedOn w:val="Normal"/>
    <w:pPr>
      <w:tabs>
        <w:tab w:val="center" w:pos="4320"/>
        <w:tab w:val="right" w:pos="8640"/>
      </w:tabs>
    </w:pPr>
  </w:style>
  <w:style w:type="character" w:styleId="PageNumber">
    <w:name w:val="page number"/>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1">
    <w:name w:val="Footnote Text Char1"/>
    <w:aliases w:val="Note de bas de page art 65 Char,Note de bas de page + 10pt Char,Car Char,Car Car Car Car Car Char,Car Car Car Car Char,Car Car Car Char,Car Car Car Car Car Car Car Car Car Char,Car Car Char, Car Char, Car Car Car Car Car Char"/>
    <w:link w:val="FootnoteText"/>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Heading1Char">
    <w:name w:val="Heading 1 Char"/>
    <w:link w:val="Heading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Hyperlink">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ListParagraph">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locked/>
    <w:rsid w:val="00516BCB"/>
    <w:rPr>
      <w:rFonts w:ascii="Arial" w:hAnsi="Arial"/>
      <w:sz w:val="24"/>
    </w:rPr>
  </w:style>
  <w:style w:type="character" w:customStyle="1" w:styleId="citationCar">
    <w:name w:val="citation Car"/>
    <w:link w:val="citation"/>
    <w:rsid w:val="00A61363"/>
    <w:rPr>
      <w:rFonts w:ascii="Arial" w:hAnsi="Arial"/>
    </w:rPr>
  </w:style>
  <w:style w:type="character" w:customStyle="1" w:styleId="former-anchor2">
    <w:name w:val="former-anchor2"/>
    <w:basedOn w:val="DefaultParagraphFont"/>
    <w:rsid w:val="000A570C"/>
  </w:style>
  <w:style w:type="paragraph" w:styleId="Revision">
    <w:name w:val="Revision"/>
    <w:hidden/>
    <w:uiPriority w:val="99"/>
    <w:semiHidden/>
    <w:rsid w:val="0098334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2563</Words>
  <Characters>14612</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2026-06-12T18:30:00Z</dcterms:created>
  <dcterms:modified xsi:type="dcterms:W3CDTF">2026-06-12T18:30:00Z</dcterms:modified>
</cp:coreProperties>
</file>