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130798B1" w14:textId="77777777">
        <w:trPr>
          <w:cantSplit/>
        </w:trPr>
        <w:tc>
          <w:tcPr>
            <w:tcW w:w="4795" w:type="dxa"/>
          </w:tcPr>
          <w:p w14:paraId="74A461AE" w14:textId="77777777" w:rsidR="008A7FD1" w:rsidRPr="008B5859" w:rsidRDefault="008B5859" w:rsidP="008B5859">
            <w:pPr>
              <w:pStyle w:val="zSoquijdatRepertorie"/>
              <w:rPr>
                <w:rFonts w:cs="Arial"/>
              </w:rPr>
            </w:pPr>
            <w:r>
              <w:rPr>
                <w:rFonts w:cs="Arial"/>
              </w:rPr>
              <w:t>Chalifoux</w:t>
            </w:r>
          </w:p>
        </w:tc>
        <w:tc>
          <w:tcPr>
            <w:tcW w:w="2477" w:type="dxa"/>
          </w:tcPr>
          <w:p w14:paraId="61444493" w14:textId="77777777" w:rsidR="008A7FD1" w:rsidRPr="00DC0BD0" w:rsidRDefault="00DC0BD0" w:rsidP="00DC0BD0">
            <w:pPr>
              <w:pStyle w:val="zSoquijdatRefNeutre"/>
              <w:rPr>
                <w:rFonts w:cs="Arial"/>
              </w:rPr>
            </w:pPr>
            <w:r w:rsidRPr="00DC0BD0">
              <w:rPr>
                <w:rFonts w:cs="Arial"/>
              </w:rPr>
              <w:t>2021 QCTAT 5625</w:t>
            </w:r>
          </w:p>
        </w:tc>
      </w:tr>
    </w:tbl>
    <w:p w14:paraId="25797740"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14:paraId="23BBFF24" w14:textId="77777777" w:rsidTr="002A374B">
        <w:trPr>
          <w:cantSplit/>
        </w:trPr>
        <w:tc>
          <w:tcPr>
            <w:tcW w:w="9568" w:type="dxa"/>
            <w:gridSpan w:val="4"/>
          </w:tcPr>
          <w:p w14:paraId="3FE08786" w14:textId="77777777" w:rsidR="00C74B6F" w:rsidRPr="00BE1981" w:rsidRDefault="00C74B6F">
            <w:pPr>
              <w:rPr>
                <w:szCs w:val="24"/>
              </w:rPr>
            </w:pPr>
          </w:p>
        </w:tc>
      </w:tr>
      <w:tr w:rsidR="00C74B6F" w14:paraId="3D7EAD1A" w14:textId="77777777" w:rsidTr="002A374B">
        <w:trPr>
          <w:cantSplit/>
        </w:trPr>
        <w:tc>
          <w:tcPr>
            <w:tcW w:w="9568" w:type="dxa"/>
            <w:gridSpan w:val="4"/>
            <w:vAlign w:val="center"/>
          </w:tcPr>
          <w:p w14:paraId="7E37CB49" w14:textId="77777777" w:rsidR="00C74B6F" w:rsidRPr="000E1320" w:rsidRDefault="000E1320">
            <w:pPr>
              <w:jc w:val="center"/>
              <w:rPr>
                <w:sz w:val="36"/>
                <w:szCs w:val="36"/>
              </w:rPr>
            </w:pPr>
            <w:r w:rsidRPr="000E1320">
              <w:rPr>
                <w:b/>
                <w:sz w:val="36"/>
                <w:szCs w:val="36"/>
              </w:rPr>
              <w:t>TRIBUNAL ADMINISTRATIF DU TRAVAIL</w:t>
            </w:r>
          </w:p>
        </w:tc>
      </w:tr>
      <w:tr w:rsidR="00C74B6F" w14:paraId="4A6E9FF4" w14:textId="77777777" w:rsidTr="002A374B">
        <w:trPr>
          <w:cantSplit/>
        </w:trPr>
        <w:tc>
          <w:tcPr>
            <w:tcW w:w="9568" w:type="dxa"/>
            <w:gridSpan w:val="4"/>
          </w:tcPr>
          <w:p w14:paraId="3FC38268" w14:textId="77777777" w:rsidR="00C74B6F" w:rsidRPr="00BE7014" w:rsidRDefault="006F0154" w:rsidP="009A67E7">
            <w:pPr>
              <w:pStyle w:val="zSoquijdatDivision"/>
            </w:pPr>
            <w:r w:rsidRPr="00BE7014">
              <w:t>(</w:t>
            </w:r>
            <w:r w:rsidR="00160F32" w:rsidRPr="00441ADA">
              <w:t>Division de la santé et de la sécurité du travail</w:t>
            </w:r>
            <w:r w:rsidRPr="00BE7014">
              <w:t>)</w:t>
            </w:r>
          </w:p>
        </w:tc>
      </w:tr>
      <w:tr w:rsidR="00C74B6F" w14:paraId="1117C1D2" w14:textId="77777777" w:rsidTr="002A374B">
        <w:trPr>
          <w:cantSplit/>
        </w:trPr>
        <w:tc>
          <w:tcPr>
            <w:tcW w:w="9568" w:type="dxa"/>
            <w:gridSpan w:val="4"/>
          </w:tcPr>
          <w:p w14:paraId="10FB3B1F" w14:textId="77777777" w:rsidR="002B2FC3" w:rsidRDefault="002B2FC3" w:rsidP="002B2FC3"/>
        </w:tc>
      </w:tr>
      <w:tr w:rsidR="00A84FC6" w14:paraId="7F3F3BE7" w14:textId="77777777" w:rsidTr="002A374B">
        <w:trPr>
          <w:cantSplit/>
        </w:trPr>
        <w:tc>
          <w:tcPr>
            <w:tcW w:w="9568" w:type="dxa"/>
            <w:gridSpan w:val="4"/>
          </w:tcPr>
          <w:p w14:paraId="5773598C" w14:textId="77777777" w:rsidR="00A84FC6" w:rsidRDefault="00A84FC6" w:rsidP="002B2FC3"/>
        </w:tc>
      </w:tr>
      <w:tr w:rsidR="00C74B6F" w14:paraId="0EF8E53E" w14:textId="77777777" w:rsidTr="005E654C">
        <w:tc>
          <w:tcPr>
            <w:tcW w:w="3614" w:type="dxa"/>
          </w:tcPr>
          <w:p w14:paraId="37EA0A46" w14:textId="77777777" w:rsidR="00C74B6F" w:rsidRDefault="0084255F">
            <w:bookmarkStart w:id="0" w:name="region" w:colFirst="1" w:colLast="1"/>
            <w:r>
              <w:t>Région :</w:t>
            </w:r>
          </w:p>
        </w:tc>
        <w:tc>
          <w:tcPr>
            <w:tcW w:w="5954" w:type="dxa"/>
            <w:gridSpan w:val="3"/>
          </w:tcPr>
          <w:p w14:paraId="2898F4ED" w14:textId="77777777" w:rsidR="00C74B6F" w:rsidRDefault="00160F32" w:rsidP="00F4095A">
            <w:pPr>
              <w:pStyle w:val="zSoquijdatGreffe"/>
            </w:pPr>
            <w:r>
              <w:t>Laurentides</w:t>
            </w:r>
          </w:p>
        </w:tc>
      </w:tr>
      <w:bookmarkEnd w:id="0"/>
      <w:tr w:rsidR="00C74B6F" w14:paraId="147CD631" w14:textId="77777777" w:rsidTr="002A374B">
        <w:trPr>
          <w:cantSplit/>
        </w:trPr>
        <w:tc>
          <w:tcPr>
            <w:tcW w:w="9568" w:type="dxa"/>
            <w:gridSpan w:val="4"/>
          </w:tcPr>
          <w:p w14:paraId="7D7F3763" w14:textId="77777777" w:rsidR="00C74B6F" w:rsidRDefault="00C74B6F"/>
        </w:tc>
      </w:tr>
      <w:tr w:rsidR="00C74B6F" w14:paraId="0770E707" w14:textId="77777777" w:rsidTr="005E654C">
        <w:tc>
          <w:tcPr>
            <w:tcW w:w="3614" w:type="dxa"/>
          </w:tcPr>
          <w:p w14:paraId="1431C7A2" w14:textId="77777777" w:rsidR="00C74B6F" w:rsidRDefault="0084255F">
            <w:bookmarkStart w:id="1" w:name="ref_dossier" w:colFirst="1" w:colLast="1"/>
            <w:r>
              <w:t>Dossier</w:t>
            </w:r>
            <w:bookmarkStart w:id="2" w:name="dossiers"/>
            <w:bookmarkEnd w:id="2"/>
            <w:r>
              <w:t> :</w:t>
            </w:r>
          </w:p>
        </w:tc>
        <w:tc>
          <w:tcPr>
            <w:tcW w:w="5954" w:type="dxa"/>
            <w:gridSpan w:val="3"/>
          </w:tcPr>
          <w:p w14:paraId="54C43D4F" w14:textId="77777777" w:rsidR="00C74B6F" w:rsidRDefault="00160F32" w:rsidP="00F4095A">
            <w:pPr>
              <w:pStyle w:val="zSoquijdatNoDossier"/>
            </w:pPr>
            <w:r>
              <w:t>1208451-64-2012</w:t>
            </w:r>
          </w:p>
        </w:tc>
      </w:tr>
      <w:bookmarkEnd w:id="1"/>
      <w:tr w:rsidR="00C74B6F" w14:paraId="0782B08C" w14:textId="77777777" w:rsidTr="002A374B">
        <w:trPr>
          <w:cantSplit/>
        </w:trPr>
        <w:tc>
          <w:tcPr>
            <w:tcW w:w="9568" w:type="dxa"/>
            <w:gridSpan w:val="4"/>
          </w:tcPr>
          <w:p w14:paraId="115BBD87" w14:textId="77777777" w:rsidR="00C74B6F" w:rsidRDefault="00D44BCF">
            <w:r>
              <w:fldChar w:fldCharType="begin"/>
            </w:r>
            <w:r>
              <w:instrText xml:space="preserve"> AUTOTEXTLIST  \* Upper  \* MERGEFORMAT </w:instrText>
            </w:r>
            <w:r>
              <w:fldChar w:fldCharType="end"/>
            </w:r>
          </w:p>
        </w:tc>
      </w:tr>
      <w:tr w:rsidR="00C74B6F" w14:paraId="6E49BCEB" w14:textId="77777777" w:rsidTr="005E654C">
        <w:tc>
          <w:tcPr>
            <w:tcW w:w="3614" w:type="dxa"/>
          </w:tcPr>
          <w:p w14:paraId="3BBBAFCB" w14:textId="77777777" w:rsidR="00C74B6F" w:rsidRDefault="008C79A7" w:rsidP="0045114F">
            <w:pPr>
              <w:ind w:right="46"/>
            </w:pPr>
            <w:r>
              <w:t xml:space="preserve">Dossier </w:t>
            </w:r>
            <w:r w:rsidR="00160F32" w:rsidRPr="00160F32">
              <w:rPr>
                <w:szCs w:val="24"/>
              </w:rPr>
              <w:t>CNESST</w:t>
            </w:r>
            <w:r w:rsidRPr="008C79A7">
              <w:rPr>
                <w:szCs w:val="24"/>
              </w:rPr>
              <w:t xml:space="preserve"> :</w:t>
            </w:r>
          </w:p>
        </w:tc>
        <w:tc>
          <w:tcPr>
            <w:tcW w:w="5954" w:type="dxa"/>
            <w:gridSpan w:val="3"/>
          </w:tcPr>
          <w:p w14:paraId="2A53DCC8" w14:textId="77777777" w:rsidR="00C74B6F" w:rsidRDefault="00160F32" w:rsidP="004D6CEA">
            <w:pPr>
              <w:pStyle w:val="zSoquijdatNCSST"/>
            </w:pPr>
            <w:r>
              <w:t>131558330</w:t>
            </w:r>
          </w:p>
        </w:tc>
      </w:tr>
      <w:tr w:rsidR="00C74B6F" w14:paraId="6F5931F5" w14:textId="77777777" w:rsidTr="002A374B">
        <w:trPr>
          <w:cantSplit/>
        </w:trPr>
        <w:tc>
          <w:tcPr>
            <w:tcW w:w="9568" w:type="dxa"/>
            <w:gridSpan w:val="4"/>
          </w:tcPr>
          <w:p w14:paraId="1DE18287" w14:textId="77777777" w:rsidR="00C74B6F" w:rsidRDefault="00C74B6F"/>
        </w:tc>
      </w:tr>
      <w:tr w:rsidR="00C74B6F" w14:paraId="30A2AC86" w14:textId="77777777" w:rsidTr="002A374B">
        <w:trPr>
          <w:cantSplit/>
        </w:trPr>
        <w:tc>
          <w:tcPr>
            <w:tcW w:w="9568" w:type="dxa"/>
            <w:gridSpan w:val="4"/>
          </w:tcPr>
          <w:p w14:paraId="4BDE77B1" w14:textId="77777777" w:rsidR="00C74B6F" w:rsidRDefault="00C74B6F"/>
        </w:tc>
      </w:tr>
      <w:tr w:rsidR="006E3DD8" w14:paraId="5E63126B" w14:textId="77777777" w:rsidTr="005E654C">
        <w:trPr>
          <w:cantSplit/>
        </w:trPr>
        <w:tc>
          <w:tcPr>
            <w:tcW w:w="3614" w:type="dxa"/>
          </w:tcPr>
          <w:p w14:paraId="6BC167BE" w14:textId="77777777" w:rsidR="006E3DD8" w:rsidRDefault="00160F32" w:rsidP="006E3DD8">
            <w:pPr>
              <w:tabs>
                <w:tab w:val="left" w:pos="2672"/>
              </w:tabs>
            </w:pPr>
            <w:r>
              <w:t>Saint-Jérôme</w:t>
            </w:r>
            <w:r w:rsidR="00C04E32">
              <w:t>,</w:t>
            </w:r>
          </w:p>
        </w:tc>
        <w:tc>
          <w:tcPr>
            <w:tcW w:w="5954" w:type="dxa"/>
            <w:gridSpan w:val="3"/>
          </w:tcPr>
          <w:p w14:paraId="75B5E6C5" w14:textId="77777777" w:rsidR="006E3DD8" w:rsidRDefault="00C04E32" w:rsidP="00572CC3">
            <w:pPr>
              <w:pStyle w:val="zSoquijdatDateJugement"/>
            </w:pPr>
            <w:proofErr w:type="gramStart"/>
            <w:r>
              <w:t>le</w:t>
            </w:r>
            <w:proofErr w:type="gramEnd"/>
            <w:r>
              <w:t xml:space="preserve"> </w:t>
            </w:r>
            <w:r w:rsidR="00160F32">
              <w:t>2</w:t>
            </w:r>
            <w:r w:rsidR="00572CC3">
              <w:t>4</w:t>
            </w:r>
            <w:r w:rsidR="00160F32">
              <w:t xml:space="preserve"> novembre 2021</w:t>
            </w:r>
          </w:p>
        </w:tc>
      </w:tr>
      <w:tr w:rsidR="00942AB8" w14:paraId="6F41F163" w14:textId="77777777" w:rsidTr="002A374B">
        <w:trPr>
          <w:cantSplit/>
        </w:trPr>
        <w:tc>
          <w:tcPr>
            <w:tcW w:w="9568" w:type="dxa"/>
            <w:gridSpan w:val="4"/>
          </w:tcPr>
          <w:p w14:paraId="19C680A5" w14:textId="77777777" w:rsidR="00942AB8" w:rsidRDefault="00942AB8" w:rsidP="00FA153F">
            <w:r>
              <w:t>______________________________________________________________________</w:t>
            </w:r>
          </w:p>
        </w:tc>
      </w:tr>
      <w:tr w:rsidR="00942AB8" w14:paraId="6B48E12A" w14:textId="77777777" w:rsidTr="002A374B">
        <w:trPr>
          <w:cantSplit/>
          <w:trHeight w:val="148"/>
        </w:trPr>
        <w:tc>
          <w:tcPr>
            <w:tcW w:w="9568" w:type="dxa"/>
            <w:gridSpan w:val="4"/>
          </w:tcPr>
          <w:p w14:paraId="4FD64CB0" w14:textId="77777777" w:rsidR="00942AB8" w:rsidRDefault="00942AB8" w:rsidP="00FA153F"/>
        </w:tc>
      </w:tr>
      <w:tr w:rsidR="0035375B" w14:paraId="51F17F4E" w14:textId="77777777" w:rsidTr="00A12E55">
        <w:trPr>
          <w:cantSplit/>
          <w:trHeight w:val="148"/>
        </w:trPr>
        <w:tc>
          <w:tcPr>
            <w:tcW w:w="5457" w:type="dxa"/>
            <w:gridSpan w:val="3"/>
          </w:tcPr>
          <w:p w14:paraId="65F2F14E" w14:textId="77777777" w:rsidR="0035375B" w:rsidRPr="00942AB8" w:rsidRDefault="0035375B" w:rsidP="00160F32">
            <w:pPr>
              <w:rPr>
                <w:b/>
                <w:bCs/>
              </w:rPr>
            </w:pPr>
            <w:bookmarkStart w:id="3" w:name="ref_commissaire" w:colFirst="1" w:colLast="1"/>
            <w:r w:rsidRPr="00942AB8">
              <w:rPr>
                <w:b/>
                <w:bCs/>
              </w:rPr>
              <w:t>DEVANT L</w:t>
            </w:r>
            <w:r w:rsidR="00160F32">
              <w:rPr>
                <w:b/>
                <w:bCs/>
              </w:rPr>
              <w:t>A</w:t>
            </w:r>
            <w:r w:rsidRPr="00942AB8">
              <w:rPr>
                <w:b/>
                <w:bCs/>
              </w:rPr>
              <w:t xml:space="preserve"> JUGE ADMINISTRATI</w:t>
            </w:r>
            <w:r w:rsidR="00160F32">
              <w:rPr>
                <w:b/>
                <w:bCs/>
              </w:rPr>
              <w:t>VE</w:t>
            </w:r>
            <w:r w:rsidRPr="00942AB8">
              <w:rPr>
                <w:b/>
                <w:bCs/>
              </w:rPr>
              <w:t> :</w:t>
            </w:r>
          </w:p>
        </w:tc>
        <w:tc>
          <w:tcPr>
            <w:tcW w:w="4111" w:type="dxa"/>
          </w:tcPr>
          <w:p w14:paraId="34203080" w14:textId="77777777" w:rsidR="0035375B" w:rsidRPr="00942AB8" w:rsidRDefault="00160F32" w:rsidP="005B5689">
            <w:pPr>
              <w:pStyle w:val="zSoquijdatJuge"/>
              <w:rPr>
                <w:bCs/>
              </w:rPr>
            </w:pPr>
            <w:r>
              <w:t>Isabelle Piché</w:t>
            </w:r>
          </w:p>
        </w:tc>
      </w:tr>
      <w:bookmarkEnd w:id="3"/>
      <w:tr w:rsidR="00942AB8" w14:paraId="7DC1BC03" w14:textId="77777777" w:rsidTr="002A374B">
        <w:trPr>
          <w:cantSplit/>
          <w:trHeight w:val="148"/>
        </w:trPr>
        <w:tc>
          <w:tcPr>
            <w:tcW w:w="9568" w:type="dxa"/>
            <w:gridSpan w:val="4"/>
          </w:tcPr>
          <w:p w14:paraId="38ADC740" w14:textId="77777777" w:rsidR="00942AB8" w:rsidRDefault="00942AB8" w:rsidP="00FA153F">
            <w:r>
              <w:t>______________________________________________________________________</w:t>
            </w:r>
          </w:p>
        </w:tc>
      </w:tr>
      <w:tr w:rsidR="00942AB8" w14:paraId="74B0CC1D" w14:textId="77777777" w:rsidTr="002A374B">
        <w:tc>
          <w:tcPr>
            <w:tcW w:w="9568" w:type="dxa"/>
            <w:gridSpan w:val="4"/>
          </w:tcPr>
          <w:p w14:paraId="0C56B029" w14:textId="77777777" w:rsidR="00942AB8" w:rsidRDefault="00942AB8"/>
        </w:tc>
      </w:tr>
      <w:tr w:rsidR="00942AB8" w14:paraId="79600797" w14:textId="77777777" w:rsidTr="00D40ABA">
        <w:tc>
          <w:tcPr>
            <w:tcW w:w="4748" w:type="dxa"/>
            <w:gridSpan w:val="2"/>
          </w:tcPr>
          <w:p w14:paraId="3D936FB8" w14:textId="77777777" w:rsidR="00942AB8" w:rsidRDefault="00942AB8">
            <w:bookmarkStart w:id="4" w:name="bloc_parties_gauche"/>
            <w:bookmarkEnd w:id="4"/>
          </w:p>
        </w:tc>
        <w:tc>
          <w:tcPr>
            <w:tcW w:w="4820" w:type="dxa"/>
            <w:gridSpan w:val="2"/>
          </w:tcPr>
          <w:p w14:paraId="5C31B0FF" w14:textId="77777777" w:rsidR="00942AB8" w:rsidRDefault="00942AB8"/>
        </w:tc>
      </w:tr>
      <w:tr w:rsidR="00942AB8" w14:paraId="0B4F3132" w14:textId="77777777" w:rsidTr="00D40ABA">
        <w:tc>
          <w:tcPr>
            <w:tcW w:w="4748" w:type="dxa"/>
            <w:gridSpan w:val="2"/>
          </w:tcPr>
          <w:p w14:paraId="74102DB4" w14:textId="77777777" w:rsidR="00942AB8" w:rsidRDefault="00160F32">
            <w:pPr>
              <w:pStyle w:val="zSoquijdatNomPartieDem"/>
              <w:rPr>
                <w:b/>
              </w:rPr>
            </w:pPr>
            <w:r>
              <w:rPr>
                <w:b/>
              </w:rPr>
              <w:t>Serge Chalifoux</w:t>
            </w:r>
          </w:p>
        </w:tc>
        <w:tc>
          <w:tcPr>
            <w:tcW w:w="4820" w:type="dxa"/>
            <w:gridSpan w:val="2"/>
          </w:tcPr>
          <w:p w14:paraId="2BB64A5A" w14:textId="77777777" w:rsidR="00942AB8" w:rsidRDefault="00942AB8"/>
        </w:tc>
      </w:tr>
      <w:tr w:rsidR="00942AB8" w14:paraId="3498AA7B" w14:textId="77777777" w:rsidTr="00D40ABA">
        <w:tc>
          <w:tcPr>
            <w:tcW w:w="4748" w:type="dxa"/>
            <w:gridSpan w:val="2"/>
          </w:tcPr>
          <w:p w14:paraId="781EFE1D" w14:textId="77777777" w:rsidR="00942AB8" w:rsidRDefault="00160F32" w:rsidP="007B0DF2">
            <w:pPr>
              <w:pStyle w:val="zSoquijdatQtePartieDem"/>
              <w:tabs>
                <w:tab w:val="left" w:pos="3539"/>
              </w:tabs>
              <w:ind w:left="708"/>
            </w:pPr>
            <w:bookmarkStart w:id="5" w:name="partie_demanderesse"/>
            <w:bookmarkEnd w:id="5"/>
            <w:r>
              <w:t>Partie demanderesse</w:t>
            </w:r>
          </w:p>
        </w:tc>
        <w:tc>
          <w:tcPr>
            <w:tcW w:w="4820" w:type="dxa"/>
            <w:gridSpan w:val="2"/>
          </w:tcPr>
          <w:p w14:paraId="58078C27" w14:textId="77777777" w:rsidR="00942AB8" w:rsidRDefault="00942AB8"/>
        </w:tc>
      </w:tr>
      <w:tr w:rsidR="00942AB8" w14:paraId="15069EB2" w14:textId="77777777" w:rsidTr="00D40ABA">
        <w:tc>
          <w:tcPr>
            <w:tcW w:w="4748" w:type="dxa"/>
            <w:gridSpan w:val="2"/>
          </w:tcPr>
          <w:p w14:paraId="5FD10341" w14:textId="77777777" w:rsidR="00942AB8" w:rsidRDefault="00942AB8"/>
        </w:tc>
        <w:tc>
          <w:tcPr>
            <w:tcW w:w="4820" w:type="dxa"/>
            <w:gridSpan w:val="2"/>
          </w:tcPr>
          <w:p w14:paraId="7076B4E5" w14:textId="77777777" w:rsidR="00942AB8" w:rsidRDefault="00942AB8"/>
        </w:tc>
      </w:tr>
      <w:tr w:rsidR="00942AB8" w14:paraId="53F1C122" w14:textId="77777777" w:rsidTr="00D40ABA">
        <w:tc>
          <w:tcPr>
            <w:tcW w:w="4748" w:type="dxa"/>
            <w:gridSpan w:val="2"/>
          </w:tcPr>
          <w:p w14:paraId="3A02BC8D" w14:textId="77777777" w:rsidR="00942AB8" w:rsidRDefault="00942AB8"/>
        </w:tc>
        <w:tc>
          <w:tcPr>
            <w:tcW w:w="4820" w:type="dxa"/>
            <w:gridSpan w:val="2"/>
          </w:tcPr>
          <w:p w14:paraId="1608354E" w14:textId="77777777" w:rsidR="00942AB8" w:rsidRDefault="00942AB8"/>
        </w:tc>
      </w:tr>
    </w:tbl>
    <w:p w14:paraId="7C8B2059" w14:textId="77777777" w:rsidR="00C74B6F" w:rsidRDefault="00C74B6F">
      <w:r>
        <w:t>______________________________________________________________________</w:t>
      </w:r>
    </w:p>
    <w:p w14:paraId="0064DEDC" w14:textId="77777777" w:rsidR="00C74B6F" w:rsidRDefault="00C74B6F"/>
    <w:p w14:paraId="38C66062" w14:textId="77777777" w:rsidR="00C74B6F" w:rsidRPr="005B0612" w:rsidRDefault="00C74B6F" w:rsidP="008B042E">
      <w:pPr>
        <w:jc w:val="center"/>
        <w:rPr>
          <w:b/>
          <w:bCs/>
        </w:rPr>
      </w:pPr>
      <w:bookmarkStart w:id="6" w:name="decision"/>
      <w:r w:rsidRPr="005B0612">
        <w:rPr>
          <w:b/>
          <w:bCs/>
        </w:rPr>
        <w:t>DÉCISION</w:t>
      </w:r>
      <w:bookmarkEnd w:id="6"/>
    </w:p>
    <w:p w14:paraId="2D6C6DDD" w14:textId="77777777" w:rsidR="00C74B6F" w:rsidRDefault="00C74B6F">
      <w:pPr>
        <w:jc w:val="center"/>
      </w:pPr>
      <w:r>
        <w:t>______________________________________________________________________</w:t>
      </w:r>
    </w:p>
    <w:p w14:paraId="33BF8C7B" w14:textId="77777777" w:rsidR="00C74B6F" w:rsidRDefault="00C74B6F"/>
    <w:p w14:paraId="567D1250" w14:textId="77777777" w:rsidR="00082A97" w:rsidRPr="00B51F99" w:rsidRDefault="00082A97" w:rsidP="00F10236">
      <w:pPr>
        <w:pStyle w:val="corpsdedcision"/>
        <w:numPr>
          <w:ilvl w:val="0"/>
          <w:numId w:val="0"/>
        </w:numPr>
        <w:rPr>
          <w:u w:val="single"/>
        </w:rPr>
      </w:pPr>
      <w:r>
        <w:rPr>
          <w:b/>
          <w:bCs/>
          <w:u w:val="single"/>
        </w:rPr>
        <w:t>L’APERÇU</w:t>
      </w:r>
    </w:p>
    <w:p w14:paraId="173479C8" w14:textId="77777777" w:rsidR="00160F32" w:rsidRDefault="00160F32" w:rsidP="00160F32">
      <w:pPr>
        <w:pStyle w:val="corpsdedcision"/>
        <w:tabs>
          <w:tab w:val="clear" w:pos="720"/>
        </w:tabs>
      </w:pPr>
      <w:r>
        <w:t xml:space="preserve">En 2007, le </w:t>
      </w:r>
      <w:r w:rsidRPr="00D143C1">
        <w:t>travailleur</w:t>
      </w:r>
      <w:r>
        <w:t xml:space="preserve">, monsieur Serge Chalifoux, se voit </w:t>
      </w:r>
      <w:r w:rsidRPr="00D143C1">
        <w:t>reconnaître</w:t>
      </w:r>
      <w:r>
        <w:t xml:space="preserve"> une surdité professionnelle causée par une exposition au bruit dans le cadre de ses emplois à titr</w:t>
      </w:r>
      <w:r w:rsidR="003E00F2">
        <w:t>e d’ouvrier de la construction.</w:t>
      </w:r>
    </w:p>
    <w:p w14:paraId="5330A4A7" w14:textId="77777777" w:rsidR="00160F32" w:rsidRDefault="00160F32" w:rsidP="00160F32">
      <w:pPr>
        <w:pStyle w:val="corpsdedcision"/>
      </w:pPr>
      <w:r>
        <w:t xml:space="preserve">Il découle de cette </w:t>
      </w:r>
      <w:r w:rsidRPr="00D143C1">
        <w:t>lésion professionnelle</w:t>
      </w:r>
      <w:r>
        <w:t xml:space="preserve"> une </w:t>
      </w:r>
      <w:r w:rsidRPr="00D143C1">
        <w:t>atteinte permanente</w:t>
      </w:r>
      <w:r>
        <w:t xml:space="preserve"> et des appareils auditifs sont autorisés. Le </w:t>
      </w:r>
      <w:r w:rsidRPr="00D143C1">
        <w:t>travailleur</w:t>
      </w:r>
      <w:r>
        <w:t xml:space="preserve"> comm</w:t>
      </w:r>
      <w:r w:rsidR="00D24FF5">
        <w:t>ence à les porter uniquement en </w:t>
      </w:r>
      <w:r w:rsidR="00B66E09">
        <w:t>2012, à la </w:t>
      </w:r>
      <w:r>
        <w:t>suite d’ajustements.</w:t>
      </w:r>
    </w:p>
    <w:p w14:paraId="0C2980F3" w14:textId="77777777" w:rsidR="00160F32" w:rsidRDefault="00160F32" w:rsidP="00160F32">
      <w:pPr>
        <w:pStyle w:val="corpsdedcision"/>
      </w:pPr>
      <w:r>
        <w:t>En février 2020, monsieur Chalifoux soumet</w:t>
      </w:r>
      <w:r w:rsidR="00B66E09">
        <w:t xml:space="preserve"> à la Commission des normes, de </w:t>
      </w:r>
      <w:r>
        <w:t>l’équité, de la santé et de la sécurité du travail</w:t>
      </w:r>
      <w:r w:rsidR="00D24FF5">
        <w:t>, la Commission, une demande de </w:t>
      </w:r>
      <w:r>
        <w:t xml:space="preserve">remboursement du médicament </w:t>
      </w:r>
      <w:proofErr w:type="spellStart"/>
      <w:r w:rsidRPr="009F341F">
        <w:t>Dermotic</w:t>
      </w:r>
      <w:proofErr w:type="spellEnd"/>
      <w:r w:rsidRPr="009F341F">
        <w:t xml:space="preserve"> </w:t>
      </w:r>
      <w:proofErr w:type="spellStart"/>
      <w:r w:rsidR="00D24FF5" w:rsidRPr="009F341F">
        <w:t>O</w:t>
      </w:r>
      <w:r w:rsidRPr="009F341F">
        <w:t>il</w:t>
      </w:r>
      <w:proofErr w:type="spellEnd"/>
      <w:r w:rsidRPr="009F341F">
        <w:t xml:space="preserve"> </w:t>
      </w:r>
      <w:r w:rsidR="00D24FF5" w:rsidRPr="009F341F">
        <w:t>Ear D</w:t>
      </w:r>
      <w:r w:rsidRPr="009F341F">
        <w:t>rops. Cet</w:t>
      </w:r>
      <w:r>
        <w:t xml:space="preserve"> organisme refuse toutefois la demande présentée puisqu’elle estime qu</w:t>
      </w:r>
      <w:r w:rsidR="00B66E09">
        <w:t>e le produit n’est pas relié au </w:t>
      </w:r>
      <w:r w:rsidRPr="00D143C1">
        <w:t>tr</w:t>
      </w:r>
      <w:r>
        <w:t xml:space="preserve">aitement de la </w:t>
      </w:r>
      <w:r w:rsidRPr="00D143C1">
        <w:t>lésion professionnelle</w:t>
      </w:r>
      <w:r>
        <w:t>, faute d’informations à ce sujet</w:t>
      </w:r>
      <w:r w:rsidR="00D24FF5">
        <w:t>. Il s’agit du litige en cause.</w:t>
      </w:r>
    </w:p>
    <w:p w14:paraId="2F449B6F" w14:textId="77777777" w:rsidR="00160F32" w:rsidRDefault="00160F32" w:rsidP="00160F32">
      <w:pPr>
        <w:pStyle w:val="corpsdedcision"/>
      </w:pPr>
      <w:r>
        <w:lastRenderedPageBreak/>
        <w:t xml:space="preserve">Le </w:t>
      </w:r>
      <w:r w:rsidRPr="00D143C1">
        <w:t>travailleur</w:t>
      </w:r>
      <w:r>
        <w:t xml:space="preserve"> mentionne que ce médicament est le seul qui diminue les démangeaisons et les saignements occasionnés par le</w:t>
      </w:r>
      <w:r w:rsidR="00D24FF5">
        <w:t xml:space="preserve"> port des appareils auditifs</w:t>
      </w:r>
      <w:r w:rsidR="009F341F">
        <w:t>. Il</w:t>
      </w:r>
      <w:r w:rsidR="00D24FF5">
        <w:t> </w:t>
      </w:r>
      <w:r>
        <w:t>produit des documents médicaux au soutien de ses prétentions.</w:t>
      </w:r>
    </w:p>
    <w:p w14:paraId="760BAACB" w14:textId="77777777" w:rsidR="00160F32" w:rsidRDefault="00160F32" w:rsidP="00160F32">
      <w:pPr>
        <w:pStyle w:val="corpsdedcision"/>
      </w:pPr>
      <w:r>
        <w:t>Pour les motifs qui suivent, le Tribunal est d’avis de faire droit à la contestation soumise.</w:t>
      </w:r>
    </w:p>
    <w:p w14:paraId="38A413CD" w14:textId="77777777" w:rsidR="00160F32" w:rsidRDefault="00160F32" w:rsidP="00160F32">
      <w:pPr>
        <w:pStyle w:val="corpsdedcision"/>
        <w:numPr>
          <w:ilvl w:val="0"/>
          <w:numId w:val="0"/>
        </w:numPr>
        <w:rPr>
          <w:b/>
          <w:bCs/>
          <w:u w:val="single"/>
        </w:rPr>
      </w:pPr>
      <w:r w:rsidRPr="00B51F99">
        <w:rPr>
          <w:b/>
          <w:bCs/>
          <w:u w:val="single"/>
        </w:rPr>
        <w:t>L</w:t>
      </w:r>
      <w:r>
        <w:rPr>
          <w:b/>
          <w:bCs/>
          <w:u w:val="single"/>
        </w:rPr>
        <w:t>’ANALYSE</w:t>
      </w:r>
    </w:p>
    <w:p w14:paraId="09986216" w14:textId="77777777" w:rsidR="00160F32" w:rsidRDefault="00160F32" w:rsidP="00160F32">
      <w:pPr>
        <w:pStyle w:val="corpsdedcision"/>
      </w:pPr>
      <w:r>
        <w:t>Dans le présent dossier, la question à laquelle le Tribunal doit répondre</w:t>
      </w:r>
      <w:r w:rsidR="00D24FF5">
        <w:t xml:space="preserve"> est la </w:t>
      </w:r>
      <w:r>
        <w:t xml:space="preserve">suivante : le </w:t>
      </w:r>
      <w:r w:rsidRPr="00D143C1">
        <w:t>travailleur</w:t>
      </w:r>
      <w:r>
        <w:t xml:space="preserve"> a-</w:t>
      </w:r>
      <w:r w:rsidRPr="00D143C1">
        <w:t>t</w:t>
      </w:r>
      <w:r>
        <w:t xml:space="preserve">-il droit au remboursement du produit </w:t>
      </w:r>
      <w:proofErr w:type="spellStart"/>
      <w:r>
        <w:t>Dermotic</w:t>
      </w:r>
      <w:proofErr w:type="spellEnd"/>
      <w:r>
        <w:t xml:space="preserve"> </w:t>
      </w:r>
      <w:proofErr w:type="spellStart"/>
      <w:r w:rsidR="00D24FF5">
        <w:t>O</w:t>
      </w:r>
      <w:r>
        <w:t>il</w:t>
      </w:r>
      <w:proofErr w:type="spellEnd"/>
      <w:r>
        <w:t xml:space="preserve"> </w:t>
      </w:r>
      <w:r w:rsidR="00D24FF5">
        <w:t>E</w:t>
      </w:r>
      <w:r>
        <w:t xml:space="preserve">ar </w:t>
      </w:r>
      <w:r w:rsidR="00D24FF5">
        <w:t>D</w:t>
      </w:r>
      <w:r>
        <w:t>rops à titre d’assistance médicale?</w:t>
      </w:r>
    </w:p>
    <w:p w14:paraId="35F7ABD4" w14:textId="77777777" w:rsidR="00160F32" w:rsidRPr="009F341F" w:rsidRDefault="00160F32" w:rsidP="00160F32">
      <w:pPr>
        <w:pStyle w:val="corpsdedcision"/>
      </w:pPr>
      <w:r>
        <w:t xml:space="preserve">L’article 188 de </w:t>
      </w:r>
      <w:r w:rsidRPr="009F341F">
        <w:t xml:space="preserve">la </w:t>
      </w:r>
      <w:r w:rsidR="00D24FF5" w:rsidRPr="009F341F">
        <w:rPr>
          <w:i/>
        </w:rPr>
        <w:t>Loi sur les accidents du travail et les maladies professionnelles</w:t>
      </w:r>
      <w:r w:rsidR="00D24FF5" w:rsidRPr="009F341F">
        <w:rPr>
          <w:rStyle w:val="FootnoteReference"/>
        </w:rPr>
        <w:footnoteReference w:id="1"/>
      </w:r>
      <w:r w:rsidR="00D24FF5" w:rsidRPr="009F341F">
        <w:t xml:space="preserve">, la Loi, </w:t>
      </w:r>
      <w:r w:rsidRPr="009F341F">
        <w:t>prévoit qu’un travailleur victime</w:t>
      </w:r>
      <w:r w:rsidR="003B166D" w:rsidRPr="009F341F">
        <w:t xml:space="preserve"> d’une lésion professionnelle a </w:t>
      </w:r>
      <w:r w:rsidRPr="009F341F">
        <w:t>droit à l’assistance médicale que requiert son état en raison de cette lésion.</w:t>
      </w:r>
    </w:p>
    <w:p w14:paraId="7987A294" w14:textId="77777777" w:rsidR="00160F32" w:rsidRDefault="00160F32" w:rsidP="00160F32">
      <w:pPr>
        <w:pStyle w:val="corpsdedcision"/>
      </w:pPr>
      <w:r w:rsidRPr="009F341F">
        <w:t>La définition de ce qu’est l’assistance médicale</w:t>
      </w:r>
      <w:r>
        <w:t xml:space="preserve"> est par ailleurs définie à l’article 189 de la </w:t>
      </w:r>
      <w:r w:rsidR="003B166D">
        <w:t>L</w:t>
      </w:r>
      <w:r>
        <w:t>oi comme suit :</w:t>
      </w:r>
    </w:p>
    <w:p w14:paraId="6374FB4E" w14:textId="77777777" w:rsidR="00160F32" w:rsidRDefault="00160F32" w:rsidP="00160F32">
      <w:pPr>
        <w:pStyle w:val="articlesdelaLATMP"/>
      </w:pPr>
      <w:r w:rsidRPr="00873C39">
        <w:rPr>
          <w:b/>
        </w:rPr>
        <w:t>189.</w:t>
      </w:r>
      <w:r>
        <w:t xml:space="preserve">  L'assistance médicale consiste en ce qui suit</w:t>
      </w:r>
      <w:r>
        <w:rPr>
          <w:rFonts w:cs="Arial"/>
        </w:rPr>
        <w:t> </w:t>
      </w:r>
      <w:r>
        <w:t>:</w:t>
      </w:r>
    </w:p>
    <w:p w14:paraId="19D9BCA0" w14:textId="77777777" w:rsidR="00160F32" w:rsidRDefault="00160F32" w:rsidP="00160F32">
      <w:pPr>
        <w:pStyle w:val="articlesdelaLATMP"/>
      </w:pPr>
    </w:p>
    <w:p w14:paraId="5125FF12" w14:textId="77777777" w:rsidR="00160F32" w:rsidRDefault="00160F32" w:rsidP="00160F32">
      <w:pPr>
        <w:pStyle w:val="articlesdelaLATMP"/>
      </w:pPr>
      <w:r>
        <w:t>1° les services de professionnels de la santé;</w:t>
      </w:r>
    </w:p>
    <w:p w14:paraId="39B7312D" w14:textId="77777777" w:rsidR="00160F32" w:rsidRDefault="00160F32" w:rsidP="00160F32">
      <w:pPr>
        <w:pStyle w:val="articlesdelaLATMP"/>
      </w:pPr>
    </w:p>
    <w:p w14:paraId="43E66ACE" w14:textId="77777777" w:rsidR="00160F32" w:rsidRDefault="00160F32" w:rsidP="00160F32">
      <w:pPr>
        <w:pStyle w:val="articlesdelaLATMP"/>
      </w:pPr>
      <w:r>
        <w:t>2° les soins ou les traitements fournis par un établissement visé par la Loi sur les services de santé et les services sociaux (chapitre S</w:t>
      </w:r>
      <w:r>
        <w:noBreakHyphen/>
        <w:t>4.2) ou la Loi sur les services de santé et les services sociaux pour les autochtones cris (chapitre S</w:t>
      </w:r>
      <w:r>
        <w:noBreakHyphen/>
        <w:t>5);</w:t>
      </w:r>
    </w:p>
    <w:p w14:paraId="799C4A68" w14:textId="77777777" w:rsidR="00160F32" w:rsidRDefault="00160F32" w:rsidP="00160F32">
      <w:pPr>
        <w:pStyle w:val="articlesdelaLATMP"/>
      </w:pPr>
    </w:p>
    <w:p w14:paraId="7BDF755C" w14:textId="77777777" w:rsidR="00160F32" w:rsidRPr="00F9236E" w:rsidRDefault="00160F32" w:rsidP="00160F32">
      <w:pPr>
        <w:pStyle w:val="articlesdelaLATMP"/>
        <w:rPr>
          <w:u w:val="single"/>
        </w:rPr>
      </w:pPr>
      <w:r>
        <w:t>3</w:t>
      </w:r>
      <w:r w:rsidRPr="00F9236E">
        <w:rPr>
          <w:u w:val="single"/>
        </w:rPr>
        <w:t>° les médicaments et autres produits pharmaceutiques;</w:t>
      </w:r>
    </w:p>
    <w:p w14:paraId="46A634BF" w14:textId="77777777" w:rsidR="00160F32" w:rsidRPr="00F9236E" w:rsidRDefault="00160F32" w:rsidP="00160F32">
      <w:pPr>
        <w:pStyle w:val="articlesdelaLATMP"/>
        <w:rPr>
          <w:u w:val="single"/>
        </w:rPr>
      </w:pPr>
    </w:p>
    <w:p w14:paraId="714253A2" w14:textId="77777777" w:rsidR="00160F32" w:rsidRDefault="00160F32" w:rsidP="00160F32">
      <w:pPr>
        <w:pStyle w:val="articlesdelaLATMP"/>
      </w:pPr>
      <w:r>
        <w:t>4° les prothèses et orthèses au sens de la Loi su</w:t>
      </w:r>
      <w:r w:rsidR="003B166D">
        <w:t>r les laboratoires médicaux, la </w:t>
      </w:r>
      <w:r>
        <w:t>conservation des organes, des tissus, des gamètes et des embryons et la disposition des cadavres (chapitre L</w:t>
      </w:r>
      <w:r>
        <w:noBreakHyphen/>
        <w:t>0.2), prescrites par un professionnel de la santé et disponibles chez un fournisseur agréé par la Régie de l'assurance maladie du Québec ou, s'il s'agit d'un fournisseur qui n'est pas établi au Québec, reconnu par la Commission;</w:t>
      </w:r>
    </w:p>
    <w:p w14:paraId="188F5C4C" w14:textId="77777777" w:rsidR="00160F32" w:rsidRDefault="00160F32" w:rsidP="00160F32">
      <w:pPr>
        <w:pStyle w:val="articlesdelaLATMP"/>
      </w:pPr>
    </w:p>
    <w:p w14:paraId="4ED49F68" w14:textId="77777777" w:rsidR="00160F32" w:rsidRDefault="00160F32" w:rsidP="00160F32">
      <w:pPr>
        <w:pStyle w:val="articlesdelaLATMP"/>
      </w:pPr>
      <w:r>
        <w:t xml:space="preserve">5° les soins, les traitements, </w:t>
      </w:r>
      <w:r w:rsidRPr="00F9236E">
        <w:t>les aides techniques et les frais non visés aux paragraphes 1° à 4° que la Commission détermine par règlement</w:t>
      </w:r>
      <w:r>
        <w:t>, lequel peut prévoir les cas, conditions et limites monétaires des paiements qui peuvent être effectués ainsi que les autorisations préalables auxquelles ces pai</w:t>
      </w:r>
      <w:r w:rsidR="003B166D">
        <w:t>ements peuvent être assujettis.</w:t>
      </w:r>
    </w:p>
    <w:p w14:paraId="4DF443C7" w14:textId="77777777" w:rsidR="00160F32" w:rsidRDefault="00160F32" w:rsidP="00160F32">
      <w:pPr>
        <w:pStyle w:val="articlesdelaLATMP"/>
      </w:pPr>
    </w:p>
    <w:p w14:paraId="2ED911D2" w14:textId="77777777" w:rsidR="00160F32" w:rsidRDefault="00160F32" w:rsidP="00160F32">
      <w:pPr>
        <w:pStyle w:val="articlesdelaLATMP"/>
        <w:spacing w:after="360"/>
      </w:pPr>
      <w:r>
        <w:t>[Notre soulignement]</w:t>
      </w:r>
    </w:p>
    <w:p w14:paraId="588D67AD" w14:textId="77777777" w:rsidR="003B166D" w:rsidRDefault="003B166D" w:rsidP="00160F32">
      <w:pPr>
        <w:pStyle w:val="articlesdelaLATMP"/>
        <w:spacing w:after="360"/>
      </w:pPr>
    </w:p>
    <w:p w14:paraId="43CF2F24" w14:textId="77777777" w:rsidR="00160F32" w:rsidRDefault="00160F32" w:rsidP="00160F32">
      <w:pPr>
        <w:pStyle w:val="corpsdedcision"/>
      </w:pPr>
      <w:r>
        <w:lastRenderedPageBreak/>
        <w:t>En cette matière, il n’y a donc aucune exigence relative à une quelconque démonstration de détérioration ou de réapparition d’une sy</w:t>
      </w:r>
      <w:r w:rsidR="003B166D">
        <w:t>mptomatologie. Il suffit que le </w:t>
      </w:r>
      <w:r>
        <w:t>travailleur ait été victime d’une lésion auparavant, qu’</w:t>
      </w:r>
      <w:r w:rsidR="00B66E09">
        <w:t>elle soit consolidée ou non, et </w:t>
      </w:r>
      <w:r>
        <w:t>que le besoin d’assistance prescrit soit requis par l’état de santé du travailleur et qu’il soit en lien avec la lésion.</w:t>
      </w:r>
    </w:p>
    <w:p w14:paraId="7E504301" w14:textId="77777777" w:rsidR="003B166D" w:rsidRDefault="00160F32" w:rsidP="0001369E">
      <w:pPr>
        <w:pStyle w:val="corpsdedcision"/>
        <w:tabs>
          <w:tab w:val="num" w:pos="360"/>
        </w:tabs>
      </w:pPr>
      <w:r>
        <w:t xml:space="preserve">Lors de l’audience, le </w:t>
      </w:r>
      <w:r w:rsidRPr="00D143C1">
        <w:t>travailleur</w:t>
      </w:r>
      <w:r>
        <w:t xml:space="preserve"> témoigne que le p</w:t>
      </w:r>
      <w:r w:rsidR="00B66E09">
        <w:t>ort des prothèses auditives lui </w:t>
      </w:r>
      <w:r>
        <w:t>cause des démangeaisons en raison d’un phénomène d’humidité et il se ret</w:t>
      </w:r>
      <w:r w:rsidR="00B66E09">
        <w:t>rouve par </w:t>
      </w:r>
      <w:r>
        <w:t xml:space="preserve">moment avec du sang au creux des oreilles. Il a discuté de ce problème avec monsieur Frédérick H. Deslauriers, audioprothésiste, </w:t>
      </w:r>
      <w:r w:rsidR="00B66E09">
        <w:t>qui lui a recommandé l’essai de </w:t>
      </w:r>
      <w:r>
        <w:t>plusieurs produits. Toutefois, aucun de ceux-ci n’a fonctionné. Il a donc été dirigé auprès de l’</w:t>
      </w:r>
      <w:r w:rsidR="003B166D">
        <w:t>oto</w:t>
      </w:r>
      <w:r w:rsidR="003B166D">
        <w:noBreakHyphen/>
        <w:t>rhino-laryngologiste (</w:t>
      </w:r>
      <w:r>
        <w:t>ORL</w:t>
      </w:r>
      <w:r w:rsidR="003B166D">
        <w:t xml:space="preserve">) Michel </w:t>
      </w:r>
      <w:proofErr w:type="spellStart"/>
      <w:r w:rsidR="003B166D">
        <w:t>Dorion</w:t>
      </w:r>
      <w:proofErr w:type="spellEnd"/>
      <w:r w:rsidR="003B166D">
        <w:t>.</w:t>
      </w:r>
    </w:p>
    <w:p w14:paraId="68276FC7" w14:textId="77777777" w:rsidR="00160F32" w:rsidRDefault="00160F32" w:rsidP="0001369E">
      <w:pPr>
        <w:pStyle w:val="corpsdedcision"/>
        <w:tabs>
          <w:tab w:val="num" w:pos="360"/>
        </w:tabs>
      </w:pPr>
      <w:r>
        <w:t xml:space="preserve">Ce médecin a fourni un échantillon du médicament </w:t>
      </w:r>
      <w:proofErr w:type="spellStart"/>
      <w:r>
        <w:t>Dermotic</w:t>
      </w:r>
      <w:proofErr w:type="spellEnd"/>
      <w:r>
        <w:t xml:space="preserve"> </w:t>
      </w:r>
      <w:proofErr w:type="spellStart"/>
      <w:r w:rsidR="003B166D">
        <w:t>O</w:t>
      </w:r>
      <w:r>
        <w:t>il</w:t>
      </w:r>
      <w:proofErr w:type="spellEnd"/>
      <w:r>
        <w:t xml:space="preserve"> </w:t>
      </w:r>
      <w:r w:rsidR="003B166D">
        <w:t>E</w:t>
      </w:r>
      <w:r>
        <w:t xml:space="preserve">ar </w:t>
      </w:r>
      <w:r w:rsidR="003B166D">
        <w:t>Drops au </w:t>
      </w:r>
      <w:r w:rsidRPr="00D143C1">
        <w:t>travailleur</w:t>
      </w:r>
      <w:r>
        <w:t xml:space="preserve"> ainsi qu’une prescription.</w:t>
      </w:r>
    </w:p>
    <w:p w14:paraId="4BF80D38" w14:textId="77777777" w:rsidR="00160F32" w:rsidRDefault="00160F32" w:rsidP="00160F32">
      <w:pPr>
        <w:pStyle w:val="corpsdedcision"/>
        <w:tabs>
          <w:tab w:val="num" w:pos="360"/>
        </w:tabs>
      </w:pPr>
      <w:r>
        <w:t xml:space="preserve">Monsieur Chalifoux affirme que ce produit le </w:t>
      </w:r>
      <w:r w:rsidR="003B166D">
        <w:t>soulage complètement et qu’il a </w:t>
      </w:r>
      <w:r>
        <w:t>besoin d’en mettre seulement une fois par mois.</w:t>
      </w:r>
    </w:p>
    <w:p w14:paraId="061FF4B7" w14:textId="77777777" w:rsidR="00160F32" w:rsidRDefault="00160F32" w:rsidP="00160F32">
      <w:pPr>
        <w:pStyle w:val="corpsdedcision"/>
        <w:tabs>
          <w:tab w:val="num" w:pos="360"/>
        </w:tabs>
      </w:pPr>
      <w:r>
        <w:t xml:space="preserve">Le </w:t>
      </w:r>
      <w:r w:rsidRPr="00D143C1">
        <w:t>travailleur</w:t>
      </w:r>
      <w:r>
        <w:t xml:space="preserve"> mentionne que</w:t>
      </w:r>
      <w:r w:rsidR="003B166D">
        <w:t>,</w:t>
      </w:r>
      <w:r>
        <w:t xml:space="preserve"> sans ce produit, il ne parvient pas à porter ses prothèses </w:t>
      </w:r>
      <w:r w:rsidRPr="009F341F">
        <w:t>toute la journée</w:t>
      </w:r>
      <w:r>
        <w:t>, alors qu’elles lui sont essentielles.</w:t>
      </w:r>
    </w:p>
    <w:p w14:paraId="12FBBC04" w14:textId="77777777" w:rsidR="00160F32" w:rsidRDefault="00160F32" w:rsidP="00160F32">
      <w:pPr>
        <w:pStyle w:val="corpsdedcision"/>
        <w:tabs>
          <w:tab w:val="num" w:pos="360"/>
        </w:tabs>
      </w:pPr>
      <w:r>
        <w:t>Au soutien de ses prétentions, il dépose également deux documents.</w:t>
      </w:r>
    </w:p>
    <w:p w14:paraId="5E68AD62" w14:textId="77777777" w:rsidR="00160F32" w:rsidRPr="009F341F" w:rsidRDefault="00160F32" w:rsidP="00160F32">
      <w:pPr>
        <w:pStyle w:val="corpsdedcision"/>
        <w:tabs>
          <w:tab w:val="num" w:pos="360"/>
        </w:tabs>
      </w:pPr>
      <w:r>
        <w:t>Le premier provient de l’audioprothésiste Deslaurie</w:t>
      </w:r>
      <w:r w:rsidR="00B66E09">
        <w:t>rs. Ce dernier confirme qu’à </w:t>
      </w:r>
      <w:r w:rsidR="003B166D">
        <w:t>la </w:t>
      </w:r>
      <w:r>
        <w:t xml:space="preserve">suite d’essais, sans succès, de différents </w:t>
      </w:r>
      <w:r w:rsidRPr="009F341F">
        <w:t>pr</w:t>
      </w:r>
      <w:r w:rsidR="003B166D" w:rsidRPr="009F341F">
        <w:t>oduits apaisant</w:t>
      </w:r>
      <w:r w:rsidR="00A76805" w:rsidRPr="009F341F">
        <w:t>s</w:t>
      </w:r>
      <w:r w:rsidR="003B166D" w:rsidRPr="009F341F">
        <w:t xml:space="preserve"> </w:t>
      </w:r>
      <w:r w:rsidR="00B66E09">
        <w:t>visant à réduire les </w:t>
      </w:r>
      <w:r w:rsidR="009F341F">
        <w:t>démangeaisons occasionnées par le port d’appareils auditifs</w:t>
      </w:r>
      <w:r>
        <w:t xml:space="preserve">, il a dirigé le </w:t>
      </w:r>
      <w:r w:rsidRPr="00D143C1">
        <w:t>travailleur</w:t>
      </w:r>
      <w:r w:rsidR="00B66E09">
        <w:t xml:space="preserve"> en </w:t>
      </w:r>
      <w:r>
        <w:t xml:space="preserve">ORL afin de trouver un produit adéquat permettant de </w:t>
      </w:r>
      <w:r w:rsidR="00B66E09">
        <w:t>porter les appareils de manière </w:t>
      </w:r>
      <w:r w:rsidRPr="009F341F">
        <w:t>régulière.</w:t>
      </w:r>
    </w:p>
    <w:p w14:paraId="70D070D3" w14:textId="77777777" w:rsidR="00160F32" w:rsidRDefault="00160F32" w:rsidP="00160F32">
      <w:pPr>
        <w:pStyle w:val="corpsdedcision"/>
        <w:tabs>
          <w:tab w:val="num" w:pos="360"/>
        </w:tabs>
      </w:pPr>
      <w:r>
        <w:t xml:space="preserve">Il signale que trois produits couverts </w:t>
      </w:r>
      <w:r w:rsidR="009F341F">
        <w:t xml:space="preserve">par la Commission </w:t>
      </w:r>
      <w:r>
        <w:t>ont été essa</w:t>
      </w:r>
      <w:r w:rsidR="00B66E09">
        <w:t>yés, soit la </w:t>
      </w:r>
      <w:r w:rsidR="003B166D">
        <w:t xml:space="preserve">lotion </w:t>
      </w:r>
      <w:proofErr w:type="spellStart"/>
      <w:r w:rsidR="003B166D">
        <w:t>Eargene</w:t>
      </w:r>
      <w:proofErr w:type="spellEnd"/>
      <w:r w:rsidR="003B166D">
        <w:t>, le </w:t>
      </w:r>
      <w:r>
        <w:t xml:space="preserve">gel </w:t>
      </w:r>
      <w:proofErr w:type="spellStart"/>
      <w:r>
        <w:t>Audinell</w:t>
      </w:r>
      <w:proofErr w:type="spellEnd"/>
      <w:r>
        <w:t xml:space="preserve"> et l’huile d’amande douce, mais sans les résultats attendus.</w:t>
      </w:r>
    </w:p>
    <w:p w14:paraId="078541E5" w14:textId="77777777" w:rsidR="00160F32" w:rsidRDefault="00160F32" w:rsidP="00160F32">
      <w:pPr>
        <w:pStyle w:val="corpsdedcision"/>
        <w:tabs>
          <w:tab w:val="num" w:pos="360"/>
        </w:tabs>
      </w:pPr>
      <w:r>
        <w:t xml:space="preserve">En dernier lieu, monsieur Deslauriers écrit qu’il espère que la Commission acceptera la demande de considération spéciale afin que le </w:t>
      </w:r>
      <w:r w:rsidRPr="00D143C1">
        <w:t>travailleur</w:t>
      </w:r>
      <w:r>
        <w:t xml:space="preserve"> puisse continuer de porter ses appareils auditifs qui sont nécessaires à la vie quotidienne et au soutien des acouphènes.</w:t>
      </w:r>
    </w:p>
    <w:p w14:paraId="1E3DAF9B" w14:textId="77777777" w:rsidR="00A76805" w:rsidRDefault="00A76805" w:rsidP="00A76805">
      <w:pPr>
        <w:pStyle w:val="corpsdedcision"/>
        <w:numPr>
          <w:ilvl w:val="0"/>
          <w:numId w:val="0"/>
        </w:numPr>
      </w:pPr>
    </w:p>
    <w:p w14:paraId="3F8696BD" w14:textId="77777777" w:rsidR="00160F32" w:rsidRDefault="00160F32" w:rsidP="00160F32">
      <w:pPr>
        <w:pStyle w:val="corpsdedcision"/>
        <w:tabs>
          <w:tab w:val="num" w:pos="360"/>
        </w:tabs>
      </w:pPr>
      <w:r>
        <w:lastRenderedPageBreak/>
        <w:t xml:space="preserve">Le second document émane de l’ORL Michel </w:t>
      </w:r>
      <w:proofErr w:type="spellStart"/>
      <w:r>
        <w:t>Dorion</w:t>
      </w:r>
      <w:proofErr w:type="spellEnd"/>
      <w:r>
        <w:t xml:space="preserve">. Il s’agit d’une </w:t>
      </w:r>
      <w:r w:rsidRPr="00D143C1">
        <w:t>Attestation médicale</w:t>
      </w:r>
      <w:r>
        <w:t xml:space="preserve"> dans laquelle il écrit ce qui suit :</w:t>
      </w:r>
    </w:p>
    <w:p w14:paraId="2951AACD" w14:textId="77777777" w:rsidR="00160F32" w:rsidRDefault="00160F32" w:rsidP="00A76805">
      <w:pPr>
        <w:pStyle w:val="citation"/>
      </w:pPr>
      <w:r>
        <w:t>Patient connu pour surdité neurosensorielle bilatérale par ex</w:t>
      </w:r>
      <w:r w:rsidR="00A76805">
        <w:t>position sonore reconnue CNESST</w:t>
      </w:r>
    </w:p>
    <w:p w14:paraId="3D1241A8" w14:textId="77777777" w:rsidR="00A76805" w:rsidRDefault="00A76805" w:rsidP="00A76805">
      <w:pPr>
        <w:pStyle w:val="citation"/>
      </w:pPr>
    </w:p>
    <w:p w14:paraId="006D92F1" w14:textId="77777777" w:rsidR="00160F32" w:rsidRDefault="00160F32" w:rsidP="00A76805">
      <w:pPr>
        <w:pStyle w:val="citation"/>
      </w:pPr>
      <w:r>
        <w:t>Porteur d’une amplification bilatérale nécessaire à la communi</w:t>
      </w:r>
      <w:r w:rsidR="00A76805">
        <w:t>cation</w:t>
      </w:r>
    </w:p>
    <w:p w14:paraId="06AAD0EA" w14:textId="77777777" w:rsidR="00A76805" w:rsidRDefault="00A76805" w:rsidP="00A76805">
      <w:pPr>
        <w:pStyle w:val="citation"/>
      </w:pPr>
    </w:p>
    <w:p w14:paraId="621D5EAC" w14:textId="77777777" w:rsidR="00160F32" w:rsidRDefault="00160F32" w:rsidP="00A76805">
      <w:pPr>
        <w:pStyle w:val="citation"/>
      </w:pPr>
      <w:r>
        <w:t>Otite externe récurrente/prothèses contr</w:t>
      </w:r>
      <w:r w:rsidR="00A76805">
        <w:t>ôlée X</w:t>
      </w:r>
      <w:r>
        <w:t xml:space="preserve"> </w:t>
      </w:r>
      <w:proofErr w:type="spellStart"/>
      <w:r>
        <w:t>dermotic</w:t>
      </w:r>
      <w:proofErr w:type="spellEnd"/>
      <w:r>
        <w:t xml:space="preserve"> </w:t>
      </w:r>
      <w:proofErr w:type="spellStart"/>
      <w:r>
        <w:t>oil</w:t>
      </w:r>
      <w:proofErr w:type="spellEnd"/>
      <w:r>
        <w:t xml:space="preserve"> (</w:t>
      </w:r>
      <w:r w:rsidR="00A76805">
        <w:rPr>
          <w:rFonts w:cs="Arial"/>
        </w:rPr>
        <w:t>Ø</w:t>
      </w:r>
      <w:r>
        <w:t xml:space="preserve"> couverture RAMQ)</w:t>
      </w:r>
    </w:p>
    <w:p w14:paraId="1BC5E4A2" w14:textId="77777777" w:rsidR="00A76805" w:rsidRDefault="00A76805" w:rsidP="00A76805">
      <w:pPr>
        <w:pStyle w:val="citation"/>
      </w:pPr>
    </w:p>
    <w:p w14:paraId="11E0EB8D" w14:textId="77777777" w:rsidR="00160F32" w:rsidRDefault="00160F32" w:rsidP="00A76805">
      <w:pPr>
        <w:pStyle w:val="citation"/>
      </w:pPr>
      <w:r>
        <w:t xml:space="preserve">Médication recommandée </w:t>
      </w:r>
      <w:r w:rsidR="00A76805">
        <w:t>c</w:t>
      </w:r>
      <w:r>
        <w:t xml:space="preserve">ontrôle </w:t>
      </w:r>
      <w:r w:rsidR="00A76805">
        <w:t>ORL périodique et à demande PRN</w:t>
      </w:r>
    </w:p>
    <w:p w14:paraId="7CB94BBF" w14:textId="77777777" w:rsidR="00A76805" w:rsidRDefault="00A76805" w:rsidP="00A76805">
      <w:pPr>
        <w:pStyle w:val="citation"/>
      </w:pPr>
    </w:p>
    <w:p w14:paraId="6B9BE22F" w14:textId="77777777" w:rsidR="00A76805" w:rsidRDefault="00A76805" w:rsidP="00A76805">
      <w:pPr>
        <w:pStyle w:val="citation"/>
      </w:pPr>
      <w:r>
        <w:rPr>
          <w:rFonts w:cs="Arial"/>
        </w:rPr>
        <w:t>[Transcription textuelle]</w:t>
      </w:r>
    </w:p>
    <w:p w14:paraId="56411265" w14:textId="77777777" w:rsidR="00A76805" w:rsidRDefault="00A76805" w:rsidP="00A76805">
      <w:pPr>
        <w:pStyle w:val="citation"/>
      </w:pPr>
    </w:p>
    <w:p w14:paraId="196B8722" w14:textId="77777777" w:rsidR="00A76805" w:rsidRDefault="00A76805" w:rsidP="00A76805">
      <w:pPr>
        <w:pStyle w:val="citation"/>
      </w:pPr>
    </w:p>
    <w:p w14:paraId="4D2BE00B" w14:textId="77777777" w:rsidR="00160F32" w:rsidRDefault="00160F32" w:rsidP="00160F32">
      <w:pPr>
        <w:pStyle w:val="corpsdedcision"/>
        <w:tabs>
          <w:tab w:val="num" w:pos="360"/>
        </w:tabs>
      </w:pPr>
      <w:r>
        <w:t>Considérant ces éléments médicaux et le témoignage de monsieur Chalifoux</w:t>
      </w:r>
      <w:r w:rsidR="00A76805">
        <w:t>, il </w:t>
      </w:r>
      <w:r w:rsidRPr="00D143C1">
        <w:t>apparaît</w:t>
      </w:r>
      <w:r>
        <w:t xml:space="preserve"> limpide que les gouttes concernées, qui sont prescrites par le spécialiste ayant charge du </w:t>
      </w:r>
      <w:r w:rsidRPr="00D143C1">
        <w:t>travailleur</w:t>
      </w:r>
      <w:r>
        <w:t xml:space="preserve">, sont requises par l’état de santé du </w:t>
      </w:r>
      <w:r w:rsidRPr="00D143C1">
        <w:t>travailleur</w:t>
      </w:r>
      <w:r>
        <w:t xml:space="preserve"> et sont en lien direct avec la </w:t>
      </w:r>
      <w:r w:rsidRPr="00D143C1">
        <w:t>lésion professionnelle</w:t>
      </w:r>
      <w:r>
        <w:t xml:space="preserve"> puisqu’il s’agit du seul produit, parmi une panoplie tentée, lui permettant de porter ses appareils auditifs pour </w:t>
      </w:r>
      <w:r w:rsidRPr="009F341F">
        <w:t>pa</w:t>
      </w:r>
      <w:r w:rsidR="00A76805" w:rsidRPr="009F341F">
        <w:t>l</w:t>
      </w:r>
      <w:r w:rsidRPr="009F341F">
        <w:t>lier</w:t>
      </w:r>
      <w:r>
        <w:t xml:space="preserve"> à sa surdité professionnelle, sans </w:t>
      </w:r>
      <w:r w:rsidRPr="009F341F">
        <w:t>que ceux-ci lui</w:t>
      </w:r>
      <w:r>
        <w:t xml:space="preserve"> occasionnent trop de démangeaisons et d’inconforts.</w:t>
      </w:r>
    </w:p>
    <w:p w14:paraId="273EE4C8" w14:textId="77777777" w:rsidR="00160F32" w:rsidRPr="00B51F99" w:rsidRDefault="00160F32" w:rsidP="00B66E09">
      <w:pPr>
        <w:pStyle w:val="corpsdedcision"/>
        <w:tabs>
          <w:tab w:val="num" w:pos="360"/>
        </w:tabs>
        <w:spacing w:after="480"/>
      </w:pPr>
      <w:r>
        <w:t>La demande de remboursement est donc acceptée.</w:t>
      </w:r>
    </w:p>
    <w:p w14:paraId="32DB9DE1" w14:textId="77777777" w:rsidR="00160F32" w:rsidRDefault="00160F32" w:rsidP="00160F32">
      <w:pPr>
        <w:pStyle w:val="Dispositif"/>
      </w:pPr>
      <w:r>
        <w:rPr>
          <w:b/>
        </w:rPr>
        <w:t>PAR CES MOTIFS, LE TRIBUNAL ADMINISTRATIF DU TRAVAIL :</w:t>
      </w:r>
    </w:p>
    <w:p w14:paraId="2E4496AF" w14:textId="77777777" w:rsidR="00160F32" w:rsidRDefault="00160F32" w:rsidP="00160F32">
      <w:pPr>
        <w:pStyle w:val="Dispositif"/>
      </w:pPr>
      <w:r w:rsidRPr="00DB55D1">
        <w:rPr>
          <w:b/>
        </w:rPr>
        <w:t>ACCUEILLE</w:t>
      </w:r>
      <w:r>
        <w:rPr>
          <w:b/>
        </w:rPr>
        <w:t xml:space="preserve"> </w:t>
      </w:r>
      <w:r>
        <w:t xml:space="preserve">la contestation de monsieur Serge Chalifoux, le </w:t>
      </w:r>
      <w:r w:rsidRPr="00D143C1">
        <w:t>travailleur</w:t>
      </w:r>
      <w:r>
        <w:t>;</w:t>
      </w:r>
    </w:p>
    <w:p w14:paraId="1855782A" w14:textId="77777777" w:rsidR="00160F32" w:rsidRDefault="00160F32" w:rsidP="00160F32">
      <w:pPr>
        <w:pStyle w:val="corpsdedcision"/>
        <w:numPr>
          <w:ilvl w:val="0"/>
          <w:numId w:val="0"/>
        </w:numPr>
      </w:pPr>
      <w:r w:rsidRPr="00DB55D1">
        <w:rPr>
          <w:b/>
        </w:rPr>
        <w:t>INFIRME</w:t>
      </w:r>
      <w:r>
        <w:t xml:space="preserve"> la décision de la Commission des normes,</w:t>
      </w:r>
      <w:r w:rsidR="00B66E09">
        <w:t xml:space="preserve"> de l’équité, de la santé et de </w:t>
      </w:r>
      <w:r>
        <w:t>la sécurité du travail rendue le 4 décembre 2020 à la suite d’une révision administrative;</w:t>
      </w:r>
    </w:p>
    <w:p w14:paraId="21EFACC4" w14:textId="77777777" w:rsidR="00160F32" w:rsidRDefault="00160F32" w:rsidP="00160F32">
      <w:pPr>
        <w:pStyle w:val="corpsdedcision"/>
        <w:numPr>
          <w:ilvl w:val="0"/>
          <w:numId w:val="0"/>
        </w:numPr>
      </w:pPr>
      <w:r>
        <w:rPr>
          <w:b/>
        </w:rPr>
        <w:t>DÉCLARE</w:t>
      </w:r>
      <w:r>
        <w:t xml:space="preserve"> que le </w:t>
      </w:r>
      <w:r w:rsidRPr="00D143C1">
        <w:t>travailleur</w:t>
      </w:r>
      <w:r>
        <w:t xml:space="preserve"> a droit au remboursement du médicament </w:t>
      </w:r>
      <w:proofErr w:type="spellStart"/>
      <w:r>
        <w:t>Dermotic</w:t>
      </w:r>
      <w:proofErr w:type="spellEnd"/>
      <w:r>
        <w:t xml:space="preserve"> </w:t>
      </w:r>
      <w:proofErr w:type="spellStart"/>
      <w:r w:rsidR="00A76805">
        <w:t>O</w:t>
      </w:r>
      <w:r>
        <w:t>il</w:t>
      </w:r>
      <w:proofErr w:type="spellEnd"/>
      <w:r>
        <w:t> </w:t>
      </w:r>
      <w:r w:rsidR="00A76805">
        <w:t>E</w:t>
      </w:r>
      <w:r>
        <w:t>ar </w:t>
      </w:r>
      <w:r w:rsidR="00A76805">
        <w:t>D</w:t>
      </w:r>
      <w:r>
        <w:t>rops 0,01 %.</w:t>
      </w:r>
    </w:p>
    <w:p w14:paraId="02C395F3" w14:textId="77777777" w:rsidR="00160F32" w:rsidRDefault="00160F32" w:rsidP="00160F32">
      <w:pPr>
        <w:pStyle w:val="Dispositif"/>
      </w:pPr>
    </w:p>
    <w:p w14:paraId="245C4E57" w14:textId="77777777" w:rsidR="00160F32" w:rsidRDefault="00160F32" w:rsidP="00160F32">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160F32" w14:paraId="1387DFD8" w14:textId="77777777" w:rsidTr="000D4C45">
        <w:tc>
          <w:tcPr>
            <w:tcW w:w="4795" w:type="dxa"/>
          </w:tcPr>
          <w:p w14:paraId="043628E4" w14:textId="77777777" w:rsidR="00160F32" w:rsidRDefault="00160F32" w:rsidP="000D4C45"/>
        </w:tc>
        <w:tc>
          <w:tcPr>
            <w:tcW w:w="4795" w:type="dxa"/>
          </w:tcPr>
          <w:p w14:paraId="2CCB6FAC" w14:textId="77777777" w:rsidR="00160F32" w:rsidRDefault="00160F32" w:rsidP="000D4C45">
            <w:r>
              <w:t>__________________________________</w:t>
            </w:r>
          </w:p>
        </w:tc>
      </w:tr>
      <w:tr w:rsidR="00160F32" w14:paraId="05D55F81" w14:textId="77777777" w:rsidTr="000D4C45">
        <w:tc>
          <w:tcPr>
            <w:tcW w:w="4795" w:type="dxa"/>
          </w:tcPr>
          <w:p w14:paraId="5EA32A73" w14:textId="77777777" w:rsidR="00160F32" w:rsidRDefault="00160F32" w:rsidP="000D4C45"/>
        </w:tc>
        <w:tc>
          <w:tcPr>
            <w:tcW w:w="4795" w:type="dxa"/>
          </w:tcPr>
          <w:p w14:paraId="34A05478" w14:textId="77777777" w:rsidR="00160F32" w:rsidRDefault="00160F32" w:rsidP="000D4C45">
            <w:r>
              <w:t>Isabelle Piché</w:t>
            </w:r>
          </w:p>
        </w:tc>
      </w:tr>
      <w:tr w:rsidR="00160F32" w14:paraId="3677392C" w14:textId="77777777" w:rsidTr="000D4C45">
        <w:trPr>
          <w:cantSplit/>
        </w:trPr>
        <w:tc>
          <w:tcPr>
            <w:tcW w:w="9590" w:type="dxa"/>
            <w:gridSpan w:val="2"/>
          </w:tcPr>
          <w:p w14:paraId="65BD9E85" w14:textId="77777777" w:rsidR="00160F32" w:rsidRDefault="00160F32" w:rsidP="000D4C45"/>
        </w:tc>
      </w:tr>
      <w:tr w:rsidR="00160F32" w14:paraId="20C22036" w14:textId="77777777" w:rsidTr="000D4C45">
        <w:trPr>
          <w:cantSplit/>
        </w:trPr>
        <w:tc>
          <w:tcPr>
            <w:tcW w:w="9590" w:type="dxa"/>
            <w:gridSpan w:val="2"/>
          </w:tcPr>
          <w:p w14:paraId="16D91332" w14:textId="77777777" w:rsidR="00160F32" w:rsidRPr="00C912F9" w:rsidRDefault="00160F32" w:rsidP="000D4C45">
            <w:pPr>
              <w:tabs>
                <w:tab w:val="left" w:pos="1592"/>
              </w:tabs>
            </w:pPr>
          </w:p>
        </w:tc>
      </w:tr>
      <w:tr w:rsidR="00160F32" w14:paraId="728EC098" w14:textId="77777777" w:rsidTr="000D4C45">
        <w:trPr>
          <w:cantSplit/>
        </w:trPr>
        <w:tc>
          <w:tcPr>
            <w:tcW w:w="9590" w:type="dxa"/>
            <w:gridSpan w:val="2"/>
          </w:tcPr>
          <w:p w14:paraId="525A7030" w14:textId="77777777" w:rsidR="00160F32" w:rsidRDefault="00160F32" w:rsidP="000D4C45"/>
        </w:tc>
      </w:tr>
      <w:tr w:rsidR="00160F32" w14:paraId="5AA960EE" w14:textId="77777777" w:rsidTr="000D4C45">
        <w:trPr>
          <w:cantSplit/>
        </w:trPr>
        <w:tc>
          <w:tcPr>
            <w:tcW w:w="9590" w:type="dxa"/>
            <w:gridSpan w:val="2"/>
          </w:tcPr>
          <w:p w14:paraId="697F7B48" w14:textId="77777777" w:rsidR="00160F32" w:rsidRDefault="00160F32" w:rsidP="000D4C45"/>
        </w:tc>
      </w:tr>
      <w:tr w:rsidR="00160F32" w14:paraId="0D76E9C1" w14:textId="77777777" w:rsidTr="000D4C45">
        <w:trPr>
          <w:cantSplit/>
        </w:trPr>
        <w:tc>
          <w:tcPr>
            <w:tcW w:w="9590" w:type="dxa"/>
            <w:gridSpan w:val="2"/>
          </w:tcPr>
          <w:p w14:paraId="2EF87A41" w14:textId="77777777" w:rsidR="00160F32" w:rsidRDefault="00160F32" w:rsidP="000D4C45">
            <w:pPr>
              <w:pStyle w:val="zSoquijdatNomProcureurDem"/>
            </w:pPr>
            <w:r>
              <w:t>M</w:t>
            </w:r>
            <w:r w:rsidRPr="003F4CCD">
              <w:rPr>
                <w:vertAlign w:val="superscript"/>
              </w:rPr>
              <w:t>e</w:t>
            </w:r>
            <w:r>
              <w:t xml:space="preserve"> Julie Boyer</w:t>
            </w:r>
          </w:p>
        </w:tc>
      </w:tr>
      <w:tr w:rsidR="00160F32" w14:paraId="5D322483" w14:textId="77777777" w:rsidTr="000D4C45">
        <w:trPr>
          <w:cantSplit/>
        </w:trPr>
        <w:tc>
          <w:tcPr>
            <w:tcW w:w="9590" w:type="dxa"/>
            <w:gridSpan w:val="2"/>
          </w:tcPr>
          <w:p w14:paraId="25F2584C" w14:textId="77777777" w:rsidR="00160F32" w:rsidRDefault="00160F32" w:rsidP="000D4C45">
            <w:pPr>
              <w:pStyle w:val="zSoquijdatCabinetProcureurDem"/>
            </w:pPr>
            <w:r>
              <w:t>U.O.M.L.-LOCAL 791</w:t>
            </w:r>
          </w:p>
        </w:tc>
      </w:tr>
      <w:tr w:rsidR="00160F32" w14:paraId="5959EFE0" w14:textId="77777777" w:rsidTr="000D4C45">
        <w:trPr>
          <w:cantSplit/>
        </w:trPr>
        <w:tc>
          <w:tcPr>
            <w:tcW w:w="9590" w:type="dxa"/>
            <w:gridSpan w:val="2"/>
          </w:tcPr>
          <w:p w14:paraId="67AFABAD" w14:textId="77777777" w:rsidR="00160F32" w:rsidRDefault="00160F32" w:rsidP="000D4C45">
            <w:pPr>
              <w:pStyle w:val="zSoquijlblProcureurDem"/>
            </w:pPr>
            <w:r>
              <w:t>Pour la partie demanderesse</w:t>
            </w:r>
          </w:p>
        </w:tc>
      </w:tr>
      <w:tr w:rsidR="00160F32" w14:paraId="3FB51531" w14:textId="77777777" w:rsidTr="000D4C45">
        <w:trPr>
          <w:cantSplit/>
        </w:trPr>
        <w:tc>
          <w:tcPr>
            <w:tcW w:w="9590" w:type="dxa"/>
            <w:gridSpan w:val="2"/>
          </w:tcPr>
          <w:p w14:paraId="6A545105" w14:textId="77777777" w:rsidR="00160F32" w:rsidRDefault="00160F32" w:rsidP="000D4C45"/>
        </w:tc>
      </w:tr>
      <w:tr w:rsidR="00160F32" w14:paraId="51950D91" w14:textId="77777777" w:rsidTr="000D4C45">
        <w:trPr>
          <w:cantSplit/>
        </w:trPr>
        <w:tc>
          <w:tcPr>
            <w:tcW w:w="9590" w:type="dxa"/>
            <w:gridSpan w:val="2"/>
          </w:tcPr>
          <w:p w14:paraId="20FAD39E" w14:textId="77777777" w:rsidR="00160F32" w:rsidRDefault="00160F32" w:rsidP="000D4C45"/>
        </w:tc>
      </w:tr>
      <w:tr w:rsidR="00160F32" w14:paraId="67AF8B70" w14:textId="77777777" w:rsidTr="000D4C45">
        <w:trPr>
          <w:cantSplit/>
        </w:trPr>
        <w:tc>
          <w:tcPr>
            <w:tcW w:w="9590" w:type="dxa"/>
            <w:gridSpan w:val="2"/>
          </w:tcPr>
          <w:p w14:paraId="5E366437" w14:textId="77777777" w:rsidR="00160F32" w:rsidRDefault="00160F32" w:rsidP="000D4C45">
            <w:pPr>
              <w:pStyle w:val="zSoquijdatDateAudience"/>
            </w:pPr>
            <w:r>
              <w:t>Date de la mise en délibéré :</w:t>
            </w:r>
            <w:r>
              <w:tab/>
              <w:t>23 novembre 2021</w:t>
            </w:r>
          </w:p>
        </w:tc>
      </w:tr>
    </w:tbl>
    <w:p w14:paraId="54853262" w14:textId="77777777" w:rsidR="00160F32" w:rsidRDefault="00160F32" w:rsidP="00160F32"/>
    <w:sectPr w:rsidR="00160F32">
      <w:headerReference w:type="default" r:id="rId8"/>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E94B2" w14:textId="77777777" w:rsidR="00A71DB4" w:rsidRDefault="00A71DB4">
      <w:r>
        <w:separator/>
      </w:r>
    </w:p>
  </w:endnote>
  <w:endnote w:type="continuationSeparator" w:id="0">
    <w:p w14:paraId="721E215D" w14:textId="77777777" w:rsidR="00A71DB4" w:rsidRDefault="00A7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FBBD" w14:textId="77777777" w:rsidR="00A71DB4" w:rsidRDefault="00A71DB4">
      <w:r>
        <w:separator/>
      </w:r>
    </w:p>
  </w:footnote>
  <w:footnote w:type="continuationSeparator" w:id="0">
    <w:p w14:paraId="23C3D82C" w14:textId="77777777" w:rsidR="00A71DB4" w:rsidRDefault="00A71DB4">
      <w:r>
        <w:continuationSeparator/>
      </w:r>
    </w:p>
  </w:footnote>
  <w:footnote w:id="1">
    <w:p w14:paraId="00593849" w14:textId="77777777" w:rsidR="00D24FF5" w:rsidRPr="00D24FF5" w:rsidRDefault="00D24FF5" w:rsidP="00D24FF5">
      <w:pPr>
        <w:pStyle w:val="FootnoteText"/>
        <w:ind w:left="709" w:hanging="709"/>
        <w:rPr>
          <w:sz w:val="20"/>
        </w:rPr>
      </w:pPr>
      <w:r>
        <w:rPr>
          <w:rStyle w:val="FootnoteReference"/>
        </w:rPr>
        <w:footnoteRef/>
      </w:r>
      <w:r>
        <w:t xml:space="preserve"> </w:t>
      </w:r>
      <w:r>
        <w:rPr>
          <w:sz w:val="20"/>
        </w:rPr>
        <w:tab/>
      </w:r>
      <w:r w:rsidRPr="009F341F">
        <w:rPr>
          <w:sz w:val="20"/>
        </w:rPr>
        <w:t>RLRQ, c. A-3.001.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0" w:type="dxa"/>
      <w:tblLayout w:type="fixed"/>
      <w:tblCellMar>
        <w:left w:w="70" w:type="dxa"/>
        <w:right w:w="70" w:type="dxa"/>
      </w:tblCellMar>
      <w:tblLook w:val="0000" w:firstRow="0" w:lastRow="0" w:firstColumn="0" w:lastColumn="0" w:noHBand="0" w:noVBand="0"/>
    </w:tblPr>
    <w:tblGrid>
      <w:gridCol w:w="8730"/>
      <w:gridCol w:w="860"/>
    </w:tblGrid>
    <w:tr w:rsidR="00A95C5E" w14:paraId="72E1D048" w14:textId="77777777">
      <w:tc>
        <w:tcPr>
          <w:tcW w:w="8730" w:type="dxa"/>
        </w:tcPr>
        <w:p w14:paraId="435A6A97" w14:textId="77777777" w:rsidR="00A95C5E" w:rsidRDefault="00A95C5E">
          <w:pPr>
            <w:pStyle w:val="Header"/>
            <w:ind w:left="-90"/>
          </w:pPr>
        </w:p>
      </w:tc>
      <w:tc>
        <w:tcPr>
          <w:tcW w:w="860" w:type="dxa"/>
        </w:tcPr>
        <w:p w14:paraId="7EB7F93F" w14:textId="77777777" w:rsidR="00A95C5E" w:rsidRDefault="00A95C5E">
          <w:pPr>
            <w:pStyle w:val="Header"/>
            <w:ind w:left="-90"/>
          </w:pPr>
        </w:p>
      </w:tc>
    </w:tr>
    <w:tr w:rsidR="00A95C5E" w14:paraId="099166EB" w14:textId="77777777">
      <w:tc>
        <w:tcPr>
          <w:tcW w:w="8730" w:type="dxa"/>
        </w:tcPr>
        <w:p w14:paraId="5C0057A9" w14:textId="77777777" w:rsidR="00A95C5E" w:rsidRDefault="00160F32">
          <w:r>
            <w:t>1208451-64-2012</w:t>
          </w:r>
        </w:p>
      </w:tc>
      <w:tc>
        <w:tcPr>
          <w:tcW w:w="860" w:type="dxa"/>
        </w:tcPr>
        <w:p w14:paraId="142FD1D4" w14:textId="77777777" w:rsidR="00A95C5E" w:rsidRDefault="00A95C5E">
          <w:pPr>
            <w:pStyle w:val="Header"/>
            <w:ind w:left="-9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DC0BD0">
            <w:rPr>
              <w:rStyle w:val="PageNumber"/>
              <w:noProof/>
            </w:rPr>
            <w:t>5</w:t>
          </w:r>
          <w:r>
            <w:rPr>
              <w:rStyle w:val="PageNumber"/>
            </w:rPr>
            <w:fldChar w:fldCharType="end"/>
          </w:r>
        </w:p>
      </w:tc>
    </w:tr>
    <w:tr w:rsidR="00A95C5E" w14:paraId="6AD29AE9" w14:textId="77777777">
      <w:tc>
        <w:tcPr>
          <w:tcW w:w="8730" w:type="dxa"/>
        </w:tcPr>
        <w:p w14:paraId="2A2601FD" w14:textId="77777777" w:rsidR="00A95C5E" w:rsidRDefault="00A95C5E"/>
      </w:tc>
      <w:tc>
        <w:tcPr>
          <w:tcW w:w="860" w:type="dxa"/>
        </w:tcPr>
        <w:p w14:paraId="0F271EBB" w14:textId="77777777" w:rsidR="00A95C5E" w:rsidRDefault="00A95C5E">
          <w:pPr>
            <w:pStyle w:val="Header"/>
            <w:ind w:left="-90"/>
            <w:jc w:val="right"/>
          </w:pPr>
        </w:p>
      </w:tc>
    </w:tr>
  </w:tbl>
  <w:p w14:paraId="2C8DD894" w14:textId="77777777" w:rsidR="00A95C5E" w:rsidRDefault="00A95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8"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9"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16cid:durableId="150948260">
    <w:abstractNumId w:val="7"/>
  </w:num>
  <w:num w:numId="2" w16cid:durableId="443186870">
    <w:abstractNumId w:val="6"/>
  </w:num>
  <w:num w:numId="3" w16cid:durableId="684017541">
    <w:abstractNumId w:val="5"/>
  </w:num>
  <w:num w:numId="4" w16cid:durableId="505171144">
    <w:abstractNumId w:val="3"/>
  </w:num>
  <w:num w:numId="5" w16cid:durableId="798911224">
    <w:abstractNumId w:val="9"/>
  </w:num>
  <w:num w:numId="6" w16cid:durableId="1967851739">
    <w:abstractNumId w:val="9"/>
  </w:num>
  <w:num w:numId="7" w16cid:durableId="792360517">
    <w:abstractNumId w:val="0"/>
  </w:num>
  <w:num w:numId="8" w16cid:durableId="1565287724">
    <w:abstractNumId w:val="2"/>
  </w:num>
  <w:num w:numId="9" w16cid:durableId="937328422">
    <w:abstractNumId w:val="1"/>
  </w:num>
  <w:num w:numId="10" w16cid:durableId="455148092">
    <w:abstractNumId w:val="8"/>
  </w:num>
  <w:num w:numId="11" w16cid:durableId="330957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32"/>
    <w:rsid w:val="000034B0"/>
    <w:rsid w:val="000041A1"/>
    <w:rsid w:val="0001305E"/>
    <w:rsid w:val="00021B30"/>
    <w:rsid w:val="00021E4C"/>
    <w:rsid w:val="00022556"/>
    <w:rsid w:val="00023858"/>
    <w:rsid w:val="000352CA"/>
    <w:rsid w:val="000366EC"/>
    <w:rsid w:val="00043E4D"/>
    <w:rsid w:val="00056393"/>
    <w:rsid w:val="0007225E"/>
    <w:rsid w:val="00074EAE"/>
    <w:rsid w:val="00076D81"/>
    <w:rsid w:val="00080885"/>
    <w:rsid w:val="00082A97"/>
    <w:rsid w:val="0008378A"/>
    <w:rsid w:val="0008784D"/>
    <w:rsid w:val="00090018"/>
    <w:rsid w:val="00090306"/>
    <w:rsid w:val="00093ACD"/>
    <w:rsid w:val="00095814"/>
    <w:rsid w:val="00097D81"/>
    <w:rsid w:val="00097FCE"/>
    <w:rsid w:val="000A4AD0"/>
    <w:rsid w:val="000A5AD1"/>
    <w:rsid w:val="000A77C5"/>
    <w:rsid w:val="000B7F1B"/>
    <w:rsid w:val="000C710F"/>
    <w:rsid w:val="000D3948"/>
    <w:rsid w:val="000E0C28"/>
    <w:rsid w:val="000E1320"/>
    <w:rsid w:val="000E3FF6"/>
    <w:rsid w:val="000E56A6"/>
    <w:rsid w:val="000F3423"/>
    <w:rsid w:val="000F5F81"/>
    <w:rsid w:val="00104550"/>
    <w:rsid w:val="00104C3D"/>
    <w:rsid w:val="001050B4"/>
    <w:rsid w:val="001144AB"/>
    <w:rsid w:val="0012224D"/>
    <w:rsid w:val="001225BC"/>
    <w:rsid w:val="00122A9E"/>
    <w:rsid w:val="00122F94"/>
    <w:rsid w:val="0012326A"/>
    <w:rsid w:val="00137E7E"/>
    <w:rsid w:val="001407FC"/>
    <w:rsid w:val="00144572"/>
    <w:rsid w:val="00147A49"/>
    <w:rsid w:val="00147B8B"/>
    <w:rsid w:val="0015125A"/>
    <w:rsid w:val="00152464"/>
    <w:rsid w:val="0015539F"/>
    <w:rsid w:val="00160597"/>
    <w:rsid w:val="00160F32"/>
    <w:rsid w:val="001664C8"/>
    <w:rsid w:val="00167AD0"/>
    <w:rsid w:val="00167E9D"/>
    <w:rsid w:val="00173184"/>
    <w:rsid w:val="00175079"/>
    <w:rsid w:val="00183515"/>
    <w:rsid w:val="001A03BE"/>
    <w:rsid w:val="001A067E"/>
    <w:rsid w:val="001A2900"/>
    <w:rsid w:val="001A4081"/>
    <w:rsid w:val="001A65F1"/>
    <w:rsid w:val="001B2B40"/>
    <w:rsid w:val="001B3E9D"/>
    <w:rsid w:val="001B4A40"/>
    <w:rsid w:val="001B5524"/>
    <w:rsid w:val="001C19D4"/>
    <w:rsid w:val="001C2B0B"/>
    <w:rsid w:val="001C436D"/>
    <w:rsid w:val="001D65D8"/>
    <w:rsid w:val="001E42F0"/>
    <w:rsid w:val="00226493"/>
    <w:rsid w:val="00227040"/>
    <w:rsid w:val="00230CFC"/>
    <w:rsid w:val="00231C1D"/>
    <w:rsid w:val="00241CED"/>
    <w:rsid w:val="00242FB4"/>
    <w:rsid w:val="00245605"/>
    <w:rsid w:val="002563F0"/>
    <w:rsid w:val="00256DBB"/>
    <w:rsid w:val="002637EB"/>
    <w:rsid w:val="00266064"/>
    <w:rsid w:val="00267C8D"/>
    <w:rsid w:val="002701DD"/>
    <w:rsid w:val="00273F49"/>
    <w:rsid w:val="002769B5"/>
    <w:rsid w:val="00276B59"/>
    <w:rsid w:val="00281319"/>
    <w:rsid w:val="00286149"/>
    <w:rsid w:val="0028668D"/>
    <w:rsid w:val="00290289"/>
    <w:rsid w:val="00292188"/>
    <w:rsid w:val="00296645"/>
    <w:rsid w:val="00296A4B"/>
    <w:rsid w:val="00297284"/>
    <w:rsid w:val="002A0077"/>
    <w:rsid w:val="002A07DC"/>
    <w:rsid w:val="002A3573"/>
    <w:rsid w:val="002A374B"/>
    <w:rsid w:val="002A73E9"/>
    <w:rsid w:val="002B2FC3"/>
    <w:rsid w:val="002B35F0"/>
    <w:rsid w:val="002B58AF"/>
    <w:rsid w:val="002C3748"/>
    <w:rsid w:val="002C5E89"/>
    <w:rsid w:val="002D42BC"/>
    <w:rsid w:val="002D71A9"/>
    <w:rsid w:val="002D7846"/>
    <w:rsid w:val="002D7FCB"/>
    <w:rsid w:val="002E05AE"/>
    <w:rsid w:val="002F7507"/>
    <w:rsid w:val="00302FB4"/>
    <w:rsid w:val="00305273"/>
    <w:rsid w:val="003057FC"/>
    <w:rsid w:val="00307C85"/>
    <w:rsid w:val="00312983"/>
    <w:rsid w:val="003248CB"/>
    <w:rsid w:val="00331EA7"/>
    <w:rsid w:val="003332B8"/>
    <w:rsid w:val="00337555"/>
    <w:rsid w:val="00344465"/>
    <w:rsid w:val="0034740A"/>
    <w:rsid w:val="0035375B"/>
    <w:rsid w:val="00362D74"/>
    <w:rsid w:val="003664E9"/>
    <w:rsid w:val="00366D1E"/>
    <w:rsid w:val="00370AF5"/>
    <w:rsid w:val="0037112C"/>
    <w:rsid w:val="00373EE5"/>
    <w:rsid w:val="003817E7"/>
    <w:rsid w:val="00382E55"/>
    <w:rsid w:val="00390B55"/>
    <w:rsid w:val="003961B2"/>
    <w:rsid w:val="003A41AD"/>
    <w:rsid w:val="003B152B"/>
    <w:rsid w:val="003B166D"/>
    <w:rsid w:val="003B1734"/>
    <w:rsid w:val="003B1735"/>
    <w:rsid w:val="003B6CBF"/>
    <w:rsid w:val="003C47A7"/>
    <w:rsid w:val="003D0826"/>
    <w:rsid w:val="003D18FC"/>
    <w:rsid w:val="003D3C93"/>
    <w:rsid w:val="003E00D5"/>
    <w:rsid w:val="003E00F2"/>
    <w:rsid w:val="003E02BA"/>
    <w:rsid w:val="003F0578"/>
    <w:rsid w:val="003F7F38"/>
    <w:rsid w:val="0040399B"/>
    <w:rsid w:val="00406F0C"/>
    <w:rsid w:val="00411251"/>
    <w:rsid w:val="00412585"/>
    <w:rsid w:val="0041363B"/>
    <w:rsid w:val="00415D5D"/>
    <w:rsid w:val="004232E9"/>
    <w:rsid w:val="0042650F"/>
    <w:rsid w:val="0042684F"/>
    <w:rsid w:val="00427D5D"/>
    <w:rsid w:val="00431E0B"/>
    <w:rsid w:val="004337FE"/>
    <w:rsid w:val="00433E98"/>
    <w:rsid w:val="00435738"/>
    <w:rsid w:val="00437137"/>
    <w:rsid w:val="004403B8"/>
    <w:rsid w:val="00441ADA"/>
    <w:rsid w:val="004422CA"/>
    <w:rsid w:val="0044371C"/>
    <w:rsid w:val="0044627E"/>
    <w:rsid w:val="0045114F"/>
    <w:rsid w:val="004529D3"/>
    <w:rsid w:val="00453F31"/>
    <w:rsid w:val="00456B0C"/>
    <w:rsid w:val="0046538B"/>
    <w:rsid w:val="00471C92"/>
    <w:rsid w:val="004739AC"/>
    <w:rsid w:val="00474489"/>
    <w:rsid w:val="00475FEF"/>
    <w:rsid w:val="0047776F"/>
    <w:rsid w:val="00482D5B"/>
    <w:rsid w:val="004870EA"/>
    <w:rsid w:val="00487F13"/>
    <w:rsid w:val="0049595F"/>
    <w:rsid w:val="00496193"/>
    <w:rsid w:val="004A02AF"/>
    <w:rsid w:val="004A4449"/>
    <w:rsid w:val="004A679B"/>
    <w:rsid w:val="004C0FB4"/>
    <w:rsid w:val="004C1811"/>
    <w:rsid w:val="004C2944"/>
    <w:rsid w:val="004C4555"/>
    <w:rsid w:val="004D16D6"/>
    <w:rsid w:val="004D6CEA"/>
    <w:rsid w:val="004E3564"/>
    <w:rsid w:val="004E51C0"/>
    <w:rsid w:val="004E64BE"/>
    <w:rsid w:val="004F6293"/>
    <w:rsid w:val="00503B8D"/>
    <w:rsid w:val="00503EE3"/>
    <w:rsid w:val="00505811"/>
    <w:rsid w:val="0051261C"/>
    <w:rsid w:val="00515DE7"/>
    <w:rsid w:val="00517EB0"/>
    <w:rsid w:val="005205CB"/>
    <w:rsid w:val="005348E4"/>
    <w:rsid w:val="005352F1"/>
    <w:rsid w:val="00540094"/>
    <w:rsid w:val="0054019E"/>
    <w:rsid w:val="00545CFF"/>
    <w:rsid w:val="00555800"/>
    <w:rsid w:val="00556DBB"/>
    <w:rsid w:val="00560781"/>
    <w:rsid w:val="0056268F"/>
    <w:rsid w:val="005662E9"/>
    <w:rsid w:val="005700F8"/>
    <w:rsid w:val="00572AAF"/>
    <w:rsid w:val="00572CC3"/>
    <w:rsid w:val="005801AE"/>
    <w:rsid w:val="00582868"/>
    <w:rsid w:val="00582ECC"/>
    <w:rsid w:val="0058399B"/>
    <w:rsid w:val="0058692F"/>
    <w:rsid w:val="00587045"/>
    <w:rsid w:val="00587C22"/>
    <w:rsid w:val="005907BE"/>
    <w:rsid w:val="0059436D"/>
    <w:rsid w:val="005945C0"/>
    <w:rsid w:val="00597016"/>
    <w:rsid w:val="005974B7"/>
    <w:rsid w:val="005A0D51"/>
    <w:rsid w:val="005A181B"/>
    <w:rsid w:val="005A1CB3"/>
    <w:rsid w:val="005A3073"/>
    <w:rsid w:val="005A33A5"/>
    <w:rsid w:val="005A70A0"/>
    <w:rsid w:val="005B0612"/>
    <w:rsid w:val="005B13F0"/>
    <w:rsid w:val="005B2E0C"/>
    <w:rsid w:val="005B30F6"/>
    <w:rsid w:val="005B45BA"/>
    <w:rsid w:val="005B5689"/>
    <w:rsid w:val="005B6680"/>
    <w:rsid w:val="005B6774"/>
    <w:rsid w:val="005C0A89"/>
    <w:rsid w:val="005C3BC4"/>
    <w:rsid w:val="005D26CC"/>
    <w:rsid w:val="005D59B1"/>
    <w:rsid w:val="005D764B"/>
    <w:rsid w:val="005E2367"/>
    <w:rsid w:val="005E5E90"/>
    <w:rsid w:val="005E654C"/>
    <w:rsid w:val="005F05F6"/>
    <w:rsid w:val="00605734"/>
    <w:rsid w:val="0061488E"/>
    <w:rsid w:val="0061574B"/>
    <w:rsid w:val="00622670"/>
    <w:rsid w:val="00623A1A"/>
    <w:rsid w:val="00626E8D"/>
    <w:rsid w:val="0063156B"/>
    <w:rsid w:val="006326A9"/>
    <w:rsid w:val="00632DA8"/>
    <w:rsid w:val="00634E6E"/>
    <w:rsid w:val="0064342A"/>
    <w:rsid w:val="00643A28"/>
    <w:rsid w:val="006452FA"/>
    <w:rsid w:val="0065093D"/>
    <w:rsid w:val="00652A16"/>
    <w:rsid w:val="00655193"/>
    <w:rsid w:val="00655459"/>
    <w:rsid w:val="00656FB2"/>
    <w:rsid w:val="00657A70"/>
    <w:rsid w:val="00661454"/>
    <w:rsid w:val="006620AA"/>
    <w:rsid w:val="0066642D"/>
    <w:rsid w:val="00675E85"/>
    <w:rsid w:val="0067750F"/>
    <w:rsid w:val="00681396"/>
    <w:rsid w:val="0068171F"/>
    <w:rsid w:val="0068401E"/>
    <w:rsid w:val="006841A4"/>
    <w:rsid w:val="0068643F"/>
    <w:rsid w:val="006877A1"/>
    <w:rsid w:val="00692150"/>
    <w:rsid w:val="00692F0C"/>
    <w:rsid w:val="00696E7C"/>
    <w:rsid w:val="006A0C54"/>
    <w:rsid w:val="006A7C53"/>
    <w:rsid w:val="006B140A"/>
    <w:rsid w:val="006B309C"/>
    <w:rsid w:val="006B727F"/>
    <w:rsid w:val="006C6D3A"/>
    <w:rsid w:val="006C7B36"/>
    <w:rsid w:val="006C7B7F"/>
    <w:rsid w:val="006D19E8"/>
    <w:rsid w:val="006E04B5"/>
    <w:rsid w:val="006E330C"/>
    <w:rsid w:val="006E3DD8"/>
    <w:rsid w:val="006E793F"/>
    <w:rsid w:val="006F0154"/>
    <w:rsid w:val="006F608D"/>
    <w:rsid w:val="006F7944"/>
    <w:rsid w:val="00704121"/>
    <w:rsid w:val="00705BB5"/>
    <w:rsid w:val="0071326F"/>
    <w:rsid w:val="007153D7"/>
    <w:rsid w:val="00720ED4"/>
    <w:rsid w:val="0074488F"/>
    <w:rsid w:val="00745AA8"/>
    <w:rsid w:val="007503E0"/>
    <w:rsid w:val="007510EC"/>
    <w:rsid w:val="0075233C"/>
    <w:rsid w:val="0075256A"/>
    <w:rsid w:val="00752DCD"/>
    <w:rsid w:val="007569DE"/>
    <w:rsid w:val="0075723C"/>
    <w:rsid w:val="00775BDF"/>
    <w:rsid w:val="0077614D"/>
    <w:rsid w:val="0077701F"/>
    <w:rsid w:val="00782C8F"/>
    <w:rsid w:val="00785F78"/>
    <w:rsid w:val="0078659D"/>
    <w:rsid w:val="007869EC"/>
    <w:rsid w:val="007A1E58"/>
    <w:rsid w:val="007A5C7E"/>
    <w:rsid w:val="007A6E2F"/>
    <w:rsid w:val="007B0DF2"/>
    <w:rsid w:val="007B3BC5"/>
    <w:rsid w:val="007D03DF"/>
    <w:rsid w:val="007D4953"/>
    <w:rsid w:val="007D50F4"/>
    <w:rsid w:val="007D7173"/>
    <w:rsid w:val="007E1216"/>
    <w:rsid w:val="007E4CD4"/>
    <w:rsid w:val="007E530C"/>
    <w:rsid w:val="007F0E8E"/>
    <w:rsid w:val="007F2149"/>
    <w:rsid w:val="007F4E00"/>
    <w:rsid w:val="008048CF"/>
    <w:rsid w:val="008079DD"/>
    <w:rsid w:val="0081130F"/>
    <w:rsid w:val="00813095"/>
    <w:rsid w:val="008145AD"/>
    <w:rsid w:val="008146B2"/>
    <w:rsid w:val="00824430"/>
    <w:rsid w:val="00825B1F"/>
    <w:rsid w:val="00827D55"/>
    <w:rsid w:val="00840EDD"/>
    <w:rsid w:val="0084255F"/>
    <w:rsid w:val="00854FB3"/>
    <w:rsid w:val="00860F13"/>
    <w:rsid w:val="00861F8B"/>
    <w:rsid w:val="0086561F"/>
    <w:rsid w:val="00865A7A"/>
    <w:rsid w:val="00865FE1"/>
    <w:rsid w:val="0087069B"/>
    <w:rsid w:val="008748C7"/>
    <w:rsid w:val="0087521A"/>
    <w:rsid w:val="008808C0"/>
    <w:rsid w:val="00890BDE"/>
    <w:rsid w:val="00892AD3"/>
    <w:rsid w:val="008962E7"/>
    <w:rsid w:val="008A1118"/>
    <w:rsid w:val="008A281F"/>
    <w:rsid w:val="008A48D2"/>
    <w:rsid w:val="008A4AF6"/>
    <w:rsid w:val="008A4FF8"/>
    <w:rsid w:val="008A5ED1"/>
    <w:rsid w:val="008A73CE"/>
    <w:rsid w:val="008A7FD1"/>
    <w:rsid w:val="008B042E"/>
    <w:rsid w:val="008B211E"/>
    <w:rsid w:val="008B5859"/>
    <w:rsid w:val="008B6D48"/>
    <w:rsid w:val="008C7660"/>
    <w:rsid w:val="008C79A7"/>
    <w:rsid w:val="008D5521"/>
    <w:rsid w:val="008D555F"/>
    <w:rsid w:val="008D625D"/>
    <w:rsid w:val="008D650E"/>
    <w:rsid w:val="008E6A41"/>
    <w:rsid w:val="008F15D5"/>
    <w:rsid w:val="00902BB3"/>
    <w:rsid w:val="00903990"/>
    <w:rsid w:val="009042A8"/>
    <w:rsid w:val="00904950"/>
    <w:rsid w:val="00915E5E"/>
    <w:rsid w:val="009166B8"/>
    <w:rsid w:val="00917915"/>
    <w:rsid w:val="00920684"/>
    <w:rsid w:val="009216E6"/>
    <w:rsid w:val="00922DB7"/>
    <w:rsid w:val="0092684A"/>
    <w:rsid w:val="00937FAB"/>
    <w:rsid w:val="0094094D"/>
    <w:rsid w:val="00942AB8"/>
    <w:rsid w:val="0094548C"/>
    <w:rsid w:val="00945CAF"/>
    <w:rsid w:val="00946AC9"/>
    <w:rsid w:val="00947448"/>
    <w:rsid w:val="00952B38"/>
    <w:rsid w:val="00952C99"/>
    <w:rsid w:val="00965333"/>
    <w:rsid w:val="009712EF"/>
    <w:rsid w:val="009727BF"/>
    <w:rsid w:val="00973321"/>
    <w:rsid w:val="00975C2E"/>
    <w:rsid w:val="00977270"/>
    <w:rsid w:val="009824F2"/>
    <w:rsid w:val="00983080"/>
    <w:rsid w:val="00986AA3"/>
    <w:rsid w:val="00993B24"/>
    <w:rsid w:val="0099611F"/>
    <w:rsid w:val="009A083F"/>
    <w:rsid w:val="009A135C"/>
    <w:rsid w:val="009A67E7"/>
    <w:rsid w:val="009C603A"/>
    <w:rsid w:val="009C74CD"/>
    <w:rsid w:val="009D048F"/>
    <w:rsid w:val="009D162F"/>
    <w:rsid w:val="009D401F"/>
    <w:rsid w:val="009D68FA"/>
    <w:rsid w:val="009E32CF"/>
    <w:rsid w:val="009E4FC2"/>
    <w:rsid w:val="009F341F"/>
    <w:rsid w:val="009F44AE"/>
    <w:rsid w:val="00A02529"/>
    <w:rsid w:val="00A02EF2"/>
    <w:rsid w:val="00A04D5E"/>
    <w:rsid w:val="00A10DDF"/>
    <w:rsid w:val="00A11172"/>
    <w:rsid w:val="00A1219E"/>
    <w:rsid w:val="00A12E55"/>
    <w:rsid w:val="00A2411A"/>
    <w:rsid w:val="00A242E4"/>
    <w:rsid w:val="00A24437"/>
    <w:rsid w:val="00A24CA0"/>
    <w:rsid w:val="00A33601"/>
    <w:rsid w:val="00A3362A"/>
    <w:rsid w:val="00A37B70"/>
    <w:rsid w:val="00A40AC7"/>
    <w:rsid w:val="00A435C7"/>
    <w:rsid w:val="00A569B2"/>
    <w:rsid w:val="00A611A4"/>
    <w:rsid w:val="00A61F09"/>
    <w:rsid w:val="00A6695B"/>
    <w:rsid w:val="00A71DB4"/>
    <w:rsid w:val="00A72703"/>
    <w:rsid w:val="00A727F6"/>
    <w:rsid w:val="00A72E71"/>
    <w:rsid w:val="00A76432"/>
    <w:rsid w:val="00A76805"/>
    <w:rsid w:val="00A770C0"/>
    <w:rsid w:val="00A84FC6"/>
    <w:rsid w:val="00A8528E"/>
    <w:rsid w:val="00A90BD9"/>
    <w:rsid w:val="00A94A49"/>
    <w:rsid w:val="00A95C5E"/>
    <w:rsid w:val="00AA1815"/>
    <w:rsid w:val="00AA1D3E"/>
    <w:rsid w:val="00AA39F9"/>
    <w:rsid w:val="00AA79D3"/>
    <w:rsid w:val="00AB0931"/>
    <w:rsid w:val="00AB5C9B"/>
    <w:rsid w:val="00AC0276"/>
    <w:rsid w:val="00AC0312"/>
    <w:rsid w:val="00AC0449"/>
    <w:rsid w:val="00AC0DC3"/>
    <w:rsid w:val="00AD2497"/>
    <w:rsid w:val="00AD5EB4"/>
    <w:rsid w:val="00AD667B"/>
    <w:rsid w:val="00AE63E2"/>
    <w:rsid w:val="00AF04C9"/>
    <w:rsid w:val="00AF1DC4"/>
    <w:rsid w:val="00AF26B6"/>
    <w:rsid w:val="00AF2979"/>
    <w:rsid w:val="00AF3189"/>
    <w:rsid w:val="00B0375C"/>
    <w:rsid w:val="00B052CB"/>
    <w:rsid w:val="00B156C3"/>
    <w:rsid w:val="00B15F67"/>
    <w:rsid w:val="00B1624F"/>
    <w:rsid w:val="00B20E25"/>
    <w:rsid w:val="00B20F5D"/>
    <w:rsid w:val="00B21184"/>
    <w:rsid w:val="00B224C5"/>
    <w:rsid w:val="00B325CD"/>
    <w:rsid w:val="00B4561E"/>
    <w:rsid w:val="00B4768D"/>
    <w:rsid w:val="00B518E5"/>
    <w:rsid w:val="00B51E1F"/>
    <w:rsid w:val="00B57032"/>
    <w:rsid w:val="00B60222"/>
    <w:rsid w:val="00B62CFB"/>
    <w:rsid w:val="00B662F5"/>
    <w:rsid w:val="00B66E09"/>
    <w:rsid w:val="00B7000C"/>
    <w:rsid w:val="00B760D5"/>
    <w:rsid w:val="00B83B2C"/>
    <w:rsid w:val="00B92049"/>
    <w:rsid w:val="00B94740"/>
    <w:rsid w:val="00B95002"/>
    <w:rsid w:val="00B97F75"/>
    <w:rsid w:val="00BA0A4F"/>
    <w:rsid w:val="00BA1CAE"/>
    <w:rsid w:val="00BA33BB"/>
    <w:rsid w:val="00BA4830"/>
    <w:rsid w:val="00BA6E22"/>
    <w:rsid w:val="00BB362C"/>
    <w:rsid w:val="00BB5942"/>
    <w:rsid w:val="00BC0A03"/>
    <w:rsid w:val="00BC5BB4"/>
    <w:rsid w:val="00BD4139"/>
    <w:rsid w:val="00BE059A"/>
    <w:rsid w:val="00BE1981"/>
    <w:rsid w:val="00BE2DA6"/>
    <w:rsid w:val="00BE320B"/>
    <w:rsid w:val="00BE56E9"/>
    <w:rsid w:val="00BE63CF"/>
    <w:rsid w:val="00BE7014"/>
    <w:rsid w:val="00BE7991"/>
    <w:rsid w:val="00BF25C7"/>
    <w:rsid w:val="00C009B7"/>
    <w:rsid w:val="00C04E32"/>
    <w:rsid w:val="00C116B1"/>
    <w:rsid w:val="00C15A3F"/>
    <w:rsid w:val="00C20630"/>
    <w:rsid w:val="00C224A4"/>
    <w:rsid w:val="00C22F7A"/>
    <w:rsid w:val="00C2666F"/>
    <w:rsid w:val="00C32020"/>
    <w:rsid w:val="00C32D02"/>
    <w:rsid w:val="00C3408C"/>
    <w:rsid w:val="00C3484D"/>
    <w:rsid w:val="00C351CC"/>
    <w:rsid w:val="00C35435"/>
    <w:rsid w:val="00C432FD"/>
    <w:rsid w:val="00C43CDF"/>
    <w:rsid w:val="00C512B2"/>
    <w:rsid w:val="00C61D56"/>
    <w:rsid w:val="00C62B69"/>
    <w:rsid w:val="00C644B7"/>
    <w:rsid w:val="00C64564"/>
    <w:rsid w:val="00C73C87"/>
    <w:rsid w:val="00C74B6F"/>
    <w:rsid w:val="00C87EF3"/>
    <w:rsid w:val="00C9015F"/>
    <w:rsid w:val="00C912F9"/>
    <w:rsid w:val="00C9241B"/>
    <w:rsid w:val="00C96DDF"/>
    <w:rsid w:val="00C97569"/>
    <w:rsid w:val="00CA199D"/>
    <w:rsid w:val="00CA4D9C"/>
    <w:rsid w:val="00CB05A7"/>
    <w:rsid w:val="00CB06A4"/>
    <w:rsid w:val="00CB325B"/>
    <w:rsid w:val="00CB64FF"/>
    <w:rsid w:val="00CB7078"/>
    <w:rsid w:val="00CC014B"/>
    <w:rsid w:val="00CC21D8"/>
    <w:rsid w:val="00CC3369"/>
    <w:rsid w:val="00CC5343"/>
    <w:rsid w:val="00CC6338"/>
    <w:rsid w:val="00CC78DE"/>
    <w:rsid w:val="00CD04D9"/>
    <w:rsid w:val="00CD0F93"/>
    <w:rsid w:val="00CD6D6E"/>
    <w:rsid w:val="00CD6F23"/>
    <w:rsid w:val="00CE63F7"/>
    <w:rsid w:val="00CF640B"/>
    <w:rsid w:val="00CF6B5A"/>
    <w:rsid w:val="00D027AF"/>
    <w:rsid w:val="00D0323E"/>
    <w:rsid w:val="00D06652"/>
    <w:rsid w:val="00D07FA6"/>
    <w:rsid w:val="00D16ADF"/>
    <w:rsid w:val="00D17C53"/>
    <w:rsid w:val="00D17D57"/>
    <w:rsid w:val="00D2341D"/>
    <w:rsid w:val="00D24FF5"/>
    <w:rsid w:val="00D25E0E"/>
    <w:rsid w:val="00D302EB"/>
    <w:rsid w:val="00D31679"/>
    <w:rsid w:val="00D320C8"/>
    <w:rsid w:val="00D3672F"/>
    <w:rsid w:val="00D40ABA"/>
    <w:rsid w:val="00D40FE2"/>
    <w:rsid w:val="00D440FA"/>
    <w:rsid w:val="00D44BCF"/>
    <w:rsid w:val="00D46E73"/>
    <w:rsid w:val="00D5548D"/>
    <w:rsid w:val="00D60F81"/>
    <w:rsid w:val="00D63951"/>
    <w:rsid w:val="00D63BF2"/>
    <w:rsid w:val="00D67348"/>
    <w:rsid w:val="00D70A26"/>
    <w:rsid w:val="00D73BB4"/>
    <w:rsid w:val="00D75FEC"/>
    <w:rsid w:val="00D76B98"/>
    <w:rsid w:val="00D835A0"/>
    <w:rsid w:val="00D86F2C"/>
    <w:rsid w:val="00DA0680"/>
    <w:rsid w:val="00DA36F6"/>
    <w:rsid w:val="00DB0C8D"/>
    <w:rsid w:val="00DC0BD0"/>
    <w:rsid w:val="00DC1611"/>
    <w:rsid w:val="00DD3C53"/>
    <w:rsid w:val="00DE745D"/>
    <w:rsid w:val="00DF0774"/>
    <w:rsid w:val="00DF1036"/>
    <w:rsid w:val="00DF4644"/>
    <w:rsid w:val="00E012B4"/>
    <w:rsid w:val="00E05451"/>
    <w:rsid w:val="00E05651"/>
    <w:rsid w:val="00E11BA5"/>
    <w:rsid w:val="00E20425"/>
    <w:rsid w:val="00E25DCB"/>
    <w:rsid w:val="00E4156E"/>
    <w:rsid w:val="00E44D61"/>
    <w:rsid w:val="00E453F2"/>
    <w:rsid w:val="00E460AD"/>
    <w:rsid w:val="00E61925"/>
    <w:rsid w:val="00E65C0E"/>
    <w:rsid w:val="00E730FC"/>
    <w:rsid w:val="00E746F0"/>
    <w:rsid w:val="00E809B9"/>
    <w:rsid w:val="00E82A15"/>
    <w:rsid w:val="00E85445"/>
    <w:rsid w:val="00E87589"/>
    <w:rsid w:val="00E938FF"/>
    <w:rsid w:val="00E93DFE"/>
    <w:rsid w:val="00EA2124"/>
    <w:rsid w:val="00EA2B12"/>
    <w:rsid w:val="00EA34DC"/>
    <w:rsid w:val="00EA5017"/>
    <w:rsid w:val="00EA6BED"/>
    <w:rsid w:val="00EB14F0"/>
    <w:rsid w:val="00EB3844"/>
    <w:rsid w:val="00EB5A9F"/>
    <w:rsid w:val="00EC573F"/>
    <w:rsid w:val="00EC5C8D"/>
    <w:rsid w:val="00ED106C"/>
    <w:rsid w:val="00ED2D34"/>
    <w:rsid w:val="00ED4805"/>
    <w:rsid w:val="00ED57F6"/>
    <w:rsid w:val="00ED6C51"/>
    <w:rsid w:val="00ED6DA1"/>
    <w:rsid w:val="00EF207D"/>
    <w:rsid w:val="00EF4258"/>
    <w:rsid w:val="00EF6D31"/>
    <w:rsid w:val="00F02237"/>
    <w:rsid w:val="00F079A6"/>
    <w:rsid w:val="00F10236"/>
    <w:rsid w:val="00F15811"/>
    <w:rsid w:val="00F22423"/>
    <w:rsid w:val="00F24C72"/>
    <w:rsid w:val="00F31D22"/>
    <w:rsid w:val="00F348B2"/>
    <w:rsid w:val="00F34BF0"/>
    <w:rsid w:val="00F34ED8"/>
    <w:rsid w:val="00F4095A"/>
    <w:rsid w:val="00F45845"/>
    <w:rsid w:val="00F4791A"/>
    <w:rsid w:val="00F50189"/>
    <w:rsid w:val="00F508FC"/>
    <w:rsid w:val="00F510B7"/>
    <w:rsid w:val="00F53571"/>
    <w:rsid w:val="00F54044"/>
    <w:rsid w:val="00F576E7"/>
    <w:rsid w:val="00F73D1C"/>
    <w:rsid w:val="00F763FC"/>
    <w:rsid w:val="00F772C1"/>
    <w:rsid w:val="00F8026D"/>
    <w:rsid w:val="00F8245F"/>
    <w:rsid w:val="00F82E40"/>
    <w:rsid w:val="00F91629"/>
    <w:rsid w:val="00F91E2A"/>
    <w:rsid w:val="00F96C39"/>
    <w:rsid w:val="00F96E41"/>
    <w:rsid w:val="00FA153F"/>
    <w:rsid w:val="00FA1D78"/>
    <w:rsid w:val="00FA1F7E"/>
    <w:rsid w:val="00FA280F"/>
    <w:rsid w:val="00FB2186"/>
    <w:rsid w:val="00FD0133"/>
    <w:rsid w:val="00FD25FE"/>
    <w:rsid w:val="00FD6206"/>
    <w:rsid w:val="00FE1318"/>
    <w:rsid w:val="00FE208F"/>
    <w:rsid w:val="00FF32C3"/>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E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corpsdedcision"/>
    <w:link w:val="Heading1Char"/>
    <w:qFormat/>
    <w:rsid w:val="00F96E41"/>
    <w:pPr>
      <w:keepNext/>
      <w:spacing w:before="240" w:after="240"/>
      <w:outlineLvl w:val="0"/>
    </w:pPr>
    <w:rPr>
      <w:rFonts w:cs="Arial"/>
      <w:b/>
      <w:bCs/>
      <w:caps/>
      <w:kern w:val="32"/>
      <w:szCs w:val="32"/>
      <w:u w:val="single"/>
      <w:lang w:eastAsia="fr-FR"/>
    </w:rPr>
  </w:style>
  <w:style w:type="paragraph" w:styleId="Heading2">
    <w:name w:val="heading 2"/>
    <w:basedOn w:val="Normal"/>
    <w:next w:val="corpsdedcision"/>
    <w:qFormat/>
    <w:rsid w:val="0034740A"/>
    <w:pPr>
      <w:keepNext/>
      <w:spacing w:before="240" w:after="240"/>
      <w:outlineLvl w:val="1"/>
    </w:pPr>
    <w:rPr>
      <w:rFonts w:cs="Arial"/>
      <w:bCs/>
      <w:iCs/>
      <w:caps/>
      <w:szCs w:val="28"/>
      <w:lang w:eastAsia="fr-FR"/>
    </w:rPr>
  </w:style>
  <w:style w:type="paragraph" w:styleId="Heading3">
    <w:name w:val="heading 3"/>
    <w:basedOn w:val="Normal"/>
    <w:next w:val="corpsdedcision"/>
    <w:qFormat/>
    <w:rsid w:val="008F15D5"/>
    <w:pPr>
      <w:keepNext/>
      <w:spacing w:before="240" w:after="240"/>
      <w:outlineLvl w:val="2"/>
    </w:pPr>
    <w:rPr>
      <w:rFonts w:cs="Arial"/>
      <w:b/>
      <w:bCs/>
      <w:szCs w:val="24"/>
      <w:lang w:eastAsia="fr-FR"/>
    </w:rPr>
  </w:style>
  <w:style w:type="paragraph" w:styleId="Heading4">
    <w:name w:val="heading 4"/>
    <w:basedOn w:val="Normal"/>
    <w:next w:val="corpsdedcision"/>
    <w:qFormat/>
    <w:rsid w:val="008F15D5"/>
    <w:pPr>
      <w:keepNext/>
      <w:spacing w:before="240" w:after="240"/>
      <w:outlineLvl w:val="3"/>
    </w:pPr>
    <w:rPr>
      <w:rFonts w:cs="Arial"/>
      <w:szCs w:val="24"/>
      <w:u w:val="single"/>
      <w:lang w:eastAsia="fr-FR"/>
    </w:rPr>
  </w:style>
  <w:style w:type="paragraph" w:styleId="Heading5">
    <w:name w:val="heading 5"/>
    <w:basedOn w:val="Normal"/>
    <w:next w:val="Normal"/>
    <w:qFormat/>
    <w:rsid w:val="005E2367"/>
    <w:pPr>
      <w:numPr>
        <w:ilvl w:val="4"/>
        <w:numId w:val="2"/>
      </w:numPr>
      <w:spacing w:before="240" w:after="60"/>
      <w:outlineLvl w:val="4"/>
    </w:pPr>
    <w:rPr>
      <w:b/>
      <w:bCs/>
      <w:i/>
      <w:iCs/>
      <w:sz w:val="26"/>
      <w:szCs w:val="26"/>
    </w:rPr>
  </w:style>
  <w:style w:type="paragraph" w:styleId="Heading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Heading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FootnoteReference">
    <w:name w:val="footnote reference"/>
    <w:basedOn w:val="DefaultParagraphFont"/>
    <w:semiHidden/>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FootnoteText">
    <w:name w:val="footnote text"/>
    <w:basedOn w:val="Normal"/>
    <w:link w:val="FootnoteTextChar1"/>
    <w:semiHidden/>
  </w:style>
  <w:style w:type="paragraph" w:styleId="Header">
    <w:name w:val="header"/>
    <w:basedOn w:val="Normal"/>
    <w:pPr>
      <w:tabs>
        <w:tab w:val="center" w:pos="4320"/>
        <w:tab w:val="right" w:pos="8640"/>
      </w:tabs>
    </w:pPr>
  </w:style>
  <w:style w:type="character" w:styleId="PageNumber">
    <w:name w:val="page number"/>
    <w:basedOn w:val="DefaultParagraphFont"/>
    <w:rPr>
      <w:rFonts w:ascii="Arial" w:hAnsi="Arial"/>
      <w:sz w:val="24"/>
    </w:rPr>
  </w:style>
  <w:style w:type="paragraph" w:styleId="Footer">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FootnoteTextChar1">
    <w:name w:val="Footnote Text Char1"/>
    <w:basedOn w:val="DefaultParagraphFont"/>
    <w:link w:val="FootnoteText"/>
    <w:semiHidden/>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8048CF"/>
    <w:pPr>
      <w:spacing w:before="0" w:after="0"/>
      <w:ind w:left="1440" w:right="1440"/>
    </w:pPr>
    <w:rPr>
      <w:sz w:val="18"/>
    </w:rPr>
  </w:style>
  <w:style w:type="character" w:customStyle="1" w:styleId="Citationintgre">
    <w:name w:val="Citation intégrée"/>
    <w:basedOn w:val="DefaultParagraphFon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Heading1Char">
    <w:name w:val="Heading 1 Char"/>
    <w:link w:val="Heading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Hyperlink">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ListParagraph">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DefaultParagraphFont"/>
    <w:locked/>
    <w:rsid w:val="00ED57F6"/>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8F31-F905-424D-9CE0-FC4B875BE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2026-06-22T15:31:00Z</dcterms:created>
  <dcterms:modified xsi:type="dcterms:W3CDTF">2026-06-22T15:31:00Z</dcterms:modified>
</cp:coreProperties>
</file>