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9" w:type="dxa"/>
        <w:tblInd w:w="-639" w:type="dxa"/>
        <w:tblLayout w:type="fixed"/>
        <w:tblCellMar>
          <w:left w:w="70" w:type="dxa"/>
          <w:right w:w="70" w:type="dxa"/>
        </w:tblCellMar>
        <w:tblLook w:val="0000" w:firstRow="0" w:lastRow="0" w:firstColumn="0" w:lastColumn="0" w:noHBand="0" w:noVBand="0"/>
      </w:tblPr>
      <w:tblGrid>
        <w:gridCol w:w="6962"/>
        <w:gridCol w:w="3267"/>
      </w:tblGrid>
      <w:tr w:rsidR="008A7FD1" w:rsidRPr="008A7FD1" w14:paraId="4B8A1F26" w14:textId="77777777" w:rsidTr="001E0F3A">
        <w:trPr>
          <w:cantSplit/>
        </w:trPr>
        <w:tc>
          <w:tcPr>
            <w:tcW w:w="6962" w:type="dxa"/>
          </w:tcPr>
          <w:p w14:paraId="22B7780A" w14:textId="32A97676" w:rsidR="008A7FD1" w:rsidRPr="008A64FE" w:rsidRDefault="008A64FE" w:rsidP="008A64FE">
            <w:pPr>
              <w:pStyle w:val="zSoquijdatRepertorie"/>
              <w:rPr>
                <w:rFonts w:cs="Arial"/>
              </w:rPr>
            </w:pPr>
            <w:r>
              <w:rPr>
                <w:rFonts w:cs="Arial"/>
              </w:rPr>
              <w:t xml:space="preserve">Breton et Urgences Bois-Francs </w:t>
            </w:r>
            <w:proofErr w:type="spellStart"/>
            <w:r>
              <w:rPr>
                <w:rFonts w:cs="Arial"/>
              </w:rPr>
              <w:t>inc.</w:t>
            </w:r>
            <w:proofErr w:type="spellEnd"/>
          </w:p>
        </w:tc>
        <w:tc>
          <w:tcPr>
            <w:tcW w:w="3267" w:type="dxa"/>
          </w:tcPr>
          <w:p w14:paraId="7384DFC9" w14:textId="7C6ACD9F" w:rsidR="008A7FD1" w:rsidRPr="00D70EDB" w:rsidRDefault="00D70EDB" w:rsidP="00D70EDB">
            <w:pPr>
              <w:pStyle w:val="zSoquijdatRefNeutre"/>
              <w:rPr>
                <w:rFonts w:cs="Arial"/>
              </w:rPr>
            </w:pPr>
            <w:r w:rsidRPr="00D70EDB">
              <w:rPr>
                <w:rFonts w:cs="Arial"/>
              </w:rPr>
              <w:t>2024 QCTAT 1662</w:t>
            </w:r>
          </w:p>
        </w:tc>
      </w:tr>
    </w:tbl>
    <w:p w14:paraId="0CD9DBD6"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614"/>
        <w:gridCol w:w="1134"/>
        <w:gridCol w:w="709"/>
        <w:gridCol w:w="4111"/>
      </w:tblGrid>
      <w:tr w:rsidR="00C74B6F" w14:paraId="70EB6A2E" w14:textId="77777777" w:rsidTr="002A374B">
        <w:trPr>
          <w:cantSplit/>
        </w:trPr>
        <w:tc>
          <w:tcPr>
            <w:tcW w:w="9568" w:type="dxa"/>
            <w:gridSpan w:val="4"/>
          </w:tcPr>
          <w:p w14:paraId="1CD34ADB" w14:textId="77777777" w:rsidR="00C74B6F" w:rsidRPr="00BE1981" w:rsidRDefault="00C74B6F">
            <w:pPr>
              <w:rPr>
                <w:szCs w:val="24"/>
              </w:rPr>
            </w:pPr>
          </w:p>
        </w:tc>
      </w:tr>
      <w:tr w:rsidR="00C74B6F" w14:paraId="6DFE7758" w14:textId="77777777" w:rsidTr="002A374B">
        <w:trPr>
          <w:cantSplit/>
        </w:trPr>
        <w:tc>
          <w:tcPr>
            <w:tcW w:w="9568" w:type="dxa"/>
            <w:gridSpan w:val="4"/>
            <w:vAlign w:val="center"/>
          </w:tcPr>
          <w:p w14:paraId="12555083" w14:textId="77777777" w:rsidR="00C74B6F" w:rsidRPr="000E1320" w:rsidRDefault="000E1320">
            <w:pPr>
              <w:jc w:val="center"/>
              <w:rPr>
                <w:sz w:val="36"/>
                <w:szCs w:val="36"/>
              </w:rPr>
            </w:pPr>
            <w:r w:rsidRPr="000E1320">
              <w:rPr>
                <w:b/>
                <w:sz w:val="36"/>
                <w:szCs w:val="36"/>
              </w:rPr>
              <w:t>TRIBUNAL ADMINISTRATIF DU TRAVAIL</w:t>
            </w:r>
          </w:p>
        </w:tc>
      </w:tr>
      <w:tr w:rsidR="00C74B6F" w14:paraId="5AFB61B1" w14:textId="77777777" w:rsidTr="002A374B">
        <w:trPr>
          <w:cantSplit/>
        </w:trPr>
        <w:tc>
          <w:tcPr>
            <w:tcW w:w="9568" w:type="dxa"/>
            <w:gridSpan w:val="4"/>
          </w:tcPr>
          <w:p w14:paraId="56356F4B" w14:textId="20CA7FFE" w:rsidR="00C74B6F" w:rsidRPr="00BE7014" w:rsidRDefault="006F0154" w:rsidP="009A67E7">
            <w:pPr>
              <w:pStyle w:val="zSoquijdatDivision"/>
            </w:pPr>
            <w:r w:rsidRPr="00BE7014">
              <w:t>(</w:t>
            </w:r>
            <w:r w:rsidR="004D371F" w:rsidRPr="00441ADA">
              <w:t>Division de la santé et de la sécurité du travail</w:t>
            </w:r>
            <w:r w:rsidRPr="00BE7014">
              <w:t>)</w:t>
            </w:r>
          </w:p>
        </w:tc>
      </w:tr>
      <w:tr w:rsidR="00C74B6F" w14:paraId="3828C265" w14:textId="77777777" w:rsidTr="002A374B">
        <w:trPr>
          <w:cantSplit/>
        </w:trPr>
        <w:tc>
          <w:tcPr>
            <w:tcW w:w="9568" w:type="dxa"/>
            <w:gridSpan w:val="4"/>
          </w:tcPr>
          <w:p w14:paraId="78DFAE25" w14:textId="77777777" w:rsidR="002B2FC3" w:rsidRDefault="002B2FC3" w:rsidP="002B2FC3"/>
        </w:tc>
      </w:tr>
      <w:tr w:rsidR="00A84FC6" w14:paraId="06A96B35" w14:textId="77777777" w:rsidTr="002A374B">
        <w:trPr>
          <w:cantSplit/>
        </w:trPr>
        <w:tc>
          <w:tcPr>
            <w:tcW w:w="9568" w:type="dxa"/>
            <w:gridSpan w:val="4"/>
          </w:tcPr>
          <w:p w14:paraId="0EB66766" w14:textId="77777777" w:rsidR="00A84FC6" w:rsidRDefault="00A84FC6" w:rsidP="002B2FC3"/>
        </w:tc>
      </w:tr>
      <w:tr w:rsidR="00C74B6F" w14:paraId="2711DB32" w14:textId="77777777" w:rsidTr="005E654C">
        <w:tc>
          <w:tcPr>
            <w:tcW w:w="3614" w:type="dxa"/>
          </w:tcPr>
          <w:p w14:paraId="2C8277BE" w14:textId="77777777" w:rsidR="00C74B6F" w:rsidRDefault="0084255F">
            <w:bookmarkStart w:id="0" w:name="region" w:colFirst="1" w:colLast="1"/>
            <w:r>
              <w:t>Région :</w:t>
            </w:r>
          </w:p>
        </w:tc>
        <w:tc>
          <w:tcPr>
            <w:tcW w:w="5954" w:type="dxa"/>
            <w:gridSpan w:val="3"/>
          </w:tcPr>
          <w:p w14:paraId="2438834D" w14:textId="07A5EA66" w:rsidR="00C74B6F" w:rsidRDefault="004D371F" w:rsidP="00F4095A">
            <w:pPr>
              <w:pStyle w:val="zSoquijdatGreffe"/>
            </w:pPr>
            <w:r>
              <w:t>Mauricie–Centre-du-Québec</w:t>
            </w:r>
          </w:p>
        </w:tc>
      </w:tr>
      <w:bookmarkEnd w:id="0"/>
      <w:tr w:rsidR="00C74B6F" w14:paraId="323B7C54" w14:textId="77777777" w:rsidTr="002A374B">
        <w:trPr>
          <w:cantSplit/>
        </w:trPr>
        <w:tc>
          <w:tcPr>
            <w:tcW w:w="9568" w:type="dxa"/>
            <w:gridSpan w:val="4"/>
          </w:tcPr>
          <w:p w14:paraId="7312C5CF" w14:textId="77777777" w:rsidR="00C74B6F" w:rsidRDefault="00C74B6F"/>
        </w:tc>
      </w:tr>
      <w:tr w:rsidR="00C74B6F" w14:paraId="1C4606F1" w14:textId="77777777" w:rsidTr="005E654C">
        <w:tc>
          <w:tcPr>
            <w:tcW w:w="3614" w:type="dxa"/>
          </w:tcPr>
          <w:p w14:paraId="2F1D6C2C" w14:textId="77777777" w:rsidR="00C74B6F" w:rsidRDefault="0084255F">
            <w:bookmarkStart w:id="1" w:name="ref_dossier" w:colFirst="1" w:colLast="1"/>
            <w:r>
              <w:t>Dossier</w:t>
            </w:r>
            <w:bookmarkStart w:id="2" w:name="dossiers"/>
            <w:bookmarkEnd w:id="2"/>
            <w:r>
              <w:t> :</w:t>
            </w:r>
          </w:p>
        </w:tc>
        <w:tc>
          <w:tcPr>
            <w:tcW w:w="5954" w:type="dxa"/>
            <w:gridSpan w:val="3"/>
          </w:tcPr>
          <w:p w14:paraId="16CB9CAB" w14:textId="0B17208B" w:rsidR="00C74B6F" w:rsidRDefault="004D371F" w:rsidP="00F4095A">
            <w:pPr>
              <w:pStyle w:val="zSoquijdatNoDossier"/>
            </w:pPr>
            <w:r>
              <w:t>1271839-04B-2204</w:t>
            </w:r>
          </w:p>
        </w:tc>
      </w:tr>
      <w:bookmarkEnd w:id="1"/>
      <w:tr w:rsidR="00C74B6F" w14:paraId="1D99BA4A" w14:textId="77777777" w:rsidTr="002A374B">
        <w:trPr>
          <w:cantSplit/>
        </w:trPr>
        <w:tc>
          <w:tcPr>
            <w:tcW w:w="9568" w:type="dxa"/>
            <w:gridSpan w:val="4"/>
          </w:tcPr>
          <w:p w14:paraId="45851594" w14:textId="77777777" w:rsidR="00C74B6F" w:rsidRDefault="00D44BCF">
            <w:r>
              <w:fldChar w:fldCharType="begin"/>
            </w:r>
            <w:r>
              <w:instrText xml:space="preserve"> AUTOTEXTLIST  \* Upper  \* MERGEFORMAT </w:instrText>
            </w:r>
            <w:r>
              <w:fldChar w:fldCharType="end"/>
            </w:r>
          </w:p>
        </w:tc>
      </w:tr>
      <w:tr w:rsidR="00C74B6F" w14:paraId="3C018E7B" w14:textId="77777777" w:rsidTr="005E654C">
        <w:tc>
          <w:tcPr>
            <w:tcW w:w="3614" w:type="dxa"/>
          </w:tcPr>
          <w:p w14:paraId="2D8C7576" w14:textId="413F5F12" w:rsidR="00C74B6F" w:rsidRDefault="008C79A7" w:rsidP="0045114F">
            <w:pPr>
              <w:ind w:right="46"/>
            </w:pPr>
            <w:r>
              <w:t xml:space="preserve">Dossier </w:t>
            </w:r>
            <w:r w:rsidR="004D371F">
              <w:rPr>
                <w:szCs w:val="24"/>
              </w:rPr>
              <w:t>CNESST</w:t>
            </w:r>
            <w:r w:rsidRPr="008C79A7">
              <w:rPr>
                <w:szCs w:val="24"/>
              </w:rPr>
              <w:t xml:space="preserve"> :</w:t>
            </w:r>
          </w:p>
        </w:tc>
        <w:tc>
          <w:tcPr>
            <w:tcW w:w="5954" w:type="dxa"/>
            <w:gridSpan w:val="3"/>
          </w:tcPr>
          <w:p w14:paraId="0082FBC6" w14:textId="6A168681" w:rsidR="00C74B6F" w:rsidRDefault="004D371F" w:rsidP="004D6CEA">
            <w:pPr>
              <w:pStyle w:val="zSoquijdatNCSST"/>
            </w:pPr>
            <w:r>
              <w:t>510752926</w:t>
            </w:r>
          </w:p>
        </w:tc>
      </w:tr>
      <w:tr w:rsidR="00C74B6F" w14:paraId="4F0E99E2" w14:textId="77777777" w:rsidTr="002A374B">
        <w:trPr>
          <w:cantSplit/>
        </w:trPr>
        <w:tc>
          <w:tcPr>
            <w:tcW w:w="9568" w:type="dxa"/>
            <w:gridSpan w:val="4"/>
          </w:tcPr>
          <w:p w14:paraId="22C3DD54" w14:textId="77777777" w:rsidR="00C74B6F" w:rsidRDefault="00C74B6F"/>
        </w:tc>
      </w:tr>
      <w:tr w:rsidR="00C74B6F" w14:paraId="03135D4B" w14:textId="77777777" w:rsidTr="005E654C">
        <w:tc>
          <w:tcPr>
            <w:tcW w:w="3614" w:type="dxa"/>
          </w:tcPr>
          <w:p w14:paraId="7E32600B" w14:textId="437F6DDB" w:rsidR="00C74B6F" w:rsidRDefault="004D371F">
            <w:r>
              <w:t>Assesseu</w:t>
            </w:r>
            <w:bookmarkStart w:id="3" w:name="ch_e"/>
            <w:r>
              <w:t>r</w:t>
            </w:r>
            <w:bookmarkEnd w:id="3"/>
            <w:r>
              <w:t>:</w:t>
            </w:r>
          </w:p>
        </w:tc>
        <w:tc>
          <w:tcPr>
            <w:tcW w:w="5954" w:type="dxa"/>
            <w:gridSpan w:val="3"/>
          </w:tcPr>
          <w:p w14:paraId="6D9B8A3E" w14:textId="3878B7E5" w:rsidR="00C74B6F" w:rsidRDefault="004D371F" w:rsidP="00F4095A">
            <w:pPr>
              <w:pStyle w:val="zSoquijdatAssesseurs"/>
            </w:pPr>
            <w:r>
              <w:t>Michel Langelier, médecin</w:t>
            </w:r>
          </w:p>
        </w:tc>
      </w:tr>
      <w:tr w:rsidR="00C74B6F" w14:paraId="1B79E750" w14:textId="77777777" w:rsidTr="002A374B">
        <w:trPr>
          <w:cantSplit/>
        </w:trPr>
        <w:tc>
          <w:tcPr>
            <w:tcW w:w="9568" w:type="dxa"/>
            <w:gridSpan w:val="4"/>
          </w:tcPr>
          <w:p w14:paraId="18EEC7F6" w14:textId="77777777" w:rsidR="00C74B6F" w:rsidRDefault="00C74B6F"/>
        </w:tc>
      </w:tr>
      <w:tr w:rsidR="00C74B6F" w14:paraId="0980630A" w14:textId="77777777" w:rsidTr="002A374B">
        <w:trPr>
          <w:cantSplit/>
        </w:trPr>
        <w:tc>
          <w:tcPr>
            <w:tcW w:w="9568" w:type="dxa"/>
            <w:gridSpan w:val="4"/>
          </w:tcPr>
          <w:p w14:paraId="2EABA25C" w14:textId="77777777" w:rsidR="00C74B6F" w:rsidRDefault="00C74B6F"/>
        </w:tc>
      </w:tr>
      <w:tr w:rsidR="006E3DD8" w14:paraId="476F5EF1" w14:textId="77777777" w:rsidTr="005E654C">
        <w:trPr>
          <w:cantSplit/>
        </w:trPr>
        <w:tc>
          <w:tcPr>
            <w:tcW w:w="3614" w:type="dxa"/>
          </w:tcPr>
          <w:p w14:paraId="1D643247" w14:textId="7AFF4C5E" w:rsidR="006E3DD8" w:rsidRDefault="004D371F" w:rsidP="006E3DD8">
            <w:pPr>
              <w:tabs>
                <w:tab w:val="left" w:pos="2672"/>
              </w:tabs>
            </w:pPr>
            <w:r>
              <w:t>Drummondville</w:t>
            </w:r>
            <w:r w:rsidR="00C04E32">
              <w:t>,</w:t>
            </w:r>
          </w:p>
        </w:tc>
        <w:tc>
          <w:tcPr>
            <w:tcW w:w="5954" w:type="dxa"/>
            <w:gridSpan w:val="3"/>
          </w:tcPr>
          <w:p w14:paraId="27E997C0" w14:textId="0B5969F4" w:rsidR="006E3DD8" w:rsidRDefault="00C04E32" w:rsidP="005B5689">
            <w:pPr>
              <w:pStyle w:val="zSoquijdatDateJugement"/>
            </w:pPr>
            <w:proofErr w:type="gramStart"/>
            <w:r>
              <w:t>le</w:t>
            </w:r>
            <w:proofErr w:type="gramEnd"/>
            <w:r>
              <w:t xml:space="preserve"> </w:t>
            </w:r>
            <w:r w:rsidR="00186226">
              <w:t>9</w:t>
            </w:r>
            <w:r w:rsidR="004D371F">
              <w:t xml:space="preserve"> mai 2024</w:t>
            </w:r>
          </w:p>
        </w:tc>
      </w:tr>
      <w:tr w:rsidR="00942AB8" w14:paraId="3007A6C7" w14:textId="77777777" w:rsidTr="002A374B">
        <w:trPr>
          <w:cantSplit/>
        </w:trPr>
        <w:tc>
          <w:tcPr>
            <w:tcW w:w="9568" w:type="dxa"/>
            <w:gridSpan w:val="4"/>
          </w:tcPr>
          <w:p w14:paraId="169A1440" w14:textId="77777777" w:rsidR="00942AB8" w:rsidRDefault="00942AB8" w:rsidP="00FA153F">
            <w:r>
              <w:t>______________________________________________________________________</w:t>
            </w:r>
          </w:p>
        </w:tc>
      </w:tr>
      <w:tr w:rsidR="00942AB8" w14:paraId="0533B5D2" w14:textId="77777777" w:rsidTr="002A374B">
        <w:trPr>
          <w:cantSplit/>
          <w:trHeight w:val="148"/>
        </w:trPr>
        <w:tc>
          <w:tcPr>
            <w:tcW w:w="9568" w:type="dxa"/>
            <w:gridSpan w:val="4"/>
          </w:tcPr>
          <w:p w14:paraId="3095FDBB" w14:textId="77777777" w:rsidR="00942AB8" w:rsidRDefault="00942AB8" w:rsidP="00FA153F"/>
        </w:tc>
      </w:tr>
      <w:tr w:rsidR="0035375B" w14:paraId="65D1942A" w14:textId="77777777" w:rsidTr="00A12E55">
        <w:trPr>
          <w:cantSplit/>
          <w:trHeight w:val="148"/>
        </w:trPr>
        <w:tc>
          <w:tcPr>
            <w:tcW w:w="5457" w:type="dxa"/>
            <w:gridSpan w:val="3"/>
          </w:tcPr>
          <w:p w14:paraId="2BD2E653" w14:textId="0FDD5742" w:rsidR="0035375B" w:rsidRPr="00942AB8" w:rsidRDefault="0035375B">
            <w:pPr>
              <w:rPr>
                <w:b/>
                <w:bCs/>
              </w:rPr>
            </w:pPr>
            <w:bookmarkStart w:id="4" w:name="ref_commissaire" w:colFirst="1" w:colLast="1"/>
            <w:r w:rsidRPr="00942AB8">
              <w:rPr>
                <w:b/>
                <w:bCs/>
              </w:rPr>
              <w:t>DEVANT L</w:t>
            </w:r>
            <w:r w:rsidR="004D371F">
              <w:rPr>
                <w:b/>
                <w:bCs/>
              </w:rPr>
              <w:t>A</w:t>
            </w:r>
            <w:r w:rsidRPr="00942AB8">
              <w:rPr>
                <w:b/>
                <w:bCs/>
              </w:rPr>
              <w:t xml:space="preserve"> JUGE ADMINISTRATI</w:t>
            </w:r>
            <w:r w:rsidR="004D371F">
              <w:rPr>
                <w:b/>
                <w:bCs/>
              </w:rPr>
              <w:t>VE</w:t>
            </w:r>
            <w:r w:rsidRPr="00942AB8">
              <w:rPr>
                <w:b/>
                <w:bCs/>
              </w:rPr>
              <w:t> :</w:t>
            </w:r>
          </w:p>
        </w:tc>
        <w:tc>
          <w:tcPr>
            <w:tcW w:w="4111" w:type="dxa"/>
          </w:tcPr>
          <w:p w14:paraId="54DAB7FF" w14:textId="7B8E2CF5" w:rsidR="0035375B" w:rsidRPr="00942AB8" w:rsidRDefault="004D371F" w:rsidP="005B5689">
            <w:pPr>
              <w:pStyle w:val="zSoquijdatJuge"/>
              <w:rPr>
                <w:bCs/>
              </w:rPr>
            </w:pPr>
            <w:r>
              <w:t>Isabelle Arseneault</w:t>
            </w:r>
          </w:p>
        </w:tc>
      </w:tr>
      <w:bookmarkEnd w:id="4"/>
      <w:tr w:rsidR="00942AB8" w14:paraId="65421CFA" w14:textId="77777777" w:rsidTr="002A374B">
        <w:trPr>
          <w:cantSplit/>
          <w:trHeight w:val="148"/>
        </w:trPr>
        <w:tc>
          <w:tcPr>
            <w:tcW w:w="9568" w:type="dxa"/>
            <w:gridSpan w:val="4"/>
          </w:tcPr>
          <w:p w14:paraId="342E09FE" w14:textId="77777777" w:rsidR="00942AB8" w:rsidRDefault="00942AB8" w:rsidP="00FA153F">
            <w:r>
              <w:t>______________________________________________________________________</w:t>
            </w:r>
          </w:p>
        </w:tc>
      </w:tr>
      <w:tr w:rsidR="00942AB8" w14:paraId="2CA6DA1B" w14:textId="77777777" w:rsidTr="002A374B">
        <w:tc>
          <w:tcPr>
            <w:tcW w:w="9568" w:type="dxa"/>
            <w:gridSpan w:val="4"/>
          </w:tcPr>
          <w:p w14:paraId="345E9C81" w14:textId="77777777" w:rsidR="00942AB8" w:rsidRDefault="00942AB8"/>
        </w:tc>
      </w:tr>
      <w:tr w:rsidR="00942AB8" w14:paraId="28459F7F" w14:textId="77777777" w:rsidTr="00D40ABA">
        <w:tc>
          <w:tcPr>
            <w:tcW w:w="4748" w:type="dxa"/>
            <w:gridSpan w:val="2"/>
          </w:tcPr>
          <w:p w14:paraId="1809FE1A" w14:textId="77777777" w:rsidR="00942AB8" w:rsidRDefault="00942AB8">
            <w:bookmarkStart w:id="5" w:name="bloc_parties_gauche"/>
            <w:bookmarkEnd w:id="5"/>
          </w:p>
        </w:tc>
        <w:tc>
          <w:tcPr>
            <w:tcW w:w="4820" w:type="dxa"/>
            <w:gridSpan w:val="2"/>
          </w:tcPr>
          <w:p w14:paraId="5265D913" w14:textId="77777777" w:rsidR="00942AB8" w:rsidRDefault="00942AB8"/>
        </w:tc>
      </w:tr>
      <w:tr w:rsidR="00942AB8" w14:paraId="50AEA296" w14:textId="77777777" w:rsidTr="00D40ABA">
        <w:tc>
          <w:tcPr>
            <w:tcW w:w="4748" w:type="dxa"/>
            <w:gridSpan w:val="2"/>
          </w:tcPr>
          <w:p w14:paraId="12048CB4" w14:textId="32B3BE94" w:rsidR="00942AB8" w:rsidRDefault="004D371F">
            <w:pPr>
              <w:pStyle w:val="zSoquijdatNomPartieDem"/>
              <w:rPr>
                <w:b/>
              </w:rPr>
            </w:pPr>
            <w:r>
              <w:rPr>
                <w:b/>
              </w:rPr>
              <w:t>Dave Breton</w:t>
            </w:r>
          </w:p>
        </w:tc>
        <w:tc>
          <w:tcPr>
            <w:tcW w:w="4820" w:type="dxa"/>
            <w:gridSpan w:val="2"/>
          </w:tcPr>
          <w:p w14:paraId="53968665" w14:textId="77777777" w:rsidR="00942AB8" w:rsidRDefault="00942AB8"/>
        </w:tc>
      </w:tr>
      <w:tr w:rsidR="00942AB8" w14:paraId="6F4F9AC3" w14:textId="77777777" w:rsidTr="00D40ABA">
        <w:tc>
          <w:tcPr>
            <w:tcW w:w="4748" w:type="dxa"/>
            <w:gridSpan w:val="2"/>
          </w:tcPr>
          <w:p w14:paraId="56A042C9" w14:textId="6E4DD35D" w:rsidR="00942AB8" w:rsidRDefault="004D371F">
            <w:pPr>
              <w:pStyle w:val="zSoquijdatQtePartieDem"/>
              <w:ind w:left="708"/>
            </w:pPr>
            <w:r>
              <w:t>Partie demanderesse</w:t>
            </w:r>
          </w:p>
        </w:tc>
        <w:tc>
          <w:tcPr>
            <w:tcW w:w="4820" w:type="dxa"/>
            <w:gridSpan w:val="2"/>
          </w:tcPr>
          <w:p w14:paraId="5D2F013E" w14:textId="77777777" w:rsidR="00942AB8" w:rsidRDefault="00942AB8"/>
        </w:tc>
      </w:tr>
      <w:tr w:rsidR="00942AB8" w14:paraId="79837F06" w14:textId="77777777" w:rsidTr="00D40ABA">
        <w:tc>
          <w:tcPr>
            <w:tcW w:w="4748" w:type="dxa"/>
            <w:gridSpan w:val="2"/>
          </w:tcPr>
          <w:p w14:paraId="5BF1129D" w14:textId="77777777" w:rsidR="00942AB8" w:rsidRDefault="00942AB8"/>
        </w:tc>
        <w:tc>
          <w:tcPr>
            <w:tcW w:w="4820" w:type="dxa"/>
            <w:gridSpan w:val="2"/>
          </w:tcPr>
          <w:p w14:paraId="4A6400E7" w14:textId="77777777" w:rsidR="00942AB8" w:rsidRDefault="00942AB8"/>
        </w:tc>
      </w:tr>
      <w:tr w:rsidR="00942AB8" w14:paraId="782165ED" w14:textId="77777777" w:rsidTr="00D40ABA">
        <w:tc>
          <w:tcPr>
            <w:tcW w:w="4748" w:type="dxa"/>
            <w:gridSpan w:val="2"/>
          </w:tcPr>
          <w:p w14:paraId="44ACF29B" w14:textId="360ACE0B" w:rsidR="00942AB8" w:rsidRDefault="004D371F" w:rsidP="00D06652">
            <w:pPr>
              <w:pStyle w:val="zSoquijlblLienParties"/>
            </w:pPr>
            <w:proofErr w:type="gramStart"/>
            <w:r>
              <w:t>et</w:t>
            </w:r>
            <w:proofErr w:type="gramEnd"/>
          </w:p>
        </w:tc>
        <w:tc>
          <w:tcPr>
            <w:tcW w:w="4820" w:type="dxa"/>
            <w:gridSpan w:val="2"/>
          </w:tcPr>
          <w:p w14:paraId="39E3EDAA" w14:textId="77777777" w:rsidR="00942AB8" w:rsidRDefault="00942AB8"/>
        </w:tc>
      </w:tr>
      <w:tr w:rsidR="00942AB8" w14:paraId="5441E069" w14:textId="77777777" w:rsidTr="00D40ABA">
        <w:tc>
          <w:tcPr>
            <w:tcW w:w="4748" w:type="dxa"/>
            <w:gridSpan w:val="2"/>
          </w:tcPr>
          <w:p w14:paraId="345026C4" w14:textId="77777777" w:rsidR="00942AB8" w:rsidRDefault="00942AB8"/>
        </w:tc>
        <w:tc>
          <w:tcPr>
            <w:tcW w:w="4820" w:type="dxa"/>
            <w:gridSpan w:val="2"/>
          </w:tcPr>
          <w:p w14:paraId="01EBF5D0" w14:textId="77777777" w:rsidR="00942AB8" w:rsidRDefault="00942AB8"/>
        </w:tc>
      </w:tr>
      <w:tr w:rsidR="000B6AD4" w14:paraId="638763CA" w14:textId="77777777" w:rsidTr="00D40ABA">
        <w:tc>
          <w:tcPr>
            <w:tcW w:w="4748" w:type="dxa"/>
            <w:gridSpan w:val="2"/>
          </w:tcPr>
          <w:p w14:paraId="624E3CAA" w14:textId="3E93ADFE" w:rsidR="000B6AD4" w:rsidRPr="00BD6342" w:rsidRDefault="000B6AD4" w:rsidP="000B6AD4">
            <w:pPr>
              <w:pStyle w:val="zSoquijdatNomPartieDef"/>
              <w:rPr>
                <w:b/>
              </w:rPr>
            </w:pPr>
            <w:r w:rsidRPr="00BD6342">
              <w:rPr>
                <w:b/>
              </w:rPr>
              <w:t xml:space="preserve">Urgences Bois-Francs </w:t>
            </w:r>
            <w:proofErr w:type="spellStart"/>
            <w:r w:rsidRPr="00BD6342">
              <w:rPr>
                <w:b/>
              </w:rPr>
              <w:t>inc.</w:t>
            </w:r>
            <w:proofErr w:type="spellEnd"/>
          </w:p>
        </w:tc>
        <w:tc>
          <w:tcPr>
            <w:tcW w:w="4820" w:type="dxa"/>
            <w:gridSpan w:val="2"/>
          </w:tcPr>
          <w:p w14:paraId="6E7A43C9" w14:textId="77777777" w:rsidR="000B6AD4" w:rsidRDefault="000B6AD4" w:rsidP="000B6AD4"/>
        </w:tc>
      </w:tr>
      <w:tr w:rsidR="000B6AD4" w14:paraId="6F173CE7" w14:textId="77777777" w:rsidTr="00D40ABA">
        <w:tc>
          <w:tcPr>
            <w:tcW w:w="4748" w:type="dxa"/>
            <w:gridSpan w:val="2"/>
          </w:tcPr>
          <w:p w14:paraId="00C84DE6" w14:textId="13764B3B" w:rsidR="000B6AD4" w:rsidRPr="00BD6342" w:rsidRDefault="000B6AD4" w:rsidP="000B6AD4">
            <w:pPr>
              <w:pStyle w:val="zSoquijdatNomPartieDef"/>
              <w:rPr>
                <w:b/>
              </w:rPr>
            </w:pPr>
            <w:r w:rsidRPr="00BD6342">
              <w:rPr>
                <w:b/>
              </w:rPr>
              <w:t xml:space="preserve">Ambulance 416 </w:t>
            </w:r>
            <w:proofErr w:type="spellStart"/>
            <w:r w:rsidRPr="00BD6342">
              <w:rPr>
                <w:b/>
              </w:rPr>
              <w:t>inc.</w:t>
            </w:r>
            <w:proofErr w:type="spellEnd"/>
            <w:r w:rsidRPr="00BD6342">
              <w:rPr>
                <w:b/>
              </w:rPr>
              <w:t xml:space="preserve"> (Fermée)</w:t>
            </w:r>
          </w:p>
        </w:tc>
        <w:tc>
          <w:tcPr>
            <w:tcW w:w="4820" w:type="dxa"/>
            <w:gridSpan w:val="2"/>
          </w:tcPr>
          <w:p w14:paraId="1F613411" w14:textId="77777777" w:rsidR="000B6AD4" w:rsidRDefault="000B6AD4" w:rsidP="000B6AD4"/>
        </w:tc>
      </w:tr>
      <w:tr w:rsidR="000B6AD4" w14:paraId="2712607B" w14:textId="77777777" w:rsidTr="00D40ABA">
        <w:tc>
          <w:tcPr>
            <w:tcW w:w="4748" w:type="dxa"/>
            <w:gridSpan w:val="2"/>
          </w:tcPr>
          <w:p w14:paraId="41184E03" w14:textId="722F1645" w:rsidR="000B6AD4" w:rsidRPr="00BD6342" w:rsidRDefault="000B6AD4" w:rsidP="000B6AD4">
            <w:pPr>
              <w:pStyle w:val="zSoquijdatQtePartieDef"/>
              <w:ind w:left="708"/>
            </w:pPr>
            <w:r w:rsidRPr="00BD6342">
              <w:t>Parties mises en cause</w:t>
            </w:r>
          </w:p>
        </w:tc>
        <w:tc>
          <w:tcPr>
            <w:tcW w:w="4820" w:type="dxa"/>
            <w:gridSpan w:val="2"/>
          </w:tcPr>
          <w:p w14:paraId="5C759CEF" w14:textId="77777777" w:rsidR="000B6AD4" w:rsidRDefault="000B6AD4" w:rsidP="000B6AD4"/>
        </w:tc>
      </w:tr>
      <w:tr w:rsidR="000B6AD4" w14:paraId="0368C77D" w14:textId="77777777" w:rsidTr="00D40ABA">
        <w:tc>
          <w:tcPr>
            <w:tcW w:w="4748" w:type="dxa"/>
            <w:gridSpan w:val="2"/>
          </w:tcPr>
          <w:p w14:paraId="070C187E" w14:textId="77777777" w:rsidR="000B6AD4" w:rsidRPr="00BD6342" w:rsidRDefault="000B6AD4" w:rsidP="000B6AD4"/>
        </w:tc>
        <w:tc>
          <w:tcPr>
            <w:tcW w:w="4820" w:type="dxa"/>
            <w:gridSpan w:val="2"/>
          </w:tcPr>
          <w:p w14:paraId="76144A06" w14:textId="77777777" w:rsidR="000B6AD4" w:rsidRDefault="000B6AD4" w:rsidP="000B6AD4"/>
        </w:tc>
      </w:tr>
    </w:tbl>
    <w:p w14:paraId="0E762170" w14:textId="77777777" w:rsidR="00C74B6F" w:rsidRDefault="00C74B6F">
      <w:r>
        <w:t>______________________________________________________________________</w:t>
      </w:r>
    </w:p>
    <w:p w14:paraId="64ED78B6" w14:textId="77777777" w:rsidR="00C74B6F" w:rsidRDefault="00C74B6F"/>
    <w:p w14:paraId="053CD2B6" w14:textId="77777777" w:rsidR="00C74B6F" w:rsidRPr="005B0612" w:rsidRDefault="00C74B6F" w:rsidP="008B042E">
      <w:pPr>
        <w:jc w:val="center"/>
        <w:rPr>
          <w:b/>
          <w:bCs/>
        </w:rPr>
      </w:pPr>
      <w:bookmarkStart w:id="6" w:name="decision"/>
      <w:r w:rsidRPr="005B0612">
        <w:rPr>
          <w:b/>
          <w:bCs/>
        </w:rPr>
        <w:t>DÉCISION</w:t>
      </w:r>
      <w:bookmarkEnd w:id="6"/>
    </w:p>
    <w:p w14:paraId="096C3583" w14:textId="77777777" w:rsidR="00C74B6F" w:rsidRDefault="00C74B6F" w:rsidP="0073061B">
      <w:pPr>
        <w:spacing w:after="360"/>
        <w:jc w:val="center"/>
      </w:pPr>
      <w:r>
        <w:t>______________________________________________________________________</w:t>
      </w:r>
    </w:p>
    <w:p w14:paraId="375F8377" w14:textId="77777777" w:rsidR="004D371F" w:rsidRPr="009206BC" w:rsidRDefault="004D371F" w:rsidP="0073061B">
      <w:pPr>
        <w:pStyle w:val="corpsdedcision"/>
        <w:numPr>
          <w:ilvl w:val="0"/>
          <w:numId w:val="0"/>
        </w:numPr>
        <w:tabs>
          <w:tab w:val="num" w:pos="720"/>
        </w:tabs>
        <w:rPr>
          <w:b/>
          <w:u w:val="single"/>
        </w:rPr>
      </w:pPr>
      <w:r w:rsidRPr="009206BC">
        <w:rPr>
          <w:b/>
          <w:u w:val="single"/>
        </w:rPr>
        <w:t>L’APERÇU</w:t>
      </w:r>
    </w:p>
    <w:p w14:paraId="664344DE" w14:textId="23AA7BB8" w:rsidR="004D371F" w:rsidRDefault="004D371F" w:rsidP="004D371F">
      <w:pPr>
        <w:pStyle w:val="corpsdedcision"/>
        <w:tabs>
          <w:tab w:val="clear" w:pos="360"/>
          <w:tab w:val="num" w:pos="720"/>
        </w:tabs>
      </w:pPr>
      <w:r>
        <w:t>Monsieur Dave</w:t>
      </w:r>
      <w:r w:rsidR="0073061B">
        <w:t> </w:t>
      </w:r>
      <w:r>
        <w:t>Breton est technicien</w:t>
      </w:r>
      <w:r w:rsidR="00576ADF">
        <w:t xml:space="preserve"> </w:t>
      </w:r>
      <w:r>
        <w:t>ambulancier</w:t>
      </w:r>
      <w:r w:rsidR="00F360D8">
        <w:t>/</w:t>
      </w:r>
      <w:proofErr w:type="spellStart"/>
      <w:r w:rsidR="00F360D8">
        <w:t>paramédic</w:t>
      </w:r>
      <w:proofErr w:type="spellEnd"/>
      <w:r w:rsidR="00FA2861">
        <w:t xml:space="preserve"> depuis 1996. Il</w:t>
      </w:r>
      <w:r>
        <w:t xml:space="preserve"> a occupé </w:t>
      </w:r>
      <w:r w:rsidR="00FA2861">
        <w:t xml:space="preserve">cet emploi chez Ambulance 416 </w:t>
      </w:r>
      <w:proofErr w:type="spellStart"/>
      <w:r w:rsidR="00FA2861">
        <w:t>inc.</w:t>
      </w:r>
      <w:proofErr w:type="spellEnd"/>
      <w:r w:rsidR="00FA2861">
        <w:t>, et par la suite, chez Urgences Bois</w:t>
      </w:r>
      <w:r w:rsidR="0073061B">
        <w:noBreakHyphen/>
      </w:r>
      <w:r w:rsidR="00FA2861">
        <w:t>Francs</w:t>
      </w:r>
      <w:r w:rsidR="0073061B">
        <w:t> </w:t>
      </w:r>
      <w:proofErr w:type="spellStart"/>
      <w:r w:rsidR="0073061B">
        <w:t>i</w:t>
      </w:r>
      <w:r w:rsidR="00FA2861">
        <w:t>nc.</w:t>
      </w:r>
      <w:proofErr w:type="spellEnd"/>
      <w:r w:rsidR="00FA2861">
        <w:t xml:space="preserve"> à compter de 1997 jusqu’à aujourd’hui. </w:t>
      </w:r>
    </w:p>
    <w:p w14:paraId="50B6A164" w14:textId="5ABC41A2" w:rsidR="00FA2861" w:rsidRPr="00FA2861" w:rsidRDefault="00FA2861" w:rsidP="000B6AD4">
      <w:pPr>
        <w:keepNext/>
        <w:keepLines/>
        <w:numPr>
          <w:ilvl w:val="0"/>
          <w:numId w:val="1"/>
        </w:numPr>
        <w:tabs>
          <w:tab w:val="clear" w:pos="360"/>
          <w:tab w:val="num" w:pos="720"/>
        </w:tabs>
        <w:spacing w:after="360"/>
        <w:jc w:val="both"/>
      </w:pPr>
      <w:r w:rsidRPr="00FA2861">
        <w:lastRenderedPageBreak/>
        <w:t>L</w:t>
      </w:r>
      <w:r w:rsidR="00EC164D">
        <w:t>a</w:t>
      </w:r>
      <w:r w:rsidRPr="00FA2861">
        <w:t xml:space="preserve"> professionnel</w:t>
      </w:r>
      <w:r w:rsidR="00EC164D">
        <w:t>le</w:t>
      </w:r>
      <w:r w:rsidRPr="00FA2861">
        <w:t xml:space="preserve"> de la santé qu’il consulte</w:t>
      </w:r>
      <w:r>
        <w:t>,</w:t>
      </w:r>
      <w:r w:rsidRPr="00FA2861">
        <w:t xml:space="preserve"> le </w:t>
      </w:r>
      <w:r w:rsidR="00576ADF">
        <w:t>2</w:t>
      </w:r>
      <w:r w:rsidR="0073061B">
        <w:t> </w:t>
      </w:r>
      <w:r>
        <w:t>septembre</w:t>
      </w:r>
      <w:r w:rsidRPr="00FA2861">
        <w:t> 202</w:t>
      </w:r>
      <w:r>
        <w:t>1,</w:t>
      </w:r>
      <w:r w:rsidRPr="00FA2861">
        <w:t xml:space="preserve"> pose un diagnostic de surdité </w:t>
      </w:r>
      <w:proofErr w:type="spellStart"/>
      <w:r w:rsidR="00EC164D">
        <w:t>infrabarème</w:t>
      </w:r>
      <w:proofErr w:type="spellEnd"/>
      <w:r w:rsidR="00EC164D">
        <w:t xml:space="preserve">, diagnostic qu’elle précise comme étant une surdité professionnelle </w:t>
      </w:r>
      <w:r w:rsidRPr="00FA2861">
        <w:t>neurosensorielle bilatérale</w:t>
      </w:r>
      <w:r w:rsidR="00EC164D">
        <w:t xml:space="preserve"> </w:t>
      </w:r>
      <w:proofErr w:type="spellStart"/>
      <w:r w:rsidR="00EC164D">
        <w:t>infrabarème</w:t>
      </w:r>
      <w:proofErr w:type="spellEnd"/>
      <w:r w:rsidR="00EC164D">
        <w:t xml:space="preserve"> sur un rapport médical du</w:t>
      </w:r>
      <w:r w:rsidR="0073061B">
        <w:t> </w:t>
      </w:r>
      <w:r w:rsidR="00EC164D">
        <w:t>7</w:t>
      </w:r>
      <w:r w:rsidR="0073061B">
        <w:t> </w:t>
      </w:r>
      <w:r w:rsidR="00EC164D">
        <w:t>avril</w:t>
      </w:r>
      <w:r w:rsidR="0073061B">
        <w:t> </w:t>
      </w:r>
      <w:r w:rsidR="00EC164D">
        <w:t>2022</w:t>
      </w:r>
      <w:r w:rsidRPr="00FA2861">
        <w:t xml:space="preserve">. </w:t>
      </w:r>
    </w:p>
    <w:p w14:paraId="62A0ABA7" w14:textId="2928761C" w:rsidR="001A1AA5" w:rsidRPr="00881F4C" w:rsidRDefault="001A1AA5" w:rsidP="00CE152B">
      <w:pPr>
        <w:pStyle w:val="corpsdedcision"/>
        <w:tabs>
          <w:tab w:val="clear" w:pos="360"/>
          <w:tab w:val="num" w:pos="720"/>
        </w:tabs>
      </w:pPr>
      <w:r>
        <w:t xml:space="preserve">Le travailleur dépose </w:t>
      </w:r>
      <w:r w:rsidRPr="00881F4C">
        <w:t xml:space="preserve">une </w:t>
      </w:r>
      <w:r w:rsidRPr="000A0D98">
        <w:t>réclamation à la Commission des normes, de l’équité, de la santé et de la sécurité du travail</w:t>
      </w:r>
      <w:r>
        <w:t xml:space="preserve"> </w:t>
      </w:r>
      <w:r w:rsidRPr="000A0D98">
        <w:t xml:space="preserve">afin de faire reconnaître sa surdité à titre de maladie professionnelle. </w:t>
      </w:r>
      <w:r>
        <w:t xml:space="preserve">Cette dernière la refuse, au motif que le travailleur </w:t>
      </w:r>
      <w:r w:rsidR="00576ADF">
        <w:t xml:space="preserve">n’a pas occupé un </w:t>
      </w:r>
      <w:r w:rsidR="00576ADF" w:rsidRPr="00F2484B">
        <w:t xml:space="preserve">emploi </w:t>
      </w:r>
      <w:r w:rsidR="00EA69F6" w:rsidRPr="00F2484B">
        <w:t xml:space="preserve">qui </w:t>
      </w:r>
      <w:r w:rsidR="00576ADF" w:rsidRPr="00F2484B">
        <w:t>l’expose</w:t>
      </w:r>
      <w:r w:rsidR="00576ADF">
        <w:t xml:space="preserve"> </w:t>
      </w:r>
      <w:r>
        <w:t xml:space="preserve">à </w:t>
      </w:r>
      <w:r w:rsidR="00CE152B">
        <w:t xml:space="preserve">des niveaux </w:t>
      </w:r>
      <w:r w:rsidR="00CE152B" w:rsidRPr="00791577">
        <w:t>de bruit nocif</w:t>
      </w:r>
      <w:r w:rsidR="00CE152B">
        <w:t xml:space="preserve">, puisque son exposition est insuffisante. </w:t>
      </w:r>
      <w:r w:rsidRPr="002B6F3B">
        <w:t>Cette décision est confirmée à la suite d’une révision administrative</w:t>
      </w:r>
      <w:r w:rsidRPr="00881F4C">
        <w:rPr>
          <w:rStyle w:val="FootnoteReference"/>
        </w:rPr>
        <w:footnoteReference w:id="1"/>
      </w:r>
      <w:r>
        <w:t xml:space="preserve">, ce que le travailleur </w:t>
      </w:r>
      <w:r w:rsidRPr="00E30912">
        <w:t>conteste</w:t>
      </w:r>
      <w:r w:rsidRPr="00881F4C">
        <w:t xml:space="preserve"> devant le</w:t>
      </w:r>
      <w:r>
        <w:t> </w:t>
      </w:r>
      <w:r w:rsidRPr="00881F4C">
        <w:t>Tribunal.</w:t>
      </w:r>
    </w:p>
    <w:p w14:paraId="48E6074D" w14:textId="1B245A08" w:rsidR="001A1AA5" w:rsidRDefault="001A1AA5" w:rsidP="001A1AA5">
      <w:pPr>
        <w:pStyle w:val="corpsdedcision"/>
        <w:tabs>
          <w:tab w:val="clear" w:pos="360"/>
          <w:tab w:val="num" w:pos="720"/>
        </w:tabs>
      </w:pPr>
      <w:r w:rsidRPr="002B6F3B">
        <w:t xml:space="preserve">Le travailleur demande au Tribunal </w:t>
      </w:r>
      <w:r w:rsidRPr="000A0D98">
        <w:t>de reconnaître</w:t>
      </w:r>
      <w:r>
        <w:t xml:space="preserve"> </w:t>
      </w:r>
      <w:r w:rsidRPr="003E5A66">
        <w:t xml:space="preserve">qu’il est atteint d’une </w:t>
      </w:r>
      <w:r w:rsidRPr="006F50F1">
        <w:t>surdité d’origine professionnelle, considéran</w:t>
      </w:r>
      <w:r>
        <w:t xml:space="preserve">t que </w:t>
      </w:r>
      <w:r w:rsidR="00F5249E">
        <w:t>son emploi d</w:t>
      </w:r>
      <w:r w:rsidR="006C6985">
        <w:t xml:space="preserve">e technicien </w:t>
      </w:r>
      <w:r w:rsidR="00F5249E">
        <w:t>ambulancier</w:t>
      </w:r>
      <w:r w:rsidR="006C6985">
        <w:t>/</w:t>
      </w:r>
      <w:proofErr w:type="spellStart"/>
      <w:r w:rsidR="006C6985">
        <w:t>paramédic</w:t>
      </w:r>
      <w:proofErr w:type="spellEnd"/>
      <w:r w:rsidR="00F2484B">
        <w:t xml:space="preserve"> </w:t>
      </w:r>
      <w:r w:rsidR="00F5249E">
        <w:t xml:space="preserve">l’a exposé </w:t>
      </w:r>
      <w:r w:rsidRPr="000113F7">
        <w:t xml:space="preserve">à </w:t>
      </w:r>
      <w:r w:rsidR="00576ADF">
        <w:t>un</w:t>
      </w:r>
      <w:r w:rsidRPr="006F50F1">
        <w:t xml:space="preserve"> bruit excessif</w:t>
      </w:r>
      <w:r w:rsidR="00576ADF">
        <w:t xml:space="preserve"> pendant plus de 25</w:t>
      </w:r>
      <w:r w:rsidR="00EA69F6">
        <w:t> </w:t>
      </w:r>
      <w:r w:rsidR="00576ADF">
        <w:t>ans</w:t>
      </w:r>
      <w:r w:rsidRPr="006F50F1">
        <w:t>.</w:t>
      </w:r>
    </w:p>
    <w:p w14:paraId="3BB2E273" w14:textId="50FB350D" w:rsidR="001A1AA5" w:rsidRDefault="001A1AA5" w:rsidP="001A1AA5">
      <w:pPr>
        <w:pStyle w:val="corpsdedcision"/>
        <w:tabs>
          <w:tab w:val="clear" w:pos="360"/>
          <w:tab w:val="num" w:pos="720"/>
        </w:tabs>
      </w:pPr>
      <w:r>
        <w:t>L</w:t>
      </w:r>
      <w:r w:rsidR="00F5249E">
        <w:t>’</w:t>
      </w:r>
      <w:r>
        <w:t>employeur</w:t>
      </w:r>
      <w:r w:rsidR="00EA69F6">
        <w:t>,</w:t>
      </w:r>
      <w:r>
        <w:t xml:space="preserve"> </w:t>
      </w:r>
      <w:r w:rsidR="00F5249E" w:rsidRPr="00F5249E">
        <w:rPr>
          <w:bCs/>
        </w:rPr>
        <w:t xml:space="preserve">Urgences Bois-Francs </w:t>
      </w:r>
      <w:proofErr w:type="spellStart"/>
      <w:r w:rsidR="00F5249E" w:rsidRPr="00F5249E">
        <w:rPr>
          <w:bCs/>
        </w:rPr>
        <w:t>inc</w:t>
      </w:r>
      <w:r w:rsidR="00F5249E">
        <w:rPr>
          <w:bCs/>
        </w:rPr>
        <w:t>.</w:t>
      </w:r>
      <w:proofErr w:type="spellEnd"/>
      <w:r w:rsidR="00EA69F6">
        <w:rPr>
          <w:bCs/>
        </w:rPr>
        <w:t>,</w:t>
      </w:r>
      <w:r w:rsidR="00F5249E">
        <w:rPr>
          <w:bCs/>
        </w:rPr>
        <w:t xml:space="preserve"> a </w:t>
      </w:r>
      <w:r>
        <w:t xml:space="preserve">informé le Tribunal de </w:t>
      </w:r>
      <w:r w:rsidR="00F5249E">
        <w:t>son</w:t>
      </w:r>
      <w:r>
        <w:t xml:space="preserve"> absence à l’audience, </w:t>
      </w:r>
      <w:r w:rsidR="00F5249E">
        <w:t xml:space="preserve">tandis que l’autre employeur, Ambulance 416 </w:t>
      </w:r>
      <w:proofErr w:type="spellStart"/>
      <w:r w:rsidR="00F5249E">
        <w:t>inc.</w:t>
      </w:r>
      <w:proofErr w:type="spellEnd"/>
      <w:r w:rsidR="009B010C">
        <w:t>,</w:t>
      </w:r>
      <w:r w:rsidR="00F5249E">
        <w:t xml:space="preserve"> est fermé. </w:t>
      </w:r>
    </w:p>
    <w:p w14:paraId="1758F9C4" w14:textId="77777777" w:rsidR="009B010C" w:rsidRPr="009B010C" w:rsidRDefault="009B010C" w:rsidP="009B010C">
      <w:pPr>
        <w:numPr>
          <w:ilvl w:val="0"/>
          <w:numId w:val="1"/>
        </w:numPr>
        <w:tabs>
          <w:tab w:val="clear" w:pos="360"/>
          <w:tab w:val="left" w:pos="720"/>
        </w:tabs>
        <w:spacing w:after="360"/>
        <w:jc w:val="both"/>
      </w:pPr>
      <w:r w:rsidRPr="009B010C">
        <w:t>Afin de déterminer si l</w:t>
      </w:r>
      <w:r w:rsidRPr="009B010C">
        <w:rPr>
          <w:bCs/>
        </w:rPr>
        <w:t>a surdité du travailleur est d’origine professionnelle,</w:t>
      </w:r>
      <w:r w:rsidRPr="009B010C" w:rsidDel="00E104D0">
        <w:t xml:space="preserve"> </w:t>
      </w:r>
      <w:r w:rsidRPr="009B010C">
        <w:t>le Tribunal doit répondre aux questions suivantes:</w:t>
      </w:r>
    </w:p>
    <w:p w14:paraId="4B728342" w14:textId="7E1844FE" w:rsidR="009B010C" w:rsidRPr="00F2484B" w:rsidRDefault="009B010C" w:rsidP="009B010C">
      <w:pPr>
        <w:numPr>
          <w:ilvl w:val="0"/>
          <w:numId w:val="10"/>
        </w:numPr>
        <w:tabs>
          <w:tab w:val="left" w:pos="720"/>
        </w:tabs>
        <w:spacing w:after="120"/>
        <w:ind w:left="714" w:hanging="357"/>
        <w:jc w:val="both"/>
      </w:pPr>
      <w:r w:rsidRPr="009B010C">
        <w:rPr>
          <w:bCs/>
        </w:rPr>
        <w:t xml:space="preserve">La présomption de maladie professionnelle prévue à l’article 29 </w:t>
      </w:r>
      <w:r w:rsidRPr="00F2484B">
        <w:rPr>
          <w:bCs/>
        </w:rPr>
        <w:t>de la </w:t>
      </w:r>
      <w:r w:rsidR="00EA69F6" w:rsidRPr="00F2484B">
        <w:rPr>
          <w:bCs/>
          <w:i/>
        </w:rPr>
        <w:t>Loi sur les accidents du</w:t>
      </w:r>
      <w:r w:rsidR="00EA69F6" w:rsidRPr="00F2484B">
        <w:rPr>
          <w:bCs/>
        </w:rPr>
        <w:t xml:space="preserve"> </w:t>
      </w:r>
      <w:r w:rsidR="00EA69F6" w:rsidRPr="00F2484B">
        <w:rPr>
          <w:bCs/>
          <w:i/>
        </w:rPr>
        <w:t>travail et les maladies professionnelles</w:t>
      </w:r>
      <w:r w:rsidR="00EA69F6" w:rsidRPr="00F2484B">
        <w:rPr>
          <w:rStyle w:val="FootnoteReference"/>
          <w:bCs/>
        </w:rPr>
        <w:footnoteReference w:id="2"/>
      </w:r>
      <w:r w:rsidR="00EA69F6" w:rsidRPr="00F2484B">
        <w:rPr>
          <w:bCs/>
          <w:iCs/>
        </w:rPr>
        <w:t>,</w:t>
      </w:r>
      <w:r w:rsidR="00EA69F6" w:rsidRPr="00F2484B">
        <w:rPr>
          <w:bCs/>
        </w:rPr>
        <w:t xml:space="preserve"> la Loi, </w:t>
      </w:r>
      <w:r w:rsidRPr="00F2484B">
        <w:rPr>
          <w:bCs/>
        </w:rPr>
        <w:t>trouve</w:t>
      </w:r>
      <w:r w:rsidRPr="00F2484B">
        <w:rPr>
          <w:bCs/>
        </w:rPr>
        <w:noBreakHyphen/>
        <w:t>t</w:t>
      </w:r>
      <w:r w:rsidRPr="00F2484B">
        <w:rPr>
          <w:bCs/>
        </w:rPr>
        <w:noBreakHyphen/>
        <w:t>elle application?</w:t>
      </w:r>
    </w:p>
    <w:p w14:paraId="03225784" w14:textId="77777777" w:rsidR="009B010C" w:rsidRPr="009B010C" w:rsidRDefault="009B010C" w:rsidP="009B010C">
      <w:pPr>
        <w:numPr>
          <w:ilvl w:val="0"/>
          <w:numId w:val="10"/>
        </w:numPr>
        <w:tabs>
          <w:tab w:val="left" w:pos="720"/>
        </w:tabs>
        <w:spacing w:after="120"/>
        <w:ind w:left="714" w:hanging="357"/>
        <w:jc w:val="both"/>
      </w:pPr>
      <w:r w:rsidRPr="009B010C">
        <w:t>Si la présomption s’applique, a-t-elle été</w:t>
      </w:r>
      <w:r w:rsidRPr="009B010C">
        <w:rPr>
          <w:color w:val="FF0000"/>
        </w:rPr>
        <w:t xml:space="preserve"> </w:t>
      </w:r>
      <w:r w:rsidRPr="009B010C">
        <w:t>renversée par une preuve prépondérante?</w:t>
      </w:r>
    </w:p>
    <w:p w14:paraId="578422F1" w14:textId="4430122C" w:rsidR="009B010C" w:rsidRPr="009B010C" w:rsidRDefault="009B010C" w:rsidP="009B010C">
      <w:pPr>
        <w:numPr>
          <w:ilvl w:val="0"/>
          <w:numId w:val="10"/>
        </w:numPr>
        <w:tabs>
          <w:tab w:val="left" w:pos="720"/>
        </w:tabs>
        <w:spacing w:after="360"/>
        <w:ind w:left="714" w:hanging="357"/>
        <w:jc w:val="both"/>
      </w:pPr>
      <w:r w:rsidRPr="009B010C">
        <w:t>Dans l’affirmative, le travailleur a-t-il fait la démonstration que sa surdité est caractéristique ou reliée directement aux risques particuliers de son travail d</w:t>
      </w:r>
      <w:r w:rsidR="006C6985">
        <w:t xml:space="preserve">e technicien </w:t>
      </w:r>
      <w:r w:rsidR="00576ADF">
        <w:t>ambulancier</w:t>
      </w:r>
      <w:r w:rsidR="006C6985">
        <w:t>/</w:t>
      </w:r>
      <w:proofErr w:type="spellStart"/>
      <w:r w:rsidR="006C6985">
        <w:t>paramédic</w:t>
      </w:r>
      <w:proofErr w:type="spellEnd"/>
      <w:r w:rsidRPr="009B010C">
        <w:t>?</w:t>
      </w:r>
    </w:p>
    <w:p w14:paraId="62C7F9F2" w14:textId="42862CE7" w:rsidR="009B010C" w:rsidRDefault="00FA2861" w:rsidP="009B010C">
      <w:pPr>
        <w:numPr>
          <w:ilvl w:val="0"/>
          <w:numId w:val="1"/>
        </w:numPr>
        <w:tabs>
          <w:tab w:val="clear" w:pos="360"/>
          <w:tab w:val="num" w:pos="720"/>
        </w:tabs>
        <w:spacing w:after="360"/>
        <w:jc w:val="both"/>
      </w:pPr>
      <w:r w:rsidRPr="00FA2861">
        <w:t>Pour les motifs qui suivent, le Tribunal conclut que le travailleur a subi une lésion professionnelle, soit une surdité neurosensorielle bilatérale.</w:t>
      </w:r>
    </w:p>
    <w:p w14:paraId="2F388E1F" w14:textId="77777777" w:rsidR="004D371F" w:rsidRPr="009206BC" w:rsidRDefault="004D371F" w:rsidP="000B6AD4">
      <w:pPr>
        <w:keepNext/>
        <w:keepLines/>
        <w:tabs>
          <w:tab w:val="left" w:pos="720"/>
        </w:tabs>
        <w:spacing w:after="360"/>
        <w:jc w:val="both"/>
        <w:rPr>
          <w:b/>
          <w:u w:val="single"/>
        </w:rPr>
      </w:pPr>
      <w:r w:rsidRPr="004C1DA1">
        <w:rPr>
          <w:b/>
          <w:u w:val="single"/>
        </w:rPr>
        <w:t>L’ANALYSE</w:t>
      </w:r>
    </w:p>
    <w:p w14:paraId="6B35CDBE" w14:textId="23E20028" w:rsidR="009B010C" w:rsidRDefault="009B010C" w:rsidP="00EA69F6">
      <w:pPr>
        <w:tabs>
          <w:tab w:val="left" w:pos="720"/>
        </w:tabs>
        <w:spacing w:after="360"/>
        <w:jc w:val="both"/>
        <w:rPr>
          <w:b/>
        </w:rPr>
      </w:pPr>
      <w:r w:rsidRPr="009B010C">
        <w:rPr>
          <w:b/>
        </w:rPr>
        <w:t>La présomption de maladie professionnelle prévue à l’article 29 de la Loi trouve</w:t>
      </w:r>
      <w:r w:rsidRPr="009B010C">
        <w:rPr>
          <w:b/>
        </w:rPr>
        <w:noBreakHyphen/>
        <w:t>t</w:t>
      </w:r>
      <w:r w:rsidRPr="009B010C">
        <w:rPr>
          <w:b/>
        </w:rPr>
        <w:noBreakHyphen/>
        <w:t>elle application?</w:t>
      </w:r>
    </w:p>
    <w:p w14:paraId="2A705794" w14:textId="0AE4ED81" w:rsidR="004D371F" w:rsidRDefault="004D371F" w:rsidP="00EA69F6">
      <w:pPr>
        <w:pStyle w:val="corpsdedcision"/>
        <w:tabs>
          <w:tab w:val="clear" w:pos="360"/>
          <w:tab w:val="num" w:pos="720"/>
        </w:tabs>
      </w:pPr>
      <w:r w:rsidRPr="00F2484B">
        <w:lastRenderedPageBreak/>
        <w:t xml:space="preserve">La </w:t>
      </w:r>
      <w:r w:rsidR="006566C7" w:rsidRPr="00F2484B">
        <w:t>Loi</w:t>
      </w:r>
      <w:r w:rsidRPr="00F2484B">
        <w:rPr>
          <w:iCs/>
        </w:rPr>
        <w:t xml:space="preserve"> </w:t>
      </w:r>
      <w:r w:rsidRPr="00F2484B">
        <w:t>définit</w:t>
      </w:r>
      <w:r w:rsidRPr="000A0D98">
        <w:t xml:space="preserve"> la maladie professionnelle comme </w:t>
      </w:r>
      <w:r w:rsidRPr="000A0D98">
        <w:rPr>
          <w:szCs w:val="24"/>
        </w:rPr>
        <w:t>«</w:t>
      </w:r>
      <w:r w:rsidRPr="000A0D98">
        <w:t> </w:t>
      </w:r>
      <w:r w:rsidRPr="00BA3055">
        <w:rPr>
          <w:rStyle w:val="Citationintgre"/>
        </w:rPr>
        <w:t>une maladie contractée par le fait ou à l'occasion du travail et qui est caractéristique de ce travail ou reliée directement aux risques particuliers de ce travail</w:t>
      </w:r>
      <w:r w:rsidRPr="000A0D98">
        <w:t> </w:t>
      </w:r>
      <w:r w:rsidRPr="000A0D98">
        <w:rPr>
          <w:szCs w:val="24"/>
        </w:rPr>
        <w:t>»</w:t>
      </w:r>
      <w:r w:rsidRPr="000A0D98">
        <w:rPr>
          <w:szCs w:val="22"/>
          <w:vertAlign w:val="superscript"/>
        </w:rPr>
        <w:footnoteReference w:id="3"/>
      </w:r>
      <w:r w:rsidRPr="000A0D98">
        <w:t>.</w:t>
      </w:r>
    </w:p>
    <w:p w14:paraId="7EC46358" w14:textId="275ADF9C" w:rsidR="00841AB8" w:rsidRPr="000A0D98" w:rsidRDefault="006566C7" w:rsidP="00841AB8">
      <w:pPr>
        <w:pStyle w:val="corpsdedcision"/>
        <w:tabs>
          <w:tab w:val="clear" w:pos="360"/>
          <w:tab w:val="num" w:pos="720"/>
        </w:tabs>
      </w:pPr>
      <w:r>
        <w:t>Pour faciliter le fardeau de preuve qui incombe au travailleur</w:t>
      </w:r>
      <w:r w:rsidR="00841AB8" w:rsidRPr="000A0D98">
        <w:t>, la</w:t>
      </w:r>
      <w:r w:rsidR="00456EBF">
        <w:t> </w:t>
      </w:r>
      <w:r w:rsidR="00841AB8" w:rsidRPr="000A0D98">
        <w:t>Loi prévoit une présomption de maladie professionnelle lorsque les critères d’application de cette maladie sont satisfaits</w:t>
      </w:r>
      <w:r w:rsidR="00841AB8" w:rsidRPr="000A0D98">
        <w:rPr>
          <w:vertAlign w:val="superscript"/>
        </w:rPr>
        <w:footnoteReference w:id="4"/>
      </w:r>
      <w:r w:rsidR="00841AB8" w:rsidRPr="000A0D98">
        <w:t xml:space="preserve">. </w:t>
      </w:r>
    </w:p>
    <w:p w14:paraId="009485E5" w14:textId="77777777" w:rsidR="00841AB8" w:rsidRDefault="00841AB8" w:rsidP="00841AB8">
      <w:pPr>
        <w:numPr>
          <w:ilvl w:val="0"/>
          <w:numId w:val="1"/>
        </w:numPr>
        <w:tabs>
          <w:tab w:val="left" w:pos="720"/>
        </w:tabs>
        <w:spacing w:after="360"/>
        <w:jc w:val="both"/>
      </w:pPr>
      <w:r>
        <w:t>En matière d’atteinte auditive, l</w:t>
      </w:r>
      <w:r w:rsidRPr="000A0D98">
        <w:t xml:space="preserve">e </w:t>
      </w:r>
      <w:r w:rsidRPr="000A0D98">
        <w:rPr>
          <w:i/>
        </w:rPr>
        <w:t>Règlement sur les maladies professionnelles</w:t>
      </w:r>
      <w:r w:rsidRPr="000A0D98">
        <w:rPr>
          <w:vertAlign w:val="superscript"/>
        </w:rPr>
        <w:footnoteReference w:id="5"/>
      </w:r>
      <w:r w:rsidRPr="000A0D98">
        <w:t>, le</w:t>
      </w:r>
      <w:r>
        <w:t> </w:t>
      </w:r>
      <w:r w:rsidRPr="000A0D98">
        <w:t>Règlement, détermine, à son annexe A, la liste des maladies pour lesquelles un travailleur peut bénéficier de la présomption prévue</w:t>
      </w:r>
      <w:r>
        <w:t xml:space="preserve"> à l’article 29 de la Loi, de même </w:t>
      </w:r>
      <w:r w:rsidRPr="000A0D98">
        <w:t xml:space="preserve">que les conditions particulières qui doivent être satisfaites. </w:t>
      </w:r>
    </w:p>
    <w:p w14:paraId="5AC1514D" w14:textId="7D527959" w:rsidR="00841AB8" w:rsidRPr="0027499C" w:rsidRDefault="00841AB8" w:rsidP="00841AB8">
      <w:pPr>
        <w:pStyle w:val="corpsdedcision"/>
      </w:pPr>
      <w:r>
        <w:rPr>
          <w:color w:val="000000"/>
        </w:rPr>
        <w:t>Soulignons que l</w:t>
      </w:r>
      <w:r w:rsidRPr="00032E2C">
        <w:rPr>
          <w:color w:val="000000"/>
        </w:rPr>
        <w:t>a </w:t>
      </w:r>
      <w:r w:rsidR="00BF7156">
        <w:rPr>
          <w:i/>
          <w:iCs/>
        </w:rPr>
        <w:t>Loi modernisant le régime de santé et de sécurité du travail</w:t>
      </w:r>
      <w:r w:rsidRPr="00711C41">
        <w:rPr>
          <w:rStyle w:val="FootnoteReference"/>
          <w:rFonts w:cs="Arial"/>
          <w:color w:val="000000"/>
        </w:rPr>
        <w:footnoteReference w:id="6"/>
      </w:r>
      <w:r w:rsidRPr="00711C41">
        <w:rPr>
          <w:color w:val="000000"/>
        </w:rPr>
        <w:t xml:space="preserve">, </w:t>
      </w:r>
      <w:r w:rsidRPr="00032E2C">
        <w:rPr>
          <w:color w:val="000000"/>
        </w:rPr>
        <w:t>entrée en vigueur le 6 octobre 2021</w:t>
      </w:r>
      <w:r>
        <w:rPr>
          <w:color w:val="000000"/>
        </w:rPr>
        <w:t xml:space="preserve">, apporte certaines modifications aux dispositions relatives aux maladies professionnelles. Entre autres, le </w:t>
      </w:r>
      <w:r w:rsidRPr="004F67B8">
        <w:rPr>
          <w:color w:val="000000"/>
        </w:rPr>
        <w:t>Règlemen</w:t>
      </w:r>
      <w:r>
        <w:rPr>
          <w:color w:val="000000"/>
        </w:rPr>
        <w:t>t est adopté et l’Annexe</w:t>
      </w:r>
      <w:r w:rsidR="00456EBF">
        <w:rPr>
          <w:color w:val="000000"/>
        </w:rPr>
        <w:t> </w:t>
      </w:r>
      <w:r>
        <w:rPr>
          <w:color w:val="000000"/>
        </w:rPr>
        <w:t xml:space="preserve">I de la Loi est abrogée. Toutefois, en matière d’atteinte auditive, les nouvelles </w:t>
      </w:r>
      <w:r w:rsidRPr="00F2484B">
        <w:rPr>
          <w:color w:val="000000"/>
        </w:rPr>
        <w:t>dispositions r</w:t>
      </w:r>
      <w:r w:rsidR="00F2484B" w:rsidRPr="00F2484B">
        <w:rPr>
          <w:color w:val="000000"/>
        </w:rPr>
        <w:t>é</w:t>
      </w:r>
      <w:r w:rsidRPr="00F2484B">
        <w:rPr>
          <w:color w:val="000000"/>
        </w:rPr>
        <w:t>glementaires n’ont, à ce jour</w:t>
      </w:r>
      <w:r w:rsidRPr="00F2484B">
        <w:rPr>
          <w:rStyle w:val="FootnoteReference"/>
          <w:color w:val="000000"/>
        </w:rPr>
        <w:footnoteReference w:id="7"/>
      </w:r>
      <w:r w:rsidRPr="00F2484B">
        <w:rPr>
          <w:color w:val="000000"/>
        </w:rPr>
        <w:t xml:space="preserve">, pas </w:t>
      </w:r>
      <w:r w:rsidRPr="00F2484B">
        <w:t>modifié</w:t>
      </w:r>
      <w:r w:rsidR="006D04DE" w:rsidRPr="00F2484B">
        <w:t xml:space="preserve"> l</w:t>
      </w:r>
      <w:r w:rsidR="00456EBF" w:rsidRPr="00F2484B">
        <w:t>e</w:t>
      </w:r>
      <w:r w:rsidR="006D04DE" w:rsidRPr="00F2484B">
        <w:t>s conditions d’application de la présomption</w:t>
      </w:r>
      <w:r w:rsidRPr="00F2484B">
        <w:t xml:space="preserve"> </w:t>
      </w:r>
      <w:r w:rsidR="006D04DE" w:rsidRPr="00F2484B">
        <w:t>ni le</w:t>
      </w:r>
      <w:r w:rsidR="00576ADF" w:rsidRPr="00F2484B">
        <w:t xml:space="preserve"> cadre juridique</w:t>
      </w:r>
      <w:r w:rsidR="00576ADF">
        <w:t xml:space="preserve"> du traitement d’une telle atteinte</w:t>
      </w:r>
      <w:r w:rsidR="006D04DE">
        <w:t>. Par conséquent, la jurisprudence du Tribunal est toujours pertinente</w:t>
      </w:r>
      <w:r>
        <w:rPr>
          <w:color w:val="000000"/>
        </w:rPr>
        <w:t>, comme il est précisé dans plusieurs décisions du Tribunal</w:t>
      </w:r>
      <w:r>
        <w:rPr>
          <w:rStyle w:val="FootnoteReference"/>
          <w:color w:val="000000"/>
        </w:rPr>
        <w:footnoteReference w:id="8"/>
      </w:r>
      <w:r>
        <w:rPr>
          <w:color w:val="000000"/>
        </w:rPr>
        <w:t>.</w:t>
      </w:r>
      <w:r>
        <w:rPr>
          <w:color w:val="70AD47"/>
        </w:rPr>
        <w:t xml:space="preserve"> </w:t>
      </w:r>
    </w:p>
    <w:p w14:paraId="37524AB5" w14:textId="285C1F61" w:rsidR="00D6202A" w:rsidRPr="000A0D98" w:rsidRDefault="00D6202A" w:rsidP="000B6AD4">
      <w:pPr>
        <w:keepNext/>
        <w:keepLines/>
        <w:numPr>
          <w:ilvl w:val="0"/>
          <w:numId w:val="1"/>
        </w:numPr>
        <w:tabs>
          <w:tab w:val="left" w:pos="720"/>
        </w:tabs>
        <w:spacing w:after="360"/>
        <w:jc w:val="both"/>
      </w:pPr>
      <w:r w:rsidRPr="00D6202A">
        <w:rPr>
          <w:rFonts w:cs="Arial"/>
          <w:color w:val="000000"/>
        </w:rPr>
        <w:t>Ainsi, p</w:t>
      </w:r>
      <w:r w:rsidR="00F651D5">
        <w:t>our bénéficier de la présomption, le travailleur doit faire la preuve prépondérante de d</w:t>
      </w:r>
      <w:r w:rsidR="00EF404A">
        <w:t>eux conditions d’application</w:t>
      </w:r>
      <w:r>
        <w:t>, soit</w:t>
      </w:r>
      <w:r w:rsidRPr="000A0D98">
        <w:t>:</w:t>
      </w:r>
    </w:p>
    <w:p w14:paraId="6B08C856" w14:textId="77777777" w:rsidR="00D6202A" w:rsidRPr="000A0D98" w:rsidRDefault="00D6202A" w:rsidP="000B6AD4">
      <w:pPr>
        <w:keepNext/>
        <w:keepLines/>
        <w:numPr>
          <w:ilvl w:val="0"/>
          <w:numId w:val="9"/>
        </w:numPr>
        <w:tabs>
          <w:tab w:val="left" w:pos="2466"/>
        </w:tabs>
        <w:ind w:left="1134" w:hanging="425"/>
        <w:jc w:val="both"/>
      </w:pPr>
      <w:proofErr w:type="gramStart"/>
      <w:r w:rsidRPr="000A0D98">
        <w:t>qu’il</w:t>
      </w:r>
      <w:proofErr w:type="gramEnd"/>
      <w:r w:rsidRPr="000A0D98">
        <w:t xml:space="preserve"> souffre d’une atteinte auditive causée par le bruit;</w:t>
      </w:r>
    </w:p>
    <w:p w14:paraId="4AFA6921" w14:textId="77777777" w:rsidR="00D6202A" w:rsidRPr="000A0D98" w:rsidRDefault="00D6202A" w:rsidP="00D6202A">
      <w:pPr>
        <w:numPr>
          <w:ilvl w:val="0"/>
          <w:numId w:val="9"/>
        </w:numPr>
        <w:tabs>
          <w:tab w:val="left" w:pos="2466"/>
        </w:tabs>
        <w:spacing w:after="360"/>
        <w:ind w:left="1134" w:hanging="425"/>
        <w:jc w:val="both"/>
      </w:pPr>
      <w:proofErr w:type="gramStart"/>
      <w:r w:rsidRPr="000A0D98">
        <w:t>qu’il</w:t>
      </w:r>
      <w:proofErr w:type="gramEnd"/>
      <w:r w:rsidRPr="000A0D98">
        <w:t xml:space="preserve"> a exercé un travail impliquant une exposition à un bruit excessif. </w:t>
      </w:r>
    </w:p>
    <w:p w14:paraId="53D21678" w14:textId="7BF67EEF" w:rsidR="004D371F" w:rsidRPr="000A0D98" w:rsidRDefault="00D6202A" w:rsidP="00BF3ADF">
      <w:pPr>
        <w:pStyle w:val="corpsdedcision"/>
        <w:tabs>
          <w:tab w:val="clear" w:pos="360"/>
        </w:tabs>
      </w:pPr>
      <w:r>
        <w:t xml:space="preserve">Une fois </w:t>
      </w:r>
      <w:r w:rsidR="00EF404A">
        <w:t>ces conditions satisfaites</w:t>
      </w:r>
      <w:r>
        <w:t>, il bénéficie de la présomption et la relation causale entre sa surdité et son travail est présumée.</w:t>
      </w:r>
    </w:p>
    <w:p w14:paraId="3DB4E5B7" w14:textId="77777777" w:rsidR="004D371F" w:rsidRPr="000A0D98" w:rsidRDefault="004D371F" w:rsidP="004D371F">
      <w:pPr>
        <w:keepNext/>
        <w:keepLines/>
        <w:tabs>
          <w:tab w:val="left" w:pos="720"/>
          <w:tab w:val="num" w:pos="928"/>
        </w:tabs>
        <w:spacing w:after="360"/>
        <w:jc w:val="both"/>
        <w:rPr>
          <w:u w:val="single"/>
        </w:rPr>
      </w:pPr>
      <w:r w:rsidRPr="000A0D98">
        <w:rPr>
          <w:u w:val="single"/>
        </w:rPr>
        <w:lastRenderedPageBreak/>
        <w:t>Une atteinte auditive causée par le bruit</w:t>
      </w:r>
    </w:p>
    <w:p w14:paraId="4DC16F62" w14:textId="5725E346" w:rsidR="00A91AC2" w:rsidRDefault="00A91AC2" w:rsidP="00A91AC2">
      <w:pPr>
        <w:pStyle w:val="corpsdedcision"/>
      </w:pPr>
      <w:r>
        <w:t>Le travailleur soutient qu’il souffre d’une atteinte auditive causée par le bruit. Il allègue que l’audiogramme du 4</w:t>
      </w:r>
      <w:r w:rsidR="00AC63CA">
        <w:t> </w:t>
      </w:r>
      <w:r>
        <w:t>juin</w:t>
      </w:r>
      <w:r w:rsidR="00AC63CA">
        <w:t> </w:t>
      </w:r>
      <w:r>
        <w:t xml:space="preserve">2021 présente les caractéristiques d’une telle atteinte. Au soutien de ses prétentions, il fait référence </w:t>
      </w:r>
      <w:r w:rsidR="00E4065C">
        <w:t xml:space="preserve">à la note médicale </w:t>
      </w:r>
      <w:r w:rsidR="00E4065C" w:rsidRPr="00F2484B">
        <w:t>complémentair</w:t>
      </w:r>
      <w:r w:rsidR="003B63DC">
        <w:t>e du 24</w:t>
      </w:r>
      <w:r w:rsidR="000B6AD4">
        <w:t> </w:t>
      </w:r>
      <w:r w:rsidR="003B63DC">
        <w:t>novembre</w:t>
      </w:r>
      <w:r w:rsidR="000B6AD4">
        <w:t> </w:t>
      </w:r>
      <w:r w:rsidR="003B63DC">
        <w:t>2022, réd</w:t>
      </w:r>
      <w:r w:rsidR="003B63DC" w:rsidRPr="00BD6342">
        <w:t>igée</w:t>
      </w:r>
      <w:r w:rsidR="003B63DC">
        <w:t xml:space="preserve"> par les audiologistes </w:t>
      </w:r>
      <w:r w:rsidRPr="00F2484B">
        <w:t>Andréanne</w:t>
      </w:r>
      <w:r w:rsidR="00AC63CA">
        <w:t> </w:t>
      </w:r>
      <w:r>
        <w:t>Trudeau et Marie</w:t>
      </w:r>
      <w:r w:rsidR="00AC63CA">
        <w:noBreakHyphen/>
      </w:r>
      <w:r>
        <w:t>Ève</w:t>
      </w:r>
      <w:r w:rsidR="00AC63CA">
        <w:t> </w:t>
      </w:r>
      <w:r>
        <w:t>Lessard.</w:t>
      </w:r>
    </w:p>
    <w:p w14:paraId="2386AE1F" w14:textId="233E5921" w:rsidR="00036B78" w:rsidRDefault="00036B78" w:rsidP="00036B78">
      <w:pPr>
        <w:pStyle w:val="corpsdedcision"/>
        <w:spacing w:after="300"/>
      </w:pPr>
      <w:r>
        <w:t>Le Tribunal conclut que le travailleur souffre d’une atteinte auditive causée par le bruit. Voici pourquoi.</w:t>
      </w:r>
    </w:p>
    <w:p w14:paraId="5FDD7B70" w14:textId="240ACF5A" w:rsidR="004D371F" w:rsidRPr="000A0D98" w:rsidRDefault="004D371F" w:rsidP="004D371F">
      <w:pPr>
        <w:keepNext/>
        <w:numPr>
          <w:ilvl w:val="0"/>
          <w:numId w:val="1"/>
        </w:numPr>
        <w:tabs>
          <w:tab w:val="left" w:pos="720"/>
        </w:tabs>
        <w:spacing w:after="360"/>
        <w:jc w:val="both"/>
      </w:pPr>
      <w:r w:rsidRPr="000A0D98">
        <w:t>Pour satisfaire à la première condition d’application de la présomption de maladie professionnelle, le travailleur doit non seulement démontrer qu’il est porteur d’une atteinte auditive, mais aussi que celle-ci est compatible avec une atteinte causée par le bruit.</w:t>
      </w:r>
    </w:p>
    <w:p w14:paraId="4ED56F59" w14:textId="794AC217" w:rsidR="004D371F" w:rsidRPr="00B51B44" w:rsidRDefault="004D371F" w:rsidP="004D371F">
      <w:pPr>
        <w:numPr>
          <w:ilvl w:val="0"/>
          <w:numId w:val="1"/>
        </w:numPr>
        <w:tabs>
          <w:tab w:val="left" w:pos="720"/>
          <w:tab w:val="num" w:pos="928"/>
        </w:tabs>
        <w:spacing w:after="360"/>
        <w:jc w:val="both"/>
      </w:pPr>
      <w:r w:rsidRPr="000A0D98">
        <w:t>Selon les résulta</w:t>
      </w:r>
      <w:r>
        <w:t>ts de l’audiogramme</w:t>
      </w:r>
      <w:r w:rsidR="000A7474">
        <w:t xml:space="preserve"> du 4</w:t>
      </w:r>
      <w:r w:rsidR="00D72F14">
        <w:t> </w:t>
      </w:r>
      <w:r w:rsidR="000A7474">
        <w:t>juin</w:t>
      </w:r>
      <w:r w:rsidR="00D72F14">
        <w:t> </w:t>
      </w:r>
      <w:r w:rsidR="000A7474">
        <w:t>2021</w:t>
      </w:r>
      <w:r>
        <w:t xml:space="preserve"> </w:t>
      </w:r>
      <w:r w:rsidRPr="00E34186">
        <w:t>et le diagnostic de surdité</w:t>
      </w:r>
      <w:r w:rsidR="000A7474">
        <w:t xml:space="preserve"> professionnelle</w:t>
      </w:r>
      <w:r w:rsidRPr="00E34186">
        <w:t xml:space="preserve"> </w:t>
      </w:r>
      <w:r>
        <w:t xml:space="preserve">neurosensorielle </w:t>
      </w:r>
      <w:r w:rsidR="000A7474">
        <w:t xml:space="preserve">bilatérale </w:t>
      </w:r>
      <w:proofErr w:type="spellStart"/>
      <w:r w:rsidR="000A7474">
        <w:t>infrabarème</w:t>
      </w:r>
      <w:proofErr w:type="spellEnd"/>
      <w:r w:rsidR="000A7474">
        <w:t xml:space="preserve"> </w:t>
      </w:r>
      <w:r w:rsidRPr="00E34186">
        <w:t>posé par l</w:t>
      </w:r>
      <w:r w:rsidR="000A7474">
        <w:t>a</w:t>
      </w:r>
      <w:r w:rsidRPr="00E34186">
        <w:t xml:space="preserve"> professionnel</w:t>
      </w:r>
      <w:r w:rsidR="000A7474">
        <w:t>le</w:t>
      </w:r>
      <w:r w:rsidRPr="00E34186">
        <w:t xml:space="preserve"> de la santé qui </w:t>
      </w:r>
      <w:r>
        <w:t>a charge</w:t>
      </w:r>
      <w:r w:rsidRPr="00E34186">
        <w:rPr>
          <w:vertAlign w:val="superscript"/>
        </w:rPr>
        <w:footnoteReference w:id="9"/>
      </w:r>
      <w:r w:rsidRPr="00E34186">
        <w:t xml:space="preserve">, </w:t>
      </w:r>
      <w:r w:rsidR="00B24C54">
        <w:t>la</w:t>
      </w:r>
      <w:r w:rsidR="00D72F14">
        <w:t> </w:t>
      </w:r>
      <w:r w:rsidR="00B24C54">
        <w:t>docteure</w:t>
      </w:r>
      <w:r w:rsidR="00D72F14">
        <w:t> </w:t>
      </w:r>
      <w:r w:rsidR="00B24C54">
        <w:t>Valérie</w:t>
      </w:r>
      <w:r w:rsidR="00D72F14">
        <w:t> </w:t>
      </w:r>
      <w:r w:rsidR="00B24C54">
        <w:t>Julie</w:t>
      </w:r>
      <w:r w:rsidR="00D72F14">
        <w:t> </w:t>
      </w:r>
      <w:r w:rsidR="00B24C54">
        <w:t xml:space="preserve">Brousseau, </w:t>
      </w:r>
      <w:r w:rsidRPr="00E34186">
        <w:t>il est établi que le travailleur souffre d’une atteinte auditive bilatérale qui peut être considérée comme</w:t>
      </w:r>
      <w:r w:rsidRPr="000A0D98">
        <w:t xml:space="preserve"> compatible avec une </w:t>
      </w:r>
      <w:r w:rsidRPr="00B51B44">
        <w:t xml:space="preserve">exposition </w:t>
      </w:r>
      <w:r w:rsidRPr="00791577">
        <w:t>au bruit</w:t>
      </w:r>
      <w:r w:rsidRPr="00B51B44">
        <w:t>.</w:t>
      </w:r>
    </w:p>
    <w:p w14:paraId="3037BFF6" w14:textId="32BF1BFD" w:rsidR="00ED1683" w:rsidRDefault="004D371F" w:rsidP="00ED1683">
      <w:pPr>
        <w:pStyle w:val="corpsdedcision"/>
      </w:pPr>
      <w:r w:rsidRPr="000A0D98">
        <w:t xml:space="preserve">À cet égard, </w:t>
      </w:r>
      <w:r w:rsidRPr="000A0D98">
        <w:rPr>
          <w:lang w:val="fr-FR"/>
        </w:rPr>
        <w:t xml:space="preserve">la jurisprudence enseigne </w:t>
      </w:r>
      <w:r w:rsidRPr="000A0D98">
        <w:t>que l’atteinte auditive causée par le bruit est une surdité neurosensorielle, bilatérale, symétrique et plus sévère dans les hautes fréquences. Elle se caractérise à l’audiogramme par une chute évidente du seuil d’audition dans les fréquences de 4 000 Hz avec une remontée caractéristique dans les fréquences de 6 000 et 8 000 Hz</w:t>
      </w:r>
      <w:r w:rsidRPr="000A0D98">
        <w:rPr>
          <w:vertAlign w:val="superscript"/>
        </w:rPr>
        <w:footnoteReference w:id="10"/>
      </w:r>
      <w:r w:rsidRPr="000A0D98">
        <w:t xml:space="preserve">. </w:t>
      </w:r>
      <w:r w:rsidRPr="000A0D98">
        <w:rPr>
          <w:rFonts w:cs="Arial"/>
          <w:lang w:val="fr-FR"/>
        </w:rPr>
        <w:t xml:space="preserve">L'image de la courbe sur l'audiogramme démontre alors une forme </w:t>
      </w:r>
      <w:r w:rsidRPr="00F2484B">
        <w:rPr>
          <w:rFonts w:cs="Arial"/>
          <w:lang w:val="fr-FR"/>
        </w:rPr>
        <w:t xml:space="preserve">d'encoche en </w:t>
      </w:r>
      <w:r w:rsidRPr="00F2484B">
        <w:rPr>
          <w:rFonts w:cs="Arial"/>
          <w:sz w:val="22"/>
          <w:szCs w:val="22"/>
          <w:lang w:val="fr-FR"/>
        </w:rPr>
        <w:t>«</w:t>
      </w:r>
      <w:r w:rsidRPr="00F2484B">
        <w:rPr>
          <w:rFonts w:cs="Arial"/>
          <w:lang w:val="fr-FR"/>
        </w:rPr>
        <w:t> </w:t>
      </w:r>
      <w:r w:rsidRPr="00F2484B">
        <w:rPr>
          <w:sz w:val="22"/>
        </w:rPr>
        <w:t>V</w:t>
      </w:r>
      <w:r w:rsidRPr="00F2484B">
        <w:rPr>
          <w:i/>
          <w:sz w:val="22"/>
        </w:rPr>
        <w:t> </w:t>
      </w:r>
      <w:r w:rsidRPr="00F2484B">
        <w:rPr>
          <w:rFonts w:cs="Arial"/>
          <w:sz w:val="22"/>
          <w:szCs w:val="22"/>
          <w:lang w:val="fr-FR"/>
        </w:rPr>
        <w:t>»</w:t>
      </w:r>
      <w:r w:rsidRPr="00F2484B">
        <w:rPr>
          <w:rFonts w:cs="Arial"/>
          <w:lang w:val="fr-FR"/>
        </w:rPr>
        <w:t>, bien que cela puisse s'atténuer grandement après une longue exposition au bruit ou</w:t>
      </w:r>
      <w:r w:rsidRPr="000A0D98">
        <w:rPr>
          <w:rFonts w:cs="Arial"/>
          <w:lang w:val="fr-FR"/>
        </w:rPr>
        <w:t xml:space="preserve"> avec l'âge</w:t>
      </w:r>
      <w:r w:rsidRPr="000A0D98">
        <w:rPr>
          <w:rFonts w:cs="Arial"/>
          <w:vertAlign w:val="superscript"/>
          <w:lang w:val="fr-FR"/>
        </w:rPr>
        <w:footnoteReference w:id="11"/>
      </w:r>
      <w:r w:rsidRPr="000A0D98">
        <w:rPr>
          <w:rFonts w:cs="Arial"/>
          <w:lang w:val="fr-FR"/>
        </w:rPr>
        <w:t>.</w:t>
      </w:r>
      <w:r w:rsidR="00C6778F" w:rsidRPr="00C6778F">
        <w:t xml:space="preserve"> </w:t>
      </w:r>
    </w:p>
    <w:p w14:paraId="20B3DB5B" w14:textId="45EC82FB" w:rsidR="004D371F" w:rsidRPr="006A4D44" w:rsidRDefault="00C6778F" w:rsidP="00ED1683">
      <w:pPr>
        <w:pStyle w:val="corpsdedcision"/>
      </w:pPr>
      <w:r>
        <w:t>C</w:t>
      </w:r>
      <w:r w:rsidRPr="00C62287">
        <w:t xml:space="preserve">es </w:t>
      </w:r>
      <w:r>
        <w:t xml:space="preserve">caractéristiques proposées par la jurisprudence sont des indices à considérer dans l’appréciation de la preuve d’une surdité causée par le bruit et non pas des conditions </w:t>
      </w:r>
      <w:r w:rsidRPr="00EF7B73">
        <w:t>nécessaires et indispensables à l’application de la présomption</w:t>
      </w:r>
      <w:r w:rsidR="002908AB">
        <w:rPr>
          <w:rStyle w:val="FootnoteReference"/>
        </w:rPr>
        <w:footnoteReference w:id="12"/>
      </w:r>
      <w:r w:rsidR="002908AB">
        <w:t>.</w:t>
      </w:r>
      <w:r w:rsidR="00ED1683">
        <w:t xml:space="preserve"> </w:t>
      </w:r>
      <w:r w:rsidR="00ED1683" w:rsidRPr="00ED1683">
        <w:rPr>
          <w:color w:val="000000"/>
        </w:rPr>
        <w:t>Ainsi, l</w:t>
      </w:r>
      <w:r w:rsidR="004D371F" w:rsidRPr="00ED1683">
        <w:rPr>
          <w:color w:val="000000"/>
        </w:rPr>
        <w:t xml:space="preserve">orsque l’atteinte auditive ne présente pas ces caractéristiques, le travailleur doit, afin de </w:t>
      </w:r>
      <w:r w:rsidR="004D371F" w:rsidRPr="00ED1683">
        <w:rPr>
          <w:color w:val="000000"/>
        </w:rPr>
        <w:lastRenderedPageBreak/>
        <w:t>bénéficier de la présomption, fournir une preuve médicale prépondérante permettant d’expliquer pour quelles raisons sa surdité est causée par le bruit malgré l’absence de ces caractéristiques</w:t>
      </w:r>
      <w:r w:rsidR="004D371F" w:rsidRPr="006A4D44">
        <w:rPr>
          <w:vertAlign w:val="superscript"/>
        </w:rPr>
        <w:footnoteReference w:id="13"/>
      </w:r>
      <w:r w:rsidR="004D371F" w:rsidRPr="00ED1683">
        <w:rPr>
          <w:color w:val="000000"/>
        </w:rPr>
        <w:t>.</w:t>
      </w:r>
    </w:p>
    <w:p w14:paraId="47CEE38F" w14:textId="638CD59C" w:rsidR="005A6747" w:rsidRDefault="004D371F" w:rsidP="004D371F">
      <w:pPr>
        <w:numPr>
          <w:ilvl w:val="0"/>
          <w:numId w:val="1"/>
        </w:numPr>
        <w:tabs>
          <w:tab w:val="left" w:pos="720"/>
        </w:tabs>
        <w:spacing w:after="360"/>
        <w:jc w:val="both"/>
      </w:pPr>
      <w:r w:rsidRPr="006A4D44">
        <w:t>En l’espèce,</w:t>
      </w:r>
      <w:r w:rsidR="00036B78">
        <w:t xml:space="preserve"> outre la surdité mise en évidence par la</w:t>
      </w:r>
      <w:r w:rsidR="001A706D">
        <w:t> </w:t>
      </w:r>
      <w:r w:rsidR="00036B78">
        <w:t>docteure</w:t>
      </w:r>
      <w:r w:rsidR="001A706D">
        <w:t> </w:t>
      </w:r>
      <w:r w:rsidR="00036B78">
        <w:t>Brousseau,</w:t>
      </w:r>
      <w:r w:rsidRPr="006A4D44">
        <w:t xml:space="preserve"> la preuve médicale prépondérante révèle que le travailleur présente une surdité </w:t>
      </w:r>
      <w:r w:rsidR="000A7474">
        <w:t>neurosensorielle</w:t>
      </w:r>
      <w:r w:rsidR="00D65792">
        <w:t>,</w:t>
      </w:r>
      <w:r w:rsidR="000A7474">
        <w:t xml:space="preserve"> bilatérale et symétrique</w:t>
      </w:r>
      <w:r w:rsidRPr="006A4D44">
        <w:t xml:space="preserve">, </w:t>
      </w:r>
      <w:r w:rsidR="000A7474">
        <w:t>avec une atteinte auditive plus sévère dans les hautes fréquences</w:t>
      </w:r>
      <w:r w:rsidR="00F360D8">
        <w:t>.</w:t>
      </w:r>
    </w:p>
    <w:p w14:paraId="09D115D1" w14:textId="60B6B4E0" w:rsidR="005A6747" w:rsidRDefault="005A6747" w:rsidP="004D371F">
      <w:pPr>
        <w:numPr>
          <w:ilvl w:val="0"/>
          <w:numId w:val="1"/>
        </w:numPr>
        <w:tabs>
          <w:tab w:val="left" w:pos="720"/>
        </w:tabs>
        <w:spacing w:after="360"/>
        <w:jc w:val="both"/>
      </w:pPr>
      <w:r>
        <w:t xml:space="preserve">Quant à l’encoche en « V » recherchée, la courbe audiométrique du travailleur ne présente </w:t>
      </w:r>
      <w:r w:rsidRPr="00F2484B">
        <w:t>pas l’encoche typique de la surdité professionnelle à 4</w:t>
      </w:r>
      <w:r w:rsidR="001A706D" w:rsidRPr="00F2484B">
        <w:t> </w:t>
      </w:r>
      <w:r w:rsidRPr="00F2484B">
        <w:t>000</w:t>
      </w:r>
      <w:r w:rsidR="001A706D" w:rsidRPr="00F2484B">
        <w:t> </w:t>
      </w:r>
      <w:r w:rsidRPr="00F2484B">
        <w:t>Hz. À ce sujet, les audiologistes</w:t>
      </w:r>
      <w:r w:rsidR="003B63DC">
        <w:t xml:space="preserve"> </w:t>
      </w:r>
      <w:r w:rsidRPr="00F2484B">
        <w:t>Andréanne</w:t>
      </w:r>
      <w:r w:rsidR="001A706D">
        <w:t> </w:t>
      </w:r>
      <w:r>
        <w:t>Trudeau et Marie</w:t>
      </w:r>
      <w:r w:rsidR="001A706D">
        <w:noBreakHyphen/>
      </w:r>
      <w:r>
        <w:t>Ève</w:t>
      </w:r>
      <w:r w:rsidR="001A706D">
        <w:t> </w:t>
      </w:r>
      <w:r>
        <w:t xml:space="preserve">Lessard font état de ce qui suit dans leur </w:t>
      </w:r>
      <w:r w:rsidR="00E4065C">
        <w:t>note médicale complémentaire</w:t>
      </w:r>
      <w:r>
        <w:t xml:space="preserve"> du 24</w:t>
      </w:r>
      <w:r w:rsidR="001A706D">
        <w:t> </w:t>
      </w:r>
      <w:r>
        <w:t>novembre</w:t>
      </w:r>
      <w:r w:rsidR="001A706D">
        <w:t> </w:t>
      </w:r>
      <w:r>
        <w:t xml:space="preserve">2022 : </w:t>
      </w:r>
    </w:p>
    <w:p w14:paraId="149FB01A" w14:textId="76E77351" w:rsidR="005A6747" w:rsidRDefault="005A6747" w:rsidP="005A6747">
      <w:pPr>
        <w:pStyle w:val="citation"/>
        <w:rPr>
          <w:rFonts w:cs="Arial"/>
        </w:rPr>
      </w:pPr>
      <w:r>
        <w:rPr>
          <w:rFonts w:cs="Arial"/>
        </w:rPr>
        <w:t>[…]</w:t>
      </w:r>
    </w:p>
    <w:p w14:paraId="33DA39B0" w14:textId="77777777" w:rsidR="005A6747" w:rsidRDefault="005A6747" w:rsidP="005A6747">
      <w:pPr>
        <w:pStyle w:val="citation"/>
        <w:rPr>
          <w:rFonts w:cs="Arial"/>
        </w:rPr>
      </w:pPr>
    </w:p>
    <w:p w14:paraId="20D3E1EE" w14:textId="691AFB55" w:rsidR="005A6747" w:rsidRDefault="005A6747" w:rsidP="005A6747">
      <w:pPr>
        <w:pStyle w:val="citation"/>
        <w:rPr>
          <w:rFonts w:cs="Arial"/>
          <w:b/>
          <w:bCs/>
        </w:rPr>
      </w:pPr>
      <w:r>
        <w:rPr>
          <w:rFonts w:cs="Arial"/>
        </w:rPr>
        <w:t xml:space="preserve">• </w:t>
      </w:r>
      <w:r w:rsidRPr="006D04DE">
        <w:rPr>
          <w:rFonts w:cs="Arial"/>
          <w:b/>
          <w:bCs/>
        </w:rPr>
        <w:t>Est-ce que la courbe audiométrique</w:t>
      </w:r>
      <w:r w:rsidR="001A706D">
        <w:rPr>
          <w:rFonts w:cs="Arial"/>
          <w:b/>
          <w:bCs/>
        </w:rPr>
        <w:t xml:space="preserve"> présente une chute importante du seuil d’audition dans les fréquences 4000Hz suivie d’une remontée significative dans les fréquences 6000 et 8000Hz? Prière de développer votre réponse.</w:t>
      </w:r>
    </w:p>
    <w:p w14:paraId="3D43A6F0" w14:textId="77777777" w:rsidR="00F2484B" w:rsidRDefault="00F2484B" w:rsidP="005A6747">
      <w:pPr>
        <w:pStyle w:val="citation"/>
        <w:rPr>
          <w:rFonts w:cs="Arial"/>
        </w:rPr>
      </w:pPr>
    </w:p>
    <w:p w14:paraId="5BF427E1" w14:textId="269BFA9F" w:rsidR="006D04DE" w:rsidRPr="00F2484B" w:rsidRDefault="001A706D" w:rsidP="0023367F">
      <w:pPr>
        <w:pStyle w:val="citation"/>
        <w:spacing w:after="360"/>
        <w:rPr>
          <w:rFonts w:cs="Arial"/>
        </w:rPr>
      </w:pPr>
      <w:r>
        <w:rPr>
          <w:rFonts w:cs="Arial"/>
        </w:rPr>
        <w:t>Selon la 6</w:t>
      </w:r>
      <w:r>
        <w:rPr>
          <w:rFonts w:cs="Arial"/>
          <w:vertAlign w:val="superscript"/>
        </w:rPr>
        <w:t>e</w:t>
      </w:r>
      <w:r>
        <w:rPr>
          <w:rFonts w:cs="Arial"/>
        </w:rPr>
        <w:t xml:space="preserve"> édition du </w:t>
      </w:r>
      <w:proofErr w:type="spellStart"/>
      <w:r>
        <w:rPr>
          <w:rFonts w:cs="Arial"/>
          <w:i/>
          <w:iCs/>
        </w:rPr>
        <w:t>Handbook</w:t>
      </w:r>
      <w:proofErr w:type="spellEnd"/>
      <w:r>
        <w:rPr>
          <w:rFonts w:cs="Arial"/>
          <w:i/>
          <w:iCs/>
        </w:rPr>
        <w:t xml:space="preserve"> of </w:t>
      </w:r>
      <w:proofErr w:type="spellStart"/>
      <w:r>
        <w:rPr>
          <w:rFonts w:cs="Arial"/>
          <w:i/>
          <w:iCs/>
        </w:rPr>
        <w:t>clinical</w:t>
      </w:r>
      <w:proofErr w:type="spellEnd"/>
      <w:r>
        <w:rPr>
          <w:rFonts w:cs="Arial"/>
          <w:i/>
          <w:iCs/>
        </w:rPr>
        <w:t xml:space="preserve"> </w:t>
      </w:r>
      <w:proofErr w:type="spellStart"/>
      <w:r>
        <w:rPr>
          <w:rFonts w:cs="Arial"/>
          <w:i/>
          <w:iCs/>
        </w:rPr>
        <w:t>audiology</w:t>
      </w:r>
      <w:proofErr w:type="spellEnd"/>
      <w:r>
        <w:rPr>
          <w:rFonts w:cs="Arial"/>
          <w:i/>
          <w:iCs/>
        </w:rPr>
        <w:t xml:space="preserve"> </w:t>
      </w:r>
      <w:r>
        <w:rPr>
          <w:rFonts w:cs="Arial"/>
        </w:rPr>
        <w:t>(Katz et al., 2009), u</w:t>
      </w:r>
      <w:r w:rsidR="00A33E18">
        <w:rPr>
          <w:rFonts w:cs="Arial"/>
        </w:rPr>
        <w:t>n</w:t>
      </w:r>
      <w:r>
        <w:rPr>
          <w:rFonts w:cs="Arial"/>
        </w:rPr>
        <w:t>e perte auditive e</w:t>
      </w:r>
      <w:r w:rsidR="00A33E18">
        <w:rPr>
          <w:rFonts w:cs="Arial"/>
        </w:rPr>
        <w:t>n</w:t>
      </w:r>
      <w:r>
        <w:rPr>
          <w:rFonts w:cs="Arial"/>
        </w:rPr>
        <w:t xml:space="preserve"> chute abrupte représente une baisse auditiv</w:t>
      </w:r>
      <w:r w:rsidR="00A33E18">
        <w:rPr>
          <w:rFonts w:cs="Arial"/>
        </w:rPr>
        <w:t>e</w:t>
      </w:r>
      <w:r>
        <w:rPr>
          <w:rFonts w:cs="Arial"/>
        </w:rPr>
        <w:t xml:space="preserve"> progressant entre 15 et 20 dB par octave et une chute précipitée est décrite comme une courbe plate suivie d’une chute de 25 dB ou plus à l’octave suivant. Dans le cas de Monsieur Breton, nous observons une courbe s’apparentant à une chute abrupte aux deux oreilles. La </w:t>
      </w:r>
      <w:r w:rsidR="00A33E18">
        <w:rPr>
          <w:rFonts w:cs="Arial"/>
        </w:rPr>
        <w:t>f</w:t>
      </w:r>
      <w:r>
        <w:rPr>
          <w:rFonts w:cs="Arial"/>
        </w:rPr>
        <w:t>réquence</w:t>
      </w:r>
      <w:r w:rsidR="00A33E18">
        <w:rPr>
          <w:rFonts w:cs="Arial"/>
        </w:rPr>
        <w:t xml:space="preserve"> la plus atteinte est celle de 6000Hz aux deux oreilles. Le seuil à 8000Hz est 5 dB meilleure que celui de 6000Hz. On ne retrouve donc par l’encoche typique de la surdité professionnelle à 4000Hz. L’encoche n’est pas toujours franche parce qu’elle s’élargie de part et d’autre de l’encoche originale après l’âge de 45-50 ans. C’est un portrait typique d’une surdité professionnelle après une exposition relativement longue (25 ans comme ambulancier). En résumé, plus le temps passe, plus l’encoche visible étant jeune aura tendance à disparaître et la courbe aura l’air de ce qui est observable avec le vieillissement des oreilles sans exposition au bruit (presbyacousie). Si on compare la surdité de Monsieur Breton avec la norme pour l’âge sans exposition au bruit de la population d’hommes de 50 ans qui entendent le moins bien (90</w:t>
      </w:r>
      <w:r w:rsidR="00A33E18">
        <w:rPr>
          <w:rFonts w:cs="Arial"/>
          <w:vertAlign w:val="superscript"/>
        </w:rPr>
        <w:t>e</w:t>
      </w:r>
      <w:r w:rsidR="00A33E18">
        <w:rPr>
          <w:rFonts w:cs="Arial"/>
        </w:rPr>
        <w:t xml:space="preserve"> percentile), on note qu’elle est présentement pire dans les fréquences susceptibles d’être atteintes par la surdité professionnelle. Cela suggère une atteinte précoce de ces fréquences étant</w:t>
      </w:r>
      <w:r w:rsidR="0023367F">
        <w:rPr>
          <w:rFonts w:cs="Arial"/>
        </w:rPr>
        <w:t xml:space="preserve"> </w:t>
      </w:r>
      <w:r w:rsidR="00A33E18">
        <w:rPr>
          <w:rFonts w:cs="Arial"/>
        </w:rPr>
        <w:t>plus jeune ce qui est compatible a</w:t>
      </w:r>
      <w:r w:rsidR="006D04DE">
        <w:rPr>
          <w:rFonts w:cs="Arial"/>
        </w:rPr>
        <w:t xml:space="preserve">vec une exposition au </w:t>
      </w:r>
      <w:r w:rsidR="006D04DE" w:rsidRPr="00F2484B">
        <w:rPr>
          <w:rFonts w:cs="Arial"/>
        </w:rPr>
        <w:t>bruit.</w:t>
      </w:r>
    </w:p>
    <w:p w14:paraId="16D830E5" w14:textId="633D0078" w:rsidR="004E080B" w:rsidRPr="00F2484B" w:rsidRDefault="004E080B" w:rsidP="0023367F">
      <w:pPr>
        <w:pStyle w:val="citation"/>
        <w:spacing w:after="360"/>
        <w:rPr>
          <w:rFonts w:cs="Arial"/>
        </w:rPr>
      </w:pPr>
      <w:r w:rsidRPr="00F2484B">
        <w:rPr>
          <w:rFonts w:cs="Arial"/>
        </w:rPr>
        <w:t>[…]</w:t>
      </w:r>
    </w:p>
    <w:p w14:paraId="1D2BE438" w14:textId="4B44350C" w:rsidR="003D3912" w:rsidRPr="003D3912" w:rsidRDefault="003D3912" w:rsidP="0023367F">
      <w:pPr>
        <w:pStyle w:val="citation"/>
        <w:spacing w:after="360"/>
        <w:rPr>
          <w:rFonts w:cs="Arial"/>
          <w:sz w:val="24"/>
          <w:szCs w:val="24"/>
        </w:rPr>
      </w:pPr>
      <w:r w:rsidRPr="00F2484B">
        <w:rPr>
          <w:rFonts w:cs="Arial"/>
          <w:sz w:val="24"/>
          <w:szCs w:val="24"/>
        </w:rPr>
        <w:t>[Transcription textuelle]</w:t>
      </w:r>
    </w:p>
    <w:p w14:paraId="58BF78D8" w14:textId="1A662831" w:rsidR="004D371F" w:rsidRPr="000A0D98" w:rsidRDefault="004D371F" w:rsidP="0023367F">
      <w:pPr>
        <w:numPr>
          <w:ilvl w:val="0"/>
          <w:numId w:val="1"/>
        </w:numPr>
        <w:tabs>
          <w:tab w:val="left" w:pos="720"/>
          <w:tab w:val="num" w:pos="928"/>
        </w:tabs>
        <w:spacing w:after="360"/>
        <w:jc w:val="both"/>
      </w:pPr>
      <w:r w:rsidRPr="000A0D98">
        <w:lastRenderedPageBreak/>
        <w:t xml:space="preserve">Le travailleur satisfait donc à la première condition d’application de la présomption, </w:t>
      </w:r>
      <w:r w:rsidR="00A156FD">
        <w:t>puisqu’il a démontré, par prépondérance de preuve, qu’il souffre d’une atteinte auditive causée par le bruit</w:t>
      </w:r>
      <w:r w:rsidR="00A156FD">
        <w:rPr>
          <w:szCs w:val="24"/>
        </w:rPr>
        <w:t>.</w:t>
      </w:r>
    </w:p>
    <w:p w14:paraId="448BD0D5" w14:textId="77777777" w:rsidR="004D371F" w:rsidRPr="000A0D98" w:rsidRDefault="004D371F" w:rsidP="004D371F">
      <w:pPr>
        <w:tabs>
          <w:tab w:val="left" w:pos="720"/>
        </w:tabs>
        <w:spacing w:after="360"/>
        <w:jc w:val="both"/>
        <w:rPr>
          <w:u w:val="single"/>
        </w:rPr>
      </w:pPr>
      <w:r w:rsidRPr="000A0D98">
        <w:rPr>
          <w:u w:val="single"/>
        </w:rPr>
        <w:t>Avoir exercé un travail impliquant une exposition à un bruit excessif</w:t>
      </w:r>
    </w:p>
    <w:p w14:paraId="7F524658" w14:textId="6511CD47" w:rsidR="00A156FD" w:rsidRDefault="00A156FD" w:rsidP="006D2D92">
      <w:pPr>
        <w:pStyle w:val="corpsdedcision"/>
      </w:pPr>
      <w:r w:rsidRPr="002F4140">
        <w:t>Le travailleur soutien</w:t>
      </w:r>
      <w:r>
        <w:t>t</w:t>
      </w:r>
      <w:r w:rsidRPr="002F4140">
        <w:t xml:space="preserve"> qu</w:t>
      </w:r>
      <w:r>
        <w:t xml:space="preserve">e son </w:t>
      </w:r>
      <w:r w:rsidR="00036B78">
        <w:t>emploi</w:t>
      </w:r>
      <w:r>
        <w:t xml:space="preserve"> d</w:t>
      </w:r>
      <w:r w:rsidR="006C6985">
        <w:t xml:space="preserve">e technicien </w:t>
      </w:r>
      <w:r>
        <w:t>ambulancier</w:t>
      </w:r>
      <w:r w:rsidR="006C6985">
        <w:t>/</w:t>
      </w:r>
      <w:proofErr w:type="spellStart"/>
      <w:r w:rsidR="006C6985">
        <w:t>paramédic</w:t>
      </w:r>
      <w:proofErr w:type="spellEnd"/>
      <w:r w:rsidR="00A33357">
        <w:t>,</w:t>
      </w:r>
      <w:r w:rsidR="00437F2B">
        <w:t xml:space="preserve"> </w:t>
      </w:r>
      <w:r>
        <w:t xml:space="preserve">qu’il exerce depuis plus de </w:t>
      </w:r>
      <w:r w:rsidR="00036B78">
        <w:t>25</w:t>
      </w:r>
      <w:r w:rsidR="00144207">
        <w:t> </w:t>
      </w:r>
      <w:r w:rsidR="00036B78">
        <w:t xml:space="preserve">ans, l’expose </w:t>
      </w:r>
      <w:r w:rsidRPr="002F4140">
        <w:t>à un bruit excessif. Il témoigne de l’expérience auditive qu’il a vécue dans s</w:t>
      </w:r>
      <w:r w:rsidR="00036B78">
        <w:t>on</w:t>
      </w:r>
      <w:r w:rsidRPr="002F4140">
        <w:t xml:space="preserve"> milieu de travail</w:t>
      </w:r>
      <w:r w:rsidR="00036B78">
        <w:t xml:space="preserve"> et dépose </w:t>
      </w:r>
      <w:bookmarkStart w:id="7" w:name="_Hlk165908702"/>
      <w:r w:rsidRPr="002F4140">
        <w:t xml:space="preserve">un </w:t>
      </w:r>
      <w:r w:rsidR="0077202B" w:rsidRPr="0077202B">
        <w:rPr>
          <w:i/>
          <w:iCs/>
        </w:rPr>
        <w:t>R</w:t>
      </w:r>
      <w:r w:rsidRPr="0077202B">
        <w:rPr>
          <w:i/>
          <w:iCs/>
        </w:rPr>
        <w:t>apport d’</w:t>
      </w:r>
      <w:r w:rsidR="00036B78" w:rsidRPr="0077202B">
        <w:rPr>
          <w:i/>
          <w:iCs/>
        </w:rPr>
        <w:t>évaluation du bruit environnemen</w:t>
      </w:r>
      <w:r w:rsidR="0077202B">
        <w:rPr>
          <w:i/>
          <w:iCs/>
        </w:rPr>
        <w:t>tal</w:t>
      </w:r>
      <w:r w:rsidR="00036B78" w:rsidRPr="0077202B">
        <w:rPr>
          <w:i/>
          <w:iCs/>
        </w:rPr>
        <w:t xml:space="preserve"> au travail (</w:t>
      </w:r>
      <w:proofErr w:type="spellStart"/>
      <w:r w:rsidR="00036B78" w:rsidRPr="0077202B">
        <w:rPr>
          <w:i/>
          <w:iCs/>
        </w:rPr>
        <w:t>paramédic</w:t>
      </w:r>
      <w:proofErr w:type="spellEnd"/>
      <w:r w:rsidR="00036B78" w:rsidRPr="0077202B">
        <w:rPr>
          <w:i/>
          <w:iCs/>
        </w:rPr>
        <w:t>)</w:t>
      </w:r>
      <w:r w:rsidR="0077202B">
        <w:t xml:space="preserve">, </w:t>
      </w:r>
      <w:bookmarkEnd w:id="7"/>
      <w:r w:rsidR="006D04DE">
        <w:t xml:space="preserve">réalisé </w:t>
      </w:r>
      <w:r w:rsidR="00036B78">
        <w:t>chez Urgence</w:t>
      </w:r>
      <w:r w:rsidR="00A33357">
        <w:t>s</w:t>
      </w:r>
      <w:r w:rsidR="00036B78">
        <w:t xml:space="preserve"> Bois-Francs </w:t>
      </w:r>
      <w:proofErr w:type="spellStart"/>
      <w:r w:rsidR="00036B78">
        <w:t>inc.</w:t>
      </w:r>
      <w:proofErr w:type="spellEnd"/>
      <w:r w:rsidR="003B63DC">
        <w:t xml:space="preserve"> en date du 29</w:t>
      </w:r>
      <w:r w:rsidR="00C53FBE">
        <w:t> </w:t>
      </w:r>
      <w:r w:rsidR="003B63DC">
        <w:t>septembre</w:t>
      </w:r>
      <w:r w:rsidR="00C53FBE">
        <w:t> </w:t>
      </w:r>
      <w:r w:rsidR="003B63DC">
        <w:t>2023</w:t>
      </w:r>
      <w:r w:rsidR="0077202B">
        <w:t>,</w:t>
      </w:r>
      <w:r w:rsidR="00036B78">
        <w:t xml:space="preserve"> au soutien de ses prétentions.</w:t>
      </w:r>
    </w:p>
    <w:p w14:paraId="5A435322" w14:textId="60B86628" w:rsidR="004D371F" w:rsidRPr="000A0D98" w:rsidRDefault="004D371F" w:rsidP="004D371F">
      <w:pPr>
        <w:numPr>
          <w:ilvl w:val="0"/>
          <w:numId w:val="1"/>
        </w:numPr>
        <w:tabs>
          <w:tab w:val="left" w:pos="720"/>
        </w:tabs>
        <w:spacing w:after="360"/>
        <w:jc w:val="both"/>
      </w:pPr>
      <w:r w:rsidRPr="000A0D98">
        <w:t xml:space="preserve">Pour les motifs qui suivent, le Tribunal </w:t>
      </w:r>
      <w:r w:rsidR="004024F2">
        <w:t>considère</w:t>
      </w:r>
      <w:r w:rsidRPr="000A0D98">
        <w:t xml:space="preserve"> que le travailleur s’est déchargé de son fardeau</w:t>
      </w:r>
      <w:r>
        <w:t>,</w:t>
      </w:r>
      <w:r w:rsidRPr="000A0D98">
        <w:t xml:space="preserve"> puisqu’il a démontré, par une preuve p</w:t>
      </w:r>
      <w:r>
        <w:t xml:space="preserve">robante, qu’il a été exposé à </w:t>
      </w:r>
      <w:r w:rsidR="004024F2">
        <w:t>un</w:t>
      </w:r>
      <w:r w:rsidRPr="000A0D98">
        <w:t xml:space="preserve"> bruit excessif dans le cadre de son travail.</w:t>
      </w:r>
    </w:p>
    <w:p w14:paraId="63D93690" w14:textId="73007C1F" w:rsidR="004D371F" w:rsidRPr="000A0D98" w:rsidRDefault="004D371F" w:rsidP="004D371F">
      <w:pPr>
        <w:numPr>
          <w:ilvl w:val="0"/>
          <w:numId w:val="1"/>
        </w:numPr>
        <w:tabs>
          <w:tab w:val="left" w:pos="720"/>
        </w:tabs>
        <w:spacing w:after="360"/>
        <w:jc w:val="both"/>
      </w:pPr>
      <w:r w:rsidRPr="000A0D98">
        <w:t xml:space="preserve">La notion de </w:t>
      </w:r>
      <w:r w:rsidR="00144207">
        <w:t>« </w:t>
      </w:r>
      <w:r w:rsidRPr="00144207">
        <w:rPr>
          <w:i/>
          <w:iCs/>
          <w:sz w:val="22"/>
          <w:szCs w:val="22"/>
        </w:rPr>
        <w:t>bruit excessif</w:t>
      </w:r>
      <w:r w:rsidR="00144207">
        <w:t> »</w:t>
      </w:r>
      <w:r w:rsidRPr="000A0D98">
        <w:t xml:space="preserve"> n’est pas définie dans la Loi. Selon la jurisprudence, il s’agit d’un bruit « </w:t>
      </w:r>
      <w:r w:rsidRPr="000A0D98">
        <w:rPr>
          <w:i/>
          <w:sz w:val="22"/>
        </w:rPr>
        <w:t>qui dépasse la mesure souhaitée ou permise</w:t>
      </w:r>
      <w:r w:rsidRPr="000A0D98">
        <w:t> », « </w:t>
      </w:r>
      <w:r w:rsidRPr="000A0D98">
        <w:rPr>
          <w:i/>
          <w:sz w:val="22"/>
        </w:rPr>
        <w:t>qui est trop grand, trop important</w:t>
      </w:r>
      <w:r w:rsidRPr="000A0D98">
        <w:t> » ou « </w:t>
      </w:r>
      <w:r w:rsidRPr="000A0D98">
        <w:rPr>
          <w:i/>
          <w:sz w:val="22"/>
        </w:rPr>
        <w:t>qui dépasse la mesure, exagéré, exorbitant</w:t>
      </w:r>
      <w:r w:rsidRPr="000A0D98">
        <w:t> »</w:t>
      </w:r>
      <w:r w:rsidRPr="000A0D98">
        <w:rPr>
          <w:vertAlign w:val="superscript"/>
        </w:rPr>
        <w:footnoteReference w:id="14"/>
      </w:r>
      <w:r w:rsidRPr="000A0D98">
        <w:t xml:space="preserve">. </w:t>
      </w:r>
    </w:p>
    <w:p w14:paraId="6E8989E5" w14:textId="77777777" w:rsidR="00E36A7E" w:rsidRDefault="004D371F" w:rsidP="00E36A7E">
      <w:pPr>
        <w:numPr>
          <w:ilvl w:val="0"/>
          <w:numId w:val="1"/>
        </w:numPr>
        <w:tabs>
          <w:tab w:val="left" w:pos="720"/>
        </w:tabs>
        <w:spacing w:after="360"/>
        <w:jc w:val="both"/>
      </w:pPr>
      <w:r w:rsidRPr="000A0D98">
        <w:t>Le travailleur n’a pas à produire une étude de bruit qui lui est spécifique pour faire la preuve qu’il a exercé un travail l’exposant à un bruit excessif</w:t>
      </w:r>
      <w:r w:rsidRPr="000A0D98">
        <w:rPr>
          <w:vertAlign w:val="superscript"/>
        </w:rPr>
        <w:footnoteReference w:id="15"/>
      </w:r>
      <w:r w:rsidRPr="000A0D98">
        <w:t xml:space="preserve">. Il n’a pas non plus à prouver que son milieu de travail ne respecte pas les normes prévues au </w:t>
      </w:r>
      <w:r w:rsidRPr="000A0D98">
        <w:rPr>
          <w:i/>
        </w:rPr>
        <w:t>Règlement sur la santé et la sécurité du travail</w:t>
      </w:r>
      <w:r w:rsidRPr="000A0D98">
        <w:rPr>
          <w:vertAlign w:val="superscript"/>
        </w:rPr>
        <w:footnoteReference w:id="16"/>
      </w:r>
      <w:r w:rsidRPr="000A0D98">
        <w:t xml:space="preserve">. Pour rencontrer son fardeau, il doit faire la preuve des endroits où il a travaillé, des sources de </w:t>
      </w:r>
      <w:r>
        <w:t>bruit environnant</w:t>
      </w:r>
      <w:r w:rsidRPr="000A0D98">
        <w:t xml:space="preserve">, de la durée d’exposition et surtout, du </w:t>
      </w:r>
      <w:r w:rsidRPr="00796ED9">
        <w:t>niveau de bruit auquel il</w:t>
      </w:r>
      <w:r w:rsidRPr="000A0D98">
        <w:t xml:space="preserve"> a été soumis. Ce critère peut être établi par le témoignage du travailleur, mais à partir de données objectives et fiables ou sur des faits desquels il est possible de tirer de telles conclusions</w:t>
      </w:r>
      <w:r w:rsidRPr="000A0D98">
        <w:rPr>
          <w:vertAlign w:val="superscript"/>
        </w:rPr>
        <w:footnoteReference w:id="17"/>
      </w:r>
      <w:r w:rsidRPr="000A0D98">
        <w:t xml:space="preserve">, le caractère excessif du bruit </w:t>
      </w:r>
      <w:r w:rsidRPr="00131419">
        <w:t>pouvant aussi se déduire par des faits</w:t>
      </w:r>
      <w:r w:rsidRPr="00131419">
        <w:rPr>
          <w:vertAlign w:val="superscript"/>
        </w:rPr>
        <w:footnoteReference w:id="18"/>
      </w:r>
      <w:r w:rsidRPr="00131419">
        <w:t>.</w:t>
      </w:r>
    </w:p>
    <w:p w14:paraId="2E28F249" w14:textId="1CE88D33" w:rsidR="00131419" w:rsidRPr="00131419" w:rsidRDefault="00367301" w:rsidP="003D3912">
      <w:pPr>
        <w:keepNext/>
        <w:keepLines/>
        <w:numPr>
          <w:ilvl w:val="0"/>
          <w:numId w:val="1"/>
        </w:numPr>
        <w:tabs>
          <w:tab w:val="left" w:pos="720"/>
        </w:tabs>
        <w:spacing w:after="360"/>
        <w:jc w:val="both"/>
      </w:pPr>
      <w:r w:rsidRPr="00131419">
        <w:lastRenderedPageBreak/>
        <w:t xml:space="preserve">Par ailleurs, selon la </w:t>
      </w:r>
      <w:r w:rsidRPr="00A45853">
        <w:t>jurisprudence</w:t>
      </w:r>
      <w:r w:rsidR="00A45853" w:rsidRPr="00A45853">
        <w:rPr>
          <w:rStyle w:val="FootnoteReference"/>
        </w:rPr>
        <w:footnoteReference w:id="19"/>
      </w:r>
      <w:r w:rsidRPr="00A45853">
        <w:t xml:space="preserve">, </w:t>
      </w:r>
      <w:r w:rsidR="00131419" w:rsidRPr="00A45853">
        <w:t>le</w:t>
      </w:r>
      <w:r w:rsidR="00131419" w:rsidRPr="00131419">
        <w:t xml:space="preserve"> seuil de 85</w:t>
      </w:r>
      <w:r w:rsidR="00174B5E">
        <w:t> </w:t>
      </w:r>
      <w:proofErr w:type="spellStart"/>
      <w:r w:rsidR="00131419" w:rsidRPr="00131419">
        <w:t>dBA</w:t>
      </w:r>
      <w:proofErr w:type="spellEnd"/>
      <w:r w:rsidR="00131419" w:rsidRPr="00131419">
        <w:t>, qui correspond à la norme ISO, est celui au</w:t>
      </w:r>
      <w:r w:rsidR="00131419" w:rsidRPr="00131419">
        <w:noBreakHyphen/>
        <w:t>delà duquel un bruit dépasse la mesure souhaitable. Ainsi, un travailleur ne doit pas être exposé à un niveau de bruit continu de 85</w:t>
      </w:r>
      <w:r w:rsidR="00174B5E">
        <w:t> </w:t>
      </w:r>
      <w:proofErr w:type="spellStart"/>
      <w:r w:rsidR="00131419" w:rsidRPr="00131419">
        <w:t>dBA</w:t>
      </w:r>
      <w:proofErr w:type="spellEnd"/>
      <w:r w:rsidR="00131419" w:rsidRPr="00131419">
        <w:t xml:space="preserve"> pour plus de huit</w:t>
      </w:r>
      <w:r w:rsidR="00174B5E">
        <w:t> </w:t>
      </w:r>
      <w:r w:rsidR="00131419" w:rsidRPr="00131419">
        <w:t>heures. Les mesures de bruit en fonction de cette norme sont réalisées en tenant compte que l’appareil utilisé intègre les mesures à partir de 80</w:t>
      </w:r>
      <w:r w:rsidR="00174B5E">
        <w:t> </w:t>
      </w:r>
      <w:proofErr w:type="spellStart"/>
      <w:r w:rsidR="00131419" w:rsidRPr="00131419">
        <w:t>dBA</w:t>
      </w:r>
      <w:proofErr w:type="spellEnd"/>
      <w:r w:rsidR="00131419" w:rsidRPr="00131419">
        <w:t xml:space="preserve"> et que l’intensité du bruit double aux 3</w:t>
      </w:r>
      <w:r w:rsidR="00174B5E">
        <w:t> </w:t>
      </w:r>
      <w:proofErr w:type="spellStart"/>
      <w:r w:rsidR="00131419" w:rsidRPr="00131419">
        <w:t>dBA</w:t>
      </w:r>
      <w:proofErr w:type="spellEnd"/>
      <w:r w:rsidR="00131419" w:rsidRPr="00131419">
        <w:rPr>
          <w:rStyle w:val="FootnoteReference"/>
        </w:rPr>
        <w:footnoteReference w:id="20"/>
      </w:r>
      <w:r w:rsidR="00131419" w:rsidRPr="00131419">
        <w:t xml:space="preserve">. Dans l’affaire </w:t>
      </w:r>
      <w:r w:rsidR="00131419" w:rsidRPr="00E36A7E">
        <w:rPr>
          <w:i/>
        </w:rPr>
        <w:t>Grisé</w:t>
      </w:r>
      <w:r w:rsidR="00131419" w:rsidRPr="00131419">
        <w:t xml:space="preserve"> et </w:t>
      </w:r>
      <w:proofErr w:type="spellStart"/>
      <w:r w:rsidR="00131419" w:rsidRPr="00E36A7E">
        <w:rPr>
          <w:i/>
        </w:rPr>
        <w:t>Intria</w:t>
      </w:r>
      <w:proofErr w:type="spellEnd"/>
      <w:r w:rsidR="00131419" w:rsidRPr="00E36A7E">
        <w:rPr>
          <w:i/>
        </w:rPr>
        <w:t xml:space="preserve"> Items </w:t>
      </w:r>
      <w:proofErr w:type="spellStart"/>
      <w:r w:rsidR="00131419" w:rsidRPr="00E36A7E">
        <w:rPr>
          <w:i/>
        </w:rPr>
        <w:t>inc.</w:t>
      </w:r>
      <w:proofErr w:type="spellEnd"/>
      <w:r w:rsidR="00131419" w:rsidRPr="00131419">
        <w:rPr>
          <w:rStyle w:val="FootnoteReference"/>
        </w:rPr>
        <w:footnoteReference w:id="21"/>
      </w:r>
      <w:r w:rsidR="00131419" w:rsidRPr="00131419">
        <w:t>, le</w:t>
      </w:r>
      <w:r w:rsidR="00CD4032">
        <w:t> </w:t>
      </w:r>
      <w:r w:rsidR="00131419" w:rsidRPr="00131419">
        <w:t>Tribunal précise ce</w:t>
      </w:r>
      <w:r w:rsidR="00131419">
        <w:t xml:space="preserve"> qui suit</w:t>
      </w:r>
      <w:r w:rsidR="00131419" w:rsidRPr="00131419">
        <w:t xml:space="preserve"> quant à l’utilisation de cette norme:</w:t>
      </w:r>
    </w:p>
    <w:p w14:paraId="73E39616" w14:textId="34BCC013" w:rsidR="00131419" w:rsidRPr="00131419" w:rsidRDefault="00131419" w:rsidP="0067456D">
      <w:pPr>
        <w:pStyle w:val="citation"/>
        <w:spacing w:after="360"/>
        <w:ind w:left="1418"/>
      </w:pPr>
      <w:r w:rsidRPr="00131419">
        <w:rPr>
          <w:rFonts w:cs="Arial"/>
        </w:rPr>
        <w:t>[</w:t>
      </w:r>
      <w:r w:rsidRPr="00131419">
        <w:t>45</w:t>
      </w:r>
      <w:r w:rsidRPr="00131419">
        <w:rPr>
          <w:rFonts w:cs="Arial"/>
        </w:rPr>
        <w:t>]</w:t>
      </w:r>
      <w:r w:rsidRPr="00131419">
        <w:tab/>
        <w:t>Selon des décisions récentes du Tribunal, il faut utiliser la norme de 85 </w:t>
      </w:r>
      <w:proofErr w:type="spellStart"/>
      <w:r w:rsidRPr="00131419">
        <w:t>dBA</w:t>
      </w:r>
      <w:proofErr w:type="spellEnd"/>
      <w:r w:rsidRPr="00131419">
        <w:t xml:space="preserve"> pour déterminer s’il existe un bruit excessif. Ce nombre correspond à la norme ISO qui fait l’objet d’un consensus au sein du réseau de santé publique. Le</w:t>
      </w:r>
      <w:r w:rsidR="0067456D">
        <w:t> </w:t>
      </w:r>
      <w:r w:rsidRPr="00131419">
        <w:rPr>
          <w:i/>
        </w:rPr>
        <w:t xml:space="preserve">National Institute for </w:t>
      </w:r>
      <w:proofErr w:type="spellStart"/>
      <w:r w:rsidRPr="00131419">
        <w:rPr>
          <w:i/>
        </w:rPr>
        <w:t>Occupational</w:t>
      </w:r>
      <w:proofErr w:type="spellEnd"/>
      <w:r w:rsidRPr="00131419">
        <w:rPr>
          <w:i/>
        </w:rPr>
        <w:t xml:space="preserve"> </w:t>
      </w:r>
      <w:proofErr w:type="spellStart"/>
      <w:r w:rsidRPr="00131419">
        <w:rPr>
          <w:i/>
        </w:rPr>
        <w:t>Safety</w:t>
      </w:r>
      <w:proofErr w:type="spellEnd"/>
      <w:r w:rsidRPr="00131419">
        <w:rPr>
          <w:i/>
        </w:rPr>
        <w:t xml:space="preserve"> and Health</w:t>
      </w:r>
      <w:r w:rsidRPr="00131419">
        <w:t xml:space="preserve"> (NIOSH) préconise d’ailleurs que la valeur de référence soit établie à 85 dBA</w:t>
      </w:r>
      <w:r w:rsidR="0067456D">
        <w:rPr>
          <w:vertAlign w:val="superscript"/>
        </w:rPr>
        <w:t>13</w:t>
      </w:r>
      <w:r w:rsidRPr="00131419">
        <w:t>.</w:t>
      </w:r>
    </w:p>
    <w:p w14:paraId="295AB1BC" w14:textId="768B58FC" w:rsidR="00367301" w:rsidRPr="00D757AB" w:rsidRDefault="00131419" w:rsidP="0067456D">
      <w:pPr>
        <w:pStyle w:val="citation"/>
        <w:spacing w:after="360"/>
        <w:ind w:left="1418"/>
        <w:rPr>
          <w:sz w:val="24"/>
          <w:szCs w:val="24"/>
        </w:rPr>
      </w:pPr>
      <w:r w:rsidRPr="00131419">
        <w:rPr>
          <w:rFonts w:cs="Arial"/>
          <w:sz w:val="24"/>
          <w:szCs w:val="24"/>
        </w:rPr>
        <w:t>[</w:t>
      </w:r>
      <w:r w:rsidRPr="00131419">
        <w:rPr>
          <w:sz w:val="24"/>
          <w:szCs w:val="24"/>
        </w:rPr>
        <w:t>Note omise</w:t>
      </w:r>
      <w:r w:rsidRPr="00131419">
        <w:rPr>
          <w:rFonts w:cs="Arial"/>
          <w:sz w:val="24"/>
          <w:szCs w:val="24"/>
        </w:rPr>
        <w:t>]</w:t>
      </w:r>
    </w:p>
    <w:p w14:paraId="61988768" w14:textId="77777777" w:rsidR="006E33CA" w:rsidRDefault="006E33CA" w:rsidP="006E33CA">
      <w:pPr>
        <w:pStyle w:val="corpsdedcision"/>
      </w:pPr>
      <w:r w:rsidRPr="000A0D98">
        <w:t>Suivant le témoignage crédible et non contredit du travailleur, le</w:t>
      </w:r>
      <w:r>
        <w:t> Tribunal retient ce qui suit.</w:t>
      </w:r>
    </w:p>
    <w:p w14:paraId="2777DCFC" w14:textId="67F32A1D" w:rsidR="006E33CA" w:rsidRDefault="00437F2B" w:rsidP="004D371F">
      <w:pPr>
        <w:numPr>
          <w:ilvl w:val="0"/>
          <w:numId w:val="1"/>
        </w:numPr>
        <w:tabs>
          <w:tab w:val="left" w:pos="720"/>
        </w:tabs>
        <w:spacing w:after="360"/>
        <w:jc w:val="both"/>
      </w:pPr>
      <w:r>
        <w:t>Au début de sa carrière d</w:t>
      </w:r>
      <w:r w:rsidR="00A33357">
        <w:t xml:space="preserve">e technicien </w:t>
      </w:r>
      <w:r>
        <w:t>ambulancier</w:t>
      </w:r>
      <w:r w:rsidR="00A33357">
        <w:t>/</w:t>
      </w:r>
      <w:proofErr w:type="spellStart"/>
      <w:r w:rsidR="00A33357">
        <w:t>paramédic</w:t>
      </w:r>
      <w:proofErr w:type="spellEnd"/>
      <w:r>
        <w:t>, il travaill</w:t>
      </w:r>
      <w:r w:rsidR="00EC1402">
        <w:t xml:space="preserve">e </w:t>
      </w:r>
      <w:r>
        <w:t>sur des horaires de faction de 24</w:t>
      </w:r>
      <w:r w:rsidR="0067456D">
        <w:t> </w:t>
      </w:r>
      <w:r>
        <w:t>heures sur 24 pendant deux jours complets, avec deux jours de congé, plus une fin de semaine sur deux de trois jours consécutifs.</w:t>
      </w:r>
    </w:p>
    <w:p w14:paraId="4A0F7D5C" w14:textId="60A08C53" w:rsidR="00437F2B" w:rsidRDefault="00437F2B" w:rsidP="004D371F">
      <w:pPr>
        <w:numPr>
          <w:ilvl w:val="0"/>
          <w:numId w:val="1"/>
        </w:numPr>
        <w:tabs>
          <w:tab w:val="left" w:pos="720"/>
        </w:tabs>
        <w:spacing w:after="360"/>
        <w:jc w:val="both"/>
      </w:pPr>
      <w:r>
        <w:t>À compter de 2005, il</w:t>
      </w:r>
      <w:r w:rsidR="00EC1402">
        <w:t xml:space="preserve"> </w:t>
      </w:r>
      <w:r>
        <w:t>ob</w:t>
      </w:r>
      <w:r w:rsidR="00EC1402">
        <w:t>tient</w:t>
      </w:r>
      <w:r>
        <w:t xml:space="preserve"> un poste à temps complet chez Urgences Bois</w:t>
      </w:r>
      <w:r w:rsidR="0067456D">
        <w:noBreakHyphen/>
      </w:r>
      <w:r>
        <w:t xml:space="preserve">Francs </w:t>
      </w:r>
      <w:proofErr w:type="spellStart"/>
      <w:r>
        <w:t>inc</w:t>
      </w:r>
      <w:r w:rsidR="00EC1402">
        <w:t>.</w:t>
      </w:r>
      <w:proofErr w:type="spellEnd"/>
      <w:r w:rsidR="00EC1402">
        <w:t xml:space="preserve"> Il effectue alors des quarts de travail de 12</w:t>
      </w:r>
      <w:r w:rsidR="0067456D">
        <w:t> </w:t>
      </w:r>
      <w:r w:rsidR="00EC1402">
        <w:t>heures de soir, soit de 18</w:t>
      </w:r>
      <w:r w:rsidR="0067456D">
        <w:t> </w:t>
      </w:r>
      <w:r w:rsidR="00EC1402">
        <w:t>h à 6</w:t>
      </w:r>
      <w:r w:rsidR="0067456D">
        <w:t> </w:t>
      </w:r>
      <w:r w:rsidR="00EC1402">
        <w:t>h</w:t>
      </w:r>
      <w:r w:rsidR="00BD6342">
        <w:t xml:space="preserve"> </w:t>
      </w:r>
      <w:r w:rsidR="00EC1402">
        <w:t>pendant deux jours consécutifs, avec ensuite deux jours de repos</w:t>
      </w:r>
      <w:r w:rsidR="004006BE">
        <w:t>, en plus de travailler une fin de semaine sur deux, ce qui implique trois jours consécutifs en présentiel à la caserne.</w:t>
      </w:r>
      <w:r w:rsidR="001F7B8C">
        <w:t xml:space="preserve"> Il précise qu’il n’a jamais porté de </w:t>
      </w:r>
      <w:r w:rsidR="001F7B8C" w:rsidRPr="001D2262">
        <w:t>protection</w:t>
      </w:r>
      <w:r w:rsidR="00DA127E" w:rsidRPr="001D2262">
        <w:t>s</w:t>
      </w:r>
      <w:r w:rsidR="001F7B8C" w:rsidRPr="001D2262">
        <w:t xml:space="preserve"> auditive</w:t>
      </w:r>
      <w:r w:rsidR="00DA127E" w:rsidRPr="001D2262">
        <w:t>s</w:t>
      </w:r>
      <w:r w:rsidR="001F7B8C" w:rsidRPr="001D2262">
        <w:t>.</w:t>
      </w:r>
    </w:p>
    <w:p w14:paraId="17E3CF6F" w14:textId="74DECCE8" w:rsidR="00ED032F" w:rsidRDefault="00063CA6" w:rsidP="004D371F">
      <w:pPr>
        <w:numPr>
          <w:ilvl w:val="0"/>
          <w:numId w:val="1"/>
        </w:numPr>
        <w:tabs>
          <w:tab w:val="left" w:pos="720"/>
        </w:tabs>
        <w:spacing w:after="360"/>
        <w:jc w:val="both"/>
      </w:pPr>
      <w:r>
        <w:t>Le travailleur témoigne aussi qu’il a cinq semaines de vacances par année, ce qui implique qu’il travaille 47</w:t>
      </w:r>
      <w:r w:rsidR="00DA127E">
        <w:t> </w:t>
      </w:r>
      <w:r>
        <w:t>semaines par année. Il ajoute, preuve documentaire à l’appui</w:t>
      </w:r>
      <w:r>
        <w:rPr>
          <w:rStyle w:val="FootnoteReference"/>
        </w:rPr>
        <w:footnoteReference w:id="22"/>
      </w:r>
      <w:r>
        <w:t>, qu’il effectue en moyenne 40</w:t>
      </w:r>
      <w:r w:rsidR="00DA127E">
        <w:t> </w:t>
      </w:r>
      <w:r>
        <w:t>heures supplémentaires par année.</w:t>
      </w:r>
    </w:p>
    <w:p w14:paraId="1F4039D8" w14:textId="3F373BE5" w:rsidR="00D757AB" w:rsidRDefault="00020582" w:rsidP="004D371F">
      <w:pPr>
        <w:numPr>
          <w:ilvl w:val="0"/>
          <w:numId w:val="1"/>
        </w:numPr>
        <w:tabs>
          <w:tab w:val="left" w:pos="720"/>
        </w:tabs>
        <w:spacing w:after="360"/>
        <w:jc w:val="both"/>
      </w:pPr>
      <w:r>
        <w:lastRenderedPageBreak/>
        <w:t>Au soutien de son témoignage, le travailleur dépose un</w:t>
      </w:r>
      <w:r w:rsidR="006E33CA">
        <w:t xml:space="preserve"> </w:t>
      </w:r>
      <w:r w:rsidR="006E33CA" w:rsidRPr="0077202B">
        <w:rPr>
          <w:i/>
          <w:iCs/>
        </w:rPr>
        <w:t>Rapport d’évaluation du bruit environnemen</w:t>
      </w:r>
      <w:r w:rsidR="006E33CA">
        <w:rPr>
          <w:i/>
          <w:iCs/>
        </w:rPr>
        <w:t>tal</w:t>
      </w:r>
      <w:r w:rsidR="006E33CA" w:rsidRPr="0077202B">
        <w:rPr>
          <w:i/>
          <w:iCs/>
        </w:rPr>
        <w:t xml:space="preserve"> au travail (</w:t>
      </w:r>
      <w:proofErr w:type="spellStart"/>
      <w:r w:rsidR="006E33CA" w:rsidRPr="0077202B">
        <w:rPr>
          <w:i/>
          <w:iCs/>
        </w:rPr>
        <w:t>paramédic</w:t>
      </w:r>
      <w:proofErr w:type="spellEnd"/>
      <w:r w:rsidR="006E33CA" w:rsidRPr="0077202B">
        <w:rPr>
          <w:i/>
          <w:iCs/>
        </w:rPr>
        <w:t>)</w:t>
      </w:r>
      <w:r w:rsidR="006E33CA">
        <w:t xml:space="preserve">, </w:t>
      </w:r>
      <w:r>
        <w:t xml:space="preserve">réalisé </w:t>
      </w:r>
      <w:r w:rsidR="006E33CA">
        <w:t>chez Urgence</w:t>
      </w:r>
      <w:r w:rsidR="00F8623C">
        <w:t>s</w:t>
      </w:r>
      <w:r w:rsidR="006E33CA">
        <w:t xml:space="preserve"> Bois-Francs </w:t>
      </w:r>
      <w:proofErr w:type="spellStart"/>
      <w:r w:rsidR="006E33CA">
        <w:t>inc</w:t>
      </w:r>
      <w:r w:rsidR="00BF04F6">
        <w:t>.</w:t>
      </w:r>
      <w:proofErr w:type="spellEnd"/>
      <w:r w:rsidR="00602E54">
        <w:t xml:space="preserve"> </w:t>
      </w:r>
      <w:r w:rsidR="00905771">
        <w:t>en date du 29</w:t>
      </w:r>
      <w:r w:rsidR="00DA127E">
        <w:t> </w:t>
      </w:r>
      <w:r w:rsidR="00905771">
        <w:t>septembre</w:t>
      </w:r>
      <w:r w:rsidR="00DA127E">
        <w:t> </w:t>
      </w:r>
      <w:r w:rsidR="00905771">
        <w:t>2023</w:t>
      </w:r>
      <w:r>
        <w:t>, à la demande de son représentant.</w:t>
      </w:r>
    </w:p>
    <w:p w14:paraId="2DB34F74" w14:textId="5DF88CB6" w:rsidR="00020582" w:rsidRPr="00BD6342" w:rsidRDefault="00020582" w:rsidP="004D371F">
      <w:pPr>
        <w:numPr>
          <w:ilvl w:val="0"/>
          <w:numId w:val="1"/>
        </w:numPr>
        <w:tabs>
          <w:tab w:val="left" w:pos="720"/>
        </w:tabs>
        <w:spacing w:after="360"/>
        <w:jc w:val="both"/>
      </w:pPr>
      <w:r>
        <w:t xml:space="preserve">Dans le cadre de ce rapport, il est </w:t>
      </w:r>
      <w:r w:rsidR="00602E54">
        <w:t>mentionné</w:t>
      </w:r>
      <w:r>
        <w:t xml:space="preserve"> que le mandat donné </w:t>
      </w:r>
      <w:r w:rsidR="00905771">
        <w:t xml:space="preserve">à la firme responsable de l’évaluation était de valider l’exposition </w:t>
      </w:r>
      <w:r w:rsidR="00E4065C">
        <w:t xml:space="preserve">au bruit </w:t>
      </w:r>
      <w:r w:rsidR="00905771">
        <w:t>pour les tâches réalisées dans une journée normale de travail d’un</w:t>
      </w:r>
      <w:r w:rsidR="001D2262">
        <w:t xml:space="preserve"> </w:t>
      </w:r>
      <w:r w:rsidR="00A33357">
        <w:t>technicien ambulancier/</w:t>
      </w:r>
      <w:proofErr w:type="spellStart"/>
      <w:r w:rsidR="00A33357">
        <w:t>paramédic</w:t>
      </w:r>
      <w:proofErr w:type="spellEnd"/>
      <w:r w:rsidR="00905771">
        <w:t xml:space="preserve">, ainsi que de poser </w:t>
      </w:r>
      <w:r w:rsidR="00905771" w:rsidRPr="00BD6342">
        <w:t xml:space="preserve">un dosimètre sur </w:t>
      </w:r>
      <w:r w:rsidR="00A33357" w:rsidRPr="00BD6342">
        <w:t>ce dernier</w:t>
      </w:r>
      <w:r w:rsidR="001D2262" w:rsidRPr="00BD6342">
        <w:t xml:space="preserve"> </w:t>
      </w:r>
      <w:r w:rsidR="00905771" w:rsidRPr="00BD6342">
        <w:t>afin de valider l’exposition pour un quart de travail normal.</w:t>
      </w:r>
    </w:p>
    <w:p w14:paraId="412916DA" w14:textId="686B3365" w:rsidR="00905771" w:rsidRPr="00BD6342" w:rsidRDefault="00905771" w:rsidP="004D371F">
      <w:pPr>
        <w:numPr>
          <w:ilvl w:val="0"/>
          <w:numId w:val="1"/>
        </w:numPr>
        <w:tabs>
          <w:tab w:val="left" w:pos="720"/>
        </w:tabs>
        <w:spacing w:after="360"/>
        <w:jc w:val="both"/>
      </w:pPr>
      <w:r w:rsidRPr="00BD6342">
        <w:t>Au niveau de la réglementation, il est indiqué qu’au Québec, « </w:t>
      </w:r>
      <w:r w:rsidRPr="00BD6342">
        <w:rPr>
          <w:rStyle w:val="Citationintgre"/>
        </w:rPr>
        <w:t>une exposition au bruit ne peut dépasser 85</w:t>
      </w:r>
      <w:r w:rsidR="00DA127E" w:rsidRPr="00BD6342">
        <w:rPr>
          <w:rStyle w:val="Citationintgre"/>
        </w:rPr>
        <w:t> </w:t>
      </w:r>
      <w:proofErr w:type="spellStart"/>
      <w:r w:rsidRPr="00BD6342">
        <w:rPr>
          <w:rStyle w:val="Citationintgre"/>
        </w:rPr>
        <w:t>dBA</w:t>
      </w:r>
      <w:proofErr w:type="spellEnd"/>
      <w:r w:rsidRPr="00BD6342">
        <w:rPr>
          <w:rStyle w:val="Citationintgre"/>
        </w:rPr>
        <w:t xml:space="preserve"> pour une période de 8 heures</w:t>
      </w:r>
      <w:r w:rsidRPr="00BD6342">
        <w:t> ».</w:t>
      </w:r>
    </w:p>
    <w:p w14:paraId="674BE40F" w14:textId="7E586DE4" w:rsidR="00905771" w:rsidRDefault="00905771" w:rsidP="004D371F">
      <w:pPr>
        <w:numPr>
          <w:ilvl w:val="0"/>
          <w:numId w:val="1"/>
        </w:numPr>
        <w:tabs>
          <w:tab w:val="left" w:pos="720"/>
        </w:tabs>
        <w:spacing w:after="360"/>
        <w:jc w:val="both"/>
      </w:pPr>
      <w:r w:rsidRPr="00BD6342">
        <w:t xml:space="preserve">Le </w:t>
      </w:r>
      <w:r w:rsidRPr="00BD6342">
        <w:rPr>
          <w:i/>
          <w:iCs/>
        </w:rPr>
        <w:t>Tableau V</w:t>
      </w:r>
      <w:r w:rsidRPr="00BD6342">
        <w:t xml:space="preserve"> d</w:t>
      </w:r>
      <w:r w:rsidR="00602E54" w:rsidRPr="00BD6342">
        <w:t>u rapport</w:t>
      </w:r>
      <w:r w:rsidRPr="00BD6342">
        <w:t xml:space="preserve"> révèle les mesures de l’exposition personnelle au brui</w:t>
      </w:r>
      <w:r w:rsidR="00602E54" w:rsidRPr="00BD6342">
        <w:t xml:space="preserve">t prises à l’aide d’un sonomètre, </w:t>
      </w:r>
      <w:r w:rsidRPr="00BD6342">
        <w:t>selon les tâches</w:t>
      </w:r>
      <w:r>
        <w:t xml:space="preserve"> d’exposition</w:t>
      </w:r>
      <w:r w:rsidR="001D2262">
        <w:t>s</w:t>
      </w:r>
      <w:r>
        <w:t xml:space="preserve"> similaires, soit les tâches effectuées par un groupe de travailleurs ayant le même profil général que le travailleur. Les résultats se lisent comme suit : </w:t>
      </w:r>
    </w:p>
    <w:tbl>
      <w:tblPr>
        <w:tblStyle w:val="TableGrid"/>
        <w:tblW w:w="0" w:type="auto"/>
        <w:tblInd w:w="720" w:type="dxa"/>
        <w:tblLook w:val="04A0" w:firstRow="1" w:lastRow="0" w:firstColumn="1" w:lastColumn="0" w:noHBand="0" w:noVBand="1"/>
      </w:tblPr>
      <w:tblGrid>
        <w:gridCol w:w="2370"/>
        <w:gridCol w:w="2892"/>
        <w:gridCol w:w="1134"/>
        <w:gridCol w:w="1154"/>
        <w:gridCol w:w="34"/>
      </w:tblGrid>
      <w:tr w:rsidR="004A20A6" w14:paraId="55079FED" w14:textId="6B962AF8" w:rsidTr="00527FFC">
        <w:trPr>
          <w:gridAfter w:val="1"/>
          <w:wAfter w:w="34" w:type="dxa"/>
          <w:trHeight w:val="510"/>
        </w:trPr>
        <w:tc>
          <w:tcPr>
            <w:tcW w:w="2370" w:type="dxa"/>
            <w:vAlign w:val="center"/>
          </w:tcPr>
          <w:p w14:paraId="376021B7" w14:textId="6F885E3D" w:rsidR="004A20A6" w:rsidRPr="00527FFC" w:rsidRDefault="004A20A6" w:rsidP="00A055FF">
            <w:pPr>
              <w:pStyle w:val="citation"/>
              <w:ind w:left="0" w:right="153"/>
              <w:jc w:val="center"/>
              <w:rPr>
                <w:b/>
                <w:bCs/>
              </w:rPr>
            </w:pPr>
            <w:r w:rsidRPr="00527FFC">
              <w:rPr>
                <w:b/>
                <w:bCs/>
              </w:rPr>
              <w:t>Groupe d’exposition similaire (SEG)</w:t>
            </w:r>
          </w:p>
        </w:tc>
        <w:tc>
          <w:tcPr>
            <w:tcW w:w="2892" w:type="dxa"/>
            <w:vAlign w:val="bottom"/>
          </w:tcPr>
          <w:p w14:paraId="7DFA2D23" w14:textId="0C7DE42C" w:rsidR="004A20A6" w:rsidRPr="00527FFC" w:rsidRDefault="004A20A6" w:rsidP="00A055FF">
            <w:pPr>
              <w:pStyle w:val="citation"/>
              <w:ind w:left="0" w:right="0"/>
              <w:jc w:val="center"/>
              <w:rPr>
                <w:b/>
                <w:bCs/>
              </w:rPr>
            </w:pPr>
            <w:r w:rsidRPr="00527FFC">
              <w:rPr>
                <w:b/>
                <w:bCs/>
              </w:rPr>
              <w:t>Tâche d’exposition similaire (TES)</w:t>
            </w:r>
          </w:p>
        </w:tc>
        <w:tc>
          <w:tcPr>
            <w:tcW w:w="1134" w:type="dxa"/>
            <w:vAlign w:val="center"/>
          </w:tcPr>
          <w:p w14:paraId="55CA82C5" w14:textId="70AAFA7B" w:rsidR="004A20A6" w:rsidRPr="00527FFC" w:rsidRDefault="004A20A6" w:rsidP="00A055FF">
            <w:pPr>
              <w:pStyle w:val="citation"/>
              <w:ind w:left="0" w:right="0"/>
              <w:jc w:val="center"/>
              <w:rPr>
                <w:b/>
                <w:bCs/>
              </w:rPr>
            </w:pPr>
            <w:r w:rsidRPr="00527FFC">
              <w:rPr>
                <w:b/>
                <w:bCs/>
              </w:rPr>
              <w:t xml:space="preserve">Bruit moyen </w:t>
            </w:r>
            <w:proofErr w:type="spellStart"/>
            <w:r w:rsidRPr="00527FFC">
              <w:rPr>
                <w:b/>
                <w:bCs/>
              </w:rPr>
              <w:t>L</w:t>
            </w:r>
            <w:r w:rsidRPr="00527FFC">
              <w:rPr>
                <w:b/>
                <w:bCs/>
                <w:vertAlign w:val="subscript"/>
              </w:rPr>
              <w:t>eq</w:t>
            </w:r>
            <w:proofErr w:type="spellEnd"/>
            <w:r w:rsidRPr="00527FFC">
              <w:rPr>
                <w:b/>
                <w:bCs/>
                <w:vertAlign w:val="subscript"/>
              </w:rPr>
              <w:t xml:space="preserve"> </w:t>
            </w:r>
            <w:r w:rsidRPr="00527FFC">
              <w:rPr>
                <w:b/>
                <w:bCs/>
              </w:rPr>
              <w:t>(</w:t>
            </w:r>
            <w:proofErr w:type="spellStart"/>
            <w:r w:rsidRPr="00527FFC">
              <w:rPr>
                <w:b/>
                <w:bCs/>
              </w:rPr>
              <w:t>dBA</w:t>
            </w:r>
            <w:proofErr w:type="spellEnd"/>
            <w:r w:rsidRPr="00527FFC">
              <w:rPr>
                <w:b/>
                <w:bCs/>
              </w:rPr>
              <w:t>)</w:t>
            </w:r>
          </w:p>
        </w:tc>
        <w:tc>
          <w:tcPr>
            <w:tcW w:w="1134" w:type="dxa"/>
            <w:vAlign w:val="center"/>
          </w:tcPr>
          <w:p w14:paraId="7AFB5690" w14:textId="3AAFF1C0" w:rsidR="004A20A6" w:rsidRPr="00527FFC" w:rsidRDefault="004A20A6" w:rsidP="004A20A6">
            <w:pPr>
              <w:pStyle w:val="citation"/>
              <w:ind w:left="0" w:right="282"/>
              <w:jc w:val="center"/>
              <w:rPr>
                <w:b/>
                <w:bCs/>
              </w:rPr>
            </w:pPr>
            <w:r w:rsidRPr="00527FFC">
              <w:rPr>
                <w:b/>
                <w:bCs/>
              </w:rPr>
              <w:t>Temps permis</w:t>
            </w:r>
          </w:p>
        </w:tc>
      </w:tr>
      <w:tr w:rsidR="004A20A6" w14:paraId="679ECE9A" w14:textId="1734D6DD" w:rsidTr="00527FFC">
        <w:trPr>
          <w:trHeight w:val="510"/>
        </w:trPr>
        <w:tc>
          <w:tcPr>
            <w:tcW w:w="2370" w:type="dxa"/>
            <w:vMerge w:val="restart"/>
            <w:vAlign w:val="center"/>
          </w:tcPr>
          <w:p w14:paraId="208F1CAB" w14:textId="461593A3" w:rsidR="004A20A6" w:rsidRPr="00527FFC" w:rsidRDefault="004A20A6" w:rsidP="004A20A6">
            <w:pPr>
              <w:pStyle w:val="citation"/>
              <w:ind w:left="0" w:right="131"/>
              <w:jc w:val="center"/>
              <w:rPr>
                <w:b/>
                <w:bCs/>
              </w:rPr>
            </w:pPr>
            <w:proofErr w:type="spellStart"/>
            <w:r w:rsidRPr="00527FFC">
              <w:rPr>
                <w:b/>
                <w:bCs/>
              </w:rPr>
              <w:t>Paramédic</w:t>
            </w:r>
            <w:proofErr w:type="spellEnd"/>
            <w:r w:rsidRPr="00527FFC">
              <w:rPr>
                <w:b/>
                <w:bCs/>
              </w:rPr>
              <w:t xml:space="preserve"> Urgence Bois</w:t>
            </w:r>
            <w:r w:rsidRPr="00527FFC">
              <w:rPr>
                <w:b/>
                <w:bCs/>
              </w:rPr>
              <w:noBreakHyphen/>
              <w:t>Francs </w:t>
            </w:r>
            <w:r w:rsidR="00527FFC">
              <w:rPr>
                <w:b/>
                <w:bCs/>
              </w:rPr>
              <w:t>I</w:t>
            </w:r>
            <w:r w:rsidRPr="00527FFC">
              <w:rPr>
                <w:b/>
                <w:bCs/>
              </w:rPr>
              <w:t>nc.</w:t>
            </w:r>
          </w:p>
        </w:tc>
        <w:tc>
          <w:tcPr>
            <w:tcW w:w="2892" w:type="dxa"/>
            <w:vAlign w:val="center"/>
          </w:tcPr>
          <w:p w14:paraId="2D4B903B" w14:textId="2DD1A301" w:rsidR="004A20A6" w:rsidRDefault="004A20A6" w:rsidP="004A20A6">
            <w:pPr>
              <w:pStyle w:val="citation"/>
              <w:ind w:left="0" w:right="21"/>
              <w:jc w:val="center"/>
            </w:pPr>
            <w:r>
              <w:t>Alarme de recul à l’intérieur du garage d’Urgence Bois</w:t>
            </w:r>
            <w:r>
              <w:noBreakHyphen/>
              <w:t>Francs </w:t>
            </w:r>
            <w:r w:rsidR="00527FFC">
              <w:t>I</w:t>
            </w:r>
            <w:r>
              <w:t>nc.</w:t>
            </w:r>
          </w:p>
        </w:tc>
        <w:tc>
          <w:tcPr>
            <w:tcW w:w="1134" w:type="dxa"/>
            <w:vAlign w:val="center"/>
          </w:tcPr>
          <w:p w14:paraId="748684BA" w14:textId="0BFD0051" w:rsidR="004A20A6" w:rsidRPr="00527FFC" w:rsidRDefault="00A055FF" w:rsidP="00A055FF">
            <w:pPr>
              <w:pStyle w:val="citation"/>
              <w:ind w:left="0" w:right="0"/>
              <w:jc w:val="center"/>
              <w:rPr>
                <w:b/>
                <w:bCs/>
              </w:rPr>
            </w:pPr>
            <w:r w:rsidRPr="00527FFC">
              <w:rPr>
                <w:b/>
                <w:bCs/>
              </w:rPr>
              <w:t>85</w:t>
            </w:r>
          </w:p>
        </w:tc>
        <w:tc>
          <w:tcPr>
            <w:tcW w:w="1134" w:type="dxa"/>
            <w:gridSpan w:val="2"/>
            <w:vAlign w:val="center"/>
          </w:tcPr>
          <w:p w14:paraId="61239C33" w14:textId="5B2EE336" w:rsidR="004A20A6" w:rsidRPr="00527FFC" w:rsidRDefault="00A055FF" w:rsidP="00A055FF">
            <w:pPr>
              <w:pStyle w:val="citation"/>
              <w:ind w:left="0" w:right="39"/>
              <w:jc w:val="center"/>
              <w:rPr>
                <w:b/>
                <w:bCs/>
              </w:rPr>
            </w:pPr>
            <w:r w:rsidRPr="00527FFC">
              <w:rPr>
                <w:b/>
                <w:bCs/>
              </w:rPr>
              <w:t>8 heures</w:t>
            </w:r>
          </w:p>
        </w:tc>
      </w:tr>
      <w:tr w:rsidR="004A20A6" w14:paraId="2F311181" w14:textId="2E2C280C" w:rsidTr="00527FFC">
        <w:trPr>
          <w:trHeight w:val="510"/>
        </w:trPr>
        <w:tc>
          <w:tcPr>
            <w:tcW w:w="2370" w:type="dxa"/>
            <w:vMerge/>
          </w:tcPr>
          <w:p w14:paraId="5268CDAD" w14:textId="77777777" w:rsidR="004A20A6" w:rsidRDefault="004A20A6" w:rsidP="004A20A6">
            <w:pPr>
              <w:pStyle w:val="citation"/>
              <w:ind w:left="0"/>
            </w:pPr>
          </w:p>
        </w:tc>
        <w:tc>
          <w:tcPr>
            <w:tcW w:w="2892" w:type="dxa"/>
            <w:vAlign w:val="center"/>
          </w:tcPr>
          <w:p w14:paraId="19A7369F" w14:textId="34E963AA" w:rsidR="004A20A6" w:rsidRDefault="004A20A6" w:rsidP="004A20A6">
            <w:pPr>
              <w:pStyle w:val="citation"/>
              <w:ind w:left="0" w:right="-121"/>
              <w:jc w:val="center"/>
            </w:pPr>
            <w:r>
              <w:t xml:space="preserve">Test d’alarme d’urgence à l’intérieur du garage d’Urgence Bois-Francs </w:t>
            </w:r>
            <w:r w:rsidR="00527FFC">
              <w:t>I</w:t>
            </w:r>
            <w:r>
              <w:t>nc. (donnée prise à l’intérieur de l’ambulance)'</w:t>
            </w:r>
          </w:p>
        </w:tc>
        <w:tc>
          <w:tcPr>
            <w:tcW w:w="1134" w:type="dxa"/>
            <w:vAlign w:val="center"/>
          </w:tcPr>
          <w:p w14:paraId="4932714A" w14:textId="7AC6B402" w:rsidR="004A20A6" w:rsidRPr="00527FFC" w:rsidRDefault="00A055FF" w:rsidP="00A055FF">
            <w:pPr>
              <w:pStyle w:val="citation"/>
              <w:ind w:left="0" w:right="9"/>
              <w:jc w:val="center"/>
              <w:rPr>
                <w:b/>
                <w:bCs/>
              </w:rPr>
            </w:pPr>
            <w:r w:rsidRPr="00527FFC">
              <w:rPr>
                <w:b/>
                <w:bCs/>
              </w:rPr>
              <w:t>100</w:t>
            </w:r>
          </w:p>
        </w:tc>
        <w:tc>
          <w:tcPr>
            <w:tcW w:w="1134" w:type="dxa"/>
            <w:gridSpan w:val="2"/>
            <w:vAlign w:val="center"/>
          </w:tcPr>
          <w:p w14:paraId="6F090DD4" w14:textId="5D06BD4E" w:rsidR="004A20A6" w:rsidRPr="00527FFC" w:rsidRDefault="00A055FF" w:rsidP="00A055FF">
            <w:pPr>
              <w:pStyle w:val="citation"/>
              <w:ind w:left="0" w:right="39"/>
              <w:jc w:val="center"/>
              <w:rPr>
                <w:b/>
                <w:bCs/>
              </w:rPr>
            </w:pPr>
            <w:r w:rsidRPr="00527FFC">
              <w:rPr>
                <w:b/>
                <w:bCs/>
              </w:rPr>
              <w:t>15 minutes</w:t>
            </w:r>
          </w:p>
        </w:tc>
      </w:tr>
      <w:tr w:rsidR="004A20A6" w14:paraId="1E3DB494" w14:textId="49646411" w:rsidTr="00527FFC">
        <w:trPr>
          <w:trHeight w:val="510"/>
        </w:trPr>
        <w:tc>
          <w:tcPr>
            <w:tcW w:w="2370" w:type="dxa"/>
            <w:vMerge/>
          </w:tcPr>
          <w:p w14:paraId="087951BE" w14:textId="77777777" w:rsidR="004A20A6" w:rsidRDefault="004A20A6" w:rsidP="004A20A6">
            <w:pPr>
              <w:pStyle w:val="citation"/>
              <w:ind w:left="0"/>
            </w:pPr>
          </w:p>
        </w:tc>
        <w:tc>
          <w:tcPr>
            <w:tcW w:w="2892" w:type="dxa"/>
            <w:vAlign w:val="center"/>
          </w:tcPr>
          <w:p w14:paraId="31418B44" w14:textId="589800EB" w:rsidR="004A20A6" w:rsidRDefault="004A20A6" w:rsidP="004A20A6">
            <w:pPr>
              <w:pStyle w:val="citation"/>
              <w:ind w:left="0" w:right="0"/>
              <w:jc w:val="center"/>
            </w:pPr>
            <w:r>
              <w:t>Alarme de recul à l’extérieur du garage d’Urgence Bois</w:t>
            </w:r>
            <w:r>
              <w:noBreakHyphen/>
              <w:t>Francs </w:t>
            </w:r>
            <w:r w:rsidR="00527FFC">
              <w:t>I</w:t>
            </w:r>
            <w:r>
              <w:t>nc.</w:t>
            </w:r>
          </w:p>
        </w:tc>
        <w:tc>
          <w:tcPr>
            <w:tcW w:w="1134" w:type="dxa"/>
            <w:vAlign w:val="center"/>
          </w:tcPr>
          <w:p w14:paraId="1EE6FB26" w14:textId="231B5FAC" w:rsidR="004A20A6" w:rsidRPr="00527FFC" w:rsidRDefault="00A055FF" w:rsidP="00A055FF">
            <w:pPr>
              <w:pStyle w:val="citation"/>
              <w:ind w:left="0" w:right="9"/>
              <w:jc w:val="center"/>
              <w:rPr>
                <w:b/>
                <w:bCs/>
              </w:rPr>
            </w:pPr>
            <w:r w:rsidRPr="00527FFC">
              <w:rPr>
                <w:b/>
                <w:bCs/>
              </w:rPr>
              <w:t>83</w:t>
            </w:r>
          </w:p>
        </w:tc>
        <w:tc>
          <w:tcPr>
            <w:tcW w:w="1134" w:type="dxa"/>
            <w:gridSpan w:val="2"/>
            <w:vAlign w:val="center"/>
          </w:tcPr>
          <w:p w14:paraId="2B5FC94D" w14:textId="749DCDEB" w:rsidR="004A20A6" w:rsidRPr="00527FFC" w:rsidRDefault="00A055FF" w:rsidP="00A055FF">
            <w:pPr>
              <w:pStyle w:val="citation"/>
              <w:ind w:left="0" w:right="0"/>
              <w:jc w:val="center"/>
              <w:rPr>
                <w:b/>
                <w:bCs/>
              </w:rPr>
            </w:pPr>
            <w:r w:rsidRPr="00527FFC">
              <w:rPr>
                <w:b/>
                <w:bCs/>
              </w:rPr>
              <w:t>12 heures</w:t>
            </w:r>
          </w:p>
        </w:tc>
      </w:tr>
      <w:tr w:rsidR="004A20A6" w14:paraId="0A5DC057" w14:textId="14BA62BF" w:rsidTr="00527FFC">
        <w:trPr>
          <w:trHeight w:val="510"/>
        </w:trPr>
        <w:tc>
          <w:tcPr>
            <w:tcW w:w="2370" w:type="dxa"/>
            <w:vMerge/>
          </w:tcPr>
          <w:p w14:paraId="40454817" w14:textId="77777777" w:rsidR="004A20A6" w:rsidRDefault="004A20A6" w:rsidP="004A20A6">
            <w:pPr>
              <w:pStyle w:val="citation"/>
              <w:ind w:left="0"/>
            </w:pPr>
          </w:p>
        </w:tc>
        <w:tc>
          <w:tcPr>
            <w:tcW w:w="2892" w:type="dxa"/>
            <w:vAlign w:val="center"/>
          </w:tcPr>
          <w:p w14:paraId="3CEB6848" w14:textId="744E93EB" w:rsidR="004A20A6" w:rsidRDefault="004A20A6" w:rsidP="004A20A6">
            <w:pPr>
              <w:pStyle w:val="citation"/>
              <w:ind w:left="0" w:right="3"/>
              <w:jc w:val="center"/>
            </w:pPr>
            <w:r>
              <w:t>Remplissage de l’ambulance de propane</w:t>
            </w:r>
          </w:p>
        </w:tc>
        <w:tc>
          <w:tcPr>
            <w:tcW w:w="1134" w:type="dxa"/>
            <w:vAlign w:val="center"/>
          </w:tcPr>
          <w:p w14:paraId="2D0DED85" w14:textId="2785A3C6" w:rsidR="004A20A6" w:rsidRPr="00527FFC" w:rsidRDefault="00A055FF" w:rsidP="00A055FF">
            <w:pPr>
              <w:pStyle w:val="citation"/>
              <w:ind w:left="0" w:right="0"/>
              <w:jc w:val="center"/>
              <w:rPr>
                <w:b/>
                <w:bCs/>
              </w:rPr>
            </w:pPr>
            <w:r w:rsidRPr="00527FFC">
              <w:rPr>
                <w:b/>
                <w:bCs/>
              </w:rPr>
              <w:t>81</w:t>
            </w:r>
          </w:p>
        </w:tc>
        <w:tc>
          <w:tcPr>
            <w:tcW w:w="1134" w:type="dxa"/>
            <w:gridSpan w:val="2"/>
            <w:vAlign w:val="center"/>
          </w:tcPr>
          <w:p w14:paraId="4D6AEFB6" w14:textId="722C3AFD" w:rsidR="004A20A6" w:rsidRPr="00527FFC" w:rsidRDefault="00A055FF" w:rsidP="00A055FF">
            <w:pPr>
              <w:pStyle w:val="citation"/>
              <w:ind w:left="0" w:right="39"/>
              <w:jc w:val="center"/>
              <w:rPr>
                <w:b/>
                <w:bCs/>
              </w:rPr>
            </w:pPr>
            <w:r w:rsidRPr="00527FFC">
              <w:rPr>
                <w:rFonts w:cs="Arial"/>
                <w:b/>
                <w:bCs/>
              </w:rPr>
              <w:t>&gt;</w:t>
            </w:r>
            <w:r w:rsidRPr="00527FFC">
              <w:rPr>
                <w:b/>
                <w:bCs/>
              </w:rPr>
              <w:t>12 heures</w:t>
            </w:r>
          </w:p>
        </w:tc>
      </w:tr>
      <w:tr w:rsidR="004A20A6" w14:paraId="0E138234" w14:textId="1A7AE70C" w:rsidTr="00527FFC">
        <w:trPr>
          <w:trHeight w:val="510"/>
        </w:trPr>
        <w:tc>
          <w:tcPr>
            <w:tcW w:w="2370" w:type="dxa"/>
            <w:vMerge/>
          </w:tcPr>
          <w:p w14:paraId="70732453" w14:textId="77777777" w:rsidR="004A20A6" w:rsidRDefault="004A20A6" w:rsidP="004A20A6">
            <w:pPr>
              <w:pStyle w:val="citation"/>
              <w:ind w:left="0"/>
            </w:pPr>
          </w:p>
        </w:tc>
        <w:tc>
          <w:tcPr>
            <w:tcW w:w="2892" w:type="dxa"/>
            <w:vAlign w:val="center"/>
          </w:tcPr>
          <w:p w14:paraId="0C45723A" w14:textId="5B803190" w:rsidR="004A20A6" w:rsidRDefault="004A20A6" w:rsidP="004A20A6">
            <w:pPr>
              <w:pStyle w:val="citation"/>
              <w:ind w:left="0" w:right="0"/>
              <w:jc w:val="center"/>
            </w:pPr>
            <w:r>
              <w:t>Le bruit des équipements lorsque utilisé</w:t>
            </w:r>
            <w:r w:rsidR="00DC3232">
              <w:t>s</w:t>
            </w:r>
            <w:r>
              <w:t xml:space="preserve"> dans le garage d’Urgence Bois</w:t>
            </w:r>
            <w:r>
              <w:noBreakHyphen/>
              <w:t>Francs </w:t>
            </w:r>
            <w:r w:rsidR="00527FFC">
              <w:t>I</w:t>
            </w:r>
            <w:r>
              <w:t>nc. (nettoyage des ambulances)</w:t>
            </w:r>
          </w:p>
        </w:tc>
        <w:tc>
          <w:tcPr>
            <w:tcW w:w="1134" w:type="dxa"/>
            <w:vAlign w:val="center"/>
          </w:tcPr>
          <w:p w14:paraId="13786DA8" w14:textId="1C171EE0" w:rsidR="004A20A6" w:rsidRPr="00527FFC" w:rsidRDefault="00A055FF" w:rsidP="00A055FF">
            <w:pPr>
              <w:pStyle w:val="citation"/>
              <w:ind w:left="0" w:right="0"/>
              <w:jc w:val="center"/>
              <w:rPr>
                <w:b/>
                <w:bCs/>
              </w:rPr>
            </w:pPr>
            <w:r w:rsidRPr="00527FFC">
              <w:rPr>
                <w:b/>
                <w:bCs/>
              </w:rPr>
              <w:t>79</w:t>
            </w:r>
          </w:p>
        </w:tc>
        <w:tc>
          <w:tcPr>
            <w:tcW w:w="1134" w:type="dxa"/>
            <w:gridSpan w:val="2"/>
            <w:vAlign w:val="center"/>
          </w:tcPr>
          <w:p w14:paraId="77FE673C" w14:textId="24FB9249" w:rsidR="004A20A6" w:rsidRPr="00527FFC" w:rsidRDefault="00A055FF" w:rsidP="00A055FF">
            <w:pPr>
              <w:pStyle w:val="citation"/>
              <w:ind w:left="0" w:right="39"/>
              <w:jc w:val="center"/>
              <w:rPr>
                <w:b/>
                <w:bCs/>
              </w:rPr>
            </w:pPr>
            <w:r w:rsidRPr="00527FFC">
              <w:rPr>
                <w:rFonts w:cs="Arial"/>
                <w:b/>
                <w:bCs/>
              </w:rPr>
              <w:t>&gt;</w:t>
            </w:r>
            <w:r w:rsidRPr="00527FFC">
              <w:rPr>
                <w:b/>
                <w:bCs/>
              </w:rPr>
              <w:t>12 heures</w:t>
            </w:r>
          </w:p>
        </w:tc>
      </w:tr>
      <w:tr w:rsidR="004A20A6" w14:paraId="2974804D" w14:textId="75CB6B9E" w:rsidTr="00527FFC">
        <w:trPr>
          <w:trHeight w:val="510"/>
        </w:trPr>
        <w:tc>
          <w:tcPr>
            <w:tcW w:w="2370" w:type="dxa"/>
            <w:vMerge/>
          </w:tcPr>
          <w:p w14:paraId="19513B82" w14:textId="77777777" w:rsidR="004A20A6" w:rsidRDefault="004A20A6" w:rsidP="004A20A6">
            <w:pPr>
              <w:pStyle w:val="citation"/>
              <w:ind w:left="0"/>
            </w:pPr>
          </w:p>
        </w:tc>
        <w:tc>
          <w:tcPr>
            <w:tcW w:w="2892" w:type="dxa"/>
            <w:vAlign w:val="center"/>
          </w:tcPr>
          <w:p w14:paraId="5C6497DB" w14:textId="03018C5F" w:rsidR="004A20A6" w:rsidRDefault="004A20A6" w:rsidP="004A20A6">
            <w:pPr>
              <w:pStyle w:val="citation"/>
              <w:ind w:left="0" w:right="0"/>
              <w:jc w:val="center"/>
            </w:pPr>
            <w:r>
              <w:t>Le bruit du compresseur dans le garage d’Urgence Bois</w:t>
            </w:r>
            <w:r>
              <w:noBreakHyphen/>
              <w:t>Francs </w:t>
            </w:r>
            <w:r w:rsidR="00527FFC">
              <w:t>I</w:t>
            </w:r>
            <w:r>
              <w:t>nc.</w:t>
            </w:r>
          </w:p>
        </w:tc>
        <w:tc>
          <w:tcPr>
            <w:tcW w:w="1134" w:type="dxa"/>
            <w:vAlign w:val="center"/>
          </w:tcPr>
          <w:p w14:paraId="3D19FFBB" w14:textId="2CF68000" w:rsidR="004A20A6" w:rsidRPr="00527FFC" w:rsidRDefault="00A055FF" w:rsidP="00A055FF">
            <w:pPr>
              <w:pStyle w:val="citation"/>
              <w:ind w:left="0" w:right="0"/>
              <w:jc w:val="center"/>
              <w:rPr>
                <w:b/>
                <w:bCs/>
              </w:rPr>
            </w:pPr>
            <w:r w:rsidRPr="00527FFC">
              <w:rPr>
                <w:b/>
                <w:bCs/>
              </w:rPr>
              <w:t>89</w:t>
            </w:r>
          </w:p>
        </w:tc>
        <w:tc>
          <w:tcPr>
            <w:tcW w:w="1134" w:type="dxa"/>
            <w:gridSpan w:val="2"/>
            <w:vAlign w:val="center"/>
          </w:tcPr>
          <w:p w14:paraId="17EC924C" w14:textId="60088BCD" w:rsidR="004A20A6" w:rsidRPr="00527FFC" w:rsidRDefault="00527FFC" w:rsidP="00A055FF">
            <w:pPr>
              <w:pStyle w:val="citation"/>
              <w:ind w:left="0" w:right="39"/>
              <w:jc w:val="center"/>
              <w:rPr>
                <w:b/>
                <w:bCs/>
              </w:rPr>
            </w:pPr>
            <w:r w:rsidRPr="00527FFC">
              <w:rPr>
                <w:rFonts w:cs="Arial"/>
                <w:b/>
                <w:bCs/>
              </w:rPr>
              <w:t>≈</w:t>
            </w:r>
            <w:r w:rsidRPr="00527FFC">
              <w:rPr>
                <w:b/>
                <w:bCs/>
              </w:rPr>
              <w:t>3 heures</w:t>
            </w:r>
          </w:p>
        </w:tc>
      </w:tr>
      <w:tr w:rsidR="004A20A6" w14:paraId="39D84E04" w14:textId="69B537DC" w:rsidTr="00527FFC">
        <w:trPr>
          <w:trHeight w:val="510"/>
        </w:trPr>
        <w:tc>
          <w:tcPr>
            <w:tcW w:w="2370" w:type="dxa"/>
            <w:vMerge/>
          </w:tcPr>
          <w:p w14:paraId="49A885D9" w14:textId="77777777" w:rsidR="004A20A6" w:rsidRDefault="004A20A6" w:rsidP="004A20A6">
            <w:pPr>
              <w:pStyle w:val="citation"/>
              <w:ind w:left="0"/>
            </w:pPr>
          </w:p>
        </w:tc>
        <w:tc>
          <w:tcPr>
            <w:tcW w:w="2892" w:type="dxa"/>
            <w:vAlign w:val="center"/>
          </w:tcPr>
          <w:p w14:paraId="6123B12B" w14:textId="5A5BE440" w:rsidR="004A20A6" w:rsidRDefault="004A20A6" w:rsidP="004A20A6">
            <w:pPr>
              <w:pStyle w:val="citation"/>
              <w:ind w:left="0" w:right="-138"/>
              <w:jc w:val="center"/>
            </w:pPr>
            <w:r>
              <w:t>Le bruit du compresseur dans le garage HDA</w:t>
            </w:r>
          </w:p>
        </w:tc>
        <w:tc>
          <w:tcPr>
            <w:tcW w:w="1134" w:type="dxa"/>
            <w:vAlign w:val="center"/>
          </w:tcPr>
          <w:p w14:paraId="7E5FBCBB" w14:textId="611CFFFC" w:rsidR="004A20A6" w:rsidRPr="00527FFC" w:rsidRDefault="00527FFC" w:rsidP="00A055FF">
            <w:pPr>
              <w:pStyle w:val="citation"/>
              <w:ind w:left="0" w:right="9"/>
              <w:jc w:val="center"/>
              <w:rPr>
                <w:b/>
                <w:bCs/>
              </w:rPr>
            </w:pPr>
            <w:r w:rsidRPr="00527FFC">
              <w:rPr>
                <w:b/>
                <w:bCs/>
              </w:rPr>
              <w:t>84</w:t>
            </w:r>
          </w:p>
        </w:tc>
        <w:tc>
          <w:tcPr>
            <w:tcW w:w="1134" w:type="dxa"/>
            <w:gridSpan w:val="2"/>
            <w:vAlign w:val="center"/>
          </w:tcPr>
          <w:p w14:paraId="682CF359" w14:textId="14D23866" w:rsidR="004A20A6" w:rsidRPr="00527FFC" w:rsidRDefault="00527FFC" w:rsidP="00A055FF">
            <w:pPr>
              <w:pStyle w:val="citation"/>
              <w:ind w:left="0" w:right="39"/>
              <w:jc w:val="center"/>
              <w:rPr>
                <w:b/>
                <w:bCs/>
              </w:rPr>
            </w:pPr>
            <w:r w:rsidRPr="00527FFC">
              <w:rPr>
                <w:rFonts w:cs="Arial"/>
                <w:b/>
                <w:bCs/>
              </w:rPr>
              <w:t>&gt;</w:t>
            </w:r>
            <w:r w:rsidRPr="00527FFC">
              <w:rPr>
                <w:b/>
                <w:bCs/>
              </w:rPr>
              <w:t>8 heures</w:t>
            </w:r>
          </w:p>
        </w:tc>
      </w:tr>
      <w:tr w:rsidR="004A20A6" w14:paraId="6FC3538D" w14:textId="1F8083E9" w:rsidTr="00527FFC">
        <w:trPr>
          <w:trHeight w:val="510"/>
        </w:trPr>
        <w:tc>
          <w:tcPr>
            <w:tcW w:w="2370" w:type="dxa"/>
            <w:vMerge/>
          </w:tcPr>
          <w:p w14:paraId="3A35C180" w14:textId="77777777" w:rsidR="004A20A6" w:rsidRDefault="004A20A6" w:rsidP="004A20A6">
            <w:pPr>
              <w:pStyle w:val="citation"/>
              <w:ind w:left="0"/>
            </w:pPr>
          </w:p>
        </w:tc>
        <w:tc>
          <w:tcPr>
            <w:tcW w:w="2892" w:type="dxa"/>
            <w:vAlign w:val="center"/>
          </w:tcPr>
          <w:p w14:paraId="3B4D215E" w14:textId="7645837A" w:rsidR="004A20A6" w:rsidRDefault="004A20A6" w:rsidP="004A20A6">
            <w:pPr>
              <w:pStyle w:val="citation"/>
              <w:ind w:left="0" w:right="0"/>
              <w:jc w:val="center"/>
            </w:pPr>
            <w:r>
              <w:t>Le bruit de la ventilation pour l’espace patient HDA</w:t>
            </w:r>
          </w:p>
        </w:tc>
        <w:tc>
          <w:tcPr>
            <w:tcW w:w="1134" w:type="dxa"/>
            <w:vAlign w:val="center"/>
          </w:tcPr>
          <w:p w14:paraId="144D2CFB" w14:textId="6FE039A9" w:rsidR="004A20A6" w:rsidRPr="00527FFC" w:rsidRDefault="00527FFC" w:rsidP="00A055FF">
            <w:pPr>
              <w:pStyle w:val="citation"/>
              <w:ind w:left="0" w:right="0"/>
              <w:jc w:val="center"/>
              <w:rPr>
                <w:b/>
                <w:bCs/>
              </w:rPr>
            </w:pPr>
            <w:r w:rsidRPr="00527FFC">
              <w:rPr>
                <w:b/>
                <w:bCs/>
              </w:rPr>
              <w:t>84</w:t>
            </w:r>
          </w:p>
        </w:tc>
        <w:tc>
          <w:tcPr>
            <w:tcW w:w="1134" w:type="dxa"/>
            <w:gridSpan w:val="2"/>
            <w:vAlign w:val="center"/>
          </w:tcPr>
          <w:p w14:paraId="20514EAC" w14:textId="58A9C76B" w:rsidR="004A20A6" w:rsidRPr="00527FFC" w:rsidRDefault="00527FFC" w:rsidP="00A055FF">
            <w:pPr>
              <w:pStyle w:val="citation"/>
              <w:ind w:left="0" w:right="39"/>
              <w:jc w:val="center"/>
              <w:rPr>
                <w:b/>
                <w:bCs/>
              </w:rPr>
            </w:pPr>
            <w:r w:rsidRPr="00527FFC">
              <w:rPr>
                <w:rFonts w:cs="Arial"/>
                <w:b/>
                <w:bCs/>
              </w:rPr>
              <w:t>&gt;</w:t>
            </w:r>
            <w:r w:rsidRPr="00527FFC">
              <w:rPr>
                <w:b/>
                <w:bCs/>
              </w:rPr>
              <w:t>8 heures</w:t>
            </w:r>
          </w:p>
        </w:tc>
      </w:tr>
      <w:tr w:rsidR="004A20A6" w14:paraId="50ACB542" w14:textId="6A43EBD5" w:rsidTr="00527FFC">
        <w:trPr>
          <w:trHeight w:val="510"/>
        </w:trPr>
        <w:tc>
          <w:tcPr>
            <w:tcW w:w="2370" w:type="dxa"/>
            <w:vMerge/>
          </w:tcPr>
          <w:p w14:paraId="3369352B" w14:textId="77777777" w:rsidR="004A20A6" w:rsidRDefault="004A20A6" w:rsidP="004A20A6">
            <w:pPr>
              <w:pStyle w:val="citation"/>
              <w:ind w:left="0"/>
            </w:pPr>
          </w:p>
        </w:tc>
        <w:tc>
          <w:tcPr>
            <w:tcW w:w="2892" w:type="dxa"/>
            <w:vAlign w:val="center"/>
          </w:tcPr>
          <w:p w14:paraId="662990A7" w14:textId="479B1125" w:rsidR="004A20A6" w:rsidRDefault="004A20A6" w:rsidP="004A20A6">
            <w:pPr>
              <w:pStyle w:val="citation"/>
              <w:ind w:left="0" w:right="-138"/>
              <w:jc w:val="center"/>
            </w:pPr>
            <w:r>
              <w:t>Bruit ambiant lorsque le véhicule est à l’arrêt mais en fonction</w:t>
            </w:r>
          </w:p>
        </w:tc>
        <w:tc>
          <w:tcPr>
            <w:tcW w:w="1134" w:type="dxa"/>
            <w:vAlign w:val="center"/>
          </w:tcPr>
          <w:p w14:paraId="72981D66" w14:textId="2C872F7F" w:rsidR="004A20A6" w:rsidRPr="00527FFC" w:rsidRDefault="00527FFC" w:rsidP="00A055FF">
            <w:pPr>
              <w:pStyle w:val="citation"/>
              <w:ind w:left="0" w:right="0"/>
              <w:jc w:val="center"/>
              <w:rPr>
                <w:b/>
                <w:bCs/>
              </w:rPr>
            </w:pPr>
            <w:r w:rsidRPr="00527FFC">
              <w:rPr>
                <w:b/>
                <w:bCs/>
              </w:rPr>
              <w:t>81</w:t>
            </w:r>
          </w:p>
        </w:tc>
        <w:tc>
          <w:tcPr>
            <w:tcW w:w="1134" w:type="dxa"/>
            <w:gridSpan w:val="2"/>
            <w:vAlign w:val="center"/>
          </w:tcPr>
          <w:p w14:paraId="4ABB31EE" w14:textId="09623DE8" w:rsidR="004A20A6" w:rsidRPr="00527FFC" w:rsidRDefault="00527FFC" w:rsidP="00A055FF">
            <w:pPr>
              <w:pStyle w:val="citation"/>
              <w:ind w:left="0" w:right="39"/>
              <w:jc w:val="center"/>
              <w:rPr>
                <w:b/>
                <w:bCs/>
              </w:rPr>
            </w:pPr>
            <w:r w:rsidRPr="00527FFC">
              <w:rPr>
                <w:rFonts w:cs="Arial"/>
                <w:b/>
                <w:bCs/>
              </w:rPr>
              <w:t>&gt;</w:t>
            </w:r>
            <w:r w:rsidRPr="00527FFC">
              <w:rPr>
                <w:b/>
                <w:bCs/>
              </w:rPr>
              <w:t>12 heures</w:t>
            </w:r>
          </w:p>
        </w:tc>
      </w:tr>
    </w:tbl>
    <w:p w14:paraId="2839A894" w14:textId="77777777" w:rsidR="009C7A29" w:rsidRDefault="009C7A29" w:rsidP="009C7A29">
      <w:pPr>
        <w:pStyle w:val="citation"/>
      </w:pPr>
    </w:p>
    <w:p w14:paraId="1525795E" w14:textId="77777777" w:rsidR="006C2F5D" w:rsidRDefault="006C2F5D" w:rsidP="009C7A29">
      <w:pPr>
        <w:pStyle w:val="citation"/>
      </w:pPr>
    </w:p>
    <w:p w14:paraId="3021E720" w14:textId="1A6F9DD6" w:rsidR="00373777" w:rsidRDefault="00373777" w:rsidP="009A4807">
      <w:pPr>
        <w:keepNext/>
        <w:keepLines/>
        <w:numPr>
          <w:ilvl w:val="0"/>
          <w:numId w:val="1"/>
        </w:numPr>
        <w:tabs>
          <w:tab w:val="left" w:pos="720"/>
        </w:tabs>
        <w:spacing w:after="360"/>
        <w:jc w:val="both"/>
      </w:pPr>
      <w:r>
        <w:t>Les conclusions d</w:t>
      </w:r>
      <w:r w:rsidR="00A33357">
        <w:t>e ce</w:t>
      </w:r>
      <w:r>
        <w:t xml:space="preserve"> rapport font état de ce qui suit :</w:t>
      </w:r>
      <w:r w:rsidR="00602E54">
        <w:t xml:space="preserve"> </w:t>
      </w:r>
    </w:p>
    <w:p w14:paraId="3D38FECE" w14:textId="25ACC54C" w:rsidR="00373777" w:rsidRPr="00602E54" w:rsidRDefault="00373777" w:rsidP="00DC3232">
      <w:pPr>
        <w:pStyle w:val="citation"/>
        <w:spacing w:after="240"/>
        <w:rPr>
          <w:b/>
          <w:bCs/>
        </w:rPr>
      </w:pPr>
      <w:r w:rsidRPr="00602E54">
        <w:rPr>
          <w:b/>
          <w:bCs/>
        </w:rPr>
        <w:t>6. CONCLUSION</w:t>
      </w:r>
    </w:p>
    <w:p w14:paraId="0231C8A4" w14:textId="2D042706" w:rsidR="00373777" w:rsidRDefault="00373777" w:rsidP="00DC3232">
      <w:pPr>
        <w:pStyle w:val="citation"/>
        <w:spacing w:after="240"/>
        <w:rPr>
          <w:rFonts w:cs="Arial"/>
        </w:rPr>
      </w:pPr>
      <w:r>
        <w:rPr>
          <w:rFonts w:cs="Arial"/>
        </w:rPr>
        <w:t>[…]</w:t>
      </w:r>
    </w:p>
    <w:p w14:paraId="1B5986DE" w14:textId="3E9DBBD2" w:rsidR="00373777" w:rsidRPr="00633A5D" w:rsidRDefault="00373777" w:rsidP="00DC3232">
      <w:pPr>
        <w:pStyle w:val="citation"/>
        <w:spacing w:after="240"/>
        <w:rPr>
          <w:rFonts w:cs="Arial"/>
        </w:rPr>
      </w:pPr>
      <w:r>
        <w:rPr>
          <w:rFonts w:cs="Arial"/>
        </w:rPr>
        <w:t>Selon les résultats de l’évaluation</w:t>
      </w:r>
      <w:r w:rsidR="00633A5D">
        <w:rPr>
          <w:rFonts w:cs="Arial"/>
        </w:rPr>
        <w:t>, l’exposition personnelle au bruit L</w:t>
      </w:r>
      <w:r w:rsidR="00633A5D">
        <w:rPr>
          <w:rFonts w:cs="Arial"/>
          <w:vertAlign w:val="subscript"/>
        </w:rPr>
        <w:t>ex,8</w:t>
      </w:r>
      <w:r w:rsidR="00633A5D">
        <w:rPr>
          <w:rFonts w:cs="Arial"/>
        </w:rPr>
        <w:t xml:space="preserve"> du </w:t>
      </w:r>
      <w:proofErr w:type="spellStart"/>
      <w:r w:rsidR="00633A5D">
        <w:rPr>
          <w:rFonts w:cs="Arial"/>
        </w:rPr>
        <w:t>paramédic</w:t>
      </w:r>
      <w:proofErr w:type="spellEnd"/>
      <w:r w:rsidR="00633A5D">
        <w:rPr>
          <w:rFonts w:cs="Arial"/>
        </w:rPr>
        <w:t xml:space="preserve"> analysé sur une période de 9 heures 28 minutes </w:t>
      </w:r>
      <w:proofErr w:type="gramStart"/>
      <w:r w:rsidR="00633A5D">
        <w:rPr>
          <w:rFonts w:cs="Arial"/>
        </w:rPr>
        <w:t>a</w:t>
      </w:r>
      <w:proofErr w:type="gramEnd"/>
      <w:r w:rsidR="00633A5D">
        <w:rPr>
          <w:rFonts w:cs="Arial"/>
        </w:rPr>
        <w:t xml:space="preserve"> été de 83.8</w:t>
      </w:r>
      <w:r w:rsidR="00745E07">
        <w:rPr>
          <w:rFonts w:cs="Arial"/>
        </w:rPr>
        <w:t> </w:t>
      </w:r>
      <w:proofErr w:type="spellStart"/>
      <w:r w:rsidR="00633A5D">
        <w:rPr>
          <w:rFonts w:cs="Arial"/>
        </w:rPr>
        <w:t>dBA</w:t>
      </w:r>
      <w:proofErr w:type="spellEnd"/>
      <w:r w:rsidR="00633A5D">
        <w:rPr>
          <w:rFonts w:cs="Arial"/>
        </w:rPr>
        <w:t>. Cette exposition respecte la réglementation québécoise en vigueur.</w:t>
      </w:r>
    </w:p>
    <w:p w14:paraId="26496473" w14:textId="0472AF09" w:rsidR="00633A5D" w:rsidRDefault="00633A5D" w:rsidP="00DC3232">
      <w:pPr>
        <w:pStyle w:val="citation"/>
        <w:spacing w:after="240"/>
        <w:rPr>
          <w:rFonts w:cs="Arial"/>
        </w:rPr>
      </w:pPr>
      <w:r w:rsidRPr="00A33357">
        <w:rPr>
          <w:rFonts w:cs="Arial"/>
          <w:u w:val="single"/>
        </w:rPr>
        <w:t>De plus, sur la base des calculs, l’exposition L</w:t>
      </w:r>
      <w:r w:rsidRPr="00A33357">
        <w:rPr>
          <w:rFonts w:cs="Arial"/>
          <w:u w:val="single"/>
          <w:vertAlign w:val="subscript"/>
        </w:rPr>
        <w:t>ex,8</w:t>
      </w:r>
      <w:r w:rsidRPr="00A33357">
        <w:rPr>
          <w:rFonts w:cs="Arial"/>
          <w:u w:val="single"/>
        </w:rPr>
        <w:t xml:space="preserve"> pour un quart de travail de 12</w:t>
      </w:r>
      <w:r w:rsidR="00745E07">
        <w:rPr>
          <w:rFonts w:cs="Arial"/>
          <w:u w:val="single"/>
        </w:rPr>
        <w:t> </w:t>
      </w:r>
      <w:r w:rsidRPr="00A33357">
        <w:rPr>
          <w:rFonts w:cs="Arial"/>
          <w:u w:val="single"/>
        </w:rPr>
        <w:t>heures est de 84.9</w:t>
      </w:r>
      <w:r w:rsidR="00745E07">
        <w:rPr>
          <w:rFonts w:cs="Arial"/>
          <w:u w:val="single"/>
        </w:rPr>
        <w:t> </w:t>
      </w:r>
      <w:proofErr w:type="spellStart"/>
      <w:r w:rsidRPr="00A33357">
        <w:rPr>
          <w:rFonts w:cs="Arial"/>
          <w:u w:val="single"/>
        </w:rPr>
        <w:t>dBA</w:t>
      </w:r>
      <w:proofErr w:type="spellEnd"/>
      <w:r w:rsidRPr="00A33357">
        <w:rPr>
          <w:rFonts w:cs="Arial"/>
          <w:u w:val="single"/>
        </w:rPr>
        <w:t>, ce q</w:t>
      </w:r>
      <w:r w:rsidR="00DC3232" w:rsidRPr="00A33357">
        <w:rPr>
          <w:rFonts w:cs="Arial"/>
          <w:u w:val="single"/>
        </w:rPr>
        <w:t>u</w:t>
      </w:r>
      <w:r w:rsidRPr="00A33357">
        <w:rPr>
          <w:rFonts w:cs="Arial"/>
          <w:u w:val="single"/>
        </w:rPr>
        <w:t>i respecte aussi la réglementation</w:t>
      </w:r>
      <w:r>
        <w:rPr>
          <w:rFonts w:cs="Arial"/>
        </w:rPr>
        <w:t>.</w:t>
      </w:r>
    </w:p>
    <w:p w14:paraId="5C950727" w14:textId="1F7AF99C" w:rsidR="00602E54" w:rsidRDefault="00633A5D" w:rsidP="00DC3232">
      <w:pPr>
        <w:pStyle w:val="citation"/>
        <w:spacing w:after="360"/>
      </w:pPr>
      <w:r>
        <w:rPr>
          <w:rFonts w:cs="Arial"/>
        </w:rPr>
        <w:t xml:space="preserve">Ensuite, deux moments ont été ciblés en sonométrie pouvant avoir des niveaux sonores plus importants s’il y a plusieurs expositions pour le </w:t>
      </w:r>
      <w:proofErr w:type="spellStart"/>
      <w:r>
        <w:rPr>
          <w:rFonts w:cs="Arial"/>
        </w:rPr>
        <w:t>paramédic</w:t>
      </w:r>
      <w:proofErr w:type="spellEnd"/>
      <w:r>
        <w:rPr>
          <w:rFonts w:cs="Arial"/>
        </w:rPr>
        <w:t xml:space="preserve"> dans une journée de travail et qui pourrait démontrer une problématique pour la santé sonore. </w:t>
      </w:r>
      <w:r w:rsidRPr="00A33357">
        <w:rPr>
          <w:rFonts w:cs="Arial"/>
          <w:u w:val="single"/>
        </w:rPr>
        <w:t xml:space="preserve">En effet, le fonctionnement de l’alarme de l’ambulance (100 </w:t>
      </w:r>
      <w:proofErr w:type="spellStart"/>
      <w:r w:rsidRPr="00A33357">
        <w:rPr>
          <w:rFonts w:cs="Arial"/>
          <w:u w:val="single"/>
        </w:rPr>
        <w:t>dBA</w:t>
      </w:r>
      <w:proofErr w:type="spellEnd"/>
      <w:r w:rsidRPr="00A33357">
        <w:rPr>
          <w:rFonts w:cs="Arial"/>
          <w:u w:val="single"/>
        </w:rPr>
        <w:t>) peut causer une problématique pour la santé auditive après 15 minutes</w:t>
      </w:r>
      <w:r>
        <w:rPr>
          <w:rFonts w:cs="Arial"/>
        </w:rPr>
        <w:t xml:space="preserve"> et l’utilisation du compresseur dans le garage </w:t>
      </w:r>
      <w:proofErr w:type="gramStart"/>
      <w:r>
        <w:rPr>
          <w:rFonts w:cs="Arial"/>
        </w:rPr>
        <w:t>de Urgence Bois</w:t>
      </w:r>
      <w:proofErr w:type="gramEnd"/>
      <w:r>
        <w:rPr>
          <w:rFonts w:cs="Arial"/>
        </w:rPr>
        <w:noBreakHyphen/>
        <w:t xml:space="preserve">Francs Inc. sur une période de 3 heures </w:t>
      </w:r>
      <w:r w:rsidR="00602E54">
        <w:rPr>
          <w:rFonts w:cs="Arial"/>
        </w:rPr>
        <w:t>en continue.</w:t>
      </w:r>
    </w:p>
    <w:p w14:paraId="3B19ACB0" w14:textId="50457A09" w:rsidR="00DC3232" w:rsidRPr="00DC3232" w:rsidRDefault="00DC3232" w:rsidP="00DC3232">
      <w:pPr>
        <w:pStyle w:val="citation"/>
        <w:spacing w:after="360"/>
        <w:rPr>
          <w:sz w:val="24"/>
          <w:szCs w:val="24"/>
        </w:rPr>
      </w:pPr>
      <w:r w:rsidRPr="00DC3232">
        <w:rPr>
          <w:rFonts w:cs="Arial"/>
          <w:sz w:val="24"/>
          <w:szCs w:val="24"/>
        </w:rPr>
        <w:t>[Transcription textuelle</w:t>
      </w:r>
      <w:r w:rsidR="00A33357">
        <w:rPr>
          <w:rFonts w:cs="Arial"/>
          <w:sz w:val="24"/>
          <w:szCs w:val="24"/>
        </w:rPr>
        <w:t xml:space="preserve"> et nos soulignements</w:t>
      </w:r>
      <w:r w:rsidRPr="00DC3232">
        <w:rPr>
          <w:rFonts w:cs="Arial"/>
          <w:sz w:val="24"/>
          <w:szCs w:val="24"/>
        </w:rPr>
        <w:t>]</w:t>
      </w:r>
    </w:p>
    <w:p w14:paraId="176B7CD0" w14:textId="456BE04B" w:rsidR="00930A66" w:rsidRDefault="00930A66" w:rsidP="00DC3232">
      <w:pPr>
        <w:numPr>
          <w:ilvl w:val="0"/>
          <w:numId w:val="1"/>
        </w:numPr>
        <w:tabs>
          <w:tab w:val="left" w:pos="720"/>
        </w:tabs>
        <w:spacing w:after="360"/>
        <w:jc w:val="both"/>
      </w:pPr>
      <w:r>
        <w:t>Toujours dans le cadre de ce rapport, il est aussi indiqué que « </w:t>
      </w:r>
      <w:r w:rsidRPr="00E4065C">
        <w:rPr>
          <w:rStyle w:val="Citationintgre"/>
        </w:rPr>
        <w:t>sur la base de l’exposition au bruit observée</w:t>
      </w:r>
      <w:r w:rsidR="00E4065C" w:rsidRPr="00E4065C">
        <w:rPr>
          <w:rStyle w:val="Citationintgre"/>
        </w:rPr>
        <w:t>, une journée de travail prolongé de 13</w:t>
      </w:r>
      <w:r w:rsidR="00DC3232">
        <w:rPr>
          <w:rStyle w:val="Citationintgre"/>
        </w:rPr>
        <w:t> </w:t>
      </w:r>
      <w:r w:rsidR="00E4065C" w:rsidRPr="00E4065C">
        <w:rPr>
          <w:rStyle w:val="Citationintgre"/>
        </w:rPr>
        <w:t>heures dépasserait la limite actuelle au Québec</w:t>
      </w:r>
      <w:r w:rsidR="00E4065C">
        <w:t xml:space="preserve"> ». </w:t>
      </w:r>
    </w:p>
    <w:p w14:paraId="2E0CD3B3" w14:textId="4B1406C3" w:rsidR="00373777" w:rsidRDefault="00373777" w:rsidP="004D371F">
      <w:pPr>
        <w:numPr>
          <w:ilvl w:val="0"/>
          <w:numId w:val="1"/>
        </w:numPr>
        <w:tabs>
          <w:tab w:val="left" w:pos="720"/>
        </w:tabs>
        <w:spacing w:after="360"/>
        <w:jc w:val="both"/>
      </w:pPr>
      <w:r>
        <w:t xml:space="preserve">En somme, le Tribunal retient de ce rapport que les données recueillies sont </w:t>
      </w:r>
      <w:r w:rsidR="00602E54">
        <w:t xml:space="preserve">tout près </w:t>
      </w:r>
      <w:r>
        <w:t xml:space="preserve">de la limite </w:t>
      </w:r>
      <w:r w:rsidRPr="00131419">
        <w:t>de 85</w:t>
      </w:r>
      <w:r w:rsidR="00DC3232">
        <w:t> </w:t>
      </w:r>
      <w:proofErr w:type="spellStart"/>
      <w:r w:rsidRPr="00131419">
        <w:t>dBA</w:t>
      </w:r>
      <w:proofErr w:type="spellEnd"/>
      <w:r w:rsidR="0095150D">
        <w:t xml:space="preserve"> </w:t>
      </w:r>
      <w:r w:rsidRPr="00131419">
        <w:t>au</w:t>
      </w:r>
      <w:r w:rsidRPr="00131419">
        <w:noBreakHyphen/>
        <w:t>delà d</w:t>
      </w:r>
      <w:r>
        <w:t xml:space="preserve">e laquelle </w:t>
      </w:r>
      <w:r w:rsidRPr="00131419">
        <w:t xml:space="preserve">un bruit </w:t>
      </w:r>
      <w:r>
        <w:t>est considéré comme excessif.</w:t>
      </w:r>
    </w:p>
    <w:p w14:paraId="668E2D47" w14:textId="217CAE61" w:rsidR="00FA7890" w:rsidRDefault="00930A66" w:rsidP="004D371F">
      <w:pPr>
        <w:numPr>
          <w:ilvl w:val="0"/>
          <w:numId w:val="1"/>
        </w:numPr>
        <w:tabs>
          <w:tab w:val="left" w:pos="720"/>
        </w:tabs>
        <w:spacing w:after="360"/>
        <w:jc w:val="both"/>
      </w:pPr>
      <w:r>
        <w:t>À ce sujet</w:t>
      </w:r>
      <w:r w:rsidR="00FA7890">
        <w:t>, la jurisprudence</w:t>
      </w:r>
      <w:r w:rsidR="00FA7890">
        <w:rPr>
          <w:rStyle w:val="FootnoteReference"/>
        </w:rPr>
        <w:footnoteReference w:id="23"/>
      </w:r>
      <w:r w:rsidR="00FA7890">
        <w:t xml:space="preserve"> a reconnu, à plusieurs reprises, qu’une exposition à des niveaux </w:t>
      </w:r>
      <w:r w:rsidR="00FA7890" w:rsidRPr="001D2262">
        <w:t>de bruit avoisinant</w:t>
      </w:r>
      <w:r w:rsidR="00FA7890">
        <w:t xml:space="preserve"> 85</w:t>
      </w:r>
      <w:r w:rsidR="00DC3232">
        <w:t> </w:t>
      </w:r>
      <w:proofErr w:type="spellStart"/>
      <w:r w:rsidR="00FA7890">
        <w:t>dBA</w:t>
      </w:r>
      <w:proofErr w:type="spellEnd"/>
      <w:r w:rsidR="00FA7890">
        <w:t xml:space="preserve"> peut constituer une exposition à un bruit e</w:t>
      </w:r>
      <w:r>
        <w:t>x</w:t>
      </w:r>
      <w:r w:rsidR="00FA7890">
        <w:t>cessif, cette notion laissant place à une certaine appréciation.</w:t>
      </w:r>
    </w:p>
    <w:p w14:paraId="4AD53562" w14:textId="41DC2724" w:rsidR="00373777" w:rsidRDefault="00930A66" w:rsidP="004D371F">
      <w:pPr>
        <w:numPr>
          <w:ilvl w:val="0"/>
          <w:numId w:val="1"/>
        </w:numPr>
        <w:tabs>
          <w:tab w:val="left" w:pos="720"/>
        </w:tabs>
        <w:spacing w:after="360"/>
        <w:jc w:val="both"/>
      </w:pPr>
      <w:r>
        <w:t>À la lecture d</w:t>
      </w:r>
      <w:r w:rsidR="001237B2">
        <w:t xml:space="preserve">e </w:t>
      </w:r>
      <w:r>
        <w:t xml:space="preserve">ce </w:t>
      </w:r>
      <w:r w:rsidR="001237B2">
        <w:t>rapport</w:t>
      </w:r>
      <w:r>
        <w:t xml:space="preserve">, le Tribunal constate que </w:t>
      </w:r>
      <w:r w:rsidR="001237B2">
        <w:t xml:space="preserve">deux éléments importants propres au présent dossier </w:t>
      </w:r>
      <w:r>
        <w:t>n’ont pas été considérés</w:t>
      </w:r>
      <w:r w:rsidRPr="00930A66">
        <w:t xml:space="preserve"> </w:t>
      </w:r>
      <w:r>
        <w:t>aux fins de l’analyse de l’exposition du travailleur à un bruit excessif</w:t>
      </w:r>
      <w:r w:rsidR="001237B2">
        <w:t>.</w:t>
      </w:r>
    </w:p>
    <w:p w14:paraId="74A02135" w14:textId="561252E3" w:rsidR="001237B2" w:rsidRDefault="00930A66" w:rsidP="004D371F">
      <w:pPr>
        <w:numPr>
          <w:ilvl w:val="0"/>
          <w:numId w:val="1"/>
        </w:numPr>
        <w:tabs>
          <w:tab w:val="left" w:pos="720"/>
        </w:tabs>
        <w:spacing w:after="360"/>
        <w:jc w:val="both"/>
      </w:pPr>
      <w:r>
        <w:t xml:space="preserve">D’une part, </w:t>
      </w:r>
      <w:r w:rsidR="001237B2">
        <w:t>il a été mis en preuve que le travailleur effectue en moyenne 40</w:t>
      </w:r>
      <w:r w:rsidR="00DC3232">
        <w:t> </w:t>
      </w:r>
      <w:r w:rsidR="001237B2">
        <w:t xml:space="preserve">heures supplémentaires par année, ce qui implique qu’il effectue pratiquement une heure de </w:t>
      </w:r>
      <w:r w:rsidR="001237B2" w:rsidRPr="00E77088">
        <w:t>temps</w:t>
      </w:r>
      <w:r w:rsidR="001237B2">
        <w:t xml:space="preserve"> supplémentaire par semaine. </w:t>
      </w:r>
      <w:r>
        <w:t xml:space="preserve">Par conséquent, à l’instar de ce qui est indiqué dans le rapport, </w:t>
      </w:r>
      <w:r w:rsidR="00E4065C">
        <w:t>il dépasse ainsi la limite de 85</w:t>
      </w:r>
      <w:r w:rsidR="00DC3232">
        <w:t> </w:t>
      </w:r>
      <w:proofErr w:type="spellStart"/>
      <w:r w:rsidR="00E4065C">
        <w:t>dBA</w:t>
      </w:r>
      <w:proofErr w:type="spellEnd"/>
      <w:r w:rsidR="00E4065C">
        <w:t xml:space="preserve"> de manière hebdomadaire.</w:t>
      </w:r>
    </w:p>
    <w:p w14:paraId="76D247E8" w14:textId="7B009473" w:rsidR="00E4065C" w:rsidRDefault="00E4065C" w:rsidP="004D371F">
      <w:pPr>
        <w:numPr>
          <w:ilvl w:val="0"/>
          <w:numId w:val="1"/>
        </w:numPr>
        <w:tabs>
          <w:tab w:val="left" w:pos="720"/>
        </w:tabs>
        <w:spacing w:after="360"/>
        <w:jc w:val="both"/>
      </w:pPr>
      <w:r>
        <w:lastRenderedPageBreak/>
        <w:t xml:space="preserve">D’autre part, </w:t>
      </w:r>
      <w:r w:rsidRPr="001D2262">
        <w:t>comme l’indique</w:t>
      </w:r>
      <w:r w:rsidR="001D2262" w:rsidRPr="001D2262">
        <w:t>nt</w:t>
      </w:r>
      <w:r w:rsidRPr="001D2262">
        <w:t xml:space="preserve"> les audiologistes</w:t>
      </w:r>
      <w:r>
        <w:t xml:space="preserve"> dans leur note médicale complémentaire du 24</w:t>
      </w:r>
      <w:r w:rsidR="00683FB4">
        <w:t> </w:t>
      </w:r>
      <w:r>
        <w:t>novembre</w:t>
      </w:r>
      <w:r w:rsidR="00683FB4">
        <w:t> </w:t>
      </w:r>
      <w:r>
        <w:t>2022, le travailleur effectue des quarts de travail de 12</w:t>
      </w:r>
      <w:r w:rsidR="00683FB4">
        <w:t> </w:t>
      </w:r>
      <w:r>
        <w:t xml:space="preserve">heures sur deux jours consécutifs. </w:t>
      </w:r>
      <w:r w:rsidR="006D2A9B">
        <w:t>Par conséquent, puisque les quarts de travail sont plus longs, « </w:t>
      </w:r>
      <w:r w:rsidR="006D2A9B" w:rsidRPr="00683FB4">
        <w:rPr>
          <w:rStyle w:val="Citationintgre"/>
          <w:i w:val="0"/>
          <w:iCs/>
        </w:rPr>
        <w:t xml:space="preserve">[…] </w:t>
      </w:r>
      <w:r w:rsidR="006D2A9B" w:rsidRPr="001F7B8C">
        <w:rPr>
          <w:rStyle w:val="Citationintgre"/>
        </w:rPr>
        <w:t xml:space="preserve">Monsieur ne bénéficie pas d’un repos sonore adéquat entre chaque exposition au bruit. Un repos sonore devrait être le double </w:t>
      </w:r>
      <w:r w:rsidR="006D2A9B" w:rsidRPr="001D2262">
        <w:rPr>
          <w:rStyle w:val="Citationintgre"/>
        </w:rPr>
        <w:t>du temps d’exposition, soit 24</w:t>
      </w:r>
      <w:r w:rsidR="00683FB4" w:rsidRPr="001D2262">
        <w:rPr>
          <w:rStyle w:val="Citationintgre"/>
        </w:rPr>
        <w:t> </w:t>
      </w:r>
      <w:r w:rsidR="006D2A9B" w:rsidRPr="001D2262">
        <w:rPr>
          <w:rStyle w:val="Citationintgre"/>
        </w:rPr>
        <w:t>heures. Les horaires de travail de Monsieur ne permettent pas cela</w:t>
      </w:r>
      <w:r w:rsidR="00683FB4" w:rsidRPr="001D2262">
        <w:rPr>
          <w:rStyle w:val="Citationintgre"/>
        </w:rPr>
        <w:t xml:space="preserve"> </w:t>
      </w:r>
      <w:r w:rsidR="00683FB4" w:rsidRPr="001D2262">
        <w:rPr>
          <w:rStyle w:val="Citationintgre"/>
          <w:rFonts w:cs="Arial"/>
          <w:i w:val="0"/>
          <w:iCs/>
          <w:sz w:val="24"/>
          <w:szCs w:val="24"/>
        </w:rPr>
        <w:t>[Transcription textuelle]</w:t>
      </w:r>
      <w:r w:rsidR="006D2A9B">
        <w:rPr>
          <w:rFonts w:cs="Arial"/>
        </w:rPr>
        <w:t> ».</w:t>
      </w:r>
      <w:r w:rsidR="001F7B8C">
        <w:rPr>
          <w:rFonts w:cs="Arial"/>
        </w:rPr>
        <w:t xml:space="preserve"> </w:t>
      </w:r>
      <w:r w:rsidR="00A33357">
        <w:rPr>
          <w:rFonts w:cs="Arial"/>
        </w:rPr>
        <w:t xml:space="preserve">Ce déficit de repos </w:t>
      </w:r>
      <w:r w:rsidR="00A33357" w:rsidRPr="00A33357">
        <w:rPr>
          <w:rFonts w:cs="Arial"/>
        </w:rPr>
        <w:t xml:space="preserve">compensateur </w:t>
      </w:r>
      <w:r w:rsidR="00602E54" w:rsidRPr="00A33357">
        <w:rPr>
          <w:rFonts w:cs="Arial"/>
        </w:rPr>
        <w:t>a donc pour conséquenc</w:t>
      </w:r>
      <w:r w:rsidR="00F360D8" w:rsidRPr="00A33357">
        <w:rPr>
          <w:rFonts w:cs="Arial"/>
        </w:rPr>
        <w:t>e d’augmenter la sensibilité du travail</w:t>
      </w:r>
      <w:r w:rsidR="00A33357" w:rsidRPr="00A33357">
        <w:rPr>
          <w:rFonts w:cs="Arial"/>
        </w:rPr>
        <w:t xml:space="preserve">leur </w:t>
      </w:r>
      <w:r w:rsidR="00F360D8" w:rsidRPr="00A33357">
        <w:rPr>
          <w:rFonts w:cs="Arial"/>
        </w:rPr>
        <w:t>au bruit et ainsi dépasser la limite de 85dBA</w:t>
      </w:r>
      <w:r w:rsidR="00A33357">
        <w:rPr>
          <w:rFonts w:cs="Arial"/>
        </w:rPr>
        <w:t>.</w:t>
      </w:r>
      <w:r w:rsidR="00F360D8">
        <w:rPr>
          <w:rFonts w:cs="Arial"/>
        </w:rPr>
        <w:t xml:space="preserve"> </w:t>
      </w:r>
    </w:p>
    <w:p w14:paraId="61B86D81" w14:textId="44AFA4F6" w:rsidR="001F7B8C" w:rsidRDefault="001F7B8C" w:rsidP="004D371F">
      <w:pPr>
        <w:numPr>
          <w:ilvl w:val="0"/>
          <w:numId w:val="1"/>
        </w:numPr>
        <w:tabs>
          <w:tab w:val="left" w:pos="720"/>
        </w:tabs>
        <w:spacing w:after="360"/>
        <w:jc w:val="both"/>
      </w:pPr>
      <w:r>
        <w:t>Mais il y a plus.</w:t>
      </w:r>
    </w:p>
    <w:p w14:paraId="549772EC" w14:textId="077C58B0" w:rsidR="001F7B8C" w:rsidRPr="00BD6342" w:rsidRDefault="00AF3E7F" w:rsidP="004D371F">
      <w:pPr>
        <w:numPr>
          <w:ilvl w:val="0"/>
          <w:numId w:val="1"/>
        </w:numPr>
        <w:tabs>
          <w:tab w:val="left" w:pos="720"/>
        </w:tabs>
        <w:spacing w:after="360"/>
        <w:jc w:val="both"/>
      </w:pPr>
      <w:r>
        <w:t>Le</w:t>
      </w:r>
      <w:r w:rsidRPr="002F4140">
        <w:t xml:space="preserve"> </w:t>
      </w:r>
      <w:r w:rsidRPr="0077202B">
        <w:rPr>
          <w:i/>
          <w:iCs/>
        </w:rPr>
        <w:t>Rapport d’évaluation du bruit environnemen</w:t>
      </w:r>
      <w:r>
        <w:rPr>
          <w:i/>
          <w:iCs/>
        </w:rPr>
        <w:t>tal</w:t>
      </w:r>
      <w:r w:rsidRPr="0077202B">
        <w:rPr>
          <w:i/>
          <w:iCs/>
        </w:rPr>
        <w:t xml:space="preserve"> au travail (</w:t>
      </w:r>
      <w:proofErr w:type="spellStart"/>
      <w:r w:rsidRPr="0077202B">
        <w:rPr>
          <w:i/>
          <w:iCs/>
        </w:rPr>
        <w:t>paramédic</w:t>
      </w:r>
      <w:proofErr w:type="spellEnd"/>
      <w:r w:rsidRPr="0077202B">
        <w:rPr>
          <w:i/>
          <w:iCs/>
        </w:rPr>
        <w:t>)</w:t>
      </w:r>
      <w:r w:rsidR="00683FB4">
        <w:t>,</w:t>
      </w:r>
      <w:r>
        <w:t xml:space="preserve"> auquel le travail</w:t>
      </w:r>
      <w:r w:rsidR="001D2262">
        <w:t xml:space="preserve">leur fait référence </w:t>
      </w:r>
      <w:r>
        <w:t>dans le cadre de son témoignage</w:t>
      </w:r>
      <w:r w:rsidR="00683FB4">
        <w:t>,</w:t>
      </w:r>
      <w:r>
        <w:t xml:space="preserve"> a été réalisé sur un </w:t>
      </w:r>
      <w:r w:rsidR="00E33010">
        <w:t>quart de travail de jour d’une durée de 9</w:t>
      </w:r>
      <w:r w:rsidR="00683FB4">
        <w:t> </w:t>
      </w:r>
      <w:r w:rsidR="00E33010" w:rsidRPr="00BD6342">
        <w:t>heures et 28</w:t>
      </w:r>
      <w:r w:rsidR="00683FB4" w:rsidRPr="00BD6342">
        <w:t> </w:t>
      </w:r>
      <w:r w:rsidR="00E33010" w:rsidRPr="00BD6342">
        <w:t>minutes. Il est aussi indiqué que l</w:t>
      </w:r>
      <w:r w:rsidR="00A329D6" w:rsidRPr="00BD6342">
        <w:t xml:space="preserve">e technicien </w:t>
      </w:r>
      <w:r w:rsidR="001D2262" w:rsidRPr="00BD6342">
        <w:t>ambulancier</w:t>
      </w:r>
      <w:r w:rsidR="00A329D6" w:rsidRPr="00BD6342">
        <w:t>/</w:t>
      </w:r>
      <w:proofErr w:type="spellStart"/>
      <w:r w:rsidR="00A329D6" w:rsidRPr="00BD6342">
        <w:t>paramédic</w:t>
      </w:r>
      <w:proofErr w:type="spellEnd"/>
      <w:r w:rsidR="001D2262" w:rsidRPr="00BD6342">
        <w:t xml:space="preserve"> </w:t>
      </w:r>
      <w:r w:rsidR="00E33010" w:rsidRPr="00BD6342">
        <w:t>sur qui le dosimètre était placé a été appelé à se déplacer dans des résidences privées seulement.</w:t>
      </w:r>
    </w:p>
    <w:p w14:paraId="4B5636C7" w14:textId="3EBEC44C" w:rsidR="00E33010" w:rsidRDefault="00E33010" w:rsidP="004D371F">
      <w:pPr>
        <w:numPr>
          <w:ilvl w:val="0"/>
          <w:numId w:val="1"/>
        </w:numPr>
        <w:tabs>
          <w:tab w:val="left" w:pos="720"/>
        </w:tabs>
        <w:spacing w:after="360"/>
        <w:jc w:val="both"/>
      </w:pPr>
      <w:r>
        <w:t xml:space="preserve">Or, le travailleur témoigne que sur les quarts de soir, </w:t>
      </w:r>
      <w:r w:rsidR="002C1DC5">
        <w:t>qui correspond</w:t>
      </w:r>
      <w:r w:rsidR="00683FB4" w:rsidRPr="001D2262">
        <w:t>ent</w:t>
      </w:r>
      <w:r w:rsidR="002C1DC5">
        <w:t xml:space="preserve"> à son horaire de travail régulier, et </w:t>
      </w:r>
      <w:r>
        <w:t xml:space="preserve">notamment la fin de semaine, il est fréquemment appelé à se déplacer dans des endroits bruyants comme les restaurants, les bars, les salles de spectacles, les concerts, les </w:t>
      </w:r>
      <w:proofErr w:type="spellStart"/>
      <w:r>
        <w:t>partys</w:t>
      </w:r>
      <w:proofErr w:type="spellEnd"/>
      <w:r>
        <w:t xml:space="preserve"> familiaux, etc. Il fait aussi référence aux appels provenant de grosses industries possédant de la machinerie industrielle. Il explique que le niveau de bruit lors de</w:t>
      </w:r>
      <w:r w:rsidR="0043434B">
        <w:t>s</w:t>
      </w:r>
      <w:r>
        <w:t xml:space="preserve"> intervention</w:t>
      </w:r>
      <w:r w:rsidR="0043434B">
        <w:t>s</w:t>
      </w:r>
      <w:r>
        <w:t xml:space="preserve"> dans ces milieux est tellement bruyant qu’il doit souvent communiquer par </w:t>
      </w:r>
      <w:r w:rsidR="0043434B">
        <w:t>gestes et contacts visuels avec son ou sa partenaire, allant parfois jusqu’à crier pour se faire entendre.</w:t>
      </w:r>
    </w:p>
    <w:p w14:paraId="49F1DC86" w14:textId="4B05D9E4" w:rsidR="0043434B" w:rsidRDefault="0043434B" w:rsidP="004D371F">
      <w:pPr>
        <w:numPr>
          <w:ilvl w:val="0"/>
          <w:numId w:val="1"/>
        </w:numPr>
        <w:tabs>
          <w:tab w:val="left" w:pos="720"/>
        </w:tabs>
        <w:spacing w:after="360"/>
        <w:jc w:val="both"/>
      </w:pPr>
      <w:r>
        <w:t>Le travailleur relate aussi qu’il reçoit, en moyenne, quatre ou cinq appels par quart de travail de</w:t>
      </w:r>
      <w:r w:rsidR="00D700EE">
        <w:t xml:space="preserve"> </w:t>
      </w:r>
      <w:r>
        <w:t>12</w:t>
      </w:r>
      <w:r w:rsidR="00683FB4">
        <w:t> </w:t>
      </w:r>
      <w:r>
        <w:t xml:space="preserve">heures. </w:t>
      </w:r>
      <w:r w:rsidR="00D700EE">
        <w:t>Il soutient qu’en général, la moitié de ces appels requi</w:t>
      </w:r>
      <w:r w:rsidR="001D2262">
        <w:t>ert</w:t>
      </w:r>
      <w:r w:rsidR="00D700EE">
        <w:t xml:space="preserve"> l’utilisation de la sirène.</w:t>
      </w:r>
      <w:r w:rsidR="00FC442E">
        <w:t xml:space="preserve"> Il explique que l’utilisation de </w:t>
      </w:r>
      <w:r w:rsidR="001D2262">
        <w:t xml:space="preserve">celle-ci </w:t>
      </w:r>
      <w:r w:rsidR="0085640D">
        <w:t xml:space="preserve">durant le trajet </w:t>
      </w:r>
      <w:r w:rsidR="00FC442E">
        <w:t>va dépendre du trafic, du nombre d’intersections à traverser, des zones scolaires, etc. Il précise qu</w:t>
      </w:r>
      <w:r w:rsidR="009D20FC">
        <w:t xml:space="preserve">’elle peut </w:t>
      </w:r>
      <w:r w:rsidR="0085640D">
        <w:t xml:space="preserve">fonctionner </w:t>
      </w:r>
      <w:r w:rsidR="009D20FC">
        <w:t>en continu pendant</w:t>
      </w:r>
      <w:r w:rsidR="0085640D">
        <w:t xml:space="preserve"> tout le trajet</w:t>
      </w:r>
      <w:r w:rsidR="009D20FC">
        <w:t>, de même qu’elle peut être ponctuelle</w:t>
      </w:r>
      <w:r w:rsidR="00683FB4">
        <w:t>,</w:t>
      </w:r>
      <w:r w:rsidR="009D20FC">
        <w:t xml:space="preserve"> mais fréquente durant le trajet</w:t>
      </w:r>
      <w:r w:rsidR="00D32403">
        <w:t xml:space="preserve">, </w:t>
      </w:r>
      <w:r w:rsidR="0085640D">
        <w:t>ce qui peut donc représenter une durée supérieure à</w:t>
      </w:r>
      <w:r w:rsidR="00D32403">
        <w:t xml:space="preserve"> 15</w:t>
      </w:r>
      <w:r w:rsidR="00683FB4">
        <w:t> </w:t>
      </w:r>
      <w:r w:rsidR="00D32403">
        <w:t xml:space="preserve">minutes par quart de travail. </w:t>
      </w:r>
      <w:r w:rsidR="00D700EE">
        <w:t xml:space="preserve">Or, selon le </w:t>
      </w:r>
      <w:r w:rsidR="00D700EE" w:rsidRPr="00683FB4">
        <w:rPr>
          <w:i/>
          <w:iCs/>
        </w:rPr>
        <w:t>Tableau V</w:t>
      </w:r>
      <w:r w:rsidR="00D700EE">
        <w:t xml:space="preserve"> du rapport, le bruit moyen de l’alarme de l’ambulance est de 100</w:t>
      </w:r>
      <w:r w:rsidR="00683FB4">
        <w:t> </w:t>
      </w:r>
      <w:proofErr w:type="spellStart"/>
      <w:r w:rsidR="00D700EE">
        <w:t>dBA</w:t>
      </w:r>
      <w:proofErr w:type="spellEnd"/>
      <w:r w:rsidR="00D700EE">
        <w:t>, soit un niveau sonore qui peut causer un problème d’audition après 15</w:t>
      </w:r>
      <w:r w:rsidR="00683FB4">
        <w:t> </w:t>
      </w:r>
      <w:r w:rsidR="00D700EE">
        <w:t>minutes d’exposition.</w:t>
      </w:r>
      <w:r w:rsidR="00D32403">
        <w:t xml:space="preserve"> C’est d’ailleurs un point qui a été soulevé dans les conclusions du rapport, alors qu’on souligne que s’il y avait plusieurs expositions pour l</w:t>
      </w:r>
      <w:r w:rsidR="00A329D6">
        <w:t xml:space="preserve">e technicien </w:t>
      </w:r>
      <w:r w:rsidR="001D2262">
        <w:t>ambulancier</w:t>
      </w:r>
      <w:r w:rsidR="00A329D6">
        <w:t>/</w:t>
      </w:r>
      <w:proofErr w:type="spellStart"/>
      <w:r w:rsidR="00A329D6">
        <w:t>paramédic</w:t>
      </w:r>
      <w:proofErr w:type="spellEnd"/>
      <w:r w:rsidR="001D2262">
        <w:t xml:space="preserve"> </w:t>
      </w:r>
      <w:r w:rsidR="00D32403">
        <w:t xml:space="preserve">dans une journée de travail, le fonctionnement de l’alarme de </w:t>
      </w:r>
      <w:r w:rsidR="00D32403" w:rsidRPr="00AA17AE">
        <w:t>l’ambulance pouvait</w:t>
      </w:r>
      <w:r w:rsidR="00D32403">
        <w:t xml:space="preserve"> causer une problématique pour la santé auditive d</w:t>
      </w:r>
      <w:r w:rsidR="00A329D6">
        <w:t xml:space="preserve">e ce dernier </w:t>
      </w:r>
      <w:r w:rsidR="00D32403">
        <w:t>après 15</w:t>
      </w:r>
      <w:r w:rsidR="00683FB4">
        <w:t> </w:t>
      </w:r>
      <w:r w:rsidR="00D32403">
        <w:t xml:space="preserve">minutes. </w:t>
      </w:r>
    </w:p>
    <w:p w14:paraId="456CC3AC" w14:textId="1C57D197" w:rsidR="00D700EE" w:rsidRDefault="0085640D" w:rsidP="004D371F">
      <w:pPr>
        <w:numPr>
          <w:ilvl w:val="0"/>
          <w:numId w:val="1"/>
        </w:numPr>
        <w:tabs>
          <w:tab w:val="left" w:pos="720"/>
        </w:tabs>
        <w:spacing w:after="360"/>
        <w:jc w:val="both"/>
      </w:pPr>
      <w:r>
        <w:t>Enfin, le travailleur souligne, dans le cadre de son témoignage, qu</w:t>
      </w:r>
      <w:r w:rsidR="002C1DC5">
        <w:t>’entre les</w:t>
      </w:r>
      <w:r>
        <w:t xml:space="preserve"> années 2000 à 2015 environ, les véhicules utilisés</w:t>
      </w:r>
      <w:r w:rsidR="0075258F">
        <w:t>, dont</w:t>
      </w:r>
      <w:r>
        <w:t xml:space="preserve"> </w:t>
      </w:r>
      <w:r w:rsidR="0075258F">
        <w:t>l’habitacle était peu isolé, roulaient avec</w:t>
      </w:r>
      <w:r>
        <w:t xml:space="preserve"> de</w:t>
      </w:r>
      <w:r w:rsidR="00990044">
        <w:t>s</w:t>
      </w:r>
      <w:r>
        <w:t xml:space="preserve"> moteurs diesel, </w:t>
      </w:r>
      <w:r w:rsidR="00990044">
        <w:t>ce qui avait pour conséquence de rendre l’environnement de travail beaucoup plus bruyant</w:t>
      </w:r>
      <w:r w:rsidR="002C1DC5">
        <w:t xml:space="preserve"> que celui qui prévalait lors de la prise </w:t>
      </w:r>
      <w:r w:rsidR="002C1DC5">
        <w:lastRenderedPageBreak/>
        <w:t>de données en septembre</w:t>
      </w:r>
      <w:r w:rsidR="00170409">
        <w:t> </w:t>
      </w:r>
      <w:r w:rsidR="002C1DC5">
        <w:t>2023, alors que les véhicules sont maintenant à essence</w:t>
      </w:r>
      <w:r w:rsidR="0075258F">
        <w:t xml:space="preserve"> ou convertis au propane</w:t>
      </w:r>
      <w:r w:rsidR="00990044">
        <w:t>.</w:t>
      </w:r>
    </w:p>
    <w:p w14:paraId="5B7A9C65" w14:textId="681D5CF9" w:rsidR="00990044" w:rsidRPr="00154C25" w:rsidRDefault="00990044" w:rsidP="004D371F">
      <w:pPr>
        <w:numPr>
          <w:ilvl w:val="0"/>
          <w:numId w:val="1"/>
        </w:numPr>
        <w:tabs>
          <w:tab w:val="left" w:pos="720"/>
        </w:tabs>
        <w:spacing w:after="360"/>
        <w:jc w:val="both"/>
      </w:pPr>
      <w:r>
        <w:t xml:space="preserve">En somme, il appert de la preuve prépondérante qui a été présentée que le </w:t>
      </w:r>
      <w:r w:rsidRPr="0077202B">
        <w:rPr>
          <w:i/>
          <w:iCs/>
        </w:rPr>
        <w:t>Rapport d’évaluation du bruit environnemen</w:t>
      </w:r>
      <w:r>
        <w:rPr>
          <w:i/>
          <w:iCs/>
        </w:rPr>
        <w:t>tal</w:t>
      </w:r>
      <w:r w:rsidRPr="0077202B">
        <w:rPr>
          <w:i/>
          <w:iCs/>
        </w:rPr>
        <w:t xml:space="preserve"> au travail (</w:t>
      </w:r>
      <w:proofErr w:type="spellStart"/>
      <w:r w:rsidRPr="0077202B">
        <w:rPr>
          <w:i/>
          <w:iCs/>
        </w:rPr>
        <w:t>paramédic</w:t>
      </w:r>
      <w:proofErr w:type="spellEnd"/>
      <w:r>
        <w:rPr>
          <w:i/>
          <w:iCs/>
        </w:rPr>
        <w:t xml:space="preserve">) </w:t>
      </w:r>
      <w:r w:rsidR="00154C25" w:rsidRPr="00154C25">
        <w:t>a ses limites</w:t>
      </w:r>
      <w:r w:rsidR="00154C25">
        <w:rPr>
          <w:i/>
          <w:iCs/>
        </w:rPr>
        <w:t xml:space="preserve">, </w:t>
      </w:r>
      <w:r w:rsidR="00154C25" w:rsidRPr="00154C25">
        <w:t xml:space="preserve">alors que </w:t>
      </w:r>
      <w:r w:rsidR="00154C25">
        <w:t>certaines données importantes n’ont pas été analysées.</w:t>
      </w:r>
    </w:p>
    <w:p w14:paraId="1AFD74C6" w14:textId="55809733" w:rsidR="00154C25" w:rsidRDefault="00154C25" w:rsidP="00154C25">
      <w:pPr>
        <w:pStyle w:val="corpsdedcision"/>
      </w:pPr>
      <w:r>
        <w:t>Pour l’ensemble de ces raisons, le Tribunal en arrive à la conclusion que le</w:t>
      </w:r>
      <w:r w:rsidR="00170409">
        <w:t> </w:t>
      </w:r>
      <w:r>
        <w:t xml:space="preserve">travailleur a </w:t>
      </w:r>
      <w:proofErr w:type="gramStart"/>
      <w:r w:rsidR="0075258F">
        <w:t>démontré</w:t>
      </w:r>
      <w:proofErr w:type="gramEnd"/>
      <w:r w:rsidR="0075258F">
        <w:t xml:space="preserve">, par une preuve prépondérante, qu’il a </w:t>
      </w:r>
      <w:r>
        <w:t>été exposé à un bruit excessif dans le cadre de son travail d</w:t>
      </w:r>
      <w:r w:rsidR="00A329D6">
        <w:t xml:space="preserve">e technicien </w:t>
      </w:r>
      <w:r>
        <w:t>ambulancier</w:t>
      </w:r>
      <w:r w:rsidR="00A329D6">
        <w:t>/</w:t>
      </w:r>
      <w:proofErr w:type="spellStart"/>
      <w:r w:rsidR="00A329D6">
        <w:t>paramédic</w:t>
      </w:r>
      <w:proofErr w:type="spellEnd"/>
      <w:r w:rsidR="0075258F">
        <w:t>, qu’il a effectué</w:t>
      </w:r>
      <w:r>
        <w:t xml:space="preserve"> </w:t>
      </w:r>
      <w:r w:rsidR="0075258F">
        <w:t xml:space="preserve">pendant plus </w:t>
      </w:r>
      <w:r>
        <w:t>de 25</w:t>
      </w:r>
      <w:r w:rsidR="00170409">
        <w:t> </w:t>
      </w:r>
      <w:r>
        <w:t>ans.</w:t>
      </w:r>
    </w:p>
    <w:p w14:paraId="06028D8B" w14:textId="51E22A23" w:rsidR="004D371F" w:rsidRPr="000A0D98" w:rsidRDefault="00021E61" w:rsidP="00021E61">
      <w:pPr>
        <w:pStyle w:val="corpsdedcision"/>
      </w:pPr>
      <w:r>
        <w:t>Le travailleur ayant satisfait aux conditions d’application de la présomption de l’article 29 de la</w:t>
      </w:r>
      <w:r w:rsidR="00170409">
        <w:t> </w:t>
      </w:r>
      <w:r>
        <w:t xml:space="preserve">Loi, il est présumé atteint d’une surdité d’origine professionnelle. </w:t>
      </w:r>
    </w:p>
    <w:p w14:paraId="2AFCB37D" w14:textId="77777777" w:rsidR="004D371F" w:rsidRPr="000A0D98" w:rsidRDefault="004D371F" w:rsidP="004D371F">
      <w:pPr>
        <w:numPr>
          <w:ilvl w:val="0"/>
          <w:numId w:val="1"/>
        </w:numPr>
        <w:tabs>
          <w:tab w:val="left" w:pos="720"/>
        </w:tabs>
        <w:spacing w:after="360"/>
        <w:jc w:val="both"/>
      </w:pPr>
      <w:r w:rsidRPr="000A0D98">
        <w:t>De plus, aucune preuve n’a été administrée permettant de renverser cette présomption.</w:t>
      </w:r>
    </w:p>
    <w:p w14:paraId="3B7E7968" w14:textId="77777777" w:rsidR="004D371F" w:rsidRPr="000A0D98" w:rsidRDefault="004D371F" w:rsidP="004D371F">
      <w:pPr>
        <w:numPr>
          <w:ilvl w:val="0"/>
          <w:numId w:val="1"/>
        </w:numPr>
        <w:tabs>
          <w:tab w:val="left" w:pos="720"/>
        </w:tabs>
        <w:spacing w:after="360"/>
        <w:jc w:val="both"/>
      </w:pPr>
      <w:r w:rsidRPr="000A0D98">
        <w:t xml:space="preserve">Pour ces motifs, le Tribunal conclut que le travailleur est atteint d’une surdité </w:t>
      </w:r>
      <w:r>
        <w:t xml:space="preserve">d’origine </w:t>
      </w:r>
      <w:r w:rsidRPr="000A0D98">
        <w:t>professionnelle.</w:t>
      </w:r>
    </w:p>
    <w:p w14:paraId="7E04710E" w14:textId="77777777" w:rsidR="004D371F" w:rsidRPr="000A0D98" w:rsidRDefault="004D371F" w:rsidP="004D371F">
      <w:pPr>
        <w:keepNext/>
        <w:keepLines/>
        <w:spacing w:after="360"/>
        <w:jc w:val="both"/>
      </w:pPr>
      <w:r w:rsidRPr="000A0D98">
        <w:rPr>
          <w:b/>
        </w:rPr>
        <w:t>PAR CES MOTIFS, LE TRIBUNAL ADMINISTRATIF DU TRAVAIL :</w:t>
      </w:r>
    </w:p>
    <w:p w14:paraId="0B7223F8" w14:textId="3B77B8A3" w:rsidR="004D371F" w:rsidRDefault="004D371F" w:rsidP="004D371F">
      <w:pPr>
        <w:pStyle w:val="Dispositif"/>
        <w:rPr>
          <w:b/>
        </w:rPr>
      </w:pPr>
      <w:r w:rsidRPr="00D671DF">
        <w:rPr>
          <w:b/>
        </w:rPr>
        <w:t>ACCUEILLE</w:t>
      </w:r>
      <w:r>
        <w:rPr>
          <w:b/>
        </w:rPr>
        <w:t xml:space="preserve"> </w:t>
      </w:r>
      <w:r w:rsidRPr="00D671DF">
        <w:t>la conte</w:t>
      </w:r>
      <w:r>
        <w:t>station de monsieur </w:t>
      </w:r>
      <w:r w:rsidR="00021E61">
        <w:t>Dave</w:t>
      </w:r>
      <w:r w:rsidR="00170409">
        <w:t> </w:t>
      </w:r>
      <w:r w:rsidR="00021E61">
        <w:t>Breton,</w:t>
      </w:r>
      <w:r w:rsidRPr="00D671DF">
        <w:t xml:space="preserve"> le travailleur;</w:t>
      </w:r>
    </w:p>
    <w:p w14:paraId="34DA9A91" w14:textId="593DCD50" w:rsidR="004D371F" w:rsidRPr="00D671DF" w:rsidRDefault="004D371F" w:rsidP="004D371F">
      <w:pPr>
        <w:pStyle w:val="Dispositif"/>
      </w:pPr>
      <w:r w:rsidRPr="00D671DF">
        <w:rPr>
          <w:b/>
        </w:rPr>
        <w:t>INFIRME</w:t>
      </w:r>
      <w:r>
        <w:rPr>
          <w:b/>
        </w:rPr>
        <w:t xml:space="preserve"> </w:t>
      </w:r>
      <w:r w:rsidRPr="00D671DF">
        <w:t xml:space="preserve">la décision de la </w:t>
      </w:r>
      <w:r w:rsidRPr="005B4E8C">
        <w:t xml:space="preserve">Commission des normes, de l’équité, de la santé et de la sécurité du travail </w:t>
      </w:r>
      <w:r>
        <w:t xml:space="preserve">rendue le </w:t>
      </w:r>
      <w:r w:rsidR="00021E61">
        <w:t>2</w:t>
      </w:r>
      <w:r w:rsidR="00170409">
        <w:t> </w:t>
      </w:r>
      <w:r w:rsidR="00021E61">
        <w:t>mars</w:t>
      </w:r>
      <w:r>
        <w:t xml:space="preserve"> 2022, </w:t>
      </w:r>
      <w:r w:rsidRPr="005B4E8C">
        <w:t>à la suite</w:t>
      </w:r>
      <w:r>
        <w:t xml:space="preserve"> d’une révision administrative;</w:t>
      </w:r>
    </w:p>
    <w:p w14:paraId="0392BFF5" w14:textId="49031524" w:rsidR="007C68AF" w:rsidRDefault="004D371F" w:rsidP="004D371F">
      <w:pPr>
        <w:pStyle w:val="Dispositif"/>
      </w:pPr>
      <w:r w:rsidRPr="003E5A66">
        <w:rPr>
          <w:b/>
        </w:rPr>
        <w:t>DÉCLARE</w:t>
      </w:r>
      <w:r w:rsidRPr="003E5A66">
        <w:t xml:space="preserve"> que le travailleur est atteint d’une</w:t>
      </w:r>
      <w:r w:rsidR="007C68AF">
        <w:t xml:space="preserve"> lésion professionnelle, soit une</w:t>
      </w:r>
      <w:r w:rsidRPr="003E5A66">
        <w:t xml:space="preserve"> surdité </w:t>
      </w:r>
      <w:r w:rsidR="007C68AF">
        <w:t>neurosensorielle</w:t>
      </w:r>
      <w:r w:rsidR="00170409">
        <w:t>;</w:t>
      </w:r>
    </w:p>
    <w:p w14:paraId="5E1214C2" w14:textId="5D5FB71D" w:rsidR="004D371F" w:rsidRDefault="007C68AF" w:rsidP="004D371F">
      <w:pPr>
        <w:pStyle w:val="Dispositif"/>
      </w:pPr>
      <w:r w:rsidRPr="007C68AF">
        <w:rPr>
          <w:b/>
          <w:bCs/>
        </w:rPr>
        <w:t xml:space="preserve">DÉCLARE </w:t>
      </w:r>
      <w:r>
        <w:t xml:space="preserve">que le travailleur </w:t>
      </w:r>
      <w:r w:rsidR="004D371F">
        <w:t xml:space="preserve">a droit aux prestations prévues à la </w:t>
      </w:r>
      <w:r w:rsidR="004D371F" w:rsidRPr="00C57EEB">
        <w:rPr>
          <w:i/>
          <w:iCs/>
        </w:rPr>
        <w:t>Loi sur les accidents du travail et les maladies professionnelles</w:t>
      </w:r>
      <w:r w:rsidR="004D371F">
        <w:t>.</w:t>
      </w:r>
    </w:p>
    <w:p w14:paraId="76B342AC" w14:textId="0B2FE036" w:rsidR="004D371F" w:rsidRPr="000A0D98" w:rsidRDefault="004D371F" w:rsidP="004D371F">
      <w:pPr>
        <w:spacing w:after="360"/>
        <w:jc w:val="both"/>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4D371F" w:rsidRPr="000A0D98" w14:paraId="6C3B16BA" w14:textId="77777777" w:rsidTr="00320836">
        <w:tc>
          <w:tcPr>
            <w:tcW w:w="4795" w:type="dxa"/>
          </w:tcPr>
          <w:p w14:paraId="5611A569" w14:textId="77777777" w:rsidR="004D371F" w:rsidRPr="000A0D98" w:rsidRDefault="004D371F" w:rsidP="00320836"/>
        </w:tc>
        <w:tc>
          <w:tcPr>
            <w:tcW w:w="4795" w:type="dxa"/>
          </w:tcPr>
          <w:p w14:paraId="7E03A0C1" w14:textId="64983193" w:rsidR="004D371F" w:rsidRPr="000A0D98" w:rsidRDefault="004D371F" w:rsidP="00320836">
            <w:r w:rsidRPr="000A0D98">
              <w:t>__________________________________</w:t>
            </w:r>
          </w:p>
        </w:tc>
      </w:tr>
      <w:tr w:rsidR="004D371F" w:rsidRPr="000A0D98" w14:paraId="2EB60105" w14:textId="77777777" w:rsidTr="00320836">
        <w:tc>
          <w:tcPr>
            <w:tcW w:w="4795" w:type="dxa"/>
          </w:tcPr>
          <w:p w14:paraId="31E3DF46" w14:textId="77777777" w:rsidR="004D371F" w:rsidRPr="000A0D98" w:rsidRDefault="004D371F" w:rsidP="00320836"/>
        </w:tc>
        <w:tc>
          <w:tcPr>
            <w:tcW w:w="4795" w:type="dxa"/>
          </w:tcPr>
          <w:p w14:paraId="0DF94418" w14:textId="77777777" w:rsidR="004D371F" w:rsidRPr="000A0D98" w:rsidRDefault="004D371F" w:rsidP="00320836">
            <w:r w:rsidRPr="000A0D98">
              <w:t>Isabelle Arseneault</w:t>
            </w:r>
          </w:p>
        </w:tc>
      </w:tr>
      <w:tr w:rsidR="004D371F" w:rsidRPr="000A0D98" w14:paraId="3D342AEE" w14:textId="77777777" w:rsidTr="00320836">
        <w:trPr>
          <w:cantSplit/>
        </w:trPr>
        <w:tc>
          <w:tcPr>
            <w:tcW w:w="9590" w:type="dxa"/>
            <w:gridSpan w:val="2"/>
          </w:tcPr>
          <w:p w14:paraId="1751EE6B" w14:textId="77777777" w:rsidR="004D371F" w:rsidRPr="000A0D98" w:rsidRDefault="004D371F" w:rsidP="00320836"/>
        </w:tc>
      </w:tr>
      <w:tr w:rsidR="004D371F" w14:paraId="1527D694" w14:textId="77777777" w:rsidTr="00320836">
        <w:trPr>
          <w:cantSplit/>
        </w:trPr>
        <w:tc>
          <w:tcPr>
            <w:tcW w:w="9590" w:type="dxa"/>
            <w:gridSpan w:val="2"/>
          </w:tcPr>
          <w:p w14:paraId="155FBECF" w14:textId="77777777" w:rsidR="004D371F" w:rsidRDefault="004D371F" w:rsidP="00320836"/>
        </w:tc>
      </w:tr>
      <w:tr w:rsidR="00C74B6F" w14:paraId="6BE5B579" w14:textId="77777777">
        <w:trPr>
          <w:cantSplit/>
        </w:trPr>
        <w:tc>
          <w:tcPr>
            <w:tcW w:w="9590" w:type="dxa"/>
            <w:gridSpan w:val="2"/>
          </w:tcPr>
          <w:p w14:paraId="52B7AFF2" w14:textId="77777777" w:rsidR="00C74B6F" w:rsidRDefault="00C74B6F" w:rsidP="00170409"/>
        </w:tc>
      </w:tr>
      <w:tr w:rsidR="00C74B6F" w14:paraId="65F8636C" w14:textId="77777777">
        <w:trPr>
          <w:cantSplit/>
        </w:trPr>
        <w:tc>
          <w:tcPr>
            <w:tcW w:w="9590" w:type="dxa"/>
            <w:gridSpan w:val="2"/>
          </w:tcPr>
          <w:p w14:paraId="0E5B7732" w14:textId="7BEBD18E" w:rsidR="00C74B6F" w:rsidRPr="00170409" w:rsidRDefault="00170409">
            <w:pPr>
              <w:pStyle w:val="zSoquijdatNomProcureurDem"/>
            </w:pPr>
            <w:r>
              <w:lastRenderedPageBreak/>
              <w:t>M</w:t>
            </w:r>
            <w:r>
              <w:rPr>
                <w:vertAlign w:val="superscript"/>
              </w:rPr>
              <w:t>e</w:t>
            </w:r>
            <w:r>
              <w:t xml:space="preserve"> Guillaume Rioux</w:t>
            </w:r>
          </w:p>
        </w:tc>
      </w:tr>
      <w:tr w:rsidR="00C74B6F" w14:paraId="149E0D17" w14:textId="77777777">
        <w:trPr>
          <w:cantSplit/>
        </w:trPr>
        <w:tc>
          <w:tcPr>
            <w:tcW w:w="9590" w:type="dxa"/>
            <w:gridSpan w:val="2"/>
          </w:tcPr>
          <w:p w14:paraId="050B1129" w14:textId="5C79C131" w:rsidR="00C74B6F" w:rsidRDefault="00170409">
            <w:pPr>
              <w:pStyle w:val="zSoquijdatCabinetProcureurDem"/>
            </w:pPr>
            <w:r>
              <w:t>ROY BÉLANGER AVOCATS S.E.N.C.R.L.</w:t>
            </w:r>
          </w:p>
        </w:tc>
      </w:tr>
      <w:tr w:rsidR="00C74B6F" w14:paraId="6B138233" w14:textId="77777777">
        <w:trPr>
          <w:cantSplit/>
        </w:trPr>
        <w:tc>
          <w:tcPr>
            <w:tcW w:w="9590" w:type="dxa"/>
            <w:gridSpan w:val="2"/>
          </w:tcPr>
          <w:p w14:paraId="0E68F1DE" w14:textId="77777777" w:rsidR="00C74B6F" w:rsidRDefault="00CB05A7">
            <w:pPr>
              <w:pStyle w:val="zSoquijlblProcureurDem"/>
            </w:pPr>
            <w:r>
              <w:t>Pour la partie demanderesse</w:t>
            </w:r>
          </w:p>
        </w:tc>
      </w:tr>
      <w:tr w:rsidR="00C74B6F" w14:paraId="77969156" w14:textId="77777777">
        <w:trPr>
          <w:cantSplit/>
        </w:trPr>
        <w:tc>
          <w:tcPr>
            <w:tcW w:w="9590" w:type="dxa"/>
            <w:gridSpan w:val="2"/>
          </w:tcPr>
          <w:p w14:paraId="6676D357" w14:textId="77777777" w:rsidR="00C74B6F" w:rsidRDefault="00C74B6F"/>
        </w:tc>
      </w:tr>
      <w:tr w:rsidR="00C74B6F" w14:paraId="101054AA" w14:textId="77777777">
        <w:trPr>
          <w:cantSplit/>
        </w:trPr>
        <w:tc>
          <w:tcPr>
            <w:tcW w:w="9590" w:type="dxa"/>
            <w:gridSpan w:val="2"/>
          </w:tcPr>
          <w:p w14:paraId="1EF74B4C" w14:textId="4C846FF6" w:rsidR="00C74B6F" w:rsidRPr="00170409" w:rsidRDefault="00170409">
            <w:pPr>
              <w:pStyle w:val="zSoquijdatNomProcureurInt"/>
            </w:pPr>
            <w:r>
              <w:t>M</w:t>
            </w:r>
            <w:r>
              <w:rPr>
                <w:vertAlign w:val="superscript"/>
              </w:rPr>
              <w:t>me</w:t>
            </w:r>
            <w:r>
              <w:t xml:space="preserve"> Johanne Racine</w:t>
            </w:r>
          </w:p>
        </w:tc>
      </w:tr>
      <w:tr w:rsidR="00C74B6F" w14:paraId="7B668639" w14:textId="77777777">
        <w:trPr>
          <w:cantSplit/>
        </w:trPr>
        <w:tc>
          <w:tcPr>
            <w:tcW w:w="9590" w:type="dxa"/>
            <w:gridSpan w:val="2"/>
          </w:tcPr>
          <w:p w14:paraId="5D8CBE1F" w14:textId="0C68A36D" w:rsidR="00C74B6F" w:rsidRDefault="00170409">
            <w:pPr>
              <w:pStyle w:val="zSoquijdatCabinetProcureurInt"/>
            </w:pPr>
            <w:r>
              <w:t>GROUPE CONSEIL NOVO SST INC.</w:t>
            </w:r>
          </w:p>
        </w:tc>
      </w:tr>
      <w:tr w:rsidR="00C74B6F" w14:paraId="301D74B9" w14:textId="77777777">
        <w:trPr>
          <w:cantSplit/>
        </w:trPr>
        <w:tc>
          <w:tcPr>
            <w:tcW w:w="9590" w:type="dxa"/>
            <w:gridSpan w:val="2"/>
          </w:tcPr>
          <w:p w14:paraId="2738262E" w14:textId="77E793E0" w:rsidR="00C74B6F" w:rsidRDefault="007569DE">
            <w:pPr>
              <w:pStyle w:val="zSoquijlblProcureurInt"/>
            </w:pPr>
            <w:r>
              <w:t xml:space="preserve">Pour </w:t>
            </w:r>
            <w:r w:rsidR="00170409">
              <w:t xml:space="preserve">Urgences Bois-Francs </w:t>
            </w:r>
            <w:proofErr w:type="spellStart"/>
            <w:r w:rsidR="00170409">
              <w:t>inc.</w:t>
            </w:r>
            <w:proofErr w:type="spellEnd"/>
          </w:p>
        </w:tc>
      </w:tr>
      <w:tr w:rsidR="00C15A3F" w14:paraId="1087775A" w14:textId="77777777">
        <w:trPr>
          <w:cantSplit/>
        </w:trPr>
        <w:tc>
          <w:tcPr>
            <w:tcW w:w="9590" w:type="dxa"/>
            <w:gridSpan w:val="2"/>
          </w:tcPr>
          <w:p w14:paraId="7513B804" w14:textId="77777777" w:rsidR="00C15A3F" w:rsidRDefault="00C15A3F">
            <w:pPr>
              <w:pStyle w:val="zSoquijlblProcureurInt"/>
            </w:pPr>
          </w:p>
        </w:tc>
      </w:tr>
      <w:tr w:rsidR="00C15A3F" w14:paraId="20582158" w14:textId="77777777">
        <w:trPr>
          <w:cantSplit/>
        </w:trPr>
        <w:tc>
          <w:tcPr>
            <w:tcW w:w="9590" w:type="dxa"/>
            <w:gridSpan w:val="2"/>
          </w:tcPr>
          <w:p w14:paraId="37FA81F3" w14:textId="662A125B" w:rsidR="00C15A3F" w:rsidRDefault="00C15A3F" w:rsidP="000E56A6">
            <w:pPr>
              <w:pStyle w:val="zSoquijdatDateAudience"/>
            </w:pPr>
            <w:r>
              <w:t xml:space="preserve">Date de la </w:t>
            </w:r>
            <w:r w:rsidR="00170409">
              <w:t>mise en délibéré</w:t>
            </w:r>
            <w:r>
              <w:t> :</w:t>
            </w:r>
            <w:r w:rsidR="00597016">
              <w:tab/>
            </w:r>
            <w:r w:rsidR="00170409">
              <w:t>14 mars 2024</w:t>
            </w:r>
          </w:p>
        </w:tc>
      </w:tr>
    </w:tbl>
    <w:p w14:paraId="7003ED2E" w14:textId="77777777" w:rsidR="009A135C" w:rsidRDefault="009A135C" w:rsidP="009A135C">
      <w:pPr>
        <w:pStyle w:val="articlesdelaLSST"/>
        <w:ind w:left="0"/>
      </w:pPr>
    </w:p>
    <w:sectPr w:rsidR="009A135C">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6DEFE" w14:textId="77777777" w:rsidR="00D2512A" w:rsidRDefault="00D2512A">
      <w:r>
        <w:separator/>
      </w:r>
    </w:p>
  </w:endnote>
  <w:endnote w:type="continuationSeparator" w:id="0">
    <w:p w14:paraId="540B1BD5" w14:textId="77777777" w:rsidR="00D2512A" w:rsidRDefault="00D2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DB4E" w14:textId="77777777" w:rsidR="00D2512A" w:rsidRDefault="00D2512A">
      <w:r>
        <w:separator/>
      </w:r>
    </w:p>
  </w:footnote>
  <w:footnote w:type="continuationSeparator" w:id="0">
    <w:p w14:paraId="49AFE539" w14:textId="77777777" w:rsidR="00D2512A" w:rsidRDefault="00D2512A">
      <w:r>
        <w:continuationSeparator/>
      </w:r>
    </w:p>
  </w:footnote>
  <w:footnote w:id="1">
    <w:p w14:paraId="57D426B3" w14:textId="545C230B" w:rsidR="001A1AA5" w:rsidRPr="00F55975" w:rsidRDefault="001A1AA5" w:rsidP="001A1AA5">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0A0D98">
        <w:rPr>
          <w:rFonts w:cs="Arial"/>
          <w:sz w:val="20"/>
        </w:rPr>
        <w:t xml:space="preserve">Décision du </w:t>
      </w:r>
      <w:r w:rsidR="00576ADF">
        <w:rPr>
          <w:rFonts w:cs="Arial"/>
          <w:sz w:val="20"/>
        </w:rPr>
        <w:t>2 mars</w:t>
      </w:r>
      <w:r>
        <w:rPr>
          <w:rFonts w:cs="Arial"/>
          <w:sz w:val="20"/>
        </w:rPr>
        <w:t xml:space="preserve"> </w:t>
      </w:r>
      <w:r w:rsidRPr="000A0D98">
        <w:rPr>
          <w:rFonts w:cs="Arial"/>
          <w:sz w:val="20"/>
        </w:rPr>
        <w:t>2022.</w:t>
      </w:r>
    </w:p>
  </w:footnote>
  <w:footnote w:id="2">
    <w:p w14:paraId="00FDC985" w14:textId="77777777" w:rsidR="00EA69F6" w:rsidRPr="00E8132D" w:rsidRDefault="00EA69F6" w:rsidP="00182051">
      <w:pPr>
        <w:pStyle w:val="FootnoteText"/>
        <w:tabs>
          <w:tab w:val="left" w:pos="720"/>
        </w:tabs>
        <w:ind w:left="720" w:hanging="720"/>
        <w:jc w:val="both"/>
        <w:rPr>
          <w:rFonts w:cs="Arial"/>
          <w:sz w:val="20"/>
        </w:rPr>
      </w:pPr>
      <w:r>
        <w:rPr>
          <w:rStyle w:val="FootnoteReference"/>
        </w:rPr>
        <w:footnoteRef/>
      </w:r>
      <w:r>
        <w:t xml:space="preserve"> </w:t>
      </w:r>
      <w:r>
        <w:tab/>
      </w:r>
      <w:r>
        <w:rPr>
          <w:rFonts w:cs="Arial"/>
          <w:color w:val="000000"/>
          <w:sz w:val="20"/>
        </w:rPr>
        <w:t>RLRQ, c. A-3.001.</w:t>
      </w:r>
    </w:p>
  </w:footnote>
  <w:footnote w:id="3">
    <w:p w14:paraId="60C6D8F5" w14:textId="77777777" w:rsidR="004D371F" w:rsidRPr="007F2C6D" w:rsidRDefault="004D371F" w:rsidP="004D371F">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Article 2 de la Loi.</w:t>
      </w:r>
    </w:p>
  </w:footnote>
  <w:footnote w:id="4">
    <w:p w14:paraId="2CA925B4" w14:textId="77777777" w:rsidR="00841AB8" w:rsidRPr="006A6FBB" w:rsidRDefault="00841AB8" w:rsidP="00841AB8">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Article 29 de la Loi.</w:t>
      </w:r>
    </w:p>
  </w:footnote>
  <w:footnote w:id="5">
    <w:p w14:paraId="70182941" w14:textId="77777777" w:rsidR="00841AB8" w:rsidRPr="003E5A66" w:rsidRDefault="00841AB8" w:rsidP="00841AB8">
      <w:pPr>
        <w:pStyle w:val="FootnoteText"/>
        <w:tabs>
          <w:tab w:val="left" w:pos="720"/>
        </w:tabs>
        <w:ind w:left="720" w:hanging="720"/>
        <w:jc w:val="both"/>
        <w:rPr>
          <w:rFonts w:cs="Arial"/>
          <w:sz w:val="20"/>
        </w:rPr>
      </w:pPr>
      <w:r w:rsidRPr="003E5A66">
        <w:rPr>
          <w:rStyle w:val="FootnoteReference"/>
        </w:rPr>
        <w:footnoteRef/>
      </w:r>
      <w:r w:rsidRPr="003E5A66">
        <w:t xml:space="preserve"> </w:t>
      </w:r>
      <w:r>
        <w:rPr>
          <w:rFonts w:cs="Arial"/>
          <w:sz w:val="20"/>
        </w:rPr>
        <w:tab/>
      </w:r>
      <w:r w:rsidRPr="00764341">
        <w:rPr>
          <w:rFonts w:cs="Arial"/>
          <w:sz w:val="20"/>
        </w:rPr>
        <w:t xml:space="preserve">RLRQ, c. A-3.001, </w:t>
      </w:r>
      <w:r>
        <w:rPr>
          <w:rFonts w:cs="Arial"/>
          <w:sz w:val="20"/>
        </w:rPr>
        <w:t>r</w:t>
      </w:r>
      <w:r w:rsidRPr="00764341">
        <w:rPr>
          <w:rFonts w:cs="Arial"/>
          <w:sz w:val="20"/>
        </w:rPr>
        <w:t>.8.1</w:t>
      </w:r>
      <w:r w:rsidRPr="009877B8">
        <w:rPr>
          <w:rFonts w:cs="Arial"/>
          <w:i/>
          <w:sz w:val="20"/>
        </w:rPr>
        <w:t>.</w:t>
      </w:r>
      <w:r>
        <w:rPr>
          <w:rFonts w:cs="Arial"/>
          <w:sz w:val="20"/>
        </w:rPr>
        <w:t xml:space="preserve"> </w:t>
      </w:r>
      <w:r w:rsidRPr="00260207">
        <w:rPr>
          <w:rFonts w:cs="Arial"/>
          <w:color w:val="000000"/>
          <w:sz w:val="20"/>
        </w:rPr>
        <w:t xml:space="preserve"> </w:t>
      </w:r>
    </w:p>
  </w:footnote>
  <w:footnote w:id="6">
    <w:p w14:paraId="4558D36F" w14:textId="77777777" w:rsidR="00841AB8" w:rsidRPr="00032E2C" w:rsidRDefault="00841AB8" w:rsidP="00841AB8">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hyperlink r:id="rId1" w:history="1">
        <w:r w:rsidRPr="00032E2C">
          <w:rPr>
            <w:rFonts w:ascii="Open Sans" w:hAnsi="Open Sans" w:cs="Open Sans"/>
            <w:sz w:val="21"/>
            <w:szCs w:val="21"/>
          </w:rPr>
          <w:t>L.Q. 2021, c.</w:t>
        </w:r>
        <w:r>
          <w:rPr>
            <w:rFonts w:ascii="Open Sans" w:hAnsi="Open Sans" w:cs="Open Sans"/>
            <w:sz w:val="21"/>
            <w:szCs w:val="21"/>
          </w:rPr>
          <w:t xml:space="preserve"> </w:t>
        </w:r>
        <w:r w:rsidRPr="00032E2C">
          <w:rPr>
            <w:rFonts w:ascii="Open Sans" w:hAnsi="Open Sans" w:cs="Open Sans"/>
            <w:sz w:val="21"/>
            <w:szCs w:val="21"/>
          </w:rPr>
          <w:t>27</w:t>
        </w:r>
      </w:hyperlink>
      <w:r w:rsidRPr="00032E2C">
        <w:rPr>
          <w:rFonts w:ascii="Open Sans" w:hAnsi="Open Sans" w:cs="Open Sans"/>
          <w:color w:val="212529"/>
          <w:sz w:val="20"/>
        </w:rPr>
        <w:t>.</w:t>
      </w:r>
    </w:p>
  </w:footnote>
  <w:footnote w:id="7">
    <w:p w14:paraId="7BB428B4" w14:textId="77777777" w:rsidR="00841AB8" w:rsidRPr="00255E1D" w:rsidRDefault="00841AB8" w:rsidP="00841AB8">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L’article 28.1 de la Loi, qui est de droit nouveau, édicte qu’un règlement peut prévoir les critères d’admissibilité d’une réclamation pour une maladie professionnelle dont le diagnostic est une atteinte auditive causée par le bruit. À ce jour, aucun règlement déterminant ces critères d’admissibilité n’a été adopté.</w:t>
      </w:r>
    </w:p>
  </w:footnote>
  <w:footnote w:id="8">
    <w:p w14:paraId="498A8A5C" w14:textId="4B2EF584" w:rsidR="00841AB8" w:rsidRPr="008B2E08" w:rsidRDefault="00841AB8" w:rsidP="00841AB8">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255E1D">
        <w:rPr>
          <w:rFonts w:cs="Arial"/>
          <w:sz w:val="20"/>
        </w:rPr>
        <w:t>Voir entre autres</w:t>
      </w:r>
      <w:r>
        <w:rPr>
          <w:rFonts w:cs="Arial"/>
          <w:sz w:val="20"/>
        </w:rPr>
        <w:t> :</w:t>
      </w:r>
      <w:r w:rsidRPr="00255E1D">
        <w:rPr>
          <w:rFonts w:cs="Arial"/>
          <w:sz w:val="20"/>
        </w:rPr>
        <w:t xml:space="preserve"> </w:t>
      </w:r>
      <w:r w:rsidRPr="00255E1D">
        <w:rPr>
          <w:rFonts w:cs="Arial"/>
          <w:i/>
          <w:iCs/>
          <w:sz w:val="20"/>
        </w:rPr>
        <w:t>Desforges</w:t>
      </w:r>
      <w:r w:rsidRPr="00255E1D">
        <w:rPr>
          <w:rFonts w:cs="Arial"/>
          <w:sz w:val="20"/>
        </w:rPr>
        <w:t xml:space="preserve"> et </w:t>
      </w:r>
      <w:r w:rsidRPr="00255E1D">
        <w:rPr>
          <w:rFonts w:cs="Arial"/>
          <w:i/>
          <w:iCs/>
          <w:sz w:val="20"/>
        </w:rPr>
        <w:t>Centre de services scolaire de la Baie-James</w:t>
      </w:r>
      <w:r w:rsidRPr="00255E1D">
        <w:rPr>
          <w:rFonts w:cs="Arial"/>
          <w:sz w:val="20"/>
        </w:rPr>
        <w:t>, 2024 QCTAT 371</w:t>
      </w:r>
      <w:r w:rsidRPr="00431BA4">
        <w:rPr>
          <w:rFonts w:cs="Arial"/>
          <w:sz w:val="20"/>
        </w:rPr>
        <w:t>;</w:t>
      </w:r>
      <w:r w:rsidRPr="00255E1D">
        <w:rPr>
          <w:rFonts w:cs="Arial"/>
          <w:sz w:val="20"/>
        </w:rPr>
        <w:t xml:space="preserve"> </w:t>
      </w:r>
      <w:r w:rsidRPr="00255E1D">
        <w:rPr>
          <w:rFonts w:cs="Arial"/>
          <w:i/>
          <w:iCs/>
          <w:sz w:val="20"/>
        </w:rPr>
        <w:t>Ducharme</w:t>
      </w:r>
      <w:r w:rsidRPr="00255E1D">
        <w:rPr>
          <w:rFonts w:cs="Arial"/>
          <w:sz w:val="20"/>
        </w:rPr>
        <w:t xml:space="preserve"> et </w:t>
      </w:r>
      <w:r w:rsidRPr="00255E1D">
        <w:rPr>
          <w:rFonts w:cs="Arial"/>
          <w:i/>
          <w:iCs/>
          <w:sz w:val="20"/>
        </w:rPr>
        <w:t>Magasins Hart inc</w:t>
      </w:r>
      <w:r w:rsidRPr="00255E1D">
        <w:rPr>
          <w:rFonts w:cs="Arial"/>
          <w:sz w:val="20"/>
        </w:rPr>
        <w:t>., 2023 QCTAT 1555</w:t>
      </w:r>
      <w:r w:rsidRPr="00431BA4">
        <w:rPr>
          <w:rFonts w:cs="Arial"/>
          <w:sz w:val="20"/>
        </w:rPr>
        <w:t>;</w:t>
      </w:r>
      <w:r>
        <w:rPr>
          <w:rFonts w:cs="Arial"/>
          <w:sz w:val="20"/>
        </w:rPr>
        <w:t xml:space="preserve"> </w:t>
      </w:r>
      <w:r w:rsidRPr="008B2E08">
        <w:rPr>
          <w:rFonts w:cs="Arial"/>
          <w:i/>
          <w:iCs/>
          <w:sz w:val="20"/>
        </w:rPr>
        <w:t>Aouad</w:t>
      </w:r>
      <w:r w:rsidRPr="008B2E08">
        <w:rPr>
          <w:rFonts w:cs="Arial"/>
          <w:sz w:val="20"/>
        </w:rPr>
        <w:t xml:space="preserve"> et </w:t>
      </w:r>
      <w:r w:rsidRPr="008B2E08">
        <w:rPr>
          <w:rFonts w:cs="Arial"/>
          <w:i/>
          <w:iCs/>
          <w:sz w:val="20"/>
        </w:rPr>
        <w:t>Restaurant L'Académie (F</w:t>
      </w:r>
      <w:r>
        <w:rPr>
          <w:rFonts w:cs="Arial"/>
          <w:i/>
          <w:iCs/>
          <w:sz w:val="20"/>
        </w:rPr>
        <w:t>ermée</w:t>
      </w:r>
      <w:r w:rsidRPr="008B2E08">
        <w:rPr>
          <w:rFonts w:cs="Arial"/>
          <w:i/>
          <w:iCs/>
          <w:sz w:val="20"/>
        </w:rPr>
        <w:t>)</w:t>
      </w:r>
      <w:r w:rsidRPr="008B2E08">
        <w:rPr>
          <w:rFonts w:cs="Arial"/>
          <w:sz w:val="20"/>
        </w:rPr>
        <w:t>, 2023 QCTAT 1367</w:t>
      </w:r>
      <w:r w:rsidR="00576ADF">
        <w:rPr>
          <w:rFonts w:cs="Arial"/>
          <w:sz w:val="20"/>
        </w:rPr>
        <w:t>;</w:t>
      </w:r>
      <w:r w:rsidR="00576ADF" w:rsidRPr="00576ADF">
        <w:rPr>
          <w:rFonts w:cs="Arial"/>
          <w:i/>
          <w:iCs/>
          <w:sz w:val="20"/>
        </w:rPr>
        <w:t xml:space="preserve"> </w:t>
      </w:r>
      <w:r w:rsidR="00576ADF" w:rsidRPr="002908AB">
        <w:rPr>
          <w:rFonts w:cs="Arial"/>
          <w:i/>
          <w:iCs/>
          <w:sz w:val="20"/>
        </w:rPr>
        <w:t xml:space="preserve">Dorion </w:t>
      </w:r>
      <w:r w:rsidR="00576ADF">
        <w:rPr>
          <w:rFonts w:cs="Arial"/>
          <w:sz w:val="20"/>
        </w:rPr>
        <w:t xml:space="preserve">et </w:t>
      </w:r>
      <w:r w:rsidR="00576ADF" w:rsidRPr="002908AB">
        <w:rPr>
          <w:rFonts w:cs="Arial"/>
          <w:i/>
          <w:iCs/>
          <w:sz w:val="20"/>
        </w:rPr>
        <w:t>Norsk</w:t>
      </w:r>
      <w:r w:rsidR="00576ADF">
        <w:rPr>
          <w:rFonts w:cs="Arial"/>
          <w:sz w:val="20"/>
        </w:rPr>
        <w:t xml:space="preserve"> </w:t>
      </w:r>
      <w:r w:rsidR="00576ADF" w:rsidRPr="002908AB">
        <w:rPr>
          <w:rFonts w:cs="Arial"/>
          <w:i/>
          <w:iCs/>
          <w:sz w:val="20"/>
        </w:rPr>
        <w:t>Hyd</w:t>
      </w:r>
      <w:r w:rsidR="00576ADF">
        <w:rPr>
          <w:rFonts w:cs="Arial"/>
          <w:i/>
          <w:iCs/>
          <w:sz w:val="20"/>
        </w:rPr>
        <w:t>r</w:t>
      </w:r>
      <w:r w:rsidR="00576ADF" w:rsidRPr="002908AB">
        <w:rPr>
          <w:rFonts w:cs="Arial"/>
          <w:i/>
          <w:iCs/>
          <w:sz w:val="20"/>
        </w:rPr>
        <w:t>o Canada inc. (F</w:t>
      </w:r>
      <w:r w:rsidR="00BF3ADF">
        <w:rPr>
          <w:rFonts w:cs="Arial"/>
          <w:i/>
          <w:iCs/>
          <w:sz w:val="20"/>
        </w:rPr>
        <w:t>ermée</w:t>
      </w:r>
      <w:r w:rsidR="00576ADF" w:rsidRPr="002908AB">
        <w:rPr>
          <w:rFonts w:cs="Arial"/>
          <w:i/>
          <w:iCs/>
          <w:sz w:val="20"/>
        </w:rPr>
        <w:t>)</w:t>
      </w:r>
      <w:r w:rsidR="00576ADF">
        <w:rPr>
          <w:rFonts w:cs="Arial"/>
          <w:sz w:val="20"/>
        </w:rPr>
        <w:t xml:space="preserve">, 2024 QCTAT 1032. </w:t>
      </w:r>
    </w:p>
  </w:footnote>
  <w:footnote w:id="9">
    <w:p w14:paraId="51592B10" w14:textId="77777777" w:rsidR="004D371F" w:rsidRPr="00AB2FAD" w:rsidRDefault="004D371F" w:rsidP="004D371F">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Le Tribunal est lié par ce diagnostic, puisqu’il n’a pas fait l’objet d’une procédure d’évaluation médicale selon l’article 224 de la Loi.</w:t>
      </w:r>
    </w:p>
  </w:footnote>
  <w:footnote w:id="10">
    <w:p w14:paraId="64D5E4F2" w14:textId="77777777" w:rsidR="004D371F" w:rsidRPr="002731CA" w:rsidRDefault="004D371F" w:rsidP="004D371F">
      <w:pPr>
        <w:pStyle w:val="FootnoteText"/>
        <w:tabs>
          <w:tab w:val="left" w:pos="720"/>
        </w:tabs>
        <w:ind w:left="720" w:hanging="720"/>
        <w:jc w:val="both"/>
        <w:rPr>
          <w:sz w:val="20"/>
        </w:rPr>
      </w:pPr>
      <w:r>
        <w:rPr>
          <w:rStyle w:val="FootnoteReference"/>
        </w:rPr>
        <w:footnoteRef/>
      </w:r>
      <w:r>
        <w:tab/>
      </w:r>
      <w:r w:rsidRPr="00FC180D">
        <w:rPr>
          <w:i/>
          <w:sz w:val="20"/>
        </w:rPr>
        <w:t xml:space="preserve">Piché </w:t>
      </w:r>
      <w:r w:rsidRPr="00F8191D">
        <w:rPr>
          <w:sz w:val="20"/>
        </w:rPr>
        <w:t>et</w:t>
      </w:r>
      <w:r w:rsidRPr="00FC180D">
        <w:rPr>
          <w:i/>
          <w:sz w:val="20"/>
        </w:rPr>
        <w:t xml:space="preserve"> </w:t>
      </w:r>
      <w:r w:rsidRPr="00443361">
        <w:rPr>
          <w:i/>
          <w:sz w:val="20"/>
        </w:rPr>
        <w:t>Barcana inc.</w:t>
      </w:r>
      <w:r w:rsidRPr="00502D32">
        <w:rPr>
          <w:sz w:val="20"/>
        </w:rPr>
        <w:t>,</w:t>
      </w:r>
      <w:r w:rsidRPr="00443361">
        <w:rPr>
          <w:i/>
          <w:sz w:val="20"/>
        </w:rPr>
        <w:t xml:space="preserve"> </w:t>
      </w:r>
      <w:r w:rsidRPr="00443361">
        <w:rPr>
          <w:sz w:val="20"/>
        </w:rPr>
        <w:t>C</w:t>
      </w:r>
      <w:r>
        <w:rPr>
          <w:sz w:val="20"/>
        </w:rPr>
        <w:t>.</w:t>
      </w:r>
      <w:r w:rsidRPr="00443361">
        <w:rPr>
          <w:sz w:val="20"/>
        </w:rPr>
        <w:t>A</w:t>
      </w:r>
      <w:r>
        <w:rPr>
          <w:sz w:val="20"/>
        </w:rPr>
        <w:t>.</w:t>
      </w:r>
      <w:r w:rsidRPr="00443361">
        <w:rPr>
          <w:sz w:val="20"/>
        </w:rPr>
        <w:t>L</w:t>
      </w:r>
      <w:r>
        <w:rPr>
          <w:sz w:val="20"/>
        </w:rPr>
        <w:t>.</w:t>
      </w:r>
      <w:r w:rsidRPr="00443361">
        <w:rPr>
          <w:sz w:val="20"/>
        </w:rPr>
        <w:t>P</w:t>
      </w:r>
      <w:r>
        <w:rPr>
          <w:sz w:val="20"/>
        </w:rPr>
        <w:t>. 50750-</w:t>
      </w:r>
      <w:r w:rsidRPr="002731CA">
        <w:rPr>
          <w:sz w:val="20"/>
        </w:rPr>
        <w:t xml:space="preserve">62B-9304, 13 septembre 1994, B. Lemay; </w:t>
      </w:r>
      <w:r w:rsidRPr="002731CA">
        <w:rPr>
          <w:i/>
          <w:sz w:val="20"/>
        </w:rPr>
        <w:t>René</w:t>
      </w:r>
      <w:r w:rsidRPr="002731CA">
        <w:rPr>
          <w:sz w:val="20"/>
        </w:rPr>
        <w:t xml:space="preserve"> et </w:t>
      </w:r>
      <w:r w:rsidRPr="002731CA">
        <w:rPr>
          <w:i/>
          <w:sz w:val="20"/>
        </w:rPr>
        <w:t>General Motors du Canada ltée</w:t>
      </w:r>
      <w:r w:rsidRPr="002731CA">
        <w:rPr>
          <w:sz w:val="20"/>
        </w:rPr>
        <w:t>, C.A.L.P. 41021-64-9206, 20 juillet 1995, B. Lemay.</w:t>
      </w:r>
    </w:p>
  </w:footnote>
  <w:footnote w:id="11">
    <w:p w14:paraId="7CBCF379" w14:textId="0C2994C4" w:rsidR="004D371F" w:rsidRPr="00E16BE5" w:rsidRDefault="004D371F" w:rsidP="004D371F">
      <w:pPr>
        <w:pStyle w:val="FootnoteText"/>
        <w:tabs>
          <w:tab w:val="left" w:pos="720"/>
        </w:tabs>
        <w:ind w:left="720" w:hanging="720"/>
        <w:jc w:val="both"/>
        <w:rPr>
          <w:rFonts w:cs="Arial"/>
          <w:sz w:val="20"/>
        </w:rPr>
      </w:pPr>
      <w:r w:rsidRPr="002731CA">
        <w:rPr>
          <w:rStyle w:val="FootnoteReference"/>
        </w:rPr>
        <w:footnoteRef/>
      </w:r>
      <w:r w:rsidRPr="002731CA">
        <w:t xml:space="preserve"> </w:t>
      </w:r>
      <w:r w:rsidRPr="002731CA">
        <w:rPr>
          <w:rFonts w:cs="Arial"/>
          <w:sz w:val="20"/>
        </w:rPr>
        <w:tab/>
      </w:r>
      <w:r w:rsidRPr="002731CA">
        <w:rPr>
          <w:i/>
          <w:sz w:val="20"/>
        </w:rPr>
        <w:t>Deschamps</w:t>
      </w:r>
      <w:r w:rsidRPr="002731CA">
        <w:rPr>
          <w:sz w:val="20"/>
        </w:rPr>
        <w:t xml:space="preserve"> et </w:t>
      </w:r>
      <w:r w:rsidRPr="002731CA">
        <w:rPr>
          <w:i/>
          <w:sz w:val="20"/>
        </w:rPr>
        <w:t xml:space="preserve">Carrières </w:t>
      </w:r>
      <w:r w:rsidRPr="00F2484B">
        <w:rPr>
          <w:i/>
          <w:sz w:val="20"/>
        </w:rPr>
        <w:t>Témis (F</w:t>
      </w:r>
      <w:r w:rsidR="00F2484B">
        <w:rPr>
          <w:i/>
          <w:sz w:val="20"/>
        </w:rPr>
        <w:t>ermée</w:t>
      </w:r>
      <w:r w:rsidRPr="00F2484B">
        <w:rPr>
          <w:i/>
          <w:sz w:val="20"/>
        </w:rPr>
        <w:t>)</w:t>
      </w:r>
      <w:r w:rsidRPr="00F2484B">
        <w:rPr>
          <w:sz w:val="20"/>
        </w:rPr>
        <w:t>,</w:t>
      </w:r>
      <w:r w:rsidRPr="00F2484B">
        <w:rPr>
          <w:i/>
          <w:sz w:val="20"/>
        </w:rPr>
        <w:t xml:space="preserve"> </w:t>
      </w:r>
      <w:r w:rsidRPr="00F2484B">
        <w:rPr>
          <w:sz w:val="20"/>
        </w:rPr>
        <w:t>2012 QCCLP 4568;</w:t>
      </w:r>
      <w:r w:rsidRPr="00F2484B">
        <w:rPr>
          <w:rFonts w:cs="Arial"/>
          <w:sz w:val="20"/>
        </w:rPr>
        <w:t xml:space="preserve"> </w:t>
      </w:r>
      <w:r w:rsidRPr="00F2484B">
        <w:rPr>
          <w:rFonts w:cs="Arial"/>
          <w:i/>
          <w:sz w:val="20"/>
        </w:rPr>
        <w:t xml:space="preserve">Binette </w:t>
      </w:r>
      <w:r w:rsidRPr="00F2484B">
        <w:rPr>
          <w:rFonts w:cs="Arial"/>
          <w:sz w:val="20"/>
        </w:rPr>
        <w:t xml:space="preserve">et </w:t>
      </w:r>
      <w:r w:rsidRPr="00F2484B">
        <w:rPr>
          <w:rFonts w:cs="Arial"/>
          <w:i/>
          <w:sz w:val="20"/>
        </w:rPr>
        <w:t>Confection Andrée Anne inc. (Fermée)</w:t>
      </w:r>
      <w:r w:rsidRPr="00F2484B">
        <w:rPr>
          <w:rFonts w:cs="Arial"/>
          <w:sz w:val="20"/>
        </w:rPr>
        <w:t>, 2017 QCTAT 842.</w:t>
      </w:r>
    </w:p>
  </w:footnote>
  <w:footnote w:id="12">
    <w:p w14:paraId="1D522925" w14:textId="0A13BC6B" w:rsidR="002908AB" w:rsidRPr="000E464E" w:rsidRDefault="002908AB" w:rsidP="002908AB">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F2484B">
        <w:rPr>
          <w:rFonts w:cs="Arial"/>
          <w:i/>
          <w:sz w:val="20"/>
        </w:rPr>
        <w:t>Houde</w:t>
      </w:r>
      <w:r w:rsidRPr="00F2484B">
        <w:rPr>
          <w:rFonts w:cs="Arial"/>
          <w:sz w:val="20"/>
        </w:rPr>
        <w:t xml:space="preserve"> et </w:t>
      </w:r>
      <w:r w:rsidRPr="00F2484B">
        <w:rPr>
          <w:rFonts w:cs="Arial"/>
          <w:i/>
          <w:sz w:val="20"/>
        </w:rPr>
        <w:t>Produits forestiers Résolu</w:t>
      </w:r>
      <w:r w:rsidRPr="00F2484B">
        <w:rPr>
          <w:rFonts w:cs="Arial"/>
          <w:sz w:val="20"/>
        </w:rPr>
        <w:t xml:space="preserve">, 2015 QCCLP 4123; </w:t>
      </w:r>
      <w:r w:rsidRPr="00F2484B">
        <w:rPr>
          <w:rFonts w:cs="Arial"/>
          <w:i/>
          <w:sz w:val="20"/>
        </w:rPr>
        <w:t>Cascades Groupe Tissu</w:t>
      </w:r>
      <w:r w:rsidR="00A03173" w:rsidRPr="00F2484B">
        <w:rPr>
          <w:rFonts w:cs="Arial"/>
          <w:i/>
          <w:sz w:val="20"/>
        </w:rPr>
        <w:t>s</w:t>
      </w:r>
      <w:r w:rsidRPr="00F2484B">
        <w:rPr>
          <w:rFonts w:cs="Arial"/>
          <w:i/>
          <w:sz w:val="20"/>
        </w:rPr>
        <w:t xml:space="preserve"> inc.</w:t>
      </w:r>
      <w:r w:rsidRPr="00F2484B">
        <w:rPr>
          <w:rFonts w:cs="Arial"/>
          <w:sz w:val="20"/>
        </w:rPr>
        <w:t xml:space="preserve"> et </w:t>
      </w:r>
      <w:r w:rsidRPr="00F2484B">
        <w:rPr>
          <w:rFonts w:cs="Arial"/>
          <w:i/>
          <w:sz w:val="20"/>
        </w:rPr>
        <w:t>Poulin</w:t>
      </w:r>
      <w:r w:rsidRPr="00F2484B">
        <w:rPr>
          <w:rFonts w:cs="Arial"/>
          <w:sz w:val="20"/>
        </w:rPr>
        <w:t xml:space="preserve">, 2016 QCTAT 28; </w:t>
      </w:r>
      <w:r w:rsidRPr="00F2484B">
        <w:rPr>
          <w:rFonts w:cs="Arial"/>
          <w:i/>
          <w:iCs/>
          <w:sz w:val="20"/>
        </w:rPr>
        <w:t>Métaux Russell inc.</w:t>
      </w:r>
      <w:r w:rsidRPr="00F2484B">
        <w:rPr>
          <w:rFonts w:cs="Arial"/>
          <w:sz w:val="20"/>
        </w:rPr>
        <w:t xml:space="preserve"> et </w:t>
      </w:r>
      <w:r w:rsidRPr="00F2484B">
        <w:rPr>
          <w:rFonts w:cs="Arial"/>
          <w:i/>
          <w:iCs/>
          <w:sz w:val="20"/>
        </w:rPr>
        <w:t>Roy</w:t>
      </w:r>
      <w:r w:rsidRPr="00F2484B">
        <w:rPr>
          <w:rFonts w:cs="Arial"/>
          <w:sz w:val="20"/>
        </w:rPr>
        <w:t>, 2017 QCTAT 1753;</w:t>
      </w:r>
      <w:r w:rsidRPr="00F2484B">
        <w:rPr>
          <w:rFonts w:cs="Arial"/>
          <w:i/>
          <w:iCs/>
          <w:sz w:val="20"/>
        </w:rPr>
        <w:t xml:space="preserve"> Aouad</w:t>
      </w:r>
      <w:r w:rsidRPr="00F2484B">
        <w:rPr>
          <w:rFonts w:cs="Arial"/>
          <w:sz w:val="20"/>
        </w:rPr>
        <w:t xml:space="preserve"> et </w:t>
      </w:r>
      <w:r w:rsidRPr="00F2484B">
        <w:rPr>
          <w:rFonts w:cs="Arial"/>
          <w:i/>
          <w:iCs/>
          <w:sz w:val="20"/>
        </w:rPr>
        <w:t>Restaurant L’Académie</w:t>
      </w:r>
      <w:r w:rsidRPr="00F2484B">
        <w:rPr>
          <w:rFonts w:cs="Arial"/>
          <w:sz w:val="20"/>
        </w:rPr>
        <w:t xml:space="preserve"> </w:t>
      </w:r>
      <w:r w:rsidRPr="00F2484B">
        <w:rPr>
          <w:rFonts w:cs="Arial"/>
          <w:i/>
          <w:iCs/>
          <w:sz w:val="20"/>
        </w:rPr>
        <w:t>(</w:t>
      </w:r>
      <w:r w:rsidR="00A03173" w:rsidRPr="00F2484B">
        <w:rPr>
          <w:rFonts w:cs="Arial"/>
          <w:i/>
          <w:iCs/>
          <w:sz w:val="20"/>
        </w:rPr>
        <w:t>Fermée</w:t>
      </w:r>
      <w:r w:rsidRPr="00F2484B">
        <w:rPr>
          <w:rFonts w:cs="Arial"/>
          <w:i/>
          <w:iCs/>
          <w:sz w:val="20"/>
        </w:rPr>
        <w:t>),</w:t>
      </w:r>
      <w:r w:rsidRPr="00F2484B">
        <w:rPr>
          <w:rFonts w:cs="Arial"/>
          <w:sz w:val="20"/>
        </w:rPr>
        <w:t xml:space="preserve"> </w:t>
      </w:r>
      <w:r w:rsidR="00A03173" w:rsidRPr="00F2484B">
        <w:rPr>
          <w:rFonts w:cs="Arial"/>
          <w:sz w:val="20"/>
        </w:rPr>
        <w:t>précitée, note 8</w:t>
      </w:r>
      <w:r w:rsidRPr="00F2484B">
        <w:rPr>
          <w:rFonts w:cs="Arial"/>
          <w:sz w:val="20"/>
        </w:rPr>
        <w:t xml:space="preserve">; </w:t>
      </w:r>
      <w:r w:rsidRPr="00F2484B">
        <w:rPr>
          <w:rFonts w:cs="Arial"/>
          <w:i/>
          <w:iCs/>
          <w:sz w:val="20"/>
        </w:rPr>
        <w:t>Dorion</w:t>
      </w:r>
      <w:r w:rsidRPr="002908AB">
        <w:rPr>
          <w:rFonts w:cs="Arial"/>
          <w:i/>
          <w:iCs/>
          <w:sz w:val="20"/>
        </w:rPr>
        <w:t xml:space="preserve"> </w:t>
      </w:r>
      <w:r>
        <w:rPr>
          <w:rFonts w:cs="Arial"/>
          <w:sz w:val="20"/>
        </w:rPr>
        <w:t xml:space="preserve">et </w:t>
      </w:r>
      <w:r w:rsidRPr="002908AB">
        <w:rPr>
          <w:rFonts w:cs="Arial"/>
          <w:i/>
          <w:iCs/>
          <w:sz w:val="20"/>
        </w:rPr>
        <w:t>Norsk</w:t>
      </w:r>
      <w:r>
        <w:rPr>
          <w:rFonts w:cs="Arial"/>
          <w:sz w:val="20"/>
        </w:rPr>
        <w:t xml:space="preserve"> </w:t>
      </w:r>
      <w:r w:rsidRPr="002908AB">
        <w:rPr>
          <w:rFonts w:cs="Arial"/>
          <w:i/>
          <w:iCs/>
          <w:sz w:val="20"/>
        </w:rPr>
        <w:t>Hyd</w:t>
      </w:r>
      <w:r>
        <w:rPr>
          <w:rFonts w:cs="Arial"/>
          <w:i/>
          <w:iCs/>
          <w:sz w:val="20"/>
        </w:rPr>
        <w:t>r</w:t>
      </w:r>
      <w:r w:rsidRPr="002908AB">
        <w:rPr>
          <w:rFonts w:cs="Arial"/>
          <w:i/>
          <w:iCs/>
          <w:sz w:val="20"/>
        </w:rPr>
        <w:t>o Canada inc. (F</w:t>
      </w:r>
      <w:r w:rsidR="00A03173">
        <w:rPr>
          <w:rFonts w:cs="Arial"/>
          <w:i/>
          <w:iCs/>
          <w:sz w:val="20"/>
        </w:rPr>
        <w:t>ermée</w:t>
      </w:r>
      <w:r w:rsidRPr="002908AB">
        <w:rPr>
          <w:rFonts w:cs="Arial"/>
          <w:i/>
          <w:iCs/>
          <w:sz w:val="20"/>
        </w:rPr>
        <w:t>)</w:t>
      </w:r>
      <w:r>
        <w:rPr>
          <w:rFonts w:cs="Arial"/>
          <w:sz w:val="20"/>
        </w:rPr>
        <w:t xml:space="preserve">, </w:t>
      </w:r>
      <w:r w:rsidR="006D04DE">
        <w:rPr>
          <w:rFonts w:cs="Arial"/>
          <w:sz w:val="20"/>
        </w:rPr>
        <w:t>précitée, note 8</w:t>
      </w:r>
      <w:r>
        <w:rPr>
          <w:rFonts w:cs="Arial"/>
          <w:sz w:val="20"/>
        </w:rPr>
        <w:t>.</w:t>
      </w:r>
    </w:p>
  </w:footnote>
  <w:footnote w:id="13">
    <w:p w14:paraId="77D567CF" w14:textId="343FB0E4" w:rsidR="004D371F" w:rsidRPr="00EE21FD" w:rsidRDefault="004D371F" w:rsidP="004D371F">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8E5F46">
        <w:rPr>
          <w:rFonts w:cs="Arial"/>
          <w:i/>
          <w:sz w:val="20"/>
        </w:rPr>
        <w:t>Emballage</w:t>
      </w:r>
      <w:r>
        <w:rPr>
          <w:rFonts w:cs="Arial"/>
          <w:i/>
          <w:sz w:val="20"/>
        </w:rPr>
        <w:t>s</w:t>
      </w:r>
      <w:r w:rsidRPr="008E5F46">
        <w:rPr>
          <w:rFonts w:cs="Arial"/>
          <w:i/>
          <w:sz w:val="20"/>
        </w:rPr>
        <w:t xml:space="preserve"> Somerville Division Lachute</w:t>
      </w:r>
      <w:r>
        <w:rPr>
          <w:rFonts w:cs="Arial"/>
          <w:sz w:val="20"/>
        </w:rPr>
        <w:t xml:space="preserve"> et </w:t>
      </w:r>
      <w:r w:rsidRPr="008E5F46">
        <w:rPr>
          <w:rFonts w:cs="Arial"/>
          <w:i/>
          <w:sz w:val="20"/>
        </w:rPr>
        <w:t>Labonté</w:t>
      </w:r>
      <w:r>
        <w:rPr>
          <w:rFonts w:cs="Arial"/>
          <w:sz w:val="20"/>
        </w:rPr>
        <w:t xml:space="preserve">, 2014 QCCLP 861; </w:t>
      </w:r>
      <w:r w:rsidRPr="00913CA0">
        <w:rPr>
          <w:rFonts w:cs="Arial"/>
          <w:i/>
          <w:sz w:val="20"/>
        </w:rPr>
        <w:t xml:space="preserve">Gingras </w:t>
      </w:r>
      <w:r w:rsidRPr="00913CA0">
        <w:rPr>
          <w:rFonts w:cs="Arial"/>
          <w:sz w:val="20"/>
        </w:rPr>
        <w:t>et</w:t>
      </w:r>
      <w:r w:rsidRPr="00913CA0">
        <w:rPr>
          <w:rFonts w:cs="Arial"/>
          <w:i/>
          <w:sz w:val="20"/>
        </w:rPr>
        <w:t xml:space="preserve"> Zinc </w:t>
      </w:r>
      <w:r>
        <w:rPr>
          <w:rFonts w:cs="Arial"/>
          <w:i/>
          <w:sz w:val="20"/>
        </w:rPr>
        <w:t>Électrolytique</w:t>
      </w:r>
      <w:r w:rsidRPr="00913CA0">
        <w:rPr>
          <w:rFonts w:cs="Arial"/>
          <w:i/>
          <w:sz w:val="20"/>
        </w:rPr>
        <w:t xml:space="preserve"> du </w:t>
      </w:r>
      <w:r w:rsidR="00144207" w:rsidRPr="00F2484B">
        <w:rPr>
          <w:rFonts w:cs="Arial"/>
          <w:i/>
          <w:sz w:val="20"/>
        </w:rPr>
        <w:t>Canada ltée</w:t>
      </w:r>
      <w:r w:rsidRPr="00F2484B">
        <w:rPr>
          <w:rFonts w:cs="Arial"/>
          <w:sz w:val="20"/>
        </w:rPr>
        <w:t xml:space="preserve">, 2016 QCTAT 3205; </w:t>
      </w:r>
      <w:r w:rsidRPr="00F2484B">
        <w:rPr>
          <w:rFonts w:cs="Arial"/>
          <w:i/>
          <w:sz w:val="20"/>
        </w:rPr>
        <w:t>Urgence Bois-Francs inc</w:t>
      </w:r>
      <w:r w:rsidRPr="00F2484B">
        <w:rPr>
          <w:rFonts w:cs="Arial"/>
          <w:sz w:val="20"/>
        </w:rPr>
        <w:t xml:space="preserve">. et </w:t>
      </w:r>
      <w:r w:rsidRPr="00F2484B">
        <w:rPr>
          <w:rFonts w:cs="Arial"/>
          <w:i/>
          <w:sz w:val="20"/>
        </w:rPr>
        <w:t>Rousseau</w:t>
      </w:r>
      <w:r w:rsidRPr="00F2484B">
        <w:rPr>
          <w:rFonts w:cs="Arial"/>
          <w:sz w:val="20"/>
        </w:rPr>
        <w:t xml:space="preserve">, 2017 QCTAT 16; </w:t>
      </w:r>
      <w:r w:rsidRPr="00F2484B">
        <w:rPr>
          <w:rFonts w:cs="Arial"/>
          <w:i/>
          <w:sz w:val="20"/>
        </w:rPr>
        <w:t xml:space="preserve">Gaudet </w:t>
      </w:r>
      <w:r w:rsidRPr="00F2484B">
        <w:rPr>
          <w:rFonts w:cs="Arial"/>
          <w:sz w:val="20"/>
        </w:rPr>
        <w:t>et</w:t>
      </w:r>
      <w:r w:rsidRPr="00F2484B">
        <w:rPr>
          <w:rFonts w:cs="Arial"/>
          <w:i/>
          <w:sz w:val="20"/>
        </w:rPr>
        <w:t xml:space="preserve"> Aménagement</w:t>
      </w:r>
      <w:r w:rsidRPr="00EE21FD">
        <w:rPr>
          <w:rFonts w:cs="Arial"/>
          <w:i/>
          <w:sz w:val="20"/>
        </w:rPr>
        <w:t xml:space="preserve"> paysager Lambert</w:t>
      </w:r>
      <w:r w:rsidRPr="00EE21FD">
        <w:rPr>
          <w:rFonts w:cs="Arial"/>
          <w:sz w:val="20"/>
        </w:rPr>
        <w:t>, 2018 QCTAT 2674.</w:t>
      </w:r>
    </w:p>
  </w:footnote>
  <w:footnote w:id="14">
    <w:p w14:paraId="50FC5DF8" w14:textId="04404EDE" w:rsidR="004D371F" w:rsidRPr="00F2484B" w:rsidRDefault="004D371F" w:rsidP="004D371F">
      <w:pPr>
        <w:pStyle w:val="FootnoteText"/>
        <w:ind w:left="709" w:hanging="709"/>
        <w:rPr>
          <w:sz w:val="20"/>
        </w:rPr>
      </w:pPr>
      <w:r w:rsidRPr="00FB3733">
        <w:rPr>
          <w:rStyle w:val="FootnoteReference"/>
          <w:szCs w:val="24"/>
        </w:rPr>
        <w:footnoteRef/>
      </w:r>
      <w:r w:rsidRPr="00FB3733">
        <w:rPr>
          <w:szCs w:val="24"/>
        </w:rPr>
        <w:t xml:space="preserve"> </w:t>
      </w:r>
      <w:r>
        <w:rPr>
          <w:sz w:val="20"/>
        </w:rPr>
        <w:tab/>
      </w:r>
      <w:r w:rsidRPr="00F2484B">
        <w:rPr>
          <w:i/>
          <w:sz w:val="20"/>
        </w:rPr>
        <w:t xml:space="preserve">Cutnam </w:t>
      </w:r>
      <w:r w:rsidRPr="00F2484B">
        <w:rPr>
          <w:sz w:val="20"/>
        </w:rPr>
        <w:t>et</w:t>
      </w:r>
      <w:r w:rsidRPr="00F2484B">
        <w:rPr>
          <w:i/>
          <w:sz w:val="20"/>
        </w:rPr>
        <w:t xml:space="preserve"> </w:t>
      </w:r>
      <w:r w:rsidR="003D3912" w:rsidRPr="00F2484B">
        <w:rPr>
          <w:i/>
          <w:sz w:val="20"/>
        </w:rPr>
        <w:t>Québec (M</w:t>
      </w:r>
      <w:r w:rsidRPr="00F2484B">
        <w:rPr>
          <w:i/>
          <w:sz w:val="20"/>
        </w:rPr>
        <w:t>inistère des Transports</w:t>
      </w:r>
      <w:r w:rsidR="003D3912" w:rsidRPr="00F2484B">
        <w:rPr>
          <w:i/>
          <w:sz w:val="20"/>
        </w:rPr>
        <w:t>)</w:t>
      </w:r>
      <w:r w:rsidRPr="00F2484B">
        <w:rPr>
          <w:sz w:val="20"/>
        </w:rPr>
        <w:t>, 2012 QCCLP 6375.</w:t>
      </w:r>
    </w:p>
  </w:footnote>
  <w:footnote w:id="15">
    <w:p w14:paraId="7CADD0FA" w14:textId="66400077" w:rsidR="004D371F" w:rsidRPr="003D71D6" w:rsidRDefault="004D371F" w:rsidP="004D371F">
      <w:pPr>
        <w:pStyle w:val="FootnoteText"/>
        <w:tabs>
          <w:tab w:val="left" w:pos="720"/>
        </w:tabs>
        <w:ind w:left="709" w:hanging="709"/>
        <w:jc w:val="both"/>
        <w:rPr>
          <w:sz w:val="20"/>
        </w:rPr>
      </w:pPr>
      <w:r w:rsidRPr="00F2484B">
        <w:rPr>
          <w:rStyle w:val="FootnoteReference"/>
          <w:szCs w:val="24"/>
        </w:rPr>
        <w:footnoteRef/>
      </w:r>
      <w:r w:rsidRPr="00F2484B">
        <w:rPr>
          <w:rStyle w:val="FootnoteReference"/>
          <w:szCs w:val="24"/>
        </w:rPr>
        <w:t xml:space="preserve"> </w:t>
      </w:r>
      <w:r w:rsidRPr="00F2484B">
        <w:rPr>
          <w:rFonts w:cs="Arial"/>
          <w:sz w:val="20"/>
        </w:rPr>
        <w:tab/>
      </w:r>
      <w:r w:rsidRPr="00F2484B">
        <w:rPr>
          <w:i/>
          <w:sz w:val="20"/>
        </w:rPr>
        <w:t xml:space="preserve">Bond </w:t>
      </w:r>
      <w:r w:rsidRPr="00F2484B">
        <w:rPr>
          <w:sz w:val="20"/>
        </w:rPr>
        <w:t xml:space="preserve">et </w:t>
      </w:r>
      <w:r w:rsidRPr="00F2484B">
        <w:rPr>
          <w:i/>
          <w:sz w:val="20"/>
        </w:rPr>
        <w:t>BG Checo inc.</w:t>
      </w:r>
      <w:r w:rsidRPr="00F2484B">
        <w:rPr>
          <w:sz w:val="20"/>
        </w:rPr>
        <w:t>,</w:t>
      </w:r>
      <w:r w:rsidR="00065151" w:rsidRPr="00F2484B">
        <w:rPr>
          <w:sz w:val="20"/>
        </w:rPr>
        <w:t xml:space="preserve"> C.L.P. 89401-63-9706, 21 juin 1999, M. Cuddihy</w:t>
      </w:r>
      <w:r w:rsidRPr="00F2484B">
        <w:rPr>
          <w:sz w:val="20"/>
        </w:rPr>
        <w:t xml:space="preserve">; </w:t>
      </w:r>
      <w:r w:rsidRPr="00F2484B">
        <w:rPr>
          <w:i/>
          <w:sz w:val="20"/>
        </w:rPr>
        <w:t xml:space="preserve">Durocher </w:t>
      </w:r>
      <w:r w:rsidRPr="00F2484B">
        <w:rPr>
          <w:sz w:val="20"/>
        </w:rPr>
        <w:t xml:space="preserve">et </w:t>
      </w:r>
      <w:r w:rsidRPr="00F2484B">
        <w:rPr>
          <w:i/>
          <w:sz w:val="20"/>
        </w:rPr>
        <w:t>Transforce</w:t>
      </w:r>
      <w:r w:rsidR="00C53FBE">
        <w:rPr>
          <w:i/>
          <w:sz w:val="20"/>
        </w:rPr>
        <w:t> </w:t>
      </w:r>
      <w:r w:rsidRPr="00F2484B">
        <w:rPr>
          <w:i/>
          <w:sz w:val="20"/>
        </w:rPr>
        <w:t>inc.</w:t>
      </w:r>
      <w:r w:rsidRPr="00F2484B">
        <w:rPr>
          <w:sz w:val="20"/>
        </w:rPr>
        <w:t xml:space="preserve">, </w:t>
      </w:r>
      <w:r w:rsidR="00065151" w:rsidRPr="00F2484B">
        <w:rPr>
          <w:sz w:val="20"/>
        </w:rPr>
        <w:t>C.L.P. 206402-64-0304, 25 août 2004, T. Demers</w:t>
      </w:r>
      <w:r w:rsidRPr="00F2484B">
        <w:rPr>
          <w:sz w:val="20"/>
        </w:rPr>
        <w:t>;</w:t>
      </w:r>
      <w:r w:rsidRPr="00F2484B">
        <w:rPr>
          <w:i/>
          <w:sz w:val="20"/>
        </w:rPr>
        <w:t xml:space="preserve"> Gravel</w:t>
      </w:r>
      <w:r w:rsidRPr="00A82DB1">
        <w:rPr>
          <w:i/>
          <w:sz w:val="20"/>
        </w:rPr>
        <w:t xml:space="preserve"> </w:t>
      </w:r>
      <w:r w:rsidRPr="00A82DB1">
        <w:rPr>
          <w:sz w:val="20"/>
        </w:rPr>
        <w:t xml:space="preserve">et </w:t>
      </w:r>
      <w:r w:rsidRPr="00A82DB1">
        <w:rPr>
          <w:i/>
          <w:sz w:val="20"/>
        </w:rPr>
        <w:t xml:space="preserve">Commission scolaire des Cascades </w:t>
      </w:r>
      <w:r>
        <w:rPr>
          <w:i/>
          <w:sz w:val="20"/>
        </w:rPr>
        <w:t>l</w:t>
      </w:r>
      <w:r w:rsidRPr="00A82DB1">
        <w:rPr>
          <w:i/>
          <w:sz w:val="20"/>
        </w:rPr>
        <w:t>’Achigan (F</w:t>
      </w:r>
      <w:r>
        <w:rPr>
          <w:i/>
          <w:sz w:val="20"/>
        </w:rPr>
        <w:t>ermée</w:t>
      </w:r>
      <w:r w:rsidRPr="00A82DB1">
        <w:rPr>
          <w:i/>
          <w:sz w:val="20"/>
        </w:rPr>
        <w:t>)</w:t>
      </w:r>
      <w:r w:rsidRPr="00A82DB1">
        <w:rPr>
          <w:sz w:val="20"/>
        </w:rPr>
        <w:t>, 2018 QCTAT 80.</w:t>
      </w:r>
    </w:p>
  </w:footnote>
  <w:footnote w:id="16">
    <w:p w14:paraId="3336F783" w14:textId="09AEBC11" w:rsidR="004D371F" w:rsidRPr="003E5A66" w:rsidRDefault="004D371F" w:rsidP="004D371F">
      <w:pPr>
        <w:pStyle w:val="FootnoteText"/>
        <w:tabs>
          <w:tab w:val="left" w:pos="720"/>
        </w:tabs>
        <w:ind w:left="720" w:hanging="720"/>
        <w:jc w:val="both"/>
        <w:rPr>
          <w:rFonts w:cs="Arial"/>
          <w:sz w:val="20"/>
        </w:rPr>
      </w:pPr>
      <w:r w:rsidRPr="003E5A66">
        <w:rPr>
          <w:rStyle w:val="FootnoteReference"/>
          <w:szCs w:val="24"/>
        </w:rPr>
        <w:footnoteRef/>
      </w:r>
      <w:r w:rsidRPr="003E5A66">
        <w:rPr>
          <w:sz w:val="20"/>
        </w:rPr>
        <w:t xml:space="preserve"> </w:t>
      </w:r>
      <w:r w:rsidRPr="003E5A66">
        <w:rPr>
          <w:rFonts w:cs="Arial"/>
          <w:sz w:val="20"/>
        </w:rPr>
        <w:tab/>
      </w:r>
      <w:r w:rsidR="00065151" w:rsidRPr="00A33357">
        <w:rPr>
          <w:rFonts w:cs="Arial"/>
          <w:sz w:val="20"/>
        </w:rPr>
        <w:t>RLRQ, c.S-2.1, r.13</w:t>
      </w:r>
      <w:r w:rsidRPr="00A33357">
        <w:rPr>
          <w:rFonts w:cs="Arial"/>
          <w:sz w:val="20"/>
        </w:rPr>
        <w:t>; voir à ce sujet :</w:t>
      </w:r>
      <w:r w:rsidRPr="00A33357">
        <w:rPr>
          <w:rFonts w:cs="Arial"/>
          <w:i/>
          <w:sz w:val="20"/>
        </w:rPr>
        <w:t xml:space="preserve"> Jalbert </w:t>
      </w:r>
      <w:r w:rsidRPr="00A33357">
        <w:rPr>
          <w:rFonts w:cs="Arial"/>
          <w:sz w:val="20"/>
        </w:rPr>
        <w:t>et</w:t>
      </w:r>
      <w:r w:rsidRPr="00A33357">
        <w:rPr>
          <w:rFonts w:cs="Arial"/>
          <w:i/>
          <w:sz w:val="20"/>
        </w:rPr>
        <w:t xml:space="preserve"> </w:t>
      </w:r>
      <w:r w:rsidR="00065151" w:rsidRPr="00A33357">
        <w:rPr>
          <w:rFonts w:cs="Arial"/>
          <w:i/>
          <w:sz w:val="20"/>
        </w:rPr>
        <w:t>Gaspé (</w:t>
      </w:r>
      <w:r w:rsidRPr="00A33357">
        <w:rPr>
          <w:rFonts w:cs="Arial"/>
          <w:i/>
          <w:sz w:val="20"/>
        </w:rPr>
        <w:t>Ville de</w:t>
      </w:r>
      <w:r w:rsidR="00065151" w:rsidRPr="00A33357">
        <w:rPr>
          <w:rFonts w:cs="Arial"/>
          <w:i/>
          <w:sz w:val="20"/>
        </w:rPr>
        <w:t>)</w:t>
      </w:r>
      <w:r w:rsidRPr="00A33357">
        <w:rPr>
          <w:rFonts w:cs="Arial"/>
          <w:sz w:val="20"/>
        </w:rPr>
        <w:t>,</w:t>
      </w:r>
      <w:r w:rsidRPr="00A33357">
        <w:rPr>
          <w:rFonts w:cs="Arial"/>
          <w:i/>
          <w:sz w:val="20"/>
        </w:rPr>
        <w:t xml:space="preserve"> </w:t>
      </w:r>
      <w:r w:rsidRPr="00A33357">
        <w:rPr>
          <w:rFonts w:cs="Arial"/>
          <w:sz w:val="20"/>
        </w:rPr>
        <w:t xml:space="preserve">2013 QCCLP 1916; </w:t>
      </w:r>
      <w:r w:rsidRPr="00A33357">
        <w:rPr>
          <w:rFonts w:cs="Arial"/>
          <w:i/>
          <w:sz w:val="20"/>
        </w:rPr>
        <w:t xml:space="preserve">Morissette </w:t>
      </w:r>
      <w:r w:rsidRPr="00A33357">
        <w:rPr>
          <w:rFonts w:cs="Arial"/>
          <w:sz w:val="20"/>
        </w:rPr>
        <w:t>et</w:t>
      </w:r>
      <w:r w:rsidRPr="00A33357">
        <w:rPr>
          <w:rFonts w:cs="Arial"/>
          <w:i/>
          <w:sz w:val="20"/>
        </w:rPr>
        <w:t xml:space="preserve"> Hydro-Québec</w:t>
      </w:r>
      <w:r w:rsidRPr="00A33357">
        <w:rPr>
          <w:rFonts w:cs="Arial"/>
          <w:sz w:val="20"/>
        </w:rPr>
        <w:t>, C.L.P. 293321</w:t>
      </w:r>
      <w:r>
        <w:rPr>
          <w:rFonts w:cs="Arial"/>
          <w:sz w:val="20"/>
        </w:rPr>
        <w:t>-71-0607, 4 mai 2007, M.</w:t>
      </w:r>
      <w:r w:rsidR="00CD4032">
        <w:rPr>
          <w:rFonts w:cs="Arial"/>
          <w:sz w:val="20"/>
        </w:rPr>
        <w:t> </w:t>
      </w:r>
      <w:r>
        <w:rPr>
          <w:rFonts w:cs="Arial"/>
          <w:sz w:val="20"/>
        </w:rPr>
        <w:t>Cuddihy.</w:t>
      </w:r>
    </w:p>
  </w:footnote>
  <w:footnote w:id="17">
    <w:p w14:paraId="5EC23D9F" w14:textId="6A1F4465" w:rsidR="004D371F" w:rsidRPr="003E5A66" w:rsidRDefault="004D371F" w:rsidP="004D371F">
      <w:pPr>
        <w:pStyle w:val="FootnoteText"/>
        <w:tabs>
          <w:tab w:val="left" w:pos="720"/>
        </w:tabs>
        <w:ind w:left="720" w:hanging="720"/>
        <w:jc w:val="both"/>
        <w:rPr>
          <w:rFonts w:cs="Arial"/>
          <w:sz w:val="20"/>
        </w:rPr>
      </w:pPr>
      <w:r w:rsidRPr="003E5A66">
        <w:rPr>
          <w:rStyle w:val="FootnoteReference"/>
          <w:szCs w:val="24"/>
        </w:rPr>
        <w:footnoteRef/>
      </w:r>
      <w:r w:rsidRPr="003E5A66">
        <w:rPr>
          <w:rStyle w:val="FootnoteReference"/>
          <w:szCs w:val="24"/>
        </w:rPr>
        <w:t xml:space="preserve"> </w:t>
      </w:r>
      <w:r w:rsidRPr="003E5A66">
        <w:rPr>
          <w:rFonts w:cs="Arial"/>
          <w:sz w:val="20"/>
        </w:rPr>
        <w:tab/>
      </w:r>
      <w:r w:rsidRPr="003E5A66">
        <w:rPr>
          <w:i/>
          <w:sz w:val="20"/>
        </w:rPr>
        <w:t xml:space="preserve">Commission scolaire des Navigateurs </w:t>
      </w:r>
      <w:r w:rsidRPr="003E5A66">
        <w:rPr>
          <w:sz w:val="20"/>
        </w:rPr>
        <w:t xml:space="preserve">et </w:t>
      </w:r>
      <w:r w:rsidRPr="003E5A66">
        <w:rPr>
          <w:i/>
          <w:sz w:val="20"/>
        </w:rPr>
        <w:t>Thibault</w:t>
      </w:r>
      <w:r w:rsidRPr="001D2262">
        <w:rPr>
          <w:sz w:val="20"/>
        </w:rPr>
        <w:t>,</w:t>
      </w:r>
      <w:r w:rsidR="00CD4032" w:rsidRPr="001D2262">
        <w:rPr>
          <w:sz w:val="20"/>
        </w:rPr>
        <w:t xml:space="preserve"> C.L.P. 180928-03B-0203, 16</w:t>
      </w:r>
      <w:r w:rsidR="000A2E93">
        <w:rPr>
          <w:sz w:val="20"/>
        </w:rPr>
        <w:t> </w:t>
      </w:r>
      <w:r w:rsidR="00CD4032" w:rsidRPr="001D2262">
        <w:rPr>
          <w:sz w:val="20"/>
        </w:rPr>
        <w:t>mai</w:t>
      </w:r>
      <w:r w:rsidR="000A2E93">
        <w:rPr>
          <w:sz w:val="20"/>
        </w:rPr>
        <w:t> </w:t>
      </w:r>
      <w:r w:rsidR="00CD4032" w:rsidRPr="001D2262">
        <w:rPr>
          <w:sz w:val="20"/>
        </w:rPr>
        <w:t>2003, G. Marquis</w:t>
      </w:r>
      <w:r w:rsidRPr="001D2262">
        <w:rPr>
          <w:sz w:val="20"/>
        </w:rPr>
        <w:t xml:space="preserve">; </w:t>
      </w:r>
      <w:r w:rsidRPr="001D2262">
        <w:rPr>
          <w:i/>
          <w:sz w:val="20"/>
        </w:rPr>
        <w:t xml:space="preserve">Commission scolaire de la Seigneurie-des-Mille-Îles </w:t>
      </w:r>
      <w:r w:rsidRPr="001D2262">
        <w:rPr>
          <w:sz w:val="20"/>
        </w:rPr>
        <w:t xml:space="preserve">et </w:t>
      </w:r>
      <w:r w:rsidRPr="001D2262">
        <w:rPr>
          <w:i/>
          <w:sz w:val="20"/>
        </w:rPr>
        <w:t>Trudeau</w:t>
      </w:r>
      <w:r w:rsidRPr="001D2262">
        <w:rPr>
          <w:sz w:val="20"/>
        </w:rPr>
        <w:t>, C.L.P. 218838</w:t>
      </w:r>
      <w:r w:rsidR="00BF04F6">
        <w:rPr>
          <w:sz w:val="20"/>
        </w:rPr>
        <w:noBreakHyphen/>
      </w:r>
      <w:r w:rsidRPr="001D2262">
        <w:rPr>
          <w:sz w:val="20"/>
        </w:rPr>
        <w:t>64</w:t>
      </w:r>
      <w:r w:rsidR="00BF04F6">
        <w:rPr>
          <w:sz w:val="20"/>
        </w:rPr>
        <w:noBreakHyphen/>
      </w:r>
      <w:r w:rsidRPr="001D2262">
        <w:rPr>
          <w:sz w:val="20"/>
        </w:rPr>
        <w:t>0310, 17 octobre 2005, R. Daniel.</w:t>
      </w:r>
    </w:p>
  </w:footnote>
  <w:footnote w:id="18">
    <w:p w14:paraId="5CC2DF37" w14:textId="77777777" w:rsidR="004D371F" w:rsidRPr="003E5A66" w:rsidRDefault="004D371F" w:rsidP="004D371F">
      <w:pPr>
        <w:pStyle w:val="FootnoteText"/>
        <w:tabs>
          <w:tab w:val="left" w:pos="720"/>
        </w:tabs>
        <w:ind w:left="720" w:hanging="720"/>
        <w:jc w:val="both"/>
        <w:rPr>
          <w:rFonts w:cs="Arial"/>
          <w:sz w:val="20"/>
        </w:rPr>
      </w:pPr>
      <w:r w:rsidRPr="003E5A66">
        <w:rPr>
          <w:rStyle w:val="FootnoteReference"/>
          <w:szCs w:val="24"/>
        </w:rPr>
        <w:footnoteRef/>
      </w:r>
      <w:r w:rsidRPr="003E5A66">
        <w:rPr>
          <w:rStyle w:val="FootnoteReference"/>
          <w:szCs w:val="24"/>
        </w:rPr>
        <w:t xml:space="preserve"> </w:t>
      </w:r>
      <w:r w:rsidRPr="003E5A66">
        <w:rPr>
          <w:rFonts w:cs="Arial"/>
          <w:sz w:val="20"/>
        </w:rPr>
        <w:tab/>
      </w:r>
      <w:r w:rsidRPr="003E5A66">
        <w:rPr>
          <w:rFonts w:cs="Arial"/>
          <w:i/>
          <w:sz w:val="20"/>
        </w:rPr>
        <w:t>Leblanc</w:t>
      </w:r>
      <w:r w:rsidRPr="003E5A66">
        <w:rPr>
          <w:rFonts w:cs="Arial"/>
          <w:sz w:val="20"/>
        </w:rPr>
        <w:t>, 2013 QCCLP 5060.</w:t>
      </w:r>
    </w:p>
  </w:footnote>
  <w:footnote w:id="19">
    <w:p w14:paraId="33EC13F5" w14:textId="5D5FD7E4" w:rsidR="00A45853" w:rsidRPr="007243E4" w:rsidRDefault="00A45853" w:rsidP="00A45853">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E90015">
        <w:rPr>
          <w:rFonts w:cs="Arial"/>
          <w:i/>
          <w:iCs/>
          <w:sz w:val="20"/>
        </w:rPr>
        <w:t>Ferland</w:t>
      </w:r>
      <w:r>
        <w:rPr>
          <w:rFonts w:cs="Arial"/>
          <w:sz w:val="20"/>
        </w:rPr>
        <w:t xml:space="preserve"> et </w:t>
      </w:r>
      <w:r w:rsidRPr="00E90015">
        <w:rPr>
          <w:rFonts w:cs="Arial"/>
          <w:i/>
          <w:iCs/>
          <w:sz w:val="20"/>
        </w:rPr>
        <w:t>Brasserie O’Keef</w:t>
      </w:r>
      <w:r w:rsidR="001D2262">
        <w:rPr>
          <w:rFonts w:cs="Arial"/>
          <w:i/>
          <w:iCs/>
          <w:sz w:val="20"/>
        </w:rPr>
        <w:t>e</w:t>
      </w:r>
      <w:r>
        <w:rPr>
          <w:rFonts w:cs="Arial"/>
          <w:sz w:val="20"/>
        </w:rPr>
        <w:t>., C.L.P. 369272-62B-0901, 20</w:t>
      </w:r>
      <w:r w:rsidR="0067456D">
        <w:rPr>
          <w:rFonts w:cs="Arial"/>
          <w:sz w:val="20"/>
        </w:rPr>
        <w:t> </w:t>
      </w:r>
      <w:r>
        <w:rPr>
          <w:rFonts w:cs="Arial"/>
          <w:sz w:val="20"/>
        </w:rPr>
        <w:t>octobre</w:t>
      </w:r>
      <w:r w:rsidR="0067456D">
        <w:rPr>
          <w:rFonts w:cs="Arial"/>
          <w:sz w:val="20"/>
        </w:rPr>
        <w:t> </w:t>
      </w:r>
      <w:r>
        <w:rPr>
          <w:rFonts w:cs="Arial"/>
          <w:sz w:val="20"/>
        </w:rPr>
        <w:t>2009, M.</w:t>
      </w:r>
      <w:r w:rsidR="0067456D">
        <w:rPr>
          <w:rFonts w:cs="Arial"/>
          <w:sz w:val="20"/>
        </w:rPr>
        <w:t> </w:t>
      </w:r>
      <w:r>
        <w:rPr>
          <w:rFonts w:cs="Arial"/>
          <w:sz w:val="20"/>
        </w:rPr>
        <w:t xml:space="preserve">Watkins; </w:t>
      </w:r>
      <w:r w:rsidRPr="00E90015">
        <w:rPr>
          <w:rFonts w:cs="Arial"/>
          <w:i/>
          <w:iCs/>
          <w:sz w:val="20"/>
        </w:rPr>
        <w:t>Corporation ambulancière Beauce inc</w:t>
      </w:r>
      <w:r>
        <w:rPr>
          <w:rFonts w:cs="Arial"/>
          <w:sz w:val="20"/>
        </w:rPr>
        <w:t xml:space="preserve">., 2012 QCCLP 1796; </w:t>
      </w:r>
      <w:r w:rsidRPr="00E90015">
        <w:rPr>
          <w:rFonts w:cs="Arial"/>
          <w:i/>
          <w:iCs/>
          <w:sz w:val="20"/>
        </w:rPr>
        <w:t>Poisson</w:t>
      </w:r>
      <w:r>
        <w:rPr>
          <w:rFonts w:cs="Arial"/>
          <w:sz w:val="20"/>
        </w:rPr>
        <w:t xml:space="preserve"> et </w:t>
      </w:r>
      <w:r w:rsidRPr="00E90015">
        <w:rPr>
          <w:rFonts w:cs="Arial"/>
          <w:i/>
          <w:iCs/>
          <w:sz w:val="20"/>
        </w:rPr>
        <w:t>Ville de Terrebonne</w:t>
      </w:r>
      <w:r>
        <w:rPr>
          <w:rFonts w:cs="Arial"/>
          <w:sz w:val="20"/>
        </w:rPr>
        <w:t xml:space="preserve">, 2018 QCTAT 502; </w:t>
      </w:r>
      <w:r w:rsidRPr="006D04DE">
        <w:rPr>
          <w:rFonts w:cs="Arial"/>
          <w:i/>
          <w:iCs/>
          <w:sz w:val="20"/>
        </w:rPr>
        <w:t>Bédard</w:t>
      </w:r>
      <w:r>
        <w:rPr>
          <w:rFonts w:cs="Arial"/>
          <w:sz w:val="20"/>
        </w:rPr>
        <w:t xml:space="preserve"> et </w:t>
      </w:r>
      <w:r w:rsidRPr="006D04DE">
        <w:rPr>
          <w:rFonts w:cs="Arial"/>
          <w:i/>
          <w:iCs/>
          <w:sz w:val="20"/>
        </w:rPr>
        <w:t>Ministère des Forêts, de la Faune et des Parcs,</w:t>
      </w:r>
      <w:r>
        <w:rPr>
          <w:rFonts w:cs="Arial"/>
          <w:sz w:val="20"/>
        </w:rPr>
        <w:t xml:space="preserve"> 2024 QCTAT 412; </w:t>
      </w:r>
      <w:r w:rsidRPr="00131419">
        <w:rPr>
          <w:rFonts w:cs="Arial"/>
          <w:i/>
          <w:iCs/>
          <w:sz w:val="20"/>
        </w:rPr>
        <w:t>Re</w:t>
      </w:r>
      <w:r w:rsidR="0067456D">
        <w:rPr>
          <w:rFonts w:cs="Arial"/>
          <w:i/>
          <w:iCs/>
          <w:sz w:val="20"/>
        </w:rPr>
        <w:t>g</w:t>
      </w:r>
      <w:r w:rsidRPr="00131419">
        <w:rPr>
          <w:rFonts w:cs="Arial"/>
          <w:i/>
          <w:iCs/>
          <w:sz w:val="20"/>
        </w:rPr>
        <w:t>ueir</w:t>
      </w:r>
      <w:r>
        <w:rPr>
          <w:rFonts w:cs="Arial"/>
          <w:i/>
          <w:iCs/>
          <w:sz w:val="20"/>
        </w:rPr>
        <w:t>o</w:t>
      </w:r>
      <w:r w:rsidRPr="00131419">
        <w:rPr>
          <w:rFonts w:cs="Arial"/>
          <w:i/>
          <w:iCs/>
          <w:sz w:val="20"/>
        </w:rPr>
        <w:t xml:space="preserve">-Arias </w:t>
      </w:r>
      <w:r>
        <w:rPr>
          <w:rFonts w:cs="Arial"/>
          <w:sz w:val="20"/>
        </w:rPr>
        <w:t xml:space="preserve">et </w:t>
      </w:r>
      <w:r w:rsidRPr="00131419">
        <w:rPr>
          <w:rFonts w:cs="Arial"/>
          <w:i/>
          <w:iCs/>
          <w:sz w:val="20"/>
        </w:rPr>
        <w:t>Restaurant Café Bar Trattoria Bel Mondo</w:t>
      </w:r>
      <w:r>
        <w:rPr>
          <w:rFonts w:cs="Arial"/>
          <w:i/>
          <w:iCs/>
          <w:sz w:val="20"/>
        </w:rPr>
        <w:t xml:space="preserve">, </w:t>
      </w:r>
      <w:r>
        <w:rPr>
          <w:rFonts w:cs="Arial"/>
          <w:sz w:val="20"/>
        </w:rPr>
        <w:t>2023 QCTAT 1142.</w:t>
      </w:r>
    </w:p>
  </w:footnote>
  <w:footnote w:id="20">
    <w:p w14:paraId="00B53884" w14:textId="7435AC5D" w:rsidR="00131419" w:rsidRPr="00131419" w:rsidRDefault="00131419" w:rsidP="00131419">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131419">
        <w:rPr>
          <w:rFonts w:cs="Arial"/>
          <w:i/>
          <w:iCs/>
          <w:sz w:val="20"/>
        </w:rPr>
        <w:t>Re</w:t>
      </w:r>
      <w:r w:rsidR="0067456D">
        <w:rPr>
          <w:rFonts w:cs="Arial"/>
          <w:i/>
          <w:iCs/>
          <w:sz w:val="20"/>
        </w:rPr>
        <w:t>g</w:t>
      </w:r>
      <w:r w:rsidRPr="00131419">
        <w:rPr>
          <w:rFonts w:cs="Arial"/>
          <w:i/>
          <w:iCs/>
          <w:sz w:val="20"/>
        </w:rPr>
        <w:t>ueir</w:t>
      </w:r>
      <w:r>
        <w:rPr>
          <w:rFonts w:cs="Arial"/>
          <w:i/>
          <w:iCs/>
          <w:sz w:val="20"/>
        </w:rPr>
        <w:t>o</w:t>
      </w:r>
      <w:r w:rsidRPr="00131419">
        <w:rPr>
          <w:rFonts w:cs="Arial"/>
          <w:i/>
          <w:iCs/>
          <w:sz w:val="20"/>
        </w:rPr>
        <w:t xml:space="preserve">-Arias </w:t>
      </w:r>
      <w:r>
        <w:rPr>
          <w:rFonts w:cs="Arial"/>
          <w:sz w:val="20"/>
        </w:rPr>
        <w:t xml:space="preserve">et </w:t>
      </w:r>
      <w:r w:rsidRPr="00131419">
        <w:rPr>
          <w:rFonts w:cs="Arial"/>
          <w:i/>
          <w:iCs/>
          <w:sz w:val="20"/>
        </w:rPr>
        <w:t>Restaurant Café Bar Trattoria Bel Mondo,</w:t>
      </w:r>
      <w:r>
        <w:rPr>
          <w:rFonts w:cs="Arial"/>
          <w:sz w:val="20"/>
        </w:rPr>
        <w:t xml:space="preserve"> </w:t>
      </w:r>
      <w:r w:rsidR="00A45853">
        <w:rPr>
          <w:rFonts w:cs="Arial"/>
          <w:sz w:val="20"/>
        </w:rPr>
        <w:t>précitée, note 1</w:t>
      </w:r>
      <w:r w:rsidR="006D04DE">
        <w:rPr>
          <w:rFonts w:cs="Arial"/>
          <w:sz w:val="20"/>
        </w:rPr>
        <w:t>9</w:t>
      </w:r>
      <w:r>
        <w:rPr>
          <w:rFonts w:cs="Arial"/>
          <w:sz w:val="20"/>
        </w:rPr>
        <w:t>.</w:t>
      </w:r>
    </w:p>
  </w:footnote>
  <w:footnote w:id="21">
    <w:p w14:paraId="1B076463" w14:textId="77777777" w:rsidR="00131419" w:rsidRPr="00193A5F" w:rsidRDefault="00131419" w:rsidP="00131419">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2019 QCTAT 2135.</w:t>
      </w:r>
    </w:p>
  </w:footnote>
  <w:footnote w:id="22">
    <w:p w14:paraId="528E53F1" w14:textId="06BFEF05" w:rsidR="00063CA6" w:rsidRPr="00063CA6" w:rsidRDefault="00063CA6" w:rsidP="00063CA6">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00F8623C">
        <w:rPr>
          <w:rFonts w:cs="Arial"/>
          <w:sz w:val="20"/>
        </w:rPr>
        <w:t xml:space="preserve">Voir le </w:t>
      </w:r>
      <w:r w:rsidR="00F8623C" w:rsidRPr="00F8623C">
        <w:rPr>
          <w:rFonts w:cs="Arial"/>
          <w:i/>
          <w:iCs/>
          <w:sz w:val="20"/>
        </w:rPr>
        <w:t xml:space="preserve">Rapport </w:t>
      </w:r>
      <w:r w:rsidR="00DA127E">
        <w:rPr>
          <w:rFonts w:cs="Arial"/>
          <w:i/>
          <w:iCs/>
          <w:sz w:val="20"/>
        </w:rPr>
        <w:t>s</w:t>
      </w:r>
      <w:r w:rsidR="00F8623C" w:rsidRPr="00F8623C">
        <w:rPr>
          <w:rFonts w:cs="Arial"/>
          <w:i/>
          <w:iCs/>
          <w:sz w:val="20"/>
        </w:rPr>
        <w:t>ommaire des Salaires</w:t>
      </w:r>
      <w:r w:rsidR="00F8623C">
        <w:rPr>
          <w:rFonts w:cs="Arial"/>
          <w:sz w:val="20"/>
        </w:rPr>
        <w:t xml:space="preserve"> </w:t>
      </w:r>
      <w:r w:rsidR="00BF04F6">
        <w:rPr>
          <w:rFonts w:cs="Arial"/>
          <w:sz w:val="20"/>
        </w:rPr>
        <w:t>d’</w:t>
      </w:r>
      <w:r w:rsidR="00F8623C">
        <w:rPr>
          <w:rFonts w:cs="Arial"/>
          <w:sz w:val="20"/>
        </w:rPr>
        <w:t>Urgences Bois-Francs inc. pour la période du 2004</w:t>
      </w:r>
      <w:r w:rsidR="00BF04F6">
        <w:rPr>
          <w:rFonts w:cs="Arial"/>
          <w:sz w:val="20"/>
        </w:rPr>
        <w:noBreakHyphen/>
      </w:r>
      <w:r w:rsidR="00F8623C">
        <w:rPr>
          <w:rFonts w:cs="Arial"/>
          <w:sz w:val="20"/>
        </w:rPr>
        <w:t>01</w:t>
      </w:r>
      <w:r w:rsidR="00BF04F6">
        <w:rPr>
          <w:rFonts w:cs="Arial"/>
          <w:sz w:val="20"/>
        </w:rPr>
        <w:noBreakHyphen/>
      </w:r>
      <w:r w:rsidR="00F8623C">
        <w:rPr>
          <w:rFonts w:cs="Arial"/>
          <w:sz w:val="20"/>
        </w:rPr>
        <w:t>01 au 2023</w:t>
      </w:r>
      <w:r w:rsidR="00DA127E">
        <w:rPr>
          <w:rFonts w:cs="Arial"/>
          <w:sz w:val="20"/>
        </w:rPr>
        <w:noBreakHyphen/>
      </w:r>
      <w:r w:rsidR="00F8623C">
        <w:rPr>
          <w:rFonts w:cs="Arial"/>
          <w:sz w:val="20"/>
        </w:rPr>
        <w:t>12</w:t>
      </w:r>
      <w:r w:rsidR="00DA127E">
        <w:rPr>
          <w:rFonts w:cs="Arial"/>
          <w:sz w:val="20"/>
        </w:rPr>
        <w:noBreakHyphen/>
      </w:r>
      <w:r w:rsidR="00F8623C">
        <w:rPr>
          <w:rFonts w:cs="Arial"/>
          <w:sz w:val="20"/>
        </w:rPr>
        <w:t>31.</w:t>
      </w:r>
    </w:p>
  </w:footnote>
  <w:footnote w:id="23">
    <w:p w14:paraId="3003C728" w14:textId="465F2233" w:rsidR="00FA7890" w:rsidRPr="00FA7890" w:rsidRDefault="00FA7890" w:rsidP="00FA7890">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FA7890">
        <w:rPr>
          <w:rFonts w:cs="Arial"/>
          <w:i/>
          <w:iCs/>
          <w:sz w:val="20"/>
        </w:rPr>
        <w:t>Salvatore</w:t>
      </w:r>
      <w:r>
        <w:rPr>
          <w:rFonts w:cs="Arial"/>
          <w:sz w:val="20"/>
        </w:rPr>
        <w:t xml:space="preserve"> et </w:t>
      </w:r>
      <w:r w:rsidRPr="00FA7890">
        <w:rPr>
          <w:rFonts w:cs="Arial"/>
          <w:i/>
          <w:iCs/>
          <w:sz w:val="20"/>
        </w:rPr>
        <w:t>Piquage Canada CQ ltée</w:t>
      </w:r>
      <w:r w:rsidRPr="00745E07">
        <w:rPr>
          <w:rFonts w:cs="Arial"/>
          <w:sz w:val="20"/>
        </w:rPr>
        <w:t xml:space="preserve">, </w:t>
      </w:r>
      <w:r>
        <w:rPr>
          <w:rFonts w:cs="Arial"/>
          <w:sz w:val="20"/>
        </w:rPr>
        <w:t xml:space="preserve">2011 QCCLP 6471; </w:t>
      </w:r>
      <w:r w:rsidRPr="00FA7890">
        <w:rPr>
          <w:rFonts w:cs="Arial"/>
          <w:i/>
          <w:iCs/>
          <w:sz w:val="20"/>
        </w:rPr>
        <w:t>Baie Transport inc</w:t>
      </w:r>
      <w:r>
        <w:rPr>
          <w:rFonts w:cs="Arial"/>
          <w:sz w:val="20"/>
        </w:rPr>
        <w:t xml:space="preserve">. et </w:t>
      </w:r>
      <w:r w:rsidRPr="00FA7890">
        <w:rPr>
          <w:rFonts w:cs="Arial"/>
          <w:i/>
          <w:iCs/>
          <w:sz w:val="20"/>
        </w:rPr>
        <w:t>Chartrand</w:t>
      </w:r>
      <w:r>
        <w:rPr>
          <w:rFonts w:cs="Arial"/>
          <w:sz w:val="20"/>
        </w:rPr>
        <w:t>, 2015 QCCLP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A02529" w14:paraId="47FE8CC9" w14:textId="77777777" w:rsidTr="009B010C">
      <w:tc>
        <w:tcPr>
          <w:tcW w:w="8730" w:type="dxa"/>
        </w:tcPr>
        <w:p w14:paraId="338AA3F5" w14:textId="77777777" w:rsidR="00A02529" w:rsidRDefault="00A02529">
          <w:pPr>
            <w:pStyle w:val="Header"/>
            <w:ind w:left="-90"/>
          </w:pPr>
        </w:p>
      </w:tc>
      <w:tc>
        <w:tcPr>
          <w:tcW w:w="860" w:type="dxa"/>
        </w:tcPr>
        <w:p w14:paraId="68C0D028" w14:textId="77777777" w:rsidR="00A02529" w:rsidRDefault="00A02529">
          <w:pPr>
            <w:pStyle w:val="Header"/>
            <w:ind w:left="-90"/>
          </w:pPr>
        </w:p>
      </w:tc>
    </w:tr>
    <w:tr w:rsidR="009B010C" w14:paraId="3CDCC000" w14:textId="77777777" w:rsidTr="009B010C">
      <w:tc>
        <w:tcPr>
          <w:tcW w:w="8730" w:type="dxa"/>
        </w:tcPr>
        <w:p w14:paraId="0B6BD756" w14:textId="7B4B9B6C" w:rsidR="009B010C" w:rsidRDefault="009B010C" w:rsidP="009B010C">
          <w:r>
            <w:t>1271839-04B-2204</w:t>
          </w:r>
        </w:p>
      </w:tc>
      <w:tc>
        <w:tcPr>
          <w:tcW w:w="860" w:type="dxa"/>
        </w:tcPr>
        <w:p w14:paraId="4330A953" w14:textId="77777777" w:rsidR="009B010C" w:rsidRDefault="009B010C" w:rsidP="009B010C">
          <w:pPr>
            <w:pStyle w:val="Header"/>
            <w:ind w:left="-9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BF7156">
            <w:rPr>
              <w:rStyle w:val="PageNumber"/>
              <w:noProof/>
            </w:rPr>
            <w:t>3</w:t>
          </w:r>
          <w:r>
            <w:rPr>
              <w:rStyle w:val="PageNumber"/>
            </w:rPr>
            <w:fldChar w:fldCharType="end"/>
          </w:r>
        </w:p>
      </w:tc>
    </w:tr>
    <w:tr w:rsidR="009B010C" w14:paraId="7F383496" w14:textId="77777777" w:rsidTr="009B010C">
      <w:tc>
        <w:tcPr>
          <w:tcW w:w="8730" w:type="dxa"/>
        </w:tcPr>
        <w:p w14:paraId="7BBE9A96" w14:textId="77777777" w:rsidR="009B010C" w:rsidRDefault="009B010C" w:rsidP="009B010C"/>
      </w:tc>
      <w:tc>
        <w:tcPr>
          <w:tcW w:w="860" w:type="dxa"/>
        </w:tcPr>
        <w:p w14:paraId="5A3D5D7C" w14:textId="77777777" w:rsidR="009B010C" w:rsidRDefault="009B010C" w:rsidP="009B010C">
          <w:pPr>
            <w:pStyle w:val="Header"/>
            <w:ind w:left="-90"/>
            <w:jc w:val="right"/>
          </w:pPr>
        </w:p>
      </w:tc>
    </w:tr>
  </w:tbl>
  <w:p w14:paraId="2A4656D4" w14:textId="77777777" w:rsidR="00A02529" w:rsidRDefault="00A0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426F4"/>
    <w:multiLevelType w:val="hybridMultilevel"/>
    <w:tmpl w:val="2976EE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01905C3"/>
    <w:multiLevelType w:val="hybridMultilevel"/>
    <w:tmpl w:val="4B2AF082"/>
    <w:lvl w:ilvl="0" w:tplc="0C0C0001">
      <w:start w:val="1"/>
      <w:numFmt w:val="bullet"/>
      <w:lvlText w:val=""/>
      <w:lvlJc w:val="left"/>
      <w:pPr>
        <w:ind w:left="720" w:hanging="360"/>
      </w:pPr>
      <w:rPr>
        <w:rFonts w:ascii="Symbol" w:hAnsi="Symbol" w:hint="default"/>
      </w:rPr>
    </w:lvl>
    <w:lvl w:ilvl="1" w:tplc="7548DF42">
      <w:numFmt w:val="bullet"/>
      <w:lvlText w:val="•"/>
      <w:lvlJc w:val="left"/>
      <w:pPr>
        <w:ind w:left="1440" w:hanging="360"/>
      </w:pPr>
      <w:rPr>
        <w:rFonts w:ascii="Arial" w:eastAsia="Times New Roman" w:hAnsi="Arial"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E073851"/>
    <w:multiLevelType w:val="hybridMultilevel"/>
    <w:tmpl w:val="A81A6012"/>
    <w:lvl w:ilvl="0" w:tplc="1CD2186A">
      <w:start w:val="13"/>
      <w:numFmt w:val="bullet"/>
      <w:lvlText w:val=""/>
      <w:lvlJc w:val="left"/>
      <w:pPr>
        <w:ind w:left="720" w:hanging="360"/>
      </w:pPr>
      <w:rPr>
        <w:rFonts w:ascii="Symbol" w:eastAsia="Times New Roman" w:hAnsi="Symbol" w:cs="Times New Roman"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7F80E01"/>
    <w:multiLevelType w:val="hybridMultilevel"/>
    <w:tmpl w:val="FC38817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8"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1814906346">
    <w:abstractNumId w:val="7"/>
  </w:num>
  <w:num w:numId="2" w16cid:durableId="1853838996">
    <w:abstractNumId w:val="6"/>
  </w:num>
  <w:num w:numId="3" w16cid:durableId="1144271207">
    <w:abstractNumId w:val="5"/>
  </w:num>
  <w:num w:numId="4" w16cid:durableId="659695987">
    <w:abstractNumId w:val="4"/>
  </w:num>
  <w:num w:numId="5" w16cid:durableId="1391611589">
    <w:abstractNumId w:val="8"/>
  </w:num>
  <w:num w:numId="6" w16cid:durableId="1954088010">
    <w:abstractNumId w:val="8"/>
  </w:num>
  <w:num w:numId="7" w16cid:durableId="287863011">
    <w:abstractNumId w:val="3"/>
  </w:num>
  <w:num w:numId="8" w16cid:durableId="1673683931">
    <w:abstractNumId w:val="1"/>
  </w:num>
  <w:num w:numId="9" w16cid:durableId="923607089">
    <w:abstractNumId w:val="0"/>
  </w:num>
  <w:num w:numId="10" w16cid:durableId="353921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1F"/>
    <w:rsid w:val="000034B0"/>
    <w:rsid w:val="000041A1"/>
    <w:rsid w:val="00020582"/>
    <w:rsid w:val="00021B30"/>
    <w:rsid w:val="00021E4C"/>
    <w:rsid w:val="00021E61"/>
    <w:rsid w:val="00022556"/>
    <w:rsid w:val="000366EC"/>
    <w:rsid w:val="00036B78"/>
    <w:rsid w:val="00043E4D"/>
    <w:rsid w:val="00056393"/>
    <w:rsid w:val="00063CA6"/>
    <w:rsid w:val="00064B34"/>
    <w:rsid w:val="00065151"/>
    <w:rsid w:val="00070EEB"/>
    <w:rsid w:val="0007225E"/>
    <w:rsid w:val="00076D81"/>
    <w:rsid w:val="0008378A"/>
    <w:rsid w:val="0008784D"/>
    <w:rsid w:val="00090018"/>
    <w:rsid w:val="00090306"/>
    <w:rsid w:val="00093ACD"/>
    <w:rsid w:val="00095814"/>
    <w:rsid w:val="00097D81"/>
    <w:rsid w:val="000A2E93"/>
    <w:rsid w:val="000A4AD0"/>
    <w:rsid w:val="000A7474"/>
    <w:rsid w:val="000A77C5"/>
    <w:rsid w:val="000B6AD4"/>
    <w:rsid w:val="000B7F1B"/>
    <w:rsid w:val="000C1CA0"/>
    <w:rsid w:val="000D3948"/>
    <w:rsid w:val="000E0C28"/>
    <w:rsid w:val="000E1320"/>
    <w:rsid w:val="000E56A6"/>
    <w:rsid w:val="000F3423"/>
    <w:rsid w:val="001050B4"/>
    <w:rsid w:val="0012224D"/>
    <w:rsid w:val="001225BC"/>
    <w:rsid w:val="00122A9E"/>
    <w:rsid w:val="0012326A"/>
    <w:rsid w:val="001237B2"/>
    <w:rsid w:val="00131419"/>
    <w:rsid w:val="00133B92"/>
    <w:rsid w:val="001407FC"/>
    <w:rsid w:val="00144207"/>
    <w:rsid w:val="00147A49"/>
    <w:rsid w:val="00147B8B"/>
    <w:rsid w:val="0015125A"/>
    <w:rsid w:val="0015167D"/>
    <w:rsid w:val="00152464"/>
    <w:rsid w:val="00154C25"/>
    <w:rsid w:val="0015539F"/>
    <w:rsid w:val="00160597"/>
    <w:rsid w:val="001664C8"/>
    <w:rsid w:val="00167AD0"/>
    <w:rsid w:val="00170409"/>
    <w:rsid w:val="00173184"/>
    <w:rsid w:val="00174B5E"/>
    <w:rsid w:val="00175079"/>
    <w:rsid w:val="00183515"/>
    <w:rsid w:val="00186226"/>
    <w:rsid w:val="001A03BE"/>
    <w:rsid w:val="001A067E"/>
    <w:rsid w:val="001A1AA5"/>
    <w:rsid w:val="001A2900"/>
    <w:rsid w:val="001A4081"/>
    <w:rsid w:val="001A65F1"/>
    <w:rsid w:val="001A706D"/>
    <w:rsid w:val="001B2B40"/>
    <w:rsid w:val="001B3E9D"/>
    <w:rsid w:val="001B4783"/>
    <w:rsid w:val="001B4A40"/>
    <w:rsid w:val="001C2B0B"/>
    <w:rsid w:val="001D2262"/>
    <w:rsid w:val="001E0F3A"/>
    <w:rsid w:val="001E7640"/>
    <w:rsid w:val="001F7B8C"/>
    <w:rsid w:val="00227040"/>
    <w:rsid w:val="00230CFC"/>
    <w:rsid w:val="00231C1D"/>
    <w:rsid w:val="0023367F"/>
    <w:rsid w:val="00241CED"/>
    <w:rsid w:val="00242FB4"/>
    <w:rsid w:val="00245605"/>
    <w:rsid w:val="002563F0"/>
    <w:rsid w:val="00266064"/>
    <w:rsid w:val="00267C8D"/>
    <w:rsid w:val="002701DD"/>
    <w:rsid w:val="002769B5"/>
    <w:rsid w:val="00276B59"/>
    <w:rsid w:val="00281319"/>
    <w:rsid w:val="00286149"/>
    <w:rsid w:val="0028668D"/>
    <w:rsid w:val="00290289"/>
    <w:rsid w:val="002908AB"/>
    <w:rsid w:val="00296645"/>
    <w:rsid w:val="00296A4B"/>
    <w:rsid w:val="00297284"/>
    <w:rsid w:val="002A0077"/>
    <w:rsid w:val="002A374B"/>
    <w:rsid w:val="002A73E9"/>
    <w:rsid w:val="002B2FC3"/>
    <w:rsid w:val="002B35F0"/>
    <w:rsid w:val="002B58AF"/>
    <w:rsid w:val="002C1DC5"/>
    <w:rsid w:val="002C3748"/>
    <w:rsid w:val="002C5E89"/>
    <w:rsid w:val="002D71A9"/>
    <w:rsid w:val="002E6805"/>
    <w:rsid w:val="002F7507"/>
    <w:rsid w:val="00302FB4"/>
    <w:rsid w:val="00305273"/>
    <w:rsid w:val="003057FC"/>
    <w:rsid w:val="00307C85"/>
    <w:rsid w:val="00312983"/>
    <w:rsid w:val="003248CB"/>
    <w:rsid w:val="00331EA7"/>
    <w:rsid w:val="003332B8"/>
    <w:rsid w:val="00344465"/>
    <w:rsid w:val="0034740A"/>
    <w:rsid w:val="0035375B"/>
    <w:rsid w:val="003664E9"/>
    <w:rsid w:val="00366D1E"/>
    <w:rsid w:val="00367301"/>
    <w:rsid w:val="00373777"/>
    <w:rsid w:val="00373EE5"/>
    <w:rsid w:val="003817E7"/>
    <w:rsid w:val="00382E55"/>
    <w:rsid w:val="003961B2"/>
    <w:rsid w:val="003A41AD"/>
    <w:rsid w:val="003B152B"/>
    <w:rsid w:val="003B1734"/>
    <w:rsid w:val="003B1735"/>
    <w:rsid w:val="003B63DC"/>
    <w:rsid w:val="003B6CBF"/>
    <w:rsid w:val="003C47A7"/>
    <w:rsid w:val="003D0826"/>
    <w:rsid w:val="003D3912"/>
    <w:rsid w:val="003D3C93"/>
    <w:rsid w:val="003E00D5"/>
    <w:rsid w:val="003E02BA"/>
    <w:rsid w:val="003F7F38"/>
    <w:rsid w:val="004006BE"/>
    <w:rsid w:val="004024F2"/>
    <w:rsid w:val="0040399B"/>
    <w:rsid w:val="00406F0C"/>
    <w:rsid w:val="00412585"/>
    <w:rsid w:val="0041363B"/>
    <w:rsid w:val="00415D5D"/>
    <w:rsid w:val="0042650F"/>
    <w:rsid w:val="00431E0B"/>
    <w:rsid w:val="004337FE"/>
    <w:rsid w:val="00433E98"/>
    <w:rsid w:val="0043434B"/>
    <w:rsid w:val="00435738"/>
    <w:rsid w:val="00437137"/>
    <w:rsid w:val="00437F2B"/>
    <w:rsid w:val="004403B8"/>
    <w:rsid w:val="00441ADA"/>
    <w:rsid w:val="00441C3C"/>
    <w:rsid w:val="0044371C"/>
    <w:rsid w:val="0044627E"/>
    <w:rsid w:val="0045114F"/>
    <w:rsid w:val="004529D3"/>
    <w:rsid w:val="00453F31"/>
    <w:rsid w:val="00456B0C"/>
    <w:rsid w:val="00456EBF"/>
    <w:rsid w:val="0046538B"/>
    <w:rsid w:val="00471C92"/>
    <w:rsid w:val="004739AC"/>
    <w:rsid w:val="00473E36"/>
    <w:rsid w:val="00475FEF"/>
    <w:rsid w:val="0047776F"/>
    <w:rsid w:val="004870EA"/>
    <w:rsid w:val="00487F13"/>
    <w:rsid w:val="00496193"/>
    <w:rsid w:val="004A02AF"/>
    <w:rsid w:val="004A20A6"/>
    <w:rsid w:val="004A679B"/>
    <w:rsid w:val="004C0FB4"/>
    <w:rsid w:val="004C1811"/>
    <w:rsid w:val="004C4555"/>
    <w:rsid w:val="004D371F"/>
    <w:rsid w:val="004D6CEA"/>
    <w:rsid w:val="004E080B"/>
    <w:rsid w:val="004E3564"/>
    <w:rsid w:val="004E51C0"/>
    <w:rsid w:val="004E64BE"/>
    <w:rsid w:val="00503B8D"/>
    <w:rsid w:val="00503EE3"/>
    <w:rsid w:val="00505811"/>
    <w:rsid w:val="00515DE7"/>
    <w:rsid w:val="00517EB0"/>
    <w:rsid w:val="005205CB"/>
    <w:rsid w:val="00527FFC"/>
    <w:rsid w:val="005352F1"/>
    <w:rsid w:val="00540094"/>
    <w:rsid w:val="00545CFF"/>
    <w:rsid w:val="00555800"/>
    <w:rsid w:val="00556DBB"/>
    <w:rsid w:val="00560781"/>
    <w:rsid w:val="0056268F"/>
    <w:rsid w:val="005662E9"/>
    <w:rsid w:val="00572AAF"/>
    <w:rsid w:val="00576ADF"/>
    <w:rsid w:val="005801AE"/>
    <w:rsid w:val="00582868"/>
    <w:rsid w:val="00582ECC"/>
    <w:rsid w:val="0058399B"/>
    <w:rsid w:val="0058692F"/>
    <w:rsid w:val="00587045"/>
    <w:rsid w:val="00587C22"/>
    <w:rsid w:val="0059436D"/>
    <w:rsid w:val="005945C0"/>
    <w:rsid w:val="00597016"/>
    <w:rsid w:val="005974B7"/>
    <w:rsid w:val="005A0D51"/>
    <w:rsid w:val="005A181B"/>
    <w:rsid w:val="005A1CB3"/>
    <w:rsid w:val="005A3073"/>
    <w:rsid w:val="005A33A5"/>
    <w:rsid w:val="005A6747"/>
    <w:rsid w:val="005A70A0"/>
    <w:rsid w:val="005B0612"/>
    <w:rsid w:val="005B13F0"/>
    <w:rsid w:val="005B30F6"/>
    <w:rsid w:val="005B36CD"/>
    <w:rsid w:val="005B45BA"/>
    <w:rsid w:val="005B5689"/>
    <w:rsid w:val="005B6774"/>
    <w:rsid w:val="005C0A89"/>
    <w:rsid w:val="005C3BC4"/>
    <w:rsid w:val="005D59B1"/>
    <w:rsid w:val="005D764B"/>
    <w:rsid w:val="005E2367"/>
    <w:rsid w:val="005E5E90"/>
    <w:rsid w:val="005E654C"/>
    <w:rsid w:val="005F05F6"/>
    <w:rsid w:val="00602E54"/>
    <w:rsid w:val="00605734"/>
    <w:rsid w:val="0061488E"/>
    <w:rsid w:val="0061574B"/>
    <w:rsid w:val="00622670"/>
    <w:rsid w:val="00623A1A"/>
    <w:rsid w:val="00626E8D"/>
    <w:rsid w:val="00632DA8"/>
    <w:rsid w:val="00633A5D"/>
    <w:rsid w:val="00634E6E"/>
    <w:rsid w:val="0064342A"/>
    <w:rsid w:val="00643A28"/>
    <w:rsid w:val="006452FA"/>
    <w:rsid w:val="0065093D"/>
    <w:rsid w:val="00650F84"/>
    <w:rsid w:val="00655193"/>
    <w:rsid w:val="00655459"/>
    <w:rsid w:val="006566C7"/>
    <w:rsid w:val="00656FB2"/>
    <w:rsid w:val="00661454"/>
    <w:rsid w:val="0066642D"/>
    <w:rsid w:val="0067456D"/>
    <w:rsid w:val="00675E85"/>
    <w:rsid w:val="0067750F"/>
    <w:rsid w:val="00683FB4"/>
    <w:rsid w:val="0068401E"/>
    <w:rsid w:val="006841A4"/>
    <w:rsid w:val="0068643F"/>
    <w:rsid w:val="006877A1"/>
    <w:rsid w:val="00692150"/>
    <w:rsid w:val="00692F0C"/>
    <w:rsid w:val="00696E7C"/>
    <w:rsid w:val="006A0C54"/>
    <w:rsid w:val="006A7C53"/>
    <w:rsid w:val="006A7D6C"/>
    <w:rsid w:val="006B309C"/>
    <w:rsid w:val="006B727F"/>
    <w:rsid w:val="006C2F5D"/>
    <w:rsid w:val="006C6985"/>
    <w:rsid w:val="006C6D3A"/>
    <w:rsid w:val="006C7B36"/>
    <w:rsid w:val="006C7B7F"/>
    <w:rsid w:val="006D04DE"/>
    <w:rsid w:val="006D19E8"/>
    <w:rsid w:val="006D2A9B"/>
    <w:rsid w:val="006D2D92"/>
    <w:rsid w:val="006E04B5"/>
    <w:rsid w:val="006E330C"/>
    <w:rsid w:val="006E33CA"/>
    <w:rsid w:val="006E3DD8"/>
    <w:rsid w:val="006E793F"/>
    <w:rsid w:val="006F0154"/>
    <w:rsid w:val="006F7944"/>
    <w:rsid w:val="00704121"/>
    <w:rsid w:val="00705BB5"/>
    <w:rsid w:val="0071326F"/>
    <w:rsid w:val="007153D7"/>
    <w:rsid w:val="00720ED4"/>
    <w:rsid w:val="0073061B"/>
    <w:rsid w:val="0074488F"/>
    <w:rsid w:val="00745AA8"/>
    <w:rsid w:val="00745E07"/>
    <w:rsid w:val="007510EC"/>
    <w:rsid w:val="0075233C"/>
    <w:rsid w:val="0075256A"/>
    <w:rsid w:val="0075258F"/>
    <w:rsid w:val="007569DE"/>
    <w:rsid w:val="0075723C"/>
    <w:rsid w:val="0077202B"/>
    <w:rsid w:val="00782C8F"/>
    <w:rsid w:val="00785F78"/>
    <w:rsid w:val="0078659D"/>
    <w:rsid w:val="007869EC"/>
    <w:rsid w:val="00791577"/>
    <w:rsid w:val="007A1E58"/>
    <w:rsid w:val="007A5C7E"/>
    <w:rsid w:val="007A6E2F"/>
    <w:rsid w:val="007B3BC5"/>
    <w:rsid w:val="007C68AF"/>
    <w:rsid w:val="007D03DF"/>
    <w:rsid w:val="007D4953"/>
    <w:rsid w:val="007D50F4"/>
    <w:rsid w:val="007D7173"/>
    <w:rsid w:val="007E1216"/>
    <w:rsid w:val="007E4CD4"/>
    <w:rsid w:val="007F0E8E"/>
    <w:rsid w:val="007F2B21"/>
    <w:rsid w:val="008079DD"/>
    <w:rsid w:val="0081130F"/>
    <w:rsid w:val="00820592"/>
    <w:rsid w:val="00824430"/>
    <w:rsid w:val="00825470"/>
    <w:rsid w:val="00825B1F"/>
    <w:rsid w:val="00827D55"/>
    <w:rsid w:val="00840EDD"/>
    <w:rsid w:val="00841AB8"/>
    <w:rsid w:val="0084255F"/>
    <w:rsid w:val="00843305"/>
    <w:rsid w:val="00854FB3"/>
    <w:rsid w:val="0085640D"/>
    <w:rsid w:val="00860F13"/>
    <w:rsid w:val="00861F8B"/>
    <w:rsid w:val="0086561F"/>
    <w:rsid w:val="00865FE1"/>
    <w:rsid w:val="008748C7"/>
    <w:rsid w:val="0087521A"/>
    <w:rsid w:val="008808C0"/>
    <w:rsid w:val="00890BDE"/>
    <w:rsid w:val="008962E7"/>
    <w:rsid w:val="008A1118"/>
    <w:rsid w:val="008A281F"/>
    <w:rsid w:val="008A48D2"/>
    <w:rsid w:val="008A4AF6"/>
    <w:rsid w:val="008A4FF8"/>
    <w:rsid w:val="008A58DB"/>
    <w:rsid w:val="008A5ED1"/>
    <w:rsid w:val="008A64FE"/>
    <w:rsid w:val="008A7FD1"/>
    <w:rsid w:val="008B042E"/>
    <w:rsid w:val="008B211E"/>
    <w:rsid w:val="008B6D48"/>
    <w:rsid w:val="008C7660"/>
    <w:rsid w:val="008C79A7"/>
    <w:rsid w:val="008D555F"/>
    <w:rsid w:val="008D625D"/>
    <w:rsid w:val="008D650E"/>
    <w:rsid w:val="008E6A41"/>
    <w:rsid w:val="00903990"/>
    <w:rsid w:val="00904950"/>
    <w:rsid w:val="00905771"/>
    <w:rsid w:val="00915E5E"/>
    <w:rsid w:val="009166B8"/>
    <w:rsid w:val="00922DB7"/>
    <w:rsid w:val="0092684A"/>
    <w:rsid w:val="00930A66"/>
    <w:rsid w:val="00937FAB"/>
    <w:rsid w:val="0094094D"/>
    <w:rsid w:val="00942AB8"/>
    <w:rsid w:val="00945CAF"/>
    <w:rsid w:val="00947448"/>
    <w:rsid w:val="0095150D"/>
    <w:rsid w:val="00952B38"/>
    <w:rsid w:val="00952C99"/>
    <w:rsid w:val="00965333"/>
    <w:rsid w:val="009712EF"/>
    <w:rsid w:val="009727BF"/>
    <w:rsid w:val="00973321"/>
    <w:rsid w:val="00975C2E"/>
    <w:rsid w:val="00977270"/>
    <w:rsid w:val="009824F2"/>
    <w:rsid w:val="00983080"/>
    <w:rsid w:val="00986AA3"/>
    <w:rsid w:val="00990044"/>
    <w:rsid w:val="00993B24"/>
    <w:rsid w:val="0099611F"/>
    <w:rsid w:val="009A083F"/>
    <w:rsid w:val="009A135C"/>
    <w:rsid w:val="009A4807"/>
    <w:rsid w:val="009A67E7"/>
    <w:rsid w:val="009B010C"/>
    <w:rsid w:val="009C603A"/>
    <w:rsid w:val="009C74CD"/>
    <w:rsid w:val="009C7A29"/>
    <w:rsid w:val="009D048F"/>
    <w:rsid w:val="009D20FC"/>
    <w:rsid w:val="009D401F"/>
    <w:rsid w:val="009D68FA"/>
    <w:rsid w:val="009E32CF"/>
    <w:rsid w:val="009E4FC2"/>
    <w:rsid w:val="009F44AE"/>
    <w:rsid w:val="00A02529"/>
    <w:rsid w:val="00A02EF2"/>
    <w:rsid w:val="00A03173"/>
    <w:rsid w:val="00A04D5E"/>
    <w:rsid w:val="00A055FF"/>
    <w:rsid w:val="00A10DDF"/>
    <w:rsid w:val="00A11172"/>
    <w:rsid w:val="00A12E55"/>
    <w:rsid w:val="00A156FD"/>
    <w:rsid w:val="00A242E4"/>
    <w:rsid w:val="00A24437"/>
    <w:rsid w:val="00A24CA0"/>
    <w:rsid w:val="00A329D6"/>
    <w:rsid w:val="00A33357"/>
    <w:rsid w:val="00A3362A"/>
    <w:rsid w:val="00A33E18"/>
    <w:rsid w:val="00A37B70"/>
    <w:rsid w:val="00A40AC7"/>
    <w:rsid w:val="00A435C7"/>
    <w:rsid w:val="00A45853"/>
    <w:rsid w:val="00A569B2"/>
    <w:rsid w:val="00A611A4"/>
    <w:rsid w:val="00A6695B"/>
    <w:rsid w:val="00A72703"/>
    <w:rsid w:val="00A727F6"/>
    <w:rsid w:val="00A72E71"/>
    <w:rsid w:val="00A76432"/>
    <w:rsid w:val="00A84FC6"/>
    <w:rsid w:val="00A8528E"/>
    <w:rsid w:val="00A91AC2"/>
    <w:rsid w:val="00A94A49"/>
    <w:rsid w:val="00AA17AE"/>
    <w:rsid w:val="00AA1815"/>
    <w:rsid w:val="00AA1D3E"/>
    <w:rsid w:val="00AA39F9"/>
    <w:rsid w:val="00AB0931"/>
    <w:rsid w:val="00AB17B3"/>
    <w:rsid w:val="00AB5C9B"/>
    <w:rsid w:val="00AC0276"/>
    <w:rsid w:val="00AC0312"/>
    <w:rsid w:val="00AC0449"/>
    <w:rsid w:val="00AC63CA"/>
    <w:rsid w:val="00AD2497"/>
    <w:rsid w:val="00AD5EB4"/>
    <w:rsid w:val="00AE63E2"/>
    <w:rsid w:val="00AF04C9"/>
    <w:rsid w:val="00AF26B6"/>
    <w:rsid w:val="00AF2979"/>
    <w:rsid w:val="00AF3E7F"/>
    <w:rsid w:val="00B0375C"/>
    <w:rsid w:val="00B052CB"/>
    <w:rsid w:val="00B156C3"/>
    <w:rsid w:val="00B15F67"/>
    <w:rsid w:val="00B1624F"/>
    <w:rsid w:val="00B20E25"/>
    <w:rsid w:val="00B224C5"/>
    <w:rsid w:val="00B24C54"/>
    <w:rsid w:val="00B325CD"/>
    <w:rsid w:val="00B4768D"/>
    <w:rsid w:val="00B518E5"/>
    <w:rsid w:val="00B51E1F"/>
    <w:rsid w:val="00B60222"/>
    <w:rsid w:val="00B62CFB"/>
    <w:rsid w:val="00B662F5"/>
    <w:rsid w:val="00B7000C"/>
    <w:rsid w:val="00B760D5"/>
    <w:rsid w:val="00B7713A"/>
    <w:rsid w:val="00B83B2C"/>
    <w:rsid w:val="00B94740"/>
    <w:rsid w:val="00B97F75"/>
    <w:rsid w:val="00BA1CAE"/>
    <w:rsid w:val="00BA33BB"/>
    <w:rsid w:val="00BA4830"/>
    <w:rsid w:val="00BA6E22"/>
    <w:rsid w:val="00BB362C"/>
    <w:rsid w:val="00BC0A03"/>
    <w:rsid w:val="00BD4139"/>
    <w:rsid w:val="00BD5CCC"/>
    <w:rsid w:val="00BD6342"/>
    <w:rsid w:val="00BE059A"/>
    <w:rsid w:val="00BE1981"/>
    <w:rsid w:val="00BE56E9"/>
    <w:rsid w:val="00BE63CF"/>
    <w:rsid w:val="00BE7014"/>
    <w:rsid w:val="00BF04F6"/>
    <w:rsid w:val="00BF25C7"/>
    <w:rsid w:val="00BF3ADF"/>
    <w:rsid w:val="00BF7156"/>
    <w:rsid w:val="00C009B7"/>
    <w:rsid w:val="00C04E32"/>
    <w:rsid w:val="00C15A3F"/>
    <w:rsid w:val="00C20630"/>
    <w:rsid w:val="00C22F7A"/>
    <w:rsid w:val="00C2666F"/>
    <w:rsid w:val="00C32020"/>
    <w:rsid w:val="00C3408C"/>
    <w:rsid w:val="00C351CC"/>
    <w:rsid w:val="00C35435"/>
    <w:rsid w:val="00C4321C"/>
    <w:rsid w:val="00C432FD"/>
    <w:rsid w:val="00C43CDF"/>
    <w:rsid w:val="00C512B2"/>
    <w:rsid w:val="00C53FBE"/>
    <w:rsid w:val="00C62B69"/>
    <w:rsid w:val="00C644B7"/>
    <w:rsid w:val="00C64564"/>
    <w:rsid w:val="00C6778F"/>
    <w:rsid w:val="00C73C87"/>
    <w:rsid w:val="00C74B6F"/>
    <w:rsid w:val="00C87EF3"/>
    <w:rsid w:val="00C9015F"/>
    <w:rsid w:val="00C912F9"/>
    <w:rsid w:val="00C9241B"/>
    <w:rsid w:val="00C97569"/>
    <w:rsid w:val="00CA199D"/>
    <w:rsid w:val="00CA4D9C"/>
    <w:rsid w:val="00CB05A7"/>
    <w:rsid w:val="00CB06A4"/>
    <w:rsid w:val="00CB325B"/>
    <w:rsid w:val="00CB64FF"/>
    <w:rsid w:val="00CB7078"/>
    <w:rsid w:val="00CC014B"/>
    <w:rsid w:val="00CC21D8"/>
    <w:rsid w:val="00CC3369"/>
    <w:rsid w:val="00CC5343"/>
    <w:rsid w:val="00CC78DE"/>
    <w:rsid w:val="00CD0F93"/>
    <w:rsid w:val="00CD4032"/>
    <w:rsid w:val="00CD6D6E"/>
    <w:rsid w:val="00CD6F23"/>
    <w:rsid w:val="00CE152B"/>
    <w:rsid w:val="00CF640B"/>
    <w:rsid w:val="00D027AF"/>
    <w:rsid w:val="00D06652"/>
    <w:rsid w:val="00D07FA6"/>
    <w:rsid w:val="00D17C53"/>
    <w:rsid w:val="00D17D57"/>
    <w:rsid w:val="00D2341D"/>
    <w:rsid w:val="00D2512A"/>
    <w:rsid w:val="00D25E0E"/>
    <w:rsid w:val="00D302EB"/>
    <w:rsid w:val="00D31679"/>
    <w:rsid w:val="00D320C8"/>
    <w:rsid w:val="00D32403"/>
    <w:rsid w:val="00D3672F"/>
    <w:rsid w:val="00D37240"/>
    <w:rsid w:val="00D40ABA"/>
    <w:rsid w:val="00D40FE2"/>
    <w:rsid w:val="00D440FA"/>
    <w:rsid w:val="00D44BCF"/>
    <w:rsid w:val="00D46E73"/>
    <w:rsid w:val="00D5548D"/>
    <w:rsid w:val="00D60F81"/>
    <w:rsid w:val="00D6202A"/>
    <w:rsid w:val="00D63951"/>
    <w:rsid w:val="00D63BF2"/>
    <w:rsid w:val="00D65792"/>
    <w:rsid w:val="00D67348"/>
    <w:rsid w:val="00D700EE"/>
    <w:rsid w:val="00D70EDB"/>
    <w:rsid w:val="00D72F14"/>
    <w:rsid w:val="00D757AB"/>
    <w:rsid w:val="00D75FEC"/>
    <w:rsid w:val="00D76B98"/>
    <w:rsid w:val="00D86F2C"/>
    <w:rsid w:val="00DA127E"/>
    <w:rsid w:val="00DA36F6"/>
    <w:rsid w:val="00DC1611"/>
    <w:rsid w:val="00DC3232"/>
    <w:rsid w:val="00DF0774"/>
    <w:rsid w:val="00DF1036"/>
    <w:rsid w:val="00E05451"/>
    <w:rsid w:val="00E05651"/>
    <w:rsid w:val="00E11BA5"/>
    <w:rsid w:val="00E20425"/>
    <w:rsid w:val="00E25DCB"/>
    <w:rsid w:val="00E33010"/>
    <w:rsid w:val="00E36A7E"/>
    <w:rsid w:val="00E4065C"/>
    <w:rsid w:val="00E4156E"/>
    <w:rsid w:val="00E453F2"/>
    <w:rsid w:val="00E45D26"/>
    <w:rsid w:val="00E460AD"/>
    <w:rsid w:val="00E61925"/>
    <w:rsid w:val="00E65C0E"/>
    <w:rsid w:val="00E730FC"/>
    <w:rsid w:val="00E746F0"/>
    <w:rsid w:val="00E77088"/>
    <w:rsid w:val="00E82A15"/>
    <w:rsid w:val="00E87589"/>
    <w:rsid w:val="00E938FF"/>
    <w:rsid w:val="00EA34DC"/>
    <w:rsid w:val="00EA5017"/>
    <w:rsid w:val="00EA69F6"/>
    <w:rsid w:val="00EA6BED"/>
    <w:rsid w:val="00EB14F0"/>
    <w:rsid w:val="00EB3844"/>
    <w:rsid w:val="00EB4296"/>
    <w:rsid w:val="00EB5A9F"/>
    <w:rsid w:val="00EC1402"/>
    <w:rsid w:val="00EC164D"/>
    <w:rsid w:val="00EC5C8D"/>
    <w:rsid w:val="00ED032F"/>
    <w:rsid w:val="00ED106C"/>
    <w:rsid w:val="00ED1683"/>
    <w:rsid w:val="00ED2D34"/>
    <w:rsid w:val="00ED4805"/>
    <w:rsid w:val="00ED6C51"/>
    <w:rsid w:val="00EF404A"/>
    <w:rsid w:val="00EF4258"/>
    <w:rsid w:val="00F02237"/>
    <w:rsid w:val="00F22423"/>
    <w:rsid w:val="00F2484B"/>
    <w:rsid w:val="00F24C72"/>
    <w:rsid w:val="00F31D22"/>
    <w:rsid w:val="00F348B2"/>
    <w:rsid w:val="00F34BF0"/>
    <w:rsid w:val="00F360D8"/>
    <w:rsid w:val="00F4095A"/>
    <w:rsid w:val="00F45845"/>
    <w:rsid w:val="00F50189"/>
    <w:rsid w:val="00F508FC"/>
    <w:rsid w:val="00F5249E"/>
    <w:rsid w:val="00F54044"/>
    <w:rsid w:val="00F576E7"/>
    <w:rsid w:val="00F651D5"/>
    <w:rsid w:val="00F763FC"/>
    <w:rsid w:val="00F772C1"/>
    <w:rsid w:val="00F8026D"/>
    <w:rsid w:val="00F8245F"/>
    <w:rsid w:val="00F8623C"/>
    <w:rsid w:val="00F91629"/>
    <w:rsid w:val="00F91E2A"/>
    <w:rsid w:val="00F96C39"/>
    <w:rsid w:val="00FA153F"/>
    <w:rsid w:val="00FA1D78"/>
    <w:rsid w:val="00FA1F7E"/>
    <w:rsid w:val="00FA280F"/>
    <w:rsid w:val="00FA2861"/>
    <w:rsid w:val="00FA7890"/>
    <w:rsid w:val="00FB2186"/>
    <w:rsid w:val="00FC442E"/>
    <w:rsid w:val="00FD0133"/>
    <w:rsid w:val="00FD6206"/>
    <w:rsid w:val="00FF32C3"/>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1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corpsdedcision"/>
    <w:qFormat/>
    <w:rsid w:val="0034740A"/>
    <w:pPr>
      <w:keepNext/>
      <w:spacing w:before="240" w:after="240"/>
      <w:outlineLvl w:val="0"/>
    </w:pPr>
    <w:rPr>
      <w:rFonts w:cs="Arial"/>
      <w:bCs/>
      <w:caps/>
      <w:kern w:val="32"/>
      <w:szCs w:val="32"/>
      <w:u w:val="single"/>
      <w:lang w:eastAsia="fr-FR"/>
    </w:rPr>
  </w:style>
  <w:style w:type="paragraph" w:styleId="Heading2">
    <w:name w:val="heading 2"/>
    <w:basedOn w:val="Normal"/>
    <w:next w:val="corpsdedcision"/>
    <w:qFormat/>
    <w:rsid w:val="0034740A"/>
    <w:pPr>
      <w:keepNext/>
      <w:spacing w:before="240" w:after="240"/>
      <w:outlineLvl w:val="1"/>
    </w:pPr>
    <w:rPr>
      <w:rFonts w:cs="Arial"/>
      <w:bCs/>
      <w:iCs/>
      <w:caps/>
      <w:szCs w:val="28"/>
      <w:lang w:eastAsia="fr-FR"/>
    </w:rPr>
  </w:style>
  <w:style w:type="paragraph" w:styleId="Heading3">
    <w:name w:val="heading 3"/>
    <w:basedOn w:val="Normal"/>
    <w:next w:val="corpsdedcision"/>
    <w:qFormat/>
    <w:rsid w:val="0034740A"/>
    <w:pPr>
      <w:keepNext/>
      <w:spacing w:before="240" w:after="240"/>
      <w:outlineLvl w:val="2"/>
    </w:pPr>
    <w:rPr>
      <w:rFonts w:cs="Arial"/>
      <w:bCs/>
      <w:szCs w:val="26"/>
      <w:u w:val="single"/>
      <w:lang w:eastAsia="fr-FR"/>
    </w:rPr>
  </w:style>
  <w:style w:type="paragraph" w:styleId="Heading4">
    <w:name w:val="heading 4"/>
    <w:basedOn w:val="Normal"/>
    <w:next w:val="corpsdedcision"/>
    <w:qFormat/>
    <w:rsid w:val="0034740A"/>
    <w:pPr>
      <w:keepNext/>
      <w:spacing w:before="240" w:after="240"/>
      <w:outlineLvl w:val="3"/>
    </w:pPr>
    <w:rPr>
      <w:bCs/>
      <w:szCs w:val="28"/>
      <w:lang w:eastAsia="fr-FR"/>
    </w:rPr>
  </w:style>
  <w:style w:type="paragraph" w:styleId="Heading5">
    <w:name w:val="heading 5"/>
    <w:basedOn w:val="Normal"/>
    <w:next w:val="Normal"/>
    <w:qFormat/>
    <w:rsid w:val="005E2367"/>
    <w:pPr>
      <w:numPr>
        <w:ilvl w:val="4"/>
        <w:numId w:val="2"/>
      </w:numPr>
      <w:spacing w:before="240" w:after="60"/>
      <w:outlineLvl w:val="4"/>
    </w:pPr>
    <w:rPr>
      <w:b/>
      <w:bCs/>
      <w:i/>
      <w:iCs/>
      <w:sz w:val="26"/>
      <w:szCs w:val="26"/>
    </w:rPr>
  </w:style>
  <w:style w:type="paragraph" w:styleId="Heading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Heading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Heading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FootnoteReference">
    <w:name w:val="footnote reference"/>
    <w:basedOn w:val="DefaultParagraphFont"/>
    <w:rPr>
      <w:rFonts w:ascii="Arial" w:hAnsi="Arial"/>
      <w:vertAlign w:val="superscript"/>
    </w:rPr>
  </w:style>
  <w:style w:type="paragraph" w:customStyle="1" w:styleId="citation">
    <w:name w:val="citation"/>
    <w:basedOn w:val="Normal"/>
    <w:link w:val="citationCar"/>
    <w:pPr>
      <w:ind w:left="720" w:right="720"/>
      <w:jc w:val="both"/>
    </w:pPr>
    <w:rPr>
      <w:sz w:val="20"/>
    </w:rPr>
  </w:style>
  <w:style w:type="paragraph" w:customStyle="1" w:styleId="corpsdedcision">
    <w:name w:val="corps de décision"/>
    <w:basedOn w:val="Normal"/>
    <w:link w:val="corpsdedcisionCar"/>
    <w:pPr>
      <w:numPr>
        <w:numId w:val="1"/>
      </w:numPr>
      <w:tabs>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FootnoteText">
    <w:name w:val="footnote text"/>
    <w:aliases w:val="Note de bas de page art 65,Note de bas de page + 10pt,Car,Car Car Car Car Car,Car Car Car Car,Car Car Car,Car Car Car Car Car Car Car Car Car,Car Car, Car, Car Car Car Car Car, Car Car Car Car, Car Car Car"/>
    <w:basedOn w:val="Normal"/>
    <w:link w:val="FootnoteTextChar"/>
  </w:style>
  <w:style w:type="paragraph" w:styleId="Header">
    <w:name w:val="header"/>
    <w:basedOn w:val="Normal"/>
    <w:pPr>
      <w:tabs>
        <w:tab w:val="center" w:pos="4320"/>
        <w:tab w:val="right" w:pos="8640"/>
      </w:tabs>
    </w:pPr>
  </w:style>
  <w:style w:type="character" w:styleId="PageNumber">
    <w:name w:val="page number"/>
    <w:basedOn w:val="DefaultParagraphFont"/>
    <w:rPr>
      <w:rFonts w:ascii="Arial" w:hAnsi="Arial"/>
      <w:sz w:val="24"/>
    </w:rPr>
  </w:style>
  <w:style w:type="paragraph" w:styleId="Footer">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FootnoteTextChar">
    <w:name w:val="Footnote Text Char"/>
    <w:aliases w:val="Note de bas de page art 65 Char,Note de bas de page + 10pt Char,Car Char,Car Car Car Car Car Char,Car Car Car Car Char,Car Car Car Char,Car Car Car Car Car Car Car Car Car Char,Car Car Char, Car Char, Car Car Car Car Car Char"/>
    <w:basedOn w:val="DefaultParagraphFont"/>
    <w:link w:val="FootnoteText"/>
    <w:locked/>
    <w:rsid w:val="00BC0A03"/>
    <w:rPr>
      <w:rFonts w:ascii="Arial" w:hAnsi="Arial"/>
      <w:sz w:val="24"/>
      <w:lang w:val="fr-CA" w:eastAsia="fr-CA" w:bidi="ar-SA"/>
    </w:rPr>
  </w:style>
  <w:style w:type="character" w:customStyle="1" w:styleId="corpsdedcisionCar">
    <w:name w:val="corps de décision Car"/>
    <w:link w:val="corpsdedcision"/>
    <w:locked/>
    <w:rsid w:val="004D371F"/>
    <w:rPr>
      <w:rFonts w:ascii="Arial" w:hAnsi="Arial"/>
      <w:sz w:val="24"/>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147A49"/>
    <w:pPr>
      <w:spacing w:before="0" w:after="0"/>
      <w:ind w:left="1440" w:right="1440"/>
    </w:pPr>
    <w:rPr>
      <w:sz w:val="20"/>
    </w:rPr>
  </w:style>
  <w:style w:type="character" w:customStyle="1" w:styleId="Citationintgre">
    <w:name w:val="Citation intégrée"/>
    <w:basedOn w:val="DefaultParagraphFon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citationCar">
    <w:name w:val="citation Car"/>
    <w:link w:val="citation"/>
    <w:locked/>
    <w:rsid w:val="004D371F"/>
    <w:rPr>
      <w:rFonts w:ascii="Arial" w:hAnsi="Arial"/>
    </w:rPr>
  </w:style>
  <w:style w:type="paragraph" w:styleId="ListParagraph">
    <w:name w:val="List Paragraph"/>
    <w:basedOn w:val="Normal"/>
    <w:uiPriority w:val="34"/>
    <w:qFormat/>
    <w:rsid w:val="004D371F"/>
    <w:pPr>
      <w:ind w:left="720"/>
      <w:contextualSpacing/>
    </w:pPr>
  </w:style>
  <w:style w:type="paragraph" w:styleId="BalloonText">
    <w:name w:val="Balloon Text"/>
    <w:basedOn w:val="Normal"/>
    <w:link w:val="BalloonTextChar"/>
    <w:rsid w:val="004D371F"/>
    <w:rPr>
      <w:rFonts w:ascii="Segoe UI" w:hAnsi="Segoe UI" w:cs="Segoe UI"/>
      <w:sz w:val="18"/>
      <w:szCs w:val="18"/>
    </w:rPr>
  </w:style>
  <w:style w:type="character" w:customStyle="1" w:styleId="BalloonTextChar">
    <w:name w:val="Balloon Text Char"/>
    <w:basedOn w:val="DefaultParagraphFont"/>
    <w:link w:val="BalloonText"/>
    <w:rsid w:val="004D371F"/>
    <w:rPr>
      <w:rFonts w:ascii="Segoe UI" w:hAnsi="Segoe UI" w:cs="Segoe UI"/>
      <w:sz w:val="18"/>
      <w:szCs w:val="18"/>
    </w:rPr>
  </w:style>
  <w:style w:type="table" w:styleId="TableGrid">
    <w:name w:val="Table Grid"/>
    <w:basedOn w:val="TableNormal"/>
    <w:rsid w:val="009C7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anlii.org/fr/qc/legis/loisa/lq-2021-c-27/derniere/lq-2021-c-27.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3311</Words>
  <Characters>18876</Characters>
  <Application>Microsoft Office Word</Application>
  <DocSecurity>0</DocSecurity>
  <Lines>157</Lines>
  <Paragraphs>44</Paragraphs>
  <ScaleCrop>false</ScaleCrop>
  <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2026-06-18T18:51:00Z</dcterms:created>
  <dcterms:modified xsi:type="dcterms:W3CDTF">2026-06-18T18:51:00Z</dcterms:modified>
</cp:coreProperties>
</file>