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trPr>
          <w:cantSplit/>
        </w:trPr>
        <w:tc>
          <w:tcPr>
            <w:tcW w:w="4795" w:type="dxa"/>
          </w:tcPr>
          <w:p w:rsidR="008A7FD1" w:rsidRPr="009B3C8C" w:rsidRDefault="009B3C8C" w:rsidP="009B3C8C">
            <w:pPr>
              <w:pStyle w:val="zSoquijdatRepertorie"/>
              <w:rPr>
                <w:rFonts w:cs="Arial"/>
              </w:rPr>
            </w:pPr>
            <w:bookmarkStart w:id="0" w:name="_GoBack"/>
            <w:bookmarkEnd w:id="0"/>
            <w:r>
              <w:rPr>
                <w:rFonts w:cs="Arial"/>
              </w:rPr>
              <w:t>Bolduc et Sintra inc.</w:t>
            </w:r>
          </w:p>
        </w:tc>
        <w:tc>
          <w:tcPr>
            <w:tcW w:w="2477" w:type="dxa"/>
          </w:tcPr>
          <w:p w:rsidR="008A7FD1" w:rsidRPr="003F5667" w:rsidRDefault="003F5667" w:rsidP="003F5667">
            <w:pPr>
              <w:pStyle w:val="zSoquijdatRefNeutre"/>
              <w:rPr>
                <w:rFonts w:cs="Arial"/>
              </w:rPr>
            </w:pPr>
            <w:r w:rsidRPr="003F5667">
              <w:rPr>
                <w:rFonts w:cs="Arial"/>
              </w:rPr>
              <w:t>2018 QCTAT 4812</w:t>
            </w:r>
          </w:p>
        </w:tc>
      </w:tr>
    </w:tbl>
    <w:p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rsidTr="002A374B">
        <w:trPr>
          <w:cantSplit/>
        </w:trPr>
        <w:tc>
          <w:tcPr>
            <w:tcW w:w="9568" w:type="dxa"/>
            <w:gridSpan w:val="4"/>
          </w:tcPr>
          <w:p w:rsidR="00C74B6F" w:rsidRPr="00BE1981" w:rsidRDefault="00C74B6F">
            <w:pPr>
              <w:rPr>
                <w:szCs w:val="24"/>
              </w:rPr>
            </w:pPr>
          </w:p>
        </w:tc>
      </w:tr>
      <w:tr w:rsidR="00C74B6F" w:rsidTr="002A374B">
        <w:trPr>
          <w:cantSplit/>
        </w:trPr>
        <w:tc>
          <w:tcPr>
            <w:tcW w:w="9568" w:type="dxa"/>
            <w:gridSpan w:val="4"/>
            <w:vAlign w:val="center"/>
          </w:tcPr>
          <w:p w:rsidR="00C74B6F" w:rsidRPr="000E1320" w:rsidRDefault="000E1320">
            <w:pPr>
              <w:jc w:val="center"/>
              <w:rPr>
                <w:sz w:val="36"/>
                <w:szCs w:val="36"/>
              </w:rPr>
            </w:pPr>
            <w:r w:rsidRPr="000E1320">
              <w:rPr>
                <w:b/>
                <w:sz w:val="36"/>
                <w:szCs w:val="36"/>
              </w:rPr>
              <w:t>TRIBUNAL ADMINISTRATIF DU TRAVAIL</w:t>
            </w:r>
          </w:p>
        </w:tc>
      </w:tr>
      <w:tr w:rsidR="00C74B6F" w:rsidTr="002A374B">
        <w:trPr>
          <w:cantSplit/>
        </w:trPr>
        <w:tc>
          <w:tcPr>
            <w:tcW w:w="9568" w:type="dxa"/>
            <w:gridSpan w:val="4"/>
          </w:tcPr>
          <w:p w:rsidR="00C74B6F" w:rsidRPr="00BE7014" w:rsidRDefault="006F0154" w:rsidP="009A67E7">
            <w:pPr>
              <w:pStyle w:val="zSoquijdatDivision"/>
            </w:pPr>
            <w:r w:rsidRPr="00BE7014">
              <w:t>(</w:t>
            </w:r>
            <w:r w:rsidR="004602C7" w:rsidRPr="00441ADA">
              <w:t>Division de la santé et de la sécurité du travail</w:t>
            </w:r>
            <w:r w:rsidRPr="00BE7014">
              <w:t>)</w:t>
            </w:r>
          </w:p>
        </w:tc>
      </w:tr>
      <w:tr w:rsidR="00C74B6F" w:rsidTr="002A374B">
        <w:trPr>
          <w:cantSplit/>
        </w:trPr>
        <w:tc>
          <w:tcPr>
            <w:tcW w:w="9568" w:type="dxa"/>
            <w:gridSpan w:val="4"/>
          </w:tcPr>
          <w:p w:rsidR="002B2FC3" w:rsidRDefault="002B2FC3" w:rsidP="002B2FC3"/>
        </w:tc>
      </w:tr>
      <w:tr w:rsidR="00A84FC6" w:rsidTr="002A374B">
        <w:trPr>
          <w:cantSplit/>
        </w:trPr>
        <w:tc>
          <w:tcPr>
            <w:tcW w:w="9568" w:type="dxa"/>
            <w:gridSpan w:val="4"/>
          </w:tcPr>
          <w:p w:rsidR="00A84FC6" w:rsidRDefault="00A84FC6" w:rsidP="002B2FC3"/>
        </w:tc>
      </w:tr>
      <w:tr w:rsidR="00C74B6F" w:rsidTr="005E654C">
        <w:tc>
          <w:tcPr>
            <w:tcW w:w="3614" w:type="dxa"/>
          </w:tcPr>
          <w:p w:rsidR="00C74B6F" w:rsidRDefault="0084255F">
            <w:bookmarkStart w:id="1" w:name="region" w:colFirst="1" w:colLast="1"/>
            <w:r>
              <w:t>Région :</w:t>
            </w:r>
          </w:p>
        </w:tc>
        <w:tc>
          <w:tcPr>
            <w:tcW w:w="5954" w:type="dxa"/>
            <w:gridSpan w:val="3"/>
          </w:tcPr>
          <w:p w:rsidR="00C74B6F" w:rsidRDefault="004602C7" w:rsidP="00F4095A">
            <w:pPr>
              <w:pStyle w:val="zSoquijdatGreffe"/>
            </w:pPr>
            <w:r>
              <w:t>Mauricie–Centre-du-Québec</w:t>
            </w:r>
          </w:p>
        </w:tc>
      </w:tr>
      <w:bookmarkEnd w:id="1"/>
      <w:tr w:rsidR="00C74B6F" w:rsidTr="002A374B">
        <w:trPr>
          <w:cantSplit/>
        </w:trPr>
        <w:tc>
          <w:tcPr>
            <w:tcW w:w="9568" w:type="dxa"/>
            <w:gridSpan w:val="4"/>
          </w:tcPr>
          <w:p w:rsidR="00C74B6F" w:rsidRDefault="00C74B6F"/>
        </w:tc>
      </w:tr>
      <w:tr w:rsidR="00C74B6F" w:rsidTr="005E654C">
        <w:tc>
          <w:tcPr>
            <w:tcW w:w="3614" w:type="dxa"/>
          </w:tcPr>
          <w:p w:rsidR="00C74B6F" w:rsidRDefault="0084255F">
            <w:bookmarkStart w:id="2" w:name="ref_dossier" w:colFirst="1" w:colLast="1"/>
            <w:r>
              <w:t>Dossier</w:t>
            </w:r>
            <w:bookmarkStart w:id="3" w:name="dossiers"/>
            <w:bookmarkEnd w:id="3"/>
            <w:r>
              <w:t> :</w:t>
            </w:r>
          </w:p>
        </w:tc>
        <w:tc>
          <w:tcPr>
            <w:tcW w:w="5954" w:type="dxa"/>
            <w:gridSpan w:val="3"/>
          </w:tcPr>
          <w:p w:rsidR="00C74B6F" w:rsidRDefault="004602C7" w:rsidP="00F4095A">
            <w:pPr>
              <w:pStyle w:val="zSoquijdatNoDossier"/>
            </w:pPr>
            <w:r>
              <w:t>650228-04B-1710</w:t>
            </w:r>
          </w:p>
        </w:tc>
      </w:tr>
      <w:bookmarkEnd w:id="2"/>
      <w:tr w:rsidR="00C74B6F" w:rsidTr="002A374B">
        <w:trPr>
          <w:cantSplit/>
        </w:trPr>
        <w:tc>
          <w:tcPr>
            <w:tcW w:w="9568" w:type="dxa"/>
            <w:gridSpan w:val="4"/>
          </w:tcPr>
          <w:p w:rsidR="00C74B6F" w:rsidRDefault="00C74B6F"/>
        </w:tc>
      </w:tr>
      <w:tr w:rsidR="00C74B6F" w:rsidTr="005E654C">
        <w:tc>
          <w:tcPr>
            <w:tcW w:w="3614" w:type="dxa"/>
          </w:tcPr>
          <w:p w:rsidR="00C74B6F" w:rsidRDefault="008C79A7" w:rsidP="004602C7">
            <w:pPr>
              <w:ind w:right="46"/>
            </w:pPr>
            <w:r>
              <w:t xml:space="preserve">Dossier </w:t>
            </w:r>
            <w:r w:rsidR="004602C7">
              <w:rPr>
                <w:szCs w:val="24"/>
              </w:rPr>
              <w:t>CNESST</w:t>
            </w:r>
            <w:r w:rsidRPr="008C79A7">
              <w:rPr>
                <w:szCs w:val="24"/>
              </w:rPr>
              <w:t xml:space="preserve"> :</w:t>
            </w:r>
          </w:p>
        </w:tc>
        <w:tc>
          <w:tcPr>
            <w:tcW w:w="5954" w:type="dxa"/>
            <w:gridSpan w:val="3"/>
          </w:tcPr>
          <w:p w:rsidR="00C74B6F" w:rsidRDefault="004602C7" w:rsidP="004D6CEA">
            <w:pPr>
              <w:pStyle w:val="zSoquijdatNCSST"/>
            </w:pPr>
            <w:r>
              <w:t>502987654</w:t>
            </w:r>
          </w:p>
        </w:tc>
      </w:tr>
      <w:tr w:rsidR="00AC2319" w:rsidTr="002A374B">
        <w:trPr>
          <w:cantSplit/>
        </w:trPr>
        <w:tc>
          <w:tcPr>
            <w:tcW w:w="9568" w:type="dxa"/>
            <w:gridSpan w:val="4"/>
          </w:tcPr>
          <w:p w:rsidR="00AC2319" w:rsidRDefault="00AC2319"/>
        </w:tc>
      </w:tr>
      <w:tr w:rsidR="00C74B6F" w:rsidTr="002A374B">
        <w:trPr>
          <w:cantSplit/>
        </w:trPr>
        <w:tc>
          <w:tcPr>
            <w:tcW w:w="9568" w:type="dxa"/>
            <w:gridSpan w:val="4"/>
          </w:tcPr>
          <w:p w:rsidR="00C74B6F" w:rsidRDefault="00C74B6F"/>
        </w:tc>
      </w:tr>
      <w:tr w:rsidR="006E3DD8" w:rsidTr="005E654C">
        <w:trPr>
          <w:cantSplit/>
        </w:trPr>
        <w:tc>
          <w:tcPr>
            <w:tcW w:w="3614" w:type="dxa"/>
          </w:tcPr>
          <w:p w:rsidR="006E3DD8" w:rsidRDefault="004602C7" w:rsidP="006E3DD8">
            <w:pPr>
              <w:tabs>
                <w:tab w:val="left" w:pos="2672"/>
              </w:tabs>
            </w:pPr>
            <w:r>
              <w:t>Drummondville</w:t>
            </w:r>
            <w:r w:rsidR="00C04E32">
              <w:t>,</w:t>
            </w:r>
          </w:p>
        </w:tc>
        <w:tc>
          <w:tcPr>
            <w:tcW w:w="5954" w:type="dxa"/>
            <w:gridSpan w:val="3"/>
          </w:tcPr>
          <w:p w:rsidR="006E3DD8" w:rsidRDefault="00C04E32" w:rsidP="00C17A88">
            <w:pPr>
              <w:pStyle w:val="zSoquijdatDateJugement"/>
            </w:pPr>
            <w:r>
              <w:t xml:space="preserve">le </w:t>
            </w:r>
            <w:r w:rsidR="00C17A88">
              <w:t>1</w:t>
            </w:r>
            <w:r w:rsidR="00C17A88" w:rsidRPr="00C17A88">
              <w:rPr>
                <w:vertAlign w:val="superscript"/>
              </w:rPr>
              <w:t>er</w:t>
            </w:r>
            <w:r w:rsidR="00C17A88">
              <w:t xml:space="preserve"> octobre</w:t>
            </w:r>
            <w:r w:rsidR="00AC2319">
              <w:t xml:space="preserve"> 2018</w:t>
            </w:r>
          </w:p>
        </w:tc>
      </w:tr>
      <w:tr w:rsidR="00942AB8" w:rsidTr="002A374B">
        <w:trPr>
          <w:cantSplit/>
        </w:trPr>
        <w:tc>
          <w:tcPr>
            <w:tcW w:w="9568" w:type="dxa"/>
            <w:gridSpan w:val="4"/>
          </w:tcPr>
          <w:p w:rsidR="00942AB8" w:rsidRDefault="00942AB8" w:rsidP="00FA153F">
            <w:r>
              <w:t>______________________________________________________________________</w:t>
            </w:r>
          </w:p>
        </w:tc>
      </w:tr>
      <w:tr w:rsidR="00942AB8" w:rsidTr="002A374B">
        <w:trPr>
          <w:cantSplit/>
          <w:trHeight w:val="148"/>
        </w:trPr>
        <w:tc>
          <w:tcPr>
            <w:tcW w:w="9568" w:type="dxa"/>
            <w:gridSpan w:val="4"/>
          </w:tcPr>
          <w:p w:rsidR="00942AB8" w:rsidRDefault="00942AB8" w:rsidP="00FA153F"/>
        </w:tc>
      </w:tr>
      <w:tr w:rsidR="0035375B" w:rsidTr="00A12E55">
        <w:trPr>
          <w:cantSplit/>
          <w:trHeight w:val="148"/>
        </w:trPr>
        <w:tc>
          <w:tcPr>
            <w:tcW w:w="5457" w:type="dxa"/>
            <w:gridSpan w:val="3"/>
          </w:tcPr>
          <w:p w:rsidR="0035375B" w:rsidRPr="00942AB8" w:rsidRDefault="0035375B" w:rsidP="004602C7">
            <w:pPr>
              <w:rPr>
                <w:b/>
                <w:bCs/>
              </w:rPr>
            </w:pPr>
            <w:bookmarkStart w:id="4" w:name="ref_commissaire" w:colFirst="1" w:colLast="1"/>
            <w:r w:rsidRPr="00942AB8">
              <w:rPr>
                <w:b/>
                <w:bCs/>
              </w:rPr>
              <w:t>DEVANT L</w:t>
            </w:r>
            <w:r w:rsidR="004602C7">
              <w:rPr>
                <w:b/>
                <w:bCs/>
              </w:rPr>
              <w:t>A</w:t>
            </w:r>
            <w:r w:rsidRPr="00942AB8">
              <w:rPr>
                <w:b/>
                <w:bCs/>
              </w:rPr>
              <w:t xml:space="preserve"> JUGE ADMINISTRATI</w:t>
            </w:r>
            <w:r w:rsidR="004602C7">
              <w:rPr>
                <w:b/>
                <w:bCs/>
              </w:rPr>
              <w:t>VE</w:t>
            </w:r>
            <w:r w:rsidRPr="00942AB8">
              <w:rPr>
                <w:b/>
                <w:bCs/>
              </w:rPr>
              <w:t> :</w:t>
            </w:r>
          </w:p>
        </w:tc>
        <w:tc>
          <w:tcPr>
            <w:tcW w:w="4111" w:type="dxa"/>
          </w:tcPr>
          <w:p w:rsidR="0035375B" w:rsidRPr="00942AB8" w:rsidRDefault="004602C7" w:rsidP="005B5689">
            <w:pPr>
              <w:pStyle w:val="zSoquijdatJuge"/>
              <w:rPr>
                <w:bCs/>
              </w:rPr>
            </w:pPr>
            <w:r>
              <w:t>Nathalie Gélinas</w:t>
            </w:r>
          </w:p>
        </w:tc>
      </w:tr>
      <w:bookmarkEnd w:id="4"/>
      <w:tr w:rsidR="00942AB8" w:rsidTr="002A374B">
        <w:trPr>
          <w:cantSplit/>
          <w:trHeight w:val="148"/>
        </w:trPr>
        <w:tc>
          <w:tcPr>
            <w:tcW w:w="9568" w:type="dxa"/>
            <w:gridSpan w:val="4"/>
          </w:tcPr>
          <w:p w:rsidR="00942AB8" w:rsidRDefault="00942AB8" w:rsidP="00FA153F">
            <w:r>
              <w:t>______________________________________________________________________</w:t>
            </w:r>
          </w:p>
        </w:tc>
      </w:tr>
      <w:tr w:rsidR="00942AB8" w:rsidTr="002A374B">
        <w:tc>
          <w:tcPr>
            <w:tcW w:w="9568" w:type="dxa"/>
            <w:gridSpan w:val="4"/>
          </w:tcPr>
          <w:p w:rsidR="00942AB8" w:rsidRDefault="00942AB8"/>
        </w:tc>
      </w:tr>
      <w:tr w:rsidR="00942AB8" w:rsidTr="00D40ABA">
        <w:tc>
          <w:tcPr>
            <w:tcW w:w="4748" w:type="dxa"/>
            <w:gridSpan w:val="2"/>
          </w:tcPr>
          <w:p w:rsidR="00942AB8" w:rsidRDefault="00942AB8">
            <w:bookmarkStart w:id="5" w:name="bloc_parties_gauche"/>
            <w:bookmarkEnd w:id="5"/>
          </w:p>
        </w:tc>
        <w:tc>
          <w:tcPr>
            <w:tcW w:w="4820" w:type="dxa"/>
            <w:gridSpan w:val="2"/>
          </w:tcPr>
          <w:p w:rsidR="00942AB8" w:rsidRDefault="00942AB8"/>
        </w:tc>
      </w:tr>
      <w:tr w:rsidR="00942AB8" w:rsidTr="00D40ABA">
        <w:tc>
          <w:tcPr>
            <w:tcW w:w="4748" w:type="dxa"/>
            <w:gridSpan w:val="2"/>
          </w:tcPr>
          <w:p w:rsidR="00942AB8" w:rsidRDefault="004602C7">
            <w:pPr>
              <w:pStyle w:val="zSoquijdatNomPartieDem"/>
              <w:rPr>
                <w:b/>
              </w:rPr>
            </w:pPr>
            <w:r>
              <w:rPr>
                <w:b/>
              </w:rPr>
              <w:t>Raymond Bolduc</w:t>
            </w:r>
          </w:p>
        </w:tc>
        <w:tc>
          <w:tcPr>
            <w:tcW w:w="4820" w:type="dxa"/>
            <w:gridSpan w:val="2"/>
          </w:tcPr>
          <w:p w:rsidR="00942AB8" w:rsidRDefault="00942AB8"/>
        </w:tc>
      </w:tr>
      <w:tr w:rsidR="00942AB8" w:rsidTr="00D40ABA">
        <w:tc>
          <w:tcPr>
            <w:tcW w:w="4748" w:type="dxa"/>
            <w:gridSpan w:val="2"/>
          </w:tcPr>
          <w:p w:rsidR="00942AB8" w:rsidRDefault="004602C7">
            <w:pPr>
              <w:pStyle w:val="zSoquijdatQtePartieDem"/>
              <w:ind w:left="708"/>
            </w:pPr>
            <w:r>
              <w:t>Partie demanderesse</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942AB8" w:rsidRDefault="004602C7" w:rsidP="00D06652">
            <w:pPr>
              <w:pStyle w:val="zSoquijlblLienParties"/>
            </w:pPr>
            <w:r>
              <w:t>et</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942AB8" w:rsidRDefault="004602C7">
            <w:pPr>
              <w:pStyle w:val="zSoquijdatNomPartieDef"/>
              <w:rPr>
                <w:b/>
              </w:rPr>
            </w:pPr>
            <w:r>
              <w:rPr>
                <w:b/>
              </w:rPr>
              <w:t>Sintra inc.</w:t>
            </w:r>
          </w:p>
        </w:tc>
        <w:tc>
          <w:tcPr>
            <w:tcW w:w="4820" w:type="dxa"/>
            <w:gridSpan w:val="2"/>
          </w:tcPr>
          <w:p w:rsidR="00942AB8" w:rsidRDefault="00942AB8"/>
        </w:tc>
      </w:tr>
      <w:tr w:rsidR="00942AB8" w:rsidTr="00D40ABA">
        <w:tc>
          <w:tcPr>
            <w:tcW w:w="4748" w:type="dxa"/>
            <w:gridSpan w:val="2"/>
          </w:tcPr>
          <w:p w:rsidR="00942AB8" w:rsidRDefault="004602C7">
            <w:pPr>
              <w:pStyle w:val="zSoquijdatQtePartieDef"/>
              <w:ind w:left="708"/>
            </w:pPr>
            <w:r>
              <w:t>Partie mise en cause</w:t>
            </w:r>
          </w:p>
        </w:tc>
        <w:tc>
          <w:tcPr>
            <w:tcW w:w="4820" w:type="dxa"/>
            <w:gridSpan w:val="2"/>
          </w:tcPr>
          <w:p w:rsidR="00942AB8" w:rsidRDefault="00942AB8"/>
        </w:tc>
      </w:tr>
      <w:tr w:rsidR="0065093D" w:rsidTr="00D40ABA">
        <w:tc>
          <w:tcPr>
            <w:tcW w:w="4748" w:type="dxa"/>
            <w:gridSpan w:val="2"/>
          </w:tcPr>
          <w:p w:rsidR="0065093D" w:rsidRDefault="0065093D"/>
        </w:tc>
        <w:tc>
          <w:tcPr>
            <w:tcW w:w="4820" w:type="dxa"/>
            <w:gridSpan w:val="2"/>
          </w:tcPr>
          <w:p w:rsidR="0065093D" w:rsidRDefault="0065093D"/>
        </w:tc>
      </w:tr>
    </w:tbl>
    <w:p w:rsidR="00C74B6F" w:rsidRDefault="00C74B6F">
      <w:r>
        <w:t>______________________________________________________________________</w:t>
      </w:r>
    </w:p>
    <w:p w:rsidR="00C74B6F" w:rsidRDefault="00C74B6F"/>
    <w:p w:rsidR="00C74B6F" w:rsidRPr="005B0612" w:rsidRDefault="00C74B6F" w:rsidP="008B042E">
      <w:pPr>
        <w:jc w:val="center"/>
        <w:rPr>
          <w:b/>
          <w:bCs/>
        </w:rPr>
      </w:pPr>
      <w:bookmarkStart w:id="6" w:name="decision"/>
      <w:r w:rsidRPr="005B0612">
        <w:rPr>
          <w:b/>
          <w:bCs/>
        </w:rPr>
        <w:t>DÉCISION</w:t>
      </w:r>
      <w:bookmarkEnd w:id="6"/>
    </w:p>
    <w:p w:rsidR="00C74B6F" w:rsidRDefault="00C74B6F">
      <w:pPr>
        <w:jc w:val="center"/>
      </w:pPr>
      <w:r>
        <w:t>______________________________________________________________________</w:t>
      </w:r>
    </w:p>
    <w:p w:rsidR="00C74B6F" w:rsidRDefault="00C74B6F"/>
    <w:p w:rsidR="00C74B6F" w:rsidRDefault="00C74B6F"/>
    <w:p w:rsidR="00C74B6F" w:rsidRDefault="000352D0" w:rsidP="000352D0">
      <w:pPr>
        <w:pStyle w:val="corpsdedcision"/>
        <w:numPr>
          <w:ilvl w:val="0"/>
          <w:numId w:val="0"/>
        </w:numPr>
        <w:rPr>
          <w:b/>
        </w:rPr>
      </w:pPr>
      <w:r w:rsidRPr="000352D0">
        <w:rPr>
          <w:b/>
        </w:rPr>
        <w:t>APERÇU</w:t>
      </w:r>
    </w:p>
    <w:p w:rsidR="00AB0D45" w:rsidRDefault="00AB0D45" w:rsidP="00AC2319">
      <w:pPr>
        <w:pStyle w:val="corpsdedcision"/>
        <w:tabs>
          <w:tab w:val="clear" w:pos="360"/>
          <w:tab w:val="num" w:pos="0"/>
        </w:tabs>
      </w:pPr>
      <w:r>
        <w:t>Le travailleur</w:t>
      </w:r>
      <w:r w:rsidR="00BC3C14">
        <w:t>, monsieur Raymond Bolduc,</w:t>
      </w:r>
      <w:r>
        <w:t xml:space="preserve"> occupe un poste de contremaître chez </w:t>
      </w:r>
      <w:r w:rsidR="00BC3C14">
        <w:t>Sintra inc., l’employeur.</w:t>
      </w:r>
      <w:r>
        <w:t xml:space="preserve"> </w:t>
      </w:r>
    </w:p>
    <w:p w:rsidR="00047A2B" w:rsidRDefault="00AB0D45" w:rsidP="00AC2319">
      <w:pPr>
        <w:pStyle w:val="corpsdedcision"/>
        <w:tabs>
          <w:tab w:val="clear" w:pos="360"/>
          <w:tab w:val="num" w:pos="0"/>
        </w:tabs>
      </w:pPr>
      <w:r>
        <w:t>Le 7 avril 2015</w:t>
      </w:r>
      <w:r w:rsidR="002578B1">
        <w:t xml:space="preserve"> en essayant de sortir un tuyau de métal rangé dans une étagère, le tuyau bascule et </w:t>
      </w:r>
      <w:r w:rsidR="00AF57CF">
        <w:t xml:space="preserve">le travailleur se </w:t>
      </w:r>
      <w:r w:rsidR="002578B1">
        <w:t>coince le pouce entre deux tuyaux de métal</w:t>
      </w:r>
      <w:r w:rsidR="00F70E9B">
        <w:t xml:space="preserve">. Un diagnostic de </w:t>
      </w:r>
      <w:r w:rsidR="00683D07">
        <w:t>fracture ouverte au pouce droit est posé.</w:t>
      </w:r>
    </w:p>
    <w:p w:rsidR="000D3367" w:rsidRDefault="000D3367" w:rsidP="00AC2319">
      <w:pPr>
        <w:pStyle w:val="corpsdedcision"/>
        <w:tabs>
          <w:tab w:val="clear" w:pos="360"/>
          <w:tab w:val="num" w:pos="0"/>
        </w:tabs>
      </w:pPr>
      <w:r>
        <w:t>Le</w:t>
      </w:r>
      <w:r w:rsidR="00393074">
        <w:t xml:space="preserve"> </w:t>
      </w:r>
      <w:r w:rsidR="002578B1">
        <w:t>4</w:t>
      </w:r>
      <w:r w:rsidR="00393074">
        <w:t xml:space="preserve"> février</w:t>
      </w:r>
      <w:r>
        <w:t xml:space="preserve"> 2017</w:t>
      </w:r>
      <w:r w:rsidR="00BC3C14">
        <w:t>, le</w:t>
      </w:r>
      <w:r>
        <w:t xml:space="preserve"> travailleur produit une réclamation pour une lésion professionnelle alléguée survenue le 7 avril 2015</w:t>
      </w:r>
      <w:r w:rsidR="00393074">
        <w:t>.</w:t>
      </w:r>
    </w:p>
    <w:p w:rsidR="000352D0" w:rsidRDefault="00EC5ADD" w:rsidP="00AC2319">
      <w:pPr>
        <w:pStyle w:val="corpsdedcision"/>
        <w:tabs>
          <w:tab w:val="clear" w:pos="360"/>
          <w:tab w:val="num" w:pos="0"/>
        </w:tabs>
      </w:pPr>
      <w:r>
        <w:t xml:space="preserve">La </w:t>
      </w:r>
      <w:r w:rsidR="00AB0D45">
        <w:t>Commission des normes</w:t>
      </w:r>
      <w:r w:rsidR="00BC3C14">
        <w:t>,</w:t>
      </w:r>
      <w:r w:rsidR="00AB0D45">
        <w:t xml:space="preserve"> de l’équité</w:t>
      </w:r>
      <w:r w:rsidR="00BC3C14">
        <w:t>,</w:t>
      </w:r>
      <w:r w:rsidR="00AB0D45">
        <w:t xml:space="preserve"> de la santé et de la sécurité du travail</w:t>
      </w:r>
      <w:r w:rsidR="00BC3C14">
        <w:rPr>
          <w:rStyle w:val="Appelnotedebasdep"/>
        </w:rPr>
        <w:footnoteReference w:id="1"/>
      </w:r>
      <w:r w:rsidR="00AB0D45">
        <w:t xml:space="preserve"> (la</w:t>
      </w:r>
      <w:r w:rsidR="00043845">
        <w:t> </w:t>
      </w:r>
      <w:r w:rsidR="00AB0D45">
        <w:t>Commission) refuse la réclamation du travailleur pour une lésion professionnelle survenue le 7 avril 2015</w:t>
      </w:r>
      <w:r w:rsidR="00043845">
        <w:t>,</w:t>
      </w:r>
      <w:r w:rsidR="00AB0D45">
        <w:t xml:space="preserve"> parce qu’elle a été produite hors du délai prévu à la </w:t>
      </w:r>
      <w:r w:rsidR="00AB0D45" w:rsidRPr="00882B55">
        <w:rPr>
          <w:i/>
        </w:rPr>
        <w:t>Loi sur les accidents du travail et les maladies professionnelles</w:t>
      </w:r>
      <w:r w:rsidR="00882B55">
        <w:rPr>
          <w:rStyle w:val="Appelnotedebasdep"/>
          <w:i/>
        </w:rPr>
        <w:footnoteReference w:id="2"/>
      </w:r>
      <w:r w:rsidR="00AB0D45">
        <w:t xml:space="preserve"> </w:t>
      </w:r>
      <w:r w:rsidR="00043845">
        <w:t xml:space="preserve">(la Loi) </w:t>
      </w:r>
      <w:r w:rsidR="00AB0D45">
        <w:t>et qu’aucun motif raisonnable n’a été démontré permettant de prolonger le délai. Cette décision est confirmée par la Commission</w:t>
      </w:r>
      <w:r w:rsidR="00043845">
        <w:t>,</w:t>
      </w:r>
      <w:r w:rsidR="00AB0D45">
        <w:t xml:space="preserve"> à la suite d’une révision administrative</w:t>
      </w:r>
      <w:r w:rsidR="00043845">
        <w:t>,</w:t>
      </w:r>
      <w:r w:rsidR="0076059F">
        <w:t xml:space="preserve"> dans une décision datée du 7 septembre 2017</w:t>
      </w:r>
      <w:r w:rsidR="00AB0D45">
        <w:t>. Le travailleur la conteste devant le Tribunal administratif du travail</w:t>
      </w:r>
      <w:r w:rsidR="00043845">
        <w:rPr>
          <w:rStyle w:val="Appelnotedebasdep"/>
        </w:rPr>
        <w:footnoteReference w:id="3"/>
      </w:r>
      <w:r w:rsidR="00AB0D45">
        <w:t xml:space="preserve"> (le Tribunal)</w:t>
      </w:r>
      <w:r w:rsidR="00AE6F24">
        <w:t>.</w:t>
      </w:r>
    </w:p>
    <w:p w:rsidR="00683D07" w:rsidRDefault="00F70E9B" w:rsidP="00AC2319">
      <w:pPr>
        <w:pStyle w:val="corpsdedcision"/>
        <w:tabs>
          <w:tab w:val="clear" w:pos="360"/>
          <w:tab w:val="num" w:pos="0"/>
        </w:tabs>
      </w:pPr>
      <w:r>
        <w:t>Pour expliquer le retard du travaill</w:t>
      </w:r>
      <w:r w:rsidR="00683D07">
        <w:t>eur à produire sa réclamation, s</w:t>
      </w:r>
      <w:r w:rsidR="00AE6F24">
        <w:t xml:space="preserve">a représentante plaide </w:t>
      </w:r>
      <w:r w:rsidR="00683D07">
        <w:t>l’absence de soutien et d’information de l’employeur relativement à la marche à suivre en matière de réclamation pour un accident de travail</w:t>
      </w:r>
      <w:r w:rsidR="00043845">
        <w:t>,</w:t>
      </w:r>
      <w:r w:rsidR="00683D07">
        <w:t xml:space="preserve"> et ce</w:t>
      </w:r>
      <w:r w:rsidR="00043845">
        <w:t>,</w:t>
      </w:r>
      <w:r w:rsidR="00683D07">
        <w:t xml:space="preserve"> malgré l’envoi des attestations médicales par le médecin qui a charge. </w:t>
      </w:r>
    </w:p>
    <w:p w:rsidR="00AE6F24" w:rsidRDefault="00AE6F24" w:rsidP="00AC2319">
      <w:pPr>
        <w:pStyle w:val="corpsdedcision"/>
        <w:tabs>
          <w:tab w:val="clear" w:pos="360"/>
          <w:tab w:val="num" w:pos="0"/>
        </w:tabs>
      </w:pPr>
      <w:r>
        <w:t>L’employeur</w:t>
      </w:r>
      <w:r w:rsidR="00F70E9B">
        <w:t xml:space="preserve"> est absent à l’audience et ne soumet aucune argumentation écrite.</w:t>
      </w:r>
    </w:p>
    <w:p w:rsidR="00AE6F24" w:rsidRPr="000352D0" w:rsidRDefault="00AE6F24" w:rsidP="00AC2319">
      <w:pPr>
        <w:pStyle w:val="corpsdedcision"/>
        <w:tabs>
          <w:tab w:val="clear" w:pos="360"/>
          <w:tab w:val="num" w:pos="0"/>
        </w:tabs>
      </w:pPr>
      <w:r>
        <w:t>Le Tribunal juge que</w:t>
      </w:r>
      <w:r w:rsidR="00F70E9B">
        <w:t xml:space="preserve"> le travailleur a présenté un motif raisonnable permettant de le relever de son défaut de produire sa réclamation dans les délais impartis par la </w:t>
      </w:r>
      <w:r w:rsidR="00043845">
        <w:t>L</w:t>
      </w:r>
      <w:r w:rsidR="00F70E9B">
        <w:t>oi et par conséquent</w:t>
      </w:r>
      <w:r w:rsidR="00043845">
        <w:t>,</w:t>
      </w:r>
      <w:r w:rsidR="00F70E9B">
        <w:t xml:space="preserve"> déclare recevable sa réclamation </w:t>
      </w:r>
      <w:r w:rsidR="00EC5ADD">
        <w:t xml:space="preserve">du 4 février 2017 </w:t>
      </w:r>
      <w:r w:rsidR="00F70E9B">
        <w:t>pour une lésion professionnelle</w:t>
      </w:r>
      <w:r w:rsidR="00EC5ADD">
        <w:t xml:space="preserve"> alléguée du 7 avril 2015.</w:t>
      </w:r>
    </w:p>
    <w:p w:rsidR="000352D0" w:rsidRDefault="004036AD" w:rsidP="000352D0">
      <w:pPr>
        <w:pStyle w:val="corpsdedcision"/>
        <w:numPr>
          <w:ilvl w:val="0"/>
          <w:numId w:val="0"/>
        </w:numPr>
        <w:rPr>
          <w:b/>
        </w:rPr>
      </w:pPr>
      <w:r w:rsidRPr="004036AD">
        <w:rPr>
          <w:b/>
        </w:rPr>
        <w:t>ANALYSE</w:t>
      </w:r>
    </w:p>
    <w:p w:rsidR="004356E5" w:rsidRDefault="004356E5" w:rsidP="004356E5">
      <w:pPr>
        <w:pStyle w:val="corpsdedcision"/>
        <w:tabs>
          <w:tab w:val="clear" w:pos="360"/>
          <w:tab w:val="num" w:pos="0"/>
        </w:tabs>
      </w:pPr>
      <w:r>
        <w:t xml:space="preserve">Le Tribunal doit décider si les raisons invoquées par le travailleur pour expliquer son retard à contester la décision de la Commission constituent des motifs raisonnables pour le relever de son défaut de contester dans les délais impartis par la Loi. </w:t>
      </w:r>
    </w:p>
    <w:p w:rsidR="004356E5" w:rsidRDefault="004356E5" w:rsidP="00AC2319">
      <w:pPr>
        <w:pStyle w:val="corpsdedcision"/>
        <w:tabs>
          <w:tab w:val="clear" w:pos="360"/>
          <w:tab w:val="num" w:pos="0"/>
        </w:tabs>
      </w:pPr>
      <w:r>
        <w:t xml:space="preserve">La </w:t>
      </w:r>
      <w:r w:rsidR="00043845">
        <w:t>L</w:t>
      </w:r>
      <w:r>
        <w:t xml:space="preserve">oi prévoit un délai de </w:t>
      </w:r>
      <w:r w:rsidR="00043845">
        <w:t>six</w:t>
      </w:r>
      <w:r>
        <w:t xml:space="preserve"> mois de la survenance de la lésion pour produire une réclamation. </w:t>
      </w:r>
      <w:r w:rsidR="001A5EA8">
        <w:t>C’est ce qu’édicte l’article 270</w:t>
      </w:r>
      <w:r>
        <w:t xml:space="preserve"> de la Loi :</w:t>
      </w:r>
    </w:p>
    <w:p w:rsidR="001A5EA8" w:rsidRDefault="001A5EA8">
      <w:pPr>
        <w:pStyle w:val="articlesdelaLATMP"/>
      </w:pPr>
      <w:r w:rsidRPr="00D10B57">
        <w:rPr>
          <w:b/>
        </w:rPr>
        <w:t>270.</w:t>
      </w:r>
      <w:r>
        <w:t xml:space="preserve">  Le travailleur qui, en raison d'une lésion professionnelle, est incapable d'exercer son emploi pendant plus de 14 jours complets ou a subi une atteinte permanente à son intégrité physique ou psychique ou, s'il décède de cette lésion, le bénéficiaire, produit sa réclamation à la Commission, sur le formulaire qu'elle prescrit, dans les six mois de la lésion ou du décès, selon le cas.</w:t>
      </w:r>
    </w:p>
    <w:p w:rsidR="001A5EA8" w:rsidRDefault="001A5EA8">
      <w:pPr>
        <w:pStyle w:val="articlesdelaLATMP"/>
      </w:pPr>
    </w:p>
    <w:p w:rsidR="001A5EA8" w:rsidRDefault="001A5EA8">
      <w:pPr>
        <w:pStyle w:val="articlesdelaLATMP"/>
      </w:pPr>
      <w:r>
        <w:t>L'employeur assiste le travailleur ou, le cas échéant, le bénéficiaire, dans la rédaction de sa réclamation et lui fournit les informations requises à cette fin.</w:t>
      </w:r>
    </w:p>
    <w:p w:rsidR="001A5EA8" w:rsidRDefault="001A5EA8">
      <w:pPr>
        <w:pStyle w:val="articlesdelaLATMP"/>
      </w:pPr>
    </w:p>
    <w:p w:rsidR="001A5EA8" w:rsidRDefault="001A5EA8">
      <w:pPr>
        <w:pStyle w:val="articlesdelaLATMP"/>
      </w:pPr>
      <w:r>
        <w:t>Le travailleur ou, le cas échéant, le bénéficiaire, remet à l'employeur copie de ce formulaire dûment rempli et signé.</w:t>
      </w:r>
    </w:p>
    <w:p w:rsidR="001A5EA8" w:rsidRDefault="001A5EA8">
      <w:pPr>
        <w:pStyle w:val="articlesdelaLATMP"/>
      </w:pPr>
    </w:p>
    <w:p w:rsidR="001A5EA8" w:rsidRDefault="001A5EA8">
      <w:pPr>
        <w:pStyle w:val="articlesdelaLATMP"/>
      </w:pPr>
    </w:p>
    <w:p w:rsidR="001A5EA8" w:rsidRDefault="001A5EA8" w:rsidP="004356E5">
      <w:pPr>
        <w:pStyle w:val="corpsdedcision"/>
      </w:pPr>
      <w:r>
        <w:t>L’article 352 de la Loi permet à la Commission de prolonger le délai ou de relever une personne des conséquences de son défaut de le respecter, lorsque celle-ci démontre un motif raisonnable pour expliquer son retard.</w:t>
      </w:r>
    </w:p>
    <w:p w:rsidR="004356E5" w:rsidRDefault="004356E5" w:rsidP="004356E5">
      <w:pPr>
        <w:pStyle w:val="corpsdedcision"/>
      </w:pPr>
      <w:r>
        <w:t>La notion de motif raisonnable n’est pas définie à la Loi.</w:t>
      </w:r>
    </w:p>
    <w:p w:rsidR="004356E5" w:rsidRDefault="004356E5" w:rsidP="004356E5">
      <w:pPr>
        <w:pStyle w:val="corpsdedcision"/>
      </w:pPr>
      <w:r>
        <w:t xml:space="preserve">La Commission d’appel en matière de lésions professionnelles (la CALP) dans l’affaire </w:t>
      </w:r>
      <w:r w:rsidRPr="00E007C3">
        <w:rPr>
          <w:i/>
        </w:rPr>
        <w:t>Roy</w:t>
      </w:r>
      <w:r>
        <w:t xml:space="preserve"> et </w:t>
      </w:r>
      <w:r w:rsidRPr="00E007C3">
        <w:rPr>
          <w:i/>
        </w:rPr>
        <w:t>Communauté urbaine de Montréal</w:t>
      </w:r>
      <w:r w:rsidRPr="00043845">
        <w:rPr>
          <w:rStyle w:val="Appelnotedebasdep"/>
        </w:rPr>
        <w:footnoteReference w:id="4"/>
      </w:r>
      <w:r>
        <w:t xml:space="preserve"> s’est penchée sur cette notion de </w:t>
      </w:r>
      <w:r w:rsidRPr="00E007C3">
        <w:rPr>
          <w:rStyle w:val="Citationintgre"/>
        </w:rPr>
        <w:t>«</w:t>
      </w:r>
      <w:r w:rsidR="00043845">
        <w:rPr>
          <w:rStyle w:val="Citationintgre"/>
        </w:rPr>
        <w:t> </w:t>
      </w:r>
      <w:r w:rsidRPr="00E007C3">
        <w:rPr>
          <w:rStyle w:val="Citationintgre"/>
        </w:rPr>
        <w:t>motif raisonnable</w:t>
      </w:r>
      <w:r w:rsidR="00043845">
        <w:rPr>
          <w:rStyle w:val="Citationintgre"/>
        </w:rPr>
        <w:t> </w:t>
      </w:r>
      <w:r w:rsidRPr="00E007C3">
        <w:rPr>
          <w:rStyle w:val="Citationintgre"/>
        </w:rPr>
        <w:t>»</w:t>
      </w:r>
      <w:r>
        <w:t xml:space="preserve"> et l’a interprétée comme suit :</w:t>
      </w:r>
    </w:p>
    <w:p w:rsidR="004356E5" w:rsidRDefault="004356E5" w:rsidP="004356E5">
      <w:pPr>
        <w:pStyle w:val="citation"/>
      </w:pPr>
      <w:r>
        <w:t>Le motif raisonnable est un critère vaste dont l’interprétation pourra varier dans le temps tout comme celle de la notion du bon père de famille, de l’homme prudent et diligent. Il va sans dire, cependant, qu’il doit y avoir motif raisonnable et que le Tribunal ne saurait sanctionner la négligence d’une partie.</w:t>
      </w:r>
    </w:p>
    <w:p w:rsidR="004356E5" w:rsidRDefault="004356E5" w:rsidP="004356E5">
      <w:pPr>
        <w:pStyle w:val="citation"/>
      </w:pPr>
    </w:p>
    <w:p w:rsidR="004356E5" w:rsidRDefault="004356E5" w:rsidP="004356E5">
      <w:pPr>
        <w:pStyle w:val="citation"/>
      </w:pPr>
      <w:r>
        <w:t>La notion de motif raisonnable est, selon la Commission d’appel, une notion large permettant de considérer un ensemble de facteurs susceptibles d’indiquer, à partir des faits, des démarches, des comportements, de la conjoncture, des circonstances, e</w:t>
      </w:r>
      <w:r w:rsidR="00D86A95">
        <w:t>tc</w:t>
      </w:r>
      <w:r>
        <w:t>., si une personne a un motif non farfelu, crédible et qui fait preuve de bon sens, de mesure et de réflexion.</w:t>
      </w:r>
    </w:p>
    <w:p w:rsidR="004356E5" w:rsidRDefault="004356E5" w:rsidP="004356E5">
      <w:pPr>
        <w:pStyle w:val="citation"/>
      </w:pPr>
    </w:p>
    <w:p w:rsidR="004356E5" w:rsidRDefault="004356E5" w:rsidP="004356E5">
      <w:pPr>
        <w:pStyle w:val="citation"/>
      </w:pPr>
    </w:p>
    <w:p w:rsidR="004356E5" w:rsidRDefault="004356E5" w:rsidP="004356E5">
      <w:pPr>
        <w:pStyle w:val="corpsdedcision"/>
      </w:pPr>
      <w:r>
        <w:t xml:space="preserve">Cette interprétation de la notion de </w:t>
      </w:r>
      <w:r w:rsidRPr="0052774D">
        <w:rPr>
          <w:rStyle w:val="Citationintgre"/>
        </w:rPr>
        <w:t>« motif raisonnable</w:t>
      </w:r>
      <w:r w:rsidR="00E34767">
        <w:rPr>
          <w:rStyle w:val="Citationintgre"/>
        </w:rPr>
        <w:t> </w:t>
      </w:r>
      <w:r w:rsidRPr="0052774D">
        <w:rPr>
          <w:rStyle w:val="Citationintgre"/>
        </w:rPr>
        <w:t>»</w:t>
      </w:r>
      <w:r>
        <w:t xml:space="preserve"> a été régulièrement reprise dans des jugements de la Commission des lésions professionnelles</w:t>
      </w:r>
      <w:r>
        <w:rPr>
          <w:rStyle w:val="Appelnotedebasdep"/>
        </w:rPr>
        <w:footnoteReference w:id="5"/>
      </w:r>
      <w:r>
        <w:t xml:space="preserve"> et du Tribunal. </w:t>
      </w:r>
    </w:p>
    <w:p w:rsidR="004356E5" w:rsidRDefault="004356E5" w:rsidP="004356E5">
      <w:pPr>
        <w:pStyle w:val="corpsdedcision"/>
      </w:pPr>
      <w:r>
        <w:t>Ces principes sont toujours d’actualités; les tribunaux supérieurs ayant également rappelé à plusieurs reprises à la Commission des lésions professionnelles, maintenant le Tribunal administratif du travail</w:t>
      </w:r>
      <w:r w:rsidR="00E34767">
        <w:t>,</w:t>
      </w:r>
      <w:r>
        <w:t xml:space="preserve"> l’importance d’une interprétation large et souple des délais prévus aux lois à caractère social, ainsi que de l’examen de l’ensemble de la preuve et des circonstances propres au dossier.</w:t>
      </w:r>
    </w:p>
    <w:p w:rsidR="004356E5" w:rsidRDefault="004356E5" w:rsidP="00287CA2">
      <w:pPr>
        <w:pStyle w:val="corpsdedcision"/>
        <w:keepNext/>
      </w:pPr>
      <w:r>
        <w:t xml:space="preserve">Dans l’affaire </w:t>
      </w:r>
      <w:r w:rsidRPr="00830E79">
        <w:rPr>
          <w:i/>
        </w:rPr>
        <w:t xml:space="preserve">Cormier </w:t>
      </w:r>
      <w:r w:rsidRPr="0060640F">
        <w:t>c.</w:t>
      </w:r>
      <w:r w:rsidRPr="00830E79">
        <w:rPr>
          <w:i/>
        </w:rPr>
        <w:t xml:space="preserve"> Commission des lésions professionnelles</w:t>
      </w:r>
      <w:r>
        <w:rPr>
          <w:rStyle w:val="Appelnotedebasdep"/>
        </w:rPr>
        <w:footnoteReference w:id="6"/>
      </w:r>
      <w:r>
        <w:rPr>
          <w:i/>
        </w:rPr>
        <w:t>,</w:t>
      </w:r>
      <w:r>
        <w:t xml:space="preserve"> la Cour supérieure émet le commentaire suivant :</w:t>
      </w:r>
    </w:p>
    <w:p w:rsidR="004356E5" w:rsidRDefault="004356E5" w:rsidP="00287CA2">
      <w:pPr>
        <w:pStyle w:val="citation"/>
        <w:keepNext/>
      </w:pPr>
      <w:r>
        <w:rPr>
          <w:rFonts w:cs="Arial"/>
        </w:rPr>
        <w:t>[</w:t>
      </w:r>
      <w:r>
        <w:t>57</w:t>
      </w:r>
      <w:r>
        <w:rPr>
          <w:rFonts w:cs="Arial"/>
        </w:rPr>
        <w:t>]</w:t>
      </w:r>
      <w:r>
        <w:tab/>
        <w:t xml:space="preserve">Il faut que les organismes administratifs cessent d’être plus rigides que les tribunaux de droit commun quant à la procédure. Rarement devant un Tribunal ordinaire, un justiciable perd un droit à cause de la procédure. L’article 352 de ladite loi permet de prolonger un délai lorsqu’on a des motifs raisonnables. </w:t>
      </w:r>
      <w:r>
        <w:rPr>
          <w:rFonts w:cs="Arial"/>
        </w:rPr>
        <w:t>[</w:t>
      </w:r>
      <w:r>
        <w:t>…</w:t>
      </w:r>
      <w:r>
        <w:rPr>
          <w:rFonts w:cs="Arial"/>
        </w:rPr>
        <w:t>]</w:t>
      </w:r>
    </w:p>
    <w:p w:rsidR="004356E5" w:rsidRDefault="004356E5" w:rsidP="004356E5">
      <w:pPr>
        <w:pStyle w:val="citation"/>
      </w:pPr>
    </w:p>
    <w:p w:rsidR="004356E5" w:rsidRDefault="004356E5" w:rsidP="004356E5">
      <w:pPr>
        <w:pStyle w:val="citation"/>
      </w:pPr>
    </w:p>
    <w:p w:rsidR="004356E5" w:rsidRDefault="004356E5" w:rsidP="004356E5">
      <w:pPr>
        <w:pStyle w:val="corpsdedcision"/>
        <w:keepNext/>
      </w:pPr>
      <w:r>
        <w:t xml:space="preserve">Dans l’affaire </w:t>
      </w:r>
      <w:r w:rsidRPr="00830E79">
        <w:rPr>
          <w:i/>
        </w:rPr>
        <w:t xml:space="preserve">Torres </w:t>
      </w:r>
      <w:r w:rsidRPr="0060640F">
        <w:t>c</w:t>
      </w:r>
      <w:r>
        <w:t>.</w:t>
      </w:r>
      <w:r w:rsidRPr="00830E79">
        <w:rPr>
          <w:i/>
        </w:rPr>
        <w:t xml:space="preserve"> Commission des lésions professionnelles</w:t>
      </w:r>
      <w:r>
        <w:rPr>
          <w:rStyle w:val="Appelnotedebasdep"/>
          <w:i/>
        </w:rPr>
        <w:footnoteReference w:id="7"/>
      </w:r>
      <w:r>
        <w:rPr>
          <w:i/>
        </w:rPr>
        <w:t xml:space="preserve">, </w:t>
      </w:r>
      <w:r w:rsidRPr="00830E79">
        <w:t xml:space="preserve">la </w:t>
      </w:r>
      <w:r>
        <w:t>C</w:t>
      </w:r>
      <w:r w:rsidRPr="00830E79">
        <w:t xml:space="preserve">our </w:t>
      </w:r>
      <w:r>
        <w:t>s</w:t>
      </w:r>
      <w:r w:rsidRPr="00830E79">
        <w:t>upérieure</w:t>
      </w:r>
      <w:r>
        <w:t xml:space="preserve"> mentionne que le Tribunal, dans l’intérêt de la justice administrative, doit s’attarder au mérite du dossier plutôt que de bloquer un recours sur une base procédurale.</w:t>
      </w:r>
    </w:p>
    <w:p w:rsidR="004356E5" w:rsidRDefault="004356E5" w:rsidP="004356E5">
      <w:pPr>
        <w:pStyle w:val="corpsdedcision"/>
      </w:pPr>
      <w:r>
        <w:t xml:space="preserve">Enfin, la Cour d’appel dans l’affaire </w:t>
      </w:r>
      <w:r w:rsidRPr="00B33903">
        <w:rPr>
          <w:i/>
        </w:rPr>
        <w:t xml:space="preserve">Boissonneault </w:t>
      </w:r>
      <w:r w:rsidRPr="0060640F">
        <w:t>c.</w:t>
      </w:r>
      <w:r w:rsidRPr="00B33903">
        <w:rPr>
          <w:i/>
        </w:rPr>
        <w:t xml:space="preserve"> Construction Marquis Laflamme inc.</w:t>
      </w:r>
      <w:r w:rsidRPr="0060640F">
        <w:rPr>
          <w:rStyle w:val="Appelnotedebasdep"/>
        </w:rPr>
        <w:footnoteReference w:id="8"/>
      </w:r>
      <w:r w:rsidR="00E34767">
        <w:t>,</w:t>
      </w:r>
      <w:r>
        <w:t xml:space="preserve"> </w:t>
      </w:r>
      <w:r w:rsidRPr="00B33903">
        <w:t>nous enseigne ce qui suit :</w:t>
      </w:r>
    </w:p>
    <w:p w:rsidR="004356E5" w:rsidRDefault="004356E5" w:rsidP="004356E5">
      <w:pPr>
        <w:pStyle w:val="citation"/>
      </w:pPr>
      <w:r>
        <w:rPr>
          <w:rFonts w:cs="Arial"/>
        </w:rPr>
        <w:t>[</w:t>
      </w:r>
      <w:r>
        <w:t>28</w:t>
      </w:r>
      <w:r>
        <w:rPr>
          <w:rFonts w:cs="Arial"/>
        </w:rPr>
        <w:t>]</w:t>
      </w:r>
      <w:r>
        <w:tab/>
        <w:t xml:space="preserve">La L.a.t.m.p. législation d’ordre public à vocation hautement sociale, doit recevoir une interprétation large et libérale, qui assure l’accomplissement de son objet et l’exécution de ses prescriptions suivant leurs véritables sens, esprit et fin. Par ailleurs, en matière de déchéance de droit, il parait raisonnable d’interpréter les dispositions de la loi de manière à protéger les droits du justiciable. C’est certes le cas lorsque la législation dont il s’agit en est une, comme en l’espèce, à vocation sociale. </w:t>
      </w:r>
    </w:p>
    <w:p w:rsidR="004356E5" w:rsidRDefault="004356E5" w:rsidP="004356E5">
      <w:pPr>
        <w:pStyle w:val="citation"/>
      </w:pPr>
    </w:p>
    <w:p w:rsidR="004356E5" w:rsidRDefault="004356E5" w:rsidP="004356E5">
      <w:pPr>
        <w:pStyle w:val="citation"/>
      </w:pPr>
      <w:r>
        <w:rPr>
          <w:rFonts w:cs="Arial"/>
        </w:rPr>
        <w:t>[</w:t>
      </w:r>
      <w:r>
        <w:t>…</w:t>
      </w:r>
      <w:r>
        <w:rPr>
          <w:rFonts w:cs="Arial"/>
        </w:rPr>
        <w:t>]</w:t>
      </w:r>
    </w:p>
    <w:p w:rsidR="004356E5" w:rsidRDefault="004356E5" w:rsidP="004356E5">
      <w:pPr>
        <w:pStyle w:val="citation"/>
      </w:pPr>
    </w:p>
    <w:p w:rsidR="004356E5" w:rsidRPr="00B33903" w:rsidRDefault="004356E5" w:rsidP="004356E5">
      <w:pPr>
        <w:pStyle w:val="citation"/>
      </w:pPr>
      <w:r>
        <w:rPr>
          <w:rFonts w:cs="Arial"/>
        </w:rPr>
        <w:t>[</w:t>
      </w:r>
      <w:r>
        <w:t>36</w:t>
      </w:r>
      <w:r>
        <w:rPr>
          <w:rFonts w:cs="Arial"/>
        </w:rPr>
        <w:t>]</w:t>
      </w:r>
      <w:r>
        <w:tab/>
        <w:t>Premièrement, le retard en le tenant pour acquis est modeste. Il est tout au plus de quatre mois et demi, si on le calcule comme la CLP l’a considéré. En gardant à l’esprit les principes juridiques d’interprétation législative énoncés ci-dessus en matière de déchéance d’un droit, le délai est plutôt d’à peine un mois, en prenant la date de la première consultation médicale et celle de la production des rapports médicaux à la CSST. Le juge de première instance relève ce fait dans la chronologie, mais n’y revient pas dans son analyse, et ce, même si la CLP fait abstraction de son incidence.</w:t>
      </w:r>
    </w:p>
    <w:p w:rsidR="004356E5" w:rsidRDefault="004356E5" w:rsidP="004356E5">
      <w:pPr>
        <w:pStyle w:val="citation"/>
      </w:pPr>
    </w:p>
    <w:p w:rsidR="004356E5" w:rsidRPr="0052774D" w:rsidRDefault="004356E5" w:rsidP="004356E5">
      <w:pPr>
        <w:pStyle w:val="citation"/>
        <w:rPr>
          <w:sz w:val="24"/>
          <w:szCs w:val="24"/>
        </w:rPr>
      </w:pPr>
      <w:r w:rsidRPr="0052774D">
        <w:rPr>
          <w:rFonts w:cs="Arial"/>
          <w:sz w:val="24"/>
          <w:szCs w:val="24"/>
        </w:rPr>
        <w:t>[</w:t>
      </w:r>
      <w:r w:rsidRPr="0052774D">
        <w:rPr>
          <w:sz w:val="24"/>
          <w:szCs w:val="24"/>
        </w:rPr>
        <w:t>Transcription textuelle</w:t>
      </w:r>
      <w:r w:rsidRPr="0052774D">
        <w:rPr>
          <w:rFonts w:cs="Arial"/>
          <w:sz w:val="24"/>
          <w:szCs w:val="24"/>
        </w:rPr>
        <w:t>]</w:t>
      </w:r>
    </w:p>
    <w:p w:rsidR="004356E5" w:rsidRDefault="004356E5" w:rsidP="004356E5">
      <w:pPr>
        <w:pStyle w:val="citation"/>
      </w:pPr>
    </w:p>
    <w:p w:rsidR="004356E5" w:rsidRDefault="004356E5" w:rsidP="004356E5">
      <w:pPr>
        <w:pStyle w:val="citation"/>
      </w:pPr>
    </w:p>
    <w:p w:rsidR="004356E5" w:rsidRDefault="004356E5" w:rsidP="004356E5">
      <w:pPr>
        <w:pStyle w:val="corpsdedcision"/>
      </w:pPr>
      <w:r>
        <w:t>Après avoir révisé la jurisprudence pertinente en la matière, le Tribunal s’attarde maintenant à l’analyse du contexte ayant mené au hors délai et aux explications fournies par le travailleur.</w:t>
      </w:r>
    </w:p>
    <w:p w:rsidR="008B3513" w:rsidRDefault="004356E5" w:rsidP="003547D4">
      <w:pPr>
        <w:pStyle w:val="corpsdedcision"/>
      </w:pPr>
      <w:r>
        <w:t xml:space="preserve">Le Tribunal doit analyser le comportement du travailleur dans son ensemble pour établir sa diligence et la soussignée doit appliquer aux faits une norme flexible adaptée à la nature du délai, aux objectifs poursuivis par la Loi et aux circonstances de l’affaire. C’est d’ailleurs ce qu’évoque la Cour supérieure dans l’affaire </w:t>
      </w:r>
      <w:r w:rsidRPr="00E67FEC">
        <w:rPr>
          <w:i/>
        </w:rPr>
        <w:t>Danstok Intl</w:t>
      </w:r>
      <w:r>
        <w:t xml:space="preserve"> c. </w:t>
      </w:r>
      <w:r w:rsidRPr="00E67FEC">
        <w:rPr>
          <w:i/>
        </w:rPr>
        <w:t>Tribunal administratif du travail</w:t>
      </w:r>
      <w:r>
        <w:rPr>
          <w:rStyle w:val="Appelnotedebasdep"/>
        </w:rPr>
        <w:footnoteReference w:id="9"/>
      </w:r>
      <w:r w:rsidRPr="00E67FEC">
        <w:rPr>
          <w:i/>
        </w:rPr>
        <w:t>.</w:t>
      </w:r>
    </w:p>
    <w:p w:rsidR="00047A2B" w:rsidRDefault="00047A2B" w:rsidP="00047A2B">
      <w:pPr>
        <w:pStyle w:val="corpsdedcision"/>
      </w:pPr>
      <w:r>
        <w:t>Le 7 avril 2015, le travailleur se présente à l’</w:t>
      </w:r>
      <w:r w:rsidR="00E34767">
        <w:t>u</w:t>
      </w:r>
      <w:r>
        <w:t>rgence</w:t>
      </w:r>
      <w:r w:rsidR="00E67FEC">
        <w:t>. Il voit</w:t>
      </w:r>
      <w:r>
        <w:t xml:space="preserve"> le docteur</w:t>
      </w:r>
      <w:r w:rsidR="00E34767">
        <w:t> </w:t>
      </w:r>
      <w:r w:rsidR="00F70E9B">
        <w:t>François</w:t>
      </w:r>
      <w:r w:rsidR="00375D5C">
        <w:t> </w:t>
      </w:r>
      <w:r w:rsidR="00F70E9B">
        <w:t xml:space="preserve"> </w:t>
      </w:r>
      <w:r w:rsidR="00375D5C">
        <w:t>Normand-</w:t>
      </w:r>
      <w:r w:rsidR="00F70E9B">
        <w:t xml:space="preserve">Lauzière </w:t>
      </w:r>
      <w:r>
        <w:t>qui pose un diagnostic de fracture ouverte au pouce droit. Il prescrit un arrêt de travail et réfère le travailleur en orthopédie.</w:t>
      </w:r>
      <w:r w:rsidR="00656925">
        <w:t xml:space="preserve"> Le médecin confirme une consolidation de plus de </w:t>
      </w:r>
      <w:r w:rsidR="00375D5C">
        <w:t>quatorze</w:t>
      </w:r>
      <w:r w:rsidR="00656925">
        <w:t xml:space="preserve"> jours.</w:t>
      </w:r>
      <w:r w:rsidR="00145A42">
        <w:t xml:space="preserve"> </w:t>
      </w:r>
    </w:p>
    <w:p w:rsidR="009A79A7" w:rsidRDefault="009A79A7" w:rsidP="009A79A7">
      <w:pPr>
        <w:pStyle w:val="corpsdedcision"/>
      </w:pPr>
      <w:r>
        <w:t>Le travailleur déclare l’év</w:t>
      </w:r>
      <w:r w:rsidR="00375D5C">
        <w:t>è</w:t>
      </w:r>
      <w:r>
        <w:t>nement à l’employeur lors de cette première consultation médicale. Le jour même, il remet à l’employeur l’attestation médicale remis</w:t>
      </w:r>
      <w:r w:rsidR="00375D5C">
        <w:t>e</w:t>
      </w:r>
      <w:r>
        <w:t xml:space="preserve"> par le médecin qui a charge. À cette même occasion, il parle au contremaître de la nécessité de modifier les tuyaux pour éviter qu’un accident semblable se reproduise dans le futur. Pour sa part, l’employeur produit une demande d’assignation</w:t>
      </w:r>
      <w:r w:rsidR="00375D5C">
        <w:t>,</w:t>
      </w:r>
      <w:r>
        <w:t xml:space="preserve"> dès le départ, qui est refusée par le médecin traitant en raison de la gravité de la lésion.</w:t>
      </w:r>
    </w:p>
    <w:p w:rsidR="001B5925" w:rsidRDefault="001B5925" w:rsidP="00047A2B">
      <w:pPr>
        <w:pStyle w:val="corpsdedcision"/>
      </w:pPr>
      <w:r>
        <w:t xml:space="preserve">Le </w:t>
      </w:r>
      <w:r w:rsidR="003D1B17" w:rsidRPr="003D1B17">
        <w:t>15</w:t>
      </w:r>
      <w:r w:rsidRPr="003D1B17">
        <w:t xml:space="preserve"> avril</w:t>
      </w:r>
      <w:r w:rsidR="00375D5C" w:rsidRPr="003D1B17">
        <w:t xml:space="preserve"> 2015</w:t>
      </w:r>
      <w:r>
        <w:t>, le travailleur consulte</w:t>
      </w:r>
      <w:r w:rsidR="00454955">
        <w:t xml:space="preserve"> le docteur </w:t>
      </w:r>
      <w:r w:rsidR="00454955" w:rsidRPr="006A0445">
        <w:t>Jean-Martin Turgeon</w:t>
      </w:r>
      <w:r>
        <w:t>, chirurgien orthopédiste. Il constate que le travailleur présente une plaie bien réparée, un pouce distal viable avec une bonne perfusion distalement et une fracture légèrement déplacée</w:t>
      </w:r>
      <w:r w:rsidR="00375D5C">
        <w:t>,</w:t>
      </w:r>
      <w:r>
        <w:t xml:space="preserve"> mais dans une position acceptable. </w:t>
      </w:r>
      <w:r w:rsidR="003D1B17">
        <w:t xml:space="preserve">À cette même occasion, un contrôle radiologique démontre un non-déplacement de cette fracture. </w:t>
      </w:r>
      <w:r>
        <w:t xml:space="preserve">Un traitement conservateur avec attelle est </w:t>
      </w:r>
      <w:r w:rsidR="009F1CCF">
        <w:t xml:space="preserve">alors </w:t>
      </w:r>
      <w:r>
        <w:t>prescrit.</w:t>
      </w:r>
      <w:r w:rsidR="003D1B17">
        <w:t xml:space="preserve"> Le docteur Turgeon confirme une consolidation de plus de soixante jours et il autorise une assignation temporaire.</w:t>
      </w:r>
    </w:p>
    <w:p w:rsidR="00CC2D8D" w:rsidRDefault="00CC2D8D" w:rsidP="00CC2D8D">
      <w:pPr>
        <w:pStyle w:val="corpsdedcision"/>
      </w:pPr>
      <w:r>
        <w:t>Après son arrêt de travail</w:t>
      </w:r>
      <w:r w:rsidR="000F2F16">
        <w:t xml:space="preserve"> d</w:t>
      </w:r>
      <w:r w:rsidR="00B172BD">
        <w:t>’</w:t>
      </w:r>
      <w:r w:rsidR="000F2F16">
        <w:t>u</w:t>
      </w:r>
      <w:r w:rsidR="00B172BD">
        <w:t>ne durée de sept jours</w:t>
      </w:r>
      <w:r w:rsidR="00A5753B">
        <w:t>,</w:t>
      </w:r>
      <w:r w:rsidR="00B172BD">
        <w:t xml:space="preserve"> soit du</w:t>
      </w:r>
      <w:r w:rsidR="000F2F16">
        <w:t xml:space="preserve"> 7 au 14 avril 2015</w:t>
      </w:r>
      <w:r>
        <w:t xml:space="preserve">, le travailleur poursuit son travail </w:t>
      </w:r>
      <w:r w:rsidR="00B172BD">
        <w:t>régulier par la suite</w:t>
      </w:r>
      <w:r w:rsidR="00A5753B">
        <w:t>,</w:t>
      </w:r>
      <w:r w:rsidR="00B172BD">
        <w:t xml:space="preserve"> et ce,</w:t>
      </w:r>
      <w:r w:rsidR="000F2F16">
        <w:t xml:space="preserve"> </w:t>
      </w:r>
      <w:r>
        <w:t>malgré ses limitations.</w:t>
      </w:r>
      <w:r w:rsidR="009A79A7">
        <w:t xml:space="preserve"> </w:t>
      </w:r>
    </w:p>
    <w:p w:rsidR="0098519B" w:rsidRDefault="004036AD" w:rsidP="003547D4">
      <w:pPr>
        <w:pStyle w:val="corpsdedcision"/>
      </w:pPr>
      <w:r>
        <w:t xml:space="preserve">Le </w:t>
      </w:r>
      <w:r w:rsidRPr="009F1CCF">
        <w:t>2</w:t>
      </w:r>
      <w:r w:rsidR="009F1CCF" w:rsidRPr="009F1CCF">
        <w:t>8</w:t>
      </w:r>
      <w:r w:rsidRPr="009F1CCF">
        <w:t xml:space="preserve"> avril 2015</w:t>
      </w:r>
      <w:r>
        <w:t>,</w:t>
      </w:r>
      <w:r w:rsidR="001B5925">
        <w:t xml:space="preserve"> le docteur </w:t>
      </w:r>
      <w:r>
        <w:t>Turgeon pose un diagnostic de fracture ouverte au pouce droit</w:t>
      </w:r>
      <w:r w:rsidR="0098519B">
        <w:t>.</w:t>
      </w:r>
      <w:r w:rsidR="00E67FEC">
        <w:t xml:space="preserve"> </w:t>
      </w:r>
      <w:r w:rsidR="009F1CCF">
        <w:t>C</w:t>
      </w:r>
      <w:r w:rsidR="00E67FEC">
        <w:t xml:space="preserve">elui-ci prescrit </w:t>
      </w:r>
      <w:r w:rsidR="0098519B">
        <w:t xml:space="preserve">des traitements de physiothérapie et d’ergothérapie. </w:t>
      </w:r>
    </w:p>
    <w:p w:rsidR="00683FD9" w:rsidRDefault="0098519B" w:rsidP="00683FD9">
      <w:pPr>
        <w:pStyle w:val="corpsdedcision"/>
      </w:pPr>
      <w:r>
        <w:t>À sa demande</w:t>
      </w:r>
      <w:r w:rsidR="00A5753B">
        <w:t>,</w:t>
      </w:r>
      <w:r>
        <w:t xml:space="preserve"> le travailleur est affecté dans le </w:t>
      </w:r>
      <w:r w:rsidR="002B333A">
        <w:t>G</w:t>
      </w:r>
      <w:r>
        <w:t xml:space="preserve">rand Nord à compter du </w:t>
      </w:r>
      <w:r w:rsidRPr="009F1CCF">
        <w:t>4</w:t>
      </w:r>
      <w:r w:rsidR="00A5753B" w:rsidRPr="009F1CCF">
        <w:t> </w:t>
      </w:r>
      <w:r w:rsidRPr="009F1CCF">
        <w:t>mai</w:t>
      </w:r>
      <w:r w:rsidR="00A5753B" w:rsidRPr="009F1CCF">
        <w:t> </w:t>
      </w:r>
      <w:r w:rsidRPr="009F1CCF">
        <w:t>2015</w:t>
      </w:r>
      <w:r>
        <w:t>.</w:t>
      </w:r>
      <w:r w:rsidR="00E67FEC">
        <w:t xml:space="preserve"> </w:t>
      </w:r>
      <w:r w:rsidR="00683FD9">
        <w:t>Le 28 avril 2015, quelques jours avant son départ, il tente de prendre rendez</w:t>
      </w:r>
      <w:r w:rsidR="00287CA2">
        <w:noBreakHyphen/>
      </w:r>
      <w:r w:rsidR="00683FD9">
        <w:t>vous avec un ergothérapeute</w:t>
      </w:r>
      <w:r w:rsidR="00D64894">
        <w:t>,</w:t>
      </w:r>
      <w:r w:rsidR="00683FD9">
        <w:t xml:space="preserve"> et ce, sans succès, aucun n’étant disponible à ce moment.</w:t>
      </w:r>
    </w:p>
    <w:p w:rsidR="0098519B" w:rsidRDefault="00E67FEC" w:rsidP="003547D4">
      <w:pPr>
        <w:pStyle w:val="corpsdedcision"/>
      </w:pPr>
      <w:r>
        <w:t>À son retour dans la région, il consulte l’e</w:t>
      </w:r>
      <w:r w:rsidR="007756BB">
        <w:t>rgothérapeute le 18 août 2015.</w:t>
      </w:r>
      <w:r w:rsidR="00D64894">
        <w:t xml:space="preserve"> </w:t>
      </w:r>
      <w:r w:rsidR="007756BB">
        <w:t>Il</w:t>
      </w:r>
      <w:r>
        <w:t xml:space="preserve"> voit également le docteur Turgeon, le 24 août</w:t>
      </w:r>
      <w:r w:rsidR="00D64894">
        <w:t xml:space="preserve"> 2015, qui </w:t>
      </w:r>
      <w:r w:rsidR="002B333A" w:rsidRPr="009F1CCF">
        <w:t>remplit</w:t>
      </w:r>
      <w:r w:rsidR="00D64894">
        <w:t xml:space="preserve"> un rapport final.</w:t>
      </w:r>
      <w:r>
        <w:t xml:space="preserve"> Celui-ci consolide la lésion à cette même date, il prévoit </w:t>
      </w:r>
      <w:r w:rsidR="007756BB">
        <w:t xml:space="preserve">également </w:t>
      </w:r>
      <w:r>
        <w:t>des séquelles permanentes sans limitations fonctionnelles.</w:t>
      </w:r>
    </w:p>
    <w:p w:rsidR="004036AD" w:rsidRDefault="00E67FEC" w:rsidP="004036AD">
      <w:pPr>
        <w:pStyle w:val="corpsdedcision"/>
      </w:pPr>
      <w:r>
        <w:t xml:space="preserve">Dans son </w:t>
      </w:r>
      <w:r w:rsidR="0098519B">
        <w:t xml:space="preserve">rapport d’évaluation médicale du </w:t>
      </w:r>
      <w:r w:rsidR="004036AD">
        <w:t>6 novembre 2015, le docteur Turge</w:t>
      </w:r>
      <w:r w:rsidR="005775B3">
        <w:t xml:space="preserve">on </w:t>
      </w:r>
      <w:r w:rsidR="004036AD">
        <w:t>pose un diagnostic de fracture au pouce droit.</w:t>
      </w:r>
      <w:r w:rsidR="00746B90">
        <w:t xml:space="preserve"> Il</w:t>
      </w:r>
      <w:r w:rsidR="00F70E9B">
        <w:t xml:space="preserve"> accorde une atteinte permanente </w:t>
      </w:r>
      <w:r w:rsidR="0097754E">
        <w:t>de 3</w:t>
      </w:r>
      <w:r w:rsidR="009007FB">
        <w:t> </w:t>
      </w:r>
      <w:r w:rsidR="0097754E">
        <w:t xml:space="preserve">% </w:t>
      </w:r>
      <w:r w:rsidR="00F70E9B">
        <w:t>sans limitation fonctionnelle.</w:t>
      </w:r>
      <w:r w:rsidR="00924BA1">
        <w:t xml:space="preserve"> Aux dires du travailleur, le docteur Turgeon lui mentionne qu’il devrait recevoir sous peu son indemnité pour préjudice corporel de la part de la Commission.</w:t>
      </w:r>
    </w:p>
    <w:p w:rsidR="004E0058" w:rsidRDefault="004E0058" w:rsidP="004036AD">
      <w:pPr>
        <w:pStyle w:val="corpsdedcision"/>
      </w:pPr>
      <w:r>
        <w:t xml:space="preserve">Le </w:t>
      </w:r>
      <w:r w:rsidRPr="009F1CCF">
        <w:t>9 décembre 2015</w:t>
      </w:r>
      <w:r>
        <w:t>,  le travailleur revoit l’ergothérapeute</w:t>
      </w:r>
      <w:r w:rsidR="009F1CCF">
        <w:t xml:space="preserve"> avant de re</w:t>
      </w:r>
      <w:r w:rsidR="009F1CCF" w:rsidRPr="009F1CCF">
        <w:t>partir</w:t>
      </w:r>
      <w:r w:rsidR="009F1CCF">
        <w:t xml:space="preserve"> pour le Grand Nord</w:t>
      </w:r>
      <w:r>
        <w:t>.</w:t>
      </w:r>
    </w:p>
    <w:p w:rsidR="00E31B0E" w:rsidRDefault="00E31B0E" w:rsidP="00E31B0E">
      <w:pPr>
        <w:pStyle w:val="corpsdedcision"/>
        <w:tabs>
          <w:tab w:val="clear" w:pos="360"/>
          <w:tab w:val="num" w:pos="720"/>
        </w:tabs>
      </w:pPr>
      <w:r>
        <w:t>Trouvant que le temps passait et qu’il n’avait encore rien reçu de la Commission, le travailleur discute avec une amie qui lui conseille de contacter</w:t>
      </w:r>
      <w:r w:rsidR="009F1CCF">
        <w:t xml:space="preserve"> l’organisme</w:t>
      </w:r>
      <w:r>
        <w:t xml:space="preserve">. C’est en février 2017 qu’il apprend que son dossier n’était pas ouvert puisque le formulaire </w:t>
      </w:r>
      <w:r w:rsidRPr="009007FB">
        <w:rPr>
          <w:i/>
        </w:rPr>
        <w:t>Réclamation du travailleur</w:t>
      </w:r>
      <w:r>
        <w:t xml:space="preserve"> n’avait pas été produit. C’est à ce moment qu’il remplit sa réclamation</w:t>
      </w:r>
      <w:r w:rsidR="009007FB">
        <w:t>,</w:t>
      </w:r>
      <w:r>
        <w:t xml:space="preserve"> soit le</w:t>
      </w:r>
      <w:r w:rsidR="009007FB">
        <w:t> </w:t>
      </w:r>
      <w:r>
        <w:t xml:space="preserve"> 4</w:t>
      </w:r>
      <w:r w:rsidR="009007FB">
        <w:t> </w:t>
      </w:r>
      <w:r>
        <w:t>février</w:t>
      </w:r>
      <w:r w:rsidR="009007FB">
        <w:t> </w:t>
      </w:r>
      <w:r>
        <w:t>2017.</w:t>
      </w:r>
    </w:p>
    <w:p w:rsidR="00E31B0E" w:rsidRDefault="00E31B0E" w:rsidP="00E31B0E">
      <w:pPr>
        <w:pStyle w:val="corpsdedcision"/>
      </w:pPr>
      <w:r>
        <w:t>En complément d’information, l’amie du travailleur contacte l’employeur le 24</w:t>
      </w:r>
      <w:r w:rsidR="00537422">
        <w:t> mars </w:t>
      </w:r>
      <w:r>
        <w:t>2017 qui lui apprend que le dossier est fermé. Il dit être désolé de cette situation</w:t>
      </w:r>
      <w:r w:rsidR="00537422">
        <w:t>,</w:t>
      </w:r>
      <w:r>
        <w:t xml:space="preserve"> mais qu’à titre d’employeur</w:t>
      </w:r>
      <w:r w:rsidR="00537422">
        <w:t>,</w:t>
      </w:r>
      <w:r>
        <w:t xml:space="preserve"> il n’avait aucune réclamation à produire ou démarche à faire en rapport avec ce dossier</w:t>
      </w:r>
      <w:r w:rsidR="00537422">
        <w:t>.</w:t>
      </w:r>
    </w:p>
    <w:p w:rsidR="00AF7606" w:rsidRDefault="00AF7606" w:rsidP="00E62623">
      <w:pPr>
        <w:pStyle w:val="corpsdedcision"/>
      </w:pPr>
      <w:r>
        <w:t>Au soutien de ses prétentions</w:t>
      </w:r>
      <w:r w:rsidR="00DB4044">
        <w:t xml:space="preserve"> et plus particulièrement </w:t>
      </w:r>
      <w:r>
        <w:t>concernant le devoir d’assistance de l’employeur, la représentante de l’employeur dépose des extraits du site internet de la Commission destiné</w:t>
      </w:r>
      <w:r w:rsidR="00804604">
        <w:t>s</w:t>
      </w:r>
      <w:r>
        <w:t xml:space="preserve"> à informer les employeurs sur leur</w:t>
      </w:r>
      <w:r w:rsidR="00804604">
        <w:t>s</w:t>
      </w:r>
      <w:r>
        <w:t xml:space="preserve"> responsabilité</w:t>
      </w:r>
      <w:r w:rsidR="00804604">
        <w:t>s</w:t>
      </w:r>
      <w:r>
        <w:t xml:space="preserve"> en matière de gestion des dossiers de santé et </w:t>
      </w:r>
      <w:r w:rsidR="00804604">
        <w:t xml:space="preserve">de </w:t>
      </w:r>
      <w:r>
        <w:t xml:space="preserve">sécurité du travail. </w:t>
      </w:r>
    </w:p>
    <w:p w:rsidR="00AF7606" w:rsidRDefault="00DB4044" w:rsidP="00711ADA">
      <w:pPr>
        <w:pStyle w:val="corpsdedcision"/>
      </w:pPr>
      <w:r>
        <w:t>Sur son site, l</w:t>
      </w:r>
      <w:r w:rsidR="00AF7606">
        <w:t xml:space="preserve">a </w:t>
      </w:r>
      <w:r w:rsidR="00981C59">
        <w:t xml:space="preserve">Commission </w:t>
      </w:r>
      <w:r w:rsidR="00CC2D8D">
        <w:t>informe les employeurs de leur</w:t>
      </w:r>
      <w:r w:rsidR="00804604">
        <w:t>s</w:t>
      </w:r>
      <w:r w:rsidR="00CC2D8D">
        <w:t xml:space="preserve"> </w:t>
      </w:r>
      <w:r w:rsidR="00981C59">
        <w:t>obligation</w:t>
      </w:r>
      <w:r w:rsidR="00804604">
        <w:t>s</w:t>
      </w:r>
      <w:r w:rsidR="00981C59">
        <w:t xml:space="preserve"> </w:t>
      </w:r>
      <w:r w:rsidR="00CC2D8D">
        <w:t>de déclarer tous les accidents de travail ou les maladies professionnelles à survenir</w:t>
      </w:r>
      <w:r w:rsidR="00AF7606">
        <w:t xml:space="preserve"> au sein de leur entreprise et qu’il est de leur</w:t>
      </w:r>
      <w:r w:rsidR="00804604">
        <w:t>s</w:t>
      </w:r>
      <w:r w:rsidR="00AF7606" w:rsidRPr="00AF7606">
        <w:t xml:space="preserve"> </w:t>
      </w:r>
      <w:r w:rsidR="00AF7606">
        <w:t>responsabilité</w:t>
      </w:r>
      <w:r w:rsidR="00804604">
        <w:t>s</w:t>
      </w:r>
      <w:r w:rsidR="00AF7606">
        <w:t xml:space="preserve"> de remplir le formulaire </w:t>
      </w:r>
      <w:r w:rsidR="00AF7606" w:rsidRPr="00804604">
        <w:rPr>
          <w:i/>
        </w:rPr>
        <w:t>Avis de l’employeur et demande de remboursement</w:t>
      </w:r>
      <w:r w:rsidR="00AF7606">
        <w:t>. Ces documents sont essentiels</w:t>
      </w:r>
      <w:r w:rsidR="00804604">
        <w:t>,</w:t>
      </w:r>
      <w:r w:rsidR="00AF7606">
        <w:t xml:space="preserve"> même en l’absence d’arrêt de travail ou de coûts pour l’employeur en rapport avec l’accident. Il s’agit du point de départ pour l’ouverture d’un dossier à la Commission.</w:t>
      </w:r>
    </w:p>
    <w:p w:rsidR="00AF7606" w:rsidRDefault="00DB4044" w:rsidP="00AF7606">
      <w:pPr>
        <w:pStyle w:val="corpsdedcision"/>
        <w:tabs>
          <w:tab w:val="clear" w:pos="360"/>
          <w:tab w:val="num" w:pos="720"/>
        </w:tabs>
      </w:pPr>
      <w:r>
        <w:t xml:space="preserve">Il </w:t>
      </w:r>
      <w:r w:rsidR="00AF7606">
        <w:t xml:space="preserve">ressort également de cette documentation que l’employeur a la responsabilité d’apporter une assistance au travailleur pour remplir le formulaire </w:t>
      </w:r>
      <w:r w:rsidR="00AF7606" w:rsidRPr="00804604">
        <w:rPr>
          <w:i/>
        </w:rPr>
        <w:t>Réclamation du travailleur</w:t>
      </w:r>
      <w:r w:rsidR="00804604">
        <w:t>,</w:t>
      </w:r>
      <w:r w:rsidR="00AF7606">
        <w:t xml:space="preserve"> en cas d’absence de plus de </w:t>
      </w:r>
      <w:r w:rsidR="00804604">
        <w:t>quatorze</w:t>
      </w:r>
      <w:r w:rsidR="00AF7606">
        <w:t xml:space="preserve"> jours. </w:t>
      </w:r>
    </w:p>
    <w:p w:rsidR="004F736A" w:rsidRDefault="00E31B0E" w:rsidP="00C31117">
      <w:pPr>
        <w:pStyle w:val="corpsdedcision"/>
      </w:pPr>
      <w:r>
        <w:t>Sur cette question du devoir d’assistance de l’employeur, la jurisprudence établit un principe général</w:t>
      </w:r>
      <w:r w:rsidR="00981C59">
        <w:t xml:space="preserve"> </w:t>
      </w:r>
      <w:r>
        <w:t xml:space="preserve">selon lequel ce devoir </w:t>
      </w:r>
      <w:r w:rsidR="004F736A">
        <w:t>de l’employeur n’existe que dans l’éventualité où le travailleur décide de produire une réclamation.</w:t>
      </w:r>
      <w:r w:rsidR="00804604">
        <w:t xml:space="preserve"> </w:t>
      </w:r>
      <w:r w:rsidR="00804604" w:rsidRPr="009F1CCF">
        <w:t>Ceci fait en sorte</w:t>
      </w:r>
      <w:r>
        <w:t xml:space="preserve"> qu’il</w:t>
      </w:r>
      <w:r w:rsidR="004F736A">
        <w:t xml:space="preserve"> n’appartient pas à l’employeur de produire une réclamation pour le travailleur ni de l’inciter à soumettre une réclamation. Toutefois, le défaut de l’employeur de prêter assistance à un travailleur ou de lui fournir les informations requises peut constituer un motif raisonnable au sens de l’article 352</w:t>
      </w:r>
      <w:r w:rsidR="00E63261">
        <w:rPr>
          <w:rStyle w:val="Appelnotedebasdep"/>
        </w:rPr>
        <w:footnoteReference w:id="10"/>
      </w:r>
      <w:r w:rsidR="00E63261">
        <w:t>.</w:t>
      </w:r>
    </w:p>
    <w:p w:rsidR="008D2F08" w:rsidRDefault="00FD7CD8" w:rsidP="00B53202">
      <w:pPr>
        <w:pStyle w:val="corpsdedcision"/>
      </w:pPr>
      <w:r>
        <w:t xml:space="preserve">Le Tribunal comprend que </w:t>
      </w:r>
      <w:r w:rsidR="008D2F08">
        <w:t xml:space="preserve">le devoir d’assistance </w:t>
      </w:r>
      <w:r>
        <w:t>prévu à</w:t>
      </w:r>
      <w:r w:rsidR="008D2F08">
        <w:t xml:space="preserve"> l’article</w:t>
      </w:r>
      <w:r w:rsidR="004C0A19">
        <w:t> </w:t>
      </w:r>
      <w:r w:rsidR="008D2F08">
        <w:t xml:space="preserve">270 de la Loi n’implique pas que l’employeur doive inciter un travailleur à soumettre une réclamation pour une lésion professionnelle ou </w:t>
      </w:r>
      <w:r w:rsidR="00EB7886">
        <w:t xml:space="preserve">à </w:t>
      </w:r>
      <w:r w:rsidR="008D2F08">
        <w:t>décider pour lui de la soumettre</w:t>
      </w:r>
      <w:r w:rsidR="00EB7886">
        <w:t xml:space="preserve">. </w:t>
      </w:r>
      <w:r w:rsidR="00EB7886" w:rsidRPr="009F1CCF">
        <w:t>T</w:t>
      </w:r>
      <w:r w:rsidRPr="009F1CCF">
        <w:t>outefois</w:t>
      </w:r>
      <w:r w:rsidR="00EB7886">
        <w:t>,</w:t>
      </w:r>
      <w:r>
        <w:t xml:space="preserve"> la soussignée est d’avis que </w:t>
      </w:r>
      <w:r w:rsidR="008D2F08">
        <w:t>l’employeur doit tout de même fournir les informations à cet</w:t>
      </w:r>
      <w:r w:rsidR="004C0A19">
        <w:t>te</w:t>
      </w:r>
      <w:r w:rsidR="008D2F08">
        <w:t xml:space="preserve"> fin</w:t>
      </w:r>
      <w:r w:rsidR="00E63261">
        <w:rPr>
          <w:rStyle w:val="Appelnotedebasdep"/>
        </w:rPr>
        <w:footnoteReference w:id="11"/>
      </w:r>
      <w:r w:rsidR="004C0A19">
        <w:t>.</w:t>
      </w:r>
    </w:p>
    <w:p w:rsidR="0022783D" w:rsidRDefault="00FD7CD8" w:rsidP="007B4780">
      <w:pPr>
        <w:pStyle w:val="corpsdedcision"/>
      </w:pPr>
      <w:r>
        <w:t xml:space="preserve">En </w:t>
      </w:r>
      <w:r w:rsidR="00EB7886">
        <w:t>l’</w:t>
      </w:r>
      <w:r>
        <w:t>espèce, il appert de la preuve au dossier que l’employeur n’a pas prêté assistance au travailleur afin de remplir le formulaire de réclamation</w:t>
      </w:r>
      <w:r w:rsidR="0022783D">
        <w:t xml:space="preserve"> prévu à la </w:t>
      </w:r>
      <w:r w:rsidR="00EB7886">
        <w:t>L</w:t>
      </w:r>
      <w:r w:rsidR="0022783D">
        <w:t>oi et ne lui a pas fourni</w:t>
      </w:r>
      <w:r>
        <w:t xml:space="preserve"> de renseignements à cet égard, même s’il était au courant de la </w:t>
      </w:r>
      <w:r w:rsidR="009F1CCF">
        <w:t xml:space="preserve">survenance de la </w:t>
      </w:r>
      <w:r>
        <w:t>lésion</w:t>
      </w:r>
      <w:r w:rsidR="00287CA2">
        <w:t>,</w:t>
      </w:r>
      <w:r>
        <w:t xml:space="preserve"> ayant </w:t>
      </w:r>
      <w:r w:rsidR="00DB4044">
        <w:t xml:space="preserve">d’ailleurs </w:t>
      </w:r>
      <w:r w:rsidR="0022783D">
        <w:t>obtenu la déclaration d’accident du travailleur la journée même</w:t>
      </w:r>
      <w:r w:rsidR="00EB7886">
        <w:t>,</w:t>
      </w:r>
      <w:r w:rsidR="0022783D">
        <w:t xml:space="preserve"> ainsi que les </w:t>
      </w:r>
      <w:r>
        <w:t xml:space="preserve">attestations médicales </w:t>
      </w:r>
      <w:r w:rsidR="0022783D">
        <w:t xml:space="preserve">de la part du </w:t>
      </w:r>
      <w:r>
        <w:t xml:space="preserve">médecin qui a charge </w:t>
      </w:r>
      <w:r w:rsidR="0022783D">
        <w:t>.</w:t>
      </w:r>
    </w:p>
    <w:p w:rsidR="0022783D" w:rsidRDefault="00DB4044" w:rsidP="0022783D">
      <w:pPr>
        <w:pStyle w:val="corpsdedcision"/>
      </w:pPr>
      <w:r>
        <w:t>D’autant plus que tout au long du processus,</w:t>
      </w:r>
      <w:r w:rsidR="00EB7886">
        <w:t xml:space="preserve"> </w:t>
      </w:r>
      <w:r w:rsidR="0022783D">
        <w:t>le travailleur se rend régulièrement à l’hôpital pour rencontrer les médecins et</w:t>
      </w:r>
      <w:r w:rsidR="00D90F11">
        <w:t>,</w:t>
      </w:r>
      <w:r w:rsidR="0022783D">
        <w:t xml:space="preserve"> à chaque fois</w:t>
      </w:r>
      <w:r w:rsidR="00EB7886">
        <w:t>,</w:t>
      </w:r>
      <w:r w:rsidR="0022783D">
        <w:t xml:space="preserve"> l’employeur obtient </w:t>
      </w:r>
      <w:r w:rsidR="00EB7886">
        <w:t xml:space="preserve">une </w:t>
      </w:r>
      <w:r w:rsidR="0022783D">
        <w:t xml:space="preserve">copie des attestations médicales, sans jamais jugé nécessaire de faire ouvrir un dossier à la Commission sachant pourtant que le délai pour produire une réclamation est de </w:t>
      </w:r>
      <w:r w:rsidR="00EB7886">
        <w:t>six</w:t>
      </w:r>
      <w:r w:rsidR="0022783D">
        <w:t xml:space="preserve"> mois.</w:t>
      </w:r>
    </w:p>
    <w:p w:rsidR="00D03E25" w:rsidRDefault="00DB4044" w:rsidP="00D03E25">
      <w:pPr>
        <w:pStyle w:val="corpsdedcision"/>
      </w:pPr>
      <w:r>
        <w:t>De plus</w:t>
      </w:r>
      <w:r w:rsidR="00D03E25">
        <w:t>, l’employeur n’était pas sans savoir</w:t>
      </w:r>
      <w:r w:rsidR="00EB7886">
        <w:t>,</w:t>
      </w:r>
      <w:r w:rsidR="00D03E25">
        <w:t xml:space="preserve"> et ce</w:t>
      </w:r>
      <w:r w:rsidR="00EB7886">
        <w:t>,</w:t>
      </w:r>
      <w:r w:rsidR="00D03E25">
        <w:t xml:space="preserve"> dès le début du processus</w:t>
      </w:r>
      <w:r w:rsidR="00EB7886">
        <w:t>,</w:t>
      </w:r>
      <w:r w:rsidR="00D03E25">
        <w:t xml:space="preserve"> qu’il s’agirait d’une lésion professionnelle dont la consolidation serait plus longue. D’une part, dès la première consultation médicale</w:t>
      </w:r>
      <w:r w:rsidR="00EB7886">
        <w:t>,</w:t>
      </w:r>
      <w:r w:rsidR="00D03E25">
        <w:t xml:space="preserve"> le médecin qui a charge prescrit un arrêt de travail et il prévoit une consolidation de plus de </w:t>
      </w:r>
      <w:r w:rsidR="00EB7886">
        <w:t>quatorze</w:t>
      </w:r>
      <w:r w:rsidR="00D03E25">
        <w:t xml:space="preserve"> jours. La demande d’assignation de l’employeur est alors refusée en raison de la gravité de la lésion et le travailleur est référé en orthopédie. </w:t>
      </w:r>
    </w:p>
    <w:p w:rsidR="00D03E25" w:rsidRDefault="00553D67" w:rsidP="00D03E25">
      <w:pPr>
        <w:pStyle w:val="corpsdedcision"/>
      </w:pPr>
      <w:r>
        <w:t>Également</w:t>
      </w:r>
      <w:r w:rsidR="00D03E25">
        <w:t xml:space="preserve"> le 15 avril 2015, le docteur Turgeon confirme une consolidation de plus de </w:t>
      </w:r>
      <w:r w:rsidR="00525F30">
        <w:t>soixante</w:t>
      </w:r>
      <w:r w:rsidR="00D03E25">
        <w:t xml:space="preserve"> jours et évoque</w:t>
      </w:r>
      <w:r w:rsidR="00525F30">
        <w:t>,</w:t>
      </w:r>
      <w:r w:rsidR="00D03E25">
        <w:t xml:space="preserve"> dans son rapport final du 24 août 2015</w:t>
      </w:r>
      <w:r w:rsidR="00525F30">
        <w:t>,</w:t>
      </w:r>
      <w:r w:rsidR="00D03E25">
        <w:t xml:space="preserve"> que des séquelles permanentes sont à prévoir.</w:t>
      </w:r>
      <w:r w:rsidR="00D03E25" w:rsidRPr="002B5ED2">
        <w:t xml:space="preserve"> </w:t>
      </w:r>
      <w:r w:rsidR="00D03E25">
        <w:t>L’employeur aurait donc dû soupçonner dès le départ que des frais allaient être engagés dans ce dossier et qu’il y avait nécessité de produire les formulaires requis par la Commission.</w:t>
      </w:r>
    </w:p>
    <w:p w:rsidR="00F96114" w:rsidRDefault="0022783D" w:rsidP="00F96114">
      <w:pPr>
        <w:pStyle w:val="corpsdedcision"/>
      </w:pPr>
      <w:r>
        <w:t>Pourtant, la Commission informe clairement les employeurs sur son site internet de l’obligation de dé</w:t>
      </w:r>
      <w:r w:rsidR="000130A2">
        <w:t xml:space="preserve">clarer tout accident de travail et de la nécessité de produire le formulaire </w:t>
      </w:r>
      <w:r w:rsidR="000130A2" w:rsidRPr="00525F30">
        <w:rPr>
          <w:i/>
        </w:rPr>
        <w:t>Avis de l’employeur et demande de remboursement</w:t>
      </w:r>
      <w:r w:rsidR="000679CB">
        <w:t xml:space="preserve"> </w:t>
      </w:r>
      <w:r w:rsidR="000679CB" w:rsidRPr="009F1CCF">
        <w:t>(ADR)</w:t>
      </w:r>
      <w:r w:rsidR="000130A2">
        <w:t>.</w:t>
      </w:r>
      <w:r>
        <w:t xml:space="preserve"> </w:t>
      </w:r>
      <w:r w:rsidR="000130A2">
        <w:t xml:space="preserve">En </w:t>
      </w:r>
      <w:r>
        <w:t>l’espèce, le travaille</w:t>
      </w:r>
      <w:r w:rsidR="00525F30">
        <w:t>u</w:t>
      </w:r>
      <w:r>
        <w:t xml:space="preserve">r a été en arrêt de travail durant </w:t>
      </w:r>
      <w:r w:rsidR="00525F30">
        <w:t>sept</w:t>
      </w:r>
      <w:r>
        <w:t xml:space="preserve"> jours. </w:t>
      </w:r>
      <w:r w:rsidR="00F96114">
        <w:t>L’employeur aurait donc dû le faire.</w:t>
      </w:r>
      <w:r w:rsidR="00F96114" w:rsidRPr="00F96114">
        <w:t xml:space="preserve"> </w:t>
      </w:r>
      <w:r w:rsidR="00F96114">
        <w:t xml:space="preserve">C’est d’ailleurs les articles 268 et 269 de la Loi </w:t>
      </w:r>
      <w:r w:rsidR="00525F30">
        <w:t xml:space="preserve">qui </w:t>
      </w:r>
      <w:r w:rsidR="00F96114">
        <w:t xml:space="preserve">prévoit l’envoi du formulaire (ADR) lorsque l’employeur est tenu de verser un salaire en vertu de l’article 60 de la Loi. </w:t>
      </w:r>
    </w:p>
    <w:p w:rsidR="00F96114" w:rsidRDefault="00F96114" w:rsidP="00F96114">
      <w:pPr>
        <w:pStyle w:val="corpsdedcision"/>
        <w:tabs>
          <w:tab w:val="clear" w:pos="360"/>
          <w:tab w:val="num" w:pos="720"/>
        </w:tabs>
      </w:pPr>
      <w:r>
        <w:t>Si l’employeur avait fait parvenir ce formulaire à la Commission, le processus d’étude du dossier du travailleur se serait enclenché</w:t>
      </w:r>
      <w:r w:rsidR="000679CB">
        <w:t>.</w:t>
      </w:r>
      <w:r>
        <w:t xml:space="preserve"> </w:t>
      </w:r>
      <w:r w:rsidR="000679CB" w:rsidRPr="009F1CCF">
        <w:t>L</w:t>
      </w:r>
      <w:r w:rsidRPr="009F1CCF">
        <w:t>’organisme</w:t>
      </w:r>
      <w:r>
        <w:t xml:space="preserve"> aurait pu </w:t>
      </w:r>
      <w:r w:rsidR="009F1CCF">
        <w:t xml:space="preserve">alors </w:t>
      </w:r>
      <w:r>
        <w:t>entrer en contact avec le travailleur pour vérifier la nature des éléments soumis, l’informer qu’il n’avait pas produit de réclamation et éventuellement</w:t>
      </w:r>
      <w:r w:rsidR="000679CB">
        <w:t>,</w:t>
      </w:r>
      <w:r>
        <w:t xml:space="preserve"> statuer sur l’admissibilité de cette lésion professionnelle.</w:t>
      </w:r>
    </w:p>
    <w:p w:rsidR="00D93DB8" w:rsidRDefault="00F96114" w:rsidP="00136B2A">
      <w:pPr>
        <w:pStyle w:val="corpsdedcision"/>
      </w:pPr>
      <w:r>
        <w:t>À partir du moment où le travailleur est transféré dans le Grand Nord</w:t>
      </w:r>
      <w:r w:rsidR="00683FD9">
        <w:t xml:space="preserve">, </w:t>
      </w:r>
      <w:r>
        <w:t xml:space="preserve">son </w:t>
      </w:r>
      <w:r w:rsidR="00E62623">
        <w:t xml:space="preserve">dossier </w:t>
      </w:r>
      <w:r w:rsidR="00D93DB8">
        <w:t xml:space="preserve">est géré </w:t>
      </w:r>
      <w:r w:rsidR="00E62623">
        <w:t>par la division de Montréal</w:t>
      </w:r>
      <w:r w:rsidR="00D93DB8">
        <w:t xml:space="preserve"> et non plus par la </w:t>
      </w:r>
      <w:r w:rsidR="000679CB">
        <w:t>d</w:t>
      </w:r>
      <w:r w:rsidR="00D93DB8">
        <w:t>ivision de Drummon</w:t>
      </w:r>
      <w:r w:rsidR="00D90F11">
        <w:t>d</w:t>
      </w:r>
      <w:r w:rsidR="00D93DB8">
        <w:t>ville</w:t>
      </w:r>
      <w:r w:rsidR="000679CB">
        <w:t>.</w:t>
      </w:r>
      <w:r w:rsidR="00E62623">
        <w:t xml:space="preserve"> </w:t>
      </w:r>
      <w:r>
        <w:t>Le</w:t>
      </w:r>
      <w:r w:rsidR="005F7112">
        <w:t> </w:t>
      </w:r>
      <w:r>
        <w:t xml:space="preserve">Tribunal </w:t>
      </w:r>
      <w:r w:rsidR="000679CB">
        <w:t xml:space="preserve">croit </w:t>
      </w:r>
      <w:r w:rsidR="00D93DB8">
        <w:t xml:space="preserve">que cette situation a pu être à l’origine des lacunes dans le suivi </w:t>
      </w:r>
      <w:r>
        <w:t xml:space="preserve">du </w:t>
      </w:r>
      <w:r w:rsidR="00D93DB8">
        <w:t xml:space="preserve">dossier par l’employeur. </w:t>
      </w:r>
    </w:p>
    <w:p w:rsidR="00E62623" w:rsidRDefault="00F96114" w:rsidP="00997DE4">
      <w:pPr>
        <w:pStyle w:val="corpsdedcision"/>
      </w:pPr>
      <w:r>
        <w:t xml:space="preserve">Le Tribunal </w:t>
      </w:r>
      <w:r w:rsidR="009F1CCF">
        <w:t>estime</w:t>
      </w:r>
      <w:r>
        <w:t xml:space="preserve"> que le travailleur </w:t>
      </w:r>
      <w:r w:rsidR="00E62623">
        <w:t>s’est assuré d’un suivi médical constant</w:t>
      </w:r>
      <w:r w:rsidR="000679CB">
        <w:t>,</w:t>
      </w:r>
      <w:r w:rsidR="00E62623">
        <w:t xml:space="preserve"> que ce soit auprès de son médecin traitant ou de l’ergothérapeute au cours de l’année 2015. Compte tenu de son transfert dans le Grand</w:t>
      </w:r>
      <w:r w:rsidR="00DB3E87">
        <w:t xml:space="preserve"> Nord</w:t>
      </w:r>
      <w:r w:rsidR="00E62623">
        <w:t>, ce suivi médical a été interrompu et a repris à son retour en août 2015</w:t>
      </w:r>
      <w:r w:rsidR="000679CB">
        <w:t>,</w:t>
      </w:r>
      <w:r w:rsidR="00E62623">
        <w:t xml:space="preserve"> et ce</w:t>
      </w:r>
      <w:r w:rsidR="000679CB">
        <w:t>,</w:t>
      </w:r>
      <w:r w:rsidR="00E62623">
        <w:t xml:space="preserve"> jusqu’à son</w:t>
      </w:r>
      <w:r w:rsidR="000679CB">
        <w:t xml:space="preserve"> départ pour le Grand Nord le </w:t>
      </w:r>
      <w:r w:rsidR="000679CB" w:rsidRPr="009F1CCF">
        <w:t>9 </w:t>
      </w:r>
      <w:r w:rsidR="00E62623" w:rsidRPr="009F1CCF">
        <w:t>décembre</w:t>
      </w:r>
      <w:r w:rsidR="000679CB" w:rsidRPr="009F1CCF">
        <w:t> </w:t>
      </w:r>
      <w:r w:rsidR="00E62623" w:rsidRPr="009F1CCF">
        <w:t>2015</w:t>
      </w:r>
      <w:r w:rsidR="00E62623">
        <w:t xml:space="preserve">. </w:t>
      </w:r>
    </w:p>
    <w:p w:rsidR="00D03E25" w:rsidRDefault="00A34411" w:rsidP="001B4A84">
      <w:pPr>
        <w:pStyle w:val="corpsdedcision"/>
        <w:tabs>
          <w:tab w:val="clear" w:pos="360"/>
          <w:tab w:val="num" w:pos="720"/>
        </w:tabs>
      </w:pPr>
      <w:r>
        <w:t xml:space="preserve">Pendant tout ce temps, le travailleur </w:t>
      </w:r>
      <w:r w:rsidR="00E62623">
        <w:t>croit erronément que son dossier est en traitement à la Commission et qu’il recevra sous peu une indemnité pour dommage</w:t>
      </w:r>
      <w:r w:rsidR="009B55C9">
        <w:t>s</w:t>
      </w:r>
      <w:r w:rsidR="00E62623">
        <w:t xml:space="preserve"> corporel</w:t>
      </w:r>
      <w:r w:rsidR="009B55C9">
        <w:t>s,</w:t>
      </w:r>
      <w:r w:rsidR="00E62623">
        <w:t xml:space="preserve"> en raison des séquelles permanentes qui subsistent </w:t>
      </w:r>
      <w:r w:rsidR="009B55C9" w:rsidRPr="009F1CCF">
        <w:t>à la suite</w:t>
      </w:r>
      <w:r w:rsidR="00E62623">
        <w:t xml:space="preserve"> de sa lésion professionnelle. Il le croit</w:t>
      </w:r>
      <w:r w:rsidR="009B55C9">
        <w:t>,</w:t>
      </w:r>
      <w:r w:rsidR="00E62623">
        <w:t xml:space="preserve"> d’autant plus que la Commission reçoit les attestations médicales et que lors de l’examen du 6 novembre 2015 pour la production du rapport d’évaluation médicale (REM), le docteur Turgeon lui mentionne que ce n’est qu’une question de temps avant qu’il ne reçoive son indemnité.</w:t>
      </w:r>
    </w:p>
    <w:p w:rsidR="0097754E" w:rsidRDefault="00D93DB8" w:rsidP="00EC1574">
      <w:pPr>
        <w:pStyle w:val="corpsdedcision"/>
      </w:pPr>
      <w:r>
        <w:t xml:space="preserve">Le </w:t>
      </w:r>
      <w:r w:rsidR="009B55C9">
        <w:t>T</w:t>
      </w:r>
      <w:r>
        <w:t>ribunal constate que le travailleur a produit une réclamation à la Commission 22 mois après les faits à l’origine de sa lésion. La soussignée ne nie pas qu’il s’agisse d’un délai important et que le travailleur aurait pu prendre de l’information auprès de la Commission ou de l’employeur</w:t>
      </w:r>
      <w:r w:rsidR="009B55C9">
        <w:t>,</w:t>
      </w:r>
      <w:r>
        <w:t xml:space="preserve"> durant cette période. </w:t>
      </w:r>
    </w:p>
    <w:p w:rsidR="0097754E" w:rsidRDefault="00F96114" w:rsidP="0097754E">
      <w:pPr>
        <w:pStyle w:val="corpsdedcision"/>
      </w:pPr>
      <w:r>
        <w:t xml:space="preserve">Bien </w:t>
      </w:r>
      <w:r w:rsidR="0097754E">
        <w:t xml:space="preserve">qu’il incombe au travailleur d’assurer un suivi adéquat de son dossier tout au long du processus, il n’en demeure pas moins que l’employeur a aussi des responsabilités en cette matière. Nous sommes en présence ici d’un employeur important, bien organisé, qui connaît très bien le processus de déclaration et de réclamation en matière d’accidents de travail. De plus, un comité </w:t>
      </w:r>
      <w:r w:rsidR="009B55C9">
        <w:t xml:space="preserve">de </w:t>
      </w:r>
      <w:r w:rsidR="0097754E">
        <w:t xml:space="preserve">santé et </w:t>
      </w:r>
      <w:r w:rsidR="009B55C9">
        <w:t xml:space="preserve">de </w:t>
      </w:r>
      <w:r w:rsidR="0097754E">
        <w:t>sécurité a été mis sur pied et une ressource</w:t>
      </w:r>
      <w:r w:rsidR="00D90F11">
        <w:t xml:space="preserve"> </w:t>
      </w:r>
      <w:r w:rsidR="00D90F11" w:rsidRPr="009F1CCF">
        <w:t>a été</w:t>
      </w:r>
      <w:r w:rsidR="0097754E">
        <w:t xml:space="preserve"> spécifiquement embauchée pour la gestion des dossiers de santé et de sécurité au travail.</w:t>
      </w:r>
    </w:p>
    <w:p w:rsidR="00454955" w:rsidRDefault="00C50045" w:rsidP="003547D4">
      <w:pPr>
        <w:pStyle w:val="corpsdedcision"/>
      </w:pPr>
      <w:r>
        <w:t>Par ailleurs</w:t>
      </w:r>
      <w:r w:rsidR="00454955">
        <w:t xml:space="preserve">, les explications </w:t>
      </w:r>
      <w:r>
        <w:t>fournies par le travailleur</w:t>
      </w:r>
      <w:r w:rsidR="00DB3E87">
        <w:t>, le contexte particulier</w:t>
      </w:r>
      <w:r w:rsidR="00454955">
        <w:t xml:space="preserve"> dans l</w:t>
      </w:r>
      <w:r w:rsidR="00336714">
        <w:t>e</w:t>
      </w:r>
      <w:r w:rsidR="00454955">
        <w:t>quel se retrouv</w:t>
      </w:r>
      <w:r w:rsidR="00EC1574">
        <w:t>e</w:t>
      </w:r>
      <w:r w:rsidR="00454955">
        <w:t xml:space="preserve"> le travailleur au moment de l’év</w:t>
      </w:r>
      <w:r w:rsidR="00336714">
        <w:t>è</w:t>
      </w:r>
      <w:r w:rsidR="00454955">
        <w:t>nement allégué</w:t>
      </w:r>
      <w:r>
        <w:t xml:space="preserve">, son transfert dans le Grand Nord, la problématique du transfert de son dossier, </w:t>
      </w:r>
      <w:r w:rsidR="00DB3E87">
        <w:t xml:space="preserve">le manque de suivi de l’employeur en raison de ce transfert, </w:t>
      </w:r>
      <w:r>
        <w:t>l’éloignement</w:t>
      </w:r>
      <w:r w:rsidR="00DB3E87">
        <w:t xml:space="preserve">, </w:t>
      </w:r>
      <w:r w:rsidR="00EC1574">
        <w:t>les informations erronées obtenues par l</w:t>
      </w:r>
      <w:r w:rsidR="00336714">
        <w:t>e médecin en cours de processus et</w:t>
      </w:r>
      <w:r>
        <w:t xml:space="preserve"> le manque d’information et d’assistance de la part de l’employeur</w:t>
      </w:r>
      <w:r w:rsidR="00454955">
        <w:t xml:space="preserve"> </w:t>
      </w:r>
      <w:r w:rsidR="00DB3E87">
        <w:t xml:space="preserve">ainsi que de la Commission </w:t>
      </w:r>
      <w:r w:rsidR="00454955">
        <w:t>permette</w:t>
      </w:r>
      <w:r w:rsidR="00DB3E87">
        <w:t>nt</w:t>
      </w:r>
      <w:r w:rsidR="00454955">
        <w:t xml:space="preserve"> au </w:t>
      </w:r>
      <w:r w:rsidR="00336714">
        <w:t>T</w:t>
      </w:r>
      <w:r w:rsidR="00454955">
        <w:t>ribunal de relever le travaill</w:t>
      </w:r>
      <w:r w:rsidR="00DB3E87">
        <w:t>eur de son défaut de produire</w:t>
      </w:r>
      <w:r w:rsidR="00454955">
        <w:t xml:space="preserve"> sa réclamation dans les délais impartis par la </w:t>
      </w:r>
      <w:r w:rsidR="005F7112">
        <w:t>L</w:t>
      </w:r>
      <w:r w:rsidR="00454955">
        <w:t xml:space="preserve">oi. </w:t>
      </w:r>
    </w:p>
    <w:p w:rsidR="00D03E25" w:rsidRDefault="00D03E25" w:rsidP="003547D4">
      <w:pPr>
        <w:pStyle w:val="corpsdedcision"/>
      </w:pPr>
      <w:r>
        <w:t>Conclure autrement</w:t>
      </w:r>
      <w:r w:rsidR="001B4A84">
        <w:t xml:space="preserve"> causerait un préjudice au travailleur et irait à l’encontre </w:t>
      </w:r>
      <w:r w:rsidR="00336714">
        <w:t xml:space="preserve">de </w:t>
      </w:r>
      <w:r w:rsidR="001B4A84">
        <w:t xml:space="preserve">ce qui a été énoncé par la Cour supérieure dans l’affaire </w:t>
      </w:r>
      <w:r w:rsidR="001B4A84" w:rsidRPr="00336714">
        <w:rPr>
          <w:i/>
        </w:rPr>
        <w:t>Cormier</w:t>
      </w:r>
      <w:r w:rsidR="001B4A84">
        <w:t xml:space="preserve"> c. </w:t>
      </w:r>
      <w:r w:rsidR="001B4A84" w:rsidRPr="00336714">
        <w:rPr>
          <w:i/>
        </w:rPr>
        <w:t>Commission des lésions professionnelles</w:t>
      </w:r>
      <w:r w:rsidR="001B4A84">
        <w:rPr>
          <w:rStyle w:val="Appelnotedebasdep"/>
        </w:rPr>
        <w:footnoteReference w:id="12"/>
      </w:r>
      <w:r w:rsidR="00336714">
        <w:t>,</w:t>
      </w:r>
      <w:r w:rsidR="00336714">
        <w:rPr>
          <w:i/>
        </w:rPr>
        <w:t xml:space="preserve"> </w:t>
      </w:r>
      <w:r w:rsidR="001B4A84">
        <w:t>à savoir que les tribunaux</w:t>
      </w:r>
      <w:r w:rsidR="00F96114">
        <w:t xml:space="preserve"> administratifs doivent</w:t>
      </w:r>
      <w:r w:rsidR="001B4A84">
        <w:t xml:space="preserve"> faire preuve de souplesse en ce qui concerne la procédure.</w:t>
      </w:r>
    </w:p>
    <w:p w:rsidR="0058653A" w:rsidRPr="004036AD" w:rsidRDefault="00454955" w:rsidP="00D93DB8">
      <w:pPr>
        <w:pStyle w:val="corpsdedcision"/>
        <w:tabs>
          <w:tab w:val="clear" w:pos="360"/>
          <w:tab w:val="num" w:pos="720"/>
        </w:tabs>
      </w:pPr>
      <w:r>
        <w:t xml:space="preserve">Par conséquent, le Tribunal estime que les motifs invoqués par le travailleur pour expliquer son retard à déposer une réclamation pour la lésion professionnelle alléguée du 7 avril 2015 constituent des motifs raisonnables permettant de le relever de son défaut. </w:t>
      </w:r>
    </w:p>
    <w:p w:rsidR="00C74B6F" w:rsidRDefault="00C74B6F">
      <w:pPr>
        <w:pStyle w:val="Dispositif"/>
      </w:pPr>
      <w:r>
        <w:rPr>
          <w:b/>
        </w:rPr>
        <w:t>P</w:t>
      </w:r>
      <w:r w:rsidR="00D07FA6">
        <w:rPr>
          <w:b/>
        </w:rPr>
        <w:t>AR CES MOTIFS, LE TRIBUNAL ADMINISTRATIF DU TRAVAIL</w:t>
      </w:r>
      <w:r>
        <w:rPr>
          <w:b/>
        </w:rPr>
        <w:t> :</w:t>
      </w:r>
    </w:p>
    <w:p w:rsidR="00C74B6F" w:rsidRDefault="00454955">
      <w:pPr>
        <w:pStyle w:val="Dispositif"/>
      </w:pPr>
      <w:r>
        <w:rPr>
          <w:b/>
        </w:rPr>
        <w:t>ACCUEILLE</w:t>
      </w:r>
      <w:r>
        <w:t xml:space="preserve"> la requête du travailleur, </w:t>
      </w:r>
      <w:r w:rsidR="00336714">
        <w:t>m</w:t>
      </w:r>
      <w:r>
        <w:t xml:space="preserve">onsieur </w:t>
      </w:r>
      <w:r w:rsidR="008D03F5">
        <w:t>Raymond Boldu</w:t>
      </w:r>
      <w:r w:rsidR="0073493C">
        <w:t>c</w:t>
      </w:r>
      <w:r w:rsidR="008D03F5">
        <w:t>;</w:t>
      </w:r>
    </w:p>
    <w:p w:rsidR="0073493C" w:rsidRDefault="0073493C">
      <w:pPr>
        <w:pStyle w:val="Dispositif"/>
      </w:pPr>
      <w:r w:rsidRPr="0073493C">
        <w:rPr>
          <w:b/>
        </w:rPr>
        <w:t>RELÈVE</w:t>
      </w:r>
      <w:r>
        <w:t xml:space="preserve"> le travailleur du défaut d’avoir produit sa réclamation dans les délais impartis par la </w:t>
      </w:r>
      <w:r w:rsidR="005F7112">
        <w:t>L</w:t>
      </w:r>
      <w:r>
        <w:t>oi</w:t>
      </w:r>
      <w:r w:rsidR="00336714">
        <w:t>;</w:t>
      </w:r>
    </w:p>
    <w:p w:rsidR="008D03F5" w:rsidRDefault="008D03F5">
      <w:pPr>
        <w:pStyle w:val="Dispositif"/>
      </w:pPr>
      <w:r>
        <w:rPr>
          <w:b/>
        </w:rPr>
        <w:t xml:space="preserve">DÉCLARE </w:t>
      </w:r>
      <w:r>
        <w:t xml:space="preserve">recevable </w:t>
      </w:r>
      <w:r w:rsidR="0073493C">
        <w:t>la réclamation du travail</w:t>
      </w:r>
      <w:r w:rsidR="00336714">
        <w:t xml:space="preserve">leur produite le </w:t>
      </w:r>
      <w:r w:rsidR="001973CA" w:rsidRPr="00795FEF">
        <w:t>4</w:t>
      </w:r>
      <w:r w:rsidR="00336714" w:rsidRPr="00795FEF">
        <w:t xml:space="preserve"> février 2017</w:t>
      </w:r>
      <w:r w:rsidR="00336714">
        <w:t>.</w:t>
      </w:r>
    </w:p>
    <w:p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tc>
          <w:tcPr>
            <w:tcW w:w="4795" w:type="dxa"/>
          </w:tcPr>
          <w:p w:rsidR="00C74B6F" w:rsidRDefault="00C74B6F"/>
        </w:tc>
        <w:tc>
          <w:tcPr>
            <w:tcW w:w="4795" w:type="dxa"/>
          </w:tcPr>
          <w:p w:rsidR="00C74B6F" w:rsidRDefault="00C74B6F">
            <w:bookmarkStart w:id="7" w:name="signature"/>
            <w:bookmarkEnd w:id="7"/>
            <w:r>
              <w:t>__________________________________</w:t>
            </w:r>
          </w:p>
        </w:tc>
      </w:tr>
      <w:tr w:rsidR="00C74B6F">
        <w:tc>
          <w:tcPr>
            <w:tcW w:w="4795" w:type="dxa"/>
          </w:tcPr>
          <w:p w:rsidR="00C74B6F" w:rsidRDefault="00C74B6F"/>
        </w:tc>
        <w:tc>
          <w:tcPr>
            <w:tcW w:w="4795" w:type="dxa"/>
          </w:tcPr>
          <w:p w:rsidR="00C74B6F" w:rsidRDefault="001973CA">
            <w:r>
              <w:t>Nathalie Gélinas</w:t>
            </w:r>
          </w:p>
        </w:tc>
      </w:tr>
      <w:tr w:rsidR="00C74B6F">
        <w:trPr>
          <w:cantSplit/>
        </w:trPr>
        <w:tc>
          <w:tcPr>
            <w:tcW w:w="9590" w:type="dxa"/>
            <w:gridSpan w:val="2"/>
          </w:tcPr>
          <w:p w:rsidR="00C74B6F" w:rsidRDefault="00C74B6F"/>
        </w:tc>
      </w:tr>
      <w:tr w:rsidR="00C74B6F">
        <w:trPr>
          <w:cantSplit/>
        </w:trPr>
        <w:tc>
          <w:tcPr>
            <w:tcW w:w="9590" w:type="dxa"/>
            <w:gridSpan w:val="2"/>
          </w:tcPr>
          <w:p w:rsidR="00C74B6F" w:rsidRPr="00C912F9" w:rsidRDefault="00C74B6F" w:rsidP="00EC5C8D">
            <w:pPr>
              <w:tabs>
                <w:tab w:val="left" w:pos="1592"/>
              </w:tabs>
            </w:pPr>
          </w:p>
        </w:tc>
      </w:tr>
      <w:tr w:rsidR="00C74B6F">
        <w:trPr>
          <w:cantSplit/>
        </w:trPr>
        <w:tc>
          <w:tcPr>
            <w:tcW w:w="9590" w:type="dxa"/>
            <w:gridSpan w:val="2"/>
          </w:tcPr>
          <w:p w:rsidR="00C74B6F" w:rsidRDefault="00C74B6F"/>
        </w:tc>
      </w:tr>
      <w:tr w:rsidR="00C74B6F">
        <w:trPr>
          <w:cantSplit/>
        </w:trPr>
        <w:tc>
          <w:tcPr>
            <w:tcW w:w="9590" w:type="dxa"/>
            <w:gridSpan w:val="2"/>
          </w:tcPr>
          <w:p w:rsidR="00C74B6F" w:rsidRPr="001973CA" w:rsidRDefault="001973CA">
            <w:pPr>
              <w:pStyle w:val="zSoquijdatNomProcureurDem"/>
            </w:pPr>
            <w:r>
              <w:t>M</w:t>
            </w:r>
            <w:r>
              <w:rPr>
                <w:vertAlign w:val="superscript"/>
              </w:rPr>
              <w:t xml:space="preserve">me </w:t>
            </w:r>
            <w:r>
              <w:t>Chantal Nolet</w:t>
            </w:r>
          </w:p>
        </w:tc>
      </w:tr>
      <w:tr w:rsidR="00C74B6F">
        <w:trPr>
          <w:cantSplit/>
        </w:trPr>
        <w:tc>
          <w:tcPr>
            <w:tcW w:w="9590" w:type="dxa"/>
            <w:gridSpan w:val="2"/>
          </w:tcPr>
          <w:p w:rsidR="00C74B6F" w:rsidRDefault="00CB05A7">
            <w:pPr>
              <w:pStyle w:val="zSoquijlblProcureurDem"/>
            </w:pPr>
            <w:r>
              <w:t>Pour la partie demanderesse</w:t>
            </w:r>
          </w:p>
        </w:tc>
      </w:tr>
      <w:tr w:rsidR="00C15A3F">
        <w:trPr>
          <w:cantSplit/>
        </w:trPr>
        <w:tc>
          <w:tcPr>
            <w:tcW w:w="9590" w:type="dxa"/>
            <w:gridSpan w:val="2"/>
          </w:tcPr>
          <w:p w:rsidR="00C15A3F" w:rsidRDefault="00C15A3F">
            <w:pPr>
              <w:pStyle w:val="zSoquijlblProcureurInt"/>
            </w:pPr>
          </w:p>
        </w:tc>
      </w:tr>
      <w:tr w:rsidR="00C15A3F">
        <w:trPr>
          <w:cantSplit/>
        </w:trPr>
        <w:tc>
          <w:tcPr>
            <w:tcW w:w="9590" w:type="dxa"/>
            <w:gridSpan w:val="2"/>
          </w:tcPr>
          <w:p w:rsidR="00C15A3F" w:rsidRDefault="00C15A3F" w:rsidP="001973CA">
            <w:pPr>
              <w:pStyle w:val="zSoquijdatDateAudience"/>
            </w:pPr>
            <w:r>
              <w:t xml:space="preserve">Date </w:t>
            </w:r>
            <w:r w:rsidR="001973CA">
              <w:t>l’</w:t>
            </w:r>
            <w:r>
              <w:t>audience :</w:t>
            </w:r>
            <w:r w:rsidR="00597016">
              <w:tab/>
            </w:r>
            <w:r w:rsidR="001973CA">
              <w:t>31 août 2018</w:t>
            </w:r>
          </w:p>
        </w:tc>
      </w:tr>
    </w:tbl>
    <w:p w:rsidR="009A135C" w:rsidRDefault="009A135C" w:rsidP="009A135C">
      <w:pPr>
        <w:pStyle w:val="articlesdelaLSST"/>
        <w:ind w:left="0"/>
      </w:pPr>
    </w:p>
    <w:p w:rsidR="00A95452" w:rsidRDefault="00A95452" w:rsidP="00623044">
      <w:pPr>
        <w:pStyle w:val="articlesdelaLSST"/>
        <w:ind w:left="0"/>
      </w:pPr>
    </w:p>
    <w:sectPr w:rsidR="00A95452">
      <w:headerReference w:type="default" r:id="rId9"/>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5FD" w:rsidRDefault="006825FD">
      <w:r>
        <w:separator/>
      </w:r>
    </w:p>
  </w:endnote>
  <w:endnote w:type="continuationSeparator" w:id="0">
    <w:p w:rsidR="006825FD" w:rsidRDefault="0068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5FD" w:rsidRDefault="006825FD">
      <w:r>
        <w:separator/>
      </w:r>
    </w:p>
  </w:footnote>
  <w:footnote w:type="continuationSeparator" w:id="0">
    <w:p w:rsidR="006825FD" w:rsidRDefault="006825FD">
      <w:r>
        <w:continuationSeparator/>
      </w:r>
    </w:p>
  </w:footnote>
  <w:footnote w:id="1">
    <w:p w:rsidR="00BC3C14" w:rsidRPr="00BC3C14" w:rsidRDefault="00BC3C14" w:rsidP="003D1B17">
      <w:pPr>
        <w:pStyle w:val="Notedebasdepage"/>
        <w:jc w:val="both"/>
        <w:rPr>
          <w:sz w:val="20"/>
        </w:rPr>
      </w:pPr>
      <w:r>
        <w:rPr>
          <w:rStyle w:val="Appelnotedebasdep"/>
        </w:rPr>
        <w:footnoteRef/>
      </w:r>
      <w:r>
        <w:t xml:space="preserve"> </w:t>
      </w:r>
      <w:r>
        <w:tab/>
      </w:r>
      <w:r>
        <w:rPr>
          <w:rFonts w:cs="Arial"/>
          <w:sz w:val="20"/>
        </w:rPr>
        <w:t>Depuis le 1</w:t>
      </w:r>
      <w:r w:rsidRPr="00590CB6">
        <w:rPr>
          <w:rFonts w:cs="Arial"/>
          <w:sz w:val="20"/>
          <w:vertAlign w:val="superscript"/>
        </w:rPr>
        <w:t>er</w:t>
      </w:r>
      <w:r>
        <w:rPr>
          <w:rFonts w:cs="Arial"/>
          <w:sz w:val="20"/>
        </w:rPr>
        <w:t xml:space="preserve"> janvier 2016, la Commission des normes, de l’équité, de la santé et de la sécurité du </w:t>
      </w:r>
      <w:r>
        <w:rPr>
          <w:rFonts w:cs="Arial"/>
          <w:sz w:val="20"/>
        </w:rPr>
        <w:tab/>
        <w:t xml:space="preserve">travail (la CNESST) assume l’ensemble des compétences qui étaient autrefois dévolues à la </w:t>
      </w:r>
      <w:r>
        <w:rPr>
          <w:rFonts w:cs="Arial"/>
          <w:sz w:val="20"/>
        </w:rPr>
        <w:tab/>
        <w:t xml:space="preserve">Commission de la santé et de la sécurité du travail (la CSST). Pour désigner ces deux </w:t>
      </w:r>
      <w:r>
        <w:rPr>
          <w:rFonts w:cs="Arial"/>
          <w:sz w:val="20"/>
        </w:rPr>
        <w:tab/>
        <w:t xml:space="preserve">organismes, pour éviter toute confusion et afin d’alléger le texte, le Tribunal emploiera le terme </w:t>
      </w:r>
      <w:r>
        <w:rPr>
          <w:rFonts w:cs="Arial"/>
          <w:sz w:val="20"/>
        </w:rPr>
        <w:tab/>
        <w:t>générique « la Commission ».</w:t>
      </w:r>
    </w:p>
  </w:footnote>
  <w:footnote w:id="2">
    <w:p w:rsidR="00882B55" w:rsidRPr="0076059F" w:rsidRDefault="00882B55" w:rsidP="003D1B17">
      <w:pPr>
        <w:pStyle w:val="Notedebasdepage"/>
        <w:tabs>
          <w:tab w:val="left" w:pos="720"/>
        </w:tabs>
        <w:ind w:left="720" w:hanging="720"/>
        <w:jc w:val="both"/>
        <w:rPr>
          <w:rFonts w:cs="Arial"/>
          <w:sz w:val="20"/>
          <w:lang w:val="en-CA"/>
        </w:rPr>
      </w:pPr>
      <w:r>
        <w:rPr>
          <w:rStyle w:val="Appelnotedebasdep"/>
        </w:rPr>
        <w:footnoteRef/>
      </w:r>
      <w:r w:rsidRPr="0076059F">
        <w:rPr>
          <w:lang w:val="en-CA"/>
        </w:rPr>
        <w:t xml:space="preserve"> </w:t>
      </w:r>
      <w:r w:rsidRPr="0076059F">
        <w:rPr>
          <w:rFonts w:cs="Arial"/>
          <w:sz w:val="20"/>
          <w:lang w:val="en-CA"/>
        </w:rPr>
        <w:tab/>
        <w:t>RLRQ</w:t>
      </w:r>
      <w:r w:rsidR="00043845">
        <w:rPr>
          <w:rFonts w:cs="Arial"/>
          <w:sz w:val="20"/>
          <w:lang w:val="en-CA"/>
        </w:rPr>
        <w:t>,</w:t>
      </w:r>
      <w:r w:rsidRPr="0076059F">
        <w:rPr>
          <w:rFonts w:cs="Arial"/>
          <w:sz w:val="20"/>
          <w:lang w:val="en-CA"/>
        </w:rPr>
        <w:t xml:space="preserve"> c. A-3.001.</w:t>
      </w:r>
    </w:p>
  </w:footnote>
  <w:footnote w:id="3">
    <w:p w:rsidR="00043845" w:rsidRPr="00043845" w:rsidRDefault="00043845" w:rsidP="003D1B17">
      <w:pPr>
        <w:pStyle w:val="Notedebasdepage"/>
        <w:jc w:val="both"/>
        <w:rPr>
          <w:sz w:val="20"/>
        </w:rPr>
      </w:pPr>
      <w:r>
        <w:rPr>
          <w:rStyle w:val="Appelnotedebasdep"/>
        </w:rPr>
        <w:footnoteRef/>
      </w:r>
      <w:r>
        <w:t xml:space="preserve"> </w:t>
      </w:r>
      <w:r>
        <w:tab/>
      </w:r>
      <w:r>
        <w:rPr>
          <w:rFonts w:cs="Arial"/>
          <w:sz w:val="20"/>
        </w:rPr>
        <w:t>Depuis le 1</w:t>
      </w:r>
      <w:r w:rsidRPr="001170C9">
        <w:rPr>
          <w:rFonts w:cs="Arial"/>
          <w:sz w:val="20"/>
          <w:vertAlign w:val="superscript"/>
        </w:rPr>
        <w:t>er</w:t>
      </w:r>
      <w:r>
        <w:rPr>
          <w:rFonts w:cs="Arial"/>
          <w:sz w:val="20"/>
        </w:rPr>
        <w:t xml:space="preserve"> janvier 2016 la Commission des lésions professionnelles a été remplacée par le </w:t>
      </w:r>
      <w:r>
        <w:rPr>
          <w:rFonts w:cs="Arial"/>
          <w:sz w:val="20"/>
        </w:rPr>
        <w:tab/>
        <w:t>Tribunal administratif du travail.</w:t>
      </w:r>
    </w:p>
  </w:footnote>
  <w:footnote w:id="4">
    <w:p w:rsidR="003547D4" w:rsidRPr="0076059F" w:rsidRDefault="003547D4" w:rsidP="004356E5">
      <w:pPr>
        <w:pStyle w:val="Notedebasdepage"/>
        <w:tabs>
          <w:tab w:val="left" w:pos="720"/>
        </w:tabs>
        <w:ind w:left="720" w:hanging="720"/>
        <w:jc w:val="both"/>
        <w:rPr>
          <w:rFonts w:cs="Arial"/>
          <w:sz w:val="20"/>
          <w:lang w:val="en-CA"/>
        </w:rPr>
      </w:pPr>
      <w:r>
        <w:rPr>
          <w:rStyle w:val="Appelnotedebasdep"/>
        </w:rPr>
        <w:footnoteRef/>
      </w:r>
      <w:r w:rsidRPr="0076059F">
        <w:rPr>
          <w:lang w:val="en-CA"/>
        </w:rPr>
        <w:t xml:space="preserve"> </w:t>
      </w:r>
      <w:r w:rsidRPr="0076059F">
        <w:rPr>
          <w:rFonts w:cs="Arial"/>
          <w:sz w:val="20"/>
          <w:lang w:val="en-CA"/>
        </w:rPr>
        <w:tab/>
        <w:t>[1990] C.A.L.P. 916.</w:t>
      </w:r>
    </w:p>
  </w:footnote>
  <w:footnote w:id="5">
    <w:p w:rsidR="003547D4" w:rsidRPr="00EF6C2E" w:rsidRDefault="003547D4" w:rsidP="004356E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0640F">
        <w:rPr>
          <w:rFonts w:cs="Arial"/>
          <w:i/>
          <w:sz w:val="20"/>
        </w:rPr>
        <w:t>Guimond</w:t>
      </w:r>
      <w:r>
        <w:rPr>
          <w:rFonts w:cs="Arial"/>
          <w:sz w:val="20"/>
        </w:rPr>
        <w:t xml:space="preserve"> et </w:t>
      </w:r>
      <w:r w:rsidRPr="0060640F">
        <w:rPr>
          <w:rFonts w:cs="Arial"/>
          <w:i/>
          <w:sz w:val="20"/>
        </w:rPr>
        <w:t>Transport Igloolik inc</w:t>
      </w:r>
      <w:r>
        <w:rPr>
          <w:rFonts w:cs="Arial"/>
          <w:sz w:val="20"/>
        </w:rPr>
        <w:t>., 2014 QCCLP 1985.</w:t>
      </w:r>
    </w:p>
  </w:footnote>
  <w:footnote w:id="6">
    <w:p w:rsidR="003547D4" w:rsidRPr="00FB020D" w:rsidRDefault="003547D4" w:rsidP="004356E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[2008] C.L.P. 1613 (C.S.).</w:t>
      </w:r>
    </w:p>
  </w:footnote>
  <w:footnote w:id="7">
    <w:p w:rsidR="003547D4" w:rsidRPr="00830E79" w:rsidRDefault="003547D4" w:rsidP="004356E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2016 QCCS 119.</w:t>
      </w:r>
    </w:p>
  </w:footnote>
  <w:footnote w:id="8">
    <w:p w:rsidR="003547D4" w:rsidRPr="00B33903" w:rsidRDefault="003547D4" w:rsidP="004356E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2017 QCCA 826.</w:t>
      </w:r>
    </w:p>
  </w:footnote>
  <w:footnote w:id="9">
    <w:p w:rsidR="003547D4" w:rsidRPr="006F10C3" w:rsidRDefault="003547D4" w:rsidP="004356E5">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2018 QCCS 1780.</w:t>
      </w:r>
    </w:p>
  </w:footnote>
  <w:footnote w:id="10">
    <w:p w:rsidR="00E63261" w:rsidRPr="00E63261" w:rsidRDefault="00E63261" w:rsidP="00E63261">
      <w:pPr>
        <w:pStyle w:val="corpsdedcision"/>
        <w:numPr>
          <w:ilvl w:val="0"/>
          <w:numId w:val="0"/>
        </w:numPr>
        <w:rPr>
          <w:sz w:val="20"/>
        </w:rPr>
      </w:pPr>
      <w:r>
        <w:rPr>
          <w:rStyle w:val="Appelnotedebasdep"/>
        </w:rPr>
        <w:footnoteRef/>
      </w:r>
      <w:r>
        <w:t xml:space="preserve"> </w:t>
      </w:r>
      <w:r>
        <w:tab/>
      </w:r>
      <w:r>
        <w:rPr>
          <w:i/>
          <w:sz w:val="20"/>
        </w:rPr>
        <w:t xml:space="preserve">Dumont </w:t>
      </w:r>
      <w:r>
        <w:rPr>
          <w:sz w:val="20"/>
        </w:rPr>
        <w:t xml:space="preserve">et </w:t>
      </w:r>
      <w:r>
        <w:rPr>
          <w:i/>
          <w:sz w:val="20"/>
        </w:rPr>
        <w:t>Construction L.F.G. inc.</w:t>
      </w:r>
      <w:r w:rsidRPr="00287CA2">
        <w:rPr>
          <w:sz w:val="20"/>
        </w:rPr>
        <w:t>,</w:t>
      </w:r>
      <w:r>
        <w:rPr>
          <w:i/>
          <w:sz w:val="20"/>
        </w:rPr>
        <w:t xml:space="preserve"> </w:t>
      </w:r>
      <w:r w:rsidRPr="00804604">
        <w:rPr>
          <w:sz w:val="20"/>
        </w:rPr>
        <w:t>328977-01A-0709, 23 mars 2009, S. Sénéchal</w:t>
      </w:r>
      <w:r>
        <w:rPr>
          <w:sz w:val="20"/>
        </w:rPr>
        <w:t xml:space="preserve">; </w:t>
      </w:r>
      <w:r w:rsidRPr="00804604">
        <w:rPr>
          <w:i/>
          <w:sz w:val="20"/>
        </w:rPr>
        <w:t xml:space="preserve">Prescott </w:t>
      </w:r>
      <w:r w:rsidRPr="00E63261">
        <w:rPr>
          <w:sz w:val="20"/>
        </w:rPr>
        <w:t>et</w:t>
      </w:r>
      <w:r w:rsidRPr="00804604">
        <w:rPr>
          <w:i/>
          <w:sz w:val="20"/>
        </w:rPr>
        <w:t xml:space="preserve"> </w:t>
      </w:r>
      <w:r w:rsidR="001A7415">
        <w:rPr>
          <w:i/>
          <w:sz w:val="20"/>
        </w:rPr>
        <w:t xml:space="preserve">Les </w:t>
      </w:r>
      <w:r w:rsidR="00BD6504">
        <w:rPr>
          <w:i/>
          <w:sz w:val="20"/>
        </w:rPr>
        <w:tab/>
      </w:r>
      <w:r w:rsidRPr="00804604">
        <w:rPr>
          <w:i/>
          <w:sz w:val="20"/>
        </w:rPr>
        <w:t xml:space="preserve">Toitures Marcel Raymond et </w:t>
      </w:r>
      <w:r w:rsidR="00920498">
        <w:rPr>
          <w:i/>
          <w:sz w:val="20"/>
        </w:rPr>
        <w:t>F</w:t>
      </w:r>
      <w:r w:rsidRPr="00804604">
        <w:rPr>
          <w:i/>
          <w:sz w:val="20"/>
        </w:rPr>
        <w:t>ils inc</w:t>
      </w:r>
      <w:r w:rsidRPr="00804604">
        <w:rPr>
          <w:sz w:val="20"/>
        </w:rPr>
        <w:t>., 2012 QCCLP 3725</w:t>
      </w:r>
      <w:r>
        <w:rPr>
          <w:sz w:val="20"/>
        </w:rPr>
        <w:t>;</w:t>
      </w:r>
      <w:r w:rsidR="00287CA2">
        <w:rPr>
          <w:sz w:val="20"/>
        </w:rPr>
        <w:t xml:space="preserve"> </w:t>
      </w:r>
      <w:r w:rsidR="001A7415">
        <w:rPr>
          <w:i/>
          <w:sz w:val="20"/>
        </w:rPr>
        <w:t>Wondwessen Girma</w:t>
      </w:r>
      <w:r w:rsidRPr="00804604">
        <w:rPr>
          <w:i/>
          <w:sz w:val="20"/>
        </w:rPr>
        <w:t xml:space="preserve"> Tegenu </w:t>
      </w:r>
      <w:r w:rsidRPr="001A7415">
        <w:rPr>
          <w:sz w:val="20"/>
        </w:rPr>
        <w:t>et</w:t>
      </w:r>
      <w:r w:rsidRPr="00804604">
        <w:rPr>
          <w:i/>
          <w:sz w:val="20"/>
        </w:rPr>
        <w:t xml:space="preserve"> </w:t>
      </w:r>
      <w:r w:rsidR="00BD6504">
        <w:rPr>
          <w:i/>
          <w:sz w:val="20"/>
        </w:rPr>
        <w:tab/>
      </w:r>
      <w:r w:rsidRPr="00804604">
        <w:rPr>
          <w:i/>
          <w:sz w:val="20"/>
        </w:rPr>
        <w:t>Reboitech inc.</w:t>
      </w:r>
      <w:r w:rsidR="00287CA2">
        <w:rPr>
          <w:sz w:val="20"/>
        </w:rPr>
        <w:t>,</w:t>
      </w:r>
      <w:r w:rsidRPr="00804604">
        <w:rPr>
          <w:sz w:val="20"/>
        </w:rPr>
        <w:t xml:space="preserve"> 2014 QCCLP 7045</w:t>
      </w:r>
      <w:r w:rsidR="001A7415">
        <w:rPr>
          <w:sz w:val="20"/>
        </w:rPr>
        <w:t>.</w:t>
      </w:r>
    </w:p>
  </w:footnote>
  <w:footnote w:id="11">
    <w:p w:rsidR="00E63261" w:rsidRDefault="00E63261" w:rsidP="00287CA2">
      <w:pPr>
        <w:jc w:val="both"/>
      </w:pPr>
      <w:r>
        <w:rPr>
          <w:rStyle w:val="Appelnotedebasdep"/>
        </w:rPr>
        <w:footnoteRef/>
      </w:r>
      <w:r>
        <w:t xml:space="preserve"> </w:t>
      </w:r>
      <w:r>
        <w:tab/>
      </w:r>
      <w:r w:rsidRPr="00795FEF">
        <w:rPr>
          <w:rFonts w:cs="Arial"/>
          <w:i/>
          <w:sz w:val="20"/>
        </w:rPr>
        <w:t xml:space="preserve">Bussières </w:t>
      </w:r>
      <w:r w:rsidRPr="00795FEF">
        <w:rPr>
          <w:rFonts w:cs="Arial"/>
          <w:sz w:val="20"/>
        </w:rPr>
        <w:t xml:space="preserve">et </w:t>
      </w:r>
      <w:r w:rsidRPr="00795FEF">
        <w:rPr>
          <w:rFonts w:cs="Arial"/>
          <w:i/>
          <w:sz w:val="20"/>
        </w:rPr>
        <w:t>Québec (Ministère du Revenu)</w:t>
      </w:r>
      <w:r w:rsidR="001A7415" w:rsidRPr="00795FEF">
        <w:rPr>
          <w:rFonts w:cs="Arial"/>
          <w:sz w:val="20"/>
        </w:rPr>
        <w:t>,</w:t>
      </w:r>
      <w:r w:rsidRPr="00795FEF">
        <w:rPr>
          <w:rFonts w:cs="Arial"/>
          <w:sz w:val="20"/>
        </w:rPr>
        <w:t xml:space="preserve"> 2012 QCCLP 2999</w:t>
      </w:r>
      <w:r w:rsidR="001A7415" w:rsidRPr="00795FEF">
        <w:rPr>
          <w:rFonts w:cs="Arial"/>
          <w:sz w:val="20"/>
        </w:rPr>
        <w:t>;</w:t>
      </w:r>
      <w:r w:rsidRPr="00795FEF">
        <w:rPr>
          <w:rFonts w:cs="Arial"/>
          <w:sz w:val="20"/>
        </w:rPr>
        <w:t xml:space="preserve"> </w:t>
      </w:r>
      <w:r w:rsidRPr="00795FEF">
        <w:rPr>
          <w:rFonts w:cs="Arial"/>
          <w:i/>
          <w:sz w:val="20"/>
        </w:rPr>
        <w:t xml:space="preserve">Exceldor </w:t>
      </w:r>
      <w:r w:rsidR="001A7415" w:rsidRPr="00795FEF">
        <w:rPr>
          <w:rFonts w:cs="Arial"/>
          <w:i/>
          <w:sz w:val="20"/>
        </w:rPr>
        <w:t>C</w:t>
      </w:r>
      <w:r w:rsidRPr="00795FEF">
        <w:rPr>
          <w:rFonts w:cs="Arial"/>
          <w:i/>
          <w:sz w:val="20"/>
        </w:rPr>
        <w:t>oop.</w:t>
      </w:r>
      <w:r w:rsidR="00287CA2">
        <w:rPr>
          <w:rFonts w:cs="Arial"/>
          <w:i/>
          <w:sz w:val="20"/>
        </w:rPr>
        <w:t xml:space="preserve"> </w:t>
      </w:r>
      <w:r w:rsidRPr="00795FEF">
        <w:rPr>
          <w:rFonts w:cs="Arial"/>
          <w:i/>
          <w:sz w:val="20"/>
        </w:rPr>
        <w:t>avicole G</w:t>
      </w:r>
      <w:r w:rsidR="001A7415" w:rsidRPr="00795FEF">
        <w:rPr>
          <w:rFonts w:cs="Arial"/>
          <w:i/>
          <w:sz w:val="20"/>
        </w:rPr>
        <w:t>R</w:t>
      </w:r>
      <w:r w:rsidRPr="00795FEF">
        <w:rPr>
          <w:rFonts w:cs="Arial"/>
          <w:i/>
          <w:sz w:val="20"/>
        </w:rPr>
        <w:t xml:space="preserve"> </w:t>
      </w:r>
      <w:r w:rsidR="00287CA2">
        <w:rPr>
          <w:rFonts w:cs="Arial"/>
          <w:i/>
          <w:sz w:val="20"/>
        </w:rPr>
        <w:tab/>
      </w:r>
      <w:r w:rsidRPr="00795FEF">
        <w:rPr>
          <w:rFonts w:cs="Arial"/>
          <w:i/>
          <w:sz w:val="20"/>
        </w:rPr>
        <w:t xml:space="preserve">Dorchester </w:t>
      </w:r>
      <w:r w:rsidRPr="00795FEF">
        <w:rPr>
          <w:rFonts w:cs="Arial"/>
          <w:sz w:val="20"/>
        </w:rPr>
        <w:t>et</w:t>
      </w:r>
      <w:r w:rsidRPr="00795FEF">
        <w:rPr>
          <w:rFonts w:cs="Arial"/>
          <w:i/>
          <w:sz w:val="20"/>
        </w:rPr>
        <w:t xml:space="preserve"> Bolduc-Lachance</w:t>
      </w:r>
      <w:r w:rsidR="001A7415" w:rsidRPr="00795FEF">
        <w:rPr>
          <w:rFonts w:cs="Arial"/>
          <w:sz w:val="20"/>
        </w:rPr>
        <w:t>,</w:t>
      </w:r>
      <w:r w:rsidRPr="00795FEF">
        <w:rPr>
          <w:rFonts w:cs="Arial"/>
          <w:sz w:val="20"/>
        </w:rPr>
        <w:t xml:space="preserve"> 227724-03B-0402, </w:t>
      </w:r>
      <w:r w:rsidR="001A7415" w:rsidRPr="00795FEF">
        <w:rPr>
          <w:rFonts w:cs="Arial"/>
          <w:sz w:val="20"/>
        </w:rPr>
        <w:t>27 mai 2005,</w:t>
      </w:r>
      <w:r w:rsidRPr="00795FEF">
        <w:rPr>
          <w:rFonts w:cs="Arial"/>
          <w:sz w:val="20"/>
        </w:rPr>
        <w:t xml:space="preserve"> M. Cusson</w:t>
      </w:r>
      <w:r w:rsidR="001A7415" w:rsidRPr="00795FEF">
        <w:rPr>
          <w:rFonts w:cs="Arial"/>
          <w:sz w:val="20"/>
        </w:rPr>
        <w:t>.</w:t>
      </w:r>
    </w:p>
    <w:p w:rsidR="00E63261" w:rsidRPr="00E63261" w:rsidRDefault="00E63261">
      <w:pPr>
        <w:pStyle w:val="Notedebasdepage"/>
        <w:rPr>
          <w:sz w:val="20"/>
        </w:rPr>
      </w:pPr>
    </w:p>
  </w:footnote>
  <w:footnote w:id="12">
    <w:p w:rsidR="001B4A84" w:rsidRPr="001B4A84" w:rsidRDefault="001B4A84" w:rsidP="001B4A8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00E2704B">
        <w:rPr>
          <w:rFonts w:cs="Arial"/>
          <w:sz w:val="20"/>
        </w:rPr>
        <w:t>Précité</w:t>
      </w:r>
      <w:r w:rsidR="00336714">
        <w:rPr>
          <w:rFonts w:cs="Arial"/>
          <w:sz w:val="20"/>
        </w:rPr>
        <w:t>e</w:t>
      </w:r>
      <w:r w:rsidR="00E2704B">
        <w:rPr>
          <w:rFonts w:cs="Arial"/>
          <w:sz w:val="20"/>
        </w:rPr>
        <w:t xml:space="preserve"> </w:t>
      </w:r>
      <w:r w:rsidR="00336714">
        <w:rPr>
          <w:rFonts w:cs="Arial"/>
          <w:sz w:val="20"/>
        </w:rPr>
        <w:t>n</w:t>
      </w:r>
      <w:r w:rsidR="00E2704B">
        <w:rPr>
          <w:rFonts w:cs="Arial"/>
          <w:sz w:val="20"/>
        </w:rPr>
        <w:t>ote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3547D4" w:rsidTr="00AE6F24">
      <w:tc>
        <w:tcPr>
          <w:tcW w:w="8730" w:type="dxa"/>
        </w:tcPr>
        <w:p w:rsidR="003547D4" w:rsidRDefault="003547D4">
          <w:pPr>
            <w:pStyle w:val="En-tte"/>
            <w:ind w:left="-90"/>
          </w:pPr>
        </w:p>
      </w:tc>
      <w:tc>
        <w:tcPr>
          <w:tcW w:w="860" w:type="dxa"/>
        </w:tcPr>
        <w:p w:rsidR="003547D4" w:rsidRDefault="003547D4">
          <w:pPr>
            <w:pStyle w:val="En-tte"/>
            <w:ind w:left="-90"/>
          </w:pPr>
        </w:p>
      </w:tc>
    </w:tr>
    <w:tr w:rsidR="003547D4" w:rsidTr="00AE6F24">
      <w:tc>
        <w:tcPr>
          <w:tcW w:w="8730" w:type="dxa"/>
        </w:tcPr>
        <w:p w:rsidR="003547D4" w:rsidRDefault="003547D4" w:rsidP="00AE6F24">
          <w:pPr>
            <w:pStyle w:val="zSoquijdatNoDossier"/>
          </w:pPr>
          <w:r>
            <w:t>650228-04B-1710</w:t>
          </w:r>
        </w:p>
      </w:tc>
      <w:tc>
        <w:tcPr>
          <w:tcW w:w="860" w:type="dxa"/>
        </w:tcPr>
        <w:p w:rsidR="003547D4" w:rsidRDefault="003547D4" w:rsidP="00AE6F24">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1113BE">
            <w:rPr>
              <w:rStyle w:val="Numrodepage"/>
              <w:noProof/>
            </w:rPr>
            <w:t>2</w:t>
          </w:r>
          <w:r>
            <w:rPr>
              <w:rStyle w:val="Numrodepage"/>
            </w:rPr>
            <w:fldChar w:fldCharType="end"/>
          </w:r>
        </w:p>
      </w:tc>
    </w:tr>
    <w:tr w:rsidR="003547D4" w:rsidTr="00AE6F24">
      <w:tc>
        <w:tcPr>
          <w:tcW w:w="8730" w:type="dxa"/>
        </w:tcPr>
        <w:p w:rsidR="003547D4" w:rsidRDefault="003547D4" w:rsidP="00AE6F24"/>
      </w:tc>
      <w:tc>
        <w:tcPr>
          <w:tcW w:w="860" w:type="dxa"/>
        </w:tcPr>
        <w:p w:rsidR="003547D4" w:rsidRDefault="003547D4" w:rsidP="00AE6F24">
          <w:pPr>
            <w:pStyle w:val="En-tte"/>
            <w:ind w:left="-90"/>
            <w:jc w:val="right"/>
          </w:pPr>
        </w:p>
      </w:tc>
    </w:tr>
  </w:tbl>
  <w:p w:rsidR="003547D4" w:rsidRDefault="003547D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41C21"/>
    <w:multiLevelType w:val="hybridMultilevel"/>
    <w:tmpl w:val="CE9E2F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4">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5">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4"/>
  </w:num>
  <w:num w:numId="2">
    <w:abstractNumId w:val="3"/>
  </w:num>
  <w:num w:numId="3">
    <w:abstractNumId w:val="2"/>
  </w:num>
  <w:num w:numId="4">
    <w:abstractNumId w:val="1"/>
  </w:num>
  <w:num w:numId="5">
    <w:abstractNumId w:val="5"/>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2C7"/>
    <w:rsid w:val="000034B0"/>
    <w:rsid w:val="000041A1"/>
    <w:rsid w:val="000130A2"/>
    <w:rsid w:val="00016ACD"/>
    <w:rsid w:val="00021B30"/>
    <w:rsid w:val="00021E4C"/>
    <w:rsid w:val="00022556"/>
    <w:rsid w:val="000352D0"/>
    <w:rsid w:val="000366EC"/>
    <w:rsid w:val="00043845"/>
    <w:rsid w:val="00043E4D"/>
    <w:rsid w:val="00047A2B"/>
    <w:rsid w:val="00056393"/>
    <w:rsid w:val="00065DDA"/>
    <w:rsid w:val="000679CB"/>
    <w:rsid w:val="0007225E"/>
    <w:rsid w:val="00076D81"/>
    <w:rsid w:val="0008378A"/>
    <w:rsid w:val="0008784D"/>
    <w:rsid w:val="00090018"/>
    <w:rsid w:val="00090306"/>
    <w:rsid w:val="00093ACD"/>
    <w:rsid w:val="00095814"/>
    <w:rsid w:val="00097D81"/>
    <w:rsid w:val="000A4AD0"/>
    <w:rsid w:val="000A77C5"/>
    <w:rsid w:val="000B7F1B"/>
    <w:rsid w:val="000D3367"/>
    <w:rsid w:val="000D3948"/>
    <w:rsid w:val="000E0C28"/>
    <w:rsid w:val="000E1320"/>
    <w:rsid w:val="000E56A6"/>
    <w:rsid w:val="000F2F16"/>
    <w:rsid w:val="000F3423"/>
    <w:rsid w:val="001050B4"/>
    <w:rsid w:val="001113BE"/>
    <w:rsid w:val="0012224D"/>
    <w:rsid w:val="001225BC"/>
    <w:rsid w:val="00122A9E"/>
    <w:rsid w:val="0012326A"/>
    <w:rsid w:val="001407FC"/>
    <w:rsid w:val="00145A42"/>
    <w:rsid w:val="00147A49"/>
    <w:rsid w:val="00147B8B"/>
    <w:rsid w:val="0015125A"/>
    <w:rsid w:val="00152464"/>
    <w:rsid w:val="0015539F"/>
    <w:rsid w:val="00160597"/>
    <w:rsid w:val="00161D3A"/>
    <w:rsid w:val="001664C8"/>
    <w:rsid w:val="00167AD0"/>
    <w:rsid w:val="00170D2F"/>
    <w:rsid w:val="00173184"/>
    <w:rsid w:val="00175079"/>
    <w:rsid w:val="00183515"/>
    <w:rsid w:val="001973CA"/>
    <w:rsid w:val="001A03BE"/>
    <w:rsid w:val="001A067E"/>
    <w:rsid w:val="001A2900"/>
    <w:rsid w:val="001A4081"/>
    <w:rsid w:val="001A5EA8"/>
    <w:rsid w:val="001A65F1"/>
    <w:rsid w:val="001A7415"/>
    <w:rsid w:val="001B2B40"/>
    <w:rsid w:val="001B3E9D"/>
    <w:rsid w:val="001B4A40"/>
    <w:rsid w:val="001B4A84"/>
    <w:rsid w:val="001B5925"/>
    <w:rsid w:val="001C2B0B"/>
    <w:rsid w:val="00220F4C"/>
    <w:rsid w:val="00227040"/>
    <w:rsid w:val="0022783D"/>
    <w:rsid w:val="00230CFC"/>
    <w:rsid w:val="00231C1D"/>
    <w:rsid w:val="00241CED"/>
    <w:rsid w:val="00242FB4"/>
    <w:rsid w:val="00245605"/>
    <w:rsid w:val="002563F0"/>
    <w:rsid w:val="002578B1"/>
    <w:rsid w:val="00266064"/>
    <w:rsid w:val="00267C8D"/>
    <w:rsid w:val="002701DD"/>
    <w:rsid w:val="002769B5"/>
    <w:rsid w:val="00276B59"/>
    <w:rsid w:val="00281319"/>
    <w:rsid w:val="00286149"/>
    <w:rsid w:val="0028668D"/>
    <w:rsid w:val="00287CA2"/>
    <w:rsid w:val="00290289"/>
    <w:rsid w:val="00296645"/>
    <w:rsid w:val="00296A4B"/>
    <w:rsid w:val="002970F4"/>
    <w:rsid w:val="00297284"/>
    <w:rsid w:val="00297ED7"/>
    <w:rsid w:val="002A0077"/>
    <w:rsid w:val="002A2AAB"/>
    <w:rsid w:val="002A374B"/>
    <w:rsid w:val="002A73E9"/>
    <w:rsid w:val="002B2FC3"/>
    <w:rsid w:val="002B333A"/>
    <w:rsid w:val="002B35F0"/>
    <w:rsid w:val="002B58AF"/>
    <w:rsid w:val="002B5ED2"/>
    <w:rsid w:val="002C3748"/>
    <w:rsid w:val="002C5E89"/>
    <w:rsid w:val="002D71A9"/>
    <w:rsid w:val="002F7507"/>
    <w:rsid w:val="00302FB4"/>
    <w:rsid w:val="00305273"/>
    <w:rsid w:val="003054CD"/>
    <w:rsid w:val="003057FC"/>
    <w:rsid w:val="00307C85"/>
    <w:rsid w:val="003112B3"/>
    <w:rsid w:val="00312983"/>
    <w:rsid w:val="003248CB"/>
    <w:rsid w:val="00331EA7"/>
    <w:rsid w:val="003332B8"/>
    <w:rsid w:val="00336714"/>
    <w:rsid w:val="00344465"/>
    <w:rsid w:val="0034740A"/>
    <w:rsid w:val="0035375B"/>
    <w:rsid w:val="003547D4"/>
    <w:rsid w:val="003664E9"/>
    <w:rsid w:val="00366D1E"/>
    <w:rsid w:val="0036701F"/>
    <w:rsid w:val="00373EE5"/>
    <w:rsid w:val="00375D5C"/>
    <w:rsid w:val="003817E7"/>
    <w:rsid w:val="00382E55"/>
    <w:rsid w:val="00393074"/>
    <w:rsid w:val="003961B2"/>
    <w:rsid w:val="003A41AD"/>
    <w:rsid w:val="003B152B"/>
    <w:rsid w:val="003B1734"/>
    <w:rsid w:val="003B1735"/>
    <w:rsid w:val="003B6CBF"/>
    <w:rsid w:val="003B7DB6"/>
    <w:rsid w:val="003C47A7"/>
    <w:rsid w:val="003D0826"/>
    <w:rsid w:val="003D1B17"/>
    <w:rsid w:val="003D3C93"/>
    <w:rsid w:val="003E00D5"/>
    <w:rsid w:val="003E02BA"/>
    <w:rsid w:val="003E46F8"/>
    <w:rsid w:val="003F5667"/>
    <w:rsid w:val="003F7F38"/>
    <w:rsid w:val="004036AD"/>
    <w:rsid w:val="0040399B"/>
    <w:rsid w:val="00406F0C"/>
    <w:rsid w:val="00412585"/>
    <w:rsid w:val="0041363B"/>
    <w:rsid w:val="00415D5D"/>
    <w:rsid w:val="0042650F"/>
    <w:rsid w:val="00431E0B"/>
    <w:rsid w:val="004337FE"/>
    <w:rsid w:val="00433E98"/>
    <w:rsid w:val="004356E5"/>
    <w:rsid w:val="00435738"/>
    <w:rsid w:val="00437137"/>
    <w:rsid w:val="004403B8"/>
    <w:rsid w:val="00441ADA"/>
    <w:rsid w:val="0044371C"/>
    <w:rsid w:val="0044627E"/>
    <w:rsid w:val="0045114F"/>
    <w:rsid w:val="00452365"/>
    <w:rsid w:val="004529D3"/>
    <w:rsid w:val="00453F31"/>
    <w:rsid w:val="00454955"/>
    <w:rsid w:val="00456B0C"/>
    <w:rsid w:val="004602C7"/>
    <w:rsid w:val="0046538B"/>
    <w:rsid w:val="00471C92"/>
    <w:rsid w:val="004739AC"/>
    <w:rsid w:val="00475FEF"/>
    <w:rsid w:val="0047776F"/>
    <w:rsid w:val="004870EA"/>
    <w:rsid w:val="00487F13"/>
    <w:rsid w:val="00496193"/>
    <w:rsid w:val="004A02AF"/>
    <w:rsid w:val="004A679B"/>
    <w:rsid w:val="004C0A19"/>
    <w:rsid w:val="004C0FB4"/>
    <w:rsid w:val="004C1811"/>
    <w:rsid w:val="004C4047"/>
    <w:rsid w:val="004C4555"/>
    <w:rsid w:val="004D1ADA"/>
    <w:rsid w:val="004D6CEA"/>
    <w:rsid w:val="004E0058"/>
    <w:rsid w:val="004E3564"/>
    <w:rsid w:val="004E51C0"/>
    <w:rsid w:val="004E64BE"/>
    <w:rsid w:val="004F736A"/>
    <w:rsid w:val="00503B8D"/>
    <w:rsid w:val="00503EE3"/>
    <w:rsid w:val="00505811"/>
    <w:rsid w:val="00515DE7"/>
    <w:rsid w:val="00517EB0"/>
    <w:rsid w:val="005205CB"/>
    <w:rsid w:val="00525F30"/>
    <w:rsid w:val="005352F1"/>
    <w:rsid w:val="00537422"/>
    <w:rsid w:val="00540094"/>
    <w:rsid w:val="00545CFF"/>
    <w:rsid w:val="00553D67"/>
    <w:rsid w:val="00555800"/>
    <w:rsid w:val="00556DBB"/>
    <w:rsid w:val="00560781"/>
    <w:rsid w:val="0056268F"/>
    <w:rsid w:val="005662E9"/>
    <w:rsid w:val="005718FC"/>
    <w:rsid w:val="00572AAF"/>
    <w:rsid w:val="005775B3"/>
    <w:rsid w:val="005801AE"/>
    <w:rsid w:val="00582868"/>
    <w:rsid w:val="00582ECC"/>
    <w:rsid w:val="0058399B"/>
    <w:rsid w:val="0058653A"/>
    <w:rsid w:val="0058692F"/>
    <w:rsid w:val="00587045"/>
    <w:rsid w:val="00587C22"/>
    <w:rsid w:val="0059436D"/>
    <w:rsid w:val="005945C0"/>
    <w:rsid w:val="00597016"/>
    <w:rsid w:val="005974B7"/>
    <w:rsid w:val="005A0D51"/>
    <w:rsid w:val="005A181B"/>
    <w:rsid w:val="005A1CB3"/>
    <w:rsid w:val="005A3073"/>
    <w:rsid w:val="005A33A5"/>
    <w:rsid w:val="005A70A0"/>
    <w:rsid w:val="005B0612"/>
    <w:rsid w:val="005B13F0"/>
    <w:rsid w:val="005B30F6"/>
    <w:rsid w:val="005B45BA"/>
    <w:rsid w:val="005B5689"/>
    <w:rsid w:val="005B6774"/>
    <w:rsid w:val="005C0A89"/>
    <w:rsid w:val="005C3BC4"/>
    <w:rsid w:val="005D59B1"/>
    <w:rsid w:val="005D764B"/>
    <w:rsid w:val="005E2367"/>
    <w:rsid w:val="005E5E90"/>
    <w:rsid w:val="005E654C"/>
    <w:rsid w:val="005F05F6"/>
    <w:rsid w:val="005F6F98"/>
    <w:rsid w:val="005F7112"/>
    <w:rsid w:val="00605734"/>
    <w:rsid w:val="0061488E"/>
    <w:rsid w:val="0061574B"/>
    <w:rsid w:val="006223FE"/>
    <w:rsid w:val="00622670"/>
    <w:rsid w:val="00623044"/>
    <w:rsid w:val="00623A1A"/>
    <w:rsid w:val="00626E8D"/>
    <w:rsid w:val="00632DA8"/>
    <w:rsid w:val="00634AA6"/>
    <w:rsid w:val="00634E6E"/>
    <w:rsid w:val="0064342A"/>
    <w:rsid w:val="00643A28"/>
    <w:rsid w:val="006452FA"/>
    <w:rsid w:val="0065093D"/>
    <w:rsid w:val="00653823"/>
    <w:rsid w:val="00655193"/>
    <w:rsid w:val="00655459"/>
    <w:rsid w:val="00656925"/>
    <w:rsid w:val="00656FB2"/>
    <w:rsid w:val="00661454"/>
    <w:rsid w:val="0066642D"/>
    <w:rsid w:val="00675E85"/>
    <w:rsid w:val="0067750F"/>
    <w:rsid w:val="006825FD"/>
    <w:rsid w:val="00683D07"/>
    <w:rsid w:val="00683FD9"/>
    <w:rsid w:val="0068401E"/>
    <w:rsid w:val="006841A4"/>
    <w:rsid w:val="0068643F"/>
    <w:rsid w:val="006877A1"/>
    <w:rsid w:val="00692150"/>
    <w:rsid w:val="00692F0C"/>
    <w:rsid w:val="00696E7C"/>
    <w:rsid w:val="006A0445"/>
    <w:rsid w:val="006A0C54"/>
    <w:rsid w:val="006A7C53"/>
    <w:rsid w:val="006B309C"/>
    <w:rsid w:val="006B727F"/>
    <w:rsid w:val="006B796B"/>
    <w:rsid w:val="006C41C1"/>
    <w:rsid w:val="006C6D3A"/>
    <w:rsid w:val="006C7B36"/>
    <w:rsid w:val="006C7B7F"/>
    <w:rsid w:val="006D19E8"/>
    <w:rsid w:val="006D2EAC"/>
    <w:rsid w:val="006E04B5"/>
    <w:rsid w:val="006E330C"/>
    <w:rsid w:val="006E3DD8"/>
    <w:rsid w:val="006E793F"/>
    <w:rsid w:val="006F0154"/>
    <w:rsid w:val="006F7944"/>
    <w:rsid w:val="00704121"/>
    <w:rsid w:val="00705BB5"/>
    <w:rsid w:val="0071326F"/>
    <w:rsid w:val="007153D7"/>
    <w:rsid w:val="00720ED4"/>
    <w:rsid w:val="00727435"/>
    <w:rsid w:val="0073493C"/>
    <w:rsid w:val="0074488F"/>
    <w:rsid w:val="00745AA8"/>
    <w:rsid w:val="00746B90"/>
    <w:rsid w:val="007510EC"/>
    <w:rsid w:val="0075233C"/>
    <w:rsid w:val="0075256A"/>
    <w:rsid w:val="007569DE"/>
    <w:rsid w:val="0075723C"/>
    <w:rsid w:val="0076059F"/>
    <w:rsid w:val="007756BB"/>
    <w:rsid w:val="00782C8F"/>
    <w:rsid w:val="00785F78"/>
    <w:rsid w:val="0078659D"/>
    <w:rsid w:val="007869EC"/>
    <w:rsid w:val="00795FEF"/>
    <w:rsid w:val="007A1E58"/>
    <w:rsid w:val="007A5C7E"/>
    <w:rsid w:val="007A6E2F"/>
    <w:rsid w:val="007B3BC5"/>
    <w:rsid w:val="007D03DF"/>
    <w:rsid w:val="007D4953"/>
    <w:rsid w:val="007D50F4"/>
    <w:rsid w:val="007D7173"/>
    <w:rsid w:val="007D7FB0"/>
    <w:rsid w:val="007E1216"/>
    <w:rsid w:val="007E4CD4"/>
    <w:rsid w:val="007F0E8E"/>
    <w:rsid w:val="00804604"/>
    <w:rsid w:val="008079DD"/>
    <w:rsid w:val="0081130F"/>
    <w:rsid w:val="00824430"/>
    <w:rsid w:val="00825B1F"/>
    <w:rsid w:val="00827D55"/>
    <w:rsid w:val="00831132"/>
    <w:rsid w:val="00840EDD"/>
    <w:rsid w:val="0084255F"/>
    <w:rsid w:val="00854FB3"/>
    <w:rsid w:val="00860F13"/>
    <w:rsid w:val="00861F8B"/>
    <w:rsid w:val="0086561F"/>
    <w:rsid w:val="00865FE1"/>
    <w:rsid w:val="008748C7"/>
    <w:rsid w:val="0087521A"/>
    <w:rsid w:val="008808C0"/>
    <w:rsid w:val="00882B55"/>
    <w:rsid w:val="00890BDE"/>
    <w:rsid w:val="008962E7"/>
    <w:rsid w:val="008A1118"/>
    <w:rsid w:val="008A281F"/>
    <w:rsid w:val="008A4AF6"/>
    <w:rsid w:val="008A4FF8"/>
    <w:rsid w:val="008A5ED1"/>
    <w:rsid w:val="008A7FD1"/>
    <w:rsid w:val="008B042E"/>
    <w:rsid w:val="008B211E"/>
    <w:rsid w:val="008B3513"/>
    <w:rsid w:val="008B6D48"/>
    <w:rsid w:val="008C7660"/>
    <w:rsid w:val="008C79A7"/>
    <w:rsid w:val="008D03F5"/>
    <w:rsid w:val="008D2F08"/>
    <w:rsid w:val="008D555F"/>
    <w:rsid w:val="008D625D"/>
    <w:rsid w:val="008D650E"/>
    <w:rsid w:val="008E6A41"/>
    <w:rsid w:val="009007FB"/>
    <w:rsid w:val="00903990"/>
    <w:rsid w:val="00904950"/>
    <w:rsid w:val="00915E5E"/>
    <w:rsid w:val="009166B8"/>
    <w:rsid w:val="00920498"/>
    <w:rsid w:val="00922DB7"/>
    <w:rsid w:val="00924BA1"/>
    <w:rsid w:val="0092684A"/>
    <w:rsid w:val="00937FAB"/>
    <w:rsid w:val="00940816"/>
    <w:rsid w:val="0094094D"/>
    <w:rsid w:val="00942AB8"/>
    <w:rsid w:val="00945001"/>
    <w:rsid w:val="00945CAF"/>
    <w:rsid w:val="00947448"/>
    <w:rsid w:val="00952B38"/>
    <w:rsid w:val="00952C99"/>
    <w:rsid w:val="00965333"/>
    <w:rsid w:val="009712EF"/>
    <w:rsid w:val="009727BF"/>
    <w:rsid w:val="00973321"/>
    <w:rsid w:val="00975C2E"/>
    <w:rsid w:val="00977270"/>
    <w:rsid w:val="0097754E"/>
    <w:rsid w:val="00981C59"/>
    <w:rsid w:val="009824F2"/>
    <w:rsid w:val="00983080"/>
    <w:rsid w:val="0098519B"/>
    <w:rsid w:val="00986AA3"/>
    <w:rsid w:val="00993B24"/>
    <w:rsid w:val="0099611F"/>
    <w:rsid w:val="009A083F"/>
    <w:rsid w:val="009A135C"/>
    <w:rsid w:val="009A67E7"/>
    <w:rsid w:val="009A79A7"/>
    <w:rsid w:val="009B3C8C"/>
    <w:rsid w:val="009B55C9"/>
    <w:rsid w:val="009C603A"/>
    <w:rsid w:val="009C74CD"/>
    <w:rsid w:val="009D048F"/>
    <w:rsid w:val="009D401F"/>
    <w:rsid w:val="009D68FA"/>
    <w:rsid w:val="009E32CF"/>
    <w:rsid w:val="009E4FC2"/>
    <w:rsid w:val="009E57AB"/>
    <w:rsid w:val="009F1CCF"/>
    <w:rsid w:val="009F44AE"/>
    <w:rsid w:val="00A02529"/>
    <w:rsid w:val="00A02EF2"/>
    <w:rsid w:val="00A04D5E"/>
    <w:rsid w:val="00A10DDF"/>
    <w:rsid w:val="00A11172"/>
    <w:rsid w:val="00A12E55"/>
    <w:rsid w:val="00A242E4"/>
    <w:rsid w:val="00A24437"/>
    <w:rsid w:val="00A24CA0"/>
    <w:rsid w:val="00A32DAB"/>
    <w:rsid w:val="00A3362A"/>
    <w:rsid w:val="00A34411"/>
    <w:rsid w:val="00A346D5"/>
    <w:rsid w:val="00A37B70"/>
    <w:rsid w:val="00A40AC7"/>
    <w:rsid w:val="00A435C7"/>
    <w:rsid w:val="00A569B2"/>
    <w:rsid w:val="00A5753B"/>
    <w:rsid w:val="00A611A4"/>
    <w:rsid w:val="00A64CA7"/>
    <w:rsid w:val="00A6695B"/>
    <w:rsid w:val="00A72703"/>
    <w:rsid w:val="00A727F6"/>
    <w:rsid w:val="00A72E71"/>
    <w:rsid w:val="00A750A3"/>
    <w:rsid w:val="00A76432"/>
    <w:rsid w:val="00A84FC6"/>
    <w:rsid w:val="00A8528E"/>
    <w:rsid w:val="00A90605"/>
    <w:rsid w:val="00A9490B"/>
    <w:rsid w:val="00A94A49"/>
    <w:rsid w:val="00A95452"/>
    <w:rsid w:val="00AA1815"/>
    <w:rsid w:val="00AA1D3E"/>
    <w:rsid w:val="00AA39F9"/>
    <w:rsid w:val="00AB0931"/>
    <w:rsid w:val="00AB0D45"/>
    <w:rsid w:val="00AB5C9B"/>
    <w:rsid w:val="00AC0276"/>
    <w:rsid w:val="00AC0312"/>
    <w:rsid w:val="00AC0449"/>
    <w:rsid w:val="00AC2319"/>
    <w:rsid w:val="00AD2497"/>
    <w:rsid w:val="00AD5EB4"/>
    <w:rsid w:val="00AE63E2"/>
    <w:rsid w:val="00AE6F24"/>
    <w:rsid w:val="00AF04C9"/>
    <w:rsid w:val="00AF26B6"/>
    <w:rsid w:val="00AF2979"/>
    <w:rsid w:val="00AF57CF"/>
    <w:rsid w:val="00AF7606"/>
    <w:rsid w:val="00B0375C"/>
    <w:rsid w:val="00B052CB"/>
    <w:rsid w:val="00B156C3"/>
    <w:rsid w:val="00B15F67"/>
    <w:rsid w:val="00B1624F"/>
    <w:rsid w:val="00B172BD"/>
    <w:rsid w:val="00B224C5"/>
    <w:rsid w:val="00B325CD"/>
    <w:rsid w:val="00B4768D"/>
    <w:rsid w:val="00B518E5"/>
    <w:rsid w:val="00B51E1F"/>
    <w:rsid w:val="00B60222"/>
    <w:rsid w:val="00B62CFB"/>
    <w:rsid w:val="00B64037"/>
    <w:rsid w:val="00B662F5"/>
    <w:rsid w:val="00B7000C"/>
    <w:rsid w:val="00B760D5"/>
    <w:rsid w:val="00B83B2C"/>
    <w:rsid w:val="00B94740"/>
    <w:rsid w:val="00B97F75"/>
    <w:rsid w:val="00BA0949"/>
    <w:rsid w:val="00BA1CAE"/>
    <w:rsid w:val="00BA33BB"/>
    <w:rsid w:val="00BA47C0"/>
    <w:rsid w:val="00BA4830"/>
    <w:rsid w:val="00BA6E22"/>
    <w:rsid w:val="00BB362C"/>
    <w:rsid w:val="00BC0A03"/>
    <w:rsid w:val="00BC3C14"/>
    <w:rsid w:val="00BD4139"/>
    <w:rsid w:val="00BD6504"/>
    <w:rsid w:val="00BE059A"/>
    <w:rsid w:val="00BE1981"/>
    <w:rsid w:val="00BE3E3A"/>
    <w:rsid w:val="00BE56E9"/>
    <w:rsid w:val="00BE63CF"/>
    <w:rsid w:val="00BE7014"/>
    <w:rsid w:val="00BF25C7"/>
    <w:rsid w:val="00C009B7"/>
    <w:rsid w:val="00C04E32"/>
    <w:rsid w:val="00C15A3F"/>
    <w:rsid w:val="00C17A88"/>
    <w:rsid w:val="00C20630"/>
    <w:rsid w:val="00C22F7A"/>
    <w:rsid w:val="00C2525E"/>
    <w:rsid w:val="00C2666F"/>
    <w:rsid w:val="00C32020"/>
    <w:rsid w:val="00C3408C"/>
    <w:rsid w:val="00C351CC"/>
    <w:rsid w:val="00C35435"/>
    <w:rsid w:val="00C432FD"/>
    <w:rsid w:val="00C43CDF"/>
    <w:rsid w:val="00C50045"/>
    <w:rsid w:val="00C512B2"/>
    <w:rsid w:val="00C62B69"/>
    <w:rsid w:val="00C644B7"/>
    <w:rsid w:val="00C64564"/>
    <w:rsid w:val="00C73C87"/>
    <w:rsid w:val="00C74B6F"/>
    <w:rsid w:val="00C82783"/>
    <w:rsid w:val="00C837B1"/>
    <w:rsid w:val="00C87EF3"/>
    <w:rsid w:val="00C9015F"/>
    <w:rsid w:val="00C912F9"/>
    <w:rsid w:val="00C9241B"/>
    <w:rsid w:val="00C97569"/>
    <w:rsid w:val="00C976ED"/>
    <w:rsid w:val="00CA01EB"/>
    <w:rsid w:val="00CA199D"/>
    <w:rsid w:val="00CA3BF9"/>
    <w:rsid w:val="00CA4D9C"/>
    <w:rsid w:val="00CB05A7"/>
    <w:rsid w:val="00CB06A4"/>
    <w:rsid w:val="00CB325B"/>
    <w:rsid w:val="00CB56F0"/>
    <w:rsid w:val="00CB64FF"/>
    <w:rsid w:val="00CB7078"/>
    <w:rsid w:val="00CC014B"/>
    <w:rsid w:val="00CC21D8"/>
    <w:rsid w:val="00CC2D8D"/>
    <w:rsid w:val="00CC3369"/>
    <w:rsid w:val="00CC5343"/>
    <w:rsid w:val="00CC667B"/>
    <w:rsid w:val="00CC78DE"/>
    <w:rsid w:val="00CD0F93"/>
    <w:rsid w:val="00CD6D6E"/>
    <w:rsid w:val="00CD6F23"/>
    <w:rsid w:val="00CE0372"/>
    <w:rsid w:val="00CF640B"/>
    <w:rsid w:val="00D027AF"/>
    <w:rsid w:val="00D03E25"/>
    <w:rsid w:val="00D06652"/>
    <w:rsid w:val="00D067F4"/>
    <w:rsid w:val="00D07FA6"/>
    <w:rsid w:val="00D17C53"/>
    <w:rsid w:val="00D17D57"/>
    <w:rsid w:val="00D2341D"/>
    <w:rsid w:val="00D25E0E"/>
    <w:rsid w:val="00D302EB"/>
    <w:rsid w:val="00D31679"/>
    <w:rsid w:val="00D320C8"/>
    <w:rsid w:val="00D3672F"/>
    <w:rsid w:val="00D40ABA"/>
    <w:rsid w:val="00D40FE2"/>
    <w:rsid w:val="00D440FA"/>
    <w:rsid w:val="00D44BCF"/>
    <w:rsid w:val="00D46E73"/>
    <w:rsid w:val="00D518B6"/>
    <w:rsid w:val="00D5548D"/>
    <w:rsid w:val="00D602A3"/>
    <w:rsid w:val="00D60F81"/>
    <w:rsid w:val="00D63951"/>
    <w:rsid w:val="00D63BF2"/>
    <w:rsid w:val="00D64894"/>
    <w:rsid w:val="00D67348"/>
    <w:rsid w:val="00D75FEC"/>
    <w:rsid w:val="00D76B98"/>
    <w:rsid w:val="00D830F3"/>
    <w:rsid w:val="00D86A95"/>
    <w:rsid w:val="00D86F2C"/>
    <w:rsid w:val="00D87987"/>
    <w:rsid w:val="00D90F11"/>
    <w:rsid w:val="00D93DB8"/>
    <w:rsid w:val="00D97C6F"/>
    <w:rsid w:val="00DA36F6"/>
    <w:rsid w:val="00DB0A18"/>
    <w:rsid w:val="00DB3E87"/>
    <w:rsid w:val="00DB4044"/>
    <w:rsid w:val="00DC1611"/>
    <w:rsid w:val="00DF0774"/>
    <w:rsid w:val="00DF1036"/>
    <w:rsid w:val="00E05451"/>
    <w:rsid w:val="00E05651"/>
    <w:rsid w:val="00E11BA5"/>
    <w:rsid w:val="00E20425"/>
    <w:rsid w:val="00E238B3"/>
    <w:rsid w:val="00E25DCB"/>
    <w:rsid w:val="00E2704B"/>
    <w:rsid w:val="00E31B0E"/>
    <w:rsid w:val="00E34767"/>
    <w:rsid w:val="00E4156E"/>
    <w:rsid w:val="00E453F2"/>
    <w:rsid w:val="00E460AD"/>
    <w:rsid w:val="00E61925"/>
    <w:rsid w:val="00E62623"/>
    <w:rsid w:val="00E63261"/>
    <w:rsid w:val="00E65C0E"/>
    <w:rsid w:val="00E67FEC"/>
    <w:rsid w:val="00E730FC"/>
    <w:rsid w:val="00E746F0"/>
    <w:rsid w:val="00E82A15"/>
    <w:rsid w:val="00E87589"/>
    <w:rsid w:val="00E938FF"/>
    <w:rsid w:val="00EA34DC"/>
    <w:rsid w:val="00EA5017"/>
    <w:rsid w:val="00EA63F7"/>
    <w:rsid w:val="00EA6BED"/>
    <w:rsid w:val="00EB14F0"/>
    <w:rsid w:val="00EB3844"/>
    <w:rsid w:val="00EB5A9F"/>
    <w:rsid w:val="00EB7886"/>
    <w:rsid w:val="00EC1574"/>
    <w:rsid w:val="00EC54D3"/>
    <w:rsid w:val="00EC5ADD"/>
    <w:rsid w:val="00EC5C8D"/>
    <w:rsid w:val="00ED106C"/>
    <w:rsid w:val="00ED2D34"/>
    <w:rsid w:val="00ED4805"/>
    <w:rsid w:val="00ED6C51"/>
    <w:rsid w:val="00EE3E91"/>
    <w:rsid w:val="00EE4283"/>
    <w:rsid w:val="00EF2137"/>
    <w:rsid w:val="00EF4258"/>
    <w:rsid w:val="00F02237"/>
    <w:rsid w:val="00F131FB"/>
    <w:rsid w:val="00F22423"/>
    <w:rsid w:val="00F23AF0"/>
    <w:rsid w:val="00F24C72"/>
    <w:rsid w:val="00F31D22"/>
    <w:rsid w:val="00F348B2"/>
    <w:rsid w:val="00F34BF0"/>
    <w:rsid w:val="00F37C0F"/>
    <w:rsid w:val="00F4095A"/>
    <w:rsid w:val="00F45845"/>
    <w:rsid w:val="00F50189"/>
    <w:rsid w:val="00F508FC"/>
    <w:rsid w:val="00F54044"/>
    <w:rsid w:val="00F576E7"/>
    <w:rsid w:val="00F70E9B"/>
    <w:rsid w:val="00F763FC"/>
    <w:rsid w:val="00F772C1"/>
    <w:rsid w:val="00F8026D"/>
    <w:rsid w:val="00F8245F"/>
    <w:rsid w:val="00F91629"/>
    <w:rsid w:val="00F91E2A"/>
    <w:rsid w:val="00F96114"/>
    <w:rsid w:val="00FA153F"/>
    <w:rsid w:val="00FA1D78"/>
    <w:rsid w:val="00FA1F7E"/>
    <w:rsid w:val="00FA280F"/>
    <w:rsid w:val="00FB2186"/>
    <w:rsid w:val="00FB33AF"/>
    <w:rsid w:val="00FD0133"/>
    <w:rsid w:val="00FD6206"/>
    <w:rsid w:val="00FD7CD8"/>
    <w:rsid w:val="00FF1649"/>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corpsdedcision"/>
    <w:qFormat/>
    <w:rsid w:val="0034740A"/>
    <w:pPr>
      <w:keepNext/>
      <w:spacing w:before="240" w:after="240"/>
      <w:outlineLvl w:val="0"/>
    </w:pPr>
    <w:rPr>
      <w:rFonts w:cs="Arial"/>
      <w:bCs/>
      <w:caps/>
      <w:kern w:val="32"/>
      <w:szCs w:val="32"/>
      <w:u w:val="single"/>
      <w:lang w:eastAsia="fr-FR"/>
    </w:rPr>
  </w:style>
  <w:style w:type="paragraph" w:styleId="Titre2">
    <w:name w:val="heading 2"/>
    <w:basedOn w:val="Normal"/>
    <w:next w:val="corpsdedcision"/>
    <w:qFormat/>
    <w:rsid w:val="0034740A"/>
    <w:pPr>
      <w:keepNext/>
      <w:spacing w:before="240" w:after="240"/>
      <w:outlineLvl w:val="1"/>
    </w:pPr>
    <w:rPr>
      <w:rFonts w:cs="Arial"/>
      <w:bCs/>
      <w:iCs/>
      <w:caps/>
      <w:szCs w:val="28"/>
      <w:lang w:eastAsia="fr-FR"/>
    </w:rPr>
  </w:style>
  <w:style w:type="paragraph" w:styleId="Titre3">
    <w:name w:val="heading 3"/>
    <w:basedOn w:val="Normal"/>
    <w:next w:val="corpsdedcision"/>
    <w:qFormat/>
    <w:rsid w:val="0034740A"/>
    <w:pPr>
      <w:keepNext/>
      <w:spacing w:before="240" w:after="240"/>
      <w:outlineLvl w:val="2"/>
    </w:pPr>
    <w:rPr>
      <w:rFonts w:cs="Arial"/>
      <w:bCs/>
      <w:szCs w:val="26"/>
      <w:u w:val="single"/>
      <w:lang w:eastAsia="fr-FR"/>
    </w:rPr>
  </w:style>
  <w:style w:type="paragraph" w:styleId="Titre4">
    <w:name w:val="heading 4"/>
    <w:basedOn w:val="Normal"/>
    <w:next w:val="corpsdedcision"/>
    <w:qFormat/>
    <w:rsid w:val="0034740A"/>
    <w:pPr>
      <w:keepNext/>
      <w:spacing w:before="240" w:after="240"/>
      <w:outlineLvl w:val="3"/>
    </w:pPr>
    <w:rPr>
      <w:bCs/>
      <w:szCs w:val="28"/>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basedOn w:val="Normal"/>
    <w:link w:val="NotedebasdepageCar"/>
    <w:semiHidden/>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basedOn w:val="Policepardfaut"/>
    <w:link w:val="Notedebasdepage"/>
    <w:semiHidden/>
    <w:locked/>
    <w:rsid w:val="00BC0A03"/>
    <w:rPr>
      <w:rFonts w:ascii="Arial" w:hAnsi="Arial"/>
      <w:sz w:val="24"/>
      <w:lang w:val="fr-CA" w:eastAsia="fr-CA" w:bidi="ar-SA"/>
    </w:rPr>
  </w:style>
  <w:style w:type="character" w:customStyle="1" w:styleId="label-section1">
    <w:name w:val="label-section1"/>
    <w:basedOn w:val="Policepardfaut"/>
    <w:rsid w:val="00653823"/>
    <w:rPr>
      <w:rFonts w:ascii="Arial" w:hAnsi="Arial" w:cs="Arial"/>
      <w:b/>
      <w:bCs/>
      <w:sz w:val="24"/>
      <w:szCs w:val="24"/>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exte-courant1">
    <w:name w:val="texte-courant1"/>
    <w:basedOn w:val="Policepardfaut"/>
    <w:rsid w:val="00653823"/>
    <w:rPr>
      <w:rFonts w:cs="Times New Roman"/>
    </w:rPr>
  </w:style>
  <w:style w:type="character" w:styleId="Lienhypertexte">
    <w:name w:val="Hyperlink"/>
    <w:basedOn w:val="Policepardfaut"/>
    <w:rsid w:val="00653823"/>
    <w:rPr>
      <w:rFonts w:cs="Times New Roman"/>
      <w:color w:val="375D9D"/>
      <w:u w:val="none"/>
      <w:effect w:val="none"/>
      <w:shd w:val="clear" w:color="auto" w:fill="auto"/>
    </w:rPr>
  </w:style>
  <w:style w:type="character" w:styleId="Lienhypertextesuivivisit">
    <w:name w:val="FollowedHyperlink"/>
    <w:basedOn w:val="Policepardfaut"/>
    <w:rsid w:val="00653823"/>
    <w:rPr>
      <w:color w:val="800080"/>
      <w:u w:val="single"/>
    </w:rPr>
  </w:style>
  <w:style w:type="character" w:customStyle="1" w:styleId="label-z">
    <w:name w:val="label-z"/>
    <w:basedOn w:val="Policepardfaut"/>
    <w:rsid w:val="00940816"/>
    <w:rPr>
      <w:rFonts w:cs="Times New Roman"/>
    </w:rPr>
  </w:style>
  <w:style w:type="character" w:customStyle="1" w:styleId="widthfixforlabel1">
    <w:name w:val="widthfixforlabel1"/>
    <w:basedOn w:val="Policepardfaut"/>
    <w:rsid w:val="00940816"/>
    <w:rPr>
      <w:rFonts w:cs="Times New Roman"/>
    </w:rPr>
  </w:style>
  <w:style w:type="character" w:customStyle="1" w:styleId="corpsdedcisionCar">
    <w:name w:val="corps de décision Car"/>
    <w:link w:val="corpsdedcision"/>
    <w:locked/>
    <w:rsid w:val="004356E5"/>
    <w:rPr>
      <w:rFonts w:ascii="Arial" w:hAnsi="Arial"/>
      <w:sz w:val="24"/>
    </w:rPr>
  </w:style>
  <w:style w:type="paragraph" w:styleId="Textedebulles">
    <w:name w:val="Balloon Text"/>
    <w:basedOn w:val="Normal"/>
    <w:link w:val="TextedebullesCar"/>
    <w:rsid w:val="00AF57CF"/>
    <w:rPr>
      <w:rFonts w:ascii="Segoe UI" w:hAnsi="Segoe UI" w:cs="Segoe UI"/>
      <w:sz w:val="18"/>
      <w:szCs w:val="18"/>
    </w:rPr>
  </w:style>
  <w:style w:type="character" w:customStyle="1" w:styleId="TextedebullesCar">
    <w:name w:val="Texte de bulles Car"/>
    <w:basedOn w:val="Policepardfaut"/>
    <w:link w:val="Textedebulles"/>
    <w:rsid w:val="00AF57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corpsdedcision"/>
    <w:qFormat/>
    <w:rsid w:val="0034740A"/>
    <w:pPr>
      <w:keepNext/>
      <w:spacing w:before="240" w:after="240"/>
      <w:outlineLvl w:val="0"/>
    </w:pPr>
    <w:rPr>
      <w:rFonts w:cs="Arial"/>
      <w:bCs/>
      <w:caps/>
      <w:kern w:val="32"/>
      <w:szCs w:val="32"/>
      <w:u w:val="single"/>
      <w:lang w:eastAsia="fr-FR"/>
    </w:rPr>
  </w:style>
  <w:style w:type="paragraph" w:styleId="Titre2">
    <w:name w:val="heading 2"/>
    <w:basedOn w:val="Normal"/>
    <w:next w:val="corpsdedcision"/>
    <w:qFormat/>
    <w:rsid w:val="0034740A"/>
    <w:pPr>
      <w:keepNext/>
      <w:spacing w:before="240" w:after="240"/>
      <w:outlineLvl w:val="1"/>
    </w:pPr>
    <w:rPr>
      <w:rFonts w:cs="Arial"/>
      <w:bCs/>
      <w:iCs/>
      <w:caps/>
      <w:szCs w:val="28"/>
      <w:lang w:eastAsia="fr-FR"/>
    </w:rPr>
  </w:style>
  <w:style w:type="paragraph" w:styleId="Titre3">
    <w:name w:val="heading 3"/>
    <w:basedOn w:val="Normal"/>
    <w:next w:val="corpsdedcision"/>
    <w:qFormat/>
    <w:rsid w:val="0034740A"/>
    <w:pPr>
      <w:keepNext/>
      <w:spacing w:before="240" w:after="240"/>
      <w:outlineLvl w:val="2"/>
    </w:pPr>
    <w:rPr>
      <w:rFonts w:cs="Arial"/>
      <w:bCs/>
      <w:szCs w:val="26"/>
      <w:u w:val="single"/>
      <w:lang w:eastAsia="fr-FR"/>
    </w:rPr>
  </w:style>
  <w:style w:type="paragraph" w:styleId="Titre4">
    <w:name w:val="heading 4"/>
    <w:basedOn w:val="Normal"/>
    <w:next w:val="corpsdedcision"/>
    <w:qFormat/>
    <w:rsid w:val="0034740A"/>
    <w:pPr>
      <w:keepNext/>
      <w:spacing w:before="240" w:after="240"/>
      <w:outlineLvl w:val="3"/>
    </w:pPr>
    <w:rPr>
      <w:bCs/>
      <w:szCs w:val="28"/>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basedOn w:val="Normal"/>
    <w:link w:val="NotedebasdepageCar"/>
    <w:semiHidden/>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basedOn w:val="Policepardfaut"/>
    <w:link w:val="Notedebasdepage"/>
    <w:semiHidden/>
    <w:locked/>
    <w:rsid w:val="00BC0A03"/>
    <w:rPr>
      <w:rFonts w:ascii="Arial" w:hAnsi="Arial"/>
      <w:sz w:val="24"/>
      <w:lang w:val="fr-CA" w:eastAsia="fr-CA" w:bidi="ar-SA"/>
    </w:rPr>
  </w:style>
  <w:style w:type="character" w:customStyle="1" w:styleId="label-section1">
    <w:name w:val="label-section1"/>
    <w:basedOn w:val="Policepardfaut"/>
    <w:rsid w:val="00653823"/>
    <w:rPr>
      <w:rFonts w:ascii="Arial" w:hAnsi="Arial" w:cs="Arial"/>
      <w:b/>
      <w:bCs/>
      <w:sz w:val="24"/>
      <w:szCs w:val="24"/>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exte-courant1">
    <w:name w:val="texte-courant1"/>
    <w:basedOn w:val="Policepardfaut"/>
    <w:rsid w:val="00653823"/>
    <w:rPr>
      <w:rFonts w:cs="Times New Roman"/>
    </w:rPr>
  </w:style>
  <w:style w:type="character" w:styleId="Lienhypertexte">
    <w:name w:val="Hyperlink"/>
    <w:basedOn w:val="Policepardfaut"/>
    <w:rsid w:val="00653823"/>
    <w:rPr>
      <w:rFonts w:cs="Times New Roman"/>
      <w:color w:val="375D9D"/>
      <w:u w:val="none"/>
      <w:effect w:val="none"/>
      <w:shd w:val="clear" w:color="auto" w:fill="auto"/>
    </w:rPr>
  </w:style>
  <w:style w:type="character" w:styleId="Lienhypertextesuivivisit">
    <w:name w:val="FollowedHyperlink"/>
    <w:basedOn w:val="Policepardfaut"/>
    <w:rsid w:val="00653823"/>
    <w:rPr>
      <w:color w:val="800080"/>
      <w:u w:val="single"/>
    </w:rPr>
  </w:style>
  <w:style w:type="character" w:customStyle="1" w:styleId="label-z">
    <w:name w:val="label-z"/>
    <w:basedOn w:val="Policepardfaut"/>
    <w:rsid w:val="00940816"/>
    <w:rPr>
      <w:rFonts w:cs="Times New Roman"/>
    </w:rPr>
  </w:style>
  <w:style w:type="character" w:customStyle="1" w:styleId="widthfixforlabel1">
    <w:name w:val="widthfixforlabel1"/>
    <w:basedOn w:val="Policepardfaut"/>
    <w:rsid w:val="00940816"/>
    <w:rPr>
      <w:rFonts w:cs="Times New Roman"/>
    </w:rPr>
  </w:style>
  <w:style w:type="character" w:customStyle="1" w:styleId="corpsdedcisionCar">
    <w:name w:val="corps de décision Car"/>
    <w:link w:val="corpsdedcision"/>
    <w:locked/>
    <w:rsid w:val="004356E5"/>
    <w:rPr>
      <w:rFonts w:ascii="Arial" w:hAnsi="Arial"/>
      <w:sz w:val="24"/>
    </w:rPr>
  </w:style>
  <w:style w:type="paragraph" w:styleId="Textedebulles">
    <w:name w:val="Balloon Text"/>
    <w:basedOn w:val="Normal"/>
    <w:link w:val="TextedebullesCar"/>
    <w:rsid w:val="00AF57CF"/>
    <w:rPr>
      <w:rFonts w:ascii="Segoe UI" w:hAnsi="Segoe UI" w:cs="Segoe UI"/>
      <w:sz w:val="18"/>
      <w:szCs w:val="18"/>
    </w:rPr>
  </w:style>
  <w:style w:type="character" w:customStyle="1" w:styleId="TextedebullesCar">
    <w:name w:val="Texte de bulles Car"/>
    <w:basedOn w:val="Policepardfaut"/>
    <w:link w:val="Textedebulles"/>
    <w:rsid w:val="00AF5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F9CA-D0F2-4E4A-B01A-BD397165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2975</Words>
  <Characters>16365</Characters>
  <Application>Microsoft Office Word</Application>
  <DocSecurity>0</DocSecurity>
  <Lines>136</Lines>
  <Paragraphs>38</Paragraphs>
  <ScaleCrop>false</ScaleCrop>
  <Company/>
  <LinksUpToDate>false</LinksUpToDate>
  <CharactersWithSpaces>19302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2018-10-05T14:11:00Z</dcterms:created>
  <dcterms:modified xsi:type="dcterms:W3CDTF">2018-10-05T14:11:00Z</dcterms:modified>
</cp:coreProperties>
</file>