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3D22467C" w14:textId="77777777">
        <w:trPr>
          <w:cantSplit/>
        </w:trPr>
        <w:tc>
          <w:tcPr>
            <w:tcW w:w="4795" w:type="dxa"/>
          </w:tcPr>
          <w:p w14:paraId="522F8D88" w14:textId="77777777" w:rsidR="008A7FD1" w:rsidRPr="00CB6A73" w:rsidRDefault="00CB6A73" w:rsidP="00CB6A73">
            <w:pPr>
              <w:pStyle w:val="zSoquijdatRepertorie"/>
              <w:rPr>
                <w:rFonts w:cs="Arial"/>
              </w:rPr>
            </w:pPr>
            <w:r>
              <w:rPr>
                <w:rFonts w:cs="Arial"/>
              </w:rPr>
              <w:t xml:space="preserve">Alex Coulombe </w:t>
            </w:r>
            <w:proofErr w:type="spellStart"/>
            <w:r>
              <w:rPr>
                <w:rFonts w:cs="Arial"/>
              </w:rPr>
              <w:t>ltée</w:t>
            </w:r>
            <w:proofErr w:type="spellEnd"/>
            <w:r>
              <w:rPr>
                <w:rFonts w:cs="Arial"/>
              </w:rPr>
              <w:t xml:space="preserve"> et Lajeunesse</w:t>
            </w:r>
          </w:p>
        </w:tc>
        <w:tc>
          <w:tcPr>
            <w:tcW w:w="2477" w:type="dxa"/>
          </w:tcPr>
          <w:p w14:paraId="055586D5" w14:textId="77777777" w:rsidR="008A7FD1" w:rsidRPr="00BF4150" w:rsidRDefault="00BF4150" w:rsidP="00BF4150">
            <w:pPr>
              <w:pStyle w:val="zSoquijdatRefNeutre"/>
              <w:rPr>
                <w:rFonts w:cs="Arial"/>
              </w:rPr>
            </w:pPr>
            <w:r w:rsidRPr="00BF4150">
              <w:rPr>
                <w:rFonts w:cs="Arial"/>
              </w:rPr>
              <w:t>2015 QCCLP 5230</w:t>
            </w:r>
          </w:p>
        </w:tc>
      </w:tr>
    </w:tbl>
    <w:p w14:paraId="66F6EA39" w14:textId="77777777" w:rsidR="008A7FD1" w:rsidRDefault="008A7FD1"/>
    <w:tbl>
      <w:tblPr>
        <w:tblW w:w="9590" w:type="dxa"/>
        <w:tblLayout w:type="fixed"/>
        <w:tblCellMar>
          <w:left w:w="70" w:type="dxa"/>
          <w:right w:w="70" w:type="dxa"/>
        </w:tblCellMar>
        <w:tblLook w:val="0000" w:firstRow="0" w:lastRow="0" w:firstColumn="0" w:lastColumn="0" w:noHBand="0" w:noVBand="0"/>
      </w:tblPr>
      <w:tblGrid>
        <w:gridCol w:w="2880"/>
        <w:gridCol w:w="1915"/>
        <w:gridCol w:w="4795"/>
      </w:tblGrid>
      <w:tr w:rsidR="00C74B6F" w14:paraId="580E32A4" w14:textId="77777777">
        <w:trPr>
          <w:cantSplit/>
        </w:trPr>
        <w:tc>
          <w:tcPr>
            <w:tcW w:w="9590" w:type="dxa"/>
            <w:gridSpan w:val="3"/>
          </w:tcPr>
          <w:p w14:paraId="29846B1E" w14:textId="77777777" w:rsidR="00C74B6F" w:rsidRDefault="00C74B6F"/>
        </w:tc>
      </w:tr>
      <w:tr w:rsidR="00C74B6F" w14:paraId="7473B8B3" w14:textId="77777777">
        <w:trPr>
          <w:cantSplit/>
        </w:trPr>
        <w:tc>
          <w:tcPr>
            <w:tcW w:w="9590" w:type="dxa"/>
            <w:gridSpan w:val="3"/>
            <w:vAlign w:val="center"/>
          </w:tcPr>
          <w:p w14:paraId="33B9A821" w14:textId="77777777" w:rsidR="00C74B6F" w:rsidRDefault="00C74B6F">
            <w:pPr>
              <w:jc w:val="center"/>
            </w:pPr>
            <w:r>
              <w:rPr>
                <w:b/>
                <w:sz w:val="28"/>
              </w:rPr>
              <w:t>COMMISSION DES LÉSIONS PROFESSIONNELLES</w:t>
            </w:r>
          </w:p>
        </w:tc>
      </w:tr>
      <w:tr w:rsidR="00C74B6F" w14:paraId="07C3A5E9" w14:textId="77777777">
        <w:trPr>
          <w:cantSplit/>
        </w:trPr>
        <w:tc>
          <w:tcPr>
            <w:tcW w:w="9590" w:type="dxa"/>
            <w:gridSpan w:val="3"/>
          </w:tcPr>
          <w:p w14:paraId="1681AC82" w14:textId="77777777" w:rsidR="00C74B6F" w:rsidRDefault="00C74B6F"/>
        </w:tc>
      </w:tr>
      <w:tr w:rsidR="00C74B6F" w14:paraId="322DFF33" w14:textId="77777777">
        <w:trPr>
          <w:cantSplit/>
        </w:trPr>
        <w:tc>
          <w:tcPr>
            <w:tcW w:w="9590" w:type="dxa"/>
            <w:gridSpan w:val="3"/>
          </w:tcPr>
          <w:p w14:paraId="77C09556" w14:textId="77777777" w:rsidR="00C74B6F" w:rsidRDefault="00C74B6F"/>
        </w:tc>
      </w:tr>
      <w:tr w:rsidR="00C74B6F" w14:paraId="4DEADD86" w14:textId="77777777">
        <w:tc>
          <w:tcPr>
            <w:tcW w:w="2880" w:type="dxa"/>
          </w:tcPr>
          <w:p w14:paraId="29A42437" w14:textId="77777777" w:rsidR="00C74B6F" w:rsidRDefault="00EA53BC">
            <w:r>
              <w:t>Québec</w:t>
            </w:r>
          </w:p>
        </w:tc>
        <w:tc>
          <w:tcPr>
            <w:tcW w:w="6710" w:type="dxa"/>
            <w:gridSpan w:val="2"/>
          </w:tcPr>
          <w:p w14:paraId="190E1FE9" w14:textId="77777777" w:rsidR="00C74B6F" w:rsidRDefault="00C371BE" w:rsidP="009F4A90">
            <w:pPr>
              <w:pStyle w:val="zSoquijdatDateJugement"/>
            </w:pPr>
            <w:r>
              <w:t>30</w:t>
            </w:r>
            <w:r w:rsidR="0038040C">
              <w:t xml:space="preserve"> </w:t>
            </w:r>
            <w:r w:rsidR="00950DD9" w:rsidRPr="00950DD9">
              <w:t>septembre</w:t>
            </w:r>
            <w:r w:rsidR="002909F5" w:rsidRPr="00950DD9">
              <w:t xml:space="preserve"> </w:t>
            </w:r>
            <w:r w:rsidR="00D4046E" w:rsidRPr="00950DD9">
              <w:t>2015</w:t>
            </w:r>
          </w:p>
        </w:tc>
      </w:tr>
      <w:tr w:rsidR="00C74B6F" w14:paraId="4F605676" w14:textId="77777777">
        <w:trPr>
          <w:cantSplit/>
        </w:trPr>
        <w:tc>
          <w:tcPr>
            <w:tcW w:w="9590" w:type="dxa"/>
            <w:gridSpan w:val="3"/>
          </w:tcPr>
          <w:p w14:paraId="46413A24" w14:textId="77777777" w:rsidR="00C74B6F" w:rsidRDefault="00C74B6F"/>
        </w:tc>
      </w:tr>
      <w:tr w:rsidR="00C74B6F" w14:paraId="4C069732" w14:textId="77777777">
        <w:tc>
          <w:tcPr>
            <w:tcW w:w="2880" w:type="dxa"/>
          </w:tcPr>
          <w:p w14:paraId="3DE1CF79" w14:textId="77777777" w:rsidR="00C74B6F" w:rsidRDefault="00C74B6F">
            <w:r>
              <w:t>Région :</w:t>
            </w:r>
          </w:p>
        </w:tc>
        <w:tc>
          <w:tcPr>
            <w:tcW w:w="6710" w:type="dxa"/>
            <w:gridSpan w:val="2"/>
          </w:tcPr>
          <w:p w14:paraId="1AE1304C" w14:textId="77777777" w:rsidR="00C74B6F" w:rsidRDefault="00EA53BC">
            <w:pPr>
              <w:pStyle w:val="zSoquijdatGreffe"/>
            </w:pPr>
            <w:r>
              <w:t>Québec</w:t>
            </w:r>
          </w:p>
        </w:tc>
      </w:tr>
      <w:tr w:rsidR="00C74B6F" w14:paraId="2D3CC9A4" w14:textId="77777777">
        <w:trPr>
          <w:cantSplit/>
        </w:trPr>
        <w:tc>
          <w:tcPr>
            <w:tcW w:w="9590" w:type="dxa"/>
            <w:gridSpan w:val="3"/>
          </w:tcPr>
          <w:p w14:paraId="33E32CDC" w14:textId="77777777" w:rsidR="00C74B6F" w:rsidRDefault="00C74B6F"/>
        </w:tc>
      </w:tr>
      <w:tr w:rsidR="00C74B6F" w14:paraId="3F715D42" w14:textId="77777777">
        <w:tc>
          <w:tcPr>
            <w:tcW w:w="2880" w:type="dxa"/>
          </w:tcPr>
          <w:p w14:paraId="10106AA1" w14:textId="77777777" w:rsidR="00C74B6F" w:rsidRDefault="00C74B6F">
            <w:bookmarkStart w:id="0" w:name="ref_dossier" w:colFirst="1" w:colLast="1"/>
            <w:r>
              <w:t>Dossier</w:t>
            </w:r>
            <w:bookmarkStart w:id="1" w:name="dossiers"/>
            <w:bookmarkEnd w:id="1"/>
            <w:r>
              <w:t xml:space="preserve"> :</w:t>
            </w:r>
          </w:p>
        </w:tc>
        <w:tc>
          <w:tcPr>
            <w:tcW w:w="6710" w:type="dxa"/>
            <w:gridSpan w:val="2"/>
          </w:tcPr>
          <w:p w14:paraId="60D751FE" w14:textId="77777777" w:rsidR="00C74B6F" w:rsidRDefault="00EA53BC">
            <w:pPr>
              <w:pStyle w:val="zSoquijdatNoDossier"/>
            </w:pPr>
            <w:r>
              <w:t>517644-31-1307</w:t>
            </w:r>
          </w:p>
        </w:tc>
      </w:tr>
      <w:bookmarkEnd w:id="0"/>
      <w:tr w:rsidR="00C74B6F" w14:paraId="355346AE" w14:textId="77777777">
        <w:trPr>
          <w:cantSplit/>
        </w:trPr>
        <w:tc>
          <w:tcPr>
            <w:tcW w:w="9590" w:type="dxa"/>
            <w:gridSpan w:val="3"/>
          </w:tcPr>
          <w:p w14:paraId="7B137A99" w14:textId="77777777" w:rsidR="00C74B6F" w:rsidRDefault="00C74B6F"/>
        </w:tc>
      </w:tr>
      <w:tr w:rsidR="00C74B6F" w14:paraId="0700BF13" w14:textId="77777777">
        <w:tc>
          <w:tcPr>
            <w:tcW w:w="2880" w:type="dxa"/>
          </w:tcPr>
          <w:p w14:paraId="56CB47DE" w14:textId="77777777" w:rsidR="00C74B6F" w:rsidRDefault="00C74B6F">
            <w:r>
              <w:t>Dossier CSST :</w:t>
            </w:r>
          </w:p>
        </w:tc>
        <w:tc>
          <w:tcPr>
            <w:tcW w:w="6710" w:type="dxa"/>
            <w:gridSpan w:val="2"/>
          </w:tcPr>
          <w:p w14:paraId="4F90F480" w14:textId="77777777" w:rsidR="00C74B6F" w:rsidRDefault="00EA53BC">
            <w:pPr>
              <w:pStyle w:val="zSoquijdatNCSST"/>
            </w:pPr>
            <w:r>
              <w:t>139745806</w:t>
            </w:r>
          </w:p>
        </w:tc>
      </w:tr>
      <w:tr w:rsidR="00C74B6F" w14:paraId="4D4480D9" w14:textId="77777777">
        <w:trPr>
          <w:cantSplit/>
        </w:trPr>
        <w:tc>
          <w:tcPr>
            <w:tcW w:w="9590" w:type="dxa"/>
            <w:gridSpan w:val="3"/>
          </w:tcPr>
          <w:p w14:paraId="42AEF6F2" w14:textId="77777777" w:rsidR="00C74B6F" w:rsidRDefault="00C74B6F"/>
        </w:tc>
      </w:tr>
      <w:tr w:rsidR="00C74B6F" w14:paraId="458ABC28" w14:textId="77777777">
        <w:tc>
          <w:tcPr>
            <w:tcW w:w="2880" w:type="dxa"/>
          </w:tcPr>
          <w:p w14:paraId="580FE3FD" w14:textId="77777777" w:rsidR="00C74B6F" w:rsidRDefault="00C74B6F">
            <w:r>
              <w:t>Commissaire :</w:t>
            </w:r>
          </w:p>
        </w:tc>
        <w:tc>
          <w:tcPr>
            <w:tcW w:w="6710" w:type="dxa"/>
            <w:gridSpan w:val="2"/>
          </w:tcPr>
          <w:p w14:paraId="74AA54F9" w14:textId="77777777" w:rsidR="00C74B6F" w:rsidRDefault="00EA53BC">
            <w:pPr>
              <w:pStyle w:val="zSoquijdatJuge"/>
            </w:pPr>
            <w:r>
              <w:t>Sophie Sénéchal</w:t>
            </w:r>
            <w:r w:rsidR="00C74B6F">
              <w:t>, juge administratif</w:t>
            </w:r>
          </w:p>
        </w:tc>
      </w:tr>
      <w:tr w:rsidR="00C74B6F" w14:paraId="09FC0852" w14:textId="77777777">
        <w:trPr>
          <w:cantSplit/>
        </w:trPr>
        <w:tc>
          <w:tcPr>
            <w:tcW w:w="9590" w:type="dxa"/>
            <w:gridSpan w:val="3"/>
          </w:tcPr>
          <w:p w14:paraId="7661335A" w14:textId="77777777" w:rsidR="00C74B6F" w:rsidRDefault="00C74B6F"/>
        </w:tc>
      </w:tr>
      <w:tr w:rsidR="00C74B6F" w14:paraId="2C4D7B0F" w14:textId="77777777">
        <w:tc>
          <w:tcPr>
            <w:tcW w:w="2880" w:type="dxa"/>
          </w:tcPr>
          <w:p w14:paraId="24D7F899" w14:textId="77777777" w:rsidR="00C74B6F" w:rsidRDefault="00C74B6F">
            <w:r>
              <w:t>Membres :</w:t>
            </w:r>
          </w:p>
        </w:tc>
        <w:tc>
          <w:tcPr>
            <w:tcW w:w="6710" w:type="dxa"/>
            <w:gridSpan w:val="2"/>
          </w:tcPr>
          <w:p w14:paraId="0C68D203" w14:textId="77777777" w:rsidR="00C74B6F" w:rsidRDefault="00EA53BC">
            <w:pPr>
              <w:pStyle w:val="zSoquijdatMembreE"/>
            </w:pPr>
            <w:r>
              <w:t>Normand Beaulieu</w:t>
            </w:r>
            <w:r w:rsidR="00C74B6F">
              <w:t>, associations d’employeurs</w:t>
            </w:r>
          </w:p>
        </w:tc>
      </w:tr>
      <w:tr w:rsidR="00C74B6F" w14:paraId="14E092D3" w14:textId="77777777">
        <w:tc>
          <w:tcPr>
            <w:tcW w:w="2880" w:type="dxa"/>
          </w:tcPr>
          <w:p w14:paraId="3376AA3E" w14:textId="77777777" w:rsidR="00C74B6F" w:rsidRDefault="00C74B6F"/>
        </w:tc>
        <w:tc>
          <w:tcPr>
            <w:tcW w:w="6710" w:type="dxa"/>
            <w:gridSpan w:val="2"/>
          </w:tcPr>
          <w:p w14:paraId="6A6DE469" w14:textId="77777777" w:rsidR="00C74B6F" w:rsidRDefault="00EA53BC" w:rsidP="00EA53BC">
            <w:pPr>
              <w:pStyle w:val="zSoquijdatMembreS"/>
              <w:jc w:val="both"/>
            </w:pPr>
            <w:r>
              <w:t>Pierrette Giroux</w:t>
            </w:r>
            <w:r w:rsidR="00C74B6F">
              <w:t>, associations syndicales</w:t>
            </w:r>
          </w:p>
        </w:tc>
      </w:tr>
      <w:tr w:rsidR="00EA53BC" w14:paraId="4186EC08" w14:textId="77777777">
        <w:tc>
          <w:tcPr>
            <w:tcW w:w="2880" w:type="dxa"/>
          </w:tcPr>
          <w:p w14:paraId="066D53BD" w14:textId="77777777" w:rsidR="00EA53BC" w:rsidRDefault="00EA53BC"/>
        </w:tc>
        <w:tc>
          <w:tcPr>
            <w:tcW w:w="6710" w:type="dxa"/>
            <w:gridSpan w:val="2"/>
          </w:tcPr>
          <w:p w14:paraId="2B323E25" w14:textId="77777777" w:rsidR="00EA53BC" w:rsidRDefault="00EA53BC">
            <w:pPr>
              <w:pStyle w:val="zSoquijdatAssesseurs"/>
            </w:pPr>
          </w:p>
        </w:tc>
      </w:tr>
      <w:tr w:rsidR="00C74B6F" w14:paraId="72F3361B" w14:textId="77777777">
        <w:tc>
          <w:tcPr>
            <w:tcW w:w="2880" w:type="dxa"/>
          </w:tcPr>
          <w:p w14:paraId="7019B988" w14:textId="77777777" w:rsidR="00C74B6F" w:rsidRDefault="00EA53BC" w:rsidP="00EA53BC">
            <w:r>
              <w:t>Assesseure :</w:t>
            </w:r>
          </w:p>
        </w:tc>
        <w:tc>
          <w:tcPr>
            <w:tcW w:w="6710" w:type="dxa"/>
            <w:gridSpan w:val="2"/>
          </w:tcPr>
          <w:p w14:paraId="25EF9350" w14:textId="77777777" w:rsidR="00C74B6F" w:rsidRDefault="00EA53BC">
            <w:pPr>
              <w:pStyle w:val="zSoquijdatAssesseurs"/>
            </w:pPr>
            <w:r>
              <w:t xml:space="preserve">Dominique Lejeune, médecin </w:t>
            </w:r>
          </w:p>
        </w:tc>
      </w:tr>
      <w:tr w:rsidR="00C74B6F" w14:paraId="1141AD9E" w14:textId="77777777">
        <w:trPr>
          <w:cantSplit/>
        </w:trPr>
        <w:tc>
          <w:tcPr>
            <w:tcW w:w="9590" w:type="dxa"/>
            <w:gridSpan w:val="3"/>
          </w:tcPr>
          <w:p w14:paraId="776FA609" w14:textId="77777777" w:rsidR="00C74B6F" w:rsidRDefault="00C74B6F">
            <w:r>
              <w:t>______________________________________________________________________</w:t>
            </w:r>
          </w:p>
        </w:tc>
      </w:tr>
      <w:tr w:rsidR="00C74B6F" w14:paraId="7DDD2AC8" w14:textId="77777777">
        <w:trPr>
          <w:cantSplit/>
        </w:trPr>
        <w:tc>
          <w:tcPr>
            <w:tcW w:w="9590" w:type="dxa"/>
            <w:gridSpan w:val="3"/>
          </w:tcPr>
          <w:p w14:paraId="1FAE541A" w14:textId="77777777" w:rsidR="00C74B6F" w:rsidRDefault="00C74B6F"/>
        </w:tc>
      </w:tr>
      <w:tr w:rsidR="00C74B6F" w14:paraId="52C40197" w14:textId="77777777">
        <w:tc>
          <w:tcPr>
            <w:tcW w:w="4795" w:type="dxa"/>
            <w:gridSpan w:val="2"/>
          </w:tcPr>
          <w:p w14:paraId="28BF237C" w14:textId="77777777" w:rsidR="00C74B6F" w:rsidRDefault="00C74B6F">
            <w:bookmarkStart w:id="2" w:name="bloc_parties_gauche"/>
            <w:bookmarkEnd w:id="2"/>
          </w:p>
        </w:tc>
        <w:tc>
          <w:tcPr>
            <w:tcW w:w="4795" w:type="dxa"/>
          </w:tcPr>
          <w:p w14:paraId="47C10405" w14:textId="77777777" w:rsidR="00C74B6F" w:rsidRDefault="00C74B6F"/>
        </w:tc>
      </w:tr>
      <w:tr w:rsidR="00C74B6F" w14:paraId="2D264F3D" w14:textId="77777777">
        <w:tc>
          <w:tcPr>
            <w:tcW w:w="4795" w:type="dxa"/>
            <w:gridSpan w:val="2"/>
          </w:tcPr>
          <w:p w14:paraId="447DEC86" w14:textId="77777777" w:rsidR="00C74B6F" w:rsidRDefault="00EA53BC">
            <w:pPr>
              <w:pStyle w:val="zSoquijdatNomPartieDem"/>
              <w:rPr>
                <w:b/>
              </w:rPr>
            </w:pPr>
            <w:r>
              <w:rPr>
                <w:b/>
              </w:rPr>
              <w:t xml:space="preserve">Alex Coulombe </w:t>
            </w:r>
            <w:proofErr w:type="spellStart"/>
            <w:r>
              <w:rPr>
                <w:b/>
              </w:rPr>
              <w:t>ltée</w:t>
            </w:r>
            <w:proofErr w:type="spellEnd"/>
          </w:p>
        </w:tc>
        <w:tc>
          <w:tcPr>
            <w:tcW w:w="4795" w:type="dxa"/>
          </w:tcPr>
          <w:p w14:paraId="2DE7B562" w14:textId="77777777" w:rsidR="00C74B6F" w:rsidRDefault="00C74B6F"/>
        </w:tc>
      </w:tr>
      <w:tr w:rsidR="00C74B6F" w14:paraId="1C4C04C9" w14:textId="77777777">
        <w:tc>
          <w:tcPr>
            <w:tcW w:w="4795" w:type="dxa"/>
            <w:gridSpan w:val="2"/>
          </w:tcPr>
          <w:p w14:paraId="31BA9A72" w14:textId="77777777" w:rsidR="00C74B6F" w:rsidRDefault="00C74B6F">
            <w:pPr>
              <w:pStyle w:val="zSoquijdatQtePartieDem"/>
              <w:ind w:left="708"/>
            </w:pPr>
            <w:r>
              <w:t>Partie requérante</w:t>
            </w:r>
          </w:p>
        </w:tc>
        <w:tc>
          <w:tcPr>
            <w:tcW w:w="4795" w:type="dxa"/>
          </w:tcPr>
          <w:p w14:paraId="5EC3E599" w14:textId="77777777" w:rsidR="00C74B6F" w:rsidRDefault="00C74B6F"/>
        </w:tc>
      </w:tr>
      <w:tr w:rsidR="00C74B6F" w14:paraId="2EF1272B" w14:textId="77777777">
        <w:tc>
          <w:tcPr>
            <w:tcW w:w="4795" w:type="dxa"/>
            <w:gridSpan w:val="2"/>
          </w:tcPr>
          <w:p w14:paraId="2B606392" w14:textId="77777777" w:rsidR="00C74B6F" w:rsidRDefault="00C74B6F"/>
        </w:tc>
        <w:tc>
          <w:tcPr>
            <w:tcW w:w="4795" w:type="dxa"/>
          </w:tcPr>
          <w:p w14:paraId="2BD895A2" w14:textId="77777777" w:rsidR="00C74B6F" w:rsidRDefault="00C74B6F"/>
        </w:tc>
      </w:tr>
      <w:tr w:rsidR="00C74B6F" w14:paraId="1D91E45B" w14:textId="77777777">
        <w:tc>
          <w:tcPr>
            <w:tcW w:w="4795" w:type="dxa"/>
            <w:gridSpan w:val="2"/>
          </w:tcPr>
          <w:p w14:paraId="747862C0" w14:textId="77777777" w:rsidR="00C74B6F" w:rsidRDefault="00C74B6F">
            <w:proofErr w:type="gramStart"/>
            <w:r>
              <w:t>et</w:t>
            </w:r>
            <w:proofErr w:type="gramEnd"/>
          </w:p>
        </w:tc>
        <w:tc>
          <w:tcPr>
            <w:tcW w:w="4795" w:type="dxa"/>
          </w:tcPr>
          <w:p w14:paraId="4971608D" w14:textId="77777777" w:rsidR="00C74B6F" w:rsidRDefault="00C74B6F"/>
        </w:tc>
      </w:tr>
      <w:tr w:rsidR="00C74B6F" w14:paraId="4451DC0F" w14:textId="77777777">
        <w:tc>
          <w:tcPr>
            <w:tcW w:w="4795" w:type="dxa"/>
            <w:gridSpan w:val="2"/>
          </w:tcPr>
          <w:p w14:paraId="00F23674" w14:textId="77777777" w:rsidR="00C74B6F" w:rsidRDefault="00C74B6F"/>
        </w:tc>
        <w:tc>
          <w:tcPr>
            <w:tcW w:w="4795" w:type="dxa"/>
          </w:tcPr>
          <w:p w14:paraId="671FA6E0" w14:textId="77777777" w:rsidR="00C74B6F" w:rsidRDefault="00C74B6F"/>
        </w:tc>
      </w:tr>
      <w:tr w:rsidR="00C74B6F" w14:paraId="2680C93C" w14:textId="77777777">
        <w:tc>
          <w:tcPr>
            <w:tcW w:w="4795" w:type="dxa"/>
            <w:gridSpan w:val="2"/>
          </w:tcPr>
          <w:p w14:paraId="1373F3FC" w14:textId="77777777" w:rsidR="00C74B6F" w:rsidRDefault="00EA53BC">
            <w:pPr>
              <w:pStyle w:val="zSoquijdatNomPartieDef"/>
              <w:rPr>
                <w:b/>
              </w:rPr>
            </w:pPr>
            <w:r>
              <w:rPr>
                <w:b/>
              </w:rPr>
              <w:t>Yves Lajeunesse</w:t>
            </w:r>
          </w:p>
        </w:tc>
        <w:tc>
          <w:tcPr>
            <w:tcW w:w="4795" w:type="dxa"/>
          </w:tcPr>
          <w:p w14:paraId="6263B76D" w14:textId="77777777" w:rsidR="00C74B6F" w:rsidRDefault="00C74B6F"/>
        </w:tc>
      </w:tr>
      <w:tr w:rsidR="00C74B6F" w14:paraId="21ACD320" w14:textId="77777777">
        <w:tc>
          <w:tcPr>
            <w:tcW w:w="4795" w:type="dxa"/>
            <w:gridSpan w:val="2"/>
          </w:tcPr>
          <w:p w14:paraId="35B4C735" w14:textId="77777777" w:rsidR="00C74B6F" w:rsidRDefault="00C74B6F">
            <w:pPr>
              <w:pStyle w:val="zSoquijdatQtePartieDef"/>
              <w:ind w:left="708"/>
            </w:pPr>
            <w:r>
              <w:t>Partie intéressée</w:t>
            </w:r>
          </w:p>
        </w:tc>
        <w:tc>
          <w:tcPr>
            <w:tcW w:w="4795" w:type="dxa"/>
          </w:tcPr>
          <w:p w14:paraId="734B0FDF" w14:textId="77777777" w:rsidR="00C74B6F" w:rsidRDefault="00C74B6F"/>
        </w:tc>
      </w:tr>
      <w:tr w:rsidR="00C74B6F" w14:paraId="4DA5968E" w14:textId="77777777">
        <w:tc>
          <w:tcPr>
            <w:tcW w:w="4795" w:type="dxa"/>
            <w:gridSpan w:val="2"/>
          </w:tcPr>
          <w:p w14:paraId="7E2C48DD" w14:textId="77777777" w:rsidR="00C74B6F" w:rsidRDefault="00C74B6F"/>
        </w:tc>
        <w:tc>
          <w:tcPr>
            <w:tcW w:w="4795" w:type="dxa"/>
          </w:tcPr>
          <w:p w14:paraId="03F4491D" w14:textId="77777777" w:rsidR="00C74B6F" w:rsidRDefault="00C74B6F"/>
        </w:tc>
      </w:tr>
    </w:tbl>
    <w:p w14:paraId="648DA831" w14:textId="77777777" w:rsidR="00C74B6F" w:rsidRDefault="00C74B6F">
      <w:r>
        <w:t>______________________________________________________________________</w:t>
      </w:r>
    </w:p>
    <w:p w14:paraId="297A3B24" w14:textId="77777777" w:rsidR="00C74B6F" w:rsidRDefault="00C74B6F"/>
    <w:p w14:paraId="513B97AA" w14:textId="77777777" w:rsidR="00C74B6F" w:rsidRDefault="00C74B6F">
      <w:pPr>
        <w:jc w:val="center"/>
      </w:pPr>
      <w:bookmarkStart w:id="3" w:name="decision"/>
      <w:r>
        <w:t>DÉCISION</w:t>
      </w:r>
      <w:bookmarkEnd w:id="3"/>
    </w:p>
    <w:p w14:paraId="76362873" w14:textId="77777777" w:rsidR="00C74B6F" w:rsidRDefault="00C74B6F">
      <w:pPr>
        <w:jc w:val="center"/>
      </w:pPr>
      <w:r>
        <w:t>______________________________________________________________________</w:t>
      </w:r>
    </w:p>
    <w:p w14:paraId="16BABFDD" w14:textId="77777777" w:rsidR="00C74B6F" w:rsidRDefault="00C74B6F"/>
    <w:p w14:paraId="155F2CF9" w14:textId="77777777" w:rsidR="00C74B6F" w:rsidRDefault="00C74B6F"/>
    <w:p w14:paraId="7F4CFBF5" w14:textId="77777777" w:rsidR="00C74B6F" w:rsidRDefault="00EA53BC" w:rsidP="009F4A90">
      <w:pPr>
        <w:pStyle w:val="corpsdedcision"/>
        <w:tabs>
          <w:tab w:val="clear" w:pos="360"/>
        </w:tabs>
      </w:pPr>
      <w:r>
        <w:t xml:space="preserve">Le 22 juillet 2013, Alex Coulombe </w:t>
      </w:r>
      <w:proofErr w:type="spellStart"/>
      <w:r>
        <w:t>ltée</w:t>
      </w:r>
      <w:proofErr w:type="spellEnd"/>
      <w:r>
        <w:t xml:space="preserve"> (l’employeur) </w:t>
      </w:r>
      <w:r w:rsidR="0066305D">
        <w:t xml:space="preserve">dépose une requête à la </w:t>
      </w:r>
      <w:r w:rsidR="0066305D" w:rsidRPr="00A72CF6">
        <w:t>Commission des lésions professionnelles</w:t>
      </w:r>
      <w:r w:rsidR="0066305D">
        <w:t xml:space="preserve"> par laquelle il conteste une décision de la </w:t>
      </w:r>
      <w:r w:rsidR="0066305D" w:rsidRPr="00A72CF6">
        <w:t>Commission de la santé et de la sécurité du travail</w:t>
      </w:r>
      <w:r w:rsidR="0066305D">
        <w:t xml:space="preserve"> (la CSST) du 26 juin 2013, rendue à la suite d’une </w:t>
      </w:r>
      <w:r w:rsidR="0066305D" w:rsidRPr="00A72CF6">
        <w:t>révision administrative</w:t>
      </w:r>
      <w:r w:rsidR="0066305D">
        <w:t>.</w:t>
      </w:r>
    </w:p>
    <w:p w14:paraId="476AEC5A" w14:textId="77777777" w:rsidR="0066305D" w:rsidRDefault="0066305D" w:rsidP="009F4A90">
      <w:pPr>
        <w:pStyle w:val="corpsdedcision"/>
        <w:tabs>
          <w:tab w:val="clear" w:pos="360"/>
        </w:tabs>
      </w:pPr>
      <w:r>
        <w:t xml:space="preserve">Par cette décision, la CSST confirme deux décisions qu’elle a rendues initialement le 23 mai 2013, dont l’une déclare que monsieur Yves Lajeunesse (le </w:t>
      </w:r>
      <w:r w:rsidRPr="00A72CF6">
        <w:t>travailleur</w:t>
      </w:r>
      <w:r>
        <w:t xml:space="preserve">) est porteur d’une surdité bilatérale d’origine professionnelle et l’autre déclare que cette lésion professionnelle du 20 juin 2012 entraîne une atteinte permanente à </w:t>
      </w:r>
      <w:proofErr w:type="gramStart"/>
      <w:r>
        <w:t>l'intégrité</w:t>
      </w:r>
      <w:proofErr w:type="gramEnd"/>
      <w:r>
        <w:t xml:space="preserve"> physique de 1,10 %, correspondant à une indemnité pour préjudice corporel de 992 $.</w:t>
      </w:r>
    </w:p>
    <w:p w14:paraId="6BFA0665" w14:textId="77777777" w:rsidR="00D4046E" w:rsidRDefault="00D4046E" w:rsidP="009F4A90">
      <w:pPr>
        <w:pStyle w:val="corpsdedcision"/>
        <w:tabs>
          <w:tab w:val="clear" w:pos="360"/>
        </w:tabs>
      </w:pPr>
      <w:r>
        <w:lastRenderedPageBreak/>
        <w:t>L’au</w:t>
      </w:r>
      <w:r w:rsidR="00AB4E54">
        <w:t>dience</w:t>
      </w:r>
      <w:r>
        <w:t xml:space="preserve"> de cette affaire s’est tenue à Québec les 10, 26 septembre, 17 o</w:t>
      </w:r>
      <w:r w:rsidR="007059C4">
        <w:t>ctobre 2014, 17, 18 février, 13 mars, 10, 14 et 30 avril 2015,</w:t>
      </w:r>
      <w:r>
        <w:t xml:space="preserve"> en présence de</w:t>
      </w:r>
      <w:r w:rsidR="0066305D">
        <w:t xml:space="preserve"> l’employeur et</w:t>
      </w:r>
      <w:r>
        <w:t xml:space="preserve"> d</w:t>
      </w:r>
      <w:r w:rsidR="00DD6D22">
        <w:t>u</w:t>
      </w:r>
      <w:r>
        <w:t xml:space="preserve"> </w:t>
      </w:r>
      <w:r w:rsidR="0066305D" w:rsidRPr="00A72CF6">
        <w:t>travailleur</w:t>
      </w:r>
      <w:r>
        <w:t>, les deux parties étant représentées.</w:t>
      </w:r>
    </w:p>
    <w:p w14:paraId="71D43864" w14:textId="77777777" w:rsidR="0066305D" w:rsidRDefault="0066305D" w:rsidP="009F4A90">
      <w:pPr>
        <w:pStyle w:val="corpsdedcision"/>
        <w:tabs>
          <w:tab w:val="clear" w:pos="360"/>
        </w:tabs>
      </w:pPr>
      <w:r>
        <w:t>L</w:t>
      </w:r>
      <w:r w:rsidR="00D4046E">
        <w:t xml:space="preserve">e dossier est mis en délibéré à compter du </w:t>
      </w:r>
      <w:r w:rsidR="00351E18">
        <w:t>30 avril 2015.</w:t>
      </w:r>
    </w:p>
    <w:p w14:paraId="75843D26" w14:textId="77777777" w:rsidR="0066305D" w:rsidRDefault="0066305D">
      <w:pPr>
        <w:pStyle w:val="corpsdedcision"/>
        <w:numPr>
          <w:ilvl w:val="0"/>
          <w:numId w:val="0"/>
        </w:numPr>
      </w:pPr>
      <w:r>
        <w:rPr>
          <w:b/>
        </w:rPr>
        <w:t>L’OBJET DE LA CONTESTATION</w:t>
      </w:r>
    </w:p>
    <w:p w14:paraId="6D2ADF80" w14:textId="77777777" w:rsidR="0066305D" w:rsidRDefault="0066305D" w:rsidP="009F4A90">
      <w:pPr>
        <w:pStyle w:val="corpsdedcision"/>
        <w:tabs>
          <w:tab w:val="clear" w:pos="360"/>
        </w:tabs>
      </w:pPr>
      <w:r>
        <w:t xml:space="preserve">L’employeur demande à la </w:t>
      </w:r>
      <w:r w:rsidRPr="00A72CF6">
        <w:t>Commission des lésions professionnelles</w:t>
      </w:r>
      <w:r>
        <w:t xml:space="preserve"> de déterminer que le </w:t>
      </w:r>
      <w:r w:rsidRPr="00A72CF6">
        <w:t>travailleur</w:t>
      </w:r>
      <w:r>
        <w:t xml:space="preserve"> n’a pas subi de lésion professionnelle le 20 juin 2012. Il ne s’agit pas d’une surdité professionnelle.</w:t>
      </w:r>
    </w:p>
    <w:p w14:paraId="20CD25B7" w14:textId="77777777" w:rsidR="0066305D" w:rsidRDefault="0066305D">
      <w:pPr>
        <w:pStyle w:val="corpsdedcision"/>
        <w:numPr>
          <w:ilvl w:val="0"/>
          <w:numId w:val="0"/>
        </w:numPr>
      </w:pPr>
      <w:r>
        <w:rPr>
          <w:b/>
        </w:rPr>
        <w:t>LES FAITS</w:t>
      </w:r>
    </w:p>
    <w:p w14:paraId="792CACD4" w14:textId="77777777" w:rsidR="0066305D" w:rsidRDefault="0066305D" w:rsidP="009F4A90">
      <w:pPr>
        <w:pStyle w:val="corpsdedcision"/>
        <w:tabs>
          <w:tab w:val="clear" w:pos="360"/>
        </w:tabs>
      </w:pPr>
      <w:r>
        <w:t xml:space="preserve">Le </w:t>
      </w:r>
      <w:r w:rsidRPr="00A72CF6">
        <w:t>travailleur</w:t>
      </w:r>
      <w:r w:rsidR="00CE1061">
        <w:t xml:space="preserve">, âgé de 57 ans au moment de sa </w:t>
      </w:r>
      <w:r w:rsidR="00CE1061" w:rsidRPr="001F4FEB">
        <w:t>réclamation</w:t>
      </w:r>
      <w:r w:rsidR="00CE1061">
        <w:t>,</w:t>
      </w:r>
      <w:r>
        <w:t xml:space="preserve"> occupe un poste d’aide-livreur pour le compte de l’employeur, un distributeur de boissons gazeuses et breuvages.</w:t>
      </w:r>
    </w:p>
    <w:p w14:paraId="41EF2891" w14:textId="77777777" w:rsidR="0066305D" w:rsidRDefault="0066305D" w:rsidP="009F4A90">
      <w:pPr>
        <w:pStyle w:val="corpsdedcision"/>
        <w:tabs>
          <w:tab w:val="clear" w:pos="360"/>
        </w:tabs>
      </w:pPr>
      <w:r>
        <w:t xml:space="preserve">Le 7 mai 2012, il passe un examen </w:t>
      </w:r>
      <w:proofErr w:type="spellStart"/>
      <w:r>
        <w:t>audiologique</w:t>
      </w:r>
      <w:proofErr w:type="spellEnd"/>
      <w:r>
        <w:t xml:space="preserve"> sous les soins de madame Michèle Veilleux, audiologiste. Elle conclut que le </w:t>
      </w:r>
      <w:r w:rsidRPr="00A72CF6">
        <w:t>travailleur</w:t>
      </w:r>
      <w:r>
        <w:t xml:space="preserve"> présente une surdité compatible avec une histoire d’exposition au bruit, suffisante pour entraîner des incapacités auditives.</w:t>
      </w:r>
    </w:p>
    <w:p w14:paraId="0EF41D91" w14:textId="77777777" w:rsidR="0066305D" w:rsidRDefault="0066305D" w:rsidP="009F4A90">
      <w:pPr>
        <w:pStyle w:val="corpsdedcision"/>
        <w:tabs>
          <w:tab w:val="clear" w:pos="360"/>
        </w:tabs>
      </w:pPr>
      <w:r>
        <w:t xml:space="preserve">Le 20 juin 2012, le </w:t>
      </w:r>
      <w:r w:rsidRPr="00A72CF6">
        <w:t>travailleur</w:t>
      </w:r>
      <w:r>
        <w:t xml:space="preserve"> produit une réclamation à la CSST pour faire reconnaître l’existence d’une lésion professionnelle, soit une surdité professionnelle.</w:t>
      </w:r>
    </w:p>
    <w:p w14:paraId="461F03D0" w14:textId="77777777" w:rsidR="0066305D" w:rsidRDefault="0066305D" w:rsidP="009F4A90">
      <w:pPr>
        <w:pStyle w:val="corpsdedcision"/>
        <w:tabs>
          <w:tab w:val="clear" w:pos="360"/>
        </w:tabs>
      </w:pPr>
      <w:r>
        <w:t xml:space="preserve">Dans l’annexe qu’il joint à sa réclamation, </w:t>
      </w:r>
      <w:r w:rsidR="00CE1061">
        <w:t>il</w:t>
      </w:r>
      <w:r>
        <w:t xml:space="preserve"> indique </w:t>
      </w:r>
      <w:r w:rsidR="00565FDA">
        <w:t>occuper un poste d’aide-livreur chez l’employeur depuis le 8 mai 1978. Son travail consiste, entre autres, à faire la vérification de son camion de livraison le matin, le mettre en marche, quitter l’établissement de l’employeur pour effectuer ses livraisons chez divers clients, où il peut faire la mise en marché du produit.</w:t>
      </w:r>
    </w:p>
    <w:p w14:paraId="2EE22EFC" w14:textId="77777777" w:rsidR="00565FDA" w:rsidRDefault="00565FDA" w:rsidP="0066305D">
      <w:pPr>
        <w:pStyle w:val="corpsdedcision"/>
      </w:pPr>
      <w:r>
        <w:t xml:space="preserve">Il </w:t>
      </w:r>
      <w:proofErr w:type="gramStart"/>
      <w:r>
        <w:t>fait</w:t>
      </w:r>
      <w:proofErr w:type="gramEnd"/>
      <w:r>
        <w:t xml:space="preserve"> ce travail huit heures par jour, cinq jours par semaine pour un horaire de </w:t>
      </w:r>
      <w:r w:rsidR="001A3519" w:rsidRPr="001A3519">
        <w:t>40</w:t>
      </w:r>
      <w:r>
        <w:t xml:space="preserve"> heures. </w:t>
      </w:r>
    </w:p>
    <w:p w14:paraId="36314D05" w14:textId="77777777" w:rsidR="00565FDA" w:rsidRDefault="00565FDA" w:rsidP="0066305D">
      <w:pPr>
        <w:pStyle w:val="corpsdedcision"/>
      </w:pPr>
      <w:r>
        <w:t xml:space="preserve">Au soutien de sa réclamation, le </w:t>
      </w:r>
      <w:r w:rsidRPr="00A72CF6">
        <w:t>travailleur</w:t>
      </w:r>
      <w:r>
        <w:t xml:space="preserve"> produit un rapport médical du docteur Roger Roy, </w:t>
      </w:r>
      <w:r w:rsidR="003B2666">
        <w:t>dans lequel il est indiqué que</w:t>
      </w:r>
      <w:r>
        <w:t xml:space="preserve"> le </w:t>
      </w:r>
      <w:r w:rsidRPr="00A72CF6">
        <w:t>travailleur</w:t>
      </w:r>
      <w:r>
        <w:t xml:space="preserve"> souffre d’une surdité professionnelle bilatérale. </w:t>
      </w:r>
    </w:p>
    <w:p w14:paraId="1C6479A2" w14:textId="77777777" w:rsidR="00565FDA" w:rsidRDefault="00CE1061" w:rsidP="0062064A">
      <w:pPr>
        <w:pStyle w:val="corpsdedcision"/>
      </w:pPr>
      <w:r>
        <w:t>Le même jour, ce médecin</w:t>
      </w:r>
      <w:r w:rsidR="00565FDA">
        <w:t xml:space="preserve"> produit un rapport d’évaluation médicale.</w:t>
      </w:r>
      <w:r w:rsidR="0062064A">
        <w:t xml:space="preserve"> </w:t>
      </w:r>
      <w:r w:rsidR="00565FDA">
        <w:t xml:space="preserve">Il y décrit les plaintes et problèmes actuels du </w:t>
      </w:r>
      <w:r w:rsidR="00565FDA" w:rsidRPr="00A72CF6">
        <w:t>travailleur</w:t>
      </w:r>
      <w:r w:rsidR="00565FDA">
        <w:t xml:space="preserve"> comme suit :</w:t>
      </w:r>
    </w:p>
    <w:p w14:paraId="559AF3E6" w14:textId="77777777" w:rsidR="00565FDA" w:rsidRDefault="00565FDA" w:rsidP="00565FDA">
      <w:pPr>
        <w:pStyle w:val="citation"/>
        <w:rPr>
          <w:b/>
        </w:rPr>
      </w:pPr>
      <w:r>
        <w:rPr>
          <w:b/>
        </w:rPr>
        <w:lastRenderedPageBreak/>
        <w:t>2.</w:t>
      </w:r>
      <w:r>
        <w:rPr>
          <w:b/>
        </w:rPr>
        <w:tab/>
        <w:t>PLAINTES ET PROBLÈMES ACTUELS :</w:t>
      </w:r>
    </w:p>
    <w:p w14:paraId="348B934D" w14:textId="77777777" w:rsidR="00565FDA" w:rsidRDefault="00565FDA" w:rsidP="00565FDA">
      <w:pPr>
        <w:pStyle w:val="citation"/>
        <w:rPr>
          <w:b/>
        </w:rPr>
      </w:pPr>
    </w:p>
    <w:p w14:paraId="699EB528" w14:textId="77777777" w:rsidR="00565FDA" w:rsidRDefault="00565FDA" w:rsidP="00565FDA">
      <w:pPr>
        <w:pStyle w:val="citation"/>
      </w:pPr>
      <w:r>
        <w:t>Il allègue des problèmes d’audition depuis quelques années, caractérisés par une difficulté à converser en présence d’un bruit compétiteur ou en groupe. Il doit élever le volume de la télévision. Il entend tous les sons non verbaux. Il n’a pas de difficulté à converser au téléphone. Il n’a pas d’acouphène. Il ne souffre pas de vertige. Il ne vit pas de situations de handicap.</w:t>
      </w:r>
    </w:p>
    <w:p w14:paraId="0898A49D" w14:textId="77777777" w:rsidR="00565FDA" w:rsidRDefault="00565FDA" w:rsidP="00565FDA">
      <w:pPr>
        <w:pStyle w:val="citation"/>
      </w:pPr>
    </w:p>
    <w:p w14:paraId="62EFCFC8" w14:textId="77777777" w:rsidR="00565FDA" w:rsidRDefault="00565FDA" w:rsidP="00565FDA">
      <w:pPr>
        <w:pStyle w:val="citation"/>
      </w:pPr>
      <w:r>
        <w:t>Il est exposé au bruit depuis 34 ans chez le même employeur comme camionneur-livreur. Il n’est pas exposé au bruit intense en dehors du travail.</w:t>
      </w:r>
    </w:p>
    <w:p w14:paraId="25032711" w14:textId="77777777" w:rsidR="00565FDA" w:rsidRDefault="00565FDA" w:rsidP="00565FDA">
      <w:pPr>
        <w:pStyle w:val="citation"/>
      </w:pPr>
    </w:p>
    <w:p w14:paraId="04FE70E0" w14:textId="77777777" w:rsidR="00565FDA" w:rsidRDefault="00565FDA" w:rsidP="00565FDA">
      <w:pPr>
        <w:pStyle w:val="citation"/>
      </w:pPr>
    </w:p>
    <w:p w14:paraId="303CEF9B" w14:textId="77777777" w:rsidR="00565FDA" w:rsidRDefault="00CE1061" w:rsidP="00565FDA">
      <w:pPr>
        <w:pStyle w:val="corpsdedcision"/>
      </w:pPr>
      <w:r>
        <w:t>Le docteur Roy</w:t>
      </w:r>
      <w:r w:rsidR="00CC4422">
        <w:t xml:space="preserve"> reprend les résultats de l’audiogramme du 7 ma</w:t>
      </w:r>
      <w:r w:rsidR="008465D5">
        <w:t>i 2012 pour les fréquences 500, </w:t>
      </w:r>
      <w:r w:rsidR="00CC4422">
        <w:t>1000, 2000 et 4000 :</w:t>
      </w:r>
    </w:p>
    <w:p w14:paraId="2CC0E9EC" w14:textId="77777777" w:rsidR="00CC4422" w:rsidRDefault="00CC4422" w:rsidP="00CC4422">
      <w:pPr>
        <w:pStyle w:val="citation"/>
      </w:pPr>
      <w:r>
        <w:t>Fréquences</w:t>
      </w:r>
    </w:p>
    <w:p w14:paraId="7FDAC9B0" w14:textId="77777777" w:rsidR="00CC4422" w:rsidRDefault="00CC4422" w:rsidP="00CC4422">
      <w:pPr>
        <w:pStyle w:val="citation"/>
      </w:pPr>
      <w:r>
        <w:tab/>
        <w:t xml:space="preserve">  500</w:t>
      </w:r>
      <w:proofErr w:type="gramStart"/>
      <w:r>
        <w:tab/>
        <w:t xml:space="preserve">  1000</w:t>
      </w:r>
      <w:r>
        <w:tab/>
        <w:t xml:space="preserve">  2000</w:t>
      </w:r>
      <w:r>
        <w:tab/>
        <w:t xml:space="preserve">  4000</w:t>
      </w:r>
      <w:r>
        <w:tab/>
        <w:t xml:space="preserve">  total</w:t>
      </w:r>
      <w:r>
        <w:tab/>
        <w:t xml:space="preserve">  Moyenne</w:t>
      </w:r>
      <w:proofErr w:type="gramEnd"/>
      <w:r>
        <w:tab/>
      </w:r>
      <w:proofErr w:type="spellStart"/>
      <w:r>
        <w:t>Moyenne</w:t>
      </w:r>
      <w:proofErr w:type="spellEnd"/>
      <w:r>
        <w:t xml:space="preserve"> arrondie</w:t>
      </w:r>
    </w:p>
    <w:p w14:paraId="077865AB" w14:textId="77777777" w:rsidR="00CC4422" w:rsidRDefault="00CC4422" w:rsidP="00CC4422">
      <w:pPr>
        <w:pStyle w:val="citation"/>
      </w:pPr>
    </w:p>
    <w:p w14:paraId="30E106D9" w14:textId="77777777" w:rsidR="00CC4422" w:rsidRDefault="00CC4422" w:rsidP="00CC4422">
      <w:pPr>
        <w:pStyle w:val="citation"/>
      </w:pPr>
      <w:r>
        <w:t>OD</w:t>
      </w:r>
      <w:proofErr w:type="gramStart"/>
      <w:r>
        <w:tab/>
        <w:t xml:space="preserve">  10</w:t>
      </w:r>
      <w:r>
        <w:tab/>
        <w:t xml:space="preserve">  20</w:t>
      </w:r>
      <w:r>
        <w:tab/>
        <w:t xml:space="preserve">  45</w:t>
      </w:r>
      <w:r>
        <w:tab/>
        <w:t xml:space="preserve">  70</w:t>
      </w:r>
      <w:r>
        <w:tab/>
        <w:t xml:space="preserve">  145</w:t>
      </w:r>
      <w:r>
        <w:tab/>
        <w:t xml:space="preserve">  36.25</w:t>
      </w:r>
      <w:proofErr w:type="gramEnd"/>
      <w:r>
        <w:t xml:space="preserve"> dB</w:t>
      </w:r>
      <w:r>
        <w:tab/>
      </w:r>
      <w:proofErr w:type="gramStart"/>
      <w:r>
        <w:tab/>
        <w:t xml:space="preserve">  35</w:t>
      </w:r>
      <w:proofErr w:type="gramEnd"/>
    </w:p>
    <w:p w14:paraId="43D06F60" w14:textId="77777777" w:rsidR="00CC4422" w:rsidRDefault="00CC4422" w:rsidP="00CC4422">
      <w:pPr>
        <w:pStyle w:val="citation"/>
      </w:pPr>
      <w:r>
        <w:t>OG</w:t>
      </w:r>
      <w:proofErr w:type="gramStart"/>
      <w:r>
        <w:tab/>
        <w:t xml:space="preserve">  5</w:t>
      </w:r>
      <w:r>
        <w:tab/>
        <w:t xml:space="preserve">  15</w:t>
      </w:r>
      <w:r>
        <w:tab/>
        <w:t xml:space="preserve">  30</w:t>
      </w:r>
      <w:r>
        <w:tab/>
        <w:t xml:space="preserve">  65</w:t>
      </w:r>
      <w:r>
        <w:tab/>
        <w:t xml:space="preserve">  115</w:t>
      </w:r>
      <w:r>
        <w:tab/>
        <w:t xml:space="preserve">  28.75</w:t>
      </w:r>
      <w:proofErr w:type="gramEnd"/>
      <w:r>
        <w:t xml:space="preserve"> dB</w:t>
      </w:r>
      <w:r>
        <w:tab/>
      </w:r>
      <w:r>
        <w:tab/>
      </w:r>
      <w:r>
        <w:rPr>
          <w:rFonts w:cs="Arial"/>
        </w:rPr>
        <w:t>&lt;</w:t>
      </w:r>
      <w:r>
        <w:t>30</w:t>
      </w:r>
    </w:p>
    <w:p w14:paraId="2E4D86B9" w14:textId="77777777" w:rsidR="00521483" w:rsidRDefault="00521483" w:rsidP="00CC4422">
      <w:pPr>
        <w:pStyle w:val="citation"/>
      </w:pPr>
    </w:p>
    <w:p w14:paraId="6F3640AB" w14:textId="77777777" w:rsidR="00521483" w:rsidRDefault="00521483" w:rsidP="00CC4422">
      <w:pPr>
        <w:pStyle w:val="citation"/>
      </w:pPr>
    </w:p>
    <w:p w14:paraId="0F5BDBAE" w14:textId="77777777" w:rsidR="00521483" w:rsidRDefault="00521483" w:rsidP="00521483">
      <w:pPr>
        <w:pStyle w:val="corpsdedcision"/>
      </w:pPr>
      <w:r>
        <w:t xml:space="preserve">Il détermine un </w:t>
      </w:r>
      <w:r w:rsidRPr="00A72CF6">
        <w:t>déficit anatomo-physiologique</w:t>
      </w:r>
      <w:r>
        <w:t xml:space="preserve"> de 1 % </w:t>
      </w:r>
      <w:r w:rsidR="008465D5">
        <w:t>pour l’oreille droite et de 0 % </w:t>
      </w:r>
      <w:r>
        <w:t>pour l’oreille gauche.</w:t>
      </w:r>
    </w:p>
    <w:p w14:paraId="520769EB" w14:textId="77777777" w:rsidR="00521483" w:rsidRDefault="00521483" w:rsidP="00521483">
      <w:pPr>
        <w:pStyle w:val="corpsdedcision"/>
      </w:pPr>
      <w:r>
        <w:t xml:space="preserve">À titre préventif, il recommande au </w:t>
      </w:r>
      <w:r w:rsidRPr="00A72CF6">
        <w:t>travailleur</w:t>
      </w:r>
      <w:r w:rsidR="00D4046E">
        <w:t xml:space="preserve"> de porte</w:t>
      </w:r>
      <w:r>
        <w:t>r une protection auditive s’il est exposé à des niveaux de bruit de 83 décibels (A) et plus.</w:t>
      </w:r>
    </w:p>
    <w:p w14:paraId="01772FB2" w14:textId="77777777" w:rsidR="00521483" w:rsidRDefault="00521483" w:rsidP="00521483">
      <w:pPr>
        <w:pStyle w:val="corpsdedcision"/>
      </w:pPr>
      <w:r>
        <w:t xml:space="preserve">Le 23 mai 2013, la CSST rend une première décision par laquelle elle </w:t>
      </w:r>
      <w:r w:rsidRPr="00A72CF6">
        <w:t>reconnaît</w:t>
      </w:r>
      <w:r>
        <w:t xml:space="preserve"> l’existence d’une </w:t>
      </w:r>
      <w:r w:rsidRPr="00A72CF6">
        <w:t>maladie professionnelle</w:t>
      </w:r>
      <w:r>
        <w:t xml:space="preserve"> à compter du 20 juin 2012, soit une surdité. Elle rend une seconde dé</w:t>
      </w:r>
      <w:r w:rsidR="00D35AA7">
        <w:t>cision par laquelle elle établit</w:t>
      </w:r>
      <w:r>
        <w:t xml:space="preserve"> l’atteinte permanente à l'intégrité physique à 1,10 %. </w:t>
      </w:r>
    </w:p>
    <w:p w14:paraId="546D728A" w14:textId="77777777" w:rsidR="00521483" w:rsidRDefault="00521483" w:rsidP="00521483">
      <w:pPr>
        <w:pStyle w:val="corpsdedcision"/>
      </w:pPr>
      <w:r>
        <w:t>L’employeur demande la révision de ces deux décisions.</w:t>
      </w:r>
    </w:p>
    <w:p w14:paraId="05CFFECA" w14:textId="77777777" w:rsidR="00521483" w:rsidRDefault="00521483" w:rsidP="00521483">
      <w:pPr>
        <w:pStyle w:val="corpsdedcision"/>
      </w:pPr>
      <w:r>
        <w:t xml:space="preserve">Le 26 juin 2013, la CSST rend une décision à la suite d’une </w:t>
      </w:r>
      <w:r w:rsidRPr="00A72CF6">
        <w:t>révision administrative</w:t>
      </w:r>
      <w:r>
        <w:t xml:space="preserve">. Elle confirme l’admissibilité de la surdité à titre de </w:t>
      </w:r>
      <w:r w:rsidRPr="00A72CF6">
        <w:t>maladie professionnelle</w:t>
      </w:r>
      <w:r>
        <w:t xml:space="preserve"> à compter du 20 juin 2012 et l’atteinte permanente à l'intégrité physique de 1,10 %.</w:t>
      </w:r>
    </w:p>
    <w:p w14:paraId="176E447B" w14:textId="77777777" w:rsidR="00521483" w:rsidRDefault="00E45EBC" w:rsidP="00521483">
      <w:pPr>
        <w:pStyle w:val="corpsdedcision"/>
      </w:pPr>
      <w:r>
        <w:t xml:space="preserve">L’employeur dépose une requête à la </w:t>
      </w:r>
      <w:r w:rsidRPr="00A72CF6">
        <w:t>Commission des lésions professionnelles</w:t>
      </w:r>
      <w:r>
        <w:t xml:space="preserve"> à l’encontre de cette décision, d’où le présent litige.</w:t>
      </w:r>
    </w:p>
    <w:p w14:paraId="7C45E5E4" w14:textId="77777777" w:rsidR="00FD5C36" w:rsidRDefault="00FD5C36" w:rsidP="00521483">
      <w:pPr>
        <w:pStyle w:val="corpsdedcision"/>
      </w:pPr>
      <w:r>
        <w:t xml:space="preserve">Le 30 septembre 2013, à la demande de l’employeur, le </w:t>
      </w:r>
      <w:r w:rsidRPr="00A72CF6">
        <w:t>travailleur</w:t>
      </w:r>
      <w:r>
        <w:t xml:space="preserve"> est examiné par le docteur Robert A. Bertrand, oto</w:t>
      </w:r>
      <w:r w:rsidR="002C7C2D">
        <w:t>-</w:t>
      </w:r>
      <w:r>
        <w:t>rhino</w:t>
      </w:r>
      <w:r w:rsidR="002C7C2D">
        <w:t>-</w:t>
      </w:r>
      <w:r>
        <w:t>laryngologiste.</w:t>
      </w:r>
    </w:p>
    <w:p w14:paraId="20915969" w14:textId="77777777" w:rsidR="00FD5C36" w:rsidRDefault="00CE1061" w:rsidP="00521483">
      <w:pPr>
        <w:pStyle w:val="corpsdedcision"/>
      </w:pPr>
      <w:r>
        <w:lastRenderedPageBreak/>
        <w:t>Celui-ci</w:t>
      </w:r>
      <w:r w:rsidR="00FD5C36">
        <w:t xml:space="preserve"> rapporte d’abord l’historique occupationnel et subjectif du </w:t>
      </w:r>
      <w:r w:rsidR="00FD5C36" w:rsidRPr="00A72CF6">
        <w:t>travailleur</w:t>
      </w:r>
      <w:r w:rsidR="00FD5C36">
        <w:t xml:space="preserve">. Quant aux antécédents médicaux, il relève que le </w:t>
      </w:r>
      <w:r w:rsidR="00FD5C36" w:rsidRPr="00A72CF6">
        <w:t>travailleur</w:t>
      </w:r>
      <w:r w:rsidR="00FD5C36">
        <w:t xml:space="preserve"> souffre d’un diabète de type 2, traité médicalement. Il souff</w:t>
      </w:r>
      <w:r w:rsidR="007A11D3">
        <w:t xml:space="preserve">re également d’hypercholestérolémie, traité avec </w:t>
      </w:r>
      <w:r w:rsidR="007A11D3" w:rsidRPr="008465D5">
        <w:rPr>
          <w:i/>
        </w:rPr>
        <w:t>Crestor</w:t>
      </w:r>
      <w:r w:rsidR="007A11D3">
        <w:t xml:space="preserve">. De plus, le </w:t>
      </w:r>
      <w:r w:rsidR="007A11D3" w:rsidRPr="00A72CF6">
        <w:t>travailleur</w:t>
      </w:r>
      <w:r w:rsidR="007A11D3">
        <w:t xml:space="preserve"> a été opéré pour trois pontages et un changement de valve aortique.</w:t>
      </w:r>
    </w:p>
    <w:p w14:paraId="031FD51C" w14:textId="77777777" w:rsidR="007A11D3" w:rsidRDefault="007A11D3" w:rsidP="00521483">
      <w:pPr>
        <w:pStyle w:val="corpsdedcision"/>
      </w:pPr>
      <w:r>
        <w:t xml:space="preserve">Le </w:t>
      </w:r>
      <w:r w:rsidRPr="00A72CF6">
        <w:t>travailleur</w:t>
      </w:r>
      <w:r>
        <w:t xml:space="preserve"> ne fume pas. Il n’a jamais utilisé d’arme à feu ou d’outils bruyants. Il ne pratique aucune activité bruyante. Ses parents, ses deux frères ou ses trois </w:t>
      </w:r>
      <w:r w:rsidRPr="00A72CF6">
        <w:t>sœurs</w:t>
      </w:r>
      <w:r>
        <w:t xml:space="preserve"> ne présentent pas d’atteinte auditive.</w:t>
      </w:r>
    </w:p>
    <w:p w14:paraId="773F3CFB" w14:textId="77777777" w:rsidR="007A11D3" w:rsidRDefault="007A11D3" w:rsidP="00521483">
      <w:pPr>
        <w:pStyle w:val="corpsdedcision"/>
      </w:pPr>
      <w:r>
        <w:t xml:space="preserve">Le docteur Bertrand compare les résultats de l’évaluation audiométrique du 7 mai 2012 avec ceux de </w:t>
      </w:r>
      <w:r w:rsidRPr="00A72CF6">
        <w:t>l’</w:t>
      </w:r>
      <w:r>
        <w:t>évaluation faite le jour de son examen :</w:t>
      </w:r>
    </w:p>
    <w:p w14:paraId="501350A9" w14:textId="77777777" w:rsidR="007A11D3" w:rsidRDefault="007A11D3" w:rsidP="007A11D3">
      <w:pPr>
        <w:pStyle w:val="citation"/>
      </w:pPr>
      <w:r>
        <w:rPr>
          <w:b/>
        </w:rPr>
        <w:t>ÉVALUATION AUDIOMÉTRIQUE</w:t>
      </w:r>
    </w:p>
    <w:p w14:paraId="100A4E52" w14:textId="77777777" w:rsidR="007A11D3" w:rsidRDefault="007A11D3" w:rsidP="007A11D3">
      <w:pPr>
        <w:pStyle w:val="citation"/>
      </w:pPr>
      <w:r>
        <w:t>L’évaluation audiométrique du 30 septembre 2013 fut faite par une audiologiste certifiée respectant un repos auditif de 16 heures et est considérée de bonne validité.</w:t>
      </w:r>
    </w:p>
    <w:p w14:paraId="766B5AFB" w14:textId="77777777" w:rsidR="007A11D3" w:rsidRDefault="007A11D3" w:rsidP="007A11D3">
      <w:pPr>
        <w:pStyle w:val="citation"/>
      </w:pPr>
    </w:p>
    <w:p w14:paraId="0F8E3C0F" w14:textId="77777777" w:rsidR="007A11D3" w:rsidRDefault="007A11D3" w:rsidP="007A11D3">
      <w:pPr>
        <w:pStyle w:val="citation"/>
      </w:pPr>
      <w:r>
        <w:t xml:space="preserve">Bilatéralement, on note une atteinte neurosensorielle s’accentuant dans les hautes fréquences. À l’oreille droite, il n’y a pas de remontrée dans les hautes fréquences. À l’oreille gauche, il y a une variation de 5 </w:t>
      </w:r>
      <w:proofErr w:type="spellStart"/>
      <w:r>
        <w:t>dBA</w:t>
      </w:r>
      <w:proofErr w:type="spellEnd"/>
      <w:r>
        <w:t xml:space="preserve"> entre les fréquences de 6000 et 8000 Hz.</w:t>
      </w:r>
    </w:p>
    <w:p w14:paraId="5EA2BC13" w14:textId="77777777" w:rsidR="007A11D3" w:rsidRDefault="007A11D3" w:rsidP="007A11D3">
      <w:pPr>
        <w:pStyle w:val="citation"/>
      </w:pPr>
    </w:p>
    <w:p w14:paraId="241620B0" w14:textId="77777777" w:rsidR="007A11D3" w:rsidRDefault="007A11D3" w:rsidP="007A11D3">
      <w:pPr>
        <w:pStyle w:val="citation"/>
      </w:pPr>
      <w:r>
        <w:t>Une première évaluation audiométrique au dossier effectuée en date du 7 mai 2012 présente bilatéralement une atteinte neurosensorielle s’accentuant dans les hautes fréquences. À l’oreille droite, il y a une légère prédominance à la fréquence de 4000 Hz et à l’oreille gauche à la fréquence de 6000 Hz.</w:t>
      </w:r>
    </w:p>
    <w:p w14:paraId="7FF0B61B" w14:textId="77777777" w:rsidR="007A11D3" w:rsidRDefault="007A11D3" w:rsidP="007A11D3">
      <w:pPr>
        <w:pStyle w:val="citation"/>
      </w:pPr>
    </w:p>
    <w:p w14:paraId="50873686" w14:textId="77777777" w:rsidR="007A11D3" w:rsidRDefault="007A11D3" w:rsidP="007A11D3">
      <w:pPr>
        <w:pStyle w:val="citation"/>
      </w:pPr>
      <w:r>
        <w:t xml:space="preserve">Nous avons comparé cette évaluation audiométrique </w:t>
      </w:r>
      <w:r w:rsidRPr="00A72CF6">
        <w:t>avec une</w:t>
      </w:r>
      <w:r>
        <w:t xml:space="preserve"> nouvelle évaluation effectuée en date du 30 septembre 2013. L’évolution démontre une légère va</w:t>
      </w:r>
      <w:r w:rsidR="00977E62">
        <w:t>riation des seuils telle que notée dans le tableau suivant (voir annexe A) :</w:t>
      </w:r>
    </w:p>
    <w:p w14:paraId="6E439129" w14:textId="77777777" w:rsidR="008F7D12" w:rsidRDefault="008F7D12" w:rsidP="007A11D3">
      <w:pPr>
        <w:pStyle w:val="citation"/>
      </w:pPr>
    </w:p>
    <w:p w14:paraId="3124D3F9" w14:textId="77777777" w:rsidR="00DD6D22" w:rsidRDefault="00DD6D22" w:rsidP="007A11D3">
      <w:pPr>
        <w:pStyle w:val="citation"/>
      </w:pPr>
    </w:p>
    <w:tbl>
      <w:tblPr>
        <w:tblStyle w:val="TableGrid"/>
        <w:tblW w:w="9747" w:type="dxa"/>
        <w:tblInd w:w="5" w:type="dxa"/>
        <w:tblLayout w:type="fixed"/>
        <w:tblLook w:val="04A0" w:firstRow="1" w:lastRow="0" w:firstColumn="1" w:lastColumn="0" w:noHBand="0" w:noVBand="1"/>
      </w:tblPr>
      <w:tblGrid>
        <w:gridCol w:w="675"/>
        <w:gridCol w:w="572"/>
        <w:gridCol w:w="536"/>
        <w:gridCol w:w="599"/>
        <w:gridCol w:w="472"/>
        <w:gridCol w:w="593"/>
        <w:gridCol w:w="474"/>
        <w:gridCol w:w="536"/>
        <w:gridCol w:w="613"/>
        <w:gridCol w:w="567"/>
        <w:gridCol w:w="567"/>
        <w:gridCol w:w="567"/>
        <w:gridCol w:w="567"/>
        <w:gridCol w:w="567"/>
        <w:gridCol w:w="567"/>
        <w:gridCol w:w="597"/>
        <w:gridCol w:w="678"/>
      </w:tblGrid>
      <w:tr w:rsidR="00783E30" w:rsidRPr="008F7D12" w14:paraId="5D40EC55" w14:textId="77777777" w:rsidTr="00DD6D22">
        <w:tc>
          <w:tcPr>
            <w:tcW w:w="675" w:type="dxa"/>
            <w:tcBorders>
              <w:top w:val="nil"/>
              <w:left w:val="nil"/>
              <w:bottom w:val="nil"/>
              <w:right w:val="single" w:sz="4" w:space="0" w:color="auto"/>
            </w:tcBorders>
          </w:tcPr>
          <w:p w14:paraId="6CE4B785" w14:textId="77777777" w:rsidR="00783E30" w:rsidRPr="008F7D12" w:rsidRDefault="00783E30" w:rsidP="00F30265">
            <w:pPr>
              <w:jc w:val="center"/>
              <w:rPr>
                <w:rFonts w:cs="Arial"/>
                <w:sz w:val="16"/>
                <w:szCs w:val="16"/>
              </w:rPr>
            </w:pPr>
          </w:p>
        </w:tc>
        <w:tc>
          <w:tcPr>
            <w:tcW w:w="4395" w:type="dxa"/>
            <w:gridSpan w:val="8"/>
            <w:tcBorders>
              <w:left w:val="single" w:sz="4" w:space="0" w:color="auto"/>
              <w:right w:val="single" w:sz="4" w:space="0" w:color="auto"/>
            </w:tcBorders>
          </w:tcPr>
          <w:p w14:paraId="1D614EC6" w14:textId="77777777" w:rsidR="00783E30" w:rsidRPr="008F7D12" w:rsidRDefault="00783E30" w:rsidP="00F30265">
            <w:pPr>
              <w:jc w:val="center"/>
              <w:rPr>
                <w:rFonts w:cs="Arial"/>
                <w:sz w:val="16"/>
                <w:szCs w:val="16"/>
              </w:rPr>
            </w:pPr>
            <w:r w:rsidRPr="008F7D12">
              <w:rPr>
                <w:rFonts w:cs="Arial"/>
                <w:sz w:val="16"/>
                <w:szCs w:val="16"/>
              </w:rPr>
              <w:t>Oreille droite (kHz)</w:t>
            </w:r>
          </w:p>
        </w:tc>
        <w:tc>
          <w:tcPr>
            <w:tcW w:w="4677" w:type="dxa"/>
            <w:gridSpan w:val="8"/>
            <w:tcBorders>
              <w:left w:val="single" w:sz="4" w:space="0" w:color="auto"/>
            </w:tcBorders>
          </w:tcPr>
          <w:p w14:paraId="3917B329" w14:textId="77777777" w:rsidR="00783E30" w:rsidRPr="008F7D12" w:rsidRDefault="00783E30" w:rsidP="00F30265">
            <w:pPr>
              <w:jc w:val="center"/>
              <w:rPr>
                <w:rFonts w:cs="Arial"/>
                <w:sz w:val="16"/>
                <w:szCs w:val="16"/>
              </w:rPr>
            </w:pPr>
            <w:r w:rsidRPr="008F7D12">
              <w:rPr>
                <w:rFonts w:cs="Arial"/>
                <w:sz w:val="16"/>
                <w:szCs w:val="16"/>
              </w:rPr>
              <w:t>Oreille gauche (kHz)</w:t>
            </w:r>
          </w:p>
        </w:tc>
      </w:tr>
      <w:tr w:rsidR="00783E30" w:rsidRPr="008F7D12" w14:paraId="2515522B" w14:textId="77777777" w:rsidTr="00DD6D22">
        <w:tc>
          <w:tcPr>
            <w:tcW w:w="675" w:type="dxa"/>
            <w:tcBorders>
              <w:top w:val="nil"/>
              <w:left w:val="nil"/>
              <w:bottom w:val="single" w:sz="4" w:space="0" w:color="auto"/>
              <w:right w:val="single" w:sz="4" w:space="0" w:color="auto"/>
            </w:tcBorders>
          </w:tcPr>
          <w:p w14:paraId="1EB75AD0" w14:textId="77777777" w:rsidR="00783E30" w:rsidRPr="008F7D12" w:rsidRDefault="00783E30" w:rsidP="00F30265">
            <w:pPr>
              <w:rPr>
                <w:rFonts w:cs="Arial"/>
                <w:sz w:val="16"/>
                <w:szCs w:val="16"/>
              </w:rPr>
            </w:pPr>
          </w:p>
        </w:tc>
        <w:tc>
          <w:tcPr>
            <w:tcW w:w="572" w:type="dxa"/>
            <w:tcBorders>
              <w:left w:val="single" w:sz="4" w:space="0" w:color="auto"/>
              <w:right w:val="single" w:sz="4" w:space="0" w:color="auto"/>
            </w:tcBorders>
          </w:tcPr>
          <w:p w14:paraId="7B23A08C" w14:textId="77777777" w:rsidR="00783E30" w:rsidRPr="008F7D12" w:rsidRDefault="00783E30" w:rsidP="00F30265">
            <w:pPr>
              <w:rPr>
                <w:rFonts w:cs="Arial"/>
                <w:sz w:val="16"/>
                <w:szCs w:val="16"/>
              </w:rPr>
            </w:pPr>
            <w:r w:rsidRPr="008F7D12">
              <w:rPr>
                <w:rFonts w:cs="Arial"/>
                <w:sz w:val="16"/>
                <w:szCs w:val="16"/>
              </w:rPr>
              <w:t>.25</w:t>
            </w:r>
          </w:p>
        </w:tc>
        <w:tc>
          <w:tcPr>
            <w:tcW w:w="536" w:type="dxa"/>
            <w:tcBorders>
              <w:left w:val="single" w:sz="4" w:space="0" w:color="auto"/>
            </w:tcBorders>
          </w:tcPr>
          <w:p w14:paraId="20D30389" w14:textId="77777777" w:rsidR="00783E30" w:rsidRPr="008F7D12" w:rsidRDefault="00783E30" w:rsidP="00F30265">
            <w:pPr>
              <w:rPr>
                <w:rFonts w:cs="Arial"/>
                <w:sz w:val="16"/>
                <w:szCs w:val="16"/>
              </w:rPr>
            </w:pPr>
            <w:r w:rsidRPr="008F7D12">
              <w:rPr>
                <w:rFonts w:cs="Arial"/>
                <w:sz w:val="16"/>
                <w:szCs w:val="16"/>
              </w:rPr>
              <w:t>.5</w:t>
            </w:r>
          </w:p>
        </w:tc>
        <w:tc>
          <w:tcPr>
            <w:tcW w:w="599" w:type="dxa"/>
          </w:tcPr>
          <w:p w14:paraId="5A3B6F2B" w14:textId="77777777" w:rsidR="00783E30" w:rsidRPr="008F7D12" w:rsidRDefault="00783E30" w:rsidP="00F30265">
            <w:pPr>
              <w:rPr>
                <w:rFonts w:cs="Arial"/>
                <w:sz w:val="16"/>
                <w:szCs w:val="16"/>
              </w:rPr>
            </w:pPr>
            <w:r w:rsidRPr="008F7D12">
              <w:rPr>
                <w:rFonts w:cs="Arial"/>
                <w:sz w:val="16"/>
                <w:szCs w:val="16"/>
              </w:rPr>
              <w:t>1</w:t>
            </w:r>
          </w:p>
        </w:tc>
        <w:tc>
          <w:tcPr>
            <w:tcW w:w="472" w:type="dxa"/>
          </w:tcPr>
          <w:p w14:paraId="35249AA4" w14:textId="77777777" w:rsidR="00783E30" w:rsidRPr="008F7D12" w:rsidRDefault="00783E30" w:rsidP="00F30265">
            <w:pPr>
              <w:rPr>
                <w:rFonts w:cs="Arial"/>
                <w:sz w:val="16"/>
                <w:szCs w:val="16"/>
              </w:rPr>
            </w:pPr>
            <w:r w:rsidRPr="008F7D12">
              <w:rPr>
                <w:rFonts w:cs="Arial"/>
                <w:sz w:val="16"/>
                <w:szCs w:val="16"/>
              </w:rPr>
              <w:t>2</w:t>
            </w:r>
          </w:p>
        </w:tc>
        <w:tc>
          <w:tcPr>
            <w:tcW w:w="593" w:type="dxa"/>
          </w:tcPr>
          <w:p w14:paraId="584D4D22" w14:textId="77777777" w:rsidR="00783E30" w:rsidRPr="008F7D12" w:rsidRDefault="00783E30" w:rsidP="00F30265">
            <w:pPr>
              <w:rPr>
                <w:rFonts w:cs="Arial"/>
                <w:sz w:val="16"/>
                <w:szCs w:val="16"/>
              </w:rPr>
            </w:pPr>
            <w:r w:rsidRPr="008F7D12">
              <w:rPr>
                <w:rFonts w:cs="Arial"/>
                <w:sz w:val="16"/>
                <w:szCs w:val="16"/>
              </w:rPr>
              <w:t>3</w:t>
            </w:r>
          </w:p>
        </w:tc>
        <w:tc>
          <w:tcPr>
            <w:tcW w:w="474" w:type="dxa"/>
          </w:tcPr>
          <w:p w14:paraId="2894FD1A" w14:textId="77777777" w:rsidR="00783E30" w:rsidRPr="008F7D12" w:rsidRDefault="00783E30" w:rsidP="00F30265">
            <w:pPr>
              <w:rPr>
                <w:rFonts w:cs="Arial"/>
                <w:sz w:val="16"/>
                <w:szCs w:val="16"/>
              </w:rPr>
            </w:pPr>
            <w:r w:rsidRPr="008F7D12">
              <w:rPr>
                <w:rFonts w:cs="Arial"/>
                <w:sz w:val="16"/>
                <w:szCs w:val="16"/>
              </w:rPr>
              <w:t>4</w:t>
            </w:r>
          </w:p>
        </w:tc>
        <w:tc>
          <w:tcPr>
            <w:tcW w:w="536" w:type="dxa"/>
          </w:tcPr>
          <w:p w14:paraId="76BE8990" w14:textId="77777777" w:rsidR="00783E30" w:rsidRPr="008F7D12" w:rsidRDefault="00783E30" w:rsidP="00F30265">
            <w:pPr>
              <w:rPr>
                <w:rFonts w:cs="Arial"/>
                <w:sz w:val="16"/>
                <w:szCs w:val="16"/>
              </w:rPr>
            </w:pPr>
            <w:r w:rsidRPr="008F7D12">
              <w:rPr>
                <w:rFonts w:cs="Arial"/>
                <w:sz w:val="16"/>
                <w:szCs w:val="16"/>
              </w:rPr>
              <w:t>6</w:t>
            </w:r>
          </w:p>
        </w:tc>
        <w:tc>
          <w:tcPr>
            <w:tcW w:w="613" w:type="dxa"/>
          </w:tcPr>
          <w:p w14:paraId="06B03F38" w14:textId="77777777" w:rsidR="00783E30" w:rsidRPr="008F7D12" w:rsidRDefault="00783E30" w:rsidP="00F30265">
            <w:pPr>
              <w:rPr>
                <w:rFonts w:cs="Arial"/>
                <w:sz w:val="16"/>
                <w:szCs w:val="16"/>
              </w:rPr>
            </w:pPr>
            <w:r w:rsidRPr="008F7D12">
              <w:rPr>
                <w:rFonts w:cs="Arial"/>
                <w:sz w:val="16"/>
                <w:szCs w:val="16"/>
              </w:rPr>
              <w:t>8</w:t>
            </w:r>
          </w:p>
        </w:tc>
        <w:tc>
          <w:tcPr>
            <w:tcW w:w="567" w:type="dxa"/>
          </w:tcPr>
          <w:p w14:paraId="3275FC05" w14:textId="77777777" w:rsidR="00783E30" w:rsidRPr="008F7D12" w:rsidRDefault="00783E30" w:rsidP="00F30265">
            <w:pPr>
              <w:rPr>
                <w:rFonts w:cs="Arial"/>
                <w:sz w:val="16"/>
                <w:szCs w:val="16"/>
              </w:rPr>
            </w:pPr>
            <w:r w:rsidRPr="008F7D12">
              <w:rPr>
                <w:rFonts w:cs="Arial"/>
                <w:sz w:val="16"/>
                <w:szCs w:val="16"/>
              </w:rPr>
              <w:t>.25</w:t>
            </w:r>
          </w:p>
        </w:tc>
        <w:tc>
          <w:tcPr>
            <w:tcW w:w="567" w:type="dxa"/>
          </w:tcPr>
          <w:p w14:paraId="735219E4"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2FB82402" w14:textId="77777777" w:rsidR="00783E30" w:rsidRPr="008F7D12" w:rsidRDefault="00783E30" w:rsidP="00F30265">
            <w:pPr>
              <w:rPr>
                <w:rFonts w:cs="Arial"/>
                <w:sz w:val="16"/>
                <w:szCs w:val="16"/>
              </w:rPr>
            </w:pPr>
            <w:r w:rsidRPr="008F7D12">
              <w:rPr>
                <w:rFonts w:cs="Arial"/>
                <w:sz w:val="16"/>
                <w:szCs w:val="16"/>
              </w:rPr>
              <w:t>1</w:t>
            </w:r>
          </w:p>
        </w:tc>
        <w:tc>
          <w:tcPr>
            <w:tcW w:w="567" w:type="dxa"/>
          </w:tcPr>
          <w:p w14:paraId="464A3505" w14:textId="77777777" w:rsidR="00783E30" w:rsidRPr="008F7D12" w:rsidRDefault="00783E30" w:rsidP="00F30265">
            <w:pPr>
              <w:rPr>
                <w:rFonts w:cs="Arial"/>
                <w:sz w:val="16"/>
                <w:szCs w:val="16"/>
              </w:rPr>
            </w:pPr>
            <w:r w:rsidRPr="008F7D12">
              <w:rPr>
                <w:rFonts w:cs="Arial"/>
                <w:sz w:val="16"/>
                <w:szCs w:val="16"/>
              </w:rPr>
              <w:t>2</w:t>
            </w:r>
          </w:p>
        </w:tc>
        <w:tc>
          <w:tcPr>
            <w:tcW w:w="567" w:type="dxa"/>
          </w:tcPr>
          <w:p w14:paraId="27E0E7EB" w14:textId="77777777" w:rsidR="00783E30" w:rsidRPr="008F7D12" w:rsidRDefault="00783E30" w:rsidP="00F30265">
            <w:pPr>
              <w:rPr>
                <w:rFonts w:cs="Arial"/>
                <w:sz w:val="16"/>
                <w:szCs w:val="16"/>
              </w:rPr>
            </w:pPr>
            <w:r w:rsidRPr="008F7D12">
              <w:rPr>
                <w:rFonts w:cs="Arial"/>
                <w:sz w:val="16"/>
                <w:szCs w:val="16"/>
              </w:rPr>
              <w:t>3</w:t>
            </w:r>
          </w:p>
        </w:tc>
        <w:tc>
          <w:tcPr>
            <w:tcW w:w="567" w:type="dxa"/>
          </w:tcPr>
          <w:p w14:paraId="7A2DF9CF" w14:textId="77777777" w:rsidR="00783E30" w:rsidRPr="008F7D12" w:rsidRDefault="00783E30" w:rsidP="00F30265">
            <w:pPr>
              <w:ind w:right="-1242"/>
              <w:rPr>
                <w:rFonts w:cs="Arial"/>
                <w:sz w:val="16"/>
                <w:szCs w:val="16"/>
              </w:rPr>
            </w:pPr>
            <w:r w:rsidRPr="008F7D12">
              <w:rPr>
                <w:rFonts w:cs="Arial"/>
                <w:sz w:val="16"/>
                <w:szCs w:val="16"/>
              </w:rPr>
              <w:t>4</w:t>
            </w:r>
          </w:p>
        </w:tc>
        <w:tc>
          <w:tcPr>
            <w:tcW w:w="597" w:type="dxa"/>
          </w:tcPr>
          <w:p w14:paraId="50D5796D" w14:textId="77777777" w:rsidR="00783E30" w:rsidRPr="008F7D12" w:rsidRDefault="00783E30" w:rsidP="00F30265">
            <w:pPr>
              <w:ind w:right="-1242"/>
              <w:rPr>
                <w:rFonts w:cs="Arial"/>
                <w:sz w:val="16"/>
                <w:szCs w:val="16"/>
              </w:rPr>
            </w:pPr>
            <w:r w:rsidRPr="008F7D12">
              <w:rPr>
                <w:rFonts w:cs="Arial"/>
                <w:sz w:val="16"/>
                <w:szCs w:val="16"/>
              </w:rPr>
              <w:t>6</w:t>
            </w:r>
          </w:p>
        </w:tc>
        <w:tc>
          <w:tcPr>
            <w:tcW w:w="678" w:type="dxa"/>
          </w:tcPr>
          <w:p w14:paraId="28A034C6" w14:textId="77777777" w:rsidR="00783E30" w:rsidRPr="008F7D12" w:rsidRDefault="00783E30" w:rsidP="00F30265">
            <w:pPr>
              <w:rPr>
                <w:rFonts w:cs="Arial"/>
                <w:sz w:val="16"/>
                <w:szCs w:val="16"/>
              </w:rPr>
            </w:pPr>
            <w:r w:rsidRPr="008F7D12">
              <w:rPr>
                <w:rFonts w:cs="Arial"/>
                <w:sz w:val="16"/>
                <w:szCs w:val="16"/>
              </w:rPr>
              <w:t>8</w:t>
            </w:r>
          </w:p>
        </w:tc>
      </w:tr>
      <w:tr w:rsidR="00783E30" w:rsidRPr="008F7D12" w14:paraId="76094798" w14:textId="77777777" w:rsidTr="00DD6D22">
        <w:tc>
          <w:tcPr>
            <w:tcW w:w="675" w:type="dxa"/>
            <w:tcBorders>
              <w:top w:val="single" w:sz="4" w:space="0" w:color="auto"/>
            </w:tcBorders>
          </w:tcPr>
          <w:p w14:paraId="3DFE04FA" w14:textId="77777777" w:rsidR="00783E30" w:rsidRPr="008F7D12" w:rsidRDefault="00783E30" w:rsidP="00F30265">
            <w:pPr>
              <w:rPr>
                <w:rFonts w:cs="Arial"/>
                <w:sz w:val="16"/>
                <w:szCs w:val="16"/>
              </w:rPr>
            </w:pPr>
            <w:r w:rsidRPr="008F7D12">
              <w:rPr>
                <w:rFonts w:cs="Arial"/>
                <w:sz w:val="16"/>
                <w:szCs w:val="16"/>
              </w:rPr>
              <w:t>2012</w:t>
            </w:r>
          </w:p>
        </w:tc>
        <w:tc>
          <w:tcPr>
            <w:tcW w:w="572" w:type="dxa"/>
          </w:tcPr>
          <w:p w14:paraId="5511BDFD" w14:textId="77777777" w:rsidR="00783E30" w:rsidRPr="008F7D12" w:rsidRDefault="00783E30" w:rsidP="00F30265">
            <w:pPr>
              <w:rPr>
                <w:rFonts w:cs="Arial"/>
                <w:sz w:val="16"/>
                <w:szCs w:val="16"/>
              </w:rPr>
            </w:pPr>
            <w:r w:rsidRPr="008F7D12">
              <w:rPr>
                <w:rFonts w:cs="Arial"/>
                <w:sz w:val="16"/>
                <w:szCs w:val="16"/>
              </w:rPr>
              <w:t>5</w:t>
            </w:r>
          </w:p>
        </w:tc>
        <w:tc>
          <w:tcPr>
            <w:tcW w:w="536" w:type="dxa"/>
          </w:tcPr>
          <w:p w14:paraId="24B28494" w14:textId="77777777" w:rsidR="00783E30" w:rsidRPr="008F7D12" w:rsidRDefault="00783E30" w:rsidP="00F30265">
            <w:pPr>
              <w:rPr>
                <w:rFonts w:cs="Arial"/>
                <w:sz w:val="16"/>
                <w:szCs w:val="16"/>
              </w:rPr>
            </w:pPr>
            <w:r w:rsidRPr="008F7D12">
              <w:rPr>
                <w:rFonts w:cs="Arial"/>
                <w:sz w:val="16"/>
                <w:szCs w:val="16"/>
              </w:rPr>
              <w:t>10</w:t>
            </w:r>
          </w:p>
        </w:tc>
        <w:tc>
          <w:tcPr>
            <w:tcW w:w="599" w:type="dxa"/>
          </w:tcPr>
          <w:p w14:paraId="6F94EA4B" w14:textId="77777777" w:rsidR="00783E30" w:rsidRPr="008F7D12" w:rsidRDefault="00783E30" w:rsidP="00F30265">
            <w:pPr>
              <w:rPr>
                <w:rFonts w:cs="Arial"/>
                <w:sz w:val="16"/>
                <w:szCs w:val="16"/>
              </w:rPr>
            </w:pPr>
            <w:r w:rsidRPr="008F7D12">
              <w:rPr>
                <w:rFonts w:cs="Arial"/>
                <w:sz w:val="16"/>
                <w:szCs w:val="16"/>
              </w:rPr>
              <w:t>20</w:t>
            </w:r>
          </w:p>
        </w:tc>
        <w:tc>
          <w:tcPr>
            <w:tcW w:w="472" w:type="dxa"/>
          </w:tcPr>
          <w:p w14:paraId="3EED38DB" w14:textId="77777777" w:rsidR="00783E30" w:rsidRPr="008F7D12" w:rsidRDefault="00783E30" w:rsidP="00F30265">
            <w:pPr>
              <w:rPr>
                <w:rFonts w:cs="Arial"/>
                <w:sz w:val="16"/>
                <w:szCs w:val="16"/>
              </w:rPr>
            </w:pPr>
            <w:r w:rsidRPr="008F7D12">
              <w:rPr>
                <w:rFonts w:cs="Arial"/>
                <w:sz w:val="16"/>
                <w:szCs w:val="16"/>
              </w:rPr>
              <w:t>40</w:t>
            </w:r>
          </w:p>
        </w:tc>
        <w:tc>
          <w:tcPr>
            <w:tcW w:w="593" w:type="dxa"/>
          </w:tcPr>
          <w:p w14:paraId="2DAAFBE8" w14:textId="77777777" w:rsidR="00783E30" w:rsidRPr="008F7D12" w:rsidRDefault="00783E30" w:rsidP="00F30265">
            <w:pPr>
              <w:rPr>
                <w:rFonts w:cs="Arial"/>
                <w:sz w:val="16"/>
                <w:szCs w:val="16"/>
              </w:rPr>
            </w:pPr>
            <w:r w:rsidRPr="008F7D12">
              <w:rPr>
                <w:rFonts w:cs="Arial"/>
                <w:sz w:val="16"/>
                <w:szCs w:val="16"/>
              </w:rPr>
              <w:t>60</w:t>
            </w:r>
          </w:p>
        </w:tc>
        <w:tc>
          <w:tcPr>
            <w:tcW w:w="474" w:type="dxa"/>
          </w:tcPr>
          <w:p w14:paraId="138EBEAA" w14:textId="77777777" w:rsidR="00783E30" w:rsidRPr="008F7D12" w:rsidRDefault="00783E30" w:rsidP="00F30265">
            <w:pPr>
              <w:rPr>
                <w:rFonts w:cs="Arial"/>
                <w:sz w:val="16"/>
                <w:szCs w:val="16"/>
              </w:rPr>
            </w:pPr>
            <w:r w:rsidRPr="008F7D12">
              <w:rPr>
                <w:rFonts w:cs="Arial"/>
                <w:sz w:val="16"/>
                <w:szCs w:val="16"/>
              </w:rPr>
              <w:t>70</w:t>
            </w:r>
          </w:p>
        </w:tc>
        <w:tc>
          <w:tcPr>
            <w:tcW w:w="536" w:type="dxa"/>
          </w:tcPr>
          <w:p w14:paraId="663528E4" w14:textId="77777777" w:rsidR="00783E30" w:rsidRPr="008F7D12" w:rsidRDefault="00783E30" w:rsidP="00F30265">
            <w:pPr>
              <w:rPr>
                <w:rFonts w:cs="Arial"/>
                <w:sz w:val="16"/>
                <w:szCs w:val="16"/>
              </w:rPr>
            </w:pPr>
            <w:r w:rsidRPr="008F7D12">
              <w:rPr>
                <w:rFonts w:cs="Arial"/>
                <w:sz w:val="16"/>
                <w:szCs w:val="16"/>
              </w:rPr>
              <w:t>65</w:t>
            </w:r>
          </w:p>
        </w:tc>
        <w:tc>
          <w:tcPr>
            <w:tcW w:w="613" w:type="dxa"/>
          </w:tcPr>
          <w:p w14:paraId="206EA851" w14:textId="77777777" w:rsidR="00783E30" w:rsidRPr="008F7D12" w:rsidRDefault="00783E30" w:rsidP="00F30265">
            <w:pPr>
              <w:rPr>
                <w:rFonts w:cs="Arial"/>
                <w:sz w:val="16"/>
                <w:szCs w:val="16"/>
              </w:rPr>
            </w:pPr>
            <w:r w:rsidRPr="008F7D12">
              <w:rPr>
                <w:rFonts w:cs="Arial"/>
                <w:sz w:val="16"/>
                <w:szCs w:val="16"/>
              </w:rPr>
              <w:t>70</w:t>
            </w:r>
          </w:p>
        </w:tc>
        <w:tc>
          <w:tcPr>
            <w:tcW w:w="567" w:type="dxa"/>
          </w:tcPr>
          <w:p w14:paraId="503BFE12" w14:textId="77777777" w:rsidR="00783E30" w:rsidRPr="008F7D12" w:rsidRDefault="00783E30" w:rsidP="00F30265">
            <w:pPr>
              <w:rPr>
                <w:rFonts w:cs="Arial"/>
                <w:sz w:val="16"/>
                <w:szCs w:val="16"/>
              </w:rPr>
            </w:pPr>
            <w:r w:rsidRPr="008F7D12">
              <w:rPr>
                <w:rFonts w:cs="Arial"/>
                <w:sz w:val="16"/>
                <w:szCs w:val="16"/>
              </w:rPr>
              <w:t>10</w:t>
            </w:r>
          </w:p>
        </w:tc>
        <w:tc>
          <w:tcPr>
            <w:tcW w:w="567" w:type="dxa"/>
          </w:tcPr>
          <w:p w14:paraId="288EDFCB"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0C2C2DC4" w14:textId="77777777" w:rsidR="00783E30" w:rsidRPr="008F7D12" w:rsidRDefault="00783E30" w:rsidP="00F30265">
            <w:pPr>
              <w:rPr>
                <w:rFonts w:cs="Arial"/>
                <w:sz w:val="16"/>
                <w:szCs w:val="16"/>
              </w:rPr>
            </w:pPr>
            <w:r w:rsidRPr="008F7D12">
              <w:rPr>
                <w:rFonts w:cs="Arial"/>
                <w:sz w:val="16"/>
                <w:szCs w:val="16"/>
              </w:rPr>
              <w:t>15</w:t>
            </w:r>
          </w:p>
        </w:tc>
        <w:tc>
          <w:tcPr>
            <w:tcW w:w="567" w:type="dxa"/>
          </w:tcPr>
          <w:p w14:paraId="15E46277" w14:textId="77777777" w:rsidR="00783E30" w:rsidRPr="008F7D12" w:rsidRDefault="00783E30" w:rsidP="00F30265">
            <w:pPr>
              <w:rPr>
                <w:rFonts w:cs="Arial"/>
                <w:sz w:val="16"/>
                <w:szCs w:val="16"/>
              </w:rPr>
            </w:pPr>
            <w:r w:rsidRPr="008F7D12">
              <w:rPr>
                <w:rFonts w:cs="Arial"/>
                <w:sz w:val="16"/>
                <w:szCs w:val="16"/>
              </w:rPr>
              <w:t>30</w:t>
            </w:r>
          </w:p>
        </w:tc>
        <w:tc>
          <w:tcPr>
            <w:tcW w:w="567" w:type="dxa"/>
          </w:tcPr>
          <w:p w14:paraId="75A233C9" w14:textId="77777777" w:rsidR="00783E30" w:rsidRPr="008F7D12" w:rsidRDefault="00783E30" w:rsidP="00F30265">
            <w:pPr>
              <w:rPr>
                <w:rFonts w:cs="Arial"/>
                <w:sz w:val="16"/>
                <w:szCs w:val="16"/>
              </w:rPr>
            </w:pPr>
            <w:r w:rsidRPr="008F7D12">
              <w:rPr>
                <w:rFonts w:cs="Arial"/>
                <w:sz w:val="16"/>
                <w:szCs w:val="16"/>
              </w:rPr>
              <w:t>60</w:t>
            </w:r>
          </w:p>
        </w:tc>
        <w:tc>
          <w:tcPr>
            <w:tcW w:w="567" w:type="dxa"/>
          </w:tcPr>
          <w:p w14:paraId="6AA9ADF0" w14:textId="77777777" w:rsidR="00783E30" w:rsidRPr="008F7D12" w:rsidRDefault="00783E30" w:rsidP="00F30265">
            <w:pPr>
              <w:ind w:right="-1242"/>
              <w:rPr>
                <w:rFonts w:cs="Arial"/>
                <w:sz w:val="16"/>
                <w:szCs w:val="16"/>
              </w:rPr>
            </w:pPr>
            <w:r w:rsidRPr="008F7D12">
              <w:rPr>
                <w:rFonts w:cs="Arial"/>
                <w:sz w:val="16"/>
                <w:szCs w:val="16"/>
              </w:rPr>
              <w:t>65</w:t>
            </w:r>
          </w:p>
        </w:tc>
        <w:tc>
          <w:tcPr>
            <w:tcW w:w="597" w:type="dxa"/>
          </w:tcPr>
          <w:p w14:paraId="0A82BD10" w14:textId="77777777" w:rsidR="00783E30" w:rsidRPr="008F7D12" w:rsidRDefault="00783E30" w:rsidP="00F30265">
            <w:pPr>
              <w:ind w:right="-1242"/>
              <w:rPr>
                <w:rFonts w:cs="Arial"/>
                <w:sz w:val="16"/>
                <w:szCs w:val="16"/>
              </w:rPr>
            </w:pPr>
            <w:r w:rsidRPr="008F7D12">
              <w:rPr>
                <w:rFonts w:cs="Arial"/>
                <w:sz w:val="16"/>
                <w:szCs w:val="16"/>
              </w:rPr>
              <w:t>75</w:t>
            </w:r>
          </w:p>
        </w:tc>
        <w:tc>
          <w:tcPr>
            <w:tcW w:w="678" w:type="dxa"/>
          </w:tcPr>
          <w:p w14:paraId="549BBF5D" w14:textId="77777777" w:rsidR="00783E30" w:rsidRPr="008F7D12" w:rsidRDefault="00783E30" w:rsidP="00F30265">
            <w:pPr>
              <w:rPr>
                <w:rFonts w:cs="Arial"/>
                <w:sz w:val="16"/>
                <w:szCs w:val="16"/>
              </w:rPr>
            </w:pPr>
            <w:r w:rsidRPr="008F7D12">
              <w:rPr>
                <w:rFonts w:cs="Arial"/>
                <w:sz w:val="16"/>
                <w:szCs w:val="16"/>
              </w:rPr>
              <w:t>65</w:t>
            </w:r>
          </w:p>
        </w:tc>
      </w:tr>
      <w:tr w:rsidR="00783E30" w:rsidRPr="008F7D12" w14:paraId="78B63DAD" w14:textId="77777777" w:rsidTr="00DD6D22">
        <w:tc>
          <w:tcPr>
            <w:tcW w:w="675" w:type="dxa"/>
          </w:tcPr>
          <w:p w14:paraId="5D0C993D" w14:textId="77777777" w:rsidR="00783E30" w:rsidRPr="008F7D12" w:rsidRDefault="00783E30" w:rsidP="00F30265">
            <w:pPr>
              <w:rPr>
                <w:rFonts w:cs="Arial"/>
                <w:sz w:val="16"/>
                <w:szCs w:val="16"/>
              </w:rPr>
            </w:pPr>
            <w:r w:rsidRPr="008F7D12">
              <w:rPr>
                <w:rFonts w:cs="Arial"/>
                <w:sz w:val="16"/>
                <w:szCs w:val="16"/>
              </w:rPr>
              <w:t>2013</w:t>
            </w:r>
          </w:p>
        </w:tc>
        <w:tc>
          <w:tcPr>
            <w:tcW w:w="572" w:type="dxa"/>
          </w:tcPr>
          <w:p w14:paraId="475F9F23" w14:textId="77777777" w:rsidR="00783E30" w:rsidRPr="008F7D12" w:rsidRDefault="00783E30" w:rsidP="00F30265">
            <w:pPr>
              <w:rPr>
                <w:rFonts w:cs="Arial"/>
                <w:sz w:val="16"/>
                <w:szCs w:val="16"/>
              </w:rPr>
            </w:pPr>
            <w:r w:rsidRPr="008F7D12">
              <w:rPr>
                <w:rFonts w:cs="Arial"/>
                <w:sz w:val="16"/>
                <w:szCs w:val="16"/>
              </w:rPr>
              <w:t>10</w:t>
            </w:r>
          </w:p>
        </w:tc>
        <w:tc>
          <w:tcPr>
            <w:tcW w:w="536" w:type="dxa"/>
          </w:tcPr>
          <w:p w14:paraId="3A68E3B9" w14:textId="77777777" w:rsidR="00783E30" w:rsidRPr="008F7D12" w:rsidRDefault="00783E30" w:rsidP="00F30265">
            <w:pPr>
              <w:rPr>
                <w:rFonts w:cs="Arial"/>
                <w:sz w:val="16"/>
                <w:szCs w:val="16"/>
              </w:rPr>
            </w:pPr>
            <w:r w:rsidRPr="008F7D12">
              <w:rPr>
                <w:rFonts w:cs="Arial"/>
                <w:sz w:val="16"/>
                <w:szCs w:val="16"/>
              </w:rPr>
              <w:t>10</w:t>
            </w:r>
          </w:p>
        </w:tc>
        <w:tc>
          <w:tcPr>
            <w:tcW w:w="599" w:type="dxa"/>
          </w:tcPr>
          <w:p w14:paraId="64F4FA29" w14:textId="77777777" w:rsidR="00783E30" w:rsidRPr="008F7D12" w:rsidRDefault="00783E30" w:rsidP="00F30265">
            <w:pPr>
              <w:rPr>
                <w:rFonts w:cs="Arial"/>
                <w:sz w:val="16"/>
                <w:szCs w:val="16"/>
              </w:rPr>
            </w:pPr>
            <w:r w:rsidRPr="008F7D12">
              <w:rPr>
                <w:rFonts w:cs="Arial"/>
                <w:sz w:val="16"/>
                <w:szCs w:val="16"/>
              </w:rPr>
              <w:t>20</w:t>
            </w:r>
          </w:p>
        </w:tc>
        <w:tc>
          <w:tcPr>
            <w:tcW w:w="472" w:type="dxa"/>
          </w:tcPr>
          <w:p w14:paraId="252DDB73" w14:textId="77777777" w:rsidR="00783E30" w:rsidRPr="008F7D12" w:rsidRDefault="00783E30" w:rsidP="00F30265">
            <w:pPr>
              <w:rPr>
                <w:rFonts w:cs="Arial"/>
                <w:sz w:val="16"/>
                <w:szCs w:val="16"/>
              </w:rPr>
            </w:pPr>
            <w:r w:rsidRPr="008F7D12">
              <w:rPr>
                <w:rFonts w:cs="Arial"/>
                <w:sz w:val="16"/>
                <w:szCs w:val="16"/>
              </w:rPr>
              <w:t>50</w:t>
            </w:r>
          </w:p>
        </w:tc>
        <w:tc>
          <w:tcPr>
            <w:tcW w:w="593" w:type="dxa"/>
          </w:tcPr>
          <w:p w14:paraId="6B489B79" w14:textId="77777777" w:rsidR="00783E30" w:rsidRPr="008F7D12" w:rsidRDefault="00783E30" w:rsidP="00F30265">
            <w:pPr>
              <w:rPr>
                <w:rFonts w:cs="Arial"/>
                <w:sz w:val="16"/>
                <w:szCs w:val="16"/>
              </w:rPr>
            </w:pPr>
            <w:r w:rsidRPr="008F7D12">
              <w:rPr>
                <w:rFonts w:cs="Arial"/>
                <w:sz w:val="16"/>
                <w:szCs w:val="16"/>
              </w:rPr>
              <w:t>65</w:t>
            </w:r>
          </w:p>
        </w:tc>
        <w:tc>
          <w:tcPr>
            <w:tcW w:w="474" w:type="dxa"/>
          </w:tcPr>
          <w:p w14:paraId="5B8162D9" w14:textId="77777777" w:rsidR="00783E30" w:rsidRPr="008F7D12" w:rsidRDefault="00783E30" w:rsidP="00F30265">
            <w:pPr>
              <w:rPr>
                <w:rFonts w:cs="Arial"/>
                <w:sz w:val="16"/>
                <w:szCs w:val="16"/>
              </w:rPr>
            </w:pPr>
            <w:r w:rsidRPr="008F7D12">
              <w:rPr>
                <w:rFonts w:cs="Arial"/>
                <w:sz w:val="16"/>
                <w:szCs w:val="16"/>
              </w:rPr>
              <w:t>70</w:t>
            </w:r>
          </w:p>
        </w:tc>
        <w:tc>
          <w:tcPr>
            <w:tcW w:w="536" w:type="dxa"/>
          </w:tcPr>
          <w:p w14:paraId="0DB9FC45" w14:textId="77777777" w:rsidR="00783E30" w:rsidRPr="008F7D12" w:rsidRDefault="00783E30" w:rsidP="00F30265">
            <w:pPr>
              <w:rPr>
                <w:rFonts w:cs="Arial"/>
                <w:sz w:val="16"/>
                <w:szCs w:val="16"/>
              </w:rPr>
            </w:pPr>
            <w:r w:rsidRPr="008F7D12">
              <w:rPr>
                <w:rFonts w:cs="Arial"/>
                <w:sz w:val="16"/>
                <w:szCs w:val="16"/>
              </w:rPr>
              <w:t>70</w:t>
            </w:r>
          </w:p>
        </w:tc>
        <w:tc>
          <w:tcPr>
            <w:tcW w:w="613" w:type="dxa"/>
          </w:tcPr>
          <w:p w14:paraId="330FA9F3" w14:textId="77777777" w:rsidR="00783E30" w:rsidRPr="008F7D12" w:rsidRDefault="00783E30" w:rsidP="00F30265">
            <w:pPr>
              <w:rPr>
                <w:rFonts w:cs="Arial"/>
                <w:sz w:val="16"/>
                <w:szCs w:val="16"/>
              </w:rPr>
            </w:pPr>
            <w:r w:rsidRPr="008F7D12">
              <w:rPr>
                <w:rFonts w:cs="Arial"/>
                <w:sz w:val="16"/>
                <w:szCs w:val="16"/>
              </w:rPr>
              <w:t>70</w:t>
            </w:r>
          </w:p>
        </w:tc>
        <w:tc>
          <w:tcPr>
            <w:tcW w:w="567" w:type="dxa"/>
          </w:tcPr>
          <w:p w14:paraId="7AF7A2AB" w14:textId="77777777" w:rsidR="00783E30" w:rsidRPr="008F7D12" w:rsidRDefault="00783E30" w:rsidP="00F30265">
            <w:pPr>
              <w:rPr>
                <w:rFonts w:cs="Arial"/>
                <w:sz w:val="16"/>
                <w:szCs w:val="16"/>
              </w:rPr>
            </w:pPr>
            <w:r w:rsidRPr="008F7D12">
              <w:rPr>
                <w:rFonts w:cs="Arial"/>
                <w:sz w:val="16"/>
                <w:szCs w:val="16"/>
              </w:rPr>
              <w:t>15</w:t>
            </w:r>
          </w:p>
        </w:tc>
        <w:tc>
          <w:tcPr>
            <w:tcW w:w="567" w:type="dxa"/>
          </w:tcPr>
          <w:p w14:paraId="092880B2" w14:textId="77777777" w:rsidR="00783E30" w:rsidRPr="008F7D12" w:rsidRDefault="00783E30" w:rsidP="00F30265">
            <w:pPr>
              <w:rPr>
                <w:rFonts w:cs="Arial"/>
                <w:sz w:val="16"/>
                <w:szCs w:val="16"/>
              </w:rPr>
            </w:pPr>
            <w:r w:rsidRPr="008F7D12">
              <w:rPr>
                <w:rFonts w:cs="Arial"/>
                <w:sz w:val="16"/>
                <w:szCs w:val="16"/>
              </w:rPr>
              <w:t>10</w:t>
            </w:r>
          </w:p>
        </w:tc>
        <w:tc>
          <w:tcPr>
            <w:tcW w:w="567" w:type="dxa"/>
          </w:tcPr>
          <w:p w14:paraId="71DDE8D4" w14:textId="77777777" w:rsidR="00783E30" w:rsidRPr="008F7D12" w:rsidRDefault="00783E30" w:rsidP="00F30265">
            <w:pPr>
              <w:rPr>
                <w:rFonts w:cs="Arial"/>
                <w:sz w:val="16"/>
                <w:szCs w:val="16"/>
              </w:rPr>
            </w:pPr>
            <w:r w:rsidRPr="008F7D12">
              <w:rPr>
                <w:rFonts w:cs="Arial"/>
                <w:sz w:val="16"/>
                <w:szCs w:val="16"/>
              </w:rPr>
              <w:t>20</w:t>
            </w:r>
          </w:p>
        </w:tc>
        <w:tc>
          <w:tcPr>
            <w:tcW w:w="567" w:type="dxa"/>
          </w:tcPr>
          <w:p w14:paraId="693A07BF" w14:textId="77777777" w:rsidR="00783E30" w:rsidRPr="008F7D12" w:rsidRDefault="00783E30" w:rsidP="00F30265">
            <w:pPr>
              <w:rPr>
                <w:rFonts w:cs="Arial"/>
                <w:sz w:val="16"/>
                <w:szCs w:val="16"/>
              </w:rPr>
            </w:pPr>
            <w:r w:rsidRPr="008F7D12">
              <w:rPr>
                <w:rFonts w:cs="Arial"/>
                <w:sz w:val="16"/>
                <w:szCs w:val="16"/>
              </w:rPr>
              <w:t>35</w:t>
            </w:r>
          </w:p>
        </w:tc>
        <w:tc>
          <w:tcPr>
            <w:tcW w:w="567" w:type="dxa"/>
          </w:tcPr>
          <w:p w14:paraId="72481874" w14:textId="77777777" w:rsidR="00783E30" w:rsidRPr="008F7D12" w:rsidRDefault="00783E30" w:rsidP="00F30265">
            <w:pPr>
              <w:rPr>
                <w:rFonts w:cs="Arial"/>
                <w:sz w:val="16"/>
                <w:szCs w:val="16"/>
              </w:rPr>
            </w:pPr>
            <w:r w:rsidRPr="008F7D12">
              <w:rPr>
                <w:rFonts w:cs="Arial"/>
                <w:sz w:val="16"/>
                <w:szCs w:val="16"/>
              </w:rPr>
              <w:t>60</w:t>
            </w:r>
          </w:p>
        </w:tc>
        <w:tc>
          <w:tcPr>
            <w:tcW w:w="567" w:type="dxa"/>
          </w:tcPr>
          <w:p w14:paraId="52DF13D3" w14:textId="77777777" w:rsidR="00783E30" w:rsidRPr="008F7D12" w:rsidRDefault="00783E30" w:rsidP="00F30265">
            <w:pPr>
              <w:ind w:right="-1242"/>
              <w:rPr>
                <w:rFonts w:cs="Arial"/>
                <w:sz w:val="16"/>
                <w:szCs w:val="16"/>
              </w:rPr>
            </w:pPr>
            <w:r w:rsidRPr="008F7D12">
              <w:rPr>
                <w:rFonts w:cs="Arial"/>
                <w:sz w:val="16"/>
                <w:szCs w:val="16"/>
              </w:rPr>
              <w:t>65</w:t>
            </w:r>
          </w:p>
        </w:tc>
        <w:tc>
          <w:tcPr>
            <w:tcW w:w="597" w:type="dxa"/>
          </w:tcPr>
          <w:p w14:paraId="53085EE4" w14:textId="77777777" w:rsidR="00783E30" w:rsidRPr="008F7D12" w:rsidRDefault="00783E30" w:rsidP="00F30265">
            <w:pPr>
              <w:ind w:right="-1242"/>
              <w:rPr>
                <w:rFonts w:cs="Arial"/>
                <w:sz w:val="16"/>
                <w:szCs w:val="16"/>
              </w:rPr>
            </w:pPr>
            <w:r w:rsidRPr="008F7D12">
              <w:rPr>
                <w:rFonts w:cs="Arial"/>
                <w:sz w:val="16"/>
                <w:szCs w:val="16"/>
              </w:rPr>
              <w:t>80</w:t>
            </w:r>
          </w:p>
        </w:tc>
        <w:tc>
          <w:tcPr>
            <w:tcW w:w="678" w:type="dxa"/>
          </w:tcPr>
          <w:p w14:paraId="032D377C" w14:textId="77777777" w:rsidR="00783E30" w:rsidRPr="008F7D12" w:rsidRDefault="00783E30" w:rsidP="00F30265">
            <w:pPr>
              <w:rPr>
                <w:rFonts w:cs="Arial"/>
                <w:sz w:val="16"/>
                <w:szCs w:val="16"/>
              </w:rPr>
            </w:pPr>
            <w:r w:rsidRPr="008F7D12">
              <w:rPr>
                <w:rFonts w:cs="Arial"/>
                <w:sz w:val="16"/>
                <w:szCs w:val="16"/>
              </w:rPr>
              <w:t>75</w:t>
            </w:r>
          </w:p>
        </w:tc>
      </w:tr>
      <w:tr w:rsidR="00783E30" w:rsidRPr="008F7D12" w14:paraId="2DCE173E" w14:textId="77777777" w:rsidTr="00DD6D22">
        <w:tc>
          <w:tcPr>
            <w:tcW w:w="675" w:type="dxa"/>
          </w:tcPr>
          <w:p w14:paraId="02690772" w14:textId="77777777" w:rsidR="00783E30" w:rsidRPr="008F7D12" w:rsidRDefault="00783E30" w:rsidP="00F30265">
            <w:pPr>
              <w:rPr>
                <w:rFonts w:cs="Arial"/>
                <w:sz w:val="16"/>
                <w:szCs w:val="16"/>
              </w:rPr>
            </w:pPr>
            <w:r w:rsidRPr="008F7D12">
              <w:rPr>
                <w:rFonts w:cs="Arial"/>
                <w:sz w:val="16"/>
                <w:szCs w:val="16"/>
              </w:rPr>
              <w:t>Diff.</w:t>
            </w:r>
          </w:p>
        </w:tc>
        <w:tc>
          <w:tcPr>
            <w:tcW w:w="572" w:type="dxa"/>
          </w:tcPr>
          <w:p w14:paraId="124F528B" w14:textId="77777777" w:rsidR="00783E30" w:rsidRPr="008F7D12" w:rsidRDefault="00783E30" w:rsidP="00F30265">
            <w:pPr>
              <w:rPr>
                <w:rFonts w:cs="Arial"/>
                <w:sz w:val="16"/>
                <w:szCs w:val="16"/>
              </w:rPr>
            </w:pPr>
            <w:r w:rsidRPr="008F7D12">
              <w:rPr>
                <w:rFonts w:cs="Arial"/>
                <w:sz w:val="16"/>
                <w:szCs w:val="16"/>
              </w:rPr>
              <w:t>5</w:t>
            </w:r>
          </w:p>
        </w:tc>
        <w:tc>
          <w:tcPr>
            <w:tcW w:w="536" w:type="dxa"/>
          </w:tcPr>
          <w:p w14:paraId="081E65D5" w14:textId="77777777" w:rsidR="00783E30" w:rsidRPr="008F7D12" w:rsidRDefault="00783E30" w:rsidP="00F30265">
            <w:pPr>
              <w:rPr>
                <w:rFonts w:cs="Arial"/>
                <w:sz w:val="16"/>
                <w:szCs w:val="16"/>
              </w:rPr>
            </w:pPr>
            <w:r w:rsidRPr="008F7D12">
              <w:rPr>
                <w:rFonts w:cs="Arial"/>
                <w:sz w:val="16"/>
                <w:szCs w:val="16"/>
              </w:rPr>
              <w:t>0</w:t>
            </w:r>
          </w:p>
        </w:tc>
        <w:tc>
          <w:tcPr>
            <w:tcW w:w="599" w:type="dxa"/>
          </w:tcPr>
          <w:p w14:paraId="113563DD" w14:textId="77777777" w:rsidR="00783E30" w:rsidRPr="008F7D12" w:rsidRDefault="00783E30" w:rsidP="00F30265">
            <w:pPr>
              <w:rPr>
                <w:rFonts w:cs="Arial"/>
                <w:sz w:val="16"/>
                <w:szCs w:val="16"/>
              </w:rPr>
            </w:pPr>
            <w:r w:rsidRPr="008F7D12">
              <w:rPr>
                <w:rFonts w:cs="Arial"/>
                <w:sz w:val="16"/>
                <w:szCs w:val="16"/>
              </w:rPr>
              <w:t>0</w:t>
            </w:r>
          </w:p>
        </w:tc>
        <w:tc>
          <w:tcPr>
            <w:tcW w:w="472" w:type="dxa"/>
          </w:tcPr>
          <w:p w14:paraId="4844D3B3" w14:textId="77777777" w:rsidR="00783E30" w:rsidRPr="008F7D12" w:rsidRDefault="00783E30" w:rsidP="00F30265">
            <w:pPr>
              <w:rPr>
                <w:rFonts w:cs="Arial"/>
                <w:sz w:val="16"/>
                <w:szCs w:val="16"/>
              </w:rPr>
            </w:pPr>
            <w:r w:rsidRPr="008F7D12">
              <w:rPr>
                <w:rFonts w:cs="Arial"/>
                <w:sz w:val="16"/>
                <w:szCs w:val="16"/>
              </w:rPr>
              <w:t>10</w:t>
            </w:r>
          </w:p>
        </w:tc>
        <w:tc>
          <w:tcPr>
            <w:tcW w:w="593" w:type="dxa"/>
          </w:tcPr>
          <w:p w14:paraId="137A5FA2" w14:textId="77777777" w:rsidR="00783E30" w:rsidRPr="008F7D12" w:rsidRDefault="00783E30" w:rsidP="00F30265">
            <w:pPr>
              <w:rPr>
                <w:rFonts w:cs="Arial"/>
                <w:sz w:val="16"/>
                <w:szCs w:val="16"/>
              </w:rPr>
            </w:pPr>
            <w:r w:rsidRPr="008F7D12">
              <w:rPr>
                <w:rFonts w:cs="Arial"/>
                <w:sz w:val="16"/>
                <w:szCs w:val="16"/>
              </w:rPr>
              <w:t>5</w:t>
            </w:r>
          </w:p>
        </w:tc>
        <w:tc>
          <w:tcPr>
            <w:tcW w:w="474" w:type="dxa"/>
          </w:tcPr>
          <w:p w14:paraId="58B38904" w14:textId="77777777" w:rsidR="00783E30" w:rsidRPr="008F7D12" w:rsidRDefault="00783E30" w:rsidP="00F30265">
            <w:pPr>
              <w:rPr>
                <w:rFonts w:cs="Arial"/>
                <w:sz w:val="16"/>
                <w:szCs w:val="16"/>
              </w:rPr>
            </w:pPr>
            <w:r w:rsidRPr="008F7D12">
              <w:rPr>
                <w:rFonts w:cs="Arial"/>
                <w:sz w:val="16"/>
                <w:szCs w:val="16"/>
              </w:rPr>
              <w:t>0</w:t>
            </w:r>
          </w:p>
        </w:tc>
        <w:tc>
          <w:tcPr>
            <w:tcW w:w="536" w:type="dxa"/>
          </w:tcPr>
          <w:p w14:paraId="7A9C3D02" w14:textId="77777777" w:rsidR="00783E30" w:rsidRPr="008F7D12" w:rsidRDefault="00783E30" w:rsidP="00F30265">
            <w:pPr>
              <w:rPr>
                <w:rFonts w:cs="Arial"/>
                <w:sz w:val="16"/>
                <w:szCs w:val="16"/>
              </w:rPr>
            </w:pPr>
            <w:r w:rsidRPr="008F7D12">
              <w:rPr>
                <w:rFonts w:cs="Arial"/>
                <w:sz w:val="16"/>
                <w:szCs w:val="16"/>
              </w:rPr>
              <w:t>5</w:t>
            </w:r>
          </w:p>
        </w:tc>
        <w:tc>
          <w:tcPr>
            <w:tcW w:w="613" w:type="dxa"/>
          </w:tcPr>
          <w:p w14:paraId="56DD7EC5" w14:textId="77777777" w:rsidR="00783E30" w:rsidRPr="008F7D12" w:rsidRDefault="00783E30" w:rsidP="00F30265">
            <w:pPr>
              <w:rPr>
                <w:rFonts w:cs="Arial"/>
                <w:sz w:val="16"/>
                <w:szCs w:val="16"/>
              </w:rPr>
            </w:pPr>
            <w:r w:rsidRPr="008F7D12">
              <w:rPr>
                <w:rFonts w:cs="Arial"/>
                <w:sz w:val="16"/>
                <w:szCs w:val="16"/>
              </w:rPr>
              <w:t>0</w:t>
            </w:r>
          </w:p>
        </w:tc>
        <w:tc>
          <w:tcPr>
            <w:tcW w:w="567" w:type="dxa"/>
          </w:tcPr>
          <w:p w14:paraId="0A552DF3"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00D089B7"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5B3FDB10"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3BC3EDC0" w14:textId="77777777" w:rsidR="00783E30" w:rsidRPr="008F7D12" w:rsidRDefault="00783E30" w:rsidP="00F30265">
            <w:pPr>
              <w:rPr>
                <w:rFonts w:cs="Arial"/>
                <w:sz w:val="16"/>
                <w:szCs w:val="16"/>
              </w:rPr>
            </w:pPr>
            <w:r w:rsidRPr="008F7D12">
              <w:rPr>
                <w:rFonts w:cs="Arial"/>
                <w:sz w:val="16"/>
                <w:szCs w:val="16"/>
              </w:rPr>
              <w:t>5</w:t>
            </w:r>
          </w:p>
        </w:tc>
        <w:tc>
          <w:tcPr>
            <w:tcW w:w="567" w:type="dxa"/>
          </w:tcPr>
          <w:p w14:paraId="6684A422" w14:textId="77777777" w:rsidR="00783E30" w:rsidRPr="008F7D12" w:rsidRDefault="00783E30" w:rsidP="00F30265">
            <w:pPr>
              <w:rPr>
                <w:rFonts w:cs="Arial"/>
                <w:sz w:val="16"/>
                <w:szCs w:val="16"/>
              </w:rPr>
            </w:pPr>
            <w:r w:rsidRPr="008F7D12">
              <w:rPr>
                <w:rFonts w:cs="Arial"/>
                <w:sz w:val="16"/>
                <w:szCs w:val="16"/>
              </w:rPr>
              <w:t>0</w:t>
            </w:r>
          </w:p>
        </w:tc>
        <w:tc>
          <w:tcPr>
            <w:tcW w:w="567" w:type="dxa"/>
          </w:tcPr>
          <w:p w14:paraId="09998DD6" w14:textId="77777777" w:rsidR="00783E30" w:rsidRPr="008F7D12" w:rsidRDefault="00783E30" w:rsidP="00F30265">
            <w:pPr>
              <w:ind w:right="-1242"/>
              <w:rPr>
                <w:rFonts w:cs="Arial"/>
                <w:sz w:val="16"/>
                <w:szCs w:val="16"/>
              </w:rPr>
            </w:pPr>
            <w:r w:rsidRPr="008F7D12">
              <w:rPr>
                <w:rFonts w:cs="Arial"/>
                <w:sz w:val="16"/>
                <w:szCs w:val="16"/>
              </w:rPr>
              <w:t>0</w:t>
            </w:r>
          </w:p>
        </w:tc>
        <w:tc>
          <w:tcPr>
            <w:tcW w:w="597" w:type="dxa"/>
          </w:tcPr>
          <w:p w14:paraId="62E30A48" w14:textId="77777777" w:rsidR="00783E30" w:rsidRPr="008F7D12" w:rsidRDefault="00783E30" w:rsidP="00F30265">
            <w:pPr>
              <w:ind w:right="-1242"/>
              <w:rPr>
                <w:rFonts w:cs="Arial"/>
                <w:sz w:val="16"/>
                <w:szCs w:val="16"/>
              </w:rPr>
            </w:pPr>
            <w:r w:rsidRPr="008F7D12">
              <w:rPr>
                <w:rFonts w:cs="Arial"/>
                <w:sz w:val="16"/>
                <w:szCs w:val="16"/>
              </w:rPr>
              <w:t>5</w:t>
            </w:r>
          </w:p>
        </w:tc>
        <w:tc>
          <w:tcPr>
            <w:tcW w:w="678" w:type="dxa"/>
          </w:tcPr>
          <w:p w14:paraId="3B0E4732" w14:textId="77777777" w:rsidR="00783E30" w:rsidRPr="008F7D12" w:rsidRDefault="00783E30" w:rsidP="00F30265">
            <w:pPr>
              <w:rPr>
                <w:rFonts w:cs="Arial"/>
                <w:sz w:val="16"/>
                <w:szCs w:val="16"/>
              </w:rPr>
            </w:pPr>
            <w:r w:rsidRPr="008F7D12">
              <w:rPr>
                <w:rFonts w:cs="Arial"/>
                <w:sz w:val="16"/>
                <w:szCs w:val="16"/>
              </w:rPr>
              <w:t>10</w:t>
            </w:r>
          </w:p>
        </w:tc>
      </w:tr>
    </w:tbl>
    <w:p w14:paraId="565E6357" w14:textId="77777777" w:rsidR="00783E30" w:rsidRDefault="00783E30" w:rsidP="007A11D3">
      <w:pPr>
        <w:pStyle w:val="citation"/>
      </w:pPr>
    </w:p>
    <w:p w14:paraId="7E15D4D2" w14:textId="77777777" w:rsidR="00DD6D22" w:rsidRPr="00DD6D22" w:rsidRDefault="00DD6D22" w:rsidP="007A11D3">
      <w:pPr>
        <w:pStyle w:val="citation"/>
      </w:pPr>
    </w:p>
    <w:p w14:paraId="269282CA" w14:textId="77777777" w:rsidR="00C74B6F" w:rsidRDefault="008F7D12" w:rsidP="00783E30">
      <w:pPr>
        <w:pStyle w:val="corpsdedcision"/>
      </w:pPr>
      <w:r>
        <w:t>Selon le docteur Bertrand, les évaluations audiométriques révèlent une atteinte neurosensorielle, s’accentuant dans les hautes fréquences. Cette atte</w:t>
      </w:r>
      <w:r w:rsidR="003C68D0">
        <w:t>inte est, selon lui, compatible avec une atteinte de nature presbyacousique.</w:t>
      </w:r>
    </w:p>
    <w:p w14:paraId="5DB034A8" w14:textId="77777777" w:rsidR="003C68D0" w:rsidRDefault="00CE1061" w:rsidP="00783E30">
      <w:pPr>
        <w:pStyle w:val="corpsdedcision"/>
      </w:pPr>
      <w:r>
        <w:t>Par la suite, il</w:t>
      </w:r>
      <w:r w:rsidR="003C68D0">
        <w:t xml:space="preserve"> évalue le risque d’exposition au bruit, tenant compte de la description des tâches et d’une étude d’exposition au bruit de livreur d’une brasserie.</w:t>
      </w:r>
    </w:p>
    <w:p w14:paraId="4BE0F07D" w14:textId="77777777" w:rsidR="003C68D0" w:rsidRDefault="003C68D0" w:rsidP="00783E30">
      <w:pPr>
        <w:pStyle w:val="corpsdedcision"/>
      </w:pPr>
      <w:r>
        <w:t>Puis, il conclut comme suit :</w:t>
      </w:r>
    </w:p>
    <w:p w14:paraId="0F76D4FD" w14:textId="77777777" w:rsidR="003C68D0" w:rsidRDefault="003C68D0" w:rsidP="003C68D0">
      <w:pPr>
        <w:pStyle w:val="citation"/>
      </w:pPr>
      <w:r>
        <w:rPr>
          <w:b/>
        </w:rPr>
        <w:t>Commentaires</w:t>
      </w:r>
    </w:p>
    <w:p w14:paraId="5CD59EC3" w14:textId="77777777" w:rsidR="003C68D0" w:rsidRDefault="003C68D0" w:rsidP="003C68D0">
      <w:pPr>
        <w:pStyle w:val="citation"/>
      </w:pPr>
      <w:r>
        <w:t xml:space="preserve">Dans le cas de M. Lajeunesse, </w:t>
      </w:r>
      <w:r w:rsidR="00FC688D">
        <w:t>même si le niv</w:t>
      </w:r>
      <w:r w:rsidR="002F284F">
        <w:t xml:space="preserve">eau d’exposition était de 85 </w:t>
      </w:r>
      <w:proofErr w:type="spellStart"/>
      <w:r w:rsidR="002F284F">
        <w:t>dB</w:t>
      </w:r>
      <w:r w:rsidR="00FC688D">
        <w:t>A</w:t>
      </w:r>
      <w:proofErr w:type="spellEnd"/>
      <w:r w:rsidR="00FC688D">
        <w:t xml:space="preserve">, l’on doit retenir que cette exposition n’était présente que pour une période de quelques heures par </w:t>
      </w:r>
      <w:r w:rsidR="00FC688D">
        <w:lastRenderedPageBreak/>
        <w:t>jour. Conséquemment, si on considère une</w:t>
      </w:r>
      <w:r w:rsidR="008465D5">
        <w:t xml:space="preserve"> exposition moyenne de 80.6 </w:t>
      </w:r>
      <w:proofErr w:type="spellStart"/>
      <w:r w:rsidR="008465D5">
        <w:t>dBA</w:t>
      </w:r>
      <w:proofErr w:type="spellEnd"/>
      <w:r w:rsidR="00FC688D">
        <w:t xml:space="preserve"> selon le standard ISO 1999, on ne note aucune atteinte auditive attribuable à une exposition au bruit.</w:t>
      </w:r>
    </w:p>
    <w:p w14:paraId="0A38892B" w14:textId="77777777" w:rsidR="00FC688D" w:rsidRDefault="00FC688D" w:rsidP="003C68D0">
      <w:pPr>
        <w:pStyle w:val="citation"/>
      </w:pPr>
    </w:p>
    <w:p w14:paraId="35F2E06F" w14:textId="77777777" w:rsidR="00FC688D" w:rsidRDefault="00FC688D" w:rsidP="003C68D0">
      <w:pPr>
        <w:pStyle w:val="citation"/>
      </w:pPr>
      <w:r>
        <w:t xml:space="preserve">On peut donc conclure qu’en fonction du niveau d’exposition, au point de vue statistique, aucun </w:t>
      </w:r>
      <w:r w:rsidRPr="00A72CF6">
        <w:t>travailleur</w:t>
      </w:r>
      <w:r>
        <w:t xml:space="preserve"> ne devrait développer une atteinte auditive d’origine professionnelle en relation avec le niveau de bruit moyen auquel fut exposé M. Lajeunesse.</w:t>
      </w:r>
    </w:p>
    <w:p w14:paraId="4198C370" w14:textId="77777777" w:rsidR="00FC688D" w:rsidRDefault="00FC688D" w:rsidP="003C68D0">
      <w:pPr>
        <w:pStyle w:val="citation"/>
      </w:pPr>
    </w:p>
    <w:p w14:paraId="1C8E739C" w14:textId="77777777" w:rsidR="00FC688D" w:rsidRDefault="00FC688D" w:rsidP="003C68D0">
      <w:pPr>
        <w:pStyle w:val="citation"/>
      </w:pPr>
      <w:r>
        <w:t>Certains facteurs peuvent aggraver ou accélérer l’évolution d’une</w:t>
      </w:r>
      <w:r w:rsidR="00B15142">
        <w:t xml:space="preserve"> atteinte de nature presbyacous</w:t>
      </w:r>
      <w:r>
        <w:t>ique. Parmi les pathologies qui peuvent jouer un rôle prédominant, on note toutes les pathologies à connotation vasculaire.</w:t>
      </w:r>
    </w:p>
    <w:p w14:paraId="1FF5EBEF" w14:textId="77777777" w:rsidR="00FC688D" w:rsidRDefault="00FC688D" w:rsidP="003C68D0">
      <w:pPr>
        <w:pStyle w:val="citation"/>
      </w:pPr>
    </w:p>
    <w:p w14:paraId="3868F582" w14:textId="77777777" w:rsidR="00FC688D" w:rsidRDefault="00566B44" w:rsidP="003C68D0">
      <w:pPr>
        <w:pStyle w:val="citation"/>
      </w:pPr>
      <w:r>
        <w:t>La cochlée est un organe qui est très sensible à des variations de vascularisation quelle que soit l’étiologie.</w:t>
      </w:r>
    </w:p>
    <w:p w14:paraId="2D9F5338" w14:textId="77777777" w:rsidR="00566B44" w:rsidRDefault="00566B44" w:rsidP="003C68D0">
      <w:pPr>
        <w:pStyle w:val="citation"/>
      </w:pPr>
    </w:p>
    <w:p w14:paraId="544860C3" w14:textId="77777777" w:rsidR="00566B44" w:rsidRDefault="00566B44" w:rsidP="003C68D0">
      <w:pPr>
        <w:pStyle w:val="citation"/>
      </w:pPr>
      <w:r>
        <w:t xml:space="preserve">En ce qui concerne le dossier </w:t>
      </w:r>
      <w:r w:rsidR="007C3986">
        <w:t xml:space="preserve">de M. Lajeunesse, on retient qu’il présente trois pathologies à connotation vasculaire, </w:t>
      </w:r>
      <w:r w:rsidR="007C3986" w:rsidRPr="00A72CF6">
        <w:t>c'est-à-dire</w:t>
      </w:r>
      <w:r w:rsidR="007C3986">
        <w:t xml:space="preserve"> un diabète de type 2, une hypercholestérolémie traitée médicalement et une pathologie cardiaque pour laquelle il a subi une intervention chirurgicale avec trois pontages. Dans la littérature, on note de nombreuses références associant chacune de ces pathologies à une détérioration de l’audition résultant d’une diminution de la vascularisation cochléaire et, dans certains cas, centrale. La présence de trois pathologies à connotation vasculaire augmente au point de vue statistique le degré d’atteinte auditive.</w:t>
      </w:r>
    </w:p>
    <w:p w14:paraId="77B4F560" w14:textId="77777777" w:rsidR="007C3986" w:rsidRDefault="007C3986" w:rsidP="003C68D0">
      <w:pPr>
        <w:pStyle w:val="citation"/>
      </w:pPr>
    </w:p>
    <w:p w14:paraId="74364A39" w14:textId="77777777" w:rsidR="007C3986" w:rsidRDefault="007C3986" w:rsidP="003C68D0">
      <w:pPr>
        <w:pStyle w:val="citation"/>
      </w:pPr>
      <w:r>
        <w:t>En l’absence d’une exposition dommageable au bruit, nous devons considérer l’état général du sujet. Les pathologies que présentent M. Lajeunesse ont certainement produit une aggravation de son état auditif en affectant la vascularisation de la cochlée.</w:t>
      </w:r>
    </w:p>
    <w:p w14:paraId="61CA718E" w14:textId="77777777" w:rsidR="007C3986" w:rsidRDefault="007C3986" w:rsidP="003C68D0">
      <w:pPr>
        <w:pStyle w:val="citation"/>
      </w:pPr>
    </w:p>
    <w:p w14:paraId="2E733060" w14:textId="77777777" w:rsidR="007C3986" w:rsidRDefault="003E07F2" w:rsidP="003C68D0">
      <w:pPr>
        <w:pStyle w:val="citation"/>
      </w:pPr>
      <w:r>
        <w:t>Nous considérons que son atteinte auditive est tout à fait compatible à une presbyacousie dont le degré est aggravé par la présence d’une diminution de la vascularisation au niveau de l’oreille interne ou système nerveux central en association avec des pathologies personnelles.</w:t>
      </w:r>
    </w:p>
    <w:p w14:paraId="141399E9" w14:textId="77777777" w:rsidR="003E07F2" w:rsidRDefault="003E07F2" w:rsidP="003C68D0">
      <w:pPr>
        <w:pStyle w:val="citation"/>
      </w:pPr>
    </w:p>
    <w:p w14:paraId="4F043A9D" w14:textId="77777777" w:rsidR="003E07F2" w:rsidRDefault="003E07F2" w:rsidP="003C68D0">
      <w:pPr>
        <w:pStyle w:val="citation"/>
      </w:pPr>
      <w:r>
        <w:rPr>
          <w:b/>
        </w:rPr>
        <w:t>CONCLUSION</w:t>
      </w:r>
    </w:p>
    <w:p w14:paraId="70497100" w14:textId="77777777" w:rsidR="003E07F2" w:rsidRDefault="003E07F2" w:rsidP="003C68D0">
      <w:pPr>
        <w:pStyle w:val="citation"/>
      </w:pPr>
      <w:r>
        <w:t>Nous concluons que M. Lajeunesse ne présente pas d’atteinte neurosensorielle d’origine professionnelle mais plutôt une atteinte auditive neurosensorielle d’origine presbyacousique. Nous émettons ce comme</w:t>
      </w:r>
      <w:r w:rsidR="00D35AA7">
        <w:t xml:space="preserve">ntaire </w:t>
      </w:r>
      <w:r>
        <w:t>pour les raisons suivantes :</w:t>
      </w:r>
    </w:p>
    <w:p w14:paraId="4C80F048" w14:textId="77777777" w:rsidR="003E07F2" w:rsidRDefault="003E07F2" w:rsidP="003C68D0">
      <w:pPr>
        <w:pStyle w:val="citation"/>
      </w:pPr>
    </w:p>
    <w:p w14:paraId="098EC790" w14:textId="77777777" w:rsidR="003E07F2" w:rsidRDefault="003E07F2" w:rsidP="003E07F2">
      <w:pPr>
        <w:pStyle w:val="citation"/>
        <w:ind w:left="1560" w:hanging="426"/>
      </w:pPr>
      <w:r>
        <w:t>1.</w:t>
      </w:r>
      <w:r>
        <w:tab/>
        <w:t>La durée de conduite d’un camion semi-remorque et le niveau d’exposition ne sont pas suffisamment élevés pour atteindre un niveau d’exposition journalière qui pourrait rendre le sujet à risque pour une atteinte d’origine professionnelle.</w:t>
      </w:r>
    </w:p>
    <w:p w14:paraId="458A84C7" w14:textId="77777777" w:rsidR="003E07F2" w:rsidRDefault="003E07F2" w:rsidP="003E07F2">
      <w:pPr>
        <w:pStyle w:val="citation"/>
        <w:ind w:left="2124" w:hanging="714"/>
      </w:pPr>
    </w:p>
    <w:p w14:paraId="6E14993C" w14:textId="77777777" w:rsidR="003E07F2" w:rsidRDefault="003E07F2" w:rsidP="003E07F2">
      <w:pPr>
        <w:pStyle w:val="citation"/>
        <w:ind w:left="1560" w:hanging="426"/>
      </w:pPr>
      <w:r>
        <w:t>2.</w:t>
      </w:r>
      <w:r>
        <w:tab/>
        <w:t>La présence de trois pathologies qui peuvent modifier d’une façon importante la vascularisation au niveau de l’oreille interne et tout particulièrement de la strie vasculaire de la cochlée, et/ou du système nerveux central, ont certainement accélérer le phénomène de presbyacousie.</w:t>
      </w:r>
    </w:p>
    <w:p w14:paraId="274795EC" w14:textId="77777777" w:rsidR="003E07F2" w:rsidRDefault="003E07F2" w:rsidP="003E07F2">
      <w:pPr>
        <w:pStyle w:val="citation"/>
        <w:ind w:left="1560" w:hanging="426"/>
      </w:pPr>
    </w:p>
    <w:p w14:paraId="004F53A2" w14:textId="77777777" w:rsidR="003E07F2" w:rsidRDefault="003E07F2" w:rsidP="003E07F2">
      <w:pPr>
        <w:pStyle w:val="citation"/>
      </w:pPr>
      <w:r>
        <w:t>Conséquemment, il n’y a pas lieu de considérer l’atteinte auditive neurosensorielle de M. Lajeunesse comme étant d’origine professionnelle, mais plutôt comme une atteinte neurosensorielle presbyacousique.</w:t>
      </w:r>
    </w:p>
    <w:p w14:paraId="7E48199B" w14:textId="77777777" w:rsidR="003E07F2" w:rsidRDefault="003E07F2" w:rsidP="003E07F2">
      <w:pPr>
        <w:pStyle w:val="citation"/>
      </w:pPr>
    </w:p>
    <w:p w14:paraId="2F0B5283" w14:textId="77777777" w:rsidR="002F284F" w:rsidRDefault="002F284F" w:rsidP="003E07F2">
      <w:pPr>
        <w:pStyle w:val="citation"/>
      </w:pPr>
    </w:p>
    <w:p w14:paraId="60692F66" w14:textId="77777777" w:rsidR="003E07F2" w:rsidRDefault="00946B3A" w:rsidP="003E07F2">
      <w:pPr>
        <w:pStyle w:val="corpsdedcision"/>
      </w:pPr>
      <w:r>
        <w:t xml:space="preserve">L’employeur produit copie intégrale de l’évaluation des </w:t>
      </w:r>
      <w:r w:rsidR="007162EE">
        <w:t xml:space="preserve">livreurs de la </w:t>
      </w:r>
      <w:r w:rsidR="007162EE" w:rsidRPr="007162EE">
        <w:rPr>
          <w:i/>
        </w:rPr>
        <w:t>B</w:t>
      </w:r>
      <w:r w:rsidR="0058179A" w:rsidRPr="007162EE">
        <w:rPr>
          <w:i/>
        </w:rPr>
        <w:t>rasserie Molson</w:t>
      </w:r>
      <w:r w:rsidR="0058179A" w:rsidRPr="007162EE">
        <w:rPr>
          <w:i/>
        </w:rPr>
        <w:noBreakHyphen/>
      </w:r>
      <w:r w:rsidRPr="007162EE">
        <w:rPr>
          <w:i/>
        </w:rPr>
        <w:t>O’Keefe</w:t>
      </w:r>
      <w:r>
        <w:t xml:space="preserve"> des 8 et 25 septembre 1993.</w:t>
      </w:r>
    </w:p>
    <w:p w14:paraId="3E4C44A8" w14:textId="77777777" w:rsidR="00946B3A" w:rsidRDefault="00946B3A" w:rsidP="003E07F2">
      <w:pPr>
        <w:pStyle w:val="corpsdedcision"/>
      </w:pPr>
      <w:r>
        <w:lastRenderedPageBreak/>
        <w:t xml:space="preserve">Il produit également copie d’une analyse de bruit effectuée </w:t>
      </w:r>
      <w:r w:rsidR="007162EE">
        <w:t>auprès de</w:t>
      </w:r>
      <w:r>
        <w:t xml:space="preserve"> </w:t>
      </w:r>
      <w:r w:rsidR="00587AFC">
        <w:t>livr</w:t>
      </w:r>
      <w:r>
        <w:t>eurs et aide-</w:t>
      </w:r>
      <w:r w:rsidR="00587AFC">
        <w:t>livr</w:t>
      </w:r>
      <w:r>
        <w:t>eurs</w:t>
      </w:r>
      <w:r w:rsidR="007162EE">
        <w:t xml:space="preserve"> travaillant pour lui</w:t>
      </w:r>
      <w:r>
        <w:t>. Cette étude a été réalisée les 2, 3, 23 et 24 juillet 2014</w:t>
      </w:r>
      <w:r w:rsidR="00B32867">
        <w:t xml:space="preserve"> par </w:t>
      </w:r>
      <w:r w:rsidR="00B32867" w:rsidRPr="001F4FEB">
        <w:t>monsieur</w:t>
      </w:r>
      <w:r w:rsidR="00B32867">
        <w:t xml:space="preserve"> Hrair Torikian, ingénieur</w:t>
      </w:r>
      <w:r>
        <w:t>.</w:t>
      </w:r>
    </w:p>
    <w:p w14:paraId="0EF2AA64" w14:textId="77777777" w:rsidR="00946B3A" w:rsidRDefault="00946B3A" w:rsidP="003E07F2">
      <w:pPr>
        <w:pStyle w:val="corpsdedcision"/>
      </w:pPr>
      <w:r>
        <w:t xml:space="preserve">Le 2 septembre 2014, à la demande du représentant du </w:t>
      </w:r>
      <w:r w:rsidRPr="00A72CF6">
        <w:t>travailleur</w:t>
      </w:r>
      <w:r>
        <w:t xml:space="preserve">, </w:t>
      </w:r>
      <w:r w:rsidR="003B2666" w:rsidRPr="001F4FEB">
        <w:t>monsieur</w:t>
      </w:r>
      <w:r w:rsidR="003B2666">
        <w:t xml:space="preserve"> </w:t>
      </w:r>
      <w:r w:rsidR="00E813C1">
        <w:t xml:space="preserve">Tony Leroux, </w:t>
      </w:r>
      <w:r w:rsidR="003B2666">
        <w:t xml:space="preserve">professeur et </w:t>
      </w:r>
      <w:r w:rsidR="00E813C1">
        <w:t xml:space="preserve">audiologiste, rédige un rapport d’expertise </w:t>
      </w:r>
      <w:proofErr w:type="spellStart"/>
      <w:r w:rsidR="00E813C1">
        <w:t>audiologique</w:t>
      </w:r>
      <w:proofErr w:type="spellEnd"/>
      <w:r w:rsidR="00E813C1">
        <w:t>.</w:t>
      </w:r>
    </w:p>
    <w:p w14:paraId="0E7F6B23" w14:textId="77777777" w:rsidR="00E813C1" w:rsidRDefault="002C7C2D" w:rsidP="003E07F2">
      <w:pPr>
        <w:pStyle w:val="corpsdedcision"/>
      </w:pPr>
      <w:r>
        <w:t>Il</w:t>
      </w:r>
      <w:r w:rsidR="00E813C1">
        <w:t xml:space="preserve"> a pour mandat d’analyser l’ensemble de l’histoire professionnelle d’exposition au bruit du </w:t>
      </w:r>
      <w:r w:rsidR="00D57909">
        <w:t>travailleu</w:t>
      </w:r>
      <w:r w:rsidR="00E813C1" w:rsidRPr="00A72CF6">
        <w:t>r</w:t>
      </w:r>
      <w:r w:rsidR="00E813C1">
        <w:t xml:space="preserve"> et d’évaluer le risque d’atteinte à l’audition. </w:t>
      </w:r>
    </w:p>
    <w:p w14:paraId="493DE904" w14:textId="77777777" w:rsidR="00E813C1" w:rsidRDefault="00E813C1" w:rsidP="00D57909">
      <w:pPr>
        <w:pStyle w:val="corpsdedcision"/>
      </w:pPr>
      <w:r>
        <w:t>C’est ainsi qu’</w:t>
      </w:r>
      <w:r w:rsidR="007162EE">
        <w:t>initialement, il</w:t>
      </w:r>
      <w:r>
        <w:t xml:space="preserve"> retient </w:t>
      </w:r>
      <w:r w:rsidR="00D57909">
        <w:t>une période d’exposition de 1978 à 2014 (34,8</w:t>
      </w:r>
      <w:r w:rsidR="00DD6D22">
        <w:t> </w:t>
      </w:r>
      <w:r w:rsidR="00D57909">
        <w:t xml:space="preserve">ans), soit </w:t>
      </w:r>
      <w:r>
        <w:t xml:space="preserve">de mai 1978 à juillet 1990 (livraison conventionnelle), de juillet 1990 au printemps 2000 (livraison </w:t>
      </w:r>
      <w:r w:rsidR="00587AFC">
        <w:t>vrac/conventionnelle</w:t>
      </w:r>
      <w:r>
        <w:t>), du printemps 2000 à début 2001 (responsable de la mise en marché et suppléant de commercialisation)</w:t>
      </w:r>
      <w:r w:rsidR="0058179A">
        <w:t xml:space="preserve">, début 2001 à avril 2001 (agent de commercialisation), d’avril 2001 à avril 2009 puis de l’automne 2009 à octobre 2012 (aide-livreur). Depuis octobre 2012, le </w:t>
      </w:r>
      <w:r w:rsidR="0058179A" w:rsidRPr="00A72CF6">
        <w:t>travailleur</w:t>
      </w:r>
      <w:r w:rsidR="0058179A">
        <w:t xml:space="preserve"> occupe un poste de cariste. </w:t>
      </w:r>
    </w:p>
    <w:p w14:paraId="67212D58" w14:textId="77777777" w:rsidR="0058179A" w:rsidRDefault="0058179A" w:rsidP="003E07F2">
      <w:pPr>
        <w:pStyle w:val="corpsdedcision"/>
      </w:pPr>
      <w:r>
        <w:t xml:space="preserve">Monsieur Leroux résume la durée et le niveau d’exposition du </w:t>
      </w:r>
      <w:r w:rsidRPr="00A72CF6">
        <w:t>travailleur</w:t>
      </w:r>
      <w:r>
        <w:t xml:space="preserve"> au bruit comme suit :</w:t>
      </w:r>
    </w:p>
    <w:p w14:paraId="7ED58293" w14:textId="77777777" w:rsidR="0058179A" w:rsidRPr="00F90FF6" w:rsidRDefault="0058179A" w:rsidP="0058179A">
      <w:pPr>
        <w:pStyle w:val="citation"/>
        <w:ind w:left="1416" w:hanging="696"/>
        <w:rPr>
          <w:sz w:val="18"/>
          <w:szCs w:val="18"/>
        </w:rPr>
      </w:pPr>
      <w:r w:rsidRPr="00F90FF6">
        <w:rPr>
          <w:sz w:val="18"/>
          <w:szCs w:val="18"/>
        </w:rPr>
        <w:t>Tableau 1 – Sommaire de la durée et du niveau d’exposition au bruit par poste de travail</w:t>
      </w:r>
    </w:p>
    <w:tbl>
      <w:tblPr>
        <w:tblStyle w:val="TableGrid"/>
        <w:tblW w:w="0" w:type="auto"/>
        <w:tblInd w:w="817" w:type="dxa"/>
        <w:tblLook w:val="04A0" w:firstRow="1" w:lastRow="0" w:firstColumn="1" w:lastColumn="0" w:noHBand="0" w:noVBand="1"/>
      </w:tblPr>
      <w:tblGrid>
        <w:gridCol w:w="2835"/>
        <w:gridCol w:w="1985"/>
        <w:gridCol w:w="3119"/>
      </w:tblGrid>
      <w:tr w:rsidR="0058179A" w:rsidRPr="007C2AA6" w14:paraId="2B0FF726" w14:textId="77777777" w:rsidTr="007C2AA6">
        <w:tc>
          <w:tcPr>
            <w:tcW w:w="2835" w:type="dxa"/>
          </w:tcPr>
          <w:p w14:paraId="5FFF3A09" w14:textId="77777777" w:rsidR="0058179A" w:rsidRPr="007C2AA6" w:rsidRDefault="0058179A" w:rsidP="00F90FF6">
            <w:pPr>
              <w:pStyle w:val="citation"/>
              <w:ind w:left="0"/>
              <w:jc w:val="center"/>
              <w:rPr>
                <w:b/>
                <w:sz w:val="14"/>
                <w:szCs w:val="14"/>
              </w:rPr>
            </w:pPr>
            <w:r w:rsidRPr="007C2AA6">
              <w:rPr>
                <w:b/>
                <w:sz w:val="14"/>
                <w:szCs w:val="14"/>
              </w:rPr>
              <w:t>Poste de travail</w:t>
            </w:r>
          </w:p>
        </w:tc>
        <w:tc>
          <w:tcPr>
            <w:tcW w:w="1985" w:type="dxa"/>
          </w:tcPr>
          <w:p w14:paraId="5D62560A" w14:textId="77777777" w:rsidR="0058179A" w:rsidRPr="007C2AA6" w:rsidRDefault="0058179A" w:rsidP="00F90FF6">
            <w:pPr>
              <w:pStyle w:val="citation"/>
              <w:ind w:left="0"/>
              <w:jc w:val="center"/>
              <w:rPr>
                <w:b/>
                <w:sz w:val="14"/>
                <w:szCs w:val="14"/>
              </w:rPr>
            </w:pPr>
            <w:r w:rsidRPr="007C2AA6">
              <w:rPr>
                <w:b/>
                <w:sz w:val="14"/>
                <w:szCs w:val="14"/>
              </w:rPr>
              <w:t>Durée (heures)</w:t>
            </w:r>
          </w:p>
        </w:tc>
        <w:tc>
          <w:tcPr>
            <w:tcW w:w="3119" w:type="dxa"/>
          </w:tcPr>
          <w:p w14:paraId="208BB79E" w14:textId="77777777" w:rsidR="0058179A" w:rsidRPr="007C2AA6" w:rsidRDefault="0058179A" w:rsidP="00F90FF6">
            <w:pPr>
              <w:pStyle w:val="citation"/>
              <w:ind w:left="0"/>
              <w:jc w:val="center"/>
              <w:rPr>
                <w:b/>
                <w:sz w:val="14"/>
                <w:szCs w:val="14"/>
              </w:rPr>
            </w:pPr>
            <w:r w:rsidRPr="007C2AA6">
              <w:rPr>
                <w:b/>
                <w:sz w:val="14"/>
                <w:szCs w:val="14"/>
              </w:rPr>
              <w:t>Niveau (</w:t>
            </w:r>
            <w:proofErr w:type="spellStart"/>
            <w:r w:rsidRPr="007C2AA6">
              <w:rPr>
                <w:b/>
                <w:sz w:val="14"/>
                <w:szCs w:val="14"/>
              </w:rPr>
              <w:t>dBA</w:t>
            </w:r>
            <w:proofErr w:type="spellEnd"/>
            <w:r w:rsidRPr="007C2AA6">
              <w:rPr>
                <w:b/>
                <w:sz w:val="14"/>
                <w:szCs w:val="14"/>
              </w:rPr>
              <w:t>)</w:t>
            </w:r>
          </w:p>
        </w:tc>
      </w:tr>
      <w:tr w:rsidR="0058179A" w:rsidRPr="00AA5D3A" w14:paraId="031AE0A7" w14:textId="77777777" w:rsidTr="007C2AA6">
        <w:tc>
          <w:tcPr>
            <w:tcW w:w="2835" w:type="dxa"/>
          </w:tcPr>
          <w:p w14:paraId="1E8942F9" w14:textId="77777777" w:rsidR="00F90FF6" w:rsidRPr="007C2AA6" w:rsidRDefault="00F90FF6" w:rsidP="00F90FF6">
            <w:pPr>
              <w:pStyle w:val="citation"/>
              <w:ind w:left="0"/>
              <w:jc w:val="center"/>
              <w:rPr>
                <w:sz w:val="12"/>
                <w:szCs w:val="12"/>
              </w:rPr>
            </w:pPr>
          </w:p>
          <w:p w14:paraId="12DB1FF4" w14:textId="77777777" w:rsidR="00F90FF6" w:rsidRPr="007C2AA6" w:rsidRDefault="00F90FF6" w:rsidP="00F90FF6">
            <w:pPr>
              <w:pStyle w:val="citation"/>
              <w:ind w:left="0"/>
              <w:jc w:val="center"/>
              <w:rPr>
                <w:sz w:val="12"/>
                <w:szCs w:val="12"/>
              </w:rPr>
            </w:pPr>
            <w:r w:rsidRPr="007C2AA6">
              <w:rPr>
                <w:sz w:val="12"/>
                <w:szCs w:val="12"/>
              </w:rPr>
              <w:t>Aide-livreur (2</w:t>
            </w:r>
            <w:r w:rsidRPr="007C2AA6">
              <w:rPr>
                <w:sz w:val="12"/>
                <w:szCs w:val="12"/>
                <w:vertAlign w:val="superscript"/>
              </w:rPr>
              <w:t>e</w:t>
            </w:r>
            <w:r w:rsidRPr="007C2AA6">
              <w:rPr>
                <w:sz w:val="12"/>
                <w:szCs w:val="12"/>
              </w:rPr>
              <w:t xml:space="preserve"> ou 3</w:t>
            </w:r>
            <w:r w:rsidRPr="007C2AA6">
              <w:rPr>
                <w:sz w:val="12"/>
                <w:szCs w:val="12"/>
                <w:vertAlign w:val="superscript"/>
              </w:rPr>
              <w:t>e</w:t>
            </w:r>
            <w:r w:rsidRPr="007C2AA6">
              <w:rPr>
                <w:sz w:val="12"/>
                <w:szCs w:val="12"/>
              </w:rPr>
              <w:t xml:space="preserve"> homme)</w:t>
            </w:r>
          </w:p>
          <w:p w14:paraId="7B6590C7" w14:textId="77777777" w:rsidR="00F90FF6" w:rsidRPr="007C2AA6" w:rsidRDefault="00F90FF6" w:rsidP="00F90FF6">
            <w:pPr>
              <w:pStyle w:val="citation"/>
              <w:ind w:left="0"/>
              <w:jc w:val="center"/>
              <w:rPr>
                <w:sz w:val="12"/>
                <w:szCs w:val="12"/>
              </w:rPr>
            </w:pPr>
            <w:r w:rsidRPr="007C2AA6">
              <w:rPr>
                <w:sz w:val="12"/>
                <w:szCs w:val="12"/>
              </w:rPr>
              <w:t>Mai 1978 à juillet 1990</w:t>
            </w:r>
          </w:p>
          <w:p w14:paraId="02702AE4" w14:textId="77777777" w:rsidR="00F90FF6" w:rsidRPr="007C2AA6" w:rsidRDefault="00F90FF6" w:rsidP="00F90FF6">
            <w:pPr>
              <w:pStyle w:val="citation"/>
              <w:ind w:left="0"/>
              <w:jc w:val="center"/>
              <w:rPr>
                <w:sz w:val="12"/>
                <w:szCs w:val="12"/>
              </w:rPr>
            </w:pPr>
            <w:r w:rsidRPr="007C2AA6">
              <w:rPr>
                <w:sz w:val="12"/>
                <w:szCs w:val="12"/>
              </w:rPr>
              <w:t>Conventionnelle</w:t>
            </w:r>
          </w:p>
        </w:tc>
        <w:tc>
          <w:tcPr>
            <w:tcW w:w="1985" w:type="dxa"/>
          </w:tcPr>
          <w:p w14:paraId="242A2567" w14:textId="77777777" w:rsidR="0058179A" w:rsidRPr="007C2AA6" w:rsidRDefault="0058179A" w:rsidP="0058179A">
            <w:pPr>
              <w:pStyle w:val="citation"/>
              <w:ind w:left="0"/>
              <w:rPr>
                <w:sz w:val="12"/>
                <w:szCs w:val="12"/>
              </w:rPr>
            </w:pPr>
          </w:p>
          <w:p w14:paraId="7FE99936" w14:textId="77777777" w:rsidR="00F90FF6" w:rsidRPr="007C2AA6" w:rsidRDefault="00F90FF6" w:rsidP="00F90FF6">
            <w:pPr>
              <w:pStyle w:val="citation"/>
              <w:ind w:left="0"/>
              <w:jc w:val="center"/>
              <w:rPr>
                <w:sz w:val="12"/>
                <w:szCs w:val="12"/>
              </w:rPr>
            </w:pPr>
            <w:r w:rsidRPr="007C2AA6">
              <w:rPr>
                <w:sz w:val="12"/>
                <w:szCs w:val="12"/>
              </w:rPr>
              <w:t>24 320</w:t>
            </w:r>
          </w:p>
        </w:tc>
        <w:tc>
          <w:tcPr>
            <w:tcW w:w="3119" w:type="dxa"/>
          </w:tcPr>
          <w:p w14:paraId="3FA7B7AF" w14:textId="77777777" w:rsidR="0058179A" w:rsidRPr="007C2AA6" w:rsidRDefault="00F90FF6" w:rsidP="00F90FF6">
            <w:pPr>
              <w:pStyle w:val="citation"/>
              <w:ind w:left="0"/>
              <w:jc w:val="center"/>
              <w:rPr>
                <w:sz w:val="12"/>
                <w:szCs w:val="12"/>
              </w:rPr>
            </w:pPr>
            <w:r w:rsidRPr="007C2AA6">
              <w:rPr>
                <w:sz w:val="12"/>
                <w:szCs w:val="12"/>
              </w:rPr>
              <w:t>85,4</w:t>
            </w:r>
          </w:p>
          <w:p w14:paraId="203E9336" w14:textId="77777777" w:rsidR="00F90FF6" w:rsidRPr="007C2AA6" w:rsidRDefault="00F90FF6" w:rsidP="00F90FF6">
            <w:pPr>
              <w:pStyle w:val="citation"/>
              <w:ind w:left="0"/>
              <w:jc w:val="center"/>
              <w:rPr>
                <w:sz w:val="12"/>
                <w:szCs w:val="12"/>
              </w:rPr>
            </w:pPr>
            <w:r w:rsidRPr="007C2AA6">
              <w:rPr>
                <w:sz w:val="12"/>
                <w:szCs w:val="12"/>
              </w:rPr>
              <w:t>Dosimétrie Hygiène Conseils</w:t>
            </w:r>
          </w:p>
          <w:p w14:paraId="1BA241E8" w14:textId="77777777" w:rsidR="00F90FF6" w:rsidRPr="007C2AA6" w:rsidRDefault="00F90FF6" w:rsidP="00F90FF6">
            <w:pPr>
              <w:pStyle w:val="citation"/>
              <w:ind w:left="0"/>
              <w:jc w:val="center"/>
              <w:rPr>
                <w:sz w:val="12"/>
                <w:szCs w:val="12"/>
              </w:rPr>
            </w:pPr>
            <w:r w:rsidRPr="007C2AA6">
              <w:rPr>
                <w:sz w:val="12"/>
                <w:szCs w:val="12"/>
              </w:rPr>
              <w:t>Dosimétrie (</w:t>
            </w:r>
            <w:proofErr w:type="spellStart"/>
            <w:r w:rsidRPr="007C2AA6">
              <w:rPr>
                <w:sz w:val="12"/>
                <w:szCs w:val="12"/>
              </w:rPr>
              <w:t>Seshagiri</w:t>
            </w:r>
            <w:proofErr w:type="spellEnd"/>
            <w:r w:rsidRPr="007C2AA6">
              <w:rPr>
                <w:sz w:val="12"/>
                <w:szCs w:val="12"/>
              </w:rPr>
              <w:t xml:space="preserve"> 1998)</w:t>
            </w:r>
          </w:p>
          <w:p w14:paraId="3AC7191A" w14:textId="77777777" w:rsidR="00F90FF6" w:rsidRPr="007C2AA6" w:rsidRDefault="00F90FF6" w:rsidP="00F90FF6">
            <w:pPr>
              <w:pStyle w:val="citation"/>
              <w:ind w:left="0"/>
              <w:jc w:val="center"/>
              <w:rPr>
                <w:sz w:val="12"/>
                <w:szCs w:val="12"/>
              </w:rPr>
            </w:pPr>
            <w:r w:rsidRPr="007C2AA6">
              <w:rPr>
                <w:sz w:val="12"/>
                <w:szCs w:val="12"/>
              </w:rPr>
              <w:t>Présence de bruits d’impact</w:t>
            </w:r>
          </w:p>
        </w:tc>
      </w:tr>
      <w:tr w:rsidR="00F90FF6" w:rsidRPr="00F90FF6" w14:paraId="2EBABC2E" w14:textId="77777777" w:rsidTr="007C2AA6">
        <w:tc>
          <w:tcPr>
            <w:tcW w:w="2835" w:type="dxa"/>
          </w:tcPr>
          <w:p w14:paraId="392910DA" w14:textId="77777777" w:rsidR="00F90FF6" w:rsidRPr="007C2AA6" w:rsidRDefault="00F90FF6" w:rsidP="00F90FF6">
            <w:pPr>
              <w:pStyle w:val="citation"/>
              <w:ind w:left="0"/>
              <w:jc w:val="center"/>
              <w:rPr>
                <w:sz w:val="12"/>
                <w:szCs w:val="12"/>
              </w:rPr>
            </w:pPr>
          </w:p>
          <w:p w14:paraId="77785F26" w14:textId="77777777" w:rsidR="00F90FF6" w:rsidRPr="007C2AA6" w:rsidRDefault="00F90FF6" w:rsidP="00F90FF6">
            <w:pPr>
              <w:pStyle w:val="citation"/>
              <w:ind w:left="0"/>
              <w:jc w:val="center"/>
              <w:rPr>
                <w:sz w:val="12"/>
                <w:szCs w:val="12"/>
              </w:rPr>
            </w:pPr>
            <w:r w:rsidRPr="007C2AA6">
              <w:rPr>
                <w:sz w:val="12"/>
                <w:szCs w:val="12"/>
              </w:rPr>
              <w:t>Aide-livreur (2</w:t>
            </w:r>
            <w:r w:rsidRPr="007C2AA6">
              <w:rPr>
                <w:sz w:val="12"/>
                <w:szCs w:val="12"/>
                <w:vertAlign w:val="superscript"/>
              </w:rPr>
              <w:t>e</w:t>
            </w:r>
            <w:r w:rsidRPr="007C2AA6">
              <w:rPr>
                <w:sz w:val="12"/>
                <w:szCs w:val="12"/>
              </w:rPr>
              <w:t xml:space="preserve"> homme)</w:t>
            </w:r>
          </w:p>
          <w:p w14:paraId="5FE7317C" w14:textId="77777777" w:rsidR="00F90FF6" w:rsidRPr="007C2AA6" w:rsidRDefault="00F90FF6" w:rsidP="00F90FF6">
            <w:pPr>
              <w:pStyle w:val="citation"/>
              <w:ind w:left="0"/>
              <w:jc w:val="center"/>
              <w:rPr>
                <w:sz w:val="12"/>
                <w:szCs w:val="12"/>
              </w:rPr>
            </w:pPr>
            <w:r w:rsidRPr="007C2AA6">
              <w:rPr>
                <w:sz w:val="12"/>
                <w:szCs w:val="12"/>
              </w:rPr>
              <w:t>Juillet 1990 à 1994 (6 mois)</w:t>
            </w:r>
          </w:p>
          <w:p w14:paraId="4362457A" w14:textId="77777777" w:rsidR="00F90FF6" w:rsidRPr="007C2AA6" w:rsidRDefault="00F90FF6" w:rsidP="00F90FF6">
            <w:pPr>
              <w:pStyle w:val="citation"/>
              <w:ind w:left="0"/>
              <w:jc w:val="center"/>
              <w:rPr>
                <w:sz w:val="12"/>
                <w:szCs w:val="12"/>
              </w:rPr>
            </w:pPr>
            <w:r w:rsidRPr="007C2AA6">
              <w:rPr>
                <w:sz w:val="12"/>
                <w:szCs w:val="12"/>
              </w:rPr>
              <w:t>Conventionnelle</w:t>
            </w:r>
          </w:p>
        </w:tc>
        <w:tc>
          <w:tcPr>
            <w:tcW w:w="1985" w:type="dxa"/>
          </w:tcPr>
          <w:p w14:paraId="2C103496" w14:textId="77777777" w:rsidR="00F90FF6" w:rsidRPr="007C2AA6" w:rsidRDefault="00F90FF6" w:rsidP="0058179A">
            <w:pPr>
              <w:pStyle w:val="citation"/>
              <w:ind w:left="0"/>
              <w:rPr>
                <w:sz w:val="12"/>
                <w:szCs w:val="12"/>
              </w:rPr>
            </w:pPr>
          </w:p>
          <w:p w14:paraId="04BE1B1D" w14:textId="77777777" w:rsidR="00F90FF6" w:rsidRPr="007C2AA6" w:rsidRDefault="00F90FF6" w:rsidP="00F90FF6">
            <w:pPr>
              <w:pStyle w:val="citation"/>
              <w:ind w:left="0"/>
              <w:jc w:val="center"/>
              <w:rPr>
                <w:sz w:val="12"/>
                <w:szCs w:val="12"/>
              </w:rPr>
            </w:pPr>
            <w:r w:rsidRPr="007C2AA6">
              <w:rPr>
                <w:sz w:val="12"/>
                <w:szCs w:val="12"/>
              </w:rPr>
              <w:t>7840</w:t>
            </w:r>
          </w:p>
        </w:tc>
        <w:tc>
          <w:tcPr>
            <w:tcW w:w="3119" w:type="dxa"/>
          </w:tcPr>
          <w:p w14:paraId="0C22D8FE" w14:textId="77777777" w:rsidR="00F90FF6" w:rsidRPr="007C2AA6" w:rsidRDefault="00F90FF6" w:rsidP="00F90FF6">
            <w:pPr>
              <w:pStyle w:val="citation"/>
              <w:ind w:left="0"/>
              <w:jc w:val="center"/>
              <w:rPr>
                <w:sz w:val="12"/>
                <w:szCs w:val="12"/>
              </w:rPr>
            </w:pPr>
            <w:r w:rsidRPr="007C2AA6">
              <w:rPr>
                <w:sz w:val="12"/>
                <w:szCs w:val="12"/>
              </w:rPr>
              <w:t>85,4</w:t>
            </w:r>
          </w:p>
          <w:p w14:paraId="2FEB3741" w14:textId="77777777" w:rsidR="00F90FF6" w:rsidRPr="007C2AA6" w:rsidRDefault="00F90FF6" w:rsidP="00F90FF6">
            <w:pPr>
              <w:pStyle w:val="citation"/>
              <w:ind w:left="0"/>
              <w:jc w:val="center"/>
              <w:rPr>
                <w:sz w:val="12"/>
                <w:szCs w:val="12"/>
              </w:rPr>
            </w:pPr>
            <w:r w:rsidRPr="007C2AA6">
              <w:rPr>
                <w:sz w:val="12"/>
                <w:szCs w:val="12"/>
              </w:rPr>
              <w:t>Dosimétrie Hygiène Conseils</w:t>
            </w:r>
          </w:p>
          <w:p w14:paraId="6DB38E2E" w14:textId="77777777" w:rsidR="00F90FF6" w:rsidRPr="007C2AA6" w:rsidRDefault="00F90FF6" w:rsidP="00F90FF6">
            <w:pPr>
              <w:pStyle w:val="citation"/>
              <w:ind w:left="0"/>
              <w:jc w:val="center"/>
              <w:rPr>
                <w:sz w:val="12"/>
                <w:szCs w:val="12"/>
              </w:rPr>
            </w:pPr>
            <w:r w:rsidRPr="007C2AA6">
              <w:rPr>
                <w:sz w:val="12"/>
                <w:szCs w:val="12"/>
              </w:rPr>
              <w:t>Dosimétrie (</w:t>
            </w:r>
            <w:proofErr w:type="spellStart"/>
            <w:r w:rsidRPr="007C2AA6">
              <w:rPr>
                <w:sz w:val="12"/>
                <w:szCs w:val="12"/>
              </w:rPr>
              <w:t>Seshagiri</w:t>
            </w:r>
            <w:proofErr w:type="spellEnd"/>
            <w:r w:rsidRPr="007C2AA6">
              <w:rPr>
                <w:sz w:val="12"/>
                <w:szCs w:val="12"/>
              </w:rPr>
              <w:t>, 1998)</w:t>
            </w:r>
          </w:p>
          <w:p w14:paraId="1C626530" w14:textId="77777777" w:rsidR="00F90FF6" w:rsidRPr="007C2AA6" w:rsidRDefault="00F90FF6" w:rsidP="00F90FF6">
            <w:pPr>
              <w:pStyle w:val="citation"/>
              <w:ind w:left="0"/>
              <w:jc w:val="center"/>
              <w:rPr>
                <w:sz w:val="12"/>
                <w:szCs w:val="12"/>
              </w:rPr>
            </w:pPr>
            <w:r w:rsidRPr="007C2AA6">
              <w:rPr>
                <w:sz w:val="12"/>
                <w:szCs w:val="12"/>
              </w:rPr>
              <w:t>Présence de bruits d’impact</w:t>
            </w:r>
          </w:p>
          <w:p w14:paraId="05D09A43" w14:textId="77777777" w:rsidR="00F90FF6" w:rsidRPr="007C2AA6" w:rsidRDefault="00F90FF6" w:rsidP="00F90FF6">
            <w:pPr>
              <w:pStyle w:val="citation"/>
              <w:ind w:left="0"/>
              <w:jc w:val="center"/>
              <w:rPr>
                <w:sz w:val="12"/>
                <w:szCs w:val="12"/>
              </w:rPr>
            </w:pPr>
          </w:p>
        </w:tc>
      </w:tr>
      <w:tr w:rsidR="00F90FF6" w:rsidRPr="00F90FF6" w14:paraId="06F40748" w14:textId="77777777" w:rsidTr="007C2AA6">
        <w:tc>
          <w:tcPr>
            <w:tcW w:w="2835" w:type="dxa"/>
          </w:tcPr>
          <w:p w14:paraId="4CD20142" w14:textId="77777777" w:rsidR="00F90FF6" w:rsidRPr="007C2AA6" w:rsidRDefault="00F90FF6" w:rsidP="00F90FF6">
            <w:pPr>
              <w:pStyle w:val="citation"/>
              <w:ind w:left="0"/>
              <w:jc w:val="center"/>
              <w:rPr>
                <w:sz w:val="12"/>
                <w:szCs w:val="12"/>
              </w:rPr>
            </w:pPr>
          </w:p>
          <w:p w14:paraId="2F8724EF" w14:textId="77777777" w:rsidR="00F90FF6" w:rsidRPr="007C2AA6" w:rsidRDefault="00F90FF6" w:rsidP="00F90FF6">
            <w:pPr>
              <w:pStyle w:val="citation"/>
              <w:ind w:left="0"/>
              <w:jc w:val="center"/>
              <w:rPr>
                <w:sz w:val="12"/>
                <w:szCs w:val="12"/>
              </w:rPr>
            </w:pPr>
            <w:r w:rsidRPr="007C2AA6">
              <w:rPr>
                <w:sz w:val="12"/>
                <w:szCs w:val="12"/>
              </w:rPr>
              <w:t>Aide-livreur (2</w:t>
            </w:r>
            <w:r w:rsidRPr="007C2AA6">
              <w:rPr>
                <w:sz w:val="12"/>
                <w:szCs w:val="12"/>
                <w:vertAlign w:val="superscript"/>
              </w:rPr>
              <w:t>e</w:t>
            </w:r>
            <w:r w:rsidRPr="007C2AA6">
              <w:rPr>
                <w:sz w:val="12"/>
                <w:szCs w:val="12"/>
              </w:rPr>
              <w:t xml:space="preserve"> homme)</w:t>
            </w:r>
          </w:p>
          <w:p w14:paraId="6EA0A423" w14:textId="77777777" w:rsidR="00F90FF6" w:rsidRPr="007C2AA6" w:rsidRDefault="00F90FF6" w:rsidP="00F90FF6">
            <w:pPr>
              <w:pStyle w:val="citation"/>
              <w:ind w:left="0"/>
              <w:jc w:val="center"/>
              <w:rPr>
                <w:sz w:val="12"/>
                <w:szCs w:val="12"/>
              </w:rPr>
            </w:pPr>
            <w:r w:rsidRPr="007C2AA6">
              <w:rPr>
                <w:sz w:val="12"/>
                <w:szCs w:val="12"/>
              </w:rPr>
              <w:t>1994 (6 mois) à printemps 2000</w:t>
            </w:r>
          </w:p>
          <w:p w14:paraId="23C5BF37" w14:textId="77777777" w:rsidR="00F90FF6" w:rsidRPr="007C2AA6" w:rsidRDefault="00F90FF6" w:rsidP="00F90FF6">
            <w:pPr>
              <w:pStyle w:val="citation"/>
              <w:ind w:left="0"/>
              <w:jc w:val="center"/>
              <w:rPr>
                <w:sz w:val="12"/>
                <w:szCs w:val="12"/>
              </w:rPr>
            </w:pPr>
            <w:r w:rsidRPr="007C2AA6">
              <w:rPr>
                <w:sz w:val="12"/>
                <w:szCs w:val="12"/>
              </w:rPr>
              <w:t>Vrac/Conventionnelle</w:t>
            </w:r>
          </w:p>
        </w:tc>
        <w:tc>
          <w:tcPr>
            <w:tcW w:w="1985" w:type="dxa"/>
          </w:tcPr>
          <w:p w14:paraId="7445550E" w14:textId="77777777" w:rsidR="00F90FF6" w:rsidRPr="007C2AA6" w:rsidRDefault="00F90FF6" w:rsidP="0058179A">
            <w:pPr>
              <w:pStyle w:val="citation"/>
              <w:ind w:left="0"/>
              <w:rPr>
                <w:sz w:val="12"/>
                <w:szCs w:val="12"/>
              </w:rPr>
            </w:pPr>
          </w:p>
          <w:p w14:paraId="22DCDD25" w14:textId="77777777" w:rsidR="00F90FF6" w:rsidRPr="007C2AA6" w:rsidRDefault="00F90FF6" w:rsidP="00F90FF6">
            <w:pPr>
              <w:pStyle w:val="citation"/>
              <w:ind w:left="0"/>
              <w:jc w:val="center"/>
              <w:rPr>
                <w:sz w:val="12"/>
                <w:szCs w:val="12"/>
              </w:rPr>
            </w:pPr>
            <w:r w:rsidRPr="007C2AA6">
              <w:rPr>
                <w:sz w:val="12"/>
                <w:szCs w:val="12"/>
              </w:rPr>
              <w:t>11 520</w:t>
            </w:r>
          </w:p>
        </w:tc>
        <w:tc>
          <w:tcPr>
            <w:tcW w:w="3119" w:type="dxa"/>
          </w:tcPr>
          <w:p w14:paraId="0E1C8CDE" w14:textId="77777777" w:rsidR="00F90FF6" w:rsidRPr="007C2AA6" w:rsidRDefault="00F90FF6" w:rsidP="00F90FF6">
            <w:pPr>
              <w:pStyle w:val="citation"/>
              <w:ind w:left="0"/>
              <w:jc w:val="center"/>
              <w:rPr>
                <w:sz w:val="12"/>
                <w:szCs w:val="12"/>
              </w:rPr>
            </w:pPr>
            <w:r w:rsidRPr="007C2AA6">
              <w:rPr>
                <w:sz w:val="12"/>
                <w:szCs w:val="12"/>
              </w:rPr>
              <w:t>85,4</w:t>
            </w:r>
          </w:p>
          <w:p w14:paraId="7854CB81" w14:textId="77777777" w:rsidR="00F90FF6" w:rsidRPr="007C2AA6" w:rsidRDefault="00F90FF6" w:rsidP="00F90FF6">
            <w:pPr>
              <w:pStyle w:val="citation"/>
              <w:ind w:left="0"/>
              <w:jc w:val="center"/>
              <w:rPr>
                <w:sz w:val="12"/>
                <w:szCs w:val="12"/>
              </w:rPr>
            </w:pPr>
            <w:r w:rsidRPr="007C2AA6">
              <w:rPr>
                <w:sz w:val="12"/>
                <w:szCs w:val="12"/>
              </w:rPr>
              <w:t>Dosimétrie Hygiène Conseils</w:t>
            </w:r>
          </w:p>
          <w:p w14:paraId="6810102B" w14:textId="77777777" w:rsidR="00F90FF6" w:rsidRPr="007C2AA6" w:rsidRDefault="00F90FF6" w:rsidP="00F90FF6">
            <w:pPr>
              <w:pStyle w:val="citation"/>
              <w:ind w:left="0"/>
              <w:jc w:val="center"/>
              <w:rPr>
                <w:sz w:val="12"/>
                <w:szCs w:val="12"/>
              </w:rPr>
            </w:pPr>
            <w:r w:rsidRPr="007C2AA6">
              <w:rPr>
                <w:sz w:val="12"/>
                <w:szCs w:val="12"/>
              </w:rPr>
              <w:t>Dosimétrie (</w:t>
            </w:r>
            <w:proofErr w:type="spellStart"/>
            <w:r w:rsidRPr="007C2AA6">
              <w:rPr>
                <w:sz w:val="12"/>
                <w:szCs w:val="12"/>
              </w:rPr>
              <w:t>Seshagiri</w:t>
            </w:r>
            <w:proofErr w:type="spellEnd"/>
            <w:r w:rsidRPr="007C2AA6">
              <w:rPr>
                <w:sz w:val="12"/>
                <w:szCs w:val="12"/>
              </w:rPr>
              <w:t>, 1998)</w:t>
            </w:r>
          </w:p>
          <w:p w14:paraId="4B4928A6" w14:textId="77777777" w:rsidR="00F90FF6" w:rsidRPr="007C2AA6" w:rsidRDefault="00F90FF6" w:rsidP="00F90FF6">
            <w:pPr>
              <w:pStyle w:val="citation"/>
              <w:ind w:left="0"/>
              <w:jc w:val="center"/>
              <w:rPr>
                <w:sz w:val="12"/>
                <w:szCs w:val="12"/>
              </w:rPr>
            </w:pPr>
            <w:r w:rsidRPr="007C2AA6">
              <w:rPr>
                <w:sz w:val="12"/>
                <w:szCs w:val="12"/>
              </w:rPr>
              <w:t>Présence de bruits d’impact</w:t>
            </w:r>
          </w:p>
          <w:p w14:paraId="50A938C7" w14:textId="77777777" w:rsidR="00F90FF6" w:rsidRPr="007C2AA6" w:rsidRDefault="00F90FF6" w:rsidP="00F90FF6">
            <w:pPr>
              <w:pStyle w:val="citation"/>
              <w:ind w:left="0"/>
              <w:jc w:val="center"/>
              <w:rPr>
                <w:sz w:val="12"/>
                <w:szCs w:val="12"/>
              </w:rPr>
            </w:pPr>
          </w:p>
        </w:tc>
      </w:tr>
      <w:tr w:rsidR="00F90FF6" w:rsidRPr="00F90FF6" w14:paraId="0CCD60F8" w14:textId="77777777" w:rsidTr="007C2AA6">
        <w:tc>
          <w:tcPr>
            <w:tcW w:w="2835" w:type="dxa"/>
          </w:tcPr>
          <w:p w14:paraId="5AC81897" w14:textId="77777777" w:rsidR="00F90FF6" w:rsidRPr="007C2AA6" w:rsidRDefault="00F90FF6" w:rsidP="00AA5D3A">
            <w:pPr>
              <w:pStyle w:val="citation"/>
              <w:ind w:left="0"/>
              <w:jc w:val="center"/>
              <w:rPr>
                <w:sz w:val="12"/>
                <w:szCs w:val="12"/>
              </w:rPr>
            </w:pPr>
            <w:r w:rsidRPr="007C2AA6">
              <w:rPr>
                <w:sz w:val="12"/>
                <w:szCs w:val="12"/>
              </w:rPr>
              <w:t>Responsable à la mise en marché</w:t>
            </w:r>
          </w:p>
          <w:p w14:paraId="496444FA" w14:textId="77777777" w:rsidR="00F90FF6" w:rsidRPr="007C2AA6" w:rsidRDefault="00F90FF6" w:rsidP="00AA5D3A">
            <w:pPr>
              <w:pStyle w:val="citation"/>
              <w:ind w:left="0"/>
              <w:jc w:val="center"/>
              <w:rPr>
                <w:sz w:val="12"/>
                <w:szCs w:val="12"/>
              </w:rPr>
            </w:pPr>
            <w:r w:rsidRPr="007C2AA6">
              <w:rPr>
                <w:sz w:val="12"/>
                <w:szCs w:val="12"/>
              </w:rPr>
              <w:t>Printemps 2000 à début année 2001</w:t>
            </w:r>
          </w:p>
        </w:tc>
        <w:tc>
          <w:tcPr>
            <w:tcW w:w="1985" w:type="dxa"/>
          </w:tcPr>
          <w:p w14:paraId="26B708C8" w14:textId="77777777" w:rsidR="007C2AA6" w:rsidRPr="007C2AA6" w:rsidRDefault="007C2AA6" w:rsidP="00F90FF6">
            <w:pPr>
              <w:pStyle w:val="citation"/>
              <w:ind w:left="0"/>
              <w:jc w:val="center"/>
              <w:rPr>
                <w:sz w:val="12"/>
                <w:szCs w:val="12"/>
              </w:rPr>
            </w:pPr>
          </w:p>
          <w:p w14:paraId="56D8B1F4" w14:textId="77777777" w:rsidR="00F90FF6" w:rsidRPr="007C2AA6" w:rsidRDefault="00F90FF6" w:rsidP="00F90FF6">
            <w:pPr>
              <w:pStyle w:val="citation"/>
              <w:ind w:left="0"/>
              <w:jc w:val="center"/>
              <w:rPr>
                <w:sz w:val="12"/>
                <w:szCs w:val="12"/>
              </w:rPr>
            </w:pPr>
            <w:r w:rsidRPr="007C2AA6">
              <w:rPr>
                <w:sz w:val="12"/>
                <w:szCs w:val="12"/>
              </w:rPr>
              <w:t>1 680</w:t>
            </w:r>
          </w:p>
        </w:tc>
        <w:tc>
          <w:tcPr>
            <w:tcW w:w="3119" w:type="dxa"/>
          </w:tcPr>
          <w:p w14:paraId="522FBA8D" w14:textId="77777777" w:rsidR="00F90FF6" w:rsidRPr="007C2AA6" w:rsidRDefault="00F90FF6" w:rsidP="00F90FF6">
            <w:pPr>
              <w:pStyle w:val="citation"/>
              <w:ind w:left="0"/>
              <w:jc w:val="center"/>
              <w:rPr>
                <w:sz w:val="12"/>
                <w:szCs w:val="12"/>
              </w:rPr>
            </w:pPr>
            <w:r w:rsidRPr="007C2AA6">
              <w:rPr>
                <w:sz w:val="12"/>
                <w:szCs w:val="12"/>
              </w:rPr>
              <w:t>75,0*</w:t>
            </w:r>
          </w:p>
          <w:p w14:paraId="0C14960E" w14:textId="77777777" w:rsidR="00F90FF6" w:rsidRPr="007C2AA6" w:rsidRDefault="00F90FF6" w:rsidP="00F90FF6">
            <w:pPr>
              <w:pStyle w:val="citation"/>
              <w:ind w:left="0"/>
              <w:jc w:val="center"/>
              <w:rPr>
                <w:sz w:val="12"/>
                <w:szCs w:val="12"/>
              </w:rPr>
            </w:pPr>
            <w:r w:rsidRPr="007C2AA6">
              <w:rPr>
                <w:sz w:val="12"/>
                <w:szCs w:val="12"/>
              </w:rPr>
              <w:t>Aucune donnée</w:t>
            </w:r>
          </w:p>
        </w:tc>
      </w:tr>
      <w:tr w:rsidR="00F90FF6" w:rsidRPr="00F90FF6" w14:paraId="4418B33A" w14:textId="77777777" w:rsidTr="007C2AA6">
        <w:tc>
          <w:tcPr>
            <w:tcW w:w="2835" w:type="dxa"/>
          </w:tcPr>
          <w:p w14:paraId="3E0DC151" w14:textId="77777777" w:rsidR="00F90FF6" w:rsidRPr="007C2AA6" w:rsidRDefault="00F90FF6" w:rsidP="00F90FF6">
            <w:pPr>
              <w:pStyle w:val="citation"/>
              <w:ind w:left="0"/>
              <w:jc w:val="center"/>
              <w:rPr>
                <w:sz w:val="12"/>
                <w:szCs w:val="12"/>
              </w:rPr>
            </w:pPr>
            <w:r w:rsidRPr="007C2AA6">
              <w:rPr>
                <w:sz w:val="12"/>
                <w:szCs w:val="12"/>
              </w:rPr>
              <w:t>Agent de commercialisation</w:t>
            </w:r>
          </w:p>
          <w:p w14:paraId="30BE153F" w14:textId="77777777" w:rsidR="00F90FF6" w:rsidRPr="007C2AA6" w:rsidRDefault="00F90FF6" w:rsidP="00F90FF6">
            <w:pPr>
              <w:pStyle w:val="citation"/>
              <w:ind w:left="0"/>
              <w:jc w:val="center"/>
              <w:rPr>
                <w:sz w:val="12"/>
                <w:szCs w:val="12"/>
              </w:rPr>
            </w:pPr>
            <w:r w:rsidRPr="007C2AA6">
              <w:rPr>
                <w:sz w:val="12"/>
                <w:szCs w:val="12"/>
              </w:rPr>
              <w:t>Début année 2001 à avril 2001</w:t>
            </w:r>
          </w:p>
        </w:tc>
        <w:tc>
          <w:tcPr>
            <w:tcW w:w="1985" w:type="dxa"/>
          </w:tcPr>
          <w:p w14:paraId="0741DD0B" w14:textId="77777777" w:rsidR="007C2AA6" w:rsidRPr="007C2AA6" w:rsidRDefault="007C2AA6" w:rsidP="00F90FF6">
            <w:pPr>
              <w:pStyle w:val="citation"/>
              <w:ind w:left="0"/>
              <w:jc w:val="center"/>
              <w:rPr>
                <w:sz w:val="12"/>
                <w:szCs w:val="12"/>
              </w:rPr>
            </w:pPr>
          </w:p>
          <w:p w14:paraId="04C9A998" w14:textId="77777777" w:rsidR="00F90FF6" w:rsidRPr="007C2AA6" w:rsidRDefault="00F90FF6" w:rsidP="00F90FF6">
            <w:pPr>
              <w:pStyle w:val="citation"/>
              <w:ind w:left="0"/>
              <w:jc w:val="center"/>
              <w:rPr>
                <w:sz w:val="12"/>
                <w:szCs w:val="12"/>
              </w:rPr>
            </w:pPr>
            <w:r w:rsidRPr="007C2AA6">
              <w:rPr>
                <w:sz w:val="12"/>
                <w:szCs w:val="12"/>
              </w:rPr>
              <w:t>480</w:t>
            </w:r>
          </w:p>
        </w:tc>
        <w:tc>
          <w:tcPr>
            <w:tcW w:w="3119" w:type="dxa"/>
          </w:tcPr>
          <w:p w14:paraId="477BE158" w14:textId="77777777" w:rsidR="00F90FF6" w:rsidRPr="007C2AA6" w:rsidRDefault="007D78A8" w:rsidP="00F90FF6">
            <w:pPr>
              <w:pStyle w:val="citation"/>
              <w:ind w:left="0"/>
              <w:jc w:val="center"/>
              <w:rPr>
                <w:sz w:val="12"/>
                <w:szCs w:val="12"/>
              </w:rPr>
            </w:pPr>
            <w:r w:rsidRPr="007C2AA6">
              <w:rPr>
                <w:sz w:val="12"/>
                <w:szCs w:val="12"/>
              </w:rPr>
              <w:t>75,0*</w:t>
            </w:r>
          </w:p>
          <w:p w14:paraId="7680BE7D" w14:textId="77777777" w:rsidR="007D78A8" w:rsidRPr="007C2AA6" w:rsidRDefault="007D78A8" w:rsidP="00F90FF6">
            <w:pPr>
              <w:pStyle w:val="citation"/>
              <w:ind w:left="0"/>
              <w:jc w:val="center"/>
              <w:rPr>
                <w:sz w:val="12"/>
                <w:szCs w:val="12"/>
              </w:rPr>
            </w:pPr>
            <w:r w:rsidRPr="007C2AA6">
              <w:rPr>
                <w:sz w:val="12"/>
                <w:szCs w:val="12"/>
              </w:rPr>
              <w:t>Aucune donnée</w:t>
            </w:r>
          </w:p>
        </w:tc>
      </w:tr>
      <w:tr w:rsidR="007D78A8" w:rsidRPr="00F90FF6" w14:paraId="520635F2" w14:textId="77777777" w:rsidTr="007C2AA6">
        <w:tc>
          <w:tcPr>
            <w:tcW w:w="2835" w:type="dxa"/>
          </w:tcPr>
          <w:p w14:paraId="02A08E9E" w14:textId="77777777" w:rsidR="007D78A8" w:rsidRPr="007C2AA6" w:rsidRDefault="00AA5D3A" w:rsidP="00F90FF6">
            <w:pPr>
              <w:pStyle w:val="citation"/>
              <w:ind w:left="0"/>
              <w:jc w:val="center"/>
              <w:rPr>
                <w:sz w:val="12"/>
                <w:szCs w:val="12"/>
              </w:rPr>
            </w:pPr>
            <w:r w:rsidRPr="007C2AA6">
              <w:rPr>
                <w:sz w:val="12"/>
                <w:szCs w:val="12"/>
              </w:rPr>
              <w:t>Aide-livreur (2</w:t>
            </w:r>
            <w:r w:rsidRPr="007C2AA6">
              <w:rPr>
                <w:sz w:val="12"/>
                <w:szCs w:val="12"/>
                <w:vertAlign w:val="superscript"/>
              </w:rPr>
              <w:t>e</w:t>
            </w:r>
            <w:r w:rsidRPr="007C2AA6">
              <w:rPr>
                <w:sz w:val="12"/>
                <w:szCs w:val="12"/>
              </w:rPr>
              <w:t xml:space="preserve"> homme)</w:t>
            </w:r>
          </w:p>
          <w:p w14:paraId="648BEF01" w14:textId="77777777" w:rsidR="00AA5D3A" w:rsidRPr="007C2AA6" w:rsidRDefault="00AA5D3A" w:rsidP="00F90FF6">
            <w:pPr>
              <w:pStyle w:val="citation"/>
              <w:ind w:left="0"/>
              <w:jc w:val="center"/>
              <w:rPr>
                <w:sz w:val="12"/>
                <w:szCs w:val="12"/>
              </w:rPr>
            </w:pPr>
            <w:r w:rsidRPr="007C2AA6">
              <w:rPr>
                <w:sz w:val="12"/>
                <w:szCs w:val="12"/>
              </w:rPr>
              <w:t>Avril 2001 à avril 2009</w:t>
            </w:r>
          </w:p>
          <w:p w14:paraId="675CEEA0" w14:textId="77777777" w:rsidR="00AA5D3A" w:rsidRPr="007C2AA6" w:rsidRDefault="00AA5D3A" w:rsidP="00F90FF6">
            <w:pPr>
              <w:pStyle w:val="citation"/>
              <w:ind w:left="0"/>
              <w:jc w:val="center"/>
              <w:rPr>
                <w:sz w:val="12"/>
                <w:szCs w:val="12"/>
              </w:rPr>
            </w:pPr>
            <w:r w:rsidRPr="007C2AA6">
              <w:rPr>
                <w:sz w:val="12"/>
                <w:szCs w:val="12"/>
              </w:rPr>
              <w:t>Automne 2009 à octobre 2012</w:t>
            </w:r>
          </w:p>
          <w:p w14:paraId="733B6B3B" w14:textId="77777777" w:rsidR="00AA5D3A" w:rsidRPr="007C2AA6" w:rsidRDefault="00AA5D3A" w:rsidP="00F90FF6">
            <w:pPr>
              <w:pStyle w:val="citation"/>
              <w:ind w:left="0"/>
              <w:jc w:val="center"/>
              <w:rPr>
                <w:sz w:val="12"/>
                <w:szCs w:val="12"/>
              </w:rPr>
            </w:pPr>
            <w:r w:rsidRPr="007C2AA6">
              <w:rPr>
                <w:sz w:val="12"/>
                <w:szCs w:val="12"/>
              </w:rPr>
              <w:t>Vrac/Conventionnelle</w:t>
            </w:r>
          </w:p>
        </w:tc>
        <w:tc>
          <w:tcPr>
            <w:tcW w:w="1985" w:type="dxa"/>
          </w:tcPr>
          <w:p w14:paraId="498DA0FB" w14:textId="77777777" w:rsidR="007D78A8" w:rsidRPr="007C2AA6" w:rsidRDefault="007D78A8" w:rsidP="00F90FF6">
            <w:pPr>
              <w:pStyle w:val="citation"/>
              <w:ind w:left="0"/>
              <w:jc w:val="center"/>
              <w:rPr>
                <w:sz w:val="12"/>
                <w:szCs w:val="12"/>
              </w:rPr>
            </w:pPr>
          </w:p>
          <w:p w14:paraId="5965A243" w14:textId="77777777" w:rsidR="00AA5D3A" w:rsidRPr="007C2AA6" w:rsidRDefault="00AA5D3A" w:rsidP="00F90FF6">
            <w:pPr>
              <w:pStyle w:val="citation"/>
              <w:ind w:left="0"/>
              <w:jc w:val="center"/>
              <w:rPr>
                <w:sz w:val="12"/>
                <w:szCs w:val="12"/>
              </w:rPr>
            </w:pPr>
            <w:r w:rsidRPr="007C2AA6">
              <w:rPr>
                <w:sz w:val="12"/>
                <w:szCs w:val="12"/>
              </w:rPr>
              <w:t>22 000</w:t>
            </w:r>
          </w:p>
        </w:tc>
        <w:tc>
          <w:tcPr>
            <w:tcW w:w="3119" w:type="dxa"/>
          </w:tcPr>
          <w:p w14:paraId="2B0EBF74" w14:textId="77777777" w:rsidR="007D78A8" w:rsidRPr="007C2AA6" w:rsidRDefault="00AA5D3A" w:rsidP="00F90FF6">
            <w:pPr>
              <w:pStyle w:val="citation"/>
              <w:ind w:left="0"/>
              <w:jc w:val="center"/>
              <w:rPr>
                <w:sz w:val="12"/>
                <w:szCs w:val="12"/>
              </w:rPr>
            </w:pPr>
            <w:r w:rsidRPr="007C2AA6">
              <w:rPr>
                <w:sz w:val="12"/>
                <w:szCs w:val="12"/>
              </w:rPr>
              <w:t>84,7</w:t>
            </w:r>
          </w:p>
          <w:p w14:paraId="6FD39A2F" w14:textId="77777777" w:rsidR="00AA5D3A" w:rsidRPr="007C2AA6" w:rsidRDefault="00AA5D3A" w:rsidP="00F90FF6">
            <w:pPr>
              <w:pStyle w:val="citation"/>
              <w:ind w:left="0"/>
              <w:jc w:val="center"/>
              <w:rPr>
                <w:sz w:val="12"/>
                <w:szCs w:val="12"/>
              </w:rPr>
            </w:pPr>
            <w:r w:rsidRPr="007C2AA6">
              <w:rPr>
                <w:sz w:val="12"/>
                <w:szCs w:val="12"/>
              </w:rPr>
              <w:t>Dosimétrie Torikian (2014)</w:t>
            </w:r>
          </w:p>
          <w:p w14:paraId="23CEDD22" w14:textId="77777777" w:rsidR="00AA5D3A" w:rsidRPr="007C2AA6" w:rsidRDefault="00AA5D3A" w:rsidP="00F90FF6">
            <w:pPr>
              <w:pStyle w:val="citation"/>
              <w:ind w:left="0"/>
              <w:jc w:val="center"/>
              <w:rPr>
                <w:sz w:val="12"/>
                <w:szCs w:val="12"/>
              </w:rPr>
            </w:pPr>
            <w:r w:rsidRPr="007C2AA6">
              <w:rPr>
                <w:sz w:val="12"/>
                <w:szCs w:val="12"/>
              </w:rPr>
              <w:t>Présence de bruits d’impact</w:t>
            </w:r>
          </w:p>
        </w:tc>
      </w:tr>
      <w:tr w:rsidR="00AA5D3A" w:rsidRPr="00F90FF6" w14:paraId="27D5016A" w14:textId="77777777" w:rsidTr="007C2AA6">
        <w:tc>
          <w:tcPr>
            <w:tcW w:w="2835" w:type="dxa"/>
          </w:tcPr>
          <w:p w14:paraId="53506186" w14:textId="77777777" w:rsidR="003C658E" w:rsidRPr="007C2AA6" w:rsidRDefault="003C658E" w:rsidP="00F90FF6">
            <w:pPr>
              <w:pStyle w:val="citation"/>
              <w:ind w:left="0"/>
              <w:jc w:val="center"/>
              <w:rPr>
                <w:sz w:val="12"/>
                <w:szCs w:val="12"/>
              </w:rPr>
            </w:pPr>
          </w:p>
          <w:p w14:paraId="4DBA3F00" w14:textId="77777777" w:rsidR="00AA5D3A" w:rsidRPr="007C2AA6" w:rsidRDefault="003C658E" w:rsidP="00F90FF6">
            <w:pPr>
              <w:pStyle w:val="citation"/>
              <w:ind w:left="0"/>
              <w:jc w:val="center"/>
              <w:rPr>
                <w:sz w:val="12"/>
                <w:szCs w:val="12"/>
              </w:rPr>
            </w:pPr>
            <w:r w:rsidRPr="007C2AA6">
              <w:rPr>
                <w:sz w:val="12"/>
                <w:szCs w:val="12"/>
              </w:rPr>
              <w:t>Cariste Ligne 1</w:t>
            </w:r>
          </w:p>
          <w:p w14:paraId="7D0FBD5C" w14:textId="77777777" w:rsidR="003C658E" w:rsidRPr="007C2AA6" w:rsidRDefault="003C658E" w:rsidP="00F90FF6">
            <w:pPr>
              <w:pStyle w:val="citation"/>
              <w:ind w:left="0"/>
              <w:jc w:val="center"/>
              <w:rPr>
                <w:sz w:val="12"/>
                <w:szCs w:val="12"/>
              </w:rPr>
            </w:pPr>
            <w:r w:rsidRPr="007C2AA6">
              <w:rPr>
                <w:sz w:val="12"/>
                <w:szCs w:val="12"/>
              </w:rPr>
              <w:t>Octobre 2012 à août 2014</w:t>
            </w:r>
          </w:p>
        </w:tc>
        <w:tc>
          <w:tcPr>
            <w:tcW w:w="1985" w:type="dxa"/>
          </w:tcPr>
          <w:p w14:paraId="5FE074DF" w14:textId="77777777" w:rsidR="00AA5D3A" w:rsidRPr="007C2AA6" w:rsidRDefault="00AA5D3A" w:rsidP="007C2AA6">
            <w:pPr>
              <w:pStyle w:val="citation"/>
              <w:ind w:left="0" w:right="-4220"/>
              <w:jc w:val="center"/>
              <w:rPr>
                <w:sz w:val="12"/>
                <w:szCs w:val="12"/>
              </w:rPr>
            </w:pPr>
          </w:p>
          <w:p w14:paraId="40F071FE" w14:textId="77777777" w:rsidR="003C658E" w:rsidRPr="007C2AA6" w:rsidRDefault="003C658E" w:rsidP="00F90FF6">
            <w:pPr>
              <w:pStyle w:val="citation"/>
              <w:ind w:left="0"/>
              <w:jc w:val="center"/>
              <w:rPr>
                <w:sz w:val="12"/>
                <w:szCs w:val="12"/>
              </w:rPr>
            </w:pPr>
            <w:r w:rsidRPr="007C2AA6">
              <w:rPr>
                <w:sz w:val="12"/>
                <w:szCs w:val="12"/>
              </w:rPr>
              <w:t>1 680</w:t>
            </w:r>
          </w:p>
        </w:tc>
        <w:tc>
          <w:tcPr>
            <w:tcW w:w="3119" w:type="dxa"/>
          </w:tcPr>
          <w:p w14:paraId="6351F516" w14:textId="77777777" w:rsidR="00AA5D3A" w:rsidRPr="007C2AA6" w:rsidRDefault="003C658E" w:rsidP="00F90FF6">
            <w:pPr>
              <w:pStyle w:val="citation"/>
              <w:ind w:left="0"/>
              <w:jc w:val="center"/>
              <w:rPr>
                <w:sz w:val="12"/>
                <w:szCs w:val="12"/>
              </w:rPr>
            </w:pPr>
            <w:r w:rsidRPr="007C2AA6">
              <w:rPr>
                <w:sz w:val="12"/>
                <w:szCs w:val="12"/>
              </w:rPr>
              <w:t>80,0</w:t>
            </w:r>
          </w:p>
          <w:p w14:paraId="5A3448B3" w14:textId="77777777" w:rsidR="003C658E" w:rsidRPr="007C2AA6" w:rsidRDefault="003C658E" w:rsidP="00F90FF6">
            <w:pPr>
              <w:pStyle w:val="citation"/>
              <w:ind w:left="0"/>
              <w:jc w:val="center"/>
              <w:rPr>
                <w:sz w:val="12"/>
                <w:szCs w:val="12"/>
              </w:rPr>
            </w:pPr>
            <w:r w:rsidRPr="007C2AA6">
              <w:rPr>
                <w:sz w:val="12"/>
                <w:szCs w:val="12"/>
              </w:rPr>
              <w:t xml:space="preserve">Sonométrie </w:t>
            </w:r>
            <w:proofErr w:type="spellStart"/>
            <w:r w:rsidRPr="007C2AA6">
              <w:rPr>
                <w:sz w:val="12"/>
                <w:szCs w:val="12"/>
              </w:rPr>
              <w:t>Gesfor</w:t>
            </w:r>
            <w:proofErr w:type="spellEnd"/>
          </w:p>
          <w:p w14:paraId="22D5D099" w14:textId="77777777" w:rsidR="003C658E" w:rsidRPr="007C2AA6" w:rsidRDefault="003C658E" w:rsidP="00F90FF6">
            <w:pPr>
              <w:pStyle w:val="citation"/>
              <w:ind w:left="0"/>
              <w:jc w:val="center"/>
              <w:rPr>
                <w:sz w:val="12"/>
                <w:szCs w:val="12"/>
              </w:rPr>
            </w:pPr>
            <w:r w:rsidRPr="007C2AA6">
              <w:rPr>
                <w:sz w:val="12"/>
                <w:szCs w:val="12"/>
              </w:rPr>
              <w:t>Sonométrie (</w:t>
            </w:r>
            <w:proofErr w:type="spellStart"/>
            <w:r w:rsidRPr="007C2AA6">
              <w:rPr>
                <w:sz w:val="12"/>
                <w:szCs w:val="12"/>
              </w:rPr>
              <w:t>Danière</w:t>
            </w:r>
            <w:proofErr w:type="spellEnd"/>
            <w:r w:rsidRPr="007C2AA6">
              <w:rPr>
                <w:sz w:val="12"/>
                <w:szCs w:val="12"/>
              </w:rPr>
              <w:t xml:space="preserve"> et al, 1992)</w:t>
            </w:r>
          </w:p>
          <w:p w14:paraId="7FB041B0" w14:textId="77777777" w:rsidR="003C658E" w:rsidRPr="007C2AA6" w:rsidRDefault="003C658E" w:rsidP="003C658E">
            <w:pPr>
              <w:pStyle w:val="citation"/>
              <w:ind w:left="0"/>
              <w:jc w:val="center"/>
              <w:rPr>
                <w:sz w:val="12"/>
                <w:szCs w:val="12"/>
              </w:rPr>
            </w:pPr>
            <w:r w:rsidRPr="007C2AA6">
              <w:rPr>
                <w:sz w:val="12"/>
                <w:szCs w:val="12"/>
              </w:rPr>
              <w:t>Présence de bruits d’impact</w:t>
            </w:r>
          </w:p>
        </w:tc>
      </w:tr>
      <w:tr w:rsidR="003C658E" w:rsidRPr="007C2AA6" w14:paraId="67606932" w14:textId="77777777" w:rsidTr="007C2AA6">
        <w:tc>
          <w:tcPr>
            <w:tcW w:w="2835" w:type="dxa"/>
          </w:tcPr>
          <w:p w14:paraId="31A3F861" w14:textId="77777777" w:rsidR="003C658E" w:rsidRPr="007C2AA6" w:rsidRDefault="003C658E" w:rsidP="00F90FF6">
            <w:pPr>
              <w:pStyle w:val="citation"/>
              <w:ind w:left="0"/>
              <w:jc w:val="center"/>
              <w:rPr>
                <w:sz w:val="12"/>
                <w:szCs w:val="12"/>
              </w:rPr>
            </w:pPr>
            <w:r w:rsidRPr="007C2AA6">
              <w:rPr>
                <w:sz w:val="12"/>
                <w:szCs w:val="12"/>
              </w:rPr>
              <w:t>Dose d’exposition en carrière</w:t>
            </w:r>
          </w:p>
        </w:tc>
        <w:tc>
          <w:tcPr>
            <w:tcW w:w="1985" w:type="dxa"/>
          </w:tcPr>
          <w:p w14:paraId="7A7C75E7" w14:textId="77777777" w:rsidR="003C658E" w:rsidRPr="007C2AA6" w:rsidRDefault="003C658E" w:rsidP="00F90FF6">
            <w:pPr>
              <w:pStyle w:val="citation"/>
              <w:ind w:left="0"/>
              <w:jc w:val="center"/>
              <w:rPr>
                <w:sz w:val="12"/>
                <w:szCs w:val="12"/>
              </w:rPr>
            </w:pPr>
            <w:r w:rsidRPr="007C2AA6">
              <w:rPr>
                <w:sz w:val="12"/>
                <w:szCs w:val="12"/>
              </w:rPr>
              <w:t>69 520 heures</w:t>
            </w:r>
          </w:p>
        </w:tc>
        <w:tc>
          <w:tcPr>
            <w:tcW w:w="3119" w:type="dxa"/>
          </w:tcPr>
          <w:p w14:paraId="13C428DD" w14:textId="77777777" w:rsidR="003C658E" w:rsidRPr="007C2AA6" w:rsidRDefault="003C658E" w:rsidP="00F90FF6">
            <w:pPr>
              <w:pStyle w:val="citation"/>
              <w:ind w:left="0"/>
              <w:jc w:val="center"/>
              <w:rPr>
                <w:sz w:val="12"/>
                <w:szCs w:val="12"/>
              </w:rPr>
            </w:pPr>
            <w:r w:rsidRPr="007C2AA6">
              <w:rPr>
                <w:sz w:val="12"/>
                <w:szCs w:val="12"/>
              </w:rPr>
              <w:t xml:space="preserve">85,0 </w:t>
            </w:r>
            <w:proofErr w:type="spellStart"/>
            <w:r w:rsidRPr="007C2AA6">
              <w:rPr>
                <w:sz w:val="12"/>
                <w:szCs w:val="12"/>
              </w:rPr>
              <w:t>dBA</w:t>
            </w:r>
            <w:proofErr w:type="spellEnd"/>
          </w:p>
        </w:tc>
      </w:tr>
    </w:tbl>
    <w:p w14:paraId="78B084DE" w14:textId="77777777" w:rsidR="0058179A" w:rsidRPr="001979C3" w:rsidRDefault="007C2AA6" w:rsidP="001979C3">
      <w:pPr>
        <w:pStyle w:val="citation"/>
        <w:tabs>
          <w:tab w:val="left" w:pos="1134"/>
        </w:tabs>
        <w:ind w:left="1134" w:hanging="279"/>
        <w:rPr>
          <w:sz w:val="16"/>
          <w:szCs w:val="16"/>
        </w:rPr>
      </w:pPr>
      <w:r>
        <w:t>*</w:t>
      </w:r>
      <w:r w:rsidR="001979C3">
        <w:tab/>
      </w:r>
      <w:r w:rsidRPr="001979C3">
        <w:rPr>
          <w:sz w:val="16"/>
          <w:szCs w:val="16"/>
        </w:rPr>
        <w:t xml:space="preserve">Un niveau de bruit de 75 </w:t>
      </w:r>
      <w:proofErr w:type="spellStart"/>
      <w:r w:rsidRPr="001979C3">
        <w:rPr>
          <w:sz w:val="16"/>
          <w:szCs w:val="16"/>
        </w:rPr>
        <w:t>dBA</w:t>
      </w:r>
      <w:proofErr w:type="spellEnd"/>
      <w:r w:rsidRPr="001979C3">
        <w:rPr>
          <w:sz w:val="16"/>
          <w:szCs w:val="16"/>
        </w:rPr>
        <w:t xml:space="preserve"> pour 8 heures d’exposition a été attribué aux postes de travail pour lesquels aucune donnée</w:t>
      </w:r>
      <w:r w:rsidR="001979C3" w:rsidRPr="001979C3">
        <w:rPr>
          <w:sz w:val="16"/>
          <w:szCs w:val="16"/>
        </w:rPr>
        <w:t xml:space="preserve"> d’exposition n’est disponible. Le niveau de 75 </w:t>
      </w:r>
      <w:proofErr w:type="spellStart"/>
      <w:r w:rsidR="001979C3" w:rsidRPr="001979C3">
        <w:rPr>
          <w:sz w:val="16"/>
          <w:szCs w:val="16"/>
        </w:rPr>
        <w:t>dBA</w:t>
      </w:r>
      <w:proofErr w:type="spellEnd"/>
      <w:r w:rsidR="001979C3" w:rsidRPr="001979C3">
        <w:rPr>
          <w:sz w:val="16"/>
          <w:szCs w:val="16"/>
        </w:rPr>
        <w:t xml:space="preserve"> a été retenu parce qu’il ne représente aucun risque d’atteinte à l’audition (OMS,1999).</w:t>
      </w:r>
    </w:p>
    <w:p w14:paraId="26E63375" w14:textId="77777777" w:rsidR="001979C3" w:rsidRDefault="001979C3" w:rsidP="001979C3">
      <w:pPr>
        <w:pStyle w:val="citation"/>
        <w:ind w:left="993" w:hanging="696"/>
        <w:rPr>
          <w:sz w:val="16"/>
          <w:szCs w:val="16"/>
        </w:rPr>
      </w:pPr>
    </w:p>
    <w:p w14:paraId="6850DE40" w14:textId="77777777" w:rsidR="001979C3" w:rsidRDefault="001979C3" w:rsidP="0058179A">
      <w:pPr>
        <w:pStyle w:val="citation"/>
        <w:ind w:left="1416" w:hanging="696"/>
        <w:rPr>
          <w:sz w:val="16"/>
          <w:szCs w:val="16"/>
        </w:rPr>
      </w:pPr>
    </w:p>
    <w:p w14:paraId="016B39C9" w14:textId="77777777" w:rsidR="001979C3" w:rsidRDefault="001979C3" w:rsidP="001979C3">
      <w:pPr>
        <w:pStyle w:val="citation"/>
        <w:ind w:left="709" w:firstLine="11"/>
        <w:rPr>
          <w:sz w:val="16"/>
          <w:szCs w:val="16"/>
        </w:rPr>
      </w:pPr>
      <w:r>
        <w:rPr>
          <w:sz w:val="16"/>
          <w:szCs w:val="16"/>
        </w:rPr>
        <w:t>La formule ci-dessous permet de calculer un niveau équivalent continu d’exposition au bruit sur l’ensemble de la carrière (69 520 heures d’exposition au bruit, équivalent à 34,8 années d’exposition à 2000 heures/année) :</w:t>
      </w:r>
    </w:p>
    <w:p w14:paraId="09948327" w14:textId="77777777" w:rsidR="001979C3" w:rsidRDefault="001979C3" w:rsidP="0058179A">
      <w:pPr>
        <w:pStyle w:val="citation"/>
        <w:ind w:left="1416" w:hanging="696"/>
        <w:rPr>
          <w:sz w:val="16"/>
          <w:szCs w:val="16"/>
        </w:rPr>
      </w:pPr>
    </w:p>
    <w:p w14:paraId="21782C50" w14:textId="77777777" w:rsidR="00D37778" w:rsidRDefault="001979C3" w:rsidP="00F30265">
      <w:pPr>
        <w:pStyle w:val="citation"/>
        <w:ind w:left="1416" w:hanging="696"/>
        <w:jc w:val="center"/>
        <w:rPr>
          <w:b/>
          <w:sz w:val="18"/>
          <w:szCs w:val="18"/>
          <w:vertAlign w:val="superscript"/>
        </w:rPr>
      </w:pPr>
      <w:r w:rsidRPr="007319D3">
        <w:rPr>
          <w:rFonts w:ascii="Cambria Math" w:hAnsi="Cambria Math"/>
          <w:b/>
          <w:i/>
          <w:sz w:val="18"/>
          <w:szCs w:val="18"/>
        </w:rPr>
        <w:t>L</w:t>
      </w:r>
      <w:r w:rsidRPr="007319D3">
        <w:rPr>
          <w:rFonts w:ascii="Cambria Math" w:hAnsi="Cambria Math"/>
          <w:b/>
          <w:sz w:val="18"/>
          <w:szCs w:val="18"/>
          <w:vertAlign w:val="subscript"/>
        </w:rPr>
        <w:t>Aeq.7304</w:t>
      </w:r>
      <w:proofErr w:type="gramStart"/>
      <w:r w:rsidRPr="007319D3">
        <w:rPr>
          <w:rFonts w:ascii="Cambria Math" w:hAnsi="Cambria Math"/>
          <w:b/>
          <w:sz w:val="18"/>
          <w:szCs w:val="18"/>
          <w:vertAlign w:val="subscript"/>
        </w:rPr>
        <w:t>%  </w:t>
      </w:r>
      <w:r w:rsidRPr="007319D3">
        <w:rPr>
          <w:rFonts w:ascii="Cambria Math" w:hAnsi="Cambria Math"/>
          <w:b/>
          <w:sz w:val="18"/>
          <w:szCs w:val="18"/>
          <w:vertAlign w:val="superscript"/>
        </w:rPr>
        <w:t>=</w:t>
      </w:r>
      <w:proofErr w:type="gramEnd"/>
      <w:r w:rsidRPr="007319D3">
        <w:rPr>
          <w:rFonts w:ascii="Cambria Math" w:hAnsi="Cambria Math"/>
          <w:b/>
          <w:sz w:val="18"/>
          <w:szCs w:val="18"/>
          <w:vertAlign w:val="superscript"/>
        </w:rPr>
        <w:t xml:space="preserve"> 10</w:t>
      </w:r>
      <w:r w:rsidRPr="00D37778">
        <w:rPr>
          <w:b/>
          <w:sz w:val="18"/>
          <w:szCs w:val="18"/>
          <w:vertAlign w:val="superscript"/>
        </w:rPr>
        <w:t>log</w:t>
      </w:r>
      <m:oMath>
        <m:d>
          <m:dPr>
            <m:begChr m:val="["/>
            <m:endChr m:val="]"/>
            <m:ctrlPr>
              <w:rPr>
                <w:rFonts w:ascii="Cambria Math" w:hAnsi="Cambria Math"/>
                <w:b/>
                <w:i/>
                <w:sz w:val="18"/>
                <w:szCs w:val="18"/>
                <w:vertAlign w:val="superscript"/>
              </w:rPr>
            </m:ctrlPr>
          </m:dPr>
          <m:e>
            <m:m>
              <m:mPr>
                <m:mcs>
                  <m:mc>
                    <m:mcPr>
                      <m:count m:val="2"/>
                      <m:mcJc m:val="center"/>
                    </m:mcPr>
                  </m:mc>
                </m:mcs>
                <m:ctrlPr>
                  <w:rPr>
                    <w:rFonts w:ascii="Cambria Math" w:hAnsi="Cambria Math"/>
                    <w:b/>
                    <w:i/>
                    <w:sz w:val="18"/>
                    <w:szCs w:val="18"/>
                    <w:vertAlign w:val="superscript"/>
                  </w:rPr>
                </m:ctrlPr>
              </m:mPr>
              <m:mr>
                <m:e>
                  <m:f>
                    <m:fPr>
                      <m:ctrlPr>
                        <w:rPr>
                          <w:rFonts w:ascii="Cambria Math" w:hAnsi="Cambria Math"/>
                          <w:b/>
                          <w:i/>
                          <w:sz w:val="18"/>
                          <w:szCs w:val="18"/>
                          <w:vertAlign w:val="superscript"/>
                        </w:rPr>
                      </m:ctrlPr>
                    </m:fPr>
                    <m:num>
                      <m:r>
                        <m:rPr>
                          <m:sty m:val="bi"/>
                        </m:rPr>
                        <w:rPr>
                          <w:rFonts w:ascii="Cambria Math" w:hAnsi="Cambria Math"/>
                          <w:sz w:val="18"/>
                          <w:szCs w:val="18"/>
                          <w:vertAlign w:val="superscript"/>
                        </w:rPr>
                        <m:t>1</m:t>
                      </m:r>
                    </m:num>
                    <m:den>
                      <m:r>
                        <m:rPr>
                          <m:sty m:val="bi"/>
                        </m:rPr>
                        <w:rPr>
                          <w:rFonts w:ascii="Cambria Math" w:hAnsi="Cambria Math"/>
                          <w:sz w:val="18"/>
                          <w:szCs w:val="18"/>
                          <w:vertAlign w:val="superscript"/>
                        </w:rPr>
                        <m:t>69520</m:t>
                      </m:r>
                    </m:den>
                  </m:f>
                </m:e>
                <m:e>
                  <m:nary>
                    <m:naryPr>
                      <m:chr m:val="∑"/>
                      <m:limLoc m:val="undOvr"/>
                      <m:ctrlPr>
                        <w:rPr>
                          <w:rFonts w:ascii="Cambria Math" w:hAnsi="Cambria Math"/>
                          <w:b/>
                          <w:i/>
                          <w:sz w:val="18"/>
                          <w:szCs w:val="18"/>
                          <w:vertAlign w:val="superscript"/>
                        </w:rPr>
                      </m:ctrlPr>
                    </m:naryPr>
                    <m:sub>
                      <m:r>
                        <m:rPr>
                          <m:sty m:val="bi"/>
                        </m:rPr>
                        <w:rPr>
                          <w:rFonts w:ascii="Cambria Math" w:hAnsi="Cambria Math"/>
                          <w:sz w:val="18"/>
                          <w:szCs w:val="18"/>
                          <w:vertAlign w:val="superscript"/>
                        </w:rPr>
                        <m:t>n</m:t>
                      </m:r>
                    </m:sub>
                    <m:sup>
                      <m:r>
                        <m:rPr>
                          <m:sty m:val="bi"/>
                        </m:rPr>
                        <w:rPr>
                          <w:rFonts w:ascii="Cambria Math" w:hAnsi="Cambria Math"/>
                          <w:sz w:val="18"/>
                          <w:szCs w:val="18"/>
                          <w:vertAlign w:val="superscript"/>
                        </w:rPr>
                        <m:t>n</m:t>
                      </m:r>
                    </m:sup>
                    <m:e>
                      <m:r>
                        <m:rPr>
                          <m:sty m:val="bi"/>
                        </m:rPr>
                        <w:rPr>
                          <w:rFonts w:ascii="Cambria Math" w:hAnsi="Cambria Math"/>
                          <w:sz w:val="18"/>
                          <w:szCs w:val="18"/>
                          <w:vertAlign w:val="superscript"/>
                        </w:rPr>
                        <m:t>ti</m:t>
                      </m:r>
                      <m:r>
                        <m:rPr>
                          <m:sty m:val="bi"/>
                        </m:rPr>
                        <w:rPr>
                          <w:rFonts w:ascii="Cambria Math" w:hAnsi="Cambria Math"/>
                          <w:sz w:val="18"/>
                          <w:szCs w:val="18"/>
                          <w:vertAlign w:val="superscript"/>
                        </w:rPr>
                        <m:t>10</m:t>
                      </m:r>
                      <m:f>
                        <m:fPr>
                          <m:type m:val="skw"/>
                          <m:ctrlPr>
                            <w:rPr>
                              <w:rFonts w:ascii="Cambria Math" w:hAnsi="Cambria Math"/>
                              <w:b/>
                              <w:i/>
                              <w:sz w:val="18"/>
                              <w:szCs w:val="18"/>
                              <w:vertAlign w:val="superscript"/>
                            </w:rPr>
                          </m:ctrlPr>
                        </m:fPr>
                        <m:num>
                          <m:r>
                            <m:rPr>
                              <m:sty m:val="bi"/>
                            </m:rPr>
                            <w:rPr>
                              <w:rFonts w:ascii="Cambria Math" w:hAnsi="Cambria Math"/>
                              <w:sz w:val="18"/>
                              <w:szCs w:val="18"/>
                              <w:vertAlign w:val="superscript"/>
                            </w:rPr>
                            <m:t>Li</m:t>
                          </m:r>
                        </m:num>
                        <m:den>
                          <m:r>
                            <m:rPr>
                              <m:sty m:val="bi"/>
                            </m:rPr>
                            <w:rPr>
                              <w:rFonts w:ascii="Cambria Math" w:hAnsi="Cambria Math"/>
                              <w:sz w:val="18"/>
                              <w:szCs w:val="18"/>
                              <w:vertAlign w:val="superscript"/>
                            </w:rPr>
                            <m:t>10</m:t>
                          </m:r>
                        </m:den>
                      </m:f>
                    </m:e>
                  </m:nary>
                </m:e>
              </m:mr>
              <m:mr>
                <m:e>
                  <m:r>
                    <m:rPr>
                      <m:sty m:val="bi"/>
                    </m:rPr>
                    <w:rPr>
                      <w:rFonts w:ascii="Cambria Math" w:hAnsi="Cambria Math"/>
                      <w:sz w:val="18"/>
                      <w:szCs w:val="18"/>
                      <w:vertAlign w:val="superscript"/>
                    </w:rPr>
                    <m:t xml:space="preserve"> </m:t>
                  </m:r>
                </m:e>
                <m:e>
                  <m:r>
                    <m:rPr>
                      <m:sty m:val="bi"/>
                    </m:rPr>
                    <w:rPr>
                      <w:rFonts w:ascii="Cambria Math" w:hAnsi="Cambria Math"/>
                      <w:sz w:val="18"/>
                      <w:szCs w:val="18"/>
                      <w:vertAlign w:val="superscript"/>
                    </w:rPr>
                    <m:t xml:space="preserve"> </m:t>
                  </m:r>
                </m:e>
              </m:mr>
            </m:m>
          </m:e>
        </m:d>
      </m:oMath>
      <w:r w:rsidR="00D37778" w:rsidRPr="00D37778">
        <w:rPr>
          <w:b/>
          <w:sz w:val="18"/>
          <w:szCs w:val="18"/>
          <w:vertAlign w:val="superscript"/>
        </w:rPr>
        <w:t xml:space="preserve">  </w:t>
      </w:r>
    </w:p>
    <w:p w14:paraId="1A48C06F" w14:textId="77777777" w:rsidR="002F284F" w:rsidRDefault="002F284F" w:rsidP="00F30265">
      <w:pPr>
        <w:pStyle w:val="citation"/>
        <w:ind w:left="1416" w:hanging="696"/>
        <w:jc w:val="center"/>
        <w:rPr>
          <w:b/>
          <w:sz w:val="18"/>
          <w:szCs w:val="18"/>
          <w:vertAlign w:val="superscript"/>
        </w:rPr>
      </w:pPr>
    </w:p>
    <w:p w14:paraId="740B2977" w14:textId="77777777" w:rsidR="0058179A" w:rsidRPr="00851C0B" w:rsidRDefault="00D37778" w:rsidP="002F284F">
      <w:pPr>
        <w:pStyle w:val="citation"/>
        <w:ind w:left="709" w:hanging="1"/>
        <w:rPr>
          <w:sz w:val="16"/>
          <w:szCs w:val="16"/>
        </w:rPr>
      </w:pPr>
      <w:proofErr w:type="gramStart"/>
      <w:r w:rsidRPr="00851C0B">
        <w:rPr>
          <w:sz w:val="16"/>
          <w:szCs w:val="16"/>
        </w:rPr>
        <w:t>où</w:t>
      </w:r>
      <w:proofErr w:type="gramEnd"/>
      <w:r w:rsidRPr="00851C0B">
        <w:rPr>
          <w:sz w:val="16"/>
          <w:szCs w:val="16"/>
        </w:rPr>
        <w:t xml:space="preserve"> </w:t>
      </w:r>
      <w:r w:rsidRPr="00851C0B">
        <w:rPr>
          <w:i/>
          <w:sz w:val="16"/>
          <w:szCs w:val="16"/>
        </w:rPr>
        <w:t xml:space="preserve">ti </w:t>
      </w:r>
      <w:r w:rsidRPr="00851C0B">
        <w:rPr>
          <w:sz w:val="16"/>
          <w:szCs w:val="16"/>
        </w:rPr>
        <w:t xml:space="preserve">correspond à la durée d’exposition pour la période </w:t>
      </w:r>
      <w:r w:rsidRPr="00851C0B">
        <w:rPr>
          <w:i/>
          <w:sz w:val="16"/>
          <w:szCs w:val="16"/>
        </w:rPr>
        <w:t>i</w:t>
      </w:r>
      <w:r w:rsidRPr="00851C0B">
        <w:rPr>
          <w:sz w:val="16"/>
          <w:szCs w:val="16"/>
        </w:rPr>
        <w:t xml:space="preserve">, en heures, et où </w:t>
      </w:r>
      <w:r w:rsidRPr="00851C0B">
        <w:rPr>
          <w:i/>
          <w:sz w:val="16"/>
          <w:szCs w:val="16"/>
        </w:rPr>
        <w:t>Li</w:t>
      </w:r>
      <w:r w:rsidRPr="00851C0B">
        <w:rPr>
          <w:sz w:val="16"/>
          <w:szCs w:val="16"/>
        </w:rPr>
        <w:t xml:space="preserve"> correspond au niveau de la période </w:t>
      </w:r>
      <w:r w:rsidR="002F284F" w:rsidRPr="002F284F">
        <w:rPr>
          <w:i/>
          <w:sz w:val="16"/>
          <w:szCs w:val="16"/>
        </w:rPr>
        <w:t>i</w:t>
      </w:r>
      <w:r w:rsidRPr="00851C0B">
        <w:rPr>
          <w:i/>
          <w:sz w:val="16"/>
          <w:szCs w:val="16"/>
        </w:rPr>
        <w:t>.</w:t>
      </w:r>
    </w:p>
    <w:p w14:paraId="6B42B932" w14:textId="77777777" w:rsidR="00D37778" w:rsidRPr="00851C0B" w:rsidRDefault="00D37778" w:rsidP="0058179A">
      <w:pPr>
        <w:pStyle w:val="citation"/>
        <w:ind w:left="1416" w:hanging="696"/>
        <w:rPr>
          <w:sz w:val="16"/>
          <w:szCs w:val="16"/>
        </w:rPr>
      </w:pPr>
    </w:p>
    <w:p w14:paraId="79C79817" w14:textId="77777777" w:rsidR="00D37778" w:rsidRPr="00851C0B" w:rsidRDefault="00D37778" w:rsidP="00D37778">
      <w:pPr>
        <w:pStyle w:val="citation"/>
        <w:rPr>
          <w:sz w:val="16"/>
          <w:szCs w:val="16"/>
        </w:rPr>
      </w:pPr>
      <w:r w:rsidRPr="00851C0B">
        <w:rPr>
          <w:sz w:val="16"/>
          <w:szCs w:val="16"/>
        </w:rPr>
        <w:t xml:space="preserve">À l’aide de cette formule, le niveau d’équivalent d’exposition continue au bruit sur l’ensemble de la carrière </w:t>
      </w:r>
      <w:r w:rsidR="002F284F">
        <w:rPr>
          <w:sz w:val="16"/>
          <w:szCs w:val="16"/>
        </w:rPr>
        <w:t>de M. </w:t>
      </w:r>
      <w:r w:rsidRPr="00851C0B">
        <w:rPr>
          <w:sz w:val="16"/>
          <w:szCs w:val="16"/>
        </w:rPr>
        <w:t xml:space="preserve">Lajeunesse est estimé à 85,0 </w:t>
      </w:r>
      <w:proofErr w:type="spellStart"/>
      <w:r w:rsidRPr="00851C0B">
        <w:rPr>
          <w:sz w:val="16"/>
          <w:szCs w:val="16"/>
        </w:rPr>
        <w:t>dBA</w:t>
      </w:r>
      <w:proofErr w:type="spellEnd"/>
      <w:r w:rsidRPr="00851C0B">
        <w:rPr>
          <w:sz w:val="16"/>
          <w:szCs w:val="16"/>
        </w:rPr>
        <w:t xml:space="preserve"> durant 34,8 années.</w:t>
      </w:r>
    </w:p>
    <w:p w14:paraId="79229DF7" w14:textId="77777777" w:rsidR="007319D3" w:rsidRPr="00F7528A" w:rsidRDefault="007319D3" w:rsidP="00D37778">
      <w:pPr>
        <w:pStyle w:val="citation"/>
        <w:rPr>
          <w:sz w:val="22"/>
          <w:szCs w:val="22"/>
        </w:rPr>
      </w:pPr>
    </w:p>
    <w:p w14:paraId="4013176C" w14:textId="77777777" w:rsidR="002F284F" w:rsidRPr="00F7528A" w:rsidRDefault="002F284F" w:rsidP="00D37778">
      <w:pPr>
        <w:pStyle w:val="citation"/>
        <w:rPr>
          <w:sz w:val="22"/>
          <w:szCs w:val="22"/>
        </w:rPr>
      </w:pPr>
    </w:p>
    <w:p w14:paraId="37766C77" w14:textId="77777777" w:rsidR="0058179A" w:rsidRDefault="007319D3" w:rsidP="007319D3">
      <w:pPr>
        <w:pStyle w:val="corpsdedcision"/>
      </w:pPr>
      <w:r>
        <w:t>En conclusion, monsieur Leroux indique ce qui suit :</w:t>
      </w:r>
    </w:p>
    <w:p w14:paraId="552BF017" w14:textId="77777777" w:rsidR="007319D3" w:rsidRDefault="007319D3" w:rsidP="007319D3">
      <w:pPr>
        <w:pStyle w:val="citation"/>
      </w:pPr>
      <w:r>
        <w:rPr>
          <w:b/>
          <w:u w:val="single"/>
        </w:rPr>
        <w:t>Conclusions</w:t>
      </w:r>
    </w:p>
    <w:p w14:paraId="11A67A8D" w14:textId="77777777" w:rsidR="007319D3" w:rsidRDefault="007319D3" w:rsidP="007319D3">
      <w:pPr>
        <w:pStyle w:val="citation"/>
      </w:pPr>
    </w:p>
    <w:p w14:paraId="3AB81EAF" w14:textId="77777777" w:rsidR="007319D3" w:rsidRDefault="007319D3" w:rsidP="007319D3">
      <w:pPr>
        <w:pStyle w:val="citation"/>
      </w:pPr>
      <w:r>
        <w:t>L’analyse de ces données montre :</w:t>
      </w:r>
    </w:p>
    <w:p w14:paraId="447DE089" w14:textId="77777777" w:rsidR="007319D3" w:rsidRDefault="007319D3" w:rsidP="007319D3">
      <w:pPr>
        <w:pStyle w:val="citation"/>
      </w:pPr>
    </w:p>
    <w:p w14:paraId="2C1BD41E" w14:textId="77777777" w:rsidR="007319D3" w:rsidRDefault="007319D3" w:rsidP="007319D3">
      <w:pPr>
        <w:pStyle w:val="citation"/>
        <w:tabs>
          <w:tab w:val="left" w:pos="1134"/>
          <w:tab w:val="left" w:pos="1560"/>
        </w:tabs>
        <w:ind w:left="1560" w:hanging="840"/>
      </w:pPr>
      <w:r>
        <w:tab/>
        <w:t>1)</w:t>
      </w:r>
      <w:r>
        <w:tab/>
        <w:t xml:space="preserve">que M. Lajeunesse a été exposé, chez Alex Coulombe, à des niveaux de </w:t>
      </w:r>
      <w:proofErr w:type="gramStart"/>
      <w:r>
        <w:t>bruit  continus</w:t>
      </w:r>
      <w:proofErr w:type="gramEnd"/>
      <w:r>
        <w:t xml:space="preserve"> et des bruits d’impact comportant un risque d’atteinte à l’audition tout au long de sa carrière. La présence concomitante de bruit continu et de bruit d’impact potentialise l’effet du bruit sur l’audition et accroît le risque d’atteinte. Pour plusieurs des postes occupés, des niveaux de bruit de plus de 85 dBA-8 heures ont pu être documentés par des données chez des employeurs présentant des postes semblables, par des données de la littérature et par des données recueillies récemment pour l’employeur;</w:t>
      </w:r>
    </w:p>
    <w:p w14:paraId="42A54F66" w14:textId="77777777" w:rsidR="007319D3" w:rsidRDefault="007319D3" w:rsidP="007319D3">
      <w:pPr>
        <w:pStyle w:val="citation"/>
        <w:tabs>
          <w:tab w:val="left" w:pos="1134"/>
          <w:tab w:val="left" w:pos="1560"/>
        </w:tabs>
      </w:pPr>
    </w:p>
    <w:p w14:paraId="5AE3E75A" w14:textId="77777777" w:rsidR="007319D3" w:rsidRDefault="007319D3" w:rsidP="00B025B5">
      <w:pPr>
        <w:pStyle w:val="citation"/>
        <w:tabs>
          <w:tab w:val="left" w:pos="1134"/>
          <w:tab w:val="left" w:pos="1560"/>
        </w:tabs>
        <w:ind w:left="1560" w:hanging="840"/>
      </w:pPr>
      <w:r>
        <w:tab/>
        <w:t>2)</w:t>
      </w:r>
      <w:r>
        <w:tab/>
        <w:t>qu’à partir des données d’exposition au bruit utilisant le facteur de bissection de q</w:t>
      </w:r>
      <w:r w:rsidRPr="007319D3">
        <w:rPr>
          <w:vertAlign w:val="superscript"/>
        </w:rPr>
        <w:t>=</w:t>
      </w:r>
      <w:r>
        <w:t>3, on a pu estimer une dose en carrière de 85,0</w:t>
      </w:r>
      <w:r w:rsidR="00B025B5">
        <w:t xml:space="preserve"> </w:t>
      </w:r>
      <w:proofErr w:type="spellStart"/>
      <w:r w:rsidR="00B025B5">
        <w:t>dBA</w:t>
      </w:r>
      <w:proofErr w:type="spellEnd"/>
      <w:r w:rsidR="00B025B5">
        <w:t xml:space="preserve"> sur une période de 34,8 années, laquelle entraîne un risque d’atteinte à l’audition selon l’OMS (OMS, 1999);</w:t>
      </w:r>
    </w:p>
    <w:p w14:paraId="742F45BA" w14:textId="77777777" w:rsidR="00B025B5" w:rsidRDefault="00B025B5" w:rsidP="007319D3">
      <w:pPr>
        <w:pStyle w:val="citation"/>
        <w:tabs>
          <w:tab w:val="left" w:pos="1134"/>
          <w:tab w:val="left" w:pos="1560"/>
        </w:tabs>
      </w:pPr>
    </w:p>
    <w:p w14:paraId="5492EF33" w14:textId="77777777" w:rsidR="007319D3" w:rsidRDefault="00B025B5" w:rsidP="00B025B5">
      <w:pPr>
        <w:pStyle w:val="citation"/>
        <w:tabs>
          <w:tab w:val="left" w:pos="1134"/>
          <w:tab w:val="left" w:pos="1560"/>
        </w:tabs>
        <w:ind w:left="1560" w:hanging="840"/>
      </w:pPr>
      <w:r>
        <w:tab/>
        <w:t>3)</w:t>
      </w:r>
      <w:r>
        <w:tab/>
        <w:t xml:space="preserve">que le statut auditif présenté par M. Lajeunesse pour les fréquences de 500 et 1000 Hz se situe à l’intérieur des limites de la normale et correspond à celui prédit par la norme internationale ISO-1999 (2013) pour une population d’hommes du même âge (58 ans) ayant le même nombre d’années (34,8 années) d’ancienneté d’exposition à un bruit continu de 85,0 </w:t>
      </w:r>
      <w:proofErr w:type="spellStart"/>
      <w:r>
        <w:t>dBA</w:t>
      </w:r>
      <w:proofErr w:type="spellEnd"/>
      <w:r>
        <w:t>;</w:t>
      </w:r>
    </w:p>
    <w:p w14:paraId="23EF5052" w14:textId="77777777" w:rsidR="00B025B5" w:rsidRDefault="00B025B5" w:rsidP="00B025B5">
      <w:pPr>
        <w:pStyle w:val="citation"/>
        <w:tabs>
          <w:tab w:val="left" w:pos="1134"/>
          <w:tab w:val="left" w:pos="1560"/>
        </w:tabs>
        <w:ind w:left="1560" w:hanging="840"/>
      </w:pPr>
    </w:p>
    <w:p w14:paraId="2EE916A2" w14:textId="77777777" w:rsidR="00B025B5" w:rsidRDefault="00B025B5" w:rsidP="00B025B5">
      <w:pPr>
        <w:pStyle w:val="citation"/>
        <w:tabs>
          <w:tab w:val="left" w:pos="1134"/>
          <w:tab w:val="left" w:pos="1560"/>
        </w:tabs>
        <w:ind w:left="1560" w:hanging="840"/>
      </w:pPr>
      <w:r>
        <w:tab/>
        <w:t>4)</w:t>
      </w:r>
      <w:r>
        <w:tab/>
        <w:t>qu’en plus de l’exposition au bruit en milieu de travail, M. Lajeunesse a été exposé à des bruits d’impact, des vibrations du corps entier et probablement à du monoxyde de carbone qui ont pu potentialiser les effets de l’exposition au bruit sur l’audition;</w:t>
      </w:r>
    </w:p>
    <w:p w14:paraId="3F160B36" w14:textId="77777777" w:rsidR="00B025B5" w:rsidRDefault="00B025B5" w:rsidP="00B025B5">
      <w:pPr>
        <w:pStyle w:val="citation"/>
        <w:tabs>
          <w:tab w:val="left" w:pos="1134"/>
          <w:tab w:val="left" w:pos="1560"/>
        </w:tabs>
        <w:ind w:left="1560" w:hanging="840"/>
      </w:pPr>
    </w:p>
    <w:p w14:paraId="4BB8DF99" w14:textId="77777777" w:rsidR="00B025B5" w:rsidRDefault="00B025B5" w:rsidP="00B025B5">
      <w:pPr>
        <w:pStyle w:val="citation"/>
        <w:tabs>
          <w:tab w:val="left" w:pos="1134"/>
          <w:tab w:val="left" w:pos="1560"/>
        </w:tabs>
        <w:ind w:left="1560" w:hanging="840"/>
      </w:pPr>
      <w:r>
        <w:tab/>
        <w:t>5)</w:t>
      </w:r>
      <w:r>
        <w:tab/>
      </w:r>
      <w:r w:rsidRPr="00357D09">
        <w:t>que la perte auditive présentée par M. Lajeunesse pour les fréquences entre 2000 à 800</w:t>
      </w:r>
      <w:r w:rsidR="00D4046E" w:rsidRPr="00357D09">
        <w:t>0 Hz est pire, d’environ 15 dB</w:t>
      </w:r>
      <w:r w:rsidRPr="00357D09">
        <w:t xml:space="preserve">, à celle qui peut être prédite par la norme internationale ISO-1999 (2013) pour une population d’hommes du même âge (58 ans) ayant le même nombre d’années d’ancienneté d’exposition au bruit (34,8 années). Toutefois, la norme ISO 1999 (2013) ne tient pas compte des autres facteurs recensés dans l’environnement de M. Lajeunesse (bruits d’impact, vibrations du corps entier, monoxyde de carbone) qui peuvent augmenter la nocivité des effets de l’exposition au bruit. La présence de ces facteurs dans l’environnement peut expliquer pourquoi la perte auditive de </w:t>
      </w:r>
      <w:r w:rsidR="00706AA8" w:rsidRPr="00357D09">
        <w:t>M. </w:t>
      </w:r>
      <w:r w:rsidRPr="00357D09">
        <w:t xml:space="preserve">Lajeunesse est plus importante en hautes fréquences que celle qui est prédite par la norme ISO-1999 (2013). L’ampleur de la différence observée entre les seuils auditifs de M. Lajeunesse et les seuils prédits par la norme ISO-1999 (2013), en moyenne 15 </w:t>
      </w:r>
      <w:r w:rsidR="00D4046E" w:rsidRPr="00357D09">
        <w:t>dB</w:t>
      </w:r>
      <w:r w:rsidRPr="00357D09">
        <w:t xml:space="preserve">, est compatible avec les différences observées dans la littérature pour des expositions combinées au bruit et à d’autres contaminants comme les vibrations (+3 à 4 </w:t>
      </w:r>
      <w:r w:rsidR="00985887" w:rsidRPr="00357D09">
        <w:t>dB) et le monoxyde de carbone (+</w:t>
      </w:r>
      <w:r w:rsidRPr="00357D09">
        <w:t>10</w:t>
      </w:r>
      <w:r w:rsidR="00706AA8" w:rsidRPr="00357D09">
        <w:t> </w:t>
      </w:r>
      <w:r w:rsidRPr="00357D09">
        <w:t>dB);</w:t>
      </w:r>
    </w:p>
    <w:p w14:paraId="0E66C747" w14:textId="77777777" w:rsidR="00B025B5" w:rsidRDefault="00B025B5" w:rsidP="00B025B5">
      <w:pPr>
        <w:pStyle w:val="citation"/>
        <w:tabs>
          <w:tab w:val="left" w:pos="1134"/>
          <w:tab w:val="left" w:pos="1560"/>
        </w:tabs>
        <w:ind w:left="1560" w:hanging="840"/>
      </w:pPr>
    </w:p>
    <w:p w14:paraId="17F7A857" w14:textId="77777777" w:rsidR="00B025B5" w:rsidRDefault="00706AA8" w:rsidP="00B025B5">
      <w:pPr>
        <w:pStyle w:val="citation"/>
        <w:tabs>
          <w:tab w:val="left" w:pos="1134"/>
          <w:tab w:val="left" w:pos="1560"/>
        </w:tabs>
        <w:ind w:left="1560" w:hanging="840"/>
      </w:pPr>
      <w:r>
        <w:tab/>
        <w:t>6)</w:t>
      </w:r>
      <w:r>
        <w:tab/>
        <w:t xml:space="preserve">considérant qu’en basses fréquences (250 à 1000 Hz), les seuils auditifs se situent à l’intérieur des limites de la normale et que, par ailleurs, le statut auditif de M. Lajeunesse correspond à celui prédit par la norme ISO-1999 (2013) pour ces fréquences, on peut également exclure que la condition cardiaque et le diabète de type 2 qu’il présente aient pu contribuer à sa perte auditive. </w:t>
      </w:r>
      <w:r w:rsidRPr="00357D09">
        <w:t xml:space="preserve">La littérature scientifique démontre que ces maladies affectent principalement les seuils auditifs en basses fréquences, alors </w:t>
      </w:r>
      <w:r w:rsidR="008465D5" w:rsidRPr="00357D09">
        <w:t>que la perte auditive présentée</w:t>
      </w:r>
      <w:r w:rsidRPr="00357D09">
        <w:t xml:space="preserve"> par M. Lajeunesse affecte les fréquences plus </w:t>
      </w:r>
      <w:proofErr w:type="spellStart"/>
      <w:r w:rsidRPr="00357D09">
        <w:t>aigues</w:t>
      </w:r>
      <w:proofErr w:type="spellEnd"/>
      <w:r w:rsidRPr="00357D09">
        <w:t xml:space="preserve"> entre 2000 et 8000 Hz.</w:t>
      </w:r>
    </w:p>
    <w:p w14:paraId="1301D844" w14:textId="77777777" w:rsidR="00706AA8" w:rsidRDefault="00706AA8" w:rsidP="00B025B5">
      <w:pPr>
        <w:pStyle w:val="citation"/>
        <w:tabs>
          <w:tab w:val="left" w:pos="1134"/>
          <w:tab w:val="left" w:pos="1560"/>
        </w:tabs>
        <w:ind w:left="1560" w:hanging="840"/>
      </w:pPr>
    </w:p>
    <w:p w14:paraId="48D26731" w14:textId="77777777" w:rsidR="00706AA8" w:rsidRDefault="00706AA8" w:rsidP="00706AA8">
      <w:pPr>
        <w:pStyle w:val="citation"/>
        <w:tabs>
          <w:tab w:val="left" w:pos="851"/>
          <w:tab w:val="left" w:pos="1134"/>
        </w:tabs>
        <w:ind w:left="709" w:firstLine="11"/>
      </w:pPr>
      <w:r>
        <w:t xml:space="preserve">Ces observations m’amènent à conclure que l’exposition au bruit en milieu de travail, </w:t>
      </w:r>
      <w:r w:rsidRPr="00357D09">
        <w:t>considérant la présence d’autres contaminants</w:t>
      </w:r>
      <w:r>
        <w:t xml:space="preserve"> (vibrations du corps entier et monoxyde de carbone), subie par ce </w:t>
      </w:r>
      <w:r w:rsidRPr="00A72CF6">
        <w:t>travailleur</w:t>
      </w:r>
      <w:r>
        <w:t xml:space="preserve"> est reliée à la surdité neurosensorielle bilatérale symétrique qu’il présente. Les divers postes de travail occupés chez Alex Coulombe ont présenté des niveaux </w:t>
      </w:r>
      <w:r w:rsidRPr="00357D09">
        <w:t>de bruits excessifs</w:t>
      </w:r>
      <w:r>
        <w:t xml:space="preserve"> sur une longue période d’exposition entraînant un risque d’atteinte à l’audition. Ce risque est précisé par l’Organisation mondiale de la santé qui </w:t>
      </w:r>
      <w:proofErr w:type="spellStart"/>
      <w:r>
        <w:t>établi</w:t>
      </w:r>
      <w:proofErr w:type="spellEnd"/>
      <w:r>
        <w:t xml:space="preserve"> </w:t>
      </w:r>
      <w:r w:rsidR="008465D5" w:rsidRPr="00AF0AFD">
        <w:rPr>
          <w:rFonts w:cs="Arial"/>
        </w:rPr>
        <w:t>[</w:t>
      </w:r>
      <w:r w:rsidR="008465D5" w:rsidRPr="00AF0AFD">
        <w:rPr>
          <w:rFonts w:cs="Arial"/>
          <w:i/>
        </w:rPr>
        <w:t>sic</w:t>
      </w:r>
      <w:r w:rsidR="008465D5" w:rsidRPr="00AF0AFD">
        <w:rPr>
          <w:rFonts w:cs="Arial"/>
        </w:rPr>
        <w:t>]</w:t>
      </w:r>
      <w:r w:rsidR="008465D5">
        <w:t xml:space="preserve"> </w:t>
      </w:r>
      <w:r>
        <w:t xml:space="preserve">à 75 dB(A) pour 8 heures de travail le niveau ne présentant aucun risque d’atteinte à </w:t>
      </w:r>
      <w:r w:rsidRPr="00357D09">
        <w:t>l’audition pour une période d’exposit</w:t>
      </w:r>
      <w:r w:rsidR="008465D5" w:rsidRPr="00357D09">
        <w:t>ion s’approchant de 40 ans</w:t>
      </w:r>
      <w:r w:rsidR="008465D5">
        <w:t xml:space="preserve"> (OMS, </w:t>
      </w:r>
      <w:r>
        <w:t>1999).</w:t>
      </w:r>
    </w:p>
    <w:p w14:paraId="4ACDAF5F" w14:textId="77777777" w:rsidR="007319D3" w:rsidRPr="007319D3" w:rsidRDefault="007319D3" w:rsidP="007319D3">
      <w:pPr>
        <w:pStyle w:val="citation"/>
      </w:pPr>
    </w:p>
    <w:p w14:paraId="4FCDB0EB" w14:textId="77777777" w:rsidR="0058179A" w:rsidRDefault="00706AA8" w:rsidP="00706AA8">
      <w:pPr>
        <w:pStyle w:val="citation"/>
        <w:ind w:left="709" w:firstLine="11"/>
      </w:pPr>
      <w:r>
        <w:t xml:space="preserve">Finalement, la revue des antécédents personnels, familiaux et médicaux a montré que la perte auditive présentée par ce </w:t>
      </w:r>
      <w:r w:rsidRPr="00A72CF6">
        <w:t>travailleur</w:t>
      </w:r>
      <w:r>
        <w:t xml:space="preserve"> ne peut être raisonnablement attribuée à aucune autre cause. En conclusion, le lien entre l’exposition au bruit en milieu de travail et la perte auditive présentée par M. Lajeunesse ne fait aucun doute.</w:t>
      </w:r>
    </w:p>
    <w:p w14:paraId="2109064F" w14:textId="77777777" w:rsidR="0058179A" w:rsidRDefault="0058179A" w:rsidP="0058179A">
      <w:pPr>
        <w:pStyle w:val="citation"/>
        <w:ind w:left="1416" w:hanging="696"/>
      </w:pPr>
    </w:p>
    <w:p w14:paraId="7243BD7E" w14:textId="77777777" w:rsidR="0058179A" w:rsidRDefault="0058179A" w:rsidP="0058179A">
      <w:pPr>
        <w:pStyle w:val="citation"/>
        <w:ind w:left="1416" w:hanging="696"/>
      </w:pPr>
    </w:p>
    <w:p w14:paraId="2BC97ED7" w14:textId="77777777" w:rsidR="00B5451F" w:rsidRDefault="00B5451F" w:rsidP="00E45893">
      <w:pPr>
        <w:pStyle w:val="corpsdedcision"/>
      </w:pPr>
      <w:r>
        <w:t>Le docteur Bertrand</w:t>
      </w:r>
      <w:r w:rsidR="00E45893">
        <w:t>, ayant pris</w:t>
      </w:r>
      <w:r>
        <w:t xml:space="preserve"> connaissance du rapport d’analyse de bruit effectuée les 2, 3, 23 et 24 juillet 2014 chez l’employeur et du rapport</w:t>
      </w:r>
      <w:r w:rsidR="00E45893">
        <w:t xml:space="preserve"> d’expertise de monsieur Leroux, </w:t>
      </w:r>
      <w:r>
        <w:t>produit un rapport complémentaire le 9 septembre 2014.</w:t>
      </w:r>
    </w:p>
    <w:p w14:paraId="6C13BF84" w14:textId="77777777" w:rsidR="00B5451F" w:rsidRDefault="00B5451F" w:rsidP="00FF4A09">
      <w:pPr>
        <w:pStyle w:val="corpsdedcision"/>
      </w:pPr>
      <w:r>
        <w:t xml:space="preserve">Quant au rapport d’analyse de bruit, il </w:t>
      </w:r>
      <w:r w:rsidR="00E45893">
        <w:t>indique ce qui suit</w:t>
      </w:r>
      <w:r>
        <w:t xml:space="preserve"> </w:t>
      </w:r>
      <w:proofErr w:type="spellStart"/>
      <w:r>
        <w:t>suit</w:t>
      </w:r>
      <w:proofErr w:type="spellEnd"/>
      <w:r>
        <w:t> :</w:t>
      </w:r>
    </w:p>
    <w:p w14:paraId="4CA71ABF" w14:textId="77777777" w:rsidR="00B5451F" w:rsidRDefault="00B5451F" w:rsidP="00B5451F">
      <w:pPr>
        <w:pStyle w:val="citation"/>
      </w:pPr>
      <w:r>
        <w:rPr>
          <w:b/>
          <w:i/>
        </w:rPr>
        <w:t>Commentaires</w:t>
      </w:r>
    </w:p>
    <w:p w14:paraId="41B9EB87" w14:textId="77777777" w:rsidR="00B5451F" w:rsidRDefault="00B5451F" w:rsidP="00B5451F">
      <w:pPr>
        <w:pStyle w:val="citation"/>
      </w:pPr>
      <w:r>
        <w:t>L’analyse des niveaux d’expositions</w:t>
      </w:r>
      <w:r w:rsidR="00653A58">
        <w:t xml:space="preserve"> obtenus lors des quatre journées d’évaluation, tant au point de vue dosimétrie que sonométrie, nous permet de conclure que la moyenne d’exposition est sécuritaire étant en moyenne inférieure à 85 </w:t>
      </w:r>
      <w:proofErr w:type="spellStart"/>
      <w:r w:rsidR="00653A58">
        <w:t>dBA</w:t>
      </w:r>
      <w:proofErr w:type="spellEnd"/>
      <w:r w:rsidR="00653A58">
        <w:t xml:space="preserve"> pour les livreurs ainsi que les aide-livreurs.</w:t>
      </w:r>
    </w:p>
    <w:p w14:paraId="148D613A" w14:textId="77777777" w:rsidR="00653A58" w:rsidRDefault="00653A58" w:rsidP="00B5451F">
      <w:pPr>
        <w:pStyle w:val="citation"/>
      </w:pPr>
    </w:p>
    <w:p w14:paraId="0ED7B6FB" w14:textId="77777777" w:rsidR="00653A58" w:rsidRDefault="00653A58" w:rsidP="00B5451F">
      <w:pPr>
        <w:pStyle w:val="citation"/>
      </w:pPr>
      <w:r>
        <w:t>Ces analyses concordent avec celles obtenues pour un poste similaire pour la Brasserie Molson-O’Keefe effectuée en 1993.</w:t>
      </w:r>
    </w:p>
    <w:p w14:paraId="0493648C" w14:textId="77777777" w:rsidR="00653A58" w:rsidRDefault="00653A58" w:rsidP="00B5451F">
      <w:pPr>
        <w:pStyle w:val="citation"/>
      </w:pPr>
    </w:p>
    <w:p w14:paraId="25850C87" w14:textId="77777777" w:rsidR="00653A58" w:rsidRPr="00B5451F" w:rsidRDefault="00653A58" w:rsidP="00B5451F">
      <w:pPr>
        <w:pStyle w:val="citation"/>
      </w:pPr>
      <w:r>
        <w:t xml:space="preserve">Basé sur les niveaux de bruit obtenus à la compagnie Alex Coulombe Ltée, nous maintenons l’opinion émise dans notre rapport préliminaire à l’effet que </w:t>
      </w:r>
      <w:r w:rsidRPr="00357D09">
        <w:t>selon les probabilités d’atteinte auditive en relation avec le niveau d’exposition au bruit</w:t>
      </w:r>
      <w:r w:rsidRPr="00A80C5B">
        <w:t>,</w:t>
      </w:r>
      <w:r>
        <w:t xml:space="preserve"> les postes de livreur et aide livreur sont sécuritaires et ne sont pas aptes à produire une atteinte auditive d’origine professionnelle.</w:t>
      </w:r>
    </w:p>
    <w:p w14:paraId="7C3E5D53" w14:textId="77777777" w:rsidR="0058179A" w:rsidRDefault="0058179A" w:rsidP="0058179A">
      <w:pPr>
        <w:pStyle w:val="citation"/>
        <w:ind w:left="1416" w:hanging="696"/>
      </w:pPr>
    </w:p>
    <w:p w14:paraId="7F8F2186" w14:textId="77777777" w:rsidR="0058179A" w:rsidRDefault="0058179A" w:rsidP="0058179A">
      <w:pPr>
        <w:pStyle w:val="citation"/>
        <w:ind w:left="1416" w:hanging="696"/>
      </w:pPr>
    </w:p>
    <w:p w14:paraId="310612EF" w14:textId="77777777" w:rsidR="0058179A" w:rsidRDefault="0058179A" w:rsidP="0058179A">
      <w:pPr>
        <w:pStyle w:val="citation"/>
        <w:ind w:left="1416" w:hanging="696"/>
      </w:pPr>
    </w:p>
    <w:p w14:paraId="51111B09" w14:textId="77777777" w:rsidR="005101F1" w:rsidRPr="00BF6411" w:rsidRDefault="00B5451F" w:rsidP="00BF6411">
      <w:pPr>
        <w:pStyle w:val="corpsdedcision"/>
      </w:pPr>
      <w:r w:rsidRPr="00BF6411">
        <w:t xml:space="preserve">À l’audience, </w:t>
      </w:r>
      <w:r w:rsidR="00BF6411" w:rsidRPr="00BF6411">
        <w:t>l</w:t>
      </w:r>
      <w:r w:rsidR="005101F1" w:rsidRPr="00BF6411">
        <w:t xml:space="preserve">e tribunal a </w:t>
      </w:r>
      <w:r w:rsidR="00BF6411">
        <w:t xml:space="preserve">d’abord </w:t>
      </w:r>
      <w:r w:rsidR="005101F1" w:rsidRPr="00BF6411">
        <w:t>entendu le témoignage de madame Christine Groleau, responsable de la santé et sécurité du travail à l’établissement de l’employeur. Elle y travaille depuis 2006.</w:t>
      </w:r>
    </w:p>
    <w:p w14:paraId="18471BA9" w14:textId="77777777" w:rsidR="00BF6411" w:rsidRDefault="00260DA1" w:rsidP="00BF6411">
      <w:pPr>
        <w:pStyle w:val="corpsdedcision"/>
      </w:pPr>
      <w:r>
        <w:lastRenderedPageBreak/>
        <w:t xml:space="preserve">Madame Groleau produit la pièce E-3. </w:t>
      </w:r>
      <w:r w:rsidR="00BF6411">
        <w:t xml:space="preserve">Ce document a été préparé par le responsable du service de la paie chez l’employeur. </w:t>
      </w:r>
      <w:r>
        <w:t>Il s’agit d’une compilation faite à partir des registres de paie de 1996 à 2012</w:t>
      </w:r>
      <w:r w:rsidR="00351E18">
        <w:t xml:space="preserve">. </w:t>
      </w:r>
      <w:r w:rsidR="00BF6411">
        <w:t>Il est précisé que le système informa</w:t>
      </w:r>
      <w:r w:rsidR="00587AFC">
        <w:t>tique permet de remonter jusqu’au 1</w:t>
      </w:r>
      <w:r w:rsidR="00587AFC" w:rsidRPr="00587AFC">
        <w:rPr>
          <w:vertAlign w:val="superscript"/>
        </w:rPr>
        <w:t>er</w:t>
      </w:r>
      <w:r w:rsidR="00587AFC">
        <w:t xml:space="preserve"> janvier</w:t>
      </w:r>
      <w:r w:rsidR="00BF6411">
        <w:t xml:space="preserve"> 1996.</w:t>
      </w:r>
    </w:p>
    <w:p w14:paraId="7AFCF1BE" w14:textId="77777777" w:rsidR="00BF6411" w:rsidRDefault="00BF6411" w:rsidP="0037043A">
      <w:pPr>
        <w:pStyle w:val="corpsdedcision"/>
      </w:pPr>
      <w:r>
        <w:t>Cette compilation permet</w:t>
      </w:r>
      <w:r w:rsidR="00260DA1">
        <w:t xml:space="preserve"> de connaître les périodes </w:t>
      </w:r>
      <w:r>
        <w:t>au cours desquelles le travailleur a été absent, a bénéficié de l</w:t>
      </w:r>
      <w:r w:rsidR="00260DA1">
        <w:t xml:space="preserve">’assurance salaire, </w:t>
      </w:r>
      <w:r>
        <w:t xml:space="preserve">s’est absenté pour une raison reliée à la </w:t>
      </w:r>
      <w:r w:rsidR="00260DA1">
        <w:t xml:space="preserve">CSST, </w:t>
      </w:r>
      <w:r>
        <w:t>pour ses vacances ou les périodes au cours desquelles il a exercé des tâches reliées à la</w:t>
      </w:r>
      <w:r w:rsidR="00260DA1">
        <w:t xml:space="preserve"> mise en marché </w:t>
      </w:r>
      <w:r>
        <w:t>ou au poste d’agent</w:t>
      </w:r>
      <w:r w:rsidR="00260DA1">
        <w:t xml:space="preserve"> de com</w:t>
      </w:r>
      <w:r w:rsidR="00E0267F">
        <w:t>mercialisation</w:t>
      </w:r>
      <w:r>
        <w:t xml:space="preserve">. </w:t>
      </w:r>
    </w:p>
    <w:p w14:paraId="54D2ED93" w14:textId="77777777" w:rsidR="00260DA1" w:rsidRDefault="00260DA1" w:rsidP="0037043A">
      <w:pPr>
        <w:pStyle w:val="corpsdedcision"/>
      </w:pPr>
      <w:r>
        <w:t xml:space="preserve">Madame Groleau indique également </w:t>
      </w:r>
      <w:r w:rsidR="00C64EBB">
        <w:t>que depuis 2006, il s’agit de la première réclamation pour surdité professionnelle. S’ajoutent, par la suite, trois autres dossiers.</w:t>
      </w:r>
    </w:p>
    <w:p w14:paraId="3AF0FB4A" w14:textId="77777777" w:rsidR="00C64EBB" w:rsidRDefault="00C64EBB" w:rsidP="005101F1">
      <w:pPr>
        <w:pStyle w:val="corpsdedcision"/>
      </w:pPr>
      <w:r>
        <w:t xml:space="preserve">Questionnée par le représentant du </w:t>
      </w:r>
      <w:r w:rsidRPr="00A72CF6">
        <w:t>travailleur</w:t>
      </w:r>
      <w:r>
        <w:t>, madame Groleau produit les pièces E-4 à E-7.</w:t>
      </w:r>
    </w:p>
    <w:p w14:paraId="49E52C62" w14:textId="77777777" w:rsidR="00C64EBB" w:rsidRDefault="00C64EBB" w:rsidP="005101F1">
      <w:pPr>
        <w:pStyle w:val="corpsdedcision"/>
      </w:pPr>
      <w:r>
        <w:t xml:space="preserve">Chacune de ces pièces contient le détail </w:t>
      </w:r>
      <w:r w:rsidR="00BF6411">
        <w:t xml:space="preserve">ayant servi à la compilation </w:t>
      </w:r>
      <w:r>
        <w:t>des jours d’absences, d’assurance salaire ou de CSST (E-4), va</w:t>
      </w:r>
      <w:r w:rsidR="00351E18">
        <w:t>cances (E-5), mise en marché (E</w:t>
      </w:r>
      <w:r w:rsidR="00351E18">
        <w:noBreakHyphen/>
      </w:r>
      <w:r w:rsidR="00E0267F">
        <w:t xml:space="preserve">6) et agent de commercialisation </w:t>
      </w:r>
      <w:r>
        <w:t>(E-7).</w:t>
      </w:r>
    </w:p>
    <w:p w14:paraId="77E49805" w14:textId="77777777" w:rsidR="00C64EBB" w:rsidRDefault="00C64EBB" w:rsidP="005101F1">
      <w:pPr>
        <w:pStyle w:val="corpsdedcision"/>
      </w:pPr>
      <w:r>
        <w:t xml:space="preserve">À la demande du représentant du </w:t>
      </w:r>
      <w:r w:rsidRPr="00A72CF6">
        <w:t>travailleur</w:t>
      </w:r>
      <w:r>
        <w:t xml:space="preserve">, l’employeur fournit également le détail des jours, pour la période de 1996 à 2012, pour lesquels le </w:t>
      </w:r>
      <w:r w:rsidRPr="00A72CF6">
        <w:t>travailleur</w:t>
      </w:r>
      <w:r>
        <w:t xml:space="preserve"> a été payé à titre de livreur ou d’aide-livreur.</w:t>
      </w:r>
    </w:p>
    <w:p w14:paraId="17A8F1A7" w14:textId="77777777" w:rsidR="00C64EBB" w:rsidRDefault="00C64EBB" w:rsidP="005101F1">
      <w:pPr>
        <w:pStyle w:val="corpsdedcision"/>
      </w:pPr>
      <w:r>
        <w:t xml:space="preserve">Le tribunal a également entendu le témoignage du </w:t>
      </w:r>
      <w:r w:rsidRPr="00A72CF6">
        <w:t>travailleur</w:t>
      </w:r>
      <w:r>
        <w:t>.</w:t>
      </w:r>
    </w:p>
    <w:p w14:paraId="474B547B" w14:textId="77777777" w:rsidR="00C64EBB" w:rsidRDefault="00C64EBB" w:rsidP="005101F1">
      <w:pPr>
        <w:pStyle w:val="corpsdedcision"/>
      </w:pPr>
      <w:r>
        <w:t>Le 20 juin 2012, il produit une réclamation pour surdité professionnelle.</w:t>
      </w:r>
    </w:p>
    <w:p w14:paraId="2FF4D118" w14:textId="77777777" w:rsidR="00C64EBB" w:rsidRDefault="00E020BA" w:rsidP="005101F1">
      <w:pPr>
        <w:pStyle w:val="corpsdedcision"/>
      </w:pPr>
      <w:r>
        <w:t xml:space="preserve">À ce moment, </w:t>
      </w:r>
      <w:r w:rsidR="00C64EBB">
        <w:t xml:space="preserve">un programme de dépistage </w:t>
      </w:r>
      <w:r w:rsidR="00CE1061">
        <w:t xml:space="preserve">de surdité professionnelle est en cours, </w:t>
      </w:r>
      <w:r w:rsidR="00C64EBB">
        <w:t>en collaboratio</w:t>
      </w:r>
      <w:r w:rsidR="00AC01DC">
        <w:t>n avec le CLSC</w:t>
      </w:r>
      <w:r w:rsidR="009416BA">
        <w:t xml:space="preserve"> du secteur. De son propre chef, l</w:t>
      </w:r>
      <w:r w:rsidR="00CE1061">
        <w:t xml:space="preserve">e </w:t>
      </w:r>
      <w:r w:rsidR="00CE1061" w:rsidRPr="001F4FEB">
        <w:t>travailleur</w:t>
      </w:r>
      <w:r w:rsidR="00CE1061">
        <w:t xml:space="preserve"> demande à passer l’audiogramme et l</w:t>
      </w:r>
      <w:r w:rsidR="00C64EBB">
        <w:t xml:space="preserve">’infirmière, procédant à cet </w:t>
      </w:r>
      <w:r w:rsidR="00017F23">
        <w:t xml:space="preserve">examen, </w:t>
      </w:r>
      <w:r>
        <w:t>le dirige</w:t>
      </w:r>
      <w:r w:rsidR="00017F23">
        <w:t xml:space="preserve"> </w:t>
      </w:r>
      <w:r w:rsidR="00CE1061">
        <w:t xml:space="preserve">par la suite </w:t>
      </w:r>
      <w:r w:rsidR="00017F23">
        <w:t>vers une clinique pour des examens plus approfondis.</w:t>
      </w:r>
    </w:p>
    <w:p w14:paraId="5E065A76" w14:textId="77777777" w:rsidR="008D16EF" w:rsidRDefault="008D16EF" w:rsidP="00E020BA">
      <w:pPr>
        <w:pStyle w:val="corpsdedcision"/>
      </w:pPr>
      <w:r>
        <w:t xml:space="preserve">Depuis six ou sept ans, le </w:t>
      </w:r>
      <w:r w:rsidRPr="00A72CF6">
        <w:t>travailleur</w:t>
      </w:r>
      <w:r>
        <w:t xml:space="preserve"> s’est aperçu d’une baisse de son audition.</w:t>
      </w:r>
      <w:r w:rsidR="0053454C">
        <w:t xml:space="preserve"> </w:t>
      </w:r>
      <w:r>
        <w:t xml:space="preserve">Il doit augmenter le </w:t>
      </w:r>
      <w:r w:rsidR="00985887">
        <w:t>volume</w:t>
      </w:r>
      <w:r>
        <w:t xml:space="preserve"> de la télévision. Il doit également faire répéter les gens qui lui parlent.</w:t>
      </w:r>
      <w:r w:rsidR="00CE1061">
        <w:t xml:space="preserve"> Il n’avait jamais consulté pour cette condition</w:t>
      </w:r>
      <w:r w:rsidR="00E0267F">
        <w:t>,</w:t>
      </w:r>
      <w:r w:rsidR="00CE1061">
        <w:t xml:space="preserve"> avant de rencontre</w:t>
      </w:r>
      <w:r w:rsidR="00587AFC">
        <w:t>r</w:t>
      </w:r>
      <w:r w:rsidR="00CE1061">
        <w:t xml:space="preserve"> l’infirmière.</w:t>
      </w:r>
    </w:p>
    <w:p w14:paraId="34C94B6B" w14:textId="77777777" w:rsidR="008D16EF" w:rsidRDefault="008D16EF" w:rsidP="005101F1">
      <w:pPr>
        <w:pStyle w:val="corpsdedcision"/>
      </w:pPr>
      <w:r>
        <w:t xml:space="preserve">Le </w:t>
      </w:r>
      <w:r w:rsidRPr="00A72CF6">
        <w:t>travailleur</w:t>
      </w:r>
      <w:r>
        <w:t xml:space="preserve"> rencontre le docteur Roy. Il passe un audiogramme </w:t>
      </w:r>
      <w:r w:rsidR="00CE1061">
        <w:t xml:space="preserve">en clinique d’audiologie </w:t>
      </w:r>
      <w:r>
        <w:t>le 7 mai 2012. Il en passera un second en septembre 2013, à la demande du docteur Bertrand.</w:t>
      </w:r>
    </w:p>
    <w:p w14:paraId="295F0696" w14:textId="77777777" w:rsidR="008D16EF" w:rsidRDefault="008D16EF" w:rsidP="005101F1">
      <w:pPr>
        <w:pStyle w:val="corpsdedcision"/>
      </w:pPr>
      <w:r>
        <w:lastRenderedPageBreak/>
        <w:t xml:space="preserve">Le </w:t>
      </w:r>
      <w:r w:rsidRPr="00A72CF6">
        <w:t>travailleur</w:t>
      </w:r>
      <w:r>
        <w:t xml:space="preserve"> a également été dirigé </w:t>
      </w:r>
      <w:r w:rsidR="006672B0">
        <w:t>à monsieur</w:t>
      </w:r>
      <w:r>
        <w:t xml:space="preserve"> Leroux pour une expertise. Il </w:t>
      </w:r>
      <w:r w:rsidR="00E020BA">
        <w:t>le rencontre à deux reprises</w:t>
      </w:r>
      <w:r w:rsidR="00CE1061">
        <w:t>, avec son représentant</w:t>
      </w:r>
      <w:r w:rsidR="00E020BA">
        <w:t>. A</w:t>
      </w:r>
      <w:r>
        <w:t xml:space="preserve">u cours </w:t>
      </w:r>
      <w:r w:rsidR="00E020BA">
        <w:t xml:space="preserve">de ces rencontres, il est </w:t>
      </w:r>
      <w:r>
        <w:t xml:space="preserve">question de sa condition et de son </w:t>
      </w:r>
      <w:r w:rsidR="007C356D">
        <w:t xml:space="preserve">historique de </w:t>
      </w:r>
      <w:r>
        <w:t>travail</w:t>
      </w:r>
      <w:r w:rsidR="007C356D">
        <w:t xml:space="preserve"> chez l’</w:t>
      </w:r>
      <w:r w:rsidR="007C356D" w:rsidRPr="001F4FEB">
        <w:t>employeur</w:t>
      </w:r>
      <w:r>
        <w:t xml:space="preserve">. </w:t>
      </w:r>
    </w:p>
    <w:p w14:paraId="3D8C839B" w14:textId="77777777" w:rsidR="008D16EF" w:rsidRDefault="008D16EF" w:rsidP="005101F1">
      <w:pPr>
        <w:pStyle w:val="corpsdedcision"/>
      </w:pPr>
      <w:r>
        <w:t xml:space="preserve">Questionné sur </w:t>
      </w:r>
      <w:r w:rsidR="00686EC6">
        <w:t>cet historique</w:t>
      </w:r>
      <w:r>
        <w:t xml:space="preserve">, le </w:t>
      </w:r>
      <w:r w:rsidRPr="00A72CF6">
        <w:t>travailleur</w:t>
      </w:r>
      <w:r>
        <w:t xml:space="preserve"> précise qu’il commence à travailler chez l’employeur le 8 mai 1978.</w:t>
      </w:r>
      <w:r w:rsidR="00E020BA">
        <w:t xml:space="preserve"> </w:t>
      </w:r>
    </w:p>
    <w:p w14:paraId="52A1A65A" w14:textId="77777777" w:rsidR="008D16EF" w:rsidRDefault="008D16EF" w:rsidP="005101F1">
      <w:pPr>
        <w:pStyle w:val="corpsdedcision"/>
      </w:pPr>
      <w:r>
        <w:t>Pour la période de 1978 à 1980, il agit comme aide-livreur (</w:t>
      </w:r>
      <w:r w:rsidR="009820DE">
        <w:t>troisième</w:t>
      </w:r>
      <w:r>
        <w:t xml:space="preserve"> homme). Lorsqu’une route </w:t>
      </w:r>
      <w:r w:rsidR="00587AFC">
        <w:t>implique</w:t>
      </w:r>
      <w:r>
        <w:t xml:space="preserve"> la livraison de 500 caisses </w:t>
      </w:r>
      <w:r w:rsidR="00E020BA">
        <w:t xml:space="preserve">de boissons gazeuses </w:t>
      </w:r>
      <w:r>
        <w:t>et plus, on joint au livreur et à l’aide-livreur un troisième homme.</w:t>
      </w:r>
    </w:p>
    <w:p w14:paraId="1E77AAC1" w14:textId="77777777" w:rsidR="008D16EF" w:rsidRDefault="008D16EF" w:rsidP="005101F1">
      <w:pPr>
        <w:pStyle w:val="corpsdedcision"/>
      </w:pPr>
      <w:r>
        <w:t>Dans le camion de livraison, le troisième homme s’assoit au milieu, entre le livreur et l’aide-livreur.</w:t>
      </w:r>
      <w:r w:rsidR="005E07BD">
        <w:t xml:space="preserve"> Arrivés chez le client, l’aide-livreur et le troisième homme s’occupent principalement de décharger le camion et de transporter les caisses jusqu’à l’intérieur (réfrigérateur ou arrière du commerce). Selon le </w:t>
      </w:r>
      <w:r w:rsidR="005E07BD" w:rsidRPr="00A72CF6">
        <w:t>travailleur</w:t>
      </w:r>
      <w:r w:rsidR="005E07BD">
        <w:t>, le troisième homme reste plus souvent à l’extérieur du commerce.</w:t>
      </w:r>
    </w:p>
    <w:p w14:paraId="6FDE82B4" w14:textId="77777777" w:rsidR="005E07BD" w:rsidRDefault="005E07BD" w:rsidP="005101F1">
      <w:pPr>
        <w:pStyle w:val="corpsdedcision"/>
      </w:pPr>
      <w:r>
        <w:t xml:space="preserve">Certaines routes nécessitent l’utilisation de deux camions. Il arrive alors que le livreur parte seul avec un camion et que l’aide-livreur et le troisième homme partent avec l’autre camion. La conduite du camion est réservée au livreur et à l’aide-livreur. Le </w:t>
      </w:r>
      <w:r w:rsidRPr="00A72CF6">
        <w:t>travailleur</w:t>
      </w:r>
      <w:r>
        <w:t xml:space="preserve"> avoue toutefois qu’il lui arriv</w:t>
      </w:r>
      <w:r w:rsidR="00686EC6">
        <w:t>ait</w:t>
      </w:r>
      <w:r w:rsidR="00E020BA">
        <w:t xml:space="preserve"> </w:t>
      </w:r>
      <w:r>
        <w:t>de conduire le camion, à titre de troisième homme.</w:t>
      </w:r>
    </w:p>
    <w:p w14:paraId="4649365D" w14:textId="77777777" w:rsidR="005E07BD" w:rsidRDefault="00F02558" w:rsidP="005101F1">
      <w:pPr>
        <w:pStyle w:val="corpsdedcision"/>
      </w:pPr>
      <w:r>
        <w:t>Jusqu’en 1993, la livraison des caisses se fait m</w:t>
      </w:r>
      <w:r w:rsidR="00351E18">
        <w:t>anuellement. À compter de 1993, </w:t>
      </w:r>
      <w:r>
        <w:t>il y a utilisation d’un diable. Par la suite, on introduit le transpalette manuel puis le transpalette électrique.</w:t>
      </w:r>
    </w:p>
    <w:p w14:paraId="01B77B1C" w14:textId="77777777" w:rsidR="00F02558" w:rsidRDefault="00F02558" w:rsidP="005101F1">
      <w:pPr>
        <w:pStyle w:val="corpsdedcision"/>
      </w:pPr>
      <w:r>
        <w:t>La livraison conventionnelle s’effectue manuellement. On utilise un camion avec ouverture sur les côtés. Cette livraison s’effectue, par exemple, dans les dépanneurs, stations-service, bars ou commerces de coin de rue.</w:t>
      </w:r>
    </w:p>
    <w:p w14:paraId="76FA952B" w14:textId="77777777" w:rsidR="00F02558" w:rsidRDefault="004D7BFB" w:rsidP="005101F1">
      <w:pPr>
        <w:pStyle w:val="corpsdedcision"/>
      </w:pPr>
      <w:r>
        <w:t xml:space="preserve">Dans les années 1980 à 1990, il lui est arrivé </w:t>
      </w:r>
      <w:r w:rsidR="00686EC6">
        <w:t xml:space="preserve">toutefois </w:t>
      </w:r>
      <w:r>
        <w:t>de faire de la livraison conventionnelle</w:t>
      </w:r>
      <w:r w:rsidR="00D35AA7">
        <w:t xml:space="preserve"> chez de plus gros clients (chaî</w:t>
      </w:r>
      <w:r>
        <w:t xml:space="preserve">nes d’alimentation). </w:t>
      </w:r>
    </w:p>
    <w:p w14:paraId="06399514" w14:textId="77777777" w:rsidR="004D7BFB" w:rsidRDefault="00D4046E" w:rsidP="005101F1">
      <w:pPr>
        <w:pStyle w:val="corpsdedcision"/>
      </w:pPr>
      <w:r>
        <w:t>Pour</w:t>
      </w:r>
      <w:r w:rsidR="004D7BFB">
        <w:t xml:space="preserve"> ce genre de livraison, le degré de difficulté varie selon le nombre de clients, la quantité à livrer et la disposition physique des lieux </w:t>
      </w:r>
      <w:r w:rsidR="00E020BA">
        <w:t>où il effectue la</w:t>
      </w:r>
      <w:r w:rsidR="004D7BFB">
        <w:t xml:space="preserve"> livraison (cave, étage, escalier </w:t>
      </w:r>
      <w:r w:rsidR="004D7BFB" w:rsidRPr="00A72CF6">
        <w:t>…</w:t>
      </w:r>
      <w:r w:rsidR="004D7BFB">
        <w:t>). Chez certains clients,</w:t>
      </w:r>
      <w:r>
        <w:t xml:space="preserve"> il y a utilisation de rouleaux </w:t>
      </w:r>
      <w:r w:rsidR="004D7BFB">
        <w:t xml:space="preserve">pour déplacer les caisses. Ce genre d’équipement, selon le </w:t>
      </w:r>
      <w:r w:rsidR="004D7BFB" w:rsidRPr="00A72CF6">
        <w:t>travailleur</w:t>
      </w:r>
      <w:r w:rsidR="004D7BFB">
        <w:t>, peut être bruyant.</w:t>
      </w:r>
      <w:r w:rsidR="00686EC6">
        <w:t xml:space="preserve"> Il admet toutefois qu’il retrouve ce genre d’équipement que chez certains clients.</w:t>
      </w:r>
    </w:p>
    <w:p w14:paraId="6A18CD72" w14:textId="77777777" w:rsidR="004D7BFB" w:rsidRDefault="004D7BFB" w:rsidP="005101F1">
      <w:pPr>
        <w:pStyle w:val="corpsdedcision"/>
      </w:pPr>
      <w:r>
        <w:lastRenderedPageBreak/>
        <w:t>Depuis 1980</w:t>
      </w:r>
      <w:r w:rsidR="00AD31B4">
        <w:t>,</w:t>
      </w:r>
      <w:r>
        <w:t xml:space="preserve"> et ce, jusqu’à octobre 2012, le </w:t>
      </w:r>
      <w:r w:rsidRPr="00A72CF6">
        <w:t>travailleur</w:t>
      </w:r>
      <w:r>
        <w:t xml:space="preserve"> </w:t>
      </w:r>
      <w:r w:rsidR="00D4046E">
        <w:t>occupe un poste</w:t>
      </w:r>
      <w:r>
        <w:t xml:space="preserve"> </w:t>
      </w:r>
      <w:r w:rsidR="00D4046E">
        <w:t>d’</w:t>
      </w:r>
      <w:r w:rsidR="00351E18">
        <w:t>aide</w:t>
      </w:r>
      <w:r w:rsidR="00351E18">
        <w:noBreakHyphen/>
      </w:r>
      <w:r>
        <w:t>livreur. Ce travail s’effectue surtout au centre-ville de Québec (environ quatre jours par semaine) et dans la région de Portneuf</w:t>
      </w:r>
      <w:r w:rsidR="00587AFC">
        <w:t xml:space="preserve"> (une</w:t>
      </w:r>
      <w:r w:rsidR="00686EC6">
        <w:t xml:space="preserve"> journée)</w:t>
      </w:r>
      <w:r>
        <w:t xml:space="preserve">. </w:t>
      </w:r>
    </w:p>
    <w:p w14:paraId="548E7C8F" w14:textId="77777777" w:rsidR="004D7BFB" w:rsidRDefault="004D7BFB" w:rsidP="005101F1">
      <w:pPr>
        <w:pStyle w:val="corpsdedcision"/>
      </w:pPr>
      <w:r>
        <w:t>À titre d’aide-livreur, il peut également faire de la mise en marché (placer la marchandise sur les tablettes, la mettre en évidence).</w:t>
      </w:r>
    </w:p>
    <w:p w14:paraId="794D543C" w14:textId="77777777" w:rsidR="004D7BFB" w:rsidRDefault="004D7BFB" w:rsidP="005101F1">
      <w:pPr>
        <w:pStyle w:val="corpsdedcision"/>
      </w:pPr>
      <w:r>
        <w:t>À partir de 1994 ou 1995, on introduit la livraison vrac/conventionnelle. Pour ce faire, on utilise un camion semi-remorque. La remorque est munie de portes sur les côtés, à partir desquelles on effectue la livraison de type conventionnel et d’une porte arrière où l’on décharge la marchandise pour les livraisons de type vrac (sur palettes).</w:t>
      </w:r>
    </w:p>
    <w:p w14:paraId="26A57D48" w14:textId="77777777" w:rsidR="004D7BFB" w:rsidRDefault="004D7BFB" w:rsidP="005101F1">
      <w:pPr>
        <w:pStyle w:val="corpsdedcision"/>
      </w:pPr>
      <w:r>
        <w:t>Sur une même route, il peut y avoir des livraisons conventionnelles et des livraisons en</w:t>
      </w:r>
      <w:r w:rsidR="008465D5">
        <w:t xml:space="preserve"> vrac (Maxi, Wal</w:t>
      </w:r>
      <w:r>
        <w:t xml:space="preserve">mart, Provigo, IGA, Métro </w:t>
      </w:r>
      <w:r w:rsidRPr="00A72CF6">
        <w:t>…</w:t>
      </w:r>
      <w:r>
        <w:t>).</w:t>
      </w:r>
    </w:p>
    <w:p w14:paraId="35C3F3D2" w14:textId="77777777" w:rsidR="004D7BFB" w:rsidRDefault="004D7BFB" w:rsidP="005101F1">
      <w:pPr>
        <w:pStyle w:val="corpsdedcision"/>
      </w:pPr>
      <w:r>
        <w:t xml:space="preserve">Au moment du déchargement ou lorsqu’il place la marchandise en magasin, le </w:t>
      </w:r>
      <w:r w:rsidRPr="00A72CF6">
        <w:t>travailleur</w:t>
      </w:r>
      <w:r>
        <w:t xml:space="preserve"> ne ressent pas le besoin de hausser le ton pour discuter avec </w:t>
      </w:r>
      <w:r w:rsidR="00E020BA">
        <w:t>son</w:t>
      </w:r>
      <w:r>
        <w:t xml:space="preserve"> collègue. Il précise toutefois que dans le camion, il lui arrive de faire répéter son collègue. Ceci s’avère d’autant lorsque la chaufferette du camion est en marche.</w:t>
      </w:r>
    </w:p>
    <w:p w14:paraId="396D8FC3" w14:textId="77777777" w:rsidR="004D7BFB" w:rsidRDefault="004D7BFB" w:rsidP="005101F1">
      <w:pPr>
        <w:pStyle w:val="corpsdedcision"/>
      </w:pPr>
      <w:r>
        <w:t xml:space="preserve">En ville, le temps de transport entre chaque client est assez court alors que pour les clients plus éloignés, il peut arriver que le </w:t>
      </w:r>
      <w:r w:rsidRPr="00A72CF6">
        <w:t>travailleur</w:t>
      </w:r>
      <w:r>
        <w:t xml:space="preserve"> a</w:t>
      </w:r>
      <w:r w:rsidR="00E90E37">
        <w:t>it à faire une heure et quart</w:t>
      </w:r>
      <w:r>
        <w:t xml:space="preserve">, voire </w:t>
      </w:r>
      <w:r w:rsidR="00E90E37">
        <w:t>une heure et demie</w:t>
      </w:r>
      <w:r>
        <w:t xml:space="preserve"> de route.</w:t>
      </w:r>
    </w:p>
    <w:p w14:paraId="3B3108D4" w14:textId="77777777" w:rsidR="004D7BFB" w:rsidRDefault="004D7BFB" w:rsidP="005101F1">
      <w:pPr>
        <w:pStyle w:val="corpsdedcision"/>
      </w:pPr>
      <w:r>
        <w:t xml:space="preserve">Il travaille ainsi huit heures par jour avec une pause pour le repas de 30 à 45 minutes. Le </w:t>
      </w:r>
      <w:r w:rsidRPr="00A72CF6">
        <w:t>travailleur</w:t>
      </w:r>
      <w:r>
        <w:t xml:space="preserve"> précise qu’il ne prend aucune autre pause. </w:t>
      </w:r>
    </w:p>
    <w:p w14:paraId="632C7073" w14:textId="77777777" w:rsidR="004D7BFB" w:rsidRDefault="004D7BFB" w:rsidP="005101F1">
      <w:pPr>
        <w:pStyle w:val="corpsdedcision"/>
      </w:pPr>
      <w:r>
        <w:t xml:space="preserve">Lorsque ses problèmes d’audition </w:t>
      </w:r>
      <w:r w:rsidR="00CE1061">
        <w:t>apparaissent</w:t>
      </w:r>
      <w:r>
        <w:t xml:space="preserve">, le </w:t>
      </w:r>
      <w:r w:rsidRPr="00A72CF6">
        <w:t>travailleur</w:t>
      </w:r>
      <w:r>
        <w:t xml:space="preserve"> demande à ses collègues de répéter. Selon </w:t>
      </w:r>
      <w:r w:rsidR="00175A63">
        <w:t>lui</w:t>
      </w:r>
      <w:r>
        <w:t>, de tels problèmes commencent à se manifester en 2006, 2007 ou</w:t>
      </w:r>
      <w:r w:rsidR="00175A63">
        <w:t xml:space="preserve"> même</w:t>
      </w:r>
      <w:r>
        <w:t xml:space="preserve"> 2008. À cette époque, il ne ressent pas le besoin de consulter.</w:t>
      </w:r>
    </w:p>
    <w:p w14:paraId="3AE2D7E6" w14:textId="77777777" w:rsidR="004D7BFB" w:rsidRDefault="0059397E" w:rsidP="005101F1">
      <w:pPr>
        <w:pStyle w:val="corpsdedcision"/>
      </w:pPr>
      <w:r>
        <w:t xml:space="preserve">Le </w:t>
      </w:r>
      <w:r w:rsidRPr="00A72CF6">
        <w:t>travailleur</w:t>
      </w:r>
      <w:r>
        <w:t xml:space="preserve"> explique qu’il lui arrive d’avoir à déposer des caisses de boissons gazeuses dans des chambres froides. En plus d’être froids, ces espaces peuvent être très bruyants, en raison du compresseur. Il </w:t>
      </w:r>
      <w:r w:rsidR="007162EE">
        <w:t xml:space="preserve">lui </w:t>
      </w:r>
      <w:r>
        <w:t>arrive d’arrêter le compresseur, le temps de la livraison. Cette situation est peu fréquente</w:t>
      </w:r>
      <w:r w:rsidR="00D4046E">
        <w:t>, selon lui</w:t>
      </w:r>
      <w:r>
        <w:t>.</w:t>
      </w:r>
    </w:p>
    <w:p w14:paraId="2B817084" w14:textId="77777777" w:rsidR="0059397E" w:rsidRDefault="0059397E" w:rsidP="005101F1">
      <w:pPr>
        <w:pStyle w:val="corpsdedcision"/>
      </w:pPr>
      <w:r>
        <w:t xml:space="preserve">Il y a également le triage des bouteilles vides. Dès 1978, il s’adonne à cette tâche. Lors de la livraison, ils reprennent les bouteilles vides. Celles-ci doivent être triées, mises sur des palettes </w:t>
      </w:r>
      <w:r w:rsidR="00175A63">
        <w:t xml:space="preserve">pour être éventuellement </w:t>
      </w:r>
      <w:r>
        <w:t>acheminées au nettoyage.</w:t>
      </w:r>
    </w:p>
    <w:p w14:paraId="1FC64941" w14:textId="77777777" w:rsidR="0059397E" w:rsidRDefault="0059397E" w:rsidP="005101F1">
      <w:pPr>
        <w:pStyle w:val="corpsdedcision"/>
      </w:pPr>
      <w:r>
        <w:t xml:space="preserve">Le tri se fait chez le client, à l’extérieur (trottoir ou près du camion), en compagnie du livreur. Le </w:t>
      </w:r>
      <w:r w:rsidRPr="00A72CF6">
        <w:t>travailleur</w:t>
      </w:r>
      <w:r>
        <w:t xml:space="preserve"> précise que cette tâche est bruyante (choc des bouteilles en </w:t>
      </w:r>
      <w:r>
        <w:lastRenderedPageBreak/>
        <w:t>verre). Le temps cons</w:t>
      </w:r>
      <w:r w:rsidR="00D4046E">
        <w:t>acré à cette tâche est variable, selon la sorte et la quantité de bouteilles.</w:t>
      </w:r>
    </w:p>
    <w:p w14:paraId="14F4F92A" w14:textId="77777777" w:rsidR="0059397E" w:rsidRDefault="0059397E" w:rsidP="005101F1">
      <w:pPr>
        <w:pStyle w:val="corpsdedcision"/>
      </w:pPr>
      <w:r>
        <w:t xml:space="preserve">Les bouteilles de verre ont été graduellement remplacées par des bouteilles de plastique jusqu’à l’année 2000. </w:t>
      </w:r>
    </w:p>
    <w:p w14:paraId="15077CBA" w14:textId="77777777" w:rsidR="0059397E" w:rsidRDefault="0059397E" w:rsidP="00D4046E">
      <w:pPr>
        <w:pStyle w:val="corpsdedcision"/>
      </w:pPr>
      <w:r>
        <w:t>Lorsqu’il commence à travailler en 1978, les caisses de boissons gazeuses sont en bois, avec des séparateurs en carton. Par la suite, on introduit graduellement les caisses en plastique</w:t>
      </w:r>
      <w:r w:rsidR="00686EC6">
        <w:t>, avec séparateurs en plastique</w:t>
      </w:r>
      <w:r>
        <w:t>.</w:t>
      </w:r>
      <w:r w:rsidR="00D4046E">
        <w:t xml:space="preserve"> </w:t>
      </w:r>
      <w:r>
        <w:t xml:space="preserve">Selon le </w:t>
      </w:r>
      <w:r w:rsidRPr="00A72CF6">
        <w:t>travailleur</w:t>
      </w:r>
      <w:r>
        <w:t>, les caisses de bois ou de plastique</w:t>
      </w:r>
      <w:r w:rsidR="009A2851">
        <w:t>, avec paniers de carton ou de plastique,</w:t>
      </w:r>
      <w:r>
        <w:t xml:space="preserve"> sont bruyantes.</w:t>
      </w:r>
      <w:r w:rsidR="009A2851">
        <w:t xml:space="preserve"> Il n’y a pas vraiment de différence entre les deux, selon lui.</w:t>
      </w:r>
    </w:p>
    <w:p w14:paraId="5B48B573" w14:textId="77777777" w:rsidR="0059397E" w:rsidRDefault="0059397E" w:rsidP="005101F1">
      <w:pPr>
        <w:pStyle w:val="corpsdedcision"/>
      </w:pPr>
      <w:r>
        <w:t xml:space="preserve">La livraison auprès des grandes chaînes (Maxi, </w:t>
      </w:r>
      <w:proofErr w:type="spellStart"/>
      <w:r>
        <w:t>Loblaws</w:t>
      </w:r>
      <w:proofErr w:type="spellEnd"/>
      <w:r>
        <w:t xml:space="preserve">, Walmart, Super C, </w:t>
      </w:r>
      <w:r w:rsidRPr="00A72CF6">
        <w:t>…</w:t>
      </w:r>
      <w:r>
        <w:t xml:space="preserve">) commence en 2000 ou 2001. </w:t>
      </w:r>
    </w:p>
    <w:p w14:paraId="0F65DA5E" w14:textId="77777777" w:rsidR="0059397E" w:rsidRDefault="0059397E" w:rsidP="005101F1">
      <w:pPr>
        <w:pStyle w:val="corpsdedcision"/>
      </w:pPr>
      <w:r>
        <w:t xml:space="preserve">Au début, il s’agit surtout d’une livraison de type conventionnel. Par la suite, on utilise </w:t>
      </w:r>
      <w:r w:rsidR="009A2851">
        <w:t>les camions vrac/conventionnels et les camions vrac.</w:t>
      </w:r>
    </w:p>
    <w:p w14:paraId="5176F69A" w14:textId="77777777" w:rsidR="009A2851" w:rsidRDefault="009A2851" w:rsidP="005101F1">
      <w:pPr>
        <w:pStyle w:val="corpsdedcision"/>
      </w:pPr>
      <w:r>
        <w:t xml:space="preserve">Le </w:t>
      </w:r>
      <w:r w:rsidRPr="001F4FEB">
        <w:t>travailleur</w:t>
      </w:r>
      <w:r>
        <w:t xml:space="preserve"> y a fait de la livraison conventionnelle et vrac/conventionnelle.</w:t>
      </w:r>
    </w:p>
    <w:p w14:paraId="5BDF6376" w14:textId="77777777" w:rsidR="0059397E" w:rsidRDefault="00D4046E" w:rsidP="005101F1">
      <w:pPr>
        <w:pStyle w:val="corpsdedcision"/>
      </w:pPr>
      <w:r>
        <w:t>Pour</w:t>
      </w:r>
      <w:r w:rsidR="00DF4A2F">
        <w:t xml:space="preserve"> </w:t>
      </w:r>
      <w:r w:rsidR="0059397E">
        <w:t xml:space="preserve">ce genre de clients, la durée de livraison est plus longue. Elle varie en fonction du nombre de caisses demandées. S’il s’agit d’une livraison de type vrac, le déchargement se fait au quai. Cette opération peut durer une heure ou </w:t>
      </w:r>
      <w:r w:rsidR="00E90E37">
        <w:t>une heure et demie</w:t>
      </w:r>
      <w:r w:rsidR="0059397E">
        <w:t>. S’il s’agit d’une livraison de type conventionnel, le déchargement</w:t>
      </w:r>
      <w:r w:rsidR="00841DEE">
        <w:t xml:space="preserve"> peut durer jusqu’à deux heures</w:t>
      </w:r>
      <w:r w:rsidR="0059397E">
        <w:t>. Dans les deux cas, une fois le déchargement terminé, il y a le tri de bouteilles.</w:t>
      </w:r>
    </w:p>
    <w:p w14:paraId="23F786D4" w14:textId="77777777" w:rsidR="0059397E" w:rsidRDefault="0059397E" w:rsidP="005101F1">
      <w:pPr>
        <w:pStyle w:val="corpsdedcision"/>
      </w:pPr>
      <w:r>
        <w:t xml:space="preserve">Habituellement, </w:t>
      </w:r>
      <w:r w:rsidR="00686EC6">
        <w:t xml:space="preserve">à l’arrivée chez le client, </w:t>
      </w:r>
      <w:r>
        <w:t xml:space="preserve">le </w:t>
      </w:r>
      <w:r w:rsidRPr="00A72CF6">
        <w:t>travailleur</w:t>
      </w:r>
      <w:r>
        <w:t xml:space="preserve"> descend du camion afin de guider le livreur jusqu’au quai. On déplie une plateforme pour faire le lien entre le camion et le quai. Cette plateforme s’active à l’aide d’un compresseur, ce qui peut être bruyant.</w:t>
      </w:r>
    </w:p>
    <w:p w14:paraId="69FC2823" w14:textId="77777777" w:rsidR="00226660" w:rsidRDefault="0059397E" w:rsidP="00841DEE">
      <w:pPr>
        <w:pStyle w:val="corpsdedcision"/>
      </w:pPr>
      <w:r>
        <w:t xml:space="preserve">Au quai de déchargement, le </w:t>
      </w:r>
      <w:r w:rsidRPr="00A72CF6">
        <w:t>travailleur</w:t>
      </w:r>
      <w:r>
        <w:t xml:space="preserve"> peut utiliser leur propre transpalette ou celui du client. Il peut s’agir d’un transpalette manuel ou électrique.</w:t>
      </w:r>
      <w:r w:rsidR="00841DEE">
        <w:t xml:space="preserve"> </w:t>
      </w:r>
      <w:r w:rsidR="00226660">
        <w:t>Certaines grandes surfaces peuvent avoir un chariot élévateur.</w:t>
      </w:r>
    </w:p>
    <w:p w14:paraId="099CBE9B" w14:textId="77777777" w:rsidR="00226660" w:rsidRDefault="00226660" w:rsidP="005101F1">
      <w:pPr>
        <w:pStyle w:val="corpsdedcision"/>
      </w:pPr>
      <w:r>
        <w:t>Les palettes sont transportées à l’endroit désigné. La distance à parcourir est variable</w:t>
      </w:r>
      <w:r w:rsidR="00D35AA7">
        <w:t>.</w:t>
      </w:r>
      <w:r>
        <w:t xml:space="preserve"> Parfois, on peut lui demander d’apporter la marchandise directement en magasin.</w:t>
      </w:r>
    </w:p>
    <w:p w14:paraId="5D48E566" w14:textId="77777777" w:rsidR="00226660" w:rsidRDefault="00226660" w:rsidP="005101F1">
      <w:pPr>
        <w:pStyle w:val="corpsdedcision"/>
      </w:pPr>
      <w:r>
        <w:t xml:space="preserve">Comme aide-livreur, le </w:t>
      </w:r>
      <w:r w:rsidRPr="00A72CF6">
        <w:t>travailleur</w:t>
      </w:r>
      <w:r>
        <w:t xml:space="preserve"> peut effectuer de la mise en marché</w:t>
      </w:r>
      <w:r w:rsidR="00E544F6">
        <w:t xml:space="preserve"> (placer la marchandise sur les tablettes)</w:t>
      </w:r>
      <w:r>
        <w:t xml:space="preserve">. Cette tâche peut s’exercer chez tous les clients. Selon le </w:t>
      </w:r>
      <w:r w:rsidRPr="00A72CF6">
        <w:t>travailleur</w:t>
      </w:r>
      <w:r>
        <w:t>, cette tâche a diminué gra</w:t>
      </w:r>
      <w:r w:rsidR="00E544F6">
        <w:t xml:space="preserve">duellement au cours des années, certains clients </w:t>
      </w:r>
      <w:r w:rsidR="00E544F6">
        <w:lastRenderedPageBreak/>
        <w:t xml:space="preserve">faisant placer la marchandise sur les tablettes par leurs employés. </w:t>
      </w:r>
      <w:r>
        <w:t xml:space="preserve">Il pouvait </w:t>
      </w:r>
      <w:r w:rsidR="002854CE">
        <w:t xml:space="preserve">toutefois </w:t>
      </w:r>
      <w:r>
        <w:t xml:space="preserve">en faire encore en 2011–2012. Selon le </w:t>
      </w:r>
      <w:r w:rsidRPr="00A72CF6">
        <w:t>travailleur</w:t>
      </w:r>
      <w:r>
        <w:t>, pour environ</w:t>
      </w:r>
      <w:r w:rsidR="008465D5">
        <w:t xml:space="preserve"> trois quart</w:t>
      </w:r>
      <w:r w:rsidR="00AD31B4">
        <w:t>s</w:t>
      </w:r>
      <w:r w:rsidR="008465D5">
        <w:t xml:space="preserve"> </w:t>
      </w:r>
      <w:r>
        <w:t xml:space="preserve">du temps, la mise en marché </w:t>
      </w:r>
      <w:r w:rsidR="00E544F6">
        <w:t>était</w:t>
      </w:r>
      <w:r>
        <w:t xml:space="preserve"> effectuée par le livreur. </w:t>
      </w:r>
    </w:p>
    <w:p w14:paraId="50955085" w14:textId="77777777" w:rsidR="003A459B" w:rsidRDefault="00EB3CF2" w:rsidP="003A459B">
      <w:pPr>
        <w:pStyle w:val="corpsdedcision"/>
      </w:pPr>
      <w:r>
        <w:t xml:space="preserve">À titre d’aide-livreur, le </w:t>
      </w:r>
      <w:r w:rsidRPr="00A72CF6">
        <w:t>travailleur</w:t>
      </w:r>
      <w:r>
        <w:t xml:space="preserve"> n’a jamais fait seulement des livraisons de type vrac. Il a commencé avec des livraisons de type conventionnel et pa</w:t>
      </w:r>
      <w:r w:rsidR="002854CE">
        <w:t>r la suite, des livraisons vrac/</w:t>
      </w:r>
      <w:r>
        <w:t>conventionnel</w:t>
      </w:r>
      <w:r w:rsidR="008465D5">
        <w:t>les</w:t>
      </w:r>
      <w:r w:rsidR="00841DEE">
        <w:t>. Une route de type vrac/</w:t>
      </w:r>
      <w:r>
        <w:t>conventionnel peut comporter entre 17 et 20 clients</w:t>
      </w:r>
      <w:r w:rsidR="003A459B">
        <w:t>, en ville</w:t>
      </w:r>
      <w:r>
        <w:t>.</w:t>
      </w:r>
      <w:r w:rsidR="003A459B">
        <w:t xml:space="preserve"> En région, il peut y en avoir moins.</w:t>
      </w:r>
    </w:p>
    <w:p w14:paraId="0B3EEFB0" w14:textId="77777777" w:rsidR="00EB3CF2" w:rsidRDefault="00EB3CF2" w:rsidP="005101F1">
      <w:pPr>
        <w:pStyle w:val="corpsdedcision"/>
      </w:pPr>
      <w:r>
        <w:t>Dans les années 1970, 1980 et 1</w:t>
      </w:r>
      <w:r w:rsidR="00841DEE">
        <w:t>990, ils utilisent des camions Ford (</w:t>
      </w:r>
      <w:r>
        <w:t>es</w:t>
      </w:r>
      <w:r w:rsidR="00263170">
        <w:t xml:space="preserve">sence), qui ne sont pas munis d’une </w:t>
      </w:r>
      <w:r>
        <w:t xml:space="preserve">radio. À partir de 1990, l’employeur introduit des camions </w:t>
      </w:r>
      <w:r w:rsidR="00841DEE">
        <w:t>Mercedes (</w:t>
      </w:r>
      <w:r>
        <w:t>diesel) muni</w:t>
      </w:r>
      <w:r w:rsidR="00263170">
        <w:t>s</w:t>
      </w:r>
      <w:r>
        <w:t xml:space="preserve"> d’un</w:t>
      </w:r>
      <w:r w:rsidR="00263170">
        <w:t>e</w:t>
      </w:r>
      <w:r>
        <w:t xml:space="preserve"> radio. Selon le </w:t>
      </w:r>
      <w:r w:rsidRPr="00A72CF6">
        <w:t>travailleur</w:t>
      </w:r>
      <w:r>
        <w:t>, les camions Mercedes sont aussi bruyants que les camions Ford.</w:t>
      </w:r>
    </w:p>
    <w:p w14:paraId="087DDF99" w14:textId="77777777" w:rsidR="00EB3CF2" w:rsidRDefault="00EB3CF2" w:rsidP="005101F1">
      <w:pPr>
        <w:pStyle w:val="corpsdedcision"/>
      </w:pPr>
      <w:r>
        <w:t>Par la suite, il y a introduct</w:t>
      </w:r>
      <w:r w:rsidR="00841DEE">
        <w:t xml:space="preserve">ion des camions </w:t>
      </w:r>
      <w:proofErr w:type="spellStart"/>
      <w:r w:rsidR="00841DEE">
        <w:t>Freightliner</w:t>
      </w:r>
      <w:proofErr w:type="spellEnd"/>
      <w:r w:rsidR="00841DEE">
        <w:t xml:space="preserve"> (</w:t>
      </w:r>
      <w:r>
        <w:t xml:space="preserve">diesel) que le </w:t>
      </w:r>
      <w:r w:rsidRPr="00A72CF6">
        <w:t>travailleur</w:t>
      </w:r>
      <w:r>
        <w:t xml:space="preserve"> trouve moins bruyants que les camions Mercedes.</w:t>
      </w:r>
    </w:p>
    <w:p w14:paraId="5FF7ADF2" w14:textId="77777777" w:rsidR="00EB3CF2" w:rsidRDefault="009566FF" w:rsidP="005101F1">
      <w:pPr>
        <w:pStyle w:val="corpsdedcision"/>
      </w:pPr>
      <w:r>
        <w:t xml:space="preserve">Peu importe la sorte de camion, du printemps jusqu’à l’automne, ils peuvent rouler les fenêtres ouvertes. </w:t>
      </w:r>
    </w:p>
    <w:p w14:paraId="3BD9140D" w14:textId="77777777" w:rsidR="009566FF" w:rsidRDefault="009566FF" w:rsidP="005101F1">
      <w:pPr>
        <w:pStyle w:val="corpsdedcision"/>
      </w:pPr>
      <w:r>
        <w:t xml:space="preserve">Chaque matin, ils prennent possession du camion de livraison déjà chargé. Pour la période de 1978 à 1990 </w:t>
      </w:r>
      <w:r w:rsidR="004A6026">
        <w:t xml:space="preserve">ou même </w:t>
      </w:r>
      <w:r>
        <w:t>1995, le camion pour livraison conventionnelle (</w:t>
      </w:r>
      <w:r w:rsidRPr="009566FF">
        <w:rPr>
          <w:i/>
        </w:rPr>
        <w:t>straight body</w:t>
      </w:r>
      <w:r>
        <w:t xml:space="preserve">) est récupéré dans le garage du sous-sol de l’établissement. </w:t>
      </w:r>
      <w:r w:rsidR="00C3201C">
        <w:t>À partir de 1990–1995</w:t>
      </w:r>
      <w:r w:rsidR="00DD6D22">
        <w:t>,</w:t>
      </w:r>
      <w:r w:rsidR="00C3201C">
        <w:t xml:space="preserve"> et ce, jusqu’en 2012, </w:t>
      </w:r>
      <w:r w:rsidR="004A6026">
        <w:t>le camion pour les livraisons de type vrac/conventionnel (tracteur et remorque) est récupéré parfois au sous-sol, au premier étage de l’établissement ou à l’extérieur</w:t>
      </w:r>
      <w:r w:rsidR="00C3201C">
        <w:t>.</w:t>
      </w:r>
    </w:p>
    <w:p w14:paraId="11E30939" w14:textId="77777777" w:rsidR="00C3201C" w:rsidRDefault="00C3201C" w:rsidP="005101F1">
      <w:pPr>
        <w:pStyle w:val="corpsdedcision"/>
      </w:pPr>
      <w:r>
        <w:t>Jusqu’en 1990 ou 1995, il n’y a pas de vérification particulière avant le départ</w:t>
      </w:r>
      <w:r w:rsidR="004A6026">
        <w:t xml:space="preserve"> dans le sous-sol</w:t>
      </w:r>
      <w:r>
        <w:t xml:space="preserve">. Il faut toutefois démarrer le camion et attendre le chargement du système </w:t>
      </w:r>
      <w:r w:rsidR="00587AFC">
        <w:t>d’air</w:t>
      </w:r>
      <w:r>
        <w:t xml:space="preserve">. Les portes du garage sont alors ouvertes. </w:t>
      </w:r>
      <w:r w:rsidR="004A6026">
        <w:t>Une vérification du moteur</w:t>
      </w:r>
      <w:r w:rsidR="00985887">
        <w:t xml:space="preserve"> </w:t>
      </w:r>
      <w:proofErr w:type="gramStart"/>
      <w:r w:rsidR="00985887">
        <w:t>peut  être</w:t>
      </w:r>
      <w:proofErr w:type="gramEnd"/>
      <w:r w:rsidR="00985887">
        <w:t xml:space="preserve"> faite à l’extérieur</w:t>
      </w:r>
      <w:r w:rsidR="004A6026">
        <w:t xml:space="preserve">, selon le </w:t>
      </w:r>
      <w:r w:rsidR="004A6026" w:rsidRPr="001F4FEB">
        <w:t>travailleur</w:t>
      </w:r>
      <w:r w:rsidR="00587AFC">
        <w:t xml:space="preserve">. </w:t>
      </w:r>
    </w:p>
    <w:p w14:paraId="4DE582A8" w14:textId="77777777" w:rsidR="00C3201C" w:rsidRDefault="00C3201C" w:rsidP="001800B1">
      <w:pPr>
        <w:pStyle w:val="corpsdedcision"/>
      </w:pPr>
      <w:r>
        <w:t>À parti</w:t>
      </w:r>
      <w:r w:rsidR="001800B1">
        <w:t>r de l’acquisition des camions</w:t>
      </w:r>
      <w:r>
        <w:t xml:space="preserve"> Mercedes, il y a une vérification du véhicule avant le départ (faire le tour du véhicule et faire les vérifications d’usage).</w:t>
      </w:r>
    </w:p>
    <w:p w14:paraId="78D254A6" w14:textId="77777777" w:rsidR="00C3201C" w:rsidRDefault="00C3201C" w:rsidP="005101F1">
      <w:pPr>
        <w:pStyle w:val="corpsdedcision"/>
      </w:pPr>
      <w:r w:rsidRPr="004D1E91">
        <w:t xml:space="preserve">Il peut y avoir une quinzaine de camions dans le sous-sol de l’établissement. Ils </w:t>
      </w:r>
      <w:r w:rsidR="00175A63" w:rsidRPr="004D1E91">
        <w:t>quittent</w:t>
      </w:r>
      <w:r w:rsidRPr="004D1E91">
        <w:t xml:space="preserve"> un après l’autre, selon leur ordre de stationnement.</w:t>
      </w:r>
      <w:r>
        <w:t xml:space="preserve"> </w:t>
      </w:r>
      <w:r w:rsidR="00AB23A6">
        <w:t>Lorsqu’ils sont stationnés au sous-sol, il y a peu d’espace entre les camions. Ils sont stationnés en quatre ou cinq rangées, un en arrière de l’autre. Le stationnement occupe environ 50</w:t>
      </w:r>
      <w:r w:rsidR="00BB659F">
        <w:t> </w:t>
      </w:r>
      <w:r w:rsidR="00AB23A6">
        <w:t xml:space="preserve">% de la superficie du garage. Pour accéder au garage, ils empruntent les portes de la rue Cyrille-Duquet et pour en sortir, celles de la rue Lavoisier. De chaque côté, il y a environ six ou sept portes, selon le </w:t>
      </w:r>
      <w:r w:rsidR="00AB23A6" w:rsidRPr="001F4FEB">
        <w:t>travailleur</w:t>
      </w:r>
      <w:r w:rsidR="00AB23A6">
        <w:t>. Il explique toutefois que pour la sortie, il n’y a que deux à trois portes fonctionnelles.</w:t>
      </w:r>
    </w:p>
    <w:p w14:paraId="38065A8B" w14:textId="77777777" w:rsidR="004D1E91" w:rsidRDefault="004D1E91" w:rsidP="005101F1">
      <w:pPr>
        <w:pStyle w:val="corpsdedcision"/>
      </w:pPr>
      <w:r>
        <w:lastRenderedPageBreak/>
        <w:t xml:space="preserve">Au moment de démarrer les camions, les portes de garage sont ouvertes. Le </w:t>
      </w:r>
      <w:r w:rsidRPr="001F4FEB">
        <w:t>travailleur</w:t>
      </w:r>
      <w:r>
        <w:t xml:space="preserve"> ne peut toutefois en préciser le nombre. Selon </w:t>
      </w:r>
      <w:r w:rsidR="007162EE">
        <w:t>lui</w:t>
      </w:r>
      <w:r>
        <w:t>, il n’y a pas de ventilation. Il y a du monoxyde de carbone qui s’accumule et qui prend un certain temps avant de se dissiper, selon lui.</w:t>
      </w:r>
    </w:p>
    <w:p w14:paraId="66CC5219" w14:textId="77777777" w:rsidR="00986DC0" w:rsidRDefault="001644EB" w:rsidP="005101F1">
      <w:pPr>
        <w:pStyle w:val="corpsdedcision"/>
      </w:pPr>
      <w:r>
        <w:t>Il y a également une aire de stationnement au premier étage</w:t>
      </w:r>
      <w:r w:rsidR="00A7512E">
        <w:t xml:space="preserve"> (entrepôt)</w:t>
      </w:r>
      <w:r>
        <w:t xml:space="preserve"> permettant de garer les camions qui ne peuvent accéder au sous-sol (tracteur, remorque).</w:t>
      </w:r>
      <w:r w:rsidR="00986DC0">
        <w:t xml:space="preserve"> Il y a aussi un terrain de stationnement à l’extérieur.</w:t>
      </w:r>
    </w:p>
    <w:p w14:paraId="47766D7C" w14:textId="77777777" w:rsidR="00986DC0" w:rsidRDefault="00986DC0" w:rsidP="00587AFC">
      <w:pPr>
        <w:pStyle w:val="corpsdedcision"/>
      </w:pPr>
      <w:r>
        <w:t xml:space="preserve">Selon le </w:t>
      </w:r>
      <w:r w:rsidRPr="00A72CF6">
        <w:t>travailleur</w:t>
      </w:r>
      <w:r>
        <w:t>, entre 1995 et 2012, il récupère son camion de livraison à l’intérieur environ trois quart de son temps et le reste, à l’extérieur.</w:t>
      </w:r>
    </w:p>
    <w:p w14:paraId="2553172C" w14:textId="77777777" w:rsidR="00C3201C" w:rsidRDefault="00986DC0" w:rsidP="005101F1">
      <w:pPr>
        <w:pStyle w:val="corpsdedcision"/>
      </w:pPr>
      <w:r>
        <w:t>Dans le stationnement du premier étage, on y gare environ une dizaine de camions de type vrac/conventionnel et vrac, selon l’espace disponible. Dans cet entrepôt, on retrouve également une partie de la ligne de production.</w:t>
      </w:r>
    </w:p>
    <w:p w14:paraId="7FACC6C0" w14:textId="77777777" w:rsidR="00986DC0" w:rsidRDefault="00986DC0" w:rsidP="005101F1">
      <w:pPr>
        <w:pStyle w:val="corpsdedcision"/>
      </w:pPr>
      <w:r>
        <w:t xml:space="preserve">Questionné sur la présence ou non de monoxyde de carbone au premier étage, le </w:t>
      </w:r>
      <w:r w:rsidRPr="001F4FEB">
        <w:t>travailleur</w:t>
      </w:r>
      <w:r>
        <w:t xml:space="preserve"> indique qu’il n’y a jamais p</w:t>
      </w:r>
      <w:r w:rsidR="00583C8B">
        <w:t>orté</w:t>
      </w:r>
      <w:r>
        <w:t xml:space="preserve"> attention.</w:t>
      </w:r>
      <w:r w:rsidR="008545C1">
        <w:t xml:space="preserve"> Le </w:t>
      </w:r>
      <w:r w:rsidR="008545C1" w:rsidRPr="001F4FEB">
        <w:t>travailleur</w:t>
      </w:r>
      <w:r w:rsidR="008545C1">
        <w:t xml:space="preserve"> ne sait pas s’il y a présence d’un système de ventilation.</w:t>
      </w:r>
    </w:p>
    <w:p w14:paraId="2251B6CD" w14:textId="77777777" w:rsidR="00025975" w:rsidRDefault="00025975" w:rsidP="005101F1">
      <w:pPr>
        <w:pStyle w:val="corpsdedcision"/>
      </w:pPr>
      <w:r>
        <w:t xml:space="preserve">En février 2009, le </w:t>
      </w:r>
      <w:r w:rsidRPr="00A72CF6">
        <w:t>travailleur</w:t>
      </w:r>
      <w:r>
        <w:t xml:space="preserve"> </w:t>
      </w:r>
      <w:r w:rsidR="009B0453">
        <w:t xml:space="preserve">apprend qu’il </w:t>
      </w:r>
      <w:r>
        <w:t xml:space="preserve">souffre de problèmes cardiaques. Il cesse de travailler à compter du 28 février 2009. Il subit une chirurgie </w:t>
      </w:r>
      <w:r w:rsidR="009B0453">
        <w:t xml:space="preserve">cardiaque </w:t>
      </w:r>
      <w:r>
        <w:t>le 21</w:t>
      </w:r>
      <w:r w:rsidR="00DD6D22">
        <w:t> </w:t>
      </w:r>
      <w:r>
        <w:t>avril</w:t>
      </w:r>
      <w:r w:rsidR="00DD6D22">
        <w:t> </w:t>
      </w:r>
      <w:r>
        <w:t>2009. Il réintègre son emploi à partir de septembre 2009.</w:t>
      </w:r>
      <w:r w:rsidR="005F00CA">
        <w:t xml:space="preserve"> </w:t>
      </w:r>
    </w:p>
    <w:p w14:paraId="33DEA479" w14:textId="77777777" w:rsidR="009B0453" w:rsidRDefault="009B0453" w:rsidP="005101F1">
      <w:pPr>
        <w:pStyle w:val="corpsdedcision"/>
      </w:pPr>
      <w:r>
        <w:t xml:space="preserve">Le </w:t>
      </w:r>
      <w:r w:rsidRPr="001F4FEB">
        <w:t>travailleur</w:t>
      </w:r>
      <w:r>
        <w:t xml:space="preserve"> apprend également qu’il fait du cholestérol. Il doit prendre </w:t>
      </w:r>
      <w:r w:rsidRPr="00A80C5B">
        <w:rPr>
          <w:i/>
        </w:rPr>
        <w:t>Crestor</w:t>
      </w:r>
      <w:r>
        <w:t xml:space="preserve"> pour cette condition. Il est diabétique (type 2), diagnostiqué depuis 2009. Il prend </w:t>
      </w:r>
      <w:r w:rsidRPr="00A80C5B">
        <w:rPr>
          <w:i/>
        </w:rPr>
        <w:t>Glucophage</w:t>
      </w:r>
      <w:r>
        <w:t xml:space="preserve"> pour cette condition. Aussi, il doit prendre </w:t>
      </w:r>
      <w:r w:rsidRPr="00A80C5B">
        <w:rPr>
          <w:i/>
        </w:rPr>
        <w:t>Pro</w:t>
      </w:r>
      <w:r w:rsidR="002D44C8" w:rsidRPr="00A80C5B">
        <w:rPr>
          <w:i/>
        </w:rPr>
        <w:t>-Bisoprolol</w:t>
      </w:r>
      <w:r w:rsidR="002D44C8">
        <w:t xml:space="preserve"> et </w:t>
      </w:r>
      <w:proofErr w:type="spellStart"/>
      <w:r w:rsidR="002D44C8" w:rsidRPr="00A80C5B">
        <w:rPr>
          <w:i/>
        </w:rPr>
        <w:t>Olmetec</w:t>
      </w:r>
      <w:proofErr w:type="spellEnd"/>
      <w:r w:rsidR="002D44C8">
        <w:t xml:space="preserve"> </w:t>
      </w:r>
      <w:r>
        <w:t xml:space="preserve">pour </w:t>
      </w:r>
      <w:r w:rsidR="002D44C8">
        <w:t xml:space="preserve">sa </w:t>
      </w:r>
      <w:r>
        <w:t xml:space="preserve">tension artérielle. </w:t>
      </w:r>
      <w:r w:rsidR="002C7C2D">
        <w:t>On lui a prescrit</w:t>
      </w:r>
      <w:r w:rsidR="002D44C8">
        <w:t xml:space="preserve"> </w:t>
      </w:r>
      <w:proofErr w:type="spellStart"/>
      <w:r w:rsidR="002D44C8" w:rsidRPr="00A80C5B">
        <w:rPr>
          <w:i/>
        </w:rPr>
        <w:t>Coumadin</w:t>
      </w:r>
      <w:proofErr w:type="spellEnd"/>
      <w:r w:rsidR="002D44C8">
        <w:t xml:space="preserve"> à la suite de l’opération pour l’implantation de sa valve aortique.</w:t>
      </w:r>
    </w:p>
    <w:p w14:paraId="7F58932A" w14:textId="77777777" w:rsidR="00025975" w:rsidRDefault="00362B2B" w:rsidP="005101F1">
      <w:pPr>
        <w:pStyle w:val="corpsdedcision"/>
      </w:pPr>
      <w:r>
        <w:t xml:space="preserve">Le </w:t>
      </w:r>
      <w:r w:rsidRPr="00A72CF6">
        <w:t>travailleur</w:t>
      </w:r>
      <w:r>
        <w:t xml:space="preserve"> précise qu’il a une </w:t>
      </w:r>
      <w:r w:rsidRPr="00A72CF6">
        <w:t>sœur</w:t>
      </w:r>
      <w:r>
        <w:t xml:space="preserve"> sourde et muette</w:t>
      </w:r>
      <w:r w:rsidR="00B704BE">
        <w:t>, à la suite d’une maladie qu’</w:t>
      </w:r>
      <w:r w:rsidR="00587AFC">
        <w:t>elle a contractée à l’âge d’un o</w:t>
      </w:r>
      <w:r w:rsidR="00B704BE">
        <w:t>u deux ans</w:t>
      </w:r>
      <w:r>
        <w:t xml:space="preserve">. </w:t>
      </w:r>
    </w:p>
    <w:p w14:paraId="0412B0F7" w14:textId="77777777" w:rsidR="005F49D8" w:rsidRDefault="005F49D8" w:rsidP="005101F1">
      <w:pPr>
        <w:pStyle w:val="corpsdedcision"/>
      </w:pPr>
      <w:r>
        <w:t>À la reprise de l’audience le 26 septembre 2014, l’employeur produit les pièces E</w:t>
      </w:r>
      <w:r>
        <w:noBreakHyphen/>
        <w:t>12 à E-19.</w:t>
      </w:r>
    </w:p>
    <w:p w14:paraId="5C1BAD33" w14:textId="77777777" w:rsidR="00EF7301" w:rsidRDefault="00EF7301" w:rsidP="005101F1">
      <w:pPr>
        <w:pStyle w:val="corpsdedcision"/>
      </w:pPr>
      <w:r>
        <w:t xml:space="preserve">On montre au </w:t>
      </w:r>
      <w:r w:rsidRPr="001F4FEB">
        <w:t>travailleur</w:t>
      </w:r>
      <w:r>
        <w:t xml:space="preserve"> des photos de paniers de plastique (E-12). Selon le </w:t>
      </w:r>
      <w:r w:rsidRPr="001F4FEB">
        <w:t>travailleur</w:t>
      </w:r>
      <w:r>
        <w:t>, de tels paniers ont été introduits dans les années 1990 avec les caisses de plastique, pour remplacer graduellement les paniers de carton. On utilise ces paniers de plastique pour les bouteilles de 26 onces (remplacées par les bouteilles de 750 ml).</w:t>
      </w:r>
    </w:p>
    <w:p w14:paraId="2CD06395" w14:textId="77777777" w:rsidR="00EF7301" w:rsidRPr="009A4B6F" w:rsidRDefault="00EF7301" w:rsidP="00DD7E73">
      <w:pPr>
        <w:pStyle w:val="corpsdedcision"/>
      </w:pPr>
      <w:r w:rsidRPr="009A4B6F">
        <w:lastRenderedPageBreak/>
        <w:t>Sur d’autres photos</w:t>
      </w:r>
      <w:r w:rsidR="00AD31B4">
        <w:t>,</w:t>
      </w:r>
      <w:r w:rsidRPr="009A4B6F">
        <w:t xml:space="preserve"> on montre des bouteilles en verre de 10 onces, avec paniers de plastique</w:t>
      </w:r>
      <w:r w:rsidR="009A4B6F">
        <w:t xml:space="preserve"> (E-13), avec paniers de carton (E-14) et des petites bouteilles enveloppées de styromousse (E-15).</w:t>
      </w:r>
    </w:p>
    <w:p w14:paraId="51890DBD" w14:textId="77777777" w:rsidR="005F49D8" w:rsidRDefault="005F49D8" w:rsidP="005101F1">
      <w:pPr>
        <w:pStyle w:val="corpsdedcision"/>
      </w:pPr>
      <w:r>
        <w:t>Questionné sur les registres de paie de livreur et d’aide-livreur pour la période de 1996 à 2012, il en ressort qu’il a travaillé 1154 jours comme aide-livreur et 505 jours comme livreur.</w:t>
      </w:r>
    </w:p>
    <w:p w14:paraId="11E0F7DC" w14:textId="77777777" w:rsidR="005F49D8" w:rsidRDefault="005F49D8" w:rsidP="005101F1">
      <w:pPr>
        <w:pStyle w:val="corpsdedcision"/>
      </w:pPr>
      <w:r>
        <w:t xml:space="preserve">De 1996 à 1998, plusieurs journées sont consacrées à la mise en marché. Questionné sur de telles activités, le </w:t>
      </w:r>
      <w:r w:rsidRPr="00A72CF6">
        <w:t>travailleur</w:t>
      </w:r>
      <w:r>
        <w:t xml:space="preserve"> n’</w:t>
      </w:r>
      <w:r w:rsidR="001800B1">
        <w:t xml:space="preserve">en </w:t>
      </w:r>
      <w:r>
        <w:t>a aucun souvenir.</w:t>
      </w:r>
      <w:r w:rsidR="00382AA9">
        <w:t xml:space="preserve"> Les documents déposés révèlent qu’en 1996, il travaille 171 jours sur une possibilité de 248 à la mise en marché de produits. Pour l’année 1997, il s’agit de 148 jours, en 1998 on calcule 186</w:t>
      </w:r>
      <w:r w:rsidR="00DD6D22">
        <w:t> </w:t>
      </w:r>
      <w:r w:rsidR="00382AA9">
        <w:t>jours.</w:t>
      </w:r>
    </w:p>
    <w:p w14:paraId="7E91717C" w14:textId="77777777" w:rsidR="00382AA9" w:rsidRDefault="00382AA9" w:rsidP="005101F1">
      <w:pPr>
        <w:pStyle w:val="corpsdedcision"/>
      </w:pPr>
      <w:r>
        <w:t xml:space="preserve">Questionné sur la période précédant 1996, le </w:t>
      </w:r>
      <w:r w:rsidRPr="001F4FEB">
        <w:t>travailleur</w:t>
      </w:r>
      <w:r>
        <w:t xml:space="preserve"> ne se souvient pas d’avoir travaillé à la mise en marché.</w:t>
      </w:r>
    </w:p>
    <w:p w14:paraId="2CBB9596" w14:textId="77777777" w:rsidR="005F49D8" w:rsidRDefault="005F49D8" w:rsidP="005101F1">
      <w:pPr>
        <w:pStyle w:val="corpsdedcision"/>
      </w:pPr>
      <w:r>
        <w:t xml:space="preserve">La pièce E-17 fait part d’une nomination du </w:t>
      </w:r>
      <w:r w:rsidRPr="00A72CF6">
        <w:t>travailleur</w:t>
      </w:r>
      <w:r>
        <w:t xml:space="preserve"> comme responsable de la mise en marché </w:t>
      </w:r>
      <w:r w:rsidR="00382AA9">
        <w:t xml:space="preserve">et à la commercialisation </w:t>
      </w:r>
      <w:r>
        <w:t>à compter du 7 novembre 1994.</w:t>
      </w:r>
      <w:r w:rsidR="00382AA9">
        <w:t xml:space="preserve"> Il a donc pu travailler à la mise en marché, de façon régulière, à compter de novembre 1994.</w:t>
      </w:r>
    </w:p>
    <w:p w14:paraId="336678C7" w14:textId="77777777" w:rsidR="005F49D8" w:rsidRDefault="005F49D8" w:rsidP="005101F1">
      <w:pPr>
        <w:pStyle w:val="corpsdedcision"/>
      </w:pPr>
      <w:r>
        <w:t>Les pièces E-18 (entrée rue Cyrille</w:t>
      </w:r>
      <w:r>
        <w:noBreakHyphen/>
        <w:t>Duquet) et E-19 (sortie rue Lavoisier) montrent le garage et les portes par où circulent les camions de livraison.</w:t>
      </w:r>
    </w:p>
    <w:p w14:paraId="7D344999" w14:textId="77777777" w:rsidR="004D3FA0" w:rsidRDefault="004D3FA0" w:rsidP="005101F1">
      <w:pPr>
        <w:pStyle w:val="corpsdedcision"/>
      </w:pPr>
      <w:r>
        <w:t xml:space="preserve">Questionné par son représentant, le </w:t>
      </w:r>
      <w:r w:rsidRPr="00A72CF6">
        <w:t>travailleur</w:t>
      </w:r>
      <w:r>
        <w:t xml:space="preserve"> précise que l’employeur est une entreprise franchisée de production et de livraison de produits </w:t>
      </w:r>
      <w:r>
        <w:rPr>
          <w:i/>
        </w:rPr>
        <w:t>Pepsi</w:t>
      </w:r>
      <w:r>
        <w:t>.</w:t>
      </w:r>
    </w:p>
    <w:p w14:paraId="59F87495" w14:textId="77777777" w:rsidR="004D3FA0" w:rsidRDefault="004D3FA0" w:rsidP="005101F1">
      <w:pPr>
        <w:pStyle w:val="corpsdedcision"/>
      </w:pPr>
      <w:r>
        <w:t xml:space="preserve">Dans les années 1980, la compagnie </w:t>
      </w:r>
      <w:r>
        <w:rPr>
          <w:i/>
        </w:rPr>
        <w:t>Pepsi</w:t>
      </w:r>
      <w:r>
        <w:t xml:space="preserve"> met l’accent sur la promotion du produit dans la région de Québec. Cet exercice entraîne une augmentation des ventes. Et, par le fait même, de la livraison de produits.</w:t>
      </w:r>
    </w:p>
    <w:p w14:paraId="2B9D57AA" w14:textId="77777777" w:rsidR="004D3FA0" w:rsidRDefault="004D3FA0" w:rsidP="005101F1">
      <w:pPr>
        <w:pStyle w:val="corpsdedcision"/>
      </w:pPr>
      <w:r>
        <w:t xml:space="preserve">Le livreur est responsable de la route. Il peut participer au déchargement de la marchandise et il s’occupe de la facturation. </w:t>
      </w:r>
    </w:p>
    <w:p w14:paraId="4E38DEF0" w14:textId="77777777" w:rsidR="004D3FA0" w:rsidRDefault="004D3FA0" w:rsidP="005101F1">
      <w:pPr>
        <w:pStyle w:val="corpsdedcision"/>
      </w:pPr>
      <w:r>
        <w:t>L’aide-livreur peut d’abord vérifier le chargement et chez le client, il s’occupe du déchargement et de la livraison.</w:t>
      </w:r>
    </w:p>
    <w:p w14:paraId="76CD7048" w14:textId="77777777" w:rsidR="004D3FA0" w:rsidRDefault="00CD0D6B" w:rsidP="005101F1">
      <w:pPr>
        <w:pStyle w:val="corpsdedcision"/>
      </w:pPr>
      <w:r>
        <w:t xml:space="preserve">Le troisième homme effectue les mêmes tâches que l’aide-livreur. Il est requis pour les routes </w:t>
      </w:r>
      <w:r w:rsidRPr="00A72CF6">
        <w:t>d</w:t>
      </w:r>
      <w:r>
        <w:t>e 500 caisses et plus.</w:t>
      </w:r>
      <w:r w:rsidR="00886A57">
        <w:t xml:space="preserve"> À l’époque où le </w:t>
      </w:r>
      <w:r w:rsidR="00886A57" w:rsidRPr="001F4FEB">
        <w:t>travailleur</w:t>
      </w:r>
      <w:r w:rsidR="00886A57">
        <w:t xml:space="preserve"> agit comme troisième homme, il est assigné sur des routes de plus de 500 caisses.</w:t>
      </w:r>
    </w:p>
    <w:p w14:paraId="425964DB" w14:textId="77777777" w:rsidR="00CD0D6B" w:rsidRDefault="00CD0D6B" w:rsidP="005101F1">
      <w:pPr>
        <w:pStyle w:val="corpsdedcision"/>
      </w:pPr>
      <w:r>
        <w:t xml:space="preserve">Pour sa part, l’agent de commercialisation agit comme </w:t>
      </w:r>
      <w:proofErr w:type="spellStart"/>
      <w:r w:rsidR="00886A57">
        <w:t>pré</w:t>
      </w:r>
      <w:r>
        <w:t>vendeur</w:t>
      </w:r>
      <w:proofErr w:type="spellEnd"/>
      <w:r>
        <w:t>.</w:t>
      </w:r>
    </w:p>
    <w:p w14:paraId="7A7EF235" w14:textId="77777777" w:rsidR="00CD0D6B" w:rsidRDefault="00CD0D6B" w:rsidP="005101F1">
      <w:pPr>
        <w:pStyle w:val="corpsdedcision"/>
      </w:pPr>
      <w:r>
        <w:lastRenderedPageBreak/>
        <w:t>Le territoire couvert par l’employeur compte 18 routes de livraison, lesquelles sont regroupées en secteur. On compte trois routes par secteur. Chaque route correspond à un camion.</w:t>
      </w:r>
    </w:p>
    <w:p w14:paraId="731ED47C" w14:textId="77777777" w:rsidR="00CD0D6B" w:rsidRDefault="00886A57" w:rsidP="005101F1">
      <w:pPr>
        <w:pStyle w:val="corpsdedcision"/>
      </w:pPr>
      <w:r>
        <w:t>De 1978 à la fin des années 1990, on</w:t>
      </w:r>
      <w:r w:rsidR="00CD0D6B">
        <w:t xml:space="preserve"> livre des bouteilles </w:t>
      </w:r>
      <w:r>
        <w:t xml:space="preserve">de verre </w:t>
      </w:r>
      <w:r w:rsidR="00CD0D6B">
        <w:t>de 7, 10 et 26</w:t>
      </w:r>
      <w:r w:rsidR="00DD6D22">
        <w:t> </w:t>
      </w:r>
      <w:r w:rsidR="00CD0D6B">
        <w:t>onces dans divers établissements commerciaux, dont des chaînes d’alimentation, des dépanneurs ou restaurants.</w:t>
      </w:r>
      <w:r>
        <w:t xml:space="preserve"> Il s’agit de produits</w:t>
      </w:r>
      <w:r w:rsidRPr="00886A57">
        <w:rPr>
          <w:i/>
        </w:rPr>
        <w:t xml:space="preserve"> Pepsi</w:t>
      </w:r>
      <w:r>
        <w:t xml:space="preserve">, </w:t>
      </w:r>
      <w:r w:rsidRPr="00886A57">
        <w:rPr>
          <w:i/>
        </w:rPr>
        <w:t>7 Up, Crush et Canada Dry</w:t>
      </w:r>
      <w:r>
        <w:t>.</w:t>
      </w:r>
    </w:p>
    <w:p w14:paraId="00CA9535" w14:textId="77777777" w:rsidR="00CD0D6B" w:rsidRDefault="00CD0D6B" w:rsidP="005101F1">
      <w:pPr>
        <w:pStyle w:val="corpsdedcision"/>
      </w:pPr>
      <w:r>
        <w:t xml:space="preserve">Jusqu’au milieu des années 1980, les bouteilles </w:t>
      </w:r>
      <w:r w:rsidR="00886A57">
        <w:t xml:space="preserve">de verres </w:t>
      </w:r>
      <w:r>
        <w:t xml:space="preserve">sont dans des caisses de bois, avec séparateurs de carton. On introduit graduellement les caisses de plastique et les bouteilles </w:t>
      </w:r>
      <w:r w:rsidR="007162EE">
        <w:t>de</w:t>
      </w:r>
      <w:r>
        <w:t xml:space="preserve"> plastique</w:t>
      </w:r>
      <w:r w:rsidR="00886A57">
        <w:t>, d’abord avec les 26 onces</w:t>
      </w:r>
      <w:r>
        <w:t>.</w:t>
      </w:r>
    </w:p>
    <w:p w14:paraId="76CAC4FA" w14:textId="77777777" w:rsidR="00CD0D6B" w:rsidRDefault="00CD0D6B" w:rsidP="005101F1">
      <w:pPr>
        <w:pStyle w:val="corpsdedcision"/>
      </w:pPr>
      <w:r>
        <w:t>Il y a trois types de camion de livraison, soit conventio</w:t>
      </w:r>
      <w:r w:rsidR="001800B1">
        <w:t xml:space="preserve">nnel (T-3), </w:t>
      </w:r>
      <w:r>
        <w:t>vrac</w:t>
      </w:r>
      <w:r w:rsidR="0055271E">
        <w:t>/conventionnel</w:t>
      </w:r>
      <w:r>
        <w:t xml:space="preserve"> (T-4) et vrac (T-5).</w:t>
      </w:r>
    </w:p>
    <w:p w14:paraId="5BF3A9E6" w14:textId="77777777" w:rsidR="00CD0D6B" w:rsidRDefault="00CD0D6B" w:rsidP="005101F1">
      <w:pPr>
        <w:pStyle w:val="corpsdedcision"/>
      </w:pPr>
      <w:r>
        <w:t xml:space="preserve">Au début, il travaille avec un camion de type conventionnel </w:t>
      </w:r>
      <w:r w:rsidR="0053454C">
        <w:t xml:space="preserve">Ford </w:t>
      </w:r>
      <w:r>
        <w:t xml:space="preserve">et par la suite </w:t>
      </w:r>
      <w:r w:rsidR="001800B1">
        <w:t>avec un camion</w:t>
      </w:r>
      <w:r>
        <w:t xml:space="preserve"> </w:t>
      </w:r>
      <w:r w:rsidR="0053454C">
        <w:t>Mercedes</w:t>
      </w:r>
      <w:r>
        <w:t>. Le moteur se situe sous la cabine. L’habitacle est en métal. Les bancs n’ont aucune suspension. Il n’y a pas d’air climatisé ni radio. Le tuyau d’échappement est situé derrière la cabine.</w:t>
      </w:r>
    </w:p>
    <w:p w14:paraId="2DC9C455" w14:textId="77777777" w:rsidR="00CD0D6B" w:rsidRDefault="00CD0D6B" w:rsidP="005101F1">
      <w:pPr>
        <w:pStyle w:val="corpsdedcision"/>
      </w:pPr>
      <w:r>
        <w:t xml:space="preserve">Le </w:t>
      </w:r>
      <w:r w:rsidRPr="00A72CF6">
        <w:t>travailleur</w:t>
      </w:r>
      <w:r>
        <w:t xml:space="preserve"> précise que les fenêtres du camion sont constamment baissées, même en hiver. Le moteur, la chaufferette ou le tuyau d’échappement sont bruyants</w:t>
      </w:r>
      <w:r w:rsidR="007F4195">
        <w:t xml:space="preserve"> et il y a de la vibration</w:t>
      </w:r>
      <w:r>
        <w:t xml:space="preserve">, selon le </w:t>
      </w:r>
      <w:r w:rsidRPr="00A72CF6">
        <w:t>travailleur</w:t>
      </w:r>
      <w:r>
        <w:t>.</w:t>
      </w:r>
    </w:p>
    <w:p w14:paraId="307DBA4F" w14:textId="77777777" w:rsidR="00CD0D6B" w:rsidRDefault="00CD0D6B" w:rsidP="005101F1">
      <w:pPr>
        <w:pStyle w:val="corpsdedcision"/>
      </w:pPr>
      <w:r>
        <w:t xml:space="preserve">Avec ce genre de camion, la livraison se fait manuellement (environ </w:t>
      </w:r>
      <w:r w:rsidR="007F4195">
        <w:t>dix palettes</w:t>
      </w:r>
      <w:r>
        <w:t xml:space="preserve">). </w:t>
      </w:r>
      <w:r w:rsidR="00FF19C7">
        <w:t>Le déchargement se fait latéralement (quatre grands panneaux).</w:t>
      </w:r>
    </w:p>
    <w:p w14:paraId="626142D6" w14:textId="77777777" w:rsidR="00CD0D6B" w:rsidRDefault="00CD0D6B" w:rsidP="005101F1">
      <w:pPr>
        <w:pStyle w:val="corpsdedcision"/>
      </w:pPr>
      <w:r>
        <w:t>Différents outils ou équipements peuvent être utilisés pour le déchargement (rampe de métal, diable, aide à la traction).</w:t>
      </w:r>
    </w:p>
    <w:p w14:paraId="484DF94A" w14:textId="77777777" w:rsidR="00CD0D6B" w:rsidRDefault="00CD0D6B" w:rsidP="005101F1">
      <w:pPr>
        <w:pStyle w:val="corpsdedcision"/>
      </w:pPr>
      <w:r>
        <w:t xml:space="preserve">Selon le </w:t>
      </w:r>
      <w:r w:rsidRPr="00A72CF6">
        <w:t>travailleur</w:t>
      </w:r>
      <w:r>
        <w:t xml:space="preserve">, l’utilisation ou le rangement de ces équipements peut être bruyant. </w:t>
      </w:r>
    </w:p>
    <w:p w14:paraId="726154C9" w14:textId="77777777" w:rsidR="00CD0D6B" w:rsidRDefault="00CD0D6B" w:rsidP="00DD6D22">
      <w:pPr>
        <w:pStyle w:val="corpsdedcision"/>
        <w:tabs>
          <w:tab w:val="clear" w:pos="360"/>
        </w:tabs>
      </w:pPr>
      <w:r>
        <w:t>À partir du début des années 1990, il travaille avec des camions vrac</w:t>
      </w:r>
      <w:r w:rsidR="001800B1">
        <w:t>/</w:t>
      </w:r>
      <w:r w:rsidR="00CA395F">
        <w:t xml:space="preserve"> conventionnel, pouvant contenir 14 palettes. Il explique également que ce camion est transformable (T-6). On peut ajuster le plancher et les parois pour recevoir les palettes.</w:t>
      </w:r>
      <w:r w:rsidR="00FF0804">
        <w:t xml:space="preserve"> Ces ajustements nécessitent de la manipulation, ce qui peut être difficile et bruyant, selon le </w:t>
      </w:r>
      <w:r w:rsidR="00FF0804" w:rsidRPr="001F4FEB">
        <w:t>travailleur</w:t>
      </w:r>
      <w:r w:rsidR="00FF0804">
        <w:t>.</w:t>
      </w:r>
    </w:p>
    <w:p w14:paraId="1AFE991C" w14:textId="77777777" w:rsidR="00CD0D6B" w:rsidRDefault="00CD0D6B" w:rsidP="005101F1">
      <w:pPr>
        <w:pStyle w:val="corpsdedcision"/>
      </w:pPr>
      <w:r>
        <w:t xml:space="preserve">À nouveau, </w:t>
      </w:r>
      <w:r w:rsidR="0037043A">
        <w:t xml:space="preserve">il réfère aux divers outils ou équipements utilisés pour la livraison, lesquels peuvent être bruyants (transpalette, plaque de métal pour débarcadère, aide à </w:t>
      </w:r>
      <w:r w:rsidR="0037043A">
        <w:lastRenderedPageBreak/>
        <w:t>la traction). Il arrive également que le chargement se déplace lors d’un transport, ce qui peut être bruyant.</w:t>
      </w:r>
    </w:p>
    <w:p w14:paraId="344484D7" w14:textId="77777777" w:rsidR="0037043A" w:rsidRDefault="0037043A" w:rsidP="005101F1">
      <w:pPr>
        <w:pStyle w:val="corpsdedcision"/>
      </w:pPr>
      <w:r>
        <w:t xml:space="preserve">Au quai de déchargement, </w:t>
      </w:r>
      <w:r w:rsidR="00E5643D">
        <w:t>ils mettent une plateforme de métal pour faire le joint entre l’arrière du camion et le quai</w:t>
      </w:r>
      <w:r>
        <w:t xml:space="preserve">. </w:t>
      </w:r>
      <w:r w:rsidR="00E5643D">
        <w:t xml:space="preserve">Cette plaque de métal est mise en place manuellement. Si elle est défectueuse, ils peuvent utiliser celle rangée dans le camion. Le déchargement se fait avec un transpalette. Le passage sur la plaque de métal est bruyant, selon le </w:t>
      </w:r>
      <w:r w:rsidR="00E5643D" w:rsidRPr="001F4FEB">
        <w:t>travailleur</w:t>
      </w:r>
      <w:r w:rsidR="00E5643D">
        <w:t>.</w:t>
      </w:r>
    </w:p>
    <w:p w14:paraId="43A8F263" w14:textId="77777777" w:rsidR="0037043A" w:rsidRDefault="0037043A" w:rsidP="005101F1">
      <w:pPr>
        <w:pStyle w:val="corpsdedcision"/>
      </w:pPr>
      <w:r>
        <w:t xml:space="preserve">Il y a également le camion vrac avec lequel le </w:t>
      </w:r>
      <w:r w:rsidRPr="00A72CF6">
        <w:t>travailleur</w:t>
      </w:r>
      <w:r>
        <w:t xml:space="preserve"> a peu travaillé.</w:t>
      </w:r>
      <w:r w:rsidR="008D7469">
        <w:t xml:space="preserve"> Celui-ci est utilisé pour les livraisons dans les grandes chaînes d’alimentation.</w:t>
      </w:r>
    </w:p>
    <w:p w14:paraId="4367A857" w14:textId="77777777" w:rsidR="0037043A" w:rsidRDefault="000823AB" w:rsidP="005101F1">
      <w:pPr>
        <w:pStyle w:val="corpsdedcision"/>
      </w:pPr>
      <w:r>
        <w:t xml:space="preserve">Le </w:t>
      </w:r>
      <w:r w:rsidRPr="00A72CF6">
        <w:t>travailleur</w:t>
      </w:r>
      <w:r>
        <w:t xml:space="preserve"> est questionné sur le garage dans lequel sont stationnés les camions </w:t>
      </w:r>
      <w:r w:rsidR="00A57F93">
        <w:t xml:space="preserve">pour la période de 1978 à 1990. </w:t>
      </w:r>
      <w:r>
        <w:t>Il y a peu d’espace entre chaque camion.</w:t>
      </w:r>
    </w:p>
    <w:p w14:paraId="7AB1EC6A" w14:textId="77777777" w:rsidR="00A57F93" w:rsidRDefault="00A57F93" w:rsidP="005101F1">
      <w:pPr>
        <w:pStyle w:val="corpsdedcision"/>
      </w:pPr>
      <w:r>
        <w:t xml:space="preserve">Il fait une vérification de la marchandise dans chaque panneau. Il peut avoir à déplacer des caisses de différents formats ou des palettes, ce qui peut faire du bruit, selon le </w:t>
      </w:r>
      <w:r w:rsidRPr="001F4FEB">
        <w:t>travailleur</w:t>
      </w:r>
      <w:r>
        <w:t>. Par la suite, il fait le tour du camion. Lorsque le livreur arrive, il démarre le camion. Il allume les lumières et vérifie le klaxon (celui du volant et la flûte). Certains livreurs trouveraient un plaisir à actionner les flûtes pour faire du bruit.</w:t>
      </w:r>
    </w:p>
    <w:p w14:paraId="16C7A468" w14:textId="77777777" w:rsidR="000823AB" w:rsidRDefault="000823AB" w:rsidP="005101F1">
      <w:pPr>
        <w:pStyle w:val="corpsdedcision"/>
      </w:pPr>
      <w:r>
        <w:t xml:space="preserve">Le matin, au départ, il y a du bruit. Selon le </w:t>
      </w:r>
      <w:r w:rsidRPr="00A72CF6">
        <w:t>travailleur</w:t>
      </w:r>
      <w:r>
        <w:t xml:space="preserve">, il n’y a pas de ventilation. </w:t>
      </w:r>
      <w:r w:rsidR="00A57F93">
        <w:t xml:space="preserve">Il y a une accumulation de monoxyde de carbone dans le garage « un nuage ». </w:t>
      </w:r>
      <w:r w:rsidR="008C743A">
        <w:t xml:space="preserve">Il pouvait même avoir de la difficulté à respirer. </w:t>
      </w:r>
      <w:r>
        <w:t>Les portes sont ouvertes l’été, mais fermées l’automne, l’hiver et au printemps.</w:t>
      </w:r>
    </w:p>
    <w:p w14:paraId="03FAF40A" w14:textId="77777777" w:rsidR="007766A3" w:rsidRDefault="007766A3" w:rsidP="005101F1">
      <w:pPr>
        <w:pStyle w:val="corpsdedcision"/>
      </w:pPr>
      <w:r>
        <w:t xml:space="preserve">Selon le </w:t>
      </w:r>
      <w:r w:rsidRPr="001F4FEB">
        <w:t>travailleur</w:t>
      </w:r>
      <w:r>
        <w:t xml:space="preserve">, à l’époque, il y </w:t>
      </w:r>
      <w:r w:rsidR="00DD6D22">
        <w:t xml:space="preserve">a </w:t>
      </w:r>
      <w:r>
        <w:t>quatre rangées avec sept camions par rangée. Il y avait une rangée supplémentaire pour trois ou quatre autres camions.</w:t>
      </w:r>
    </w:p>
    <w:p w14:paraId="4D70D755" w14:textId="77777777" w:rsidR="000823AB" w:rsidRDefault="000823AB" w:rsidP="005101F1">
      <w:pPr>
        <w:pStyle w:val="corpsdedcision"/>
      </w:pPr>
      <w:r>
        <w:t xml:space="preserve">À la fin d’une journée, lorsque les livraisons sont terminées, le camion est immobilisé. On vérifie l’inventaire pour s’assurer de l’exactitude des quantités livrées. Cette vérification implique, selon le </w:t>
      </w:r>
      <w:r w:rsidRPr="00A72CF6">
        <w:t>travailleur</w:t>
      </w:r>
      <w:r>
        <w:t xml:space="preserve">, plusieurs manipulations. Durant l’été, le moteur du camion est éteint alors </w:t>
      </w:r>
      <w:r w:rsidR="001800B1">
        <w:t>que pour les</w:t>
      </w:r>
      <w:r>
        <w:t xml:space="preserve"> autres saisons, le moteur reste en marche.</w:t>
      </w:r>
    </w:p>
    <w:p w14:paraId="7D01BE74" w14:textId="77777777" w:rsidR="000823AB" w:rsidRDefault="000823AB" w:rsidP="005101F1">
      <w:pPr>
        <w:pStyle w:val="corpsdedcision"/>
      </w:pPr>
      <w:r>
        <w:t xml:space="preserve">Dans l’éventualité où l’on constate une erreur, cela implique que le </w:t>
      </w:r>
      <w:r w:rsidRPr="00A72CF6">
        <w:t>travailleur</w:t>
      </w:r>
      <w:r>
        <w:t xml:space="preserve"> ait à retourner chez un client.</w:t>
      </w:r>
    </w:p>
    <w:p w14:paraId="46F45B88" w14:textId="77777777" w:rsidR="00DC6FE6" w:rsidRDefault="00DC6FE6" w:rsidP="005101F1">
      <w:pPr>
        <w:pStyle w:val="corpsdedcision"/>
      </w:pPr>
      <w:r>
        <w:t xml:space="preserve">L’hiver, il y a des contraintes pour la livraison en raison de la neige et du froid. Il faut toujours laisser le camion en marche pour empêcher les boissons de geler. Il y a aussi la </w:t>
      </w:r>
      <w:r w:rsidR="00FD0249">
        <w:t>chaufferette</w:t>
      </w:r>
      <w:r>
        <w:t xml:space="preserve">. </w:t>
      </w:r>
    </w:p>
    <w:p w14:paraId="27683FC2" w14:textId="77777777" w:rsidR="000823AB" w:rsidRDefault="001800B1" w:rsidP="005101F1">
      <w:pPr>
        <w:pStyle w:val="corpsdedcision"/>
      </w:pPr>
      <w:r>
        <w:lastRenderedPageBreak/>
        <w:t>Il</w:t>
      </w:r>
      <w:r w:rsidR="000823AB">
        <w:t xml:space="preserve"> précise qu’il peut être difficile de converser avec son collègue à l’intérieur de la cabine du camion</w:t>
      </w:r>
      <w:r>
        <w:t>,</w:t>
      </w:r>
      <w:r w:rsidR="000823AB">
        <w:t xml:space="preserve"> en raison du bruit.</w:t>
      </w:r>
    </w:p>
    <w:p w14:paraId="6562B6AA" w14:textId="77777777" w:rsidR="000823AB" w:rsidRDefault="000823AB" w:rsidP="005101F1">
      <w:pPr>
        <w:pStyle w:val="corpsdedcision"/>
      </w:pPr>
      <w:r>
        <w:t xml:space="preserve">Selon le </w:t>
      </w:r>
      <w:r w:rsidRPr="00A72CF6">
        <w:t>travailleur</w:t>
      </w:r>
      <w:r>
        <w:t xml:space="preserve">, </w:t>
      </w:r>
      <w:r w:rsidR="00A948C6">
        <w:t>il est confronté au bruit toute la journée.</w:t>
      </w:r>
    </w:p>
    <w:p w14:paraId="170672A6" w14:textId="77777777" w:rsidR="00F576DD" w:rsidRDefault="00A948C6" w:rsidP="00F576DD">
      <w:pPr>
        <w:pStyle w:val="corpsdedcision"/>
      </w:pPr>
      <w:r>
        <w:t xml:space="preserve">Invité à détailler son historique d’emploi, préalablement à 1996, le </w:t>
      </w:r>
      <w:r w:rsidRPr="00A72CF6">
        <w:t>travailleur</w:t>
      </w:r>
      <w:r>
        <w:t xml:space="preserve"> indique avoir été troisième homme de 1978 à 1980, puis aide-livreur de 1980 à 1995. De 1978 à 1990, il s’agit de livraisons effectuées avec un camion conventionnel et à partir de 1990, on i</w:t>
      </w:r>
      <w:r w:rsidR="001800B1">
        <w:t>ntroduit le camion de type vrac/</w:t>
      </w:r>
      <w:r>
        <w:t xml:space="preserve">conventionnel. </w:t>
      </w:r>
    </w:p>
    <w:p w14:paraId="6D690A71" w14:textId="77777777" w:rsidR="00F576DD" w:rsidRDefault="00F576DD" w:rsidP="00F576DD">
      <w:pPr>
        <w:pStyle w:val="corpsdedcision"/>
      </w:pPr>
      <w:r>
        <w:t xml:space="preserve">De 1980 à 1982, il travaille avec </w:t>
      </w:r>
      <w:r w:rsidRPr="001F4FEB">
        <w:t>monsieur</w:t>
      </w:r>
      <w:r>
        <w:t xml:space="preserve"> Marcel</w:t>
      </w:r>
      <w:r w:rsidR="00F55E2C">
        <w:t xml:space="preserve"> Alain</w:t>
      </w:r>
      <w:r>
        <w:t xml:space="preserve">. De 1982 à 1990, avec Jean Daigle et de 1990 à 1994, </w:t>
      </w:r>
      <w:r w:rsidRPr="001F4FEB">
        <w:t>monsieur</w:t>
      </w:r>
      <w:r>
        <w:t xml:space="preserve"> Jean Boucher. Au début, il fait de la livraison quatre jours en ville et une journée en région (Portneuf) et par la suite, il fait la livraison en ville. Avec </w:t>
      </w:r>
      <w:r w:rsidRPr="001F4FEB">
        <w:t>monsieur</w:t>
      </w:r>
      <w:r>
        <w:t xml:space="preserve"> Boucher, il faisait la livraison dans des établissements IGA, Métro, Provigo, Héritage ou Super C.</w:t>
      </w:r>
    </w:p>
    <w:p w14:paraId="71C27D78" w14:textId="77777777" w:rsidR="00F576DD" w:rsidRDefault="00F576DD" w:rsidP="00F576DD">
      <w:pPr>
        <w:pStyle w:val="corpsdedcision"/>
      </w:pPr>
      <w:r>
        <w:t>Par exemple, pour IGA, il pouvait livre</w:t>
      </w:r>
      <w:r w:rsidR="00587AFC">
        <w:t>r</w:t>
      </w:r>
      <w:r>
        <w:t xml:space="preserve"> de 125 à 150 caisses</w:t>
      </w:r>
      <w:r w:rsidR="00810066">
        <w:t xml:space="preserve"> de 26 onces. La quantité pouvait augmenter en cas de spéciaux.</w:t>
      </w:r>
    </w:p>
    <w:p w14:paraId="4D545E80" w14:textId="77777777" w:rsidR="00A948C6" w:rsidRDefault="00A948C6" w:rsidP="005101F1">
      <w:pPr>
        <w:pStyle w:val="corpsdedcision"/>
      </w:pPr>
      <w:r>
        <w:t xml:space="preserve">Le </w:t>
      </w:r>
      <w:r w:rsidRPr="00A72CF6">
        <w:t>travailleur</w:t>
      </w:r>
      <w:r>
        <w:t xml:space="preserve"> a une caisse de bouteilles de 26 onces vides avec lui. Il simule la manipulation d’une telle caisse lors d’une livraison.</w:t>
      </w:r>
    </w:p>
    <w:p w14:paraId="38BA42B8" w14:textId="77777777" w:rsidR="00A948C6" w:rsidRDefault="00A948C6" w:rsidP="005101F1">
      <w:pPr>
        <w:pStyle w:val="corpsdedcision"/>
      </w:pPr>
      <w:r>
        <w:t>Il produit également, sous T-7, copie d’un croquis illustrant l’environnement dans lequel il devait livrer les caisses ou récupérer les bouteilles vides dans un établissement d’une chaîne d’alimentation (</w:t>
      </w:r>
      <w:r>
        <w:rPr>
          <w:i/>
        </w:rPr>
        <w:t>Steinberg</w:t>
      </w:r>
      <w:r>
        <w:t>, Place Fleur de Lys).</w:t>
      </w:r>
    </w:p>
    <w:p w14:paraId="5C9E6E19" w14:textId="77777777" w:rsidR="00A948C6" w:rsidRDefault="00A948C6" w:rsidP="005101F1">
      <w:pPr>
        <w:pStyle w:val="corpsdedcision"/>
      </w:pPr>
      <w:r>
        <w:t xml:space="preserve">Lors d’une livraison dans un dépanneur, le </w:t>
      </w:r>
      <w:r w:rsidRPr="00A72CF6">
        <w:t>travailleur</w:t>
      </w:r>
      <w:r>
        <w:t xml:space="preserve"> explique qu’il lui arrive de descendre du camion afin de guider le livreur jusqu’au point de livraison.</w:t>
      </w:r>
    </w:p>
    <w:p w14:paraId="44F2AC71" w14:textId="77777777" w:rsidR="00A948C6" w:rsidRDefault="00A948C6" w:rsidP="005101F1">
      <w:pPr>
        <w:pStyle w:val="corpsdedcision"/>
      </w:pPr>
      <w:r>
        <w:t xml:space="preserve">Pour ce faire, il se tient près du camion, côté conducteur. Le </w:t>
      </w:r>
      <w:r w:rsidRPr="00A72CF6">
        <w:t>travailleur</w:t>
      </w:r>
      <w:r>
        <w:t xml:space="preserve"> est exposé au bruit du moteur et au signal sonore indiquant le recul du camion. Il mentionne également le bruit </w:t>
      </w:r>
      <w:r w:rsidR="00C73DFE">
        <w:t>qui se dégage des freins à air.</w:t>
      </w:r>
    </w:p>
    <w:p w14:paraId="2CCE5274" w14:textId="77777777" w:rsidR="00C73DFE" w:rsidRDefault="00C73DFE" w:rsidP="005101F1">
      <w:pPr>
        <w:pStyle w:val="corpsdedcision"/>
      </w:pPr>
      <w:r>
        <w:t xml:space="preserve">Une fois que le livreur a terminé l’inventaire à l’intérieur de l’établissement, il y a livraison des caisses chez le client. Le nombre peut varier. Le </w:t>
      </w:r>
      <w:r w:rsidRPr="00A72CF6">
        <w:t>travailleur</w:t>
      </w:r>
      <w:r>
        <w:t xml:space="preserve"> peut être confronté à diverses contrainte</w:t>
      </w:r>
      <w:r w:rsidR="005E3CB6">
        <w:t>s</w:t>
      </w:r>
      <w:r>
        <w:t xml:space="preserve"> (marches d’escalier, trappe, compresseur de réfrigérateur).</w:t>
      </w:r>
    </w:p>
    <w:p w14:paraId="023DF919" w14:textId="77777777" w:rsidR="00C73DFE" w:rsidRDefault="00AB1C54" w:rsidP="005101F1">
      <w:pPr>
        <w:pStyle w:val="corpsdedcision"/>
      </w:pPr>
      <w:r>
        <w:t xml:space="preserve">Le </w:t>
      </w:r>
      <w:r w:rsidRPr="00A72CF6">
        <w:t>travailleur</w:t>
      </w:r>
      <w:r>
        <w:t xml:space="preserve"> précise qu’il a effectivement déjà été assigné à titre de livreur. Il explique toutefois qu’il lui arrivait alors qu’on lui assigne un aide-livreur provenant d’une agence de placement (</w:t>
      </w:r>
      <w:r>
        <w:rPr>
          <w:i/>
        </w:rPr>
        <w:t>Manpower</w:t>
      </w:r>
      <w:r>
        <w:t>).</w:t>
      </w:r>
    </w:p>
    <w:p w14:paraId="1E89D61A" w14:textId="77777777" w:rsidR="00AB1C54" w:rsidRDefault="00AB1C54" w:rsidP="005101F1">
      <w:pPr>
        <w:pStyle w:val="corpsdedcision"/>
      </w:pPr>
      <w:r>
        <w:lastRenderedPageBreak/>
        <w:t xml:space="preserve">Étant donné le manque d’expérience de cette ressource externe, il arrivait que le </w:t>
      </w:r>
      <w:r w:rsidRPr="00A72CF6">
        <w:t>travailleur</w:t>
      </w:r>
      <w:r w:rsidR="00587AFC">
        <w:t xml:space="preserve"> ait à assum</w:t>
      </w:r>
      <w:r>
        <w:t>er les tâches d’aide-livreur</w:t>
      </w:r>
      <w:r w:rsidR="00A378FF">
        <w:t>.</w:t>
      </w:r>
    </w:p>
    <w:p w14:paraId="28E768C2" w14:textId="77777777" w:rsidR="00A378FF" w:rsidRDefault="00A378FF" w:rsidP="005101F1">
      <w:pPr>
        <w:pStyle w:val="corpsdedcision"/>
      </w:pPr>
      <w:r>
        <w:t xml:space="preserve">Questionné par le tribunal, le </w:t>
      </w:r>
      <w:r w:rsidRPr="00A72CF6">
        <w:t>travailleur</w:t>
      </w:r>
      <w:r>
        <w:t xml:space="preserve"> indique que préalablement au test de dépistage de mai 2012, il n’avait jamais passé un examen </w:t>
      </w:r>
      <w:proofErr w:type="spellStart"/>
      <w:r>
        <w:t>audiologique</w:t>
      </w:r>
      <w:proofErr w:type="spellEnd"/>
      <w:r>
        <w:t>.</w:t>
      </w:r>
    </w:p>
    <w:p w14:paraId="50AAA5A1" w14:textId="77777777" w:rsidR="0007470A" w:rsidRDefault="0007470A" w:rsidP="005101F1">
      <w:pPr>
        <w:pStyle w:val="corpsdedcision"/>
      </w:pPr>
      <w:r>
        <w:t xml:space="preserve">Le C.L.S.C. </w:t>
      </w:r>
      <w:r w:rsidR="00BE642C">
        <w:t xml:space="preserve">intervenait à l’établissement pour effectuer des tests à des employés de l’usine. Le </w:t>
      </w:r>
      <w:r w:rsidR="00BE642C" w:rsidRPr="00A72CF6">
        <w:t>travailleur</w:t>
      </w:r>
      <w:r w:rsidR="00BE642C">
        <w:t>, de sa propre initiative, a demandé de passer un test de dépistage. Son poste n’était pas ciblé</w:t>
      </w:r>
      <w:r w:rsidR="001800B1">
        <w:t xml:space="preserve"> par le programme de dépistage</w:t>
      </w:r>
      <w:r w:rsidR="00BE642C">
        <w:t>.</w:t>
      </w:r>
    </w:p>
    <w:p w14:paraId="3DA0F272" w14:textId="77777777" w:rsidR="00BE642C" w:rsidRDefault="00BE642C" w:rsidP="005101F1">
      <w:pPr>
        <w:pStyle w:val="corpsdedcision"/>
      </w:pPr>
      <w:r>
        <w:t>Selon lui, sa perte auditive remonte à sept ou huit ans à partir de 2012.</w:t>
      </w:r>
    </w:p>
    <w:p w14:paraId="6281DAE6" w14:textId="77777777" w:rsidR="004805B2" w:rsidRDefault="00F36F8A" w:rsidP="004805B2">
      <w:pPr>
        <w:pStyle w:val="corpsdedcision"/>
      </w:pPr>
      <w:r w:rsidRPr="006E6E76">
        <w:t>À la reprise de l’audience le 17 octobre 2014</w:t>
      </w:r>
      <w:r>
        <w:t xml:space="preserve">, il </w:t>
      </w:r>
      <w:r w:rsidR="004805B2">
        <w:t>y a dépôt des pièces E-20 et E-21</w:t>
      </w:r>
      <w:r w:rsidR="006E6E76">
        <w:t xml:space="preserve"> et des questions additionnelles au </w:t>
      </w:r>
      <w:r w:rsidR="006E6E76" w:rsidRPr="001F4FEB">
        <w:t>travailleur</w:t>
      </w:r>
      <w:r w:rsidR="006E6E76">
        <w:t xml:space="preserve"> de la part de la procureure de l’</w:t>
      </w:r>
      <w:r w:rsidR="006E6E76" w:rsidRPr="001F4FEB">
        <w:t>employeur</w:t>
      </w:r>
      <w:r w:rsidR="004805B2">
        <w:t>.</w:t>
      </w:r>
    </w:p>
    <w:p w14:paraId="2AB7A171" w14:textId="77777777" w:rsidR="00D704BF" w:rsidRDefault="006E6E76" w:rsidP="00D704BF">
      <w:pPr>
        <w:pStyle w:val="corpsdedcision"/>
      </w:pPr>
      <w:r>
        <w:t>Ce faisant, l</w:t>
      </w:r>
      <w:r w:rsidR="00D704BF">
        <w:t xml:space="preserve">e </w:t>
      </w:r>
      <w:r w:rsidR="00D704BF" w:rsidRPr="001F4FEB">
        <w:t>travailleur</w:t>
      </w:r>
      <w:r w:rsidR="00EE17EF">
        <w:t xml:space="preserve"> ne peut préciser en</w:t>
      </w:r>
      <w:r w:rsidR="00D704BF">
        <w:t xml:space="preserve"> quel matériau les camions utilisés fin des années 1970 début des années 1980 étaient fabriqués (métal ou aluminium).</w:t>
      </w:r>
    </w:p>
    <w:p w14:paraId="61B93780" w14:textId="77777777" w:rsidR="00D704BF" w:rsidRDefault="00FE6E9D" w:rsidP="00D704BF">
      <w:pPr>
        <w:pStyle w:val="corpsdedcision"/>
      </w:pPr>
      <w:r>
        <w:t xml:space="preserve">Questionné à nouveau sur l’utilisation de la chaufferette du camion, le </w:t>
      </w:r>
      <w:r w:rsidRPr="00A72CF6">
        <w:t>travailleur</w:t>
      </w:r>
      <w:r>
        <w:t xml:space="preserve"> précise que celle-ci fonctionne à l’automne et en hiver. Les fenêtres du camion sont toujours un peu baissées, même en hiver. </w:t>
      </w:r>
    </w:p>
    <w:p w14:paraId="19932655" w14:textId="77777777" w:rsidR="00EE17EF" w:rsidRDefault="00EE17EF" w:rsidP="00D704BF">
      <w:pPr>
        <w:pStyle w:val="corpsdedcision"/>
      </w:pPr>
      <w:r>
        <w:t xml:space="preserve">Quant au diable pour transférer la marchandise, le </w:t>
      </w:r>
      <w:r w:rsidRPr="001F4FEB">
        <w:t>travailleur</w:t>
      </w:r>
      <w:r>
        <w:t xml:space="preserve"> indique qu’au début, il était en métal et par la suite, il était en aluminium. Le </w:t>
      </w:r>
      <w:r w:rsidRPr="001F4FEB">
        <w:t>travailleur</w:t>
      </w:r>
      <w:r>
        <w:t xml:space="preserve"> ne peut toutefois préciser à partir de quel moment il y a eu un tel changement.</w:t>
      </w:r>
    </w:p>
    <w:p w14:paraId="3D3255E2" w14:textId="77777777" w:rsidR="00F36F8A" w:rsidRDefault="00EE17EF" w:rsidP="005101F1">
      <w:pPr>
        <w:pStyle w:val="corpsdedcision"/>
      </w:pPr>
      <w:r>
        <w:t xml:space="preserve">On revient sur le temps d’attente lors de livraisons. Le </w:t>
      </w:r>
      <w:r w:rsidRPr="001F4FEB">
        <w:t>travailleur</w:t>
      </w:r>
      <w:r>
        <w:t xml:space="preserve"> précise que parfois, lorsqu’ils arrivent</w:t>
      </w:r>
      <w:r w:rsidR="00FE6E9D">
        <w:t xml:space="preserve"> chez un client, il peut y avoir une certaine période d’attente dans le camion. Le temps d’attente est dû à la présence de d’autres fournisseurs.</w:t>
      </w:r>
      <w:r>
        <w:t xml:space="preserve"> Pour les plus longues attentes, ils repartaient faire d’autres livraisons</w:t>
      </w:r>
      <w:r w:rsidR="00BF4F4D">
        <w:t xml:space="preserve"> avant de revenir plus tard. Selon le </w:t>
      </w:r>
      <w:r w:rsidR="00BF4F4D" w:rsidRPr="001F4FEB">
        <w:t>travailleur</w:t>
      </w:r>
      <w:r w:rsidR="00BF4F4D">
        <w:t xml:space="preserve">, chez certains clients, les lieux de livraison étaient mal adaptés ou configurés. Ceci compliquait davantage la livraison. Le </w:t>
      </w:r>
      <w:r w:rsidR="00BF4F4D" w:rsidRPr="001F4FEB">
        <w:t>travailleur</w:t>
      </w:r>
      <w:r w:rsidR="00BF4F4D">
        <w:t xml:space="preserve"> faisait plus d’effort.</w:t>
      </w:r>
    </w:p>
    <w:p w14:paraId="4F15921F" w14:textId="77777777" w:rsidR="005D0779" w:rsidRDefault="005D0779" w:rsidP="005D0779">
      <w:pPr>
        <w:pStyle w:val="corpsdedcision"/>
      </w:pPr>
      <w:r>
        <w:t xml:space="preserve">Le </w:t>
      </w:r>
      <w:r w:rsidRPr="001F4FEB">
        <w:t>travailleur</w:t>
      </w:r>
      <w:r>
        <w:t xml:space="preserve"> explique qu’a</w:t>
      </w:r>
      <w:r w:rsidR="00BF4F4D">
        <w:t xml:space="preserve">u tout début, </w:t>
      </w:r>
      <w:r>
        <w:t xml:space="preserve">les camions n’étaient pas chargés selon un schéma de livraison. On pouvait ainsi retrouver les caisses de 26 onces d’un côté et les 10 onces de l’autre côté du camion. Il y avait également des cannettes. </w:t>
      </w:r>
      <w:r w:rsidR="00FE6E9D">
        <w:t>Il p</w:t>
      </w:r>
      <w:r>
        <w:t>ouvait</w:t>
      </w:r>
      <w:r w:rsidR="00FE6E9D">
        <w:t xml:space="preserve"> arriver toutefois qu’il y ait une certaine réorganisation de la marchandise pour respecter l’ordre de livraison aux clients. </w:t>
      </w:r>
    </w:p>
    <w:p w14:paraId="099392FF" w14:textId="77777777" w:rsidR="00F36F8A" w:rsidRDefault="00FE6E9D" w:rsidP="005D0779">
      <w:pPr>
        <w:pStyle w:val="corpsdedcision"/>
      </w:pPr>
      <w:r>
        <w:t xml:space="preserve">Pour ce faire, le </w:t>
      </w:r>
      <w:r w:rsidRPr="00A72CF6">
        <w:t>travailleur</w:t>
      </w:r>
      <w:r>
        <w:t xml:space="preserve"> doit parfois utiliser un marchepied </w:t>
      </w:r>
      <w:r w:rsidR="002D7F5E">
        <w:t>amovible</w:t>
      </w:r>
      <w:r>
        <w:t>, lequel est difficile d’utilisation.</w:t>
      </w:r>
      <w:r w:rsidR="005D0779">
        <w:t xml:space="preserve"> Il ne peut toutefois préciser quand de tels marchepieds ont été introduits.</w:t>
      </w:r>
    </w:p>
    <w:p w14:paraId="7D7AEB0B" w14:textId="77777777" w:rsidR="00F36F8A" w:rsidRDefault="00FE6E9D" w:rsidP="005101F1">
      <w:pPr>
        <w:pStyle w:val="corpsdedcision"/>
      </w:pPr>
      <w:r>
        <w:lastRenderedPageBreak/>
        <w:t xml:space="preserve">En cas de bris sur un camion, le </w:t>
      </w:r>
      <w:r w:rsidRPr="00A72CF6">
        <w:t>travailleur</w:t>
      </w:r>
      <w:r>
        <w:t xml:space="preserve"> en avise immédiatement son supérieur. On peut tenter de réparer </w:t>
      </w:r>
      <w:r w:rsidR="00587AFC">
        <w:t>le bris immédiatement, sinon en</w:t>
      </w:r>
      <w:r>
        <w:t xml:space="preserve"> f</w:t>
      </w:r>
      <w:r w:rsidR="00587AFC">
        <w:t>in</w:t>
      </w:r>
      <w:r>
        <w:t xml:space="preserve"> de journée.</w:t>
      </w:r>
    </w:p>
    <w:p w14:paraId="6F97FDDA" w14:textId="77777777" w:rsidR="00F36F8A" w:rsidRDefault="00FE6E9D" w:rsidP="005101F1">
      <w:pPr>
        <w:pStyle w:val="corpsdedcision"/>
      </w:pPr>
      <w:r>
        <w:t xml:space="preserve">Le </w:t>
      </w:r>
      <w:r w:rsidRPr="00A72CF6">
        <w:t>travailleur</w:t>
      </w:r>
      <w:r>
        <w:t xml:space="preserve"> </w:t>
      </w:r>
      <w:r w:rsidR="00BC22DC">
        <w:t>confirme</w:t>
      </w:r>
      <w:r>
        <w:t xml:space="preserve"> que l’employeur a</w:t>
      </w:r>
      <w:r w:rsidR="00BC22DC">
        <w:t>vait</w:t>
      </w:r>
      <w:r>
        <w:t xml:space="preserve"> mis en place un programme de </w:t>
      </w:r>
      <w:r w:rsidR="002A7D4A">
        <w:t xml:space="preserve">bonis </w:t>
      </w:r>
      <w:r w:rsidR="00BC22DC">
        <w:t>de bonne conduite. On récompensait</w:t>
      </w:r>
      <w:r>
        <w:t xml:space="preserve"> ainsi le livreur et aide-livreur qui</w:t>
      </w:r>
      <w:r w:rsidR="00985BAF">
        <w:t xml:space="preserve"> montr</w:t>
      </w:r>
      <w:r w:rsidR="00BC22DC">
        <w:t>aient</w:t>
      </w:r>
      <w:r w:rsidR="00985BAF">
        <w:t xml:space="preserve"> u</w:t>
      </w:r>
      <w:r>
        <w:t xml:space="preserve">n bon dossier de conduite (pas d’accident, camion propre, en bon état et qui ne tarde pas à faire </w:t>
      </w:r>
      <w:r w:rsidR="00D636A5">
        <w:t xml:space="preserve">réparer </w:t>
      </w:r>
      <w:r>
        <w:t xml:space="preserve">au besoin). Le </w:t>
      </w:r>
      <w:r w:rsidRPr="00A72CF6">
        <w:t>travailleur</w:t>
      </w:r>
      <w:r w:rsidR="002A7D4A">
        <w:t xml:space="preserve"> précise a</w:t>
      </w:r>
      <w:r w:rsidR="00BC22DC">
        <w:t>voir</w:t>
      </w:r>
      <w:r w:rsidR="002A7D4A">
        <w:t xml:space="preserve"> </w:t>
      </w:r>
      <w:r w:rsidR="008E4EA3">
        <w:t>bénéficié</w:t>
      </w:r>
      <w:r>
        <w:t xml:space="preserve"> de ce programme.</w:t>
      </w:r>
      <w:r w:rsidR="00D636A5">
        <w:t xml:space="preserve"> </w:t>
      </w:r>
    </w:p>
    <w:p w14:paraId="34F293F3" w14:textId="77777777" w:rsidR="00665901" w:rsidRDefault="00665901" w:rsidP="005101F1">
      <w:pPr>
        <w:pStyle w:val="corpsdedcision"/>
      </w:pPr>
      <w:r>
        <w:t>Questionné sur les camions qui apparaissen</w:t>
      </w:r>
      <w:r w:rsidR="00F01825">
        <w:t>t sur les photos produites en T-3, T-4 et T-5</w:t>
      </w:r>
      <w:r>
        <w:t xml:space="preserve">, le </w:t>
      </w:r>
      <w:r w:rsidRPr="001F4FEB">
        <w:t>travailleur</w:t>
      </w:r>
      <w:r>
        <w:t xml:space="preserve"> ne peut confirmer qu’il a utilisé ces camions</w:t>
      </w:r>
      <w:r w:rsidR="00587168">
        <w:t xml:space="preserve">. Quant aux bris </w:t>
      </w:r>
      <w:r w:rsidR="007162EE">
        <w:t xml:space="preserve">qu’on y voit </w:t>
      </w:r>
      <w:r w:rsidR="00A80C5B">
        <w:t xml:space="preserve">(rainures </w:t>
      </w:r>
      <w:r w:rsidR="00587168">
        <w:t>ou bosses)</w:t>
      </w:r>
      <w:r w:rsidR="007162EE">
        <w:t>,</w:t>
      </w:r>
      <w:r w:rsidR="00587168">
        <w:t xml:space="preserve"> il ne peut qu’avancer des hypothèses sur les causes.</w:t>
      </w:r>
    </w:p>
    <w:p w14:paraId="59229F94" w14:textId="77777777" w:rsidR="009F7D93" w:rsidRDefault="009F7D93" w:rsidP="005101F1">
      <w:pPr>
        <w:pStyle w:val="corpsdedcision"/>
      </w:pPr>
      <w:r>
        <w:t xml:space="preserve">Le </w:t>
      </w:r>
      <w:r w:rsidRPr="001F4FEB">
        <w:t>travailleur</w:t>
      </w:r>
      <w:r>
        <w:t xml:space="preserve"> est questionné à nouveau sur l’utilisation du transpalette manuel, indiquant qu’il peut y avoir un bruit (métal sur métal) lorsqu’il doit l’ajuster sous la palette de caisses de marchandise.</w:t>
      </w:r>
    </w:p>
    <w:p w14:paraId="2050C37D" w14:textId="77777777" w:rsidR="00AD5E52" w:rsidRDefault="00AD5E52" w:rsidP="005101F1">
      <w:pPr>
        <w:pStyle w:val="corpsdedcision"/>
      </w:pPr>
      <w:r>
        <w:t xml:space="preserve">Le </w:t>
      </w:r>
      <w:r w:rsidRPr="001F4FEB">
        <w:t>travailleur</w:t>
      </w:r>
      <w:r>
        <w:t xml:space="preserve"> réitère le fait qu’il a très peu travaillé avec les camions vrac. Il réfère à quelques occasions seulement, sans pouvoir donner plus de précisions.</w:t>
      </w:r>
    </w:p>
    <w:p w14:paraId="55685A44" w14:textId="77777777" w:rsidR="00D763CE" w:rsidRDefault="00D763CE" w:rsidP="005101F1">
      <w:pPr>
        <w:pStyle w:val="corpsdedcision"/>
      </w:pPr>
      <w:r>
        <w:t xml:space="preserve">En ce qui a trait aux bris de câble qui servaient à l’ouverture du panneau de camion, le </w:t>
      </w:r>
      <w:r w:rsidRPr="001F4FEB">
        <w:t>travailleur</w:t>
      </w:r>
      <w:r>
        <w:t xml:space="preserve"> admet qu’ils sont peu fréquents, sans pouvoir préciser davantage.</w:t>
      </w:r>
    </w:p>
    <w:p w14:paraId="1F5BC3F6" w14:textId="77777777" w:rsidR="000449A2" w:rsidRDefault="000449A2" w:rsidP="005101F1">
      <w:pPr>
        <w:pStyle w:val="corpsdedcision"/>
      </w:pPr>
      <w:r>
        <w:t xml:space="preserve">Le </w:t>
      </w:r>
      <w:r w:rsidRPr="001F4FEB">
        <w:t>travailleur</w:t>
      </w:r>
      <w:r>
        <w:t xml:space="preserve"> confirme que les caisses de bouteilles pleines (10 ou 26 onces) sont munies de séparateurs de carton ou plastique qui empêchent ou diminuent les chocs lors du transport ou de leur manipulation. Pour les bouteilles de 26 onces, le </w:t>
      </w:r>
      <w:r w:rsidRPr="001F4FEB">
        <w:t>travailleur</w:t>
      </w:r>
      <w:r>
        <w:t xml:space="preserve"> précise qu’elles peuvent s’entrechoquer dans le bas, en raison d’un petit espace. Pour les bouteilles vides, il y a toujours du bruit, selon le </w:t>
      </w:r>
      <w:r w:rsidRPr="001F4FEB">
        <w:t>travailleur</w:t>
      </w:r>
      <w:r>
        <w:t>.</w:t>
      </w:r>
    </w:p>
    <w:p w14:paraId="1E79855E" w14:textId="77777777" w:rsidR="00885CA1" w:rsidRDefault="00885CA1" w:rsidP="005101F1">
      <w:pPr>
        <w:pStyle w:val="corpsdedcision"/>
      </w:pPr>
      <w:r>
        <w:t>Questionné sur l’ouverture ou non des portes du garage le matin</w:t>
      </w:r>
      <w:r w:rsidR="009A7C1C">
        <w:t xml:space="preserve"> (côté Cyrille-Duquet)</w:t>
      </w:r>
      <w:r w:rsidR="00BB659F">
        <w:t xml:space="preserve">, au </w:t>
      </w:r>
      <w:r>
        <w:t xml:space="preserve">moment de la vérification de son camion, le </w:t>
      </w:r>
      <w:r w:rsidRPr="001F4FEB">
        <w:t>travailleur</w:t>
      </w:r>
      <w:r>
        <w:t xml:space="preserve"> indique « ne pas être au courant puisqu’il vérifie son camion ». Il ne peut donc donner plus de précisions.</w:t>
      </w:r>
    </w:p>
    <w:p w14:paraId="36FE2830" w14:textId="77777777" w:rsidR="009A7C1C" w:rsidRDefault="009A7C1C" w:rsidP="001428EB">
      <w:pPr>
        <w:pStyle w:val="corpsdedcision"/>
      </w:pPr>
      <w:r>
        <w:t xml:space="preserve">En ce qui concerne le retour des bouteilles en verre vides, le </w:t>
      </w:r>
      <w:r w:rsidRPr="001F4FEB">
        <w:t>travailleur</w:t>
      </w:r>
      <w:r>
        <w:t xml:space="preserve"> </w:t>
      </w:r>
      <w:r w:rsidR="001428EB">
        <w:t xml:space="preserve">précise qu’elles revenaient sans séparateurs ou plutôt rarement pour les bouteilles de 10 onces. Il </w:t>
      </w:r>
      <w:r>
        <w:t>reconnaît qu’elles devaient être manipulées pas trop brusquement afin d’éviter les bris</w:t>
      </w:r>
      <w:r w:rsidR="00C513ED">
        <w:t>. Il indique toutefois qu’il devait quand même se dépêch</w:t>
      </w:r>
      <w:r w:rsidR="001428EB">
        <w:t>er pour effectuer l</w:t>
      </w:r>
      <w:r w:rsidR="00C513ED">
        <w:t>a prochaine livraison.</w:t>
      </w:r>
    </w:p>
    <w:p w14:paraId="4F588663" w14:textId="77777777" w:rsidR="006E5B2A" w:rsidRDefault="006E5B2A" w:rsidP="001428EB">
      <w:pPr>
        <w:pStyle w:val="corpsdedcision"/>
      </w:pPr>
      <w:r>
        <w:t>Pour la main d’</w:t>
      </w:r>
      <w:r w:rsidRPr="001F4FEB">
        <w:t>œuvre</w:t>
      </w:r>
      <w:r>
        <w:t xml:space="preserve"> </w:t>
      </w:r>
      <w:r w:rsidRPr="007162EE">
        <w:rPr>
          <w:i/>
        </w:rPr>
        <w:t>Manpower</w:t>
      </w:r>
      <w:r>
        <w:t xml:space="preserve">, le </w:t>
      </w:r>
      <w:r w:rsidRPr="001F4FEB">
        <w:t>travailleur</w:t>
      </w:r>
      <w:r>
        <w:t xml:space="preserve"> réitère le fait qu’elle était peu expérimentée dans le domaine de la livraison de boissons </w:t>
      </w:r>
      <w:r w:rsidR="00F01825">
        <w:t>gazeuses. Même s’il pouvait agir</w:t>
      </w:r>
      <w:r>
        <w:t xml:space="preserve"> à titre de livreur, le </w:t>
      </w:r>
      <w:r w:rsidRPr="001F4FEB">
        <w:t>travailleur</w:t>
      </w:r>
      <w:r>
        <w:t xml:space="preserve"> indique qu’il lui demandait de faire de la mise en marché. Cette main d’</w:t>
      </w:r>
      <w:r w:rsidRPr="001F4FEB">
        <w:t>œuvre</w:t>
      </w:r>
      <w:r w:rsidR="00F01825">
        <w:t xml:space="preserve"> pouvait quand même aider à</w:t>
      </w:r>
      <w:r>
        <w:t xml:space="preserve"> rapporter les bouteilles vides </w:t>
      </w:r>
      <w:r>
        <w:lastRenderedPageBreak/>
        <w:t xml:space="preserve">au camion. Le </w:t>
      </w:r>
      <w:r w:rsidRPr="001F4FEB">
        <w:t>travailleur</w:t>
      </w:r>
      <w:r>
        <w:t xml:space="preserve"> est incapable de préciser l’époque à laquelle il a travaillé avec des personnes de </w:t>
      </w:r>
      <w:r w:rsidRPr="007162EE">
        <w:rPr>
          <w:i/>
        </w:rPr>
        <w:t>Manpower</w:t>
      </w:r>
      <w:r>
        <w:t>.</w:t>
      </w:r>
    </w:p>
    <w:p w14:paraId="122872B6" w14:textId="77777777" w:rsidR="00F55E2C" w:rsidRDefault="00F55E2C" w:rsidP="001428EB">
      <w:pPr>
        <w:pStyle w:val="corpsdedcision"/>
      </w:pPr>
      <w:r>
        <w:t xml:space="preserve">En terminant, le </w:t>
      </w:r>
      <w:r w:rsidRPr="001F4FEB">
        <w:t>travailleur</w:t>
      </w:r>
      <w:r>
        <w:t xml:space="preserve"> indique avoir travaillé, comme aide-livreur, avec </w:t>
      </w:r>
      <w:r w:rsidRPr="001F4FEB">
        <w:t>monsieur</w:t>
      </w:r>
      <w:r>
        <w:t xml:space="preserve"> Michel Paradis. Il ne peut toutefois se rappeler l’époque. </w:t>
      </w:r>
      <w:r w:rsidR="00E71487">
        <w:t>Après avoir retrac</w:t>
      </w:r>
      <w:r w:rsidR="004F182B">
        <w:t>é</w:t>
      </w:r>
      <w:r w:rsidR="00E71487">
        <w:t xml:space="preserve"> une note de service interne au dossier du </w:t>
      </w:r>
      <w:r w:rsidR="00E71487" w:rsidRPr="001F4FEB">
        <w:t>travailleur</w:t>
      </w:r>
      <w:r w:rsidR="00E71487">
        <w:t xml:space="preserve"> (E-24), o</w:t>
      </w:r>
      <w:r>
        <w:t xml:space="preserve">n lui suggère qu’il pourrait s’agir des années 1986 à 1988. </w:t>
      </w:r>
      <w:r w:rsidR="00E71487">
        <w:t xml:space="preserve">Le </w:t>
      </w:r>
      <w:r w:rsidR="00E71487" w:rsidRPr="001F4FEB">
        <w:t>travailleur</w:t>
      </w:r>
      <w:r w:rsidR="00E71487">
        <w:t xml:space="preserve"> ne s’en souvient pas.</w:t>
      </w:r>
    </w:p>
    <w:p w14:paraId="34C5756D" w14:textId="77777777" w:rsidR="008F7A33" w:rsidRDefault="00FE6E9D" w:rsidP="00FE6E9D">
      <w:pPr>
        <w:pStyle w:val="corpsdedcision"/>
      </w:pPr>
      <w:r>
        <w:t xml:space="preserve">Le tribunal a entendu le témoignage de monsieur Paradis, </w:t>
      </w:r>
      <w:r w:rsidR="008F7A33">
        <w:t xml:space="preserve">actuellement </w:t>
      </w:r>
      <w:r>
        <w:t>représentant au développement des affaires</w:t>
      </w:r>
      <w:r w:rsidR="00770D83">
        <w:t xml:space="preserve"> (restauration, </w:t>
      </w:r>
      <w:r w:rsidR="00770D83" w:rsidRPr="001F4FEB">
        <w:t>événement</w:t>
      </w:r>
      <w:r w:rsidR="00770D83">
        <w:t>s spéciaux et commandites)</w:t>
      </w:r>
      <w:r w:rsidR="008F7A33">
        <w:t xml:space="preserve"> chez l’</w:t>
      </w:r>
      <w:r w:rsidR="008F7A33" w:rsidRPr="001F4FEB">
        <w:t>employeur</w:t>
      </w:r>
      <w:r>
        <w:t xml:space="preserve">. </w:t>
      </w:r>
    </w:p>
    <w:p w14:paraId="1636B11D" w14:textId="77777777" w:rsidR="00BE642C" w:rsidRDefault="00FE6E9D" w:rsidP="00FE6E9D">
      <w:pPr>
        <w:pStyle w:val="corpsdedcision"/>
      </w:pPr>
      <w:r>
        <w:t>Il travaille pour l’employeur d</w:t>
      </w:r>
      <w:r w:rsidR="00770D83">
        <w:t>epuis 1978. Jusqu’en février 197</w:t>
      </w:r>
      <w:r>
        <w:t xml:space="preserve">9, il occupe le poste de </w:t>
      </w:r>
      <w:r w:rsidR="00525AF7">
        <w:t>troisième</w:t>
      </w:r>
      <w:r>
        <w:t xml:space="preserve"> homme. </w:t>
      </w:r>
      <w:r w:rsidR="00525AF7">
        <w:t xml:space="preserve">Par la suite, </w:t>
      </w:r>
      <w:r w:rsidR="00770D83">
        <w:t xml:space="preserve">à partir de 1982, </w:t>
      </w:r>
      <w:r w:rsidR="00525AF7">
        <w:t xml:space="preserve">il occupe </w:t>
      </w:r>
      <w:r w:rsidR="00770D83">
        <w:t>le poste</w:t>
      </w:r>
      <w:r w:rsidR="00525AF7">
        <w:t xml:space="preserve"> </w:t>
      </w:r>
      <w:r w:rsidR="00770D83">
        <w:t>d’</w:t>
      </w:r>
      <w:r w:rsidR="00525AF7">
        <w:t>aide-livreur jusqu’en 1986 sur la route de la Beauce et sur la route #2. De 1986 à 1988,</w:t>
      </w:r>
      <w:r w:rsidR="00351E18">
        <w:t> </w:t>
      </w:r>
      <w:r w:rsidR="00525AF7">
        <w:t>il est livreur sur la route 6A</w:t>
      </w:r>
      <w:r w:rsidR="008F7A33">
        <w:t>,</w:t>
      </w:r>
      <w:r w:rsidR="00525AF7">
        <w:t xml:space="preserve"> avec le </w:t>
      </w:r>
      <w:r w:rsidR="00525AF7" w:rsidRPr="00A72CF6">
        <w:t>travailleur</w:t>
      </w:r>
      <w:r w:rsidR="00525AF7">
        <w:t xml:space="preserve"> comme aide-livreur. Par la suite, il est livreur sur la route 10B avec un autre aide-livreur</w:t>
      </w:r>
      <w:r w:rsidR="00770D83">
        <w:t xml:space="preserve"> (</w:t>
      </w:r>
      <w:r w:rsidR="00770D83" w:rsidRPr="001F4FEB">
        <w:t>monsieur</w:t>
      </w:r>
      <w:r w:rsidR="00770D83">
        <w:t xml:space="preserve"> Daniel Petit)</w:t>
      </w:r>
      <w:r w:rsidR="00525AF7">
        <w:t xml:space="preserve"> jusqu’en 1989, moment où il commence à faire de la mise en marché jusqu’en 1998. À cette date, il devient responsable du développement des affaires.</w:t>
      </w:r>
    </w:p>
    <w:p w14:paraId="4B356932" w14:textId="77777777" w:rsidR="00525AF7" w:rsidRDefault="00525AF7" w:rsidP="00FE6E9D">
      <w:pPr>
        <w:pStyle w:val="corpsdedcision"/>
      </w:pPr>
      <w:r>
        <w:t xml:space="preserve">Il travaille donc deux ans (1986-1988) avec le </w:t>
      </w:r>
      <w:r w:rsidRPr="00A72CF6">
        <w:t>travailleur</w:t>
      </w:r>
      <w:r>
        <w:t xml:space="preserve"> sur la route 6A, qu’il qualifie de route conventionnelle (dépanneurs, épiceries et supermarchés</w:t>
      </w:r>
      <w:r w:rsidR="002B5BB8">
        <w:t xml:space="preserve"> petites et grandes surfaces</w:t>
      </w:r>
      <w:r>
        <w:t>) qu’ils desservent sur une période de cinq jours. Certains clients peuvent être desservis deux fois pendant la même semaine. Il s’agit de livraisons manuelles.</w:t>
      </w:r>
    </w:p>
    <w:p w14:paraId="5B117DD3" w14:textId="77777777" w:rsidR="00525AF7" w:rsidRDefault="00525AF7" w:rsidP="00FE6E9D">
      <w:pPr>
        <w:pStyle w:val="corpsdedcision"/>
      </w:pPr>
      <w:r>
        <w:t xml:space="preserve">Ils peuvent utiliser des camions Ford (avec capot ou </w:t>
      </w:r>
      <w:r w:rsidRPr="00525AF7">
        <w:rPr>
          <w:i/>
        </w:rPr>
        <w:t xml:space="preserve">flat </w:t>
      </w:r>
      <w:proofErr w:type="spellStart"/>
      <w:r w:rsidRPr="00525AF7">
        <w:rPr>
          <w:i/>
        </w:rPr>
        <w:t>nose</w:t>
      </w:r>
      <w:proofErr w:type="spellEnd"/>
      <w:r>
        <w:t>) ou des camions Mercedes.</w:t>
      </w:r>
    </w:p>
    <w:p w14:paraId="4914FF9D" w14:textId="77777777" w:rsidR="00525AF7" w:rsidRDefault="00525AF7" w:rsidP="00FE6E9D">
      <w:pPr>
        <w:pStyle w:val="corpsdedcision"/>
      </w:pPr>
      <w:r>
        <w:t>Lors de l’utilisation des camions, peu importe la sorte, monsieur Paradis n’a jamais été incommodé par le bruit.</w:t>
      </w:r>
    </w:p>
    <w:p w14:paraId="459EFC75" w14:textId="77777777" w:rsidR="00525AF7" w:rsidRDefault="00525AF7" w:rsidP="00FE6E9D">
      <w:pPr>
        <w:pStyle w:val="corpsdedcision"/>
      </w:pPr>
      <w:r>
        <w:t>Monsieur Paradis confirme que pour les routes de 500 caisses et plus, un troisième homme se joint au livreur et aide-livreur. Lorsqu’il y a plus de 500 caisses, on utilise un second camion ou le même camion retourne à l’entrepôt pour aller chercher le reste de la livraison.</w:t>
      </w:r>
    </w:p>
    <w:p w14:paraId="7F47E6D9" w14:textId="77777777" w:rsidR="002B5BB8" w:rsidRDefault="002B5BB8" w:rsidP="00FE6E9D">
      <w:pPr>
        <w:pStyle w:val="corpsdedcision"/>
      </w:pPr>
      <w:r>
        <w:t>En général, à deux hommes (livreur/aide-livreur), ils livrent environ 350 caisses par jour.</w:t>
      </w:r>
    </w:p>
    <w:p w14:paraId="04700494" w14:textId="77777777" w:rsidR="00525AF7" w:rsidRDefault="00525AF7" w:rsidP="00FE6E9D">
      <w:pPr>
        <w:pStyle w:val="corpsdedcision"/>
      </w:pPr>
      <w:r>
        <w:t>À l’époque, il s’agit de bouteilles en verre. Celles en plastique n’étaient pas en</w:t>
      </w:r>
      <w:r w:rsidR="006F522C">
        <w:t>c</w:t>
      </w:r>
      <w:r>
        <w:t>ore arrivées.</w:t>
      </w:r>
    </w:p>
    <w:p w14:paraId="586C4AE6" w14:textId="77777777" w:rsidR="00525AF7" w:rsidRDefault="006F522C" w:rsidP="00FE6E9D">
      <w:pPr>
        <w:pStyle w:val="corpsdedcision"/>
      </w:pPr>
      <w:r>
        <w:lastRenderedPageBreak/>
        <w:t xml:space="preserve">Pour une route à deux hommes (livreur/aide-livreur), le livreur est en quelque sorte responsable. Il s’assure de livrer le bon produit au bon client. Il entre dans le commerce </w:t>
      </w:r>
      <w:r w:rsidR="00F01825">
        <w:t>pour rencontrer</w:t>
      </w:r>
      <w:r>
        <w:t xml:space="preserve"> le client. Il place </w:t>
      </w:r>
      <w:r w:rsidR="007162EE">
        <w:t>la marchandise</w:t>
      </w:r>
      <w:r>
        <w:t xml:space="preserve"> sur les tablettes et s’assure d’une bonne rotation des produits. Pour la facturation, il s’assure également que le nombre de produits livrés </w:t>
      </w:r>
      <w:r w:rsidR="00F01825">
        <w:t>correspond</w:t>
      </w:r>
      <w:r>
        <w:t xml:space="preserve"> au nombre de bouteilles retournées. Il peut se</w:t>
      </w:r>
      <w:r w:rsidR="00E87DA4">
        <w:t xml:space="preserve"> joindre à l’aide</w:t>
      </w:r>
      <w:r w:rsidR="00E87DA4">
        <w:noBreakHyphen/>
      </w:r>
      <w:r>
        <w:t>livreur pour transporter des caisses de produits à l’intérieur du commerce et à sortir des bouteilles vides.</w:t>
      </w:r>
    </w:p>
    <w:p w14:paraId="4D824F0B" w14:textId="77777777" w:rsidR="00E87DA4" w:rsidRDefault="00E87DA4" w:rsidP="00FE6E9D">
      <w:pPr>
        <w:pStyle w:val="corpsdedcision"/>
      </w:pPr>
      <w:r>
        <w:t xml:space="preserve">Il précise qu’avec le </w:t>
      </w:r>
      <w:r w:rsidRPr="00A72CF6">
        <w:t>travailleur</w:t>
      </w:r>
      <w:r>
        <w:t xml:space="preserve">, la relation était bonne et que ce dernier travaillait bien. Alors que monsieur Paradis agissait </w:t>
      </w:r>
      <w:r w:rsidR="00FD3B92">
        <w:t>comme livreur, il aimait bien conduire le camion. En été, les vitres étaient baissées alors qu’en hiver, elles étaient fermées. Pour lui, l’utilisation de la chaufferette n’était pas un problème. Il s’agissait plutôt d’un bruit régulier, sans particularité.</w:t>
      </w:r>
    </w:p>
    <w:p w14:paraId="1B1F2BA5" w14:textId="77777777" w:rsidR="00FD3B92" w:rsidRDefault="00FD3B92" w:rsidP="00FE6E9D">
      <w:pPr>
        <w:pStyle w:val="corpsdedcision"/>
      </w:pPr>
      <w:r>
        <w:t>Il explique que le matin, avant de quitter l’établissement, le livreur va d’abord récupérer les factures de livraisons</w:t>
      </w:r>
      <w:r w:rsidR="00A42321">
        <w:t xml:space="preserve"> et les </w:t>
      </w:r>
      <w:r w:rsidR="00F01825">
        <w:t>met en ordre</w:t>
      </w:r>
      <w:r>
        <w:t xml:space="preserve">. Par la suite, il se rend au camion déjà chargé, au sous-sol. Le livreur et l’aide-livreur vérifient la marchandise </w:t>
      </w:r>
      <w:r w:rsidR="001F6F95">
        <w:t>(schéma de livraison).</w:t>
      </w:r>
    </w:p>
    <w:p w14:paraId="15DA19D5" w14:textId="77777777" w:rsidR="001F6F95" w:rsidRDefault="001F6F95" w:rsidP="00FE6E9D">
      <w:pPr>
        <w:pStyle w:val="corpsdedcision"/>
      </w:pPr>
      <w:r>
        <w:t xml:space="preserve">Il y a une vérification mécanique plutôt sommaire (panneaux, câbles, lumières, freins, pneus). S’ils constatent un bris, ils peuvent aviser le contremaître ou superviseur de la situation. </w:t>
      </w:r>
      <w:r w:rsidR="00A42321">
        <w:t xml:space="preserve">Ce dernier est présent dans le garage. </w:t>
      </w:r>
      <w:r>
        <w:t xml:space="preserve">Normalement, </w:t>
      </w:r>
      <w:r w:rsidR="00A42321">
        <w:t>le livreur et l’aide-livreur</w:t>
      </w:r>
      <w:r>
        <w:t xml:space="preserve"> ont le même camion pour la semaine.</w:t>
      </w:r>
    </w:p>
    <w:p w14:paraId="6B1DBF64" w14:textId="77777777" w:rsidR="001F0D6E" w:rsidRDefault="001F0D6E" w:rsidP="00FE6E9D">
      <w:pPr>
        <w:pStyle w:val="corpsdedcision"/>
      </w:pPr>
      <w:r>
        <w:t xml:space="preserve">Une fois la vérification sommaire terminée, le livreur démarre le camion, permettant ainsi le chargement du système </w:t>
      </w:r>
      <w:r w:rsidR="00F01825">
        <w:t>d’air</w:t>
      </w:r>
      <w:r>
        <w:t>. Selon monsieur Paradis, cette étape peut prendre deux à trois minutes. S’il y a engorgement pour sortir du garage, le livreur peut éteindre le moteur. Il ne lui est jamais arrivé de faire tourner le moteur 15 à 20</w:t>
      </w:r>
      <w:r w:rsidR="00DD6D22">
        <w:t> </w:t>
      </w:r>
      <w:r>
        <w:t>minutes. Le cas échéant, il se serait fait avertir par le superviseur</w:t>
      </w:r>
      <w:r w:rsidR="00CF0598">
        <w:t xml:space="preserve"> présent</w:t>
      </w:r>
      <w:r>
        <w:t>.</w:t>
      </w:r>
    </w:p>
    <w:p w14:paraId="6F445650" w14:textId="77777777" w:rsidR="001F0D6E" w:rsidRDefault="001F0D6E" w:rsidP="00FE6E9D">
      <w:pPr>
        <w:pStyle w:val="corpsdedcision"/>
      </w:pPr>
      <w:r>
        <w:t xml:space="preserve">Selon son souvenir, </w:t>
      </w:r>
      <w:r w:rsidR="00CF0598">
        <w:t xml:space="preserve">il y avait toujours une porte ouverte du côté de la rue Cyrille-Duquet pour faire circuler l’air et </w:t>
      </w:r>
      <w:r>
        <w:t>pour sortir</w:t>
      </w:r>
      <w:r w:rsidR="00CF0598">
        <w:t xml:space="preserve"> les camions</w:t>
      </w:r>
      <w:r>
        <w:t>, il y avait toujours quatre à cinq portes ouvertes sur la rue Lavoisier.</w:t>
      </w:r>
    </w:p>
    <w:p w14:paraId="2BB025FD" w14:textId="77777777" w:rsidR="001F0D6E" w:rsidRDefault="001F0D6E" w:rsidP="00FE6E9D">
      <w:pPr>
        <w:pStyle w:val="corpsdedcision"/>
      </w:pPr>
      <w:r>
        <w:t xml:space="preserve">Monsieur Paradis </w:t>
      </w:r>
      <w:r w:rsidR="003F6F36">
        <w:t>n’a jamais été incommodé par des émanations de monoxyde de carbone dans le garage.</w:t>
      </w:r>
    </w:p>
    <w:p w14:paraId="1FAE162E" w14:textId="77777777" w:rsidR="003F6F36" w:rsidRDefault="003F6F36" w:rsidP="00FE6E9D">
      <w:pPr>
        <w:pStyle w:val="corpsdedcision"/>
      </w:pPr>
      <w:r>
        <w:t>De 1978 jusque vers le milieu des années 1980, les livraisons se font avec des caisses en bois. Par la suite, arrivent les caisses en plastique avec paniers</w:t>
      </w:r>
      <w:r w:rsidR="00817D46">
        <w:t xml:space="preserve"> de plastique</w:t>
      </w:r>
      <w:r>
        <w:t>.</w:t>
      </w:r>
      <w:r w:rsidR="002A7D4A">
        <w:t xml:space="preserve"> Pour les retours, les caisses </w:t>
      </w:r>
      <w:r w:rsidR="00817D46">
        <w:t xml:space="preserve">de 26 onces </w:t>
      </w:r>
      <w:r w:rsidR="002A7D4A">
        <w:t xml:space="preserve">revenaient avec les paniers environ </w:t>
      </w:r>
      <w:r w:rsidR="00817D46">
        <w:t>90</w:t>
      </w:r>
      <w:r w:rsidR="002A7D4A">
        <w:t> % du temps, selon lui.</w:t>
      </w:r>
    </w:p>
    <w:p w14:paraId="7495B02F" w14:textId="77777777" w:rsidR="002A7D4A" w:rsidRDefault="00817D46" w:rsidP="00FE6E9D">
      <w:pPr>
        <w:pStyle w:val="corpsdedcision"/>
      </w:pPr>
      <w:r>
        <w:lastRenderedPageBreak/>
        <w:t>Pour les 10 onces, i</w:t>
      </w:r>
      <w:r w:rsidR="002A7D4A">
        <w:t>l livrait la marchandise à l’arrière des commerces, dans des réfrigérateurs, des chambres froides ou il les plaçait sur des tablettes.</w:t>
      </w:r>
      <w:r>
        <w:t xml:space="preserve"> Il laissait les caisses et paniers vides pour les reprendre à la prochaine livraison. Il estime qu’environ 75 % du temps, les 10 onces vides revenaient dans les paniers de plastique. Lorsque des paniers de pl</w:t>
      </w:r>
      <w:r w:rsidR="00CE5A90">
        <w:t>astique traî</w:t>
      </w:r>
      <w:r>
        <w:t>nai</w:t>
      </w:r>
      <w:r w:rsidR="00CE5A90">
        <w:t>en</w:t>
      </w:r>
      <w:r>
        <w:t>t à l’arrière du magasin, ils les récupéraient pour les rapporter à l’entrepôt</w:t>
      </w:r>
      <w:r w:rsidR="00CE5A90">
        <w:t xml:space="preserve"> pour réutilisation. En effet, toute</w:t>
      </w:r>
      <w:r w:rsidR="005A5026">
        <w:t>s</w:t>
      </w:r>
      <w:r w:rsidR="00CE5A90">
        <w:t xml:space="preserve"> les caisses de bouteilles neuves sortent de l’entreprise avec des paniers de plastique.</w:t>
      </w:r>
    </w:p>
    <w:p w14:paraId="2D94F43C" w14:textId="77777777" w:rsidR="002A7D4A" w:rsidRDefault="005A5026" w:rsidP="00FE6E9D">
      <w:pPr>
        <w:pStyle w:val="corpsdedcision"/>
      </w:pPr>
      <w:r>
        <w:t xml:space="preserve">À l’époque, </w:t>
      </w:r>
      <w:r w:rsidRPr="001F4FEB">
        <w:t>monsieur</w:t>
      </w:r>
      <w:r>
        <w:t xml:space="preserve"> Paradis ne se souvient </w:t>
      </w:r>
      <w:r w:rsidR="00F01825">
        <w:t xml:space="preserve">pas </w:t>
      </w:r>
      <w:r>
        <w:t>d’avoir fait de la livraison dans des chambres froides. Il lui est arrivé d’aller dans de tels endroits lorsqu’il faisait de la mise en marché. I</w:t>
      </w:r>
      <w:r w:rsidR="002A7D4A">
        <w:t>l devait parfois fermer le compresseur, particulièrement en hiver, en raison de la température.</w:t>
      </w:r>
    </w:p>
    <w:p w14:paraId="466A70B2" w14:textId="77777777" w:rsidR="002A7D4A" w:rsidRDefault="002A7D4A" w:rsidP="00FE6E9D">
      <w:pPr>
        <w:pStyle w:val="corpsdedcision"/>
      </w:pPr>
      <w:r>
        <w:t>Dans le cadre de l’exécution de ses diverses tâches, monsieur Paradis n’a jamais été incommodé par le bruit. Selon lui, ce n’est pas particulièrement bruyant dans l’habitacle du camion. Il peut discuter a</w:t>
      </w:r>
      <w:r w:rsidR="003220CF">
        <w:t>vec son collègue, sans avoir à él</w:t>
      </w:r>
      <w:r>
        <w:t>ever le ton.</w:t>
      </w:r>
    </w:p>
    <w:p w14:paraId="7C7240C4" w14:textId="77777777" w:rsidR="002A7D4A" w:rsidRDefault="002A7D4A" w:rsidP="00FE6E9D">
      <w:pPr>
        <w:pStyle w:val="corpsdedcision"/>
      </w:pPr>
      <w:r>
        <w:t>Questionné sur le programme de bonis,</w:t>
      </w:r>
      <w:r w:rsidR="003954CA">
        <w:t xml:space="preserve"> monsieur Paradis confirme l’existence d’un tel programme. L’employeur pouvait remettre un boni aux livreurs et aide-livreurs allant jusqu’à 300 </w:t>
      </w:r>
      <w:r w:rsidR="00B936B7">
        <w:t>$ pour les camions bien entretenus. Ce programme avait cours de 1980 à 1994-1995.</w:t>
      </w:r>
    </w:p>
    <w:p w14:paraId="462B92D1" w14:textId="77777777" w:rsidR="00B936B7" w:rsidRDefault="00B936B7" w:rsidP="00FE6E9D">
      <w:pPr>
        <w:pStyle w:val="corpsdedcision"/>
      </w:pPr>
      <w:r>
        <w:t xml:space="preserve">Monsieur Paradis confirme que l’entreprise </w:t>
      </w:r>
      <w:r w:rsidRPr="007162EE">
        <w:rPr>
          <w:i/>
        </w:rPr>
        <w:t>Manpower</w:t>
      </w:r>
      <w:r>
        <w:t xml:space="preserve"> fournissait de la main</w:t>
      </w:r>
      <w:r>
        <w:noBreakHyphen/>
        <w:t>d’</w:t>
      </w:r>
      <w:r w:rsidRPr="00A72CF6">
        <w:t>œuvre</w:t>
      </w:r>
      <w:r>
        <w:t xml:space="preserve"> pour le poste de troisième homme</w:t>
      </w:r>
      <w:r w:rsidR="00B14C08">
        <w:t xml:space="preserve"> l’été, l’hiver ou pendant la période des Fêtes</w:t>
      </w:r>
      <w:r>
        <w:t>. On utilisait les services de cette personne pour le transport de caisses du camion à l’endroit désigné. Cette personne ne s’occupait pas de la mise en place du produit dans le commerce.</w:t>
      </w:r>
      <w:r w:rsidR="00B14C08">
        <w:t xml:space="preserve"> Selon </w:t>
      </w:r>
      <w:r w:rsidR="00B14C08" w:rsidRPr="001F4FEB">
        <w:t>monsieur</w:t>
      </w:r>
      <w:r w:rsidR="00B14C08">
        <w:t xml:space="preserve"> Paradis, cette personne était très encadrée, du fait qu’elle ne connaissait pas le travail de livraison.</w:t>
      </w:r>
    </w:p>
    <w:p w14:paraId="10AC4042" w14:textId="77777777" w:rsidR="00B936B7" w:rsidRDefault="00B936B7" w:rsidP="00FE6E9D">
      <w:pPr>
        <w:pStyle w:val="corpsdedcision"/>
      </w:pPr>
      <w:r>
        <w:t xml:space="preserve">Une journée normale </w:t>
      </w:r>
      <w:r w:rsidR="00B14C08">
        <w:t xml:space="preserve">de livraison à deux hommes </w:t>
      </w:r>
      <w:r>
        <w:t>commence à</w:t>
      </w:r>
      <w:r w:rsidR="00DD6D22">
        <w:t xml:space="preserve"> 7 h et se termine vers 15 </w:t>
      </w:r>
      <w:r>
        <w:t>h / 15 h 30</w:t>
      </w:r>
      <w:r w:rsidR="00B14C08">
        <w:t>,</w:t>
      </w:r>
      <w:r>
        <w:t xml:space="preserve"> avec une pause de 45 à 60 minutes pour le repas du midi. Selon son estimation, une route </w:t>
      </w:r>
      <w:r w:rsidR="00B14C08">
        <w:t xml:space="preserve">de ville </w:t>
      </w:r>
      <w:r>
        <w:t>nécessite environ deux heures de déplacement en camion et environ 5</w:t>
      </w:r>
      <w:r w:rsidRPr="00076404">
        <w:rPr>
          <w:sz w:val="10"/>
          <w:szCs w:val="10"/>
        </w:rPr>
        <w:t> </w:t>
      </w:r>
      <w:r>
        <w:t>h</w:t>
      </w:r>
      <w:r w:rsidRPr="00076404">
        <w:rPr>
          <w:sz w:val="10"/>
          <w:szCs w:val="10"/>
        </w:rPr>
        <w:t> </w:t>
      </w:r>
      <w:r>
        <w:t>30 de temps de livraison, placement du produit et récupération des bouteilles.</w:t>
      </w:r>
    </w:p>
    <w:p w14:paraId="3B29DFC5" w14:textId="77777777" w:rsidR="00B936B7" w:rsidRDefault="00B936B7" w:rsidP="00651476">
      <w:pPr>
        <w:pStyle w:val="corpsdedcision"/>
      </w:pPr>
      <w:r>
        <w:t>Habituellement, l’aide-livreur manipule davantage les caisses (2/3) par rapport au livreur (1/3). Pour une journée normale de travail, le livreur et aide-livreur peuvent manipuler 350 caisses. Il s’agit de produits de différents formats. Ils en reprennent un peu moins, soit environ 80 %.</w:t>
      </w:r>
    </w:p>
    <w:p w14:paraId="507A6075" w14:textId="77777777" w:rsidR="00175A63" w:rsidRDefault="00AE46F5" w:rsidP="00651476">
      <w:pPr>
        <w:pStyle w:val="corpsdedcision"/>
      </w:pPr>
      <w:r w:rsidRPr="001F4FEB">
        <w:t>Monsieur</w:t>
      </w:r>
      <w:r>
        <w:t xml:space="preserve"> Paradis est invité à mimer la façon de transpo</w:t>
      </w:r>
      <w:r w:rsidR="00426893">
        <w:t>rter les caisses de bouteilles</w:t>
      </w:r>
      <w:r>
        <w:t xml:space="preserve">. Il explique prendre une première caisse, à deux mains, et la place sous son bras gauche, en l’appuyant sur sa hanche. Il saisit la deuxième caisse avec sa main </w:t>
      </w:r>
      <w:r>
        <w:lastRenderedPageBreak/>
        <w:t xml:space="preserve">droite. Il marche ainsi avec deux caisses de bouteilles, jusqu’au </w:t>
      </w:r>
      <w:r w:rsidR="00426893">
        <w:t>magasin</w:t>
      </w:r>
      <w:r>
        <w:t>.</w:t>
      </w:r>
      <w:r w:rsidR="00426893">
        <w:t xml:space="preserve"> Il faisait les mêmes gestes au moment de reprendre deux caisses de bouteilles vides, pour retourner vers le camion. La distance à parcourir dépend de la configuration des lieux, cela peut être très variable.</w:t>
      </w:r>
    </w:p>
    <w:p w14:paraId="01D344D2" w14:textId="77777777" w:rsidR="00426893" w:rsidRDefault="00426893" w:rsidP="00651476">
      <w:pPr>
        <w:pStyle w:val="corpsdedcision"/>
      </w:pPr>
      <w:r>
        <w:t>Selon son estimation, lors d’une livraison, il y a davantage de caisses de bouteilles pleines à manipuler que de bouteilles vides.</w:t>
      </w:r>
    </w:p>
    <w:p w14:paraId="2103D760" w14:textId="77777777" w:rsidR="001A04C3" w:rsidRDefault="001A04C3" w:rsidP="00651476">
      <w:pPr>
        <w:pStyle w:val="corpsdedcision"/>
      </w:pPr>
      <w:r>
        <w:t xml:space="preserve">Il arrive que des bouteilles pleines ou vides se cassent. </w:t>
      </w:r>
      <w:r w:rsidR="00F01825">
        <w:t>Le cas échéant</w:t>
      </w:r>
      <w:r>
        <w:t xml:space="preserve">, il doit ramasser le verre. Ils essaient quand même de faire attention </w:t>
      </w:r>
      <w:r w:rsidR="00A86D68">
        <w:t xml:space="preserve">dans la manipulation </w:t>
      </w:r>
      <w:r>
        <w:t>pour éviter ce genre d’</w:t>
      </w:r>
      <w:r w:rsidR="00B759B5">
        <w:t>in</w:t>
      </w:r>
      <w:r>
        <w:t>cidents.</w:t>
      </w:r>
    </w:p>
    <w:p w14:paraId="2B6A425D" w14:textId="77777777" w:rsidR="00A86D68" w:rsidRDefault="00A86D68" w:rsidP="00651476">
      <w:pPr>
        <w:pStyle w:val="corpsdedcision"/>
      </w:pPr>
      <w:r>
        <w:t xml:space="preserve">Il explique également la façon de trier les bouteilles vides. Il n’a jamais vu quelqu’un trier les bouteilles à l’intérieur du camion. </w:t>
      </w:r>
      <w:r w:rsidR="00A06CC9">
        <w:t>Normalement, le triage est fait dehors, près du camion pour avoir accès facilement aux caisses vides.</w:t>
      </w:r>
    </w:p>
    <w:p w14:paraId="2680B504" w14:textId="77777777" w:rsidR="00B14C08" w:rsidRDefault="00A86D68" w:rsidP="00651476">
      <w:pPr>
        <w:pStyle w:val="corpsdedcision"/>
      </w:pPr>
      <w:r>
        <w:t>Lorsqu’il s’agit de livrer sur la rive sud, il y a un peu plus de temps à passer dans le camion. Les livraisons sont moins compliquées qu’en ville. C’est plus facile d’accès, moins de trafic.</w:t>
      </w:r>
    </w:p>
    <w:p w14:paraId="32AD1C04" w14:textId="77777777" w:rsidR="00A86D68" w:rsidRDefault="00E86F8E" w:rsidP="00651476">
      <w:pPr>
        <w:pStyle w:val="corpsdedcision"/>
      </w:pPr>
      <w:r>
        <w:t xml:space="preserve">Il arrive parfois qu’ils doivent attendre pour une livraison en raison de la présence d’un autre fournisseur. Le cas échéant, ils peuvent aller </w:t>
      </w:r>
      <w:r w:rsidR="006E7B1F">
        <w:t xml:space="preserve">discuter </w:t>
      </w:r>
      <w:r>
        <w:t xml:space="preserve">avec le gérant. Ils peuvent également commencer le décompte des bouteilles vides à reprendre. Il arrive parfois qu’ils </w:t>
      </w:r>
      <w:r w:rsidR="006E7B1F">
        <w:t>effectuent</w:t>
      </w:r>
      <w:r>
        <w:t xml:space="preserve"> une autre livraison et reviennent plus tard. </w:t>
      </w:r>
      <w:r w:rsidRPr="001F4FEB">
        <w:t>Monsieur</w:t>
      </w:r>
      <w:r>
        <w:t xml:space="preserve"> Paradis ajoute qu’il arrive aussi qu’ils attendent dans le camion.</w:t>
      </w:r>
    </w:p>
    <w:p w14:paraId="36189CD2" w14:textId="77777777" w:rsidR="00A06CC9" w:rsidRDefault="00CB6999" w:rsidP="00651476">
      <w:pPr>
        <w:pStyle w:val="corpsdedcision"/>
      </w:pPr>
      <w:r>
        <w:t xml:space="preserve">En terminant, </w:t>
      </w:r>
      <w:r w:rsidRPr="001F4FEB">
        <w:t>monsieur</w:t>
      </w:r>
      <w:r>
        <w:t xml:space="preserve"> Paradis explique que le 10 octobre 2014, on lui a demandé de faire certaines simulations de transport de caisses de bouteilles</w:t>
      </w:r>
      <w:r w:rsidR="0061781D">
        <w:t xml:space="preserve"> pour que soient prises des mesures de bruit.</w:t>
      </w:r>
    </w:p>
    <w:p w14:paraId="6944F62F" w14:textId="77777777" w:rsidR="0061781D" w:rsidRDefault="0061781D" w:rsidP="00651476">
      <w:pPr>
        <w:pStyle w:val="corpsdedcision"/>
      </w:pPr>
      <w:r>
        <w:t>C</w:t>
      </w:r>
      <w:r w:rsidR="00D71CC9">
        <w:t xml:space="preserve">es mesures ont été prises dans un </w:t>
      </w:r>
      <w:r>
        <w:t>entrepôt</w:t>
      </w:r>
      <w:r w:rsidR="00D71CC9">
        <w:t xml:space="preserve"> ou à l’extérieur</w:t>
      </w:r>
      <w:r>
        <w:t>. Il a effectué différentes simulations avec des bouteilles de verre</w:t>
      </w:r>
      <w:r w:rsidR="00D71CC9">
        <w:t xml:space="preserve"> </w:t>
      </w:r>
      <w:r>
        <w:t xml:space="preserve">de plastique, pleines, vides, avec ou sans paniers </w:t>
      </w:r>
      <w:r w:rsidR="00D71CC9">
        <w:t xml:space="preserve">de carton ou plastique </w:t>
      </w:r>
      <w:r>
        <w:t>et de différentes grosseurs.</w:t>
      </w:r>
      <w:r w:rsidR="00A06B42">
        <w:t xml:space="preserve"> Il a également utilisé</w:t>
      </w:r>
      <w:r w:rsidR="00D71CC9">
        <w:t xml:space="preserve"> un camion de type conventionnel avec des palettes de bois.</w:t>
      </w:r>
    </w:p>
    <w:p w14:paraId="15A5575F" w14:textId="77777777" w:rsidR="003230D9" w:rsidRDefault="003230D9" w:rsidP="00651476">
      <w:pPr>
        <w:pStyle w:val="corpsdedcision"/>
      </w:pPr>
      <w:r>
        <w:t xml:space="preserve">À la reprise de l’audience le 17 février 2015, </w:t>
      </w:r>
      <w:r w:rsidRPr="001F4FEB">
        <w:t>monsieur</w:t>
      </w:r>
      <w:r>
        <w:t xml:space="preserve"> Paradis termine son témoignage.</w:t>
      </w:r>
    </w:p>
    <w:p w14:paraId="03159961" w14:textId="77777777" w:rsidR="003230D9" w:rsidRDefault="003230D9" w:rsidP="00651476">
      <w:pPr>
        <w:pStyle w:val="corpsdedcision"/>
      </w:pPr>
      <w:r>
        <w:t xml:space="preserve">On revient sur le nombre de caisses habituellement livrées dans une journée. Il est question, selon </w:t>
      </w:r>
      <w:r w:rsidRPr="001F4FEB">
        <w:t>monsieur</w:t>
      </w:r>
      <w:r>
        <w:t xml:space="preserve"> Paradis d’une moyenne de 350 caisses (50 caisses de cannettes et petites bouteilles </w:t>
      </w:r>
      <w:r w:rsidR="00F01825">
        <w:t xml:space="preserve">enveloppées </w:t>
      </w:r>
      <w:r>
        <w:t xml:space="preserve">de styromousse, 100 caisses de 26 onces et de 10 onces et une centaine de </w:t>
      </w:r>
      <w:r w:rsidR="007162EE">
        <w:t>caisses de 1,5 litre</w:t>
      </w:r>
      <w:r>
        <w:t>).</w:t>
      </w:r>
    </w:p>
    <w:p w14:paraId="6EA9C4C0" w14:textId="77777777" w:rsidR="003230D9" w:rsidRDefault="003230D9" w:rsidP="00BA714C">
      <w:pPr>
        <w:pStyle w:val="corpsdedcision"/>
      </w:pPr>
      <w:r>
        <w:lastRenderedPageBreak/>
        <w:t>On exhibe une photo sur laquelle on retrouve une caisse en bois pour insérer les bouteilles 1,5 litre. On peut y insérer des séparateurs pour éviter que les bouteilles s’entrechoquent.</w:t>
      </w:r>
      <w:r w:rsidR="00F339BD">
        <w:t xml:space="preserve"> On utilisait de tels séparateurs autant pour le transport des bouteilles pleines que vides.</w:t>
      </w:r>
    </w:p>
    <w:p w14:paraId="01EDE188" w14:textId="77777777" w:rsidR="00F339BD" w:rsidRDefault="00F339BD" w:rsidP="00BA714C">
      <w:pPr>
        <w:pStyle w:val="corpsdedcision"/>
      </w:pPr>
      <w:r w:rsidRPr="001F4FEB">
        <w:t>Monsieur</w:t>
      </w:r>
      <w:r>
        <w:t xml:space="preserve"> Paradis exhibe une caisse de bouteilles de verre vides de 26 onces. De telles bouteilles étaient livrées pour la période de 1978 à 1988. Au départ, elles étaient dans des caisses de bois avec séparateurs de carton. Par la suite, on a introduit les paniers de plastique et les caisses de plastique.</w:t>
      </w:r>
      <w:r w:rsidR="00642C66">
        <w:t xml:space="preserve"> Il fait le même exercice avec des bouteilles de 10 onces.</w:t>
      </w:r>
    </w:p>
    <w:p w14:paraId="1DF1D87A" w14:textId="77777777" w:rsidR="00CC4419" w:rsidRDefault="00F339BD" w:rsidP="00CC4419">
      <w:pPr>
        <w:pStyle w:val="corpsdedcision"/>
      </w:pPr>
      <w:r>
        <w:t>Lors du retour, il manquait rarement des paniers</w:t>
      </w:r>
      <w:r w:rsidR="0033072A">
        <w:t>,</w:t>
      </w:r>
      <w:r>
        <w:t xml:space="preserve"> car les 26 onces étaient vendues en </w:t>
      </w:r>
      <w:r w:rsidRPr="00642C66">
        <w:rPr>
          <w:i/>
        </w:rPr>
        <w:t>six</w:t>
      </w:r>
      <w:r>
        <w:t xml:space="preserve"> </w:t>
      </w:r>
      <w:r w:rsidRPr="00F339BD">
        <w:rPr>
          <w:i/>
        </w:rPr>
        <w:t>pack</w:t>
      </w:r>
      <w:r>
        <w:rPr>
          <w:i/>
        </w:rPr>
        <w:t>.</w:t>
      </w:r>
      <w:r w:rsidR="00642C66">
        <w:t xml:space="preserve"> Selon son expérience, la plupart des </w:t>
      </w:r>
      <w:r>
        <w:t xml:space="preserve">consommateurs rapportaient </w:t>
      </w:r>
      <w:r w:rsidR="00642C66">
        <w:t xml:space="preserve">les bouteilles vides dans leur panier. Les bouteilles de 10 onces se vendaient en </w:t>
      </w:r>
      <w:proofErr w:type="gramStart"/>
      <w:r w:rsidR="00642C66" w:rsidRPr="00642C66">
        <w:rPr>
          <w:i/>
        </w:rPr>
        <w:t>six pack</w:t>
      </w:r>
      <w:proofErr w:type="gramEnd"/>
      <w:r w:rsidR="00CC4419">
        <w:t xml:space="preserve"> et à l’unité.</w:t>
      </w:r>
    </w:p>
    <w:p w14:paraId="620A9165" w14:textId="77777777" w:rsidR="00E77A89" w:rsidRDefault="00E77A89" w:rsidP="00CC4419">
      <w:pPr>
        <w:pStyle w:val="corpsdedcision"/>
      </w:pPr>
      <w:r w:rsidRPr="001F4FEB">
        <w:t>Monsieur</w:t>
      </w:r>
      <w:r>
        <w:t xml:space="preserve"> Paradis est invité à commenter les photos de camions</w:t>
      </w:r>
      <w:r w:rsidR="003220CF">
        <w:t xml:space="preserve"> (T-3, T-4, T-5, et T-6)</w:t>
      </w:r>
      <w:r>
        <w:t xml:space="preserve"> déposées par le </w:t>
      </w:r>
      <w:r w:rsidRPr="001F4FEB">
        <w:t>travailleur</w:t>
      </w:r>
      <w:r>
        <w:t xml:space="preserve"> et l’utilisation de certains équipements utilisés pour la livraison. Selon sa perception, ce n’était pas très bruyant.</w:t>
      </w:r>
    </w:p>
    <w:p w14:paraId="4A78AEB3" w14:textId="77777777" w:rsidR="00E77A89" w:rsidRDefault="00E77A89" w:rsidP="00CC4419">
      <w:pPr>
        <w:pStyle w:val="corpsdedcision"/>
      </w:pPr>
      <w:r>
        <w:t xml:space="preserve">Le représentant du </w:t>
      </w:r>
      <w:r w:rsidRPr="001F4FEB">
        <w:t>travailleur</w:t>
      </w:r>
      <w:r>
        <w:t xml:space="preserve"> questionne </w:t>
      </w:r>
      <w:r w:rsidRPr="001F4FEB">
        <w:t>monsieur</w:t>
      </w:r>
      <w:r>
        <w:t xml:space="preserve"> Paradis sur les conditions dans lesquelles ont été faites les simulations le 10 octobre 2014.</w:t>
      </w:r>
    </w:p>
    <w:p w14:paraId="12D2EF28" w14:textId="77777777" w:rsidR="00E77A89" w:rsidRDefault="00E77A89" w:rsidP="00CC4419">
      <w:pPr>
        <w:pStyle w:val="corpsdedcision"/>
      </w:pPr>
      <w:r>
        <w:t>En terminant, il est constaté que les bouteilles ayant servi aux simulations n’étaient pas des 26 onces</w:t>
      </w:r>
      <w:r w:rsidR="00281D0E">
        <w:t>,</w:t>
      </w:r>
      <w:r>
        <w:t xml:space="preserve"> mais des 28 onces.</w:t>
      </w:r>
    </w:p>
    <w:p w14:paraId="412D9B1C" w14:textId="77777777" w:rsidR="003230D9" w:rsidRDefault="00E77A89" w:rsidP="00263C3E">
      <w:pPr>
        <w:pStyle w:val="corpsdedcision"/>
      </w:pPr>
      <w:r w:rsidRPr="001F4FEB">
        <w:t>Monsieur</w:t>
      </w:r>
      <w:r>
        <w:t xml:space="preserve"> Paradis indique qu’il n’était pas à sa connaissance qu’il s’agissait de bouteilles de 28 onces plutôt que de 26 onces.</w:t>
      </w:r>
    </w:p>
    <w:p w14:paraId="0DA46940" w14:textId="77777777" w:rsidR="003230D9" w:rsidRDefault="00263C3E" w:rsidP="008F1A84">
      <w:pPr>
        <w:pStyle w:val="corpsdedcision"/>
      </w:pPr>
      <w:r>
        <w:t xml:space="preserve">Après vérifications, </w:t>
      </w:r>
      <w:r w:rsidRPr="001F4FEB">
        <w:t>monsieur</w:t>
      </w:r>
      <w:r>
        <w:t xml:space="preserve"> Paradis revient avec des bou</w:t>
      </w:r>
      <w:r w:rsidR="00F01825">
        <w:t>teilles de 26 onces (750</w:t>
      </w:r>
      <w:r w:rsidR="00DD6D22">
        <w:t> </w:t>
      </w:r>
      <w:r w:rsidR="00F01825">
        <w:t>ml). Il</w:t>
      </w:r>
      <w:r>
        <w:t xml:space="preserve"> confirme qu’à l’époque, il faisait la livraison de bouteilles de 26 onces. À l’arrivée du système métrique, les bouteilles de 26 onces sont devenues 750 ml. Il s’agit de la même chose. </w:t>
      </w:r>
    </w:p>
    <w:p w14:paraId="77667B30" w14:textId="77777777" w:rsidR="00263C3E" w:rsidRDefault="00263C3E" w:rsidP="00263C3E">
      <w:pPr>
        <w:pStyle w:val="corpsdedcision"/>
      </w:pPr>
      <w:r w:rsidRPr="001F4FEB">
        <w:t>Monsieur</w:t>
      </w:r>
      <w:r>
        <w:t xml:space="preserve"> Paradis précise que les simulations faites le 10 octobre 2014 l’ont été avec principalement des bouteilles </w:t>
      </w:r>
      <w:r w:rsidR="00085291">
        <w:t xml:space="preserve">vides </w:t>
      </w:r>
      <w:r>
        <w:t>de 28 onces.</w:t>
      </w:r>
      <w:r w:rsidR="00085291">
        <w:t xml:space="preserve"> Les bouteilles pleines étaient de 750 ml, anciennement des 26 onces.</w:t>
      </w:r>
    </w:p>
    <w:p w14:paraId="3190D075" w14:textId="77777777" w:rsidR="00120031" w:rsidRDefault="00120031" w:rsidP="00263C3E">
      <w:pPr>
        <w:pStyle w:val="corpsdedcision"/>
      </w:pPr>
      <w:r>
        <w:t xml:space="preserve">Du côté du </w:t>
      </w:r>
      <w:r w:rsidRPr="001F4FEB">
        <w:t>travailleur</w:t>
      </w:r>
      <w:r>
        <w:t>, on a mesuré à l’aide d’un vernier la circonférence des bouteilles de 26 onces (80,50 mm), 28 onces (84,29 mm) et 750 millilitres (83,41 mm).</w:t>
      </w:r>
    </w:p>
    <w:p w14:paraId="1B99E143" w14:textId="77777777" w:rsidR="003230D9" w:rsidRDefault="00EB5865" w:rsidP="008F1A84">
      <w:pPr>
        <w:pStyle w:val="corpsdedcision"/>
      </w:pPr>
      <w:r>
        <w:t xml:space="preserve">Le tribunal a entendu le témoignage de </w:t>
      </w:r>
      <w:r w:rsidRPr="001F4FEB">
        <w:t>monsieur</w:t>
      </w:r>
      <w:r>
        <w:t xml:space="preserve"> Robert Martineau.</w:t>
      </w:r>
    </w:p>
    <w:p w14:paraId="79638920" w14:textId="77777777" w:rsidR="00A370FA" w:rsidRDefault="00EB5865" w:rsidP="00BA714C">
      <w:pPr>
        <w:pStyle w:val="corpsdedcision"/>
      </w:pPr>
      <w:r>
        <w:lastRenderedPageBreak/>
        <w:t xml:space="preserve">De 1990 à 2000, il travaille pour Les Sources Coulombe, une compagnie </w:t>
      </w:r>
      <w:r w:rsidRPr="001F4FEB">
        <w:t>sœur</w:t>
      </w:r>
      <w:r>
        <w:t xml:space="preserve"> de l’</w:t>
      </w:r>
      <w:r w:rsidRPr="001F4FEB">
        <w:t>employeur</w:t>
      </w:r>
      <w:r>
        <w:t xml:space="preserve">. </w:t>
      </w:r>
      <w:r w:rsidR="00A370FA">
        <w:t xml:space="preserve">En 2000, cette compagnie a été vendue et </w:t>
      </w:r>
      <w:r w:rsidR="00A370FA" w:rsidRPr="001F4FEB">
        <w:t>monsieur</w:t>
      </w:r>
      <w:r w:rsidR="00A370FA">
        <w:t xml:space="preserve"> Martineau a été embauché chez l’</w:t>
      </w:r>
      <w:r w:rsidR="00A370FA" w:rsidRPr="001F4FEB">
        <w:t>employeur</w:t>
      </w:r>
      <w:r w:rsidR="00A370FA">
        <w:t>.</w:t>
      </w:r>
    </w:p>
    <w:p w14:paraId="7A907CE5" w14:textId="77777777" w:rsidR="00EB5865" w:rsidRDefault="00A370FA" w:rsidP="00BA714C">
      <w:pPr>
        <w:pStyle w:val="corpsdedcision"/>
      </w:pPr>
      <w:r>
        <w:t>Chez Les Sources Coulombe, il</w:t>
      </w:r>
      <w:r w:rsidR="00EB5865">
        <w:t xml:space="preserve"> occupe un poste de directeur des ventes et distribution. À ce titre, il s’occup</w:t>
      </w:r>
      <w:r>
        <w:t>e</w:t>
      </w:r>
      <w:r w:rsidR="00EB5865">
        <w:t xml:space="preserve"> de tout ce qui</w:t>
      </w:r>
      <w:r>
        <w:t xml:space="preserve"> concerne</w:t>
      </w:r>
      <w:r w:rsidR="00EB5865">
        <w:t xml:space="preserve"> la distribution et conséquemment, le transport des produits.</w:t>
      </w:r>
    </w:p>
    <w:p w14:paraId="1414492B" w14:textId="77777777" w:rsidR="00EB5865" w:rsidRDefault="00EB5865" w:rsidP="00BA714C">
      <w:pPr>
        <w:pStyle w:val="corpsdedcision"/>
      </w:pPr>
      <w:r>
        <w:t>Les Sources Coulombe et l’</w:t>
      </w:r>
      <w:r w:rsidRPr="001F4FEB">
        <w:t>employeur</w:t>
      </w:r>
      <w:r>
        <w:t xml:space="preserve"> </w:t>
      </w:r>
      <w:r w:rsidR="00A370FA">
        <w:t>partag</w:t>
      </w:r>
      <w:r>
        <w:t>ent une flotte de camions de livraison. Si l’</w:t>
      </w:r>
      <w:r w:rsidRPr="001F4FEB">
        <w:t>employeur</w:t>
      </w:r>
      <w:r>
        <w:t xml:space="preserve"> </w:t>
      </w:r>
      <w:r w:rsidR="00A370FA">
        <w:t>a</w:t>
      </w:r>
      <w:r>
        <w:t xml:space="preserve"> besoin de camions supplémentaires et vice versa, il </w:t>
      </w:r>
      <w:r w:rsidR="00A370FA">
        <w:t xml:space="preserve">y a </w:t>
      </w:r>
      <w:r>
        <w:t>partage de la flotte de cami</w:t>
      </w:r>
      <w:r w:rsidR="00A370FA">
        <w:t>ons. Les deux compagnies occup</w:t>
      </w:r>
      <w:r>
        <w:t>ent des bâtisses adjacentes.</w:t>
      </w:r>
      <w:r w:rsidR="00A370FA">
        <w:t xml:space="preserve"> Les camions sont entretenus par le même personnel, dans le garage, avec le même directeur de la mécanique, </w:t>
      </w:r>
      <w:r w:rsidR="00A370FA" w:rsidRPr="001F4FEB">
        <w:t>monsieur</w:t>
      </w:r>
      <w:r w:rsidR="00A370FA">
        <w:t xml:space="preserve"> Adams.</w:t>
      </w:r>
    </w:p>
    <w:p w14:paraId="6947A05B" w14:textId="77777777" w:rsidR="00A370FA" w:rsidRDefault="00A370FA" w:rsidP="00BA714C">
      <w:pPr>
        <w:pStyle w:val="corpsdedcision"/>
      </w:pPr>
      <w:r>
        <w:t>Il y a une stratégie de maintenance et d’entretien des camions au niveau moteur et mécanique pour les deux entreprises. Il y a une inspection</w:t>
      </w:r>
      <w:r w:rsidR="00D24E31">
        <w:t>/entretien préventif</w:t>
      </w:r>
      <w:r>
        <w:t xml:space="preserve"> aux dix semaines.</w:t>
      </w:r>
      <w:r w:rsidR="00D24E31">
        <w:t xml:space="preserve"> Cette inspection vaut pour l’ensemble de la flotte.</w:t>
      </w:r>
      <w:r>
        <w:t xml:space="preserve"> Aussitôt qu’il y a un bris, on s’assure de faire la réparation.</w:t>
      </w:r>
    </w:p>
    <w:p w14:paraId="7BDFA390" w14:textId="77777777" w:rsidR="00A06CC9" w:rsidRDefault="00A370FA" w:rsidP="00BA714C">
      <w:pPr>
        <w:pStyle w:val="corpsdedcision"/>
      </w:pPr>
      <w:r>
        <w:t xml:space="preserve">Selon </w:t>
      </w:r>
      <w:r w:rsidRPr="001F4FEB">
        <w:t>monsieur</w:t>
      </w:r>
      <w:r>
        <w:t xml:space="preserve"> Martineau, de 1990 à 2000, la flotte de camion</w:t>
      </w:r>
      <w:r w:rsidR="00F01825">
        <w:t>s</w:t>
      </w:r>
      <w:r>
        <w:t xml:space="preserve"> est très bien entretenue.</w:t>
      </w:r>
    </w:p>
    <w:p w14:paraId="4D92C9B7" w14:textId="77777777" w:rsidR="00152E73" w:rsidRDefault="008D49D4" w:rsidP="00BA714C">
      <w:pPr>
        <w:pStyle w:val="corpsdedcision"/>
      </w:pPr>
      <w:r>
        <w:t>En 2000, il est embauché chez l’</w:t>
      </w:r>
      <w:r w:rsidRPr="001F4FEB">
        <w:t>employeur</w:t>
      </w:r>
      <w:r>
        <w:t xml:space="preserve"> à titre de directeur du service aux équipements froids (distributrices, réfrigérateurs, fontaines). Il occupe ce poste jusqu’en 2004, moment où il est nommé directeur de distribution.</w:t>
      </w:r>
      <w:r w:rsidR="00E80174">
        <w:t xml:space="preserve"> À ce titre, il s’occupe de la livraison de produit</w:t>
      </w:r>
      <w:r w:rsidR="00F01825">
        <w:t>s</w:t>
      </w:r>
      <w:r w:rsidR="00E80174">
        <w:t xml:space="preserve"> (préparation des routes, façons de travailler, respect des conventions collectives, de la flotte de camions).</w:t>
      </w:r>
    </w:p>
    <w:p w14:paraId="13515BCF" w14:textId="77777777" w:rsidR="00152E73" w:rsidRDefault="00152E73" w:rsidP="00BA714C">
      <w:pPr>
        <w:pStyle w:val="corpsdedcision"/>
      </w:pPr>
      <w:r>
        <w:t>De 2000 à 2004, ses locaux sont situés dans le garage où on stationne les camions.</w:t>
      </w:r>
      <w:r w:rsidR="008F4F4A">
        <w:t xml:space="preserve"> </w:t>
      </w:r>
      <w:r w:rsidR="008F4F4A" w:rsidRPr="001F4FEB">
        <w:t>Monsieur</w:t>
      </w:r>
      <w:r w:rsidR="008F4F4A">
        <w:t xml:space="preserve"> Martineau est invité à commenter un plan pour </w:t>
      </w:r>
      <w:r w:rsidR="00E80174">
        <w:t xml:space="preserve">décrire l’environnement, </w:t>
      </w:r>
      <w:r w:rsidR="008F4F4A">
        <w:t>situer et</w:t>
      </w:r>
      <w:r w:rsidR="00E80174">
        <w:t xml:space="preserve"> identifier les locaux, les rues L</w:t>
      </w:r>
      <w:r w:rsidR="008F4F4A">
        <w:t>avoisier et Cyrille-Duquet.</w:t>
      </w:r>
    </w:p>
    <w:p w14:paraId="333BBE03" w14:textId="77777777" w:rsidR="00152E73" w:rsidRDefault="00E80174" w:rsidP="00BA714C">
      <w:pPr>
        <w:pStyle w:val="corpsdedcision"/>
      </w:pPr>
      <w:r>
        <w:t>La description des lieux s’applique également pour la période allant jusqu’en décembre 2014, date de son départ de l’entreprise. Il précise qu’au sous-sol, il n’y a plus de camions. Cet espace sert maintenant d’entrepôt.</w:t>
      </w:r>
    </w:p>
    <w:p w14:paraId="15F53A35" w14:textId="77777777" w:rsidR="0032494F" w:rsidRDefault="0032494F" w:rsidP="00BA714C">
      <w:pPr>
        <w:pStyle w:val="corpsdedcision"/>
      </w:pPr>
      <w:r>
        <w:t>En 2006, on lui ajoute les ventes de détail</w:t>
      </w:r>
      <w:r w:rsidR="00F01825">
        <w:t>s</w:t>
      </w:r>
      <w:r>
        <w:t xml:space="preserve"> puis en 2008, il est promu directeur régional des ventes. Il garde quand même ses responsabilités de distribution. En 2010, on ajoute certaines autres responsabilités, en raison du départ d’un des propriétaires.</w:t>
      </w:r>
    </w:p>
    <w:p w14:paraId="7BC6B0CF" w14:textId="77777777" w:rsidR="0032494F" w:rsidRDefault="0032494F" w:rsidP="00BA714C">
      <w:pPr>
        <w:pStyle w:val="corpsdedcision"/>
      </w:pPr>
      <w:r>
        <w:t>Son horaire est toujours semblable. Il rentre vers 6</w:t>
      </w:r>
      <w:r w:rsidR="00DD6D22" w:rsidRPr="00076404">
        <w:rPr>
          <w:sz w:val="10"/>
          <w:szCs w:val="10"/>
        </w:rPr>
        <w:t> </w:t>
      </w:r>
      <w:r>
        <w:t>h</w:t>
      </w:r>
      <w:r w:rsidR="00DD6D22" w:rsidRPr="00076404">
        <w:rPr>
          <w:sz w:val="10"/>
          <w:szCs w:val="10"/>
        </w:rPr>
        <w:t> </w:t>
      </w:r>
      <w:r>
        <w:t>45 et termine vers 17</w:t>
      </w:r>
      <w:r w:rsidR="00DD6D22">
        <w:t> </w:t>
      </w:r>
      <w:r>
        <w:t>h</w:t>
      </w:r>
      <w:r w:rsidR="00DD6D22">
        <w:t> </w:t>
      </w:r>
      <w:r>
        <w:t>30</w:t>
      </w:r>
      <w:r w:rsidR="00DD6D22">
        <w:t> </w:t>
      </w:r>
      <w:r w:rsidR="00DD6D22">
        <w:noBreakHyphen/>
      </w:r>
      <w:r>
        <w:t>18</w:t>
      </w:r>
      <w:r w:rsidR="00DD6D22">
        <w:t> </w:t>
      </w:r>
      <w:r>
        <w:t>h.</w:t>
      </w:r>
    </w:p>
    <w:p w14:paraId="1079DFD3" w14:textId="77777777" w:rsidR="00CC4419" w:rsidRDefault="0032494F" w:rsidP="00BA714C">
      <w:pPr>
        <w:pStyle w:val="corpsdedcision"/>
      </w:pPr>
      <w:r>
        <w:lastRenderedPageBreak/>
        <w:t>Il</w:t>
      </w:r>
      <w:r w:rsidR="00E80174">
        <w:t xml:space="preserve"> précise que le matin, </w:t>
      </w:r>
      <w:r>
        <w:t>les livreurs et aide-livreurs viennent à la distribution ou la cafétéria pour préparer leurs routes et leurs factures. Par la suite, ils vont au garage, inspecter leur camion.</w:t>
      </w:r>
    </w:p>
    <w:p w14:paraId="2E8C6769" w14:textId="77777777" w:rsidR="0032494F" w:rsidRDefault="0032494F" w:rsidP="00CC4419">
      <w:pPr>
        <w:pStyle w:val="corpsdedcision"/>
      </w:pPr>
      <w:r w:rsidRPr="001F4FEB">
        <w:t>Monsieur</w:t>
      </w:r>
      <w:r>
        <w:t xml:space="preserve"> Martineau indique qu’il aimait bien </w:t>
      </w:r>
      <w:r w:rsidR="007D6D54">
        <w:t xml:space="preserve">aller dans le garage au moment des inspections et du départ des livreurs et aide-livreurs. De 2004 à 2008, il était très présent. Sinon, il y </w:t>
      </w:r>
      <w:r w:rsidR="00934E48">
        <w:t xml:space="preserve">a </w:t>
      </w:r>
      <w:r w:rsidR="007D6D54">
        <w:t>des superviseurs bien formés.</w:t>
      </w:r>
    </w:p>
    <w:p w14:paraId="5B68051A" w14:textId="77777777" w:rsidR="007D6D54" w:rsidRDefault="007D6D54" w:rsidP="00CC4419">
      <w:pPr>
        <w:pStyle w:val="corpsdedcision"/>
      </w:pPr>
      <w:r w:rsidRPr="001F4FEB">
        <w:t>Monsieur</w:t>
      </w:r>
      <w:r>
        <w:t xml:space="preserve"> Martineau explique que le garage est muni d’un système de ventilation pour rendre le garage « négatif », ce qui permet l’échange d’air lors de l’ouverture des portes. Il décrit la présence de deux gros ventilateurs, un en avant et l’autre en arrière, programmés avec des minuteries. Ce qui permet un déclenchement peu de temps avant l’arrivée des livreurs et aide-livreurs à leurs camions et peu de temps avant leur retour en fin de journée.</w:t>
      </w:r>
    </w:p>
    <w:p w14:paraId="4098AE1B" w14:textId="77777777" w:rsidR="009E0625" w:rsidRDefault="009E0625" w:rsidP="00CC4419">
      <w:pPr>
        <w:pStyle w:val="corpsdedcision"/>
      </w:pPr>
      <w:r>
        <w:t>Les livreurs et aide-livreurs vérifient d’abord leur chargement. Ensuite</w:t>
      </w:r>
      <w:r w:rsidR="00F428C2">
        <w:t>,</w:t>
      </w:r>
      <w:r>
        <w:t xml:space="preserve"> ils font l’inspection mécanique du camion. Ils vérifient </w:t>
      </w:r>
      <w:r w:rsidR="00F428C2">
        <w:t>les éléments précisés sur</w:t>
      </w:r>
      <w:r>
        <w:t xml:space="preserve"> la feuille d’inspection mécanique (huile, coulage, roues, klaxons, lumières). Par la suite ils démarrent leur camion pour s’assurer de la montée de l’air dans le système. Toute cette étape peut durer une quinzaine de minutes.</w:t>
      </w:r>
      <w:r w:rsidR="00CC328C">
        <w:t xml:space="preserve"> Quant aux camions, ils sont en marche environ cinq à sept minutes, à l’intérieur du garage.</w:t>
      </w:r>
    </w:p>
    <w:p w14:paraId="3C5C1EB8" w14:textId="77777777" w:rsidR="00F31E9B" w:rsidRDefault="00F31E9B" w:rsidP="00CC4419">
      <w:pPr>
        <w:pStyle w:val="corpsdedcision"/>
      </w:pPr>
      <w:r>
        <w:t>En hiver, on ouvre une porte en avant et une en arrière, pour économiser sur les coûts de chauffage. Alors qu’en été, on peut se permettre d’ouvrir toutes les portes.</w:t>
      </w:r>
      <w:r w:rsidR="00680338">
        <w:t xml:space="preserve"> Souvent, il ouvrait lui-même les portes ou l’un des superviseurs. Les portes sont ouvertes au moment où l’on démarre les camions. </w:t>
      </w:r>
      <w:r w:rsidR="00BC09A5">
        <w:t>Ceux-ci</w:t>
      </w:r>
      <w:r w:rsidR="00680338">
        <w:t xml:space="preserve"> sortent par la rue Lavoisier.</w:t>
      </w:r>
    </w:p>
    <w:p w14:paraId="35135BAD" w14:textId="77777777" w:rsidR="00680338" w:rsidRDefault="00680338" w:rsidP="00CC4419">
      <w:pPr>
        <w:pStyle w:val="corpsdedcision"/>
      </w:pPr>
      <w:r w:rsidRPr="001F4FEB">
        <w:t>Monsieur</w:t>
      </w:r>
      <w:r>
        <w:t xml:space="preserve"> Martineau n’a jamais été témoin d’une accumulation de carburant dans le sous-sol du garage ni </w:t>
      </w:r>
      <w:r w:rsidR="004F6EB8">
        <w:t xml:space="preserve">n’a été </w:t>
      </w:r>
      <w:r>
        <w:t xml:space="preserve">mis au courant que quelqu’un aurait été incommodé. Il n’a jamais eu de plainte à ce sujet. Il </w:t>
      </w:r>
      <w:r w:rsidR="004F6EB8">
        <w:t>précise qu’il est</w:t>
      </w:r>
      <w:r>
        <w:t xml:space="preserve"> membre du comité de santé et de sécurité de l’entreprise et personne n’y a mentionné ce sujet.</w:t>
      </w:r>
    </w:p>
    <w:p w14:paraId="42B0C5BA" w14:textId="77777777" w:rsidR="00250503" w:rsidRDefault="00250503" w:rsidP="00CC4419">
      <w:pPr>
        <w:pStyle w:val="corpsdedcision"/>
      </w:pPr>
      <w:r>
        <w:t>Il produit le document E-38, un formulaire de vérification journalière du camion. Il s’agit d’une vérification obligatoire, faite par le conducteur du véhicule. La loi</w:t>
      </w:r>
      <w:r w:rsidR="00927231">
        <w:t>, depuis 1998,</w:t>
      </w:r>
      <w:r>
        <w:t xml:space="preserve"> oblige à faire cette vérification. Le formula</w:t>
      </w:r>
      <w:r w:rsidR="00AC01DC">
        <w:t>ire doit être signé et conservé</w:t>
      </w:r>
      <w:r>
        <w:t xml:space="preserve"> à l’intérieur du camion.</w:t>
      </w:r>
    </w:p>
    <w:p w14:paraId="129E4E29" w14:textId="77777777" w:rsidR="00E13573" w:rsidRDefault="00250503" w:rsidP="00CC4419">
      <w:pPr>
        <w:pStyle w:val="corpsdedcision"/>
      </w:pPr>
      <w:r>
        <w:t>La vérification concerne le frein de stationnement, le frein de service, l’éclairage/signalisation, les pneus/roues/jantes, le klaxon, les essuie-glaces, les rétroviseurs, le système d’accouplement, le matériel d’urgence, la</w:t>
      </w:r>
      <w:r w:rsidR="006A1223">
        <w:t xml:space="preserve"> suspension, le cadre du châ</w:t>
      </w:r>
      <w:r>
        <w:t>ssis et les appareils d’arrimage. Sur le même formulaire, on d</w:t>
      </w:r>
      <w:r w:rsidR="006A1223">
        <w:t>emande également de vérifier et</w:t>
      </w:r>
      <w:r>
        <w:t>, le cas</w:t>
      </w:r>
      <w:r w:rsidR="006A1223">
        <w:t xml:space="preserve"> échéant, signaler tout dommage</w:t>
      </w:r>
      <w:r>
        <w:t xml:space="preserve"> pouvant affecter l’équipement.</w:t>
      </w:r>
    </w:p>
    <w:p w14:paraId="5E292959" w14:textId="77777777" w:rsidR="006A1223" w:rsidRDefault="006A1223" w:rsidP="00CC4419">
      <w:pPr>
        <w:pStyle w:val="corpsdedcision"/>
      </w:pPr>
      <w:proofErr w:type="gramStart"/>
      <w:r w:rsidRPr="001F4FEB">
        <w:lastRenderedPageBreak/>
        <w:t>Monsieur</w:t>
      </w:r>
      <w:r>
        <w:t xml:space="preserve"> Martineau précise</w:t>
      </w:r>
      <w:proofErr w:type="gramEnd"/>
      <w:r>
        <w:t xml:space="preserve"> que l’équipement inclut, entre autres, le diable, la trousse de premiers soins ou les panneaux du camion.</w:t>
      </w:r>
    </w:p>
    <w:p w14:paraId="6C242CD9" w14:textId="77777777" w:rsidR="00927231" w:rsidRDefault="00927231" w:rsidP="00CC4419">
      <w:pPr>
        <w:pStyle w:val="corpsdedcision"/>
      </w:pPr>
      <w:r>
        <w:t>En cas de bris majeurs, ils doivent donc se présenter au garage. Si le bris est mineur, on peut tenter de le réparer. Sinon, le mécanicien peut autoriser le livreur et aide-livreur à quitter quand même avec le camion.</w:t>
      </w:r>
    </w:p>
    <w:p w14:paraId="42D961CA" w14:textId="77777777" w:rsidR="001D7A2C" w:rsidRDefault="001D7A2C" w:rsidP="001D7A2C">
      <w:pPr>
        <w:pStyle w:val="corpsdedcision"/>
      </w:pPr>
      <w:r>
        <w:t xml:space="preserve">Le matin, au moment où les camions sont démarrés, il n’a jamais été témoin qu’un chauffeur « rince » le moteur pour accélérer le chargement du système d’air. Si tel avait été le cas, le chauffeur se serait fait avertir. </w:t>
      </w:r>
      <w:r w:rsidRPr="001F4FEB">
        <w:t>Monsieur</w:t>
      </w:r>
      <w:r>
        <w:t xml:space="preserve"> Martineau indique qu’une telle procédure n’est pas nécessaire puisque l’air monte normalement. Sinon, ce peut être un signe que le camion est brisé.</w:t>
      </w:r>
    </w:p>
    <w:p w14:paraId="28895DDF" w14:textId="77777777" w:rsidR="001D7A2C" w:rsidRDefault="00D06D7B" w:rsidP="00CC4419">
      <w:pPr>
        <w:pStyle w:val="corpsdedcision"/>
      </w:pPr>
      <w:r w:rsidRPr="001F4FEB">
        <w:t>Monsieur</w:t>
      </w:r>
      <w:r>
        <w:t xml:space="preserve"> Martineau explique aussi qu’il a une très bonne connaissance du trav</w:t>
      </w:r>
      <w:r w:rsidR="00AE6B33">
        <w:t>a</w:t>
      </w:r>
      <w:r>
        <w:t xml:space="preserve">il de livraison, sur la route. Il a pu visiter la plupart des établissements (chaînes de magasin, </w:t>
      </w:r>
      <w:proofErr w:type="gramStart"/>
      <w:r>
        <w:t>dépanneurs,</w:t>
      </w:r>
      <w:r w:rsidRPr="001F4FEB">
        <w:t>…</w:t>
      </w:r>
      <w:proofErr w:type="gramEnd"/>
      <w:r>
        <w:t>). Il indique aussi avoir accompagné des livreurs et aide-livreurs, à bord de camions. Il est intervenu à quelques occasions pour régler des problématiques de livraison (heures de livraison, façon de faire, stationnement</w:t>
      </w:r>
      <w:r w:rsidRPr="001F4FEB">
        <w:t>…</w:t>
      </w:r>
      <w:r>
        <w:t>).</w:t>
      </w:r>
    </w:p>
    <w:p w14:paraId="38E30589" w14:textId="77777777" w:rsidR="00D06D7B" w:rsidRDefault="00D06D7B" w:rsidP="00CC4419">
      <w:pPr>
        <w:pStyle w:val="corpsdedcision"/>
      </w:pPr>
      <w:r>
        <w:t>Il explique le fonctionnement d’une route de livraison.</w:t>
      </w:r>
    </w:p>
    <w:p w14:paraId="78582438" w14:textId="77777777" w:rsidR="00D06D7B" w:rsidRDefault="00D06D7B" w:rsidP="00CC4419">
      <w:pPr>
        <w:pStyle w:val="corpsdedcision"/>
      </w:pPr>
      <w:r>
        <w:t xml:space="preserve">Des employés sont </w:t>
      </w:r>
      <w:r w:rsidR="00F5224A">
        <w:t xml:space="preserve">d’abord </w:t>
      </w:r>
      <w:r>
        <w:t>chargés de recevoir les commandes de clients ou de les appeler pour saisir leurs commandes, 48 heures à l’avance. La commande est enregistrée au système informatique, ce qui génère une facture. Cette facture est acheminée au répartiteur.</w:t>
      </w:r>
      <w:r w:rsidR="0042617B">
        <w:t xml:space="preserve"> Depuis 2005, le système informatique (GEOCOM), permet une répartition efficiente des livraisons (commandes, clients, quantités, heures</w:t>
      </w:r>
      <w:r w:rsidR="0042617B" w:rsidRPr="001F4FEB">
        <w:t>…</w:t>
      </w:r>
      <w:r w:rsidR="0042617B">
        <w:t>). Le système va générer une route, laquelle sera vérifiée par le répartiteur.</w:t>
      </w:r>
    </w:p>
    <w:p w14:paraId="6872752C" w14:textId="77777777" w:rsidR="0042617B" w:rsidRDefault="0042617B" w:rsidP="00CC4419">
      <w:pPr>
        <w:pStyle w:val="corpsdedcision"/>
      </w:pPr>
      <w:r>
        <w:t>Une fois les routes déterminées, elles sont attribuées aux livreurs et aide-livreurs en fonction du genre de livraisons (vrac, vrac/conventionnelle, conventionnelle) et selon les règles de la convention collective.</w:t>
      </w:r>
    </w:p>
    <w:p w14:paraId="0A060A5B" w14:textId="77777777" w:rsidR="0050706A" w:rsidRDefault="0050706A" w:rsidP="00CC4419">
      <w:pPr>
        <w:pStyle w:val="corpsdedcision"/>
      </w:pPr>
      <w:proofErr w:type="gramStart"/>
      <w:r w:rsidRPr="001F4FEB">
        <w:t>Monsieur</w:t>
      </w:r>
      <w:r>
        <w:t xml:space="preserve"> Martineau précise</w:t>
      </w:r>
      <w:proofErr w:type="gramEnd"/>
      <w:r>
        <w:t xml:space="preserve"> que préalablement à 2005, on fonctionnait sur ce même modèle de répartition, en utilisant une autre plateforme (TRUCK STOP). Depuis peu, une nouvelle plateforme est venue remplacer GEOCOM, soit UPS. Le principe demeure le même. </w:t>
      </w:r>
    </w:p>
    <w:p w14:paraId="24C7F1B8" w14:textId="77777777" w:rsidR="00C44E22" w:rsidRDefault="00C44E22" w:rsidP="00CC4419">
      <w:pPr>
        <w:pStyle w:val="corpsdedcision"/>
      </w:pPr>
      <w:r>
        <w:t xml:space="preserve">Il est invité à commenter les pièces E-29, E-30 et E-31. À la lecture de ces documents, </w:t>
      </w:r>
      <w:r w:rsidRPr="001F4FEB">
        <w:t>monsieur</w:t>
      </w:r>
      <w:r>
        <w:t xml:space="preserve"> Martineau confirme que les livreurs et aide-livreurs ne travaillent pas toujours sur la même route ou avec le même camion de livraison. Ce peut être variable. Tel a toujours été le cas, alors qu’il </w:t>
      </w:r>
      <w:proofErr w:type="gramStart"/>
      <w:r>
        <w:t>est en charge</w:t>
      </w:r>
      <w:proofErr w:type="gramEnd"/>
      <w:r>
        <w:t xml:space="preserve"> de la distribution.</w:t>
      </w:r>
    </w:p>
    <w:p w14:paraId="2590DD36" w14:textId="77777777" w:rsidR="00ED649B" w:rsidRDefault="00ED649B" w:rsidP="00CC4419">
      <w:pPr>
        <w:pStyle w:val="corpsdedcision"/>
      </w:pPr>
      <w:r>
        <w:lastRenderedPageBreak/>
        <w:t xml:space="preserve">À son arrivée à la direction de la distribution, on utilise des camions Mercedes et </w:t>
      </w:r>
      <w:proofErr w:type="spellStart"/>
      <w:r>
        <w:t>Freightliner</w:t>
      </w:r>
      <w:proofErr w:type="spellEnd"/>
      <w:r>
        <w:t xml:space="preserve">. Il précise que la flotte de camions est régulièrement renouvelée avec des camions </w:t>
      </w:r>
      <w:proofErr w:type="spellStart"/>
      <w:r>
        <w:t>Freightliner</w:t>
      </w:r>
      <w:proofErr w:type="spellEnd"/>
      <w:r>
        <w:t>.</w:t>
      </w:r>
    </w:p>
    <w:p w14:paraId="41833164" w14:textId="77777777" w:rsidR="00ED649B" w:rsidRDefault="00ED649B" w:rsidP="00CC4419">
      <w:pPr>
        <w:pStyle w:val="corpsdedcision"/>
      </w:pPr>
      <w:r>
        <w:t>Il commente également les routes utilisées pour la collecte des données dosimétriques et sonométriques en juillet 2014. Il s’agit de routes générées par le système informatique, en fonction des commandes reçues. On y retrouve de la livraison vrac, vrac/conventionnelle et conventionnelle.</w:t>
      </w:r>
    </w:p>
    <w:p w14:paraId="610A9BD3" w14:textId="77777777" w:rsidR="00C704B8" w:rsidRDefault="00C704B8" w:rsidP="00CC4419">
      <w:pPr>
        <w:pStyle w:val="corpsdedcision"/>
      </w:pPr>
      <w:r>
        <w:t xml:space="preserve">Invité à commenter les propos du </w:t>
      </w:r>
      <w:r w:rsidRPr="001F4FEB">
        <w:t>travailleur</w:t>
      </w:r>
      <w:r>
        <w:t xml:space="preserve"> quant à l’état de certains équipements (rampes, marches rétractables, panneaux, câbles</w:t>
      </w:r>
      <w:r w:rsidRPr="001F4FEB">
        <w:t>…</w:t>
      </w:r>
      <w:r>
        <w:t xml:space="preserve">), </w:t>
      </w:r>
      <w:r w:rsidRPr="001F4FEB">
        <w:t>monsieur</w:t>
      </w:r>
      <w:r>
        <w:t xml:space="preserve"> Martineau réitère que la flotte de camion est maintenue en bon ordre. Si un </w:t>
      </w:r>
      <w:r w:rsidRPr="001F4FEB">
        <w:t>employ</w:t>
      </w:r>
      <w:r>
        <w:t xml:space="preserve">é constate un bris ou une défectuosité, il doit le rapporter. Une vérification ou une réparation sera faite par un mécanicien. </w:t>
      </w:r>
    </w:p>
    <w:p w14:paraId="6F08C6F7" w14:textId="77777777" w:rsidR="00C704B8" w:rsidRDefault="00C704B8" w:rsidP="00CC4419">
      <w:pPr>
        <w:pStyle w:val="corpsdedcision"/>
      </w:pPr>
      <w:r>
        <w:t>Des rencontres sont tenues, quelques fois par années, pour rappeler aux employés de rapporter les bris ou défectuosités notés sur les camions ou l’équipement. Ce</w:t>
      </w:r>
      <w:r w:rsidR="00F01825">
        <w:t>ci</w:t>
      </w:r>
      <w:r>
        <w:t xml:space="preserve"> </w:t>
      </w:r>
      <w:r w:rsidR="00F5224A">
        <w:t xml:space="preserve">s’avère très important, selon </w:t>
      </w:r>
      <w:r w:rsidR="00F5224A" w:rsidRPr="001F4FEB">
        <w:t>monsieur</w:t>
      </w:r>
      <w:r>
        <w:t xml:space="preserve"> Martineau, surtout dans un contexte où les livreurs et aide-livreurs n’utilisent pas toujours le même camion. Un bris non déclaré peu</w:t>
      </w:r>
      <w:r w:rsidR="00071511">
        <w:t>t</w:t>
      </w:r>
      <w:r>
        <w:t xml:space="preserve"> </w:t>
      </w:r>
      <w:proofErr w:type="gramStart"/>
      <w:r>
        <w:t xml:space="preserve">nuire </w:t>
      </w:r>
      <w:r w:rsidR="00071511">
        <w:t xml:space="preserve"> aux</w:t>
      </w:r>
      <w:proofErr w:type="gramEnd"/>
      <w:r w:rsidR="00071511">
        <w:t xml:space="preserve"> prochains livreurs et aide-livreurs qui utiliseront le camion ou l’équipement.</w:t>
      </w:r>
    </w:p>
    <w:p w14:paraId="3EC5DF5A" w14:textId="77777777" w:rsidR="00FB68C2" w:rsidRDefault="00FB68C2" w:rsidP="00CC4419">
      <w:pPr>
        <w:pStyle w:val="corpsdedcision"/>
      </w:pPr>
      <w:r w:rsidRPr="001F4FEB">
        <w:t>Monsieur</w:t>
      </w:r>
      <w:r>
        <w:t xml:space="preserve"> Martineau fait remarquer que dans le formulaire de vérification obligatoire (E-38), il est prévu de vérifier la disponibilité </w:t>
      </w:r>
      <w:r w:rsidR="0053555E">
        <w:t xml:space="preserve">de certains équipements dont </w:t>
      </w:r>
      <w:r>
        <w:t>un transpalette, un diable</w:t>
      </w:r>
      <w:r w:rsidR="0053555E">
        <w:t xml:space="preserve">, une marche, </w:t>
      </w:r>
      <w:r>
        <w:t>une rampe</w:t>
      </w:r>
      <w:r w:rsidR="0053555E">
        <w:t xml:space="preserve">, un crochet ou </w:t>
      </w:r>
      <w:r>
        <w:t>une trousse de sécurité.</w:t>
      </w:r>
      <w:r w:rsidR="00EB1041">
        <w:t xml:space="preserve"> Il y a de plus la vérification systématique aux 10 semaines.</w:t>
      </w:r>
    </w:p>
    <w:p w14:paraId="48164FA5" w14:textId="77777777" w:rsidR="003A7795" w:rsidRDefault="0053555E" w:rsidP="00CC4419">
      <w:pPr>
        <w:pStyle w:val="corpsdedcision"/>
      </w:pPr>
      <w:r>
        <w:t>Il commente également l’utilisation des transpalettes. À son arrivée en poste, en allant sur les routes avec les livreurs et aide-livreurs, il a pu constater certaines choses. Il a, entre autres, fait l’essai des trans</w:t>
      </w:r>
      <w:r w:rsidR="00F01825">
        <w:t>palettes manuels. Il les a retirés</w:t>
      </w:r>
      <w:r>
        <w:t xml:space="preserve"> pour introduire les transpalettes électriques.</w:t>
      </w:r>
    </w:p>
    <w:p w14:paraId="1AFA3F84" w14:textId="77777777" w:rsidR="0053555E" w:rsidRDefault="00320C00" w:rsidP="00CC4419">
      <w:pPr>
        <w:pStyle w:val="corpsdedcision"/>
      </w:pPr>
      <w:r w:rsidRPr="001F4FEB">
        <w:t>Monsieur</w:t>
      </w:r>
      <w:r>
        <w:t xml:space="preserve"> Martineau confirme qu’au premier étage, on stationne les camions qui ne peuvent rentrer au sous-sol. D’autres peuvent aussi être stationnés à l’extérieur. Sous E-43, il produit un plan du premier étage de la bâtisse avec lequel il décrit l’environnement.</w:t>
      </w:r>
      <w:r w:rsidR="00F75FE5">
        <w:t xml:space="preserve"> Il identifie, entre autres, l’endroit où sont stationnés les camions. Il </w:t>
      </w:r>
      <w:r w:rsidR="00407A1B">
        <w:t xml:space="preserve">confirme qu’il </w:t>
      </w:r>
      <w:r w:rsidR="00F75FE5">
        <w:t>s’agit de la situation ayant cours pour la période de 2000 à 2014.</w:t>
      </w:r>
    </w:p>
    <w:p w14:paraId="0D6364E0" w14:textId="77777777" w:rsidR="00481E54" w:rsidRDefault="00407A1B" w:rsidP="00CC4419">
      <w:pPr>
        <w:pStyle w:val="corpsdedcision"/>
      </w:pPr>
      <w:r>
        <w:t>En hiver, on garde davantage les camions à l’intérieur. Il peut y avoir ainsi sept, huit ou neuf camions. L’</w:t>
      </w:r>
      <w:r w:rsidR="007023C4">
        <w:t>été, ils sont dehors. On fait le chargement des camions le soir pour que les livreurs et aide-livreurs soient prêts à partir le lendemain.</w:t>
      </w:r>
    </w:p>
    <w:p w14:paraId="3921A883" w14:textId="77777777" w:rsidR="00407A1B" w:rsidRDefault="007023C4" w:rsidP="00CC4419">
      <w:pPr>
        <w:pStyle w:val="corpsdedcision"/>
      </w:pPr>
      <w:r>
        <w:t xml:space="preserve">À ce même </w:t>
      </w:r>
      <w:r w:rsidR="00F01825">
        <w:t>étage, on retrouve une ligne d’</w:t>
      </w:r>
      <w:r>
        <w:t>embouteillage de produits (25 à 30</w:t>
      </w:r>
      <w:r w:rsidR="00445EDF">
        <w:t> </w:t>
      </w:r>
      <w:r>
        <w:t>employés) et une ligne de production (10 à 15 employés).</w:t>
      </w:r>
    </w:p>
    <w:p w14:paraId="5B4A79D6" w14:textId="77777777" w:rsidR="007023C4" w:rsidRDefault="007023C4" w:rsidP="00CC4419">
      <w:pPr>
        <w:pStyle w:val="corpsdedcision"/>
      </w:pPr>
      <w:r>
        <w:lastRenderedPageBreak/>
        <w:t xml:space="preserve">Questionné sur le moment où les camions quittent le matin, </w:t>
      </w:r>
      <w:r w:rsidRPr="001F4FEB">
        <w:t>monsieur</w:t>
      </w:r>
      <w:r>
        <w:t xml:space="preserve"> Martineau indique qu’il s’agit de la même chose qu’au sous-sol. Les livreurs et aide-livreurs doivent faire leurs vérifications. </w:t>
      </w:r>
      <w:r w:rsidRPr="001F4FEB">
        <w:t>Monsieur</w:t>
      </w:r>
      <w:r>
        <w:t xml:space="preserve"> Martineau ou des superviseurs sont régulièrement présents.</w:t>
      </w:r>
      <w:r w:rsidR="009032D2">
        <w:t xml:space="preserve"> Il y a une porte de sortie et une d’</w:t>
      </w:r>
      <w:r w:rsidR="006429C4">
        <w:t>entrée. Elles sont ouvertes au démarrage des moteurs, par le contremaître. Les moteurs vont tourner environ cinq à sept minutes, le temps de faire monter l’air dans le système.</w:t>
      </w:r>
    </w:p>
    <w:p w14:paraId="5330F530" w14:textId="77777777" w:rsidR="00407A1B" w:rsidRDefault="006429C4" w:rsidP="00CC4419">
      <w:pPr>
        <w:pStyle w:val="corpsdedcision"/>
      </w:pPr>
      <w:r>
        <w:t>Les employés de l’embouteillage ou de la production n’ont jamais formulé de plaintes quant à des émanations de carburant.</w:t>
      </w:r>
    </w:p>
    <w:p w14:paraId="183B023D" w14:textId="77777777" w:rsidR="006429C4" w:rsidRDefault="006429C4" w:rsidP="00CC4419">
      <w:pPr>
        <w:pStyle w:val="corpsdedcision"/>
      </w:pPr>
      <w:r>
        <w:t>En ville, les camions peuvent rouler de 50 à 70 km/h. Sur l’autoroute, ils ne peuvent excéder 105 km/h.</w:t>
      </w:r>
    </w:p>
    <w:p w14:paraId="2AD1A2CC" w14:textId="77777777" w:rsidR="0038040C" w:rsidRPr="00AA7E32" w:rsidRDefault="0038040C" w:rsidP="0038040C">
      <w:pPr>
        <w:pStyle w:val="corpsdedcision"/>
      </w:pPr>
      <w:r w:rsidRPr="00357D09">
        <w:t>Le tribunal a ensuite entendu le témoignage du docteur Ber</w:t>
      </w:r>
      <w:r w:rsidR="00A4252F" w:rsidRPr="00357D09">
        <w:t>trand</w:t>
      </w:r>
      <w:r w:rsidR="00A4252F">
        <w:t xml:space="preserve">, oto-rhino-laryngologiste </w:t>
      </w:r>
      <w:r>
        <w:t xml:space="preserve">spécialisé en </w:t>
      </w:r>
      <w:proofErr w:type="spellStart"/>
      <w:r>
        <w:t>neuro-otologie</w:t>
      </w:r>
      <w:proofErr w:type="spellEnd"/>
      <w:r>
        <w:t xml:space="preserve">, expert pour l’employeur. Le docteur Bertrand présente son </w:t>
      </w:r>
      <w:r w:rsidRPr="00A4252F">
        <w:rPr>
          <w:i/>
        </w:rPr>
        <w:t>curriculum vitae</w:t>
      </w:r>
      <w:r>
        <w:t xml:space="preserve"> qui fait état d’une longue expérience en clinique et en recherche, notamment sur la problématique de la surdité professionnelle. Il a également témoigné à maintes reprises devant la Commissi</w:t>
      </w:r>
      <w:r w:rsidR="007A3C34">
        <w:t>on des lésions professionnelles.</w:t>
      </w:r>
    </w:p>
    <w:p w14:paraId="475F2E45" w14:textId="77777777" w:rsidR="0038040C" w:rsidRDefault="0038040C" w:rsidP="0038040C">
      <w:pPr>
        <w:pStyle w:val="corpsdedcision"/>
        <w:tabs>
          <w:tab w:val="clear" w:pos="360"/>
          <w:tab w:val="num" w:pos="720"/>
        </w:tabs>
      </w:pPr>
      <w:r>
        <w:t xml:space="preserve">D’entrée de jeu, la représentante de l’employeur revoit avec </w:t>
      </w:r>
      <w:r w:rsidR="00A4252F">
        <w:t xml:space="preserve">lui </w:t>
      </w:r>
      <w:r>
        <w:t>certaines informations consignées dans son expertise</w:t>
      </w:r>
      <w:r w:rsidR="00A4252F">
        <w:t xml:space="preserve">, divergeant </w:t>
      </w:r>
      <w:r>
        <w:t xml:space="preserve">de celles que le travailleur a livrées lors de son témoignage au sujet de son histoire occupationnelle. Essentiellement, le docteur Bertrand a retenu que le travailleur n’avait identifié que la conduite de camion comme étant une source de bruit à son travail. Il a, en outre, estimé que le travailleur se déplaçait tout </w:t>
      </w:r>
      <w:proofErr w:type="gramStart"/>
      <w:r>
        <w:t>au plus trois heures</w:t>
      </w:r>
      <w:proofErr w:type="gramEnd"/>
      <w:r>
        <w:t xml:space="preserve"> par jour dans son camion pour faire ses livraisons. À partir des données disponibles au sujet du niveau de bruit dans les camions, il considère que le travailleur n’était pas exposé à un bruit excessif.</w:t>
      </w:r>
    </w:p>
    <w:p w14:paraId="297EF5D1" w14:textId="77777777" w:rsidR="0038040C" w:rsidRDefault="0038040C" w:rsidP="0038040C">
      <w:pPr>
        <w:pStyle w:val="corpsdedcision"/>
        <w:tabs>
          <w:tab w:val="clear" w:pos="360"/>
          <w:tab w:val="num" w:pos="720"/>
        </w:tabs>
      </w:pPr>
      <w:r>
        <w:t xml:space="preserve">Il a donc conclu dans son rapport d’expertise, basé sur son analyse des données d’exposition disponibles au dossier du travailleur à ce moment-là, </w:t>
      </w:r>
      <w:r w:rsidRPr="00357D09">
        <w:t>que ce dernier souffre d’une atteinte de type presbyacousique dont l’état a été aggravé par la présence de pathologies à connotation vasculaire importantes.</w:t>
      </w:r>
      <w:r>
        <w:t xml:space="preserve"> </w:t>
      </w:r>
    </w:p>
    <w:p w14:paraId="06A92A39" w14:textId="77777777" w:rsidR="0038040C" w:rsidRDefault="0038040C" w:rsidP="0038040C">
      <w:pPr>
        <w:pStyle w:val="corpsdedcision"/>
        <w:tabs>
          <w:tab w:val="clear" w:pos="360"/>
          <w:tab w:val="num" w:pos="720"/>
        </w:tabs>
      </w:pPr>
      <w:r>
        <w:t>Il a produit un deuxième rapport, le 9 septembre 2014, à la lumière des nouvelles données d’exposition obtenues en juillet 2014. Il s’est alors pronon</w:t>
      </w:r>
      <w:r w:rsidR="00F77435">
        <w:t xml:space="preserve">cé sur l’ensemble de la tâche de </w:t>
      </w:r>
      <w:r>
        <w:t xml:space="preserve">livreur et </w:t>
      </w:r>
      <w:r w:rsidR="00F77435">
        <w:t>d’aide-livreur, maintenant</w:t>
      </w:r>
      <w:r>
        <w:t xml:space="preserve"> les mêmes conclusions. </w:t>
      </w:r>
    </w:p>
    <w:p w14:paraId="22C57146" w14:textId="77777777" w:rsidR="0038040C" w:rsidRDefault="0038040C" w:rsidP="0038040C">
      <w:pPr>
        <w:pStyle w:val="corpsdedcision"/>
        <w:tabs>
          <w:tab w:val="clear" w:pos="360"/>
          <w:tab w:val="num" w:pos="720"/>
        </w:tabs>
      </w:pPr>
      <w:r>
        <w:t>Après avoir entendu l’ensemble de la preuve, il maintient toujours le même avis dans son rapport du 13 février 2015 (E-44).</w:t>
      </w:r>
    </w:p>
    <w:p w14:paraId="0B97567C" w14:textId="77777777" w:rsidR="0038040C" w:rsidRDefault="0038040C" w:rsidP="0038040C">
      <w:pPr>
        <w:pStyle w:val="corpsdedcision"/>
        <w:tabs>
          <w:tab w:val="clear" w:pos="360"/>
          <w:tab w:val="num" w:pos="720"/>
        </w:tabs>
      </w:pPr>
      <w:r>
        <w:t xml:space="preserve">Il a également questionné le travailleur sur ses antécédents médicaux. Il explique pourquoi ce questionnaire est important puisqu’il permet de déterminer s’il y a des causes intrinsèques ou extrinsèques qui peuvent affecter l’audition. Parmi les causes </w:t>
      </w:r>
      <w:r>
        <w:lastRenderedPageBreak/>
        <w:t xml:space="preserve">intrinsèques, il tient compte principalement de la vascularisation. Plusieurs pathologies sont dues à un manque de vascularisation ou peuvent entraîner un problème de vascularisation. Il donne quelques exemples, notamment, l’infarctus du myocarde, les accidents vasculaires cérébraux, le diabète. </w:t>
      </w:r>
    </w:p>
    <w:p w14:paraId="47DD9489" w14:textId="77777777" w:rsidR="0038040C" w:rsidRPr="00357D09" w:rsidRDefault="0038040C" w:rsidP="0038040C">
      <w:pPr>
        <w:pStyle w:val="corpsdedcision"/>
        <w:tabs>
          <w:tab w:val="clear" w:pos="360"/>
          <w:tab w:val="num" w:pos="720"/>
        </w:tabs>
      </w:pPr>
      <w:r w:rsidRPr="00357D09">
        <w:t xml:space="preserve">Le docteur Bertrand explique que la presbyacousie est un phénomène qui existe chez tout le monde. Ainsi, lorsqu’une personne a une perte auditive, </w:t>
      </w:r>
      <w:r w:rsidR="00AC01DC">
        <w:t>peu importe</w:t>
      </w:r>
      <w:r w:rsidRPr="00357D09">
        <w:t xml:space="preserve"> le niveau d’exposition au bruit, il faut tenir compte qu’il y a deux composantes à cette perte : une composante causée par le bruit et une autre causée par un facteur de vieillissement.</w:t>
      </w:r>
    </w:p>
    <w:p w14:paraId="1A981C2C" w14:textId="77777777" w:rsidR="0038040C" w:rsidRDefault="0038040C" w:rsidP="0038040C">
      <w:pPr>
        <w:pStyle w:val="corpsdedcision"/>
        <w:tabs>
          <w:tab w:val="clear" w:pos="360"/>
          <w:tab w:val="num" w:pos="720"/>
        </w:tabs>
      </w:pPr>
      <w:r w:rsidRPr="00357D09">
        <w:t>Il ajoute que pour avoir une composante causée par le bruit, il faut avoir un niveau d’exposition que l’on dit d’intervention comme on retrouve dans les programmes de santé spécifiques des CLSC</w:t>
      </w:r>
      <w:r>
        <w:t>.</w:t>
      </w:r>
    </w:p>
    <w:p w14:paraId="587D73A3" w14:textId="77777777" w:rsidR="0038040C" w:rsidRDefault="0038040C" w:rsidP="0038040C">
      <w:pPr>
        <w:pStyle w:val="corpsdedcision"/>
      </w:pPr>
      <w:r>
        <w:t>Il explique qu’au Québec et aux États-Unis, le niveau d’intervention pour le bruit en milieu de travail est établi à 85</w:t>
      </w:r>
      <w:r w:rsidR="00F77435">
        <w:t xml:space="preserve"> </w:t>
      </w:r>
      <w:proofErr w:type="spellStart"/>
      <w:r>
        <w:t>dBA</w:t>
      </w:r>
      <w:proofErr w:type="spellEnd"/>
      <w:r>
        <w:t>. Il en est de même</w:t>
      </w:r>
      <w:r w:rsidR="00F77435">
        <w:t xml:space="preserve"> pour les intervenants des CLSC. </w:t>
      </w:r>
      <w:r>
        <w:t>On considère qu’il n’est pas nécessaire de faire un suivi des travailleurs lorsque le bruit est inférieur à 85</w:t>
      </w:r>
      <w:r w:rsidR="00F77435">
        <w:t xml:space="preserve"> </w:t>
      </w:r>
      <w:proofErr w:type="spellStart"/>
      <w:r>
        <w:t>dBA</w:t>
      </w:r>
      <w:proofErr w:type="spellEnd"/>
      <w:r>
        <w:t xml:space="preserve"> puisqu’alors, le risque de développer une surdité est quasiment nul.</w:t>
      </w:r>
    </w:p>
    <w:p w14:paraId="5FCA2222" w14:textId="77777777" w:rsidR="0038040C" w:rsidRDefault="0038040C" w:rsidP="0038040C">
      <w:pPr>
        <w:pStyle w:val="corpsdedcision"/>
        <w:tabs>
          <w:tab w:val="clear" w:pos="360"/>
          <w:tab w:val="num" w:pos="720"/>
        </w:tabs>
      </w:pPr>
      <w:r>
        <w:t xml:space="preserve">On estime que la perte médiane, lors d’une exposition à 85 </w:t>
      </w:r>
      <w:proofErr w:type="spellStart"/>
      <w:r>
        <w:t>dBA</w:t>
      </w:r>
      <w:proofErr w:type="spellEnd"/>
      <w:r>
        <w:t xml:space="preserve"> pendant 40 ans, aux fréquences de 500, 1000, </w:t>
      </w:r>
      <w:r w:rsidR="00F77435">
        <w:t>2000 et 3000 Hz est de 1</w:t>
      </w:r>
      <w:r w:rsidR="00A80C5B">
        <w:t>,</w:t>
      </w:r>
      <w:r w:rsidR="00F77435">
        <w:t>5 dB. Le d</w:t>
      </w:r>
      <w:r>
        <w:t xml:space="preserve">octeur Bertrand commente ceci en expliquant que ce n’est pas ce qu’on appelle une perte auditive qui cause des problèmes. Bien sûr, plus le niveau d’exposition augmente, plus la perte auditive causée par le bruit augmente. </w:t>
      </w:r>
    </w:p>
    <w:p w14:paraId="688C5E19" w14:textId="77777777" w:rsidR="00357D09" w:rsidRDefault="0038040C" w:rsidP="0038040C">
      <w:pPr>
        <w:pStyle w:val="corpsdedcision"/>
        <w:tabs>
          <w:tab w:val="clear" w:pos="360"/>
          <w:tab w:val="num" w:pos="720"/>
        </w:tabs>
      </w:pPr>
      <w:r>
        <w:t xml:space="preserve">Dans son complément d’expertise du 9 avril 2015, le docteur Bertrand a </w:t>
      </w:r>
      <w:r w:rsidR="00250FFC">
        <w:t>re</w:t>
      </w:r>
      <w:r>
        <w:t>produit un tableau publié par NIOSH qui décrit les pertes auditives encourues après 10, 20, 30</w:t>
      </w:r>
      <w:r w:rsidR="00445EDF">
        <w:t> </w:t>
      </w:r>
      <w:r>
        <w:t>et 40 ans d’exposition à un bruit de 85</w:t>
      </w:r>
      <w:r w:rsidR="00F77435">
        <w:t xml:space="preserve"> </w:t>
      </w:r>
      <w:proofErr w:type="spellStart"/>
      <w:r w:rsidR="00416289">
        <w:t>dBA</w:t>
      </w:r>
      <w:proofErr w:type="spellEnd"/>
      <w:r w:rsidR="00416289">
        <w:t xml:space="preserve"> </w:t>
      </w:r>
      <w:r>
        <w:t xml:space="preserve">: </w:t>
      </w:r>
    </w:p>
    <w:p w14:paraId="6C02C690" w14:textId="77777777" w:rsidR="0054751A" w:rsidRDefault="0054751A" w:rsidP="0054751A">
      <w:pPr>
        <w:pStyle w:val="citation"/>
      </w:pPr>
      <w:r w:rsidRPr="00BF542B">
        <w:t>Tel</w:t>
      </w:r>
      <w:r>
        <w:t xml:space="preserve"> que publié par NIOSH, à 85 </w:t>
      </w:r>
      <w:proofErr w:type="spellStart"/>
      <w:r>
        <w:t>dBA</w:t>
      </w:r>
      <w:proofErr w:type="spellEnd"/>
      <w:r>
        <w:t xml:space="preserve"> d’exposition, la perte auditive pour 10, 20, 30 et 40 ans est présentée pour les fractiles de .9, .5 et .1.</w:t>
      </w:r>
    </w:p>
    <w:p w14:paraId="41886837" w14:textId="77777777" w:rsidR="0054751A" w:rsidRDefault="0054751A" w:rsidP="0054751A">
      <w:pPr>
        <w:pStyle w:val="citation"/>
      </w:pPr>
    </w:p>
    <w:tbl>
      <w:tblPr>
        <w:tblStyle w:val="TableGrid"/>
        <w:tblW w:w="8064" w:type="dxa"/>
        <w:tblInd w:w="720" w:type="dxa"/>
        <w:tblBorders>
          <w:insideH w:val="none" w:sz="0" w:space="0" w:color="auto"/>
          <w:insideV w:val="none" w:sz="0" w:space="0" w:color="auto"/>
        </w:tblBorders>
        <w:tblLayout w:type="fixed"/>
        <w:tblLook w:val="04A0" w:firstRow="1" w:lastRow="0" w:firstColumn="1" w:lastColumn="0" w:noHBand="0" w:noVBand="1"/>
      </w:tblPr>
      <w:tblGrid>
        <w:gridCol w:w="976"/>
        <w:gridCol w:w="567"/>
        <w:gridCol w:w="576"/>
        <w:gridCol w:w="631"/>
        <w:gridCol w:w="649"/>
        <w:gridCol w:w="589"/>
        <w:gridCol w:w="532"/>
        <w:gridCol w:w="664"/>
        <w:gridCol w:w="567"/>
        <w:gridCol w:w="612"/>
        <w:gridCol w:w="567"/>
        <w:gridCol w:w="567"/>
        <w:gridCol w:w="567"/>
      </w:tblGrid>
      <w:tr w:rsidR="0054751A" w14:paraId="6942ADF2" w14:textId="77777777" w:rsidTr="0054751A">
        <w:tc>
          <w:tcPr>
            <w:tcW w:w="976" w:type="dxa"/>
            <w:tcBorders>
              <w:top w:val="single" w:sz="4" w:space="0" w:color="auto"/>
              <w:bottom w:val="single" w:sz="4" w:space="0" w:color="auto"/>
              <w:right w:val="single" w:sz="4" w:space="0" w:color="auto"/>
            </w:tcBorders>
          </w:tcPr>
          <w:p w14:paraId="2912E105" w14:textId="77777777" w:rsidR="0054751A" w:rsidRPr="0026206C" w:rsidRDefault="0054751A" w:rsidP="0054751A">
            <w:pPr>
              <w:pStyle w:val="citation"/>
              <w:ind w:left="0" w:right="145"/>
              <w:rPr>
                <w:sz w:val="16"/>
                <w:szCs w:val="16"/>
              </w:rPr>
            </w:pPr>
          </w:p>
        </w:tc>
        <w:tc>
          <w:tcPr>
            <w:tcW w:w="7088" w:type="dxa"/>
            <w:gridSpan w:val="12"/>
            <w:tcBorders>
              <w:top w:val="single" w:sz="4" w:space="0" w:color="auto"/>
              <w:left w:val="single" w:sz="4" w:space="0" w:color="auto"/>
              <w:bottom w:val="single" w:sz="4" w:space="0" w:color="auto"/>
            </w:tcBorders>
          </w:tcPr>
          <w:p w14:paraId="544F4AE4" w14:textId="77777777" w:rsidR="0054751A" w:rsidRPr="008F1F8A" w:rsidRDefault="0054751A" w:rsidP="0054751A">
            <w:pPr>
              <w:pStyle w:val="citation"/>
              <w:tabs>
                <w:tab w:val="left" w:pos="0"/>
              </w:tabs>
              <w:ind w:left="0" w:right="145"/>
              <w:jc w:val="center"/>
              <w:rPr>
                <w:sz w:val="8"/>
                <w:szCs w:val="8"/>
              </w:rPr>
            </w:pPr>
          </w:p>
          <w:p w14:paraId="00F8F103" w14:textId="77777777" w:rsidR="0054751A" w:rsidRPr="0026206C" w:rsidRDefault="0054751A" w:rsidP="00445EDF">
            <w:pPr>
              <w:pStyle w:val="citation"/>
              <w:tabs>
                <w:tab w:val="left" w:pos="0"/>
              </w:tabs>
              <w:spacing w:after="40"/>
              <w:ind w:left="0" w:right="147"/>
              <w:jc w:val="center"/>
              <w:rPr>
                <w:sz w:val="16"/>
                <w:szCs w:val="16"/>
              </w:rPr>
            </w:pPr>
            <w:r w:rsidRPr="008F1F8A">
              <w:rPr>
                <w:sz w:val="18"/>
                <w:szCs w:val="18"/>
              </w:rPr>
              <w:t>NIPTS, in dB</w:t>
            </w:r>
          </w:p>
        </w:tc>
      </w:tr>
      <w:tr w:rsidR="0054751A" w14:paraId="2F9E6FAD" w14:textId="77777777" w:rsidTr="0054751A">
        <w:tc>
          <w:tcPr>
            <w:tcW w:w="976" w:type="dxa"/>
            <w:tcBorders>
              <w:top w:val="single" w:sz="4" w:space="0" w:color="auto"/>
              <w:bottom w:val="single" w:sz="4" w:space="0" w:color="auto"/>
              <w:right w:val="single" w:sz="4" w:space="0" w:color="auto"/>
            </w:tcBorders>
          </w:tcPr>
          <w:p w14:paraId="3E17FD0C" w14:textId="77777777" w:rsidR="0054751A" w:rsidRPr="0026206C" w:rsidRDefault="0054751A" w:rsidP="0054751A">
            <w:pPr>
              <w:pStyle w:val="citation"/>
              <w:ind w:left="0" w:right="145"/>
              <w:rPr>
                <w:sz w:val="16"/>
                <w:szCs w:val="16"/>
              </w:rPr>
            </w:pPr>
          </w:p>
        </w:tc>
        <w:tc>
          <w:tcPr>
            <w:tcW w:w="7088" w:type="dxa"/>
            <w:gridSpan w:val="12"/>
            <w:tcBorders>
              <w:top w:val="single" w:sz="4" w:space="0" w:color="auto"/>
              <w:left w:val="single" w:sz="4" w:space="0" w:color="auto"/>
              <w:bottom w:val="single" w:sz="4" w:space="0" w:color="auto"/>
            </w:tcBorders>
          </w:tcPr>
          <w:p w14:paraId="39539C63" w14:textId="77777777" w:rsidR="0054751A" w:rsidRPr="008F1F8A" w:rsidRDefault="0054751A" w:rsidP="0054751A">
            <w:pPr>
              <w:pStyle w:val="citation"/>
              <w:tabs>
                <w:tab w:val="left" w:pos="0"/>
              </w:tabs>
              <w:ind w:left="0" w:right="145"/>
              <w:jc w:val="center"/>
              <w:rPr>
                <w:sz w:val="8"/>
                <w:szCs w:val="8"/>
              </w:rPr>
            </w:pPr>
          </w:p>
          <w:p w14:paraId="57A35270" w14:textId="77777777" w:rsidR="0054751A" w:rsidRPr="0026206C" w:rsidRDefault="0054751A" w:rsidP="00445EDF">
            <w:pPr>
              <w:pStyle w:val="citation"/>
              <w:tabs>
                <w:tab w:val="left" w:pos="0"/>
              </w:tabs>
              <w:spacing w:after="80"/>
              <w:ind w:left="0" w:right="147"/>
              <w:jc w:val="center"/>
              <w:rPr>
                <w:sz w:val="16"/>
                <w:szCs w:val="16"/>
              </w:rPr>
            </w:pPr>
            <w:proofErr w:type="spellStart"/>
            <w:r w:rsidRPr="008F1F8A">
              <w:rPr>
                <w:sz w:val="18"/>
                <w:szCs w:val="18"/>
              </w:rPr>
              <w:t>Exposure</w:t>
            </w:r>
            <w:proofErr w:type="spellEnd"/>
            <w:r w:rsidRPr="008F1F8A">
              <w:rPr>
                <w:sz w:val="18"/>
                <w:szCs w:val="18"/>
              </w:rPr>
              <w:t xml:space="preserve"> time in </w:t>
            </w:r>
            <w:proofErr w:type="spellStart"/>
            <w:r w:rsidRPr="008F1F8A">
              <w:rPr>
                <w:sz w:val="18"/>
                <w:szCs w:val="18"/>
              </w:rPr>
              <w:t>years</w:t>
            </w:r>
            <w:proofErr w:type="spellEnd"/>
          </w:p>
        </w:tc>
      </w:tr>
      <w:tr w:rsidR="0054751A" w14:paraId="513AD4FC" w14:textId="77777777" w:rsidTr="0054751A">
        <w:tc>
          <w:tcPr>
            <w:tcW w:w="976" w:type="dxa"/>
            <w:tcBorders>
              <w:top w:val="single" w:sz="4" w:space="0" w:color="auto"/>
              <w:bottom w:val="single" w:sz="4" w:space="0" w:color="auto"/>
              <w:right w:val="single" w:sz="4" w:space="0" w:color="auto"/>
            </w:tcBorders>
          </w:tcPr>
          <w:p w14:paraId="6C2F0348" w14:textId="77777777" w:rsidR="0054751A" w:rsidRPr="008F1F8A" w:rsidRDefault="0054751A" w:rsidP="00445EDF">
            <w:pPr>
              <w:pStyle w:val="citation"/>
              <w:spacing w:after="60"/>
              <w:ind w:left="-124" w:right="33"/>
              <w:jc w:val="center"/>
              <w:rPr>
                <w:sz w:val="8"/>
                <w:szCs w:val="8"/>
              </w:rPr>
            </w:pPr>
          </w:p>
          <w:p w14:paraId="629DCD47" w14:textId="77777777" w:rsidR="0054751A" w:rsidRPr="0026206C" w:rsidRDefault="0054751A" w:rsidP="00445EDF">
            <w:pPr>
              <w:pStyle w:val="citation"/>
              <w:spacing w:after="60"/>
              <w:ind w:left="-124" w:right="33"/>
              <w:jc w:val="center"/>
              <w:rPr>
                <w:sz w:val="16"/>
                <w:szCs w:val="16"/>
              </w:rPr>
            </w:pPr>
            <w:r w:rsidRPr="0026206C">
              <w:rPr>
                <w:sz w:val="16"/>
                <w:szCs w:val="16"/>
              </w:rPr>
              <w:t>Frequency</w:t>
            </w:r>
          </w:p>
        </w:tc>
        <w:tc>
          <w:tcPr>
            <w:tcW w:w="1774" w:type="dxa"/>
            <w:gridSpan w:val="3"/>
            <w:tcBorders>
              <w:top w:val="nil"/>
              <w:left w:val="single" w:sz="4" w:space="0" w:color="auto"/>
              <w:bottom w:val="nil"/>
              <w:right w:val="nil"/>
            </w:tcBorders>
          </w:tcPr>
          <w:p w14:paraId="5AD8FAD4" w14:textId="77777777" w:rsidR="0054751A" w:rsidRPr="008F1F8A" w:rsidRDefault="0054751A" w:rsidP="00445EDF">
            <w:pPr>
              <w:pStyle w:val="citation"/>
              <w:spacing w:after="60"/>
              <w:ind w:left="0" w:right="145"/>
              <w:rPr>
                <w:sz w:val="8"/>
                <w:szCs w:val="8"/>
              </w:rPr>
            </w:pPr>
          </w:p>
          <w:p w14:paraId="511B6F48" w14:textId="77777777" w:rsidR="0054751A" w:rsidRPr="0026206C" w:rsidRDefault="0054751A" w:rsidP="00445EDF">
            <w:pPr>
              <w:pStyle w:val="citation"/>
              <w:spacing w:after="60"/>
              <w:ind w:left="0" w:right="145"/>
              <w:jc w:val="center"/>
              <w:rPr>
                <w:sz w:val="16"/>
                <w:szCs w:val="16"/>
              </w:rPr>
            </w:pPr>
            <w:r w:rsidRPr="0026206C">
              <w:rPr>
                <w:sz w:val="16"/>
                <w:szCs w:val="16"/>
              </w:rPr>
              <w:t>10</w:t>
            </w:r>
          </w:p>
        </w:tc>
        <w:tc>
          <w:tcPr>
            <w:tcW w:w="1770" w:type="dxa"/>
            <w:gridSpan w:val="3"/>
            <w:tcBorders>
              <w:top w:val="nil"/>
              <w:left w:val="nil"/>
              <w:bottom w:val="nil"/>
              <w:right w:val="single" w:sz="4" w:space="0" w:color="auto"/>
            </w:tcBorders>
          </w:tcPr>
          <w:p w14:paraId="2488F5F3" w14:textId="77777777" w:rsidR="0054751A" w:rsidRPr="008F1F8A" w:rsidRDefault="0054751A" w:rsidP="00445EDF">
            <w:pPr>
              <w:pStyle w:val="citation"/>
              <w:spacing w:after="60"/>
              <w:ind w:left="0" w:right="145"/>
              <w:rPr>
                <w:sz w:val="8"/>
                <w:szCs w:val="8"/>
              </w:rPr>
            </w:pPr>
          </w:p>
          <w:p w14:paraId="3550281F" w14:textId="77777777" w:rsidR="0054751A" w:rsidRPr="0026206C" w:rsidRDefault="0054751A" w:rsidP="00445EDF">
            <w:pPr>
              <w:pStyle w:val="citation"/>
              <w:spacing w:after="60"/>
              <w:ind w:left="0" w:right="145"/>
              <w:jc w:val="center"/>
              <w:rPr>
                <w:sz w:val="16"/>
                <w:szCs w:val="16"/>
              </w:rPr>
            </w:pPr>
            <w:r>
              <w:rPr>
                <w:sz w:val="16"/>
                <w:szCs w:val="16"/>
              </w:rPr>
              <w:t>20</w:t>
            </w:r>
          </w:p>
        </w:tc>
        <w:tc>
          <w:tcPr>
            <w:tcW w:w="1843" w:type="dxa"/>
            <w:gridSpan w:val="3"/>
            <w:tcBorders>
              <w:top w:val="single" w:sz="4" w:space="0" w:color="auto"/>
              <w:left w:val="single" w:sz="4" w:space="0" w:color="auto"/>
              <w:bottom w:val="single" w:sz="4" w:space="0" w:color="auto"/>
              <w:right w:val="single" w:sz="4" w:space="0" w:color="auto"/>
            </w:tcBorders>
          </w:tcPr>
          <w:p w14:paraId="5F1FF39E" w14:textId="77777777" w:rsidR="0054751A" w:rsidRPr="008F1F8A" w:rsidRDefault="0054751A" w:rsidP="00445EDF">
            <w:pPr>
              <w:pStyle w:val="citation"/>
              <w:spacing w:after="60"/>
              <w:ind w:left="0" w:right="145"/>
              <w:rPr>
                <w:sz w:val="8"/>
                <w:szCs w:val="8"/>
              </w:rPr>
            </w:pPr>
          </w:p>
          <w:p w14:paraId="67D1E3BD" w14:textId="77777777" w:rsidR="0054751A" w:rsidRPr="0026206C" w:rsidRDefault="0054751A" w:rsidP="00445EDF">
            <w:pPr>
              <w:pStyle w:val="citation"/>
              <w:spacing w:after="60"/>
              <w:ind w:left="0" w:right="145"/>
              <w:jc w:val="center"/>
              <w:rPr>
                <w:sz w:val="16"/>
                <w:szCs w:val="16"/>
              </w:rPr>
            </w:pPr>
            <w:r>
              <w:rPr>
                <w:sz w:val="16"/>
                <w:szCs w:val="16"/>
              </w:rPr>
              <w:t>30</w:t>
            </w:r>
          </w:p>
        </w:tc>
        <w:tc>
          <w:tcPr>
            <w:tcW w:w="1701" w:type="dxa"/>
            <w:gridSpan w:val="3"/>
            <w:tcBorders>
              <w:top w:val="single" w:sz="4" w:space="0" w:color="auto"/>
              <w:left w:val="single" w:sz="4" w:space="0" w:color="auto"/>
              <w:bottom w:val="single" w:sz="4" w:space="0" w:color="auto"/>
            </w:tcBorders>
          </w:tcPr>
          <w:p w14:paraId="7A1AC6B6" w14:textId="77777777" w:rsidR="0054751A" w:rsidRPr="008F1F8A" w:rsidRDefault="0054751A" w:rsidP="00445EDF">
            <w:pPr>
              <w:pStyle w:val="citation"/>
              <w:tabs>
                <w:tab w:val="left" w:pos="0"/>
              </w:tabs>
              <w:spacing w:after="60"/>
              <w:ind w:left="0" w:right="145"/>
              <w:rPr>
                <w:sz w:val="8"/>
                <w:szCs w:val="8"/>
              </w:rPr>
            </w:pPr>
          </w:p>
          <w:p w14:paraId="70463A63" w14:textId="77777777" w:rsidR="0054751A" w:rsidRPr="0026206C" w:rsidRDefault="0054751A" w:rsidP="00445EDF">
            <w:pPr>
              <w:pStyle w:val="citation"/>
              <w:tabs>
                <w:tab w:val="left" w:pos="0"/>
              </w:tabs>
              <w:spacing w:after="60"/>
              <w:ind w:left="0" w:right="145"/>
              <w:jc w:val="center"/>
              <w:rPr>
                <w:sz w:val="16"/>
                <w:szCs w:val="16"/>
              </w:rPr>
            </w:pPr>
            <w:r>
              <w:rPr>
                <w:sz w:val="16"/>
                <w:szCs w:val="16"/>
              </w:rPr>
              <w:t>40</w:t>
            </w:r>
          </w:p>
        </w:tc>
      </w:tr>
      <w:tr w:rsidR="0054751A" w14:paraId="2BFC6823" w14:textId="77777777" w:rsidTr="0054751A">
        <w:tc>
          <w:tcPr>
            <w:tcW w:w="976" w:type="dxa"/>
            <w:tcBorders>
              <w:top w:val="single" w:sz="4" w:space="0" w:color="auto"/>
              <w:bottom w:val="single" w:sz="4" w:space="0" w:color="auto"/>
              <w:right w:val="single" w:sz="4" w:space="0" w:color="auto"/>
            </w:tcBorders>
          </w:tcPr>
          <w:p w14:paraId="5909AC79" w14:textId="77777777" w:rsidR="0054751A" w:rsidRPr="008F1F8A" w:rsidRDefault="0054751A" w:rsidP="0054751A">
            <w:pPr>
              <w:pStyle w:val="citation"/>
              <w:tabs>
                <w:tab w:val="left" w:pos="0"/>
              </w:tabs>
              <w:ind w:left="0" w:right="145"/>
              <w:jc w:val="center"/>
              <w:rPr>
                <w:sz w:val="8"/>
                <w:szCs w:val="8"/>
              </w:rPr>
            </w:pPr>
          </w:p>
          <w:p w14:paraId="632A917F" w14:textId="77777777" w:rsidR="0054751A" w:rsidRPr="0026206C" w:rsidRDefault="0054751A" w:rsidP="0054751A">
            <w:pPr>
              <w:pStyle w:val="citation"/>
              <w:tabs>
                <w:tab w:val="left" w:pos="0"/>
              </w:tabs>
              <w:ind w:left="0" w:right="145"/>
              <w:jc w:val="center"/>
              <w:rPr>
                <w:sz w:val="16"/>
                <w:szCs w:val="16"/>
              </w:rPr>
            </w:pPr>
            <w:proofErr w:type="gramStart"/>
            <w:r>
              <w:rPr>
                <w:sz w:val="16"/>
                <w:szCs w:val="16"/>
              </w:rPr>
              <w:t>in</w:t>
            </w:r>
            <w:proofErr w:type="gramEnd"/>
            <w:r>
              <w:rPr>
                <w:sz w:val="16"/>
                <w:szCs w:val="16"/>
              </w:rPr>
              <w:t xml:space="preserve"> Hz</w:t>
            </w:r>
          </w:p>
        </w:tc>
        <w:tc>
          <w:tcPr>
            <w:tcW w:w="7088" w:type="dxa"/>
            <w:gridSpan w:val="12"/>
            <w:tcBorders>
              <w:top w:val="single" w:sz="4" w:space="0" w:color="auto"/>
              <w:left w:val="single" w:sz="4" w:space="0" w:color="auto"/>
              <w:bottom w:val="single" w:sz="4" w:space="0" w:color="auto"/>
            </w:tcBorders>
          </w:tcPr>
          <w:p w14:paraId="731C926B" w14:textId="77777777" w:rsidR="0054751A" w:rsidRPr="008F1F8A" w:rsidRDefault="0054751A" w:rsidP="0054751A">
            <w:pPr>
              <w:pStyle w:val="citation"/>
              <w:ind w:left="0" w:right="34"/>
              <w:rPr>
                <w:sz w:val="8"/>
                <w:szCs w:val="8"/>
              </w:rPr>
            </w:pPr>
          </w:p>
          <w:p w14:paraId="2A2A188B" w14:textId="77777777" w:rsidR="0054751A" w:rsidRDefault="0054751A" w:rsidP="00445EDF">
            <w:pPr>
              <w:pStyle w:val="citation"/>
              <w:spacing w:after="80"/>
              <w:ind w:left="0" w:right="34"/>
              <w:jc w:val="center"/>
              <w:rPr>
                <w:sz w:val="16"/>
                <w:szCs w:val="16"/>
              </w:rPr>
            </w:pPr>
            <w:r w:rsidRPr="008F1F8A">
              <w:rPr>
                <w:sz w:val="18"/>
                <w:szCs w:val="18"/>
              </w:rPr>
              <w:t>Fractiles</w:t>
            </w:r>
          </w:p>
        </w:tc>
      </w:tr>
      <w:tr w:rsidR="0054751A" w14:paraId="58C20E47" w14:textId="77777777" w:rsidTr="0054751A">
        <w:tc>
          <w:tcPr>
            <w:tcW w:w="976" w:type="dxa"/>
            <w:tcBorders>
              <w:top w:val="single" w:sz="4" w:space="0" w:color="auto"/>
              <w:bottom w:val="single" w:sz="4" w:space="0" w:color="auto"/>
              <w:right w:val="single" w:sz="4" w:space="0" w:color="auto"/>
            </w:tcBorders>
          </w:tcPr>
          <w:p w14:paraId="0D33BFD0" w14:textId="77777777" w:rsidR="0054751A" w:rsidRPr="0026206C" w:rsidRDefault="0054751A" w:rsidP="0054751A">
            <w:pPr>
              <w:pStyle w:val="citation"/>
              <w:tabs>
                <w:tab w:val="left" w:pos="0"/>
              </w:tabs>
              <w:spacing w:line="360" w:lineRule="auto"/>
              <w:ind w:left="0" w:right="145"/>
              <w:jc w:val="center"/>
              <w:rPr>
                <w:sz w:val="16"/>
                <w:szCs w:val="16"/>
              </w:rPr>
            </w:pPr>
          </w:p>
        </w:tc>
        <w:tc>
          <w:tcPr>
            <w:tcW w:w="567" w:type="dxa"/>
            <w:tcBorders>
              <w:top w:val="single" w:sz="4" w:space="0" w:color="auto"/>
              <w:left w:val="single" w:sz="4" w:space="0" w:color="auto"/>
              <w:bottom w:val="single" w:sz="4" w:space="0" w:color="auto"/>
            </w:tcBorders>
          </w:tcPr>
          <w:p w14:paraId="155251C7" w14:textId="77777777" w:rsidR="0054751A" w:rsidRPr="008F1F8A" w:rsidRDefault="0054751A" w:rsidP="0054751A">
            <w:pPr>
              <w:pStyle w:val="citation"/>
              <w:spacing w:line="360" w:lineRule="auto"/>
              <w:ind w:left="0" w:right="33"/>
              <w:rPr>
                <w:sz w:val="4"/>
                <w:szCs w:val="4"/>
              </w:rPr>
            </w:pPr>
          </w:p>
          <w:p w14:paraId="1217F026" w14:textId="77777777" w:rsidR="0054751A" w:rsidRPr="0026206C" w:rsidRDefault="0054751A" w:rsidP="0054751A">
            <w:pPr>
              <w:pStyle w:val="citation"/>
              <w:spacing w:line="360" w:lineRule="auto"/>
              <w:ind w:left="0" w:right="33"/>
              <w:rPr>
                <w:sz w:val="16"/>
                <w:szCs w:val="16"/>
              </w:rPr>
            </w:pPr>
            <w:r w:rsidRPr="0026206C">
              <w:rPr>
                <w:sz w:val="16"/>
                <w:szCs w:val="16"/>
              </w:rPr>
              <w:t>0.9</w:t>
            </w:r>
          </w:p>
        </w:tc>
        <w:tc>
          <w:tcPr>
            <w:tcW w:w="576" w:type="dxa"/>
            <w:tcBorders>
              <w:top w:val="single" w:sz="4" w:space="0" w:color="auto"/>
              <w:bottom w:val="single" w:sz="4" w:space="0" w:color="auto"/>
            </w:tcBorders>
          </w:tcPr>
          <w:p w14:paraId="3B64A5C4" w14:textId="77777777" w:rsidR="0054751A" w:rsidRPr="008F1F8A" w:rsidRDefault="0054751A" w:rsidP="0054751A">
            <w:pPr>
              <w:pStyle w:val="citation"/>
              <w:spacing w:line="360" w:lineRule="auto"/>
              <w:ind w:left="0" w:right="42"/>
              <w:rPr>
                <w:sz w:val="4"/>
                <w:szCs w:val="4"/>
              </w:rPr>
            </w:pPr>
          </w:p>
          <w:p w14:paraId="1F382061" w14:textId="77777777" w:rsidR="0054751A" w:rsidRPr="0026206C" w:rsidRDefault="0054751A" w:rsidP="0054751A">
            <w:pPr>
              <w:pStyle w:val="citation"/>
              <w:spacing w:line="360" w:lineRule="auto"/>
              <w:ind w:left="0" w:right="42"/>
              <w:rPr>
                <w:sz w:val="16"/>
                <w:szCs w:val="16"/>
              </w:rPr>
            </w:pPr>
            <w:r w:rsidRPr="0026206C">
              <w:rPr>
                <w:sz w:val="16"/>
                <w:szCs w:val="16"/>
              </w:rPr>
              <w:t>0.5</w:t>
            </w:r>
          </w:p>
        </w:tc>
        <w:tc>
          <w:tcPr>
            <w:tcW w:w="631" w:type="dxa"/>
            <w:tcBorders>
              <w:top w:val="single" w:sz="4" w:space="0" w:color="auto"/>
              <w:bottom w:val="single" w:sz="4" w:space="0" w:color="auto"/>
              <w:right w:val="single" w:sz="4" w:space="0" w:color="auto"/>
            </w:tcBorders>
          </w:tcPr>
          <w:p w14:paraId="473EEA5A" w14:textId="77777777" w:rsidR="0054751A" w:rsidRPr="008F1F8A" w:rsidRDefault="0054751A" w:rsidP="0054751A">
            <w:pPr>
              <w:pStyle w:val="citation"/>
              <w:spacing w:line="360" w:lineRule="auto"/>
              <w:ind w:left="0" w:right="145"/>
              <w:rPr>
                <w:sz w:val="4"/>
                <w:szCs w:val="4"/>
              </w:rPr>
            </w:pPr>
          </w:p>
          <w:p w14:paraId="53B1529D" w14:textId="77777777" w:rsidR="0054751A" w:rsidRPr="0026206C" w:rsidRDefault="0054751A" w:rsidP="0054751A">
            <w:pPr>
              <w:pStyle w:val="citation"/>
              <w:spacing w:line="360" w:lineRule="auto"/>
              <w:ind w:left="0" w:right="145"/>
              <w:rPr>
                <w:sz w:val="16"/>
                <w:szCs w:val="16"/>
              </w:rPr>
            </w:pPr>
            <w:r w:rsidRPr="0026206C">
              <w:rPr>
                <w:sz w:val="16"/>
                <w:szCs w:val="16"/>
              </w:rPr>
              <w:t>0.1</w:t>
            </w:r>
          </w:p>
        </w:tc>
        <w:tc>
          <w:tcPr>
            <w:tcW w:w="649" w:type="dxa"/>
            <w:tcBorders>
              <w:top w:val="single" w:sz="4" w:space="0" w:color="auto"/>
              <w:left w:val="single" w:sz="4" w:space="0" w:color="auto"/>
              <w:bottom w:val="single" w:sz="4" w:space="0" w:color="auto"/>
            </w:tcBorders>
          </w:tcPr>
          <w:p w14:paraId="54BB3BA8" w14:textId="77777777" w:rsidR="0054751A" w:rsidRPr="008F1F8A" w:rsidRDefault="0054751A" w:rsidP="0054751A">
            <w:pPr>
              <w:pStyle w:val="citation"/>
              <w:spacing w:line="360" w:lineRule="auto"/>
              <w:ind w:left="0" w:right="145"/>
              <w:rPr>
                <w:sz w:val="4"/>
                <w:szCs w:val="4"/>
              </w:rPr>
            </w:pPr>
          </w:p>
          <w:p w14:paraId="2DEC8814" w14:textId="77777777" w:rsidR="0054751A" w:rsidRPr="0026206C" w:rsidRDefault="0054751A" w:rsidP="00445EDF">
            <w:pPr>
              <w:pStyle w:val="citation"/>
              <w:spacing w:line="360" w:lineRule="auto"/>
              <w:ind w:left="0" w:right="145"/>
              <w:rPr>
                <w:sz w:val="16"/>
                <w:szCs w:val="16"/>
              </w:rPr>
            </w:pPr>
            <w:r w:rsidRPr="0026206C">
              <w:rPr>
                <w:sz w:val="16"/>
                <w:szCs w:val="16"/>
              </w:rPr>
              <w:t>0</w:t>
            </w:r>
            <w:r w:rsidR="00445EDF">
              <w:rPr>
                <w:sz w:val="16"/>
                <w:szCs w:val="16"/>
              </w:rPr>
              <w:t>.</w:t>
            </w:r>
            <w:r w:rsidRPr="0026206C">
              <w:rPr>
                <w:sz w:val="16"/>
                <w:szCs w:val="16"/>
              </w:rPr>
              <w:t>9</w:t>
            </w:r>
          </w:p>
        </w:tc>
        <w:tc>
          <w:tcPr>
            <w:tcW w:w="589" w:type="dxa"/>
            <w:tcBorders>
              <w:top w:val="single" w:sz="4" w:space="0" w:color="auto"/>
              <w:bottom w:val="single" w:sz="4" w:space="0" w:color="auto"/>
            </w:tcBorders>
          </w:tcPr>
          <w:p w14:paraId="662D3E41" w14:textId="77777777" w:rsidR="0054751A" w:rsidRPr="008F1F8A" w:rsidRDefault="0054751A" w:rsidP="0054751A">
            <w:pPr>
              <w:pStyle w:val="citation"/>
              <w:spacing w:line="360" w:lineRule="auto"/>
              <w:ind w:left="0" w:right="145"/>
              <w:rPr>
                <w:sz w:val="4"/>
                <w:szCs w:val="4"/>
              </w:rPr>
            </w:pPr>
          </w:p>
          <w:p w14:paraId="70BA3F64" w14:textId="77777777" w:rsidR="0054751A" w:rsidRPr="0026206C" w:rsidRDefault="0054751A" w:rsidP="0054751A">
            <w:pPr>
              <w:pStyle w:val="citation"/>
              <w:spacing w:line="360" w:lineRule="auto"/>
              <w:ind w:left="0" w:right="145"/>
              <w:rPr>
                <w:sz w:val="16"/>
                <w:szCs w:val="16"/>
              </w:rPr>
            </w:pPr>
            <w:r w:rsidRPr="0026206C">
              <w:rPr>
                <w:sz w:val="16"/>
                <w:szCs w:val="16"/>
              </w:rPr>
              <w:t>0</w:t>
            </w:r>
            <w:r>
              <w:rPr>
                <w:sz w:val="16"/>
                <w:szCs w:val="16"/>
              </w:rPr>
              <w:t>.</w:t>
            </w:r>
            <w:r w:rsidRPr="0026206C">
              <w:rPr>
                <w:sz w:val="16"/>
                <w:szCs w:val="16"/>
              </w:rPr>
              <w:t>5</w:t>
            </w:r>
          </w:p>
        </w:tc>
        <w:tc>
          <w:tcPr>
            <w:tcW w:w="532" w:type="dxa"/>
            <w:tcBorders>
              <w:top w:val="single" w:sz="4" w:space="0" w:color="auto"/>
              <w:bottom w:val="single" w:sz="4" w:space="0" w:color="auto"/>
              <w:right w:val="single" w:sz="4" w:space="0" w:color="auto"/>
            </w:tcBorders>
          </w:tcPr>
          <w:p w14:paraId="341EE23B" w14:textId="77777777" w:rsidR="0054751A" w:rsidRPr="008F1F8A" w:rsidRDefault="0054751A" w:rsidP="0054751A">
            <w:pPr>
              <w:pStyle w:val="citation"/>
              <w:spacing w:line="360" w:lineRule="auto"/>
              <w:ind w:left="0" w:right="34"/>
              <w:rPr>
                <w:sz w:val="4"/>
                <w:szCs w:val="4"/>
              </w:rPr>
            </w:pPr>
          </w:p>
          <w:p w14:paraId="1FD9B180" w14:textId="77777777" w:rsidR="0054751A" w:rsidRPr="0026206C" w:rsidRDefault="0054751A" w:rsidP="0054751A">
            <w:pPr>
              <w:pStyle w:val="citation"/>
              <w:spacing w:line="360" w:lineRule="auto"/>
              <w:ind w:left="0" w:right="34"/>
              <w:rPr>
                <w:sz w:val="16"/>
                <w:szCs w:val="16"/>
              </w:rPr>
            </w:pPr>
            <w:r>
              <w:rPr>
                <w:sz w:val="16"/>
                <w:szCs w:val="16"/>
              </w:rPr>
              <w:t>0.1</w:t>
            </w:r>
          </w:p>
        </w:tc>
        <w:tc>
          <w:tcPr>
            <w:tcW w:w="664" w:type="dxa"/>
            <w:tcBorders>
              <w:top w:val="single" w:sz="4" w:space="0" w:color="auto"/>
              <w:left w:val="single" w:sz="4" w:space="0" w:color="auto"/>
              <w:bottom w:val="single" w:sz="4" w:space="0" w:color="auto"/>
            </w:tcBorders>
          </w:tcPr>
          <w:p w14:paraId="7D7B3A96" w14:textId="77777777" w:rsidR="0054751A" w:rsidRPr="008F1F8A" w:rsidRDefault="0054751A" w:rsidP="0054751A">
            <w:pPr>
              <w:pStyle w:val="citation"/>
              <w:spacing w:line="360" w:lineRule="auto"/>
              <w:ind w:left="0" w:right="145"/>
              <w:rPr>
                <w:sz w:val="4"/>
                <w:szCs w:val="4"/>
              </w:rPr>
            </w:pPr>
          </w:p>
          <w:p w14:paraId="7B838A71" w14:textId="77777777" w:rsidR="0054751A" w:rsidRPr="0026206C" w:rsidRDefault="0054751A" w:rsidP="0054751A">
            <w:pPr>
              <w:pStyle w:val="citation"/>
              <w:spacing w:line="360" w:lineRule="auto"/>
              <w:ind w:left="0" w:right="145"/>
              <w:rPr>
                <w:sz w:val="16"/>
                <w:szCs w:val="16"/>
              </w:rPr>
            </w:pPr>
            <w:r>
              <w:rPr>
                <w:sz w:val="16"/>
                <w:szCs w:val="16"/>
              </w:rPr>
              <w:t>0.9</w:t>
            </w:r>
          </w:p>
        </w:tc>
        <w:tc>
          <w:tcPr>
            <w:tcW w:w="567" w:type="dxa"/>
            <w:tcBorders>
              <w:top w:val="single" w:sz="4" w:space="0" w:color="auto"/>
              <w:bottom w:val="single" w:sz="4" w:space="0" w:color="auto"/>
            </w:tcBorders>
          </w:tcPr>
          <w:p w14:paraId="00631E4B" w14:textId="77777777" w:rsidR="0054751A" w:rsidRPr="008F1F8A" w:rsidRDefault="0054751A" w:rsidP="0054751A">
            <w:pPr>
              <w:pStyle w:val="citation"/>
              <w:spacing w:line="360" w:lineRule="auto"/>
              <w:ind w:left="0" w:right="0"/>
              <w:rPr>
                <w:sz w:val="4"/>
                <w:szCs w:val="4"/>
              </w:rPr>
            </w:pPr>
          </w:p>
          <w:p w14:paraId="758DE5DB" w14:textId="77777777" w:rsidR="0054751A" w:rsidRPr="0026206C" w:rsidRDefault="0054751A" w:rsidP="0054751A">
            <w:pPr>
              <w:pStyle w:val="citation"/>
              <w:spacing w:line="360" w:lineRule="auto"/>
              <w:ind w:left="0" w:right="0"/>
              <w:rPr>
                <w:sz w:val="16"/>
                <w:szCs w:val="16"/>
              </w:rPr>
            </w:pPr>
            <w:r>
              <w:rPr>
                <w:sz w:val="16"/>
                <w:szCs w:val="16"/>
              </w:rPr>
              <w:t>0.5</w:t>
            </w:r>
          </w:p>
        </w:tc>
        <w:tc>
          <w:tcPr>
            <w:tcW w:w="612" w:type="dxa"/>
            <w:tcBorders>
              <w:top w:val="single" w:sz="4" w:space="0" w:color="auto"/>
              <w:bottom w:val="single" w:sz="4" w:space="0" w:color="auto"/>
              <w:right w:val="single" w:sz="4" w:space="0" w:color="auto"/>
            </w:tcBorders>
          </w:tcPr>
          <w:p w14:paraId="5FB7EEC1" w14:textId="77777777" w:rsidR="0054751A" w:rsidRPr="008F1F8A" w:rsidRDefault="0054751A" w:rsidP="0054751A">
            <w:pPr>
              <w:pStyle w:val="citation"/>
              <w:spacing w:line="360" w:lineRule="auto"/>
              <w:ind w:left="0" w:right="34"/>
              <w:rPr>
                <w:sz w:val="4"/>
                <w:szCs w:val="4"/>
              </w:rPr>
            </w:pPr>
          </w:p>
          <w:p w14:paraId="2E4F556E" w14:textId="77777777" w:rsidR="0054751A" w:rsidRPr="0026206C" w:rsidRDefault="0054751A" w:rsidP="0054751A">
            <w:pPr>
              <w:pStyle w:val="citation"/>
              <w:spacing w:line="360" w:lineRule="auto"/>
              <w:ind w:left="0" w:right="34"/>
              <w:rPr>
                <w:sz w:val="16"/>
                <w:szCs w:val="16"/>
              </w:rPr>
            </w:pPr>
            <w:r>
              <w:rPr>
                <w:sz w:val="16"/>
                <w:szCs w:val="16"/>
              </w:rPr>
              <w:t>0.1</w:t>
            </w:r>
          </w:p>
        </w:tc>
        <w:tc>
          <w:tcPr>
            <w:tcW w:w="567" w:type="dxa"/>
            <w:tcBorders>
              <w:top w:val="single" w:sz="4" w:space="0" w:color="auto"/>
              <w:left w:val="single" w:sz="4" w:space="0" w:color="auto"/>
              <w:bottom w:val="single" w:sz="4" w:space="0" w:color="auto"/>
            </w:tcBorders>
          </w:tcPr>
          <w:p w14:paraId="348D2558" w14:textId="77777777" w:rsidR="0054751A" w:rsidRPr="008F1F8A" w:rsidRDefault="0054751A" w:rsidP="0054751A">
            <w:pPr>
              <w:pStyle w:val="citation"/>
              <w:spacing w:line="360" w:lineRule="auto"/>
              <w:ind w:left="0" w:right="34"/>
              <w:rPr>
                <w:sz w:val="4"/>
                <w:szCs w:val="4"/>
              </w:rPr>
            </w:pPr>
          </w:p>
          <w:p w14:paraId="25DE6648" w14:textId="77777777" w:rsidR="0054751A" w:rsidRPr="0026206C" w:rsidRDefault="0054751A" w:rsidP="0054751A">
            <w:pPr>
              <w:pStyle w:val="citation"/>
              <w:spacing w:line="360" w:lineRule="auto"/>
              <w:ind w:left="0" w:right="34"/>
              <w:rPr>
                <w:sz w:val="16"/>
                <w:szCs w:val="16"/>
              </w:rPr>
            </w:pPr>
            <w:r>
              <w:rPr>
                <w:sz w:val="16"/>
                <w:szCs w:val="16"/>
              </w:rPr>
              <w:t>0.9</w:t>
            </w:r>
          </w:p>
        </w:tc>
        <w:tc>
          <w:tcPr>
            <w:tcW w:w="567" w:type="dxa"/>
            <w:tcBorders>
              <w:top w:val="single" w:sz="4" w:space="0" w:color="auto"/>
              <w:bottom w:val="single" w:sz="4" w:space="0" w:color="auto"/>
            </w:tcBorders>
          </w:tcPr>
          <w:p w14:paraId="60068C4E" w14:textId="77777777" w:rsidR="0054751A" w:rsidRPr="008F1F8A" w:rsidRDefault="0054751A" w:rsidP="0054751A">
            <w:pPr>
              <w:pStyle w:val="citation"/>
              <w:spacing w:line="360" w:lineRule="auto"/>
              <w:ind w:left="0" w:right="34"/>
              <w:rPr>
                <w:sz w:val="4"/>
                <w:szCs w:val="4"/>
              </w:rPr>
            </w:pPr>
          </w:p>
          <w:p w14:paraId="7641765B" w14:textId="77777777" w:rsidR="0054751A" w:rsidRPr="0026206C" w:rsidRDefault="0054751A" w:rsidP="0054751A">
            <w:pPr>
              <w:pStyle w:val="citation"/>
              <w:spacing w:line="360" w:lineRule="auto"/>
              <w:ind w:left="0" w:right="34"/>
              <w:rPr>
                <w:sz w:val="16"/>
                <w:szCs w:val="16"/>
              </w:rPr>
            </w:pPr>
            <w:r>
              <w:rPr>
                <w:sz w:val="16"/>
                <w:szCs w:val="16"/>
              </w:rPr>
              <w:t>0.</w:t>
            </w:r>
            <w:r w:rsidRPr="0026206C">
              <w:rPr>
                <w:sz w:val="16"/>
                <w:szCs w:val="16"/>
              </w:rPr>
              <w:t>5</w:t>
            </w:r>
          </w:p>
        </w:tc>
        <w:tc>
          <w:tcPr>
            <w:tcW w:w="567" w:type="dxa"/>
            <w:tcBorders>
              <w:top w:val="single" w:sz="4" w:space="0" w:color="auto"/>
              <w:bottom w:val="single" w:sz="4" w:space="0" w:color="auto"/>
            </w:tcBorders>
          </w:tcPr>
          <w:p w14:paraId="48668216" w14:textId="77777777" w:rsidR="0054751A" w:rsidRPr="008F1F8A" w:rsidRDefault="0054751A" w:rsidP="0054751A">
            <w:pPr>
              <w:pStyle w:val="citation"/>
              <w:spacing w:line="360" w:lineRule="auto"/>
              <w:ind w:left="0" w:right="34"/>
              <w:rPr>
                <w:sz w:val="4"/>
                <w:szCs w:val="4"/>
              </w:rPr>
            </w:pPr>
          </w:p>
          <w:p w14:paraId="1F995797" w14:textId="77777777" w:rsidR="0054751A" w:rsidRPr="0026206C" w:rsidRDefault="0054751A" w:rsidP="0054751A">
            <w:pPr>
              <w:pStyle w:val="citation"/>
              <w:spacing w:line="360" w:lineRule="auto"/>
              <w:ind w:left="0" w:right="34"/>
              <w:rPr>
                <w:sz w:val="16"/>
                <w:szCs w:val="16"/>
              </w:rPr>
            </w:pPr>
            <w:r>
              <w:rPr>
                <w:sz w:val="16"/>
                <w:szCs w:val="16"/>
              </w:rPr>
              <w:t>0.1</w:t>
            </w:r>
          </w:p>
        </w:tc>
      </w:tr>
      <w:tr w:rsidR="0054751A" w14:paraId="041B8699" w14:textId="77777777" w:rsidTr="0054751A">
        <w:tc>
          <w:tcPr>
            <w:tcW w:w="976" w:type="dxa"/>
            <w:tcBorders>
              <w:top w:val="single" w:sz="4" w:space="0" w:color="auto"/>
              <w:bottom w:val="nil"/>
              <w:right w:val="single" w:sz="4" w:space="0" w:color="auto"/>
            </w:tcBorders>
          </w:tcPr>
          <w:p w14:paraId="27AA8C24" w14:textId="77777777" w:rsidR="0054751A" w:rsidRPr="0026206C" w:rsidRDefault="0054751A" w:rsidP="0054751A">
            <w:pPr>
              <w:pStyle w:val="citation"/>
              <w:ind w:left="0" w:right="145"/>
              <w:rPr>
                <w:sz w:val="16"/>
                <w:szCs w:val="16"/>
              </w:rPr>
            </w:pPr>
            <w:r>
              <w:rPr>
                <w:sz w:val="16"/>
                <w:szCs w:val="16"/>
              </w:rPr>
              <w:t>  </w:t>
            </w:r>
            <w:r w:rsidRPr="0026206C">
              <w:rPr>
                <w:sz w:val="16"/>
                <w:szCs w:val="16"/>
              </w:rPr>
              <w:t>500</w:t>
            </w:r>
          </w:p>
        </w:tc>
        <w:tc>
          <w:tcPr>
            <w:tcW w:w="567" w:type="dxa"/>
            <w:tcBorders>
              <w:top w:val="single" w:sz="4" w:space="0" w:color="auto"/>
              <w:left w:val="single" w:sz="4" w:space="0" w:color="auto"/>
            </w:tcBorders>
          </w:tcPr>
          <w:p w14:paraId="54CF0C74" w14:textId="77777777" w:rsidR="0054751A" w:rsidRPr="0026206C" w:rsidRDefault="0054751A" w:rsidP="0054751A">
            <w:pPr>
              <w:pStyle w:val="citation"/>
              <w:ind w:left="0" w:right="145"/>
              <w:rPr>
                <w:sz w:val="16"/>
                <w:szCs w:val="16"/>
              </w:rPr>
            </w:pPr>
            <w:r>
              <w:rPr>
                <w:sz w:val="16"/>
                <w:szCs w:val="16"/>
              </w:rPr>
              <w:t>0</w:t>
            </w:r>
          </w:p>
        </w:tc>
        <w:tc>
          <w:tcPr>
            <w:tcW w:w="576" w:type="dxa"/>
            <w:tcBorders>
              <w:top w:val="single" w:sz="4" w:space="0" w:color="auto"/>
            </w:tcBorders>
          </w:tcPr>
          <w:p w14:paraId="261DB401" w14:textId="77777777" w:rsidR="0054751A" w:rsidRPr="0026206C" w:rsidRDefault="0054751A" w:rsidP="0054751A">
            <w:pPr>
              <w:pStyle w:val="citation"/>
              <w:ind w:left="0" w:right="145"/>
              <w:rPr>
                <w:sz w:val="16"/>
                <w:szCs w:val="16"/>
              </w:rPr>
            </w:pPr>
            <w:r>
              <w:rPr>
                <w:sz w:val="16"/>
                <w:szCs w:val="16"/>
              </w:rPr>
              <w:t>0</w:t>
            </w:r>
          </w:p>
        </w:tc>
        <w:tc>
          <w:tcPr>
            <w:tcW w:w="631" w:type="dxa"/>
            <w:tcBorders>
              <w:top w:val="single" w:sz="4" w:space="0" w:color="auto"/>
              <w:right w:val="single" w:sz="4" w:space="0" w:color="auto"/>
            </w:tcBorders>
          </w:tcPr>
          <w:p w14:paraId="5C8F597C" w14:textId="77777777" w:rsidR="0054751A" w:rsidRPr="0026206C" w:rsidRDefault="0054751A" w:rsidP="0054751A">
            <w:pPr>
              <w:pStyle w:val="citation"/>
              <w:ind w:left="0" w:right="145"/>
              <w:rPr>
                <w:sz w:val="16"/>
                <w:szCs w:val="16"/>
              </w:rPr>
            </w:pPr>
            <w:r>
              <w:rPr>
                <w:sz w:val="16"/>
                <w:szCs w:val="16"/>
              </w:rPr>
              <w:t>0</w:t>
            </w:r>
          </w:p>
        </w:tc>
        <w:tc>
          <w:tcPr>
            <w:tcW w:w="649" w:type="dxa"/>
            <w:tcBorders>
              <w:top w:val="single" w:sz="4" w:space="0" w:color="auto"/>
              <w:left w:val="single" w:sz="4" w:space="0" w:color="auto"/>
            </w:tcBorders>
          </w:tcPr>
          <w:p w14:paraId="0268E30F" w14:textId="77777777" w:rsidR="0054751A" w:rsidRPr="0026206C" w:rsidRDefault="0054751A" w:rsidP="0054751A">
            <w:pPr>
              <w:pStyle w:val="citation"/>
              <w:ind w:left="0" w:right="145"/>
              <w:rPr>
                <w:sz w:val="16"/>
                <w:szCs w:val="16"/>
              </w:rPr>
            </w:pPr>
            <w:r>
              <w:rPr>
                <w:sz w:val="16"/>
                <w:szCs w:val="16"/>
              </w:rPr>
              <w:t>0</w:t>
            </w:r>
          </w:p>
        </w:tc>
        <w:tc>
          <w:tcPr>
            <w:tcW w:w="589" w:type="dxa"/>
            <w:tcBorders>
              <w:top w:val="single" w:sz="4" w:space="0" w:color="auto"/>
            </w:tcBorders>
          </w:tcPr>
          <w:p w14:paraId="0CDB7757" w14:textId="77777777" w:rsidR="0054751A" w:rsidRPr="0026206C" w:rsidRDefault="0054751A" w:rsidP="0054751A">
            <w:pPr>
              <w:pStyle w:val="citation"/>
              <w:ind w:left="0" w:right="145"/>
              <w:rPr>
                <w:sz w:val="16"/>
                <w:szCs w:val="16"/>
              </w:rPr>
            </w:pPr>
            <w:r>
              <w:rPr>
                <w:sz w:val="16"/>
                <w:szCs w:val="16"/>
              </w:rPr>
              <w:t>0</w:t>
            </w:r>
          </w:p>
        </w:tc>
        <w:tc>
          <w:tcPr>
            <w:tcW w:w="532" w:type="dxa"/>
            <w:tcBorders>
              <w:top w:val="single" w:sz="4" w:space="0" w:color="auto"/>
              <w:right w:val="single" w:sz="4" w:space="0" w:color="auto"/>
            </w:tcBorders>
          </w:tcPr>
          <w:p w14:paraId="5A7E039F" w14:textId="77777777" w:rsidR="0054751A" w:rsidRPr="0026206C" w:rsidRDefault="0054751A" w:rsidP="0054751A">
            <w:pPr>
              <w:pStyle w:val="citation"/>
              <w:ind w:left="0" w:right="145"/>
              <w:rPr>
                <w:sz w:val="16"/>
                <w:szCs w:val="16"/>
              </w:rPr>
            </w:pPr>
            <w:r>
              <w:rPr>
                <w:sz w:val="16"/>
                <w:szCs w:val="16"/>
              </w:rPr>
              <w:t>0</w:t>
            </w:r>
          </w:p>
        </w:tc>
        <w:tc>
          <w:tcPr>
            <w:tcW w:w="664" w:type="dxa"/>
            <w:tcBorders>
              <w:top w:val="single" w:sz="4" w:space="0" w:color="auto"/>
              <w:left w:val="single" w:sz="4" w:space="0" w:color="auto"/>
            </w:tcBorders>
          </w:tcPr>
          <w:p w14:paraId="2F5DD261" w14:textId="77777777" w:rsidR="0054751A" w:rsidRPr="0026206C" w:rsidRDefault="0054751A" w:rsidP="0054751A">
            <w:pPr>
              <w:pStyle w:val="citation"/>
              <w:ind w:left="0" w:right="145"/>
              <w:rPr>
                <w:sz w:val="16"/>
                <w:szCs w:val="16"/>
              </w:rPr>
            </w:pPr>
            <w:r>
              <w:rPr>
                <w:sz w:val="16"/>
                <w:szCs w:val="16"/>
              </w:rPr>
              <w:t>0</w:t>
            </w:r>
          </w:p>
        </w:tc>
        <w:tc>
          <w:tcPr>
            <w:tcW w:w="567" w:type="dxa"/>
            <w:tcBorders>
              <w:top w:val="single" w:sz="4" w:space="0" w:color="auto"/>
            </w:tcBorders>
          </w:tcPr>
          <w:p w14:paraId="3D5CA5CF" w14:textId="77777777" w:rsidR="0054751A" w:rsidRPr="0026206C" w:rsidRDefault="0054751A" w:rsidP="0054751A">
            <w:pPr>
              <w:pStyle w:val="citation"/>
              <w:ind w:left="0" w:right="145"/>
              <w:rPr>
                <w:sz w:val="16"/>
                <w:szCs w:val="16"/>
              </w:rPr>
            </w:pPr>
            <w:r>
              <w:rPr>
                <w:sz w:val="16"/>
                <w:szCs w:val="16"/>
              </w:rPr>
              <w:t>0</w:t>
            </w:r>
          </w:p>
        </w:tc>
        <w:tc>
          <w:tcPr>
            <w:tcW w:w="612" w:type="dxa"/>
            <w:tcBorders>
              <w:top w:val="single" w:sz="4" w:space="0" w:color="auto"/>
              <w:right w:val="single" w:sz="4" w:space="0" w:color="auto"/>
            </w:tcBorders>
          </w:tcPr>
          <w:p w14:paraId="2651D67C" w14:textId="77777777" w:rsidR="0054751A" w:rsidRPr="0026206C" w:rsidRDefault="0054751A" w:rsidP="0054751A">
            <w:pPr>
              <w:pStyle w:val="citation"/>
              <w:ind w:left="0" w:right="145"/>
              <w:rPr>
                <w:sz w:val="16"/>
                <w:szCs w:val="16"/>
              </w:rPr>
            </w:pPr>
            <w:r>
              <w:rPr>
                <w:sz w:val="16"/>
                <w:szCs w:val="16"/>
              </w:rPr>
              <w:t>0</w:t>
            </w:r>
          </w:p>
        </w:tc>
        <w:tc>
          <w:tcPr>
            <w:tcW w:w="567" w:type="dxa"/>
            <w:tcBorders>
              <w:top w:val="single" w:sz="4" w:space="0" w:color="auto"/>
              <w:left w:val="single" w:sz="4" w:space="0" w:color="auto"/>
            </w:tcBorders>
          </w:tcPr>
          <w:p w14:paraId="2C9E162F" w14:textId="77777777" w:rsidR="0054751A" w:rsidRPr="0026206C" w:rsidRDefault="0054751A" w:rsidP="0054751A">
            <w:pPr>
              <w:pStyle w:val="citation"/>
              <w:ind w:left="0" w:right="145"/>
              <w:rPr>
                <w:sz w:val="16"/>
                <w:szCs w:val="16"/>
              </w:rPr>
            </w:pPr>
            <w:r>
              <w:rPr>
                <w:sz w:val="16"/>
                <w:szCs w:val="16"/>
              </w:rPr>
              <w:t>0</w:t>
            </w:r>
          </w:p>
        </w:tc>
        <w:tc>
          <w:tcPr>
            <w:tcW w:w="567" w:type="dxa"/>
            <w:tcBorders>
              <w:top w:val="single" w:sz="4" w:space="0" w:color="auto"/>
            </w:tcBorders>
          </w:tcPr>
          <w:p w14:paraId="47C5D953" w14:textId="77777777" w:rsidR="0054751A" w:rsidRPr="0026206C" w:rsidRDefault="0054751A" w:rsidP="0054751A">
            <w:pPr>
              <w:pStyle w:val="citation"/>
              <w:ind w:left="0" w:right="145"/>
              <w:rPr>
                <w:sz w:val="16"/>
                <w:szCs w:val="16"/>
              </w:rPr>
            </w:pPr>
            <w:r>
              <w:rPr>
                <w:sz w:val="16"/>
                <w:szCs w:val="16"/>
              </w:rPr>
              <w:t>0</w:t>
            </w:r>
          </w:p>
        </w:tc>
        <w:tc>
          <w:tcPr>
            <w:tcW w:w="567" w:type="dxa"/>
            <w:tcBorders>
              <w:top w:val="single" w:sz="4" w:space="0" w:color="auto"/>
            </w:tcBorders>
          </w:tcPr>
          <w:p w14:paraId="0C2F0D3D" w14:textId="77777777" w:rsidR="0054751A" w:rsidRPr="0026206C" w:rsidRDefault="0054751A" w:rsidP="0054751A">
            <w:pPr>
              <w:pStyle w:val="citation"/>
              <w:tabs>
                <w:tab w:val="left" w:pos="0"/>
              </w:tabs>
              <w:ind w:left="0" w:right="145"/>
              <w:rPr>
                <w:sz w:val="16"/>
                <w:szCs w:val="16"/>
              </w:rPr>
            </w:pPr>
            <w:r>
              <w:rPr>
                <w:sz w:val="16"/>
                <w:szCs w:val="16"/>
              </w:rPr>
              <w:t>0</w:t>
            </w:r>
          </w:p>
        </w:tc>
      </w:tr>
      <w:tr w:rsidR="0054751A" w14:paraId="1D334B81" w14:textId="77777777" w:rsidTr="0054751A">
        <w:tc>
          <w:tcPr>
            <w:tcW w:w="976" w:type="dxa"/>
            <w:tcBorders>
              <w:top w:val="nil"/>
              <w:bottom w:val="nil"/>
              <w:right w:val="single" w:sz="4" w:space="0" w:color="auto"/>
            </w:tcBorders>
          </w:tcPr>
          <w:p w14:paraId="2F076038" w14:textId="77777777" w:rsidR="0054751A" w:rsidRPr="0026206C" w:rsidRDefault="0054751A" w:rsidP="0054751A">
            <w:pPr>
              <w:pStyle w:val="citation"/>
              <w:ind w:left="0" w:right="145"/>
              <w:rPr>
                <w:sz w:val="16"/>
                <w:szCs w:val="16"/>
              </w:rPr>
            </w:pPr>
            <w:r w:rsidRPr="0026206C">
              <w:rPr>
                <w:sz w:val="16"/>
                <w:szCs w:val="16"/>
              </w:rPr>
              <w:t>1000</w:t>
            </w:r>
          </w:p>
        </w:tc>
        <w:tc>
          <w:tcPr>
            <w:tcW w:w="567" w:type="dxa"/>
            <w:tcBorders>
              <w:left w:val="single" w:sz="4" w:space="0" w:color="auto"/>
            </w:tcBorders>
          </w:tcPr>
          <w:p w14:paraId="49030681" w14:textId="77777777" w:rsidR="0054751A" w:rsidRPr="0026206C" w:rsidRDefault="0054751A" w:rsidP="0054751A">
            <w:pPr>
              <w:pStyle w:val="citation"/>
              <w:ind w:left="0" w:right="145"/>
              <w:rPr>
                <w:sz w:val="16"/>
                <w:szCs w:val="16"/>
              </w:rPr>
            </w:pPr>
            <w:r>
              <w:rPr>
                <w:sz w:val="16"/>
                <w:szCs w:val="16"/>
              </w:rPr>
              <w:t>0</w:t>
            </w:r>
          </w:p>
        </w:tc>
        <w:tc>
          <w:tcPr>
            <w:tcW w:w="576" w:type="dxa"/>
          </w:tcPr>
          <w:p w14:paraId="141D6B9E" w14:textId="77777777" w:rsidR="0054751A" w:rsidRPr="0026206C" w:rsidRDefault="0054751A" w:rsidP="0054751A">
            <w:pPr>
              <w:pStyle w:val="citation"/>
              <w:ind w:left="0" w:right="145"/>
              <w:rPr>
                <w:sz w:val="16"/>
                <w:szCs w:val="16"/>
              </w:rPr>
            </w:pPr>
            <w:r>
              <w:rPr>
                <w:sz w:val="16"/>
                <w:szCs w:val="16"/>
              </w:rPr>
              <w:t>0</w:t>
            </w:r>
          </w:p>
        </w:tc>
        <w:tc>
          <w:tcPr>
            <w:tcW w:w="631" w:type="dxa"/>
            <w:tcBorders>
              <w:right w:val="single" w:sz="4" w:space="0" w:color="auto"/>
            </w:tcBorders>
          </w:tcPr>
          <w:p w14:paraId="47B63D54" w14:textId="77777777" w:rsidR="0054751A" w:rsidRPr="0026206C" w:rsidRDefault="0054751A" w:rsidP="0054751A">
            <w:pPr>
              <w:pStyle w:val="citation"/>
              <w:ind w:left="0" w:right="145"/>
              <w:rPr>
                <w:sz w:val="16"/>
                <w:szCs w:val="16"/>
              </w:rPr>
            </w:pPr>
            <w:r>
              <w:rPr>
                <w:sz w:val="16"/>
                <w:szCs w:val="16"/>
              </w:rPr>
              <w:t>0</w:t>
            </w:r>
          </w:p>
        </w:tc>
        <w:tc>
          <w:tcPr>
            <w:tcW w:w="649" w:type="dxa"/>
            <w:tcBorders>
              <w:left w:val="single" w:sz="4" w:space="0" w:color="auto"/>
            </w:tcBorders>
          </w:tcPr>
          <w:p w14:paraId="355B8A72" w14:textId="77777777" w:rsidR="0054751A" w:rsidRPr="0026206C" w:rsidRDefault="0054751A" w:rsidP="0054751A">
            <w:pPr>
              <w:pStyle w:val="citation"/>
              <w:ind w:left="0" w:right="145"/>
              <w:rPr>
                <w:sz w:val="16"/>
                <w:szCs w:val="16"/>
              </w:rPr>
            </w:pPr>
            <w:r>
              <w:rPr>
                <w:sz w:val="16"/>
                <w:szCs w:val="16"/>
              </w:rPr>
              <w:t>0</w:t>
            </w:r>
          </w:p>
        </w:tc>
        <w:tc>
          <w:tcPr>
            <w:tcW w:w="589" w:type="dxa"/>
          </w:tcPr>
          <w:p w14:paraId="13DB0378" w14:textId="77777777" w:rsidR="0054751A" w:rsidRPr="0026206C" w:rsidRDefault="0054751A" w:rsidP="0054751A">
            <w:pPr>
              <w:pStyle w:val="citation"/>
              <w:ind w:left="0" w:right="145"/>
              <w:rPr>
                <w:sz w:val="16"/>
                <w:szCs w:val="16"/>
              </w:rPr>
            </w:pPr>
            <w:r>
              <w:rPr>
                <w:sz w:val="16"/>
                <w:szCs w:val="16"/>
              </w:rPr>
              <w:t>0</w:t>
            </w:r>
          </w:p>
        </w:tc>
        <w:tc>
          <w:tcPr>
            <w:tcW w:w="532" w:type="dxa"/>
            <w:tcBorders>
              <w:right w:val="single" w:sz="4" w:space="0" w:color="auto"/>
            </w:tcBorders>
          </w:tcPr>
          <w:p w14:paraId="5420D415" w14:textId="77777777" w:rsidR="0054751A" w:rsidRPr="0026206C" w:rsidRDefault="0054751A" w:rsidP="0054751A">
            <w:pPr>
              <w:pStyle w:val="citation"/>
              <w:ind w:left="0" w:right="145"/>
              <w:rPr>
                <w:sz w:val="16"/>
                <w:szCs w:val="16"/>
              </w:rPr>
            </w:pPr>
            <w:r>
              <w:rPr>
                <w:sz w:val="16"/>
                <w:szCs w:val="16"/>
              </w:rPr>
              <w:t>0</w:t>
            </w:r>
          </w:p>
        </w:tc>
        <w:tc>
          <w:tcPr>
            <w:tcW w:w="664" w:type="dxa"/>
            <w:tcBorders>
              <w:left w:val="single" w:sz="4" w:space="0" w:color="auto"/>
            </w:tcBorders>
          </w:tcPr>
          <w:p w14:paraId="0A74FA08" w14:textId="77777777" w:rsidR="0054751A" w:rsidRPr="0026206C" w:rsidRDefault="0054751A" w:rsidP="0054751A">
            <w:pPr>
              <w:pStyle w:val="citation"/>
              <w:ind w:left="0" w:right="145"/>
              <w:rPr>
                <w:sz w:val="16"/>
                <w:szCs w:val="16"/>
              </w:rPr>
            </w:pPr>
            <w:r>
              <w:rPr>
                <w:sz w:val="16"/>
                <w:szCs w:val="16"/>
              </w:rPr>
              <w:t>0</w:t>
            </w:r>
          </w:p>
        </w:tc>
        <w:tc>
          <w:tcPr>
            <w:tcW w:w="567" w:type="dxa"/>
          </w:tcPr>
          <w:p w14:paraId="44A8B490" w14:textId="77777777" w:rsidR="0054751A" w:rsidRPr="0026206C" w:rsidRDefault="0054751A" w:rsidP="0054751A">
            <w:pPr>
              <w:pStyle w:val="citation"/>
              <w:ind w:left="0" w:right="145"/>
              <w:rPr>
                <w:sz w:val="16"/>
                <w:szCs w:val="16"/>
              </w:rPr>
            </w:pPr>
            <w:r>
              <w:rPr>
                <w:sz w:val="16"/>
                <w:szCs w:val="16"/>
              </w:rPr>
              <w:t>0</w:t>
            </w:r>
          </w:p>
        </w:tc>
        <w:tc>
          <w:tcPr>
            <w:tcW w:w="612" w:type="dxa"/>
            <w:tcBorders>
              <w:right w:val="single" w:sz="4" w:space="0" w:color="auto"/>
            </w:tcBorders>
          </w:tcPr>
          <w:p w14:paraId="1723BFDF" w14:textId="77777777" w:rsidR="0054751A" w:rsidRPr="0026206C" w:rsidRDefault="0054751A" w:rsidP="0054751A">
            <w:pPr>
              <w:pStyle w:val="citation"/>
              <w:ind w:left="0" w:right="145"/>
              <w:rPr>
                <w:sz w:val="16"/>
                <w:szCs w:val="16"/>
              </w:rPr>
            </w:pPr>
            <w:r>
              <w:rPr>
                <w:sz w:val="16"/>
                <w:szCs w:val="16"/>
              </w:rPr>
              <w:t>0</w:t>
            </w:r>
          </w:p>
        </w:tc>
        <w:tc>
          <w:tcPr>
            <w:tcW w:w="567" w:type="dxa"/>
            <w:tcBorders>
              <w:left w:val="single" w:sz="4" w:space="0" w:color="auto"/>
            </w:tcBorders>
          </w:tcPr>
          <w:p w14:paraId="51849365" w14:textId="77777777" w:rsidR="0054751A" w:rsidRPr="0026206C" w:rsidRDefault="0054751A" w:rsidP="0054751A">
            <w:pPr>
              <w:pStyle w:val="citation"/>
              <w:ind w:left="0" w:right="145"/>
              <w:rPr>
                <w:sz w:val="16"/>
                <w:szCs w:val="16"/>
              </w:rPr>
            </w:pPr>
            <w:r>
              <w:rPr>
                <w:sz w:val="16"/>
                <w:szCs w:val="16"/>
              </w:rPr>
              <w:t>0</w:t>
            </w:r>
          </w:p>
        </w:tc>
        <w:tc>
          <w:tcPr>
            <w:tcW w:w="567" w:type="dxa"/>
          </w:tcPr>
          <w:p w14:paraId="66176B2C" w14:textId="77777777" w:rsidR="0054751A" w:rsidRPr="0026206C" w:rsidRDefault="0054751A" w:rsidP="0054751A">
            <w:pPr>
              <w:pStyle w:val="citation"/>
              <w:ind w:left="0" w:right="145"/>
              <w:rPr>
                <w:sz w:val="16"/>
                <w:szCs w:val="16"/>
              </w:rPr>
            </w:pPr>
            <w:r>
              <w:rPr>
                <w:sz w:val="16"/>
                <w:szCs w:val="16"/>
              </w:rPr>
              <w:t>0</w:t>
            </w:r>
          </w:p>
        </w:tc>
        <w:tc>
          <w:tcPr>
            <w:tcW w:w="567" w:type="dxa"/>
          </w:tcPr>
          <w:p w14:paraId="2B775CE3" w14:textId="77777777" w:rsidR="0054751A" w:rsidRPr="0026206C" w:rsidRDefault="0054751A" w:rsidP="0054751A">
            <w:pPr>
              <w:pStyle w:val="citation"/>
              <w:tabs>
                <w:tab w:val="left" w:pos="0"/>
              </w:tabs>
              <w:ind w:left="0" w:right="145"/>
              <w:rPr>
                <w:sz w:val="16"/>
                <w:szCs w:val="16"/>
              </w:rPr>
            </w:pPr>
            <w:r>
              <w:rPr>
                <w:sz w:val="16"/>
                <w:szCs w:val="16"/>
              </w:rPr>
              <w:t>0</w:t>
            </w:r>
          </w:p>
        </w:tc>
      </w:tr>
      <w:tr w:rsidR="0054751A" w14:paraId="5A64CF53" w14:textId="77777777" w:rsidTr="0054751A">
        <w:tc>
          <w:tcPr>
            <w:tcW w:w="976" w:type="dxa"/>
            <w:tcBorders>
              <w:top w:val="nil"/>
              <w:bottom w:val="nil"/>
              <w:right w:val="single" w:sz="4" w:space="0" w:color="auto"/>
            </w:tcBorders>
          </w:tcPr>
          <w:p w14:paraId="53E461F0" w14:textId="77777777" w:rsidR="0054751A" w:rsidRPr="0026206C" w:rsidRDefault="0054751A" w:rsidP="0054751A">
            <w:pPr>
              <w:pStyle w:val="citation"/>
              <w:ind w:left="0" w:right="145"/>
              <w:rPr>
                <w:sz w:val="16"/>
                <w:szCs w:val="16"/>
              </w:rPr>
            </w:pPr>
            <w:r w:rsidRPr="0026206C">
              <w:rPr>
                <w:sz w:val="16"/>
                <w:szCs w:val="16"/>
              </w:rPr>
              <w:t>2000</w:t>
            </w:r>
          </w:p>
        </w:tc>
        <w:tc>
          <w:tcPr>
            <w:tcW w:w="567" w:type="dxa"/>
            <w:tcBorders>
              <w:left w:val="single" w:sz="4" w:space="0" w:color="auto"/>
            </w:tcBorders>
          </w:tcPr>
          <w:p w14:paraId="7B8E185D" w14:textId="77777777" w:rsidR="0054751A" w:rsidRPr="0026206C" w:rsidRDefault="0054751A" w:rsidP="0054751A">
            <w:pPr>
              <w:pStyle w:val="citation"/>
              <w:ind w:left="0" w:right="145"/>
              <w:rPr>
                <w:sz w:val="16"/>
                <w:szCs w:val="16"/>
              </w:rPr>
            </w:pPr>
            <w:r>
              <w:rPr>
                <w:sz w:val="16"/>
                <w:szCs w:val="16"/>
              </w:rPr>
              <w:t>0</w:t>
            </w:r>
          </w:p>
        </w:tc>
        <w:tc>
          <w:tcPr>
            <w:tcW w:w="576" w:type="dxa"/>
          </w:tcPr>
          <w:p w14:paraId="1549A25F" w14:textId="77777777" w:rsidR="0054751A" w:rsidRPr="0026206C" w:rsidRDefault="0054751A" w:rsidP="0054751A">
            <w:pPr>
              <w:pStyle w:val="citation"/>
              <w:ind w:left="0" w:right="145"/>
              <w:rPr>
                <w:sz w:val="16"/>
                <w:szCs w:val="16"/>
              </w:rPr>
            </w:pPr>
            <w:r>
              <w:rPr>
                <w:sz w:val="16"/>
                <w:szCs w:val="16"/>
              </w:rPr>
              <w:t>1</w:t>
            </w:r>
          </w:p>
        </w:tc>
        <w:tc>
          <w:tcPr>
            <w:tcW w:w="631" w:type="dxa"/>
            <w:tcBorders>
              <w:right w:val="single" w:sz="4" w:space="0" w:color="auto"/>
            </w:tcBorders>
          </w:tcPr>
          <w:p w14:paraId="44E6D048" w14:textId="77777777" w:rsidR="0054751A" w:rsidRPr="0026206C" w:rsidRDefault="0054751A" w:rsidP="0054751A">
            <w:pPr>
              <w:pStyle w:val="citation"/>
              <w:ind w:left="0" w:right="145"/>
              <w:rPr>
                <w:sz w:val="16"/>
                <w:szCs w:val="16"/>
              </w:rPr>
            </w:pPr>
            <w:r>
              <w:rPr>
                <w:sz w:val="16"/>
                <w:szCs w:val="16"/>
              </w:rPr>
              <w:t>1</w:t>
            </w:r>
          </w:p>
        </w:tc>
        <w:tc>
          <w:tcPr>
            <w:tcW w:w="649" w:type="dxa"/>
            <w:tcBorders>
              <w:left w:val="single" w:sz="4" w:space="0" w:color="auto"/>
            </w:tcBorders>
          </w:tcPr>
          <w:p w14:paraId="65D135B7" w14:textId="77777777" w:rsidR="0054751A" w:rsidRPr="0026206C" w:rsidRDefault="0054751A" w:rsidP="0054751A">
            <w:pPr>
              <w:pStyle w:val="citation"/>
              <w:ind w:left="0" w:right="145"/>
              <w:rPr>
                <w:sz w:val="16"/>
                <w:szCs w:val="16"/>
              </w:rPr>
            </w:pPr>
            <w:r>
              <w:rPr>
                <w:sz w:val="16"/>
                <w:szCs w:val="16"/>
              </w:rPr>
              <w:t>1</w:t>
            </w:r>
          </w:p>
        </w:tc>
        <w:tc>
          <w:tcPr>
            <w:tcW w:w="589" w:type="dxa"/>
          </w:tcPr>
          <w:p w14:paraId="2606AC56" w14:textId="77777777" w:rsidR="0054751A" w:rsidRPr="0026206C" w:rsidRDefault="0054751A" w:rsidP="0054751A">
            <w:pPr>
              <w:pStyle w:val="citation"/>
              <w:ind w:left="0" w:right="145"/>
              <w:rPr>
                <w:sz w:val="16"/>
                <w:szCs w:val="16"/>
              </w:rPr>
            </w:pPr>
            <w:r>
              <w:rPr>
                <w:sz w:val="16"/>
                <w:szCs w:val="16"/>
              </w:rPr>
              <w:t>1</w:t>
            </w:r>
          </w:p>
        </w:tc>
        <w:tc>
          <w:tcPr>
            <w:tcW w:w="532" w:type="dxa"/>
            <w:tcBorders>
              <w:right w:val="single" w:sz="4" w:space="0" w:color="auto"/>
            </w:tcBorders>
          </w:tcPr>
          <w:p w14:paraId="690E2692" w14:textId="77777777" w:rsidR="0054751A" w:rsidRPr="0026206C" w:rsidRDefault="0054751A" w:rsidP="0054751A">
            <w:pPr>
              <w:pStyle w:val="citation"/>
              <w:ind w:left="0" w:right="145"/>
              <w:rPr>
                <w:sz w:val="16"/>
                <w:szCs w:val="16"/>
              </w:rPr>
            </w:pPr>
            <w:r>
              <w:rPr>
                <w:sz w:val="16"/>
                <w:szCs w:val="16"/>
              </w:rPr>
              <w:t>2</w:t>
            </w:r>
          </w:p>
        </w:tc>
        <w:tc>
          <w:tcPr>
            <w:tcW w:w="664" w:type="dxa"/>
            <w:tcBorders>
              <w:left w:val="single" w:sz="4" w:space="0" w:color="auto"/>
            </w:tcBorders>
          </w:tcPr>
          <w:p w14:paraId="5EEAAC3E" w14:textId="77777777" w:rsidR="0054751A" w:rsidRPr="0026206C" w:rsidRDefault="0054751A" w:rsidP="0054751A">
            <w:pPr>
              <w:pStyle w:val="citation"/>
              <w:ind w:left="0" w:right="145"/>
              <w:rPr>
                <w:sz w:val="16"/>
                <w:szCs w:val="16"/>
              </w:rPr>
            </w:pPr>
            <w:r>
              <w:rPr>
                <w:sz w:val="16"/>
                <w:szCs w:val="16"/>
              </w:rPr>
              <w:t>1</w:t>
            </w:r>
          </w:p>
        </w:tc>
        <w:tc>
          <w:tcPr>
            <w:tcW w:w="567" w:type="dxa"/>
          </w:tcPr>
          <w:p w14:paraId="6BDEB45E" w14:textId="77777777" w:rsidR="0054751A" w:rsidRPr="0026206C" w:rsidRDefault="0054751A" w:rsidP="0054751A">
            <w:pPr>
              <w:pStyle w:val="citation"/>
              <w:ind w:left="0" w:right="145"/>
              <w:rPr>
                <w:sz w:val="16"/>
                <w:szCs w:val="16"/>
              </w:rPr>
            </w:pPr>
            <w:r>
              <w:rPr>
                <w:sz w:val="16"/>
                <w:szCs w:val="16"/>
              </w:rPr>
              <w:t>1</w:t>
            </w:r>
          </w:p>
        </w:tc>
        <w:tc>
          <w:tcPr>
            <w:tcW w:w="612" w:type="dxa"/>
            <w:tcBorders>
              <w:right w:val="single" w:sz="4" w:space="0" w:color="auto"/>
            </w:tcBorders>
          </w:tcPr>
          <w:p w14:paraId="59BA5EED" w14:textId="77777777" w:rsidR="0054751A" w:rsidRPr="0026206C" w:rsidRDefault="0054751A" w:rsidP="0054751A">
            <w:pPr>
              <w:pStyle w:val="citation"/>
              <w:ind w:left="0" w:right="145"/>
              <w:rPr>
                <w:sz w:val="16"/>
                <w:szCs w:val="16"/>
              </w:rPr>
            </w:pPr>
            <w:r>
              <w:rPr>
                <w:sz w:val="16"/>
                <w:szCs w:val="16"/>
              </w:rPr>
              <w:t>2</w:t>
            </w:r>
          </w:p>
        </w:tc>
        <w:tc>
          <w:tcPr>
            <w:tcW w:w="567" w:type="dxa"/>
            <w:tcBorders>
              <w:left w:val="single" w:sz="4" w:space="0" w:color="auto"/>
            </w:tcBorders>
          </w:tcPr>
          <w:p w14:paraId="5DD88FC6" w14:textId="77777777" w:rsidR="0054751A" w:rsidRPr="0026206C" w:rsidRDefault="0054751A" w:rsidP="0054751A">
            <w:pPr>
              <w:pStyle w:val="citation"/>
              <w:ind w:left="0" w:right="145"/>
              <w:rPr>
                <w:sz w:val="16"/>
                <w:szCs w:val="16"/>
              </w:rPr>
            </w:pPr>
            <w:r>
              <w:rPr>
                <w:sz w:val="16"/>
                <w:szCs w:val="16"/>
              </w:rPr>
              <w:t>1</w:t>
            </w:r>
          </w:p>
        </w:tc>
        <w:tc>
          <w:tcPr>
            <w:tcW w:w="567" w:type="dxa"/>
          </w:tcPr>
          <w:p w14:paraId="58108B6D" w14:textId="77777777" w:rsidR="0054751A" w:rsidRPr="0026206C" w:rsidRDefault="0054751A" w:rsidP="0054751A">
            <w:pPr>
              <w:pStyle w:val="citation"/>
              <w:ind w:left="0" w:right="145"/>
              <w:rPr>
                <w:sz w:val="16"/>
                <w:szCs w:val="16"/>
              </w:rPr>
            </w:pPr>
            <w:r>
              <w:rPr>
                <w:sz w:val="16"/>
                <w:szCs w:val="16"/>
              </w:rPr>
              <w:t>2</w:t>
            </w:r>
          </w:p>
        </w:tc>
        <w:tc>
          <w:tcPr>
            <w:tcW w:w="567" w:type="dxa"/>
          </w:tcPr>
          <w:p w14:paraId="0DC1AF0A" w14:textId="77777777" w:rsidR="0054751A" w:rsidRPr="0026206C" w:rsidRDefault="0054751A" w:rsidP="0054751A">
            <w:pPr>
              <w:pStyle w:val="citation"/>
              <w:tabs>
                <w:tab w:val="left" w:pos="0"/>
              </w:tabs>
              <w:ind w:left="0" w:right="145"/>
              <w:rPr>
                <w:sz w:val="16"/>
                <w:szCs w:val="16"/>
              </w:rPr>
            </w:pPr>
            <w:r>
              <w:rPr>
                <w:sz w:val="16"/>
                <w:szCs w:val="16"/>
              </w:rPr>
              <w:t>2</w:t>
            </w:r>
          </w:p>
        </w:tc>
      </w:tr>
      <w:tr w:rsidR="0054751A" w14:paraId="69C6C559" w14:textId="77777777" w:rsidTr="0054751A">
        <w:tc>
          <w:tcPr>
            <w:tcW w:w="976" w:type="dxa"/>
            <w:tcBorders>
              <w:top w:val="nil"/>
              <w:bottom w:val="nil"/>
              <w:right w:val="single" w:sz="4" w:space="0" w:color="auto"/>
            </w:tcBorders>
          </w:tcPr>
          <w:p w14:paraId="687281EF" w14:textId="77777777" w:rsidR="0054751A" w:rsidRPr="0026206C" w:rsidRDefault="0054751A" w:rsidP="0054751A">
            <w:pPr>
              <w:pStyle w:val="citation"/>
              <w:ind w:left="0" w:right="145"/>
              <w:rPr>
                <w:sz w:val="16"/>
                <w:szCs w:val="16"/>
              </w:rPr>
            </w:pPr>
            <w:r w:rsidRPr="0026206C">
              <w:rPr>
                <w:sz w:val="16"/>
                <w:szCs w:val="16"/>
              </w:rPr>
              <w:t>3000</w:t>
            </w:r>
          </w:p>
        </w:tc>
        <w:tc>
          <w:tcPr>
            <w:tcW w:w="567" w:type="dxa"/>
            <w:tcBorders>
              <w:left w:val="single" w:sz="4" w:space="0" w:color="auto"/>
            </w:tcBorders>
          </w:tcPr>
          <w:p w14:paraId="0BEFA56A" w14:textId="77777777" w:rsidR="0054751A" w:rsidRPr="0026206C" w:rsidRDefault="0054751A" w:rsidP="0054751A">
            <w:pPr>
              <w:pStyle w:val="citation"/>
              <w:ind w:left="0" w:right="145"/>
              <w:rPr>
                <w:sz w:val="16"/>
                <w:szCs w:val="16"/>
              </w:rPr>
            </w:pPr>
            <w:r>
              <w:rPr>
                <w:sz w:val="16"/>
                <w:szCs w:val="16"/>
              </w:rPr>
              <w:t>3</w:t>
            </w:r>
          </w:p>
        </w:tc>
        <w:tc>
          <w:tcPr>
            <w:tcW w:w="576" w:type="dxa"/>
          </w:tcPr>
          <w:p w14:paraId="03A98317" w14:textId="77777777" w:rsidR="0054751A" w:rsidRPr="0026206C" w:rsidRDefault="0054751A" w:rsidP="0054751A">
            <w:pPr>
              <w:pStyle w:val="citation"/>
              <w:ind w:left="0" w:right="145"/>
              <w:rPr>
                <w:sz w:val="16"/>
                <w:szCs w:val="16"/>
              </w:rPr>
            </w:pPr>
            <w:r>
              <w:rPr>
                <w:sz w:val="16"/>
                <w:szCs w:val="16"/>
              </w:rPr>
              <w:t>3</w:t>
            </w:r>
          </w:p>
        </w:tc>
        <w:tc>
          <w:tcPr>
            <w:tcW w:w="631" w:type="dxa"/>
            <w:tcBorders>
              <w:right w:val="single" w:sz="4" w:space="0" w:color="auto"/>
            </w:tcBorders>
          </w:tcPr>
          <w:p w14:paraId="1916C9F2" w14:textId="77777777" w:rsidR="0054751A" w:rsidRPr="0026206C" w:rsidRDefault="0054751A" w:rsidP="0054751A">
            <w:pPr>
              <w:pStyle w:val="citation"/>
              <w:ind w:left="0" w:right="145"/>
              <w:rPr>
                <w:sz w:val="16"/>
                <w:szCs w:val="16"/>
              </w:rPr>
            </w:pPr>
            <w:r>
              <w:rPr>
                <w:sz w:val="16"/>
                <w:szCs w:val="16"/>
              </w:rPr>
              <w:t>5</w:t>
            </w:r>
          </w:p>
        </w:tc>
        <w:tc>
          <w:tcPr>
            <w:tcW w:w="649" w:type="dxa"/>
            <w:tcBorders>
              <w:left w:val="single" w:sz="4" w:space="0" w:color="auto"/>
            </w:tcBorders>
          </w:tcPr>
          <w:p w14:paraId="1A4E126C" w14:textId="77777777" w:rsidR="0054751A" w:rsidRPr="0026206C" w:rsidRDefault="0054751A" w:rsidP="0054751A">
            <w:pPr>
              <w:pStyle w:val="citation"/>
              <w:ind w:left="0" w:right="145"/>
              <w:rPr>
                <w:sz w:val="16"/>
                <w:szCs w:val="16"/>
              </w:rPr>
            </w:pPr>
            <w:r>
              <w:rPr>
                <w:sz w:val="16"/>
                <w:szCs w:val="16"/>
              </w:rPr>
              <w:t>3</w:t>
            </w:r>
          </w:p>
        </w:tc>
        <w:tc>
          <w:tcPr>
            <w:tcW w:w="589" w:type="dxa"/>
          </w:tcPr>
          <w:p w14:paraId="402573FA" w14:textId="77777777" w:rsidR="0054751A" w:rsidRPr="0026206C" w:rsidRDefault="0054751A" w:rsidP="0054751A">
            <w:pPr>
              <w:pStyle w:val="citation"/>
              <w:ind w:left="0" w:right="145"/>
              <w:rPr>
                <w:sz w:val="16"/>
                <w:szCs w:val="16"/>
              </w:rPr>
            </w:pPr>
            <w:r>
              <w:rPr>
                <w:sz w:val="16"/>
                <w:szCs w:val="16"/>
              </w:rPr>
              <w:t>4</w:t>
            </w:r>
          </w:p>
        </w:tc>
        <w:tc>
          <w:tcPr>
            <w:tcW w:w="532" w:type="dxa"/>
            <w:tcBorders>
              <w:right w:val="single" w:sz="4" w:space="0" w:color="auto"/>
            </w:tcBorders>
          </w:tcPr>
          <w:p w14:paraId="77DF273E" w14:textId="77777777" w:rsidR="0054751A" w:rsidRPr="0026206C" w:rsidRDefault="0054751A" w:rsidP="0054751A">
            <w:pPr>
              <w:pStyle w:val="citation"/>
              <w:ind w:left="0" w:right="145"/>
              <w:rPr>
                <w:sz w:val="16"/>
                <w:szCs w:val="16"/>
              </w:rPr>
            </w:pPr>
            <w:r>
              <w:rPr>
                <w:sz w:val="16"/>
                <w:szCs w:val="16"/>
              </w:rPr>
              <w:t>6</w:t>
            </w:r>
          </w:p>
        </w:tc>
        <w:tc>
          <w:tcPr>
            <w:tcW w:w="664" w:type="dxa"/>
            <w:tcBorders>
              <w:left w:val="single" w:sz="4" w:space="0" w:color="auto"/>
            </w:tcBorders>
          </w:tcPr>
          <w:p w14:paraId="46F1652B" w14:textId="77777777" w:rsidR="0054751A" w:rsidRPr="0026206C" w:rsidRDefault="0054751A" w:rsidP="0054751A">
            <w:pPr>
              <w:pStyle w:val="citation"/>
              <w:ind w:left="0" w:right="145"/>
              <w:rPr>
                <w:sz w:val="16"/>
                <w:szCs w:val="16"/>
              </w:rPr>
            </w:pPr>
            <w:r>
              <w:rPr>
                <w:sz w:val="16"/>
                <w:szCs w:val="16"/>
              </w:rPr>
              <w:t>3</w:t>
            </w:r>
          </w:p>
        </w:tc>
        <w:tc>
          <w:tcPr>
            <w:tcW w:w="567" w:type="dxa"/>
          </w:tcPr>
          <w:p w14:paraId="35C2EED3" w14:textId="77777777" w:rsidR="0054751A" w:rsidRPr="0026206C" w:rsidRDefault="0054751A" w:rsidP="0054751A">
            <w:pPr>
              <w:pStyle w:val="citation"/>
              <w:ind w:left="0" w:right="145"/>
              <w:rPr>
                <w:sz w:val="16"/>
                <w:szCs w:val="16"/>
              </w:rPr>
            </w:pPr>
            <w:r>
              <w:rPr>
                <w:sz w:val="16"/>
                <w:szCs w:val="16"/>
              </w:rPr>
              <w:t>4</w:t>
            </w:r>
          </w:p>
        </w:tc>
        <w:tc>
          <w:tcPr>
            <w:tcW w:w="612" w:type="dxa"/>
            <w:tcBorders>
              <w:right w:val="single" w:sz="4" w:space="0" w:color="auto"/>
            </w:tcBorders>
          </w:tcPr>
          <w:p w14:paraId="1250E414" w14:textId="77777777" w:rsidR="0054751A" w:rsidRPr="0026206C" w:rsidRDefault="0054751A" w:rsidP="0054751A">
            <w:pPr>
              <w:pStyle w:val="citation"/>
              <w:ind w:left="0" w:right="145"/>
              <w:rPr>
                <w:sz w:val="16"/>
                <w:szCs w:val="16"/>
              </w:rPr>
            </w:pPr>
            <w:r>
              <w:rPr>
                <w:sz w:val="16"/>
                <w:szCs w:val="16"/>
              </w:rPr>
              <w:t>7</w:t>
            </w:r>
          </w:p>
        </w:tc>
        <w:tc>
          <w:tcPr>
            <w:tcW w:w="567" w:type="dxa"/>
            <w:tcBorders>
              <w:left w:val="single" w:sz="4" w:space="0" w:color="auto"/>
            </w:tcBorders>
          </w:tcPr>
          <w:p w14:paraId="444A9B6C" w14:textId="77777777" w:rsidR="0054751A" w:rsidRPr="0026206C" w:rsidRDefault="0054751A" w:rsidP="0054751A">
            <w:pPr>
              <w:pStyle w:val="citation"/>
              <w:ind w:left="0" w:right="145"/>
              <w:rPr>
                <w:sz w:val="16"/>
                <w:szCs w:val="16"/>
              </w:rPr>
            </w:pPr>
            <w:r>
              <w:rPr>
                <w:sz w:val="16"/>
                <w:szCs w:val="16"/>
              </w:rPr>
              <w:t>3</w:t>
            </w:r>
          </w:p>
        </w:tc>
        <w:tc>
          <w:tcPr>
            <w:tcW w:w="567" w:type="dxa"/>
          </w:tcPr>
          <w:p w14:paraId="7D3954FF" w14:textId="77777777" w:rsidR="0054751A" w:rsidRPr="0026206C" w:rsidRDefault="0054751A" w:rsidP="0054751A">
            <w:pPr>
              <w:pStyle w:val="citation"/>
              <w:ind w:left="0" w:right="145"/>
              <w:rPr>
                <w:sz w:val="16"/>
                <w:szCs w:val="16"/>
              </w:rPr>
            </w:pPr>
            <w:r>
              <w:rPr>
                <w:sz w:val="16"/>
                <w:szCs w:val="16"/>
              </w:rPr>
              <w:t>5</w:t>
            </w:r>
          </w:p>
        </w:tc>
        <w:tc>
          <w:tcPr>
            <w:tcW w:w="567" w:type="dxa"/>
          </w:tcPr>
          <w:p w14:paraId="1B7EC7E1" w14:textId="77777777" w:rsidR="0054751A" w:rsidRPr="0026206C" w:rsidRDefault="0054751A" w:rsidP="0054751A">
            <w:pPr>
              <w:pStyle w:val="citation"/>
              <w:tabs>
                <w:tab w:val="left" w:pos="0"/>
              </w:tabs>
              <w:ind w:left="0" w:right="145"/>
              <w:rPr>
                <w:sz w:val="16"/>
                <w:szCs w:val="16"/>
              </w:rPr>
            </w:pPr>
            <w:r>
              <w:rPr>
                <w:sz w:val="16"/>
                <w:szCs w:val="16"/>
              </w:rPr>
              <w:t>7</w:t>
            </w:r>
          </w:p>
        </w:tc>
      </w:tr>
      <w:tr w:rsidR="0054751A" w14:paraId="583225EE" w14:textId="77777777" w:rsidTr="0054751A">
        <w:tc>
          <w:tcPr>
            <w:tcW w:w="976" w:type="dxa"/>
            <w:tcBorders>
              <w:top w:val="nil"/>
              <w:bottom w:val="nil"/>
              <w:right w:val="single" w:sz="4" w:space="0" w:color="auto"/>
            </w:tcBorders>
          </w:tcPr>
          <w:p w14:paraId="098DD388" w14:textId="77777777" w:rsidR="0054751A" w:rsidRPr="0026206C" w:rsidRDefault="0054751A" w:rsidP="0054751A">
            <w:pPr>
              <w:pStyle w:val="citation"/>
              <w:ind w:left="0" w:right="145"/>
              <w:rPr>
                <w:sz w:val="16"/>
                <w:szCs w:val="16"/>
              </w:rPr>
            </w:pPr>
            <w:r w:rsidRPr="0026206C">
              <w:rPr>
                <w:sz w:val="16"/>
                <w:szCs w:val="16"/>
              </w:rPr>
              <w:t>4000</w:t>
            </w:r>
          </w:p>
        </w:tc>
        <w:tc>
          <w:tcPr>
            <w:tcW w:w="567" w:type="dxa"/>
            <w:tcBorders>
              <w:left w:val="single" w:sz="4" w:space="0" w:color="auto"/>
            </w:tcBorders>
          </w:tcPr>
          <w:p w14:paraId="20F8C6F9" w14:textId="77777777" w:rsidR="0054751A" w:rsidRPr="0026206C" w:rsidRDefault="0054751A" w:rsidP="0054751A">
            <w:pPr>
              <w:pStyle w:val="citation"/>
              <w:ind w:left="0" w:right="145"/>
              <w:rPr>
                <w:sz w:val="16"/>
                <w:szCs w:val="16"/>
              </w:rPr>
            </w:pPr>
            <w:r>
              <w:rPr>
                <w:sz w:val="16"/>
                <w:szCs w:val="16"/>
              </w:rPr>
              <w:t>3</w:t>
            </w:r>
          </w:p>
        </w:tc>
        <w:tc>
          <w:tcPr>
            <w:tcW w:w="576" w:type="dxa"/>
          </w:tcPr>
          <w:p w14:paraId="02F60BA3" w14:textId="77777777" w:rsidR="0054751A" w:rsidRPr="0026206C" w:rsidRDefault="0054751A" w:rsidP="0054751A">
            <w:pPr>
              <w:pStyle w:val="citation"/>
              <w:ind w:left="0" w:right="145"/>
              <w:rPr>
                <w:sz w:val="16"/>
                <w:szCs w:val="16"/>
              </w:rPr>
            </w:pPr>
            <w:r>
              <w:rPr>
                <w:sz w:val="16"/>
                <w:szCs w:val="16"/>
              </w:rPr>
              <w:t>5</w:t>
            </w:r>
          </w:p>
        </w:tc>
        <w:tc>
          <w:tcPr>
            <w:tcW w:w="631" w:type="dxa"/>
            <w:tcBorders>
              <w:right w:val="single" w:sz="4" w:space="0" w:color="auto"/>
            </w:tcBorders>
          </w:tcPr>
          <w:p w14:paraId="34292323" w14:textId="77777777" w:rsidR="0054751A" w:rsidRPr="0026206C" w:rsidRDefault="0054751A" w:rsidP="0054751A">
            <w:pPr>
              <w:pStyle w:val="citation"/>
              <w:ind w:left="0" w:right="145"/>
              <w:rPr>
                <w:sz w:val="16"/>
                <w:szCs w:val="16"/>
              </w:rPr>
            </w:pPr>
            <w:r>
              <w:rPr>
                <w:sz w:val="16"/>
                <w:szCs w:val="16"/>
              </w:rPr>
              <w:t>7</w:t>
            </w:r>
          </w:p>
        </w:tc>
        <w:tc>
          <w:tcPr>
            <w:tcW w:w="649" w:type="dxa"/>
            <w:tcBorders>
              <w:left w:val="single" w:sz="4" w:space="0" w:color="auto"/>
            </w:tcBorders>
          </w:tcPr>
          <w:p w14:paraId="2935D507" w14:textId="77777777" w:rsidR="0054751A" w:rsidRPr="0026206C" w:rsidRDefault="0054751A" w:rsidP="0054751A">
            <w:pPr>
              <w:pStyle w:val="citation"/>
              <w:ind w:left="0" w:right="145"/>
              <w:rPr>
                <w:sz w:val="16"/>
                <w:szCs w:val="16"/>
              </w:rPr>
            </w:pPr>
            <w:r>
              <w:rPr>
                <w:sz w:val="16"/>
                <w:szCs w:val="16"/>
              </w:rPr>
              <w:t>4</w:t>
            </w:r>
          </w:p>
        </w:tc>
        <w:tc>
          <w:tcPr>
            <w:tcW w:w="589" w:type="dxa"/>
          </w:tcPr>
          <w:p w14:paraId="113A39D3" w14:textId="77777777" w:rsidR="0054751A" w:rsidRPr="0026206C" w:rsidRDefault="0054751A" w:rsidP="0054751A">
            <w:pPr>
              <w:pStyle w:val="citation"/>
              <w:ind w:left="0" w:right="145"/>
              <w:rPr>
                <w:sz w:val="16"/>
                <w:szCs w:val="16"/>
              </w:rPr>
            </w:pPr>
            <w:r>
              <w:rPr>
                <w:sz w:val="16"/>
                <w:szCs w:val="16"/>
              </w:rPr>
              <w:t>6</w:t>
            </w:r>
          </w:p>
        </w:tc>
        <w:tc>
          <w:tcPr>
            <w:tcW w:w="532" w:type="dxa"/>
            <w:tcBorders>
              <w:right w:val="single" w:sz="4" w:space="0" w:color="auto"/>
            </w:tcBorders>
          </w:tcPr>
          <w:p w14:paraId="01C903AF" w14:textId="77777777" w:rsidR="0054751A" w:rsidRPr="0026206C" w:rsidRDefault="0054751A" w:rsidP="0054751A">
            <w:pPr>
              <w:pStyle w:val="citation"/>
              <w:ind w:left="0" w:right="145"/>
              <w:rPr>
                <w:sz w:val="16"/>
                <w:szCs w:val="16"/>
              </w:rPr>
            </w:pPr>
            <w:r>
              <w:rPr>
                <w:sz w:val="16"/>
                <w:szCs w:val="16"/>
              </w:rPr>
              <w:t>8</w:t>
            </w:r>
          </w:p>
        </w:tc>
        <w:tc>
          <w:tcPr>
            <w:tcW w:w="664" w:type="dxa"/>
            <w:tcBorders>
              <w:left w:val="single" w:sz="4" w:space="0" w:color="auto"/>
            </w:tcBorders>
          </w:tcPr>
          <w:p w14:paraId="179F149D" w14:textId="77777777" w:rsidR="0054751A" w:rsidRPr="0026206C" w:rsidRDefault="0054751A" w:rsidP="0054751A">
            <w:pPr>
              <w:pStyle w:val="citation"/>
              <w:ind w:left="0" w:right="145"/>
              <w:rPr>
                <w:sz w:val="16"/>
                <w:szCs w:val="16"/>
              </w:rPr>
            </w:pPr>
            <w:r>
              <w:rPr>
                <w:sz w:val="16"/>
                <w:szCs w:val="16"/>
              </w:rPr>
              <w:t>5</w:t>
            </w:r>
          </w:p>
        </w:tc>
        <w:tc>
          <w:tcPr>
            <w:tcW w:w="567" w:type="dxa"/>
          </w:tcPr>
          <w:p w14:paraId="4CE67BD1" w14:textId="77777777" w:rsidR="0054751A" w:rsidRPr="0026206C" w:rsidRDefault="0054751A" w:rsidP="0054751A">
            <w:pPr>
              <w:pStyle w:val="citation"/>
              <w:ind w:left="0" w:right="145"/>
              <w:rPr>
                <w:sz w:val="16"/>
                <w:szCs w:val="16"/>
              </w:rPr>
            </w:pPr>
            <w:r>
              <w:rPr>
                <w:sz w:val="16"/>
                <w:szCs w:val="16"/>
              </w:rPr>
              <w:t>6</w:t>
            </w:r>
          </w:p>
        </w:tc>
        <w:tc>
          <w:tcPr>
            <w:tcW w:w="612" w:type="dxa"/>
            <w:tcBorders>
              <w:right w:val="single" w:sz="4" w:space="0" w:color="auto"/>
            </w:tcBorders>
          </w:tcPr>
          <w:p w14:paraId="4128D4EC" w14:textId="77777777" w:rsidR="0054751A" w:rsidRPr="0026206C" w:rsidRDefault="0054751A" w:rsidP="0054751A">
            <w:pPr>
              <w:pStyle w:val="citation"/>
              <w:ind w:left="0" w:right="145"/>
              <w:rPr>
                <w:sz w:val="16"/>
                <w:szCs w:val="16"/>
              </w:rPr>
            </w:pPr>
            <w:r>
              <w:rPr>
                <w:sz w:val="16"/>
                <w:szCs w:val="16"/>
              </w:rPr>
              <w:t>9</w:t>
            </w:r>
          </w:p>
        </w:tc>
        <w:tc>
          <w:tcPr>
            <w:tcW w:w="567" w:type="dxa"/>
            <w:tcBorders>
              <w:left w:val="single" w:sz="4" w:space="0" w:color="auto"/>
            </w:tcBorders>
          </w:tcPr>
          <w:p w14:paraId="567D2CF6" w14:textId="77777777" w:rsidR="0054751A" w:rsidRPr="0026206C" w:rsidRDefault="0054751A" w:rsidP="0054751A">
            <w:pPr>
              <w:pStyle w:val="citation"/>
              <w:ind w:left="0" w:right="145"/>
              <w:rPr>
                <w:sz w:val="16"/>
                <w:szCs w:val="16"/>
              </w:rPr>
            </w:pPr>
            <w:r>
              <w:rPr>
                <w:sz w:val="16"/>
                <w:szCs w:val="16"/>
              </w:rPr>
              <w:t>5</w:t>
            </w:r>
          </w:p>
        </w:tc>
        <w:tc>
          <w:tcPr>
            <w:tcW w:w="567" w:type="dxa"/>
          </w:tcPr>
          <w:p w14:paraId="1B32C14C" w14:textId="77777777" w:rsidR="0054751A" w:rsidRPr="0026206C" w:rsidRDefault="0054751A" w:rsidP="0054751A">
            <w:pPr>
              <w:pStyle w:val="citation"/>
              <w:ind w:left="0" w:right="145"/>
              <w:rPr>
                <w:sz w:val="16"/>
                <w:szCs w:val="16"/>
              </w:rPr>
            </w:pPr>
            <w:r>
              <w:rPr>
                <w:sz w:val="16"/>
                <w:szCs w:val="16"/>
              </w:rPr>
              <w:t>7</w:t>
            </w:r>
          </w:p>
        </w:tc>
        <w:tc>
          <w:tcPr>
            <w:tcW w:w="567" w:type="dxa"/>
          </w:tcPr>
          <w:p w14:paraId="052E319E" w14:textId="77777777" w:rsidR="0054751A" w:rsidRPr="0026206C" w:rsidRDefault="0054751A" w:rsidP="0054751A">
            <w:pPr>
              <w:pStyle w:val="citation"/>
              <w:tabs>
                <w:tab w:val="left" w:pos="0"/>
              </w:tabs>
              <w:ind w:left="0" w:right="145"/>
              <w:rPr>
                <w:sz w:val="16"/>
                <w:szCs w:val="16"/>
              </w:rPr>
            </w:pPr>
            <w:r>
              <w:rPr>
                <w:sz w:val="16"/>
                <w:szCs w:val="16"/>
              </w:rPr>
              <w:t>9</w:t>
            </w:r>
          </w:p>
        </w:tc>
      </w:tr>
      <w:tr w:rsidR="0054751A" w14:paraId="6AEE4B04" w14:textId="77777777" w:rsidTr="0054751A">
        <w:tc>
          <w:tcPr>
            <w:tcW w:w="976" w:type="dxa"/>
            <w:tcBorders>
              <w:top w:val="nil"/>
              <w:bottom w:val="single" w:sz="4" w:space="0" w:color="auto"/>
              <w:right w:val="single" w:sz="4" w:space="0" w:color="auto"/>
            </w:tcBorders>
          </w:tcPr>
          <w:p w14:paraId="16E609C2" w14:textId="77777777" w:rsidR="0054751A" w:rsidRPr="0026206C" w:rsidRDefault="0054751A" w:rsidP="0054751A">
            <w:pPr>
              <w:pStyle w:val="citation"/>
              <w:ind w:left="0" w:right="145"/>
              <w:rPr>
                <w:sz w:val="16"/>
                <w:szCs w:val="16"/>
              </w:rPr>
            </w:pPr>
            <w:r w:rsidRPr="0026206C">
              <w:rPr>
                <w:sz w:val="16"/>
                <w:szCs w:val="16"/>
              </w:rPr>
              <w:t>5000</w:t>
            </w:r>
          </w:p>
        </w:tc>
        <w:tc>
          <w:tcPr>
            <w:tcW w:w="567" w:type="dxa"/>
            <w:tcBorders>
              <w:left w:val="single" w:sz="4" w:space="0" w:color="auto"/>
              <w:bottom w:val="single" w:sz="4" w:space="0" w:color="auto"/>
            </w:tcBorders>
          </w:tcPr>
          <w:p w14:paraId="12111957" w14:textId="77777777" w:rsidR="0054751A" w:rsidRPr="0026206C" w:rsidRDefault="0054751A" w:rsidP="0054751A">
            <w:pPr>
              <w:pStyle w:val="citation"/>
              <w:ind w:left="0" w:right="145"/>
              <w:rPr>
                <w:sz w:val="16"/>
                <w:szCs w:val="16"/>
              </w:rPr>
            </w:pPr>
            <w:r>
              <w:rPr>
                <w:sz w:val="16"/>
                <w:szCs w:val="16"/>
              </w:rPr>
              <w:t>1</w:t>
            </w:r>
          </w:p>
        </w:tc>
        <w:tc>
          <w:tcPr>
            <w:tcW w:w="576" w:type="dxa"/>
            <w:tcBorders>
              <w:bottom w:val="single" w:sz="4" w:space="0" w:color="auto"/>
            </w:tcBorders>
          </w:tcPr>
          <w:p w14:paraId="3505EB7C" w14:textId="77777777" w:rsidR="0054751A" w:rsidRPr="0026206C" w:rsidRDefault="0054751A" w:rsidP="0054751A">
            <w:pPr>
              <w:pStyle w:val="citation"/>
              <w:ind w:left="0" w:right="145"/>
              <w:rPr>
                <w:sz w:val="16"/>
                <w:szCs w:val="16"/>
              </w:rPr>
            </w:pPr>
            <w:r>
              <w:rPr>
                <w:sz w:val="16"/>
                <w:szCs w:val="16"/>
              </w:rPr>
              <w:t>3</w:t>
            </w:r>
          </w:p>
        </w:tc>
        <w:tc>
          <w:tcPr>
            <w:tcW w:w="631" w:type="dxa"/>
            <w:tcBorders>
              <w:bottom w:val="single" w:sz="4" w:space="0" w:color="auto"/>
              <w:right w:val="single" w:sz="4" w:space="0" w:color="auto"/>
            </w:tcBorders>
          </w:tcPr>
          <w:p w14:paraId="3F27B576" w14:textId="77777777" w:rsidR="0054751A" w:rsidRPr="0026206C" w:rsidRDefault="0054751A" w:rsidP="0054751A">
            <w:pPr>
              <w:pStyle w:val="citation"/>
              <w:ind w:left="0" w:right="145"/>
              <w:rPr>
                <w:sz w:val="16"/>
                <w:szCs w:val="16"/>
              </w:rPr>
            </w:pPr>
            <w:r>
              <w:rPr>
                <w:sz w:val="16"/>
                <w:szCs w:val="16"/>
              </w:rPr>
              <w:t>4</w:t>
            </w:r>
          </w:p>
        </w:tc>
        <w:tc>
          <w:tcPr>
            <w:tcW w:w="649" w:type="dxa"/>
            <w:tcBorders>
              <w:left w:val="single" w:sz="4" w:space="0" w:color="auto"/>
              <w:bottom w:val="single" w:sz="4" w:space="0" w:color="auto"/>
            </w:tcBorders>
          </w:tcPr>
          <w:p w14:paraId="7169394B" w14:textId="77777777" w:rsidR="0054751A" w:rsidRPr="0026206C" w:rsidRDefault="0054751A" w:rsidP="0054751A">
            <w:pPr>
              <w:pStyle w:val="citation"/>
              <w:ind w:left="0" w:right="145"/>
              <w:rPr>
                <w:sz w:val="16"/>
                <w:szCs w:val="16"/>
              </w:rPr>
            </w:pPr>
            <w:r>
              <w:rPr>
                <w:sz w:val="16"/>
                <w:szCs w:val="16"/>
              </w:rPr>
              <w:t>2</w:t>
            </w:r>
          </w:p>
        </w:tc>
        <w:tc>
          <w:tcPr>
            <w:tcW w:w="589" w:type="dxa"/>
            <w:tcBorders>
              <w:bottom w:val="single" w:sz="4" w:space="0" w:color="auto"/>
            </w:tcBorders>
          </w:tcPr>
          <w:p w14:paraId="6CC7F2BF" w14:textId="77777777" w:rsidR="0054751A" w:rsidRPr="0026206C" w:rsidRDefault="0054751A" w:rsidP="0054751A">
            <w:pPr>
              <w:pStyle w:val="citation"/>
              <w:ind w:left="0" w:right="145"/>
              <w:rPr>
                <w:sz w:val="16"/>
                <w:szCs w:val="16"/>
              </w:rPr>
            </w:pPr>
            <w:r>
              <w:rPr>
                <w:sz w:val="16"/>
                <w:szCs w:val="16"/>
              </w:rPr>
              <w:t>3</w:t>
            </w:r>
          </w:p>
        </w:tc>
        <w:tc>
          <w:tcPr>
            <w:tcW w:w="532" w:type="dxa"/>
            <w:tcBorders>
              <w:bottom w:val="single" w:sz="4" w:space="0" w:color="auto"/>
              <w:right w:val="single" w:sz="4" w:space="0" w:color="auto"/>
            </w:tcBorders>
          </w:tcPr>
          <w:p w14:paraId="4DB87702" w14:textId="77777777" w:rsidR="0054751A" w:rsidRPr="0026206C" w:rsidRDefault="0054751A" w:rsidP="0054751A">
            <w:pPr>
              <w:pStyle w:val="citation"/>
              <w:ind w:left="0" w:right="145"/>
              <w:rPr>
                <w:sz w:val="16"/>
                <w:szCs w:val="16"/>
              </w:rPr>
            </w:pPr>
            <w:r>
              <w:rPr>
                <w:sz w:val="16"/>
                <w:szCs w:val="16"/>
              </w:rPr>
              <w:t>5</w:t>
            </w:r>
          </w:p>
        </w:tc>
        <w:tc>
          <w:tcPr>
            <w:tcW w:w="664" w:type="dxa"/>
            <w:tcBorders>
              <w:left w:val="single" w:sz="4" w:space="0" w:color="auto"/>
              <w:bottom w:val="single" w:sz="4" w:space="0" w:color="auto"/>
            </w:tcBorders>
          </w:tcPr>
          <w:p w14:paraId="38BA57AD" w14:textId="77777777" w:rsidR="0054751A" w:rsidRPr="0026206C" w:rsidRDefault="0054751A" w:rsidP="0054751A">
            <w:pPr>
              <w:pStyle w:val="citation"/>
              <w:ind w:left="0" w:right="145"/>
              <w:rPr>
                <w:sz w:val="16"/>
                <w:szCs w:val="16"/>
              </w:rPr>
            </w:pPr>
            <w:r>
              <w:rPr>
                <w:sz w:val="16"/>
                <w:szCs w:val="16"/>
              </w:rPr>
              <w:t>2</w:t>
            </w:r>
          </w:p>
        </w:tc>
        <w:tc>
          <w:tcPr>
            <w:tcW w:w="567" w:type="dxa"/>
            <w:tcBorders>
              <w:bottom w:val="single" w:sz="4" w:space="0" w:color="auto"/>
            </w:tcBorders>
          </w:tcPr>
          <w:p w14:paraId="5FC25A6B" w14:textId="77777777" w:rsidR="0054751A" w:rsidRPr="0026206C" w:rsidRDefault="0054751A" w:rsidP="0054751A">
            <w:pPr>
              <w:pStyle w:val="citation"/>
              <w:ind w:left="0" w:right="145"/>
              <w:rPr>
                <w:sz w:val="16"/>
                <w:szCs w:val="16"/>
              </w:rPr>
            </w:pPr>
            <w:r>
              <w:rPr>
                <w:sz w:val="16"/>
                <w:szCs w:val="16"/>
              </w:rPr>
              <w:t>3</w:t>
            </w:r>
          </w:p>
        </w:tc>
        <w:tc>
          <w:tcPr>
            <w:tcW w:w="612" w:type="dxa"/>
            <w:tcBorders>
              <w:bottom w:val="single" w:sz="4" w:space="0" w:color="auto"/>
              <w:right w:val="single" w:sz="4" w:space="0" w:color="auto"/>
            </w:tcBorders>
          </w:tcPr>
          <w:p w14:paraId="3E139B28" w14:textId="77777777" w:rsidR="0054751A" w:rsidRPr="0026206C" w:rsidRDefault="0054751A" w:rsidP="0054751A">
            <w:pPr>
              <w:pStyle w:val="citation"/>
              <w:ind w:left="0" w:right="145"/>
              <w:rPr>
                <w:sz w:val="16"/>
                <w:szCs w:val="16"/>
              </w:rPr>
            </w:pPr>
            <w:r>
              <w:rPr>
                <w:sz w:val="16"/>
                <w:szCs w:val="16"/>
              </w:rPr>
              <w:t>6</w:t>
            </w:r>
          </w:p>
        </w:tc>
        <w:tc>
          <w:tcPr>
            <w:tcW w:w="567" w:type="dxa"/>
            <w:tcBorders>
              <w:left w:val="single" w:sz="4" w:space="0" w:color="auto"/>
              <w:bottom w:val="single" w:sz="4" w:space="0" w:color="auto"/>
            </w:tcBorders>
          </w:tcPr>
          <w:p w14:paraId="113410AC" w14:textId="77777777" w:rsidR="0054751A" w:rsidRPr="0026206C" w:rsidRDefault="0054751A" w:rsidP="0054751A">
            <w:pPr>
              <w:pStyle w:val="citation"/>
              <w:ind w:left="0" w:right="145"/>
              <w:rPr>
                <w:sz w:val="16"/>
                <w:szCs w:val="16"/>
              </w:rPr>
            </w:pPr>
            <w:r>
              <w:rPr>
                <w:sz w:val="16"/>
                <w:szCs w:val="16"/>
              </w:rPr>
              <w:t>2</w:t>
            </w:r>
          </w:p>
        </w:tc>
        <w:tc>
          <w:tcPr>
            <w:tcW w:w="567" w:type="dxa"/>
            <w:tcBorders>
              <w:bottom w:val="single" w:sz="4" w:space="0" w:color="auto"/>
            </w:tcBorders>
          </w:tcPr>
          <w:p w14:paraId="1570405F" w14:textId="77777777" w:rsidR="0054751A" w:rsidRPr="0026206C" w:rsidRDefault="0054751A" w:rsidP="0054751A">
            <w:pPr>
              <w:pStyle w:val="citation"/>
              <w:ind w:left="0" w:right="145"/>
              <w:rPr>
                <w:sz w:val="16"/>
                <w:szCs w:val="16"/>
              </w:rPr>
            </w:pPr>
            <w:r>
              <w:rPr>
                <w:sz w:val="16"/>
                <w:szCs w:val="16"/>
              </w:rPr>
              <w:t>4</w:t>
            </w:r>
          </w:p>
        </w:tc>
        <w:tc>
          <w:tcPr>
            <w:tcW w:w="567" w:type="dxa"/>
            <w:tcBorders>
              <w:bottom w:val="single" w:sz="4" w:space="0" w:color="auto"/>
            </w:tcBorders>
          </w:tcPr>
          <w:p w14:paraId="0E624499" w14:textId="77777777" w:rsidR="0054751A" w:rsidRPr="0026206C" w:rsidRDefault="0054751A" w:rsidP="0054751A">
            <w:pPr>
              <w:pStyle w:val="citation"/>
              <w:tabs>
                <w:tab w:val="left" w:pos="0"/>
              </w:tabs>
              <w:ind w:left="0" w:right="145"/>
              <w:rPr>
                <w:sz w:val="16"/>
                <w:szCs w:val="16"/>
              </w:rPr>
            </w:pPr>
            <w:r>
              <w:rPr>
                <w:sz w:val="16"/>
                <w:szCs w:val="16"/>
              </w:rPr>
              <w:t>6</w:t>
            </w:r>
          </w:p>
        </w:tc>
      </w:tr>
    </w:tbl>
    <w:p w14:paraId="52C0C373" w14:textId="77777777" w:rsidR="0054751A" w:rsidRPr="007D683F" w:rsidRDefault="0054751A" w:rsidP="0054751A">
      <w:pPr>
        <w:pStyle w:val="citation"/>
        <w:rPr>
          <w:lang w:val="en-CA"/>
        </w:rPr>
      </w:pPr>
      <w:r w:rsidRPr="007D683F">
        <w:rPr>
          <w:lang w:val="en-CA"/>
        </w:rPr>
        <w:lastRenderedPageBreak/>
        <w:t>Reprinted with permission from DHHS (NIOSH) Publication Number 98-126.</w:t>
      </w:r>
    </w:p>
    <w:p w14:paraId="4816FB4D" w14:textId="77777777" w:rsidR="0054751A" w:rsidRPr="007D683F" w:rsidRDefault="0054751A" w:rsidP="0054751A">
      <w:pPr>
        <w:pStyle w:val="citation"/>
        <w:ind w:firstLine="696"/>
        <w:rPr>
          <w:lang w:val="en-CA"/>
        </w:rPr>
      </w:pPr>
      <w:r w:rsidRPr="007D683F">
        <w:rPr>
          <w:b/>
          <w:lang w:val="en-CA"/>
        </w:rPr>
        <w:t>Table 1</w:t>
      </w:r>
      <w:r w:rsidRPr="007D683F">
        <w:rPr>
          <w:lang w:val="en-CA"/>
        </w:rPr>
        <w:t>. Noise induced-hearing loss from exposure to 85 dBA.</w:t>
      </w:r>
    </w:p>
    <w:p w14:paraId="34B3A1B9" w14:textId="77777777" w:rsidR="0054751A" w:rsidRPr="007D683F" w:rsidRDefault="0054751A" w:rsidP="0054751A">
      <w:pPr>
        <w:pStyle w:val="citation"/>
        <w:rPr>
          <w:lang w:val="en-CA"/>
        </w:rPr>
      </w:pPr>
    </w:p>
    <w:p w14:paraId="6A500D7F" w14:textId="77777777" w:rsidR="0054751A" w:rsidRDefault="0054751A" w:rsidP="0054751A">
      <w:pPr>
        <w:pStyle w:val="citation"/>
      </w:pPr>
      <w:r>
        <w:t xml:space="preserve">Basé sur ISO 1999, la perte moyenne attribuable au bruit à un niveau de 85 </w:t>
      </w:r>
      <w:proofErr w:type="spellStart"/>
      <w:r>
        <w:t>dBA</w:t>
      </w:r>
      <w:proofErr w:type="spellEnd"/>
      <w:r>
        <w:t xml:space="preserve"> pendant 40 ans est de l’ordre de 2 dB. À 84 </w:t>
      </w:r>
      <w:proofErr w:type="spellStart"/>
      <w:r>
        <w:t>dBA</w:t>
      </w:r>
      <w:proofErr w:type="spellEnd"/>
      <w:r>
        <w:t xml:space="preserve">, l’atteinte attribuable au bruit est inférieure à 2 dB. La relation avec le facteur de presbyacousie, utilisant ISO 7029 et ISO 1999 pour des sujets exposés à 85 </w:t>
      </w:r>
      <w:proofErr w:type="spellStart"/>
      <w:r>
        <w:t>dBA</w:t>
      </w:r>
      <w:proofErr w:type="spellEnd"/>
      <w:r>
        <w:t xml:space="preserve"> à l’âge de 58 ans, le pourcentage de perte attribuable à un facteur de presbyacousie est de l’ordre de 90%, tel que noté dans le graphique sous-jacent.</w:t>
      </w:r>
    </w:p>
    <w:p w14:paraId="1C22B26E" w14:textId="77777777" w:rsidR="0054751A" w:rsidRDefault="0054751A" w:rsidP="0054751A">
      <w:pPr>
        <w:pStyle w:val="citation"/>
      </w:pPr>
    </w:p>
    <w:p w14:paraId="7A23F203" w14:textId="77777777" w:rsidR="0054751A" w:rsidRDefault="0054751A" w:rsidP="0054751A">
      <w:pPr>
        <w:pStyle w:val="citation"/>
      </w:pPr>
      <w:r>
        <w:t>[</w:t>
      </w:r>
      <w:proofErr w:type="gramStart"/>
      <w:r>
        <w:t>note</w:t>
      </w:r>
      <w:proofErr w:type="gramEnd"/>
      <w:r>
        <w:t xml:space="preserve"> omise]</w:t>
      </w:r>
    </w:p>
    <w:p w14:paraId="500844F1" w14:textId="77777777" w:rsidR="0054751A" w:rsidRDefault="0054751A" w:rsidP="0054751A">
      <w:pPr>
        <w:pStyle w:val="citation"/>
        <w:tabs>
          <w:tab w:val="left" w:pos="993"/>
        </w:tabs>
      </w:pPr>
    </w:p>
    <w:p w14:paraId="6849A1F2" w14:textId="77777777" w:rsidR="00445EDF" w:rsidRDefault="00445EDF" w:rsidP="0054751A">
      <w:pPr>
        <w:pStyle w:val="citation"/>
        <w:tabs>
          <w:tab w:val="left" w:pos="993"/>
        </w:tabs>
      </w:pPr>
    </w:p>
    <w:p w14:paraId="6BD6BD4B" w14:textId="77777777" w:rsidR="0038040C" w:rsidRDefault="0038040C" w:rsidP="0038040C">
      <w:pPr>
        <w:pStyle w:val="corpsdedcision"/>
        <w:tabs>
          <w:tab w:val="clear" w:pos="360"/>
          <w:tab w:val="num" w:pos="720"/>
        </w:tabs>
      </w:pPr>
      <w:r>
        <w:t xml:space="preserve">Il faut comprendre de ce tableau qu’il ne s’agit pas de seuils auditifs tels qu’on les retrouve sur un audiogramme. Ce sont des chiffres représentant la perte de décibels attribuable à l’exposition à un bruit de 85 </w:t>
      </w:r>
      <w:proofErr w:type="spellStart"/>
      <w:r>
        <w:t>dBA</w:t>
      </w:r>
      <w:proofErr w:type="spellEnd"/>
      <w:r>
        <w:t xml:space="preserve"> pendant un nombre d’années défini, selon les 10</w:t>
      </w:r>
      <w:r w:rsidRPr="00AA7E32">
        <w:rPr>
          <w:vertAlign w:val="superscript"/>
        </w:rPr>
        <w:t>e</w:t>
      </w:r>
      <w:r>
        <w:t>, 50</w:t>
      </w:r>
      <w:r w:rsidRPr="00AA7E32">
        <w:rPr>
          <w:vertAlign w:val="superscript"/>
        </w:rPr>
        <w:t>e</w:t>
      </w:r>
      <w:r>
        <w:t xml:space="preserve"> et 90</w:t>
      </w:r>
      <w:r w:rsidR="00F77435" w:rsidRPr="00F77435">
        <w:rPr>
          <w:vertAlign w:val="superscript"/>
        </w:rPr>
        <w:t>e</w:t>
      </w:r>
      <w:r>
        <w:t xml:space="preserve"> percentiles de la population d’individus exposés.</w:t>
      </w:r>
    </w:p>
    <w:p w14:paraId="2828D42B" w14:textId="77777777" w:rsidR="0038040C" w:rsidRDefault="0038040C" w:rsidP="0038040C">
      <w:pPr>
        <w:pStyle w:val="corpsdedcision"/>
        <w:tabs>
          <w:tab w:val="clear" w:pos="360"/>
          <w:tab w:val="num" w:pos="720"/>
        </w:tabs>
      </w:pPr>
      <w:r>
        <w:t xml:space="preserve">Puis, dans son témoignage, le docteur Bertrand </w:t>
      </w:r>
      <w:r w:rsidR="00A8366D">
        <w:t>réfère à une publication de l’auteur Schuknecht qu’il a déposée dans le cahier d’autorités (</w:t>
      </w:r>
      <w:r w:rsidR="00AC295F">
        <w:t xml:space="preserve">onglet 4 - </w:t>
      </w:r>
      <w:r w:rsidR="00A8366D">
        <w:t>E-49), intitulé</w:t>
      </w:r>
      <w:r w:rsidR="00AC295F">
        <w:t>e</w:t>
      </w:r>
      <w:r w:rsidR="00A8366D">
        <w:t xml:space="preserve"> </w:t>
      </w:r>
      <w:proofErr w:type="spellStart"/>
      <w:r w:rsidR="00A8366D">
        <w:rPr>
          <w:i/>
        </w:rPr>
        <w:t>Pathology</w:t>
      </w:r>
      <w:proofErr w:type="spellEnd"/>
      <w:r w:rsidR="00A8366D">
        <w:rPr>
          <w:i/>
        </w:rPr>
        <w:t xml:space="preserve"> of th</w:t>
      </w:r>
      <w:r w:rsidR="00A8366D" w:rsidRPr="00A8366D">
        <w:rPr>
          <w:i/>
        </w:rPr>
        <w:t xml:space="preserve">e </w:t>
      </w:r>
      <w:proofErr w:type="spellStart"/>
      <w:r w:rsidR="00A8366D" w:rsidRPr="00A8366D">
        <w:rPr>
          <w:i/>
        </w:rPr>
        <w:t>ear</w:t>
      </w:r>
      <w:proofErr w:type="spellEnd"/>
      <w:r w:rsidR="00A8366D">
        <w:t xml:space="preserve"> et publié en 1974. Il </w:t>
      </w:r>
      <w:r>
        <w:t xml:space="preserve">explique qu’il existe quatre modalités de presbyacousie, la plus fréquente étant la forme neurosensorielle par atteinte au niveau de l’organe de Corti, des cellules ciliées externes et internes. Le problème est que dans la surdité professionnelle, l’atteinte auditive se produit également au niveau des cellules ciliées. </w:t>
      </w:r>
    </w:p>
    <w:p w14:paraId="41603B14" w14:textId="77777777" w:rsidR="0038040C" w:rsidRDefault="0038040C" w:rsidP="0038040C">
      <w:pPr>
        <w:pStyle w:val="corpsdedcision"/>
        <w:tabs>
          <w:tab w:val="clear" w:pos="360"/>
          <w:tab w:val="num" w:pos="720"/>
        </w:tabs>
      </w:pPr>
      <w:r>
        <w:t>Il y a donc un diagnostic différentiel à faire à savoir s’il y a une ou deux causes à la perte auditive. C’est là que le niveau d’exposition devient important, à savoir si la personne a été exposée à un niveau de bruit suffisant pour causer une atteinte auditive à ces cellules-là.</w:t>
      </w:r>
    </w:p>
    <w:p w14:paraId="23C756B8" w14:textId="77777777" w:rsidR="0038040C" w:rsidRDefault="0038040C" w:rsidP="0038040C">
      <w:pPr>
        <w:pStyle w:val="corpsdedcision"/>
        <w:tabs>
          <w:tab w:val="clear" w:pos="360"/>
          <w:tab w:val="num" w:pos="720"/>
        </w:tabs>
      </w:pPr>
      <w:r w:rsidRPr="00357D09">
        <w:t>Les atteintes neurosensorielles sont principalement dans le tour basal de la cochlée en raison du fait que l’artère qui irrigue cette région est très petite, fait un grand trajet avant de s’y rendre et est terminale</w:t>
      </w:r>
      <w:r w:rsidR="00250FFC">
        <w:t>,</w:t>
      </w:r>
      <w:r w:rsidRPr="00357D09">
        <w:t xml:space="preserve"> c’est-à-dire sans collatérale. Si elle se bouche, il y a une diminution importante d’apport sanguin et cela amène une dégénérescence cellulaire et la presbyacousie. C’est le genre d’atteinte </w:t>
      </w:r>
      <w:r w:rsidR="00250FFC">
        <w:t>que l’on retrouve</w:t>
      </w:r>
      <w:r w:rsidRPr="00357D09">
        <w:t xml:space="preserve"> chez le travailleur</w:t>
      </w:r>
      <w:r w:rsidR="00250FFC">
        <w:t>,</w:t>
      </w:r>
      <w:r w:rsidR="0057126C">
        <w:t xml:space="preserve"> selon lui.</w:t>
      </w:r>
    </w:p>
    <w:p w14:paraId="31568C43" w14:textId="77777777" w:rsidR="0038040C" w:rsidRDefault="0038040C" w:rsidP="0038040C">
      <w:pPr>
        <w:pStyle w:val="corpsdedcision"/>
        <w:tabs>
          <w:tab w:val="clear" w:pos="360"/>
          <w:tab w:val="num" w:pos="720"/>
        </w:tabs>
      </w:pPr>
      <w:r>
        <w:t xml:space="preserve">L’autre modalité de presbyacousie est une atteinte centrale (cérébrale) en plus de l’atteinte périphérique. </w:t>
      </w:r>
    </w:p>
    <w:p w14:paraId="604FC1C0" w14:textId="77777777" w:rsidR="0038040C" w:rsidRDefault="0038040C" w:rsidP="0038040C">
      <w:pPr>
        <w:pStyle w:val="corpsdedcision"/>
        <w:tabs>
          <w:tab w:val="clear" w:pos="360"/>
          <w:tab w:val="num" w:pos="720"/>
        </w:tabs>
      </w:pPr>
      <w:r>
        <w:t xml:space="preserve">Puis, le docteur Bertrand explique une troisième modalité mettant en cause une partie de l’oreille interne appelée la strie vasculaire. Il s’agit d’un réseau hautement vascularisé. Il précise qu’au niveau du dernier tour et demi de la cochlée correspondant aux basses fréquences, la vascularisation se fait par une artère centrale beaucoup plus directe qui a plus de fibres musculaires lisses mais qui est également terminale. Il souligne qu’il est bien reconnu que dans les diminutions importantes de vascularisation, il y a un </w:t>
      </w:r>
      <w:r w:rsidRPr="00250FFC">
        <w:rPr>
          <w:i/>
        </w:rPr>
        <w:t>pattern</w:t>
      </w:r>
      <w:r>
        <w:t xml:space="preserve"> typique de perte auditive avec prédominance dans les basses fréquences. </w:t>
      </w:r>
      <w:r>
        <w:lastRenderedPageBreak/>
        <w:t xml:space="preserve">Il ajoute que depuis que cet aspect est pris en compte, il est possible d’observer régulièrement une pathologie cardiaque lorsqu’il y a une atteinte des basses fréquences. </w:t>
      </w:r>
    </w:p>
    <w:p w14:paraId="6EC8D3AA" w14:textId="77777777" w:rsidR="0038040C" w:rsidRDefault="0038040C" w:rsidP="0038040C">
      <w:pPr>
        <w:pStyle w:val="corpsdedcision"/>
        <w:tabs>
          <w:tab w:val="clear" w:pos="360"/>
          <w:tab w:val="num" w:pos="720"/>
        </w:tabs>
      </w:pPr>
      <w:r w:rsidRPr="00357D09">
        <w:t>Toutefois, ce n’est pas le cas du travailleur. Compte tenu de la forme de la courbe de son audiogramme avec atteinte dans les hautes fréquences, il a probablement davantage une atteinte du tour basal, mais cela ne veut pas dire qu’il n’a pas de pathologie cardiaque</w:t>
      </w:r>
      <w:r>
        <w:t>. Cependant, insiste le docteur Bertrand, si l’on dépiste une atteinte dans les basses fréquences chez des sujets de plus de 45 à 50 ans, il faut suspecter une pathologie cardiaque.</w:t>
      </w:r>
    </w:p>
    <w:p w14:paraId="296D16B2" w14:textId="77777777" w:rsidR="0038040C" w:rsidRDefault="0038040C" w:rsidP="0038040C">
      <w:pPr>
        <w:pStyle w:val="corpsdedcision"/>
        <w:tabs>
          <w:tab w:val="clear" w:pos="360"/>
          <w:tab w:val="num" w:pos="720"/>
        </w:tabs>
      </w:pPr>
      <w:r>
        <w:t>Puis il décrit sommairement la quatrième modalité de presbyacousie correspondant au durcissement de la membrane basilaire, mais on ne note pas cela chez le travailleur.</w:t>
      </w:r>
    </w:p>
    <w:p w14:paraId="590C80C1" w14:textId="77777777" w:rsidR="0038040C" w:rsidRDefault="0038040C" w:rsidP="0038040C">
      <w:pPr>
        <w:pStyle w:val="corpsdedcision"/>
        <w:tabs>
          <w:tab w:val="clear" w:pos="360"/>
          <w:tab w:val="num" w:pos="720"/>
        </w:tabs>
      </w:pPr>
      <w:r w:rsidRPr="00357D09">
        <w:t>De l’ensemble de ces informations, ce qui l’amène à conclure que le travailleur présente une presbyacousie c’est l’allure de l’audiogramme</w:t>
      </w:r>
      <w:r>
        <w:t xml:space="preserve">. Dans la surdité professionnelle, il y a une remontée importante à la fréquence de 8000 Hz, mais chez le travailleur on n’en voit pas. Chez les sujets les plus âgés, il se peut que la perte de 8000 Hz vienne rejoindre celle de 6000 Hz, mais le travailleur, à 57 ans, est </w:t>
      </w:r>
      <w:r w:rsidR="00250FFC">
        <w:t xml:space="preserve">plutôt </w:t>
      </w:r>
      <w:r>
        <w:t>jeune pour cela, bien que ce soit possible.</w:t>
      </w:r>
    </w:p>
    <w:p w14:paraId="4FB46100" w14:textId="77777777" w:rsidR="0038040C" w:rsidRDefault="0038040C" w:rsidP="0038040C">
      <w:pPr>
        <w:pStyle w:val="corpsdedcision"/>
      </w:pPr>
      <w:r>
        <w:t>Quant aux caractéristiques de la surdité professionnelle, le docteur Bertrand explique qu’elle est toujours neurosensorielle, ce qu’il y a chez le travailleur. Elle est égale et symétrique aux deux oreilles.</w:t>
      </w:r>
      <w:r w:rsidRPr="005B608A">
        <w:t xml:space="preserve"> </w:t>
      </w:r>
      <w:r>
        <w:t xml:space="preserve">Dans le cas du travailleur, il considère que les audiogrammes ne démontrent pas de différence significative entre les deux oreilles et que l’atteinte </w:t>
      </w:r>
      <w:r w:rsidR="00ED57D8">
        <w:t xml:space="preserve">doit </w:t>
      </w:r>
      <w:r w:rsidR="00250FFC">
        <w:t xml:space="preserve">être considérée </w:t>
      </w:r>
      <w:r>
        <w:t>symétrique.</w:t>
      </w:r>
    </w:p>
    <w:p w14:paraId="55FA24A0" w14:textId="77777777" w:rsidR="0038040C" w:rsidRDefault="0038040C" w:rsidP="0038040C">
      <w:pPr>
        <w:pStyle w:val="corpsdedcision"/>
        <w:tabs>
          <w:tab w:val="clear" w:pos="360"/>
          <w:tab w:val="num" w:pos="720"/>
        </w:tabs>
      </w:pPr>
      <w:r>
        <w:t>Par ailleurs, l’atteinte auditive débute par une encoche, tel</w:t>
      </w:r>
      <w:r w:rsidR="00250FFC">
        <w:t>le</w:t>
      </w:r>
      <w:r>
        <w:t xml:space="preserve"> que décrit</w:t>
      </w:r>
      <w:r w:rsidR="00250FFC">
        <w:t>e</w:t>
      </w:r>
      <w:r>
        <w:t xml:space="preserve"> dans le document de </w:t>
      </w:r>
      <w:r w:rsidRPr="00F143CF">
        <w:t>l’</w:t>
      </w:r>
      <w:r w:rsidRPr="00F143CF">
        <w:rPr>
          <w:i/>
        </w:rPr>
        <w:t xml:space="preserve">American College of </w:t>
      </w:r>
      <w:proofErr w:type="spellStart"/>
      <w:r w:rsidRPr="00F143CF">
        <w:rPr>
          <w:i/>
        </w:rPr>
        <w:t>Occupational</w:t>
      </w:r>
      <w:proofErr w:type="spellEnd"/>
      <w:r w:rsidRPr="00F143CF">
        <w:rPr>
          <w:i/>
        </w:rPr>
        <w:t xml:space="preserve"> and </w:t>
      </w:r>
      <w:proofErr w:type="spellStart"/>
      <w:r w:rsidRPr="00F143CF">
        <w:rPr>
          <w:i/>
        </w:rPr>
        <w:t>Environmental</w:t>
      </w:r>
      <w:proofErr w:type="spellEnd"/>
      <w:r w:rsidRPr="00F143CF">
        <w:rPr>
          <w:i/>
        </w:rPr>
        <w:t xml:space="preserve"> </w:t>
      </w:r>
      <w:proofErr w:type="spellStart"/>
      <w:r w:rsidRPr="00F143CF">
        <w:rPr>
          <w:i/>
        </w:rPr>
        <w:t>Medecine</w:t>
      </w:r>
      <w:proofErr w:type="spellEnd"/>
      <w:r w:rsidR="00F143CF">
        <w:t xml:space="preserve"> (</w:t>
      </w:r>
      <w:r>
        <w:t>ACOEM</w:t>
      </w:r>
      <w:r w:rsidR="00F143CF">
        <w:t>), (onglet 1 -</w:t>
      </w:r>
      <w:r>
        <w:t xml:space="preserve"> E-</w:t>
      </w:r>
      <w:proofErr w:type="gramStart"/>
      <w:r>
        <w:t>49 )</w:t>
      </w:r>
      <w:proofErr w:type="gramEnd"/>
      <w:r>
        <w:t xml:space="preserve">: </w:t>
      </w:r>
      <w:r w:rsidR="00250FFC">
        <w:t>L’encoche peut être à 3, 4 ou 6</w:t>
      </w:r>
      <w:r>
        <w:t xml:space="preserve">000 Hz. Le degré d’atteinte maximale dans les basses fréquences est de 30 à 40 dB. </w:t>
      </w:r>
    </w:p>
    <w:p w14:paraId="785BEFFA" w14:textId="77777777" w:rsidR="0038040C" w:rsidRDefault="0038040C" w:rsidP="0038040C">
      <w:pPr>
        <w:pStyle w:val="corpsdedcision"/>
        <w:tabs>
          <w:tab w:val="clear" w:pos="360"/>
          <w:tab w:val="num" w:pos="720"/>
        </w:tabs>
      </w:pPr>
      <w:r>
        <w:t>Le docteur Bertrand précise que la grande partie de la perte auditive se produit dans les 10 à 15 premières années d’exposition. Par la suite, la vitesse d’évolution est décroissante contrairement à l’évolution de la surdité de type presbyacousique neurosensorielle qui s’accélère avec l’âge. Il y a cons</w:t>
      </w:r>
      <w:r w:rsidR="00F143CF">
        <w:t xml:space="preserve">ensus international à ce sujet, </w:t>
      </w:r>
      <w:r>
        <w:t>tel que confirmé d’une part par la norm</w:t>
      </w:r>
      <w:r w:rsidR="00F143CF">
        <w:t>e internationale ISO 7029 (onglet 2 - E-49</w:t>
      </w:r>
      <w:r>
        <w:t>), pour l’effet de l’âge et par la norme ISO 1999, d’autre part, laquelle propose une formule per</w:t>
      </w:r>
      <w:r w:rsidR="00445EDF">
        <w:t xml:space="preserve">mettant le calcul de la perte </w:t>
      </w:r>
      <w:r>
        <w:t xml:space="preserve">auditive en lien avec un niveau et une durée d’exposition au bruit différente pour les dix premières années afin de tenir compte de cet aspect. </w:t>
      </w:r>
    </w:p>
    <w:p w14:paraId="7A125290" w14:textId="77777777" w:rsidR="0038040C" w:rsidRDefault="0038040C" w:rsidP="0038040C">
      <w:pPr>
        <w:pStyle w:val="corpsdedcision"/>
        <w:tabs>
          <w:tab w:val="clear" w:pos="360"/>
          <w:tab w:val="num" w:pos="720"/>
        </w:tabs>
      </w:pPr>
      <w:r w:rsidRPr="00357D09">
        <w:lastRenderedPageBreak/>
        <w:t>Le docteur Bertrand fait valoir que la norme ISO 1999 inclut également le facteur de presbyacousie et cela permet de se rendre compte qu’à partir d’un certain âge, la grande partie de l’aggravation de la perte auditive est causée par le vieillissement</w:t>
      </w:r>
      <w:r>
        <w:t>.</w:t>
      </w:r>
    </w:p>
    <w:p w14:paraId="2BF64B2F" w14:textId="77777777" w:rsidR="0038040C" w:rsidRDefault="0038040C" w:rsidP="0038040C">
      <w:pPr>
        <w:pStyle w:val="corpsdedcision"/>
        <w:tabs>
          <w:tab w:val="clear" w:pos="360"/>
          <w:tab w:val="num" w:pos="720"/>
        </w:tabs>
      </w:pPr>
      <w:r>
        <w:t xml:space="preserve">Concernant l’exposition au bruit, le docteur Bertrand explique que, de façon théorique et générale, les organismes ne considèrent pas qu’il y </w:t>
      </w:r>
      <w:proofErr w:type="gramStart"/>
      <w:r w:rsidR="00143770">
        <w:t>a</w:t>
      </w:r>
      <w:proofErr w:type="gramEnd"/>
      <w:r>
        <w:t xml:space="preserve"> lieu de mettre en place un programme pour les personnes qui sont exposées en</w:t>
      </w:r>
      <w:r w:rsidR="004F182B">
        <w:t xml:space="preserve"> </w:t>
      </w:r>
      <w:r>
        <w:t xml:space="preserve">deçà de 85 </w:t>
      </w:r>
      <w:proofErr w:type="spellStart"/>
      <w:r>
        <w:t>dBA</w:t>
      </w:r>
      <w:proofErr w:type="spellEnd"/>
      <w:r>
        <w:t xml:space="preserve">. En Amérique du </w:t>
      </w:r>
      <w:proofErr w:type="gramStart"/>
      <w:r>
        <w:t>nord</w:t>
      </w:r>
      <w:proofErr w:type="gramEnd"/>
      <w:r>
        <w:t xml:space="preserve">, le standard accepté est 85 </w:t>
      </w:r>
      <w:proofErr w:type="spellStart"/>
      <w:r>
        <w:t>dBA</w:t>
      </w:r>
      <w:proofErr w:type="spellEnd"/>
      <w:r>
        <w:t>.</w:t>
      </w:r>
    </w:p>
    <w:p w14:paraId="22AF2111" w14:textId="77777777" w:rsidR="0038040C" w:rsidRDefault="0038040C" w:rsidP="0038040C">
      <w:pPr>
        <w:pStyle w:val="corpsdedcision"/>
        <w:tabs>
          <w:tab w:val="clear" w:pos="360"/>
          <w:tab w:val="num" w:pos="720"/>
        </w:tabs>
      </w:pPr>
      <w:r>
        <w:t>De façon plus spécifique, au sujet de la relation causale entre l’exposition au bruit et l’atteinte auditive du travailleur, il a l’impression que le niveau d’exposition au bruit n’a pas été suffisamment élevé.</w:t>
      </w:r>
    </w:p>
    <w:p w14:paraId="33945E98" w14:textId="77777777" w:rsidR="0038040C" w:rsidRDefault="0038040C" w:rsidP="0038040C">
      <w:pPr>
        <w:pStyle w:val="corpsdedcision"/>
        <w:tabs>
          <w:tab w:val="clear" w:pos="360"/>
          <w:tab w:val="num" w:pos="720"/>
        </w:tabs>
      </w:pPr>
      <w:r>
        <w:t xml:space="preserve">Dans le camion, le travailleur est exposé à 85 </w:t>
      </w:r>
      <w:proofErr w:type="spellStart"/>
      <w:r>
        <w:t>dBA</w:t>
      </w:r>
      <w:proofErr w:type="spellEnd"/>
      <w:r>
        <w:t xml:space="preserve"> pour environ 50</w:t>
      </w:r>
      <w:r w:rsidR="00445EDF">
        <w:t> </w:t>
      </w:r>
      <w:r>
        <w:t>% de sa journée de travail. Durant les autres activités de travail, à partir des analyses sonométriq</w:t>
      </w:r>
      <w:r w:rsidR="00042D10">
        <w:t>ues qui ont été réalisées par l’ingénieur</w:t>
      </w:r>
      <w:r>
        <w:t xml:space="preserve"> Torikian (E-20), il considère que les autres sources de bruit ne démontrent pas de bruits d’impact nocifs puisque les résultats des mesures sont tous en</w:t>
      </w:r>
      <w:r w:rsidR="004F182B">
        <w:t xml:space="preserve"> </w:t>
      </w:r>
      <w:r>
        <w:t>deçà de 120 dB.</w:t>
      </w:r>
    </w:p>
    <w:p w14:paraId="5DFDC9C1" w14:textId="77777777" w:rsidR="0038040C" w:rsidRDefault="0038040C" w:rsidP="0038040C">
      <w:pPr>
        <w:pStyle w:val="corpsdedcision"/>
        <w:tabs>
          <w:tab w:val="clear" w:pos="360"/>
          <w:tab w:val="num" w:pos="720"/>
        </w:tabs>
      </w:pPr>
      <w:r>
        <w:t>À partir des connaissances acquises par les différente</w:t>
      </w:r>
      <w:r w:rsidR="00F143CF">
        <w:t xml:space="preserve">s études faites au fil des ans, </w:t>
      </w:r>
      <w:r>
        <w:t>il a été établi que jusqu’à un niveau de bruit d’impact de</w:t>
      </w:r>
      <w:r w:rsidR="00445EDF">
        <w:t xml:space="preserve"> </w:t>
      </w:r>
      <w:r>
        <w:t>140 dB, il n’y avait pas de modification significative de l’atteinte auditive.</w:t>
      </w:r>
    </w:p>
    <w:p w14:paraId="6C31D777" w14:textId="77777777" w:rsidR="0038040C" w:rsidRDefault="00042D10" w:rsidP="0038040C">
      <w:pPr>
        <w:pStyle w:val="corpsdedcision"/>
        <w:tabs>
          <w:tab w:val="clear" w:pos="360"/>
          <w:tab w:val="num" w:pos="720"/>
        </w:tabs>
      </w:pPr>
      <w:r>
        <w:t>Il ajoute que l</w:t>
      </w:r>
      <w:r w:rsidR="0038040C">
        <w:t>a norme internationale ISO 1999</w:t>
      </w:r>
      <w:r w:rsidR="00143770">
        <w:t xml:space="preserve"> (2013)</w:t>
      </w:r>
      <w:r w:rsidR="0038040C">
        <w:t xml:space="preserve"> tient compte, lorsqu’elle considère les différents niveaux de bruit, de la présence des bruits d’impacts et impulsifs en deçà de 140 dB. </w:t>
      </w:r>
      <w:proofErr w:type="gramStart"/>
      <w:r w:rsidR="0038040C">
        <w:t>Par contre</w:t>
      </w:r>
      <w:proofErr w:type="gramEnd"/>
      <w:r w:rsidR="0038040C">
        <w:t>, il est précisé que l’énergie des bruits au-delà de 140 dB n’est pas considérée.</w:t>
      </w:r>
    </w:p>
    <w:p w14:paraId="4F23CEB7" w14:textId="77777777" w:rsidR="006D6D16" w:rsidRDefault="0038040C" w:rsidP="00E43683">
      <w:pPr>
        <w:pStyle w:val="corpsdedcision"/>
        <w:tabs>
          <w:tab w:val="clear" w:pos="360"/>
          <w:tab w:val="num" w:pos="720"/>
        </w:tabs>
      </w:pPr>
      <w:r w:rsidRPr="00357D09">
        <w:t>En somme, selon lui, la cause la plus probable de la surdité du travailleur n’est pas le bruit.</w:t>
      </w:r>
      <w:r w:rsidR="00042D10">
        <w:t xml:space="preserve"> Le fait qu’</w:t>
      </w:r>
      <w:r>
        <w:t>il a</w:t>
      </w:r>
      <w:r w:rsidR="00042D10">
        <w:t>it présenté</w:t>
      </w:r>
      <w:r>
        <w:t xml:space="preserve"> un blocage des artères coronaires, qu’il a</w:t>
      </w:r>
      <w:r w:rsidR="00042D10">
        <w:t>it</w:t>
      </w:r>
      <w:r>
        <w:t xml:space="preserve"> un excès de cholestérol et encore plus, le fait qu’il a</w:t>
      </w:r>
      <w:r w:rsidR="00042D10">
        <w:t>it</w:t>
      </w:r>
      <w:r>
        <w:t xml:space="preserve"> été opéré pour la valve aortique, démontre</w:t>
      </w:r>
      <w:r w:rsidR="00F143CF">
        <w:t>nt</w:t>
      </w:r>
      <w:r>
        <w:t xml:space="preserve"> un probl</w:t>
      </w:r>
      <w:r w:rsidR="00042D10">
        <w:t>ème d’athérosclérose important</w:t>
      </w:r>
      <w:r w:rsidR="006D6D16">
        <w:t>.</w:t>
      </w:r>
      <w:r>
        <w:t xml:space="preserve"> </w:t>
      </w:r>
    </w:p>
    <w:p w14:paraId="2BBE1E45" w14:textId="77777777" w:rsidR="0038040C" w:rsidRDefault="0038040C" w:rsidP="00E43683">
      <w:pPr>
        <w:pStyle w:val="corpsdedcision"/>
        <w:tabs>
          <w:tab w:val="clear" w:pos="360"/>
          <w:tab w:val="num" w:pos="720"/>
        </w:tabs>
      </w:pPr>
      <w:r>
        <w:t>À cet effet, le docteur Bertrand décrit la vascularisation particulière de l’oreille interne. Au niveau de la cochlée, c’est le tour basal (hautes fréquences) qui est le plus sensible aux problèmes de vascularisation parce que l’artère terminale qui irrigue le tour basal a un trajet assez long avant d’y arriver. C’est une hypothèse qu’il ne peut prouver</w:t>
      </w:r>
      <w:r w:rsidR="0033072A">
        <w:t>,</w:t>
      </w:r>
      <w:r>
        <w:t xml:space="preserve"> car la seule façon de le savoir serait de regarder l’oreille interne lors d’une autopsie.</w:t>
      </w:r>
    </w:p>
    <w:p w14:paraId="379C0419" w14:textId="77777777" w:rsidR="0038040C" w:rsidRDefault="0038040C" w:rsidP="0038040C">
      <w:pPr>
        <w:pStyle w:val="corpsdedcision"/>
        <w:tabs>
          <w:tab w:val="clear" w:pos="360"/>
          <w:tab w:val="num" w:pos="720"/>
        </w:tabs>
      </w:pPr>
      <w:r w:rsidRPr="00357D09">
        <w:t>Il maintient donc que ça ne peut être l’exposition au bruit qui entraîne cette atteinte auditive</w:t>
      </w:r>
      <w:r w:rsidR="0033072A">
        <w:t>,</w:t>
      </w:r>
      <w:r w:rsidRPr="00357D09">
        <w:t xml:space="preserve"> car, si à l’</w:t>
      </w:r>
      <w:r w:rsidR="00143770">
        <w:t xml:space="preserve">inverse, avec les prédictions de la norme </w:t>
      </w:r>
      <w:r w:rsidRPr="00357D09">
        <w:t xml:space="preserve">ISO 1999, on estime l’exposition qui aurait été nécessaire pour avoir le niveau de perte d’audition que le travailleur présente, elle aurait dû être de 104 </w:t>
      </w:r>
      <w:proofErr w:type="spellStart"/>
      <w:r w:rsidRPr="00357D09">
        <w:t>dBA</w:t>
      </w:r>
      <w:proofErr w:type="spellEnd"/>
      <w:r w:rsidRPr="00357D09">
        <w:t xml:space="preserve"> pour la même durée d’exposition. Il </w:t>
      </w:r>
      <w:r w:rsidRPr="00357D09">
        <w:lastRenderedPageBreak/>
        <w:t>n’y a donc pas de corrélation entre les niveaux d’exposition au bruit et les dommages auditifs observés dans ce cas-ci</w:t>
      </w:r>
      <w:r>
        <w:t>.</w:t>
      </w:r>
    </w:p>
    <w:p w14:paraId="77561469" w14:textId="77777777" w:rsidR="0038040C" w:rsidRDefault="0038040C" w:rsidP="0038040C">
      <w:pPr>
        <w:pStyle w:val="corpsdedcision"/>
        <w:tabs>
          <w:tab w:val="clear" w:pos="360"/>
          <w:tab w:val="num" w:pos="720"/>
        </w:tabs>
      </w:pPr>
      <w:r>
        <w:t xml:space="preserve">En outre, quant à la relation temporelle entre la manifestation des premiers symptômes auditifs et le travail qu’a fait le travailleur depuis 1978, le docteur Bertrand fait valoir que ce dernier a décrit un début tardif de symptômes auditifs, soit vers 2008-2009, juste dans la période où il commence à manifester sa maladie </w:t>
      </w:r>
      <w:proofErr w:type="spellStart"/>
      <w:r>
        <w:t>athérosclérotique</w:t>
      </w:r>
      <w:proofErr w:type="spellEnd"/>
      <w:r>
        <w:t xml:space="preserve"> sévère. S’il y avait eu un problème de surdité professionnelle, ça aurait dû se manifester beaucoup plus tôt.</w:t>
      </w:r>
    </w:p>
    <w:p w14:paraId="3C59FE79" w14:textId="77777777" w:rsidR="0038040C" w:rsidRDefault="0038040C" w:rsidP="0038040C">
      <w:pPr>
        <w:pStyle w:val="corpsdedcision"/>
        <w:tabs>
          <w:tab w:val="clear" w:pos="360"/>
          <w:tab w:val="num" w:pos="720"/>
        </w:tabs>
      </w:pPr>
      <w:r>
        <w:t>Ainsi, d’après lui, ce sont les problèmes vasculaires et le vieillissement des cellules, en parallèle, qui expliquent de façon la plus probable la surdité du travailleur. Ses conclusions découlent premièrement du fait que le niveau de bruit est en deçà du niveau dommageable pour l’audition et deuxièmement de l’apparition tardive des symptômes auditifs qui coïncide avec la manifestation de la maladie cardiovasculaire.</w:t>
      </w:r>
    </w:p>
    <w:p w14:paraId="63844B3C" w14:textId="77777777" w:rsidR="0038040C" w:rsidRDefault="0038040C" w:rsidP="0038040C">
      <w:pPr>
        <w:pStyle w:val="corpsdedcision"/>
      </w:pPr>
      <w:r>
        <w:t>En contr</w:t>
      </w:r>
      <w:r w:rsidR="00800557">
        <w:t>e-</w:t>
      </w:r>
      <w:r>
        <w:t>interrogatoire, le docteur Bertrand précise que la notion d’atteinte neurosensorielle existe depuis longtemps. Il y a eu no</w:t>
      </w:r>
      <w:r w:rsidR="006D6D16">
        <w:t>tamment les travaux de Schuknecht</w:t>
      </w:r>
      <w:r>
        <w:t xml:space="preserve"> qui ont démontré par coupes anatomiques qu’après une exposition au bruit, l’atteinte était toujours neurosensorielle.</w:t>
      </w:r>
    </w:p>
    <w:p w14:paraId="6547307C" w14:textId="77777777" w:rsidR="004707ED" w:rsidRDefault="0038040C" w:rsidP="0038040C">
      <w:pPr>
        <w:pStyle w:val="corpsdedcision"/>
        <w:tabs>
          <w:tab w:val="clear" w:pos="360"/>
          <w:tab w:val="num" w:pos="720"/>
        </w:tabs>
      </w:pPr>
      <w:r>
        <w:t xml:space="preserve">Dans le cas du travailleur, l’atteinte neurosensorielle est en relation avec un problème vasculaire </w:t>
      </w:r>
      <w:r w:rsidR="006D6D16">
        <w:t>et</w:t>
      </w:r>
      <w:r>
        <w:t xml:space="preserve"> de vieillissement. </w:t>
      </w:r>
    </w:p>
    <w:p w14:paraId="771BF044" w14:textId="77777777" w:rsidR="006D6D16" w:rsidRDefault="004707ED" w:rsidP="0038040C">
      <w:pPr>
        <w:pStyle w:val="corpsdedcision"/>
        <w:tabs>
          <w:tab w:val="clear" w:pos="360"/>
          <w:tab w:val="num" w:pos="720"/>
        </w:tabs>
      </w:pPr>
      <w:r>
        <w:t>Il souligne que l</w:t>
      </w:r>
      <w:r w:rsidR="0038040C">
        <w:t>’article de Gates (</w:t>
      </w:r>
      <w:r w:rsidR="00800557">
        <w:t>onglet 3 -</w:t>
      </w:r>
      <w:r w:rsidR="0038040C">
        <w:t xml:space="preserve"> E-49,) traite d’une étude qui a démontré qu’il y avait surtout une atteinte neurosensorielle en relation avec les problèmes cardiovasculaires et que l’atteinte des hautes fréquences est prédominante dans la surdité neurosensorielle de type presbyacousique.</w:t>
      </w:r>
      <w:r w:rsidR="006D6D16">
        <w:t xml:space="preserve"> </w:t>
      </w:r>
    </w:p>
    <w:p w14:paraId="05DD5E23" w14:textId="77777777" w:rsidR="0038040C" w:rsidRDefault="006D6D16" w:rsidP="0038040C">
      <w:pPr>
        <w:pStyle w:val="corpsdedcision"/>
        <w:tabs>
          <w:tab w:val="clear" w:pos="360"/>
          <w:tab w:val="num" w:pos="720"/>
        </w:tabs>
      </w:pPr>
      <w:r>
        <w:t>L’auteur écrit :</w:t>
      </w:r>
      <w:r w:rsidR="0038040C">
        <w:t xml:space="preserve"> </w:t>
      </w:r>
    </w:p>
    <w:p w14:paraId="18711ABE" w14:textId="77777777" w:rsidR="004707ED" w:rsidRPr="007D683F" w:rsidRDefault="004707ED" w:rsidP="004707ED">
      <w:pPr>
        <w:pStyle w:val="citation"/>
        <w:rPr>
          <w:lang w:val="en-CA"/>
        </w:rPr>
      </w:pPr>
      <w:r w:rsidRPr="007D683F">
        <w:rPr>
          <w:lang w:val="en-CA"/>
        </w:rPr>
        <w:t xml:space="preserve">The primary peripheral effect of aging </w:t>
      </w:r>
      <w:r w:rsidRPr="007D683F">
        <w:rPr>
          <w:i/>
          <w:lang w:val="en-CA"/>
        </w:rPr>
        <w:t xml:space="preserve">per se </w:t>
      </w:r>
      <w:r w:rsidRPr="007D683F">
        <w:rPr>
          <w:lang w:val="en-CA"/>
        </w:rPr>
        <w:t xml:space="preserve">is a progressive </w:t>
      </w:r>
      <w:r w:rsidR="006D6D16" w:rsidRPr="007D683F">
        <w:rPr>
          <w:lang w:val="en-CA"/>
        </w:rPr>
        <w:t xml:space="preserve">decline in cochlear metabolic </w:t>
      </w:r>
      <w:proofErr w:type="spellStart"/>
      <w:r w:rsidR="006D6D16" w:rsidRPr="007D683F">
        <w:rPr>
          <w:lang w:val="en-CA"/>
        </w:rPr>
        <w:t>fo</w:t>
      </w:r>
      <w:r w:rsidRPr="007D683F">
        <w:rPr>
          <w:lang w:val="en-CA"/>
        </w:rPr>
        <w:t>nction</w:t>
      </w:r>
      <w:proofErr w:type="spellEnd"/>
      <w:r w:rsidRPr="007D683F">
        <w:rPr>
          <w:lang w:val="en-CA"/>
        </w:rPr>
        <w:t xml:space="preserve"> (</w:t>
      </w:r>
      <w:proofErr w:type="spellStart"/>
      <w:r w:rsidRPr="007D683F">
        <w:rPr>
          <w:lang w:val="en-CA"/>
        </w:rPr>
        <w:t>strial</w:t>
      </w:r>
      <w:proofErr w:type="spellEnd"/>
      <w:r w:rsidRPr="007D683F">
        <w:rPr>
          <w:lang w:val="en-CA"/>
        </w:rPr>
        <w:t xml:space="preserve"> presbycusis) which is characterized by a </w:t>
      </w:r>
      <w:proofErr w:type="spellStart"/>
      <w:r w:rsidRPr="007D683F">
        <w:rPr>
          <w:lang w:val="en-CA"/>
        </w:rPr>
        <w:t>moderatly</w:t>
      </w:r>
      <w:proofErr w:type="spellEnd"/>
      <w:r w:rsidRPr="007D683F">
        <w:rPr>
          <w:lang w:val="en-CA"/>
        </w:rPr>
        <w:t xml:space="preserve"> high sloping audiogram and relatively good word recognition ability. Examination of the inner ears of animals raised in quiet shows that degeneration of the stria vascularis i</w:t>
      </w:r>
      <w:r w:rsidR="006D6D16" w:rsidRPr="007D683F">
        <w:rPr>
          <w:lang w:val="en-CA"/>
        </w:rPr>
        <w:t>s the dominant element. The deg</w:t>
      </w:r>
      <w:r w:rsidRPr="007D683F">
        <w:rPr>
          <w:lang w:val="en-CA"/>
        </w:rPr>
        <w:t xml:space="preserve">eneration usually originates in both the base and the apex of the cochlea, extending to mid-cochlear regions as age increases. </w:t>
      </w:r>
    </w:p>
    <w:p w14:paraId="461B9D13" w14:textId="77777777" w:rsidR="004707ED" w:rsidRPr="007D683F" w:rsidRDefault="004707ED" w:rsidP="004707ED">
      <w:pPr>
        <w:pStyle w:val="citation"/>
        <w:rPr>
          <w:i/>
          <w:lang w:val="en-CA"/>
        </w:rPr>
      </w:pPr>
    </w:p>
    <w:p w14:paraId="2C65C8A1" w14:textId="77777777" w:rsidR="004707ED" w:rsidRPr="007D683F" w:rsidRDefault="004707ED" w:rsidP="004707ED">
      <w:pPr>
        <w:pStyle w:val="citation"/>
        <w:rPr>
          <w:lang w:val="en-CA"/>
        </w:rPr>
      </w:pPr>
      <w:r w:rsidRPr="007D683F">
        <w:rPr>
          <w:lang w:val="en-CA"/>
        </w:rPr>
        <w:t>(…)</w:t>
      </w:r>
    </w:p>
    <w:p w14:paraId="57CEA373" w14:textId="77777777" w:rsidR="009516DF" w:rsidRPr="007D683F" w:rsidRDefault="009516DF" w:rsidP="004707ED">
      <w:pPr>
        <w:pStyle w:val="citation"/>
        <w:rPr>
          <w:lang w:val="en-CA"/>
        </w:rPr>
      </w:pPr>
    </w:p>
    <w:p w14:paraId="2D616040" w14:textId="77777777" w:rsidR="009516DF" w:rsidRPr="007D683F" w:rsidRDefault="009516DF" w:rsidP="004707ED">
      <w:pPr>
        <w:pStyle w:val="citation"/>
        <w:rPr>
          <w:lang w:val="en-CA"/>
        </w:rPr>
      </w:pPr>
      <w:r w:rsidRPr="007D683F">
        <w:rPr>
          <w:lang w:val="en-CA"/>
        </w:rPr>
        <w:t xml:space="preserve">Recent quantitative morphometric studies of the cochlea </w:t>
      </w:r>
      <w:proofErr w:type="gramStart"/>
      <w:r w:rsidRPr="007D683F">
        <w:rPr>
          <w:lang w:val="en-CA"/>
        </w:rPr>
        <w:t>shows</w:t>
      </w:r>
      <w:proofErr w:type="gramEnd"/>
      <w:r w:rsidRPr="007D683F">
        <w:rPr>
          <w:lang w:val="en-CA"/>
        </w:rPr>
        <w:t xml:space="preserve"> loss of </w:t>
      </w:r>
      <w:proofErr w:type="spellStart"/>
      <w:r w:rsidRPr="007D683F">
        <w:rPr>
          <w:lang w:val="en-CA"/>
        </w:rPr>
        <w:t>strial</w:t>
      </w:r>
      <w:proofErr w:type="spellEnd"/>
      <w:r w:rsidRPr="007D683F">
        <w:rPr>
          <w:lang w:val="en-CA"/>
        </w:rPr>
        <w:t xml:space="preserve"> volume, loss of outer and inner </w:t>
      </w:r>
      <w:proofErr w:type="spellStart"/>
      <w:r w:rsidRPr="007D683F">
        <w:rPr>
          <w:lang w:val="en-CA"/>
        </w:rPr>
        <w:t>hait</w:t>
      </w:r>
      <w:proofErr w:type="spellEnd"/>
      <w:r w:rsidRPr="007D683F">
        <w:rPr>
          <w:lang w:val="en-CA"/>
        </w:rPr>
        <w:t xml:space="preserve"> cells and ganglion cells in people with classic down-sloping threshold loss. </w:t>
      </w:r>
    </w:p>
    <w:p w14:paraId="0BB63931" w14:textId="77777777" w:rsidR="009516DF" w:rsidRPr="007D683F" w:rsidRDefault="009516DF" w:rsidP="004707ED">
      <w:pPr>
        <w:pStyle w:val="citation"/>
        <w:rPr>
          <w:lang w:val="en-CA"/>
        </w:rPr>
      </w:pPr>
    </w:p>
    <w:p w14:paraId="68BCBA48" w14:textId="77777777" w:rsidR="009516DF" w:rsidRPr="007D683F" w:rsidRDefault="009516DF" w:rsidP="004707ED">
      <w:pPr>
        <w:pStyle w:val="citation"/>
        <w:rPr>
          <w:lang w:val="en-CA"/>
        </w:rPr>
      </w:pPr>
    </w:p>
    <w:p w14:paraId="2B433FD0" w14:textId="77777777" w:rsidR="009516DF" w:rsidRDefault="009516DF" w:rsidP="009516DF">
      <w:pPr>
        <w:pStyle w:val="corpsdedcision"/>
        <w:tabs>
          <w:tab w:val="clear" w:pos="360"/>
          <w:tab w:val="num" w:pos="720"/>
        </w:tabs>
      </w:pPr>
      <w:r>
        <w:lastRenderedPageBreak/>
        <w:t>Selon docteur Bertrand, en lien avec</w:t>
      </w:r>
      <w:r w:rsidR="0038040C">
        <w:t xml:space="preserve"> les pathologies vasculaires</w:t>
      </w:r>
      <w:r w:rsidR="00800557">
        <w:t>,</w:t>
      </w:r>
      <w:r w:rsidR="0038040C">
        <w:t xml:space="preserve"> on peut retrouver deux patrons d’atteinte auditive: soit une atteinte dans les hautes fréquences, </w:t>
      </w:r>
      <w:r>
        <w:t>laquelle</w:t>
      </w:r>
      <w:r w:rsidR="0038040C">
        <w:t xml:space="preserve"> est la plus fréquente, soit dans les basses fréquences,</w:t>
      </w:r>
      <w:r>
        <w:t xml:space="preserve"> moins fréquente</w:t>
      </w:r>
      <w:r w:rsidR="0038040C">
        <w:t xml:space="preserve"> mais plus significativement </w:t>
      </w:r>
      <w:r>
        <w:t>reliées aux</w:t>
      </w:r>
      <w:r w:rsidR="0038040C">
        <w:t xml:space="preserve"> problèmes vasculaires. </w:t>
      </w:r>
      <w:r>
        <w:t>L</w:t>
      </w:r>
      <w:r w:rsidR="0038040C">
        <w:t>es pertes dans les basses fréquences se retrouvent autour de 40 à 50 ans, à peu près en même temps que commencent à apparaître les problèmes de circulation par athérosclérose</w:t>
      </w:r>
      <w:r>
        <w:t>.</w:t>
      </w:r>
      <w:r w:rsidR="00491103">
        <w:t xml:space="preserve"> </w:t>
      </w:r>
    </w:p>
    <w:p w14:paraId="4DF3D85E" w14:textId="77777777" w:rsidR="0038040C" w:rsidRDefault="00491103" w:rsidP="009516DF">
      <w:pPr>
        <w:pStyle w:val="corpsdedcision"/>
      </w:pPr>
      <w:r>
        <w:t xml:space="preserve">Depuis deux ou trois ans, son équipe surveille les individus qui ont des pertes dans les basses fréquences parce que ce patron de perte auditive peut être dû à une atteinte au niveau de la strie vasculaire. </w:t>
      </w:r>
      <w:r w:rsidR="009516DF">
        <w:t>Il ajoute qu’il ne serait pas possible de surveiller les gens qui ont des pertes dans les hautes fréquences, comme c’est le cas du travailleur, car cela impliquerait 50</w:t>
      </w:r>
      <w:r w:rsidR="00445EDF">
        <w:t> </w:t>
      </w:r>
      <w:r w:rsidR="009516DF">
        <w:t>% de la population ou davantage.</w:t>
      </w:r>
    </w:p>
    <w:p w14:paraId="1EC064C5" w14:textId="77777777" w:rsidR="0038040C" w:rsidRDefault="0038040C" w:rsidP="0038040C">
      <w:pPr>
        <w:pStyle w:val="corpsdedcision"/>
        <w:tabs>
          <w:tab w:val="clear" w:pos="360"/>
          <w:tab w:val="num" w:pos="720"/>
        </w:tabs>
      </w:pPr>
      <w:r>
        <w:t>En réponse à une question du tribunal,</w:t>
      </w:r>
      <w:r w:rsidR="009516DF">
        <w:t xml:space="preserve"> </w:t>
      </w:r>
      <w:r>
        <w:t>le docteur Bert</w:t>
      </w:r>
      <w:r w:rsidR="003A1F6E">
        <w:t>r</w:t>
      </w:r>
      <w:r>
        <w:t xml:space="preserve">and explique comment l’évaluation de l’exposition au bruit a été réalisée par </w:t>
      </w:r>
      <w:r w:rsidR="009516DF">
        <w:t>l’ingénieur</w:t>
      </w:r>
      <w:r>
        <w:t xml:space="preserve"> Torikian. Au sujet de la dosimétrie, il précise que les mesures sont faites en décibels A et le résultat est par la suite utilisé pour évaluer la perte auditive à l’aide de la norme ISO 1999. Les bruits d’impact sont inclus dans la mesure par le dosimètre, bien que ce dernier ait des limites en raison du type de microphone utilisé</w:t>
      </w:r>
      <w:r w:rsidR="00D073DF">
        <w:t>,</w:t>
      </w:r>
      <w:r>
        <w:t xml:space="preserve"> qui ne peut capter de façon fiable</w:t>
      </w:r>
      <w:r w:rsidR="00076404">
        <w:t xml:space="preserve"> les bruits en haut de 140 dB.</w:t>
      </w:r>
    </w:p>
    <w:p w14:paraId="55E68C24" w14:textId="77777777" w:rsidR="0038040C" w:rsidRDefault="0038040C" w:rsidP="0038040C">
      <w:pPr>
        <w:pStyle w:val="corpsdedcision"/>
        <w:tabs>
          <w:tab w:val="clear" w:pos="360"/>
          <w:tab w:val="num" w:pos="720"/>
        </w:tabs>
      </w:pPr>
      <w:r w:rsidRPr="00EB4C83">
        <w:t>Puis, le tribunal a entendu le témoignage de monsieur Tony Leroux</w:t>
      </w:r>
      <w:r>
        <w:t>, professeur titulaire à l’École d’orthophonie et d’audiologie de la faculté de médecine de l’Université de Montréal.</w:t>
      </w:r>
      <w:r w:rsidR="00904660">
        <w:t xml:space="preserve"> </w:t>
      </w:r>
      <w:r w:rsidR="00FB2051">
        <w:t xml:space="preserve">Il dépose son volumineux </w:t>
      </w:r>
      <w:r w:rsidR="00FB2051" w:rsidRPr="00FB2051">
        <w:rPr>
          <w:i/>
        </w:rPr>
        <w:t>curriculum vitae</w:t>
      </w:r>
      <w:r w:rsidR="00FB2051">
        <w:t xml:space="preserve"> faisant état de son cheminement académique et professionnel (T-10).</w:t>
      </w:r>
    </w:p>
    <w:p w14:paraId="089B3239" w14:textId="77777777" w:rsidR="0038040C" w:rsidRDefault="0038040C" w:rsidP="00FB2051">
      <w:pPr>
        <w:pStyle w:val="corpsdedcision"/>
        <w:tabs>
          <w:tab w:val="clear" w:pos="360"/>
          <w:tab w:val="num" w:pos="720"/>
        </w:tabs>
      </w:pPr>
      <w:r>
        <w:t>À la demande de la représentan</w:t>
      </w:r>
      <w:r w:rsidR="00FB2051">
        <w:t>te de l’employeur, monsieur</w:t>
      </w:r>
      <w:r>
        <w:t xml:space="preserve"> Leroux précise qu’il est expert en audiologie, en psychoacoustique, science qui étudie les effets du bruit sur l’audition et la santé et il a enseigné pendant plusieurs années la physiologie et la physiopathologie des différents problèmes qui peuvent survenir à l’oreille externe, moyenne et interne ainsi que celle du cerveau et de sa façon de traiter les informations sonores. </w:t>
      </w:r>
    </w:p>
    <w:p w14:paraId="44E272D3" w14:textId="77777777" w:rsidR="0038040C" w:rsidRDefault="0038040C" w:rsidP="0038040C">
      <w:pPr>
        <w:pStyle w:val="corpsdedcision"/>
        <w:tabs>
          <w:tab w:val="clear" w:pos="360"/>
          <w:tab w:val="num" w:pos="720"/>
        </w:tabs>
      </w:pPr>
      <w:r>
        <w:t>Monsieur Leroux mentionne qu’il a rencontré le travailleur le 25 juillet 2014 en présence de M. Daniel de Roy, son représentant syndical. Il ajoute que comme ce dernier a fait le même travail, il connaît bien l’organisation du travail du travailleur de sorte qu’il a pu aider à la description des tâches et utiliser au besoin des termes en facilitant sa compréhension compte tenu que lui-même ne vient pas de ce milieu.</w:t>
      </w:r>
    </w:p>
    <w:p w14:paraId="3E5BD262" w14:textId="77777777" w:rsidR="0038040C" w:rsidRDefault="0038040C" w:rsidP="0038040C">
      <w:pPr>
        <w:pStyle w:val="corpsdedcision"/>
        <w:tabs>
          <w:tab w:val="clear" w:pos="360"/>
          <w:tab w:val="num" w:pos="720"/>
        </w:tabs>
      </w:pPr>
      <w:r>
        <w:t xml:space="preserve">Le but de l’expertise était de regarder l’ensemble de l’exposition au bruit durant la carrière du travailleur ainsi que la présence d’autres facteurs de l’environnement et voir si, en fonction du statut auditif du travailleur, il est possible d’établir un lien entre les deux. La rencontre a duré deux heures. Il a produit son rapport d’expertise le 2 septembre 2014. </w:t>
      </w:r>
    </w:p>
    <w:p w14:paraId="63A2C940" w14:textId="77777777" w:rsidR="0038040C" w:rsidRDefault="0038040C" w:rsidP="0038040C">
      <w:pPr>
        <w:pStyle w:val="corpsdedcision"/>
        <w:tabs>
          <w:tab w:val="clear" w:pos="360"/>
          <w:tab w:val="num" w:pos="720"/>
        </w:tabs>
      </w:pPr>
      <w:r>
        <w:lastRenderedPageBreak/>
        <w:t>Ainsi, monsieur Leroux explique qu’il a évalué le travail poste par poste pour comprendre quelles étaient les tâches et les sources d’exposition au bruit. Puis</w:t>
      </w:r>
      <w:r w:rsidR="00D073DF">
        <w:t>,</w:t>
      </w:r>
      <w:r>
        <w:t xml:space="preserve"> il a vérifié si dans le dossier il y avait des mesures de niveaux d’exposition au bruit dont il pouvait se servir pour décrire ce </w:t>
      </w:r>
      <w:r w:rsidR="0033072A">
        <w:t>à</w:t>
      </w:r>
      <w:r>
        <w:t xml:space="preserve"> quoi le travailleur a été exposé.</w:t>
      </w:r>
    </w:p>
    <w:p w14:paraId="770F794F" w14:textId="77777777" w:rsidR="0038040C" w:rsidRDefault="0038040C" w:rsidP="0038040C">
      <w:pPr>
        <w:pStyle w:val="corpsdedcision"/>
        <w:tabs>
          <w:tab w:val="clear" w:pos="360"/>
          <w:tab w:val="num" w:pos="720"/>
        </w:tabs>
      </w:pPr>
      <w:r>
        <w:t xml:space="preserve">Au niveau du travail d’aide-livreur, il s’est référé à une étude réalisée par </w:t>
      </w:r>
      <w:r w:rsidRPr="007C6BCE">
        <w:rPr>
          <w:i/>
        </w:rPr>
        <w:t>Hygiène Conseils de Montréal</w:t>
      </w:r>
      <w:r>
        <w:t xml:space="preserve"> portant sur l’évaluation du bruit chez les livreurs de la </w:t>
      </w:r>
      <w:r w:rsidRPr="007C6BCE">
        <w:rPr>
          <w:i/>
        </w:rPr>
        <w:t>Brasserie Molson-O’Keefe</w:t>
      </w:r>
      <w:r>
        <w:t xml:space="preserve"> réalisée en 1993 (T-11) puisqu’il n’y avait pas de mesures de bruit réalisées chez l’employeur pour cette période de travail. Dans cette étude à la page 3, on décrit en quoi consiste le travail de livreur et selon lui, cela est tout à fait semblable à la description que le travailleur en a fait lors de son expertise et au cours de son témoignage. Par ailleurs, à la page 5, on explique la méthodologie des mesures de bruit. Il est question de camions des années 1988, 1989 et 1991 donc correspondant à la période où le travailleur a </w:t>
      </w:r>
      <w:proofErr w:type="gramStart"/>
      <w:r>
        <w:t>fait</w:t>
      </w:r>
      <w:proofErr w:type="gramEnd"/>
      <w:r>
        <w:t xml:space="preserve"> le travail d’aide-livreur.</w:t>
      </w:r>
    </w:p>
    <w:p w14:paraId="27ADBC78" w14:textId="77777777" w:rsidR="0038040C" w:rsidRDefault="0038040C" w:rsidP="0038040C">
      <w:pPr>
        <w:pStyle w:val="corpsdedcision"/>
        <w:tabs>
          <w:tab w:val="clear" w:pos="360"/>
          <w:tab w:val="num" w:pos="720"/>
        </w:tabs>
      </w:pPr>
      <w:r>
        <w:t>Monsieur Leroux explique la façon de mesurer avec un sonomètre et un dosimètre. Il réfère à la page 6 où les auteurs mentionnent que les dosimètres ont été programmés de deux façons différentes pour mesurer le bruit</w:t>
      </w:r>
      <w:r w:rsidR="007C6BCE">
        <w:t xml:space="preserve">, soit, selon les exigences du </w:t>
      </w:r>
      <w:r w:rsidR="007C6BCE" w:rsidRPr="00DB2291">
        <w:rPr>
          <w:i/>
        </w:rPr>
        <w:t>R</w:t>
      </w:r>
      <w:r w:rsidRPr="00DB2291">
        <w:rPr>
          <w:i/>
        </w:rPr>
        <w:t xml:space="preserve">èglement </w:t>
      </w:r>
      <w:r w:rsidR="00DB2291" w:rsidRPr="00DB2291">
        <w:rPr>
          <w:i/>
        </w:rPr>
        <w:t>sur</w:t>
      </w:r>
      <w:r w:rsidRPr="00DB2291">
        <w:rPr>
          <w:i/>
        </w:rPr>
        <w:t xml:space="preserve"> la qualité du milieu de travail</w:t>
      </w:r>
      <w:r w:rsidR="00DB2291">
        <w:rPr>
          <w:rStyle w:val="FootnoteReference"/>
          <w:i/>
        </w:rPr>
        <w:footnoteReference w:id="1"/>
      </w:r>
      <w:r w:rsidR="00DB2291">
        <w:t xml:space="preserve"> </w:t>
      </w:r>
      <w:r>
        <w:t>et selon les recommandations de la norme ISO 1999. Ces mesures se font de façon simultanée.</w:t>
      </w:r>
    </w:p>
    <w:p w14:paraId="4F24094E" w14:textId="77777777" w:rsidR="0038040C" w:rsidRDefault="007C6BCE" w:rsidP="0038040C">
      <w:pPr>
        <w:pStyle w:val="corpsdedcision"/>
        <w:tabs>
          <w:tab w:val="clear" w:pos="360"/>
          <w:tab w:val="num" w:pos="720"/>
        </w:tabs>
      </w:pPr>
      <w:r>
        <w:t xml:space="preserve">Il ajoute que dans le </w:t>
      </w:r>
      <w:r w:rsidRPr="007C6BCE">
        <w:rPr>
          <w:i/>
        </w:rPr>
        <w:t>R</w:t>
      </w:r>
      <w:r w:rsidR="0038040C" w:rsidRPr="007C6BCE">
        <w:rPr>
          <w:i/>
        </w:rPr>
        <w:t xml:space="preserve">èglement sur la </w:t>
      </w:r>
      <w:r w:rsidR="00D073DF">
        <w:rPr>
          <w:i/>
        </w:rPr>
        <w:t>santé et la sécurité du travail</w:t>
      </w:r>
      <w:r w:rsidR="00E87E74">
        <w:rPr>
          <w:rStyle w:val="FootnoteReference"/>
          <w:i/>
        </w:rPr>
        <w:footnoteReference w:id="2"/>
      </w:r>
      <w:r w:rsidR="0038040C">
        <w:t xml:space="preserve">, le bruit doit augmenter de 5 décibels pour que la durée de l’exposition soit réduite de moitié (q=5). On considère par exemple que l’énergie sonore de 8 heures d’exposition à 90 </w:t>
      </w:r>
      <w:proofErr w:type="spellStart"/>
      <w:r w:rsidR="0038040C">
        <w:t>dBA</w:t>
      </w:r>
      <w:proofErr w:type="spellEnd"/>
      <w:r w:rsidR="0038040C">
        <w:t xml:space="preserve"> et de 4 heures à 95 </w:t>
      </w:r>
      <w:proofErr w:type="spellStart"/>
      <w:r w:rsidR="0038040C">
        <w:t>dBA</w:t>
      </w:r>
      <w:proofErr w:type="spellEnd"/>
      <w:r w:rsidR="0038040C">
        <w:t xml:space="preserve"> est la même. </w:t>
      </w:r>
    </w:p>
    <w:p w14:paraId="3485DAA4" w14:textId="77777777" w:rsidR="0038040C" w:rsidRDefault="0038040C" w:rsidP="0038040C">
      <w:pPr>
        <w:pStyle w:val="corpsdedcision"/>
        <w:tabs>
          <w:tab w:val="clear" w:pos="360"/>
          <w:tab w:val="num" w:pos="720"/>
        </w:tabs>
      </w:pPr>
      <w:proofErr w:type="gramStart"/>
      <w:r>
        <w:t>Sauf que</w:t>
      </w:r>
      <w:proofErr w:type="gramEnd"/>
      <w:r>
        <w:t xml:space="preserve">, précise-t-il, le système auditif ne fonctionne pas comme cela, il double l’énergie sonore à tous les 3 décibels et c’est ce que mesure l’échelle en q=3 de la norme ISO 1999. Ainsi, dans son expertise, il retient plutôt les résultats en q=3 parce qu’ils prédisent correctement la nocivité du bruit, les mesures en q=5 sous-estimant systématiquement le niveau de bruit. C’est pourquoi elles sont toujours inférieures aux mesures en q=3. </w:t>
      </w:r>
    </w:p>
    <w:p w14:paraId="0E218F3C" w14:textId="77777777" w:rsidR="0038040C" w:rsidRDefault="0038040C" w:rsidP="0038040C">
      <w:pPr>
        <w:pStyle w:val="corpsdedcision"/>
        <w:tabs>
          <w:tab w:val="clear" w:pos="360"/>
          <w:tab w:val="num" w:pos="720"/>
        </w:tabs>
      </w:pPr>
      <w:r>
        <w:t xml:space="preserve">Par ailleurs, toujours à la page 6 de l’étude </w:t>
      </w:r>
      <w:r w:rsidR="007C6BCE">
        <w:t xml:space="preserve">de la </w:t>
      </w:r>
      <w:r w:rsidR="007C6BCE" w:rsidRPr="007C6BCE">
        <w:rPr>
          <w:i/>
        </w:rPr>
        <w:t>Brasserie</w:t>
      </w:r>
      <w:r w:rsidRPr="007C6BCE">
        <w:rPr>
          <w:i/>
        </w:rPr>
        <w:t xml:space="preserve"> Molson-O’keefe</w:t>
      </w:r>
      <w:r>
        <w:t>, il réfère au tableau décrivant les tâches qui ont été évaluées ainsi que leur durée relative dans une journée de travail et il estime que cela correspond bien au travail d’aide-livreur que le travailleur lui a décrit.</w:t>
      </w:r>
    </w:p>
    <w:p w14:paraId="3880B97A" w14:textId="77777777" w:rsidR="007C6BCE" w:rsidRDefault="0038040C" w:rsidP="007C6BCE">
      <w:pPr>
        <w:pStyle w:val="corpsdedcision"/>
        <w:tabs>
          <w:tab w:val="clear" w:pos="360"/>
          <w:tab w:val="num" w:pos="720"/>
        </w:tabs>
      </w:pPr>
      <w:r>
        <w:lastRenderedPageBreak/>
        <w:t xml:space="preserve">Quant aux résultats présentés au tableau 1 de l’étude, il </w:t>
      </w:r>
      <w:r w:rsidR="007C6BCE">
        <w:t>explique qu’ils reflètent l’expo</w:t>
      </w:r>
      <w:r>
        <w:t>sition au bruit de l’ensemble des tâches ré</w:t>
      </w:r>
      <w:r w:rsidR="007C6BCE">
        <w:t>alisées au cours d’une journée :</w:t>
      </w:r>
    </w:p>
    <w:p w14:paraId="3D585E81" w14:textId="77777777" w:rsidR="007D74C8" w:rsidRDefault="007D74C8" w:rsidP="007D74C8">
      <w:pPr>
        <w:pStyle w:val="citation"/>
        <w:tabs>
          <w:tab w:val="left" w:pos="1843"/>
        </w:tabs>
        <w:rPr>
          <w:b/>
        </w:rPr>
      </w:pPr>
      <w:r w:rsidRPr="007D74C8">
        <w:rPr>
          <w:b/>
        </w:rPr>
        <w:t>Tableau 1 :</w:t>
      </w:r>
      <w:r>
        <w:rPr>
          <w:b/>
        </w:rPr>
        <w:tab/>
      </w:r>
      <w:r w:rsidRPr="007D74C8">
        <w:rPr>
          <w:b/>
        </w:rPr>
        <w:t>Dosimétrie de la fonction de livreur (pendant une journée complète de</w:t>
      </w:r>
    </w:p>
    <w:p w14:paraId="022E44E6" w14:textId="77777777" w:rsidR="007D74C8" w:rsidRPr="007D74C8" w:rsidRDefault="007D74C8" w:rsidP="007D74C8">
      <w:pPr>
        <w:pStyle w:val="citation"/>
        <w:tabs>
          <w:tab w:val="left" w:pos="1843"/>
        </w:tabs>
        <w:rPr>
          <w:b/>
        </w:rPr>
      </w:pPr>
      <w:r>
        <w:rPr>
          <w:b/>
        </w:rPr>
        <w:tab/>
      </w:r>
      <w:proofErr w:type="gramStart"/>
      <w:r w:rsidRPr="007D74C8">
        <w:rPr>
          <w:b/>
        </w:rPr>
        <w:t>travail</w:t>
      </w:r>
      <w:proofErr w:type="gramEnd"/>
      <w:r w:rsidRPr="007D74C8">
        <w:rPr>
          <w:b/>
        </w:rPr>
        <w:t>.</w:t>
      </w:r>
    </w:p>
    <w:p w14:paraId="4415CA5A" w14:textId="77777777" w:rsidR="007D74C8" w:rsidRDefault="007D74C8" w:rsidP="007D74C8">
      <w:pPr>
        <w:pStyle w:val="citation"/>
      </w:pPr>
    </w:p>
    <w:tbl>
      <w:tblPr>
        <w:tblStyle w:val="TableGrid"/>
        <w:tblW w:w="0" w:type="auto"/>
        <w:tblInd w:w="720" w:type="dxa"/>
        <w:tblLayout w:type="fixed"/>
        <w:tblLook w:val="04A0" w:firstRow="1" w:lastRow="0" w:firstColumn="1" w:lastColumn="0" w:noHBand="0" w:noVBand="1"/>
      </w:tblPr>
      <w:tblGrid>
        <w:gridCol w:w="976"/>
        <w:gridCol w:w="1418"/>
        <w:gridCol w:w="1134"/>
        <w:gridCol w:w="1238"/>
        <w:gridCol w:w="1455"/>
        <w:gridCol w:w="1394"/>
      </w:tblGrid>
      <w:tr w:rsidR="00BA6EE9" w14:paraId="461569B6" w14:textId="77777777" w:rsidTr="007D74C8">
        <w:tc>
          <w:tcPr>
            <w:tcW w:w="976" w:type="dxa"/>
          </w:tcPr>
          <w:p w14:paraId="1300AB47" w14:textId="77777777" w:rsidR="00BA6EE9" w:rsidRPr="00BA6EE9" w:rsidRDefault="00BA6EE9" w:rsidP="007D74C8">
            <w:pPr>
              <w:pStyle w:val="citation"/>
              <w:spacing w:before="20"/>
              <w:ind w:left="0" w:right="170"/>
              <w:rPr>
                <w:sz w:val="18"/>
                <w:szCs w:val="18"/>
              </w:rPr>
            </w:pPr>
            <w:r w:rsidRPr="00BA6EE9">
              <w:rPr>
                <w:sz w:val="18"/>
                <w:szCs w:val="18"/>
              </w:rPr>
              <w:t>Date</w:t>
            </w:r>
          </w:p>
        </w:tc>
        <w:tc>
          <w:tcPr>
            <w:tcW w:w="1418" w:type="dxa"/>
          </w:tcPr>
          <w:p w14:paraId="1BB77F56" w14:textId="77777777" w:rsidR="00BA6EE9" w:rsidRPr="00BA6EE9" w:rsidRDefault="00BA6EE9" w:rsidP="007D74C8">
            <w:pPr>
              <w:pStyle w:val="citation"/>
              <w:spacing w:before="20"/>
              <w:ind w:left="0" w:right="129"/>
              <w:rPr>
                <w:sz w:val="18"/>
                <w:szCs w:val="18"/>
              </w:rPr>
            </w:pPr>
            <w:r w:rsidRPr="00BA6EE9">
              <w:rPr>
                <w:sz w:val="18"/>
                <w:szCs w:val="18"/>
              </w:rPr>
              <w:t>Fonction</w:t>
            </w:r>
          </w:p>
        </w:tc>
        <w:tc>
          <w:tcPr>
            <w:tcW w:w="1134" w:type="dxa"/>
          </w:tcPr>
          <w:p w14:paraId="699CD716" w14:textId="77777777" w:rsidR="00BA6EE9" w:rsidRPr="00BA6EE9" w:rsidRDefault="00BA6EE9" w:rsidP="007D74C8">
            <w:pPr>
              <w:pStyle w:val="citation"/>
              <w:spacing w:before="20"/>
              <w:ind w:left="0" w:right="192"/>
              <w:rPr>
                <w:sz w:val="18"/>
                <w:szCs w:val="18"/>
              </w:rPr>
            </w:pPr>
            <w:r w:rsidRPr="00BA6EE9">
              <w:rPr>
                <w:sz w:val="18"/>
                <w:szCs w:val="18"/>
              </w:rPr>
              <w:t>Durée</w:t>
            </w:r>
          </w:p>
        </w:tc>
        <w:tc>
          <w:tcPr>
            <w:tcW w:w="1238" w:type="dxa"/>
          </w:tcPr>
          <w:p w14:paraId="40F466D2" w14:textId="77777777" w:rsidR="00BA6EE9" w:rsidRPr="00BA6EE9" w:rsidRDefault="00BA6EE9" w:rsidP="007D74C8">
            <w:pPr>
              <w:pStyle w:val="citation"/>
              <w:spacing w:before="20"/>
              <w:ind w:left="0" w:right="82"/>
              <w:rPr>
                <w:sz w:val="18"/>
                <w:szCs w:val="18"/>
              </w:rPr>
            </w:pPr>
            <w:r w:rsidRPr="00BA6EE9">
              <w:rPr>
                <w:sz w:val="18"/>
                <w:szCs w:val="18"/>
              </w:rPr>
              <w:t>Employé</w:t>
            </w:r>
          </w:p>
        </w:tc>
        <w:tc>
          <w:tcPr>
            <w:tcW w:w="1455" w:type="dxa"/>
          </w:tcPr>
          <w:p w14:paraId="7B195B7B" w14:textId="77777777" w:rsidR="00BA6EE9" w:rsidRDefault="00BA6EE9" w:rsidP="007D74C8">
            <w:pPr>
              <w:pStyle w:val="citation"/>
              <w:spacing w:before="20"/>
              <w:ind w:left="0" w:right="85"/>
              <w:rPr>
                <w:sz w:val="18"/>
                <w:szCs w:val="18"/>
              </w:rPr>
            </w:pPr>
            <w:r w:rsidRPr="00BA6EE9">
              <w:rPr>
                <w:sz w:val="18"/>
                <w:szCs w:val="18"/>
              </w:rPr>
              <w:t>Intensité</w:t>
            </w:r>
          </w:p>
          <w:p w14:paraId="16D76BAE" w14:textId="77777777" w:rsidR="007D74C8" w:rsidRDefault="000246F5" w:rsidP="007D74C8">
            <w:pPr>
              <w:pStyle w:val="citation"/>
              <w:spacing w:before="20"/>
              <w:ind w:left="0" w:right="85"/>
              <w:rPr>
                <w:sz w:val="18"/>
                <w:szCs w:val="18"/>
              </w:rPr>
            </w:pPr>
            <w:proofErr w:type="gramStart"/>
            <w:r>
              <w:rPr>
                <w:sz w:val="18"/>
                <w:szCs w:val="18"/>
              </w:rPr>
              <w:t>m</w:t>
            </w:r>
            <w:r w:rsidR="00BA6EE9">
              <w:rPr>
                <w:sz w:val="18"/>
                <w:szCs w:val="18"/>
              </w:rPr>
              <w:t>oyenne</w:t>
            </w:r>
            <w:proofErr w:type="gramEnd"/>
            <w:r w:rsidR="007D74C8">
              <w:rPr>
                <w:sz w:val="18"/>
                <w:szCs w:val="18"/>
              </w:rPr>
              <w:t xml:space="preserve"> selon l</w:t>
            </w:r>
            <w:r w:rsidR="00BA6EE9">
              <w:rPr>
                <w:sz w:val="18"/>
                <w:szCs w:val="18"/>
              </w:rPr>
              <w:t>a</w:t>
            </w:r>
          </w:p>
          <w:p w14:paraId="614ABE90" w14:textId="77777777" w:rsidR="00BA6EE9" w:rsidRDefault="000246F5" w:rsidP="007D74C8">
            <w:pPr>
              <w:pStyle w:val="citation"/>
              <w:spacing w:before="20"/>
              <w:ind w:left="0" w:right="85"/>
              <w:rPr>
                <w:sz w:val="18"/>
                <w:szCs w:val="18"/>
              </w:rPr>
            </w:pPr>
            <w:proofErr w:type="gramStart"/>
            <w:r>
              <w:rPr>
                <w:sz w:val="18"/>
                <w:szCs w:val="18"/>
              </w:rPr>
              <w:t>norme</w:t>
            </w:r>
            <w:proofErr w:type="gramEnd"/>
          </w:p>
          <w:p w14:paraId="0B7D77AD" w14:textId="77777777" w:rsidR="00BA6EE9" w:rsidRPr="00BA6EE9" w:rsidRDefault="00BA6EE9" w:rsidP="007D74C8">
            <w:pPr>
              <w:pStyle w:val="citation"/>
              <w:spacing w:before="20"/>
              <w:ind w:left="0" w:right="85"/>
              <w:rPr>
                <w:sz w:val="18"/>
                <w:szCs w:val="18"/>
              </w:rPr>
            </w:pPr>
            <w:r>
              <w:rPr>
                <w:sz w:val="18"/>
                <w:szCs w:val="18"/>
              </w:rPr>
              <w:t>ACNOR</w:t>
            </w:r>
          </w:p>
        </w:tc>
        <w:tc>
          <w:tcPr>
            <w:tcW w:w="1394" w:type="dxa"/>
          </w:tcPr>
          <w:p w14:paraId="6764E7C2" w14:textId="77777777" w:rsidR="00BA6EE9" w:rsidRDefault="00BA6EE9" w:rsidP="007D74C8">
            <w:pPr>
              <w:pStyle w:val="citation"/>
              <w:spacing w:before="20"/>
              <w:ind w:left="0" w:right="265"/>
              <w:rPr>
                <w:sz w:val="18"/>
                <w:szCs w:val="18"/>
              </w:rPr>
            </w:pPr>
            <w:r w:rsidRPr="00BA6EE9">
              <w:rPr>
                <w:sz w:val="18"/>
                <w:szCs w:val="18"/>
              </w:rPr>
              <w:t>Intensité</w:t>
            </w:r>
          </w:p>
          <w:p w14:paraId="251BFB5C" w14:textId="77777777" w:rsidR="00BA6EE9" w:rsidRDefault="000246F5" w:rsidP="007D74C8">
            <w:pPr>
              <w:pStyle w:val="citation"/>
              <w:spacing w:before="20"/>
              <w:ind w:left="0" w:right="265"/>
              <w:rPr>
                <w:sz w:val="18"/>
                <w:szCs w:val="18"/>
              </w:rPr>
            </w:pPr>
            <w:proofErr w:type="gramStart"/>
            <w:r>
              <w:rPr>
                <w:sz w:val="18"/>
                <w:szCs w:val="18"/>
              </w:rPr>
              <w:t>m</w:t>
            </w:r>
            <w:r w:rsidR="00BA6EE9">
              <w:rPr>
                <w:sz w:val="18"/>
                <w:szCs w:val="18"/>
              </w:rPr>
              <w:t>oyenne</w:t>
            </w:r>
            <w:proofErr w:type="gramEnd"/>
          </w:p>
          <w:p w14:paraId="3D86B1E4" w14:textId="77777777" w:rsidR="00BA6EE9" w:rsidRDefault="000246F5" w:rsidP="007D74C8">
            <w:pPr>
              <w:pStyle w:val="citation"/>
              <w:spacing w:before="20"/>
              <w:ind w:left="0" w:right="175"/>
              <w:rPr>
                <w:sz w:val="18"/>
                <w:szCs w:val="18"/>
              </w:rPr>
            </w:pPr>
            <w:proofErr w:type="gramStart"/>
            <w:r>
              <w:rPr>
                <w:sz w:val="18"/>
                <w:szCs w:val="18"/>
              </w:rPr>
              <w:t>s</w:t>
            </w:r>
            <w:r w:rsidR="00BA6EE9">
              <w:rPr>
                <w:sz w:val="18"/>
                <w:szCs w:val="18"/>
              </w:rPr>
              <w:t>elon</w:t>
            </w:r>
            <w:proofErr w:type="gramEnd"/>
            <w:r w:rsidR="00BA6EE9">
              <w:rPr>
                <w:sz w:val="18"/>
                <w:szCs w:val="18"/>
              </w:rPr>
              <w:t xml:space="preserve"> la</w:t>
            </w:r>
          </w:p>
          <w:p w14:paraId="73635DE1" w14:textId="77777777" w:rsidR="00BA6EE9" w:rsidRPr="00BA6EE9" w:rsidRDefault="000246F5" w:rsidP="007D74C8">
            <w:pPr>
              <w:pStyle w:val="citation"/>
              <w:spacing w:before="20"/>
              <w:ind w:left="0" w:right="265"/>
              <w:rPr>
                <w:sz w:val="18"/>
                <w:szCs w:val="18"/>
              </w:rPr>
            </w:pPr>
            <w:proofErr w:type="gramStart"/>
            <w:r>
              <w:rPr>
                <w:sz w:val="18"/>
                <w:szCs w:val="18"/>
              </w:rPr>
              <w:t>n</w:t>
            </w:r>
            <w:r w:rsidR="00BA6EE9">
              <w:rPr>
                <w:sz w:val="18"/>
                <w:szCs w:val="18"/>
              </w:rPr>
              <w:t>orme</w:t>
            </w:r>
            <w:proofErr w:type="gramEnd"/>
            <w:r w:rsidR="00BA6EE9">
              <w:rPr>
                <w:sz w:val="18"/>
                <w:szCs w:val="18"/>
              </w:rPr>
              <w:t xml:space="preserve"> ISO</w:t>
            </w:r>
          </w:p>
        </w:tc>
      </w:tr>
      <w:tr w:rsidR="00BA6EE9" w14:paraId="73B69B96" w14:textId="77777777" w:rsidTr="007D74C8">
        <w:tc>
          <w:tcPr>
            <w:tcW w:w="976" w:type="dxa"/>
          </w:tcPr>
          <w:p w14:paraId="3E855764" w14:textId="77777777" w:rsidR="00BA6EE9" w:rsidRPr="00BA6EE9" w:rsidRDefault="00BA6EE9" w:rsidP="007D74C8">
            <w:pPr>
              <w:pStyle w:val="citation"/>
              <w:spacing w:before="20"/>
              <w:ind w:left="0" w:right="34"/>
              <w:rPr>
                <w:sz w:val="18"/>
                <w:szCs w:val="18"/>
              </w:rPr>
            </w:pPr>
            <w:r w:rsidRPr="00BA6EE9">
              <w:rPr>
                <w:sz w:val="18"/>
                <w:szCs w:val="18"/>
              </w:rPr>
              <w:t>93/09/08</w:t>
            </w:r>
          </w:p>
        </w:tc>
        <w:tc>
          <w:tcPr>
            <w:tcW w:w="1418" w:type="dxa"/>
          </w:tcPr>
          <w:p w14:paraId="1C765CDD" w14:textId="77777777" w:rsidR="00BA6EE9" w:rsidRPr="00BA6EE9" w:rsidRDefault="00BA6EE9" w:rsidP="007D74C8">
            <w:pPr>
              <w:pStyle w:val="citation"/>
              <w:spacing w:before="20"/>
              <w:ind w:left="0" w:right="175"/>
              <w:rPr>
                <w:sz w:val="18"/>
                <w:szCs w:val="18"/>
              </w:rPr>
            </w:pPr>
            <w:r w:rsidRPr="00BA6EE9">
              <w:rPr>
                <w:sz w:val="18"/>
                <w:szCs w:val="18"/>
              </w:rPr>
              <w:t>Livreur</w:t>
            </w:r>
          </w:p>
          <w:p w14:paraId="03D55358" w14:textId="77777777" w:rsidR="00BA6EE9" w:rsidRPr="00BA6EE9" w:rsidRDefault="00BA6EE9" w:rsidP="007D74C8">
            <w:pPr>
              <w:pStyle w:val="citation"/>
              <w:spacing w:before="20"/>
              <w:ind w:left="0" w:right="175"/>
              <w:rPr>
                <w:sz w:val="18"/>
                <w:szCs w:val="18"/>
              </w:rPr>
            </w:pPr>
            <w:r w:rsidRPr="00BA6EE9">
              <w:rPr>
                <w:sz w:val="18"/>
                <w:szCs w:val="18"/>
              </w:rPr>
              <w:t>(</w:t>
            </w:r>
            <w:proofErr w:type="gramStart"/>
            <w:r w:rsidRPr="00BA6EE9">
              <w:rPr>
                <w:sz w:val="18"/>
                <w:szCs w:val="18"/>
              </w:rPr>
              <w:t>passager</w:t>
            </w:r>
            <w:proofErr w:type="gramEnd"/>
            <w:r w:rsidRPr="00BA6EE9">
              <w:rPr>
                <w:sz w:val="18"/>
                <w:szCs w:val="18"/>
              </w:rPr>
              <w:t>)</w:t>
            </w:r>
          </w:p>
        </w:tc>
        <w:tc>
          <w:tcPr>
            <w:tcW w:w="1134" w:type="dxa"/>
          </w:tcPr>
          <w:p w14:paraId="29EB0E44" w14:textId="77777777" w:rsidR="00BA6EE9" w:rsidRPr="00BA6EE9" w:rsidRDefault="00BA6EE9" w:rsidP="007D74C8">
            <w:pPr>
              <w:pStyle w:val="citation"/>
              <w:spacing w:before="20"/>
              <w:ind w:left="0" w:right="132"/>
              <w:rPr>
                <w:sz w:val="18"/>
                <w:szCs w:val="18"/>
              </w:rPr>
            </w:pPr>
            <w:r w:rsidRPr="00BA6EE9">
              <w:rPr>
                <w:sz w:val="18"/>
                <w:szCs w:val="18"/>
              </w:rPr>
              <w:t>6h15</w:t>
            </w:r>
          </w:p>
        </w:tc>
        <w:tc>
          <w:tcPr>
            <w:tcW w:w="1238" w:type="dxa"/>
          </w:tcPr>
          <w:p w14:paraId="398F227E" w14:textId="77777777" w:rsidR="00BA6EE9" w:rsidRPr="00BA6EE9" w:rsidRDefault="00BA6EE9" w:rsidP="007D74C8">
            <w:pPr>
              <w:pStyle w:val="citation"/>
              <w:spacing w:before="20"/>
              <w:ind w:left="0"/>
              <w:rPr>
                <w:sz w:val="18"/>
                <w:szCs w:val="18"/>
              </w:rPr>
            </w:pPr>
          </w:p>
        </w:tc>
        <w:tc>
          <w:tcPr>
            <w:tcW w:w="1455" w:type="dxa"/>
          </w:tcPr>
          <w:p w14:paraId="432B02CE" w14:textId="77777777" w:rsidR="00BA6EE9" w:rsidRPr="00BA6EE9" w:rsidRDefault="000246F5" w:rsidP="007D74C8">
            <w:pPr>
              <w:pStyle w:val="citation"/>
              <w:spacing w:before="20"/>
              <w:ind w:left="0" w:right="17"/>
              <w:rPr>
                <w:sz w:val="18"/>
                <w:szCs w:val="18"/>
              </w:rPr>
            </w:pPr>
            <w:r>
              <w:rPr>
                <w:sz w:val="18"/>
                <w:szCs w:val="18"/>
              </w:rPr>
              <w:t>79,0</w:t>
            </w:r>
          </w:p>
        </w:tc>
        <w:tc>
          <w:tcPr>
            <w:tcW w:w="1394" w:type="dxa"/>
          </w:tcPr>
          <w:p w14:paraId="64177A2A" w14:textId="77777777" w:rsidR="00BA6EE9" w:rsidRPr="00BA6EE9" w:rsidRDefault="000246F5" w:rsidP="007D74C8">
            <w:pPr>
              <w:pStyle w:val="citation"/>
              <w:spacing w:before="20"/>
              <w:ind w:left="0" w:right="33"/>
              <w:rPr>
                <w:sz w:val="18"/>
                <w:szCs w:val="18"/>
              </w:rPr>
            </w:pPr>
            <w:r>
              <w:rPr>
                <w:sz w:val="18"/>
                <w:szCs w:val="18"/>
              </w:rPr>
              <w:t>85,8</w:t>
            </w:r>
          </w:p>
        </w:tc>
      </w:tr>
      <w:tr w:rsidR="00BA6EE9" w14:paraId="6AC7AAD7" w14:textId="77777777" w:rsidTr="007D74C8">
        <w:tc>
          <w:tcPr>
            <w:tcW w:w="976" w:type="dxa"/>
          </w:tcPr>
          <w:p w14:paraId="3F7BACC6" w14:textId="77777777" w:rsidR="00BA6EE9" w:rsidRPr="00BA6EE9" w:rsidRDefault="00BA6EE9" w:rsidP="007D74C8">
            <w:pPr>
              <w:pStyle w:val="citation"/>
              <w:spacing w:before="20"/>
              <w:ind w:left="0" w:right="34"/>
              <w:rPr>
                <w:sz w:val="18"/>
                <w:szCs w:val="18"/>
              </w:rPr>
            </w:pPr>
            <w:r w:rsidRPr="00BA6EE9">
              <w:rPr>
                <w:sz w:val="18"/>
                <w:szCs w:val="18"/>
              </w:rPr>
              <w:t>93/09/08</w:t>
            </w:r>
          </w:p>
        </w:tc>
        <w:tc>
          <w:tcPr>
            <w:tcW w:w="1418" w:type="dxa"/>
          </w:tcPr>
          <w:p w14:paraId="069FF556" w14:textId="77777777" w:rsidR="00BA6EE9" w:rsidRPr="00BA6EE9" w:rsidRDefault="00BA6EE9" w:rsidP="007D74C8">
            <w:pPr>
              <w:pStyle w:val="citation"/>
              <w:spacing w:before="20"/>
              <w:ind w:left="0" w:right="176"/>
              <w:rPr>
                <w:sz w:val="18"/>
                <w:szCs w:val="18"/>
              </w:rPr>
            </w:pPr>
            <w:r w:rsidRPr="00BA6EE9">
              <w:rPr>
                <w:sz w:val="18"/>
                <w:szCs w:val="18"/>
              </w:rPr>
              <w:t>Livreur</w:t>
            </w:r>
          </w:p>
          <w:p w14:paraId="419389B5" w14:textId="77777777" w:rsidR="00BA6EE9" w:rsidRPr="00BA6EE9" w:rsidRDefault="00BA6EE9" w:rsidP="007D74C8">
            <w:pPr>
              <w:pStyle w:val="citation"/>
              <w:spacing w:before="20"/>
              <w:ind w:left="0" w:right="175"/>
              <w:rPr>
                <w:sz w:val="18"/>
                <w:szCs w:val="18"/>
              </w:rPr>
            </w:pPr>
            <w:r w:rsidRPr="00BA6EE9">
              <w:rPr>
                <w:sz w:val="18"/>
                <w:szCs w:val="18"/>
              </w:rPr>
              <w:t>(</w:t>
            </w:r>
            <w:proofErr w:type="gramStart"/>
            <w:r w:rsidRPr="00BA6EE9">
              <w:rPr>
                <w:sz w:val="18"/>
                <w:szCs w:val="18"/>
              </w:rPr>
              <w:t>conducteur</w:t>
            </w:r>
            <w:proofErr w:type="gramEnd"/>
            <w:r w:rsidRPr="00BA6EE9">
              <w:rPr>
                <w:sz w:val="18"/>
                <w:szCs w:val="18"/>
              </w:rPr>
              <w:t>)</w:t>
            </w:r>
          </w:p>
        </w:tc>
        <w:tc>
          <w:tcPr>
            <w:tcW w:w="1134" w:type="dxa"/>
          </w:tcPr>
          <w:p w14:paraId="5416B7B3" w14:textId="77777777" w:rsidR="00BA6EE9" w:rsidRPr="00BA6EE9" w:rsidRDefault="00BA6EE9" w:rsidP="007D74C8">
            <w:pPr>
              <w:pStyle w:val="citation"/>
              <w:tabs>
                <w:tab w:val="left" w:pos="0"/>
              </w:tabs>
              <w:spacing w:before="20"/>
              <w:ind w:left="0" w:right="165"/>
              <w:rPr>
                <w:sz w:val="18"/>
                <w:szCs w:val="18"/>
              </w:rPr>
            </w:pPr>
            <w:r w:rsidRPr="00BA6EE9">
              <w:rPr>
                <w:sz w:val="18"/>
                <w:szCs w:val="18"/>
              </w:rPr>
              <w:t>10h00</w:t>
            </w:r>
          </w:p>
        </w:tc>
        <w:tc>
          <w:tcPr>
            <w:tcW w:w="1238" w:type="dxa"/>
          </w:tcPr>
          <w:p w14:paraId="06922ACB" w14:textId="77777777" w:rsidR="00BA6EE9" w:rsidRPr="00BA6EE9" w:rsidRDefault="00BA6EE9" w:rsidP="007D74C8">
            <w:pPr>
              <w:pStyle w:val="citation"/>
              <w:spacing w:before="20"/>
              <w:ind w:left="0"/>
              <w:rPr>
                <w:sz w:val="18"/>
                <w:szCs w:val="18"/>
              </w:rPr>
            </w:pPr>
          </w:p>
        </w:tc>
        <w:tc>
          <w:tcPr>
            <w:tcW w:w="1455" w:type="dxa"/>
          </w:tcPr>
          <w:p w14:paraId="30805C47" w14:textId="77777777" w:rsidR="00BA6EE9" w:rsidRPr="00BA6EE9" w:rsidRDefault="000246F5" w:rsidP="007D74C8">
            <w:pPr>
              <w:pStyle w:val="citation"/>
              <w:spacing w:before="20"/>
              <w:ind w:left="0" w:right="17"/>
              <w:rPr>
                <w:sz w:val="18"/>
                <w:szCs w:val="18"/>
              </w:rPr>
            </w:pPr>
            <w:r>
              <w:rPr>
                <w:sz w:val="18"/>
                <w:szCs w:val="18"/>
              </w:rPr>
              <w:t>78,5</w:t>
            </w:r>
          </w:p>
        </w:tc>
        <w:tc>
          <w:tcPr>
            <w:tcW w:w="1394" w:type="dxa"/>
          </w:tcPr>
          <w:p w14:paraId="4760E1EA" w14:textId="77777777" w:rsidR="00BA6EE9" w:rsidRPr="00BA6EE9" w:rsidRDefault="000246F5" w:rsidP="007D74C8">
            <w:pPr>
              <w:pStyle w:val="citation"/>
              <w:spacing w:before="20"/>
              <w:ind w:left="0" w:right="33"/>
              <w:rPr>
                <w:sz w:val="18"/>
                <w:szCs w:val="18"/>
              </w:rPr>
            </w:pPr>
            <w:r>
              <w:rPr>
                <w:sz w:val="18"/>
                <w:szCs w:val="18"/>
              </w:rPr>
              <w:t>85,3</w:t>
            </w:r>
          </w:p>
        </w:tc>
      </w:tr>
      <w:tr w:rsidR="00BA6EE9" w14:paraId="684FEC04" w14:textId="77777777" w:rsidTr="007D74C8">
        <w:tc>
          <w:tcPr>
            <w:tcW w:w="976" w:type="dxa"/>
          </w:tcPr>
          <w:p w14:paraId="08F1FC56" w14:textId="77777777" w:rsidR="00BA6EE9" w:rsidRPr="00BA6EE9" w:rsidRDefault="00BA6EE9" w:rsidP="007D74C8">
            <w:pPr>
              <w:pStyle w:val="citation"/>
              <w:spacing w:before="20"/>
              <w:ind w:left="0" w:right="34"/>
              <w:rPr>
                <w:sz w:val="18"/>
                <w:szCs w:val="18"/>
              </w:rPr>
            </w:pPr>
            <w:r w:rsidRPr="00BA6EE9">
              <w:rPr>
                <w:sz w:val="18"/>
                <w:szCs w:val="18"/>
              </w:rPr>
              <w:t>93/09/25</w:t>
            </w:r>
          </w:p>
        </w:tc>
        <w:tc>
          <w:tcPr>
            <w:tcW w:w="1418" w:type="dxa"/>
          </w:tcPr>
          <w:p w14:paraId="466A16E1" w14:textId="77777777" w:rsidR="00BA6EE9" w:rsidRPr="00BA6EE9" w:rsidRDefault="00BA6EE9" w:rsidP="007D74C8">
            <w:pPr>
              <w:pStyle w:val="citation"/>
              <w:spacing w:before="20"/>
              <w:ind w:left="0" w:right="176"/>
              <w:rPr>
                <w:sz w:val="18"/>
                <w:szCs w:val="18"/>
              </w:rPr>
            </w:pPr>
            <w:r w:rsidRPr="00BA6EE9">
              <w:rPr>
                <w:sz w:val="18"/>
                <w:szCs w:val="18"/>
              </w:rPr>
              <w:t>Livreur</w:t>
            </w:r>
          </w:p>
          <w:p w14:paraId="6EFC92F2" w14:textId="77777777" w:rsidR="00BA6EE9" w:rsidRPr="00BA6EE9" w:rsidRDefault="00BA6EE9" w:rsidP="007D74C8">
            <w:pPr>
              <w:pStyle w:val="citation"/>
              <w:spacing w:before="20"/>
              <w:ind w:left="0" w:right="175"/>
              <w:rPr>
                <w:sz w:val="18"/>
                <w:szCs w:val="18"/>
              </w:rPr>
            </w:pPr>
            <w:r w:rsidRPr="00BA6EE9">
              <w:rPr>
                <w:sz w:val="18"/>
                <w:szCs w:val="18"/>
              </w:rPr>
              <w:t>(</w:t>
            </w:r>
            <w:proofErr w:type="gramStart"/>
            <w:r w:rsidRPr="00BA6EE9">
              <w:rPr>
                <w:sz w:val="18"/>
                <w:szCs w:val="18"/>
              </w:rPr>
              <w:t>conducteur</w:t>
            </w:r>
            <w:proofErr w:type="gramEnd"/>
            <w:r w:rsidRPr="00BA6EE9">
              <w:rPr>
                <w:sz w:val="18"/>
                <w:szCs w:val="18"/>
              </w:rPr>
              <w:t>/</w:t>
            </w:r>
          </w:p>
          <w:p w14:paraId="6A9E4C9E" w14:textId="77777777" w:rsidR="00BA6EE9" w:rsidRPr="00BA6EE9" w:rsidRDefault="00BA6EE9" w:rsidP="007D74C8">
            <w:pPr>
              <w:pStyle w:val="citation"/>
              <w:spacing w:before="20"/>
              <w:ind w:left="0" w:right="175"/>
              <w:rPr>
                <w:sz w:val="18"/>
                <w:szCs w:val="18"/>
              </w:rPr>
            </w:pPr>
            <w:proofErr w:type="gramStart"/>
            <w:r w:rsidRPr="00BA6EE9">
              <w:rPr>
                <w:sz w:val="18"/>
                <w:szCs w:val="18"/>
              </w:rPr>
              <w:t>passager</w:t>
            </w:r>
            <w:proofErr w:type="gramEnd"/>
            <w:r w:rsidRPr="00BA6EE9">
              <w:rPr>
                <w:sz w:val="18"/>
                <w:szCs w:val="18"/>
              </w:rPr>
              <w:t>)</w:t>
            </w:r>
          </w:p>
        </w:tc>
        <w:tc>
          <w:tcPr>
            <w:tcW w:w="1134" w:type="dxa"/>
          </w:tcPr>
          <w:p w14:paraId="55EE293B" w14:textId="77777777" w:rsidR="00BA6EE9" w:rsidRPr="00BA6EE9" w:rsidRDefault="00BA6EE9" w:rsidP="007D74C8">
            <w:pPr>
              <w:pStyle w:val="citation"/>
              <w:tabs>
                <w:tab w:val="left" w:pos="0"/>
              </w:tabs>
              <w:spacing w:before="20"/>
              <w:ind w:left="0" w:right="132"/>
              <w:rPr>
                <w:sz w:val="18"/>
                <w:szCs w:val="18"/>
              </w:rPr>
            </w:pPr>
            <w:r w:rsidRPr="00BA6EE9">
              <w:rPr>
                <w:sz w:val="18"/>
                <w:szCs w:val="18"/>
              </w:rPr>
              <w:t>7h50</w:t>
            </w:r>
          </w:p>
        </w:tc>
        <w:tc>
          <w:tcPr>
            <w:tcW w:w="1238" w:type="dxa"/>
          </w:tcPr>
          <w:p w14:paraId="2CB0A27D" w14:textId="77777777" w:rsidR="00BA6EE9" w:rsidRPr="00BA6EE9" w:rsidRDefault="00BA6EE9" w:rsidP="007D74C8">
            <w:pPr>
              <w:pStyle w:val="citation"/>
              <w:spacing w:before="20"/>
              <w:ind w:left="0"/>
              <w:rPr>
                <w:sz w:val="18"/>
                <w:szCs w:val="18"/>
              </w:rPr>
            </w:pPr>
          </w:p>
        </w:tc>
        <w:tc>
          <w:tcPr>
            <w:tcW w:w="1455" w:type="dxa"/>
          </w:tcPr>
          <w:p w14:paraId="0F565806" w14:textId="77777777" w:rsidR="00BA6EE9" w:rsidRPr="00BA6EE9" w:rsidRDefault="000246F5" w:rsidP="007D74C8">
            <w:pPr>
              <w:pStyle w:val="citation"/>
              <w:spacing w:before="20"/>
              <w:ind w:left="0" w:right="158"/>
              <w:rPr>
                <w:sz w:val="18"/>
                <w:szCs w:val="18"/>
              </w:rPr>
            </w:pPr>
            <w:r>
              <w:rPr>
                <w:sz w:val="18"/>
                <w:szCs w:val="18"/>
              </w:rPr>
              <w:t>80,6</w:t>
            </w:r>
          </w:p>
        </w:tc>
        <w:tc>
          <w:tcPr>
            <w:tcW w:w="1394" w:type="dxa"/>
          </w:tcPr>
          <w:p w14:paraId="7E7BA402" w14:textId="77777777" w:rsidR="00BA6EE9" w:rsidRPr="00BA6EE9" w:rsidRDefault="000246F5" w:rsidP="007D74C8">
            <w:pPr>
              <w:pStyle w:val="citation"/>
              <w:spacing w:before="20"/>
              <w:ind w:left="0" w:right="33"/>
              <w:rPr>
                <w:sz w:val="18"/>
                <w:szCs w:val="18"/>
              </w:rPr>
            </w:pPr>
            <w:r>
              <w:rPr>
                <w:sz w:val="18"/>
                <w:szCs w:val="18"/>
              </w:rPr>
              <w:t>85,1</w:t>
            </w:r>
          </w:p>
        </w:tc>
      </w:tr>
    </w:tbl>
    <w:p w14:paraId="5D1E4911" w14:textId="77777777" w:rsidR="007C6BCE" w:rsidRDefault="007C6BCE" w:rsidP="007C6BCE">
      <w:pPr>
        <w:pStyle w:val="citation"/>
      </w:pPr>
    </w:p>
    <w:p w14:paraId="6DE5F56D" w14:textId="77777777" w:rsidR="00904660" w:rsidRDefault="00904660" w:rsidP="007C6BCE">
      <w:pPr>
        <w:pStyle w:val="citation"/>
      </w:pPr>
    </w:p>
    <w:p w14:paraId="2A055826" w14:textId="77777777" w:rsidR="0038040C" w:rsidRDefault="0038040C" w:rsidP="0038040C">
      <w:pPr>
        <w:pStyle w:val="corpsdedcision"/>
        <w:tabs>
          <w:tab w:val="clear" w:pos="360"/>
          <w:tab w:val="num" w:pos="720"/>
        </w:tabs>
      </w:pPr>
      <w:r>
        <w:t xml:space="preserve">Monsieur Leroux </w:t>
      </w:r>
      <w:r w:rsidR="00904660">
        <w:t>souligne</w:t>
      </w:r>
      <w:r>
        <w:t xml:space="preserve"> que les auteurs n’ont pas fait de distinction entre le poste de livreur et celui d’aide-livreur. Pour sa part, il n’a pas fait de distinction non plus</w:t>
      </w:r>
      <w:r w:rsidR="0033072A">
        <w:t>,</w:t>
      </w:r>
      <w:r>
        <w:t xml:space="preserve"> car le travailleur a toujours dit qu’il a été très peu souvent livreur et que de toute façon, même à titre de livreur, il préférait continuer de faire les tâches d’aide-livreur et laissait la tâche de livreur à l’autre personne qui l’accompagnait. </w:t>
      </w:r>
    </w:p>
    <w:p w14:paraId="2A1385E5" w14:textId="77777777" w:rsidR="0038040C" w:rsidRDefault="0038040C" w:rsidP="0038040C">
      <w:pPr>
        <w:pStyle w:val="corpsdedcision"/>
        <w:tabs>
          <w:tab w:val="clear" w:pos="360"/>
          <w:tab w:val="num" w:pos="720"/>
        </w:tabs>
      </w:pPr>
      <w:r>
        <w:t xml:space="preserve">Toujours en lien avec les résultats du tableau 1, il fait </w:t>
      </w:r>
      <w:r w:rsidR="00904660">
        <w:t>remarquer</w:t>
      </w:r>
      <w:r>
        <w:t xml:space="preserve"> que les trois niveaux mesurés selon</w:t>
      </w:r>
      <w:r w:rsidR="007C6BCE">
        <w:t xml:space="preserve"> la norme ACNOR </w:t>
      </w:r>
      <w:r w:rsidR="00DB2291">
        <w:t xml:space="preserve">la norme du </w:t>
      </w:r>
      <w:r w:rsidR="00DB2291" w:rsidRPr="00DB2291">
        <w:rPr>
          <w:i/>
        </w:rPr>
        <w:t>Règlement sur la qualité dans le milieu de travail</w:t>
      </w:r>
      <w:r w:rsidRPr="00DB2291">
        <w:rPr>
          <w:i/>
        </w:rPr>
        <w:t xml:space="preserve"> </w:t>
      </w:r>
      <w:r>
        <w:t xml:space="preserve">sont tous inférieurs à ceux mesurés selon la norme ISO 1999. </w:t>
      </w:r>
    </w:p>
    <w:p w14:paraId="4A045EBC" w14:textId="77777777" w:rsidR="0038040C" w:rsidRDefault="0038040C" w:rsidP="0038040C">
      <w:pPr>
        <w:pStyle w:val="corpsdedcision"/>
        <w:tabs>
          <w:tab w:val="clear" w:pos="360"/>
          <w:tab w:val="num" w:pos="720"/>
        </w:tabs>
      </w:pPr>
      <w:r>
        <w:t xml:space="preserve">Monsieur Leroux explique que, comme cette étude ne rapporte que trois mesures d’exposition, il ne s’en est pas satisfait et il réfère donc également à une autre étude soit, </w:t>
      </w:r>
      <w:proofErr w:type="spellStart"/>
      <w:r w:rsidRPr="00AA7E32">
        <w:rPr>
          <w:i/>
        </w:rPr>
        <w:t>Occupational</w:t>
      </w:r>
      <w:proofErr w:type="spellEnd"/>
      <w:r w:rsidRPr="00AA7E32">
        <w:rPr>
          <w:i/>
        </w:rPr>
        <w:t xml:space="preserve"> Noise </w:t>
      </w:r>
      <w:proofErr w:type="spellStart"/>
      <w:r w:rsidRPr="00AA7E32">
        <w:rPr>
          <w:i/>
        </w:rPr>
        <w:t>Exposure</w:t>
      </w:r>
      <w:proofErr w:type="spellEnd"/>
      <w:r w:rsidRPr="00AA7E32">
        <w:rPr>
          <w:i/>
        </w:rPr>
        <w:t xml:space="preserve"> of </w:t>
      </w:r>
      <w:proofErr w:type="spellStart"/>
      <w:r w:rsidRPr="00AA7E32">
        <w:rPr>
          <w:i/>
        </w:rPr>
        <w:t>Operator</w:t>
      </w:r>
      <w:proofErr w:type="spellEnd"/>
      <w:r w:rsidRPr="00AA7E32">
        <w:rPr>
          <w:i/>
        </w:rPr>
        <w:t xml:space="preserve"> of Heavy Trucks</w:t>
      </w:r>
      <w:r>
        <w:t xml:space="preserve"> de l’American </w:t>
      </w:r>
      <w:proofErr w:type="spellStart"/>
      <w:r>
        <w:t>Industrial</w:t>
      </w:r>
      <w:proofErr w:type="spellEnd"/>
      <w:r>
        <w:t xml:space="preserve"> </w:t>
      </w:r>
      <w:proofErr w:type="spellStart"/>
      <w:r>
        <w:t>Hygiene</w:t>
      </w:r>
      <w:proofErr w:type="spellEnd"/>
      <w:r>
        <w:t xml:space="preserve"> Association Journal (T-12), réalisée au Canada par le gouvernement fédéral. </w:t>
      </w:r>
    </w:p>
    <w:p w14:paraId="24B32326" w14:textId="77777777" w:rsidR="0038040C" w:rsidRDefault="0038040C" w:rsidP="0038040C">
      <w:pPr>
        <w:pStyle w:val="corpsdedcision"/>
        <w:tabs>
          <w:tab w:val="clear" w:pos="360"/>
          <w:tab w:val="num" w:pos="720"/>
        </w:tabs>
      </w:pPr>
      <w:r>
        <w:t>Dans cette étude, à la page 207, l’auteur décrit les tâches de « </w:t>
      </w:r>
      <w:proofErr w:type="spellStart"/>
      <w:r w:rsidRPr="00DB2291">
        <w:rPr>
          <w:i/>
        </w:rPr>
        <w:t>pick</w:t>
      </w:r>
      <w:proofErr w:type="spellEnd"/>
      <w:r w:rsidRPr="00DB2291">
        <w:rPr>
          <w:i/>
        </w:rPr>
        <w:t xml:space="preserve"> up and </w:t>
      </w:r>
      <w:proofErr w:type="spellStart"/>
      <w:r w:rsidRPr="00DB2291">
        <w:rPr>
          <w:i/>
        </w:rPr>
        <w:t>delivery</w:t>
      </w:r>
      <w:proofErr w:type="spellEnd"/>
      <w:r w:rsidRPr="00DB2291">
        <w:rPr>
          <w:i/>
        </w:rPr>
        <w:t> </w:t>
      </w:r>
      <w:r>
        <w:t xml:space="preserve">» ainsi que les différents contextes dans lesquels les mesures ont été réalisées et le tout, selon lui, correspond aux situations de travail que le travailleur a connues à titre d’aide-livreur. En outre, </w:t>
      </w:r>
      <w:r w:rsidR="00201229">
        <w:t>66</w:t>
      </w:r>
      <w:r>
        <w:t xml:space="preserve"> mesures ont été faites couvrant toute une variété de situations de sorte que cette étude est d’un grand intérêt.</w:t>
      </w:r>
    </w:p>
    <w:p w14:paraId="07581BE9" w14:textId="77777777" w:rsidR="0038040C" w:rsidRDefault="0038040C" w:rsidP="0038040C">
      <w:pPr>
        <w:pStyle w:val="corpsdedcision"/>
        <w:tabs>
          <w:tab w:val="clear" w:pos="360"/>
          <w:tab w:val="num" w:pos="720"/>
        </w:tabs>
      </w:pPr>
      <w:r>
        <w:t xml:space="preserve">À la page 209, les résultats de mesures sont rapportés : Le résultat correspondant aux conditions du travailleur est de 84 </w:t>
      </w:r>
      <w:proofErr w:type="spellStart"/>
      <w:r>
        <w:t>dBA</w:t>
      </w:r>
      <w:proofErr w:type="spellEnd"/>
      <w:r>
        <w:t xml:space="preserve"> </w:t>
      </w:r>
      <w:proofErr w:type="spellStart"/>
      <w:r w:rsidRPr="00DB2291">
        <w:t>L</w:t>
      </w:r>
      <w:r w:rsidRPr="00DB2291">
        <w:rPr>
          <w:vertAlign w:val="subscript"/>
        </w:rPr>
        <w:t>eq</w:t>
      </w:r>
      <w:proofErr w:type="spellEnd"/>
      <w:r>
        <w:t xml:space="preserve">. De plus, à la page 210, il est possible de constater </w:t>
      </w:r>
      <w:r w:rsidR="008209E8">
        <w:t>au centre du tableau VI, que 51,</w:t>
      </w:r>
      <w:r w:rsidR="00445EDF">
        <w:t>5 </w:t>
      </w:r>
      <w:r>
        <w:t>% des échantillons de mesur</w:t>
      </w:r>
      <w:r w:rsidR="008209E8">
        <w:t xml:space="preserve">es sont au-dessus de 85 </w:t>
      </w:r>
      <w:proofErr w:type="spellStart"/>
      <w:r w:rsidR="008209E8">
        <w:t>dBA</w:t>
      </w:r>
      <w:proofErr w:type="spellEnd"/>
      <w:r w:rsidR="008209E8">
        <w:t>, 25,8</w:t>
      </w:r>
      <w:r w:rsidR="00445EDF">
        <w:t> </w:t>
      </w:r>
      <w:r w:rsidR="008209E8">
        <w:t xml:space="preserve">% au-dessus de 87 </w:t>
      </w:r>
      <w:proofErr w:type="spellStart"/>
      <w:r w:rsidR="008209E8">
        <w:t>dBA</w:t>
      </w:r>
      <w:proofErr w:type="spellEnd"/>
      <w:r w:rsidR="008209E8">
        <w:t xml:space="preserve"> et 1,</w:t>
      </w:r>
      <w:r>
        <w:t>5</w:t>
      </w:r>
      <w:r w:rsidR="00445EDF">
        <w:t> </w:t>
      </w:r>
      <w:r>
        <w:t xml:space="preserve">% au-dessus de 90 </w:t>
      </w:r>
      <w:proofErr w:type="spellStart"/>
      <w:r>
        <w:t>dBA</w:t>
      </w:r>
      <w:proofErr w:type="spellEnd"/>
      <w:r>
        <w:t>.</w:t>
      </w:r>
    </w:p>
    <w:p w14:paraId="5A336879" w14:textId="77777777" w:rsidR="0038040C" w:rsidRDefault="0038040C" w:rsidP="0038040C">
      <w:pPr>
        <w:pStyle w:val="corpsdedcision"/>
        <w:tabs>
          <w:tab w:val="clear" w:pos="360"/>
          <w:tab w:val="num" w:pos="720"/>
        </w:tabs>
      </w:pPr>
      <w:r>
        <w:lastRenderedPageBreak/>
        <w:t>L’auteur conclut aux pages 212 et 213, que les conducteurs sont non seulement exposés au bruit de leur camion</w:t>
      </w:r>
      <w:r w:rsidR="008209E8">
        <w:t>,</w:t>
      </w:r>
      <w:r>
        <w:t xml:space="preserve"> mais aussi aux bruits à l’extérieur de leur véhicule lors du chargement et du déchargement de la marchandise ainsi que ceux générés par l’utilisation d’équipement de transport</w:t>
      </w:r>
      <w:r w:rsidR="008209E8">
        <w:t>. Il réfère ainsi</w:t>
      </w:r>
      <w:r>
        <w:t xml:space="preserve"> </w:t>
      </w:r>
      <w:r w:rsidR="008209E8">
        <w:t>à l’utilisation de</w:t>
      </w:r>
      <w:r>
        <w:t xml:space="preserve"> diables en métal et </w:t>
      </w:r>
      <w:r w:rsidR="008209E8">
        <w:t>au</w:t>
      </w:r>
      <w:r>
        <w:t xml:space="preserve"> passage sur des passerelles métalliques entre le quai de chargement et le camion. Ces situations sont des sources de bruit décrites par le travailleur. Il s’agit donc d’une étude très valable</w:t>
      </w:r>
      <w:r w:rsidR="008209E8">
        <w:t>,</w:t>
      </w:r>
      <w:r>
        <w:t xml:space="preserve"> selon lui.</w:t>
      </w:r>
    </w:p>
    <w:p w14:paraId="013BD7F5" w14:textId="77777777" w:rsidR="0038040C" w:rsidRDefault="00904660" w:rsidP="0038040C">
      <w:pPr>
        <w:pStyle w:val="corpsdedcision"/>
        <w:tabs>
          <w:tab w:val="clear" w:pos="360"/>
          <w:tab w:val="num" w:pos="720"/>
        </w:tabs>
      </w:pPr>
      <w:r>
        <w:t>Monsieur Leroux souligne que les mesures de l’exposition au bruit doivent être réalisées selon la norme Z107.56-13, quatrième édition 2013 (T-13</w:t>
      </w:r>
      <w:r w:rsidR="00FB2051">
        <w:t>)</w:t>
      </w:r>
      <w:r>
        <w:t xml:space="preserve">. </w:t>
      </w:r>
      <w:r w:rsidR="0038040C">
        <w:t>Au point 1.4</w:t>
      </w:r>
      <w:r>
        <w:t xml:space="preserve"> de cette norme,</w:t>
      </w:r>
      <w:r w:rsidR="0038040C">
        <w:t xml:space="preserve"> il est écrit : </w:t>
      </w:r>
    </w:p>
    <w:p w14:paraId="6FD877FD" w14:textId="77777777" w:rsidR="0038040C" w:rsidRDefault="0038040C" w:rsidP="0038040C">
      <w:pPr>
        <w:pStyle w:val="citation"/>
      </w:pPr>
      <w:r>
        <w:t xml:space="preserve">Cette norme décrit des méthodes de mesure </w:t>
      </w:r>
      <w:proofErr w:type="gramStart"/>
      <w:r>
        <w:t>en terme de</w:t>
      </w:r>
      <w:proofErr w:type="gramEnd"/>
      <w:r>
        <w:t xml:space="preserve"> niveau de pression acoustique équivalent, </w:t>
      </w:r>
      <w:proofErr w:type="spellStart"/>
      <w:proofErr w:type="gramStart"/>
      <w:r>
        <w:t>L</w:t>
      </w:r>
      <w:r w:rsidRPr="00DB2291">
        <w:rPr>
          <w:vertAlign w:val="subscript"/>
        </w:rPr>
        <w:t>eq,t</w:t>
      </w:r>
      <w:proofErr w:type="spellEnd"/>
      <w:proofErr w:type="gramEnd"/>
      <w:r w:rsidRPr="00DB2291">
        <w:rPr>
          <w:vertAlign w:val="subscript"/>
        </w:rPr>
        <w:t xml:space="preserve"> </w:t>
      </w:r>
      <w:r>
        <w:t xml:space="preserve">(taux d’échange de 3 dB), et des méthodes permettant de calculer le niveau d’exposition au bruit, </w:t>
      </w:r>
      <w:proofErr w:type="spellStart"/>
      <w:proofErr w:type="gramStart"/>
      <w:r>
        <w:t>L</w:t>
      </w:r>
      <w:r w:rsidRPr="00DB2291">
        <w:rPr>
          <w:vertAlign w:val="subscript"/>
        </w:rPr>
        <w:t>ex,T</w:t>
      </w:r>
      <w:proofErr w:type="spellEnd"/>
      <w:proofErr w:type="gramEnd"/>
      <w:r>
        <w:t>, indépendamment du type de bruit. Elle donne également des méthodes permettant de calculer des quantités associées, comme le % de dose.</w:t>
      </w:r>
    </w:p>
    <w:p w14:paraId="5E8028A2" w14:textId="77777777" w:rsidR="0038040C" w:rsidRDefault="0038040C" w:rsidP="0038040C">
      <w:pPr>
        <w:pStyle w:val="citation"/>
      </w:pPr>
    </w:p>
    <w:p w14:paraId="75A3C0AA" w14:textId="77777777" w:rsidR="0038040C" w:rsidRDefault="0038040C" w:rsidP="0038040C">
      <w:pPr>
        <w:pStyle w:val="citation"/>
      </w:pPr>
      <w:r>
        <w:t>Cette norme peut aussi être utilisée pour la mesure de L</w:t>
      </w:r>
      <w:r w:rsidRPr="00DB2291">
        <w:rPr>
          <w:vertAlign w:val="subscript"/>
        </w:rPr>
        <w:t>OSHA</w:t>
      </w:r>
      <w:r>
        <w:t xml:space="preserve"> (taux d’échange de 5 dB) et pour le calcul des indices associés tel que décrit à l’annexe D. Dans ce cas, il est possible que les résultats ne soient pas représentatifs de l’exposition au bruit impulsif.</w:t>
      </w:r>
    </w:p>
    <w:p w14:paraId="26233697" w14:textId="77777777" w:rsidR="0038040C" w:rsidRDefault="0038040C" w:rsidP="0038040C">
      <w:pPr>
        <w:pStyle w:val="citation"/>
      </w:pPr>
    </w:p>
    <w:p w14:paraId="2FF209DC" w14:textId="77777777" w:rsidR="0038040C" w:rsidRDefault="0038040C" w:rsidP="0038040C">
      <w:pPr>
        <w:pStyle w:val="citation"/>
      </w:pPr>
    </w:p>
    <w:p w14:paraId="73710FF1" w14:textId="77777777" w:rsidR="0038040C" w:rsidRDefault="0038040C" w:rsidP="0038040C">
      <w:pPr>
        <w:pStyle w:val="corpsdedcision"/>
        <w:tabs>
          <w:tab w:val="clear" w:pos="360"/>
          <w:tab w:val="num" w:pos="720"/>
        </w:tabs>
      </w:pPr>
      <w:r>
        <w:t>Donc, explique monsieur Leroux, si les mesures dosimétriques sont faites en q=5, les bruits d’impact seront sous-représentés. Ainsi, lorsqu’on veut tout prendre en considération, y compris les bruits d’impact, il faut faire les mesures en q=3.</w:t>
      </w:r>
    </w:p>
    <w:p w14:paraId="537D7448" w14:textId="77777777" w:rsidR="0038040C" w:rsidRDefault="0038040C" w:rsidP="0038040C">
      <w:pPr>
        <w:pStyle w:val="corpsdedcision"/>
        <w:tabs>
          <w:tab w:val="clear" w:pos="360"/>
          <w:tab w:val="num" w:pos="720"/>
        </w:tabs>
      </w:pPr>
      <w:r w:rsidRPr="00DB2291">
        <w:t>Puis</w:t>
      </w:r>
      <w:r w:rsidR="00201229">
        <w:t>,</w:t>
      </w:r>
      <w:r w:rsidRPr="00DB2291">
        <w:t xml:space="preserve"> il</w:t>
      </w:r>
      <w:r w:rsidR="00201229">
        <w:t xml:space="preserve"> discute de la norme ISO </w:t>
      </w:r>
      <w:r w:rsidRPr="00DB2291">
        <w:t>1999, troisième édition, 201</w:t>
      </w:r>
      <w:r w:rsidR="00201229">
        <w:t xml:space="preserve">3 (T-14). Il s’agit d’une norme </w:t>
      </w:r>
      <w:r w:rsidRPr="00DB2291">
        <w:t>conçue sur la base d</w:t>
      </w:r>
      <w:r w:rsidR="00076404">
        <w:t>e</w:t>
      </w:r>
      <w:r w:rsidRPr="00DB2291">
        <w:t xml:space="preserve"> données recueillie auprès de véritables travailleurs et travailleuses qui ont été exposés au bruit pendant plusieurs années. C’est une base de données populationnelles qui permet d’estimer l’atteinte auditive causée par le bruit. Dans cette base de données, il y a aussi une autre norme intégrée qui permet de tenir compte de l’effet de l’âge sur la perte d’audition, soit la norme ISO 7029</w:t>
      </w:r>
      <w:r>
        <w:t>.</w:t>
      </w:r>
    </w:p>
    <w:p w14:paraId="0EE2BF02" w14:textId="77777777" w:rsidR="0038040C" w:rsidRPr="0084368F" w:rsidRDefault="0038040C" w:rsidP="0038040C">
      <w:pPr>
        <w:pStyle w:val="corpsdedcision"/>
        <w:tabs>
          <w:tab w:val="clear" w:pos="360"/>
          <w:tab w:val="num" w:pos="720"/>
        </w:tabs>
      </w:pPr>
      <w:r w:rsidRPr="0084368F">
        <w:t>Monsieur Leroux explique qu’en comparant les courbes audiométriques d’un individu aux valeurs attendues d’une population de référence présentant les mêmes caractéristiques, cela permet d’évaluer si ses seuils d’audition ressemblent à ceux de ladite population.</w:t>
      </w:r>
    </w:p>
    <w:p w14:paraId="2BC662D4" w14:textId="77777777" w:rsidR="0038040C" w:rsidRDefault="00201229" w:rsidP="0038040C">
      <w:pPr>
        <w:pStyle w:val="corpsdedcision"/>
      </w:pPr>
      <w:r>
        <w:t>Les</w:t>
      </w:r>
      <w:r w:rsidR="0038040C">
        <w:t xml:space="preserve"> auteurs précisent que l’utilisation de la norme, lorsqu’il y a présence de bruits au-delà de 140 dB, entraîne une sous-estimation du risque parce que la base de données n’a pas intégré ces niveaux de bruit. Il y aura également sous-estimation du risque si les journées de travail durent plus de 8 heures, par exemple </w:t>
      </w:r>
      <w:r w:rsidR="000666F9">
        <w:t>12</w:t>
      </w:r>
      <w:r w:rsidR="0038040C">
        <w:t xml:space="preserve"> heures. Toutefois, monsieur Leroux citant la norme (</w:t>
      </w:r>
      <w:r w:rsidR="0084368F">
        <w:t>T-14 -</w:t>
      </w:r>
      <w:r w:rsidR="0038040C">
        <w:t xml:space="preserve"> page 1, note 4), précise que l’extrapolation sera nécessaire si les journées de travail excèdent une durée de 12 heures.</w:t>
      </w:r>
    </w:p>
    <w:p w14:paraId="74CA3435" w14:textId="77777777" w:rsidR="0038040C" w:rsidRDefault="0038040C" w:rsidP="0038040C">
      <w:pPr>
        <w:pStyle w:val="corpsdedcision"/>
        <w:tabs>
          <w:tab w:val="clear" w:pos="360"/>
          <w:tab w:val="num" w:pos="720"/>
        </w:tabs>
      </w:pPr>
      <w:r>
        <w:lastRenderedPageBreak/>
        <w:t xml:space="preserve">Le tribunal a rapporté précédemment (paragraphe 33) le tableau 1 de l’expertise écrite de monsieur Leroux. On y retrouve les niveaux qu’il a estimés pour les différentes périodes de travail du travailleur. </w:t>
      </w:r>
    </w:p>
    <w:p w14:paraId="0C41C341" w14:textId="77777777" w:rsidR="0038040C" w:rsidRDefault="0038040C" w:rsidP="0038040C">
      <w:pPr>
        <w:pStyle w:val="corpsdedcision"/>
        <w:tabs>
          <w:tab w:val="clear" w:pos="360"/>
          <w:tab w:val="num" w:pos="720"/>
        </w:tabs>
      </w:pPr>
      <w:r>
        <w:t xml:space="preserve">À partir de ces données, </w:t>
      </w:r>
      <w:r w:rsidR="003D2E75">
        <w:t>il</w:t>
      </w:r>
      <w:r>
        <w:t xml:space="preserve"> estimait, au moment de rédiger son rapport d’expertise, que le niveau équivalent d’exposition continue au bruit sur l’ensemble de la carrière du travaill</w:t>
      </w:r>
      <w:r w:rsidR="0084368F">
        <w:t xml:space="preserve">eur était de 85,0 </w:t>
      </w:r>
      <w:proofErr w:type="spellStart"/>
      <w:r w:rsidR="0084368F">
        <w:t>dBA</w:t>
      </w:r>
      <w:proofErr w:type="spellEnd"/>
      <w:r w:rsidR="0084368F">
        <w:t xml:space="preserve"> durant 34,</w:t>
      </w:r>
      <w:r>
        <w:t xml:space="preserve">8 années. Toutefois, à la suite du témoignage du travailleur, </w:t>
      </w:r>
      <w:r w:rsidR="008209E8">
        <w:t>il a réduit cette</w:t>
      </w:r>
      <w:r>
        <w:t xml:space="preserve"> durée d’exposition carriè</w:t>
      </w:r>
      <w:r w:rsidR="008209E8">
        <w:t xml:space="preserve">re à 28,2 années, </w:t>
      </w:r>
      <w:r>
        <w:t>estima</w:t>
      </w:r>
      <w:r w:rsidR="008209E8">
        <w:t>nt</w:t>
      </w:r>
      <w:r>
        <w:t xml:space="preserve"> </w:t>
      </w:r>
      <w:r w:rsidR="008209E8">
        <w:t>le niveau de bruit moyen à</w:t>
      </w:r>
      <w:r>
        <w:t xml:space="preserve"> 84,0 </w:t>
      </w:r>
      <w:proofErr w:type="spellStart"/>
      <w:r>
        <w:t>dBA</w:t>
      </w:r>
      <w:proofErr w:type="spellEnd"/>
      <w:r>
        <w:t xml:space="preserve">. À cet effet, il dépose un nouveau tableau 1 </w:t>
      </w:r>
      <w:r w:rsidR="008209E8">
        <w:t>(</w:t>
      </w:r>
      <w:r>
        <w:t>T-20</w:t>
      </w:r>
      <w:r w:rsidR="008209E8">
        <w:t>)</w:t>
      </w:r>
      <w:r>
        <w:t xml:space="preserve">. Il souligne tout de même, à la page 17 de son rapport, laquelle a aussi été modifiée </w:t>
      </w:r>
      <w:r w:rsidR="008209E8">
        <w:t>(</w:t>
      </w:r>
      <w:r>
        <w:t>T-45</w:t>
      </w:r>
      <w:r w:rsidR="008209E8">
        <w:t>)</w:t>
      </w:r>
      <w:r>
        <w:t>, que ce niveau représente une dose en carrière entraînant un risque d’atteinte à l’audition selon l’OMS (OMS, 1999).</w:t>
      </w:r>
    </w:p>
    <w:p w14:paraId="51EC3A9A" w14:textId="77777777" w:rsidR="0038040C" w:rsidRDefault="0038040C" w:rsidP="0038040C">
      <w:pPr>
        <w:pStyle w:val="corpsdedcision"/>
        <w:tabs>
          <w:tab w:val="clear" w:pos="360"/>
          <w:tab w:val="num" w:pos="720"/>
        </w:tabs>
      </w:pPr>
      <w:r>
        <w:t>Puis, questionné au sujet de la norme ISO 1999 deuxième édition, 1990 (T-15), monsieur Leroux attire l’attention sur la note 3 de la section 1 « Domaine d’application ». Il y est écrit :</w:t>
      </w:r>
    </w:p>
    <w:p w14:paraId="6E91034E" w14:textId="77777777" w:rsidR="0038040C" w:rsidRPr="00AA7E32" w:rsidRDefault="0038040C" w:rsidP="0038040C">
      <w:pPr>
        <w:pStyle w:val="citation"/>
        <w:rPr>
          <w:u w:val="single"/>
        </w:rPr>
      </w:pPr>
      <w:proofErr w:type="gramStart"/>
      <w:r>
        <w:t>3  La</w:t>
      </w:r>
      <w:proofErr w:type="gramEnd"/>
      <w:r>
        <w:t xml:space="preserve"> méthode de prévision présentée ci-après s’appuie surtout sur les données se rapportant essentiellement à un bruit stable non tonal à bande large. L’application de la base de données à des bruits </w:t>
      </w:r>
      <w:proofErr w:type="spellStart"/>
      <w:r>
        <w:t>tonaux</w:t>
      </w:r>
      <w:proofErr w:type="spellEnd"/>
      <w:r>
        <w:t xml:space="preserve"> ou impulsionnels/de chocs représente la meilleure extrapolation possible</w:t>
      </w:r>
      <w:r w:rsidRPr="003463D2">
        <w:t>. Certains utilisateurs peuvent toutefois juger qu’un bruit tonal ou impulsionnel/de chocs est à peu près aussi nocif qu</w:t>
      </w:r>
      <w:r w:rsidRPr="00AA7E32">
        <w:t>’un bruit stable non tonal d’un niveau d’environ 5 dB supérieur.</w:t>
      </w:r>
    </w:p>
    <w:p w14:paraId="4C38AD9D" w14:textId="77777777" w:rsidR="0038040C" w:rsidRDefault="0038040C" w:rsidP="0038040C">
      <w:pPr>
        <w:pStyle w:val="citation"/>
      </w:pPr>
    </w:p>
    <w:p w14:paraId="356937A1" w14:textId="77777777" w:rsidR="0038040C" w:rsidRDefault="0038040C" w:rsidP="0038040C">
      <w:pPr>
        <w:pStyle w:val="citation"/>
      </w:pPr>
    </w:p>
    <w:p w14:paraId="2087DBEE" w14:textId="77777777" w:rsidR="0038040C" w:rsidRDefault="0038040C" w:rsidP="0038040C">
      <w:pPr>
        <w:pStyle w:val="corpsdedcision"/>
        <w:tabs>
          <w:tab w:val="clear" w:pos="360"/>
          <w:tab w:val="num" w:pos="720"/>
        </w:tabs>
      </w:pPr>
      <w:r>
        <w:t>Il fait valoir que cette « provision » de 5 dB n’est plus présente dans la version 2013 de la norme ISO 1999. La raison à cela est que les méthodes de mesure qui étaient les plus répandues à l’époque de la deuxième version ne permettaient pas de prendre de façon correcte une mesure des bruits impulsionnels. Il réfère alors à trois documents (T</w:t>
      </w:r>
      <w:r w:rsidR="00076404">
        <w:noBreakHyphen/>
      </w:r>
      <w:r>
        <w:t xml:space="preserve">16, T-17 et T-18) pour illustrer cette situation. </w:t>
      </w:r>
    </w:p>
    <w:p w14:paraId="170CF508" w14:textId="77777777" w:rsidR="003D2E75" w:rsidRDefault="003D2E75" w:rsidP="0038040C">
      <w:pPr>
        <w:pStyle w:val="corpsdedcision"/>
        <w:tabs>
          <w:tab w:val="clear" w:pos="360"/>
          <w:tab w:val="num" w:pos="720"/>
        </w:tabs>
      </w:pPr>
      <w:r>
        <w:t>Ces publications démontrent que</w:t>
      </w:r>
      <w:r w:rsidR="00853845">
        <w:t xml:space="preserve"> les résultats de dosimétrie faite selon OSHA sont toujours en</w:t>
      </w:r>
      <w:r w:rsidR="004F182B">
        <w:t xml:space="preserve"> </w:t>
      </w:r>
      <w:r w:rsidR="00853845">
        <w:t xml:space="preserve">deçà des mesures faites selon la norme ISO 1999. Ainsi, dans une zone de 80 à 85 </w:t>
      </w:r>
      <w:proofErr w:type="spellStart"/>
      <w:r w:rsidR="00853845">
        <w:t>dBA</w:t>
      </w:r>
      <w:proofErr w:type="spellEnd"/>
      <w:r w:rsidR="00853845">
        <w:t xml:space="preserve"> pour 8 heures,</w:t>
      </w:r>
      <w:r>
        <w:t xml:space="preserve"> la différence moyenne des mesu</w:t>
      </w:r>
      <w:r w:rsidR="00853845">
        <w:t>res faites selon OSHA versus</w:t>
      </w:r>
      <w:r>
        <w:t xml:space="preserve"> celles faites selon la norme ISO 1999 est de l’ordre</w:t>
      </w:r>
      <w:r w:rsidR="00BA0B3B">
        <w:t xml:space="preserve"> 6,</w:t>
      </w:r>
      <w:r w:rsidR="00853845">
        <w:t xml:space="preserve">6 </w:t>
      </w:r>
      <w:proofErr w:type="spellStart"/>
      <w:r w:rsidR="00853845">
        <w:t>dBA</w:t>
      </w:r>
      <w:proofErr w:type="spellEnd"/>
      <w:r w:rsidR="00853845">
        <w:t>.</w:t>
      </w:r>
    </w:p>
    <w:p w14:paraId="6720F6E4" w14:textId="77777777" w:rsidR="00FB2051" w:rsidRDefault="0038040C" w:rsidP="00E43683">
      <w:pPr>
        <w:pStyle w:val="corpsdedcision"/>
        <w:tabs>
          <w:tab w:val="clear" w:pos="360"/>
          <w:tab w:val="num" w:pos="720"/>
        </w:tabs>
      </w:pPr>
      <w:r>
        <w:t xml:space="preserve">Monsieur Leroux discute par la suite des informations techniques en lien avec les méthodes de mesure de bruit utilisées par </w:t>
      </w:r>
      <w:r w:rsidR="00853845">
        <w:t>l’ingénieur</w:t>
      </w:r>
      <w:r>
        <w:t xml:space="preserve"> Torikian lors de son étude de bruit réalisée en juillet 2014. </w:t>
      </w:r>
    </w:p>
    <w:p w14:paraId="76AC7180" w14:textId="77777777" w:rsidR="0038040C" w:rsidRDefault="0038040C" w:rsidP="00E43683">
      <w:pPr>
        <w:pStyle w:val="corpsdedcision"/>
        <w:tabs>
          <w:tab w:val="clear" w:pos="360"/>
          <w:tab w:val="num" w:pos="720"/>
        </w:tabs>
      </w:pPr>
      <w:r>
        <w:t>À partir des résultats de dosimétrie</w:t>
      </w:r>
      <w:r w:rsidR="00853845">
        <w:t xml:space="preserve"> des pages 5, 6 et 7 du rapport</w:t>
      </w:r>
      <w:r>
        <w:t xml:space="preserve">, </w:t>
      </w:r>
      <w:r w:rsidR="00853845">
        <w:t>il</w:t>
      </w:r>
      <w:r>
        <w:t xml:space="preserve"> </w:t>
      </w:r>
      <w:r w:rsidR="007669D3">
        <w:t>a réalisé un tableau synthèse (</w:t>
      </w:r>
      <w:r>
        <w:t xml:space="preserve">T-19) dont il a exclu trois données soit, la mesure dosimétrique faite uniquement dans le camion parce que le travailleur n’est pas toujours assis dans son camion et cette mesure n’est pas représentative du travail qui est fait; il a aussi enlevé </w:t>
      </w:r>
      <w:r>
        <w:lastRenderedPageBreak/>
        <w:t>deux données obtenues lors de transport longue distance</w:t>
      </w:r>
      <w:r w:rsidR="0033072A">
        <w:t>,</w:t>
      </w:r>
      <w:r>
        <w:t xml:space="preserve"> car le travailleur n’en a jamais fait.</w:t>
      </w:r>
    </w:p>
    <w:p w14:paraId="508B3230" w14:textId="77777777" w:rsidR="0038040C" w:rsidRDefault="0038040C" w:rsidP="0038040C">
      <w:pPr>
        <w:pStyle w:val="corpsdedcision"/>
        <w:tabs>
          <w:tab w:val="clear" w:pos="360"/>
          <w:tab w:val="num" w:pos="720"/>
        </w:tabs>
      </w:pPr>
      <w:r>
        <w:t xml:space="preserve">La moyenne des 16 données conservées est 82,1 </w:t>
      </w:r>
      <w:proofErr w:type="spellStart"/>
      <w:r>
        <w:t>dBA</w:t>
      </w:r>
      <w:proofErr w:type="spellEnd"/>
      <w:r>
        <w:t xml:space="preserve"> et monsieur Leroux considère ce résultat représentatif des conditions de travail qui prévalaient pour le travailleur </w:t>
      </w:r>
      <w:r w:rsidR="00853845">
        <w:t>lors du</w:t>
      </w:r>
      <w:r>
        <w:t xml:space="preserve"> travail avec les paniers et les bouteilles en plastique. Il précise que ce ne l’est toutef</w:t>
      </w:r>
      <w:r w:rsidR="00FB2051">
        <w:t>ois pas pour l’époque des caisses</w:t>
      </w:r>
      <w:r>
        <w:t xml:space="preserve"> en bois et des bouteilles en verre.</w:t>
      </w:r>
    </w:p>
    <w:p w14:paraId="07112A7E" w14:textId="77777777" w:rsidR="002D4360" w:rsidRDefault="00DC6F2D" w:rsidP="002D4360">
      <w:pPr>
        <w:pStyle w:val="corpsdedcision"/>
        <w:tabs>
          <w:tab w:val="clear" w:pos="360"/>
          <w:tab w:val="num" w:pos="720"/>
        </w:tabs>
      </w:pPr>
      <w:r>
        <w:t>Tel qu’indiqué, il a</w:t>
      </w:r>
      <w:r w:rsidR="002D4360">
        <w:t xml:space="preserve"> refait le tableau 1 de son rapport d’expertise (T-20), pour tenir compte des nouvelles données de temps d’exposition obtenues lors du témoignage du travailleur. Il a ainsi exclu la période où le </w:t>
      </w:r>
      <w:r w:rsidR="002D4360" w:rsidRPr="001F4FEB">
        <w:t>travailleur</w:t>
      </w:r>
      <w:r w:rsidR="002D4360">
        <w:t xml:space="preserve"> est cariste, puisque celle-ci est postérieure à sa réclamation pour surdité professionnelle. Le nou</w:t>
      </w:r>
      <w:r w:rsidR="0084368F">
        <w:t xml:space="preserve">veau total d’heures est donc 56 </w:t>
      </w:r>
      <w:r w:rsidR="002D4360">
        <w:t>433 ou 28,2 années d’exposition carrière :</w:t>
      </w:r>
    </w:p>
    <w:p w14:paraId="3897C917" w14:textId="77777777" w:rsidR="002D4360" w:rsidRPr="00F90FF6" w:rsidRDefault="002D4360" w:rsidP="002D4360">
      <w:pPr>
        <w:pStyle w:val="citation"/>
      </w:pPr>
      <w:r w:rsidRPr="00F90FF6">
        <w:t>Tableau 1 – Sommaire de la durée et du niveau d’exposition au bruit par poste de travail</w:t>
      </w:r>
    </w:p>
    <w:tbl>
      <w:tblPr>
        <w:tblStyle w:val="TableGrid"/>
        <w:tblW w:w="0" w:type="auto"/>
        <w:tblInd w:w="817" w:type="dxa"/>
        <w:tblLook w:val="04A0" w:firstRow="1" w:lastRow="0" w:firstColumn="1" w:lastColumn="0" w:noHBand="0" w:noVBand="1"/>
      </w:tblPr>
      <w:tblGrid>
        <w:gridCol w:w="2835"/>
        <w:gridCol w:w="2209"/>
        <w:gridCol w:w="3119"/>
      </w:tblGrid>
      <w:tr w:rsidR="002D4360" w:rsidRPr="007C2AA6" w14:paraId="0F26C936" w14:textId="77777777" w:rsidTr="000550DE">
        <w:tc>
          <w:tcPr>
            <w:tcW w:w="2835" w:type="dxa"/>
          </w:tcPr>
          <w:p w14:paraId="320A3C5E" w14:textId="77777777" w:rsidR="002D4360" w:rsidRPr="007C2AA6" w:rsidRDefault="002D4360" w:rsidP="000550DE">
            <w:pPr>
              <w:pStyle w:val="citation"/>
              <w:rPr>
                <w:b/>
                <w:sz w:val="14"/>
                <w:szCs w:val="14"/>
              </w:rPr>
            </w:pPr>
            <w:r w:rsidRPr="007C2AA6">
              <w:rPr>
                <w:b/>
                <w:sz w:val="14"/>
                <w:szCs w:val="14"/>
              </w:rPr>
              <w:t>Poste de travail</w:t>
            </w:r>
          </w:p>
        </w:tc>
        <w:tc>
          <w:tcPr>
            <w:tcW w:w="2209" w:type="dxa"/>
          </w:tcPr>
          <w:p w14:paraId="4DBAA0CA" w14:textId="77777777" w:rsidR="002D4360" w:rsidRPr="007C2AA6" w:rsidRDefault="002D4360" w:rsidP="000550DE">
            <w:pPr>
              <w:pStyle w:val="citation"/>
              <w:rPr>
                <w:b/>
                <w:sz w:val="14"/>
                <w:szCs w:val="14"/>
              </w:rPr>
            </w:pPr>
            <w:r w:rsidRPr="007C2AA6">
              <w:rPr>
                <w:b/>
                <w:sz w:val="14"/>
                <w:szCs w:val="14"/>
              </w:rPr>
              <w:t>Durée (heures)</w:t>
            </w:r>
          </w:p>
        </w:tc>
        <w:tc>
          <w:tcPr>
            <w:tcW w:w="3119" w:type="dxa"/>
          </w:tcPr>
          <w:p w14:paraId="0BB73988" w14:textId="77777777" w:rsidR="002D4360" w:rsidRPr="007C2AA6" w:rsidRDefault="002D4360" w:rsidP="000550DE">
            <w:pPr>
              <w:pStyle w:val="citation"/>
              <w:rPr>
                <w:b/>
                <w:sz w:val="14"/>
                <w:szCs w:val="14"/>
              </w:rPr>
            </w:pPr>
            <w:r w:rsidRPr="007C2AA6">
              <w:rPr>
                <w:b/>
                <w:sz w:val="14"/>
                <w:szCs w:val="14"/>
              </w:rPr>
              <w:t>Niveau (</w:t>
            </w:r>
            <w:proofErr w:type="spellStart"/>
            <w:r w:rsidRPr="007C2AA6">
              <w:rPr>
                <w:b/>
                <w:sz w:val="14"/>
                <w:szCs w:val="14"/>
              </w:rPr>
              <w:t>dBA</w:t>
            </w:r>
            <w:proofErr w:type="spellEnd"/>
            <w:r w:rsidRPr="007C2AA6">
              <w:rPr>
                <w:b/>
                <w:sz w:val="14"/>
                <w:szCs w:val="14"/>
              </w:rPr>
              <w:t>)</w:t>
            </w:r>
          </w:p>
        </w:tc>
      </w:tr>
      <w:tr w:rsidR="002D4360" w:rsidRPr="00AA5D3A" w14:paraId="4BCD8B29" w14:textId="77777777" w:rsidTr="000550DE">
        <w:tc>
          <w:tcPr>
            <w:tcW w:w="2835" w:type="dxa"/>
          </w:tcPr>
          <w:p w14:paraId="5E01D5F0" w14:textId="77777777" w:rsidR="002D4360" w:rsidRPr="007C2AA6" w:rsidRDefault="002D4360" w:rsidP="000550DE">
            <w:pPr>
              <w:pStyle w:val="citation"/>
              <w:rPr>
                <w:sz w:val="12"/>
                <w:szCs w:val="12"/>
              </w:rPr>
            </w:pPr>
          </w:p>
          <w:p w14:paraId="0779304F" w14:textId="77777777" w:rsidR="002D4360" w:rsidRPr="007C2AA6" w:rsidRDefault="002D4360" w:rsidP="000550DE">
            <w:pPr>
              <w:pStyle w:val="citation"/>
              <w:rPr>
                <w:sz w:val="12"/>
                <w:szCs w:val="12"/>
              </w:rPr>
            </w:pPr>
            <w:r w:rsidRPr="007C2AA6">
              <w:rPr>
                <w:sz w:val="12"/>
                <w:szCs w:val="12"/>
              </w:rPr>
              <w:t>Aide-livreur (2</w:t>
            </w:r>
            <w:r w:rsidRPr="007C2AA6">
              <w:rPr>
                <w:sz w:val="12"/>
                <w:szCs w:val="12"/>
                <w:vertAlign w:val="superscript"/>
              </w:rPr>
              <w:t>e</w:t>
            </w:r>
            <w:r w:rsidRPr="007C2AA6">
              <w:rPr>
                <w:sz w:val="12"/>
                <w:szCs w:val="12"/>
              </w:rPr>
              <w:t xml:space="preserve"> ou 3</w:t>
            </w:r>
            <w:r w:rsidRPr="007C2AA6">
              <w:rPr>
                <w:sz w:val="12"/>
                <w:szCs w:val="12"/>
                <w:vertAlign w:val="superscript"/>
              </w:rPr>
              <w:t>e</w:t>
            </w:r>
            <w:r w:rsidRPr="007C2AA6">
              <w:rPr>
                <w:sz w:val="12"/>
                <w:szCs w:val="12"/>
              </w:rPr>
              <w:t xml:space="preserve"> homme)</w:t>
            </w:r>
          </w:p>
          <w:p w14:paraId="4F3EEB30" w14:textId="77777777" w:rsidR="002D4360" w:rsidRPr="007C2AA6" w:rsidRDefault="002D4360" w:rsidP="000550DE">
            <w:pPr>
              <w:pStyle w:val="citation"/>
              <w:rPr>
                <w:sz w:val="12"/>
                <w:szCs w:val="12"/>
              </w:rPr>
            </w:pPr>
            <w:r w:rsidRPr="007C2AA6">
              <w:rPr>
                <w:sz w:val="12"/>
                <w:szCs w:val="12"/>
              </w:rPr>
              <w:t xml:space="preserve">Mai 1978 à </w:t>
            </w:r>
            <w:r>
              <w:rPr>
                <w:sz w:val="12"/>
                <w:szCs w:val="12"/>
              </w:rPr>
              <w:t>décembre 1995</w:t>
            </w:r>
          </w:p>
          <w:p w14:paraId="3BD17BE3" w14:textId="77777777" w:rsidR="002D4360" w:rsidRPr="007C2AA6" w:rsidRDefault="002D4360" w:rsidP="000550DE">
            <w:pPr>
              <w:pStyle w:val="citation"/>
              <w:rPr>
                <w:sz w:val="12"/>
                <w:szCs w:val="12"/>
              </w:rPr>
            </w:pPr>
            <w:r>
              <w:rPr>
                <w:sz w:val="12"/>
                <w:szCs w:val="12"/>
              </w:rPr>
              <w:t>Tout type de livraison confondue</w:t>
            </w:r>
          </w:p>
        </w:tc>
        <w:tc>
          <w:tcPr>
            <w:tcW w:w="2209" w:type="dxa"/>
          </w:tcPr>
          <w:p w14:paraId="6E8A7912" w14:textId="77777777" w:rsidR="002D4360" w:rsidRPr="007C2AA6" w:rsidRDefault="002D4360" w:rsidP="000550DE">
            <w:pPr>
              <w:pStyle w:val="citation"/>
              <w:rPr>
                <w:sz w:val="12"/>
                <w:szCs w:val="12"/>
              </w:rPr>
            </w:pPr>
          </w:p>
          <w:p w14:paraId="51539DED" w14:textId="77777777" w:rsidR="002D4360" w:rsidRPr="00C56361" w:rsidRDefault="002D4360" w:rsidP="000550DE">
            <w:pPr>
              <w:pStyle w:val="citation"/>
              <w:rPr>
                <w:sz w:val="12"/>
                <w:szCs w:val="12"/>
                <w:vertAlign w:val="superscript"/>
              </w:rPr>
            </w:pPr>
            <w:r>
              <w:rPr>
                <w:sz w:val="12"/>
                <w:szCs w:val="12"/>
              </w:rPr>
              <w:t>31 728</w:t>
            </w:r>
            <w:r>
              <w:rPr>
                <w:sz w:val="12"/>
                <w:szCs w:val="12"/>
                <w:vertAlign w:val="superscript"/>
              </w:rPr>
              <w:t>1</w:t>
            </w:r>
          </w:p>
        </w:tc>
        <w:tc>
          <w:tcPr>
            <w:tcW w:w="3119" w:type="dxa"/>
          </w:tcPr>
          <w:p w14:paraId="0FDE66A4" w14:textId="77777777" w:rsidR="002D4360" w:rsidRPr="007C2AA6" w:rsidRDefault="002D4360" w:rsidP="000550DE">
            <w:pPr>
              <w:pStyle w:val="citation"/>
              <w:rPr>
                <w:sz w:val="12"/>
                <w:szCs w:val="12"/>
              </w:rPr>
            </w:pPr>
            <w:r w:rsidRPr="007C2AA6">
              <w:rPr>
                <w:sz w:val="12"/>
                <w:szCs w:val="12"/>
              </w:rPr>
              <w:t>85,4</w:t>
            </w:r>
          </w:p>
          <w:p w14:paraId="62145760" w14:textId="77777777" w:rsidR="002D4360" w:rsidRPr="007C2AA6" w:rsidRDefault="002D4360" w:rsidP="00076404">
            <w:pPr>
              <w:pStyle w:val="citation"/>
              <w:ind w:right="230"/>
              <w:rPr>
                <w:sz w:val="12"/>
                <w:szCs w:val="12"/>
              </w:rPr>
            </w:pPr>
            <w:r w:rsidRPr="007C2AA6">
              <w:rPr>
                <w:sz w:val="12"/>
                <w:szCs w:val="12"/>
              </w:rPr>
              <w:t>Dosimétrie Hygiène Conseils</w:t>
            </w:r>
          </w:p>
          <w:p w14:paraId="4168E7C0" w14:textId="77777777" w:rsidR="002D4360" w:rsidRPr="007C2AA6" w:rsidRDefault="002D4360" w:rsidP="000550DE">
            <w:pPr>
              <w:pStyle w:val="citation"/>
              <w:rPr>
                <w:sz w:val="12"/>
                <w:szCs w:val="12"/>
              </w:rPr>
            </w:pPr>
            <w:r w:rsidRPr="007C2AA6">
              <w:rPr>
                <w:sz w:val="12"/>
                <w:szCs w:val="12"/>
              </w:rPr>
              <w:t>Dosimétrie (</w:t>
            </w:r>
            <w:proofErr w:type="spellStart"/>
            <w:r w:rsidRPr="007C2AA6">
              <w:rPr>
                <w:sz w:val="12"/>
                <w:szCs w:val="12"/>
              </w:rPr>
              <w:t>Seshagiri</w:t>
            </w:r>
            <w:proofErr w:type="spellEnd"/>
            <w:r w:rsidRPr="007C2AA6">
              <w:rPr>
                <w:sz w:val="12"/>
                <w:szCs w:val="12"/>
              </w:rPr>
              <w:t xml:space="preserve"> 1998)</w:t>
            </w:r>
          </w:p>
          <w:p w14:paraId="708F7D79" w14:textId="77777777" w:rsidR="002D4360" w:rsidRPr="007C2AA6" w:rsidRDefault="002D4360" w:rsidP="000550DE">
            <w:pPr>
              <w:pStyle w:val="citation"/>
              <w:rPr>
                <w:sz w:val="12"/>
                <w:szCs w:val="12"/>
              </w:rPr>
            </w:pPr>
            <w:r w:rsidRPr="007C2AA6">
              <w:rPr>
                <w:sz w:val="12"/>
                <w:szCs w:val="12"/>
              </w:rPr>
              <w:t>Présence de bruits d’impact</w:t>
            </w:r>
          </w:p>
        </w:tc>
      </w:tr>
      <w:tr w:rsidR="002D4360" w:rsidRPr="00F90FF6" w14:paraId="772D9330" w14:textId="77777777" w:rsidTr="000550DE">
        <w:tc>
          <w:tcPr>
            <w:tcW w:w="2835" w:type="dxa"/>
          </w:tcPr>
          <w:p w14:paraId="276075A5" w14:textId="77777777" w:rsidR="002D4360" w:rsidRPr="007C2AA6" w:rsidRDefault="002D4360" w:rsidP="000550DE">
            <w:pPr>
              <w:pStyle w:val="citation"/>
              <w:rPr>
                <w:sz w:val="12"/>
                <w:szCs w:val="12"/>
              </w:rPr>
            </w:pPr>
          </w:p>
          <w:p w14:paraId="3A8DF4F0" w14:textId="77777777" w:rsidR="002D4360" w:rsidRPr="007C2AA6" w:rsidRDefault="002D4360" w:rsidP="00076404">
            <w:pPr>
              <w:pStyle w:val="citation"/>
              <w:ind w:right="288"/>
              <w:rPr>
                <w:sz w:val="12"/>
                <w:szCs w:val="12"/>
              </w:rPr>
            </w:pPr>
            <w:r w:rsidRPr="007C2AA6">
              <w:rPr>
                <w:sz w:val="12"/>
                <w:szCs w:val="12"/>
              </w:rPr>
              <w:t>Aide-livreur (2</w:t>
            </w:r>
            <w:r w:rsidRPr="007C2AA6">
              <w:rPr>
                <w:sz w:val="12"/>
                <w:szCs w:val="12"/>
                <w:vertAlign w:val="superscript"/>
              </w:rPr>
              <w:t>e</w:t>
            </w:r>
            <w:r w:rsidRPr="007C2AA6">
              <w:rPr>
                <w:sz w:val="12"/>
                <w:szCs w:val="12"/>
              </w:rPr>
              <w:t xml:space="preserve"> homme)</w:t>
            </w:r>
          </w:p>
          <w:p w14:paraId="72FA654A" w14:textId="77777777" w:rsidR="002D4360" w:rsidRPr="007C2AA6" w:rsidRDefault="002D4360" w:rsidP="000550DE">
            <w:pPr>
              <w:pStyle w:val="citation"/>
              <w:rPr>
                <w:sz w:val="12"/>
                <w:szCs w:val="12"/>
              </w:rPr>
            </w:pPr>
            <w:r>
              <w:rPr>
                <w:sz w:val="12"/>
                <w:szCs w:val="12"/>
              </w:rPr>
              <w:t>Janvier 1996</w:t>
            </w:r>
            <w:r w:rsidRPr="007C2AA6">
              <w:rPr>
                <w:sz w:val="12"/>
                <w:szCs w:val="12"/>
              </w:rPr>
              <w:t xml:space="preserve"> à </w:t>
            </w:r>
            <w:r>
              <w:rPr>
                <w:sz w:val="12"/>
                <w:szCs w:val="12"/>
              </w:rPr>
              <w:t>octobre 2012 Vrac/</w:t>
            </w:r>
            <w:r w:rsidRPr="007C2AA6">
              <w:rPr>
                <w:sz w:val="12"/>
                <w:szCs w:val="12"/>
              </w:rPr>
              <w:t>Conventionnelle</w:t>
            </w:r>
          </w:p>
        </w:tc>
        <w:tc>
          <w:tcPr>
            <w:tcW w:w="2209" w:type="dxa"/>
          </w:tcPr>
          <w:p w14:paraId="0B0CBA60" w14:textId="77777777" w:rsidR="002D4360" w:rsidRPr="007C2AA6" w:rsidRDefault="002D4360" w:rsidP="000550DE">
            <w:pPr>
              <w:pStyle w:val="citation"/>
              <w:rPr>
                <w:sz w:val="12"/>
                <w:szCs w:val="12"/>
              </w:rPr>
            </w:pPr>
          </w:p>
          <w:p w14:paraId="0256BD56" w14:textId="77777777" w:rsidR="002D4360" w:rsidRDefault="002D4360" w:rsidP="000550DE">
            <w:pPr>
              <w:pStyle w:val="citation"/>
              <w:rPr>
                <w:sz w:val="12"/>
                <w:szCs w:val="12"/>
                <w:vertAlign w:val="superscript"/>
              </w:rPr>
            </w:pPr>
            <w:r>
              <w:rPr>
                <w:sz w:val="12"/>
                <w:szCs w:val="12"/>
              </w:rPr>
              <w:t>3 360</w:t>
            </w:r>
            <w:r>
              <w:rPr>
                <w:sz w:val="12"/>
                <w:szCs w:val="12"/>
                <w:vertAlign w:val="superscript"/>
              </w:rPr>
              <w:t>2</w:t>
            </w:r>
          </w:p>
          <w:p w14:paraId="54AA3228" w14:textId="77777777" w:rsidR="002D4360" w:rsidRDefault="002D4360" w:rsidP="000550DE">
            <w:pPr>
              <w:pStyle w:val="citation"/>
              <w:ind w:left="0"/>
              <w:rPr>
                <w:sz w:val="12"/>
                <w:szCs w:val="12"/>
              </w:rPr>
            </w:pPr>
            <w:r>
              <w:rPr>
                <w:sz w:val="12"/>
                <w:szCs w:val="12"/>
                <w:vertAlign w:val="superscript"/>
              </w:rPr>
              <w:t xml:space="preserve">                     </w:t>
            </w:r>
            <w:r w:rsidRPr="00C56361">
              <w:rPr>
                <w:sz w:val="12"/>
                <w:szCs w:val="12"/>
              </w:rPr>
              <w:t>(1996 à 2002)</w:t>
            </w:r>
          </w:p>
          <w:p w14:paraId="2052FEEE" w14:textId="77777777" w:rsidR="002D4360" w:rsidRDefault="002D4360" w:rsidP="000550DE">
            <w:pPr>
              <w:pStyle w:val="citation"/>
              <w:ind w:left="0"/>
              <w:rPr>
                <w:sz w:val="12"/>
                <w:szCs w:val="12"/>
              </w:rPr>
            </w:pPr>
          </w:p>
          <w:p w14:paraId="2B0AA523" w14:textId="77777777" w:rsidR="002D4360" w:rsidRDefault="002D4360" w:rsidP="000550DE">
            <w:pPr>
              <w:pStyle w:val="citation"/>
              <w:rPr>
                <w:sz w:val="12"/>
                <w:szCs w:val="12"/>
              </w:rPr>
            </w:pPr>
          </w:p>
          <w:p w14:paraId="526DFDCA" w14:textId="77777777" w:rsidR="002D4360" w:rsidRDefault="002D4360" w:rsidP="000550DE">
            <w:pPr>
              <w:pStyle w:val="citation"/>
              <w:rPr>
                <w:sz w:val="12"/>
                <w:szCs w:val="12"/>
              </w:rPr>
            </w:pPr>
          </w:p>
          <w:p w14:paraId="60AE128F" w14:textId="77777777" w:rsidR="002D4360" w:rsidRDefault="002D4360" w:rsidP="000550DE">
            <w:pPr>
              <w:pStyle w:val="citation"/>
              <w:rPr>
                <w:sz w:val="12"/>
                <w:szCs w:val="12"/>
              </w:rPr>
            </w:pPr>
            <w:r>
              <w:rPr>
                <w:sz w:val="12"/>
                <w:szCs w:val="12"/>
              </w:rPr>
              <w:t xml:space="preserve">               9 597</w:t>
            </w:r>
            <w:r>
              <w:rPr>
                <w:sz w:val="12"/>
                <w:szCs w:val="12"/>
                <w:vertAlign w:val="superscript"/>
              </w:rPr>
              <w:t>2</w:t>
            </w:r>
          </w:p>
          <w:p w14:paraId="110AF289" w14:textId="77777777" w:rsidR="002D4360" w:rsidRPr="00C56361" w:rsidRDefault="002D4360" w:rsidP="000550DE">
            <w:pPr>
              <w:pStyle w:val="citation"/>
              <w:ind w:left="0"/>
              <w:rPr>
                <w:sz w:val="12"/>
                <w:szCs w:val="12"/>
              </w:rPr>
            </w:pPr>
            <w:r>
              <w:rPr>
                <w:sz w:val="12"/>
                <w:szCs w:val="12"/>
              </w:rPr>
              <w:t xml:space="preserve">               (2003 à 2012)</w:t>
            </w:r>
          </w:p>
        </w:tc>
        <w:tc>
          <w:tcPr>
            <w:tcW w:w="3119" w:type="dxa"/>
          </w:tcPr>
          <w:p w14:paraId="6C072B89" w14:textId="77777777" w:rsidR="002D4360" w:rsidRPr="007C2AA6" w:rsidRDefault="002D4360" w:rsidP="000550DE">
            <w:pPr>
              <w:pStyle w:val="citation"/>
              <w:rPr>
                <w:sz w:val="12"/>
                <w:szCs w:val="12"/>
              </w:rPr>
            </w:pPr>
            <w:r w:rsidRPr="007C2AA6">
              <w:rPr>
                <w:sz w:val="12"/>
                <w:szCs w:val="12"/>
              </w:rPr>
              <w:t>85,4</w:t>
            </w:r>
          </w:p>
          <w:p w14:paraId="6A1E28B1" w14:textId="77777777" w:rsidR="002D4360" w:rsidRPr="007C2AA6" w:rsidRDefault="002D4360" w:rsidP="00076404">
            <w:pPr>
              <w:pStyle w:val="citation"/>
              <w:ind w:right="88"/>
              <w:rPr>
                <w:sz w:val="12"/>
                <w:szCs w:val="12"/>
              </w:rPr>
            </w:pPr>
            <w:r w:rsidRPr="007C2AA6">
              <w:rPr>
                <w:sz w:val="12"/>
                <w:szCs w:val="12"/>
              </w:rPr>
              <w:t>Dosimétrie Hygiène Conseils</w:t>
            </w:r>
          </w:p>
          <w:p w14:paraId="220C0D28" w14:textId="77777777" w:rsidR="002D4360" w:rsidRPr="007C2AA6" w:rsidRDefault="002D4360" w:rsidP="000550DE">
            <w:pPr>
              <w:pStyle w:val="citation"/>
              <w:rPr>
                <w:sz w:val="12"/>
                <w:szCs w:val="12"/>
              </w:rPr>
            </w:pPr>
            <w:r w:rsidRPr="007C2AA6">
              <w:rPr>
                <w:sz w:val="12"/>
                <w:szCs w:val="12"/>
              </w:rPr>
              <w:t>Dosimétrie (</w:t>
            </w:r>
            <w:proofErr w:type="spellStart"/>
            <w:r w:rsidRPr="007C2AA6">
              <w:rPr>
                <w:sz w:val="12"/>
                <w:szCs w:val="12"/>
              </w:rPr>
              <w:t>Seshagiri</w:t>
            </w:r>
            <w:proofErr w:type="spellEnd"/>
            <w:r w:rsidRPr="007C2AA6">
              <w:rPr>
                <w:sz w:val="12"/>
                <w:szCs w:val="12"/>
              </w:rPr>
              <w:t>, 1998)</w:t>
            </w:r>
          </w:p>
          <w:p w14:paraId="43617EDD" w14:textId="77777777" w:rsidR="002D4360" w:rsidRPr="007C2AA6" w:rsidRDefault="002D4360" w:rsidP="000550DE">
            <w:pPr>
              <w:pStyle w:val="citation"/>
              <w:rPr>
                <w:sz w:val="12"/>
                <w:szCs w:val="12"/>
              </w:rPr>
            </w:pPr>
            <w:r w:rsidRPr="007C2AA6">
              <w:rPr>
                <w:sz w:val="12"/>
                <w:szCs w:val="12"/>
              </w:rPr>
              <w:t>Présence de bruits d’impact</w:t>
            </w:r>
          </w:p>
          <w:p w14:paraId="0E4CBB21" w14:textId="77777777" w:rsidR="002D4360" w:rsidRDefault="002D4360" w:rsidP="000550DE">
            <w:pPr>
              <w:pStyle w:val="citation"/>
              <w:rPr>
                <w:sz w:val="12"/>
                <w:szCs w:val="12"/>
              </w:rPr>
            </w:pPr>
          </w:p>
          <w:p w14:paraId="30B3A879" w14:textId="77777777" w:rsidR="002D4360" w:rsidRDefault="002D4360" w:rsidP="000550DE">
            <w:pPr>
              <w:pStyle w:val="citation"/>
              <w:rPr>
                <w:sz w:val="12"/>
                <w:szCs w:val="12"/>
              </w:rPr>
            </w:pPr>
            <w:r>
              <w:rPr>
                <w:sz w:val="12"/>
                <w:szCs w:val="12"/>
              </w:rPr>
              <w:t>82,1</w:t>
            </w:r>
          </w:p>
          <w:p w14:paraId="7752E85F" w14:textId="77777777" w:rsidR="002D4360" w:rsidRDefault="002D4360" w:rsidP="00076404">
            <w:pPr>
              <w:pStyle w:val="citation"/>
              <w:ind w:right="230"/>
              <w:rPr>
                <w:sz w:val="12"/>
                <w:szCs w:val="12"/>
              </w:rPr>
            </w:pPr>
            <w:r>
              <w:rPr>
                <w:sz w:val="12"/>
                <w:szCs w:val="12"/>
              </w:rPr>
              <w:t>Dosimétrie Torikian (2014)</w:t>
            </w:r>
          </w:p>
          <w:p w14:paraId="42A96A1D" w14:textId="77777777" w:rsidR="002D4360" w:rsidRDefault="002D4360" w:rsidP="000550DE">
            <w:pPr>
              <w:pStyle w:val="citation"/>
              <w:rPr>
                <w:sz w:val="12"/>
                <w:szCs w:val="12"/>
              </w:rPr>
            </w:pPr>
            <w:r>
              <w:rPr>
                <w:sz w:val="12"/>
                <w:szCs w:val="12"/>
              </w:rPr>
              <w:t>Présence de bruits d’impact</w:t>
            </w:r>
          </w:p>
          <w:p w14:paraId="7858C00F" w14:textId="77777777" w:rsidR="002D4360" w:rsidRDefault="002D4360" w:rsidP="000550DE">
            <w:pPr>
              <w:pStyle w:val="citation"/>
              <w:rPr>
                <w:sz w:val="12"/>
                <w:szCs w:val="12"/>
              </w:rPr>
            </w:pPr>
          </w:p>
          <w:p w14:paraId="7FCD045E" w14:textId="77777777" w:rsidR="002D4360" w:rsidRPr="007C2AA6" w:rsidRDefault="002D4360" w:rsidP="000550DE">
            <w:pPr>
              <w:pStyle w:val="citation"/>
              <w:rPr>
                <w:sz w:val="12"/>
                <w:szCs w:val="12"/>
              </w:rPr>
            </w:pPr>
          </w:p>
        </w:tc>
      </w:tr>
      <w:tr w:rsidR="002D4360" w:rsidRPr="00F90FF6" w14:paraId="51F76086" w14:textId="77777777" w:rsidTr="000550DE">
        <w:tc>
          <w:tcPr>
            <w:tcW w:w="2835" w:type="dxa"/>
          </w:tcPr>
          <w:p w14:paraId="2A74A12F" w14:textId="77777777" w:rsidR="002D4360" w:rsidRDefault="002D4360" w:rsidP="000550DE">
            <w:pPr>
              <w:pStyle w:val="citation"/>
              <w:rPr>
                <w:sz w:val="12"/>
                <w:szCs w:val="12"/>
              </w:rPr>
            </w:pPr>
            <w:r>
              <w:rPr>
                <w:sz w:val="12"/>
                <w:szCs w:val="12"/>
              </w:rPr>
              <w:t>Responsable à la mise en marché</w:t>
            </w:r>
          </w:p>
          <w:p w14:paraId="57584E95" w14:textId="77777777" w:rsidR="002D4360" w:rsidRPr="007C2AA6" w:rsidRDefault="002D4360" w:rsidP="000550DE">
            <w:pPr>
              <w:pStyle w:val="citation"/>
              <w:rPr>
                <w:sz w:val="12"/>
                <w:szCs w:val="12"/>
              </w:rPr>
            </w:pPr>
            <w:r>
              <w:rPr>
                <w:sz w:val="12"/>
                <w:szCs w:val="12"/>
              </w:rPr>
              <w:t>9 janvier 1996 à 26 juillet 2012</w:t>
            </w:r>
          </w:p>
          <w:p w14:paraId="71CB810B" w14:textId="77777777" w:rsidR="002D4360" w:rsidRPr="007C2AA6" w:rsidRDefault="002D4360" w:rsidP="000550DE">
            <w:pPr>
              <w:pStyle w:val="citation"/>
              <w:rPr>
                <w:sz w:val="12"/>
                <w:szCs w:val="12"/>
              </w:rPr>
            </w:pPr>
          </w:p>
        </w:tc>
        <w:tc>
          <w:tcPr>
            <w:tcW w:w="2209" w:type="dxa"/>
          </w:tcPr>
          <w:p w14:paraId="272277D0" w14:textId="77777777" w:rsidR="002D4360" w:rsidRPr="007C2AA6" w:rsidRDefault="002D4360" w:rsidP="000550DE">
            <w:pPr>
              <w:pStyle w:val="citation"/>
              <w:rPr>
                <w:sz w:val="12"/>
                <w:szCs w:val="12"/>
              </w:rPr>
            </w:pPr>
          </w:p>
          <w:p w14:paraId="705B20EE" w14:textId="77777777" w:rsidR="002D4360" w:rsidRPr="005545E2" w:rsidRDefault="002D4360" w:rsidP="000550DE">
            <w:pPr>
              <w:pStyle w:val="citation"/>
              <w:ind w:left="0"/>
              <w:rPr>
                <w:sz w:val="12"/>
                <w:szCs w:val="12"/>
                <w:vertAlign w:val="superscript"/>
              </w:rPr>
            </w:pPr>
            <w:r>
              <w:rPr>
                <w:sz w:val="12"/>
                <w:szCs w:val="12"/>
              </w:rPr>
              <w:t xml:space="preserve">                      5 390</w:t>
            </w:r>
            <w:r>
              <w:rPr>
                <w:sz w:val="12"/>
                <w:szCs w:val="12"/>
                <w:vertAlign w:val="superscript"/>
              </w:rPr>
              <w:t>2</w:t>
            </w:r>
          </w:p>
        </w:tc>
        <w:tc>
          <w:tcPr>
            <w:tcW w:w="3119" w:type="dxa"/>
          </w:tcPr>
          <w:p w14:paraId="730B3767" w14:textId="77777777" w:rsidR="002D4360" w:rsidRPr="005545E2" w:rsidRDefault="002D4360" w:rsidP="000550DE">
            <w:pPr>
              <w:pStyle w:val="citation"/>
              <w:rPr>
                <w:sz w:val="12"/>
                <w:szCs w:val="12"/>
              </w:rPr>
            </w:pPr>
            <w:r>
              <w:rPr>
                <w:sz w:val="12"/>
                <w:szCs w:val="12"/>
              </w:rPr>
              <w:t>75,0/ 65,0*</w:t>
            </w:r>
          </w:p>
          <w:p w14:paraId="10596EAB" w14:textId="77777777" w:rsidR="002D4360" w:rsidRPr="005545E2" w:rsidRDefault="002D4360" w:rsidP="000550DE">
            <w:pPr>
              <w:pStyle w:val="citation"/>
              <w:rPr>
                <w:sz w:val="12"/>
                <w:szCs w:val="12"/>
              </w:rPr>
            </w:pPr>
            <w:r w:rsidRPr="005545E2">
              <w:rPr>
                <w:sz w:val="12"/>
                <w:szCs w:val="12"/>
              </w:rPr>
              <w:t>Aucune donnée</w:t>
            </w:r>
          </w:p>
        </w:tc>
      </w:tr>
      <w:tr w:rsidR="002D4360" w:rsidRPr="00F90FF6" w14:paraId="692C206D" w14:textId="77777777" w:rsidTr="000550DE">
        <w:tc>
          <w:tcPr>
            <w:tcW w:w="2835" w:type="dxa"/>
          </w:tcPr>
          <w:p w14:paraId="1A3EDCAF" w14:textId="77777777" w:rsidR="002D4360" w:rsidRDefault="002D4360" w:rsidP="000550DE">
            <w:pPr>
              <w:pStyle w:val="citation"/>
              <w:rPr>
                <w:sz w:val="12"/>
                <w:szCs w:val="12"/>
              </w:rPr>
            </w:pPr>
            <w:r>
              <w:rPr>
                <w:sz w:val="12"/>
                <w:szCs w:val="12"/>
              </w:rPr>
              <w:t>Agent de commercialisation</w:t>
            </w:r>
          </w:p>
          <w:p w14:paraId="78A4DD8B" w14:textId="77777777" w:rsidR="002D4360" w:rsidRPr="007C2AA6" w:rsidRDefault="002D4360" w:rsidP="000550DE">
            <w:pPr>
              <w:pStyle w:val="citation"/>
              <w:rPr>
                <w:sz w:val="12"/>
                <w:szCs w:val="12"/>
              </w:rPr>
            </w:pPr>
            <w:r>
              <w:rPr>
                <w:sz w:val="12"/>
                <w:szCs w:val="12"/>
              </w:rPr>
              <w:t>26 février 1999 à 8 février 2008</w:t>
            </w:r>
          </w:p>
        </w:tc>
        <w:tc>
          <w:tcPr>
            <w:tcW w:w="2209" w:type="dxa"/>
          </w:tcPr>
          <w:p w14:paraId="67D411A2" w14:textId="77777777" w:rsidR="002D4360" w:rsidRPr="007C2AA6" w:rsidRDefault="002D4360" w:rsidP="000550DE">
            <w:pPr>
              <w:pStyle w:val="citation"/>
              <w:rPr>
                <w:sz w:val="12"/>
                <w:szCs w:val="12"/>
              </w:rPr>
            </w:pPr>
          </w:p>
          <w:p w14:paraId="4DB56285" w14:textId="77777777" w:rsidR="002D4360" w:rsidRPr="005545E2" w:rsidRDefault="002D4360" w:rsidP="000550DE">
            <w:pPr>
              <w:pStyle w:val="citation"/>
              <w:rPr>
                <w:sz w:val="12"/>
                <w:szCs w:val="12"/>
                <w:vertAlign w:val="superscript"/>
              </w:rPr>
            </w:pPr>
            <w:r>
              <w:rPr>
                <w:sz w:val="12"/>
                <w:szCs w:val="12"/>
              </w:rPr>
              <w:t>6 358</w:t>
            </w:r>
            <w:r>
              <w:rPr>
                <w:sz w:val="12"/>
                <w:szCs w:val="12"/>
                <w:vertAlign w:val="superscript"/>
              </w:rPr>
              <w:t>2</w:t>
            </w:r>
          </w:p>
        </w:tc>
        <w:tc>
          <w:tcPr>
            <w:tcW w:w="3119" w:type="dxa"/>
          </w:tcPr>
          <w:p w14:paraId="42916D05" w14:textId="77777777" w:rsidR="002D4360" w:rsidRPr="005545E2" w:rsidRDefault="002D4360" w:rsidP="000550DE">
            <w:pPr>
              <w:pStyle w:val="citation"/>
              <w:rPr>
                <w:sz w:val="12"/>
                <w:szCs w:val="12"/>
              </w:rPr>
            </w:pPr>
            <w:r>
              <w:rPr>
                <w:sz w:val="12"/>
                <w:szCs w:val="12"/>
              </w:rPr>
              <w:t>75,0/ 65,0*</w:t>
            </w:r>
          </w:p>
          <w:p w14:paraId="60103773" w14:textId="77777777" w:rsidR="002D4360" w:rsidRPr="007C2AA6" w:rsidRDefault="002D4360" w:rsidP="000550DE">
            <w:pPr>
              <w:pStyle w:val="citation"/>
              <w:rPr>
                <w:sz w:val="12"/>
                <w:szCs w:val="12"/>
              </w:rPr>
            </w:pPr>
            <w:r w:rsidRPr="005545E2">
              <w:rPr>
                <w:sz w:val="12"/>
                <w:szCs w:val="12"/>
              </w:rPr>
              <w:t>Aucune donnée</w:t>
            </w:r>
          </w:p>
        </w:tc>
      </w:tr>
      <w:tr w:rsidR="002D4360" w:rsidRPr="007C2AA6" w14:paraId="614EF48C" w14:textId="77777777" w:rsidTr="000550DE">
        <w:tc>
          <w:tcPr>
            <w:tcW w:w="2835" w:type="dxa"/>
          </w:tcPr>
          <w:p w14:paraId="5CE4D3C8" w14:textId="77777777" w:rsidR="002D4360" w:rsidRPr="007C2AA6" w:rsidRDefault="002D4360" w:rsidP="000550DE">
            <w:pPr>
              <w:pStyle w:val="citation"/>
              <w:rPr>
                <w:sz w:val="12"/>
                <w:szCs w:val="12"/>
              </w:rPr>
            </w:pPr>
            <w:r w:rsidRPr="007C2AA6">
              <w:rPr>
                <w:sz w:val="12"/>
                <w:szCs w:val="12"/>
              </w:rPr>
              <w:t>Dose d’exposition en carrière</w:t>
            </w:r>
          </w:p>
        </w:tc>
        <w:tc>
          <w:tcPr>
            <w:tcW w:w="2209" w:type="dxa"/>
          </w:tcPr>
          <w:p w14:paraId="519D85DC" w14:textId="77777777" w:rsidR="002D4360" w:rsidRPr="007C2AA6" w:rsidRDefault="002D4360" w:rsidP="000550DE">
            <w:pPr>
              <w:pStyle w:val="citation"/>
              <w:rPr>
                <w:sz w:val="12"/>
                <w:szCs w:val="12"/>
              </w:rPr>
            </w:pPr>
            <w:r>
              <w:rPr>
                <w:sz w:val="12"/>
                <w:szCs w:val="12"/>
              </w:rPr>
              <w:t>56 433</w:t>
            </w:r>
            <w:r w:rsidRPr="007C2AA6">
              <w:rPr>
                <w:sz w:val="12"/>
                <w:szCs w:val="12"/>
              </w:rPr>
              <w:t xml:space="preserve"> heures</w:t>
            </w:r>
          </w:p>
        </w:tc>
        <w:tc>
          <w:tcPr>
            <w:tcW w:w="3119" w:type="dxa"/>
          </w:tcPr>
          <w:p w14:paraId="23251979" w14:textId="77777777" w:rsidR="002D4360" w:rsidRPr="007C2AA6" w:rsidRDefault="002D4360" w:rsidP="000550DE">
            <w:pPr>
              <w:pStyle w:val="citation"/>
              <w:rPr>
                <w:sz w:val="12"/>
                <w:szCs w:val="12"/>
              </w:rPr>
            </w:pPr>
            <w:r>
              <w:rPr>
                <w:sz w:val="12"/>
                <w:szCs w:val="12"/>
              </w:rPr>
              <w:t xml:space="preserve">84,0/83,9 </w:t>
            </w:r>
            <w:proofErr w:type="spellStart"/>
            <w:r>
              <w:rPr>
                <w:sz w:val="12"/>
                <w:szCs w:val="12"/>
              </w:rPr>
              <w:t>dBA</w:t>
            </w:r>
            <w:proofErr w:type="spellEnd"/>
          </w:p>
        </w:tc>
      </w:tr>
    </w:tbl>
    <w:p w14:paraId="2D08848A" w14:textId="77777777" w:rsidR="002D4360" w:rsidRDefault="002D4360" w:rsidP="002D4360">
      <w:pPr>
        <w:pStyle w:val="citation"/>
      </w:pPr>
    </w:p>
    <w:p w14:paraId="3AD16844" w14:textId="77777777" w:rsidR="002D4360" w:rsidRDefault="002D4360" w:rsidP="002D4360">
      <w:pPr>
        <w:pStyle w:val="citation"/>
        <w:ind w:left="1416"/>
      </w:pPr>
      <w:r w:rsidRPr="0079554C">
        <w:t>1</w:t>
      </w:r>
      <w:r>
        <w:t xml:space="preserve"> Base de calcul : 1978 = 7,75 mois/12 mois, on retranche 2 semaines de vacances; 1979 à 1988 on retranche 2 semaines de vacances; 1989 à 1993, on retranche 4 semaines de vacances; 1994, 1,75 mois/12 mois, 30% du temps aide-livreur, on retranche 4 semaines de vacances.</w:t>
      </w:r>
    </w:p>
    <w:p w14:paraId="0E99D325" w14:textId="77777777" w:rsidR="002D4360" w:rsidRDefault="002D4360" w:rsidP="002D4360">
      <w:pPr>
        <w:pStyle w:val="citation"/>
      </w:pPr>
    </w:p>
    <w:p w14:paraId="3E45EF22" w14:textId="77777777" w:rsidR="002D4360" w:rsidRPr="0079554C" w:rsidRDefault="002D4360" w:rsidP="002D4360">
      <w:pPr>
        <w:pStyle w:val="citation"/>
        <w:ind w:firstLine="696"/>
      </w:pPr>
      <w:r w:rsidRPr="0079554C">
        <w:t xml:space="preserve">2 </w:t>
      </w:r>
      <w:r>
        <w:t>Données déposées par l’</w:t>
      </w:r>
      <w:r w:rsidRPr="001F4FEB">
        <w:t>employeur</w:t>
      </w:r>
      <w:r>
        <w:t>.</w:t>
      </w:r>
    </w:p>
    <w:p w14:paraId="1BF3CA23" w14:textId="77777777" w:rsidR="002D4360" w:rsidRDefault="002D4360" w:rsidP="002D4360">
      <w:pPr>
        <w:pStyle w:val="citation"/>
      </w:pPr>
    </w:p>
    <w:p w14:paraId="729E71EF" w14:textId="77777777" w:rsidR="002D4360" w:rsidRPr="001979C3" w:rsidRDefault="002D4360" w:rsidP="002D4360">
      <w:pPr>
        <w:pStyle w:val="citation"/>
        <w:ind w:left="1416"/>
      </w:pPr>
      <w:r>
        <w:t xml:space="preserve">* </w:t>
      </w:r>
      <w:r w:rsidRPr="001979C3">
        <w:t xml:space="preserve">Un niveau de bruit de 75 </w:t>
      </w:r>
      <w:proofErr w:type="spellStart"/>
      <w:r w:rsidRPr="001979C3">
        <w:t>dBA</w:t>
      </w:r>
      <w:proofErr w:type="spellEnd"/>
      <w:r w:rsidRPr="001979C3">
        <w:t xml:space="preserve"> pour 8 heures d’exposition a été attribué aux postes de travail pour lesquels aucune donnée d’exposition n’est disponible. Le niveau de 75 </w:t>
      </w:r>
      <w:proofErr w:type="spellStart"/>
      <w:r w:rsidRPr="001979C3">
        <w:t>dBA</w:t>
      </w:r>
      <w:proofErr w:type="spellEnd"/>
      <w:r w:rsidRPr="001979C3">
        <w:t xml:space="preserve"> a été retenu parce qu’il ne représente aucun risque d’atteinte à l’audition (OMS,1999).</w:t>
      </w:r>
      <w:r>
        <w:t xml:space="preserve"> La substitution de ce niveau de bruit par un niveau inférieur, soit 65 </w:t>
      </w:r>
      <w:proofErr w:type="spellStart"/>
      <w:r>
        <w:t>dBA</w:t>
      </w:r>
      <w:proofErr w:type="spellEnd"/>
      <w:r>
        <w:t xml:space="preserve">, pour ces deux postes de travail entraîne une diminution de 0,1 </w:t>
      </w:r>
      <w:proofErr w:type="spellStart"/>
      <w:r>
        <w:t>dBA</w:t>
      </w:r>
      <w:proofErr w:type="spellEnd"/>
      <w:r>
        <w:t xml:space="preserve"> de la dose d’exposition en carrière à 83,9 </w:t>
      </w:r>
      <w:proofErr w:type="spellStart"/>
      <w:r>
        <w:t>dBA</w:t>
      </w:r>
      <w:proofErr w:type="spellEnd"/>
      <w:r>
        <w:t>.</w:t>
      </w:r>
    </w:p>
    <w:p w14:paraId="4385DA21" w14:textId="77777777" w:rsidR="002D4360" w:rsidRDefault="002D4360" w:rsidP="002D4360">
      <w:pPr>
        <w:pStyle w:val="citation"/>
      </w:pPr>
    </w:p>
    <w:p w14:paraId="010E0B05" w14:textId="77777777" w:rsidR="002D4360" w:rsidRDefault="002D4360" w:rsidP="002D4360">
      <w:pPr>
        <w:pStyle w:val="citation"/>
      </w:pPr>
    </w:p>
    <w:p w14:paraId="12C968EE" w14:textId="77777777" w:rsidR="002D4360" w:rsidRDefault="002D4360" w:rsidP="002D4360">
      <w:pPr>
        <w:pStyle w:val="citation"/>
        <w:ind w:left="1416"/>
      </w:pPr>
      <w:r>
        <w:lastRenderedPageBreak/>
        <w:t>La formule ci-dessous permet de calculer un niveau équivalent continu d’exposition au bruit sur l’ensemble de la carrière (69 520 heures d’exposition au bruit, équivalent à 34,8 années d’exposition à 2000 heures/année) :</w:t>
      </w:r>
    </w:p>
    <w:p w14:paraId="53CB2915" w14:textId="77777777" w:rsidR="002D4360" w:rsidRDefault="002D4360" w:rsidP="002D4360">
      <w:pPr>
        <w:pStyle w:val="citation"/>
      </w:pPr>
    </w:p>
    <w:p w14:paraId="33F3FFEE" w14:textId="77777777" w:rsidR="002D4360" w:rsidRPr="007D683F" w:rsidRDefault="002D4360" w:rsidP="002D4360">
      <w:pPr>
        <w:pStyle w:val="citation"/>
        <w:ind w:firstLine="696"/>
        <w:rPr>
          <w:vertAlign w:val="superscript"/>
          <w:lang w:val="en-CA"/>
        </w:rPr>
      </w:pPr>
      <w:r w:rsidRPr="007D683F">
        <w:rPr>
          <w:lang w:val="en-CA"/>
        </w:rPr>
        <w:t>L</w:t>
      </w:r>
      <w:r w:rsidRPr="007D683F">
        <w:rPr>
          <w:vertAlign w:val="subscript"/>
          <w:lang w:val="en-CA"/>
        </w:rPr>
        <w:t>Aeq.56433</w:t>
      </w:r>
      <w:proofErr w:type="gramStart"/>
      <w:r w:rsidRPr="007D683F">
        <w:rPr>
          <w:sz w:val="16"/>
          <w:szCs w:val="16"/>
          <w:lang w:val="en-CA"/>
        </w:rPr>
        <w:t>h</w:t>
      </w:r>
      <w:r w:rsidRPr="007D683F">
        <w:rPr>
          <w:vertAlign w:val="subscript"/>
          <w:lang w:val="en-CA"/>
        </w:rPr>
        <w:t>  </w:t>
      </w:r>
      <w:r w:rsidRPr="007D683F">
        <w:rPr>
          <w:vertAlign w:val="superscript"/>
          <w:lang w:val="en-CA"/>
        </w:rPr>
        <w:t>=</w:t>
      </w:r>
      <w:proofErr w:type="gramEnd"/>
      <w:r w:rsidRPr="007D683F">
        <w:rPr>
          <w:vertAlign w:val="superscript"/>
          <w:lang w:val="en-CA"/>
        </w:rPr>
        <w:t xml:space="preserve"> 10log</w:t>
      </w:r>
      <m:oMath>
        <m:d>
          <m:dPr>
            <m:begChr m:val="["/>
            <m:endChr m:val="]"/>
            <m:ctrlPr>
              <w:rPr>
                <w:rFonts w:ascii="Cambria Math" w:hAnsi="Cambria Math"/>
                <w:vertAlign w:val="superscript"/>
              </w:rPr>
            </m:ctrlPr>
          </m:dPr>
          <m:e>
            <m:m>
              <m:mPr>
                <m:mcs>
                  <m:mc>
                    <m:mcPr>
                      <m:count m:val="2"/>
                      <m:mcJc m:val="center"/>
                    </m:mcPr>
                  </m:mc>
                </m:mcs>
                <m:ctrlPr>
                  <w:rPr>
                    <w:rFonts w:ascii="Cambria Math" w:hAnsi="Cambria Math"/>
                    <w:vertAlign w:val="superscript"/>
                  </w:rPr>
                </m:ctrlPr>
              </m:mPr>
              <m:mr>
                <m:e>
                  <m:f>
                    <m:fPr>
                      <m:ctrlPr>
                        <w:rPr>
                          <w:rFonts w:ascii="Cambria Math" w:hAnsi="Cambria Math"/>
                          <w:vertAlign w:val="superscript"/>
                        </w:rPr>
                      </m:ctrlPr>
                    </m:fPr>
                    <m:num>
                      <m:r>
                        <m:rPr>
                          <m:sty m:val="b"/>
                        </m:rPr>
                        <w:rPr>
                          <w:rFonts w:ascii="Cambria Math" w:hAnsi="Cambria Math"/>
                          <w:vertAlign w:val="superscript"/>
                        </w:rPr>
                        <m:t>1</m:t>
                      </m:r>
                    </m:num>
                    <m:den>
                      <m:r>
                        <m:rPr>
                          <m:sty m:val="b"/>
                        </m:rPr>
                        <w:rPr>
                          <w:rFonts w:ascii="Cambria Math" w:hAnsi="Cambria Math"/>
                          <w:vertAlign w:val="superscript"/>
                        </w:rPr>
                        <m:t>56</m:t>
                      </m:r>
                      <m:r>
                        <m:rPr>
                          <m:sty m:val="b"/>
                        </m:rPr>
                        <w:rPr>
                          <w:rFonts w:ascii="Cambria Math" w:hAnsi="Cambria Math"/>
                          <w:vertAlign w:val="superscript"/>
                          <w:lang w:val="en-CA"/>
                        </w:rPr>
                        <m:t xml:space="preserve"> </m:t>
                      </m:r>
                      <m:r>
                        <m:rPr>
                          <m:sty m:val="b"/>
                        </m:rPr>
                        <w:rPr>
                          <w:rFonts w:ascii="Cambria Math" w:hAnsi="Cambria Math"/>
                          <w:vertAlign w:val="superscript"/>
                        </w:rPr>
                        <m:t>433</m:t>
                      </m:r>
                    </m:den>
                  </m:f>
                </m:e>
                <m:e>
                  <m:nary>
                    <m:naryPr>
                      <m:chr m:val="∑"/>
                      <m:limLoc m:val="undOvr"/>
                      <m:ctrlPr>
                        <w:rPr>
                          <w:rFonts w:ascii="Cambria Math" w:hAnsi="Cambria Math"/>
                          <w:vertAlign w:val="superscript"/>
                        </w:rPr>
                      </m:ctrlPr>
                    </m:naryPr>
                    <m:sub>
                      <m:r>
                        <m:rPr>
                          <m:sty m:val="bi"/>
                        </m:rPr>
                        <w:rPr>
                          <w:rFonts w:ascii="Cambria Math" w:hAnsi="Cambria Math"/>
                          <w:vertAlign w:val="superscript"/>
                        </w:rPr>
                        <m:t>n</m:t>
                      </m:r>
                    </m:sub>
                    <m:sup>
                      <m:r>
                        <m:rPr>
                          <m:sty m:val="bi"/>
                        </m:rPr>
                        <w:rPr>
                          <w:rFonts w:ascii="Cambria Math" w:hAnsi="Cambria Math"/>
                          <w:vertAlign w:val="superscript"/>
                        </w:rPr>
                        <m:t>n</m:t>
                      </m:r>
                    </m:sup>
                    <m:e>
                      <m:r>
                        <m:rPr>
                          <m:sty m:val="bi"/>
                        </m:rPr>
                        <w:rPr>
                          <w:rFonts w:ascii="Cambria Math" w:hAnsi="Cambria Math"/>
                          <w:vertAlign w:val="superscript"/>
                        </w:rPr>
                        <m:t>ti</m:t>
                      </m:r>
                      <m:r>
                        <m:rPr>
                          <m:sty m:val="b"/>
                        </m:rPr>
                        <w:rPr>
                          <w:rFonts w:ascii="Cambria Math" w:hAnsi="Cambria Math"/>
                          <w:vertAlign w:val="superscript"/>
                        </w:rPr>
                        <m:t>10</m:t>
                      </m:r>
                      <m:f>
                        <m:fPr>
                          <m:type m:val="skw"/>
                          <m:ctrlPr>
                            <w:rPr>
                              <w:rFonts w:ascii="Cambria Math" w:hAnsi="Cambria Math"/>
                              <w:vertAlign w:val="superscript"/>
                            </w:rPr>
                          </m:ctrlPr>
                        </m:fPr>
                        <m:num>
                          <m:r>
                            <m:rPr>
                              <m:sty m:val="bi"/>
                            </m:rPr>
                            <w:rPr>
                              <w:rFonts w:ascii="Cambria Math" w:hAnsi="Cambria Math"/>
                              <w:vertAlign w:val="superscript"/>
                            </w:rPr>
                            <m:t>Li</m:t>
                          </m:r>
                        </m:num>
                        <m:den>
                          <m:r>
                            <m:rPr>
                              <m:sty m:val="b"/>
                            </m:rPr>
                            <w:rPr>
                              <w:rFonts w:ascii="Cambria Math" w:hAnsi="Cambria Math"/>
                              <w:vertAlign w:val="superscript"/>
                            </w:rPr>
                            <m:t>10</m:t>
                          </m:r>
                        </m:den>
                      </m:f>
                    </m:e>
                  </m:nary>
                </m:e>
              </m:mr>
              <m:mr>
                <m:e>
                  <m:r>
                    <m:rPr>
                      <m:sty m:val="p"/>
                    </m:rPr>
                    <w:rPr>
                      <w:rFonts w:ascii="Cambria Math" w:hAnsi="Cambria Math"/>
                      <w:vertAlign w:val="superscript"/>
                      <w:lang w:val="en-CA"/>
                    </w:rPr>
                    <m:t xml:space="preserve"> </m:t>
                  </m:r>
                </m:e>
                <m:e>
                  <m:r>
                    <m:rPr>
                      <m:sty m:val="p"/>
                    </m:rPr>
                    <w:rPr>
                      <w:rFonts w:ascii="Cambria Math" w:hAnsi="Cambria Math"/>
                      <w:vertAlign w:val="superscript"/>
                      <w:lang w:val="en-CA"/>
                    </w:rPr>
                    <m:t xml:space="preserve"> </m:t>
                  </m:r>
                </m:e>
              </m:mr>
            </m:m>
          </m:e>
        </m:d>
      </m:oMath>
      <w:r w:rsidRPr="007D683F">
        <w:rPr>
          <w:vertAlign w:val="superscript"/>
          <w:lang w:val="en-CA"/>
        </w:rPr>
        <w:t xml:space="preserve">  </w:t>
      </w:r>
    </w:p>
    <w:p w14:paraId="32AE21E8" w14:textId="77777777" w:rsidR="002D4360" w:rsidRPr="007D683F" w:rsidRDefault="002D4360" w:rsidP="002D4360">
      <w:pPr>
        <w:pStyle w:val="citation"/>
        <w:rPr>
          <w:vertAlign w:val="superscript"/>
          <w:lang w:val="en-CA"/>
        </w:rPr>
      </w:pPr>
    </w:p>
    <w:p w14:paraId="5D578FF4" w14:textId="77777777" w:rsidR="002D4360" w:rsidRPr="00851C0B" w:rsidRDefault="002D4360" w:rsidP="002D4360">
      <w:pPr>
        <w:pStyle w:val="citation"/>
        <w:ind w:left="1416"/>
      </w:pPr>
      <w:proofErr w:type="gramStart"/>
      <w:r w:rsidRPr="00851C0B">
        <w:t>où</w:t>
      </w:r>
      <w:proofErr w:type="gramEnd"/>
      <w:r w:rsidRPr="00851C0B">
        <w:t xml:space="preserve"> </w:t>
      </w:r>
      <w:r w:rsidRPr="00851C0B">
        <w:rPr>
          <w:i/>
        </w:rPr>
        <w:t xml:space="preserve">ti </w:t>
      </w:r>
      <w:r w:rsidRPr="00851C0B">
        <w:t xml:space="preserve">correspond à la durée d’exposition pour la période </w:t>
      </w:r>
      <w:r w:rsidRPr="00851C0B">
        <w:rPr>
          <w:i/>
        </w:rPr>
        <w:t>i</w:t>
      </w:r>
      <w:r w:rsidRPr="00851C0B">
        <w:t xml:space="preserve">, en heures, et où </w:t>
      </w:r>
      <w:r w:rsidRPr="00851C0B">
        <w:rPr>
          <w:i/>
        </w:rPr>
        <w:t>Li</w:t>
      </w:r>
      <w:r w:rsidRPr="00851C0B">
        <w:t xml:space="preserve"> correspond au niveau de la période </w:t>
      </w:r>
      <w:r w:rsidRPr="002F284F">
        <w:rPr>
          <w:i/>
        </w:rPr>
        <w:t>i</w:t>
      </w:r>
      <w:r w:rsidRPr="00851C0B">
        <w:rPr>
          <w:i/>
        </w:rPr>
        <w:t>.</w:t>
      </w:r>
    </w:p>
    <w:p w14:paraId="033A7935" w14:textId="77777777" w:rsidR="002D4360" w:rsidRPr="00851C0B" w:rsidRDefault="002D4360" w:rsidP="002D4360">
      <w:pPr>
        <w:pStyle w:val="citation"/>
      </w:pPr>
    </w:p>
    <w:p w14:paraId="75489980" w14:textId="77777777" w:rsidR="002D4360" w:rsidRPr="00851C0B" w:rsidRDefault="002D4360" w:rsidP="002D4360">
      <w:pPr>
        <w:pStyle w:val="citation"/>
        <w:ind w:left="1416"/>
      </w:pPr>
      <w:r w:rsidRPr="00851C0B">
        <w:t xml:space="preserve">À l’aide de cette formule, le niveau d’équivalent d’exposition continue au bruit sur l’ensemble de la carrière </w:t>
      </w:r>
      <w:r>
        <w:t>de M. </w:t>
      </w:r>
      <w:r w:rsidRPr="00851C0B">
        <w:t xml:space="preserve">Lajeunesse est estimé à </w:t>
      </w:r>
      <w:r>
        <w:t>84</w:t>
      </w:r>
      <w:r w:rsidRPr="00851C0B">
        <w:t xml:space="preserve">,0 </w:t>
      </w:r>
      <w:proofErr w:type="spellStart"/>
      <w:r w:rsidRPr="00851C0B">
        <w:t>dBA</w:t>
      </w:r>
      <w:proofErr w:type="spellEnd"/>
      <w:r w:rsidRPr="00851C0B">
        <w:t xml:space="preserve"> durant </w:t>
      </w:r>
      <w:r>
        <w:t>28,2</w:t>
      </w:r>
      <w:r w:rsidRPr="00851C0B">
        <w:t xml:space="preserve"> années.</w:t>
      </w:r>
    </w:p>
    <w:p w14:paraId="7D35CCFE" w14:textId="77777777" w:rsidR="002D4360" w:rsidRDefault="002D4360" w:rsidP="002D4360">
      <w:pPr>
        <w:pStyle w:val="citation"/>
      </w:pPr>
    </w:p>
    <w:p w14:paraId="14062908" w14:textId="77777777" w:rsidR="000666F9" w:rsidRDefault="000666F9" w:rsidP="002D4360">
      <w:pPr>
        <w:pStyle w:val="citation"/>
      </w:pPr>
    </w:p>
    <w:p w14:paraId="4B60DC04" w14:textId="77777777" w:rsidR="002D4360" w:rsidRDefault="002D4360" w:rsidP="002D4360">
      <w:pPr>
        <w:pStyle w:val="corpsdedcision"/>
        <w:tabs>
          <w:tab w:val="clear" w:pos="360"/>
        </w:tabs>
      </w:pPr>
      <w:r>
        <w:t xml:space="preserve">Monsieur Leroux explique que pour la période allant de mai 1978 à décembre 1995, il a utilisé le niveau d’exposition moyen tiré de l’étude </w:t>
      </w:r>
      <w:r w:rsidRPr="00045B06">
        <w:rPr>
          <w:i/>
        </w:rPr>
        <w:t>Brasserie Molson-O’Keefe</w:t>
      </w:r>
      <w:r>
        <w:t xml:space="preserve"> tout en excluant les périodes de vacances et les périodes où le travailleur n’a pas occupé le poste d’aide-livreur. </w:t>
      </w:r>
    </w:p>
    <w:p w14:paraId="5DE56390" w14:textId="77777777" w:rsidR="0038040C" w:rsidRDefault="0038040C" w:rsidP="002D4360">
      <w:pPr>
        <w:pStyle w:val="corpsdedcision"/>
        <w:tabs>
          <w:tab w:val="clear" w:pos="360"/>
          <w:tab w:val="num" w:pos="720"/>
        </w:tabs>
      </w:pPr>
      <w:r>
        <w:t xml:space="preserve">Par ailleurs, il a confectionné un autre tableau synthèse (T-21) à partir des </w:t>
      </w:r>
      <w:r w:rsidR="000666F9">
        <w:t>40 </w:t>
      </w:r>
      <w:r>
        <w:t xml:space="preserve">données de simulations réalisées par </w:t>
      </w:r>
      <w:r w:rsidR="007362CF">
        <w:t>l’ingénieur</w:t>
      </w:r>
      <w:r>
        <w:t xml:space="preserve"> Torikian et présentées dans l’Addendum au rapport de bruit de juillet 2014 préparé pour </w:t>
      </w:r>
      <w:r w:rsidR="00577966">
        <w:t>l’</w:t>
      </w:r>
      <w:r w:rsidR="00577966" w:rsidRPr="001F4FEB">
        <w:t>employeur</w:t>
      </w:r>
      <w:r>
        <w:t xml:space="preserve"> (E-20 </w:t>
      </w:r>
      <w:r w:rsidR="00577966">
        <w:t>/</w:t>
      </w:r>
      <w:r>
        <w:t xml:space="preserve">E-52). </w:t>
      </w:r>
    </w:p>
    <w:p w14:paraId="44296A8C" w14:textId="77777777" w:rsidR="0038040C" w:rsidRDefault="0038040C" w:rsidP="0038040C">
      <w:pPr>
        <w:pStyle w:val="corpsdedcision"/>
        <w:tabs>
          <w:tab w:val="clear" w:pos="360"/>
          <w:tab w:val="num" w:pos="720"/>
        </w:tabs>
      </w:pPr>
      <w:r>
        <w:t xml:space="preserve">Considérant que ces résultats seraient représentatifs d’une exposition lors d’une journée normale de travail à l’époque, il a calculé une dose moyenne de bruit pour l’ensemble des tâches simulées en additionnant la durée des 40 données d’une part et les résultats en </w:t>
      </w:r>
      <w:proofErr w:type="spellStart"/>
      <w:r>
        <w:t>L</w:t>
      </w:r>
      <w:r w:rsidRPr="0084368F">
        <w:rPr>
          <w:vertAlign w:val="subscript"/>
        </w:rPr>
        <w:t>eq</w:t>
      </w:r>
      <w:proofErr w:type="spellEnd"/>
      <w:r>
        <w:t xml:space="preserve"> </w:t>
      </w:r>
      <w:proofErr w:type="spellStart"/>
      <w:r>
        <w:t>dBA</w:t>
      </w:r>
      <w:proofErr w:type="spellEnd"/>
      <w:r>
        <w:t xml:space="preserve"> d’autre part. C’est comme si, explique-t-il, la personne avait porté un dosimètre pendant 8,48 minutes. </w:t>
      </w:r>
    </w:p>
    <w:p w14:paraId="03E95188" w14:textId="77777777" w:rsidR="0038040C" w:rsidRDefault="0038040C" w:rsidP="0038040C">
      <w:pPr>
        <w:pStyle w:val="corpsdedcision"/>
        <w:tabs>
          <w:tab w:val="clear" w:pos="360"/>
          <w:tab w:val="num" w:pos="720"/>
        </w:tabs>
      </w:pPr>
      <w:r>
        <w:t xml:space="preserve">Il obtient un résultat pour le </w:t>
      </w:r>
      <w:proofErr w:type="spellStart"/>
      <w:r>
        <w:t>L</w:t>
      </w:r>
      <w:r w:rsidRPr="0084368F">
        <w:rPr>
          <w:vertAlign w:val="subscript"/>
        </w:rPr>
        <w:t>eq</w:t>
      </w:r>
      <w:proofErr w:type="spellEnd"/>
      <w:r w:rsidR="000666F9">
        <w:rPr>
          <w:vertAlign w:val="subscript"/>
        </w:rPr>
        <w:t xml:space="preserve"> </w:t>
      </w:r>
      <w:r>
        <w:t>8</w:t>
      </w:r>
      <w:r w:rsidR="008E2FC1">
        <w:t> </w:t>
      </w:r>
      <w:r>
        <w:t xml:space="preserve">h de 82,9 </w:t>
      </w:r>
      <w:proofErr w:type="spellStart"/>
      <w:r>
        <w:t>dBA</w:t>
      </w:r>
      <w:proofErr w:type="spellEnd"/>
      <w:r>
        <w:t xml:space="preserve"> qui, selon lui, est probablement inférieur à la dose réelle d’exposition pour </w:t>
      </w:r>
      <w:r w:rsidR="00577966">
        <w:t>une journée complète de travail</w:t>
      </w:r>
      <w:r w:rsidR="00DC6F2D">
        <w:t>. D</w:t>
      </w:r>
      <w:r>
        <w:t xml:space="preserve">’une part parce que plusieurs mesures de simulation ont été faites avec des bouteilles de 28 onces </w:t>
      </w:r>
      <w:r w:rsidR="00DC6F2D">
        <w:t>(</w:t>
      </w:r>
      <w:r>
        <w:t>qui sont plus grosses et très serrées dans les crêtes et s’entrechoquent moins que des bouteilles de 26 onces</w:t>
      </w:r>
      <w:r w:rsidR="00DC6F2D">
        <w:t>)</w:t>
      </w:r>
      <w:r>
        <w:t xml:space="preserve"> et d’autre part</w:t>
      </w:r>
      <w:r w:rsidR="00577966">
        <w:t>,</w:t>
      </w:r>
      <w:r>
        <w:t xml:space="preserve"> parce que les mesures de bruits d’impact n’ont été faites que pour une durée totale de 8,48 minutes. Or, si elles avaient été réalisées sur un quart de travail de 8 heures, monsieur Leroux est d’avis que le résultat serait supérieur considérant que le nombre de bruits d’impact durant un quart</w:t>
      </w:r>
      <w:r w:rsidR="008E2FC1">
        <w:t xml:space="preserve"> de travail est en moyenne de 3</w:t>
      </w:r>
      <w:r>
        <w:t>000, lesquels correspondent au bruit d’entrechoquement des bouteilles</w:t>
      </w:r>
      <w:r w:rsidR="003C3185">
        <w:t>.</w:t>
      </w:r>
      <w:r>
        <w:t xml:space="preserve"> </w:t>
      </w:r>
    </w:p>
    <w:p w14:paraId="28E98BA0" w14:textId="77777777" w:rsidR="0038040C" w:rsidRDefault="0038040C" w:rsidP="0038040C">
      <w:pPr>
        <w:pStyle w:val="corpsdedcision"/>
        <w:tabs>
          <w:tab w:val="clear" w:pos="360"/>
          <w:tab w:val="num" w:pos="720"/>
        </w:tabs>
      </w:pPr>
      <w:r>
        <w:t>Ainsi, référant au tableau 1</w:t>
      </w:r>
      <w:r w:rsidR="00341ED9">
        <w:t>,</w:t>
      </w:r>
      <w:r>
        <w:t xml:space="preserve"> ci-haut</w:t>
      </w:r>
      <w:r w:rsidR="00341ED9">
        <w:t xml:space="preserve"> reproduit</w:t>
      </w:r>
      <w:r>
        <w:t xml:space="preserve">, il fait valoir que, lorsqu’on compare les résultats de la dose moyenne d’exposition pour 8 heures dans l’étude de </w:t>
      </w:r>
      <w:r w:rsidR="00341ED9">
        <w:t xml:space="preserve">la </w:t>
      </w:r>
      <w:r w:rsidR="00341ED9" w:rsidRPr="00341ED9">
        <w:rPr>
          <w:i/>
        </w:rPr>
        <w:t xml:space="preserve">Brasserie </w:t>
      </w:r>
      <w:r w:rsidRPr="00341ED9">
        <w:rPr>
          <w:i/>
        </w:rPr>
        <w:t>Molson O’keefe</w:t>
      </w:r>
      <w:r>
        <w:t xml:space="preserve">, soit 85,4 </w:t>
      </w:r>
      <w:proofErr w:type="spellStart"/>
      <w:r>
        <w:t>dBA</w:t>
      </w:r>
      <w:proofErr w:type="spellEnd"/>
      <w:r>
        <w:t xml:space="preserve"> avec ce résultat de simulation de 82,9 </w:t>
      </w:r>
      <w:proofErr w:type="spellStart"/>
      <w:r>
        <w:t>dBA</w:t>
      </w:r>
      <w:proofErr w:type="spellEnd"/>
      <w:r>
        <w:t>, on n’est probablement pas très loin de la réalité de ce qui s’est passé pour le travailleur durant la période de 1978 à 1995 et la période de 1996 à 2002</w:t>
      </w:r>
      <w:r w:rsidR="003C3185">
        <w:t>.</w:t>
      </w:r>
      <w:r>
        <w:t xml:space="preserve"> Il suggère toutefois de retenir les </w:t>
      </w:r>
      <w:r>
        <w:lastRenderedPageBreak/>
        <w:t xml:space="preserve">données de </w:t>
      </w:r>
      <w:r w:rsidR="00341ED9" w:rsidRPr="00341ED9">
        <w:rPr>
          <w:i/>
        </w:rPr>
        <w:t xml:space="preserve">Brasserie </w:t>
      </w:r>
      <w:r w:rsidRPr="00341ED9">
        <w:rPr>
          <w:i/>
        </w:rPr>
        <w:t>Molson O’keefe</w:t>
      </w:r>
      <w:r>
        <w:t xml:space="preserve"> puisque celles-ci ont été obtenues en situation réelle de travail et sur des quarts de travail complets.</w:t>
      </w:r>
    </w:p>
    <w:p w14:paraId="229E3BF7" w14:textId="77777777" w:rsidR="0038040C" w:rsidRDefault="0038040C" w:rsidP="0038040C">
      <w:pPr>
        <w:pStyle w:val="corpsdedcision"/>
        <w:tabs>
          <w:tab w:val="clear" w:pos="360"/>
          <w:tab w:val="num" w:pos="720"/>
        </w:tabs>
      </w:pPr>
      <w:r>
        <w:t xml:space="preserve">Pour ce qui est du travail d’aide-livreur pour la période de janvier 1996 à octobre 2012, il a scindé cette </w:t>
      </w:r>
      <w:r w:rsidR="00341ED9">
        <w:t>période</w:t>
      </w:r>
      <w:r>
        <w:t xml:space="preserve"> en deux parties considérant que les bouteilles de verre ont été retirées progressivement à partir de 2000 sur une période d’à peu près deux ans. Pour la période de 1996 à 2002, il a donc retenu les résultats </w:t>
      </w:r>
      <w:proofErr w:type="gramStart"/>
      <w:r>
        <w:t xml:space="preserve">de </w:t>
      </w:r>
      <w:r w:rsidRPr="0088469B">
        <w:t>Hygiène</w:t>
      </w:r>
      <w:proofErr w:type="gramEnd"/>
      <w:r w:rsidRPr="0088469B">
        <w:t xml:space="preserve"> conseils</w:t>
      </w:r>
      <w:r>
        <w:t xml:space="preserve">, soit 85,4 </w:t>
      </w:r>
      <w:proofErr w:type="spellStart"/>
      <w:r>
        <w:t>dBA</w:t>
      </w:r>
      <w:proofErr w:type="spellEnd"/>
      <w:r>
        <w:t xml:space="preserve"> et pour la période de 2003 à 2012, il a retenu la moyenne du rapport de </w:t>
      </w:r>
      <w:r w:rsidR="00500A37">
        <w:t>l’ingénieur</w:t>
      </w:r>
      <w:r w:rsidR="0088469B">
        <w:t xml:space="preserve"> </w:t>
      </w:r>
      <w:r>
        <w:t>Torikia</w:t>
      </w:r>
      <w:r w:rsidR="00500A37">
        <w:t>n de</w:t>
      </w:r>
      <w:r>
        <w:t xml:space="preserve"> juillet 2014, soit 82,1 </w:t>
      </w:r>
      <w:proofErr w:type="spellStart"/>
      <w:r>
        <w:t>dBA</w:t>
      </w:r>
      <w:proofErr w:type="spellEnd"/>
      <w:r>
        <w:t>.</w:t>
      </w:r>
    </w:p>
    <w:p w14:paraId="2B6F271B" w14:textId="77777777" w:rsidR="0038040C" w:rsidRDefault="0038040C" w:rsidP="0038040C">
      <w:pPr>
        <w:pStyle w:val="corpsdedcision"/>
        <w:tabs>
          <w:tab w:val="clear" w:pos="360"/>
          <w:tab w:val="num" w:pos="720"/>
        </w:tabs>
      </w:pPr>
      <w:r>
        <w:t>Pour la même période, le travailleur a aussi été responsable à la mise en marché pour un total de 5390 heures et agent de commercialisation pour un total de 6358</w:t>
      </w:r>
      <w:r w:rsidR="000666F9">
        <w:t> </w:t>
      </w:r>
      <w:r>
        <w:t xml:space="preserve">heures. Monsieur Leroux ne dispose pas de résultats de dosimétries pour ces tâches. </w:t>
      </w:r>
      <w:r w:rsidR="003C3185">
        <w:t>I</w:t>
      </w:r>
      <w:r>
        <w:t xml:space="preserve">l estime que le travailleur a été exposé en moyenne à 75 </w:t>
      </w:r>
      <w:proofErr w:type="spellStart"/>
      <w:r>
        <w:t>dBA</w:t>
      </w:r>
      <w:proofErr w:type="spellEnd"/>
      <w:r>
        <w:t xml:space="preserve">, ce qui est un niveau qui ne représente aucun risque pour l’audition selon l’OMS (T-22, page VIII). </w:t>
      </w:r>
      <w:r w:rsidR="003C3185">
        <w:t xml:space="preserve">Il a inclus cette période à la durée totale d’exposition au bruit. Pour démontrer que le choix de 75 </w:t>
      </w:r>
      <w:proofErr w:type="spellStart"/>
      <w:r w:rsidR="003C3185">
        <w:t>dBA</w:t>
      </w:r>
      <w:proofErr w:type="spellEnd"/>
      <w:r w:rsidR="003C3185">
        <w:t xml:space="preserve"> était acceptable, </w:t>
      </w:r>
      <w:proofErr w:type="spellStart"/>
      <w:r w:rsidR="003C3185">
        <w:t>i</w:t>
      </w:r>
      <w:r w:rsidR="00FB2051">
        <w:t>I</w:t>
      </w:r>
      <w:proofErr w:type="spellEnd"/>
      <w:r>
        <w:t xml:space="preserve"> a aussi fait le calcul avec la valeur de 65 </w:t>
      </w:r>
      <w:proofErr w:type="spellStart"/>
      <w:r>
        <w:t>dBA</w:t>
      </w:r>
      <w:proofErr w:type="spellEnd"/>
      <w:r>
        <w:t xml:space="preserve"> (niveau de la voix) et, même à ce niveau, cela n’affecte le résultat final</w:t>
      </w:r>
      <w:r w:rsidR="003C3185">
        <w:t xml:space="preserve"> d’exposition carrière</w:t>
      </w:r>
      <w:r>
        <w:t xml:space="preserve">, à la baisse, que de 0,1 </w:t>
      </w:r>
      <w:proofErr w:type="spellStart"/>
      <w:r>
        <w:t>dBA</w:t>
      </w:r>
      <w:proofErr w:type="spellEnd"/>
      <w:r>
        <w:t>.</w:t>
      </w:r>
    </w:p>
    <w:p w14:paraId="623C0F5F" w14:textId="77777777" w:rsidR="0038040C" w:rsidRDefault="000666F9" w:rsidP="0038040C">
      <w:pPr>
        <w:pStyle w:val="corpsdedcision"/>
        <w:tabs>
          <w:tab w:val="clear" w:pos="360"/>
          <w:tab w:val="num" w:pos="720"/>
        </w:tabs>
      </w:pPr>
      <w:r>
        <w:t>Ainsi, sur une base de 2</w:t>
      </w:r>
      <w:r w:rsidR="0038040C">
        <w:t>000 heures /années, il obtient une dose en carrière de 84</w:t>
      </w:r>
      <w:r>
        <w:t> </w:t>
      </w:r>
      <w:proofErr w:type="spellStart"/>
      <w:r w:rsidR="0038040C">
        <w:t>dBA</w:t>
      </w:r>
      <w:proofErr w:type="spellEnd"/>
      <w:r w:rsidR="0038040C">
        <w:t xml:space="preserve"> pour 56 433 heures ou 28,2 années d’exposition au bruit.</w:t>
      </w:r>
    </w:p>
    <w:p w14:paraId="3526A42D" w14:textId="77777777" w:rsidR="0038040C" w:rsidRDefault="0038040C" w:rsidP="0038040C">
      <w:pPr>
        <w:pStyle w:val="corpsdedcision"/>
        <w:tabs>
          <w:tab w:val="clear" w:pos="360"/>
          <w:tab w:val="num" w:pos="720"/>
        </w:tabs>
      </w:pPr>
      <w:r>
        <w:t xml:space="preserve">Monsieur Leroux </w:t>
      </w:r>
      <w:r w:rsidR="008F5AA2">
        <w:t>réfère au</w:t>
      </w:r>
      <w:r>
        <w:t xml:space="preserve"> document E-44</w:t>
      </w:r>
      <w:r w:rsidR="00341ED9">
        <w:t>,</w:t>
      </w:r>
      <w:r>
        <w:t xml:space="preserve"> correspondant à un rapport complémentaire du docteur B</w:t>
      </w:r>
      <w:r w:rsidR="008F5AA2">
        <w:t>ertrand daté du 13 février 2015 où c</w:t>
      </w:r>
      <w:r>
        <w:t>e</w:t>
      </w:r>
      <w:r w:rsidR="008F5AA2">
        <w:t>lui-ci</w:t>
      </w:r>
      <w:r>
        <w:t xml:space="preserve"> révise</w:t>
      </w:r>
      <w:r w:rsidR="008F5AA2">
        <w:t xml:space="preserve"> </w:t>
      </w:r>
      <w:proofErr w:type="gramStart"/>
      <w:r w:rsidR="008F5AA2">
        <w:t xml:space="preserve">notamment </w:t>
      </w:r>
      <w:r>
        <w:t xml:space="preserve"> l’exposition</w:t>
      </w:r>
      <w:proofErr w:type="gramEnd"/>
      <w:r>
        <w:t xml:space="preserve"> carrière au bruit du travailleur à la suite de son témoignage</w:t>
      </w:r>
      <w:r w:rsidR="008F5AA2">
        <w:t>. Il</w:t>
      </w:r>
      <w:r>
        <w:t xml:space="preserve"> conclut que pour les 24 années de livraison, le niveau moyen d’exposition retenu de 84 </w:t>
      </w:r>
      <w:proofErr w:type="spellStart"/>
      <w:r>
        <w:t>dBA</w:t>
      </w:r>
      <w:proofErr w:type="spellEnd"/>
      <w:r>
        <w:t xml:space="preserve"> est correct. Monsieur Leroux fait remarquer que le nombre d’années diffère de sa propre évaluation parce qu</w:t>
      </w:r>
      <w:r w:rsidR="008F5AA2">
        <w:t xml:space="preserve">e, dans son cas, </w:t>
      </w:r>
      <w:r>
        <w:t>il a considéré dans son calcul les années de travail à titre de responsable à la mise en marché et agent de commercialisation. Toutefois, tel qu’il l’a déjà fait valoir, cet ajout ne vient pas modifier significativement le niveau d’exposition moyen total.</w:t>
      </w:r>
    </w:p>
    <w:p w14:paraId="26752512" w14:textId="77777777" w:rsidR="0088469B" w:rsidRDefault="0038040C" w:rsidP="00BA6EE9">
      <w:pPr>
        <w:pStyle w:val="corpsdedcision"/>
        <w:tabs>
          <w:tab w:val="clear" w:pos="360"/>
          <w:tab w:val="num" w:pos="720"/>
        </w:tabs>
      </w:pPr>
      <w:r>
        <w:t xml:space="preserve">Quant à la manifestation de la perte auditive, il réfère au document intitulé </w:t>
      </w:r>
      <w:r w:rsidRPr="0088469B">
        <w:rPr>
          <w:i/>
        </w:rPr>
        <w:t>LA RÉADAPTATION ET LA PERTE AUDITIVE DUE AU BRUIT</w:t>
      </w:r>
      <w:r>
        <w:t xml:space="preserve"> (T-24), écrit par l’audiologiste Raymond Hétu et dans lequel il est expliqué que les personnes atteintes de surdité professionnelle ont une perception erronée de leurs difficultés d’écoute et de communication en raison de cinq facteurs. Cela fait en sorte que les personnes affectées ne prennent conscience des conséquences de leur surdité qu’à un stade très avancé de la perte auditive. Lorsque l’entourage finit par dire à une personne qu’elle est sourde, ça fait souvent une bonne dizaine d’années que la surdité es</w:t>
      </w:r>
      <w:r w:rsidR="008F5AA2">
        <w:t xml:space="preserve">t présente. </w:t>
      </w:r>
    </w:p>
    <w:p w14:paraId="771BEB64" w14:textId="77777777" w:rsidR="0038040C" w:rsidRDefault="0038040C" w:rsidP="00BA6EE9">
      <w:pPr>
        <w:pStyle w:val="corpsdedcision"/>
        <w:tabs>
          <w:tab w:val="clear" w:pos="360"/>
          <w:tab w:val="num" w:pos="720"/>
        </w:tabs>
      </w:pPr>
      <w:r>
        <w:lastRenderedPageBreak/>
        <w:t>Puis</w:t>
      </w:r>
      <w:r w:rsidR="00767283">
        <w:t>,</w:t>
      </w:r>
      <w:r>
        <w:t xml:space="preserve"> il commente les courbes audiométriques réalisées et interprétées par les audiologistes dans le dossier du travailleur (7 mai 2012 et 30 septembre 2013). Dans un premier temps, il souligne que ces courbes sont semblables puisque les écarts observés d’un examen à l’autre peuvent s’expliquer par l’erreur de mesure conventionnelle en audiologie. Dans un deuxième temps</w:t>
      </w:r>
      <w:r w:rsidR="000666F9">
        <w:t>,</w:t>
      </w:r>
      <w:r>
        <w:t xml:space="preserve"> il fait valoir que les courbes de l’oreille droite et celles de l’oreille gauche présentent une acuité auditive normale dans les basses fréquences (250 à 1000 Hz) et l’audition est symétrique. À mesure que l’on s’élève dans les hautes fréquences, on observe une atteinte auditive neurosensorielle, symétrique,</w:t>
      </w:r>
      <w:r w:rsidR="00890517">
        <w:t xml:space="preserve"> progressant de 1500 Hz</w:t>
      </w:r>
      <w:r w:rsidR="000666F9">
        <w:t> </w:t>
      </w:r>
      <w:r w:rsidR="00890517">
        <w:t>-</w:t>
      </w:r>
      <w:r w:rsidR="000666F9">
        <w:t> </w:t>
      </w:r>
      <w:r w:rsidR="00890517">
        <w:t xml:space="preserve">2000 Hz </w:t>
      </w:r>
      <w:r>
        <w:t>où elle est légère</w:t>
      </w:r>
      <w:r w:rsidR="00890517">
        <w:t xml:space="preserve"> et</w:t>
      </w:r>
      <w:r>
        <w:t xml:space="preserve"> à 8000 Hz où elle est sévère. </w:t>
      </w:r>
    </w:p>
    <w:p w14:paraId="052262F4" w14:textId="77777777" w:rsidR="0038040C" w:rsidRDefault="0038040C" w:rsidP="0038040C">
      <w:pPr>
        <w:pStyle w:val="corpsdedcision"/>
        <w:tabs>
          <w:tab w:val="clear" w:pos="360"/>
          <w:tab w:val="num" w:pos="720"/>
        </w:tabs>
      </w:pPr>
      <w:r>
        <w:t>Par ailleurs, sur l’audiogramme de 2012, les courbes démontrent une petite encoche à 4000</w:t>
      </w:r>
      <w:r w:rsidR="00890517">
        <w:t xml:space="preserve"> </w:t>
      </w:r>
      <w:r>
        <w:t>Hz à l’oreille droite et à 6000 Hz à l’oreille gauche. Sur celui de 2013, l’encoche à 4000 Hz est peu apparente à droite et toujours présente à 6000 Hz à gauche. Pour lui, cette configuration de l’atteinte auditive du travailleur est celle que l’on s’attend de voir chez une personne qui a une longue histoire d’exposition au bruit. L’encoche à 4000 Hz et la remontée que l’on devrait voir autour de 6000, 8000 Hz sont habituellement visibles dans les 10 à 15 premières années d’exposition. Puis, progressivement, l’encoche disparaît et la courbe tend à prendre l’allure</w:t>
      </w:r>
      <w:r w:rsidR="00890517">
        <w:t>,</w:t>
      </w:r>
      <w:r>
        <w:t xml:space="preserve"> avec les années</w:t>
      </w:r>
      <w:r w:rsidR="00890517">
        <w:t>,</w:t>
      </w:r>
      <w:r>
        <w:t xml:space="preserve"> d’une pente de ski, soit une pente descendante.</w:t>
      </w:r>
    </w:p>
    <w:p w14:paraId="133AD547" w14:textId="77777777" w:rsidR="0038040C" w:rsidRDefault="0038040C" w:rsidP="0038040C">
      <w:pPr>
        <w:pStyle w:val="corpsdedcision"/>
      </w:pPr>
      <w:r>
        <w:t>Monsieur Leroux explique qu’il a comparé l’atteinte du travailleur à celle qui serait attendue pour une personne de son âge au</w:t>
      </w:r>
      <w:r w:rsidR="008E2FC1">
        <w:t>x</w:t>
      </w:r>
      <w:r>
        <w:t xml:space="preserve"> 50</w:t>
      </w:r>
      <w:r w:rsidR="000666F9" w:rsidRPr="000666F9">
        <w:rPr>
          <w:vertAlign w:val="superscript"/>
        </w:rPr>
        <w:t>e</w:t>
      </w:r>
      <w:r w:rsidR="000666F9">
        <w:t xml:space="preserve"> </w:t>
      </w:r>
      <w:r>
        <w:t>et 10</w:t>
      </w:r>
      <w:r w:rsidR="000666F9" w:rsidRPr="000666F9">
        <w:rPr>
          <w:vertAlign w:val="superscript"/>
        </w:rPr>
        <w:t>e</w:t>
      </w:r>
      <w:r w:rsidR="000666F9">
        <w:t xml:space="preserve"> </w:t>
      </w:r>
      <w:r>
        <w:t>percentile</w:t>
      </w:r>
      <w:r w:rsidR="00BA0B3B">
        <w:t>s</w:t>
      </w:r>
      <w:r w:rsidR="00890517">
        <w:t>,</w:t>
      </w:r>
      <w:r>
        <w:t xml:space="preserve"> selon la norme ISO 1999</w:t>
      </w:r>
      <w:r w:rsidR="0088469B">
        <w:t xml:space="preserve"> (2013)</w:t>
      </w:r>
      <w:r>
        <w:t xml:space="preserve">. À </w:t>
      </w:r>
      <w:r w:rsidR="00890517">
        <w:t>ce sujet</w:t>
      </w:r>
      <w:r>
        <w:t>, il avait produit une première figure (Figure 1 de la page 13 de son expertise) qu’il a modifiée à la suite des nouvelles informations concernant la durée d’exposition a</w:t>
      </w:r>
      <w:r w:rsidR="00890517">
        <w:t xml:space="preserve">u bruit </w:t>
      </w:r>
      <w:r w:rsidR="004F576D">
        <w:t xml:space="preserve">en </w:t>
      </w:r>
      <w:r w:rsidR="00890517">
        <w:t>carrière du travailleur (</w:t>
      </w:r>
      <w:r>
        <w:t>T-23</w:t>
      </w:r>
      <w:r w:rsidR="00890517">
        <w:t>)</w:t>
      </w:r>
      <w:r>
        <w:t>.</w:t>
      </w:r>
    </w:p>
    <w:p w14:paraId="5314C5D4" w14:textId="77777777" w:rsidR="0038040C" w:rsidRPr="0088469B" w:rsidRDefault="0038040C" w:rsidP="0038040C">
      <w:pPr>
        <w:pStyle w:val="corpsdedcision"/>
        <w:tabs>
          <w:tab w:val="clear" w:pos="360"/>
          <w:tab w:val="num" w:pos="720"/>
        </w:tabs>
      </w:pPr>
      <w:r w:rsidRPr="0088469B">
        <w:t>On retrouve sur cette figure, une courbe correspondant à la perte d’audition qu’aurait subi</w:t>
      </w:r>
      <w:r w:rsidR="004F576D">
        <w:t>e</w:t>
      </w:r>
      <w:r w:rsidRPr="0088469B">
        <w:t xml:space="preserve"> la moyenne d’une population comparable au profil du travailleur (sexe, âge, niveau d’exposition carrière) et </w:t>
      </w:r>
      <w:proofErr w:type="gramStart"/>
      <w:r w:rsidRPr="0088469B">
        <w:t>une autre représentant</w:t>
      </w:r>
      <w:proofErr w:type="gramEnd"/>
      <w:r w:rsidRPr="0088469B">
        <w:t xml:space="preserve"> celle des 10</w:t>
      </w:r>
      <w:r w:rsidR="000666F9">
        <w:t> </w:t>
      </w:r>
      <w:r w:rsidRPr="0088469B">
        <w:t xml:space="preserve">% d’individus les plus atteints. La troisième courbe représente les seuils auditifs du travailleur (moyenne des deux oreilles selon les recommandations de la norme ISO). </w:t>
      </w:r>
    </w:p>
    <w:p w14:paraId="5EF64954" w14:textId="77777777" w:rsidR="0038040C" w:rsidRDefault="0038040C" w:rsidP="0038040C">
      <w:pPr>
        <w:pStyle w:val="corpsdedcision"/>
        <w:tabs>
          <w:tab w:val="clear" w:pos="360"/>
          <w:tab w:val="num" w:pos="720"/>
        </w:tabs>
      </w:pPr>
      <w:r w:rsidRPr="0088469B">
        <w:t>Ainsi, il est possible d’observer que pour les fréquences de 500 et 1000 Hz, les seuils du travailleur ressemblent à ceux d</w:t>
      </w:r>
      <w:r w:rsidR="004F576D">
        <w:t>e cette population de référence</w:t>
      </w:r>
      <w:r w:rsidR="00281D0E">
        <w:t>,</w:t>
      </w:r>
      <w:r w:rsidRPr="0088469B">
        <w:t xml:space="preserve"> ma</w:t>
      </w:r>
      <w:r w:rsidR="00AC7A93">
        <w:t>is à partir de 2000 Hz jusqu’à 8</w:t>
      </w:r>
      <w:r w:rsidRPr="0088469B">
        <w:t>000 Hz, ils s’en écartent passablement. Son audition est pire en moyenne de 16 dB pour les fréquences de 2000 à 8000 Hz. La fréquence de 3000 Hz présente la plus grande différence, soit 20 dB. La perte auditive du travailleur est donc plus importante que celle du 10</w:t>
      </w:r>
      <w:r w:rsidR="000666F9">
        <w:t> </w:t>
      </w:r>
      <w:r w:rsidRPr="0088469B">
        <w:t>% d’individus les plus sensibles à ce niveau d’exposition au bruit</w:t>
      </w:r>
      <w:r>
        <w:t>.</w:t>
      </w:r>
    </w:p>
    <w:p w14:paraId="29680A43" w14:textId="77777777" w:rsidR="0038040C" w:rsidRDefault="0038040C" w:rsidP="0038040C">
      <w:pPr>
        <w:pStyle w:val="corpsdedcision"/>
        <w:tabs>
          <w:tab w:val="clear" w:pos="360"/>
          <w:tab w:val="num" w:pos="720"/>
        </w:tabs>
      </w:pPr>
      <w:r w:rsidRPr="0088469B">
        <w:t>Monsieur Leroux explique que cela est dû au fait que les paramètres de la norme ISO 1999 ne prennent pas en considération d’autres aspects du milieu de travail qui pourraient expliquer pourquoi il y a un tel écart. Selon lui, il y a effectivement</w:t>
      </w:r>
      <w:r w:rsidR="00AC7A93">
        <w:t>, en l’espèce,</w:t>
      </w:r>
      <w:r w:rsidRPr="0088469B">
        <w:t xml:space="preserve"> des éléments qui viennent s’ajouter à l’exposition au bruit soit, l’exposition à un grand </w:t>
      </w:r>
      <w:r w:rsidRPr="0088469B">
        <w:lastRenderedPageBreak/>
        <w:t>nombre de bruits d’impact, l’exposition à des vibrations et l’exposition probable à du monoxyde de carbone</w:t>
      </w:r>
      <w:r>
        <w:t xml:space="preserve">. </w:t>
      </w:r>
    </w:p>
    <w:p w14:paraId="175E71A7" w14:textId="77777777" w:rsidR="0038040C" w:rsidRDefault="0038040C" w:rsidP="0038040C">
      <w:pPr>
        <w:pStyle w:val="corpsdedcision"/>
      </w:pPr>
      <w:r>
        <w:t xml:space="preserve">Au sujet de la nocivité des bruits d’impact, il réfère au document T-25, intitulé </w:t>
      </w:r>
      <w:r w:rsidRPr="00AA7E32">
        <w:rPr>
          <w:i/>
        </w:rPr>
        <w:t xml:space="preserve">Exposition aux bruits d’impact impulsionnels en milieu de travail : la protection assurée par les dispositions </w:t>
      </w:r>
      <w:r w:rsidRPr="00575419">
        <w:rPr>
          <w:i/>
        </w:rPr>
        <w:t>règlementaires est-elle suffisante?</w:t>
      </w:r>
      <w:r w:rsidRPr="00575419">
        <w:t xml:space="preserve"> publié en 1990. Au préalable, il discute de l’annexe B du rapport </w:t>
      </w:r>
      <w:r w:rsidR="007362CF" w:rsidRPr="00575419">
        <w:t xml:space="preserve">de l’ingénieur </w:t>
      </w:r>
      <w:r w:rsidRPr="00575419">
        <w:t>Torikian de juillet 2014, présentant un tableau des résultats des bruits d’impact et fait valoir qu’il y a</w:t>
      </w:r>
      <w:r w:rsidR="00890517" w:rsidRPr="00575419">
        <w:t>,</w:t>
      </w:r>
      <w:r w:rsidRPr="00575419">
        <w:t xml:space="preserve"> sans contredit</w:t>
      </w:r>
      <w:r w:rsidR="00890517" w:rsidRPr="00575419">
        <w:t>,</w:t>
      </w:r>
      <w:r w:rsidRPr="00575419">
        <w:t xml:space="preserve"> présence de bruits d’impact dans ce milieu de travail. Leur nombre</w:t>
      </w:r>
      <w:r>
        <w:t xml:space="preserve"> varie entre 1</w:t>
      </w:r>
      <w:r w:rsidR="00890517">
        <w:t xml:space="preserve"> </w:t>
      </w:r>
      <w:r>
        <w:t>052 et 6</w:t>
      </w:r>
      <w:r w:rsidR="00890517">
        <w:t xml:space="preserve"> </w:t>
      </w:r>
      <w:r>
        <w:t>074 pour les aide-</w:t>
      </w:r>
      <w:r w:rsidR="00890517">
        <w:t>livreurs</w:t>
      </w:r>
      <w:r>
        <w:t xml:space="preserve"> et entre 300 et 8</w:t>
      </w:r>
      <w:r w:rsidR="00890517">
        <w:t xml:space="preserve"> </w:t>
      </w:r>
      <w:r>
        <w:t xml:space="preserve">810 pour les </w:t>
      </w:r>
      <w:r w:rsidR="00890517">
        <w:t>livreurs</w:t>
      </w:r>
      <w:r>
        <w:t xml:space="preserve"> </w:t>
      </w:r>
      <w:r w:rsidR="00890517">
        <w:t>en ce qui a trait aux</w:t>
      </w:r>
      <w:r>
        <w:t xml:space="preserve"> bruits au-delà de 120 dB. Pour les mêmes groupes, les bruits d’impacts au-delà de 130 dB varient respectivement de 8 à 443 et de 1 à 87</w:t>
      </w:r>
      <w:r w:rsidR="00575419">
        <w:t>. P</w:t>
      </w:r>
      <w:r>
        <w:t>our les bruits d’impact au-delà de 140 dB, il s’en retrouve entre 1 et 4 par dosimétrie lorsque présents.</w:t>
      </w:r>
    </w:p>
    <w:p w14:paraId="1D3AC7D2" w14:textId="77777777" w:rsidR="0038040C" w:rsidRDefault="0038040C" w:rsidP="0038040C">
      <w:pPr>
        <w:pStyle w:val="corpsdedcision"/>
      </w:pPr>
      <w:r>
        <w:t xml:space="preserve"> Monsieur Leroux souligne qu’il n’y a pas d’information sur le nombre de bruits d’impact et leur niveau pour l’époque de 1978, mais on sait que cette réalité existait d’autant plus que les bouteilles étaient alors en verre et les caisses en bois.</w:t>
      </w:r>
    </w:p>
    <w:p w14:paraId="731086F2" w14:textId="77777777" w:rsidR="0038040C" w:rsidRDefault="0038040C" w:rsidP="00E43683">
      <w:pPr>
        <w:pStyle w:val="corpsdedcision"/>
      </w:pPr>
      <w:r>
        <w:t>Ainsi, les auteurs de l’article ci-haut mentionné, ont cherché à déterminer quels étaient les niveaux sans danger pour l’audition</w:t>
      </w:r>
      <w:r w:rsidR="00BA0B3B">
        <w:t>.</w:t>
      </w:r>
    </w:p>
    <w:p w14:paraId="5C15F2F0" w14:textId="77777777" w:rsidR="0038040C" w:rsidRDefault="0038040C" w:rsidP="0038040C">
      <w:pPr>
        <w:pStyle w:val="corpsdedcision"/>
      </w:pPr>
      <w:r>
        <w:t>Dans cette étude, dans le cas où les sons sont réverbérés, comme c’est le cas pour le travailleur selon lui (tri des bouteilles devant le camion avec des parois en métal, manipulation des caisses devant un camion ou dans des locaux et non pas dans un grand champ vaste), la valeur limite obtenue de ces données expérimentales</w:t>
      </w:r>
      <w:r w:rsidR="00575419">
        <w:t xml:space="preserve"> et retenue par les auteurs</w:t>
      </w:r>
      <w:r w:rsidR="002803E6">
        <w:t xml:space="preserve"> est de 95 dB. D</w:t>
      </w:r>
      <w:r>
        <w:t>ans le cas où les sons ne sont pas réverbérés, la valeur limite est de 120 dB pour 2</w:t>
      </w:r>
      <w:r w:rsidR="007362CF">
        <w:t xml:space="preserve"> </w:t>
      </w:r>
      <w:r>
        <w:t xml:space="preserve">700 impulsions. </w:t>
      </w:r>
    </w:p>
    <w:p w14:paraId="5115D926" w14:textId="77777777" w:rsidR="0038040C" w:rsidRDefault="0038040C" w:rsidP="0038040C">
      <w:pPr>
        <w:pStyle w:val="corpsdedcision"/>
      </w:pPr>
      <w:r>
        <w:t xml:space="preserve">Monsieur Leroux fait valoir que les résultats obtenus par </w:t>
      </w:r>
      <w:r w:rsidR="007362CF">
        <w:t xml:space="preserve">l’ingénieur </w:t>
      </w:r>
      <w:r>
        <w:t>Torikian sont autour de 3</w:t>
      </w:r>
      <w:r w:rsidR="007362CF">
        <w:t xml:space="preserve"> </w:t>
      </w:r>
      <w:r>
        <w:t xml:space="preserve">830 impulsions en moyenne par quart de travail, soit 1000 de plus que le modèle proposé et elles sont toutes supérieures à 120 dB. Il est donc possible, à partir des conclusions de l’étude de </w:t>
      </w:r>
      <w:proofErr w:type="spellStart"/>
      <w:r>
        <w:t>Hétu</w:t>
      </w:r>
      <w:proofErr w:type="spellEnd"/>
      <w:r>
        <w:t>, de dire que cette exposition comporte un risque pour l’audition même si el</w:t>
      </w:r>
      <w:r w:rsidR="007362CF">
        <w:t xml:space="preserve">le semble être conforme au </w:t>
      </w:r>
      <w:r w:rsidR="007362CF" w:rsidRPr="007362CF">
        <w:rPr>
          <w:i/>
        </w:rPr>
        <w:t>R</w:t>
      </w:r>
      <w:r w:rsidRPr="007362CF">
        <w:rPr>
          <w:i/>
        </w:rPr>
        <w:t>èglement</w:t>
      </w:r>
      <w:r w:rsidR="007362CF" w:rsidRPr="007362CF">
        <w:rPr>
          <w:i/>
        </w:rPr>
        <w:t xml:space="preserve"> sur la santé et la sécurité du travail</w:t>
      </w:r>
      <w:r>
        <w:t>.</w:t>
      </w:r>
    </w:p>
    <w:p w14:paraId="4E38593A" w14:textId="77777777" w:rsidR="0038040C" w:rsidRDefault="0038040C" w:rsidP="0038040C">
      <w:pPr>
        <w:pStyle w:val="corpsdedcision"/>
      </w:pPr>
      <w:r>
        <w:t>Puis, au sujet d</w:t>
      </w:r>
      <w:r w:rsidR="00575419">
        <w:t xml:space="preserve">es </w:t>
      </w:r>
      <w:r>
        <w:t>deuxième</w:t>
      </w:r>
      <w:r w:rsidR="00575419">
        <w:t xml:space="preserve"> et troisième </w:t>
      </w:r>
      <w:r>
        <w:t>facteur</w:t>
      </w:r>
      <w:r w:rsidR="00575419">
        <w:t>s</w:t>
      </w:r>
      <w:r>
        <w:t xml:space="preserve"> de </w:t>
      </w:r>
      <w:proofErr w:type="gramStart"/>
      <w:r>
        <w:t>risque potentiel</w:t>
      </w:r>
      <w:r w:rsidR="00575419">
        <w:t>s</w:t>
      </w:r>
      <w:proofErr w:type="gramEnd"/>
      <w:r>
        <w:t xml:space="preserve"> pour l’audition du travailleur</w:t>
      </w:r>
      <w:r w:rsidR="00575419">
        <w:t xml:space="preserve"> qu’il a retenu</w:t>
      </w:r>
      <w:r>
        <w:t xml:space="preserve">, soit l’exposition au monoxyde de carbone </w:t>
      </w:r>
      <w:r w:rsidR="00575419">
        <w:t xml:space="preserve">et aux vibrations </w:t>
      </w:r>
      <w:r>
        <w:t xml:space="preserve">chez les camionneurs, il dépose </w:t>
      </w:r>
      <w:proofErr w:type="gramStart"/>
      <w:r>
        <w:t>trois documents traita</w:t>
      </w:r>
      <w:r w:rsidR="007362CF">
        <w:t>nt</w:t>
      </w:r>
      <w:proofErr w:type="gramEnd"/>
      <w:r w:rsidR="007362CF">
        <w:t xml:space="preserve"> </w:t>
      </w:r>
      <w:r w:rsidR="009B562B">
        <w:t>entre autre</w:t>
      </w:r>
      <w:r w:rsidR="002803E6">
        <w:t>s</w:t>
      </w:r>
      <w:r w:rsidR="009B562B">
        <w:t xml:space="preserve"> </w:t>
      </w:r>
      <w:r w:rsidR="007362CF">
        <w:t>de ce sujet (</w:t>
      </w:r>
      <w:r>
        <w:t>T-27, T-28 et T-29).</w:t>
      </w:r>
    </w:p>
    <w:p w14:paraId="62C3D86A" w14:textId="77777777" w:rsidR="0038040C" w:rsidRDefault="0038040C" w:rsidP="0038040C">
      <w:pPr>
        <w:pStyle w:val="corpsdedcision"/>
      </w:pPr>
      <w:r>
        <w:t xml:space="preserve">Le premier document consiste en une fiche d’information sur les facteurs de risque qui peuvent se retrouver dans le travail de camionneur et de livreur de produits alimentaires. Il est question notamment d’expositions au bruit, aux vibrations du corps </w:t>
      </w:r>
      <w:r>
        <w:lastRenderedPageBreak/>
        <w:t>entier et au monoxyde de carbone.</w:t>
      </w:r>
      <w:r w:rsidR="009B562B">
        <w:t xml:space="preserve"> Il n’y pas d’information précise sur la prévalence de ces expositions.</w:t>
      </w:r>
    </w:p>
    <w:p w14:paraId="0E524C41" w14:textId="77777777" w:rsidR="0088469B" w:rsidRDefault="0038040C" w:rsidP="00BA6EE9">
      <w:pPr>
        <w:pStyle w:val="corpsdedcision"/>
      </w:pPr>
      <w:r>
        <w:t>Le deuxième document est produit par l’Agence Européenne de Santé et Sécurité au Travail. Il porte sur les aspects de santé et sécurité au travail dans le secteur du transport. Seule la section 2 du document original est présentée ici. À la section 2.1, la figure 11 présente une vue générale de la prévalence de certains facteurs de risque qui sont présents sur toute la durée du quart de travail dans ce secteur de travail selon une évaluation faite en 2005</w:t>
      </w:r>
      <w:r w:rsidR="009B562B">
        <w:t xml:space="preserve"> par questionnaire</w:t>
      </w:r>
      <w:r>
        <w:t>. Les</w:t>
      </w:r>
      <w:r w:rsidR="00575419">
        <w:t xml:space="preserve"> vibrations s’y retrouvent chez</w:t>
      </w:r>
      <w:r w:rsidR="007362CF">
        <w:t xml:space="preserve"> 28,7</w:t>
      </w:r>
      <w:r w:rsidR="000666F9">
        <w:t> </w:t>
      </w:r>
      <w:r w:rsidR="007362CF">
        <w:t>%</w:t>
      </w:r>
      <w:r w:rsidR="00575419">
        <w:t xml:space="preserve"> des travailleurs, le bruit chez </w:t>
      </w:r>
      <w:r w:rsidR="007362CF">
        <w:t>31,</w:t>
      </w:r>
      <w:r>
        <w:t>8</w:t>
      </w:r>
      <w:r w:rsidR="000666F9">
        <w:t> </w:t>
      </w:r>
      <w:r>
        <w:t xml:space="preserve">% et les produits chimiques </w:t>
      </w:r>
      <w:r w:rsidR="007362CF">
        <w:t>dont</w:t>
      </w:r>
      <w:r w:rsidR="00575419">
        <w:t xml:space="preserve"> le monoxyde de carbone chez</w:t>
      </w:r>
      <w:r w:rsidR="007362CF">
        <w:t xml:space="preserve"> 6,</w:t>
      </w:r>
      <w:r>
        <w:t>3</w:t>
      </w:r>
      <w:r w:rsidR="000666F9">
        <w:t> </w:t>
      </w:r>
      <w:r>
        <w:t xml:space="preserve">%. </w:t>
      </w:r>
    </w:p>
    <w:p w14:paraId="064402C1" w14:textId="77777777" w:rsidR="0038040C" w:rsidRDefault="0038040C" w:rsidP="00BA6EE9">
      <w:pPr>
        <w:pStyle w:val="corpsdedcision"/>
      </w:pPr>
      <w:r>
        <w:t xml:space="preserve">À la page 84 du document, on suggère que les travailleurs du secteur du transport sont plus exposés aux vibrations, présentes dans la cabine, que la moyenne de la population des travailleurs en général. Cette exposition peut entraîner, selon ce </w:t>
      </w:r>
      <w:r w:rsidR="002803E6">
        <w:t>document, des problèmes de dos sans que l’on fasse mention, toutefois, de prob</w:t>
      </w:r>
      <w:r>
        <w:t xml:space="preserve">lèmes d’audition. </w:t>
      </w:r>
    </w:p>
    <w:p w14:paraId="7A2A4EDF" w14:textId="77777777" w:rsidR="0088469B" w:rsidRDefault="0038040C" w:rsidP="0088469B">
      <w:pPr>
        <w:pStyle w:val="corpsdedcision"/>
      </w:pPr>
      <w:r>
        <w:t xml:space="preserve"> </w:t>
      </w:r>
      <w:r w:rsidRPr="0088469B">
        <w:t xml:space="preserve">À la page 97, les auteurs mentionnent que les travailleurs de l’industrie du transport terrestre </w:t>
      </w:r>
      <w:r w:rsidR="002803E6">
        <w:t>rapportent être</w:t>
      </w:r>
      <w:r w:rsidRPr="0088469B">
        <w:t xml:space="preserve"> plus exposés aux fumées d’échappement comparativement à </w:t>
      </w:r>
      <w:r w:rsidR="002803E6">
        <w:t>la moyenne</w:t>
      </w:r>
      <w:r w:rsidRPr="0088469B">
        <w:t xml:space="preserve"> des travailleurs européens de tous</w:t>
      </w:r>
      <w:r w:rsidR="007362CF" w:rsidRPr="0088469B">
        <w:t xml:space="preserve"> les secteurs confondus, soit 6,9</w:t>
      </w:r>
      <w:r w:rsidR="000666F9">
        <w:t> </w:t>
      </w:r>
      <w:r w:rsidR="007362CF" w:rsidRPr="0088469B">
        <w:t>% vs 4,</w:t>
      </w:r>
      <w:r w:rsidR="0088469B" w:rsidRPr="0088469B">
        <w:t>2</w:t>
      </w:r>
      <w:r w:rsidR="000666F9">
        <w:t> </w:t>
      </w:r>
      <w:r w:rsidR="0088469B" w:rsidRPr="0088469B">
        <w:t>%.</w:t>
      </w:r>
    </w:p>
    <w:p w14:paraId="4420BA05" w14:textId="77777777" w:rsidR="009B562B" w:rsidRDefault="0038040C" w:rsidP="009B562B">
      <w:pPr>
        <w:pStyle w:val="corpsdedcision"/>
      </w:pPr>
      <w:r>
        <w:t xml:space="preserve">Puis, monsieur Leroux réfère à </w:t>
      </w:r>
      <w:proofErr w:type="gramStart"/>
      <w:r w:rsidRPr="00AA7E32">
        <w:rPr>
          <w:i/>
        </w:rPr>
        <w:t>l’article  </w:t>
      </w:r>
      <w:proofErr w:type="spellStart"/>
      <w:r w:rsidRPr="00AA7E32">
        <w:rPr>
          <w:i/>
        </w:rPr>
        <w:t>Worksite</w:t>
      </w:r>
      <w:proofErr w:type="gramEnd"/>
      <w:r w:rsidRPr="00AA7E32">
        <w:rPr>
          <w:i/>
        </w:rPr>
        <w:t>-Induced</w:t>
      </w:r>
      <w:proofErr w:type="spellEnd"/>
      <w:r w:rsidRPr="00AA7E32">
        <w:rPr>
          <w:i/>
        </w:rPr>
        <w:t xml:space="preserve"> </w:t>
      </w:r>
      <w:proofErr w:type="spellStart"/>
      <w:r w:rsidRPr="00AA7E32">
        <w:rPr>
          <w:i/>
        </w:rPr>
        <w:t>Morbidities</w:t>
      </w:r>
      <w:proofErr w:type="spellEnd"/>
      <w:r w:rsidRPr="00AA7E32">
        <w:rPr>
          <w:i/>
        </w:rPr>
        <w:t xml:space="preserve"> Among Truck Drivers in the United </w:t>
      </w:r>
      <w:proofErr w:type="gramStart"/>
      <w:r w:rsidRPr="00AA7E32">
        <w:rPr>
          <w:i/>
        </w:rPr>
        <w:t>States</w:t>
      </w:r>
      <w:r>
        <w:t>  (</w:t>
      </w:r>
      <w:proofErr w:type="gramEnd"/>
      <w:r>
        <w:t>T-29) publié en 2010. À la page 289, tableau 2, les auteurs répertorient les facteurs de risque et documentent notamment une exposition au bruit et aux vibrations</w:t>
      </w:r>
      <w:r w:rsidR="009B562B">
        <w:t>. Cette dernière</w:t>
      </w:r>
      <w:r>
        <w:t xml:space="preserve"> est associée à des troubles musculosquelettiques et des problèmes respiratoires.</w:t>
      </w:r>
      <w:r w:rsidR="009B562B">
        <w:t xml:space="preserve"> Il est noté que cette exposition a été largement corrélée avec les problèmes de dos. Les auteurs concluent que l’exposition au bruit et aux vibrations peut causer de la fatigue, de l’insomnie et une exposition prolongée peut entraîner des problèmes circulatoires, digestifs et respiratoires</w:t>
      </w:r>
      <w:r w:rsidR="002803E6">
        <w:t>, sans toutefois référer spécifiquement à des problèmes d’audition.</w:t>
      </w:r>
    </w:p>
    <w:p w14:paraId="368D3925" w14:textId="77777777" w:rsidR="0038040C" w:rsidRDefault="0038040C" w:rsidP="0038040C">
      <w:pPr>
        <w:pStyle w:val="corpsdedcision"/>
      </w:pPr>
      <w:r>
        <w:t xml:space="preserve">Il poursuit son témoignage en présentant un article (T-30), </w:t>
      </w:r>
      <w:r w:rsidRPr="00AA7E32">
        <w:rPr>
          <w:i/>
        </w:rPr>
        <w:t>Conduite et santé, Une revue de la Littérature</w:t>
      </w:r>
      <w:r>
        <w:t>, publié en 2008 par l’INRS où il est écrit « Les chauffeurs professionnels, surtout ceux travaillant en ville, sont exposés à l’inhalation permanente des composants de la pollution urbaine et des gaz d’échappement de la circulation automobile : monoxyde de carbone et dioxyde de carbone (C</w:t>
      </w:r>
      <w:r w:rsidR="00ED35E7">
        <w:t>O et CO</w:t>
      </w:r>
      <w:r w:rsidR="00ED35E7">
        <w:rPr>
          <w:vertAlign w:val="subscript"/>
        </w:rPr>
        <w:t>2</w:t>
      </w:r>
      <w:r>
        <w:t xml:space="preserve">). » </w:t>
      </w:r>
    </w:p>
    <w:p w14:paraId="62D6066C" w14:textId="77777777" w:rsidR="0038040C" w:rsidRDefault="0038040C" w:rsidP="0038040C">
      <w:pPr>
        <w:pStyle w:val="corpsdedcision"/>
        <w:tabs>
          <w:tab w:val="clear" w:pos="360"/>
          <w:tab w:val="num" w:pos="720"/>
        </w:tabs>
      </w:pPr>
      <w:r>
        <w:t xml:space="preserve">À la lumière de ces références, monsieur Leroux est d’avis que la preuve est à l’effet que les conducteurs de camions de transport de marchandises sont exposés au bruit, aux vibrations du corps entier et au monoxyde de carbone. Il précise par ailleurs que le travailleur n’a pas été exposé à du bruit excessif à l’extérieur du travail. </w:t>
      </w:r>
    </w:p>
    <w:p w14:paraId="47C15019" w14:textId="77777777" w:rsidR="0038040C" w:rsidRDefault="0038040C" w:rsidP="0038040C">
      <w:pPr>
        <w:pStyle w:val="corpsdedcision"/>
        <w:tabs>
          <w:tab w:val="clear" w:pos="360"/>
          <w:tab w:val="num" w:pos="720"/>
        </w:tabs>
      </w:pPr>
      <w:r>
        <w:lastRenderedPageBreak/>
        <w:t>Questionné à savoir qu</w:t>
      </w:r>
      <w:r w:rsidR="009B562B">
        <w:t>el est l’effet du</w:t>
      </w:r>
      <w:r>
        <w:t xml:space="preserve"> monoxyde de carbone sur l’audition, il dépose un premier document, provenant de l’IRSST et dont il est le second auteur , </w:t>
      </w:r>
      <w:r w:rsidRPr="00AA7E32">
        <w:rPr>
          <w:i/>
        </w:rPr>
        <w:t>Effet des substances chimiques sur l’audition, I</w:t>
      </w:r>
      <w:r>
        <w:rPr>
          <w:i/>
        </w:rPr>
        <w:t>nte</w:t>
      </w:r>
      <w:r w:rsidRPr="00AA7E32">
        <w:rPr>
          <w:i/>
        </w:rPr>
        <w:t>ractions avec le bruit</w:t>
      </w:r>
      <w:r>
        <w:t xml:space="preserve"> (T-31) publié en 2011 et un deuxi</w:t>
      </w:r>
      <w:r w:rsidR="00453C93">
        <w:t>ème qui est en fait une copie d’une</w:t>
      </w:r>
      <w:r>
        <w:t xml:space="preserve"> présentation </w:t>
      </w:r>
      <w:r w:rsidRPr="00ED35E7">
        <w:rPr>
          <w:i/>
        </w:rPr>
        <w:t>Power point</w:t>
      </w:r>
      <w:r>
        <w:t xml:space="preserve"> publiée sur le Web en 2015 et dont la deuxième auteure, soulign</w:t>
      </w:r>
      <w:r w:rsidR="00ED35E7">
        <w:t>e-t-il, est chercheure au NIOSH</w:t>
      </w:r>
      <w:r>
        <w:t xml:space="preserve">, </w:t>
      </w:r>
      <w:r w:rsidRPr="00AA7E32">
        <w:rPr>
          <w:i/>
        </w:rPr>
        <w:t xml:space="preserve">Hearing Loss Among Iron and Steel </w:t>
      </w:r>
      <w:proofErr w:type="spellStart"/>
      <w:r w:rsidRPr="00AA7E32">
        <w:rPr>
          <w:i/>
        </w:rPr>
        <w:t>Workers</w:t>
      </w:r>
      <w:proofErr w:type="spellEnd"/>
      <w:r w:rsidRPr="00AA7E32">
        <w:rPr>
          <w:i/>
        </w:rPr>
        <w:t xml:space="preserve"> </w:t>
      </w:r>
      <w:proofErr w:type="spellStart"/>
      <w:r w:rsidRPr="00AA7E32">
        <w:rPr>
          <w:i/>
        </w:rPr>
        <w:t>Exposed</w:t>
      </w:r>
      <w:proofErr w:type="spellEnd"/>
      <w:r w:rsidRPr="00AA7E32">
        <w:rPr>
          <w:i/>
        </w:rPr>
        <w:t xml:space="preserve"> to Low Levels of Carbon </w:t>
      </w:r>
      <w:proofErr w:type="spellStart"/>
      <w:r w:rsidRPr="00AA7E32">
        <w:rPr>
          <w:i/>
        </w:rPr>
        <w:t>Monoxide</w:t>
      </w:r>
      <w:proofErr w:type="spellEnd"/>
      <w:r w:rsidRPr="00AA7E32">
        <w:rPr>
          <w:i/>
        </w:rPr>
        <w:t xml:space="preserve"> and Noise</w:t>
      </w:r>
      <w:r>
        <w:t xml:space="preserve"> (T-32).</w:t>
      </w:r>
    </w:p>
    <w:p w14:paraId="5E2ABA61" w14:textId="77777777" w:rsidR="0038040C" w:rsidRDefault="0038040C" w:rsidP="0038040C">
      <w:pPr>
        <w:pStyle w:val="corpsdedcision"/>
        <w:tabs>
          <w:tab w:val="clear" w:pos="360"/>
          <w:tab w:val="num" w:pos="720"/>
        </w:tabs>
      </w:pPr>
      <w:r>
        <w:t>Au sujet du premier, il explique qu’il s’agit d’une revue de la littéra</w:t>
      </w:r>
      <w:r w:rsidR="00ED35E7">
        <w:t>ture publiée entre 1970 et 2005. Elle est</w:t>
      </w:r>
      <w:r>
        <w:t xml:space="preserve"> complétée par les articles parus sur le sujet en 2005, 2006 et 2007 et portant sur les interactions possibles entre certaines substances chimiques et le bruit quant à l’atteinte auditive. </w:t>
      </w:r>
      <w:r w:rsidR="00453C93">
        <w:t>Les auteurs</w:t>
      </w:r>
      <w:r>
        <w:t xml:space="preserve"> ont ainsi répertorié 224 expériences dans 150</w:t>
      </w:r>
      <w:r w:rsidR="000666F9">
        <w:t> </w:t>
      </w:r>
      <w:r>
        <w:t>publications dont 51 ont étudié l’effet de l’exposition à une substance combinée à celle du bruit.</w:t>
      </w:r>
    </w:p>
    <w:p w14:paraId="283CF946" w14:textId="77777777" w:rsidR="0038040C" w:rsidRDefault="0038040C" w:rsidP="0038040C">
      <w:pPr>
        <w:pStyle w:val="corpsdedcision"/>
        <w:tabs>
          <w:tab w:val="clear" w:pos="360"/>
          <w:tab w:val="num" w:pos="720"/>
        </w:tabs>
      </w:pPr>
      <w:r>
        <w:t xml:space="preserve">Monsieur Leroux explique que </w:t>
      </w:r>
      <w:r w:rsidRPr="00871FF2">
        <w:t>les études animales</w:t>
      </w:r>
      <w:r>
        <w:t xml:space="preserve"> démontrent de manière convaincante que la combinaison du monoxyde </w:t>
      </w:r>
      <w:r w:rsidR="000666F9">
        <w:t xml:space="preserve">de </w:t>
      </w:r>
      <w:r>
        <w:t xml:space="preserve">carbone avec une exposition au bruit potentialise l’effet toxique du bruit sur l’oreille interne. La raison est que lorsque l’oreille interne est exposée au bruit, il y a une augmentation de la consommation d’oxygène afin qu’elle soit en mesure de transformer l’information mécanique sonore en activité électrique. Ainsi, en présence du bruit, l’oreille interne a besoin de beaucoup d’oxygène. Or, le monoxyde de carbone vient remplacer l’oxygène dans la circulation sanguine et réduit la quantité d’oxygène disponible au niveau de l’oreille interne. Cela rendra encore plus toxique </w:t>
      </w:r>
      <w:r w:rsidR="00453C93">
        <w:t>le traitement du bruit par</w:t>
      </w:r>
      <w:r>
        <w:t xml:space="preserve"> l’oreille</w:t>
      </w:r>
      <w:r w:rsidR="00453C93">
        <w:t>.</w:t>
      </w:r>
    </w:p>
    <w:p w14:paraId="4633CAB2" w14:textId="77777777" w:rsidR="0038040C" w:rsidRDefault="002803E6" w:rsidP="0038040C">
      <w:pPr>
        <w:pStyle w:val="corpsdedcision"/>
        <w:tabs>
          <w:tab w:val="clear" w:pos="360"/>
          <w:tab w:val="num" w:pos="720"/>
        </w:tabs>
      </w:pPr>
      <w:r>
        <w:t>L</w:t>
      </w:r>
      <w:r w:rsidR="0038040C">
        <w:t>es auteurs notent les informations suivantes à propos du monoxyde de carbone dans l’Annexe 1, page 6 des fiches synthèses sur les produits étudiés dans cette publication :</w:t>
      </w:r>
    </w:p>
    <w:p w14:paraId="4BF3E774" w14:textId="77777777" w:rsidR="0038040C" w:rsidRDefault="0038040C" w:rsidP="0038040C">
      <w:pPr>
        <w:pStyle w:val="citation"/>
      </w:pPr>
      <w:r>
        <w:t>Discussion</w:t>
      </w:r>
    </w:p>
    <w:p w14:paraId="67033058" w14:textId="77777777" w:rsidR="0038040C" w:rsidRDefault="0038040C" w:rsidP="0038040C">
      <w:pPr>
        <w:pStyle w:val="citation"/>
      </w:pPr>
    </w:p>
    <w:p w14:paraId="00628CB2" w14:textId="77777777" w:rsidR="0038040C" w:rsidRDefault="0038040C" w:rsidP="0038040C">
      <w:pPr>
        <w:pStyle w:val="citation"/>
      </w:pPr>
      <w:r w:rsidRPr="00871FF2">
        <w:t>Aucune étude humaine n’a été identifiée. Les 10 études animales menées chez le rat n’ont montré aucun effet ototoxique associé à l’exposition au monoxyde de carbone seul.</w:t>
      </w:r>
      <w:r>
        <w:t xml:space="preserve"> Cependant, une potentialisation de la perte auditive due au bruit par le monoxyde de carbone a été trouvée dans 18 études chez le rat. D’autres études avec des données suffisantes sur l’exposition des travailleurs au monoxyde de carbone sont nécessaires pour en arriver à la conclusion définitive au sujet de l’interaction avec le bruit. En l’absence d’études humaines, nous ne pouvons conclure quant à l’ototoxicité du monoxyde de carbone. Toutefois les résultats des études animales nous amènent à considérer le </w:t>
      </w:r>
      <w:r w:rsidRPr="00871FF2">
        <w:t>monoxyde de carbone comme un potentialisateur possible d’une perte auditive due au bruit</w:t>
      </w:r>
      <w:r>
        <w:t>.</w:t>
      </w:r>
    </w:p>
    <w:p w14:paraId="5FBC2B48" w14:textId="77777777" w:rsidR="000666F9" w:rsidRDefault="000666F9" w:rsidP="0038040C">
      <w:pPr>
        <w:pStyle w:val="citation"/>
      </w:pPr>
    </w:p>
    <w:p w14:paraId="50D53FD9" w14:textId="77777777" w:rsidR="000666F9" w:rsidRDefault="000666F9" w:rsidP="0038040C">
      <w:pPr>
        <w:pStyle w:val="citation"/>
      </w:pPr>
    </w:p>
    <w:p w14:paraId="1FFF5621" w14:textId="77777777" w:rsidR="0038040C" w:rsidRDefault="00453C93" w:rsidP="0038040C">
      <w:pPr>
        <w:pStyle w:val="corpsdedcision"/>
        <w:tabs>
          <w:tab w:val="clear" w:pos="360"/>
          <w:tab w:val="num" w:pos="720"/>
        </w:tabs>
      </w:pPr>
      <w:r>
        <w:t>M</w:t>
      </w:r>
      <w:r w:rsidR="0038040C">
        <w:t xml:space="preserve">onsieur Leroux </w:t>
      </w:r>
      <w:r>
        <w:t>a souligné qu’</w:t>
      </w:r>
      <w:r w:rsidR="0038040C">
        <w:t xml:space="preserve">à l’époque de la production de ce rapport, il n’y avait pas d’étude disponible chez l’humain. </w:t>
      </w:r>
    </w:p>
    <w:p w14:paraId="2197F1DA" w14:textId="77777777" w:rsidR="0038040C" w:rsidRDefault="00453C93" w:rsidP="0038040C">
      <w:pPr>
        <w:pStyle w:val="corpsdedcision"/>
        <w:tabs>
          <w:tab w:val="clear" w:pos="360"/>
          <w:tab w:val="num" w:pos="720"/>
        </w:tabs>
      </w:pPr>
      <w:r>
        <w:lastRenderedPageBreak/>
        <w:t>C’est pourquoi il dépose l</w:t>
      </w:r>
      <w:r w:rsidR="0038040C">
        <w:t xml:space="preserve">e document (T-32) </w:t>
      </w:r>
      <w:r>
        <w:t xml:space="preserve">qui </w:t>
      </w:r>
      <w:r w:rsidR="0038040C">
        <w:t xml:space="preserve">est une étude </w:t>
      </w:r>
      <w:r w:rsidR="00605F59">
        <w:t xml:space="preserve">cas et témoins </w:t>
      </w:r>
      <w:r w:rsidR="0038040C">
        <w:t xml:space="preserve">réalisée </w:t>
      </w:r>
      <w:r>
        <w:t xml:space="preserve">sur des humains </w:t>
      </w:r>
      <w:r w:rsidR="0038040C">
        <w:t xml:space="preserve">ultérieurement </w:t>
      </w:r>
      <w:r>
        <w:t>à leur rapport. Dans un premier temps, l</w:t>
      </w:r>
      <w:r w:rsidR="0038040C">
        <w:t>es auteurs notent qu’à partir des études animales, l’on sait que le monoxyde de carbone seul ne caus</w:t>
      </w:r>
      <w:r>
        <w:t>e</w:t>
      </w:r>
      <w:r w:rsidR="0038040C">
        <w:t xml:space="preserve"> pas d’atteinte auditive. Par ailleurs selon ces mêmes études, une faible exposition au monoxyde de carbone peut potentialiser les effets nocifs du bruit sur l’audition. Les lésions cochléaires consécutives au bruit sont dues à un stress oxydatif et la présen</w:t>
      </w:r>
      <w:r w:rsidR="002D6755">
        <w:t>ce du monoxyde de carbone accroî</w:t>
      </w:r>
      <w:r w:rsidR="0038040C">
        <w:t>t cet effet.</w:t>
      </w:r>
      <w:r w:rsidR="002D6755">
        <w:t xml:space="preserve"> </w:t>
      </w:r>
    </w:p>
    <w:p w14:paraId="5D260512" w14:textId="77777777" w:rsidR="0038040C" w:rsidRDefault="00605F59" w:rsidP="0038040C">
      <w:pPr>
        <w:pStyle w:val="corpsdedcision"/>
        <w:tabs>
          <w:tab w:val="clear" w:pos="360"/>
          <w:tab w:val="num" w:pos="720"/>
        </w:tabs>
      </w:pPr>
      <w:r>
        <w:t xml:space="preserve">Il </w:t>
      </w:r>
      <w:r w:rsidR="0038040C" w:rsidRPr="00871FF2">
        <w:t>ressort</w:t>
      </w:r>
      <w:r>
        <w:t xml:space="preserve"> de cette étude</w:t>
      </w:r>
      <w:r w:rsidR="0038040C" w:rsidRPr="00871FF2">
        <w:t xml:space="preserve"> qu’une exposition au CO à un niveau de 20 PPM et plus</w:t>
      </w:r>
      <w:r w:rsidR="0038040C">
        <w:t xml:space="preserve"> expliquerait la présence d’une perte auditive due au bruit chez les travailleurs exposés à des niveaux de bruit entre 80 à 85 dB, soit, fait remarquer monsieur Leroux, semblables à l’exposition carrière du travailleur. </w:t>
      </w:r>
    </w:p>
    <w:p w14:paraId="169D6B51" w14:textId="77777777" w:rsidR="0038040C" w:rsidRDefault="00E90D81" w:rsidP="0038040C">
      <w:pPr>
        <w:pStyle w:val="corpsdedcision"/>
        <w:tabs>
          <w:tab w:val="clear" w:pos="360"/>
          <w:tab w:val="num" w:pos="720"/>
        </w:tabs>
      </w:pPr>
      <w:r>
        <w:t>Toutefois, l</w:t>
      </w:r>
      <w:r w:rsidR="0038040C">
        <w:t>es auteurs retiennent que leur étude présente des limites notamment en raison du petit nombre d’individus concernés</w:t>
      </w:r>
      <w:r w:rsidR="002D6755">
        <w:t>,</w:t>
      </w:r>
      <w:r w:rsidR="0038040C">
        <w:t xml:space="preserve"> soit 18 travailleurs « cas » et 27 témoins. De plus, ils qualifient l’évalu</w:t>
      </w:r>
      <w:r>
        <w:t>ation au monoxyde de carbone d’estimation approximative</w:t>
      </w:r>
      <w:r w:rsidR="0038040C">
        <w:t>. Enfin, cette étude n’a pas été publiée dans une revue où elle aurait dû être évaluée par un comité de pairs</w:t>
      </w:r>
      <w:r w:rsidR="00605F59">
        <w:t xml:space="preserve"> quant à sa qualité</w:t>
      </w:r>
      <w:r w:rsidR="0038040C">
        <w:t>.</w:t>
      </w:r>
    </w:p>
    <w:p w14:paraId="302ACBDB" w14:textId="77777777" w:rsidR="0038040C" w:rsidRDefault="00605F59" w:rsidP="00605F59">
      <w:pPr>
        <w:pStyle w:val="corpsdedcision"/>
        <w:tabs>
          <w:tab w:val="clear" w:pos="360"/>
          <w:tab w:val="num" w:pos="720"/>
        </w:tabs>
      </w:pPr>
      <w:r>
        <w:t xml:space="preserve">Questionné au sujet de </w:t>
      </w:r>
      <w:r w:rsidR="0038040C">
        <w:t xml:space="preserve">la possibilité qu’une condition personnelle puisse expliquer la perte auditive du travailleur, monsieur Leroux précise qu’il a vérifié auprès du travailleur si dans sa famille, soit ses frères, sœurs, enfants ou propres parents, il y en a qui sont nés avec une surdité ou qui ont eu une surdité progressive au cours de l’âge adulte et la réponse a été non. </w:t>
      </w:r>
      <w:r w:rsidR="00E43683">
        <w:t xml:space="preserve">À l’audience, il apprend </w:t>
      </w:r>
      <w:r w:rsidR="006C6E00">
        <w:t>qu’</w:t>
      </w:r>
      <w:r w:rsidR="00C61EC1">
        <w:t>une d</w:t>
      </w:r>
      <w:r w:rsidR="006C6E00">
        <w:t xml:space="preserve">es </w:t>
      </w:r>
      <w:r w:rsidR="006C6E00" w:rsidRPr="001F4FEB">
        <w:t>sœurs</w:t>
      </w:r>
      <w:r w:rsidR="006C6E00">
        <w:t xml:space="preserve"> </w:t>
      </w:r>
      <w:r w:rsidR="00C61EC1">
        <w:t xml:space="preserve">du </w:t>
      </w:r>
      <w:r w:rsidR="00C61EC1" w:rsidRPr="001F4FEB">
        <w:t>travailleur</w:t>
      </w:r>
      <w:r w:rsidR="00C61EC1">
        <w:t xml:space="preserve"> </w:t>
      </w:r>
      <w:r w:rsidR="006C6E00">
        <w:t>est sourde et muette depuis un très jeune âge, à la suite d’une maladie.</w:t>
      </w:r>
    </w:p>
    <w:p w14:paraId="74DB6AB2" w14:textId="77777777" w:rsidR="0038040C" w:rsidRDefault="0038040C" w:rsidP="0038040C">
      <w:pPr>
        <w:pStyle w:val="corpsdedcision"/>
        <w:tabs>
          <w:tab w:val="clear" w:pos="360"/>
          <w:tab w:val="num" w:pos="720"/>
        </w:tabs>
      </w:pPr>
      <w:r>
        <w:t>Par ailleurs au sujet des antécédents médicaux du travailleur, il a été informé de ses problèmes cardiovasculaires et il en a tenu compte. Il a consulté la littératur</w:t>
      </w:r>
      <w:r w:rsidR="00605F59">
        <w:t>e médicale à ce sujet également et la commente ci-après.</w:t>
      </w:r>
    </w:p>
    <w:p w14:paraId="20991C36" w14:textId="77777777" w:rsidR="00026941" w:rsidRDefault="0038040C" w:rsidP="0038040C">
      <w:pPr>
        <w:pStyle w:val="corpsdedcision"/>
        <w:tabs>
          <w:tab w:val="clear" w:pos="360"/>
          <w:tab w:val="num" w:pos="720"/>
        </w:tabs>
      </w:pPr>
      <w:r>
        <w:t>Dans un premier temps, il dépose trois documents, T-33, T-34 et T-35 comportant notamment des tables anatomiques de l’oreille interne et de sa vascularisation.</w:t>
      </w:r>
    </w:p>
    <w:p w14:paraId="2CDC0C86" w14:textId="77777777" w:rsidR="00605F59" w:rsidRDefault="0038040C" w:rsidP="0038040C">
      <w:pPr>
        <w:pStyle w:val="corpsdedcision"/>
        <w:tabs>
          <w:tab w:val="clear" w:pos="360"/>
          <w:tab w:val="num" w:pos="720"/>
        </w:tabs>
      </w:pPr>
      <w:r>
        <w:t>Il explique que la cochlée est irriguée par deux artères provenant de l’artère auditive interne (elle-même provenant de l’artère cérébelleuse moyenne) : premièrement, l’artère cochléaire qui fournit 80</w:t>
      </w:r>
      <w:r w:rsidR="000666F9">
        <w:t> </w:t>
      </w:r>
      <w:r>
        <w:t xml:space="preserve">% de l’apport sanguin de la cochlée et irrigue l’apex, soit la partie correspondant aux basses fréquences et deuxièmement, l’artère </w:t>
      </w:r>
      <w:proofErr w:type="spellStart"/>
      <w:r>
        <w:t>cochléo</w:t>
      </w:r>
      <w:proofErr w:type="spellEnd"/>
      <w:r>
        <w:t>-vestibulaire qui fournit l’autre 20</w:t>
      </w:r>
      <w:r w:rsidR="000666F9">
        <w:t> </w:t>
      </w:r>
      <w:r>
        <w:t xml:space="preserve">% et irrigue la base de la cochlée où sont entendues les hautes fréquences. Cette dernière artère irrigue également une partie de la section vestibulaire de l’oreille interne, soit le saccule et l’ampoule responsables respectivement de la sensation d’accélération-décélération verticale et des perceptions des mouvements </w:t>
      </w:r>
      <w:r w:rsidR="00605F59">
        <w:t xml:space="preserve">latéraux </w:t>
      </w:r>
      <w:r>
        <w:t>de la tête</w:t>
      </w:r>
      <w:r w:rsidR="00605F59">
        <w:t>.</w:t>
      </w:r>
      <w:r>
        <w:t xml:space="preserve"> </w:t>
      </w:r>
    </w:p>
    <w:p w14:paraId="10D94068" w14:textId="77777777" w:rsidR="0038040C" w:rsidRDefault="0038040C" w:rsidP="0038040C">
      <w:pPr>
        <w:pStyle w:val="corpsdedcision"/>
        <w:tabs>
          <w:tab w:val="clear" w:pos="360"/>
          <w:tab w:val="num" w:pos="720"/>
        </w:tabs>
      </w:pPr>
      <w:r w:rsidRPr="00871FF2">
        <w:lastRenderedPageBreak/>
        <w:t xml:space="preserve">Monsieur Leroux fait valoir que le </w:t>
      </w:r>
      <w:r w:rsidR="004714AA">
        <w:t>fait que cette artère ne fournisse</w:t>
      </w:r>
      <w:r w:rsidRPr="00871FF2">
        <w:t xml:space="preserve"> que 20</w:t>
      </w:r>
      <w:r w:rsidR="000666F9">
        <w:t> </w:t>
      </w:r>
      <w:r w:rsidRPr="00871FF2">
        <w:t>% de l’irrigation rend ces zones plus vulnérables. Il ajoute que l’apport sanguin des basses fréquences est plus « robuste</w:t>
      </w:r>
      <w:r>
        <w:t> ».</w:t>
      </w:r>
    </w:p>
    <w:p w14:paraId="79889372" w14:textId="77777777" w:rsidR="0038040C" w:rsidRPr="007D683F" w:rsidRDefault="0038040C" w:rsidP="0038040C">
      <w:pPr>
        <w:pStyle w:val="corpsdedcision"/>
        <w:tabs>
          <w:tab w:val="clear" w:pos="360"/>
          <w:tab w:val="num" w:pos="720"/>
        </w:tabs>
        <w:rPr>
          <w:lang w:val="en-CA"/>
        </w:rPr>
      </w:pPr>
      <w:proofErr w:type="spellStart"/>
      <w:r w:rsidRPr="007D683F">
        <w:rPr>
          <w:lang w:val="en-CA"/>
        </w:rPr>
        <w:t>Puis</w:t>
      </w:r>
      <w:proofErr w:type="spellEnd"/>
      <w:r w:rsidRPr="007D683F">
        <w:rPr>
          <w:lang w:val="en-CA"/>
        </w:rPr>
        <w:t xml:space="preserve">, il </w:t>
      </w:r>
      <w:proofErr w:type="spellStart"/>
      <w:r w:rsidRPr="007D683F">
        <w:rPr>
          <w:lang w:val="en-CA"/>
        </w:rPr>
        <w:t>réfère</w:t>
      </w:r>
      <w:proofErr w:type="spellEnd"/>
      <w:r w:rsidRPr="007D683F">
        <w:rPr>
          <w:lang w:val="en-CA"/>
        </w:rPr>
        <w:t xml:space="preserve"> à un article de </w:t>
      </w:r>
      <w:proofErr w:type="spellStart"/>
      <w:r w:rsidRPr="007D683F">
        <w:rPr>
          <w:lang w:val="en-CA"/>
        </w:rPr>
        <w:t>l’American</w:t>
      </w:r>
      <w:proofErr w:type="spellEnd"/>
      <w:r w:rsidRPr="007D683F">
        <w:rPr>
          <w:lang w:val="en-CA"/>
        </w:rPr>
        <w:t xml:space="preserve"> Journal of Audiology, </w:t>
      </w:r>
      <w:r w:rsidRPr="007D683F">
        <w:rPr>
          <w:i/>
          <w:lang w:val="en-CA"/>
        </w:rPr>
        <w:t>The influence of cardiovascular Health on Peripheral and Central Auditory Function in Adults : A Research Review</w:t>
      </w:r>
      <w:r w:rsidR="00026941" w:rsidRPr="007D683F">
        <w:rPr>
          <w:i/>
          <w:lang w:val="en-CA"/>
        </w:rPr>
        <w:t xml:space="preserve"> </w:t>
      </w:r>
      <w:r w:rsidR="00026941" w:rsidRPr="007D683F">
        <w:rPr>
          <w:lang w:val="en-CA"/>
        </w:rPr>
        <w:t>(</w:t>
      </w:r>
      <w:r w:rsidRPr="007D683F">
        <w:rPr>
          <w:lang w:val="en-CA"/>
        </w:rPr>
        <w:t>T-36</w:t>
      </w:r>
      <w:r w:rsidR="00026941" w:rsidRPr="007D683F">
        <w:rPr>
          <w:lang w:val="en-CA"/>
        </w:rPr>
        <w:t>)</w:t>
      </w:r>
      <w:r w:rsidRPr="007D683F">
        <w:rPr>
          <w:lang w:val="en-CA"/>
        </w:rPr>
        <w:t xml:space="preserve"> et un </w:t>
      </w:r>
      <w:proofErr w:type="spellStart"/>
      <w:r w:rsidRPr="007D683F">
        <w:rPr>
          <w:lang w:val="en-CA"/>
        </w:rPr>
        <w:t>autre</w:t>
      </w:r>
      <w:proofErr w:type="spellEnd"/>
      <w:r w:rsidRPr="007D683F">
        <w:rPr>
          <w:lang w:val="en-CA"/>
        </w:rPr>
        <w:t xml:space="preserve"> de la revue de The American Geriatrics Society, </w:t>
      </w:r>
      <w:r w:rsidRPr="007D683F">
        <w:rPr>
          <w:i/>
          <w:lang w:val="en-CA"/>
        </w:rPr>
        <w:t>Hearing Sensitivity in Older Adults : Associations with Cardiovascular Risk Factors in the Health, Aging and Body Composition Study</w:t>
      </w:r>
      <w:r w:rsidR="00026941" w:rsidRPr="007D683F">
        <w:rPr>
          <w:lang w:val="en-CA"/>
        </w:rPr>
        <w:t xml:space="preserve"> (</w:t>
      </w:r>
      <w:r w:rsidRPr="007D683F">
        <w:rPr>
          <w:lang w:val="en-CA"/>
        </w:rPr>
        <w:t>T-37</w:t>
      </w:r>
      <w:r w:rsidR="00026941" w:rsidRPr="007D683F">
        <w:rPr>
          <w:lang w:val="en-CA"/>
        </w:rPr>
        <w:t>)</w:t>
      </w:r>
      <w:r w:rsidRPr="007D683F">
        <w:rPr>
          <w:lang w:val="en-CA"/>
        </w:rPr>
        <w:t>.</w:t>
      </w:r>
    </w:p>
    <w:p w14:paraId="078D6910" w14:textId="77777777" w:rsidR="0038040C" w:rsidRDefault="0038040C" w:rsidP="0038040C">
      <w:pPr>
        <w:pStyle w:val="corpsdedcision"/>
        <w:tabs>
          <w:tab w:val="clear" w:pos="360"/>
          <w:tab w:val="num" w:pos="720"/>
        </w:tabs>
      </w:pPr>
      <w:r>
        <w:t xml:space="preserve">Dans le premier article, publié en 2010, les auteurs font une revue de la littérature afin d’évaluer où en sont les connaissances </w:t>
      </w:r>
      <w:r w:rsidR="00C47C2F">
        <w:t>au sujet</w:t>
      </w:r>
      <w:r>
        <w:t xml:space="preserve"> de l’influence de la santé cardiovasculaire sur l’audition. Monsieur Leroux réfère à la page 11 où il est question du </w:t>
      </w:r>
      <w:r w:rsidRPr="00026941">
        <w:rPr>
          <w:i/>
        </w:rPr>
        <w:t xml:space="preserve">National Health and Nutrition </w:t>
      </w:r>
      <w:proofErr w:type="spellStart"/>
      <w:r w:rsidRPr="00026941">
        <w:rPr>
          <w:i/>
        </w:rPr>
        <w:t>Examination</w:t>
      </w:r>
      <w:proofErr w:type="spellEnd"/>
      <w:r w:rsidRPr="00026941">
        <w:rPr>
          <w:i/>
        </w:rPr>
        <w:t xml:space="preserve"> Survey</w:t>
      </w:r>
      <w:r>
        <w:t xml:space="preserve"> (NHNES </w:t>
      </w:r>
      <w:proofErr w:type="spellStart"/>
      <w:r>
        <w:t>survey</w:t>
      </w:r>
      <w:proofErr w:type="spellEnd"/>
      <w:r>
        <w:t>), sondag</w:t>
      </w:r>
      <w:r w:rsidR="00026941">
        <w:t xml:space="preserve">e réalisé de 1999 à 2004 chez 5 </w:t>
      </w:r>
      <w:r>
        <w:t>742 adultes américains âgés de 20 à 69 ans. L’audition y était notamment évaluée par tests audiométriques pour une certaine proportion des individus. Les auteurs ont constaté qu’une perte auditive significative semblait survenir plus précocement (soit à l’âge de 40-49 ans) chez les participants présentant une histoire de tabagisme, d’exposition au bruit et des risques cardiovasculaires comparativement à des individus</w:t>
      </w:r>
      <w:r w:rsidR="00871FF2">
        <w:t xml:space="preserve"> plus âgés (soit de 60-69 ans).</w:t>
      </w:r>
    </w:p>
    <w:p w14:paraId="57044CD3" w14:textId="77777777" w:rsidR="0038040C" w:rsidRDefault="0038040C" w:rsidP="0038040C">
      <w:pPr>
        <w:pStyle w:val="corpsdedcision"/>
        <w:tabs>
          <w:tab w:val="clear" w:pos="360"/>
          <w:tab w:val="num" w:pos="720"/>
        </w:tabs>
      </w:pPr>
      <w:r>
        <w:t xml:space="preserve">Monsieur Leroux souligne que cela a suscité un bon nombre de recherches par la suite pour vérifier s’il y avait effectivement un lien entre les risques cardiovasculaires et la présence d’une surdité. </w:t>
      </w:r>
    </w:p>
    <w:p w14:paraId="5B041577" w14:textId="77777777" w:rsidR="0038040C" w:rsidRDefault="0038040C" w:rsidP="00026941">
      <w:pPr>
        <w:pStyle w:val="corpsdedcision"/>
        <w:tabs>
          <w:tab w:val="clear" w:pos="360"/>
          <w:tab w:val="num" w:pos="720"/>
        </w:tabs>
      </w:pPr>
      <w:r>
        <w:t>Dans le même article, les auteurs notent que l’étude de Framingham s’est aussi intéressée à cette question. On a cherché à établir s’il y avait une relation entre la presbyacousie et les problèmes cardiovasculaires établis. Monsieur Leroux mentionne qu’on a retrouvé une relation statistiquement significative mais faible entre la présence de maladie cardiovasculaire et une atteinte auditive neurosensorielle. Il ajoute que cette atteinte se retrouve plus souvent dans les basses fréquences</w:t>
      </w:r>
      <w:r w:rsidR="00C47C2F">
        <w:t>.</w:t>
      </w:r>
    </w:p>
    <w:p w14:paraId="46B855C4" w14:textId="77777777" w:rsidR="0038040C" w:rsidRDefault="0038040C" w:rsidP="0038040C">
      <w:pPr>
        <w:pStyle w:val="corpsdedcision"/>
        <w:tabs>
          <w:tab w:val="clear" w:pos="360"/>
          <w:tab w:val="num" w:pos="720"/>
        </w:tabs>
      </w:pPr>
      <w:r>
        <w:t xml:space="preserve">En lien avec cette observation, monsieur Leroux souligne que les basses fréquences ont une alimentation sanguine qui est particulière. </w:t>
      </w:r>
    </w:p>
    <w:p w14:paraId="28BF0A62" w14:textId="77777777" w:rsidR="0038040C" w:rsidRDefault="0038040C" w:rsidP="0038040C">
      <w:pPr>
        <w:pStyle w:val="corpsdedcision"/>
        <w:tabs>
          <w:tab w:val="clear" w:pos="360"/>
          <w:tab w:val="num" w:pos="720"/>
        </w:tabs>
      </w:pPr>
      <w:proofErr w:type="gramStart"/>
      <w:r>
        <w:t>Par contre</w:t>
      </w:r>
      <w:proofErr w:type="gramEnd"/>
      <w:r>
        <w:t xml:space="preserve">, une autre étude, </w:t>
      </w:r>
      <w:r w:rsidRPr="000F1F52">
        <w:rPr>
          <w:i/>
        </w:rPr>
        <w:t xml:space="preserve">The </w:t>
      </w:r>
      <w:proofErr w:type="spellStart"/>
      <w:r w:rsidRPr="000F1F52">
        <w:rPr>
          <w:i/>
        </w:rPr>
        <w:t>Cardiovascular</w:t>
      </w:r>
      <w:proofErr w:type="spellEnd"/>
      <w:r w:rsidRPr="000F1F52">
        <w:rPr>
          <w:i/>
        </w:rPr>
        <w:t xml:space="preserve"> Health Study</w:t>
      </w:r>
      <w:r>
        <w:t xml:space="preserve">, publiée en 2009 et portant sur 548 sujets suivis durant </w:t>
      </w:r>
      <w:r w:rsidR="000666F9">
        <w:t>11</w:t>
      </w:r>
      <w:r>
        <w:t xml:space="preserve"> ans</w:t>
      </w:r>
      <w:r w:rsidR="000F1F52">
        <w:t>,</w:t>
      </w:r>
      <w:r>
        <w:t xml:space="preserve"> conclut qu’il y a peu de relation entre les risques cardiovasculaires et les problèmes auditifs après avoir contrôlé les résultats pour la présence ou non de maladie cardiovasculaire, le revenu, le statut tabagique et le niveau d’éducation. </w:t>
      </w:r>
    </w:p>
    <w:p w14:paraId="43FE24B2" w14:textId="77777777" w:rsidR="0038040C" w:rsidRDefault="0038040C" w:rsidP="0038040C">
      <w:pPr>
        <w:pStyle w:val="corpsdedcision"/>
        <w:tabs>
          <w:tab w:val="clear" w:pos="360"/>
          <w:tab w:val="num" w:pos="720"/>
        </w:tabs>
      </w:pPr>
      <w:r>
        <w:t xml:space="preserve">Plus loin, toujours dans le document T-36, (p 11) dans la section </w:t>
      </w:r>
      <w:r w:rsidR="00D0715B">
        <w:t>« </w:t>
      </w:r>
      <w:r w:rsidRPr="004714AA">
        <w:rPr>
          <w:i/>
        </w:rPr>
        <w:t xml:space="preserve">Hearing Loss as an Early Marker of </w:t>
      </w:r>
      <w:proofErr w:type="spellStart"/>
      <w:r w:rsidRPr="004714AA">
        <w:rPr>
          <w:i/>
        </w:rPr>
        <w:t>Cardiovascular</w:t>
      </w:r>
      <w:proofErr w:type="spellEnd"/>
      <w:r w:rsidRPr="004714AA">
        <w:rPr>
          <w:i/>
        </w:rPr>
        <w:t xml:space="preserve"> </w:t>
      </w:r>
      <w:proofErr w:type="spellStart"/>
      <w:r w:rsidRPr="004714AA">
        <w:rPr>
          <w:i/>
        </w:rPr>
        <w:t>Disease</w:t>
      </w:r>
      <w:proofErr w:type="spellEnd"/>
      <w:r w:rsidR="00D0715B">
        <w:t> »</w:t>
      </w:r>
      <w:r>
        <w:t xml:space="preserve">, monsieur Leroux explique que d’autres </w:t>
      </w:r>
      <w:r>
        <w:lastRenderedPageBreak/>
        <w:t>auteurs ont démontré, après avoir contrôlé les variables de l’âge, du sexe et de l’hypertension, que les personnes présentant une maladie cardiaque ischémique semblent présenter une perte auditive jusqu’à huit fois plus souvent que celles qui n’en ont pas. Il précise que cette perte auditive se retrouve dans les basses fréquences et que la relation est si forte que les auteurs suggèrent que la présence d’une atteinte auditive dans les basses fréquences pourrait servir de test de dépistage pour la maladie vasculaire.</w:t>
      </w:r>
    </w:p>
    <w:p w14:paraId="07D2AB5E" w14:textId="77777777" w:rsidR="0038040C" w:rsidRDefault="00D0715B" w:rsidP="0038040C">
      <w:pPr>
        <w:pStyle w:val="corpsdedcision"/>
        <w:tabs>
          <w:tab w:val="clear" w:pos="360"/>
          <w:tab w:val="num" w:pos="720"/>
        </w:tabs>
      </w:pPr>
      <w:r>
        <w:t>Le</w:t>
      </w:r>
      <w:r w:rsidR="0038040C" w:rsidRPr="00871FF2">
        <w:t xml:space="preserve"> tribunal </w:t>
      </w:r>
      <w:r w:rsidR="00E43683">
        <w:t xml:space="preserve">note </w:t>
      </w:r>
      <w:proofErr w:type="gramStart"/>
      <w:r w:rsidR="00E43683">
        <w:t xml:space="preserve">qu’il </w:t>
      </w:r>
      <w:r w:rsidR="0038040C" w:rsidRPr="00871FF2">
        <w:t xml:space="preserve"> y</w:t>
      </w:r>
      <w:proofErr w:type="gramEnd"/>
      <w:r w:rsidR="0038040C" w:rsidRPr="00871FF2">
        <w:t xml:space="preserve"> est question de deux études. La première étude, datant de 1988,</w:t>
      </w:r>
      <w:r w:rsidR="000F1F52" w:rsidRPr="00871FF2">
        <w:t xml:space="preserve"> conclut</w:t>
      </w:r>
      <w:r w:rsidR="0038040C" w:rsidRPr="00871FF2">
        <w:t xml:space="preserve"> que chez les personnes ayant une maladie cardiaque ischémique, il y a huit fois plus de chance de présenter une perte auditive par rapport à celles qui n’en ont pas. Il faut souligner qu’il n’y a</w:t>
      </w:r>
      <w:r>
        <w:t xml:space="preserve"> aucune précision quant à un type</w:t>
      </w:r>
      <w:r w:rsidR="0038040C" w:rsidRPr="00871FF2">
        <w:t xml:space="preserve"> précis de perte auditive. Les auteurs concluaient</w:t>
      </w:r>
      <w:r w:rsidR="004714AA">
        <w:t>,</w:t>
      </w:r>
      <w:r w:rsidR="0038040C" w:rsidRPr="00871FF2">
        <w:t xml:space="preserve"> à l’époque</w:t>
      </w:r>
      <w:r w:rsidR="004714AA">
        <w:t>,</w:t>
      </w:r>
      <w:r w:rsidR="0038040C" w:rsidRPr="00871FF2">
        <w:t xml:space="preserve"> que la relation entre une perte auditive et la maladie cardiaque ischémique était suffisamment importante pour considérer que la première pourrait être un marqueur précoce d’un processus </w:t>
      </w:r>
      <w:proofErr w:type="spellStart"/>
      <w:r w:rsidR="0038040C" w:rsidRPr="00871FF2">
        <w:t>athérosclérotique</w:t>
      </w:r>
      <w:proofErr w:type="spellEnd"/>
      <w:r w:rsidR="0038040C" w:rsidRPr="00871FF2">
        <w:t xml:space="preserve"> généralisé</w:t>
      </w:r>
      <w:r w:rsidR="0038040C">
        <w:t>.</w:t>
      </w:r>
    </w:p>
    <w:p w14:paraId="3804DB70" w14:textId="77777777" w:rsidR="0038040C" w:rsidRDefault="0038040C" w:rsidP="0038040C">
      <w:pPr>
        <w:pStyle w:val="corpsdedcision"/>
        <w:tabs>
          <w:tab w:val="clear" w:pos="360"/>
          <w:tab w:val="num" w:pos="720"/>
        </w:tabs>
      </w:pPr>
      <w:r w:rsidRPr="00871FF2">
        <w:t xml:space="preserve">La deuxième étude, datant de 2009, a été </w:t>
      </w:r>
      <w:r w:rsidR="00D0715B">
        <w:t>réalisée</w:t>
      </w:r>
      <w:r w:rsidRPr="00871FF2">
        <w:t xml:space="preserve"> auprès de 168 individus. Après avoir contrôlé pour les variables telles l’âge, l’hypertension, le tabagisme et le diabète, les auteurs ont conclu qu’il y avait une relation significative entre la maladie cardiovasculaire et une perte progressive de l’audition en basses fréquences, particulièrement chez les individus présentant une maladie vasculaire cérébrale. Ces auteurs ont considéré que ce type de perte auditive, en basses fréquences, était si fortement associé à la présence de maladie vasculaire cérébrale et périphérique que l’examen audiométrique pourrait être un outil de dépistage intéressant pour la maladie vasculaire</w:t>
      </w:r>
      <w:r>
        <w:t>.</w:t>
      </w:r>
    </w:p>
    <w:p w14:paraId="2D632A8F" w14:textId="77777777" w:rsidR="00871FF2" w:rsidRDefault="0038040C" w:rsidP="00BA6EE9">
      <w:pPr>
        <w:pStyle w:val="corpsdedcision"/>
        <w:tabs>
          <w:tab w:val="clear" w:pos="360"/>
          <w:tab w:val="num" w:pos="720"/>
        </w:tabs>
      </w:pPr>
      <w:r>
        <w:t>Faisant la relation avec le cas du travailleur, monsieur Leroux fait valoir que son audition en basses fréquence</w:t>
      </w:r>
      <w:r w:rsidR="000666F9">
        <w:t>s</w:t>
      </w:r>
      <w:r>
        <w:t xml:space="preserve"> entre 250 et 1000 Hz est normale. Selon les auteurs cités, on devrait</w:t>
      </w:r>
      <w:r w:rsidR="004714AA">
        <w:t xml:space="preserve"> donc</w:t>
      </w:r>
      <w:r>
        <w:t>, avec les problèmes cardiovasculaires connus du travailleur, s’attendre à une perte d’audition en basses fréquences</w:t>
      </w:r>
      <w:r w:rsidR="004714AA">
        <w:t>,</w:t>
      </w:r>
      <w:r>
        <w:t xml:space="preserve"> ce qui n’est pas le cas. </w:t>
      </w:r>
    </w:p>
    <w:p w14:paraId="506485BE" w14:textId="77777777" w:rsidR="0038040C" w:rsidRDefault="0038040C" w:rsidP="00BA6EE9">
      <w:pPr>
        <w:pStyle w:val="corpsdedcision"/>
        <w:tabs>
          <w:tab w:val="clear" w:pos="360"/>
          <w:tab w:val="num" w:pos="720"/>
        </w:tabs>
      </w:pPr>
      <w:r>
        <w:t>Monsieur Leroux souligne que la thèse du docteur Bertrand est à l’effet que la perte d’audition en hautes fréquences est aussi liée aux problèmes cardiovasculaires. Si c’était le cas, on devrait aussi rencontrer des problèmes vestibulaires</w:t>
      </w:r>
      <w:r w:rsidR="0033072A">
        <w:t>,</w:t>
      </w:r>
      <w:r>
        <w:t xml:space="preserve"> car c’est la même artère qui nourrit la zone de hautes fréquences et une partie du vestibule. Or le travailleur n’a pas de vertige, ni de troubles d’équilibre.</w:t>
      </w:r>
    </w:p>
    <w:p w14:paraId="3B6BA30A" w14:textId="77777777" w:rsidR="0038040C" w:rsidRDefault="00D0715B" w:rsidP="0038040C">
      <w:pPr>
        <w:pStyle w:val="corpsdedcision"/>
        <w:tabs>
          <w:tab w:val="clear" w:pos="360"/>
          <w:tab w:val="num" w:pos="720"/>
        </w:tabs>
      </w:pPr>
      <w:r>
        <w:t xml:space="preserve">Il réitère </w:t>
      </w:r>
      <w:r w:rsidR="00191500">
        <w:t xml:space="preserve">donc </w:t>
      </w:r>
      <w:r>
        <w:t>son opinion à l’effet qu’</w:t>
      </w:r>
      <w:r w:rsidR="0038040C">
        <w:t xml:space="preserve">en présence de problèmes cardiovasculaires, on s’attend à retrouver une perte </w:t>
      </w:r>
      <w:r w:rsidR="00191500">
        <w:t>d’audition en basses fréquences et non</w:t>
      </w:r>
      <w:r w:rsidR="0038040C">
        <w:t xml:space="preserve"> en hautes fréquences. </w:t>
      </w:r>
    </w:p>
    <w:p w14:paraId="2B5A8862" w14:textId="77777777" w:rsidR="0038040C" w:rsidRDefault="00E90D81" w:rsidP="00E90D81">
      <w:pPr>
        <w:pStyle w:val="corpsdedcision"/>
        <w:tabs>
          <w:tab w:val="clear" w:pos="360"/>
          <w:tab w:val="num" w:pos="720"/>
        </w:tabs>
      </w:pPr>
      <w:r>
        <w:t>Dans la pièce</w:t>
      </w:r>
      <w:r w:rsidR="0038040C" w:rsidRPr="00871FF2">
        <w:t xml:space="preserve"> T-36</w:t>
      </w:r>
      <w:r w:rsidR="00871FF2">
        <w:t xml:space="preserve">, déposée par </w:t>
      </w:r>
      <w:r w:rsidR="00871FF2" w:rsidRPr="001F4FEB">
        <w:t>monsieur</w:t>
      </w:r>
      <w:r w:rsidR="00871FF2">
        <w:t xml:space="preserve"> Leroux</w:t>
      </w:r>
      <w:r>
        <w:t xml:space="preserve">, on précise que l’objectif des auteurs </w:t>
      </w:r>
      <w:r w:rsidR="0038040C" w:rsidRPr="00871FF2">
        <w:t>était d’évaluer</w:t>
      </w:r>
      <w:r>
        <w:t>, par une revue de littérature,</w:t>
      </w:r>
      <w:r w:rsidR="0038040C" w:rsidRPr="00871FF2">
        <w:t xml:space="preserve"> si l’amélioration de la condition </w:t>
      </w:r>
      <w:r w:rsidR="0038040C" w:rsidRPr="00871FF2">
        <w:lastRenderedPageBreak/>
        <w:t>cardiovasculaire pouvait avoir un effet positif sur les systèmes auditifs périphérique et central</w:t>
      </w:r>
      <w:r w:rsidR="00281D0E">
        <w:t> </w:t>
      </w:r>
      <w:r w:rsidR="0038040C">
        <w:t>:</w:t>
      </w:r>
    </w:p>
    <w:p w14:paraId="4B2ED199" w14:textId="77777777" w:rsidR="0038040C" w:rsidRPr="007D683F" w:rsidRDefault="0038040C" w:rsidP="0038040C">
      <w:pPr>
        <w:pStyle w:val="citation"/>
        <w:rPr>
          <w:b/>
          <w:lang w:val="en-CA"/>
        </w:rPr>
      </w:pPr>
      <w:r w:rsidRPr="007D683F">
        <w:rPr>
          <w:b/>
          <w:lang w:val="en-CA"/>
        </w:rPr>
        <w:t>Hearing Loss in Aging</w:t>
      </w:r>
    </w:p>
    <w:p w14:paraId="5E2BA4AF" w14:textId="77777777" w:rsidR="0038040C" w:rsidRPr="007D683F" w:rsidRDefault="0038040C" w:rsidP="0038040C">
      <w:pPr>
        <w:pStyle w:val="citation"/>
        <w:rPr>
          <w:b/>
          <w:lang w:val="en-CA"/>
        </w:rPr>
      </w:pPr>
    </w:p>
    <w:p w14:paraId="4B59C010" w14:textId="77777777" w:rsidR="0038040C" w:rsidRPr="007D683F" w:rsidRDefault="0038040C" w:rsidP="0038040C">
      <w:pPr>
        <w:pStyle w:val="citation"/>
        <w:rPr>
          <w:lang w:val="en-CA"/>
        </w:rPr>
      </w:pPr>
      <w:r w:rsidRPr="007D683F">
        <w:rPr>
          <w:b/>
          <w:lang w:val="en-CA"/>
        </w:rPr>
        <w:t xml:space="preserve">   </w:t>
      </w:r>
      <w:r w:rsidRPr="007D683F">
        <w:rPr>
          <w:lang w:val="en-CA"/>
        </w:rPr>
        <w:t xml:space="preserve">The causes of hearing loss in adulthood are almost as varied as the health, lifestyle, and genetic makeup of those who possess impaired hearing. The causes include exposure to </w:t>
      </w:r>
      <w:proofErr w:type="spellStart"/>
      <w:r w:rsidRPr="007D683F">
        <w:rPr>
          <w:lang w:val="en-CA"/>
        </w:rPr>
        <w:t>hasardous</w:t>
      </w:r>
      <w:proofErr w:type="spellEnd"/>
      <w:r w:rsidRPr="007D683F">
        <w:rPr>
          <w:lang w:val="en-CA"/>
        </w:rPr>
        <w:t xml:space="preserve"> levels of noise, disease including those of viral nature, various forms of medications, neurochemical changes, the influence of genetics, cardiovascular diseases, and anoxia (Johnsson &amp; Hawkins, 1972). In fact, a decline in hearing acuity is considered an almost inevitable consequence of advancing age </w:t>
      </w:r>
      <w:proofErr w:type="gramStart"/>
      <w:r w:rsidRPr="007D683F">
        <w:rPr>
          <w:lang w:val="en-CA"/>
        </w:rPr>
        <w:t>as a result of</w:t>
      </w:r>
      <w:proofErr w:type="gramEnd"/>
      <w:r w:rsidRPr="007D683F">
        <w:rPr>
          <w:lang w:val="en-CA"/>
        </w:rPr>
        <w:t xml:space="preserve"> all or any of the above factors that precede it (…).</w:t>
      </w:r>
    </w:p>
    <w:p w14:paraId="4D2A14A2" w14:textId="77777777" w:rsidR="0038040C" w:rsidRPr="007D683F" w:rsidRDefault="0038040C" w:rsidP="0038040C">
      <w:pPr>
        <w:pStyle w:val="citation"/>
        <w:rPr>
          <w:lang w:val="en-CA"/>
        </w:rPr>
      </w:pPr>
    </w:p>
    <w:p w14:paraId="62665720" w14:textId="77777777" w:rsidR="0038040C" w:rsidRPr="007D683F" w:rsidRDefault="0038040C" w:rsidP="0038040C">
      <w:pPr>
        <w:pStyle w:val="citation"/>
        <w:rPr>
          <w:lang w:val="en-CA"/>
        </w:rPr>
      </w:pPr>
      <w:r w:rsidRPr="007D683F">
        <w:rPr>
          <w:lang w:val="en-CA"/>
        </w:rPr>
        <w:t xml:space="preserve">   In adulthood, two major manifestations of hearing loss are generally observed by audiologists. First, a progressive bilateral reduction in sensitivity to specific sounds is experienced, particularly in the high frequencies, which can compromise the reception of the consonant sounds of speech that are important for speech recognition. Secondly, a decreased ability to understand speech is observed, even when it is loud enough to hear.</w:t>
      </w:r>
    </w:p>
    <w:p w14:paraId="0B296362" w14:textId="77777777" w:rsidR="0038040C" w:rsidRPr="007D683F" w:rsidRDefault="0038040C" w:rsidP="0038040C">
      <w:pPr>
        <w:pStyle w:val="citation"/>
        <w:rPr>
          <w:lang w:val="en-CA"/>
        </w:rPr>
      </w:pPr>
    </w:p>
    <w:p w14:paraId="4DD66AA3" w14:textId="77777777" w:rsidR="0038040C" w:rsidRPr="007D683F" w:rsidRDefault="0038040C" w:rsidP="0038040C">
      <w:pPr>
        <w:pStyle w:val="citation"/>
        <w:rPr>
          <w:b/>
          <w:lang w:val="en-CA"/>
        </w:rPr>
      </w:pPr>
      <w:r w:rsidRPr="007D683F">
        <w:rPr>
          <w:b/>
          <w:lang w:val="en-CA"/>
        </w:rPr>
        <w:t>The Influence of Cardiovascular Health on the Viability of the Auditory System</w:t>
      </w:r>
    </w:p>
    <w:p w14:paraId="35C5C65B" w14:textId="77777777" w:rsidR="0038040C" w:rsidRPr="007D683F" w:rsidRDefault="0038040C" w:rsidP="0038040C">
      <w:pPr>
        <w:pStyle w:val="citation"/>
        <w:rPr>
          <w:b/>
          <w:lang w:val="en-CA"/>
        </w:rPr>
      </w:pPr>
    </w:p>
    <w:p w14:paraId="7F577469" w14:textId="77777777" w:rsidR="0038040C" w:rsidRPr="007D683F" w:rsidRDefault="0038040C" w:rsidP="0038040C">
      <w:pPr>
        <w:pStyle w:val="citation"/>
        <w:rPr>
          <w:lang w:val="en-CA"/>
        </w:rPr>
      </w:pPr>
      <w:r w:rsidRPr="007D683F">
        <w:rPr>
          <w:lang w:val="en-CA"/>
        </w:rPr>
        <w:t>(…)</w:t>
      </w:r>
    </w:p>
    <w:p w14:paraId="5919DACD" w14:textId="77777777" w:rsidR="0038040C" w:rsidRPr="007D683F" w:rsidRDefault="0038040C" w:rsidP="0038040C">
      <w:pPr>
        <w:pStyle w:val="citation"/>
        <w:rPr>
          <w:lang w:val="en-CA"/>
        </w:rPr>
      </w:pPr>
    </w:p>
    <w:p w14:paraId="4FEBD1A6" w14:textId="77777777" w:rsidR="0038040C" w:rsidRPr="007D683F" w:rsidRDefault="0038040C" w:rsidP="0038040C">
      <w:pPr>
        <w:pStyle w:val="citation"/>
        <w:rPr>
          <w:lang w:val="en-CA"/>
        </w:rPr>
      </w:pPr>
      <w:r w:rsidRPr="007D683F">
        <w:rPr>
          <w:lang w:val="en-CA"/>
        </w:rPr>
        <w:t xml:space="preserve">   More recently, Alessio et al. (2002) postulated that variations in cochlear blood flow may affect the availability of oxygen and glucose that is metabolized by the organ of Corti during sound stimulation. Alessio and Hutchinson (2004) further maintained that a healthy cardiovascular system is important to the maintenance of inner ear function, particularly when exposed to toxic levels of noise. </w:t>
      </w:r>
    </w:p>
    <w:p w14:paraId="24D6ABB7" w14:textId="77777777" w:rsidR="0038040C" w:rsidRPr="007D683F" w:rsidRDefault="0038040C" w:rsidP="0038040C">
      <w:pPr>
        <w:pStyle w:val="citation"/>
        <w:rPr>
          <w:lang w:val="en-CA"/>
        </w:rPr>
      </w:pPr>
    </w:p>
    <w:p w14:paraId="5A866039" w14:textId="77777777" w:rsidR="0038040C" w:rsidRPr="007D683F" w:rsidRDefault="0038040C" w:rsidP="0038040C">
      <w:pPr>
        <w:pStyle w:val="citation"/>
        <w:rPr>
          <w:lang w:val="en-CA"/>
        </w:rPr>
      </w:pPr>
      <w:r w:rsidRPr="007D683F">
        <w:rPr>
          <w:lang w:val="en-CA"/>
        </w:rPr>
        <w:t>(…)</w:t>
      </w:r>
    </w:p>
    <w:p w14:paraId="70265541" w14:textId="77777777" w:rsidR="0038040C" w:rsidRPr="007D683F" w:rsidRDefault="0038040C" w:rsidP="0038040C">
      <w:pPr>
        <w:pStyle w:val="citation"/>
        <w:rPr>
          <w:lang w:val="en-CA"/>
        </w:rPr>
      </w:pPr>
    </w:p>
    <w:p w14:paraId="09A183B2" w14:textId="77777777" w:rsidR="0038040C" w:rsidRPr="007D683F" w:rsidRDefault="0038040C" w:rsidP="0038040C">
      <w:pPr>
        <w:pStyle w:val="citation"/>
        <w:rPr>
          <w:b/>
          <w:lang w:val="en-CA"/>
        </w:rPr>
      </w:pPr>
      <w:r w:rsidRPr="007D683F">
        <w:rPr>
          <w:b/>
          <w:lang w:val="en-CA"/>
        </w:rPr>
        <w:t>Cardiovascular Fitness and Resistance of the Auditory System to Damage</w:t>
      </w:r>
    </w:p>
    <w:p w14:paraId="1445F87E" w14:textId="77777777" w:rsidR="0038040C" w:rsidRPr="007D683F" w:rsidRDefault="0038040C" w:rsidP="0038040C">
      <w:pPr>
        <w:pStyle w:val="citation"/>
        <w:rPr>
          <w:b/>
          <w:lang w:val="en-CA"/>
        </w:rPr>
      </w:pPr>
    </w:p>
    <w:p w14:paraId="5B5AAF6C" w14:textId="77777777" w:rsidR="0038040C" w:rsidRPr="007D683F" w:rsidRDefault="0038040C" w:rsidP="0038040C">
      <w:pPr>
        <w:pStyle w:val="citation"/>
        <w:rPr>
          <w:b/>
          <w:lang w:val="en-CA"/>
        </w:rPr>
      </w:pPr>
      <w:r w:rsidRPr="007D683F">
        <w:rPr>
          <w:b/>
          <w:lang w:val="en-CA"/>
        </w:rPr>
        <w:t>(…)</w:t>
      </w:r>
    </w:p>
    <w:p w14:paraId="41089E2C" w14:textId="77777777" w:rsidR="0038040C" w:rsidRPr="007D683F" w:rsidRDefault="0038040C" w:rsidP="0038040C">
      <w:pPr>
        <w:pStyle w:val="citation"/>
        <w:rPr>
          <w:b/>
          <w:lang w:val="en-CA"/>
        </w:rPr>
      </w:pPr>
    </w:p>
    <w:p w14:paraId="02A8D2F5" w14:textId="77777777" w:rsidR="0038040C" w:rsidRPr="007D683F" w:rsidRDefault="0038040C" w:rsidP="0038040C">
      <w:pPr>
        <w:pStyle w:val="citation"/>
        <w:rPr>
          <w:lang w:val="en-CA"/>
        </w:rPr>
      </w:pPr>
      <w:r w:rsidRPr="007D683F">
        <w:rPr>
          <w:lang w:val="en-CA"/>
        </w:rPr>
        <w:t xml:space="preserve">   Despite the difficulties that can affect the reliability of those studies, research has consistently revealed a positive relationship between cardiovascular fitness and a resistance to hearing impa</w:t>
      </w:r>
      <w:r w:rsidR="000F1F52" w:rsidRPr="007D683F">
        <w:rPr>
          <w:lang w:val="en-CA"/>
        </w:rPr>
        <w:t>i</w:t>
      </w:r>
      <w:r w:rsidRPr="007D683F">
        <w:rPr>
          <w:lang w:val="en-CA"/>
        </w:rPr>
        <w:t>rment resulting from noise exposure.</w:t>
      </w:r>
    </w:p>
    <w:p w14:paraId="21B1B3BC" w14:textId="77777777" w:rsidR="0038040C" w:rsidRPr="007D683F" w:rsidRDefault="0038040C" w:rsidP="0038040C">
      <w:pPr>
        <w:pStyle w:val="citation"/>
        <w:rPr>
          <w:lang w:val="en-CA"/>
        </w:rPr>
      </w:pPr>
    </w:p>
    <w:p w14:paraId="3948E5A7" w14:textId="77777777" w:rsidR="0038040C" w:rsidRPr="007D683F" w:rsidRDefault="0038040C" w:rsidP="0038040C">
      <w:pPr>
        <w:pStyle w:val="citation"/>
        <w:rPr>
          <w:lang w:val="en-CA"/>
        </w:rPr>
      </w:pPr>
      <w:r w:rsidRPr="007D683F">
        <w:rPr>
          <w:lang w:val="en-CA"/>
        </w:rPr>
        <w:t>(…) Those who were involved in the exercise program were found to recover significantly faster from temporary auditory fatigue after exposure to the controlled 110-dB SPL broadband noise as compared to the controls who were not involved in the exercise program. The researchers postulated that the more rapid recovery from temporary threshold shift among those who were involved in the exercise program was a result of even moderate improvements in cardiovascular health, and thus a richer blood supply to the cochlea.</w:t>
      </w:r>
    </w:p>
    <w:p w14:paraId="3C9F048C" w14:textId="77777777" w:rsidR="0038040C" w:rsidRPr="007D683F" w:rsidRDefault="0038040C" w:rsidP="0038040C">
      <w:pPr>
        <w:pStyle w:val="citation"/>
        <w:rPr>
          <w:lang w:val="en-CA"/>
        </w:rPr>
      </w:pPr>
    </w:p>
    <w:p w14:paraId="3B7E3046" w14:textId="77777777" w:rsidR="0038040C" w:rsidRPr="007D683F" w:rsidRDefault="0038040C" w:rsidP="0038040C">
      <w:pPr>
        <w:pStyle w:val="citation"/>
        <w:rPr>
          <w:lang w:val="en-CA"/>
        </w:rPr>
      </w:pPr>
      <w:r w:rsidRPr="007D683F">
        <w:rPr>
          <w:lang w:val="en-CA"/>
        </w:rPr>
        <w:t>(…)</w:t>
      </w:r>
    </w:p>
    <w:p w14:paraId="730EB6DB" w14:textId="77777777" w:rsidR="0038040C" w:rsidRPr="007D683F" w:rsidRDefault="0038040C" w:rsidP="0038040C">
      <w:pPr>
        <w:pStyle w:val="citation"/>
        <w:rPr>
          <w:lang w:val="en-CA"/>
        </w:rPr>
      </w:pPr>
    </w:p>
    <w:p w14:paraId="1689F010" w14:textId="77777777" w:rsidR="003333B0" w:rsidRPr="007D683F" w:rsidRDefault="003333B0" w:rsidP="0038040C">
      <w:pPr>
        <w:pStyle w:val="citation"/>
        <w:rPr>
          <w:lang w:val="en-CA"/>
        </w:rPr>
      </w:pPr>
    </w:p>
    <w:p w14:paraId="44CB5D12" w14:textId="77777777" w:rsidR="0038040C" w:rsidRPr="007D683F" w:rsidRDefault="0038040C" w:rsidP="0038040C">
      <w:pPr>
        <w:pStyle w:val="citation"/>
        <w:rPr>
          <w:lang w:val="en-CA"/>
        </w:rPr>
      </w:pPr>
      <w:r w:rsidRPr="007D683F">
        <w:rPr>
          <w:lang w:val="en-CA"/>
        </w:rPr>
        <w:t xml:space="preserve">   Manson et al. (1994) took a different course in studying whether noise plus exercise can result in hearing loss by comparing the results in relation to participants’ degree of cardiovascular fitness. (…) The results consistently revealed that the high-cardiovascular-</w:t>
      </w:r>
      <w:r w:rsidRPr="007D683F">
        <w:rPr>
          <w:lang w:val="en-CA"/>
        </w:rPr>
        <w:lastRenderedPageBreak/>
        <w:t>fitness group had better hearing thresholds at 2, 3, and 4 kHz than the low-cardiovascular-fitness group under all three conditions, and that after noise exposure, thresholds always improved in the high-cardiovascular-fitness group after exercising.</w:t>
      </w:r>
    </w:p>
    <w:p w14:paraId="48BE4B6A" w14:textId="77777777" w:rsidR="0038040C" w:rsidRPr="007D683F" w:rsidRDefault="0038040C" w:rsidP="0038040C">
      <w:pPr>
        <w:pStyle w:val="citation"/>
        <w:rPr>
          <w:lang w:val="en-CA"/>
        </w:rPr>
      </w:pPr>
    </w:p>
    <w:p w14:paraId="475FED1C" w14:textId="77777777" w:rsidR="0038040C" w:rsidRPr="007D683F" w:rsidRDefault="0038040C" w:rsidP="0038040C">
      <w:pPr>
        <w:pStyle w:val="citation"/>
        <w:rPr>
          <w:lang w:val="en-CA"/>
        </w:rPr>
      </w:pPr>
    </w:p>
    <w:p w14:paraId="46182F93" w14:textId="77777777" w:rsidR="00067367" w:rsidRDefault="00067367" w:rsidP="0038040C">
      <w:pPr>
        <w:pStyle w:val="corpsdedcision"/>
        <w:tabs>
          <w:tab w:val="clear" w:pos="360"/>
          <w:tab w:val="num" w:pos="720"/>
        </w:tabs>
      </w:pPr>
      <w:r>
        <w:t xml:space="preserve">On </w:t>
      </w:r>
      <w:r w:rsidR="00560D3C">
        <w:t>y mentionne notamment qu’une bonne condition cardiovasculaire est importante en présence de niveaux de bruit qualifiés de toxiques. L’exemple apporté concerne des individus exposés à 110 dB.</w:t>
      </w:r>
    </w:p>
    <w:p w14:paraId="28E60387" w14:textId="77777777" w:rsidR="0038040C" w:rsidRDefault="0038040C" w:rsidP="0038040C">
      <w:pPr>
        <w:pStyle w:val="corpsdedcision"/>
        <w:tabs>
          <w:tab w:val="clear" w:pos="360"/>
          <w:tab w:val="num" w:pos="720"/>
        </w:tabs>
      </w:pPr>
      <w:r>
        <w:t>Puis</w:t>
      </w:r>
      <w:r w:rsidR="004714AA">
        <w:t>,</w:t>
      </w:r>
      <w:r>
        <w:t xml:space="preserve"> monsieur Leroux discute du document T-37, étude publiée en 2011, et signale que les auteurs se sont intéressés au lien entre les problèmes cardiovasculaires et la surdité due à l’âge. </w:t>
      </w:r>
      <w:r w:rsidRPr="00247332">
        <w:t xml:space="preserve">Ils </w:t>
      </w:r>
      <w:r w:rsidR="00783E55">
        <w:t xml:space="preserve">mentionnent </w:t>
      </w:r>
      <w:r w:rsidRPr="00247332">
        <w:t>que l’étiologie précise de la presbyacousie n’est pas connue et qu’elle est probablement due à de multiples facteurs. La maladie cardiovasculaire a été associée à une perte auditive dans des études antérieures</w:t>
      </w:r>
      <w:r w:rsidR="004714AA">
        <w:t>,</w:t>
      </w:r>
      <w:r w:rsidRPr="00247332">
        <w:t xml:space="preserve"> mais ce ne sont pas toutes les études qui ont retrouvé ce lien.</w:t>
      </w:r>
      <w:r w:rsidRPr="006B5C45">
        <w:rPr>
          <w:highlight w:val="yellow"/>
        </w:rPr>
        <w:t xml:space="preserve"> </w:t>
      </w:r>
    </w:p>
    <w:p w14:paraId="1B2225D1" w14:textId="77777777" w:rsidR="0038040C" w:rsidRPr="00247332" w:rsidRDefault="0038040C" w:rsidP="0038040C">
      <w:pPr>
        <w:pStyle w:val="corpsdedcision"/>
        <w:tabs>
          <w:tab w:val="clear" w:pos="360"/>
          <w:tab w:val="num" w:pos="720"/>
        </w:tabs>
      </w:pPr>
      <w:r w:rsidRPr="00247332">
        <w:t>Monsieur Leroux ajoute qu’il est mentionné qu’il n’y a pas non plus de patron précis de perte auditive qui ressort de ces études</w:t>
      </w:r>
      <w:r w:rsidR="004714AA">
        <w:t>,</w:t>
      </w:r>
      <w:r w:rsidRPr="00247332">
        <w:t xml:space="preserve"> ce qui est un peu surprenant parce qu’on sait que la cochlée est alimentée d’une façon particulière en sang et on aurait pu s’attendre à retrouver une relation entre les deux. </w:t>
      </w:r>
    </w:p>
    <w:p w14:paraId="08117941" w14:textId="77777777" w:rsidR="0038040C" w:rsidRDefault="0038040C" w:rsidP="0038040C">
      <w:pPr>
        <w:pStyle w:val="corpsdedcision"/>
        <w:tabs>
          <w:tab w:val="clear" w:pos="360"/>
          <w:tab w:val="num" w:pos="720"/>
        </w:tabs>
      </w:pPr>
      <w:r>
        <w:t>Il souligne que les auteurs mentionnent dans leur discussion que les problèmes cardiovasculaires sont en général associés à des problèmes d’audition en basses fréquences</w:t>
      </w:r>
      <w:r w:rsidR="004714AA">
        <w:t>,</w:t>
      </w:r>
      <w:r>
        <w:t xml:space="preserve"> en raison de l’alimentation sanguine déficiente particulièrement dans les basses fréquences. Dans cette étude, seul le tabagisme était associé à une atteinte dans les hautes fréquences. Or, le travailleur ne fume pas.</w:t>
      </w:r>
    </w:p>
    <w:p w14:paraId="21655A2D" w14:textId="77777777" w:rsidR="0038040C" w:rsidRPr="00247332" w:rsidRDefault="00E43683" w:rsidP="0038040C">
      <w:pPr>
        <w:pStyle w:val="corpsdedcision"/>
        <w:tabs>
          <w:tab w:val="clear" w:pos="360"/>
          <w:tab w:val="num" w:pos="720"/>
        </w:tabs>
      </w:pPr>
      <w:r>
        <w:t>À la page 997 de l’article, les auteurs font toutefois</w:t>
      </w:r>
      <w:r w:rsidR="00247332" w:rsidRPr="00247332">
        <w:t xml:space="preserve"> les</w:t>
      </w:r>
      <w:r w:rsidR="0038040C" w:rsidRPr="00247332">
        <w:t xml:space="preserve"> commentaires </w:t>
      </w:r>
      <w:r w:rsidR="00247332" w:rsidRPr="00247332">
        <w:t>suivants</w:t>
      </w:r>
      <w:r>
        <w:t> :</w:t>
      </w:r>
    </w:p>
    <w:p w14:paraId="48414697" w14:textId="77777777" w:rsidR="0038040C" w:rsidRPr="007D683F" w:rsidRDefault="0038040C" w:rsidP="0038040C">
      <w:pPr>
        <w:pStyle w:val="citation"/>
        <w:rPr>
          <w:lang w:val="en-CA"/>
        </w:rPr>
      </w:pPr>
      <w:r w:rsidRPr="007D683F">
        <w:rPr>
          <w:lang w:val="en-CA"/>
        </w:rPr>
        <w:t>Unlike several previous studies that found associations between hearing, MI and coronary artery disease, little correlation was found between hearing sensitivity and clinical CVD. In the present study, history of coronary artery disease was associated with poorer hearing in women, but only in the high frequencies.</w:t>
      </w:r>
    </w:p>
    <w:p w14:paraId="0B3DEB52" w14:textId="77777777" w:rsidR="0038040C" w:rsidRPr="007D683F" w:rsidRDefault="0038040C" w:rsidP="0038040C">
      <w:pPr>
        <w:pStyle w:val="citation"/>
        <w:rPr>
          <w:lang w:val="en-CA"/>
        </w:rPr>
      </w:pPr>
    </w:p>
    <w:p w14:paraId="617961CF" w14:textId="77777777" w:rsidR="0038040C" w:rsidRPr="007D683F" w:rsidRDefault="0038040C" w:rsidP="0038040C">
      <w:pPr>
        <w:pStyle w:val="citation"/>
        <w:rPr>
          <w:lang w:val="en-CA"/>
        </w:rPr>
      </w:pPr>
    </w:p>
    <w:p w14:paraId="08AA24CF" w14:textId="77777777" w:rsidR="0038040C" w:rsidRDefault="001A41D1" w:rsidP="0038040C">
      <w:pPr>
        <w:pStyle w:val="corpsdedcision"/>
        <w:tabs>
          <w:tab w:val="clear" w:pos="360"/>
          <w:tab w:val="num" w:pos="720"/>
        </w:tabs>
      </w:pPr>
      <w:r>
        <w:t>Référant</w:t>
      </w:r>
      <w:r w:rsidR="0038040C">
        <w:t xml:space="preserve"> au rapport complémentaire produit par le docteur Bertrand le 9</w:t>
      </w:r>
      <w:r w:rsidR="000666F9">
        <w:t> </w:t>
      </w:r>
      <w:r w:rsidR="0038040C">
        <w:t xml:space="preserve">septembre 2014, monsieur Leroux mentionne que quelques éléments l’ont questionné. </w:t>
      </w:r>
    </w:p>
    <w:p w14:paraId="0252CE2D" w14:textId="77777777" w:rsidR="0038040C" w:rsidRDefault="0038040C" w:rsidP="0038040C">
      <w:pPr>
        <w:pStyle w:val="corpsdedcision"/>
        <w:tabs>
          <w:tab w:val="clear" w:pos="360"/>
          <w:tab w:val="num" w:pos="720"/>
        </w:tabs>
      </w:pPr>
      <w:r>
        <w:t>D’abord concernant le niveau d’intervention de 85</w:t>
      </w:r>
      <w:r w:rsidR="00D8479D">
        <w:t xml:space="preserve"> </w:t>
      </w:r>
      <w:proofErr w:type="spellStart"/>
      <w:r>
        <w:t>dBA</w:t>
      </w:r>
      <w:proofErr w:type="spellEnd"/>
      <w:r>
        <w:t xml:space="preserve"> retenu par la santé publique, monsieur Leroux explique qu’un niveau d’intervention ne signifie pas une absence de risque pour les niveaux inférieurs. C’est qu’en santé publique on doit considérer le coût bénéfice d’une intervention. À 85 </w:t>
      </w:r>
      <w:proofErr w:type="spellStart"/>
      <w:r>
        <w:t>dBA</w:t>
      </w:r>
      <w:proofErr w:type="spellEnd"/>
      <w:r>
        <w:t>, on considère que le nombre de cas de surdité qui seront dépistés sera suffisamment grand pour que l’activité de dépistage soit rentable.</w:t>
      </w:r>
    </w:p>
    <w:p w14:paraId="3DBC57EF" w14:textId="77777777" w:rsidR="00783E55" w:rsidRPr="00783E55" w:rsidRDefault="0038040C" w:rsidP="00783E55">
      <w:pPr>
        <w:pStyle w:val="corpsdedcision"/>
        <w:tabs>
          <w:tab w:val="clear" w:pos="360"/>
          <w:tab w:val="num" w:pos="720"/>
        </w:tabs>
      </w:pPr>
      <w:r>
        <w:lastRenderedPageBreak/>
        <w:t>Pour appuyer ceci, monsieur Leroux dépose un extrai</w:t>
      </w:r>
      <w:r w:rsidR="00D8479D">
        <w:t>t d’un document de NIOSH (</w:t>
      </w:r>
      <w:r>
        <w:t>T-38</w:t>
      </w:r>
      <w:r w:rsidR="00D8479D">
        <w:t>)</w:t>
      </w:r>
      <w:r>
        <w:t xml:space="preserve">, soit la section qui revoit les bases sur lesquelles l’organisme s’est reposé pour réviser les normes d’exposition au bruit: </w:t>
      </w:r>
      <w:proofErr w:type="spellStart"/>
      <w:r w:rsidRPr="00783E55">
        <w:rPr>
          <w:i/>
        </w:rPr>
        <w:t>Criteria</w:t>
      </w:r>
      <w:proofErr w:type="spellEnd"/>
      <w:r w:rsidRPr="00783E55">
        <w:rPr>
          <w:i/>
        </w:rPr>
        <w:t xml:space="preserve"> for a </w:t>
      </w:r>
      <w:proofErr w:type="spellStart"/>
      <w:r w:rsidRPr="00783E55">
        <w:rPr>
          <w:i/>
        </w:rPr>
        <w:t>Recommended</w:t>
      </w:r>
      <w:proofErr w:type="spellEnd"/>
      <w:r w:rsidRPr="00783E55">
        <w:rPr>
          <w:i/>
        </w:rPr>
        <w:t xml:space="preserve"> Standard, </w:t>
      </w:r>
      <w:proofErr w:type="spellStart"/>
      <w:r w:rsidRPr="00783E55">
        <w:rPr>
          <w:i/>
        </w:rPr>
        <w:t>Occupational</w:t>
      </w:r>
      <w:proofErr w:type="spellEnd"/>
      <w:r w:rsidRPr="00783E55">
        <w:rPr>
          <w:i/>
        </w:rPr>
        <w:t xml:space="preserve"> Noise </w:t>
      </w:r>
      <w:proofErr w:type="spellStart"/>
      <w:r w:rsidRPr="00783E55">
        <w:rPr>
          <w:i/>
        </w:rPr>
        <w:t>Exposure</w:t>
      </w:r>
      <w:proofErr w:type="spellEnd"/>
      <w:r w:rsidRPr="00783E55">
        <w:rPr>
          <w:i/>
        </w:rPr>
        <w:t xml:space="preserve">, </w:t>
      </w:r>
      <w:proofErr w:type="spellStart"/>
      <w:r w:rsidRPr="00783E55">
        <w:rPr>
          <w:i/>
        </w:rPr>
        <w:t>Revised</w:t>
      </w:r>
      <w:proofErr w:type="spellEnd"/>
      <w:r w:rsidRPr="00783E55">
        <w:rPr>
          <w:i/>
        </w:rPr>
        <w:t xml:space="preserve"> </w:t>
      </w:r>
      <w:proofErr w:type="spellStart"/>
      <w:r w:rsidRPr="00783E55">
        <w:rPr>
          <w:i/>
        </w:rPr>
        <w:t>Criteria</w:t>
      </w:r>
      <w:proofErr w:type="spellEnd"/>
      <w:r w:rsidRPr="00783E55">
        <w:rPr>
          <w:i/>
        </w:rPr>
        <w:t xml:space="preserve"> 1998</w:t>
      </w:r>
      <w:r w:rsidR="00783E55">
        <w:rPr>
          <w:i/>
        </w:rPr>
        <w:t>.</w:t>
      </w:r>
    </w:p>
    <w:p w14:paraId="7D863F85" w14:textId="77777777" w:rsidR="00D8479D" w:rsidRDefault="0038040C" w:rsidP="00783E55">
      <w:pPr>
        <w:pStyle w:val="corpsdedcision"/>
        <w:tabs>
          <w:tab w:val="clear" w:pos="360"/>
          <w:tab w:val="num" w:pos="720"/>
        </w:tabs>
      </w:pPr>
      <w:r>
        <w:t>Ainsi, référant à la page 24, tableau 3-4, il décrit les différentes définitions de surdité retenues selon les organismes s’intéressant à la prévalence de surdité professionnelle chez les individus de 60 ans ayant été exposés pendant 40 ans à différents niveaux de bruit. Monsieur Leroux mentionne que celle qui se rapproche le plus de la définition retenue au Québec correspond à une atteinte auditive dont la moyenne est plus élevée que 25 dB à 1,</w:t>
      </w:r>
      <w:r w:rsidR="003A1F6E">
        <w:t xml:space="preserve"> </w:t>
      </w:r>
      <w:r>
        <w:t>2,</w:t>
      </w:r>
      <w:r w:rsidR="003A1F6E">
        <w:t xml:space="preserve"> </w:t>
      </w:r>
      <w:r>
        <w:t xml:space="preserve">3 et 4 kHz. </w:t>
      </w:r>
    </w:p>
    <w:p w14:paraId="223FBE0A" w14:textId="77777777" w:rsidR="001A41D1" w:rsidRPr="007D74C8" w:rsidRDefault="0038040C" w:rsidP="001A41D1">
      <w:pPr>
        <w:pStyle w:val="corpsdedcision"/>
        <w:tabs>
          <w:tab w:val="clear" w:pos="360"/>
          <w:tab w:val="num" w:pos="720"/>
        </w:tabs>
      </w:pPr>
      <w:r w:rsidRPr="00495C9E">
        <w:t xml:space="preserve">Le tableau </w:t>
      </w:r>
      <w:r w:rsidR="00495C9E" w:rsidRPr="00495C9E">
        <w:t xml:space="preserve">3-4 de la pièce T-38 se lit comme suit : </w:t>
      </w:r>
    </w:p>
    <w:p w14:paraId="026A4EB1" w14:textId="77777777" w:rsidR="00762DB7" w:rsidRPr="007D683F" w:rsidRDefault="007D74C8" w:rsidP="00762DB7">
      <w:pPr>
        <w:pStyle w:val="citation"/>
        <w:jc w:val="center"/>
        <w:rPr>
          <w:b/>
          <w:lang w:val="en-CA"/>
        </w:rPr>
      </w:pPr>
      <w:r w:rsidRPr="007D683F">
        <w:rPr>
          <w:b/>
          <w:lang w:val="en-CA"/>
        </w:rPr>
        <w:t xml:space="preserve">Table 3-4.  Comparison of models for estimating the excess risk of </w:t>
      </w:r>
    </w:p>
    <w:p w14:paraId="43599399" w14:textId="77777777" w:rsidR="00762DB7" w:rsidRPr="007D683F" w:rsidRDefault="007D74C8" w:rsidP="00762DB7">
      <w:pPr>
        <w:pStyle w:val="citation"/>
        <w:jc w:val="center"/>
        <w:rPr>
          <w:b/>
          <w:lang w:val="en-CA"/>
        </w:rPr>
      </w:pPr>
      <w:r w:rsidRPr="007D683F">
        <w:rPr>
          <w:b/>
          <w:lang w:val="en-CA"/>
        </w:rPr>
        <w:t xml:space="preserve">material hearing impairment at age 60 after a </w:t>
      </w:r>
      <w:proofErr w:type="gramStart"/>
      <w:r w:rsidRPr="007D683F">
        <w:rPr>
          <w:b/>
          <w:lang w:val="en-CA"/>
        </w:rPr>
        <w:t>40 year</w:t>
      </w:r>
      <w:proofErr w:type="gramEnd"/>
      <w:r w:rsidRPr="007D683F">
        <w:rPr>
          <w:b/>
          <w:lang w:val="en-CA"/>
        </w:rPr>
        <w:t xml:space="preserve"> working lifetime</w:t>
      </w:r>
    </w:p>
    <w:p w14:paraId="5E80305F" w14:textId="77777777" w:rsidR="007D74C8" w:rsidRPr="007D683F" w:rsidRDefault="007D74C8" w:rsidP="00762DB7">
      <w:pPr>
        <w:pStyle w:val="citation"/>
        <w:jc w:val="center"/>
        <w:rPr>
          <w:b/>
          <w:lang w:val="en-CA"/>
        </w:rPr>
      </w:pPr>
      <w:r w:rsidRPr="007D683F">
        <w:rPr>
          <w:b/>
          <w:lang w:val="en-CA"/>
        </w:rPr>
        <w:t xml:space="preserve">exposure to occupational noise, </w:t>
      </w:r>
      <w:proofErr w:type="gramStart"/>
      <w:r w:rsidRPr="007D683F">
        <w:rPr>
          <w:b/>
          <w:lang w:val="en-CA"/>
        </w:rPr>
        <w:t>by definition of</w:t>
      </w:r>
      <w:proofErr w:type="gramEnd"/>
      <w:r w:rsidRPr="007D683F">
        <w:rPr>
          <w:b/>
          <w:lang w:val="en-CA"/>
        </w:rPr>
        <w:t xml:space="preserve"> material hearing impairment</w:t>
      </w:r>
    </w:p>
    <w:p w14:paraId="76CC8A8B" w14:textId="77777777" w:rsidR="007D74C8" w:rsidRPr="007D683F" w:rsidRDefault="007D74C8" w:rsidP="007D74C8">
      <w:pPr>
        <w:pStyle w:val="citation"/>
        <w:rPr>
          <w:lang w:val="en-CA"/>
        </w:rPr>
      </w:pPr>
    </w:p>
    <w:p w14:paraId="1FEBF521" w14:textId="77777777" w:rsidR="007D74C8" w:rsidRPr="007D683F" w:rsidRDefault="007D74C8" w:rsidP="007D74C8">
      <w:pPr>
        <w:pStyle w:val="citation"/>
        <w:rPr>
          <w:lang w:val="en-CA"/>
        </w:rPr>
      </w:pPr>
    </w:p>
    <w:tbl>
      <w:tblPr>
        <w:tblStyle w:val="TableGrid"/>
        <w:tblW w:w="8163" w:type="dxa"/>
        <w:tblInd w:w="720" w:type="dxa"/>
        <w:tblLayout w:type="fixed"/>
        <w:tblLook w:val="04A0" w:firstRow="1" w:lastRow="0" w:firstColumn="1" w:lastColumn="0" w:noHBand="0" w:noVBand="1"/>
      </w:tblPr>
      <w:tblGrid>
        <w:gridCol w:w="976"/>
        <w:gridCol w:w="709"/>
        <w:gridCol w:w="709"/>
        <w:gridCol w:w="708"/>
        <w:gridCol w:w="703"/>
        <w:gridCol w:w="757"/>
        <w:gridCol w:w="236"/>
        <w:gridCol w:w="578"/>
        <w:gridCol w:w="708"/>
        <w:gridCol w:w="709"/>
        <w:gridCol w:w="236"/>
        <w:gridCol w:w="567"/>
        <w:gridCol w:w="567"/>
      </w:tblGrid>
      <w:tr w:rsidR="00A37BC9" w14:paraId="68EADDB3" w14:textId="77777777" w:rsidTr="009D0965">
        <w:tc>
          <w:tcPr>
            <w:tcW w:w="976" w:type="dxa"/>
            <w:tcBorders>
              <w:top w:val="single" w:sz="12" w:space="0" w:color="auto"/>
              <w:left w:val="nil"/>
              <w:bottom w:val="nil"/>
              <w:right w:val="nil"/>
            </w:tcBorders>
          </w:tcPr>
          <w:p w14:paraId="3A27A56A" w14:textId="77777777" w:rsidR="00A37BC9" w:rsidRPr="007D683F" w:rsidRDefault="00A37BC9" w:rsidP="00621532">
            <w:pPr>
              <w:pStyle w:val="citation"/>
              <w:ind w:left="0" w:right="84"/>
              <w:rPr>
                <w:sz w:val="16"/>
                <w:szCs w:val="16"/>
                <w:lang w:val="en-CA"/>
              </w:rPr>
            </w:pPr>
          </w:p>
        </w:tc>
        <w:tc>
          <w:tcPr>
            <w:tcW w:w="3586" w:type="dxa"/>
            <w:gridSpan w:val="5"/>
            <w:tcBorders>
              <w:top w:val="single" w:sz="12" w:space="0" w:color="auto"/>
              <w:left w:val="nil"/>
              <w:bottom w:val="single" w:sz="12" w:space="0" w:color="auto"/>
              <w:right w:val="nil"/>
            </w:tcBorders>
          </w:tcPr>
          <w:p w14:paraId="1E01B6B7" w14:textId="77777777" w:rsidR="009D0965" w:rsidRPr="007D683F" w:rsidRDefault="009D0965" w:rsidP="00762DB7">
            <w:pPr>
              <w:pStyle w:val="citation"/>
              <w:ind w:left="0" w:right="84"/>
              <w:jc w:val="center"/>
              <w:rPr>
                <w:sz w:val="16"/>
                <w:szCs w:val="16"/>
                <w:lang w:val="en-CA"/>
              </w:rPr>
            </w:pPr>
          </w:p>
          <w:p w14:paraId="42CB50D7" w14:textId="77777777" w:rsidR="00A37BC9" w:rsidRDefault="00A37BC9" w:rsidP="00762DB7">
            <w:pPr>
              <w:pStyle w:val="citation"/>
              <w:ind w:left="0" w:right="84"/>
              <w:jc w:val="center"/>
              <w:rPr>
                <w:sz w:val="16"/>
                <w:szCs w:val="16"/>
              </w:rPr>
            </w:pPr>
            <w:r w:rsidRPr="00621532">
              <w:rPr>
                <w:sz w:val="16"/>
                <w:szCs w:val="16"/>
              </w:rPr>
              <w:t>0.5-1-2kHz</w:t>
            </w:r>
          </w:p>
          <w:p w14:paraId="0CE91117" w14:textId="77777777" w:rsidR="00A37BC9" w:rsidRDefault="009D0965" w:rsidP="00762DB7">
            <w:pPr>
              <w:pStyle w:val="citation"/>
              <w:ind w:left="0" w:right="84"/>
              <w:jc w:val="center"/>
              <w:rPr>
                <w:sz w:val="16"/>
                <w:szCs w:val="16"/>
              </w:rPr>
            </w:pPr>
            <w:proofErr w:type="spellStart"/>
            <w:r>
              <w:rPr>
                <w:sz w:val="16"/>
                <w:szCs w:val="16"/>
              </w:rPr>
              <w:t>D</w:t>
            </w:r>
            <w:r w:rsidR="00A37BC9">
              <w:rPr>
                <w:sz w:val="16"/>
                <w:szCs w:val="16"/>
              </w:rPr>
              <w:t>efinition</w:t>
            </w:r>
            <w:proofErr w:type="spellEnd"/>
          </w:p>
          <w:p w14:paraId="64414FAF" w14:textId="77777777" w:rsidR="009D0965" w:rsidRPr="00621532" w:rsidRDefault="009D0965" w:rsidP="00762DB7">
            <w:pPr>
              <w:pStyle w:val="citation"/>
              <w:ind w:left="0" w:right="84"/>
              <w:jc w:val="center"/>
              <w:rPr>
                <w:sz w:val="16"/>
                <w:szCs w:val="16"/>
              </w:rPr>
            </w:pPr>
          </w:p>
        </w:tc>
        <w:tc>
          <w:tcPr>
            <w:tcW w:w="236" w:type="dxa"/>
            <w:tcBorders>
              <w:top w:val="single" w:sz="12" w:space="0" w:color="auto"/>
              <w:left w:val="nil"/>
              <w:bottom w:val="nil"/>
              <w:right w:val="nil"/>
            </w:tcBorders>
          </w:tcPr>
          <w:p w14:paraId="389ACC7C" w14:textId="77777777" w:rsidR="00A37BC9" w:rsidRDefault="00A37BC9" w:rsidP="00762DB7">
            <w:pPr>
              <w:pStyle w:val="citation"/>
              <w:ind w:left="0" w:right="84"/>
              <w:jc w:val="center"/>
              <w:rPr>
                <w:sz w:val="16"/>
                <w:szCs w:val="16"/>
              </w:rPr>
            </w:pPr>
          </w:p>
        </w:tc>
        <w:tc>
          <w:tcPr>
            <w:tcW w:w="1995" w:type="dxa"/>
            <w:gridSpan w:val="3"/>
            <w:tcBorders>
              <w:top w:val="single" w:sz="12" w:space="0" w:color="auto"/>
              <w:left w:val="nil"/>
              <w:bottom w:val="single" w:sz="12" w:space="0" w:color="auto"/>
              <w:right w:val="nil"/>
            </w:tcBorders>
          </w:tcPr>
          <w:p w14:paraId="25A377B5" w14:textId="77777777" w:rsidR="009D0965" w:rsidRDefault="009D0965" w:rsidP="00762DB7">
            <w:pPr>
              <w:pStyle w:val="citation"/>
              <w:ind w:left="0" w:right="84"/>
              <w:jc w:val="center"/>
              <w:rPr>
                <w:sz w:val="16"/>
                <w:szCs w:val="16"/>
              </w:rPr>
            </w:pPr>
          </w:p>
          <w:p w14:paraId="0B34193F" w14:textId="77777777" w:rsidR="009D0965" w:rsidRDefault="009D0965" w:rsidP="00762DB7">
            <w:pPr>
              <w:pStyle w:val="citation"/>
              <w:ind w:left="0" w:right="84"/>
              <w:jc w:val="center"/>
              <w:rPr>
                <w:sz w:val="16"/>
                <w:szCs w:val="16"/>
              </w:rPr>
            </w:pPr>
            <w:r>
              <w:rPr>
                <w:sz w:val="16"/>
                <w:szCs w:val="16"/>
              </w:rPr>
              <w:t>1-2-3-kHz</w:t>
            </w:r>
          </w:p>
          <w:p w14:paraId="68B94C18" w14:textId="77777777" w:rsidR="00A37BC9" w:rsidRDefault="009D0965" w:rsidP="00762DB7">
            <w:pPr>
              <w:pStyle w:val="citation"/>
              <w:ind w:left="0" w:right="84"/>
              <w:jc w:val="center"/>
              <w:rPr>
                <w:sz w:val="16"/>
                <w:szCs w:val="16"/>
              </w:rPr>
            </w:pPr>
            <w:proofErr w:type="spellStart"/>
            <w:r>
              <w:rPr>
                <w:sz w:val="16"/>
                <w:szCs w:val="16"/>
              </w:rPr>
              <w:t>D</w:t>
            </w:r>
            <w:r w:rsidR="00A37BC9">
              <w:rPr>
                <w:sz w:val="16"/>
                <w:szCs w:val="16"/>
              </w:rPr>
              <w:t>efinition</w:t>
            </w:r>
            <w:proofErr w:type="spellEnd"/>
          </w:p>
          <w:p w14:paraId="27A91621" w14:textId="77777777" w:rsidR="009D0965" w:rsidRPr="00621532" w:rsidRDefault="009D0965" w:rsidP="00762DB7">
            <w:pPr>
              <w:pStyle w:val="citation"/>
              <w:ind w:left="0" w:right="84"/>
              <w:jc w:val="center"/>
              <w:rPr>
                <w:sz w:val="16"/>
                <w:szCs w:val="16"/>
              </w:rPr>
            </w:pPr>
          </w:p>
        </w:tc>
        <w:tc>
          <w:tcPr>
            <w:tcW w:w="236" w:type="dxa"/>
            <w:tcBorders>
              <w:top w:val="single" w:sz="12" w:space="0" w:color="auto"/>
              <w:left w:val="nil"/>
              <w:bottom w:val="nil"/>
              <w:right w:val="nil"/>
            </w:tcBorders>
          </w:tcPr>
          <w:p w14:paraId="1CC2A890" w14:textId="77777777" w:rsidR="00A37BC9" w:rsidRDefault="00A37BC9" w:rsidP="00762DB7">
            <w:pPr>
              <w:pStyle w:val="citation"/>
              <w:ind w:left="0" w:right="84"/>
              <w:jc w:val="center"/>
              <w:rPr>
                <w:sz w:val="16"/>
                <w:szCs w:val="16"/>
              </w:rPr>
            </w:pPr>
          </w:p>
        </w:tc>
        <w:tc>
          <w:tcPr>
            <w:tcW w:w="1134" w:type="dxa"/>
            <w:gridSpan w:val="2"/>
            <w:tcBorders>
              <w:top w:val="single" w:sz="12" w:space="0" w:color="auto"/>
              <w:left w:val="nil"/>
              <w:bottom w:val="single" w:sz="12" w:space="0" w:color="auto"/>
              <w:right w:val="nil"/>
            </w:tcBorders>
          </w:tcPr>
          <w:p w14:paraId="72C9551B" w14:textId="77777777" w:rsidR="009D0965" w:rsidRDefault="009D0965" w:rsidP="00762DB7">
            <w:pPr>
              <w:pStyle w:val="citation"/>
              <w:ind w:left="0" w:right="84"/>
              <w:jc w:val="center"/>
              <w:rPr>
                <w:sz w:val="16"/>
                <w:szCs w:val="16"/>
              </w:rPr>
            </w:pPr>
          </w:p>
          <w:p w14:paraId="30D2E0E0" w14:textId="77777777" w:rsidR="00A37BC9" w:rsidRDefault="00A37BC9" w:rsidP="00762DB7">
            <w:pPr>
              <w:pStyle w:val="citation"/>
              <w:ind w:left="0" w:right="84"/>
              <w:jc w:val="center"/>
              <w:rPr>
                <w:sz w:val="16"/>
                <w:szCs w:val="16"/>
              </w:rPr>
            </w:pPr>
            <w:r>
              <w:rPr>
                <w:sz w:val="16"/>
                <w:szCs w:val="16"/>
              </w:rPr>
              <w:t>1-2-3-4-</w:t>
            </w:r>
          </w:p>
          <w:p w14:paraId="2509B2CA" w14:textId="77777777" w:rsidR="00A37BC9" w:rsidRDefault="009D0965" w:rsidP="00762DB7">
            <w:pPr>
              <w:pStyle w:val="citation"/>
              <w:ind w:left="0" w:right="84"/>
              <w:jc w:val="center"/>
              <w:rPr>
                <w:sz w:val="16"/>
                <w:szCs w:val="16"/>
              </w:rPr>
            </w:pPr>
            <w:proofErr w:type="spellStart"/>
            <w:r>
              <w:rPr>
                <w:sz w:val="16"/>
                <w:szCs w:val="16"/>
              </w:rPr>
              <w:t>D</w:t>
            </w:r>
            <w:r w:rsidR="00A37BC9">
              <w:rPr>
                <w:sz w:val="16"/>
                <w:szCs w:val="16"/>
              </w:rPr>
              <w:t>efinition</w:t>
            </w:r>
            <w:proofErr w:type="spellEnd"/>
          </w:p>
          <w:p w14:paraId="001CB8D1" w14:textId="77777777" w:rsidR="009D0965" w:rsidRPr="00621532" w:rsidRDefault="009D0965" w:rsidP="00762DB7">
            <w:pPr>
              <w:pStyle w:val="citation"/>
              <w:ind w:left="0" w:right="84"/>
              <w:jc w:val="center"/>
              <w:rPr>
                <w:sz w:val="16"/>
                <w:szCs w:val="16"/>
              </w:rPr>
            </w:pPr>
          </w:p>
        </w:tc>
      </w:tr>
      <w:tr w:rsidR="00A37BC9" w14:paraId="40F8FC2B" w14:textId="77777777" w:rsidTr="009D0965">
        <w:tc>
          <w:tcPr>
            <w:tcW w:w="976" w:type="dxa"/>
            <w:tcBorders>
              <w:top w:val="nil"/>
              <w:left w:val="nil"/>
              <w:bottom w:val="nil"/>
              <w:right w:val="nil"/>
            </w:tcBorders>
          </w:tcPr>
          <w:p w14:paraId="15480994" w14:textId="77777777" w:rsidR="00A37BC9" w:rsidRDefault="00A37BC9" w:rsidP="00621532">
            <w:pPr>
              <w:pStyle w:val="citation"/>
              <w:ind w:left="0" w:right="34"/>
              <w:rPr>
                <w:sz w:val="14"/>
                <w:szCs w:val="14"/>
              </w:rPr>
            </w:pPr>
            <w:proofErr w:type="spellStart"/>
            <w:r w:rsidRPr="00621532">
              <w:rPr>
                <w:sz w:val="14"/>
                <w:szCs w:val="14"/>
              </w:rPr>
              <w:t>Average</w:t>
            </w:r>
            <w:proofErr w:type="spellEnd"/>
            <w:r w:rsidRPr="00621532">
              <w:rPr>
                <w:sz w:val="14"/>
                <w:szCs w:val="14"/>
              </w:rPr>
              <w:br/>
            </w:r>
            <w:proofErr w:type="spellStart"/>
            <w:r w:rsidRPr="00621532">
              <w:rPr>
                <w:sz w:val="14"/>
                <w:szCs w:val="14"/>
              </w:rPr>
              <w:t>exposure</w:t>
            </w:r>
            <w:proofErr w:type="spellEnd"/>
            <w:r w:rsidRPr="00621532">
              <w:rPr>
                <w:sz w:val="14"/>
                <w:szCs w:val="14"/>
              </w:rPr>
              <w:br/>
            </w:r>
            <w:proofErr w:type="spellStart"/>
            <w:r w:rsidRPr="00621532">
              <w:rPr>
                <w:sz w:val="14"/>
                <w:szCs w:val="14"/>
              </w:rPr>
              <w:t>level</w:t>
            </w:r>
            <w:proofErr w:type="spellEnd"/>
            <w:r w:rsidRPr="00621532">
              <w:rPr>
                <w:sz w:val="14"/>
                <w:szCs w:val="14"/>
              </w:rPr>
              <w:t xml:space="preserve"> (</w:t>
            </w:r>
            <w:proofErr w:type="spellStart"/>
            <w:r w:rsidRPr="00621532">
              <w:rPr>
                <w:sz w:val="14"/>
                <w:szCs w:val="14"/>
              </w:rPr>
              <w:t>dBA</w:t>
            </w:r>
            <w:proofErr w:type="spellEnd"/>
            <w:r w:rsidRPr="00621532">
              <w:rPr>
                <w:sz w:val="14"/>
                <w:szCs w:val="14"/>
              </w:rPr>
              <w:t>)</w:t>
            </w:r>
          </w:p>
          <w:p w14:paraId="07A423B3" w14:textId="77777777" w:rsidR="009D0965" w:rsidRPr="00621532" w:rsidRDefault="009D0965" w:rsidP="00621532">
            <w:pPr>
              <w:pStyle w:val="citation"/>
              <w:ind w:left="0" w:right="34"/>
              <w:rPr>
                <w:sz w:val="14"/>
                <w:szCs w:val="14"/>
              </w:rPr>
            </w:pPr>
          </w:p>
        </w:tc>
        <w:tc>
          <w:tcPr>
            <w:tcW w:w="709" w:type="dxa"/>
            <w:tcBorders>
              <w:top w:val="single" w:sz="12" w:space="0" w:color="auto"/>
              <w:left w:val="nil"/>
              <w:bottom w:val="nil"/>
              <w:right w:val="nil"/>
            </w:tcBorders>
          </w:tcPr>
          <w:p w14:paraId="3EFA2E98" w14:textId="77777777" w:rsidR="00A37BC9" w:rsidRDefault="00A37BC9" w:rsidP="00762DB7">
            <w:pPr>
              <w:pStyle w:val="citation"/>
              <w:ind w:left="0" w:right="0"/>
              <w:rPr>
                <w:sz w:val="14"/>
                <w:szCs w:val="14"/>
              </w:rPr>
            </w:pPr>
            <w:r w:rsidRPr="00621532">
              <w:rPr>
                <w:sz w:val="14"/>
                <w:szCs w:val="14"/>
              </w:rPr>
              <w:br/>
              <w:t>1971-</w:t>
            </w:r>
            <w:r w:rsidRPr="00621532">
              <w:rPr>
                <w:sz w:val="14"/>
                <w:szCs w:val="14"/>
              </w:rPr>
              <w:br/>
              <w:t>ISO</w:t>
            </w:r>
          </w:p>
          <w:p w14:paraId="1EDA4946" w14:textId="77777777" w:rsidR="009D0965" w:rsidRPr="00621532" w:rsidRDefault="009D0965" w:rsidP="00762DB7">
            <w:pPr>
              <w:pStyle w:val="citation"/>
              <w:ind w:left="0" w:right="0"/>
              <w:rPr>
                <w:sz w:val="14"/>
                <w:szCs w:val="14"/>
              </w:rPr>
            </w:pPr>
          </w:p>
        </w:tc>
        <w:tc>
          <w:tcPr>
            <w:tcW w:w="709" w:type="dxa"/>
            <w:tcBorders>
              <w:top w:val="single" w:sz="12" w:space="0" w:color="auto"/>
              <w:left w:val="nil"/>
              <w:bottom w:val="nil"/>
              <w:right w:val="nil"/>
            </w:tcBorders>
          </w:tcPr>
          <w:p w14:paraId="3739C3EB" w14:textId="77777777" w:rsidR="00A37BC9" w:rsidRDefault="00A37BC9" w:rsidP="00762DB7">
            <w:pPr>
              <w:pStyle w:val="citation"/>
              <w:ind w:left="0" w:right="-3"/>
              <w:rPr>
                <w:sz w:val="14"/>
                <w:szCs w:val="14"/>
              </w:rPr>
            </w:pPr>
            <w:r w:rsidRPr="00621532">
              <w:rPr>
                <w:sz w:val="14"/>
                <w:szCs w:val="14"/>
              </w:rPr>
              <w:br/>
              <w:t>1972-</w:t>
            </w:r>
            <w:r w:rsidRPr="00621532">
              <w:rPr>
                <w:sz w:val="14"/>
                <w:szCs w:val="14"/>
              </w:rPr>
              <w:br/>
              <w:t>NIOSH</w:t>
            </w:r>
          </w:p>
          <w:p w14:paraId="3E1DDEC5" w14:textId="77777777" w:rsidR="009D0965" w:rsidRPr="00621532" w:rsidRDefault="009D0965" w:rsidP="00762DB7">
            <w:pPr>
              <w:pStyle w:val="citation"/>
              <w:ind w:left="0" w:right="-3"/>
              <w:rPr>
                <w:sz w:val="14"/>
                <w:szCs w:val="14"/>
              </w:rPr>
            </w:pPr>
          </w:p>
        </w:tc>
        <w:tc>
          <w:tcPr>
            <w:tcW w:w="708" w:type="dxa"/>
            <w:tcBorders>
              <w:top w:val="single" w:sz="12" w:space="0" w:color="auto"/>
              <w:left w:val="nil"/>
              <w:bottom w:val="nil"/>
              <w:right w:val="nil"/>
            </w:tcBorders>
          </w:tcPr>
          <w:p w14:paraId="1AF80196" w14:textId="77777777" w:rsidR="00A37BC9" w:rsidRDefault="00A37BC9" w:rsidP="00762DB7">
            <w:pPr>
              <w:pStyle w:val="citation"/>
              <w:ind w:left="0" w:right="-108"/>
              <w:rPr>
                <w:sz w:val="14"/>
                <w:szCs w:val="14"/>
              </w:rPr>
            </w:pPr>
            <w:r w:rsidRPr="00621532">
              <w:rPr>
                <w:sz w:val="14"/>
                <w:szCs w:val="14"/>
              </w:rPr>
              <w:br/>
              <w:t>1973-</w:t>
            </w:r>
            <w:r w:rsidRPr="00621532">
              <w:rPr>
                <w:sz w:val="14"/>
                <w:szCs w:val="14"/>
              </w:rPr>
              <w:br/>
              <w:t>EPA</w:t>
            </w:r>
          </w:p>
          <w:p w14:paraId="37619F0D" w14:textId="77777777" w:rsidR="009D0965" w:rsidRPr="00621532" w:rsidRDefault="009D0965" w:rsidP="00762DB7">
            <w:pPr>
              <w:pStyle w:val="citation"/>
              <w:ind w:left="0" w:right="-108"/>
              <w:rPr>
                <w:sz w:val="14"/>
                <w:szCs w:val="14"/>
              </w:rPr>
            </w:pPr>
          </w:p>
        </w:tc>
        <w:tc>
          <w:tcPr>
            <w:tcW w:w="703" w:type="dxa"/>
            <w:tcBorders>
              <w:top w:val="single" w:sz="12" w:space="0" w:color="auto"/>
              <w:left w:val="nil"/>
              <w:bottom w:val="nil"/>
              <w:right w:val="nil"/>
            </w:tcBorders>
          </w:tcPr>
          <w:p w14:paraId="371F7B1B" w14:textId="77777777" w:rsidR="00A37BC9" w:rsidRDefault="00A37BC9" w:rsidP="00762DB7">
            <w:pPr>
              <w:pStyle w:val="citation"/>
              <w:ind w:left="0" w:right="-114"/>
              <w:rPr>
                <w:sz w:val="14"/>
                <w:szCs w:val="14"/>
              </w:rPr>
            </w:pPr>
            <w:r w:rsidRPr="00621532">
              <w:rPr>
                <w:sz w:val="14"/>
                <w:szCs w:val="14"/>
              </w:rPr>
              <w:br/>
              <w:t>1990-</w:t>
            </w:r>
            <w:r w:rsidRPr="00621532">
              <w:rPr>
                <w:sz w:val="14"/>
                <w:szCs w:val="14"/>
              </w:rPr>
              <w:br/>
              <w:t>ISO</w:t>
            </w:r>
          </w:p>
          <w:p w14:paraId="4DC29C4A" w14:textId="77777777" w:rsidR="009D0965" w:rsidRPr="00621532" w:rsidRDefault="009D0965" w:rsidP="00762DB7">
            <w:pPr>
              <w:pStyle w:val="citation"/>
              <w:ind w:left="0" w:right="-114"/>
              <w:rPr>
                <w:sz w:val="14"/>
                <w:szCs w:val="14"/>
              </w:rPr>
            </w:pPr>
          </w:p>
        </w:tc>
        <w:tc>
          <w:tcPr>
            <w:tcW w:w="757" w:type="dxa"/>
            <w:tcBorders>
              <w:top w:val="single" w:sz="12" w:space="0" w:color="auto"/>
              <w:left w:val="nil"/>
              <w:bottom w:val="nil"/>
              <w:right w:val="nil"/>
            </w:tcBorders>
          </w:tcPr>
          <w:p w14:paraId="3DF2A8C9" w14:textId="77777777" w:rsidR="00A37BC9" w:rsidRDefault="00A37BC9" w:rsidP="00762DB7">
            <w:pPr>
              <w:pStyle w:val="citation"/>
              <w:ind w:left="0" w:right="-66"/>
              <w:rPr>
                <w:sz w:val="14"/>
                <w:szCs w:val="14"/>
              </w:rPr>
            </w:pPr>
            <w:r w:rsidRPr="00621532">
              <w:rPr>
                <w:sz w:val="14"/>
                <w:szCs w:val="14"/>
              </w:rPr>
              <w:br/>
              <w:t>1997-</w:t>
            </w:r>
            <w:r w:rsidRPr="00621532">
              <w:rPr>
                <w:sz w:val="14"/>
                <w:szCs w:val="14"/>
              </w:rPr>
              <w:br/>
              <w:t>NIOSH</w:t>
            </w:r>
          </w:p>
          <w:p w14:paraId="2142020F" w14:textId="77777777" w:rsidR="009D0965" w:rsidRPr="00621532" w:rsidRDefault="009D0965" w:rsidP="00762DB7">
            <w:pPr>
              <w:pStyle w:val="citation"/>
              <w:ind w:left="0" w:right="-66"/>
              <w:rPr>
                <w:sz w:val="14"/>
                <w:szCs w:val="14"/>
              </w:rPr>
            </w:pPr>
          </w:p>
        </w:tc>
        <w:tc>
          <w:tcPr>
            <w:tcW w:w="236" w:type="dxa"/>
            <w:tcBorders>
              <w:top w:val="nil"/>
              <w:left w:val="nil"/>
              <w:bottom w:val="nil"/>
              <w:right w:val="nil"/>
            </w:tcBorders>
          </w:tcPr>
          <w:p w14:paraId="7C55C785" w14:textId="77777777" w:rsidR="00A37BC9" w:rsidRPr="00621532" w:rsidRDefault="00A37BC9" w:rsidP="00762DB7">
            <w:pPr>
              <w:pStyle w:val="citation"/>
              <w:ind w:left="0" w:right="-675"/>
              <w:rPr>
                <w:sz w:val="14"/>
                <w:szCs w:val="14"/>
              </w:rPr>
            </w:pPr>
          </w:p>
        </w:tc>
        <w:tc>
          <w:tcPr>
            <w:tcW w:w="578" w:type="dxa"/>
            <w:tcBorders>
              <w:top w:val="single" w:sz="12" w:space="0" w:color="auto"/>
              <w:left w:val="nil"/>
              <w:bottom w:val="nil"/>
              <w:right w:val="nil"/>
            </w:tcBorders>
          </w:tcPr>
          <w:p w14:paraId="01D443DD" w14:textId="77777777" w:rsidR="009D0965" w:rsidRDefault="00A37BC9" w:rsidP="00762DB7">
            <w:pPr>
              <w:pStyle w:val="citation"/>
              <w:ind w:left="0" w:right="-675"/>
              <w:rPr>
                <w:sz w:val="14"/>
                <w:szCs w:val="14"/>
              </w:rPr>
            </w:pPr>
            <w:r w:rsidRPr="00621532">
              <w:rPr>
                <w:sz w:val="14"/>
                <w:szCs w:val="14"/>
              </w:rPr>
              <w:br/>
              <w:t>1972-</w:t>
            </w:r>
          </w:p>
          <w:p w14:paraId="473C2337" w14:textId="77777777" w:rsidR="00A37BC9" w:rsidRDefault="00A37BC9" w:rsidP="00762DB7">
            <w:pPr>
              <w:pStyle w:val="citation"/>
              <w:ind w:left="0" w:right="-675"/>
              <w:rPr>
                <w:sz w:val="14"/>
                <w:szCs w:val="14"/>
              </w:rPr>
            </w:pPr>
            <w:r w:rsidRPr="00621532">
              <w:rPr>
                <w:sz w:val="14"/>
                <w:szCs w:val="14"/>
              </w:rPr>
              <w:t>NIOSH</w:t>
            </w:r>
          </w:p>
          <w:p w14:paraId="691FDC15" w14:textId="77777777" w:rsidR="009D0965" w:rsidRPr="00621532" w:rsidRDefault="009D0965" w:rsidP="00762DB7">
            <w:pPr>
              <w:pStyle w:val="citation"/>
              <w:ind w:left="0" w:right="-675"/>
              <w:rPr>
                <w:sz w:val="14"/>
                <w:szCs w:val="14"/>
              </w:rPr>
            </w:pPr>
          </w:p>
        </w:tc>
        <w:tc>
          <w:tcPr>
            <w:tcW w:w="708" w:type="dxa"/>
            <w:tcBorders>
              <w:top w:val="single" w:sz="12" w:space="0" w:color="auto"/>
              <w:left w:val="nil"/>
              <w:bottom w:val="nil"/>
              <w:right w:val="nil"/>
            </w:tcBorders>
          </w:tcPr>
          <w:p w14:paraId="064B0014" w14:textId="77777777" w:rsidR="009D0965" w:rsidRDefault="00A37BC9" w:rsidP="00762DB7">
            <w:pPr>
              <w:pStyle w:val="citation"/>
              <w:ind w:left="0" w:right="33"/>
              <w:rPr>
                <w:sz w:val="14"/>
                <w:szCs w:val="14"/>
              </w:rPr>
            </w:pPr>
            <w:r w:rsidRPr="00621532">
              <w:rPr>
                <w:sz w:val="14"/>
                <w:szCs w:val="14"/>
              </w:rPr>
              <w:br/>
              <w:t>1990-</w:t>
            </w:r>
          </w:p>
          <w:p w14:paraId="064EA8B4" w14:textId="77777777" w:rsidR="00A37BC9" w:rsidRDefault="00A37BC9" w:rsidP="00762DB7">
            <w:pPr>
              <w:pStyle w:val="citation"/>
              <w:ind w:left="0" w:right="33"/>
              <w:rPr>
                <w:sz w:val="14"/>
                <w:szCs w:val="14"/>
              </w:rPr>
            </w:pPr>
            <w:r w:rsidRPr="00621532">
              <w:rPr>
                <w:sz w:val="14"/>
                <w:szCs w:val="14"/>
              </w:rPr>
              <w:t>ISO</w:t>
            </w:r>
          </w:p>
          <w:p w14:paraId="12AAC607" w14:textId="77777777" w:rsidR="009D0965" w:rsidRPr="00621532" w:rsidRDefault="009D0965" w:rsidP="00762DB7">
            <w:pPr>
              <w:pStyle w:val="citation"/>
              <w:ind w:left="0" w:right="33"/>
              <w:rPr>
                <w:sz w:val="14"/>
                <w:szCs w:val="14"/>
              </w:rPr>
            </w:pPr>
          </w:p>
        </w:tc>
        <w:tc>
          <w:tcPr>
            <w:tcW w:w="709" w:type="dxa"/>
            <w:tcBorders>
              <w:top w:val="single" w:sz="12" w:space="0" w:color="auto"/>
              <w:left w:val="nil"/>
              <w:bottom w:val="nil"/>
              <w:right w:val="nil"/>
            </w:tcBorders>
          </w:tcPr>
          <w:p w14:paraId="3C7BBCB5" w14:textId="77777777" w:rsidR="009D0965" w:rsidRDefault="00A37BC9" w:rsidP="00762DB7">
            <w:pPr>
              <w:pStyle w:val="citation"/>
              <w:ind w:left="0" w:right="0"/>
              <w:rPr>
                <w:sz w:val="14"/>
                <w:szCs w:val="14"/>
              </w:rPr>
            </w:pPr>
            <w:r w:rsidRPr="00621532">
              <w:rPr>
                <w:sz w:val="14"/>
                <w:szCs w:val="14"/>
              </w:rPr>
              <w:br/>
              <w:t>1997-</w:t>
            </w:r>
          </w:p>
          <w:p w14:paraId="72032E23" w14:textId="77777777" w:rsidR="00A37BC9" w:rsidRDefault="00A37BC9" w:rsidP="00762DB7">
            <w:pPr>
              <w:pStyle w:val="citation"/>
              <w:ind w:left="0" w:right="0"/>
              <w:rPr>
                <w:sz w:val="14"/>
                <w:szCs w:val="14"/>
              </w:rPr>
            </w:pPr>
            <w:r w:rsidRPr="00621532">
              <w:rPr>
                <w:sz w:val="14"/>
                <w:szCs w:val="14"/>
              </w:rPr>
              <w:t>NIOSH</w:t>
            </w:r>
          </w:p>
          <w:p w14:paraId="7F0DF25E" w14:textId="77777777" w:rsidR="009D0965" w:rsidRPr="00621532" w:rsidRDefault="009D0965" w:rsidP="00762DB7">
            <w:pPr>
              <w:pStyle w:val="citation"/>
              <w:ind w:left="0" w:right="0"/>
              <w:rPr>
                <w:sz w:val="14"/>
                <w:szCs w:val="14"/>
              </w:rPr>
            </w:pPr>
          </w:p>
        </w:tc>
        <w:tc>
          <w:tcPr>
            <w:tcW w:w="236" w:type="dxa"/>
            <w:tcBorders>
              <w:top w:val="nil"/>
              <w:left w:val="nil"/>
              <w:bottom w:val="nil"/>
              <w:right w:val="nil"/>
            </w:tcBorders>
          </w:tcPr>
          <w:p w14:paraId="5517F184" w14:textId="77777777" w:rsidR="00A37BC9" w:rsidRPr="00621532" w:rsidRDefault="00A37BC9" w:rsidP="00762DB7">
            <w:pPr>
              <w:pStyle w:val="citation"/>
              <w:ind w:left="0" w:right="-108"/>
              <w:rPr>
                <w:sz w:val="14"/>
                <w:szCs w:val="14"/>
              </w:rPr>
            </w:pPr>
          </w:p>
        </w:tc>
        <w:tc>
          <w:tcPr>
            <w:tcW w:w="567" w:type="dxa"/>
            <w:tcBorders>
              <w:top w:val="single" w:sz="12" w:space="0" w:color="auto"/>
              <w:left w:val="nil"/>
              <w:bottom w:val="nil"/>
              <w:right w:val="nil"/>
            </w:tcBorders>
          </w:tcPr>
          <w:p w14:paraId="1299280D" w14:textId="77777777" w:rsidR="009D0965" w:rsidRDefault="00A37BC9" w:rsidP="00762DB7">
            <w:pPr>
              <w:pStyle w:val="citation"/>
              <w:ind w:left="0" w:right="-108"/>
              <w:rPr>
                <w:sz w:val="14"/>
                <w:szCs w:val="14"/>
              </w:rPr>
            </w:pPr>
            <w:r w:rsidRPr="00621532">
              <w:rPr>
                <w:sz w:val="14"/>
                <w:szCs w:val="14"/>
              </w:rPr>
              <w:br/>
              <w:t>1990-</w:t>
            </w:r>
          </w:p>
          <w:p w14:paraId="18A23F0F" w14:textId="77777777" w:rsidR="00A37BC9" w:rsidRDefault="00A37BC9" w:rsidP="00762DB7">
            <w:pPr>
              <w:pStyle w:val="citation"/>
              <w:ind w:left="0" w:right="-108"/>
              <w:rPr>
                <w:sz w:val="14"/>
                <w:szCs w:val="14"/>
              </w:rPr>
            </w:pPr>
            <w:r w:rsidRPr="00621532">
              <w:rPr>
                <w:sz w:val="14"/>
                <w:szCs w:val="14"/>
              </w:rPr>
              <w:t>ISO</w:t>
            </w:r>
          </w:p>
          <w:p w14:paraId="2359EF1A" w14:textId="77777777" w:rsidR="009D0965" w:rsidRPr="00621532" w:rsidRDefault="009D0965" w:rsidP="00762DB7">
            <w:pPr>
              <w:pStyle w:val="citation"/>
              <w:ind w:left="0" w:right="-108"/>
              <w:rPr>
                <w:sz w:val="14"/>
                <w:szCs w:val="14"/>
              </w:rPr>
            </w:pPr>
          </w:p>
        </w:tc>
        <w:tc>
          <w:tcPr>
            <w:tcW w:w="567" w:type="dxa"/>
            <w:tcBorders>
              <w:top w:val="single" w:sz="12" w:space="0" w:color="auto"/>
              <w:left w:val="nil"/>
              <w:bottom w:val="nil"/>
              <w:right w:val="nil"/>
            </w:tcBorders>
          </w:tcPr>
          <w:p w14:paraId="4C368B51" w14:textId="77777777" w:rsidR="009D0965" w:rsidRDefault="00A37BC9" w:rsidP="00762DB7">
            <w:pPr>
              <w:pStyle w:val="citation"/>
              <w:ind w:left="0" w:right="-108"/>
              <w:rPr>
                <w:sz w:val="14"/>
                <w:szCs w:val="14"/>
              </w:rPr>
            </w:pPr>
            <w:r w:rsidRPr="00621532">
              <w:rPr>
                <w:sz w:val="14"/>
                <w:szCs w:val="14"/>
              </w:rPr>
              <w:br/>
              <w:t>1997-</w:t>
            </w:r>
          </w:p>
          <w:p w14:paraId="638B7838" w14:textId="77777777" w:rsidR="00A37BC9" w:rsidRDefault="00A37BC9" w:rsidP="00762DB7">
            <w:pPr>
              <w:pStyle w:val="citation"/>
              <w:ind w:left="0" w:right="-108"/>
              <w:rPr>
                <w:sz w:val="14"/>
                <w:szCs w:val="14"/>
              </w:rPr>
            </w:pPr>
            <w:r w:rsidRPr="00621532">
              <w:rPr>
                <w:sz w:val="14"/>
                <w:szCs w:val="14"/>
              </w:rPr>
              <w:t>NIOSH</w:t>
            </w:r>
          </w:p>
          <w:p w14:paraId="788FD55B" w14:textId="77777777" w:rsidR="009D0965" w:rsidRPr="00621532" w:rsidRDefault="009D0965" w:rsidP="00762DB7">
            <w:pPr>
              <w:pStyle w:val="citation"/>
              <w:ind w:left="0" w:right="-108"/>
              <w:rPr>
                <w:sz w:val="14"/>
                <w:szCs w:val="14"/>
              </w:rPr>
            </w:pPr>
          </w:p>
        </w:tc>
      </w:tr>
      <w:tr w:rsidR="00A37BC9" w14:paraId="78AE6443" w14:textId="77777777" w:rsidTr="009D0965">
        <w:tc>
          <w:tcPr>
            <w:tcW w:w="976" w:type="dxa"/>
            <w:tcBorders>
              <w:top w:val="nil"/>
              <w:left w:val="nil"/>
              <w:bottom w:val="nil"/>
              <w:right w:val="nil"/>
            </w:tcBorders>
          </w:tcPr>
          <w:p w14:paraId="2AEEDE0E" w14:textId="77777777" w:rsidR="009D0965" w:rsidRPr="00621532" w:rsidRDefault="00A37BC9" w:rsidP="009D0965">
            <w:pPr>
              <w:pStyle w:val="citation"/>
              <w:tabs>
                <w:tab w:val="left" w:pos="211"/>
              </w:tabs>
              <w:spacing w:after="60"/>
              <w:ind w:left="0" w:right="34"/>
              <w:jc w:val="left"/>
              <w:rPr>
                <w:sz w:val="16"/>
                <w:szCs w:val="16"/>
              </w:rPr>
            </w:pPr>
            <w:r>
              <w:rPr>
                <w:sz w:val="16"/>
                <w:szCs w:val="16"/>
              </w:rPr>
              <w:t>90</w:t>
            </w:r>
          </w:p>
        </w:tc>
        <w:tc>
          <w:tcPr>
            <w:tcW w:w="709" w:type="dxa"/>
            <w:tcBorders>
              <w:top w:val="nil"/>
              <w:left w:val="nil"/>
              <w:bottom w:val="nil"/>
              <w:right w:val="nil"/>
            </w:tcBorders>
          </w:tcPr>
          <w:p w14:paraId="28C99029" w14:textId="77777777" w:rsidR="00A37BC9" w:rsidRPr="00621532" w:rsidRDefault="00A37BC9" w:rsidP="009D0965">
            <w:pPr>
              <w:pStyle w:val="citation"/>
              <w:tabs>
                <w:tab w:val="left" w:pos="34"/>
              </w:tabs>
              <w:spacing w:after="60"/>
              <w:ind w:left="-108" w:right="0"/>
              <w:jc w:val="center"/>
              <w:rPr>
                <w:sz w:val="16"/>
                <w:szCs w:val="16"/>
              </w:rPr>
            </w:pPr>
            <w:r>
              <w:rPr>
                <w:sz w:val="16"/>
                <w:szCs w:val="16"/>
              </w:rPr>
              <w:t>21</w:t>
            </w:r>
          </w:p>
        </w:tc>
        <w:tc>
          <w:tcPr>
            <w:tcW w:w="709" w:type="dxa"/>
            <w:tcBorders>
              <w:top w:val="nil"/>
              <w:left w:val="nil"/>
              <w:bottom w:val="nil"/>
              <w:right w:val="nil"/>
            </w:tcBorders>
          </w:tcPr>
          <w:p w14:paraId="57AC3CE6" w14:textId="77777777" w:rsidR="00A37BC9" w:rsidRPr="00621532" w:rsidRDefault="00A37BC9" w:rsidP="009D0965">
            <w:pPr>
              <w:pStyle w:val="citation"/>
              <w:spacing w:after="60"/>
              <w:ind w:left="0" w:right="-3"/>
              <w:jc w:val="center"/>
              <w:rPr>
                <w:sz w:val="16"/>
                <w:szCs w:val="16"/>
              </w:rPr>
            </w:pPr>
            <w:r>
              <w:rPr>
                <w:sz w:val="16"/>
                <w:szCs w:val="16"/>
              </w:rPr>
              <w:t>29</w:t>
            </w:r>
          </w:p>
        </w:tc>
        <w:tc>
          <w:tcPr>
            <w:tcW w:w="708" w:type="dxa"/>
            <w:tcBorders>
              <w:top w:val="nil"/>
              <w:left w:val="nil"/>
              <w:bottom w:val="nil"/>
              <w:right w:val="nil"/>
            </w:tcBorders>
          </w:tcPr>
          <w:p w14:paraId="05A932C1" w14:textId="77777777" w:rsidR="00A37BC9" w:rsidRPr="00621532" w:rsidRDefault="00A37BC9" w:rsidP="009D0965">
            <w:pPr>
              <w:pStyle w:val="citation"/>
              <w:spacing w:after="60"/>
              <w:ind w:left="0" w:right="-108"/>
              <w:rPr>
                <w:sz w:val="16"/>
                <w:szCs w:val="16"/>
              </w:rPr>
            </w:pPr>
            <w:r>
              <w:rPr>
                <w:sz w:val="16"/>
                <w:szCs w:val="16"/>
              </w:rPr>
              <w:t>22</w:t>
            </w:r>
          </w:p>
        </w:tc>
        <w:tc>
          <w:tcPr>
            <w:tcW w:w="703" w:type="dxa"/>
            <w:tcBorders>
              <w:top w:val="nil"/>
              <w:left w:val="nil"/>
              <w:bottom w:val="nil"/>
              <w:right w:val="nil"/>
            </w:tcBorders>
          </w:tcPr>
          <w:p w14:paraId="470CB881" w14:textId="77777777" w:rsidR="00A37BC9" w:rsidRPr="00621532" w:rsidRDefault="00A37BC9" w:rsidP="009D0965">
            <w:pPr>
              <w:pStyle w:val="citation"/>
              <w:spacing w:after="60"/>
              <w:ind w:left="0" w:right="-114"/>
              <w:rPr>
                <w:sz w:val="16"/>
                <w:szCs w:val="16"/>
              </w:rPr>
            </w:pPr>
            <w:r>
              <w:rPr>
                <w:sz w:val="16"/>
                <w:szCs w:val="16"/>
              </w:rPr>
              <w:t>3</w:t>
            </w:r>
          </w:p>
        </w:tc>
        <w:tc>
          <w:tcPr>
            <w:tcW w:w="757" w:type="dxa"/>
            <w:tcBorders>
              <w:top w:val="nil"/>
              <w:left w:val="nil"/>
              <w:bottom w:val="nil"/>
              <w:right w:val="nil"/>
            </w:tcBorders>
          </w:tcPr>
          <w:p w14:paraId="4E0F1503" w14:textId="77777777" w:rsidR="00A37BC9" w:rsidRPr="00621532" w:rsidRDefault="00A37BC9" w:rsidP="009D0965">
            <w:pPr>
              <w:pStyle w:val="citation"/>
              <w:spacing w:after="60"/>
              <w:ind w:left="0" w:right="-66"/>
              <w:rPr>
                <w:sz w:val="16"/>
                <w:szCs w:val="16"/>
              </w:rPr>
            </w:pPr>
            <w:r>
              <w:rPr>
                <w:sz w:val="16"/>
                <w:szCs w:val="16"/>
              </w:rPr>
              <w:t>23</w:t>
            </w:r>
          </w:p>
        </w:tc>
        <w:tc>
          <w:tcPr>
            <w:tcW w:w="236" w:type="dxa"/>
            <w:tcBorders>
              <w:top w:val="nil"/>
              <w:left w:val="nil"/>
              <w:bottom w:val="nil"/>
              <w:right w:val="nil"/>
            </w:tcBorders>
          </w:tcPr>
          <w:p w14:paraId="33A6005D" w14:textId="77777777" w:rsidR="00A37BC9" w:rsidRDefault="00A37BC9" w:rsidP="009D0965">
            <w:pPr>
              <w:pStyle w:val="citation"/>
              <w:spacing w:after="60"/>
              <w:ind w:left="0" w:right="-675"/>
              <w:rPr>
                <w:sz w:val="16"/>
                <w:szCs w:val="16"/>
              </w:rPr>
            </w:pPr>
          </w:p>
        </w:tc>
        <w:tc>
          <w:tcPr>
            <w:tcW w:w="578" w:type="dxa"/>
            <w:tcBorders>
              <w:top w:val="nil"/>
              <w:left w:val="nil"/>
              <w:bottom w:val="nil"/>
              <w:right w:val="nil"/>
            </w:tcBorders>
          </w:tcPr>
          <w:p w14:paraId="0268B553" w14:textId="77777777" w:rsidR="00A37BC9" w:rsidRPr="00621532" w:rsidRDefault="00A37BC9" w:rsidP="009D0965">
            <w:pPr>
              <w:pStyle w:val="citation"/>
              <w:spacing w:after="60"/>
              <w:ind w:left="0" w:right="-675"/>
              <w:rPr>
                <w:sz w:val="16"/>
                <w:szCs w:val="16"/>
              </w:rPr>
            </w:pPr>
            <w:r>
              <w:rPr>
                <w:sz w:val="16"/>
                <w:szCs w:val="16"/>
              </w:rPr>
              <w:t>29</w:t>
            </w:r>
          </w:p>
        </w:tc>
        <w:tc>
          <w:tcPr>
            <w:tcW w:w="708" w:type="dxa"/>
            <w:tcBorders>
              <w:top w:val="nil"/>
              <w:left w:val="nil"/>
              <w:bottom w:val="nil"/>
              <w:right w:val="nil"/>
            </w:tcBorders>
          </w:tcPr>
          <w:p w14:paraId="0600D3D9" w14:textId="77777777" w:rsidR="00A37BC9" w:rsidRPr="00621532" w:rsidRDefault="00A37BC9" w:rsidP="009D0965">
            <w:pPr>
              <w:pStyle w:val="citation"/>
              <w:spacing w:after="60"/>
              <w:ind w:left="0" w:right="33"/>
              <w:rPr>
                <w:sz w:val="16"/>
                <w:szCs w:val="16"/>
              </w:rPr>
            </w:pPr>
            <w:r>
              <w:rPr>
                <w:sz w:val="16"/>
                <w:szCs w:val="16"/>
              </w:rPr>
              <w:t>14</w:t>
            </w:r>
          </w:p>
        </w:tc>
        <w:tc>
          <w:tcPr>
            <w:tcW w:w="709" w:type="dxa"/>
            <w:tcBorders>
              <w:top w:val="nil"/>
              <w:left w:val="nil"/>
              <w:bottom w:val="nil"/>
              <w:right w:val="nil"/>
            </w:tcBorders>
          </w:tcPr>
          <w:p w14:paraId="68CBE321" w14:textId="77777777" w:rsidR="00A37BC9" w:rsidRPr="00621532" w:rsidRDefault="00A37BC9" w:rsidP="009D0965">
            <w:pPr>
              <w:pStyle w:val="citation"/>
              <w:spacing w:after="60"/>
              <w:ind w:left="0" w:right="0"/>
              <w:rPr>
                <w:sz w:val="16"/>
                <w:szCs w:val="16"/>
              </w:rPr>
            </w:pPr>
            <w:r>
              <w:rPr>
                <w:sz w:val="16"/>
                <w:szCs w:val="16"/>
              </w:rPr>
              <w:t>32</w:t>
            </w:r>
          </w:p>
        </w:tc>
        <w:tc>
          <w:tcPr>
            <w:tcW w:w="236" w:type="dxa"/>
            <w:tcBorders>
              <w:top w:val="nil"/>
              <w:left w:val="nil"/>
              <w:bottom w:val="nil"/>
              <w:right w:val="nil"/>
            </w:tcBorders>
          </w:tcPr>
          <w:p w14:paraId="70D55BC5" w14:textId="77777777" w:rsidR="00A37BC9" w:rsidRDefault="00A37BC9" w:rsidP="009D0965">
            <w:pPr>
              <w:pStyle w:val="citation"/>
              <w:spacing w:after="60"/>
              <w:ind w:left="0" w:right="-108"/>
              <w:rPr>
                <w:sz w:val="16"/>
                <w:szCs w:val="16"/>
              </w:rPr>
            </w:pPr>
          </w:p>
        </w:tc>
        <w:tc>
          <w:tcPr>
            <w:tcW w:w="567" w:type="dxa"/>
            <w:tcBorders>
              <w:top w:val="nil"/>
              <w:left w:val="nil"/>
              <w:bottom w:val="nil"/>
              <w:right w:val="nil"/>
            </w:tcBorders>
          </w:tcPr>
          <w:p w14:paraId="442E979E" w14:textId="77777777" w:rsidR="00A37BC9" w:rsidRPr="00621532" w:rsidRDefault="00A37BC9" w:rsidP="009D0965">
            <w:pPr>
              <w:pStyle w:val="citation"/>
              <w:spacing w:after="60"/>
              <w:ind w:left="0" w:right="-108"/>
              <w:rPr>
                <w:sz w:val="16"/>
                <w:szCs w:val="16"/>
              </w:rPr>
            </w:pPr>
            <w:r>
              <w:rPr>
                <w:sz w:val="16"/>
                <w:szCs w:val="16"/>
              </w:rPr>
              <w:t>17</w:t>
            </w:r>
          </w:p>
        </w:tc>
        <w:tc>
          <w:tcPr>
            <w:tcW w:w="567" w:type="dxa"/>
            <w:tcBorders>
              <w:top w:val="nil"/>
              <w:left w:val="nil"/>
              <w:bottom w:val="nil"/>
              <w:right w:val="nil"/>
            </w:tcBorders>
          </w:tcPr>
          <w:p w14:paraId="4A7B5666" w14:textId="77777777" w:rsidR="00A37BC9" w:rsidRPr="00621532" w:rsidRDefault="00A37BC9" w:rsidP="009D0965">
            <w:pPr>
              <w:pStyle w:val="citation"/>
              <w:spacing w:after="60"/>
              <w:ind w:left="0" w:right="-108"/>
              <w:rPr>
                <w:sz w:val="16"/>
                <w:szCs w:val="16"/>
              </w:rPr>
            </w:pPr>
            <w:r>
              <w:rPr>
                <w:sz w:val="16"/>
                <w:szCs w:val="16"/>
              </w:rPr>
              <w:t>25</w:t>
            </w:r>
          </w:p>
        </w:tc>
      </w:tr>
      <w:tr w:rsidR="00A37BC9" w14:paraId="51754EB8" w14:textId="77777777" w:rsidTr="009D0965">
        <w:tc>
          <w:tcPr>
            <w:tcW w:w="976" w:type="dxa"/>
            <w:tcBorders>
              <w:top w:val="nil"/>
              <w:left w:val="nil"/>
              <w:bottom w:val="nil"/>
              <w:right w:val="nil"/>
            </w:tcBorders>
          </w:tcPr>
          <w:p w14:paraId="55495D0B" w14:textId="77777777" w:rsidR="00A37BC9" w:rsidRPr="00621532" w:rsidRDefault="00A37BC9" w:rsidP="009D0965">
            <w:pPr>
              <w:pStyle w:val="citation"/>
              <w:tabs>
                <w:tab w:val="left" w:pos="160"/>
              </w:tabs>
              <w:spacing w:after="60"/>
              <w:ind w:left="0" w:right="34"/>
              <w:rPr>
                <w:sz w:val="16"/>
                <w:szCs w:val="16"/>
              </w:rPr>
            </w:pPr>
            <w:r>
              <w:rPr>
                <w:sz w:val="16"/>
                <w:szCs w:val="16"/>
              </w:rPr>
              <w:t>85</w:t>
            </w:r>
          </w:p>
        </w:tc>
        <w:tc>
          <w:tcPr>
            <w:tcW w:w="709" w:type="dxa"/>
            <w:tcBorders>
              <w:top w:val="nil"/>
              <w:left w:val="nil"/>
              <w:bottom w:val="nil"/>
              <w:right w:val="nil"/>
            </w:tcBorders>
          </w:tcPr>
          <w:p w14:paraId="7A834ED3" w14:textId="77777777" w:rsidR="00A37BC9" w:rsidRPr="00621532" w:rsidRDefault="00A37BC9" w:rsidP="009D0965">
            <w:pPr>
              <w:pStyle w:val="citation"/>
              <w:tabs>
                <w:tab w:val="left" w:pos="34"/>
              </w:tabs>
              <w:spacing w:after="60"/>
              <w:ind w:left="-108" w:right="0"/>
              <w:jc w:val="center"/>
              <w:rPr>
                <w:sz w:val="16"/>
                <w:szCs w:val="16"/>
              </w:rPr>
            </w:pPr>
            <w:r>
              <w:rPr>
                <w:sz w:val="16"/>
                <w:szCs w:val="16"/>
              </w:rPr>
              <w:t>10</w:t>
            </w:r>
          </w:p>
        </w:tc>
        <w:tc>
          <w:tcPr>
            <w:tcW w:w="709" w:type="dxa"/>
            <w:tcBorders>
              <w:top w:val="nil"/>
              <w:left w:val="nil"/>
              <w:bottom w:val="nil"/>
              <w:right w:val="nil"/>
            </w:tcBorders>
          </w:tcPr>
          <w:p w14:paraId="1A740112" w14:textId="77777777" w:rsidR="00A37BC9" w:rsidRPr="00621532" w:rsidRDefault="00A37BC9" w:rsidP="009D0965">
            <w:pPr>
              <w:pStyle w:val="citation"/>
              <w:spacing w:after="60"/>
              <w:ind w:left="0" w:right="-3"/>
              <w:jc w:val="center"/>
              <w:rPr>
                <w:sz w:val="16"/>
                <w:szCs w:val="16"/>
              </w:rPr>
            </w:pPr>
            <w:r>
              <w:rPr>
                <w:sz w:val="16"/>
                <w:szCs w:val="16"/>
              </w:rPr>
              <w:t>15</w:t>
            </w:r>
          </w:p>
        </w:tc>
        <w:tc>
          <w:tcPr>
            <w:tcW w:w="708" w:type="dxa"/>
            <w:tcBorders>
              <w:top w:val="nil"/>
              <w:left w:val="nil"/>
              <w:bottom w:val="nil"/>
              <w:right w:val="nil"/>
            </w:tcBorders>
          </w:tcPr>
          <w:p w14:paraId="6F59D226" w14:textId="77777777" w:rsidR="00A37BC9" w:rsidRPr="00621532" w:rsidRDefault="00A37BC9" w:rsidP="009D0965">
            <w:pPr>
              <w:pStyle w:val="citation"/>
              <w:spacing w:after="60"/>
              <w:ind w:left="0" w:right="-108"/>
              <w:rPr>
                <w:sz w:val="16"/>
                <w:szCs w:val="16"/>
              </w:rPr>
            </w:pPr>
            <w:r>
              <w:rPr>
                <w:sz w:val="16"/>
                <w:szCs w:val="16"/>
              </w:rPr>
              <w:t>12</w:t>
            </w:r>
          </w:p>
        </w:tc>
        <w:tc>
          <w:tcPr>
            <w:tcW w:w="703" w:type="dxa"/>
            <w:tcBorders>
              <w:top w:val="nil"/>
              <w:left w:val="nil"/>
              <w:bottom w:val="nil"/>
              <w:right w:val="nil"/>
            </w:tcBorders>
          </w:tcPr>
          <w:p w14:paraId="63DFE800" w14:textId="77777777" w:rsidR="00A37BC9" w:rsidRPr="00621532" w:rsidRDefault="00A37BC9" w:rsidP="009D0965">
            <w:pPr>
              <w:pStyle w:val="citation"/>
              <w:spacing w:after="60"/>
              <w:ind w:left="0" w:right="-114"/>
              <w:rPr>
                <w:sz w:val="16"/>
                <w:szCs w:val="16"/>
              </w:rPr>
            </w:pPr>
            <w:r>
              <w:rPr>
                <w:sz w:val="16"/>
                <w:szCs w:val="16"/>
              </w:rPr>
              <w:t>1</w:t>
            </w:r>
          </w:p>
        </w:tc>
        <w:tc>
          <w:tcPr>
            <w:tcW w:w="757" w:type="dxa"/>
            <w:tcBorders>
              <w:top w:val="nil"/>
              <w:left w:val="nil"/>
              <w:bottom w:val="nil"/>
              <w:right w:val="nil"/>
            </w:tcBorders>
          </w:tcPr>
          <w:p w14:paraId="1FD42CEE" w14:textId="77777777" w:rsidR="00A37BC9" w:rsidRPr="00621532" w:rsidRDefault="00A37BC9" w:rsidP="009D0965">
            <w:pPr>
              <w:pStyle w:val="citation"/>
              <w:spacing w:after="60"/>
              <w:ind w:left="0" w:right="-66"/>
              <w:rPr>
                <w:sz w:val="16"/>
                <w:szCs w:val="16"/>
              </w:rPr>
            </w:pPr>
            <w:r>
              <w:rPr>
                <w:sz w:val="16"/>
                <w:szCs w:val="16"/>
              </w:rPr>
              <w:t>10</w:t>
            </w:r>
          </w:p>
        </w:tc>
        <w:tc>
          <w:tcPr>
            <w:tcW w:w="236" w:type="dxa"/>
            <w:tcBorders>
              <w:top w:val="nil"/>
              <w:left w:val="nil"/>
              <w:bottom w:val="nil"/>
              <w:right w:val="nil"/>
            </w:tcBorders>
          </w:tcPr>
          <w:p w14:paraId="29CC73A4" w14:textId="77777777" w:rsidR="00A37BC9" w:rsidRDefault="00A37BC9" w:rsidP="009D0965">
            <w:pPr>
              <w:pStyle w:val="citation"/>
              <w:spacing w:after="60"/>
              <w:ind w:left="0" w:right="-675"/>
              <w:rPr>
                <w:sz w:val="16"/>
                <w:szCs w:val="16"/>
              </w:rPr>
            </w:pPr>
          </w:p>
        </w:tc>
        <w:tc>
          <w:tcPr>
            <w:tcW w:w="578" w:type="dxa"/>
            <w:tcBorders>
              <w:top w:val="nil"/>
              <w:left w:val="nil"/>
              <w:bottom w:val="nil"/>
              <w:right w:val="nil"/>
            </w:tcBorders>
          </w:tcPr>
          <w:p w14:paraId="237D1181" w14:textId="77777777" w:rsidR="00A37BC9" w:rsidRPr="00621532" w:rsidRDefault="00A37BC9" w:rsidP="009D0965">
            <w:pPr>
              <w:pStyle w:val="citation"/>
              <w:spacing w:after="60"/>
              <w:ind w:left="0" w:right="-675"/>
              <w:rPr>
                <w:sz w:val="16"/>
                <w:szCs w:val="16"/>
              </w:rPr>
            </w:pPr>
            <w:r>
              <w:rPr>
                <w:sz w:val="16"/>
                <w:szCs w:val="16"/>
              </w:rPr>
              <w:t>16</w:t>
            </w:r>
          </w:p>
        </w:tc>
        <w:tc>
          <w:tcPr>
            <w:tcW w:w="708" w:type="dxa"/>
            <w:tcBorders>
              <w:top w:val="nil"/>
              <w:left w:val="nil"/>
              <w:bottom w:val="nil"/>
              <w:right w:val="nil"/>
            </w:tcBorders>
          </w:tcPr>
          <w:p w14:paraId="10153AD0" w14:textId="77777777" w:rsidR="00A37BC9" w:rsidRPr="00621532" w:rsidRDefault="00A37BC9" w:rsidP="009D0965">
            <w:pPr>
              <w:pStyle w:val="citation"/>
              <w:spacing w:after="60"/>
              <w:ind w:left="0" w:right="33"/>
              <w:rPr>
                <w:sz w:val="16"/>
                <w:szCs w:val="16"/>
              </w:rPr>
            </w:pPr>
            <w:r>
              <w:rPr>
                <w:sz w:val="16"/>
                <w:szCs w:val="16"/>
              </w:rPr>
              <w:t>4</w:t>
            </w:r>
          </w:p>
        </w:tc>
        <w:tc>
          <w:tcPr>
            <w:tcW w:w="709" w:type="dxa"/>
            <w:tcBorders>
              <w:top w:val="nil"/>
              <w:left w:val="nil"/>
              <w:bottom w:val="nil"/>
              <w:right w:val="nil"/>
            </w:tcBorders>
          </w:tcPr>
          <w:p w14:paraId="197DF2D7" w14:textId="77777777" w:rsidR="00A37BC9" w:rsidRPr="00621532" w:rsidRDefault="00A37BC9" w:rsidP="009D0965">
            <w:pPr>
              <w:pStyle w:val="citation"/>
              <w:spacing w:after="60"/>
              <w:ind w:left="0" w:right="0"/>
              <w:rPr>
                <w:sz w:val="16"/>
                <w:szCs w:val="16"/>
              </w:rPr>
            </w:pPr>
            <w:r>
              <w:rPr>
                <w:sz w:val="16"/>
                <w:szCs w:val="16"/>
              </w:rPr>
              <w:t>14</w:t>
            </w:r>
          </w:p>
        </w:tc>
        <w:tc>
          <w:tcPr>
            <w:tcW w:w="236" w:type="dxa"/>
            <w:tcBorders>
              <w:top w:val="nil"/>
              <w:left w:val="nil"/>
              <w:bottom w:val="nil"/>
              <w:right w:val="nil"/>
            </w:tcBorders>
          </w:tcPr>
          <w:p w14:paraId="0FD9DB34" w14:textId="77777777" w:rsidR="00A37BC9" w:rsidRDefault="00A37BC9" w:rsidP="009D0965">
            <w:pPr>
              <w:pStyle w:val="citation"/>
              <w:spacing w:after="60"/>
              <w:ind w:left="0" w:right="-108"/>
              <w:rPr>
                <w:sz w:val="16"/>
                <w:szCs w:val="16"/>
              </w:rPr>
            </w:pPr>
          </w:p>
        </w:tc>
        <w:tc>
          <w:tcPr>
            <w:tcW w:w="567" w:type="dxa"/>
            <w:tcBorders>
              <w:top w:val="nil"/>
              <w:left w:val="nil"/>
              <w:bottom w:val="nil"/>
              <w:right w:val="nil"/>
            </w:tcBorders>
          </w:tcPr>
          <w:p w14:paraId="33BB1D1A" w14:textId="77777777" w:rsidR="00A37BC9" w:rsidRPr="00621532" w:rsidRDefault="00A37BC9" w:rsidP="009D0965">
            <w:pPr>
              <w:pStyle w:val="citation"/>
              <w:spacing w:after="60"/>
              <w:ind w:left="0" w:right="-108"/>
              <w:rPr>
                <w:sz w:val="16"/>
                <w:szCs w:val="16"/>
              </w:rPr>
            </w:pPr>
            <w:r>
              <w:rPr>
                <w:sz w:val="16"/>
                <w:szCs w:val="16"/>
              </w:rPr>
              <w:t>6</w:t>
            </w:r>
          </w:p>
        </w:tc>
        <w:tc>
          <w:tcPr>
            <w:tcW w:w="567" w:type="dxa"/>
            <w:tcBorders>
              <w:top w:val="nil"/>
              <w:left w:val="nil"/>
              <w:bottom w:val="nil"/>
              <w:right w:val="nil"/>
            </w:tcBorders>
          </w:tcPr>
          <w:p w14:paraId="2C5845AA" w14:textId="77777777" w:rsidR="00A37BC9" w:rsidRPr="00621532" w:rsidRDefault="00A37BC9" w:rsidP="009D0965">
            <w:pPr>
              <w:pStyle w:val="citation"/>
              <w:spacing w:after="60"/>
              <w:ind w:left="0" w:right="-108"/>
              <w:rPr>
                <w:sz w:val="16"/>
                <w:szCs w:val="16"/>
              </w:rPr>
            </w:pPr>
            <w:r>
              <w:rPr>
                <w:sz w:val="16"/>
                <w:szCs w:val="16"/>
              </w:rPr>
              <w:t>8</w:t>
            </w:r>
          </w:p>
        </w:tc>
      </w:tr>
      <w:tr w:rsidR="00A37BC9" w14:paraId="784014CA" w14:textId="77777777" w:rsidTr="009D0965">
        <w:tc>
          <w:tcPr>
            <w:tcW w:w="976" w:type="dxa"/>
            <w:tcBorders>
              <w:top w:val="nil"/>
              <w:left w:val="nil"/>
              <w:bottom w:val="single" w:sz="12" w:space="0" w:color="auto"/>
              <w:right w:val="nil"/>
            </w:tcBorders>
          </w:tcPr>
          <w:p w14:paraId="1C59B905" w14:textId="77777777" w:rsidR="00A37BC9" w:rsidRDefault="00A37BC9" w:rsidP="00762DB7">
            <w:pPr>
              <w:pStyle w:val="citation"/>
              <w:tabs>
                <w:tab w:val="left" w:pos="160"/>
              </w:tabs>
              <w:ind w:left="0" w:right="34"/>
              <w:rPr>
                <w:sz w:val="16"/>
                <w:szCs w:val="16"/>
              </w:rPr>
            </w:pPr>
            <w:r>
              <w:rPr>
                <w:sz w:val="16"/>
                <w:szCs w:val="16"/>
              </w:rPr>
              <w:t>80</w:t>
            </w:r>
          </w:p>
          <w:p w14:paraId="391BB5EE" w14:textId="77777777" w:rsidR="009D0965" w:rsidRPr="00621532" w:rsidRDefault="009D0965" w:rsidP="00762DB7">
            <w:pPr>
              <w:pStyle w:val="citation"/>
              <w:tabs>
                <w:tab w:val="left" w:pos="160"/>
              </w:tabs>
              <w:ind w:left="0" w:right="34"/>
              <w:rPr>
                <w:sz w:val="16"/>
                <w:szCs w:val="16"/>
              </w:rPr>
            </w:pPr>
          </w:p>
        </w:tc>
        <w:tc>
          <w:tcPr>
            <w:tcW w:w="709" w:type="dxa"/>
            <w:tcBorders>
              <w:top w:val="nil"/>
              <w:left w:val="nil"/>
              <w:bottom w:val="single" w:sz="12" w:space="0" w:color="auto"/>
              <w:right w:val="nil"/>
            </w:tcBorders>
          </w:tcPr>
          <w:p w14:paraId="771F3F61" w14:textId="77777777" w:rsidR="00A37BC9" w:rsidRDefault="00A37BC9" w:rsidP="00762DB7">
            <w:pPr>
              <w:pStyle w:val="citation"/>
              <w:tabs>
                <w:tab w:val="left" w:pos="34"/>
              </w:tabs>
              <w:ind w:left="-108" w:right="0"/>
              <w:jc w:val="center"/>
              <w:rPr>
                <w:sz w:val="16"/>
                <w:szCs w:val="16"/>
              </w:rPr>
            </w:pPr>
            <w:r>
              <w:rPr>
                <w:sz w:val="16"/>
                <w:szCs w:val="16"/>
              </w:rPr>
              <w:t>0</w:t>
            </w:r>
          </w:p>
          <w:p w14:paraId="04CF56DD" w14:textId="77777777" w:rsidR="009D0965" w:rsidRPr="00621532" w:rsidRDefault="009D0965" w:rsidP="00762DB7">
            <w:pPr>
              <w:pStyle w:val="citation"/>
              <w:tabs>
                <w:tab w:val="left" w:pos="34"/>
              </w:tabs>
              <w:ind w:left="-108" w:right="0"/>
              <w:jc w:val="center"/>
              <w:rPr>
                <w:sz w:val="16"/>
                <w:szCs w:val="16"/>
              </w:rPr>
            </w:pPr>
          </w:p>
        </w:tc>
        <w:tc>
          <w:tcPr>
            <w:tcW w:w="709" w:type="dxa"/>
            <w:tcBorders>
              <w:top w:val="nil"/>
              <w:left w:val="nil"/>
              <w:bottom w:val="single" w:sz="12" w:space="0" w:color="auto"/>
              <w:right w:val="nil"/>
            </w:tcBorders>
          </w:tcPr>
          <w:p w14:paraId="2144220C" w14:textId="77777777" w:rsidR="00A37BC9" w:rsidRDefault="00A37BC9" w:rsidP="00762DB7">
            <w:pPr>
              <w:pStyle w:val="citation"/>
              <w:ind w:left="0" w:right="-3"/>
              <w:jc w:val="center"/>
              <w:rPr>
                <w:sz w:val="16"/>
                <w:szCs w:val="16"/>
              </w:rPr>
            </w:pPr>
            <w:r>
              <w:rPr>
                <w:sz w:val="16"/>
                <w:szCs w:val="16"/>
              </w:rPr>
              <w:t>3</w:t>
            </w:r>
          </w:p>
          <w:p w14:paraId="4DDADDF5" w14:textId="77777777" w:rsidR="009D0965" w:rsidRPr="00621532" w:rsidRDefault="009D0965" w:rsidP="00762DB7">
            <w:pPr>
              <w:pStyle w:val="citation"/>
              <w:ind w:left="0" w:right="-3"/>
              <w:jc w:val="center"/>
              <w:rPr>
                <w:sz w:val="16"/>
                <w:szCs w:val="16"/>
              </w:rPr>
            </w:pPr>
          </w:p>
        </w:tc>
        <w:tc>
          <w:tcPr>
            <w:tcW w:w="708" w:type="dxa"/>
            <w:tcBorders>
              <w:top w:val="nil"/>
              <w:left w:val="nil"/>
              <w:bottom w:val="single" w:sz="12" w:space="0" w:color="auto"/>
              <w:right w:val="nil"/>
            </w:tcBorders>
          </w:tcPr>
          <w:p w14:paraId="6081D14D" w14:textId="77777777" w:rsidR="00A37BC9" w:rsidRDefault="00A37BC9" w:rsidP="00621532">
            <w:pPr>
              <w:pStyle w:val="citation"/>
              <w:ind w:left="0" w:right="-108"/>
              <w:rPr>
                <w:sz w:val="16"/>
                <w:szCs w:val="16"/>
              </w:rPr>
            </w:pPr>
            <w:r>
              <w:rPr>
                <w:sz w:val="16"/>
                <w:szCs w:val="16"/>
              </w:rPr>
              <w:t>5</w:t>
            </w:r>
          </w:p>
          <w:p w14:paraId="6F4753E2" w14:textId="77777777" w:rsidR="009D0965" w:rsidRPr="00621532" w:rsidRDefault="009D0965" w:rsidP="00621532">
            <w:pPr>
              <w:pStyle w:val="citation"/>
              <w:ind w:left="0" w:right="-108"/>
              <w:rPr>
                <w:sz w:val="16"/>
                <w:szCs w:val="16"/>
              </w:rPr>
            </w:pPr>
          </w:p>
        </w:tc>
        <w:tc>
          <w:tcPr>
            <w:tcW w:w="703" w:type="dxa"/>
            <w:tcBorders>
              <w:top w:val="nil"/>
              <w:left w:val="nil"/>
              <w:bottom w:val="single" w:sz="12" w:space="0" w:color="auto"/>
              <w:right w:val="nil"/>
            </w:tcBorders>
          </w:tcPr>
          <w:p w14:paraId="1E69E7EF" w14:textId="77777777" w:rsidR="00A37BC9" w:rsidRDefault="00A37BC9" w:rsidP="00621532">
            <w:pPr>
              <w:pStyle w:val="citation"/>
              <w:ind w:left="0" w:right="-114"/>
              <w:rPr>
                <w:sz w:val="16"/>
                <w:szCs w:val="16"/>
              </w:rPr>
            </w:pPr>
            <w:r>
              <w:rPr>
                <w:sz w:val="16"/>
                <w:szCs w:val="16"/>
              </w:rPr>
              <w:t>0</w:t>
            </w:r>
          </w:p>
          <w:p w14:paraId="5FF385C7" w14:textId="77777777" w:rsidR="009D0965" w:rsidRPr="00621532" w:rsidRDefault="009D0965" w:rsidP="00621532">
            <w:pPr>
              <w:pStyle w:val="citation"/>
              <w:ind w:left="0" w:right="-114"/>
              <w:rPr>
                <w:sz w:val="16"/>
                <w:szCs w:val="16"/>
              </w:rPr>
            </w:pPr>
          </w:p>
        </w:tc>
        <w:tc>
          <w:tcPr>
            <w:tcW w:w="757" w:type="dxa"/>
            <w:tcBorders>
              <w:top w:val="nil"/>
              <w:left w:val="nil"/>
              <w:bottom w:val="single" w:sz="12" w:space="0" w:color="auto"/>
              <w:right w:val="nil"/>
            </w:tcBorders>
          </w:tcPr>
          <w:p w14:paraId="1C6007D9" w14:textId="77777777" w:rsidR="00A37BC9" w:rsidRDefault="00A37BC9" w:rsidP="00621532">
            <w:pPr>
              <w:pStyle w:val="citation"/>
              <w:ind w:left="0" w:right="-66"/>
              <w:rPr>
                <w:sz w:val="16"/>
                <w:szCs w:val="16"/>
              </w:rPr>
            </w:pPr>
            <w:r>
              <w:rPr>
                <w:sz w:val="16"/>
                <w:szCs w:val="16"/>
              </w:rPr>
              <w:t>4</w:t>
            </w:r>
          </w:p>
          <w:p w14:paraId="2B19E088" w14:textId="77777777" w:rsidR="009D0965" w:rsidRPr="00621532" w:rsidRDefault="009D0965" w:rsidP="00621532">
            <w:pPr>
              <w:pStyle w:val="citation"/>
              <w:ind w:left="0" w:right="-66"/>
              <w:rPr>
                <w:sz w:val="16"/>
                <w:szCs w:val="16"/>
              </w:rPr>
            </w:pPr>
          </w:p>
        </w:tc>
        <w:tc>
          <w:tcPr>
            <w:tcW w:w="236" w:type="dxa"/>
            <w:tcBorders>
              <w:top w:val="nil"/>
              <w:left w:val="nil"/>
              <w:bottom w:val="single" w:sz="12" w:space="0" w:color="auto"/>
              <w:right w:val="nil"/>
            </w:tcBorders>
          </w:tcPr>
          <w:p w14:paraId="1AC78CF0" w14:textId="77777777" w:rsidR="00A37BC9" w:rsidRDefault="00A37BC9" w:rsidP="00621532">
            <w:pPr>
              <w:pStyle w:val="citation"/>
              <w:ind w:left="0" w:right="-675"/>
              <w:rPr>
                <w:sz w:val="16"/>
                <w:szCs w:val="16"/>
              </w:rPr>
            </w:pPr>
          </w:p>
        </w:tc>
        <w:tc>
          <w:tcPr>
            <w:tcW w:w="578" w:type="dxa"/>
            <w:tcBorders>
              <w:top w:val="nil"/>
              <w:left w:val="nil"/>
              <w:bottom w:val="single" w:sz="12" w:space="0" w:color="auto"/>
              <w:right w:val="nil"/>
            </w:tcBorders>
          </w:tcPr>
          <w:p w14:paraId="74768A42" w14:textId="77777777" w:rsidR="00A37BC9" w:rsidRDefault="00A37BC9" w:rsidP="00621532">
            <w:pPr>
              <w:pStyle w:val="citation"/>
              <w:ind w:left="0" w:right="-675"/>
              <w:rPr>
                <w:sz w:val="16"/>
                <w:szCs w:val="16"/>
              </w:rPr>
            </w:pPr>
            <w:r>
              <w:rPr>
                <w:sz w:val="16"/>
                <w:szCs w:val="16"/>
              </w:rPr>
              <w:t>3</w:t>
            </w:r>
          </w:p>
          <w:p w14:paraId="02A2F33A" w14:textId="77777777" w:rsidR="009D0965" w:rsidRPr="00621532" w:rsidRDefault="009D0965" w:rsidP="00621532">
            <w:pPr>
              <w:pStyle w:val="citation"/>
              <w:ind w:left="0" w:right="-675"/>
              <w:rPr>
                <w:sz w:val="16"/>
                <w:szCs w:val="16"/>
              </w:rPr>
            </w:pPr>
          </w:p>
        </w:tc>
        <w:tc>
          <w:tcPr>
            <w:tcW w:w="708" w:type="dxa"/>
            <w:tcBorders>
              <w:top w:val="nil"/>
              <w:left w:val="nil"/>
              <w:bottom w:val="single" w:sz="12" w:space="0" w:color="auto"/>
              <w:right w:val="nil"/>
            </w:tcBorders>
          </w:tcPr>
          <w:p w14:paraId="4059A51A" w14:textId="77777777" w:rsidR="00A37BC9" w:rsidRDefault="00A37BC9" w:rsidP="00621532">
            <w:pPr>
              <w:pStyle w:val="citation"/>
              <w:ind w:left="0" w:right="33"/>
              <w:rPr>
                <w:sz w:val="16"/>
                <w:szCs w:val="16"/>
              </w:rPr>
            </w:pPr>
            <w:r>
              <w:rPr>
                <w:sz w:val="16"/>
                <w:szCs w:val="16"/>
              </w:rPr>
              <w:t>0</w:t>
            </w:r>
          </w:p>
          <w:p w14:paraId="4A1FB6A8" w14:textId="77777777" w:rsidR="009D0965" w:rsidRPr="00621532" w:rsidRDefault="009D0965" w:rsidP="00621532">
            <w:pPr>
              <w:pStyle w:val="citation"/>
              <w:ind w:left="0" w:right="33"/>
              <w:rPr>
                <w:sz w:val="16"/>
                <w:szCs w:val="16"/>
              </w:rPr>
            </w:pPr>
          </w:p>
        </w:tc>
        <w:tc>
          <w:tcPr>
            <w:tcW w:w="709" w:type="dxa"/>
            <w:tcBorders>
              <w:top w:val="nil"/>
              <w:left w:val="nil"/>
              <w:bottom w:val="single" w:sz="12" w:space="0" w:color="auto"/>
              <w:right w:val="nil"/>
            </w:tcBorders>
          </w:tcPr>
          <w:p w14:paraId="3DAF1E34" w14:textId="77777777" w:rsidR="00A37BC9" w:rsidRDefault="00A37BC9" w:rsidP="00621532">
            <w:pPr>
              <w:pStyle w:val="citation"/>
              <w:ind w:left="0" w:right="0"/>
              <w:rPr>
                <w:sz w:val="16"/>
                <w:szCs w:val="16"/>
              </w:rPr>
            </w:pPr>
            <w:r>
              <w:rPr>
                <w:sz w:val="16"/>
                <w:szCs w:val="16"/>
              </w:rPr>
              <w:t>5</w:t>
            </w:r>
          </w:p>
          <w:p w14:paraId="02267C33" w14:textId="77777777" w:rsidR="009D0965" w:rsidRPr="00621532" w:rsidRDefault="009D0965" w:rsidP="00621532">
            <w:pPr>
              <w:pStyle w:val="citation"/>
              <w:ind w:left="0" w:right="0"/>
              <w:rPr>
                <w:sz w:val="16"/>
                <w:szCs w:val="16"/>
              </w:rPr>
            </w:pPr>
          </w:p>
        </w:tc>
        <w:tc>
          <w:tcPr>
            <w:tcW w:w="236" w:type="dxa"/>
            <w:tcBorders>
              <w:top w:val="nil"/>
              <w:left w:val="nil"/>
              <w:bottom w:val="single" w:sz="12" w:space="0" w:color="auto"/>
              <w:right w:val="nil"/>
            </w:tcBorders>
          </w:tcPr>
          <w:p w14:paraId="197752B3" w14:textId="77777777" w:rsidR="00A37BC9" w:rsidRDefault="00A37BC9" w:rsidP="00621532">
            <w:pPr>
              <w:pStyle w:val="citation"/>
              <w:ind w:left="0" w:right="-108"/>
              <w:rPr>
                <w:sz w:val="16"/>
                <w:szCs w:val="16"/>
              </w:rPr>
            </w:pPr>
          </w:p>
        </w:tc>
        <w:tc>
          <w:tcPr>
            <w:tcW w:w="567" w:type="dxa"/>
            <w:tcBorders>
              <w:top w:val="nil"/>
              <w:left w:val="nil"/>
              <w:bottom w:val="single" w:sz="12" w:space="0" w:color="auto"/>
              <w:right w:val="nil"/>
            </w:tcBorders>
          </w:tcPr>
          <w:p w14:paraId="11AC49EA" w14:textId="77777777" w:rsidR="00A37BC9" w:rsidRDefault="00A37BC9" w:rsidP="00621532">
            <w:pPr>
              <w:pStyle w:val="citation"/>
              <w:ind w:left="0" w:right="-108"/>
              <w:rPr>
                <w:sz w:val="16"/>
                <w:szCs w:val="16"/>
              </w:rPr>
            </w:pPr>
            <w:r>
              <w:rPr>
                <w:sz w:val="16"/>
                <w:szCs w:val="16"/>
              </w:rPr>
              <w:t>1</w:t>
            </w:r>
          </w:p>
          <w:p w14:paraId="199C58EC" w14:textId="77777777" w:rsidR="009D0965" w:rsidRPr="00621532" w:rsidRDefault="009D0965" w:rsidP="00621532">
            <w:pPr>
              <w:pStyle w:val="citation"/>
              <w:ind w:left="0" w:right="-108"/>
              <w:rPr>
                <w:sz w:val="16"/>
                <w:szCs w:val="16"/>
              </w:rPr>
            </w:pPr>
          </w:p>
        </w:tc>
        <w:tc>
          <w:tcPr>
            <w:tcW w:w="567" w:type="dxa"/>
            <w:tcBorders>
              <w:top w:val="nil"/>
              <w:left w:val="nil"/>
              <w:bottom w:val="single" w:sz="12" w:space="0" w:color="auto"/>
              <w:right w:val="nil"/>
            </w:tcBorders>
          </w:tcPr>
          <w:p w14:paraId="1E0C1114" w14:textId="77777777" w:rsidR="00A37BC9" w:rsidRDefault="00A37BC9" w:rsidP="00621532">
            <w:pPr>
              <w:pStyle w:val="citation"/>
              <w:ind w:left="0" w:right="-108"/>
              <w:rPr>
                <w:sz w:val="16"/>
                <w:szCs w:val="16"/>
              </w:rPr>
            </w:pPr>
            <w:r>
              <w:rPr>
                <w:sz w:val="16"/>
                <w:szCs w:val="16"/>
              </w:rPr>
              <w:t>1</w:t>
            </w:r>
          </w:p>
          <w:p w14:paraId="4FF800B6" w14:textId="77777777" w:rsidR="009D0965" w:rsidRPr="00621532" w:rsidRDefault="009D0965" w:rsidP="00621532">
            <w:pPr>
              <w:pStyle w:val="citation"/>
              <w:ind w:left="0" w:right="-108"/>
              <w:rPr>
                <w:sz w:val="16"/>
                <w:szCs w:val="16"/>
              </w:rPr>
            </w:pPr>
          </w:p>
        </w:tc>
      </w:tr>
    </w:tbl>
    <w:p w14:paraId="4D6A7EF2" w14:textId="77777777" w:rsidR="007D74C8" w:rsidRPr="007D74C8" w:rsidRDefault="007D74C8" w:rsidP="007D74C8">
      <w:pPr>
        <w:pStyle w:val="citation"/>
      </w:pPr>
    </w:p>
    <w:p w14:paraId="0994E39B" w14:textId="77777777" w:rsidR="007D74C8" w:rsidRPr="00A37BC9" w:rsidRDefault="007D74C8" w:rsidP="007D74C8">
      <w:pPr>
        <w:pStyle w:val="citation"/>
      </w:pPr>
    </w:p>
    <w:p w14:paraId="2FEC750C" w14:textId="77777777" w:rsidR="0038040C" w:rsidRDefault="0038040C" w:rsidP="0038040C">
      <w:pPr>
        <w:pStyle w:val="corpsdedcision"/>
        <w:tabs>
          <w:tab w:val="clear" w:pos="360"/>
          <w:tab w:val="num" w:pos="720"/>
        </w:tabs>
      </w:pPr>
      <w:proofErr w:type="gramStart"/>
      <w:r>
        <w:t>Monsieur Leroux précise</w:t>
      </w:r>
      <w:proofErr w:type="gramEnd"/>
      <w:r>
        <w:t xml:space="preserve"> que ces résultats ont été obtenus à partir de données épidémiologiques. Ainsi, pour une exposition à 90 </w:t>
      </w:r>
      <w:proofErr w:type="spellStart"/>
      <w:r>
        <w:t>dBA</w:t>
      </w:r>
      <w:proofErr w:type="spellEnd"/>
      <w:r>
        <w:t>, on retrouve un e</w:t>
      </w:r>
      <w:r w:rsidR="001A41D1">
        <w:t>xcès de risque</w:t>
      </w:r>
      <w:r w:rsidR="00C371BE">
        <w:t> </w:t>
      </w:r>
      <w:r w:rsidR="001A41D1">
        <w:t>de 17</w:t>
      </w:r>
      <w:r w:rsidR="00C371BE">
        <w:t> </w:t>
      </w:r>
      <w:r w:rsidR="001A41D1">
        <w:t xml:space="preserve">% selon ISO </w:t>
      </w:r>
      <w:r>
        <w:t xml:space="preserve">1999 </w:t>
      </w:r>
      <w:r w:rsidR="001A41D1">
        <w:t>(</w:t>
      </w:r>
      <w:r>
        <w:t>version 1990</w:t>
      </w:r>
      <w:r w:rsidR="001A41D1">
        <w:t>)</w:t>
      </w:r>
      <w:r>
        <w:t xml:space="preserve"> et 25</w:t>
      </w:r>
      <w:r w:rsidR="00C371BE">
        <w:t> </w:t>
      </w:r>
      <w:r>
        <w:t>% selon NIOSH, de 6</w:t>
      </w:r>
      <w:r w:rsidR="00C371BE">
        <w:t> </w:t>
      </w:r>
      <w:r>
        <w:t>% et 8</w:t>
      </w:r>
      <w:r w:rsidR="00C371BE">
        <w:t> </w:t>
      </w:r>
      <w:r>
        <w:t xml:space="preserve">% respectivement à 85 </w:t>
      </w:r>
      <w:proofErr w:type="spellStart"/>
      <w:r>
        <w:t>dBA</w:t>
      </w:r>
      <w:proofErr w:type="spellEnd"/>
      <w:r>
        <w:t xml:space="preserve"> et de 1</w:t>
      </w:r>
      <w:r w:rsidR="00C371BE">
        <w:t> </w:t>
      </w:r>
      <w:r>
        <w:t xml:space="preserve">% pour les deux à 80 </w:t>
      </w:r>
      <w:proofErr w:type="spellStart"/>
      <w:r>
        <w:t>dBA</w:t>
      </w:r>
      <w:proofErr w:type="spellEnd"/>
      <w:r>
        <w:t xml:space="preserve">. </w:t>
      </w:r>
    </w:p>
    <w:p w14:paraId="1D5308A1" w14:textId="77777777" w:rsidR="00177728" w:rsidRDefault="0038040C" w:rsidP="0038040C">
      <w:pPr>
        <w:pStyle w:val="corpsdedcision"/>
        <w:tabs>
          <w:tab w:val="clear" w:pos="360"/>
          <w:tab w:val="num" w:pos="720"/>
        </w:tabs>
      </w:pPr>
      <w:r>
        <w:t xml:space="preserve">Il souligne qu’en dessous de 85 </w:t>
      </w:r>
      <w:proofErr w:type="spellStart"/>
      <w:r>
        <w:t>dBA</w:t>
      </w:r>
      <w:proofErr w:type="spellEnd"/>
      <w:r>
        <w:t xml:space="preserve">, le risque n’est pas nul. Selon ISO 1999, c’est à 75 </w:t>
      </w:r>
      <w:proofErr w:type="spellStart"/>
      <w:r>
        <w:t>dBA</w:t>
      </w:r>
      <w:proofErr w:type="spellEnd"/>
      <w:r>
        <w:t xml:space="preserve"> que le risque est considéré nul.</w:t>
      </w:r>
    </w:p>
    <w:p w14:paraId="157ED5F8" w14:textId="77777777" w:rsidR="0038040C" w:rsidRDefault="00C5546E" w:rsidP="0038040C">
      <w:pPr>
        <w:pStyle w:val="corpsdedcision"/>
        <w:tabs>
          <w:tab w:val="clear" w:pos="360"/>
          <w:tab w:val="num" w:pos="720"/>
        </w:tabs>
      </w:pPr>
      <w:r>
        <w:t>C</w:t>
      </w:r>
      <w:r w:rsidR="00177728">
        <w:t xml:space="preserve">es statistiques sont </w:t>
      </w:r>
      <w:r>
        <w:t xml:space="preserve">toutefois </w:t>
      </w:r>
      <w:r w:rsidR="00177728">
        <w:t xml:space="preserve">pour une exposition d’une durée de </w:t>
      </w:r>
      <w:r>
        <w:t>40 ans.</w:t>
      </w:r>
    </w:p>
    <w:p w14:paraId="3DE33787" w14:textId="77777777" w:rsidR="0038040C" w:rsidRDefault="001A41D1" w:rsidP="0038040C">
      <w:pPr>
        <w:pStyle w:val="corpsdedcision"/>
        <w:tabs>
          <w:tab w:val="clear" w:pos="360"/>
          <w:tab w:val="num" w:pos="720"/>
        </w:tabs>
      </w:pPr>
      <w:r w:rsidRPr="001F4FEB">
        <w:t>Monsieur</w:t>
      </w:r>
      <w:r w:rsidR="00177728">
        <w:t xml:space="preserve"> Leroux</w:t>
      </w:r>
      <w:r>
        <w:t xml:space="preserve"> poursuit ses commentaires en indiquant que</w:t>
      </w:r>
      <w:r w:rsidR="00177728">
        <w:t xml:space="preserve">, </w:t>
      </w:r>
      <w:r w:rsidR="0038040C">
        <w:t xml:space="preserve">contrairement à ce que laisse entendre le docteur Bertrand, le niveau d’intervention à 85 </w:t>
      </w:r>
      <w:proofErr w:type="spellStart"/>
      <w:r w:rsidR="0038040C">
        <w:t>dBA</w:t>
      </w:r>
      <w:proofErr w:type="spellEnd"/>
      <w:r w:rsidR="0038040C">
        <w:t xml:space="preserve"> n’est pas un niveau en</w:t>
      </w:r>
      <w:r w:rsidR="00281D0E">
        <w:t xml:space="preserve"> </w:t>
      </w:r>
      <w:r w:rsidR="0038040C">
        <w:t>dess</w:t>
      </w:r>
      <w:r>
        <w:t>ous duquel il n’y</w:t>
      </w:r>
      <w:r w:rsidR="00281D0E">
        <w:t xml:space="preserve"> a</w:t>
      </w:r>
      <w:r>
        <w:t xml:space="preserve"> pas de risque. C</w:t>
      </w:r>
      <w:r w:rsidR="0038040C">
        <w:t xml:space="preserve">’est plutôt qu’il n’y a pas suffisamment de cas de surdité justifiant le déploiement d’un système de santé publique pour dépister </w:t>
      </w:r>
      <w:r w:rsidR="0038040C">
        <w:lastRenderedPageBreak/>
        <w:t xml:space="preserve">une population (de travailleurs atteints de surdité professionnelle) qui existe, mais qui est </w:t>
      </w:r>
      <w:r w:rsidR="00C5546E">
        <w:t>« </w:t>
      </w:r>
      <w:r w:rsidR="0038040C">
        <w:t xml:space="preserve">très </w:t>
      </w:r>
      <w:proofErr w:type="spellStart"/>
      <w:r w:rsidR="0038040C">
        <w:t>très</w:t>
      </w:r>
      <w:proofErr w:type="spellEnd"/>
      <w:r w:rsidR="0038040C">
        <w:t xml:space="preserve"> petite</w:t>
      </w:r>
      <w:r w:rsidR="00C5546E">
        <w:t> »</w:t>
      </w:r>
      <w:r w:rsidR="0038040C" w:rsidRPr="00495C9E">
        <w:t xml:space="preserve">. </w:t>
      </w:r>
    </w:p>
    <w:p w14:paraId="50D604DE" w14:textId="77777777" w:rsidR="0038040C" w:rsidRPr="00495C9E" w:rsidRDefault="0038040C" w:rsidP="0038040C">
      <w:pPr>
        <w:pStyle w:val="corpsdedcision"/>
        <w:tabs>
          <w:tab w:val="clear" w:pos="360"/>
          <w:tab w:val="num" w:pos="720"/>
        </w:tabs>
      </w:pPr>
      <w:r w:rsidRPr="00495C9E">
        <w:t>Le deuxième élément qui l’a questionné dans ce rapport complémentaire est le fait que le docteur Bertrand mentionne que la perte auditive du travailleur</w:t>
      </w:r>
      <w:r w:rsidR="00C5546E">
        <w:t xml:space="preserve"> correspond, selon la norme ISO </w:t>
      </w:r>
      <w:r w:rsidRPr="00495C9E">
        <w:t xml:space="preserve">1999, à un niveau d’exposition au bruit estimé à 105 </w:t>
      </w:r>
      <w:r w:rsidR="00495C9E" w:rsidRPr="00495C9E">
        <w:t>+/-</w:t>
      </w:r>
      <w:r w:rsidR="00C5546E">
        <w:t xml:space="preserve"> </w:t>
      </w:r>
      <w:r w:rsidRPr="00495C9E">
        <w:t xml:space="preserve">5 </w:t>
      </w:r>
      <w:proofErr w:type="spellStart"/>
      <w:r w:rsidRPr="00495C9E">
        <w:t>dBA</w:t>
      </w:r>
      <w:proofErr w:type="spellEnd"/>
      <w:r w:rsidRPr="00495C9E">
        <w:t xml:space="preserve"> à droite et 104 </w:t>
      </w:r>
      <w:r w:rsidR="00495C9E" w:rsidRPr="00495C9E">
        <w:t>+/-</w:t>
      </w:r>
      <w:r w:rsidRPr="00495C9E">
        <w:t xml:space="preserve"> 5 </w:t>
      </w:r>
      <w:proofErr w:type="spellStart"/>
      <w:r w:rsidRPr="00495C9E">
        <w:t>dBA</w:t>
      </w:r>
      <w:proofErr w:type="spellEnd"/>
      <w:r w:rsidRPr="00495C9E">
        <w:t xml:space="preserve"> à gauche. Or, explique-t-il, la norme ne tient pas compte de la présence d’autres facteurs de risque comme les vibrations, le monoxyde de carbone, les bruits d’impacts comme c’est le cas dans le présent dossier.</w:t>
      </w:r>
    </w:p>
    <w:p w14:paraId="3D8595C9" w14:textId="77777777" w:rsidR="0038040C" w:rsidRDefault="0038040C" w:rsidP="0038040C">
      <w:pPr>
        <w:pStyle w:val="corpsdedcision"/>
        <w:tabs>
          <w:tab w:val="clear" w:pos="360"/>
          <w:tab w:val="num" w:pos="720"/>
        </w:tabs>
      </w:pPr>
      <w:r>
        <w:t>Le troisième élément, par ailleurs, est à l’effet qu’à la page 5 de son rapport, le docteur Bertrand écrit qu’il y a quatre modalités bien définies de presbyacousie : neurosensorielle, métabolique, neuronale et de conduction</w:t>
      </w:r>
      <w:r w:rsidR="00CB33F6">
        <w:t xml:space="preserve"> et</w:t>
      </w:r>
      <w:r>
        <w:t xml:space="preserve"> réfère à la littérature qu’il a déposée avec son expertise, </w:t>
      </w:r>
      <w:r w:rsidR="00D8479D">
        <w:t>soit le cahier d’autorités (</w:t>
      </w:r>
      <w:r>
        <w:t>E-49</w:t>
      </w:r>
      <w:r w:rsidR="00D8479D">
        <w:t>)</w:t>
      </w:r>
      <w:r>
        <w:t xml:space="preserve">. </w:t>
      </w:r>
    </w:p>
    <w:p w14:paraId="48D01164" w14:textId="77777777" w:rsidR="00495C9E" w:rsidRDefault="0038040C" w:rsidP="00BA6EE9">
      <w:pPr>
        <w:pStyle w:val="corpsdedcision"/>
        <w:tabs>
          <w:tab w:val="clear" w:pos="360"/>
          <w:tab w:val="num" w:pos="720"/>
        </w:tabs>
      </w:pPr>
      <w:r>
        <w:t>À ce sujet, monsieur Leroux réfère à l’onglet 3, soit l’article de l’auteur Gates</w:t>
      </w:r>
      <w:r w:rsidRPr="00495C9E">
        <w:rPr>
          <w:i/>
        </w:rPr>
        <w:t xml:space="preserve">, Central </w:t>
      </w:r>
      <w:proofErr w:type="spellStart"/>
      <w:r w:rsidRPr="00495C9E">
        <w:rPr>
          <w:i/>
        </w:rPr>
        <w:t>Auditory</w:t>
      </w:r>
      <w:proofErr w:type="spellEnd"/>
      <w:r w:rsidRPr="00495C9E">
        <w:rPr>
          <w:i/>
        </w:rPr>
        <w:t xml:space="preserve"> </w:t>
      </w:r>
      <w:proofErr w:type="spellStart"/>
      <w:r w:rsidRPr="00495C9E">
        <w:rPr>
          <w:i/>
        </w:rPr>
        <w:t>Processing</w:t>
      </w:r>
      <w:proofErr w:type="spellEnd"/>
      <w:r w:rsidRPr="00495C9E">
        <w:rPr>
          <w:i/>
        </w:rPr>
        <w:t xml:space="preserve"> in </w:t>
      </w:r>
      <w:proofErr w:type="spellStart"/>
      <w:r w:rsidRPr="00495C9E">
        <w:rPr>
          <w:i/>
        </w:rPr>
        <w:t>Presbyacousis</w:t>
      </w:r>
      <w:proofErr w:type="spellEnd"/>
      <w:r w:rsidRPr="00495C9E">
        <w:rPr>
          <w:i/>
        </w:rPr>
        <w:t xml:space="preserve"> : an </w:t>
      </w:r>
      <w:proofErr w:type="spellStart"/>
      <w:r w:rsidRPr="00495C9E">
        <w:rPr>
          <w:i/>
        </w:rPr>
        <w:t>Epidemiologic</w:t>
      </w:r>
      <w:proofErr w:type="spellEnd"/>
      <w:r w:rsidRPr="00495C9E">
        <w:rPr>
          <w:i/>
        </w:rPr>
        <w:t xml:space="preserve"> Perspective </w:t>
      </w:r>
      <w:r w:rsidRPr="00AA7E32">
        <w:t>p</w:t>
      </w:r>
      <w:r w:rsidR="00177728">
        <w:t>récité</w:t>
      </w:r>
      <w:r w:rsidRPr="00495C9E">
        <w:rPr>
          <w:i/>
        </w:rPr>
        <w:t xml:space="preserve">. </w:t>
      </w:r>
      <w:r w:rsidRPr="00AA7E32">
        <w:t>À</w:t>
      </w:r>
      <w:r>
        <w:t xml:space="preserve"> la page 48, l’auteur écrit au sujet de la presbyacousie périphérique, donc au niveau de la cochlée, que le principal effet du vieillissement est un déclin de la fonction métabolique de la cochlée qu’on appelle </w:t>
      </w:r>
      <w:r w:rsidRPr="00C5546E">
        <w:t xml:space="preserve">presbyacousie </w:t>
      </w:r>
      <w:proofErr w:type="spellStart"/>
      <w:r w:rsidRPr="00C5546E">
        <w:t>striale</w:t>
      </w:r>
      <w:proofErr w:type="spellEnd"/>
      <w:r w:rsidRPr="00C5546E">
        <w:t>. Celle-ci est caractérisée par une perte en pente descendante modérée dans les hautes fréquences et une assez bonne capacité à la reconnaissance des mots.</w:t>
      </w:r>
      <w:r w:rsidRPr="00171510">
        <w:t xml:space="preserve"> </w:t>
      </w:r>
    </w:p>
    <w:p w14:paraId="71380D34" w14:textId="77777777" w:rsidR="0038040C" w:rsidRDefault="0038040C" w:rsidP="00BA6EE9">
      <w:pPr>
        <w:pStyle w:val="corpsdedcision"/>
        <w:tabs>
          <w:tab w:val="clear" w:pos="360"/>
          <w:tab w:val="num" w:pos="720"/>
        </w:tabs>
      </w:pPr>
      <w:r>
        <w:t xml:space="preserve">Monsieur Leroux souligne que cette opinion de Gates est appuyée par le fait que chez des chinchillas élevés dans des endroits calmes donc non bruyants, la dégénérescence de la strie vasculaire est l’élément qui domine à l’examen pathologique. </w:t>
      </w:r>
      <w:r w:rsidRPr="00C5546E">
        <w:t>Il explique que cette dégénérescence débute généralement à la base de la cochlée (sons aigus) puis progresse vers l’apex (sons graves) et s’étend à la région moyenne à mesure qu’on avance en âge</w:t>
      </w:r>
      <w:r>
        <w:t xml:space="preserve">. </w:t>
      </w:r>
    </w:p>
    <w:p w14:paraId="0E5F88F7" w14:textId="77777777" w:rsidR="0038040C" w:rsidRPr="00495C9E" w:rsidRDefault="0038040C" w:rsidP="00CB33F6">
      <w:pPr>
        <w:pStyle w:val="corpsdedcision"/>
      </w:pPr>
      <w:r w:rsidRPr="00495C9E">
        <w:t>Donc, selon lui, la forme la plus courante de presbyacousie chez les humains qui vi</w:t>
      </w:r>
      <w:r w:rsidR="00CB33F6">
        <w:t xml:space="preserve">eillissent est la forme </w:t>
      </w:r>
      <w:proofErr w:type="spellStart"/>
      <w:r w:rsidR="00CB33F6">
        <w:t>striale</w:t>
      </w:r>
      <w:proofErr w:type="spellEnd"/>
      <w:r w:rsidR="00CB33F6">
        <w:t>.</w:t>
      </w:r>
    </w:p>
    <w:p w14:paraId="021635FD" w14:textId="77777777" w:rsidR="0038040C" w:rsidRDefault="00C5546E" w:rsidP="0038040C">
      <w:pPr>
        <w:pStyle w:val="corpsdedcision"/>
        <w:tabs>
          <w:tab w:val="clear" w:pos="360"/>
          <w:tab w:val="num" w:pos="720"/>
        </w:tabs>
      </w:pPr>
      <w:r>
        <w:t>I</w:t>
      </w:r>
      <w:r w:rsidR="0038040C">
        <w:t xml:space="preserve">l réfère également à un article publié en 2005 du même auteur, Gates, intitulé </w:t>
      </w:r>
      <w:proofErr w:type="spellStart"/>
      <w:r w:rsidR="00076C22">
        <w:rPr>
          <w:i/>
        </w:rPr>
        <w:t>Presbyc</w:t>
      </w:r>
      <w:r w:rsidR="0038040C" w:rsidRPr="00AA7E32">
        <w:rPr>
          <w:i/>
        </w:rPr>
        <w:t>usi</w:t>
      </w:r>
      <w:r w:rsidR="00076C22">
        <w:rPr>
          <w:i/>
        </w:rPr>
        <w:t>s</w:t>
      </w:r>
      <w:proofErr w:type="spellEnd"/>
      <w:r w:rsidR="00076C22">
        <w:t xml:space="preserve"> (</w:t>
      </w:r>
      <w:r w:rsidR="0038040C">
        <w:t>T-39</w:t>
      </w:r>
      <w:r w:rsidR="00076C22">
        <w:t>)</w:t>
      </w:r>
      <w:r w:rsidR="0038040C">
        <w:t>.</w:t>
      </w:r>
    </w:p>
    <w:p w14:paraId="2921DE9D" w14:textId="77777777" w:rsidR="0038040C" w:rsidRPr="00495C9E" w:rsidRDefault="0038040C" w:rsidP="0038040C">
      <w:pPr>
        <w:pStyle w:val="corpsdedcision"/>
        <w:tabs>
          <w:tab w:val="clear" w:pos="360"/>
          <w:tab w:val="num" w:pos="720"/>
        </w:tabs>
      </w:pPr>
      <w:r w:rsidRPr="00495C9E">
        <w:t>À la page 1115,</w:t>
      </w:r>
      <w:r w:rsidR="00C371BE">
        <w:t xml:space="preserve"> </w:t>
      </w:r>
      <w:r w:rsidRPr="00495C9E">
        <w:t xml:space="preserve">l’auteur discute de la pathophysiologie associée à la presbyacousie. </w:t>
      </w:r>
      <w:r w:rsidRPr="00C5546E">
        <w:t>Il mentionne que la perte de sensibilité auditive dans les hautes fréquences est le premier signe de la presbyacousie</w:t>
      </w:r>
      <w:r w:rsidRPr="00495C9E">
        <w:t xml:space="preserve">. Ces changements peuvent débuter chez le jeune adulte mais en général, ils commencent à partir de 60 ans. Chez les animaux, ce qui est observé en rapport avec ce type d’atteinte, c’est le déclin des fonctions métaboliques de la </w:t>
      </w:r>
      <w:r w:rsidR="00495C9E">
        <w:t xml:space="preserve">strie vasculaire. </w:t>
      </w:r>
      <w:r w:rsidRPr="00495C9E">
        <w:t xml:space="preserve">Monsieur Leroux est d’avis que c’est ce qu’on appelle la presbyacousie </w:t>
      </w:r>
      <w:proofErr w:type="spellStart"/>
      <w:r w:rsidRPr="00495C9E">
        <w:t>striale</w:t>
      </w:r>
      <w:proofErr w:type="spellEnd"/>
      <w:r w:rsidRPr="00495C9E">
        <w:t xml:space="preserve"> ou presbyacousie d’atteinte métabolique. </w:t>
      </w:r>
    </w:p>
    <w:p w14:paraId="1365ED41" w14:textId="77777777" w:rsidR="00283A49" w:rsidRDefault="00CB33F6" w:rsidP="0038040C">
      <w:pPr>
        <w:pStyle w:val="corpsdedcision"/>
        <w:tabs>
          <w:tab w:val="clear" w:pos="360"/>
          <w:tab w:val="num" w:pos="720"/>
        </w:tabs>
      </w:pPr>
      <w:r>
        <w:lastRenderedPageBreak/>
        <w:t xml:space="preserve">Au sujet de l’atteinte de type sensorielle, </w:t>
      </w:r>
      <w:r w:rsidR="0038040C">
        <w:t>cet auteur</w:t>
      </w:r>
      <w:r>
        <w:t xml:space="preserve"> fait valoir que </w:t>
      </w:r>
      <w:r w:rsidR="0038040C">
        <w:t xml:space="preserve">dans </w:t>
      </w:r>
      <w:r w:rsidR="00A8366D">
        <w:t xml:space="preserve">la </w:t>
      </w:r>
      <w:r w:rsidR="0038040C">
        <w:t xml:space="preserve">publication de l’auteur Schuknecht </w:t>
      </w:r>
      <w:r w:rsidR="00076C22">
        <w:t>précitée (onglet 4 - E-49</w:t>
      </w:r>
      <w:r w:rsidR="00A8366D">
        <w:t>)</w:t>
      </w:r>
      <w:r w:rsidR="0038040C">
        <w:t xml:space="preserve">, les cas présentant une perte des cellules ciliées correspondant à l’atteinte sensorielle étaient pour la plupart des hommes ayant été exposés au bruit. </w:t>
      </w:r>
    </w:p>
    <w:p w14:paraId="484B9447" w14:textId="77777777" w:rsidR="0038040C" w:rsidRDefault="00C5546E" w:rsidP="0038040C">
      <w:pPr>
        <w:pStyle w:val="corpsdedcision"/>
        <w:tabs>
          <w:tab w:val="clear" w:pos="360"/>
          <w:tab w:val="num" w:pos="720"/>
        </w:tabs>
      </w:pPr>
      <w:r>
        <w:t xml:space="preserve">L’auteur </w:t>
      </w:r>
      <w:r w:rsidR="00495C9E">
        <w:t xml:space="preserve">Gates a écrit à ce </w:t>
      </w:r>
      <w:r>
        <w:t xml:space="preserve">qui </w:t>
      </w:r>
      <w:proofErr w:type="gramStart"/>
      <w:r>
        <w:t>suit</w:t>
      </w:r>
      <w:r w:rsidR="00495C9E">
        <w:t> </w:t>
      </w:r>
      <w:r w:rsidR="00283A49">
        <w:t xml:space="preserve"> (</w:t>
      </w:r>
      <w:proofErr w:type="gramEnd"/>
      <w:r w:rsidR="00283A49">
        <w:t>page 1115 - T-39</w:t>
      </w:r>
      <w:r w:rsidR="0038040C">
        <w:t>) :</w:t>
      </w:r>
    </w:p>
    <w:p w14:paraId="16845471" w14:textId="77777777" w:rsidR="0038040C" w:rsidRPr="007D683F" w:rsidRDefault="0038040C" w:rsidP="0038040C">
      <w:pPr>
        <w:pStyle w:val="citation"/>
        <w:rPr>
          <w:lang w:val="en-CA"/>
        </w:rPr>
      </w:pPr>
      <w:r w:rsidRPr="007D683F">
        <w:rPr>
          <w:lang w:val="en-CA"/>
        </w:rPr>
        <w:t>Human pathology</w:t>
      </w:r>
    </w:p>
    <w:p w14:paraId="6DA8350F" w14:textId="77777777" w:rsidR="0038040C" w:rsidRPr="007D683F" w:rsidRDefault="0038040C" w:rsidP="0038040C">
      <w:pPr>
        <w:pStyle w:val="citation"/>
        <w:ind w:left="0"/>
        <w:rPr>
          <w:lang w:val="en-CA"/>
        </w:rPr>
      </w:pPr>
    </w:p>
    <w:p w14:paraId="690881A0" w14:textId="77777777" w:rsidR="0038040C" w:rsidRPr="007D683F" w:rsidRDefault="0038040C" w:rsidP="0038040C">
      <w:pPr>
        <w:pStyle w:val="citation"/>
        <w:rPr>
          <w:lang w:val="en-CA"/>
        </w:rPr>
      </w:pPr>
      <w:r w:rsidRPr="007D683F">
        <w:rPr>
          <w:lang w:val="en-CA"/>
        </w:rPr>
        <w:t xml:space="preserve">(…) The audiometric pattern in Schuknecht’s sensory cases is typical of noise-induced hearing loss and the histology findings reveal missing hair cells </w:t>
      </w:r>
      <w:proofErr w:type="gramStart"/>
      <w:r w:rsidRPr="007D683F">
        <w:rPr>
          <w:lang w:val="en-CA"/>
        </w:rPr>
        <w:t>in the area of</w:t>
      </w:r>
      <w:proofErr w:type="gramEnd"/>
      <w:r w:rsidRPr="007D683F">
        <w:rPr>
          <w:lang w:val="en-CA"/>
        </w:rPr>
        <w:t xml:space="preserve"> the hearing loss. Indeed, most of these cases were men with histories of noise ex</w:t>
      </w:r>
      <w:r w:rsidR="00283A49" w:rsidRPr="007D683F">
        <w:rPr>
          <w:lang w:val="en-CA"/>
        </w:rPr>
        <w:t>posure. It is now known that ag</w:t>
      </w:r>
      <w:r w:rsidRPr="007D683F">
        <w:rPr>
          <w:lang w:val="en-CA"/>
        </w:rPr>
        <w:t>ing alone does not cause outer hair-cell loss. Thus, we emphasise that human being, and in many species of animals (excluding some genetic mouse models), sensory presbycusis probably has little to do with age and much to do with accumulated environmental noise toxicity.</w:t>
      </w:r>
    </w:p>
    <w:p w14:paraId="0661B6AA" w14:textId="77777777" w:rsidR="0038040C" w:rsidRPr="007D683F" w:rsidRDefault="0038040C" w:rsidP="0038040C">
      <w:pPr>
        <w:pStyle w:val="citation"/>
        <w:rPr>
          <w:lang w:val="en-CA"/>
        </w:rPr>
      </w:pPr>
    </w:p>
    <w:p w14:paraId="6DA93B92" w14:textId="77777777" w:rsidR="0038040C" w:rsidRPr="007D683F" w:rsidRDefault="0038040C" w:rsidP="0038040C">
      <w:pPr>
        <w:pStyle w:val="citation"/>
        <w:rPr>
          <w:lang w:val="en-CA"/>
        </w:rPr>
      </w:pPr>
    </w:p>
    <w:p w14:paraId="105F4980" w14:textId="77777777" w:rsidR="0038040C" w:rsidRDefault="00A8366D" w:rsidP="0038040C">
      <w:pPr>
        <w:pStyle w:val="corpsdedcision"/>
        <w:tabs>
          <w:tab w:val="clear" w:pos="360"/>
          <w:tab w:val="num" w:pos="720"/>
        </w:tabs>
      </w:pPr>
      <w:r>
        <w:t>M</w:t>
      </w:r>
      <w:r w:rsidR="0038040C">
        <w:t xml:space="preserve">onsieur Leroux conclut à l’effet qu’aujourd’hui, il est connu que le vieillissement, seul, ne cause pas de disparition de cellules ciliées. Alors, ce qui est décrit comme étant une surdité neurosensorielle dans l’article de Schuknecht, est en fait une surdité due au bruit. Il souligne à nouveau que le docteur Bertrand conclut que le travailleur présente une presbyacousie de type neurosensorielle. </w:t>
      </w:r>
    </w:p>
    <w:p w14:paraId="329377E9" w14:textId="77777777" w:rsidR="006B23A0" w:rsidRDefault="00C5546E" w:rsidP="0038040C">
      <w:pPr>
        <w:pStyle w:val="corpsdedcision"/>
        <w:tabs>
          <w:tab w:val="clear" w:pos="360"/>
          <w:tab w:val="num" w:pos="720"/>
        </w:tabs>
      </w:pPr>
      <w:r>
        <w:t xml:space="preserve">À ce stade, il faut mentionner que les </w:t>
      </w:r>
      <w:r w:rsidR="006B23A0">
        <w:t>auteur</w:t>
      </w:r>
      <w:r>
        <w:t>s</w:t>
      </w:r>
      <w:r w:rsidR="006B23A0">
        <w:t xml:space="preserve"> </w:t>
      </w:r>
      <w:r>
        <w:t>Schuknecht</w:t>
      </w:r>
      <w:r w:rsidR="0038040C" w:rsidRPr="00495C9E">
        <w:t xml:space="preserve"> et Gates </w:t>
      </w:r>
      <w:r>
        <w:t>semblent faire</w:t>
      </w:r>
      <w:r w:rsidR="0038040C" w:rsidRPr="00495C9E">
        <w:t xml:space="preserve"> une distinction entre la presbyacousie de type sensorielle et celle de </w:t>
      </w:r>
      <w:proofErr w:type="gramStart"/>
      <w:r w:rsidR="0038040C" w:rsidRPr="00495C9E">
        <w:t>type neurale</w:t>
      </w:r>
      <w:proofErr w:type="gramEnd"/>
      <w:r w:rsidR="0038040C" w:rsidRPr="00495C9E">
        <w:t xml:space="preserve"> et que seule la première, </w:t>
      </w:r>
      <w:r w:rsidR="006B23A0">
        <w:t xml:space="preserve">selon </w:t>
      </w:r>
      <w:r w:rsidR="0038040C" w:rsidRPr="00495C9E">
        <w:t>Gates, serait en lien avec une exposition due au bruit</w:t>
      </w:r>
      <w:r w:rsidR="006B23A0">
        <w:t>.</w:t>
      </w:r>
      <w:r w:rsidR="0038040C" w:rsidRPr="00495C9E">
        <w:t xml:space="preserve"> </w:t>
      </w:r>
      <w:r w:rsidR="006B23A0">
        <w:t>Or, le travailleur présente une atteinte neurosensorielle et non une atteinte sensorielle « pure ».</w:t>
      </w:r>
    </w:p>
    <w:p w14:paraId="5E6BF943" w14:textId="77777777" w:rsidR="0038040C" w:rsidRDefault="0038040C" w:rsidP="0038040C">
      <w:pPr>
        <w:pStyle w:val="corpsdedcision"/>
        <w:tabs>
          <w:tab w:val="clear" w:pos="360"/>
          <w:tab w:val="num" w:pos="720"/>
        </w:tabs>
      </w:pPr>
      <w:r w:rsidRPr="00495C9E">
        <w:t xml:space="preserve">De plus, afin de compléter la compréhension de la complexité du phénomène de presbyacousie, </w:t>
      </w:r>
      <w:r w:rsidR="00C5546E">
        <w:t>il s’avère</w:t>
      </w:r>
      <w:r w:rsidRPr="00495C9E">
        <w:t xml:space="preserve"> opportun de rapporter ci-après la définition qu’en donne G</w:t>
      </w:r>
      <w:r w:rsidR="00283A49">
        <w:t xml:space="preserve">ates dans son article de 2005: </w:t>
      </w:r>
    </w:p>
    <w:p w14:paraId="6F467473" w14:textId="77777777" w:rsidR="0038040C" w:rsidRPr="007D683F" w:rsidRDefault="0038040C" w:rsidP="0038040C">
      <w:pPr>
        <w:pStyle w:val="citation"/>
        <w:rPr>
          <w:lang w:val="en-CA"/>
        </w:rPr>
      </w:pPr>
      <w:r w:rsidRPr="007D683F">
        <w:rPr>
          <w:lang w:val="en-CA"/>
        </w:rPr>
        <w:t>Definitions</w:t>
      </w:r>
    </w:p>
    <w:p w14:paraId="7CEE5C4E" w14:textId="77777777" w:rsidR="0038040C" w:rsidRPr="007D683F" w:rsidRDefault="0038040C" w:rsidP="0038040C">
      <w:pPr>
        <w:pStyle w:val="citation"/>
        <w:rPr>
          <w:lang w:val="en-CA"/>
        </w:rPr>
      </w:pPr>
    </w:p>
    <w:p w14:paraId="5F581831" w14:textId="77777777" w:rsidR="0038040C" w:rsidRPr="007D683F" w:rsidRDefault="0038040C" w:rsidP="0038040C">
      <w:pPr>
        <w:pStyle w:val="citation"/>
        <w:rPr>
          <w:lang w:val="en-CA"/>
        </w:rPr>
      </w:pPr>
      <w:r w:rsidRPr="007D683F">
        <w:rPr>
          <w:lang w:val="en-CA"/>
        </w:rPr>
        <w:t xml:space="preserve">Presbycusis (or </w:t>
      </w:r>
      <w:proofErr w:type="spellStart"/>
      <w:r w:rsidRPr="007D683F">
        <w:rPr>
          <w:lang w:val="en-CA"/>
        </w:rPr>
        <w:t>presbyacusis</w:t>
      </w:r>
      <w:proofErr w:type="spellEnd"/>
      <w:r w:rsidRPr="007D683F">
        <w:rPr>
          <w:lang w:val="en-CA"/>
        </w:rPr>
        <w:t>) is a general term that refers to hearing loss in the elderly and, as such, represents the contributions of a lifetime of insults to th</w:t>
      </w:r>
      <w:r w:rsidR="00283A49" w:rsidRPr="007D683F">
        <w:rPr>
          <w:lang w:val="en-CA"/>
        </w:rPr>
        <w:t>e auditory system. Of these, ag</w:t>
      </w:r>
      <w:r w:rsidRPr="007D683F">
        <w:rPr>
          <w:lang w:val="en-CA"/>
        </w:rPr>
        <w:t xml:space="preserve">ing and noise damage are the chief factors, plus genetic susceptibility, </w:t>
      </w:r>
      <w:proofErr w:type="spellStart"/>
      <w:r w:rsidRPr="007D683F">
        <w:rPr>
          <w:lang w:val="en-CA"/>
        </w:rPr>
        <w:t>otological</w:t>
      </w:r>
      <w:proofErr w:type="spellEnd"/>
      <w:r w:rsidRPr="007D683F">
        <w:rPr>
          <w:lang w:val="en-CA"/>
        </w:rPr>
        <w:t xml:space="preserve"> disorders, and exposures to ototoxic agents. Some people refer to presbycusis a</w:t>
      </w:r>
      <w:r w:rsidR="00283A49" w:rsidRPr="007D683F">
        <w:rPr>
          <w:lang w:val="en-CA"/>
        </w:rPr>
        <w:t>s hearing loss due to solely ag</w:t>
      </w:r>
      <w:r w:rsidRPr="007D683F">
        <w:rPr>
          <w:lang w:val="en-CA"/>
        </w:rPr>
        <w:t>ing. Because it is very difficult to isolate age effects from other contributors to age-related hearing loss, we use presbycusis and age-related hearing loss synonymously. There is uncertainty about the mec</w:t>
      </w:r>
      <w:r w:rsidR="00283A49" w:rsidRPr="007D683F">
        <w:rPr>
          <w:lang w:val="en-CA"/>
        </w:rPr>
        <w:t>hanisms involved in auditory ag</w:t>
      </w:r>
      <w:r w:rsidRPr="007D683F">
        <w:rPr>
          <w:lang w:val="en-CA"/>
        </w:rPr>
        <w:t xml:space="preserve">ing and noise trauma. Both the peripheral and central auditory pathways are affected in </w:t>
      </w:r>
      <w:proofErr w:type="gramStart"/>
      <w:r w:rsidRPr="007D683F">
        <w:rPr>
          <w:lang w:val="en-CA"/>
        </w:rPr>
        <w:t>presbycusis</w:t>
      </w:r>
      <w:proofErr w:type="gramEnd"/>
      <w:r w:rsidRPr="007D683F">
        <w:rPr>
          <w:lang w:val="en-CA"/>
        </w:rPr>
        <w:t xml:space="preserve"> and the clinical findings often represent a mixture of abnormalities.</w:t>
      </w:r>
    </w:p>
    <w:p w14:paraId="51A4F361" w14:textId="77777777" w:rsidR="0038040C" w:rsidRPr="007D683F" w:rsidRDefault="0038040C" w:rsidP="0038040C">
      <w:pPr>
        <w:pStyle w:val="citation"/>
        <w:rPr>
          <w:lang w:val="en-CA"/>
        </w:rPr>
      </w:pPr>
    </w:p>
    <w:p w14:paraId="4019B970" w14:textId="77777777" w:rsidR="00653ECD" w:rsidRPr="007D683F" w:rsidRDefault="00653ECD" w:rsidP="0038040C">
      <w:pPr>
        <w:pStyle w:val="citation"/>
        <w:rPr>
          <w:lang w:val="en-CA"/>
        </w:rPr>
      </w:pPr>
    </w:p>
    <w:p w14:paraId="35EBD86D" w14:textId="77777777" w:rsidR="0038040C" w:rsidRDefault="00A23878" w:rsidP="0038040C">
      <w:pPr>
        <w:pStyle w:val="corpsdedcision"/>
        <w:tabs>
          <w:tab w:val="clear" w:pos="360"/>
          <w:tab w:val="num" w:pos="720"/>
        </w:tabs>
      </w:pPr>
      <w:r>
        <w:t>M</w:t>
      </w:r>
      <w:r w:rsidR="0038040C">
        <w:t xml:space="preserve">onsieur Leroux </w:t>
      </w:r>
      <w:r>
        <w:t>poursuit en référant</w:t>
      </w:r>
      <w:r w:rsidR="0038040C">
        <w:t xml:space="preserve"> à la page 6 du rapport du docteur Bertrand où celui-ci note « On doit retenir que dans la pathologie cardiaque et la presbyacousie, </w:t>
      </w:r>
      <w:r w:rsidR="0038040C">
        <w:lastRenderedPageBreak/>
        <w:t xml:space="preserve">tel que décrit par Gates, l’atteinte est prédominante dans les hautes fréquences chez la plupart des sujets. » </w:t>
      </w:r>
    </w:p>
    <w:p w14:paraId="33DAA62A" w14:textId="77777777" w:rsidR="00283A49" w:rsidRDefault="00283A49" w:rsidP="0038040C">
      <w:pPr>
        <w:pStyle w:val="corpsdedcision"/>
        <w:tabs>
          <w:tab w:val="clear" w:pos="360"/>
          <w:tab w:val="num" w:pos="720"/>
        </w:tabs>
      </w:pPr>
      <w:r>
        <w:t>Sur cet aspect</w:t>
      </w:r>
      <w:r w:rsidR="0038040C">
        <w:t xml:space="preserve">, monsieur Leroux dépose un autre article de cet auteur et collaborateurs, </w:t>
      </w:r>
      <w:r w:rsidR="0038040C" w:rsidRPr="00AA7E32">
        <w:rPr>
          <w:i/>
        </w:rPr>
        <w:t xml:space="preserve">The Relation of Hearing in the </w:t>
      </w:r>
      <w:proofErr w:type="spellStart"/>
      <w:r w:rsidR="0038040C" w:rsidRPr="00AA7E32">
        <w:rPr>
          <w:i/>
        </w:rPr>
        <w:t>Elderly</w:t>
      </w:r>
      <w:proofErr w:type="spellEnd"/>
      <w:r w:rsidR="0038040C" w:rsidRPr="00AA7E32">
        <w:rPr>
          <w:i/>
        </w:rPr>
        <w:t xml:space="preserve"> to the </w:t>
      </w:r>
      <w:proofErr w:type="spellStart"/>
      <w:r w:rsidR="0038040C" w:rsidRPr="00AA7E32">
        <w:rPr>
          <w:i/>
        </w:rPr>
        <w:t>Presence</w:t>
      </w:r>
      <w:proofErr w:type="spellEnd"/>
      <w:r w:rsidR="0038040C" w:rsidRPr="00AA7E32">
        <w:rPr>
          <w:i/>
        </w:rPr>
        <w:t xml:space="preserve"> of </w:t>
      </w:r>
      <w:proofErr w:type="spellStart"/>
      <w:r w:rsidR="0038040C" w:rsidRPr="00AA7E32">
        <w:rPr>
          <w:i/>
        </w:rPr>
        <w:t>Cardiovascular</w:t>
      </w:r>
      <w:proofErr w:type="spellEnd"/>
      <w:r w:rsidR="0038040C" w:rsidRPr="00AA7E32">
        <w:rPr>
          <w:i/>
        </w:rPr>
        <w:t xml:space="preserve"> </w:t>
      </w:r>
      <w:proofErr w:type="spellStart"/>
      <w:r w:rsidR="0038040C" w:rsidRPr="00AA7E32">
        <w:rPr>
          <w:i/>
        </w:rPr>
        <w:t>Disease</w:t>
      </w:r>
      <w:proofErr w:type="spellEnd"/>
      <w:r w:rsidR="0038040C" w:rsidRPr="00AA7E32">
        <w:rPr>
          <w:i/>
        </w:rPr>
        <w:t xml:space="preserve"> and </w:t>
      </w:r>
      <w:proofErr w:type="spellStart"/>
      <w:r w:rsidR="0038040C" w:rsidRPr="00AA7E32">
        <w:rPr>
          <w:i/>
        </w:rPr>
        <w:t>Cardiovascular</w:t>
      </w:r>
      <w:proofErr w:type="spellEnd"/>
      <w:r w:rsidR="0038040C" w:rsidRPr="00AA7E32">
        <w:rPr>
          <w:i/>
        </w:rPr>
        <w:t xml:space="preserve"> Risk </w:t>
      </w:r>
      <w:proofErr w:type="spellStart"/>
      <w:r w:rsidR="0038040C" w:rsidRPr="00AA7E32">
        <w:rPr>
          <w:i/>
        </w:rPr>
        <w:t>Factors</w:t>
      </w:r>
      <w:proofErr w:type="spellEnd"/>
      <w:r w:rsidR="003D1F05">
        <w:t xml:space="preserve"> (</w:t>
      </w:r>
      <w:r w:rsidR="0038040C">
        <w:t>T-40</w:t>
      </w:r>
      <w:r w:rsidR="003D1F05">
        <w:t>)</w:t>
      </w:r>
      <w:r w:rsidR="0038040C">
        <w:t xml:space="preserve">. </w:t>
      </w:r>
    </w:p>
    <w:p w14:paraId="6625678E" w14:textId="77777777" w:rsidR="0038040C" w:rsidRDefault="0038040C" w:rsidP="0038040C">
      <w:pPr>
        <w:pStyle w:val="corpsdedcision"/>
        <w:tabs>
          <w:tab w:val="clear" w:pos="360"/>
          <w:tab w:val="num" w:pos="720"/>
        </w:tabs>
      </w:pPr>
      <w:r>
        <w:t xml:space="preserve">Dans cette étude, publiée en 1993, où l’on a suivi une cohorte de 1662 individus, </w:t>
      </w:r>
      <w:r w:rsidR="00283A49">
        <w:t>on conclut</w:t>
      </w:r>
      <w:r>
        <w:t xml:space="preserve"> que la presbyacousie dans les basses fréquences est associée de façon classique à une maladie microvasculaire entraînant une atrophie de la strie vasculaire. Donc, souligne monsieur Leroux, il ne s’agit pas d’une atteinte dans les hautes fréquences</w:t>
      </w:r>
      <w:r w:rsidR="00283A49">
        <w:t>,</w:t>
      </w:r>
      <w:r>
        <w:t xml:space="preserve"> comme le soutient le docteur Bertrand.</w:t>
      </w:r>
    </w:p>
    <w:p w14:paraId="4402ABAC" w14:textId="77777777" w:rsidR="00A23878" w:rsidRDefault="006B23A0" w:rsidP="0038040C">
      <w:pPr>
        <w:pStyle w:val="corpsdedcision"/>
        <w:tabs>
          <w:tab w:val="clear" w:pos="360"/>
          <w:tab w:val="num" w:pos="720"/>
        </w:tabs>
      </w:pPr>
      <w:r>
        <w:t>I</w:t>
      </w:r>
      <w:r w:rsidR="0038040C" w:rsidRPr="00495C9E">
        <w:t xml:space="preserve">l ressort que, chez les hommes, la baisse d’audition en basses fréquences est associée à des événements ischémiques cérébraux et à la maladie coronarienne alors que, chez la femme, les antécédents de maladie coronarienne, d’ischémie cérébrale et de maladie vasculaire périphérique sont associés à une atteinte dans les hautes et basses fréquences. </w:t>
      </w:r>
    </w:p>
    <w:p w14:paraId="3580AD57" w14:textId="77777777" w:rsidR="0038040C" w:rsidRDefault="0038040C" w:rsidP="0038040C">
      <w:pPr>
        <w:pStyle w:val="corpsdedcision"/>
        <w:tabs>
          <w:tab w:val="clear" w:pos="360"/>
          <w:tab w:val="num" w:pos="720"/>
        </w:tabs>
      </w:pPr>
      <w:r w:rsidRPr="00495C9E">
        <w:t>Les auteurs concluent</w:t>
      </w:r>
      <w:r>
        <w:t> :</w:t>
      </w:r>
    </w:p>
    <w:p w14:paraId="2486C3DD" w14:textId="77777777" w:rsidR="0038040C" w:rsidRPr="007D683F" w:rsidRDefault="0038040C" w:rsidP="0038040C">
      <w:pPr>
        <w:pStyle w:val="citation"/>
        <w:rPr>
          <w:lang w:val="en-CA"/>
        </w:rPr>
      </w:pPr>
      <w:r w:rsidRPr="007D683F">
        <w:rPr>
          <w:lang w:val="en-CA"/>
        </w:rPr>
        <w:t xml:space="preserve">The strongest relation of hearing and CVD was for the low-frequency thresholds. Because high-frequency loss is typical of sensory </w:t>
      </w:r>
      <w:proofErr w:type="spellStart"/>
      <w:r w:rsidRPr="007D683F">
        <w:rPr>
          <w:lang w:val="en-CA"/>
        </w:rPr>
        <w:t>presbyacousis</w:t>
      </w:r>
      <w:proofErr w:type="spellEnd"/>
      <w:r w:rsidRPr="007D683F">
        <w:rPr>
          <w:lang w:val="en-CA"/>
        </w:rPr>
        <w:t xml:space="preserve"> whether due to age-related degeneration, noise exposure, or </w:t>
      </w:r>
      <w:proofErr w:type="spellStart"/>
      <w:r w:rsidRPr="007D683F">
        <w:rPr>
          <w:lang w:val="en-CA"/>
        </w:rPr>
        <w:t>nosocusis</w:t>
      </w:r>
      <w:proofErr w:type="spellEnd"/>
      <w:r w:rsidRPr="007D683F">
        <w:rPr>
          <w:lang w:val="en-CA"/>
        </w:rPr>
        <w:t>, it is plausible to assume that CVD has no effect on high frequency hearing or that the effect is masked by the actions of these other factors.</w:t>
      </w:r>
    </w:p>
    <w:p w14:paraId="6114C648" w14:textId="77777777" w:rsidR="0038040C" w:rsidRPr="007D683F" w:rsidRDefault="0038040C" w:rsidP="0038040C">
      <w:pPr>
        <w:pStyle w:val="citation"/>
        <w:rPr>
          <w:lang w:val="en-CA"/>
        </w:rPr>
      </w:pPr>
    </w:p>
    <w:p w14:paraId="75079F8E" w14:textId="77777777" w:rsidR="0038040C" w:rsidRPr="007D683F" w:rsidRDefault="0038040C" w:rsidP="0038040C">
      <w:pPr>
        <w:pStyle w:val="citation"/>
        <w:rPr>
          <w:lang w:val="en-CA"/>
        </w:rPr>
      </w:pPr>
    </w:p>
    <w:p w14:paraId="4080FDE7" w14:textId="77777777" w:rsidR="00A23878" w:rsidRDefault="00A23878" w:rsidP="00B15142">
      <w:pPr>
        <w:pStyle w:val="corpsdedcision"/>
        <w:tabs>
          <w:tab w:val="clear" w:pos="360"/>
          <w:tab w:val="num" w:pos="720"/>
        </w:tabs>
      </w:pPr>
      <w:r>
        <w:t>Il faut noter</w:t>
      </w:r>
      <w:r w:rsidR="0038040C">
        <w:t xml:space="preserve"> que Gates soutient ici que les pertes en hautes fréquences sont typiques d’une presbyacousie sensorielle pouvant être reliée à la dégénérescence due à l’âge, à l’exposition au bruit ou au bruit environnemental</w:t>
      </w:r>
      <w:r w:rsidR="006B23A0">
        <w:t xml:space="preserve"> contrairement à ce qu’il exprimera ultérieurement dans son article de 2005</w:t>
      </w:r>
      <w:r w:rsidR="00283A49">
        <w:t>,</w:t>
      </w:r>
      <w:r w:rsidR="006B23A0">
        <w:t xml:space="preserve"> précité (T-39)</w:t>
      </w:r>
      <w:r w:rsidR="0038040C">
        <w:t>.</w:t>
      </w:r>
      <w:r w:rsidR="006B23A0">
        <w:t xml:space="preserve"> </w:t>
      </w:r>
    </w:p>
    <w:p w14:paraId="2F994F60" w14:textId="77777777" w:rsidR="0038040C" w:rsidRDefault="0038040C" w:rsidP="00B15142">
      <w:pPr>
        <w:pStyle w:val="corpsdedcision"/>
        <w:tabs>
          <w:tab w:val="clear" w:pos="360"/>
          <w:tab w:val="num" w:pos="720"/>
        </w:tabs>
      </w:pPr>
      <w:r>
        <w:t xml:space="preserve">Le dernier commentaire à propos du rapport du docteur Bertrand concerne la notion de vibrations dont il est question à la page 9. Le docteur Bertrand réfère à l’étude </w:t>
      </w:r>
      <w:proofErr w:type="spellStart"/>
      <w:r w:rsidRPr="00A23878">
        <w:rPr>
          <w:i/>
        </w:rPr>
        <w:t>Evaluation</w:t>
      </w:r>
      <w:proofErr w:type="spellEnd"/>
      <w:r w:rsidRPr="00A23878">
        <w:rPr>
          <w:i/>
        </w:rPr>
        <w:t xml:space="preserve"> of Noise Level, </w:t>
      </w:r>
      <w:proofErr w:type="spellStart"/>
      <w:r w:rsidRPr="00A23878">
        <w:rPr>
          <w:i/>
        </w:rPr>
        <w:t>Whole</w:t>
      </w:r>
      <w:proofErr w:type="spellEnd"/>
      <w:r w:rsidRPr="00A23878">
        <w:rPr>
          <w:i/>
        </w:rPr>
        <w:t xml:space="preserve">-Body Vibration, and Air </w:t>
      </w:r>
      <w:proofErr w:type="spellStart"/>
      <w:r w:rsidRPr="00A23878">
        <w:rPr>
          <w:i/>
        </w:rPr>
        <w:t>Quality</w:t>
      </w:r>
      <w:proofErr w:type="spellEnd"/>
      <w:r w:rsidRPr="00A23878">
        <w:rPr>
          <w:i/>
        </w:rPr>
        <w:t xml:space="preserve"> Inside Cabs of Heavy-Duty Diesel </w:t>
      </w:r>
      <w:proofErr w:type="spellStart"/>
      <w:r w:rsidRPr="00A23878">
        <w:rPr>
          <w:i/>
        </w:rPr>
        <w:t>Vehicles</w:t>
      </w:r>
      <w:proofErr w:type="spellEnd"/>
      <w:r w:rsidR="00283A49">
        <w:rPr>
          <w:i/>
        </w:rPr>
        <w:t xml:space="preserve"> </w:t>
      </w:r>
      <w:r w:rsidR="00283A49">
        <w:t>(onglet 6 - E-49),</w:t>
      </w:r>
      <w:r>
        <w:t xml:space="preserve"> de l’auteur Fu et collaborateurs. Il conclut à partir de celle-ci que les niveaux d’exposition aux vibrations du travailleur sont sécuritaires. Monsieur Leroux fait valoir que cette étude a porté sur des camions de 53 pieds, modèles 2002 à 2008, complètement différents de ceux qu’a conduit le travailleur. Il n’est donc pas possible de transposer les résultats de cette étude à sa situation.</w:t>
      </w:r>
    </w:p>
    <w:p w14:paraId="2786E227" w14:textId="77777777" w:rsidR="009914A0" w:rsidRDefault="0038040C" w:rsidP="00BA6EE9">
      <w:pPr>
        <w:pStyle w:val="corpsdedcision"/>
        <w:tabs>
          <w:tab w:val="clear" w:pos="360"/>
          <w:tab w:val="num" w:pos="720"/>
        </w:tabs>
      </w:pPr>
      <w:r w:rsidRPr="00495C9E">
        <w:lastRenderedPageBreak/>
        <w:t>Il souligne par ailleurs que les auteurs ont retenu</w:t>
      </w:r>
      <w:r w:rsidR="00283A49">
        <w:t>,</w:t>
      </w:r>
      <w:r w:rsidRPr="00495C9E">
        <w:t xml:space="preserve"> comme seuil au-delà duquel il y aura un risque pour la santé celui de la communauté européenne, 0,5 m/s</w:t>
      </w:r>
      <w:r w:rsidRPr="009914A0">
        <w:rPr>
          <w:vertAlign w:val="superscript"/>
        </w:rPr>
        <w:t>2</w:t>
      </w:r>
      <w:r w:rsidRPr="00495C9E">
        <w:t xml:space="preserve"> pour 8 heures de conduite par jour. </w:t>
      </w:r>
    </w:p>
    <w:p w14:paraId="7C9EC88F" w14:textId="77777777" w:rsidR="0038040C" w:rsidRDefault="000B4B35" w:rsidP="00BA6EE9">
      <w:pPr>
        <w:pStyle w:val="corpsdedcision"/>
        <w:tabs>
          <w:tab w:val="clear" w:pos="360"/>
          <w:tab w:val="num" w:pos="720"/>
        </w:tabs>
      </w:pPr>
      <w:r>
        <w:t>Afin</w:t>
      </w:r>
      <w:r w:rsidR="0038040C">
        <w:t xml:space="preserve"> </w:t>
      </w:r>
      <w:r w:rsidR="00A23878">
        <w:t>d</w:t>
      </w:r>
      <w:r w:rsidR="00B36ED9">
        <w:t>e démontrer que le</w:t>
      </w:r>
      <w:r w:rsidR="0038040C">
        <w:t xml:space="preserve"> travailleur a été exposé à des vibrations du corps entier, monsieur Leroux dépose une étude, publiée en 1999, où les auteurs ont fait une revue de la littérature sur le sujet : </w:t>
      </w:r>
      <w:r w:rsidR="0038040C" w:rsidRPr="009914A0">
        <w:rPr>
          <w:i/>
        </w:rPr>
        <w:t xml:space="preserve">An </w:t>
      </w:r>
      <w:proofErr w:type="spellStart"/>
      <w:r w:rsidR="0038040C" w:rsidRPr="009914A0">
        <w:rPr>
          <w:i/>
        </w:rPr>
        <w:t>updated</w:t>
      </w:r>
      <w:proofErr w:type="spellEnd"/>
      <w:r w:rsidR="0038040C" w:rsidRPr="009914A0">
        <w:rPr>
          <w:i/>
        </w:rPr>
        <w:t xml:space="preserve"> </w:t>
      </w:r>
      <w:proofErr w:type="spellStart"/>
      <w:r w:rsidR="0038040C" w:rsidRPr="009914A0">
        <w:rPr>
          <w:i/>
        </w:rPr>
        <w:t>review</w:t>
      </w:r>
      <w:proofErr w:type="spellEnd"/>
      <w:r w:rsidR="0038040C" w:rsidRPr="009914A0">
        <w:rPr>
          <w:i/>
        </w:rPr>
        <w:t xml:space="preserve"> of </w:t>
      </w:r>
      <w:proofErr w:type="spellStart"/>
      <w:r w:rsidR="0038040C" w:rsidRPr="009914A0">
        <w:rPr>
          <w:i/>
        </w:rPr>
        <w:t>epidemiologic</w:t>
      </w:r>
      <w:proofErr w:type="spellEnd"/>
      <w:r w:rsidR="0038040C" w:rsidRPr="009914A0">
        <w:rPr>
          <w:i/>
        </w:rPr>
        <w:t xml:space="preserve"> </w:t>
      </w:r>
      <w:proofErr w:type="spellStart"/>
      <w:r w:rsidR="0038040C" w:rsidRPr="009914A0">
        <w:rPr>
          <w:i/>
        </w:rPr>
        <w:t>studies</w:t>
      </w:r>
      <w:proofErr w:type="spellEnd"/>
      <w:r w:rsidR="0038040C" w:rsidRPr="009914A0">
        <w:rPr>
          <w:i/>
        </w:rPr>
        <w:t xml:space="preserve"> on the </w:t>
      </w:r>
      <w:proofErr w:type="spellStart"/>
      <w:r w:rsidR="0038040C" w:rsidRPr="009914A0">
        <w:rPr>
          <w:i/>
        </w:rPr>
        <w:t>relationship</w:t>
      </w:r>
      <w:proofErr w:type="spellEnd"/>
      <w:r w:rsidR="0038040C" w:rsidRPr="009914A0">
        <w:rPr>
          <w:i/>
        </w:rPr>
        <w:t xml:space="preserve"> </w:t>
      </w:r>
      <w:proofErr w:type="spellStart"/>
      <w:r w:rsidR="0038040C" w:rsidRPr="009914A0">
        <w:rPr>
          <w:i/>
        </w:rPr>
        <w:t>between</w:t>
      </w:r>
      <w:proofErr w:type="spellEnd"/>
      <w:r w:rsidR="0038040C" w:rsidRPr="009914A0">
        <w:rPr>
          <w:i/>
        </w:rPr>
        <w:t xml:space="preserve"> </w:t>
      </w:r>
      <w:proofErr w:type="spellStart"/>
      <w:r w:rsidR="0038040C" w:rsidRPr="009914A0">
        <w:rPr>
          <w:i/>
        </w:rPr>
        <w:t>exposure</w:t>
      </w:r>
      <w:proofErr w:type="spellEnd"/>
      <w:r w:rsidR="0038040C" w:rsidRPr="009914A0">
        <w:rPr>
          <w:i/>
        </w:rPr>
        <w:t xml:space="preserve"> to </w:t>
      </w:r>
      <w:proofErr w:type="spellStart"/>
      <w:r w:rsidR="0038040C" w:rsidRPr="009914A0">
        <w:rPr>
          <w:i/>
        </w:rPr>
        <w:t>whole</w:t>
      </w:r>
      <w:proofErr w:type="spellEnd"/>
      <w:r w:rsidR="0038040C" w:rsidRPr="009914A0">
        <w:rPr>
          <w:i/>
        </w:rPr>
        <w:t xml:space="preserve">-body vibration and </w:t>
      </w:r>
      <w:proofErr w:type="spellStart"/>
      <w:r w:rsidR="0038040C" w:rsidRPr="009914A0">
        <w:rPr>
          <w:i/>
        </w:rPr>
        <w:t>low</w:t>
      </w:r>
      <w:proofErr w:type="spellEnd"/>
      <w:r w:rsidR="0038040C" w:rsidRPr="009914A0">
        <w:rPr>
          <w:i/>
        </w:rPr>
        <w:t xml:space="preserve"> back pain</w:t>
      </w:r>
      <w:r w:rsidR="003D1F05">
        <w:t xml:space="preserve"> (1986-1997)</w:t>
      </w:r>
      <w:r w:rsidR="0038040C">
        <w:t xml:space="preserve"> </w:t>
      </w:r>
      <w:r w:rsidR="003D1F05">
        <w:t>(</w:t>
      </w:r>
      <w:r w:rsidR="0038040C">
        <w:t>T-41</w:t>
      </w:r>
      <w:r w:rsidR="003D1F05">
        <w:t>)</w:t>
      </w:r>
      <w:r w:rsidR="0038040C">
        <w:t>.</w:t>
      </w:r>
    </w:p>
    <w:p w14:paraId="72810058" w14:textId="77777777" w:rsidR="0038040C" w:rsidRDefault="0038040C" w:rsidP="0038040C">
      <w:pPr>
        <w:pStyle w:val="corpsdedcision"/>
        <w:tabs>
          <w:tab w:val="clear" w:pos="360"/>
          <w:tab w:val="num" w:pos="720"/>
        </w:tabs>
      </w:pPr>
      <w:r>
        <w:t xml:space="preserve">Il réfère le tribunal à la page 353, tableau 1, où est expliqué le système de cotation que les auteurs ont retenu pour qualifier les études disponibles. Parmi celles-ci, quatre concernaient les conducteurs de tracteurs, soit les références 4, 11, 15 et 58. </w:t>
      </w:r>
    </w:p>
    <w:p w14:paraId="59F72D79" w14:textId="77777777" w:rsidR="0038040C" w:rsidRDefault="0038040C" w:rsidP="0038040C">
      <w:pPr>
        <w:pStyle w:val="corpsdedcision"/>
        <w:tabs>
          <w:tab w:val="clear" w:pos="360"/>
          <w:tab w:val="num" w:pos="720"/>
        </w:tabs>
      </w:pPr>
      <w:r>
        <w:t xml:space="preserve">Les études de </w:t>
      </w:r>
      <w:proofErr w:type="spellStart"/>
      <w:r>
        <w:t>Boshuizen</w:t>
      </w:r>
      <w:proofErr w:type="spellEnd"/>
      <w:r>
        <w:t xml:space="preserve"> et al. (</w:t>
      </w:r>
      <w:proofErr w:type="gramStart"/>
      <w:r>
        <w:t>réf</w:t>
      </w:r>
      <w:proofErr w:type="gramEnd"/>
      <w:r>
        <w:t xml:space="preserve"> 11 et 15</w:t>
      </w:r>
      <w:r w:rsidR="00DF49B5">
        <w:t xml:space="preserve"> de T-41</w:t>
      </w:r>
      <w:r>
        <w:t>) ont toutes deux donné des résultats d</w:t>
      </w:r>
      <w:r w:rsidR="00A23878">
        <w:t>’exposition moyenne de 0,</w:t>
      </w:r>
      <w:r w:rsidR="003D1F05">
        <w:t>72 m</w:t>
      </w:r>
      <w:r w:rsidR="00A23878">
        <w:t>/</w:t>
      </w:r>
      <w:r w:rsidR="003D1F05">
        <w:t>s</w:t>
      </w:r>
      <w:r w:rsidRPr="003D1F05">
        <w:rPr>
          <w:vertAlign w:val="superscript"/>
        </w:rPr>
        <w:t>2</w:t>
      </w:r>
      <w:r>
        <w:t>. Pour les deux autres études, les résu</w:t>
      </w:r>
      <w:r w:rsidR="00A23878">
        <w:t>ltats sont : Bovenzi (réf 4</w:t>
      </w:r>
      <w:r w:rsidR="00DF49B5">
        <w:t xml:space="preserve"> de T-41</w:t>
      </w:r>
      <w:r w:rsidR="00A23878">
        <w:t>), 1,</w:t>
      </w:r>
      <w:r>
        <w:t xml:space="preserve">06 </w:t>
      </w:r>
      <w:r w:rsidR="003D1F05" w:rsidRPr="001F4FEB">
        <w:t>m</w:t>
      </w:r>
      <w:r w:rsidR="00A23878">
        <w:t>/</w:t>
      </w:r>
      <w:r w:rsidR="003D1F05" w:rsidRPr="001F4FEB">
        <w:t>s</w:t>
      </w:r>
      <w:r w:rsidR="003D1F05">
        <w:rPr>
          <w:vertAlign w:val="superscript"/>
        </w:rPr>
        <w:t>2</w:t>
      </w:r>
      <w:r w:rsidR="008E2FC1">
        <w:t xml:space="preserve"> </w:t>
      </w:r>
      <w:r w:rsidRPr="003D1F05">
        <w:t>et</w:t>
      </w:r>
      <w:r>
        <w:t xml:space="preserve"> Sandover (r</w:t>
      </w:r>
      <w:r w:rsidR="00A23878">
        <w:t>éf 58</w:t>
      </w:r>
      <w:r w:rsidR="00DF49B5">
        <w:t xml:space="preserve"> de T-41</w:t>
      </w:r>
      <w:r w:rsidR="00A23878">
        <w:t>), des valeurs allant de 0,35 à 1,</w:t>
      </w:r>
      <w:r>
        <w:t>45 m</w:t>
      </w:r>
      <w:r w:rsidR="00A23878">
        <w:t>/</w:t>
      </w:r>
      <w:r>
        <w:t>s</w:t>
      </w:r>
      <w:r w:rsidR="003D1F05">
        <w:rPr>
          <w:vertAlign w:val="superscript"/>
        </w:rPr>
        <w:t>2</w:t>
      </w:r>
      <w:r>
        <w:t>.</w:t>
      </w:r>
    </w:p>
    <w:p w14:paraId="7A985E62" w14:textId="77777777" w:rsidR="0038040C" w:rsidRDefault="0038040C" w:rsidP="0038040C">
      <w:pPr>
        <w:pStyle w:val="corpsdedcision"/>
        <w:tabs>
          <w:tab w:val="clear" w:pos="360"/>
          <w:tab w:val="num" w:pos="720"/>
        </w:tabs>
      </w:pPr>
      <w:r>
        <w:t>Les auteurs concluent à la page 363 que le fait que la plupart des résultats aillent au-delà de la valeur du niveau d’action soit 0</w:t>
      </w:r>
      <w:r w:rsidR="00A23878">
        <w:t>,</w:t>
      </w:r>
      <w:r w:rsidR="003D1F05">
        <w:t>5 m</w:t>
      </w:r>
      <w:r w:rsidR="00B36ED9">
        <w:t>/</w:t>
      </w:r>
      <w:r w:rsidR="003D1F05">
        <w:t>s</w:t>
      </w:r>
      <w:r w:rsidR="003D1F05">
        <w:rPr>
          <w:vertAlign w:val="superscript"/>
        </w:rPr>
        <w:t>2</w:t>
      </w:r>
      <w:r>
        <w:t xml:space="preserve"> et même au-delà de la </w:t>
      </w:r>
      <w:r w:rsidR="00A23878">
        <w:t>valeur d’exposition limite de 0,</w:t>
      </w:r>
      <w:r>
        <w:t xml:space="preserve">7 </w:t>
      </w:r>
      <w:r w:rsidR="003D1F05">
        <w:t>m</w:t>
      </w:r>
      <w:r w:rsidR="00B36ED9">
        <w:t>/</w:t>
      </w:r>
      <w:r w:rsidR="003D1F05">
        <w:t>s</w:t>
      </w:r>
      <w:r w:rsidR="003D1F05">
        <w:rPr>
          <w:vertAlign w:val="superscript"/>
        </w:rPr>
        <w:t>2</w:t>
      </w:r>
      <w:r w:rsidR="003D1F05">
        <w:t xml:space="preserve"> </w:t>
      </w:r>
      <w:r w:rsidRPr="003D1F05">
        <w:t>proposée</w:t>
      </w:r>
      <w:r>
        <w:t xml:space="preserve"> par la Direction des agents physiques de l’Union européenne, cela démontre qu’il s’agit d’une problématique à laquelle il faut s’intéresser.</w:t>
      </w:r>
    </w:p>
    <w:p w14:paraId="4269D73A" w14:textId="77777777" w:rsidR="0038040C" w:rsidRDefault="0038040C" w:rsidP="003D1F05">
      <w:pPr>
        <w:pStyle w:val="corpsdedcision"/>
        <w:tabs>
          <w:tab w:val="clear" w:pos="360"/>
          <w:tab w:val="num" w:pos="720"/>
        </w:tabs>
      </w:pPr>
      <w:r>
        <w:t xml:space="preserve"> Concernant le type de remorques étudiées dans ces quatre références, monsieur Leroux précise qu’il ne s’agit pas de tracteurs de ferme</w:t>
      </w:r>
      <w:r w:rsidR="000B4B35">
        <w:t>,</w:t>
      </w:r>
      <w:r>
        <w:t xml:space="preserve"> mais d’une grande variété de tracteurs de remorque incluant les différents modèles que conduisait le travailleur.</w:t>
      </w:r>
    </w:p>
    <w:p w14:paraId="7172AF0C" w14:textId="77777777" w:rsidR="0038040C" w:rsidRDefault="00DF49B5" w:rsidP="0038040C">
      <w:pPr>
        <w:pStyle w:val="corpsdedcision"/>
        <w:tabs>
          <w:tab w:val="clear" w:pos="360"/>
          <w:tab w:val="num" w:pos="720"/>
        </w:tabs>
      </w:pPr>
      <w:r>
        <w:t>Toutefois le titre de l’étude de</w:t>
      </w:r>
      <w:r w:rsidR="0038040C">
        <w:t xml:space="preserve"> l’auteur Bovenzi</w:t>
      </w:r>
      <w:r>
        <w:t xml:space="preserve"> à laquelle réfère monsieur Leroux</w:t>
      </w:r>
      <w:r w:rsidR="0038040C">
        <w:t xml:space="preserve"> </w:t>
      </w:r>
      <w:r>
        <w:t>se lit comme suit</w:t>
      </w:r>
      <w:r w:rsidR="0038040C">
        <w:t xml:space="preserve"> : </w:t>
      </w:r>
      <w:r w:rsidR="0038040C" w:rsidRPr="00AA7E32">
        <w:rPr>
          <w:i/>
        </w:rPr>
        <w:t xml:space="preserve">Low-back </w:t>
      </w:r>
      <w:proofErr w:type="spellStart"/>
      <w:r w:rsidR="0038040C" w:rsidRPr="00AA7E32">
        <w:rPr>
          <w:i/>
        </w:rPr>
        <w:t>disorders</w:t>
      </w:r>
      <w:proofErr w:type="spellEnd"/>
      <w:r w:rsidR="0038040C" w:rsidRPr="00AA7E32">
        <w:rPr>
          <w:i/>
        </w:rPr>
        <w:t xml:space="preserve"> </w:t>
      </w:r>
      <w:r w:rsidR="0038040C" w:rsidRPr="000B4B35">
        <w:rPr>
          <w:i/>
        </w:rPr>
        <w:t xml:space="preserve">in agricultural </w:t>
      </w:r>
      <w:proofErr w:type="spellStart"/>
      <w:r w:rsidR="0038040C" w:rsidRPr="000B4B35">
        <w:rPr>
          <w:i/>
        </w:rPr>
        <w:t>tractor</w:t>
      </w:r>
      <w:proofErr w:type="spellEnd"/>
      <w:r w:rsidR="0038040C" w:rsidRPr="00AA7E32">
        <w:rPr>
          <w:i/>
        </w:rPr>
        <w:t xml:space="preserve"> drivers </w:t>
      </w:r>
      <w:proofErr w:type="spellStart"/>
      <w:r w:rsidR="0038040C" w:rsidRPr="00AA7E32">
        <w:rPr>
          <w:i/>
        </w:rPr>
        <w:t>exposed</w:t>
      </w:r>
      <w:proofErr w:type="spellEnd"/>
      <w:r w:rsidR="0038040C" w:rsidRPr="00AA7E32">
        <w:rPr>
          <w:i/>
        </w:rPr>
        <w:t xml:space="preserve"> to </w:t>
      </w:r>
      <w:proofErr w:type="spellStart"/>
      <w:r w:rsidR="0038040C" w:rsidRPr="00AA7E32">
        <w:rPr>
          <w:i/>
        </w:rPr>
        <w:t>whole</w:t>
      </w:r>
      <w:proofErr w:type="spellEnd"/>
      <w:r w:rsidR="0038040C" w:rsidRPr="00AA7E32">
        <w:rPr>
          <w:i/>
        </w:rPr>
        <w:t>-body vibration and postural stress</w:t>
      </w:r>
      <w:r w:rsidR="0038040C">
        <w:t>.</w:t>
      </w:r>
    </w:p>
    <w:p w14:paraId="57B25D8A" w14:textId="77777777" w:rsidR="0038040C" w:rsidRDefault="0038040C" w:rsidP="0038040C">
      <w:pPr>
        <w:pStyle w:val="corpsdedcision"/>
        <w:tabs>
          <w:tab w:val="clear" w:pos="360"/>
          <w:tab w:val="num" w:pos="720"/>
        </w:tabs>
      </w:pPr>
      <w:r>
        <w:t xml:space="preserve">Quant à </w:t>
      </w:r>
      <w:proofErr w:type="spellStart"/>
      <w:r>
        <w:t>Boshuizen</w:t>
      </w:r>
      <w:proofErr w:type="spellEnd"/>
      <w:r>
        <w:t>, cet auteur précise dans chacun des résumés des deux articles cités ci-haut</w:t>
      </w:r>
      <w:r w:rsidR="000B4B35">
        <w:t>,</w:t>
      </w:r>
      <w:r>
        <w:t xml:space="preserve"> que l’étude a porté surtout sur des tracteurs de ferme. Enfin, le rapport d’étude de Sandover est cité dans une revue de littérature portant sur les problèmes musculosquelettiques prévalant chez les travailleurs de la ferme. </w:t>
      </w:r>
    </w:p>
    <w:p w14:paraId="70BB4C79" w14:textId="77777777" w:rsidR="0038040C" w:rsidRPr="007F6E8E" w:rsidRDefault="0038040C" w:rsidP="0038040C">
      <w:pPr>
        <w:pStyle w:val="corpsdedcision"/>
        <w:tabs>
          <w:tab w:val="clear" w:pos="360"/>
          <w:tab w:val="num" w:pos="720"/>
        </w:tabs>
      </w:pPr>
      <w:r>
        <w:t>Puis,</w:t>
      </w:r>
      <w:r w:rsidR="001578C9">
        <w:t xml:space="preserve"> </w:t>
      </w:r>
      <w:r w:rsidR="00B36ED9">
        <w:t>monsieur Leroux</w:t>
      </w:r>
      <w:r>
        <w:t xml:space="preserve"> dépose un document portant sur les </w:t>
      </w:r>
      <w:proofErr w:type="gramStart"/>
      <w:r>
        <w:t>vibrations  extrait</w:t>
      </w:r>
      <w:proofErr w:type="gramEnd"/>
      <w:r>
        <w:t xml:space="preserve"> des comptes rendus d’un a</w:t>
      </w:r>
      <w:r w:rsidR="00C371BE">
        <w:t>telier international intitulé « </w:t>
      </w:r>
      <w:proofErr w:type="spellStart"/>
      <w:r w:rsidRPr="007F6E8E">
        <w:rPr>
          <w:i/>
        </w:rPr>
        <w:t>Synergistic</w:t>
      </w:r>
      <w:proofErr w:type="spellEnd"/>
      <w:r w:rsidRPr="007F6E8E">
        <w:rPr>
          <w:i/>
        </w:rPr>
        <w:t xml:space="preserve"> </w:t>
      </w:r>
      <w:proofErr w:type="spellStart"/>
      <w:r w:rsidRPr="007F6E8E">
        <w:rPr>
          <w:i/>
        </w:rPr>
        <w:t>exposure</w:t>
      </w:r>
      <w:proofErr w:type="spellEnd"/>
      <w:r w:rsidRPr="007F6E8E">
        <w:rPr>
          <w:i/>
        </w:rPr>
        <w:t xml:space="preserve"> to n</w:t>
      </w:r>
      <w:r w:rsidRPr="00AA7E32">
        <w:rPr>
          <w:i/>
        </w:rPr>
        <w:t xml:space="preserve">oise, vibrations and </w:t>
      </w:r>
      <w:proofErr w:type="spellStart"/>
      <w:r w:rsidRPr="00AA7E32">
        <w:rPr>
          <w:i/>
        </w:rPr>
        <w:t>ototoxic</w:t>
      </w:r>
      <w:proofErr w:type="spellEnd"/>
      <w:r w:rsidRPr="00AA7E32">
        <w:rPr>
          <w:i/>
        </w:rPr>
        <w:t xml:space="preserve"> substances</w:t>
      </w:r>
      <w:r w:rsidR="003D1F05">
        <w:t> » (</w:t>
      </w:r>
      <w:r>
        <w:t>T-43</w:t>
      </w:r>
      <w:r w:rsidR="003D1F05">
        <w:t>)</w:t>
      </w:r>
      <w:r>
        <w:t xml:space="preserve">. Il réfère plus précisément à la présentation </w:t>
      </w:r>
      <w:r w:rsidRPr="00AA7E32">
        <w:rPr>
          <w:i/>
        </w:rPr>
        <w:t xml:space="preserve">The combinations of </w:t>
      </w:r>
      <w:proofErr w:type="spellStart"/>
      <w:r w:rsidRPr="00AA7E32">
        <w:rPr>
          <w:i/>
        </w:rPr>
        <w:t>exposure</w:t>
      </w:r>
      <w:proofErr w:type="spellEnd"/>
      <w:r w:rsidRPr="00AA7E32">
        <w:rPr>
          <w:i/>
        </w:rPr>
        <w:t xml:space="preserve"> to noise, vibration and </w:t>
      </w:r>
      <w:proofErr w:type="spellStart"/>
      <w:r w:rsidRPr="00AA7E32">
        <w:rPr>
          <w:i/>
        </w:rPr>
        <w:t>ergonomic</w:t>
      </w:r>
      <w:proofErr w:type="spellEnd"/>
      <w:r w:rsidRPr="00AA7E32">
        <w:rPr>
          <w:i/>
        </w:rPr>
        <w:t xml:space="preserve"> </w:t>
      </w:r>
      <w:proofErr w:type="spellStart"/>
      <w:r w:rsidRPr="00AA7E32">
        <w:rPr>
          <w:i/>
        </w:rPr>
        <w:t>stressors</w:t>
      </w:r>
      <w:proofErr w:type="spellEnd"/>
      <w:r w:rsidRPr="00AA7E32">
        <w:rPr>
          <w:i/>
        </w:rPr>
        <w:t xml:space="preserve"> in the </w:t>
      </w:r>
      <w:proofErr w:type="spellStart"/>
      <w:r w:rsidRPr="00AA7E32">
        <w:rPr>
          <w:i/>
        </w:rPr>
        <w:t>swedish</w:t>
      </w:r>
      <w:proofErr w:type="spellEnd"/>
      <w:r w:rsidRPr="00AA7E32">
        <w:rPr>
          <w:i/>
        </w:rPr>
        <w:t xml:space="preserve"> </w:t>
      </w:r>
      <w:proofErr w:type="spellStart"/>
      <w:r w:rsidRPr="00AA7E32">
        <w:rPr>
          <w:i/>
        </w:rPr>
        <w:t>work</w:t>
      </w:r>
      <w:proofErr w:type="spellEnd"/>
      <w:r w:rsidRPr="00AA7E32">
        <w:rPr>
          <w:i/>
        </w:rPr>
        <w:t xml:space="preserve"> force affect </w:t>
      </w:r>
      <w:proofErr w:type="spellStart"/>
      <w:r w:rsidRPr="00AA7E32">
        <w:rPr>
          <w:i/>
        </w:rPr>
        <w:t>health</w:t>
      </w:r>
      <w:proofErr w:type="spellEnd"/>
      <w:r w:rsidRPr="00AA7E32">
        <w:rPr>
          <w:i/>
        </w:rPr>
        <w:t xml:space="preserve"> </w:t>
      </w:r>
      <w:proofErr w:type="spellStart"/>
      <w:r w:rsidRPr="00AA7E32">
        <w:rPr>
          <w:i/>
        </w:rPr>
        <w:t>outcomes</w:t>
      </w:r>
      <w:proofErr w:type="spellEnd"/>
      <w:r w:rsidR="000B4B35">
        <w:rPr>
          <w:i/>
        </w:rPr>
        <w:t>,</w:t>
      </w:r>
      <w:r w:rsidRPr="007F6E8E">
        <w:rPr>
          <w:i/>
        </w:rPr>
        <w:t xml:space="preserve"> </w:t>
      </w:r>
      <w:r w:rsidRPr="00AA7E32">
        <w:t>aux pages 23 à 32.</w:t>
      </w:r>
    </w:p>
    <w:p w14:paraId="5C71B9E3" w14:textId="77777777" w:rsidR="0038040C" w:rsidRDefault="0038040C" w:rsidP="0038040C">
      <w:pPr>
        <w:pStyle w:val="corpsdedcision"/>
        <w:tabs>
          <w:tab w:val="clear" w:pos="360"/>
          <w:tab w:val="num" w:pos="720"/>
        </w:tabs>
      </w:pPr>
      <w:r>
        <w:lastRenderedPageBreak/>
        <w:t>Il s’agit d’une étude réalisée entre 1997 et 2009 par entre</w:t>
      </w:r>
      <w:r w:rsidR="00857AB0">
        <w:t xml:space="preserve">vues téléphoniques auprès de 12 </w:t>
      </w:r>
      <w:r>
        <w:t>546 tr</w:t>
      </w:r>
      <w:r w:rsidR="00857AB0">
        <w:t xml:space="preserve">availleurs et dont 9 </w:t>
      </w:r>
      <w:r>
        <w:t xml:space="preserve">798 d’entre eux ont aussi été questionnés en personne. Le but était d’évaluer s’il y avait un risque entre l’exposition au bruit, aux vibrations et les problèmes d’audition et musculosquelettiques. </w:t>
      </w:r>
    </w:p>
    <w:p w14:paraId="11F523F1" w14:textId="77777777" w:rsidR="0038040C" w:rsidRDefault="0038040C" w:rsidP="0038040C">
      <w:pPr>
        <w:pStyle w:val="corpsdedcision"/>
        <w:tabs>
          <w:tab w:val="clear" w:pos="360"/>
          <w:tab w:val="num" w:pos="720"/>
        </w:tabs>
      </w:pPr>
      <w:r>
        <w:t xml:space="preserve">Les auteurs expliquent que le mécanisme proposé, par lequel les vibrations peuvent engendrer un problème d’audition, serait une vasoconstriction par stimulation du système sympathique. </w:t>
      </w:r>
      <w:r w:rsidR="001578C9">
        <w:t>Ils précisent toutefois</w:t>
      </w:r>
      <w:r>
        <w:t xml:space="preserve"> que cette explication vaudrait pour les cas de problèmes auditifs en présence de maladie de Raynaud</w:t>
      </w:r>
      <w:r w:rsidR="00B36ED9">
        <w:t xml:space="preserve"> seulement.</w:t>
      </w:r>
    </w:p>
    <w:p w14:paraId="04708C4D" w14:textId="77777777" w:rsidR="0038040C" w:rsidRDefault="0038040C" w:rsidP="0038040C">
      <w:pPr>
        <w:pStyle w:val="corpsdedcision"/>
        <w:tabs>
          <w:tab w:val="clear" w:pos="360"/>
          <w:tab w:val="num" w:pos="720"/>
        </w:tabs>
      </w:pPr>
      <w:r>
        <w:t>Monsieur Leroux commente les résultats de l’étude et fait ressortir que l’exposition aux vibrations du corps entier seule n’a p</w:t>
      </w:r>
      <w:r w:rsidR="00B74282">
        <w:t>as d’effet sur l’audition</w:t>
      </w:r>
      <w:r w:rsidR="00281D0E">
        <w:t>,</w:t>
      </w:r>
      <w:r w:rsidR="00B74282">
        <w:t xml:space="preserve"> mais</w:t>
      </w:r>
      <w:r>
        <w:t xml:space="preserve"> lorsque couplée à une exposition au bruit, on observe une augmentation significative de la prévalence de perte auditive par rapport aux person</w:t>
      </w:r>
      <w:r w:rsidR="001578C9">
        <w:t>nes non exposées. Elle est de 5,</w:t>
      </w:r>
      <w:r>
        <w:t>5 avec</w:t>
      </w:r>
      <w:r w:rsidR="00D409F6">
        <w:t xml:space="preserve"> un intervalle de confiance</w:t>
      </w:r>
      <w:r w:rsidR="001578C9">
        <w:t xml:space="preserve"> allant de 3,0 à 9,</w:t>
      </w:r>
      <w:r>
        <w:t xml:space="preserve">8. </w:t>
      </w:r>
    </w:p>
    <w:p w14:paraId="6CC31ED7" w14:textId="77777777" w:rsidR="0038040C" w:rsidRDefault="001578C9" w:rsidP="0038040C">
      <w:pPr>
        <w:pStyle w:val="corpsdedcision"/>
        <w:tabs>
          <w:tab w:val="clear" w:pos="360"/>
          <w:tab w:val="num" w:pos="720"/>
        </w:tabs>
      </w:pPr>
      <w:r>
        <w:t>Pour compléter sa preuve sur l’</w:t>
      </w:r>
      <w:r w:rsidR="00B36ED9">
        <w:t>effet des vi</w:t>
      </w:r>
      <w:r>
        <w:t>brations du corps entier sur l’a</w:t>
      </w:r>
      <w:r w:rsidR="00B36ED9">
        <w:t xml:space="preserve">udition, </w:t>
      </w:r>
      <w:r w:rsidR="008E2FC1">
        <w:t>m</w:t>
      </w:r>
      <w:r w:rsidR="0038040C">
        <w:t>onsieur Leroux présente</w:t>
      </w:r>
      <w:r w:rsidR="00B36ED9">
        <w:t xml:space="preserve"> l’étude</w:t>
      </w:r>
      <w:r w:rsidR="0038040C">
        <w:t xml:space="preserve"> </w:t>
      </w:r>
      <w:r w:rsidR="0038040C" w:rsidRPr="00AA7E32">
        <w:rPr>
          <w:i/>
        </w:rPr>
        <w:t>Noise-</w:t>
      </w:r>
      <w:proofErr w:type="spellStart"/>
      <w:r w:rsidR="0038040C" w:rsidRPr="00AA7E32">
        <w:rPr>
          <w:i/>
        </w:rPr>
        <w:t>induced</w:t>
      </w:r>
      <w:proofErr w:type="spellEnd"/>
      <w:r w:rsidR="0038040C" w:rsidRPr="00AA7E32">
        <w:rPr>
          <w:i/>
        </w:rPr>
        <w:t xml:space="preserve"> </w:t>
      </w:r>
      <w:proofErr w:type="spellStart"/>
      <w:r w:rsidR="0038040C" w:rsidRPr="00AA7E32">
        <w:rPr>
          <w:i/>
        </w:rPr>
        <w:t>hearing</w:t>
      </w:r>
      <w:proofErr w:type="spellEnd"/>
      <w:r w:rsidR="0038040C" w:rsidRPr="00AA7E32">
        <w:rPr>
          <w:i/>
        </w:rPr>
        <w:t xml:space="preserve"> </w:t>
      </w:r>
      <w:proofErr w:type="spellStart"/>
      <w:r w:rsidR="0038040C" w:rsidRPr="00AA7E32">
        <w:rPr>
          <w:i/>
        </w:rPr>
        <w:t>loss</w:t>
      </w:r>
      <w:proofErr w:type="spellEnd"/>
      <w:r w:rsidR="0038040C" w:rsidRPr="00AA7E32">
        <w:rPr>
          <w:i/>
        </w:rPr>
        <w:t xml:space="preserve"> as </w:t>
      </w:r>
      <w:proofErr w:type="spellStart"/>
      <w:r w:rsidR="0038040C" w:rsidRPr="00AA7E32">
        <w:rPr>
          <w:i/>
        </w:rPr>
        <w:t>influenced</w:t>
      </w:r>
      <w:proofErr w:type="spellEnd"/>
      <w:r w:rsidR="0038040C" w:rsidRPr="00AA7E32">
        <w:rPr>
          <w:i/>
        </w:rPr>
        <w:t xml:space="preserve"> by </w:t>
      </w:r>
      <w:proofErr w:type="spellStart"/>
      <w:r w:rsidR="0038040C" w:rsidRPr="00AA7E32">
        <w:rPr>
          <w:i/>
        </w:rPr>
        <w:t>other</w:t>
      </w:r>
      <w:proofErr w:type="spellEnd"/>
      <w:r w:rsidR="0038040C" w:rsidRPr="00AA7E32">
        <w:rPr>
          <w:i/>
        </w:rPr>
        <w:t xml:space="preserve"> agents and by </w:t>
      </w:r>
      <w:proofErr w:type="spellStart"/>
      <w:r w:rsidR="0038040C" w:rsidRPr="00AA7E32">
        <w:rPr>
          <w:i/>
        </w:rPr>
        <w:t>some</w:t>
      </w:r>
      <w:proofErr w:type="spellEnd"/>
      <w:r w:rsidR="0038040C" w:rsidRPr="00AA7E32">
        <w:rPr>
          <w:i/>
        </w:rPr>
        <w:t xml:space="preserve"> </w:t>
      </w:r>
      <w:proofErr w:type="spellStart"/>
      <w:r w:rsidR="0038040C" w:rsidRPr="00AA7E32">
        <w:rPr>
          <w:i/>
        </w:rPr>
        <w:t>physical</w:t>
      </w:r>
      <w:proofErr w:type="spellEnd"/>
      <w:r w:rsidR="0038040C" w:rsidRPr="00AA7E32">
        <w:rPr>
          <w:i/>
        </w:rPr>
        <w:t xml:space="preserve"> </w:t>
      </w:r>
      <w:proofErr w:type="spellStart"/>
      <w:r w:rsidR="0038040C" w:rsidRPr="00AA7E32">
        <w:rPr>
          <w:i/>
        </w:rPr>
        <w:t>characteristics</w:t>
      </w:r>
      <w:proofErr w:type="spellEnd"/>
      <w:r w:rsidR="0038040C" w:rsidRPr="00AA7E32">
        <w:rPr>
          <w:i/>
        </w:rPr>
        <w:t xml:space="preserve"> of the </w:t>
      </w:r>
      <w:proofErr w:type="spellStart"/>
      <w:r w:rsidR="0038040C" w:rsidRPr="00AA7E32">
        <w:rPr>
          <w:i/>
        </w:rPr>
        <w:t>individual</w:t>
      </w:r>
      <w:proofErr w:type="spellEnd"/>
      <w:r w:rsidR="0038040C">
        <w:t>, de l’auteur Humes publiée en 1984</w:t>
      </w:r>
      <w:r w:rsidR="00B36ED9">
        <w:t xml:space="preserve"> (T-44)</w:t>
      </w:r>
      <w:r w:rsidR="0038040C">
        <w:t>.</w:t>
      </w:r>
    </w:p>
    <w:p w14:paraId="14831924" w14:textId="77777777" w:rsidR="0038040C" w:rsidRDefault="0038040C" w:rsidP="0038040C">
      <w:pPr>
        <w:pStyle w:val="corpsdedcision"/>
        <w:tabs>
          <w:tab w:val="clear" w:pos="360"/>
          <w:tab w:val="num" w:pos="720"/>
        </w:tabs>
      </w:pPr>
      <w:r>
        <w:t>Concernant l’effet combiné des vibrations et du bruit sur l’audition, l’auteur réfère à la page 1322, au tableau 4, à deux études chez l’humain où les individus ont été exposés au bruit et à des vibrations du corps entier et où l’on a calculé le décalage temporaire des seuils auditifs. Deux autres études recherchant le même effet ont porté sur des chinchillas.</w:t>
      </w:r>
    </w:p>
    <w:p w14:paraId="0468374C" w14:textId="77777777" w:rsidR="0038040C" w:rsidRDefault="0038040C" w:rsidP="0038040C">
      <w:pPr>
        <w:pStyle w:val="corpsdedcision"/>
        <w:tabs>
          <w:tab w:val="clear" w:pos="360"/>
          <w:tab w:val="num" w:pos="720"/>
        </w:tabs>
      </w:pPr>
      <w:r>
        <w:t xml:space="preserve">Les conclusions sont à l’effet que même si les conditions expérimentales varient, les quatre rapports montrent que la perte d’audition augmente si, en plus </w:t>
      </w:r>
      <w:r w:rsidR="00B36ED9">
        <w:t>d’</w:t>
      </w:r>
      <w:r>
        <w:t xml:space="preserve">une exposition au bruit, il y a une exposition à des vibrations du corps entier. </w:t>
      </w:r>
      <w:r w:rsidRPr="009914A0">
        <w:t>Pour les deux études chez l’humain, les résultats sont moins convaincants mais ils sont tout de même positifs</w:t>
      </w:r>
      <w:r>
        <w:t xml:space="preserve">. </w:t>
      </w:r>
    </w:p>
    <w:p w14:paraId="2D1E2172" w14:textId="77777777" w:rsidR="0038040C" w:rsidRDefault="0038040C" w:rsidP="0038040C">
      <w:pPr>
        <w:pStyle w:val="corpsdedcision"/>
        <w:tabs>
          <w:tab w:val="clear" w:pos="360"/>
          <w:tab w:val="num" w:pos="720"/>
        </w:tabs>
      </w:pPr>
      <w:r>
        <w:t xml:space="preserve">Monsieur Leroux souligne que dans l’une de ces études (Okada et al, 1972), il y a une différence d’environ 3 à 4 décibels entre les seuils quand on ajoute une exposition aux vibrations à l’exposition au bruit et c’est cette valeur qu’il a retenue dans sa propre expertise. </w:t>
      </w:r>
    </w:p>
    <w:p w14:paraId="77F5ED26" w14:textId="77777777" w:rsidR="0038040C" w:rsidRDefault="001578C9" w:rsidP="0038040C">
      <w:pPr>
        <w:pStyle w:val="corpsdedcision"/>
        <w:tabs>
          <w:tab w:val="clear" w:pos="360"/>
          <w:tab w:val="num" w:pos="720"/>
        </w:tabs>
      </w:pPr>
      <w:r>
        <w:t>À</w:t>
      </w:r>
      <w:r w:rsidR="0038040C" w:rsidRPr="009914A0">
        <w:t xml:space="preserve"> propos des conclusions de Humes rapportées ci-haut par monsieur Leroux</w:t>
      </w:r>
      <w:r>
        <w:t>,</w:t>
      </w:r>
      <w:r w:rsidR="0038040C" w:rsidRPr="009914A0">
        <w:t xml:space="preserve"> l’auteur lui-même les remet en question après avoir commenté les résultats et les méthodes d’analyse de ces études. Il mentionne </w:t>
      </w:r>
      <w:proofErr w:type="gramStart"/>
      <w:r w:rsidR="0038040C" w:rsidRPr="009914A0">
        <w:t>notamment  à</w:t>
      </w:r>
      <w:proofErr w:type="gramEnd"/>
      <w:r w:rsidR="0038040C" w:rsidRPr="009914A0">
        <w:t xml:space="preserve"> la page 1322</w:t>
      </w:r>
      <w:r w:rsidR="0038040C">
        <w:t>:</w:t>
      </w:r>
    </w:p>
    <w:p w14:paraId="3097C9BC" w14:textId="77777777" w:rsidR="0038040C" w:rsidRPr="007D683F" w:rsidRDefault="0038040C" w:rsidP="0038040C">
      <w:pPr>
        <w:pStyle w:val="citation"/>
        <w:rPr>
          <w:lang w:val="en-CA"/>
        </w:rPr>
      </w:pPr>
      <w:r w:rsidRPr="007D683F">
        <w:rPr>
          <w:lang w:val="en-CA"/>
        </w:rPr>
        <w:t xml:space="preserve">(…) Of the two studies using humans as subjects the least convincing demonstration of interaction between noise and vibration is provided by Okada </w:t>
      </w:r>
      <w:r w:rsidRPr="007D683F">
        <w:rPr>
          <w:i/>
          <w:lang w:val="en-CA"/>
        </w:rPr>
        <w:t xml:space="preserve">et al. </w:t>
      </w:r>
      <w:r w:rsidRPr="007D683F">
        <w:rPr>
          <w:lang w:val="en-CA"/>
        </w:rPr>
        <w:t xml:space="preserve">(1972b). At 1000 Hz, </w:t>
      </w:r>
      <w:r w:rsidRPr="007D683F">
        <w:rPr>
          <w:lang w:val="en-CA"/>
        </w:rPr>
        <w:lastRenderedPageBreak/>
        <w:t xml:space="preserve">for example, the temporary hearing loss following noise exposure alone was approximately 4 dB while that resulting from combined exposure to noise and vibrations was only 7 </w:t>
      </w:r>
      <w:proofErr w:type="spellStart"/>
      <w:r w:rsidRPr="007D683F">
        <w:rPr>
          <w:lang w:val="en-CA"/>
        </w:rPr>
        <w:t>dB.</w:t>
      </w:r>
      <w:proofErr w:type="spellEnd"/>
      <w:r w:rsidRPr="007D683F">
        <w:rPr>
          <w:lang w:val="en-CA"/>
        </w:rPr>
        <w:t xml:space="preserve"> Comparable values at 4000 Hz were 19 and 23 dB for noise alone and the combination of noise and vibration, respectively. Differences of 3-4 dB are certainly small and approximate test-retest differences expected from replications of the noise-alone condition.</w:t>
      </w:r>
    </w:p>
    <w:p w14:paraId="4A22FF99" w14:textId="77777777" w:rsidR="0038040C" w:rsidRPr="007D683F" w:rsidRDefault="0038040C" w:rsidP="0038040C">
      <w:pPr>
        <w:pStyle w:val="citation"/>
        <w:rPr>
          <w:lang w:val="en-CA"/>
        </w:rPr>
      </w:pPr>
    </w:p>
    <w:p w14:paraId="3BB4634E" w14:textId="77777777" w:rsidR="0038040C" w:rsidRPr="007D683F" w:rsidRDefault="0038040C" w:rsidP="0038040C">
      <w:pPr>
        <w:pStyle w:val="citation"/>
        <w:rPr>
          <w:lang w:val="en-CA"/>
        </w:rPr>
      </w:pPr>
      <w:r w:rsidRPr="007D683F">
        <w:rPr>
          <w:lang w:val="en-CA"/>
        </w:rPr>
        <w:t>(…)</w:t>
      </w:r>
    </w:p>
    <w:p w14:paraId="12526F32" w14:textId="77777777" w:rsidR="0038040C" w:rsidRPr="007D683F" w:rsidRDefault="0038040C" w:rsidP="0038040C">
      <w:pPr>
        <w:pStyle w:val="citation"/>
        <w:rPr>
          <w:lang w:val="en-CA"/>
        </w:rPr>
      </w:pPr>
    </w:p>
    <w:p w14:paraId="7F808C0E" w14:textId="77777777" w:rsidR="0038040C" w:rsidRPr="007D683F" w:rsidRDefault="0038040C" w:rsidP="0038040C">
      <w:pPr>
        <w:pStyle w:val="citation"/>
        <w:rPr>
          <w:lang w:val="en-CA"/>
        </w:rPr>
      </w:pPr>
      <w:r w:rsidRPr="007D683F">
        <w:rPr>
          <w:lang w:val="en-CA"/>
        </w:rPr>
        <w:t>Hence, although all four studies exhibit evidence of interaction between noise and whole-body vibration, the evidence is not overwhelming in this regard. Further work appears necessary. Such combinations of noise and whole-body vibration are apparently very common in the workplace. A parametric study exploring a range of noise exposures and vibrations, including some simulations of actual work conditions, would appear to be particularly valuable.</w:t>
      </w:r>
    </w:p>
    <w:p w14:paraId="0189EC73" w14:textId="77777777" w:rsidR="0038040C" w:rsidRPr="007D683F" w:rsidRDefault="0038040C" w:rsidP="0038040C">
      <w:pPr>
        <w:pStyle w:val="citation"/>
        <w:rPr>
          <w:lang w:val="en-CA"/>
        </w:rPr>
      </w:pPr>
    </w:p>
    <w:p w14:paraId="2340B8E4" w14:textId="77777777" w:rsidR="0038040C" w:rsidRPr="007D683F" w:rsidRDefault="0038040C" w:rsidP="0038040C">
      <w:pPr>
        <w:pStyle w:val="citation"/>
        <w:rPr>
          <w:lang w:val="en-CA"/>
        </w:rPr>
      </w:pPr>
    </w:p>
    <w:p w14:paraId="0501D6C1" w14:textId="77777777" w:rsidR="0038040C" w:rsidRDefault="00B74282" w:rsidP="0038040C">
      <w:pPr>
        <w:pStyle w:val="corpsdedcision"/>
        <w:tabs>
          <w:tab w:val="clear" w:pos="360"/>
          <w:tab w:val="num" w:pos="720"/>
        </w:tabs>
      </w:pPr>
      <w:r w:rsidRPr="001F4FEB">
        <w:t>Monsieur</w:t>
      </w:r>
      <w:r w:rsidR="0038040C">
        <w:t xml:space="preserve"> Leroux dépose une nouvelle version de la page 17 de son expertise du 2 septembre 2014</w:t>
      </w:r>
      <w:r w:rsidR="00D409F6">
        <w:t xml:space="preserve"> (T-45)</w:t>
      </w:r>
      <w:r w:rsidR="0038040C">
        <w:t xml:space="preserve">. Ainsi, dans sa conclusion, il modifie les estimations d’exposition en carrière, passant de 34,8 années dans le rapport original pour 28,2 d’années. Par ailleurs, le niveau d’exposition carrière a été changé de 85 à 84 </w:t>
      </w:r>
      <w:proofErr w:type="spellStart"/>
      <w:r w:rsidR="0038040C">
        <w:t>dBA</w:t>
      </w:r>
      <w:proofErr w:type="spellEnd"/>
      <w:r w:rsidR="0038040C">
        <w:t>. Le tribunal rapporte ci-après la section 5 de sa conclusion :</w:t>
      </w:r>
    </w:p>
    <w:p w14:paraId="32985383" w14:textId="77777777" w:rsidR="00F1170E" w:rsidRDefault="00F1170E" w:rsidP="00C371BE">
      <w:pPr>
        <w:pStyle w:val="citation"/>
        <w:tabs>
          <w:tab w:val="left" w:pos="1560"/>
        </w:tabs>
        <w:ind w:left="1560" w:hanging="840"/>
      </w:pPr>
      <w:r>
        <w:t>5)</w:t>
      </w:r>
      <w:r w:rsidRPr="00F1170E">
        <w:tab/>
        <w:t>que la perte auditive présentée par M. Lajeunesse pour les fréquences entre 2000 à 8000 Hz est pire, d’environ 15 dB, à celle qui peut être prédite par la norme internationale ISO-1999 (2013) pour une population d’hommes du même âge (58 ans) ayant le même nombre d’années d’ancienneté d’exposition au bruit (</w:t>
      </w:r>
      <w:r>
        <w:t>28,2</w:t>
      </w:r>
      <w:r w:rsidRPr="00F1170E">
        <w:t xml:space="preserve"> années). Toutefois, la norme ISO 1999 (2013) ne tient pas compte des autres facteurs recensés dans l’environnement de M. Lajeunesse (bruits d’impact, vibrations du corps entier, monoxyde de carbone) qui peuvent augmenter la nocivité des effets de l’exposition au bruit. La présence de ces facteurs dans l’environnement peut expliquer pourquoi la perte auditive de M. Lajeunesse est plus importante en hautes fréquences que celle qui est prédite par la norme ISO-1999 (2013). </w:t>
      </w:r>
      <w:r w:rsidRPr="001578C9">
        <w:t>L’ampleur de la différence observée entre les seuils auditifs de M. Lajeunesse et les seuils prédits par la norme ISO-1999 (2013), en moyenne 15 dB, est compatible avec les différences observées dans la littérature pour des expositions combinées au bruit et à d’autres contaminants comme les vibrations (+3 à 4 dB) et le monoxyde de carbone (+10 dB);</w:t>
      </w:r>
    </w:p>
    <w:p w14:paraId="18C89CED" w14:textId="77777777" w:rsidR="0038040C" w:rsidRDefault="0038040C" w:rsidP="0038040C">
      <w:pPr>
        <w:pStyle w:val="citation"/>
      </w:pPr>
    </w:p>
    <w:p w14:paraId="6338E123" w14:textId="77777777" w:rsidR="0038040C" w:rsidRDefault="0038040C" w:rsidP="0038040C">
      <w:pPr>
        <w:pStyle w:val="citation"/>
      </w:pPr>
    </w:p>
    <w:p w14:paraId="1821E448" w14:textId="77777777" w:rsidR="0038040C" w:rsidRDefault="0038040C" w:rsidP="0038040C">
      <w:pPr>
        <w:pStyle w:val="corpsdedcision"/>
        <w:tabs>
          <w:tab w:val="clear" w:pos="360"/>
          <w:tab w:val="num" w:pos="720"/>
        </w:tabs>
      </w:pPr>
      <w:r>
        <w:t xml:space="preserve">Monsieur Leroux apporte un dernier commentaire au rapport complémentaire du docteur Bertrand, à la page 11 alors que celui-ci discute de la norme ISO 1999. Pour ce faire, il réfère à la page 1 </w:t>
      </w:r>
      <w:r w:rsidR="00F572A6">
        <w:t xml:space="preserve">de </w:t>
      </w:r>
      <w:r w:rsidR="00B74282">
        <w:t xml:space="preserve">la norme ISO 1999 </w:t>
      </w:r>
      <w:r w:rsidR="00F572A6">
        <w:t>(T-14)</w:t>
      </w:r>
      <w:r>
        <w:t>. Selon le docteur Bertrand cette norme « rejette » les bruits à partir d’un niveau de 140 dB, mais ce n’est pas ce qu’elle fait, explique monsieur Leroux. Au troisième paragraphe de cette page 1, il est écrit que l’utilisation de cette norme, pour des niveaux de pression au-delà de 200 Pa (soit 140</w:t>
      </w:r>
      <w:r w:rsidR="00C371BE">
        <w:t> </w:t>
      </w:r>
      <w:r>
        <w:t>dB), va sous-estimer le risque. On doit donc extrapoler pour estimer le risque</w:t>
      </w:r>
    </w:p>
    <w:p w14:paraId="673F50E1" w14:textId="77777777" w:rsidR="0038040C" w:rsidRDefault="0038040C" w:rsidP="0038040C">
      <w:pPr>
        <w:pStyle w:val="corpsdedcision"/>
        <w:tabs>
          <w:tab w:val="clear" w:pos="360"/>
          <w:tab w:val="num" w:pos="720"/>
        </w:tabs>
      </w:pPr>
      <w:r>
        <w:t xml:space="preserve">Il explique quant aux bruits d’impact, que l’étude de </w:t>
      </w:r>
      <w:r w:rsidR="00F572A6">
        <w:t xml:space="preserve">l’ingénieur </w:t>
      </w:r>
      <w:r>
        <w:t xml:space="preserve">Torikian a démontré la présence de 3000 à 3600 bruits d’impact au-delà de 120 dB en moyenne par jour. Pour les vibrations, il est d’avis qu’il est démontré dans la littérature que le travail que fait le </w:t>
      </w:r>
      <w:r>
        <w:lastRenderedPageBreak/>
        <w:t xml:space="preserve">travailleur l’expose à des vibrations du corps entier. Il en est de même pour le monoxyde de carbone par le fait de conduire un camion. Même le démarrage du camion dans l’entrepôt peut l’exposer au monoxyde de carbone. Ces trois facteurs peuvent potentialiser les effets du bruit et la norme ISO 1999 </w:t>
      </w:r>
      <w:r w:rsidR="00EF4DCE">
        <w:t>(2013)</w:t>
      </w:r>
      <w:r>
        <w:t xml:space="preserve"> ne les prend pas en compte. </w:t>
      </w:r>
      <w:r w:rsidR="00C371BE">
        <w:t>À</w:t>
      </w:r>
      <w:r>
        <w:t xml:space="preserve"> ce sujet, il précise que ce sont les bruits d’impact au-delà de 140 </w:t>
      </w:r>
      <w:proofErr w:type="spellStart"/>
      <w:r>
        <w:t>dBA</w:t>
      </w:r>
      <w:proofErr w:type="spellEnd"/>
      <w:r>
        <w:t xml:space="preserve"> que la norme ISO 1999 ne prend pas en compte et qu’il y en a dans le rapport de </w:t>
      </w:r>
      <w:r w:rsidR="00EE1E5C">
        <w:t xml:space="preserve">l’ingénieur </w:t>
      </w:r>
      <w:r>
        <w:t xml:space="preserve">Torikian. </w:t>
      </w:r>
    </w:p>
    <w:p w14:paraId="030EC6D2" w14:textId="77777777" w:rsidR="0038040C" w:rsidRDefault="00EF4DCE" w:rsidP="0038040C">
      <w:pPr>
        <w:pStyle w:val="corpsdedcision"/>
        <w:tabs>
          <w:tab w:val="clear" w:pos="360"/>
          <w:tab w:val="num" w:pos="720"/>
        </w:tabs>
      </w:pPr>
      <w:r>
        <w:t>Tenant compte de ces éléments, i</w:t>
      </w:r>
      <w:r w:rsidR="0038040C">
        <w:t xml:space="preserve">l considère donc que l’écart observé entre les courbes du travailleur et celle d’ISO 1999, soit environ 15 dB, est cohérent avec la nature de l’exposition qu’il a subie dans son milieu de travail tel qu’il l’a démontré dans sa conclusion ci-haut rapportée. </w:t>
      </w:r>
    </w:p>
    <w:p w14:paraId="68EE1C29" w14:textId="77777777" w:rsidR="0038040C" w:rsidRDefault="0038040C" w:rsidP="0038040C">
      <w:pPr>
        <w:pStyle w:val="corpsdedcision"/>
        <w:tabs>
          <w:tab w:val="clear" w:pos="360"/>
          <w:tab w:val="num" w:pos="720"/>
        </w:tabs>
      </w:pPr>
      <w:r>
        <w:t>En outre, l’audition du travailleur est normale en basses fréquences de 250 à 1000</w:t>
      </w:r>
      <w:r w:rsidR="008E2FC1">
        <w:t> </w:t>
      </w:r>
      <w:r>
        <w:t>Hz en plus d’être cohérente avec ce que prédit ISO 1999 pour un homme de l’âge du travailleur ayant été exposé au même niveau de bruit durant 28 ans. Cela ne milite pas en faveur de la reconnaissance d’un lien avec les conditions cardiaques et de diabète de type 2 puisque celles-ci sont fortement associées avec une perte d’audition en basses fréquences, ce qui n’est pas le cas du travailleur.</w:t>
      </w:r>
    </w:p>
    <w:p w14:paraId="11BB41BE" w14:textId="77777777" w:rsidR="0038040C" w:rsidRDefault="0038040C" w:rsidP="0038040C">
      <w:pPr>
        <w:pStyle w:val="corpsdedcision"/>
        <w:tabs>
          <w:tab w:val="clear" w:pos="360"/>
          <w:tab w:val="num" w:pos="720"/>
        </w:tabs>
      </w:pPr>
      <w:r>
        <w:t xml:space="preserve">En conclusion, considérant que le travailleur présente une atteinte auditive bilatérale et symétrique, considérant que le niveau de bruit à 84 </w:t>
      </w:r>
      <w:proofErr w:type="spellStart"/>
      <w:r>
        <w:t>dBA</w:t>
      </w:r>
      <w:proofErr w:type="spellEnd"/>
      <w:r>
        <w:t xml:space="preserve"> va aussi au-delà de ce qui est reconnu comme étant une absence de risque établi, soit 75 </w:t>
      </w:r>
      <w:proofErr w:type="spellStart"/>
      <w:r>
        <w:t>dBA</w:t>
      </w:r>
      <w:proofErr w:type="spellEnd"/>
      <w:r>
        <w:t xml:space="preserve"> sur 8</w:t>
      </w:r>
      <w:r w:rsidR="00C371BE">
        <w:t> </w:t>
      </w:r>
      <w:r>
        <w:t xml:space="preserve">h pendant </w:t>
      </w:r>
      <w:r w:rsidR="009914A0">
        <w:t>30 ans,</w:t>
      </w:r>
      <w:r>
        <w:t xml:space="preserve"> l’ensemble de ces observations l’amène à conclure qu’il ne fait pas de doute que la surdité du travailleur est liée à l’exercice des différents postes de travail qu’il a occupés chez l’employeur.</w:t>
      </w:r>
    </w:p>
    <w:p w14:paraId="57D5CF44" w14:textId="77777777" w:rsidR="0038040C" w:rsidRDefault="0038040C" w:rsidP="0038040C">
      <w:pPr>
        <w:pStyle w:val="corpsdedcision"/>
        <w:tabs>
          <w:tab w:val="clear" w:pos="360"/>
          <w:tab w:val="num" w:pos="720"/>
        </w:tabs>
      </w:pPr>
      <w:r>
        <w:t>Par la suite, monsieur Leroux est appelé à commenter le rapport complémentaire du docteur Bertrand du 9 avril 2015 (E-56). Dans ce rapport, le docteur Bertrand répond à six questions qui lui sont adressées par la procureure de l’employeur, en lien avec les dernières journées de témoignage de monsieur Leroux</w:t>
      </w:r>
      <w:r w:rsidR="00EF4DCE">
        <w:t>,</w:t>
      </w:r>
      <w:r>
        <w:t xml:space="preserve"> auxquelles il n’a pas pu assister.</w:t>
      </w:r>
    </w:p>
    <w:p w14:paraId="407D5B37" w14:textId="77777777" w:rsidR="0038040C" w:rsidRDefault="0038040C" w:rsidP="0038040C">
      <w:pPr>
        <w:pStyle w:val="corpsdedcision"/>
        <w:tabs>
          <w:tab w:val="clear" w:pos="360"/>
          <w:tab w:val="num" w:pos="720"/>
        </w:tabs>
      </w:pPr>
      <w:r>
        <w:t xml:space="preserve">La première question porte sur l’exposition carrière du travailleur. Monsieur Leroux souligne que le docteur Bertrand est d’accord avec lui quant au niveau d’exposition au bruit en carrière du travailleur, soit 84 </w:t>
      </w:r>
      <w:proofErr w:type="spellStart"/>
      <w:r>
        <w:t>dBA</w:t>
      </w:r>
      <w:proofErr w:type="spellEnd"/>
      <w:r w:rsidRPr="009914A0">
        <w:t>. Ce sur quoi ils ne s’entendent pas est à savoir si cela constitue un niveau de bruit dommageable</w:t>
      </w:r>
      <w:r>
        <w:t>. Il ajoute, par ailleurs, que le docteur Bertrand dit clairement qu’il est d’accord avec le facteur de bissection q=3 et qu’il n’y a donc plus de controverse sur cet aspect.</w:t>
      </w:r>
    </w:p>
    <w:p w14:paraId="24211BF5" w14:textId="77777777" w:rsidR="0038040C" w:rsidRDefault="0038040C" w:rsidP="0038040C">
      <w:pPr>
        <w:pStyle w:val="corpsdedcision"/>
        <w:tabs>
          <w:tab w:val="clear" w:pos="360"/>
          <w:tab w:val="num" w:pos="720"/>
        </w:tabs>
      </w:pPr>
      <w:r>
        <w:t>Par rapport à l’utilisation de la norme ISO 1999 pour les prédictions d’atteintes auditives, il n’est pas d’accord avec les conclusions du docteur Bertrand exprimées à la p</w:t>
      </w:r>
      <w:r w:rsidR="00FE4DBE">
        <w:t>age 3 de son rapport, lesquelles se lisent comme suit :</w:t>
      </w:r>
    </w:p>
    <w:p w14:paraId="253A4AB7" w14:textId="77777777" w:rsidR="0038040C" w:rsidRDefault="0038040C" w:rsidP="0038040C">
      <w:pPr>
        <w:pStyle w:val="citation"/>
      </w:pPr>
      <w:r>
        <w:lastRenderedPageBreak/>
        <w:t xml:space="preserve">Basé sur ISO 1999, la perte moyenne attribuable au bruit à un niveau de 85 </w:t>
      </w:r>
      <w:proofErr w:type="spellStart"/>
      <w:r>
        <w:t>dBA</w:t>
      </w:r>
      <w:proofErr w:type="spellEnd"/>
      <w:r>
        <w:t xml:space="preserve"> pendant 40 ans est de l’ordre de 2 dB. La relation avec le facteur de presbyacousie, utilisant ISO 7029 et ISO 1999 pour des sujets exposés à 85 </w:t>
      </w:r>
      <w:proofErr w:type="spellStart"/>
      <w:r>
        <w:t>dBA</w:t>
      </w:r>
      <w:proofErr w:type="spellEnd"/>
      <w:r>
        <w:t xml:space="preserve"> à l’âge de 58 ans, le pourcentage de perte attribuable à un facteur de presbyacousie est de l’ordre de 90%, tel que noté dans le graphique sous-jacent.</w:t>
      </w:r>
    </w:p>
    <w:p w14:paraId="4851179C" w14:textId="77777777" w:rsidR="0038040C" w:rsidRDefault="0038040C" w:rsidP="0038040C">
      <w:pPr>
        <w:pStyle w:val="citation"/>
      </w:pPr>
    </w:p>
    <w:p w14:paraId="6A03A04C" w14:textId="77777777" w:rsidR="00067367" w:rsidRDefault="00067367" w:rsidP="0038040C">
      <w:pPr>
        <w:pStyle w:val="citation"/>
      </w:pPr>
    </w:p>
    <w:p w14:paraId="282981A4" w14:textId="77777777" w:rsidR="0038040C" w:rsidRDefault="0038040C" w:rsidP="0038040C">
      <w:pPr>
        <w:pStyle w:val="corpsdedcision"/>
        <w:tabs>
          <w:tab w:val="clear" w:pos="360"/>
          <w:tab w:val="num" w:pos="720"/>
        </w:tabs>
      </w:pPr>
      <w:r w:rsidRPr="009914A0">
        <w:t>Monsieur Leroux fait à nouveau valoir que cette norme ne prend pas en considération les autres facteurs de risque, soit les vibrations, les bruits d’impact au-delà de 140 dB et l’exposition au monoxyde de carbone</w:t>
      </w:r>
      <w:r>
        <w:t>.</w:t>
      </w:r>
    </w:p>
    <w:p w14:paraId="5B5F37FC" w14:textId="77777777" w:rsidR="00BF542B" w:rsidRPr="00BF542B" w:rsidRDefault="0038040C" w:rsidP="00B660A8">
      <w:pPr>
        <w:pStyle w:val="corpsdedcision"/>
        <w:tabs>
          <w:tab w:val="clear" w:pos="360"/>
          <w:tab w:val="num" w:pos="720"/>
        </w:tabs>
      </w:pPr>
      <w:r>
        <w:t xml:space="preserve">La norme ISO 1999 prédit le niveau d’audition d’une population en le décomposant en trois parties : l’une représentant l’effet du bruit, une autre, l’effet d’âge et une troisième, l’interaction entre les deux. Les résultats que le docteur Bertrand présente </w:t>
      </w:r>
      <w:r w:rsidR="00FE4DBE">
        <w:t>(reproduits au paragraphe 254</w:t>
      </w:r>
      <w:r w:rsidR="00B660A8">
        <w:t xml:space="preserve">) </w:t>
      </w:r>
      <w:r>
        <w:t>ne concernent que l</w:t>
      </w:r>
      <w:r w:rsidR="00FE4DBE">
        <w:t>a portion attribuable au bruit.</w:t>
      </w:r>
      <w:r>
        <w:t xml:space="preserve"> </w:t>
      </w:r>
    </w:p>
    <w:p w14:paraId="6EF39C5B" w14:textId="77777777" w:rsidR="0038040C" w:rsidRDefault="0038040C" w:rsidP="0038040C">
      <w:pPr>
        <w:pStyle w:val="corpsdedcision"/>
        <w:tabs>
          <w:tab w:val="clear" w:pos="360"/>
          <w:tab w:val="num" w:pos="720"/>
        </w:tabs>
      </w:pPr>
      <w:r>
        <w:t xml:space="preserve">Monsieur Leroux souligne qu’à partir de ces données, il est possible de constater que la perte d’audition due au bruit s’acquiert très rapidement dans les </w:t>
      </w:r>
      <w:r w:rsidR="00EF4DCE">
        <w:t>10</w:t>
      </w:r>
      <w:r>
        <w:t xml:space="preserve"> à </w:t>
      </w:r>
      <w:r w:rsidR="00EF4DCE">
        <w:t>15</w:t>
      </w:r>
      <w:r>
        <w:t xml:space="preserve"> premières années d’exposition ce qui est un fait reconnu. À cette perte, s’ajoutera tranquillement, avec les années, l’effet d’âge. </w:t>
      </w:r>
    </w:p>
    <w:p w14:paraId="12C238C9" w14:textId="77777777" w:rsidR="0038040C" w:rsidRDefault="0038040C" w:rsidP="0038040C">
      <w:pPr>
        <w:pStyle w:val="corpsdedcision"/>
      </w:pPr>
      <w:r w:rsidRPr="009914A0">
        <w:t>Ainsi, fait valoir monsieur Leroux, quand le docteur Bertrand écrit que 90</w:t>
      </w:r>
      <w:r w:rsidR="00C371BE">
        <w:t> </w:t>
      </w:r>
      <w:r w:rsidRPr="009914A0">
        <w:t>% de la perte auditive est due à la presbyacousie et 10</w:t>
      </w:r>
      <w:r w:rsidR="00C371BE">
        <w:t> </w:t>
      </w:r>
      <w:r w:rsidRPr="009914A0">
        <w:t xml:space="preserve">% au bruit, cela est exact. </w:t>
      </w:r>
      <w:r w:rsidR="00B660A8">
        <w:t>Mais s</w:t>
      </w:r>
      <w:r>
        <w:t>i on recul</w:t>
      </w:r>
      <w:r w:rsidR="00B660A8">
        <w:t>ait</w:t>
      </w:r>
      <w:r>
        <w:t xml:space="preserve"> dans le temps, ces pourcentages ne s</w:t>
      </w:r>
      <w:r w:rsidR="00B660A8">
        <w:t>eraient</w:t>
      </w:r>
      <w:r>
        <w:t xml:space="preserve"> pas les mêmes puisqu’au début de la carrièr</w:t>
      </w:r>
      <w:r w:rsidR="00B660A8">
        <w:t>e du travailleur, alors qu’il était</w:t>
      </w:r>
      <w:r>
        <w:t xml:space="preserve"> plus jeune, on aurait probablement constaté que la perte d’audition </w:t>
      </w:r>
      <w:r w:rsidR="00B660A8">
        <w:t>est</w:t>
      </w:r>
      <w:r>
        <w:t xml:space="preserve"> davantage due à l’effet du bruit qu’à l’effet d’âge.</w:t>
      </w:r>
      <w:r w:rsidRPr="00BC6D49">
        <w:t xml:space="preserve"> </w:t>
      </w:r>
    </w:p>
    <w:p w14:paraId="400935E2" w14:textId="77777777" w:rsidR="0038040C" w:rsidRDefault="00B660A8" w:rsidP="0038040C">
      <w:pPr>
        <w:pStyle w:val="corpsdedcision"/>
      </w:pPr>
      <w:r>
        <w:t>De toute façon, souligne monsieur Leroux,</w:t>
      </w:r>
      <w:r w:rsidR="0038040C">
        <w:t xml:space="preserve"> la procédure d’indemnisation au Québec ne soustrait pas l’effet d’âge de celui du bruit</w:t>
      </w:r>
      <w:r>
        <w:t xml:space="preserve"> pour le calcul des séquelles de l’atteinte auditive</w:t>
      </w:r>
      <w:r w:rsidR="0038040C">
        <w:t xml:space="preserve">. </w:t>
      </w:r>
      <w:r>
        <w:t>Dans le cas du travailleur</w:t>
      </w:r>
      <w:r w:rsidR="00C371BE">
        <w:t>,</w:t>
      </w:r>
      <w:r w:rsidR="0038040C">
        <w:t xml:space="preserve"> il y </w:t>
      </w:r>
      <w:r>
        <w:t>a une portion de s</w:t>
      </w:r>
      <w:r w:rsidR="0038040C">
        <w:t xml:space="preserve">a perte d’audition qui est due à l’effet d’âge, </w:t>
      </w:r>
      <w:r>
        <w:t xml:space="preserve">mais </w:t>
      </w:r>
      <w:r w:rsidR="0038040C">
        <w:t>il y a en a une également reliée à l’e</w:t>
      </w:r>
      <w:r>
        <w:t>xposition au bruit. Selon lui,</w:t>
      </w:r>
      <w:r w:rsidR="0038040C">
        <w:t xml:space="preserve"> le docteur Bertrand le reconnaît dans son commentaire lorsqu’il mentionne que l’exposition au bruit n’explique que 10</w:t>
      </w:r>
      <w:r w:rsidR="00C371BE">
        <w:t> </w:t>
      </w:r>
      <w:r w:rsidR="0038040C">
        <w:t xml:space="preserve">% de la perte auditive. </w:t>
      </w:r>
    </w:p>
    <w:p w14:paraId="3C650827" w14:textId="77777777" w:rsidR="0038040C" w:rsidRDefault="0038040C" w:rsidP="0038040C">
      <w:pPr>
        <w:pStyle w:val="corpsdedcision"/>
        <w:tabs>
          <w:tab w:val="clear" w:pos="360"/>
          <w:tab w:val="num" w:pos="720"/>
        </w:tabs>
      </w:pPr>
      <w:r>
        <w:t>Il ajoute qu’en outre, la proportion réelle attribuable au bruit chez ce travailleur de 58 ans est probablement plus grande que 10</w:t>
      </w:r>
      <w:r w:rsidR="00C371BE">
        <w:t> </w:t>
      </w:r>
      <w:r w:rsidRPr="009914A0">
        <w:t>%</w:t>
      </w:r>
      <w:r w:rsidR="00EF4DCE">
        <w:t>,</w:t>
      </w:r>
      <w:r w:rsidRPr="009914A0">
        <w:t xml:space="preserve"> compte tenu de la présence des autres facteurs de risque affectant l’audition et du fait que la norme ISO ne les prend pas en considération.</w:t>
      </w:r>
    </w:p>
    <w:p w14:paraId="0AF68CF9" w14:textId="77777777" w:rsidR="0038040C" w:rsidRDefault="0038040C" w:rsidP="0038040C">
      <w:pPr>
        <w:pStyle w:val="corpsdedcision"/>
        <w:tabs>
          <w:tab w:val="clear" w:pos="360"/>
          <w:tab w:val="num" w:pos="720"/>
        </w:tabs>
      </w:pPr>
      <w:r>
        <w:t>Par ailleurs, à la page 6, au cinquième paragraphe de son rapport, le docteur Bertrand écrit qu’à sa connaissance, « il n’y a pas d’analyse statistique concernant le pourcentage de sujets qui présentent une atteinte neurosensorielle et qui présentent également des troubles d’équilibre »</w:t>
      </w:r>
      <w:r w:rsidR="00C371BE">
        <w:t>.</w:t>
      </w:r>
      <w:r>
        <w:t xml:space="preserve"> Monsieur Leroux n’est pas de cet avis et mentionne </w:t>
      </w:r>
      <w:proofErr w:type="gramStart"/>
      <w:r>
        <w:lastRenderedPageBreak/>
        <w:t>qu’ «</w:t>
      </w:r>
      <w:proofErr w:type="gramEnd"/>
      <w:r>
        <w:t xml:space="preserve"> il y a en a plein ». Il dépose </w:t>
      </w:r>
      <w:r w:rsidR="00B660A8">
        <w:t xml:space="preserve">cependant </w:t>
      </w:r>
      <w:r>
        <w:t xml:space="preserve">un </w:t>
      </w:r>
      <w:r w:rsidR="00B660A8">
        <w:t xml:space="preserve">seul </w:t>
      </w:r>
      <w:r>
        <w:t xml:space="preserve">article afin d’appuyer son opinion soit, </w:t>
      </w:r>
      <w:proofErr w:type="spellStart"/>
      <w:r w:rsidRPr="00AA7E32">
        <w:rPr>
          <w:i/>
        </w:rPr>
        <w:t>Disorders</w:t>
      </w:r>
      <w:proofErr w:type="spellEnd"/>
      <w:r w:rsidRPr="00AA7E32">
        <w:rPr>
          <w:i/>
        </w:rPr>
        <w:t xml:space="preserve"> of Balance and </w:t>
      </w:r>
      <w:proofErr w:type="spellStart"/>
      <w:r w:rsidRPr="00AA7E32">
        <w:rPr>
          <w:i/>
        </w:rPr>
        <w:t>Vestibular</w:t>
      </w:r>
      <w:proofErr w:type="spellEnd"/>
      <w:r w:rsidRPr="00AA7E32">
        <w:rPr>
          <w:i/>
        </w:rPr>
        <w:t xml:space="preserve"> </w:t>
      </w:r>
      <w:proofErr w:type="spellStart"/>
      <w:r w:rsidRPr="00AA7E32">
        <w:rPr>
          <w:i/>
        </w:rPr>
        <w:t>Function</w:t>
      </w:r>
      <w:proofErr w:type="spellEnd"/>
      <w:r w:rsidRPr="00AA7E32">
        <w:rPr>
          <w:i/>
        </w:rPr>
        <w:t xml:space="preserve"> in US </w:t>
      </w:r>
      <w:proofErr w:type="spellStart"/>
      <w:r w:rsidRPr="00AA7E32">
        <w:rPr>
          <w:i/>
        </w:rPr>
        <w:t>Adults</w:t>
      </w:r>
      <w:proofErr w:type="spellEnd"/>
      <w:r w:rsidR="00EF4DCE">
        <w:t xml:space="preserve"> (</w:t>
      </w:r>
      <w:r>
        <w:t>T-46</w:t>
      </w:r>
      <w:r w:rsidR="00EF4DCE">
        <w:t>)</w:t>
      </w:r>
      <w:r>
        <w:t>.</w:t>
      </w:r>
    </w:p>
    <w:p w14:paraId="2F8AE6E7" w14:textId="77777777" w:rsidR="0038040C" w:rsidRDefault="0038040C" w:rsidP="00091343">
      <w:pPr>
        <w:pStyle w:val="corpsdedcision"/>
        <w:tabs>
          <w:tab w:val="clear" w:pos="360"/>
          <w:tab w:val="num" w:pos="720"/>
        </w:tabs>
      </w:pPr>
      <w:r>
        <w:t>Il s’agit d’une étude transversale publiée en 2009, portant sur 5</w:t>
      </w:r>
      <w:r w:rsidR="007860E0">
        <w:t xml:space="preserve"> </w:t>
      </w:r>
      <w:r>
        <w:t>086 individus et cherchant à établir la prévalence des problèmes vestibulaires dans la population américaine compte tenu de la morbidité potentielle associée à cette problématique (risque de chutes). Monsieur Leroux explique longuement le protocole utilisé par les chercheurs pour déterminer s’il y a présence ou non d’un problème d’origine vestibulaire. Il décrit par ailleurs les autres variables qui ont été prises en compte par les auteurs de l’étude.</w:t>
      </w:r>
      <w:r w:rsidR="00091343">
        <w:t xml:space="preserve"> </w:t>
      </w:r>
      <w:r>
        <w:t>Des mesures audiométriques ont également été réalisées</w:t>
      </w:r>
      <w:r w:rsidR="00091343">
        <w:t xml:space="preserve"> chez un certain nombre d’individus.</w:t>
      </w:r>
    </w:p>
    <w:p w14:paraId="7EC8F977" w14:textId="77777777" w:rsidR="00EF4DCE" w:rsidRDefault="0038040C" w:rsidP="0038040C">
      <w:pPr>
        <w:pStyle w:val="corpsdedcision"/>
        <w:tabs>
          <w:tab w:val="clear" w:pos="360"/>
          <w:tab w:val="num" w:pos="720"/>
        </w:tabs>
      </w:pPr>
      <w:r>
        <w:t xml:space="preserve">Les résultats des analyses statistiques démontrent que la prévalence de dysfonction vestibulaire augmente de façon marquée avec l’âge. On observe également des différences significatives dans la prévalence en présence des facteurs de risque cardiovasculaires soit le tabagisme, l’hypertension et le diabète type 1. </w:t>
      </w:r>
    </w:p>
    <w:p w14:paraId="7F174A5B" w14:textId="77777777" w:rsidR="0038040C" w:rsidRDefault="0038040C" w:rsidP="0038040C">
      <w:pPr>
        <w:pStyle w:val="corpsdedcision"/>
        <w:tabs>
          <w:tab w:val="clear" w:pos="360"/>
          <w:tab w:val="num" w:pos="720"/>
        </w:tabs>
      </w:pPr>
      <w:r>
        <w:t>Les auteurs ajoutent :</w:t>
      </w:r>
    </w:p>
    <w:p w14:paraId="3B8C7620" w14:textId="77777777" w:rsidR="0038040C" w:rsidRPr="007D683F" w:rsidRDefault="0038040C" w:rsidP="0038040C">
      <w:pPr>
        <w:pStyle w:val="citation"/>
        <w:rPr>
          <w:lang w:val="en-CA"/>
        </w:rPr>
      </w:pPr>
      <w:r w:rsidRPr="007D683F">
        <w:rPr>
          <w:lang w:val="en-CA"/>
        </w:rPr>
        <w:t xml:space="preserve">Given that anatomically linked structures subserve vestibular and auditory function, we evaluated for associations between vestibular dysfunction and hearing loss. We found that participants with vestibular dysfunction had significantly increased odds of hearing loss compared with participants without vestibular dysfunction in multivariate analyses (odds ratio, 1.9;95% confidence interval, 1.1-3.1; data not shown). </w:t>
      </w:r>
    </w:p>
    <w:p w14:paraId="169C8737" w14:textId="77777777" w:rsidR="0038040C" w:rsidRPr="007D683F" w:rsidRDefault="0038040C" w:rsidP="0038040C">
      <w:pPr>
        <w:pStyle w:val="citation"/>
        <w:rPr>
          <w:lang w:val="en-CA"/>
        </w:rPr>
      </w:pPr>
    </w:p>
    <w:p w14:paraId="0DFBF770" w14:textId="77777777" w:rsidR="0038040C" w:rsidRPr="007D683F" w:rsidRDefault="0038040C" w:rsidP="0038040C">
      <w:pPr>
        <w:pStyle w:val="citation"/>
        <w:rPr>
          <w:lang w:val="en-CA"/>
        </w:rPr>
      </w:pPr>
      <w:r w:rsidRPr="007D683F">
        <w:rPr>
          <w:lang w:val="en-CA"/>
        </w:rPr>
        <w:t>(…)</w:t>
      </w:r>
    </w:p>
    <w:p w14:paraId="16504ED8" w14:textId="77777777" w:rsidR="0038040C" w:rsidRPr="007D683F" w:rsidRDefault="0038040C" w:rsidP="0038040C">
      <w:pPr>
        <w:pStyle w:val="citation"/>
        <w:rPr>
          <w:lang w:val="en-CA"/>
        </w:rPr>
      </w:pPr>
    </w:p>
    <w:p w14:paraId="21ED6F11" w14:textId="77777777" w:rsidR="0038040C" w:rsidRPr="007D683F" w:rsidRDefault="0038040C" w:rsidP="006C624C">
      <w:pPr>
        <w:pStyle w:val="citation"/>
        <w:rPr>
          <w:lang w:val="en-CA"/>
        </w:rPr>
      </w:pPr>
      <w:r w:rsidRPr="007D683F">
        <w:rPr>
          <w:lang w:val="en-CA"/>
        </w:rPr>
        <w:t>However, our finding that individuals with vestibular dysfunction were significantly more likely to have hearing loss suggests that peripheral vestibular structures played a role in vestibular function as measured in th</w:t>
      </w:r>
      <w:r w:rsidR="00274351" w:rsidRPr="007D683F">
        <w:rPr>
          <w:lang w:val="en-CA"/>
        </w:rPr>
        <w:t>i</w:t>
      </w:r>
      <w:r w:rsidRPr="007D683F">
        <w:rPr>
          <w:lang w:val="en-CA"/>
        </w:rPr>
        <w:t>s study. A shared susceptibility to vestibular dysfunction and hearing loss likely reflects the common an</w:t>
      </w:r>
      <w:r w:rsidR="00274351" w:rsidRPr="007D683F">
        <w:rPr>
          <w:lang w:val="en-CA"/>
        </w:rPr>
        <w:t>atomic location of the vestibula</w:t>
      </w:r>
      <w:r w:rsidRPr="007D683F">
        <w:rPr>
          <w:lang w:val="en-CA"/>
        </w:rPr>
        <w:t>r and hearing organs, as well as a common blood supply, making both systems potentially vulnerable to the same degenerative, ischemic, traumatic, or toxic insults.</w:t>
      </w:r>
    </w:p>
    <w:p w14:paraId="2CCA944D" w14:textId="77777777" w:rsidR="006C624C" w:rsidRPr="007D683F" w:rsidRDefault="006C624C" w:rsidP="006C624C">
      <w:pPr>
        <w:pStyle w:val="citation"/>
        <w:rPr>
          <w:lang w:val="en-CA"/>
        </w:rPr>
      </w:pPr>
    </w:p>
    <w:p w14:paraId="72A81F7E" w14:textId="77777777" w:rsidR="006C624C" w:rsidRPr="007D683F" w:rsidRDefault="006C624C" w:rsidP="006C624C">
      <w:pPr>
        <w:pStyle w:val="citation"/>
        <w:rPr>
          <w:lang w:val="en-CA"/>
        </w:rPr>
      </w:pPr>
    </w:p>
    <w:p w14:paraId="36CD1697" w14:textId="77777777" w:rsidR="0038040C" w:rsidRPr="009914A0" w:rsidRDefault="00EA7948" w:rsidP="0038040C">
      <w:pPr>
        <w:pStyle w:val="corpsdedcision"/>
        <w:tabs>
          <w:tab w:val="clear" w:pos="360"/>
          <w:tab w:val="num" w:pos="720"/>
        </w:tabs>
      </w:pPr>
      <w:r>
        <w:t>Les</w:t>
      </w:r>
      <w:r w:rsidR="0038040C" w:rsidRPr="009914A0">
        <w:t xml:space="preserve"> auteurs </w:t>
      </w:r>
      <w:r w:rsidR="0000307F">
        <w:t>concluent</w:t>
      </w:r>
      <w:r w:rsidR="0038040C" w:rsidRPr="009914A0">
        <w:t xml:space="preserve"> </w:t>
      </w:r>
      <w:r>
        <w:t xml:space="preserve">donc </w:t>
      </w:r>
      <w:r w:rsidR="0038040C" w:rsidRPr="009914A0">
        <w:t>qu’une proportion significative d’individus ayant une atteinte vestibulaire présent</w:t>
      </w:r>
      <w:r w:rsidR="0000307F">
        <w:t>e</w:t>
      </w:r>
      <w:r w:rsidR="0038040C" w:rsidRPr="009914A0">
        <w:t xml:space="preserve"> aussi une p</w:t>
      </w:r>
      <w:r w:rsidR="0000307F">
        <w:t xml:space="preserve">erte auditive et qu’en raison de cette association, ils supposent que certaines structures vestibulaires périphériques sont probablement en cause. Parmi ces structures, ils mentionnent l’irrigation sanguine qui est commune aux deux organes. </w:t>
      </w:r>
    </w:p>
    <w:p w14:paraId="74E87565" w14:textId="77777777" w:rsidR="0038040C" w:rsidRDefault="0000307F" w:rsidP="0038040C">
      <w:pPr>
        <w:pStyle w:val="corpsdedcision"/>
        <w:tabs>
          <w:tab w:val="clear" w:pos="360"/>
          <w:tab w:val="num" w:pos="720"/>
        </w:tabs>
      </w:pPr>
      <w:r>
        <w:t xml:space="preserve">Monsieur Leroux est d’avis </w:t>
      </w:r>
      <w:r w:rsidR="0038040C">
        <w:t xml:space="preserve">que le travailleur n’a pas de trouble vestibulaire et que, par conséquent, il ne fait pas partie de ce groupe de personnes. En effet, si sa surdité était due à son problème cardiaque, il serait très probable qu’il ait des problèmes vestibulaires, or ce n’est pas le cas. </w:t>
      </w:r>
    </w:p>
    <w:p w14:paraId="14EC9C07" w14:textId="77777777" w:rsidR="00FE4DBE" w:rsidRDefault="00EA7948" w:rsidP="00B15142">
      <w:pPr>
        <w:pStyle w:val="corpsdedcision"/>
        <w:tabs>
          <w:tab w:val="clear" w:pos="360"/>
          <w:tab w:val="num" w:pos="720"/>
        </w:tabs>
      </w:pPr>
      <w:r>
        <w:lastRenderedPageBreak/>
        <w:t>Il</w:t>
      </w:r>
      <w:r w:rsidR="0038040C">
        <w:t xml:space="preserve"> revient au rapport du docteur Bertrand alors que celui-ci mentionne que les mesures de bruit tiennent maintenant compte des bruits d’impact du moins jusqu’à 140</w:t>
      </w:r>
      <w:r w:rsidR="00C371BE">
        <w:t> </w:t>
      </w:r>
      <w:r w:rsidR="0038040C">
        <w:t>dB et qu’en conséquen</w:t>
      </w:r>
      <w:r w:rsidR="00ED57D8">
        <w:t>ce</w:t>
      </w:r>
      <w:r w:rsidR="0038040C">
        <w:t xml:space="preserve"> les prédictions de la norme ISO 1999 </w:t>
      </w:r>
      <w:r>
        <w:t>(</w:t>
      </w:r>
      <w:r w:rsidR="0038040C">
        <w:t>2013</w:t>
      </w:r>
      <w:r>
        <w:t>)</w:t>
      </w:r>
      <w:r w:rsidR="0038040C">
        <w:t xml:space="preserve"> sont valides. Toutefois, monsieur Leroux fait valoir qu’en l’espèce, il y avait des bruits d’impact au-delà de 140 dB. </w:t>
      </w:r>
    </w:p>
    <w:p w14:paraId="542A8771" w14:textId="77777777" w:rsidR="0038040C" w:rsidRDefault="0038040C" w:rsidP="00B15142">
      <w:pPr>
        <w:pStyle w:val="corpsdedcision"/>
        <w:tabs>
          <w:tab w:val="clear" w:pos="360"/>
          <w:tab w:val="num" w:pos="720"/>
        </w:tabs>
      </w:pPr>
      <w:r>
        <w:t>Concernant la question 3 posée au docteur Bertrand à la page 7 de son rapport, à savoir si dans le cadre de son travail de livraison, le travailleur a été exposé à des bruits excessifs, monsieur Leroux réitère son opinion</w:t>
      </w:r>
      <w:r w:rsidR="00EA7948">
        <w:t>.</w:t>
      </w:r>
      <w:r>
        <w:t xml:space="preserve"> </w:t>
      </w:r>
      <w:r w:rsidR="00EA7948">
        <w:t>Il</w:t>
      </w:r>
      <w:r>
        <w:t xml:space="preserve"> n’est pas d’accord lorsque le docteur Bertrand répond qu’il s’agit d’un niveau de bruit de nature sécuritaire parce que la moyenne est inférieure à 85 </w:t>
      </w:r>
      <w:proofErr w:type="spellStart"/>
      <w:r>
        <w:t>dBA</w:t>
      </w:r>
      <w:proofErr w:type="spellEnd"/>
      <w:r>
        <w:t>.</w:t>
      </w:r>
    </w:p>
    <w:p w14:paraId="7E9ADE27" w14:textId="77777777" w:rsidR="0000307F" w:rsidRDefault="0038040C" w:rsidP="0038040C">
      <w:pPr>
        <w:pStyle w:val="corpsdedcision"/>
        <w:tabs>
          <w:tab w:val="clear" w:pos="360"/>
          <w:tab w:val="num" w:pos="720"/>
        </w:tabs>
      </w:pPr>
      <w:r>
        <w:t xml:space="preserve">Par ailleurs, à la question 4 portant sur l’opinion de monsieur Leroux à l’effet que les problèmes cardiovasculaires sont connus pour affecter l’acuité auditive dans les basses fréquences, le docteur Bertrand réfère à nouveau à l’étude de Hull et Kerschen </w:t>
      </w:r>
      <w:r w:rsidR="00274351">
        <w:t>(</w:t>
      </w:r>
      <w:r>
        <w:t>T-36</w:t>
      </w:r>
      <w:r w:rsidR="00274351">
        <w:t>)</w:t>
      </w:r>
      <w:r>
        <w:t xml:space="preserve">. Monsieur Leroux note que ce dernier semble suggérer que les auteurs disent qu’en améliorant la condition cardiovasculaire, on améliore l’audition. </w:t>
      </w:r>
    </w:p>
    <w:p w14:paraId="164971C9" w14:textId="77777777" w:rsidR="0038040C" w:rsidRDefault="0000307F" w:rsidP="0038040C">
      <w:pPr>
        <w:pStyle w:val="corpsdedcision"/>
        <w:tabs>
          <w:tab w:val="clear" w:pos="360"/>
          <w:tab w:val="num" w:pos="720"/>
        </w:tabs>
      </w:pPr>
      <w:r>
        <w:t>À ce sujet, i</w:t>
      </w:r>
      <w:r w:rsidR="0038040C">
        <w:t>l réfère le tribunal à la conclusion à la page 14, où les auteurs mentionnent qu’il y a peut-être une relation positive entre la santé cardiovasculaire et la fonction auditive centrale et périphérique. La question qui reste à vérifier est à savoir si le fait de s’engager dans un programme régulier et constant d’exercices cardiovasculaires va entrainer un changement dans la fonction auditive tant périphérique que centrale. C’est une question que les auteurs se posent, et non une affirmation.</w:t>
      </w:r>
    </w:p>
    <w:p w14:paraId="1A9EE9FD" w14:textId="77777777" w:rsidR="00692327" w:rsidRDefault="00EA7948" w:rsidP="0038040C">
      <w:pPr>
        <w:pStyle w:val="corpsdedcision"/>
        <w:tabs>
          <w:tab w:val="clear" w:pos="360"/>
          <w:tab w:val="num" w:pos="720"/>
        </w:tabs>
      </w:pPr>
      <w:r>
        <w:t>À</w:t>
      </w:r>
      <w:r w:rsidR="00692327">
        <w:t xml:space="preserve"> la page 8 de son </w:t>
      </w:r>
      <w:r w:rsidR="00A4622B">
        <w:t>rapport</w:t>
      </w:r>
      <w:r w:rsidR="00CD2266">
        <w:t xml:space="preserve">, le docteur Bertrand </w:t>
      </w:r>
      <w:r>
        <w:t>pose plutôt un postulat</w:t>
      </w:r>
      <w:r w:rsidR="00692327">
        <w:t> :</w:t>
      </w:r>
    </w:p>
    <w:p w14:paraId="5D834AB4" w14:textId="77777777" w:rsidR="00692327" w:rsidRDefault="00692327" w:rsidP="00692327">
      <w:pPr>
        <w:pStyle w:val="citation"/>
      </w:pPr>
      <w:r>
        <w:t>Hull (T-36), dans une revue de littérature</w:t>
      </w:r>
      <w:r w:rsidR="00A4622B">
        <w:t>, prétend que le système cardio</w:t>
      </w:r>
      <w:r>
        <w:t xml:space="preserve">vasculaire n’a pas d’influence significative sur l’audition. </w:t>
      </w:r>
      <w:proofErr w:type="spellStart"/>
      <w:r w:rsidRPr="007D683F">
        <w:rPr>
          <w:lang w:val="en-CA"/>
        </w:rPr>
        <w:t>Cependant</w:t>
      </w:r>
      <w:proofErr w:type="spellEnd"/>
      <w:r w:rsidRPr="007D683F">
        <w:rPr>
          <w:lang w:val="en-CA"/>
        </w:rPr>
        <w:t xml:space="preserve">, il nous </w:t>
      </w:r>
      <w:proofErr w:type="spellStart"/>
      <w:r w:rsidRPr="007D683F">
        <w:rPr>
          <w:lang w:val="en-CA"/>
        </w:rPr>
        <w:t>semble</w:t>
      </w:r>
      <w:proofErr w:type="spellEnd"/>
      <w:r w:rsidRPr="007D683F">
        <w:rPr>
          <w:lang w:val="en-CA"/>
        </w:rPr>
        <w:t xml:space="preserve"> </w:t>
      </w:r>
      <w:proofErr w:type="spellStart"/>
      <w:r w:rsidRPr="007D683F">
        <w:rPr>
          <w:lang w:val="en-CA"/>
        </w:rPr>
        <w:t>qu’il</w:t>
      </w:r>
      <w:proofErr w:type="spellEnd"/>
      <w:r w:rsidRPr="007D683F">
        <w:rPr>
          <w:lang w:val="en-CA"/>
        </w:rPr>
        <w:t xml:space="preserve"> y a </w:t>
      </w:r>
      <w:proofErr w:type="spellStart"/>
      <w:r w:rsidRPr="007D683F">
        <w:rPr>
          <w:lang w:val="en-CA"/>
        </w:rPr>
        <w:t>une</w:t>
      </w:r>
      <w:proofErr w:type="spellEnd"/>
      <w:r w:rsidRPr="007D683F">
        <w:rPr>
          <w:lang w:val="en-CA"/>
        </w:rPr>
        <w:t xml:space="preserve"> contradiction </w:t>
      </w:r>
      <w:proofErr w:type="spellStart"/>
      <w:r w:rsidRPr="007D683F">
        <w:rPr>
          <w:lang w:val="en-CA"/>
        </w:rPr>
        <w:t>lorsqu’il</w:t>
      </w:r>
      <w:proofErr w:type="spellEnd"/>
      <w:r w:rsidRPr="007D683F">
        <w:rPr>
          <w:lang w:val="en-CA"/>
        </w:rPr>
        <w:t xml:space="preserve"> </w:t>
      </w:r>
      <w:proofErr w:type="spellStart"/>
      <w:r w:rsidRPr="007D683F">
        <w:rPr>
          <w:lang w:val="en-CA"/>
        </w:rPr>
        <w:t>émet</w:t>
      </w:r>
      <w:proofErr w:type="spellEnd"/>
      <w:r w:rsidRPr="007D683F">
        <w:rPr>
          <w:lang w:val="en-CA"/>
        </w:rPr>
        <w:t xml:space="preserve"> le </w:t>
      </w:r>
      <w:proofErr w:type="spellStart"/>
      <w:r w:rsidRPr="007D683F">
        <w:rPr>
          <w:lang w:val="en-CA"/>
        </w:rPr>
        <w:t>commentaire</w:t>
      </w:r>
      <w:proofErr w:type="spellEnd"/>
      <w:r w:rsidRPr="007D683F">
        <w:rPr>
          <w:lang w:val="en-CA"/>
        </w:rPr>
        <w:t xml:space="preserve"> </w:t>
      </w:r>
      <w:proofErr w:type="spellStart"/>
      <w:proofErr w:type="gramStart"/>
      <w:r w:rsidRPr="007D683F">
        <w:rPr>
          <w:lang w:val="en-CA"/>
        </w:rPr>
        <w:t>suivant</w:t>
      </w:r>
      <w:proofErr w:type="spellEnd"/>
      <w:r w:rsidRPr="007D683F">
        <w:rPr>
          <w:lang w:val="en-CA"/>
        </w:rPr>
        <w:t> :</w:t>
      </w:r>
      <w:proofErr w:type="gramEnd"/>
      <w:r w:rsidRPr="007D683F">
        <w:rPr>
          <w:lang w:val="en-CA"/>
        </w:rPr>
        <w:t xml:space="preserve"> « The potential positive influence of improved cardiovascular health on the same system have been found through a</w:t>
      </w:r>
      <w:r w:rsidR="008F5DE1" w:rsidRPr="007D683F">
        <w:rPr>
          <w:lang w:val="en-CA"/>
        </w:rPr>
        <w:t xml:space="preserve"> </w:t>
      </w:r>
      <w:r w:rsidRPr="007D683F">
        <w:rPr>
          <w:lang w:val="en-CA"/>
        </w:rPr>
        <w:t xml:space="preserve">sizable body </w:t>
      </w:r>
      <w:r w:rsidR="00FE4DBE" w:rsidRPr="007D683F">
        <w:rPr>
          <w:lang w:val="en-CA"/>
        </w:rPr>
        <w:t xml:space="preserve">of </w:t>
      </w:r>
      <w:r w:rsidRPr="007D683F">
        <w:rPr>
          <w:lang w:val="en-CA"/>
        </w:rPr>
        <w:t xml:space="preserve">research. » </w:t>
      </w:r>
      <w:r>
        <w:t>Hull semble dire que si vous améliorez la santé cardiovasculaire</w:t>
      </w:r>
      <w:r w:rsidR="00A4622B">
        <w:t>, vous améliorez l’audition. Est-ce qu’on ne peut pas conclure à l’inverse que si la santé cardiovasculaire se détériore, l’audition peut également se détériore</w:t>
      </w:r>
      <w:r w:rsidR="00CD2266">
        <w:t>r</w:t>
      </w:r>
      <w:r w:rsidR="00A4622B">
        <w:t>?</w:t>
      </w:r>
    </w:p>
    <w:p w14:paraId="10D5B349" w14:textId="77777777" w:rsidR="00692327" w:rsidRDefault="00692327" w:rsidP="00692327">
      <w:pPr>
        <w:pStyle w:val="citation"/>
      </w:pPr>
    </w:p>
    <w:p w14:paraId="714BAD77" w14:textId="77777777" w:rsidR="00692327" w:rsidRDefault="00692327" w:rsidP="00692327">
      <w:pPr>
        <w:pStyle w:val="citation"/>
      </w:pPr>
    </w:p>
    <w:p w14:paraId="7F4AA60A" w14:textId="77777777" w:rsidR="0038040C" w:rsidRDefault="00EA7948" w:rsidP="0038040C">
      <w:pPr>
        <w:pStyle w:val="corpsdedcision"/>
        <w:tabs>
          <w:tab w:val="clear" w:pos="360"/>
          <w:tab w:val="num" w:pos="720"/>
        </w:tabs>
      </w:pPr>
      <w:proofErr w:type="gramStart"/>
      <w:r>
        <w:t>Ceci étant</w:t>
      </w:r>
      <w:proofErr w:type="gramEnd"/>
      <w:r>
        <w:t>, à</w:t>
      </w:r>
      <w:r w:rsidR="0038040C">
        <w:t xml:space="preserve"> la page 9 de son rapport, le docteur Bertrand discute à nouveau des quatre formes principales de presbyacousie suggérées par Schuknecht. </w:t>
      </w:r>
      <w:proofErr w:type="gramStart"/>
      <w:r w:rsidR="0038040C">
        <w:t>Monsieur Leroux précis</w:t>
      </w:r>
      <w:r>
        <w:t>e</w:t>
      </w:r>
      <w:proofErr w:type="gramEnd"/>
      <w:r>
        <w:t xml:space="preserve"> que dans cette classification,</w:t>
      </w:r>
      <w:r w:rsidR="0038040C">
        <w:t xml:space="preserve"> revérifiée des années plus tard entre autre</w:t>
      </w:r>
      <w:r w:rsidR="00274351">
        <w:t>s</w:t>
      </w:r>
      <w:r w:rsidR="0038040C">
        <w:t xml:space="preserve"> par Gates, la presbyacousie neurosensorielle est faussement appelée presbyacousie</w:t>
      </w:r>
      <w:r>
        <w:t>.</w:t>
      </w:r>
      <w:r w:rsidR="0038040C">
        <w:t xml:space="preserve"> </w:t>
      </w:r>
      <w:r>
        <w:t>Il</w:t>
      </w:r>
      <w:r w:rsidR="0038040C">
        <w:t xml:space="preserve"> ne s’agit pas d’un processus de vieillissement</w:t>
      </w:r>
      <w:r>
        <w:t>,</w:t>
      </w:r>
      <w:r w:rsidR="0038040C">
        <w:t xml:space="preserve"> mais bien d’une atteinte à l’audition causée par une exposition au bruit en milieu de travail. </w:t>
      </w:r>
    </w:p>
    <w:p w14:paraId="6DD0B88E" w14:textId="77777777" w:rsidR="000217D8" w:rsidRDefault="000217D8" w:rsidP="0038040C">
      <w:pPr>
        <w:pStyle w:val="corpsdedcision"/>
        <w:tabs>
          <w:tab w:val="clear" w:pos="360"/>
          <w:tab w:val="num" w:pos="720"/>
        </w:tabs>
      </w:pPr>
      <w:r>
        <w:lastRenderedPageBreak/>
        <w:t>À la page 9 de son rapport,</w:t>
      </w:r>
      <w:r w:rsidR="0038040C">
        <w:t xml:space="preserve"> le docteur Bertrand écrit « au début de l’atteinte neurosensorielle, la pathophysiologie est identique entre la surdité presbyacousique neurosensorielle et la surdité d’origine professionnelle ». </w:t>
      </w:r>
    </w:p>
    <w:p w14:paraId="7B450137" w14:textId="77777777" w:rsidR="000217D8" w:rsidRDefault="0038040C" w:rsidP="000217D8">
      <w:pPr>
        <w:pStyle w:val="corpsdedcision"/>
        <w:tabs>
          <w:tab w:val="clear" w:pos="360"/>
          <w:tab w:val="num" w:pos="720"/>
        </w:tabs>
      </w:pPr>
      <w:r>
        <w:t xml:space="preserve">Monsieur Leroux </w:t>
      </w:r>
      <w:r w:rsidR="000217D8">
        <w:t>mentionne</w:t>
      </w:r>
      <w:r>
        <w:t xml:space="preserve"> que la presbyacousie neurosensorielle n’existe pas</w:t>
      </w:r>
      <w:r w:rsidR="000217D8">
        <w:t>.</w:t>
      </w:r>
      <w:r>
        <w:t xml:space="preserve"> Il ajoute qu’on sait maintenant qu’elle est fausse. La presbyacousie qu’on reconnait comme étant l’expression de l’atteinte auditive causée par le vieillissement est la forme métabolique. Elle est bien décrite et elle est la plus fréquente. </w:t>
      </w:r>
      <w:r w:rsidR="00274351">
        <w:t xml:space="preserve">Il réfère à </w:t>
      </w:r>
      <w:r w:rsidR="000217D8">
        <w:t xml:space="preserve">nouveau à </w:t>
      </w:r>
      <w:r w:rsidR="00274351">
        <w:t>l’étude de Gates (</w:t>
      </w:r>
      <w:r w:rsidR="00EA7948">
        <w:t xml:space="preserve">page 1113 - </w:t>
      </w:r>
      <w:r>
        <w:t>T-39</w:t>
      </w:r>
      <w:r w:rsidR="00274351">
        <w:t>)</w:t>
      </w:r>
      <w:r>
        <w:t>, où l’auteur décrit que chez des animaux qui n’ont jamais été exposés au bruit, l’examen de la cochlée démontre que la dégénérescen</w:t>
      </w:r>
      <w:r w:rsidR="000217D8">
        <w:t>ce de la strie vasculaire est la trouvaille la</w:t>
      </w:r>
      <w:r>
        <w:t xml:space="preserve"> plus important</w:t>
      </w:r>
      <w:r w:rsidR="000217D8">
        <w:t>e</w:t>
      </w:r>
      <w:r>
        <w:t xml:space="preserve">. </w:t>
      </w:r>
    </w:p>
    <w:p w14:paraId="214C8EE6" w14:textId="77777777" w:rsidR="000217D8" w:rsidRDefault="000217D8" w:rsidP="00E43683">
      <w:pPr>
        <w:pStyle w:val="corpsdedcision"/>
        <w:tabs>
          <w:tab w:val="clear" w:pos="360"/>
          <w:tab w:val="num" w:pos="720"/>
        </w:tabs>
      </w:pPr>
      <w:r>
        <w:t>Il</w:t>
      </w:r>
      <w:r w:rsidR="0038040C">
        <w:t xml:space="preserve"> explique que les problèmes vasculaires décrits ici font référence à la presbyacousie métabolique et non pas à la presbyacousie neurosensorielle. Il ne s’agit pas du tout du même site d’atteinte où dans cette dernière, ce sont les cellules ciliées externes et internes de la cochlée qui sont touchées. Ainsi, lorsque le docteur Bertrand affirme que la forme la plus fréquente de presbyacousie est la forme neurosensorielle, ce n’est pas du tout ce que dit l’auteur Gates. Ce serait plutôt la presbyacousie métabolique ou </w:t>
      </w:r>
      <w:proofErr w:type="spellStart"/>
      <w:r w:rsidR="0038040C">
        <w:t>striale</w:t>
      </w:r>
      <w:proofErr w:type="spellEnd"/>
      <w:r>
        <w:t xml:space="preserve"> décrite par Schuknecht</w:t>
      </w:r>
      <w:r w:rsidR="0038040C">
        <w:t>.</w:t>
      </w:r>
    </w:p>
    <w:p w14:paraId="1112C109" w14:textId="77777777" w:rsidR="000217D8" w:rsidRDefault="000217D8" w:rsidP="000217D8">
      <w:pPr>
        <w:pStyle w:val="corpsdedcision"/>
      </w:pPr>
      <w:r>
        <w:t xml:space="preserve">Sur la courbe d’audiogramme d’une personne atteinte de presbyacousie métabolique ou </w:t>
      </w:r>
      <w:proofErr w:type="spellStart"/>
      <w:r>
        <w:t>striale</w:t>
      </w:r>
      <w:proofErr w:type="spellEnd"/>
      <w:r>
        <w:t xml:space="preserve"> tirée de l’étude de Schuknecht</w:t>
      </w:r>
      <w:r w:rsidR="00EA7948">
        <w:t xml:space="preserve"> (onglet 4 - E-49</w:t>
      </w:r>
      <w:r w:rsidR="00E279CB">
        <w:t>)</w:t>
      </w:r>
      <w:r>
        <w:t xml:space="preserve">, il est possible d’observer une atteinte très importante en basses fréquences, de 125 à 1000 Hz, et il y a aussi une perte d’audition dans les hautes fréquences de 4, 6 et 8000 Hz. </w:t>
      </w:r>
    </w:p>
    <w:p w14:paraId="17842195" w14:textId="77777777" w:rsidR="000217D8" w:rsidRDefault="000217D8" w:rsidP="000217D8">
      <w:pPr>
        <w:pStyle w:val="corpsdedcision"/>
        <w:tabs>
          <w:tab w:val="clear" w:pos="360"/>
          <w:tab w:val="num" w:pos="720"/>
        </w:tabs>
      </w:pPr>
      <w:r>
        <w:t xml:space="preserve">Au niveau histologique, l’auteur a retrouvé des changements significatifs au niveau de la strie vasculaire avec pertes cellulaires importantes en basses fréquences et de façon moins marquée en hautes fréquences, alors que les cellules ciliées externes et internes sont normales. </w:t>
      </w:r>
    </w:p>
    <w:p w14:paraId="43090428" w14:textId="77777777" w:rsidR="000217D8" w:rsidRDefault="000217D8" w:rsidP="000217D8">
      <w:pPr>
        <w:pStyle w:val="corpsdedcision"/>
        <w:tabs>
          <w:tab w:val="clear" w:pos="360"/>
          <w:tab w:val="num" w:pos="720"/>
        </w:tabs>
      </w:pPr>
      <w:r>
        <w:t xml:space="preserve">Monsieur Leroux réitère que l’ensemble de ces résultats représente ce à quoi on s’attend aujourd’hui </w:t>
      </w:r>
      <w:r w:rsidR="00E279CB">
        <w:t xml:space="preserve">de </w:t>
      </w:r>
      <w:r>
        <w:t>retrouver dans la surdit</w:t>
      </w:r>
      <w:r w:rsidR="00E279CB">
        <w:t>é due au vieillissement, soit une</w:t>
      </w:r>
      <w:r>
        <w:t xml:space="preserve"> presbyacousie </w:t>
      </w:r>
      <w:proofErr w:type="spellStart"/>
      <w:r>
        <w:t>striale</w:t>
      </w:r>
      <w:proofErr w:type="spellEnd"/>
      <w:r>
        <w:t xml:space="preserve">. Il ajoute que l’atteinte auditive se retrouvera dans les basses fréquences et aussi dans les hautes fréquences. </w:t>
      </w:r>
    </w:p>
    <w:p w14:paraId="4BF140C2" w14:textId="77777777" w:rsidR="000217D8" w:rsidRDefault="000217D8" w:rsidP="000217D8">
      <w:pPr>
        <w:pStyle w:val="corpsdedcision"/>
        <w:tabs>
          <w:tab w:val="clear" w:pos="360"/>
          <w:tab w:val="num" w:pos="720"/>
        </w:tabs>
      </w:pPr>
      <w:r>
        <w:t xml:space="preserve">Puis il relève le fait que le docteur Bertrand écrit que le travailleur souffre d’une presbyacousie métabolique alors que dans son rapport du 5 septembre 2014, il écrivait que le travailleur souffrait d’une atteinte auditive de nature sensorielle. Puis, dans son rapport du 9 avril 2015, le docteur Bertrand écrit que le travailleur souffre d’une atteinte neurosensorielle d’origine presbyacousique métabolique. </w:t>
      </w:r>
    </w:p>
    <w:p w14:paraId="014E1E3C" w14:textId="77777777" w:rsidR="0038040C" w:rsidRDefault="000217D8" w:rsidP="000217D8">
      <w:pPr>
        <w:pStyle w:val="corpsdedcision"/>
        <w:tabs>
          <w:tab w:val="clear" w:pos="360"/>
          <w:tab w:val="num" w:pos="720"/>
        </w:tabs>
      </w:pPr>
      <w:r>
        <w:lastRenderedPageBreak/>
        <w:t>Monsieur Leroux souligne que, si le travailleur souffre d’une presbyacousie métabolique selon Schuknecht, les cellules ciliées seraient normales et il y aurait plutôt une a</w:t>
      </w:r>
      <w:r w:rsidR="006B299C">
        <w:t>tteinte de la strie vasculaire.</w:t>
      </w:r>
    </w:p>
    <w:p w14:paraId="2CEA896A" w14:textId="77777777" w:rsidR="00A4622B" w:rsidRDefault="0038040C" w:rsidP="00A4622B">
      <w:pPr>
        <w:pStyle w:val="corpsdedcision"/>
        <w:tabs>
          <w:tab w:val="clear" w:pos="360"/>
          <w:tab w:val="num" w:pos="720"/>
        </w:tabs>
      </w:pPr>
      <w:r>
        <w:t xml:space="preserve">Il réitère donc son opinion à l’effet que la surdité neurosensorielle </w:t>
      </w:r>
      <w:r w:rsidR="00E279CB">
        <w:t xml:space="preserve">du travailleur </w:t>
      </w:r>
      <w:r>
        <w:t xml:space="preserve">est une surdité due au bruit. </w:t>
      </w:r>
    </w:p>
    <w:p w14:paraId="3CA66207" w14:textId="77777777" w:rsidR="0038040C" w:rsidRDefault="00E279CB" w:rsidP="0038040C">
      <w:pPr>
        <w:pStyle w:val="corpsdedcision"/>
        <w:tabs>
          <w:tab w:val="clear" w:pos="360"/>
          <w:tab w:val="num" w:pos="720"/>
        </w:tabs>
      </w:pPr>
      <w:r>
        <w:t>Il ajoute que c</w:t>
      </w:r>
      <w:r w:rsidR="0038040C">
        <w:t>’est à l’aide de l’audiométrie que l’on devrait</w:t>
      </w:r>
      <w:r>
        <w:t xml:space="preserve"> être en mesure de distinguer une</w:t>
      </w:r>
      <w:r w:rsidR="0038040C">
        <w:t xml:space="preserve"> presbyacousie d’une surdité professionnelle. Pour ce faire, il mentionne qu’il y a une encoche que l’on retrouve à l’audiogramme lors d’une atteinte due au bruit et que l’on ne devrait pas retrouver dans une presbyacousie. Il appuie son opinion sur celle de </w:t>
      </w:r>
      <w:r w:rsidR="00BF5E3D">
        <w:t xml:space="preserve">l’ACOEM (onglet 1 - </w:t>
      </w:r>
      <w:r w:rsidR="0038040C">
        <w:t>E-49</w:t>
      </w:r>
      <w:r w:rsidR="00BF5E3D">
        <w:t>)</w:t>
      </w:r>
      <w:r w:rsidR="0038040C">
        <w:t xml:space="preserve"> et monsieur Leroux attire l’attention sur la section où les auteurs mentionnent ce qui suit :</w:t>
      </w:r>
    </w:p>
    <w:p w14:paraId="560B8690" w14:textId="77777777" w:rsidR="0038040C" w:rsidRPr="007D683F" w:rsidRDefault="0038040C" w:rsidP="0038040C">
      <w:pPr>
        <w:pStyle w:val="citation"/>
        <w:rPr>
          <w:lang w:val="en-CA"/>
        </w:rPr>
      </w:pPr>
      <w:r w:rsidRPr="007D683F">
        <w:rPr>
          <w:lang w:val="en-CA"/>
        </w:rPr>
        <w:t>CHARACTERISTICS</w:t>
      </w:r>
    </w:p>
    <w:p w14:paraId="133626A5" w14:textId="77777777" w:rsidR="0038040C" w:rsidRPr="007D683F" w:rsidRDefault="0038040C" w:rsidP="0038040C">
      <w:pPr>
        <w:pStyle w:val="citation"/>
        <w:rPr>
          <w:lang w:val="en-CA"/>
        </w:rPr>
      </w:pPr>
    </w:p>
    <w:p w14:paraId="1F7543BD" w14:textId="77777777" w:rsidR="0038040C" w:rsidRPr="007D683F" w:rsidRDefault="0038040C" w:rsidP="0038040C">
      <w:pPr>
        <w:pStyle w:val="citation"/>
        <w:rPr>
          <w:lang w:val="en-CA"/>
        </w:rPr>
      </w:pPr>
      <w:r w:rsidRPr="007D683F">
        <w:rPr>
          <w:lang w:val="en-CA"/>
        </w:rPr>
        <w:t>(…)</w:t>
      </w:r>
    </w:p>
    <w:p w14:paraId="70B45B2F" w14:textId="77777777" w:rsidR="0038040C" w:rsidRPr="007D683F" w:rsidRDefault="0038040C" w:rsidP="0038040C">
      <w:pPr>
        <w:pStyle w:val="citation"/>
        <w:ind w:left="0"/>
        <w:rPr>
          <w:lang w:val="en-CA"/>
        </w:rPr>
      </w:pPr>
    </w:p>
    <w:p w14:paraId="521B1CC0" w14:textId="77777777" w:rsidR="0038040C" w:rsidRPr="007D683F" w:rsidRDefault="00FE4DBE" w:rsidP="0038040C">
      <w:pPr>
        <w:pStyle w:val="citation"/>
        <w:rPr>
          <w:lang w:val="en-CA"/>
        </w:rPr>
      </w:pPr>
      <w:r w:rsidRPr="007D683F">
        <w:rPr>
          <w:lang w:val="en-CA"/>
        </w:rPr>
        <w:t xml:space="preserve">  </w:t>
      </w:r>
      <w:r w:rsidR="0038040C" w:rsidRPr="007D683F">
        <w:rPr>
          <w:lang w:val="en-CA"/>
        </w:rPr>
        <w:t xml:space="preserve"> Its first sign is a « notching » of the audiogram at the high frequencies of 3000,4000, or 4000 Hz with a recovery at 8000 Hz.</w:t>
      </w:r>
    </w:p>
    <w:p w14:paraId="752AC332" w14:textId="77777777" w:rsidR="0038040C" w:rsidRPr="007D683F" w:rsidRDefault="00FE4DBE" w:rsidP="0038040C">
      <w:pPr>
        <w:pStyle w:val="citation"/>
        <w:spacing w:before="240"/>
        <w:rPr>
          <w:lang w:val="en-CA"/>
        </w:rPr>
      </w:pPr>
      <w:r w:rsidRPr="007D683F">
        <w:rPr>
          <w:lang w:val="en-CA"/>
        </w:rPr>
        <w:t xml:space="preserve">   </w:t>
      </w:r>
      <w:r w:rsidR="0038040C" w:rsidRPr="007D683F">
        <w:rPr>
          <w:lang w:val="en-CA"/>
        </w:rPr>
        <w:t>This notch typically develops at one of these frequencies and affects adjacent frequencies with continued noise exposure. This, together with the effects of ag</w:t>
      </w:r>
      <w:r w:rsidR="00B503D9" w:rsidRPr="007D683F">
        <w:rPr>
          <w:lang w:val="en-CA"/>
        </w:rPr>
        <w:t>e</w:t>
      </w:r>
      <w:r w:rsidR="0038040C" w:rsidRPr="007D683F">
        <w:rPr>
          <w:lang w:val="en-CA"/>
        </w:rPr>
        <w:t>ing, may reduce the prominence of the « </w:t>
      </w:r>
      <w:proofErr w:type="gramStart"/>
      <w:r w:rsidR="0038040C" w:rsidRPr="007D683F">
        <w:rPr>
          <w:lang w:val="en-CA"/>
        </w:rPr>
        <w:t>notch .</w:t>
      </w:r>
      <w:proofErr w:type="gramEnd"/>
      <w:r w:rsidR="0038040C" w:rsidRPr="007D683F">
        <w:rPr>
          <w:lang w:val="en-CA"/>
        </w:rPr>
        <w:t> » Therefore, in older individuals, the effects of noise may be difficult to distinguish from age-related hearing (presbycusis) without access to previous audiograms.</w:t>
      </w:r>
    </w:p>
    <w:p w14:paraId="048F4004" w14:textId="77777777" w:rsidR="0038040C" w:rsidRPr="007D683F" w:rsidRDefault="0038040C" w:rsidP="0038040C">
      <w:pPr>
        <w:pStyle w:val="citation"/>
        <w:rPr>
          <w:lang w:val="en-CA"/>
        </w:rPr>
      </w:pPr>
    </w:p>
    <w:p w14:paraId="06978DAF" w14:textId="77777777" w:rsidR="0038040C" w:rsidRPr="007D683F" w:rsidRDefault="0038040C" w:rsidP="0038040C">
      <w:pPr>
        <w:pStyle w:val="citation"/>
        <w:rPr>
          <w:lang w:val="en-CA"/>
        </w:rPr>
      </w:pPr>
    </w:p>
    <w:p w14:paraId="7F2316D6" w14:textId="77777777" w:rsidR="0038040C" w:rsidRDefault="0038040C" w:rsidP="0038040C">
      <w:pPr>
        <w:pStyle w:val="corpsdedcision"/>
        <w:tabs>
          <w:tab w:val="clear" w:pos="360"/>
          <w:tab w:val="num" w:pos="720"/>
        </w:tabs>
      </w:pPr>
      <w:r>
        <w:t>Il se dit d’accord avec ces notions.</w:t>
      </w:r>
    </w:p>
    <w:p w14:paraId="00300CA7" w14:textId="77777777" w:rsidR="0038040C" w:rsidRDefault="002715D6" w:rsidP="0038040C">
      <w:pPr>
        <w:pStyle w:val="corpsdedcision"/>
        <w:tabs>
          <w:tab w:val="clear" w:pos="360"/>
          <w:tab w:val="num" w:pos="720"/>
        </w:tabs>
      </w:pPr>
      <w:r>
        <w:t>À ce sujet, i</w:t>
      </w:r>
      <w:r w:rsidR="0038040C">
        <w:t xml:space="preserve">l dépose un article, </w:t>
      </w:r>
      <w:r w:rsidR="0038040C" w:rsidRPr="00AA7E32">
        <w:rPr>
          <w:i/>
        </w:rPr>
        <w:t xml:space="preserve">A </w:t>
      </w:r>
      <w:proofErr w:type="spellStart"/>
      <w:r w:rsidR="0038040C" w:rsidRPr="00AA7E32">
        <w:rPr>
          <w:i/>
        </w:rPr>
        <w:t>retrospective</w:t>
      </w:r>
      <w:proofErr w:type="spellEnd"/>
      <w:r w:rsidR="0038040C" w:rsidRPr="00AA7E32">
        <w:rPr>
          <w:i/>
        </w:rPr>
        <w:t xml:space="preserve"> </w:t>
      </w:r>
      <w:proofErr w:type="spellStart"/>
      <w:r w:rsidR="0038040C" w:rsidRPr="00AA7E32">
        <w:rPr>
          <w:i/>
        </w:rPr>
        <w:t>analysis</w:t>
      </w:r>
      <w:proofErr w:type="spellEnd"/>
      <w:r w:rsidR="0038040C" w:rsidRPr="00AA7E32">
        <w:rPr>
          <w:i/>
        </w:rPr>
        <w:t xml:space="preserve"> of noise-</w:t>
      </w:r>
      <w:proofErr w:type="spellStart"/>
      <w:r w:rsidR="0038040C" w:rsidRPr="00AA7E32">
        <w:rPr>
          <w:i/>
        </w:rPr>
        <w:t>induced</w:t>
      </w:r>
      <w:proofErr w:type="spellEnd"/>
      <w:r w:rsidR="0038040C" w:rsidRPr="00AA7E32">
        <w:rPr>
          <w:i/>
        </w:rPr>
        <w:t xml:space="preserve"> </w:t>
      </w:r>
      <w:proofErr w:type="spellStart"/>
      <w:r w:rsidR="0038040C" w:rsidRPr="00AA7E32">
        <w:rPr>
          <w:i/>
        </w:rPr>
        <w:t>hearing</w:t>
      </w:r>
      <w:proofErr w:type="spellEnd"/>
      <w:r w:rsidR="0038040C" w:rsidRPr="00AA7E32">
        <w:rPr>
          <w:i/>
        </w:rPr>
        <w:t xml:space="preserve"> </w:t>
      </w:r>
      <w:proofErr w:type="spellStart"/>
      <w:r w:rsidR="0038040C" w:rsidRPr="00AA7E32">
        <w:rPr>
          <w:i/>
        </w:rPr>
        <w:t>loss</w:t>
      </w:r>
      <w:proofErr w:type="spellEnd"/>
      <w:r w:rsidR="0038040C" w:rsidRPr="00AA7E32">
        <w:rPr>
          <w:i/>
        </w:rPr>
        <w:t xml:space="preserve"> in the</w:t>
      </w:r>
      <w:r w:rsidR="0038040C">
        <w:t xml:space="preserve"> </w:t>
      </w:r>
      <w:r w:rsidR="0038040C" w:rsidRPr="00AA7E32">
        <w:rPr>
          <w:i/>
        </w:rPr>
        <w:t xml:space="preserve">Dutch construction </w:t>
      </w:r>
      <w:proofErr w:type="spellStart"/>
      <w:r w:rsidR="0038040C" w:rsidRPr="00AA7E32">
        <w:rPr>
          <w:i/>
        </w:rPr>
        <w:t>industry</w:t>
      </w:r>
      <w:proofErr w:type="spellEnd"/>
      <w:r w:rsidR="0038040C">
        <w:t>, publiée en 2011 (T-47) où les auteurs ont analysé la pert</w:t>
      </w:r>
      <w:r w:rsidR="00B503D9">
        <w:t xml:space="preserve">e auditive due au bruit chez 29 </w:t>
      </w:r>
      <w:r w:rsidR="0038040C">
        <w:t xml:space="preserve">644 travailleurs exposés au bruit à 80 </w:t>
      </w:r>
      <w:proofErr w:type="spellStart"/>
      <w:r w:rsidR="0038040C">
        <w:t>dBA</w:t>
      </w:r>
      <w:proofErr w:type="spellEnd"/>
      <w:r w:rsidR="0038040C">
        <w:t xml:space="preserve"> et plus. Il souligne que ce niveau de bruit correspond au niveau d’intervention en Europe et qu’une exposition au bruit au-delà de 80 </w:t>
      </w:r>
      <w:proofErr w:type="spellStart"/>
      <w:r w:rsidR="0038040C">
        <w:t>dBA</w:t>
      </w:r>
      <w:proofErr w:type="spellEnd"/>
      <w:r w:rsidR="0038040C">
        <w:t xml:space="preserve"> peut entraîner une perte auditive.</w:t>
      </w:r>
    </w:p>
    <w:p w14:paraId="4E620E5A" w14:textId="77777777" w:rsidR="00E279CB" w:rsidRDefault="0038040C" w:rsidP="00E279CB">
      <w:pPr>
        <w:pStyle w:val="corpsdedcision"/>
        <w:tabs>
          <w:tab w:val="clear" w:pos="360"/>
          <w:tab w:val="num" w:pos="720"/>
        </w:tabs>
      </w:pPr>
      <w:r>
        <w:t xml:space="preserve">Les courbes audiométriques de cette étude démontrent qu’effectivement, chez les personnes exposées au bruit, il y a une encoche qui est centrée à 6000 Hz. </w:t>
      </w:r>
      <w:r w:rsidR="005C612C">
        <w:t>À mesure toutefois</w:t>
      </w:r>
      <w:r>
        <w:t xml:space="preserve"> que les gens continuent d’être exposés, cette encoche s’élargit et elle n’est presque plus visible dans le groupe de 55-65 ans. Monsieur Leroux explique qu’on ne s’attend pas de voir une encoche très franche chez une personne de ce groupe d’âge. C’est le cas du travailleur qui a 58 ans et a été exposé au bruit pendant 30 ans.</w:t>
      </w:r>
    </w:p>
    <w:p w14:paraId="22CD6891" w14:textId="77777777" w:rsidR="0038040C" w:rsidRPr="006E5F92" w:rsidRDefault="0038040C" w:rsidP="00E279CB">
      <w:pPr>
        <w:pStyle w:val="corpsdedcision"/>
        <w:tabs>
          <w:tab w:val="clear" w:pos="360"/>
          <w:tab w:val="num" w:pos="720"/>
        </w:tabs>
      </w:pPr>
      <w:r>
        <w:t>Il souligne, par ailleurs, qu’au niveau de leur conclusion, les auteurs notent qu’ils n’ont pas observé de relation statistiquement significative avec les facteurs reliés aux habitudes de vie tel le tabagisme, la consommation d’alcool et l’hypertension</w:t>
      </w:r>
      <w:r w:rsidRPr="00E279CB">
        <w:rPr>
          <w:b/>
        </w:rPr>
        <w:t xml:space="preserve">. </w:t>
      </w:r>
    </w:p>
    <w:p w14:paraId="3D314AAF" w14:textId="77777777" w:rsidR="004830DC" w:rsidRDefault="002715D6" w:rsidP="000550DE">
      <w:pPr>
        <w:pStyle w:val="corpsdedcision"/>
        <w:tabs>
          <w:tab w:val="clear" w:pos="360"/>
          <w:tab w:val="num" w:pos="720"/>
        </w:tabs>
      </w:pPr>
      <w:r>
        <w:lastRenderedPageBreak/>
        <w:t>Puis, à</w:t>
      </w:r>
      <w:r w:rsidR="0038040C">
        <w:t xml:space="preserve"> la question 6 du rapport d’avril 2015, où il est à nouveau question de la presbyacousie neurosensorielle, le docteur Bertrand écrit que chez l’humain il n’y a pas de possibilité d’examiner la cochlée autrement que par une autopsie. Cependant il ajoute qu’il y a de nouveaux examens, la EOA (Émissions </w:t>
      </w:r>
      <w:proofErr w:type="spellStart"/>
      <w:r w:rsidR="0038040C">
        <w:t>oto</w:t>
      </w:r>
      <w:proofErr w:type="spellEnd"/>
      <w:r w:rsidR="0038040C">
        <w:t>-acoustiques) et le DPOAE (</w:t>
      </w:r>
      <w:proofErr w:type="spellStart"/>
      <w:r w:rsidR="0038040C">
        <w:t>Distortion</w:t>
      </w:r>
      <w:proofErr w:type="spellEnd"/>
      <w:r w:rsidR="0038040C">
        <w:t xml:space="preserve"> Product </w:t>
      </w:r>
      <w:proofErr w:type="spellStart"/>
      <w:r w:rsidR="0038040C">
        <w:t>Otoacoustic</w:t>
      </w:r>
      <w:proofErr w:type="spellEnd"/>
      <w:r w:rsidR="0038040C">
        <w:t xml:space="preserve"> </w:t>
      </w:r>
      <w:proofErr w:type="spellStart"/>
      <w:r w:rsidR="0038040C">
        <w:t>Emission</w:t>
      </w:r>
      <w:proofErr w:type="spellEnd"/>
      <w:r w:rsidR="0038040C">
        <w:t>) qui peuvent, chez l’humain, déterminer la fonctionnalité des cellules ciliées externes de la cochlée. Le docteur Bertrand ajoute que cette approche n’est pas utilisée de façon courante. Or, monsieur Leroux précise que de tels examens sont faits systématiquement à tous les cas de surdité professionnelle à la clinique universitaire et ils sont remboursés par la CSST</w:t>
      </w:r>
      <w:r w:rsidR="004830DC">
        <w:t xml:space="preserve"> (T-48)</w:t>
      </w:r>
      <w:r w:rsidR="0038040C">
        <w:t xml:space="preserve">. </w:t>
      </w:r>
    </w:p>
    <w:p w14:paraId="270AE468" w14:textId="77777777" w:rsidR="0038040C" w:rsidRDefault="004830DC" w:rsidP="000550DE">
      <w:pPr>
        <w:pStyle w:val="corpsdedcision"/>
        <w:tabs>
          <w:tab w:val="clear" w:pos="360"/>
          <w:tab w:val="num" w:pos="720"/>
        </w:tabs>
      </w:pPr>
      <w:r>
        <w:t>Quand</w:t>
      </w:r>
      <w:r w:rsidR="0038040C">
        <w:t xml:space="preserve"> le docteur Bertrand écrit dans sa conclusion qu’il est possible d’avoir une atteinte neurosensorielle des hautes fréquences sans aucune atteinte des cellules ciliées tel que noté dans la presbyacousie métabolique, monsieur Leroux souligne que ce fait pourrait être vérifié par cet examen</w:t>
      </w:r>
      <w:r>
        <w:t>. Celui-ci n’a toutefois pas</w:t>
      </w:r>
      <w:r w:rsidR="0038040C">
        <w:t xml:space="preserve"> été fait chez le travailleur. Alors on ne peut tirer une telle conclusion en l’espèce.</w:t>
      </w:r>
    </w:p>
    <w:p w14:paraId="67E93289" w14:textId="77777777" w:rsidR="0038040C" w:rsidRDefault="002715D6" w:rsidP="0038040C">
      <w:pPr>
        <w:pStyle w:val="corpsdedcision"/>
        <w:tabs>
          <w:tab w:val="clear" w:pos="360"/>
          <w:tab w:val="num" w:pos="720"/>
        </w:tabs>
      </w:pPr>
      <w:r>
        <w:t xml:space="preserve">Alors à nouveau, monsieur Leroux considère qu’en l’espèce, </w:t>
      </w:r>
      <w:r w:rsidR="0038040C">
        <w:t>il ne s’agit ni de surdité neurosensorielle, ni de presbyacousie métabolique, mais bien d’une surdité professionnelle causée par l’exposition au bruit pendant 28 ans.</w:t>
      </w:r>
    </w:p>
    <w:p w14:paraId="784499EB" w14:textId="77777777" w:rsidR="0038040C" w:rsidRDefault="0038040C" w:rsidP="0038040C">
      <w:pPr>
        <w:pStyle w:val="corpsdedcision"/>
        <w:tabs>
          <w:tab w:val="clear" w:pos="360"/>
          <w:tab w:val="num" w:pos="720"/>
        </w:tabs>
      </w:pPr>
      <w:r>
        <w:t>En contr</w:t>
      </w:r>
      <w:r w:rsidR="003A6E47">
        <w:t>e-</w:t>
      </w:r>
      <w:r>
        <w:t xml:space="preserve">interrogatoire, monsieur Leroux a été questionné sur plusieurs aspects de l’évaluation qu’il a faite pour déterminer les sources d’exposition au bruit auxquelles le travailleur aurait été exposé durant sa carrière. Il fait valoir cependant que l’ensemble de la preuve, soit la rencontre avec le travailleur lors de son expertise, son témoignage à l’audience et les autres précisions qui ont été apportées par les divers témoins, l’a amené à conclure que le travailleur avait été exposé en moyenne à 84 </w:t>
      </w:r>
      <w:proofErr w:type="spellStart"/>
      <w:r>
        <w:t>dBA</w:t>
      </w:r>
      <w:proofErr w:type="spellEnd"/>
      <w:r>
        <w:t xml:space="preserve"> durant 28 années de sa carrière. Il souligne que l’expert de l’employeur, le docteur Bertrand, est arrivé exactement aux mêmes conclusions.</w:t>
      </w:r>
    </w:p>
    <w:p w14:paraId="7AD1B8A4" w14:textId="77777777" w:rsidR="00D11366" w:rsidRDefault="00D11366" w:rsidP="00B15142">
      <w:pPr>
        <w:pStyle w:val="corpsdedcision"/>
        <w:tabs>
          <w:tab w:val="clear" w:pos="360"/>
          <w:tab w:val="num" w:pos="720"/>
        </w:tabs>
      </w:pPr>
      <w:r>
        <w:t>Il a également été questionné sur les compétences d’un audiologiste particulièrement par rapport à l’analyse d’une exposition au bruit</w:t>
      </w:r>
    </w:p>
    <w:p w14:paraId="5AA5578C" w14:textId="77777777" w:rsidR="0038040C" w:rsidRDefault="005C612C" w:rsidP="002715D6">
      <w:pPr>
        <w:pStyle w:val="corpsdedcision"/>
        <w:tabs>
          <w:tab w:val="clear" w:pos="360"/>
          <w:tab w:val="num" w:pos="720"/>
        </w:tabs>
      </w:pPr>
      <w:r>
        <w:t xml:space="preserve">Par la suite, </w:t>
      </w:r>
      <w:r w:rsidR="0038040C">
        <w:t xml:space="preserve">monsieur Leroux décrit avec force détails les aspects physiques, techniques et mathématiques qui expliquent les différences entre les résultats de dosimétries faites en q=5 vs en q=3. Le tribunal considère qu’il n’est pas nécessaire de rapporter l’ensemble de cette preuve puisque sur cet aspect, le docteur Bertrand s’est dit d’accord avec le fait que les mesures en q=3, notamment celles du rapport </w:t>
      </w:r>
      <w:r w:rsidR="00A94958">
        <w:t xml:space="preserve">de l’ingénieur </w:t>
      </w:r>
      <w:r w:rsidR="0038040C">
        <w:t>Torikian, sont celles qui doivent être retenues pour évaluer correctement la nocivité du bruit nocif pour l’audition.</w:t>
      </w:r>
    </w:p>
    <w:p w14:paraId="141C8C53" w14:textId="77777777" w:rsidR="006E5F92" w:rsidRDefault="006E5F92" w:rsidP="006E5F92">
      <w:pPr>
        <w:pStyle w:val="corpsdedcision"/>
        <w:numPr>
          <w:ilvl w:val="0"/>
          <w:numId w:val="0"/>
        </w:numPr>
        <w:tabs>
          <w:tab w:val="clear" w:pos="720"/>
        </w:tabs>
      </w:pPr>
    </w:p>
    <w:p w14:paraId="2640064C" w14:textId="77777777" w:rsidR="0038040C" w:rsidRDefault="0038040C" w:rsidP="0038040C">
      <w:pPr>
        <w:pStyle w:val="corpsdedcision"/>
        <w:tabs>
          <w:tab w:val="clear" w:pos="360"/>
          <w:tab w:val="num" w:pos="720"/>
        </w:tabs>
      </w:pPr>
      <w:r>
        <w:lastRenderedPageBreak/>
        <w:t xml:space="preserve">Questionné au sujet du niveau d’atteinte auditive pour une exposition à 85 </w:t>
      </w:r>
      <w:proofErr w:type="spellStart"/>
      <w:r>
        <w:t>dBA</w:t>
      </w:r>
      <w:proofErr w:type="spellEnd"/>
      <w:r>
        <w:t xml:space="preserve"> après 40 ans, monsieur Leroux répond que cela varie selon la fréquence et il ne connaît pas les résultats par cœur. Il peut cependant dire qu’à cette exposition</w:t>
      </w:r>
      <w:r w:rsidR="002715D6">
        <w:t>, il y a entre 6 et 8</w:t>
      </w:r>
      <w:r w:rsidR="006B299C">
        <w:t> </w:t>
      </w:r>
      <w:r w:rsidR="002715D6">
        <w:t>pour</w:t>
      </w:r>
      <w:r w:rsidR="00281D0E">
        <w:t xml:space="preserve"> </w:t>
      </w:r>
      <w:r w:rsidR="002715D6">
        <w:t>cent</w:t>
      </w:r>
      <w:r w:rsidRPr="00A4622B">
        <w:t xml:space="preserve"> de risque de retrouver des travailleurs ayant une surdité indemnisable</w:t>
      </w:r>
      <w:r>
        <w:t>.</w:t>
      </w:r>
    </w:p>
    <w:p w14:paraId="013E69A7" w14:textId="77777777" w:rsidR="0038040C" w:rsidRDefault="005C612C" w:rsidP="0038040C">
      <w:pPr>
        <w:pStyle w:val="corpsdedcision"/>
        <w:tabs>
          <w:tab w:val="clear" w:pos="360"/>
          <w:tab w:val="num" w:pos="720"/>
        </w:tabs>
      </w:pPr>
      <w:r>
        <w:t>Il</w:t>
      </w:r>
      <w:r w:rsidR="0038040C">
        <w:t xml:space="preserve"> donne une estimation du pourcentage de travailleurs présentant une surd</w:t>
      </w:r>
      <w:r w:rsidR="00D11366">
        <w:t>ité après avoir été exposés à 84</w:t>
      </w:r>
      <w:r w:rsidR="0038040C">
        <w:t xml:space="preserve"> </w:t>
      </w:r>
      <w:proofErr w:type="spellStart"/>
      <w:r w:rsidR="0038040C">
        <w:t>dBA</w:t>
      </w:r>
      <w:proofErr w:type="spellEnd"/>
      <w:r w:rsidR="0038040C">
        <w:t xml:space="preserve"> pendant 24 ans. À partir du document T-38, page 23, </w:t>
      </w:r>
      <w:r w:rsidR="0038040C" w:rsidRPr="00D11366">
        <w:t>il estime q</w:t>
      </w:r>
      <w:r w:rsidR="00A94958" w:rsidRPr="00D11366">
        <w:t>ue cette valeur se situe entre 4,3 et 6,</w:t>
      </w:r>
      <w:r w:rsidR="0038040C" w:rsidRPr="00D11366">
        <w:t>7</w:t>
      </w:r>
      <w:r w:rsidR="006B299C">
        <w:t> </w:t>
      </w:r>
      <w:r w:rsidR="0038040C" w:rsidRPr="00D11366">
        <w:t>% pour une définition de surdité correspondant à des seuils à 25 dB aux fréquences de 1000, 2000, 3000 et 4000 Hz. Questionné à savoir ce qui arrive à l’autre portion de la population exposée, monsieur Leroux répond que la très forte majorité ne développera pas une atteinte auditive qui franchira le seuil défini ici à 25 dB. Une portion de ces gens développera tout de même une atteinte auditive</w:t>
      </w:r>
      <w:r w:rsidR="00A94958" w:rsidRPr="00D11366">
        <w:t>,</w:t>
      </w:r>
      <w:r w:rsidR="0038040C" w:rsidRPr="00D11366">
        <w:t xml:space="preserve"> mais elle sera en</w:t>
      </w:r>
      <w:r w:rsidR="004F182B">
        <w:t xml:space="preserve"> </w:t>
      </w:r>
      <w:r w:rsidR="0038040C" w:rsidRPr="00D11366">
        <w:t>deçà de 25 dB</w:t>
      </w:r>
      <w:r w:rsidR="0038040C">
        <w:t xml:space="preserve">. </w:t>
      </w:r>
    </w:p>
    <w:p w14:paraId="5267EF8D" w14:textId="77777777" w:rsidR="0038040C" w:rsidRDefault="0038040C" w:rsidP="0038040C">
      <w:pPr>
        <w:pStyle w:val="corpsdedcision"/>
        <w:tabs>
          <w:tab w:val="clear" w:pos="360"/>
          <w:tab w:val="num" w:pos="720"/>
        </w:tabs>
      </w:pPr>
      <w:r>
        <w:t>À son avis quand on estime que 4 à 7</w:t>
      </w:r>
      <w:r w:rsidR="006B299C">
        <w:t> </w:t>
      </w:r>
      <w:r>
        <w:t xml:space="preserve">% de la population développera une surdité due au bruit, il s’agit d’un problème de santé publique sérieux. </w:t>
      </w:r>
    </w:p>
    <w:p w14:paraId="785DE3CA" w14:textId="77777777" w:rsidR="0038040C" w:rsidRDefault="0038040C" w:rsidP="0038040C">
      <w:pPr>
        <w:pStyle w:val="corpsdedcision"/>
        <w:tabs>
          <w:tab w:val="clear" w:pos="360"/>
          <w:tab w:val="num" w:pos="720"/>
        </w:tabs>
      </w:pPr>
      <w:r>
        <w:t>Il fait également valoir que, bien que le seuil d’intervention au Québec soit à 85</w:t>
      </w:r>
      <w:r w:rsidR="006B299C">
        <w:t> </w:t>
      </w:r>
      <w:proofErr w:type="spellStart"/>
      <w:r>
        <w:t>dBA</w:t>
      </w:r>
      <w:proofErr w:type="spellEnd"/>
      <w:r>
        <w:t xml:space="preserve">, il est à 80 </w:t>
      </w:r>
      <w:proofErr w:type="spellStart"/>
      <w:r>
        <w:t>dBA</w:t>
      </w:r>
      <w:proofErr w:type="spellEnd"/>
      <w:r>
        <w:t xml:space="preserve"> en Europe. </w:t>
      </w:r>
    </w:p>
    <w:p w14:paraId="44F8B372" w14:textId="77777777" w:rsidR="0038040C" w:rsidRDefault="0038040C" w:rsidP="0038040C">
      <w:pPr>
        <w:pStyle w:val="corpsdedcision"/>
        <w:tabs>
          <w:tab w:val="clear" w:pos="360"/>
          <w:tab w:val="num" w:pos="720"/>
        </w:tabs>
      </w:pPr>
      <w:r>
        <w:t>Par la suite, il apporte des précisions sur une affirmation des auteurs du document T-14, page V,</w:t>
      </w:r>
      <w:r w:rsidR="005C612C">
        <w:t xml:space="preserve"> soit la norme ISO 1999 (</w:t>
      </w:r>
      <w:r>
        <w:t>2013</w:t>
      </w:r>
      <w:r w:rsidR="005C612C">
        <w:t>)</w:t>
      </w:r>
      <w:r>
        <w:t xml:space="preserve">, voulant que cette norme ne </w:t>
      </w:r>
      <w:proofErr w:type="gramStart"/>
      <w:r>
        <w:t>doit</w:t>
      </w:r>
      <w:proofErr w:type="gramEnd"/>
      <w:r>
        <w:t xml:space="preserve"> pas être appliquée à des individus. Il explique que cette norme permet de prédire la surdité de populations. Pourquoi? C’est que la population humaine varie en termes de génétique ce qui fait qu’on n’a pas la même susceptibilité aux maladies et aux facteurs environnementaux. La surdité affectera de manière plus ou moins importante la population : certains seront très sensibles et, à l’autre bout, d’autres seront très résistants. </w:t>
      </w:r>
      <w:r w:rsidRPr="00D11366">
        <w:t>Monsieur Leroux ajoute que les recherches récentes démontrent que certains gènes expliquent cette différence.</w:t>
      </w:r>
      <w:r>
        <w:t xml:space="preserve"> </w:t>
      </w:r>
    </w:p>
    <w:p w14:paraId="1408E805" w14:textId="77777777" w:rsidR="0038040C" w:rsidRPr="00A4622B" w:rsidRDefault="0038040C" w:rsidP="0038040C">
      <w:pPr>
        <w:pStyle w:val="corpsdedcision"/>
        <w:tabs>
          <w:tab w:val="clear" w:pos="360"/>
          <w:tab w:val="num" w:pos="720"/>
        </w:tabs>
      </w:pPr>
      <w:r w:rsidRPr="00A4622B">
        <w:t xml:space="preserve">Concernant l’utilisation de la norme pour un individu en particulier, il </w:t>
      </w:r>
      <w:r w:rsidR="00F449EB">
        <w:t xml:space="preserve">convient </w:t>
      </w:r>
      <w:r w:rsidRPr="00A4622B">
        <w:t>que cela permet de vérifier si celui-ci correspond à la population de référence de cette norme</w:t>
      </w:r>
      <w:r w:rsidR="00F449EB">
        <w:t>, mais que c</w:t>
      </w:r>
      <w:r w:rsidRPr="00A4622B">
        <w:t xml:space="preserve">ela ne permet pas toutefois d’inférer une relation causale entre le bruit et la surdité pour cet individu en particulier. </w:t>
      </w:r>
    </w:p>
    <w:p w14:paraId="34B9C5DC" w14:textId="77777777" w:rsidR="0038040C" w:rsidRDefault="005C612C" w:rsidP="0038040C">
      <w:pPr>
        <w:pStyle w:val="corpsdedcision"/>
        <w:tabs>
          <w:tab w:val="clear" w:pos="360"/>
          <w:tab w:val="num" w:pos="720"/>
        </w:tabs>
      </w:pPr>
      <w:r>
        <w:t>La</w:t>
      </w:r>
      <w:r w:rsidR="0038040C">
        <w:t xml:space="preserve"> procureure de l’employeur questionne monsieur Leroux au sujet du document T-23, qui correspond à la modification de la page 13 de son expertise portant sur l’analyse de la perte auditive du travailleur. Plus précisément, dans le texte, lorsqu’il compare les seuils d’audition du travailleur à une population de référence, il précise qu’il s’agit de la population au 10</w:t>
      </w:r>
      <w:r w:rsidR="006B299C" w:rsidRPr="006B299C">
        <w:rPr>
          <w:vertAlign w:val="superscript"/>
        </w:rPr>
        <w:t>e</w:t>
      </w:r>
      <w:r w:rsidR="006B299C">
        <w:t xml:space="preserve"> </w:t>
      </w:r>
      <w:r w:rsidR="0038040C">
        <w:t>percentile de la norme ISO 1999 pou</w:t>
      </w:r>
      <w:r w:rsidR="008E2FC1">
        <w:t>r une population d’hommes ayant </w:t>
      </w:r>
      <w:r w:rsidR="0038040C">
        <w:t>le même âge et ayant été exposés aux mêmes conditions de bruit en carrière. Le 10</w:t>
      </w:r>
      <w:r w:rsidR="006B299C" w:rsidRPr="006B299C">
        <w:rPr>
          <w:vertAlign w:val="superscript"/>
        </w:rPr>
        <w:t>e</w:t>
      </w:r>
      <w:r w:rsidR="006B299C">
        <w:t xml:space="preserve"> </w:t>
      </w:r>
      <w:r w:rsidR="0038040C">
        <w:t xml:space="preserve">percentile représente les </w:t>
      </w:r>
      <w:r w:rsidR="0038040C" w:rsidRPr="00A4622B">
        <w:t>10</w:t>
      </w:r>
      <w:r w:rsidR="006B299C">
        <w:t> </w:t>
      </w:r>
      <w:r w:rsidR="0038040C" w:rsidRPr="00A4622B">
        <w:t>% de la population les plus sensibles et il y a seulement 10</w:t>
      </w:r>
      <w:r w:rsidR="006B299C">
        <w:t> </w:t>
      </w:r>
      <w:r w:rsidR="0038040C" w:rsidRPr="00A4622B">
        <w:t>% de la population qui a des seuils d’audition pires que ceux-là</w:t>
      </w:r>
      <w:r w:rsidR="0038040C">
        <w:t xml:space="preserve">. </w:t>
      </w:r>
    </w:p>
    <w:p w14:paraId="55E84BAF" w14:textId="77777777" w:rsidR="0038040C" w:rsidRDefault="0038040C" w:rsidP="0038040C">
      <w:pPr>
        <w:pStyle w:val="corpsdedcision"/>
        <w:tabs>
          <w:tab w:val="clear" w:pos="360"/>
          <w:tab w:val="num" w:pos="720"/>
        </w:tabs>
      </w:pPr>
      <w:r>
        <w:lastRenderedPageBreak/>
        <w:t>Au sujet du document T-29</w:t>
      </w:r>
      <w:r w:rsidRPr="00AA7E32">
        <w:rPr>
          <w:i/>
        </w:rPr>
        <w:t xml:space="preserve">, </w:t>
      </w:r>
      <w:proofErr w:type="spellStart"/>
      <w:r w:rsidRPr="00AA7E32">
        <w:rPr>
          <w:i/>
        </w:rPr>
        <w:t>Worksi</w:t>
      </w:r>
      <w:r>
        <w:rPr>
          <w:i/>
        </w:rPr>
        <w:t>te-Induced</w:t>
      </w:r>
      <w:proofErr w:type="spellEnd"/>
      <w:r>
        <w:rPr>
          <w:i/>
        </w:rPr>
        <w:t xml:space="preserve"> </w:t>
      </w:r>
      <w:proofErr w:type="spellStart"/>
      <w:r>
        <w:rPr>
          <w:i/>
        </w:rPr>
        <w:t>Morbidities</w:t>
      </w:r>
      <w:proofErr w:type="spellEnd"/>
      <w:r>
        <w:rPr>
          <w:i/>
        </w:rPr>
        <w:t xml:space="preserve"> Among Tru</w:t>
      </w:r>
      <w:r w:rsidRPr="00AA7E32">
        <w:rPr>
          <w:i/>
        </w:rPr>
        <w:t>ck Drivers in the United States</w:t>
      </w:r>
      <w:r>
        <w:t xml:space="preserve">, la procureure de l’employeur réfère à un extrait que monsieur Leroux avait retenu à la page 290 concernant les facteurs pouvant influencer les vibrations émises par un camion soit son âge, la vitesse, le modèle de la cabine, l’entretien de la suspension et de la cerveau-direction et le type de routes emprunté. Il réitère son opinion à l’effet que ces facteurs </w:t>
      </w:r>
      <w:proofErr w:type="gramStart"/>
      <w:r>
        <w:t>ont</w:t>
      </w:r>
      <w:proofErr w:type="gramEnd"/>
      <w:r>
        <w:t xml:space="preserve"> une influence sur les vibrations. Il n’est toutefois pas en mesure de dire quels modèles de camion</w:t>
      </w:r>
      <w:r w:rsidR="005C612C">
        <w:t>, que</w:t>
      </w:r>
      <w:r>
        <w:t xml:space="preserve"> le travailleur a conduit entre 1978 et 2012</w:t>
      </w:r>
      <w:r w:rsidR="005C612C">
        <w:t>,</w:t>
      </w:r>
      <w:r>
        <w:t xml:space="preserve"> ont pu être plus dommageables. </w:t>
      </w:r>
    </w:p>
    <w:p w14:paraId="4BAC4C58" w14:textId="77777777" w:rsidR="0038040C" w:rsidRDefault="0038040C" w:rsidP="0038040C">
      <w:pPr>
        <w:pStyle w:val="corpsdedcision"/>
        <w:tabs>
          <w:tab w:val="clear" w:pos="360"/>
          <w:tab w:val="num" w:pos="720"/>
        </w:tabs>
      </w:pPr>
      <w:r w:rsidRPr="00A4622B">
        <w:t>Concernant le monoxyde de carbone, il convient que nulle part dans son expertise il est question de l’aération du garage où étaient stationnés les camions. Il n’avait pas non plus de données sur la ventilation dans le garage. Il reconnaît enfin qu’il n’y a jamais eu d’évaluation de la qualité de l’air faite dans les garages où le travailleur stationnait ses camions entre 1978 et 2012</w:t>
      </w:r>
      <w:r>
        <w:t>.</w:t>
      </w:r>
    </w:p>
    <w:p w14:paraId="2BF9A8A8" w14:textId="77777777" w:rsidR="0038040C" w:rsidRDefault="0038040C" w:rsidP="0038040C">
      <w:pPr>
        <w:pStyle w:val="corpsdedcision"/>
        <w:tabs>
          <w:tab w:val="clear" w:pos="360"/>
          <w:tab w:val="num" w:pos="720"/>
        </w:tabs>
      </w:pPr>
      <w:r>
        <w:t>Monsieur Leroux répond par la suite aux questions du tribunal.</w:t>
      </w:r>
    </w:p>
    <w:p w14:paraId="23C802F5" w14:textId="77777777" w:rsidR="0038040C" w:rsidRDefault="0038040C" w:rsidP="0038040C">
      <w:pPr>
        <w:pStyle w:val="corpsdedcision"/>
        <w:tabs>
          <w:tab w:val="clear" w:pos="360"/>
          <w:tab w:val="num" w:pos="720"/>
        </w:tabs>
      </w:pPr>
      <w:r>
        <w:t>Au sujet du document T-31, où on évalue l’effet des substances chimiques sur l’audition et leur interaction avec le bruit, et auquel monsieur Leroux a lui-même participé, il est invité à commenter la discussion concernant la fiche du monoxyde de carbone qui se lit comme suit :</w:t>
      </w:r>
    </w:p>
    <w:p w14:paraId="4B26473F" w14:textId="77777777" w:rsidR="0038040C" w:rsidRDefault="0038040C" w:rsidP="0038040C">
      <w:pPr>
        <w:pStyle w:val="citation"/>
        <w:rPr>
          <w:b/>
        </w:rPr>
      </w:pPr>
      <w:r w:rsidRPr="00AA7E32">
        <w:rPr>
          <w:b/>
        </w:rPr>
        <w:t>Discussion</w:t>
      </w:r>
    </w:p>
    <w:p w14:paraId="1688185A" w14:textId="77777777" w:rsidR="0038040C" w:rsidRDefault="0038040C" w:rsidP="0038040C">
      <w:pPr>
        <w:pStyle w:val="citation"/>
        <w:rPr>
          <w:b/>
        </w:rPr>
      </w:pPr>
    </w:p>
    <w:p w14:paraId="7E1AEDB6" w14:textId="77777777" w:rsidR="0038040C" w:rsidRDefault="0038040C" w:rsidP="0038040C">
      <w:pPr>
        <w:pStyle w:val="citation"/>
      </w:pPr>
      <w:r w:rsidRPr="00DD1BB0">
        <w:t>Aucune étude humaine n’a été identifiée</w:t>
      </w:r>
      <w:r>
        <w:t>. Les 10 études animales menées chez le rat n’ont montré aucun effet ototoxique associé à l’exposition au monoxyde de carbone seul. Cependant, une potentialisation de la perte auditive due au bruit par le monoxyde de carbone a été trouvée dans 18 études chez le rat. D’autres études avec des données suffisantes sur l’exposition des travailleurs au monoxyde de carbone sont nécessaires pour en arriver à une conclusion définitive au sujet de l’interaction avec le bruit. En l’absence d’études humaines, nous ne pouvons conclure quant à l’</w:t>
      </w:r>
      <w:proofErr w:type="spellStart"/>
      <w:r>
        <w:t>ototocxicité</w:t>
      </w:r>
      <w:proofErr w:type="spellEnd"/>
      <w:r>
        <w:t xml:space="preserve"> du monoxyde de carbone. Toutefois, les résultats des études animales nous amènent à considérer le monoxyde de carbone comme un potentialisateur possible d’une perte auditive due au bruit.</w:t>
      </w:r>
    </w:p>
    <w:p w14:paraId="6A1E6815" w14:textId="77777777" w:rsidR="0038040C" w:rsidRDefault="0038040C" w:rsidP="0038040C">
      <w:pPr>
        <w:pStyle w:val="citation"/>
      </w:pPr>
    </w:p>
    <w:p w14:paraId="2B8BEF55" w14:textId="77777777" w:rsidR="0038040C" w:rsidRDefault="0038040C" w:rsidP="0038040C">
      <w:pPr>
        <w:pStyle w:val="citation"/>
      </w:pPr>
    </w:p>
    <w:p w14:paraId="32695377" w14:textId="77777777" w:rsidR="0038040C" w:rsidRDefault="0038040C" w:rsidP="0038040C">
      <w:pPr>
        <w:pStyle w:val="corpsdedcision"/>
        <w:tabs>
          <w:tab w:val="clear" w:pos="360"/>
          <w:tab w:val="num" w:pos="720"/>
        </w:tabs>
      </w:pPr>
      <w:r>
        <w:t>Monsieur Leroux explique le barème utilisé par les auteurs pour classer les substances comme interagissant probablement ou possiblement avec le bruit.</w:t>
      </w:r>
    </w:p>
    <w:p w14:paraId="0DB3CFEE" w14:textId="77777777" w:rsidR="0038040C" w:rsidRDefault="00DD1BB0" w:rsidP="0038040C">
      <w:pPr>
        <w:pStyle w:val="corpsdedcision"/>
        <w:tabs>
          <w:tab w:val="clear" w:pos="360"/>
          <w:tab w:val="num" w:pos="720"/>
        </w:tabs>
      </w:pPr>
      <w:r>
        <w:t>Le</w:t>
      </w:r>
      <w:r w:rsidR="0038040C">
        <w:t xml:space="preserve"> tribunal questionne l’expert à propos du document T-32, lequel est une présentation </w:t>
      </w:r>
      <w:r w:rsidR="0038040C" w:rsidRPr="00A94958">
        <w:rPr>
          <w:i/>
        </w:rPr>
        <w:t>Power Point</w:t>
      </w:r>
      <w:r w:rsidR="0038040C">
        <w:t xml:space="preserve"> d’une étude portant sur la perte auditive chez des travailleurs exposés à de faibles doses de monoxyde de carbone et au bruit</w:t>
      </w:r>
      <w:r w:rsidR="006E5F92">
        <w:t>.</w:t>
      </w:r>
    </w:p>
    <w:p w14:paraId="463C8CD1" w14:textId="77777777" w:rsidR="006E5F92" w:rsidRDefault="006E5F92" w:rsidP="006E5F92">
      <w:pPr>
        <w:pStyle w:val="corpsdedcision"/>
        <w:numPr>
          <w:ilvl w:val="0"/>
          <w:numId w:val="0"/>
        </w:numPr>
        <w:tabs>
          <w:tab w:val="clear" w:pos="720"/>
        </w:tabs>
      </w:pPr>
    </w:p>
    <w:p w14:paraId="1BF2FFFA" w14:textId="77777777" w:rsidR="0038040C" w:rsidRDefault="0038040C" w:rsidP="0038040C">
      <w:pPr>
        <w:pStyle w:val="corpsdedcision"/>
        <w:tabs>
          <w:tab w:val="clear" w:pos="360"/>
          <w:tab w:val="num" w:pos="720"/>
        </w:tabs>
      </w:pPr>
      <w:r>
        <w:lastRenderedPageBreak/>
        <w:t>Monsieur Leroux explique le protocole de recherche qui est décrit aux diapositives 16 à 18. Notamment au sujet du tableau à la diapositive 17, il convient que les catégories d’exposition au bruit et au monoxyde de carbone sont pour des durées d’exposition de 8</w:t>
      </w:r>
      <w:r w:rsidR="006B299C">
        <w:t> </w:t>
      </w:r>
      <w:r>
        <w:t xml:space="preserve">heures. </w:t>
      </w:r>
      <w:r w:rsidR="006B299C">
        <w:t>I</w:t>
      </w:r>
      <w:r w:rsidRPr="00A4622B">
        <w:t xml:space="preserve">l est question d’exposition au bruit et au monoxyde de carbone durant une journée de 8 heures. Les résultats démontrent qu’une </w:t>
      </w:r>
      <w:proofErr w:type="gramStart"/>
      <w:r w:rsidRPr="00A4622B">
        <w:t>exposition  moyenne</w:t>
      </w:r>
      <w:proofErr w:type="gramEnd"/>
      <w:r w:rsidRPr="00A4622B">
        <w:t xml:space="preserve"> de 8 heures au bruit de 80 à 85 </w:t>
      </w:r>
      <w:proofErr w:type="spellStart"/>
      <w:r w:rsidRPr="00A4622B">
        <w:t>dBA</w:t>
      </w:r>
      <w:proofErr w:type="spellEnd"/>
      <w:r w:rsidRPr="00A4622B">
        <w:t xml:space="preserve"> conjuguée à une exposition de 8 heures au monoxyde de carbone de plus de 20 ppm a un effet significatif sur l’atteinte auditive des travailleurs dans cette étude.</w:t>
      </w:r>
    </w:p>
    <w:p w14:paraId="5452C953" w14:textId="77777777" w:rsidR="0038040C" w:rsidRDefault="0038040C" w:rsidP="0038040C">
      <w:pPr>
        <w:pStyle w:val="corpsdedcision"/>
        <w:tabs>
          <w:tab w:val="clear" w:pos="360"/>
          <w:tab w:val="num" w:pos="720"/>
        </w:tabs>
      </w:pPr>
      <w:r>
        <w:t xml:space="preserve">À savoir si ces résultats s’apparentent à ce que le travailleur a connu dans le cadre de son travail, monsieur Leroux répond que le simple fait de conduire son auto dans le trafic le matin nous expose à environ 10 ppm. D’être dans un camion et d’être exposé à la circulation routière expose au monoxyde de carbone. </w:t>
      </w:r>
      <w:r w:rsidRPr="00A4622B">
        <w:t>Ainsi, il estime qu’un camionneur qui passe plus de temps dans son camion ou à proximité est probableme</w:t>
      </w:r>
      <w:r w:rsidR="00D11366">
        <w:t>nt soumis à une exposition a</w:t>
      </w:r>
      <w:r w:rsidRPr="00A4622B">
        <w:t>utour de 25 à 30 ppm.</w:t>
      </w:r>
      <w:r>
        <w:t xml:space="preserve"> L’exposition au monoxyde de carbone dans un camion est due aux gaz d’échappement qui entrent dans la cabine, au fait que le travailleur travaille parfois près du camion et au fait de conduire dans la circulation. </w:t>
      </w:r>
      <w:r w:rsidRPr="00A4622B">
        <w:t>Il n’y a cependant pas d’étude attestant d’une exposition au monoxyde de carbone dans de telles conditions chez un camionneur.</w:t>
      </w:r>
    </w:p>
    <w:p w14:paraId="07025524" w14:textId="77777777" w:rsidR="0038040C" w:rsidRDefault="009B58AA" w:rsidP="0038040C">
      <w:pPr>
        <w:pStyle w:val="corpsdedcision"/>
        <w:tabs>
          <w:tab w:val="clear" w:pos="360"/>
          <w:tab w:val="num" w:pos="720"/>
        </w:tabs>
      </w:pPr>
      <w:r>
        <w:t>Au sujet des</w:t>
      </w:r>
      <w:r w:rsidR="0038040C">
        <w:t xml:space="preserve"> deux audiogrammes du travailleur, il est d’avis que, pour considérer qu’il y a une encoche, il n’y a pas de </w:t>
      </w:r>
      <w:r w:rsidR="00DD1BB0">
        <w:t>standard universellement défini</w:t>
      </w:r>
      <w:r w:rsidR="0038040C">
        <w:t xml:space="preserve"> mais selon lui, on ne peut dire qu’en l’espèce il y en a une. Il n’y a pas de remontée significative à 8000 Hz même si selon certains auteurs cela pourrait être vu comme une encoche.</w:t>
      </w:r>
    </w:p>
    <w:p w14:paraId="7F88ED56" w14:textId="77777777" w:rsidR="0038040C" w:rsidRPr="00A4622B" w:rsidRDefault="0038040C" w:rsidP="0038040C">
      <w:pPr>
        <w:pStyle w:val="corpsdedcision"/>
        <w:tabs>
          <w:tab w:val="clear" w:pos="360"/>
          <w:tab w:val="num" w:pos="720"/>
        </w:tabs>
      </w:pPr>
      <w:r w:rsidRPr="00A4622B">
        <w:t xml:space="preserve">Enfin, en réponse à une dernière question du tribunal, monsieur Leroux </w:t>
      </w:r>
      <w:r w:rsidR="009B58AA">
        <w:t>convient</w:t>
      </w:r>
      <w:r w:rsidRPr="00A4622B">
        <w:t xml:space="preserve"> qu’une presbyacousie </w:t>
      </w:r>
      <w:proofErr w:type="spellStart"/>
      <w:r w:rsidRPr="00A4622B">
        <w:t>striale</w:t>
      </w:r>
      <w:proofErr w:type="spellEnd"/>
      <w:r w:rsidRPr="00A4622B">
        <w:t xml:space="preserve"> pourrait donner le type de courbe retrouvé chez le travailleur. </w:t>
      </w:r>
    </w:p>
    <w:p w14:paraId="43060357" w14:textId="77777777" w:rsidR="0038040C" w:rsidRDefault="0038040C" w:rsidP="0038040C">
      <w:pPr>
        <w:pStyle w:val="corpsdedcision"/>
        <w:tabs>
          <w:tab w:val="clear" w:pos="360"/>
          <w:tab w:val="num" w:pos="720"/>
        </w:tabs>
      </w:pPr>
      <w:r>
        <w:t xml:space="preserve">Puis, la procureure de l’employeur demande à l’expert de préciser quelle proportion de gens exposés de la même manière que le travailleur présentera une atteinte auditive </w:t>
      </w:r>
      <w:proofErr w:type="spellStart"/>
      <w:r>
        <w:t>infrabarème</w:t>
      </w:r>
      <w:proofErr w:type="spellEnd"/>
      <w:r>
        <w:t>. Monsieur Leroux est d’avis que, si on prend un niveau d’atteinte moyen de 15 dB (aux quatre fréquences du barème), ce sera une petite proportion de gens. Il ne peut cependant dire si c’est 10, 30 ou 35</w:t>
      </w:r>
      <w:r w:rsidR="006B299C">
        <w:t> </w:t>
      </w:r>
      <w:r>
        <w:t>%. Ce type d’atteinte peut être détecté par audiogramme en autant que cela fasse partie de la cible visée par le programme de dépistage.</w:t>
      </w:r>
    </w:p>
    <w:p w14:paraId="58BAE743" w14:textId="77777777" w:rsidR="00481E54" w:rsidRDefault="00481E54">
      <w:pPr>
        <w:pStyle w:val="corpsdedcision"/>
        <w:numPr>
          <w:ilvl w:val="0"/>
          <w:numId w:val="0"/>
        </w:numPr>
      </w:pPr>
      <w:r>
        <w:rPr>
          <w:b/>
        </w:rPr>
        <w:t>L’ARGUMENTATION DES PARTIES</w:t>
      </w:r>
    </w:p>
    <w:p w14:paraId="1546DA32" w14:textId="77777777" w:rsidR="0049737D" w:rsidRDefault="0002745F" w:rsidP="0049737D">
      <w:pPr>
        <w:pStyle w:val="corpsdedcision"/>
      </w:pPr>
      <w:r>
        <w:t>La pro</w:t>
      </w:r>
      <w:r w:rsidR="0049737D">
        <w:t>cureure de l’</w:t>
      </w:r>
      <w:r w:rsidR="0049737D" w:rsidRPr="001F4FEB">
        <w:t>employeur</w:t>
      </w:r>
      <w:r w:rsidR="0049737D">
        <w:t xml:space="preserve"> met en garde quant à la valeur probante à accorder aux témoignages du </w:t>
      </w:r>
      <w:r w:rsidR="0049737D" w:rsidRPr="001F4FEB">
        <w:t>travailleur</w:t>
      </w:r>
      <w:r w:rsidR="0049737D">
        <w:t xml:space="preserve"> </w:t>
      </w:r>
      <w:r w:rsidR="00D83C50">
        <w:t>et du professeur Leroux, mettant en lumière certaines incohérences factuelles dans leurs témoignages.</w:t>
      </w:r>
    </w:p>
    <w:p w14:paraId="5A2D765F" w14:textId="77777777" w:rsidR="00BB000F" w:rsidRPr="005C4DF9" w:rsidRDefault="00D83C50" w:rsidP="00D83C50">
      <w:pPr>
        <w:pStyle w:val="corpsdedcision"/>
      </w:pPr>
      <w:proofErr w:type="gramStart"/>
      <w:r>
        <w:lastRenderedPageBreak/>
        <w:t>Ceci étant</w:t>
      </w:r>
      <w:proofErr w:type="gramEnd"/>
      <w:r>
        <w:t xml:space="preserve">, elle </w:t>
      </w:r>
      <w:r w:rsidR="0049737D">
        <w:t xml:space="preserve">plaide que le </w:t>
      </w:r>
      <w:r w:rsidR="0049737D" w:rsidRPr="001F4FEB">
        <w:t>travailleur</w:t>
      </w:r>
      <w:r w:rsidR="0049737D">
        <w:t xml:space="preserve"> n’a pas subi de </w:t>
      </w:r>
      <w:r w:rsidR="0049737D" w:rsidRPr="001F4FEB">
        <w:t>lésion professionnelle</w:t>
      </w:r>
      <w:r w:rsidR="0049737D">
        <w:t xml:space="preserve"> le 20 juin 2012. Il ne peut s’agir d’une surdité professionnelle. Le </w:t>
      </w:r>
      <w:r w:rsidR="0049737D" w:rsidRPr="001F4FEB">
        <w:t>travailleur</w:t>
      </w:r>
      <w:r w:rsidR="0049737D">
        <w:t xml:space="preserve"> ne peut bénéficier de l’application de la présomption de </w:t>
      </w:r>
      <w:r w:rsidR="0049737D" w:rsidRPr="001F4FEB">
        <w:t>maladie professionnelle</w:t>
      </w:r>
      <w:r w:rsidR="0049737D">
        <w:t>. L’atteinte auditive n’est pas causée par le br</w:t>
      </w:r>
      <w:r w:rsidR="009B58AA">
        <w:t>uit. Elle réfère, entre autres,</w:t>
      </w:r>
      <w:r w:rsidR="0049737D">
        <w:t xml:space="preserve"> à l’opinion du docteur Bertrand, lequel soumet qu’il s’agit d’une presbyacousie accentuée par une atteinte vasculaire importante. Au surplus, la preuve ne permet pas de conclure à une exposition à des bruits excessifs. Si la présomption s’applique, elle plaide qu’il y a eu renversement de cette présomption, tenant compte de la preuve soumise. </w:t>
      </w:r>
      <w:proofErr w:type="gramStart"/>
      <w:r w:rsidR="0049737D">
        <w:t>Ceci étant</w:t>
      </w:r>
      <w:proofErr w:type="gramEnd"/>
      <w:r w:rsidR="0049737D">
        <w:t xml:space="preserve">, la preuve ne permet pas non plus de conclure que l’atteinte auditive du </w:t>
      </w:r>
      <w:r w:rsidR="0049737D" w:rsidRPr="001F4FEB">
        <w:t>travailleur</w:t>
      </w:r>
      <w:r w:rsidR="0049737D">
        <w:t xml:space="preserve"> est reliée à des risques particuliers de son travail à la livraison</w:t>
      </w:r>
      <w:r w:rsidR="00BB000F">
        <w:rPr>
          <w:rStyle w:val="FootnoteReference"/>
        </w:rPr>
        <w:footnoteReference w:id="3"/>
      </w:r>
      <w:r>
        <w:t>.</w:t>
      </w:r>
    </w:p>
    <w:p w14:paraId="1D22FBEC" w14:textId="77777777" w:rsidR="0002745F" w:rsidRDefault="0002745F" w:rsidP="00CC4419">
      <w:pPr>
        <w:pStyle w:val="corpsdedcision"/>
      </w:pPr>
      <w:r>
        <w:t xml:space="preserve">D’emblée, le représentant du </w:t>
      </w:r>
      <w:r w:rsidRPr="001F4FEB">
        <w:t>travailleur</w:t>
      </w:r>
      <w:r>
        <w:t xml:space="preserve"> insiste sur le fait qu’il n’y a pas lieu de remettre en cause la crédibilité du </w:t>
      </w:r>
      <w:r w:rsidRPr="001F4FEB">
        <w:t>travailleur</w:t>
      </w:r>
      <w:r>
        <w:t xml:space="preserve"> et de </w:t>
      </w:r>
      <w:r w:rsidR="00DD1BB0" w:rsidRPr="001F4FEB">
        <w:t>monsieur</w:t>
      </w:r>
      <w:r>
        <w:t xml:space="preserve"> Leroux. </w:t>
      </w:r>
    </w:p>
    <w:p w14:paraId="6227454E" w14:textId="77777777" w:rsidR="00CC4419" w:rsidRDefault="00DD1BB0" w:rsidP="0002745F">
      <w:pPr>
        <w:pStyle w:val="corpsdedcision"/>
      </w:pPr>
      <w:proofErr w:type="gramStart"/>
      <w:r>
        <w:t>Ceci étant</w:t>
      </w:r>
      <w:proofErr w:type="gramEnd"/>
      <w:r w:rsidR="00D83C50">
        <w:t>, il plaide que</w:t>
      </w:r>
      <w:r w:rsidR="0002745F">
        <w:t xml:space="preserve"> le </w:t>
      </w:r>
      <w:r w:rsidR="0002745F" w:rsidRPr="001F4FEB">
        <w:t>travailleur</w:t>
      </w:r>
      <w:r w:rsidR="0002745F">
        <w:t xml:space="preserve"> a subi une </w:t>
      </w:r>
      <w:r w:rsidR="0002745F" w:rsidRPr="001F4FEB">
        <w:t>lésion professionnelle</w:t>
      </w:r>
      <w:r w:rsidR="0002745F">
        <w:t xml:space="preserve"> à compter du 20 juin 2012, soit une surdité professionnelle. Il y a lieu d’appliquer la présomption de </w:t>
      </w:r>
      <w:r w:rsidR="0002745F" w:rsidRPr="001F4FEB">
        <w:t>maladie professionnelle</w:t>
      </w:r>
      <w:r w:rsidR="0002745F">
        <w:t xml:space="preserve">. Le </w:t>
      </w:r>
      <w:r w:rsidR="0002745F" w:rsidRPr="001F4FEB">
        <w:t>travailleur</w:t>
      </w:r>
      <w:r w:rsidR="0002745F">
        <w:t xml:space="preserve"> présente une atteinte auditive, laquelle est causée par le bruit et le </w:t>
      </w:r>
      <w:r w:rsidR="0002745F" w:rsidRPr="001F4FEB">
        <w:t>travail</w:t>
      </w:r>
      <w:r w:rsidR="009B58AA">
        <w:t xml:space="preserve"> </w:t>
      </w:r>
      <w:r w:rsidR="0002745F">
        <w:t xml:space="preserve">exercé implique une exposition à des bruits excessifs. L’atteinte est neurosensorielle, bilatérale, symétrique et surtout dans les hautes fréquences. Il est en preuve que le </w:t>
      </w:r>
      <w:r w:rsidR="0002745F" w:rsidRPr="001F4FEB">
        <w:t>travailleur</w:t>
      </w:r>
      <w:r w:rsidR="0002745F">
        <w:t xml:space="preserve"> a été exposé à des niveaux de bruits non</w:t>
      </w:r>
      <w:r w:rsidR="00281D0E">
        <w:t xml:space="preserve"> </w:t>
      </w:r>
      <w:r w:rsidR="0002745F">
        <w:t>souhaitables (bruits continus et d’impact) et au monoxyde de carbone.</w:t>
      </w:r>
    </w:p>
    <w:p w14:paraId="179AA07F" w14:textId="77777777" w:rsidR="004269A4" w:rsidRDefault="004269A4">
      <w:pPr>
        <w:pStyle w:val="corpsdedcision"/>
        <w:numPr>
          <w:ilvl w:val="0"/>
          <w:numId w:val="0"/>
        </w:numPr>
      </w:pPr>
      <w:r>
        <w:rPr>
          <w:b/>
        </w:rPr>
        <w:t>L’AVIS DES MEMBRES</w:t>
      </w:r>
    </w:p>
    <w:p w14:paraId="220BF5D7" w14:textId="77777777" w:rsidR="00CC4419" w:rsidRDefault="0076781B" w:rsidP="004269A4">
      <w:pPr>
        <w:pStyle w:val="corpsdedcision"/>
      </w:pPr>
      <w:r w:rsidRPr="001F4FEB">
        <w:t xml:space="preserve">Le membre issu des associations d'employeurs et </w:t>
      </w:r>
      <w:r>
        <w:t xml:space="preserve">celle </w:t>
      </w:r>
      <w:r w:rsidRPr="001F4FEB">
        <w:t>issu</w:t>
      </w:r>
      <w:r>
        <w:t>e</w:t>
      </w:r>
      <w:r w:rsidRPr="001F4FEB">
        <w:t xml:space="preserve"> des associations syndicales sont d'avis</w:t>
      </w:r>
      <w:r>
        <w:t xml:space="preserve"> d’accueillir la contestation de l’</w:t>
      </w:r>
      <w:r w:rsidRPr="001F4FEB">
        <w:t>employeur</w:t>
      </w:r>
      <w:r>
        <w:t xml:space="preserve"> et ainsi conclure que le </w:t>
      </w:r>
      <w:r w:rsidRPr="001F4FEB">
        <w:t>travailleur</w:t>
      </w:r>
      <w:r>
        <w:t xml:space="preserve"> n’a pas subi de </w:t>
      </w:r>
      <w:r w:rsidRPr="001F4FEB">
        <w:t>lésion professionnelle</w:t>
      </w:r>
      <w:r>
        <w:t xml:space="preserve"> le 20 juin 2012, plus spécifiquement une </w:t>
      </w:r>
      <w:r w:rsidRPr="001F4FEB">
        <w:t>maladie professionnelle</w:t>
      </w:r>
      <w:r>
        <w:t xml:space="preserve">. Si, </w:t>
      </w:r>
      <w:r w:rsidR="00DD1BB0">
        <w:t>sans analyse détaillée</w:t>
      </w:r>
      <w:r>
        <w:t xml:space="preserve">, le </w:t>
      </w:r>
      <w:r w:rsidRPr="001F4FEB">
        <w:t>travailleur</w:t>
      </w:r>
      <w:r>
        <w:t xml:space="preserve"> peut bénéficier de la présomption de </w:t>
      </w:r>
      <w:r w:rsidRPr="001F4FEB">
        <w:t>maladie professionnelle</w:t>
      </w:r>
      <w:r>
        <w:t xml:space="preserve">, soit </w:t>
      </w:r>
      <w:r w:rsidR="00917699">
        <w:t>qu’il y a présence d’une</w:t>
      </w:r>
      <w:r>
        <w:t xml:space="preserve"> atteinte auditive causé</w:t>
      </w:r>
      <w:r w:rsidR="00917699">
        <w:t>e</w:t>
      </w:r>
      <w:r>
        <w:t xml:space="preserve"> par le bruit avec un travail pouvant impliquer l’exposition à des bruits excessifs, ils estiment que l</w:t>
      </w:r>
      <w:r w:rsidR="00917699">
        <w:t>’imposante preuve</w:t>
      </w:r>
      <w:r>
        <w:t xml:space="preserve"> soumise permet de renverser cette présomption. </w:t>
      </w:r>
      <w:r w:rsidR="00917699">
        <w:t xml:space="preserve">Ils retiennent particulièrement la thèse avancée par le docteur Bertrand qu’ils jugent prépondérante pour établir une cause autre que l’exposition au bruit. En toute probabilité, </w:t>
      </w:r>
      <w:r w:rsidR="00917699">
        <w:lastRenderedPageBreak/>
        <w:t xml:space="preserve">il s’agit d’une presbyacousie à laquelle s’ajoutent les effets d’une maladie </w:t>
      </w:r>
      <w:proofErr w:type="spellStart"/>
      <w:r w:rsidR="00917699">
        <w:t>athérosclérotique</w:t>
      </w:r>
      <w:proofErr w:type="spellEnd"/>
      <w:r w:rsidR="00917699">
        <w:t xml:space="preserve"> significative.</w:t>
      </w:r>
    </w:p>
    <w:p w14:paraId="3FE2FA71" w14:textId="77777777" w:rsidR="007F2E55" w:rsidRDefault="00894E36" w:rsidP="00894E36">
      <w:pPr>
        <w:pStyle w:val="corpsdedcision"/>
      </w:pPr>
      <w:r>
        <w:t>Enfin, ils estiment que l</w:t>
      </w:r>
      <w:r w:rsidR="00917699">
        <w:t xml:space="preserve">a preuve soumise ne permet pas de conclure que l’atteinte auditive du </w:t>
      </w:r>
      <w:r w:rsidR="00917699" w:rsidRPr="001F4FEB">
        <w:t>travailleur</w:t>
      </w:r>
      <w:r w:rsidR="00917699">
        <w:t xml:space="preserve"> est caractéristique du travail de troisième homme, d’aide-livreur ou de livreur ou reliée à des risques particuliers à ce travail exercé chez l’</w:t>
      </w:r>
      <w:r w:rsidR="00917699" w:rsidRPr="001F4FEB">
        <w:t>employeur</w:t>
      </w:r>
      <w:r w:rsidR="00917699">
        <w:t>.</w:t>
      </w:r>
    </w:p>
    <w:p w14:paraId="01AEA9E1" w14:textId="77777777" w:rsidR="002A04DA" w:rsidRDefault="002A04DA" w:rsidP="002A04DA">
      <w:pPr>
        <w:pStyle w:val="corpsdedcision"/>
        <w:numPr>
          <w:ilvl w:val="0"/>
          <w:numId w:val="0"/>
        </w:numPr>
      </w:pPr>
      <w:r>
        <w:rPr>
          <w:b/>
        </w:rPr>
        <w:t>LES MOTIFS DE LA DÉCISION</w:t>
      </w:r>
    </w:p>
    <w:p w14:paraId="24B7D4A3" w14:textId="77777777" w:rsidR="002A04DA" w:rsidRDefault="002A04DA" w:rsidP="002A04DA">
      <w:pPr>
        <w:pStyle w:val="corpsdedcision"/>
      </w:pPr>
      <w:r>
        <w:t xml:space="preserve">Le tribunal doit déterminer si le </w:t>
      </w:r>
      <w:r w:rsidRPr="001F4FEB">
        <w:t>travailleur</w:t>
      </w:r>
      <w:r>
        <w:t xml:space="preserve"> a subi une </w:t>
      </w:r>
      <w:r w:rsidRPr="001F4FEB">
        <w:t>lésion professionnelle</w:t>
      </w:r>
      <w:r>
        <w:t xml:space="preserve"> à compter du 20 juin 2012. </w:t>
      </w:r>
    </w:p>
    <w:p w14:paraId="3B653806" w14:textId="77777777" w:rsidR="002A04DA" w:rsidRDefault="002A04DA" w:rsidP="002A04DA">
      <w:pPr>
        <w:pStyle w:val="corpsdedcision"/>
      </w:pPr>
      <w:r>
        <w:t xml:space="preserve">La </w:t>
      </w:r>
      <w:r w:rsidRPr="001F4FEB">
        <w:t>lésion professionnelle</w:t>
      </w:r>
      <w:r>
        <w:t xml:space="preserve"> est définie comme suit :</w:t>
      </w:r>
    </w:p>
    <w:p w14:paraId="3523219C" w14:textId="77777777" w:rsidR="002A04DA" w:rsidRDefault="002A04DA">
      <w:pPr>
        <w:pStyle w:val="Dfinitions"/>
      </w:pPr>
      <w:r>
        <w:rPr>
          <w:b/>
        </w:rPr>
        <w:t xml:space="preserve">2. </w:t>
      </w:r>
      <w:r>
        <w:t>Dans la présente loi, à moins que le contexte n'indique un sens différent, on entend par</w:t>
      </w:r>
      <w:r w:rsidR="006B299C">
        <w:t> </w:t>
      </w:r>
      <w:r>
        <w:t>:</w:t>
      </w:r>
    </w:p>
    <w:p w14:paraId="1FCD38F0" w14:textId="77777777" w:rsidR="002A04DA" w:rsidRDefault="002A04DA">
      <w:pPr>
        <w:pStyle w:val="Dfinitions"/>
      </w:pPr>
    </w:p>
    <w:p w14:paraId="1F0E0BCF" w14:textId="77777777" w:rsidR="002A04DA" w:rsidRDefault="002A04DA">
      <w:pPr>
        <w:pStyle w:val="articlesdelaLATMPnouveaux"/>
      </w:pPr>
      <w:r>
        <w:rPr>
          <w:b/>
        </w:rPr>
        <w:t xml:space="preserve">« </w:t>
      </w:r>
      <w:proofErr w:type="gramStart"/>
      <w:r>
        <w:rPr>
          <w:b/>
        </w:rPr>
        <w:t>lésion</w:t>
      </w:r>
      <w:proofErr w:type="gramEnd"/>
      <w:r>
        <w:rPr>
          <w:b/>
        </w:rPr>
        <w:t xml:space="preserve"> professionnelle » </w:t>
      </w:r>
      <w:r>
        <w:t>: une blessure ou une maladie qui survient par le fait ou à l'occasion d'un accident du travail, ou une maladie professionnelle, y compris la récidive, la rechute ou l'aggravation;</w:t>
      </w:r>
    </w:p>
    <w:p w14:paraId="78E7B5A6" w14:textId="77777777" w:rsidR="002A04DA" w:rsidRDefault="002A04DA">
      <w:pPr>
        <w:pStyle w:val="Dfinitions"/>
      </w:pPr>
      <w:r>
        <w:t>__________</w:t>
      </w:r>
    </w:p>
    <w:p w14:paraId="6C309D02" w14:textId="77777777" w:rsidR="002A04DA" w:rsidRDefault="002A04DA">
      <w:pPr>
        <w:pStyle w:val="articlesdelaLATMP"/>
      </w:pPr>
      <w:r>
        <w:t>1985, c. 6, a. 2; 1997, c. 27, a. 1; 1999, c. 14, a. 2; 1999, c. 40, a. 4; 1999, c. 89, a. 53; 2002, c. 6, a. 76; 2002, c. 76, a. 27; 2006, c. 53, a. 1; 2009, c. 24, a. 72.</w:t>
      </w:r>
    </w:p>
    <w:p w14:paraId="200451BC" w14:textId="77777777" w:rsidR="002A04DA" w:rsidRDefault="002A04DA">
      <w:pPr>
        <w:pStyle w:val="Dfinitions"/>
      </w:pPr>
    </w:p>
    <w:p w14:paraId="60C06473" w14:textId="77777777" w:rsidR="002A04DA" w:rsidRDefault="002A04DA">
      <w:pPr>
        <w:pStyle w:val="Dfinitions"/>
      </w:pPr>
    </w:p>
    <w:p w14:paraId="4FDA70BC" w14:textId="77777777" w:rsidR="002A04DA" w:rsidRDefault="002A04DA" w:rsidP="002A04DA">
      <w:pPr>
        <w:pStyle w:val="corpsdedcision"/>
      </w:pPr>
      <w:r>
        <w:t xml:space="preserve">Il doit </w:t>
      </w:r>
      <w:r w:rsidR="00272AD3">
        <w:t xml:space="preserve">donc </w:t>
      </w:r>
      <w:r>
        <w:t xml:space="preserve">s’agir d’une blessure ou d’une maladie, survenant par le fait ou à l’occasion d’un </w:t>
      </w:r>
      <w:r w:rsidRPr="001F4FEB">
        <w:t>accident du travail</w:t>
      </w:r>
      <w:r>
        <w:t xml:space="preserve">, d’une </w:t>
      </w:r>
      <w:r w:rsidRPr="001F4FEB">
        <w:t>maladie professionnelle</w:t>
      </w:r>
      <w:r>
        <w:t xml:space="preserve">, y compris la </w:t>
      </w:r>
      <w:r w:rsidRPr="001F4FEB">
        <w:t>récidive, rechute ou aggravation</w:t>
      </w:r>
      <w:r>
        <w:t>.</w:t>
      </w:r>
    </w:p>
    <w:p w14:paraId="0A23B7CA" w14:textId="77777777" w:rsidR="002A04DA" w:rsidRDefault="002A04DA" w:rsidP="002A04DA">
      <w:pPr>
        <w:pStyle w:val="corpsdedcision"/>
      </w:pPr>
      <w:r>
        <w:t xml:space="preserve">Dans la cause sous étude, le </w:t>
      </w:r>
      <w:r w:rsidRPr="001F4FEB">
        <w:t>diagnostic</w:t>
      </w:r>
      <w:r>
        <w:t xml:space="preserve"> mis de l’avant est celui de surdité</w:t>
      </w:r>
      <w:r w:rsidR="00272AD3">
        <w:t xml:space="preserve"> (atteinte auditive)</w:t>
      </w:r>
      <w:r>
        <w:t xml:space="preserve">. </w:t>
      </w:r>
    </w:p>
    <w:p w14:paraId="174E6B8B" w14:textId="77777777" w:rsidR="002A04DA" w:rsidRDefault="00BF00F2" w:rsidP="002A04DA">
      <w:pPr>
        <w:pStyle w:val="corpsdedcision"/>
      </w:pPr>
      <w:r>
        <w:t xml:space="preserve">Tenant compte de la nature de cette affection et </w:t>
      </w:r>
      <w:r w:rsidR="00272AD3">
        <w:t xml:space="preserve">surtout </w:t>
      </w:r>
      <w:r>
        <w:t xml:space="preserve">de </w:t>
      </w:r>
      <w:r w:rsidR="00272AD3">
        <w:t xml:space="preserve">l’imposante </w:t>
      </w:r>
      <w:r>
        <w:t>preuve soumise par les parties</w:t>
      </w:r>
      <w:r w:rsidR="002A04DA">
        <w:t xml:space="preserve">, le tribunal écarte </w:t>
      </w:r>
      <w:r>
        <w:t xml:space="preserve">d’emblée </w:t>
      </w:r>
      <w:r w:rsidR="002A04DA">
        <w:t>les notions d’</w:t>
      </w:r>
      <w:r w:rsidR="002A04DA" w:rsidRPr="001F4FEB">
        <w:t>accident du travail</w:t>
      </w:r>
      <w:r w:rsidR="002A04DA">
        <w:t xml:space="preserve"> et de </w:t>
      </w:r>
      <w:r w:rsidR="002A04DA" w:rsidRPr="001F4FEB">
        <w:t>récidive, rechute ou aggravation</w:t>
      </w:r>
      <w:r>
        <w:t xml:space="preserve"> aux fins de son analyse</w:t>
      </w:r>
      <w:r w:rsidR="002A04DA">
        <w:t xml:space="preserve">. </w:t>
      </w:r>
    </w:p>
    <w:p w14:paraId="36807EF3" w14:textId="77777777" w:rsidR="002A04DA" w:rsidRDefault="00BF00F2" w:rsidP="002A04DA">
      <w:pPr>
        <w:pStyle w:val="corpsdedcision"/>
      </w:pPr>
      <w:r>
        <w:t>Il s</w:t>
      </w:r>
      <w:r w:rsidR="00272AD3">
        <w:t>’agit plutôt de déterminer si l’atteinte auditive</w:t>
      </w:r>
      <w:r>
        <w:t>, constatée</w:t>
      </w:r>
      <w:r w:rsidR="002A04DA">
        <w:t xml:space="preserve"> chez le </w:t>
      </w:r>
      <w:r w:rsidR="002A04DA" w:rsidRPr="001F4FEB">
        <w:t>travailleur</w:t>
      </w:r>
      <w:r>
        <w:t xml:space="preserve"> le 20</w:t>
      </w:r>
      <w:r w:rsidR="006B299C">
        <w:t> </w:t>
      </w:r>
      <w:r>
        <w:t>juin 2012,</w:t>
      </w:r>
      <w:r w:rsidR="002A04DA">
        <w:t xml:space="preserve"> constitue une </w:t>
      </w:r>
      <w:r w:rsidR="002A04DA" w:rsidRPr="001F4FEB">
        <w:t>maladie professionnelle</w:t>
      </w:r>
      <w:r w:rsidR="002A04DA">
        <w:t>.</w:t>
      </w:r>
    </w:p>
    <w:p w14:paraId="7A9306BE" w14:textId="77777777" w:rsidR="002A04DA" w:rsidRDefault="002A04DA" w:rsidP="002A04DA">
      <w:pPr>
        <w:pStyle w:val="corpsdedcision"/>
      </w:pPr>
      <w:r>
        <w:t xml:space="preserve">La loi définit la </w:t>
      </w:r>
      <w:r w:rsidRPr="001F4FEB">
        <w:t>maladie professionnelle</w:t>
      </w:r>
      <w:r>
        <w:t xml:space="preserve"> comme suit :</w:t>
      </w:r>
    </w:p>
    <w:p w14:paraId="75769863" w14:textId="77777777" w:rsidR="002A04DA" w:rsidRDefault="002A04DA">
      <w:pPr>
        <w:pStyle w:val="Dfinitions"/>
      </w:pPr>
      <w:r>
        <w:rPr>
          <w:b/>
        </w:rPr>
        <w:t xml:space="preserve">2. </w:t>
      </w:r>
      <w:r>
        <w:t>Dans la présente loi, à moins que le contexte n'indique u</w:t>
      </w:r>
      <w:r w:rsidR="006B299C">
        <w:t>n sens différent, on entend par </w:t>
      </w:r>
      <w:r>
        <w:t>:</w:t>
      </w:r>
    </w:p>
    <w:p w14:paraId="61C1076C" w14:textId="77777777" w:rsidR="002A04DA" w:rsidRDefault="002A04DA">
      <w:pPr>
        <w:pStyle w:val="Dfinitions"/>
      </w:pPr>
    </w:p>
    <w:p w14:paraId="4546A502" w14:textId="77777777" w:rsidR="006E5F92" w:rsidRDefault="006E5F92">
      <w:pPr>
        <w:pStyle w:val="Dfinitions"/>
      </w:pPr>
    </w:p>
    <w:p w14:paraId="42351159" w14:textId="77777777" w:rsidR="002A04DA" w:rsidRDefault="002A04DA">
      <w:pPr>
        <w:pStyle w:val="articlesdelaLATMPnouveaux"/>
      </w:pPr>
      <w:r>
        <w:rPr>
          <w:b/>
        </w:rPr>
        <w:lastRenderedPageBreak/>
        <w:t xml:space="preserve">« </w:t>
      </w:r>
      <w:proofErr w:type="gramStart"/>
      <w:r>
        <w:rPr>
          <w:b/>
        </w:rPr>
        <w:t>maladie</w:t>
      </w:r>
      <w:proofErr w:type="gramEnd"/>
      <w:r>
        <w:rPr>
          <w:b/>
        </w:rPr>
        <w:t xml:space="preserve"> professionnelle » </w:t>
      </w:r>
      <w:r>
        <w:t>: une maladie contractée par le fait ou à l'occasion du travail et qui est caractéristique de ce travail ou reliée directement aux risques particuliers de ce travail;</w:t>
      </w:r>
    </w:p>
    <w:p w14:paraId="08E75216" w14:textId="77777777" w:rsidR="002A04DA" w:rsidRDefault="002A04DA">
      <w:pPr>
        <w:pStyle w:val="Dfinitions"/>
      </w:pPr>
      <w:r>
        <w:t>__________</w:t>
      </w:r>
    </w:p>
    <w:p w14:paraId="2D44C5CC" w14:textId="77777777" w:rsidR="002A04DA" w:rsidRDefault="002A04DA">
      <w:pPr>
        <w:pStyle w:val="articlesdelaLATMP"/>
      </w:pPr>
      <w:r>
        <w:t>1985, c. 6, a. 2; 1997, c. 27, a. 1; 1999, c. 14, a. 2; 1999, c. 40, a. 4; 1999, c. 89, a. 53; 2002, c. 6, a. 76; 2002, c. 76, a. 27; 2006, c. 53, a. 1; 2009, c. 24, a. 72.</w:t>
      </w:r>
    </w:p>
    <w:p w14:paraId="4264F89A" w14:textId="77777777" w:rsidR="002A04DA" w:rsidRDefault="002A04DA">
      <w:pPr>
        <w:pStyle w:val="Dfinitions"/>
      </w:pPr>
    </w:p>
    <w:p w14:paraId="36A20F73" w14:textId="77777777" w:rsidR="006E5F92" w:rsidRDefault="006E5F92">
      <w:pPr>
        <w:pStyle w:val="Dfinitions"/>
      </w:pPr>
    </w:p>
    <w:p w14:paraId="02379103" w14:textId="77777777" w:rsidR="002A04DA" w:rsidRDefault="009B6295" w:rsidP="002A04DA">
      <w:pPr>
        <w:pStyle w:val="corpsdedcision"/>
      </w:pPr>
      <w:r>
        <w:t>En présence de certains éléments</w:t>
      </w:r>
      <w:r w:rsidR="008C18CD">
        <w:t xml:space="preserve">, il pourra être présumé qu’un </w:t>
      </w:r>
      <w:r w:rsidR="008C18CD" w:rsidRPr="001F4FEB">
        <w:t>travailleur</w:t>
      </w:r>
      <w:r w:rsidR="008C18CD">
        <w:t xml:space="preserve"> est atteint d’une </w:t>
      </w:r>
      <w:r w:rsidR="008C18CD" w:rsidRPr="001F4FEB">
        <w:t>maladie professionnelle</w:t>
      </w:r>
      <w:r w:rsidR="008C18CD">
        <w:t> :</w:t>
      </w:r>
    </w:p>
    <w:p w14:paraId="28C2D896" w14:textId="77777777" w:rsidR="008C18CD" w:rsidRDefault="008C18CD">
      <w:pPr>
        <w:pStyle w:val="articlesdelaLATMP"/>
      </w:pPr>
      <w:r w:rsidRPr="00977E47">
        <w:rPr>
          <w:b/>
        </w:rPr>
        <w:t>29.</w:t>
      </w:r>
      <w:r>
        <w:t xml:space="preserve">  Les maladies énumérées dans l'annexe I sont caractéristiques du travail correspondant à chacune de ces maladies d'après cette annexe et sont reliées directement aux risques particuliers de ce travail.</w:t>
      </w:r>
    </w:p>
    <w:p w14:paraId="55FBCAAF" w14:textId="77777777" w:rsidR="008C18CD" w:rsidRDefault="008C18CD">
      <w:pPr>
        <w:pStyle w:val="articlesdelaLATMP"/>
      </w:pPr>
    </w:p>
    <w:p w14:paraId="379B8466" w14:textId="77777777" w:rsidR="008C18CD" w:rsidRDefault="008C18CD">
      <w:pPr>
        <w:pStyle w:val="articlesdelaLATMP"/>
      </w:pPr>
      <w:r>
        <w:t>Le travailleur atteint d'une maladie visée dans cette annexe est présumé atteint d'une maladie professionnelle s'il a exercé un travail correspondant à cette maladie d'après l'annexe.</w:t>
      </w:r>
    </w:p>
    <w:p w14:paraId="64331B50" w14:textId="77777777" w:rsidR="008C18CD" w:rsidRDefault="008C18CD">
      <w:pPr>
        <w:pStyle w:val="articlesdelaLATMP"/>
      </w:pPr>
      <w:r>
        <w:t>__________</w:t>
      </w:r>
    </w:p>
    <w:p w14:paraId="17ABB93C" w14:textId="77777777" w:rsidR="008C18CD" w:rsidRDefault="008C18CD">
      <w:pPr>
        <w:pStyle w:val="articlesdelaLATMP"/>
      </w:pPr>
      <w:r>
        <w:t>1985, c. 6, a. 29.</w:t>
      </w:r>
    </w:p>
    <w:p w14:paraId="31EDFF3A" w14:textId="77777777" w:rsidR="008C18CD" w:rsidRDefault="008C18CD">
      <w:pPr>
        <w:pStyle w:val="articlesdelaLATMP"/>
      </w:pPr>
    </w:p>
    <w:p w14:paraId="1265120A" w14:textId="77777777" w:rsidR="008C18CD" w:rsidRDefault="008C18CD">
      <w:pPr>
        <w:pStyle w:val="articlesdelaLATMP"/>
      </w:pPr>
    </w:p>
    <w:p w14:paraId="4A71C56D" w14:textId="77777777" w:rsidR="00AE6B33" w:rsidRDefault="008C18CD" w:rsidP="006C624C">
      <w:pPr>
        <w:pStyle w:val="corpsdedcision"/>
        <w:numPr>
          <w:ilvl w:val="0"/>
          <w:numId w:val="0"/>
        </w:numPr>
        <w:spacing w:after="120"/>
        <w:rPr>
          <w:b/>
        </w:rPr>
      </w:pPr>
      <w:r w:rsidRPr="008C18CD">
        <w:tab/>
      </w:r>
      <w:r w:rsidR="00AE6B33">
        <w:rPr>
          <w:b/>
        </w:rPr>
        <w:t>ANNEXE I</w:t>
      </w:r>
    </w:p>
    <w:p w14:paraId="09AFBE7E" w14:textId="77777777" w:rsidR="00AE6B33" w:rsidRDefault="00AE6B33">
      <w:pPr>
        <w:ind w:left="720"/>
        <w:rPr>
          <w:sz w:val="20"/>
        </w:rPr>
      </w:pPr>
    </w:p>
    <w:p w14:paraId="362B9DB9" w14:textId="77777777" w:rsidR="00AE6B33" w:rsidRDefault="00AE6B33">
      <w:pPr>
        <w:ind w:left="720"/>
        <w:rPr>
          <w:sz w:val="20"/>
        </w:rPr>
      </w:pPr>
      <w:r>
        <w:rPr>
          <w:sz w:val="20"/>
        </w:rPr>
        <w:t>MALADIES PROFESSIONNELLES</w:t>
      </w:r>
    </w:p>
    <w:p w14:paraId="424E93A7" w14:textId="77777777" w:rsidR="00AE6B33" w:rsidRDefault="00AE6B33">
      <w:pPr>
        <w:ind w:left="720"/>
        <w:rPr>
          <w:sz w:val="20"/>
        </w:rPr>
      </w:pPr>
      <w:r>
        <w:rPr>
          <w:sz w:val="20"/>
        </w:rPr>
        <w:t>(</w:t>
      </w:r>
      <w:r>
        <w:rPr>
          <w:i/>
          <w:sz w:val="20"/>
        </w:rPr>
        <w:t>Article 29</w:t>
      </w:r>
      <w:r>
        <w:rPr>
          <w:sz w:val="20"/>
        </w:rPr>
        <w:t>)</w:t>
      </w:r>
    </w:p>
    <w:p w14:paraId="5B835884" w14:textId="77777777" w:rsidR="00AE6B33" w:rsidRDefault="00AE6B33">
      <w:pPr>
        <w:ind w:left="720"/>
        <w:rPr>
          <w:sz w:val="20"/>
        </w:rPr>
      </w:pPr>
    </w:p>
    <w:p w14:paraId="58E79A8A" w14:textId="77777777" w:rsidR="00AE6B33" w:rsidRDefault="00AE6B33">
      <w:pPr>
        <w:tabs>
          <w:tab w:val="left" w:pos="-994"/>
          <w:tab w:val="left" w:pos="-720"/>
          <w:tab w:val="left" w:pos="1080"/>
        </w:tabs>
        <w:ind w:left="720"/>
        <w:rPr>
          <w:sz w:val="20"/>
        </w:rPr>
      </w:pPr>
      <w:r>
        <w:rPr>
          <w:b/>
          <w:sz w:val="20"/>
        </w:rPr>
        <w:t>SECTION IV</w:t>
      </w:r>
    </w:p>
    <w:p w14:paraId="48209120" w14:textId="77777777" w:rsidR="00AE6B33" w:rsidRDefault="00AE6B33">
      <w:pPr>
        <w:tabs>
          <w:tab w:val="left" w:pos="-994"/>
          <w:tab w:val="left" w:pos="-720"/>
          <w:tab w:val="left" w:pos="1080"/>
        </w:tabs>
        <w:ind w:left="720"/>
        <w:rPr>
          <w:sz w:val="20"/>
        </w:rPr>
      </w:pPr>
    </w:p>
    <w:p w14:paraId="246C4F2B" w14:textId="77777777" w:rsidR="00AE6B33" w:rsidRDefault="00AE6B33">
      <w:pPr>
        <w:tabs>
          <w:tab w:val="left" w:pos="-994"/>
          <w:tab w:val="left" w:pos="-720"/>
          <w:tab w:val="left" w:pos="1080"/>
        </w:tabs>
        <w:ind w:left="720"/>
        <w:rPr>
          <w:sz w:val="20"/>
        </w:rPr>
      </w:pPr>
      <w:r>
        <w:rPr>
          <w:sz w:val="20"/>
        </w:rPr>
        <w:t>MALADIES CAUSÉES PAR DES AGENTS PHYSIQUES</w:t>
      </w:r>
    </w:p>
    <w:p w14:paraId="6A25F697" w14:textId="77777777" w:rsidR="00AE6B33" w:rsidRDefault="00AE6B33">
      <w:pPr>
        <w:tabs>
          <w:tab w:val="left" w:pos="-994"/>
          <w:tab w:val="left" w:pos="-720"/>
          <w:tab w:val="left" w:pos="1080"/>
        </w:tabs>
        <w:ind w:left="720"/>
        <w:rPr>
          <w:sz w:val="20"/>
        </w:rPr>
      </w:pPr>
    </w:p>
    <w:tbl>
      <w:tblPr>
        <w:tblW w:w="0" w:type="auto"/>
        <w:tblInd w:w="851" w:type="dxa"/>
        <w:tblLayout w:type="fixed"/>
        <w:tblCellMar>
          <w:left w:w="70" w:type="dxa"/>
          <w:right w:w="70" w:type="dxa"/>
        </w:tblCellMar>
        <w:tblLook w:val="0000" w:firstRow="0" w:lastRow="0" w:firstColumn="0" w:lastColumn="0" w:noHBand="0" w:noVBand="0"/>
      </w:tblPr>
      <w:tblGrid>
        <w:gridCol w:w="3699"/>
        <w:gridCol w:w="3780"/>
      </w:tblGrid>
      <w:tr w:rsidR="00AE6B33" w14:paraId="00AC7E9E" w14:textId="77777777" w:rsidTr="00AE6B33">
        <w:tc>
          <w:tcPr>
            <w:tcW w:w="3699" w:type="dxa"/>
            <w:tcBorders>
              <w:top w:val="single" w:sz="4" w:space="0" w:color="auto"/>
              <w:bottom w:val="single" w:sz="4" w:space="0" w:color="auto"/>
            </w:tcBorders>
          </w:tcPr>
          <w:p w14:paraId="4D71F41E" w14:textId="77777777" w:rsidR="00AE6B33" w:rsidRDefault="00AE6B33">
            <w:pPr>
              <w:spacing w:after="120"/>
              <w:jc w:val="both"/>
              <w:rPr>
                <w:sz w:val="20"/>
              </w:rPr>
            </w:pPr>
            <w:r>
              <w:rPr>
                <w:sz w:val="20"/>
              </w:rPr>
              <w:t>MALADIES</w:t>
            </w:r>
          </w:p>
        </w:tc>
        <w:tc>
          <w:tcPr>
            <w:tcW w:w="3780" w:type="dxa"/>
            <w:tcBorders>
              <w:top w:val="single" w:sz="4" w:space="0" w:color="auto"/>
              <w:bottom w:val="single" w:sz="4" w:space="0" w:color="auto"/>
            </w:tcBorders>
          </w:tcPr>
          <w:p w14:paraId="27AF0701" w14:textId="77777777" w:rsidR="00AE6B33" w:rsidRDefault="00AE6B33">
            <w:pPr>
              <w:tabs>
                <w:tab w:val="num" w:pos="360"/>
              </w:tabs>
              <w:spacing w:after="120"/>
              <w:ind w:left="200"/>
              <w:jc w:val="both"/>
              <w:rPr>
                <w:sz w:val="20"/>
              </w:rPr>
            </w:pPr>
            <w:r>
              <w:rPr>
                <w:sz w:val="20"/>
              </w:rPr>
              <w:t>GENRES DE TRAVAIL</w:t>
            </w:r>
          </w:p>
        </w:tc>
      </w:tr>
      <w:tr w:rsidR="00AE6B33" w14:paraId="2813FD04" w14:textId="77777777" w:rsidTr="00AE6B33">
        <w:tc>
          <w:tcPr>
            <w:tcW w:w="3699" w:type="dxa"/>
          </w:tcPr>
          <w:p w14:paraId="74823149" w14:textId="77777777" w:rsidR="00AE6B33" w:rsidRDefault="00AE6B33">
            <w:pPr>
              <w:spacing w:after="120"/>
              <w:jc w:val="both"/>
              <w:rPr>
                <w:sz w:val="20"/>
              </w:rPr>
            </w:pPr>
          </w:p>
        </w:tc>
        <w:tc>
          <w:tcPr>
            <w:tcW w:w="3780" w:type="dxa"/>
          </w:tcPr>
          <w:p w14:paraId="41A9BF12" w14:textId="77777777" w:rsidR="00AE6B33" w:rsidRDefault="00AE6B33">
            <w:pPr>
              <w:tabs>
                <w:tab w:val="num" w:pos="360"/>
              </w:tabs>
              <w:spacing w:after="120"/>
              <w:ind w:left="200"/>
              <w:jc w:val="both"/>
              <w:rPr>
                <w:sz w:val="20"/>
              </w:rPr>
            </w:pPr>
          </w:p>
        </w:tc>
      </w:tr>
      <w:tr w:rsidR="00AE6B33" w14:paraId="62C8B565" w14:textId="77777777" w:rsidTr="00AE6B33">
        <w:trPr>
          <w:trHeight w:val="757"/>
        </w:trPr>
        <w:tc>
          <w:tcPr>
            <w:tcW w:w="3699" w:type="dxa"/>
          </w:tcPr>
          <w:p w14:paraId="21DE5660" w14:textId="77777777" w:rsidR="00AE6B33" w:rsidRDefault="00AE6B33" w:rsidP="00AE6B33">
            <w:pPr>
              <w:numPr>
                <w:ilvl w:val="0"/>
                <w:numId w:val="3"/>
              </w:numPr>
              <w:spacing w:after="120"/>
              <w:ind w:left="380" w:hanging="380"/>
              <w:rPr>
                <w:sz w:val="20"/>
              </w:rPr>
            </w:pPr>
            <w:r>
              <w:rPr>
                <w:sz w:val="20"/>
              </w:rPr>
              <w:t>Atteinte auditive causée par le bruit:</w:t>
            </w:r>
          </w:p>
        </w:tc>
        <w:tc>
          <w:tcPr>
            <w:tcW w:w="3780" w:type="dxa"/>
          </w:tcPr>
          <w:p w14:paraId="69A46522" w14:textId="77777777" w:rsidR="00AE6B33" w:rsidRDefault="00AE6B33" w:rsidP="006C624C">
            <w:pPr>
              <w:tabs>
                <w:tab w:val="num" w:pos="360"/>
              </w:tabs>
              <w:spacing w:after="120"/>
              <w:ind w:left="200"/>
              <w:rPr>
                <w:sz w:val="20"/>
              </w:rPr>
            </w:pPr>
            <w:proofErr w:type="gramStart"/>
            <w:r>
              <w:rPr>
                <w:sz w:val="20"/>
              </w:rPr>
              <w:t>un</w:t>
            </w:r>
            <w:proofErr w:type="gramEnd"/>
            <w:r>
              <w:rPr>
                <w:sz w:val="20"/>
              </w:rPr>
              <w:t xml:space="preserve"> travail impliquant une exposition à un bruit excessif;</w:t>
            </w:r>
          </w:p>
        </w:tc>
      </w:tr>
    </w:tbl>
    <w:p w14:paraId="48E3E10C" w14:textId="77777777" w:rsidR="00AE6B33" w:rsidRDefault="00AE6B33">
      <w:pPr>
        <w:pStyle w:val="articlesdelaLATMPnouveaux"/>
      </w:pPr>
      <w:r>
        <w:t xml:space="preserve">  __________</w:t>
      </w:r>
    </w:p>
    <w:p w14:paraId="693D5EC7" w14:textId="77777777" w:rsidR="00AE6B33" w:rsidRDefault="00AE6B33">
      <w:pPr>
        <w:ind w:firstLine="708"/>
        <w:rPr>
          <w:sz w:val="20"/>
        </w:rPr>
      </w:pPr>
      <w:r>
        <w:rPr>
          <w:sz w:val="20"/>
        </w:rPr>
        <w:t xml:space="preserve">  1985, c. 6, annexe I.</w:t>
      </w:r>
    </w:p>
    <w:p w14:paraId="7269D4D4" w14:textId="77777777" w:rsidR="00AE6B33" w:rsidRDefault="00AE6B33">
      <w:pPr>
        <w:pStyle w:val="Annexes"/>
      </w:pPr>
    </w:p>
    <w:p w14:paraId="6116AF5E" w14:textId="77777777" w:rsidR="006B299C" w:rsidRDefault="006B299C">
      <w:pPr>
        <w:pStyle w:val="Annexes"/>
      </w:pPr>
    </w:p>
    <w:p w14:paraId="3E5287A2" w14:textId="77777777" w:rsidR="00272AD3" w:rsidRDefault="00272AD3" w:rsidP="008C18CD">
      <w:pPr>
        <w:pStyle w:val="corpsdedcision"/>
      </w:pPr>
      <w:r>
        <w:t xml:space="preserve">Dans le cas d’une surdité, l’on peut présumer l’existence d’une </w:t>
      </w:r>
      <w:r w:rsidRPr="001F4FEB">
        <w:t>maladie professionnelle</w:t>
      </w:r>
      <w:r>
        <w:t xml:space="preserve"> lorsqu’il s’agit d’une atteinte causée par le bruit correspondant à un travail impliquant une exposition à un bruit excessif.</w:t>
      </w:r>
    </w:p>
    <w:p w14:paraId="7F2A2D8F" w14:textId="77777777" w:rsidR="0097611E" w:rsidRDefault="00272AD3" w:rsidP="00272AD3">
      <w:pPr>
        <w:pStyle w:val="corpsdedcision"/>
      </w:pPr>
      <w:r>
        <w:t xml:space="preserve">Il appartient au </w:t>
      </w:r>
      <w:r w:rsidRPr="001F4FEB">
        <w:t>travailleur</w:t>
      </w:r>
      <w:r>
        <w:t xml:space="preserve"> de prouver, par preuve prépondérante, </w:t>
      </w:r>
      <w:r w:rsidR="009C7F07">
        <w:t>l’ex</w:t>
      </w:r>
      <w:r>
        <w:t>i</w:t>
      </w:r>
      <w:r w:rsidR="005A7F3A">
        <w:t>stence d’une atteinte auditive</w:t>
      </w:r>
      <w:r w:rsidR="00E71D0D">
        <w:t xml:space="preserve"> </w:t>
      </w:r>
      <w:r>
        <w:t xml:space="preserve">causée par le bruit et </w:t>
      </w:r>
      <w:r w:rsidR="009C7F07">
        <w:t>l’exercice d’un travail impliquant une exposition à un bruit excessif.</w:t>
      </w:r>
    </w:p>
    <w:p w14:paraId="1022D3BE" w14:textId="77777777" w:rsidR="006F56DE" w:rsidRDefault="006F56DE" w:rsidP="006F56DE">
      <w:pPr>
        <w:pStyle w:val="corpsdedcision"/>
      </w:pPr>
      <w:r>
        <w:lastRenderedPageBreak/>
        <w:t xml:space="preserve">Comme le rappelle la </w:t>
      </w:r>
      <w:r w:rsidRPr="001F4FEB">
        <w:t>Commission des lésions professionnelles</w:t>
      </w:r>
      <w:r>
        <w:t xml:space="preserve"> dans sa décision </w:t>
      </w:r>
      <w:r w:rsidRPr="00F721E1">
        <w:rPr>
          <w:i/>
        </w:rPr>
        <w:t>Dubé</w:t>
      </w:r>
      <w:r>
        <w:t xml:space="preserve"> et </w:t>
      </w:r>
      <w:r w:rsidRPr="00F721E1">
        <w:rPr>
          <w:i/>
        </w:rPr>
        <w:t xml:space="preserve">Bois Ste-Florence </w:t>
      </w:r>
      <w:proofErr w:type="spellStart"/>
      <w:r w:rsidRPr="00F721E1">
        <w:rPr>
          <w:i/>
        </w:rPr>
        <w:t>enr</w:t>
      </w:r>
      <w:proofErr w:type="spellEnd"/>
      <w:r w:rsidRPr="00F721E1">
        <w:rPr>
          <w:i/>
        </w:rPr>
        <w:t>.</w:t>
      </w:r>
      <w:r>
        <w:rPr>
          <w:rStyle w:val="FootnoteReference"/>
          <w:i/>
        </w:rPr>
        <w:footnoteReference w:id="4"/>
      </w:r>
      <w:r>
        <w:t> :</w:t>
      </w:r>
    </w:p>
    <w:p w14:paraId="2321DF31" w14:textId="77777777" w:rsidR="006F56DE" w:rsidRDefault="006F56DE" w:rsidP="006F56DE">
      <w:pPr>
        <w:pStyle w:val="citation"/>
      </w:pPr>
      <w:r>
        <w:rPr>
          <w:rFonts w:cs="Arial"/>
        </w:rPr>
        <w:t>[18]</w:t>
      </w:r>
      <w:r w:rsidR="006C624C">
        <w:rPr>
          <w:rFonts w:cs="Arial"/>
        </w:rPr>
        <w:tab/>
      </w:r>
      <w:r>
        <w:t>La jurisprudence</w:t>
      </w:r>
      <w:r>
        <w:rPr>
          <w:rStyle w:val="FootnoteReference"/>
        </w:rPr>
        <w:t>2</w:t>
      </w:r>
      <w:r>
        <w:t xml:space="preserve"> a établi que pour conclure à une atteinte auditive causée par le bruit, cette atteinte doit être neurosensorielle, bilatérale, symétrique et plus sévère dans les hautes fréquences. Elle se </w:t>
      </w:r>
      <w:r w:rsidRPr="00DF68B3">
        <w:t>caractérise</w:t>
      </w:r>
      <w:r>
        <w:t xml:space="preserve"> généralement à l’audiogramme par une chute marquée du seuil d’audition dans les fréquences de 4 000 Hertz avec une remontée dans les fréquences de 8 000 Hertz.</w:t>
      </w:r>
    </w:p>
    <w:p w14:paraId="657C12FF" w14:textId="77777777" w:rsidR="006F56DE" w:rsidRDefault="00BA714C" w:rsidP="006F56DE">
      <w:pPr>
        <w:pStyle w:val="citation"/>
      </w:pPr>
      <w:r>
        <w:t>_____________</w:t>
      </w:r>
    </w:p>
    <w:p w14:paraId="63F1A351" w14:textId="77777777" w:rsidR="006F56DE" w:rsidRDefault="006F56DE" w:rsidP="006B299C">
      <w:pPr>
        <w:pStyle w:val="FootnoteText"/>
        <w:tabs>
          <w:tab w:val="left" w:pos="720"/>
        </w:tabs>
        <w:ind w:left="993" w:right="713" w:hanging="1410"/>
        <w:jc w:val="both"/>
        <w:rPr>
          <w:rFonts w:cs="Arial"/>
          <w:sz w:val="18"/>
          <w:szCs w:val="18"/>
        </w:rPr>
      </w:pPr>
      <w:r>
        <w:rPr>
          <w:rFonts w:cs="Arial"/>
          <w:i/>
          <w:sz w:val="16"/>
          <w:szCs w:val="16"/>
        </w:rPr>
        <w:tab/>
      </w:r>
      <w:r w:rsidRPr="00F721E1">
        <w:rPr>
          <w:rFonts w:cs="Arial"/>
          <w:i/>
          <w:sz w:val="16"/>
          <w:szCs w:val="16"/>
          <w:vertAlign w:val="superscript"/>
        </w:rPr>
        <w:t>2</w:t>
      </w:r>
      <w:r>
        <w:rPr>
          <w:rFonts w:cs="Arial"/>
          <w:i/>
          <w:sz w:val="16"/>
          <w:szCs w:val="16"/>
        </w:rPr>
        <w:tab/>
      </w:r>
      <w:r w:rsidRPr="006B299C">
        <w:rPr>
          <w:rFonts w:cs="Arial"/>
          <w:i/>
          <w:sz w:val="18"/>
          <w:szCs w:val="18"/>
        </w:rPr>
        <w:t xml:space="preserve">Messier </w:t>
      </w:r>
      <w:r w:rsidRPr="006B299C">
        <w:rPr>
          <w:rFonts w:cs="Arial"/>
          <w:sz w:val="18"/>
          <w:szCs w:val="18"/>
        </w:rPr>
        <w:t xml:space="preserve">et </w:t>
      </w:r>
      <w:r w:rsidRPr="006B299C">
        <w:rPr>
          <w:rFonts w:cs="Arial"/>
          <w:i/>
          <w:sz w:val="18"/>
          <w:szCs w:val="18"/>
        </w:rPr>
        <w:t xml:space="preserve">Alstom Canada </w:t>
      </w:r>
      <w:proofErr w:type="spellStart"/>
      <w:r w:rsidRPr="006B299C">
        <w:rPr>
          <w:rFonts w:cs="Arial"/>
          <w:i/>
          <w:sz w:val="18"/>
          <w:szCs w:val="18"/>
        </w:rPr>
        <w:t>inc.</w:t>
      </w:r>
      <w:proofErr w:type="spellEnd"/>
      <w:r w:rsidRPr="006B299C">
        <w:rPr>
          <w:rFonts w:cs="Arial"/>
          <w:sz w:val="18"/>
          <w:szCs w:val="18"/>
        </w:rPr>
        <w:t>, C.L.P. 296346-62B-0608, 1</w:t>
      </w:r>
      <w:r w:rsidRPr="006B299C">
        <w:rPr>
          <w:rFonts w:cs="Arial"/>
          <w:sz w:val="18"/>
          <w:szCs w:val="18"/>
          <w:vertAlign w:val="superscript"/>
        </w:rPr>
        <w:t>er</w:t>
      </w:r>
      <w:r w:rsidRPr="006B299C">
        <w:rPr>
          <w:rFonts w:cs="Arial"/>
          <w:sz w:val="18"/>
          <w:szCs w:val="18"/>
        </w:rPr>
        <w:t xml:space="preserve"> août 2008, R. Napert; </w:t>
      </w:r>
      <w:r w:rsidRPr="006B299C">
        <w:rPr>
          <w:rFonts w:cs="Arial"/>
          <w:i/>
          <w:sz w:val="18"/>
          <w:szCs w:val="18"/>
        </w:rPr>
        <w:t xml:space="preserve">Les Industries Méta-For </w:t>
      </w:r>
      <w:proofErr w:type="spellStart"/>
      <w:r w:rsidRPr="006B299C">
        <w:rPr>
          <w:rFonts w:cs="Arial"/>
          <w:i/>
          <w:sz w:val="18"/>
          <w:szCs w:val="18"/>
        </w:rPr>
        <w:t>inc.</w:t>
      </w:r>
      <w:proofErr w:type="spellEnd"/>
      <w:r w:rsidRPr="006B299C">
        <w:rPr>
          <w:rFonts w:cs="Arial"/>
          <w:i/>
          <w:sz w:val="18"/>
          <w:szCs w:val="18"/>
        </w:rPr>
        <w:t xml:space="preserve"> </w:t>
      </w:r>
      <w:r w:rsidRPr="006B299C">
        <w:rPr>
          <w:rFonts w:cs="Arial"/>
          <w:sz w:val="18"/>
          <w:szCs w:val="18"/>
        </w:rPr>
        <w:t xml:space="preserve">et </w:t>
      </w:r>
      <w:r w:rsidRPr="006B299C">
        <w:rPr>
          <w:rFonts w:cs="Arial"/>
          <w:i/>
          <w:sz w:val="18"/>
          <w:szCs w:val="18"/>
        </w:rPr>
        <w:t>Rotondo</w:t>
      </w:r>
      <w:r w:rsidRPr="006B299C">
        <w:rPr>
          <w:rFonts w:cs="Arial"/>
          <w:sz w:val="18"/>
          <w:szCs w:val="18"/>
        </w:rPr>
        <w:t xml:space="preserve">, C.L.P. 313132-61-0703, 20 novembre 2008, G. Morin; </w:t>
      </w:r>
      <w:r w:rsidRPr="006B299C">
        <w:rPr>
          <w:rFonts w:cs="Arial"/>
          <w:i/>
          <w:sz w:val="18"/>
          <w:szCs w:val="18"/>
        </w:rPr>
        <w:t xml:space="preserve">Benoît </w:t>
      </w:r>
      <w:r w:rsidRPr="006B299C">
        <w:rPr>
          <w:rFonts w:cs="Arial"/>
          <w:sz w:val="18"/>
          <w:szCs w:val="18"/>
        </w:rPr>
        <w:t xml:space="preserve">et </w:t>
      </w:r>
      <w:r w:rsidRPr="006B299C">
        <w:rPr>
          <w:rFonts w:cs="Arial"/>
          <w:i/>
          <w:sz w:val="18"/>
          <w:szCs w:val="18"/>
        </w:rPr>
        <w:t>A.</w:t>
      </w:r>
      <w:r w:rsidR="006B299C">
        <w:rPr>
          <w:rFonts w:cs="Arial"/>
          <w:i/>
          <w:sz w:val="18"/>
          <w:szCs w:val="18"/>
        </w:rPr>
        <w:t> C</w:t>
      </w:r>
      <w:r w:rsidRPr="006B299C">
        <w:rPr>
          <w:rFonts w:cs="Arial"/>
          <w:i/>
          <w:sz w:val="18"/>
          <w:szCs w:val="18"/>
        </w:rPr>
        <w:t>ooper &amp; Fils</w:t>
      </w:r>
      <w:r w:rsidRPr="006B299C">
        <w:rPr>
          <w:rFonts w:cs="Arial"/>
          <w:sz w:val="18"/>
          <w:szCs w:val="18"/>
        </w:rPr>
        <w:t xml:space="preserve">, C.L.P. 394013-62B-0911, 6 août 2011, J.-M. Dubois; </w:t>
      </w:r>
      <w:r w:rsidRPr="006B299C">
        <w:rPr>
          <w:rFonts w:cs="Arial"/>
          <w:i/>
          <w:sz w:val="18"/>
          <w:szCs w:val="18"/>
        </w:rPr>
        <w:t xml:space="preserve">Poirier </w:t>
      </w:r>
      <w:r w:rsidRPr="006B299C">
        <w:rPr>
          <w:rFonts w:cs="Arial"/>
          <w:sz w:val="18"/>
          <w:szCs w:val="18"/>
        </w:rPr>
        <w:t xml:space="preserve">et </w:t>
      </w:r>
      <w:r w:rsidRPr="006B299C">
        <w:rPr>
          <w:rFonts w:cs="Arial"/>
          <w:i/>
          <w:sz w:val="18"/>
          <w:szCs w:val="18"/>
        </w:rPr>
        <w:t xml:space="preserve">Amstrong-Hunt </w:t>
      </w:r>
      <w:proofErr w:type="spellStart"/>
      <w:r w:rsidRPr="006B299C">
        <w:rPr>
          <w:rFonts w:cs="Arial"/>
          <w:i/>
          <w:sz w:val="18"/>
          <w:szCs w:val="18"/>
        </w:rPr>
        <w:t>inc.</w:t>
      </w:r>
      <w:proofErr w:type="spellEnd"/>
      <w:r w:rsidRPr="006B299C">
        <w:rPr>
          <w:rFonts w:cs="Arial"/>
          <w:i/>
          <w:sz w:val="18"/>
          <w:szCs w:val="18"/>
        </w:rPr>
        <w:t xml:space="preserve">, </w:t>
      </w:r>
      <w:r w:rsidRPr="006B299C">
        <w:rPr>
          <w:rFonts w:cs="Arial"/>
          <w:sz w:val="18"/>
          <w:szCs w:val="18"/>
        </w:rPr>
        <w:t xml:space="preserve">2011 QCCLP 2197; </w:t>
      </w:r>
      <w:r w:rsidRPr="006B299C">
        <w:rPr>
          <w:rFonts w:cs="Arial"/>
          <w:i/>
          <w:sz w:val="18"/>
          <w:szCs w:val="18"/>
        </w:rPr>
        <w:t xml:space="preserve">Paradis </w:t>
      </w:r>
      <w:r w:rsidRPr="006B299C">
        <w:rPr>
          <w:rFonts w:cs="Arial"/>
          <w:sz w:val="18"/>
          <w:szCs w:val="18"/>
        </w:rPr>
        <w:t xml:space="preserve">et </w:t>
      </w:r>
      <w:r w:rsidRPr="006B299C">
        <w:rPr>
          <w:rFonts w:cs="Arial"/>
          <w:i/>
          <w:sz w:val="18"/>
          <w:szCs w:val="18"/>
        </w:rPr>
        <w:t xml:space="preserve">Atelier Usinage TAC </w:t>
      </w:r>
      <w:proofErr w:type="spellStart"/>
      <w:r w:rsidRPr="006B299C">
        <w:rPr>
          <w:rFonts w:cs="Arial"/>
          <w:i/>
          <w:sz w:val="18"/>
          <w:szCs w:val="18"/>
        </w:rPr>
        <w:t>inc.</w:t>
      </w:r>
      <w:proofErr w:type="spellEnd"/>
      <w:r w:rsidRPr="006B299C">
        <w:rPr>
          <w:rFonts w:cs="Arial"/>
          <w:sz w:val="18"/>
          <w:szCs w:val="18"/>
        </w:rPr>
        <w:t>, C.L.P. 176510-64-0201, 16 juin 2013, R.-M. Pelletier.</w:t>
      </w:r>
    </w:p>
    <w:p w14:paraId="48133CBB" w14:textId="77777777" w:rsidR="006E5F92" w:rsidRDefault="006E5F92" w:rsidP="006E5F92">
      <w:pPr>
        <w:pStyle w:val="FootnoteText"/>
        <w:tabs>
          <w:tab w:val="left" w:pos="720"/>
        </w:tabs>
        <w:ind w:left="993" w:right="713" w:hanging="993"/>
        <w:jc w:val="both"/>
        <w:rPr>
          <w:rFonts w:cs="Arial"/>
          <w:sz w:val="20"/>
        </w:rPr>
      </w:pPr>
    </w:p>
    <w:p w14:paraId="250DB7C3" w14:textId="77777777" w:rsidR="006E5F92" w:rsidRPr="00610961" w:rsidRDefault="006E5F92" w:rsidP="006E5F92">
      <w:pPr>
        <w:pStyle w:val="FootnoteText"/>
        <w:tabs>
          <w:tab w:val="left" w:pos="720"/>
        </w:tabs>
        <w:ind w:left="993" w:right="713" w:hanging="993"/>
        <w:jc w:val="both"/>
        <w:rPr>
          <w:rFonts w:cs="Arial"/>
          <w:sz w:val="20"/>
        </w:rPr>
      </w:pPr>
    </w:p>
    <w:p w14:paraId="1A4F87E9" w14:textId="77777777" w:rsidR="002F2A20" w:rsidRDefault="002F2A20" w:rsidP="002F2A20">
      <w:pPr>
        <w:pStyle w:val="corpsdedcision"/>
      </w:pPr>
      <w:r>
        <w:t xml:space="preserve">En ce qui a trait au bruit, l’annexe I de la loi </w:t>
      </w:r>
      <w:r w:rsidR="00272AD3">
        <w:t>utilise</w:t>
      </w:r>
      <w:r>
        <w:t xml:space="preserve"> la notion de bruit excessif. Or, comme plusieurs décisions de la </w:t>
      </w:r>
      <w:r w:rsidRPr="001F4FEB">
        <w:t>Commission des lésions professionnelles</w:t>
      </w:r>
      <w:r>
        <w:t xml:space="preserve"> l’ont fait remarquer, la loi ne définit pas ce qu’est un bruit excessif. </w:t>
      </w:r>
    </w:p>
    <w:p w14:paraId="781DC7D6" w14:textId="77777777" w:rsidR="002F2A20" w:rsidRDefault="002F2A20" w:rsidP="002F2A20">
      <w:pPr>
        <w:pStyle w:val="corpsdedcision"/>
      </w:pPr>
      <w:r>
        <w:t xml:space="preserve">Par commodité, plusieurs réfèrent alors à l’article 131 du </w:t>
      </w:r>
      <w:r w:rsidRPr="00C100FD">
        <w:rPr>
          <w:i/>
        </w:rPr>
        <w:t>Règlement sur la santé et la sécurité du travail</w:t>
      </w:r>
      <w:r>
        <w:t xml:space="preserve">, </w:t>
      </w:r>
      <w:proofErr w:type="gramStart"/>
      <w:r>
        <w:t xml:space="preserve">lequel  </w:t>
      </w:r>
      <w:r w:rsidR="00446D36">
        <w:t>précise</w:t>
      </w:r>
      <w:proofErr w:type="gramEnd"/>
      <w:r w:rsidR="00446D36">
        <w:t xml:space="preserve"> un niveau de bruit correspondant à un temps d’exposition permis </w:t>
      </w:r>
      <w:r>
        <w:t>:</w:t>
      </w:r>
    </w:p>
    <w:p w14:paraId="298866E9" w14:textId="77777777" w:rsidR="002F2A20" w:rsidRPr="000B2E7B" w:rsidRDefault="002F2A20" w:rsidP="002F2A20">
      <w:pPr>
        <w:pStyle w:val="citation"/>
      </w:pPr>
      <w:bookmarkStart w:id="4" w:name="[ART][131]"/>
      <w:bookmarkStart w:id="5" w:name="s131"/>
      <w:bookmarkEnd w:id="4"/>
      <w:bookmarkEnd w:id="5"/>
      <w:r w:rsidRPr="000B2E7B">
        <w:rPr>
          <w:b/>
          <w:bCs/>
        </w:rPr>
        <w:t>131.</w:t>
      </w:r>
      <w:r w:rsidRPr="000B2E7B">
        <w:rPr>
          <w:b/>
          <w:bCs/>
          <w:sz w:val="36"/>
          <w:szCs w:val="36"/>
        </w:rPr>
        <w:t xml:space="preserve"> </w:t>
      </w:r>
      <w:r w:rsidRPr="000B2E7B">
        <w:rPr>
          <w:b/>
          <w:bCs/>
        </w:rPr>
        <w:t>Bruit continu</w:t>
      </w:r>
      <w:r w:rsidRPr="000B2E7B">
        <w:t xml:space="preserve">: Dans un établissement, aucun travailleur ne doit être exposé aux niveaux de bruit continu prévus ci-dessous pendant une </w:t>
      </w:r>
      <w:proofErr w:type="gramStart"/>
      <w:r w:rsidRPr="000B2E7B">
        <w:t>période de temps</w:t>
      </w:r>
      <w:proofErr w:type="gramEnd"/>
      <w:r w:rsidRPr="000B2E7B">
        <w:t xml:space="preserve"> plus longue que celle qui est indiquée au tableau qui suit:</w:t>
      </w:r>
    </w:p>
    <w:p w14:paraId="70E0D062" w14:textId="77777777" w:rsidR="002F2A20" w:rsidRPr="000B2E7B" w:rsidRDefault="002F2A20" w:rsidP="002F2A20">
      <w:pPr>
        <w:pStyle w:val="citation"/>
      </w:pPr>
      <w:r w:rsidRPr="000B2E7B">
        <w:t>_____________________________________________________</w:t>
      </w:r>
    </w:p>
    <w:p w14:paraId="7BA73456" w14:textId="77777777" w:rsidR="002F2A20" w:rsidRPr="000B2E7B" w:rsidRDefault="002F2A20" w:rsidP="002F2A20">
      <w:pPr>
        <w:pStyle w:val="citation"/>
      </w:pPr>
    </w:p>
    <w:p w14:paraId="588FC74B" w14:textId="77777777" w:rsidR="002F2A20" w:rsidRPr="000B2E7B" w:rsidRDefault="002F2A20" w:rsidP="002F2A20">
      <w:pPr>
        <w:pStyle w:val="citation"/>
      </w:pPr>
      <w:r w:rsidRPr="000B2E7B">
        <w:t xml:space="preserve">  Niveau de bruit                       Temps </w:t>
      </w:r>
    </w:p>
    <w:p w14:paraId="1EDD726C" w14:textId="77777777" w:rsidR="002F2A20" w:rsidRPr="000B2E7B" w:rsidRDefault="002F2A20" w:rsidP="002F2A20">
      <w:pPr>
        <w:pStyle w:val="citation"/>
      </w:pPr>
      <w:r w:rsidRPr="000B2E7B">
        <w:t xml:space="preserve">   (</w:t>
      </w:r>
      <w:proofErr w:type="gramStart"/>
      <w:r w:rsidRPr="000B2E7B">
        <w:t>en</w:t>
      </w:r>
      <w:proofErr w:type="gramEnd"/>
      <w:r w:rsidRPr="000B2E7B">
        <w:t xml:space="preserve"> </w:t>
      </w:r>
      <w:proofErr w:type="spellStart"/>
      <w:r w:rsidRPr="000B2E7B">
        <w:t>dBA</w:t>
      </w:r>
      <w:proofErr w:type="spellEnd"/>
      <w:r w:rsidRPr="000B2E7B">
        <w:t xml:space="preserve">, </w:t>
      </w:r>
      <w:proofErr w:type="spellStart"/>
      <w:r w:rsidRPr="000B2E7B">
        <w:t>dBA</w:t>
      </w:r>
      <w:proofErr w:type="spellEnd"/>
      <w:r w:rsidRPr="000B2E7B">
        <w:t xml:space="preserve">                     d'exposition* </w:t>
      </w:r>
    </w:p>
    <w:p w14:paraId="307B5B79" w14:textId="77777777" w:rsidR="002F2A20" w:rsidRPr="000B2E7B" w:rsidRDefault="002F2A20" w:rsidP="002F2A20">
      <w:pPr>
        <w:pStyle w:val="citation"/>
      </w:pPr>
      <w:r w:rsidRPr="000B2E7B">
        <w:t xml:space="preserve">  </w:t>
      </w:r>
      <w:proofErr w:type="gramStart"/>
      <w:r w:rsidRPr="000B2E7B">
        <w:t>corrigés</w:t>
      </w:r>
      <w:proofErr w:type="gramEnd"/>
      <w:r w:rsidRPr="000B2E7B">
        <w:t xml:space="preserve"> ou </w:t>
      </w:r>
      <w:proofErr w:type="spellStart"/>
      <w:r w:rsidRPr="000B2E7B">
        <w:t>dBA</w:t>
      </w:r>
      <w:proofErr w:type="spellEnd"/>
      <w:r w:rsidRPr="000B2E7B">
        <w:t xml:space="preserve">                  permis (h/jour)</w:t>
      </w:r>
    </w:p>
    <w:p w14:paraId="0770FA51" w14:textId="77777777" w:rsidR="002F2A20" w:rsidRPr="000B2E7B" w:rsidRDefault="002F2A20" w:rsidP="002F2A20">
      <w:pPr>
        <w:pStyle w:val="citation"/>
      </w:pPr>
      <w:r w:rsidRPr="000B2E7B">
        <w:t xml:space="preserve">   </w:t>
      </w:r>
      <w:proofErr w:type="gramStart"/>
      <w:r w:rsidRPr="000B2E7B">
        <w:t>équivalents</w:t>
      </w:r>
      <w:proofErr w:type="gramEnd"/>
      <w:r w:rsidRPr="000B2E7B">
        <w:t>)</w:t>
      </w:r>
    </w:p>
    <w:p w14:paraId="143FA23C" w14:textId="77777777" w:rsidR="002F2A20" w:rsidRPr="000B2E7B" w:rsidRDefault="002F2A20" w:rsidP="002F2A20">
      <w:pPr>
        <w:pStyle w:val="citation"/>
      </w:pPr>
      <w:r w:rsidRPr="000B2E7B">
        <w:t>_____________________________________________________</w:t>
      </w:r>
    </w:p>
    <w:p w14:paraId="683FA319" w14:textId="77777777" w:rsidR="002F2A20" w:rsidRPr="000B2E7B" w:rsidRDefault="002F2A20" w:rsidP="002F2A20">
      <w:pPr>
        <w:pStyle w:val="citation"/>
      </w:pPr>
    </w:p>
    <w:p w14:paraId="6C60E4F9" w14:textId="77777777" w:rsidR="002F2A20" w:rsidRPr="000B2E7B" w:rsidRDefault="002F2A20" w:rsidP="002F2A20">
      <w:pPr>
        <w:pStyle w:val="citation"/>
      </w:pPr>
      <w:r w:rsidRPr="000B2E7B">
        <w:t xml:space="preserve">        85                              16 </w:t>
      </w:r>
    </w:p>
    <w:p w14:paraId="5C3D1E10" w14:textId="77777777" w:rsidR="002F2A20" w:rsidRPr="000B2E7B" w:rsidRDefault="002F2A20" w:rsidP="002F2A20">
      <w:pPr>
        <w:pStyle w:val="citation"/>
      </w:pPr>
      <w:r w:rsidRPr="000B2E7B">
        <w:t xml:space="preserve">        86                              13,9 </w:t>
      </w:r>
    </w:p>
    <w:p w14:paraId="2FB74486" w14:textId="77777777" w:rsidR="002F2A20" w:rsidRPr="000B2E7B" w:rsidRDefault="002F2A20" w:rsidP="002F2A20">
      <w:pPr>
        <w:pStyle w:val="citation"/>
      </w:pPr>
      <w:r w:rsidRPr="000B2E7B">
        <w:t xml:space="preserve">        87                              12,1 </w:t>
      </w:r>
    </w:p>
    <w:p w14:paraId="24CC940F" w14:textId="77777777" w:rsidR="002F2A20" w:rsidRPr="000B2E7B" w:rsidRDefault="002F2A20" w:rsidP="002F2A20">
      <w:pPr>
        <w:pStyle w:val="citation"/>
      </w:pPr>
      <w:r w:rsidRPr="000B2E7B">
        <w:t xml:space="preserve">        88                              10,6 </w:t>
      </w:r>
    </w:p>
    <w:p w14:paraId="5758D2F2" w14:textId="77777777" w:rsidR="002F2A20" w:rsidRPr="000B2E7B" w:rsidRDefault="002F2A20" w:rsidP="002F2A20">
      <w:pPr>
        <w:pStyle w:val="citation"/>
      </w:pPr>
      <w:r w:rsidRPr="000B2E7B">
        <w:t xml:space="preserve">        89                               9,2 </w:t>
      </w:r>
    </w:p>
    <w:p w14:paraId="05A18368" w14:textId="77777777" w:rsidR="002F2A20" w:rsidRPr="000B2E7B" w:rsidRDefault="002F2A20" w:rsidP="002F2A20">
      <w:pPr>
        <w:pStyle w:val="citation"/>
      </w:pPr>
      <w:r w:rsidRPr="000B2E7B">
        <w:t xml:space="preserve">        90                               8</w:t>
      </w:r>
    </w:p>
    <w:p w14:paraId="203AD911" w14:textId="77777777" w:rsidR="002F2A20" w:rsidRPr="000B2E7B" w:rsidRDefault="002F2A20" w:rsidP="002F2A20">
      <w:pPr>
        <w:pStyle w:val="citation"/>
      </w:pPr>
      <w:r w:rsidRPr="000B2E7B">
        <w:t xml:space="preserve">        91                               7 </w:t>
      </w:r>
    </w:p>
    <w:p w14:paraId="0CA62211" w14:textId="77777777" w:rsidR="002F2A20" w:rsidRPr="000B2E7B" w:rsidRDefault="002F2A20" w:rsidP="002F2A20">
      <w:pPr>
        <w:pStyle w:val="citation"/>
      </w:pPr>
      <w:r w:rsidRPr="000B2E7B">
        <w:t xml:space="preserve">        92                               6 </w:t>
      </w:r>
    </w:p>
    <w:p w14:paraId="5C75A530" w14:textId="77777777" w:rsidR="002F2A20" w:rsidRPr="000B2E7B" w:rsidRDefault="002F2A20" w:rsidP="002F2A20">
      <w:pPr>
        <w:pStyle w:val="citation"/>
      </w:pPr>
      <w:r w:rsidRPr="000B2E7B">
        <w:t xml:space="preserve">        93                               5,3 </w:t>
      </w:r>
    </w:p>
    <w:p w14:paraId="284F196D" w14:textId="77777777" w:rsidR="002F2A20" w:rsidRPr="000B2E7B" w:rsidRDefault="002F2A20" w:rsidP="002F2A20">
      <w:pPr>
        <w:pStyle w:val="citation"/>
      </w:pPr>
      <w:r w:rsidRPr="000B2E7B">
        <w:t xml:space="preserve">        94                               4,6 </w:t>
      </w:r>
    </w:p>
    <w:p w14:paraId="7D8F2F27" w14:textId="77777777" w:rsidR="002F2A20" w:rsidRPr="000B2E7B" w:rsidRDefault="002F2A20" w:rsidP="002F2A20">
      <w:pPr>
        <w:pStyle w:val="citation"/>
      </w:pPr>
      <w:r w:rsidRPr="000B2E7B">
        <w:t xml:space="preserve">        95                               4 </w:t>
      </w:r>
    </w:p>
    <w:p w14:paraId="7910F316" w14:textId="77777777" w:rsidR="002F2A20" w:rsidRPr="000B2E7B" w:rsidRDefault="002F2A20" w:rsidP="002F2A20">
      <w:pPr>
        <w:pStyle w:val="citation"/>
      </w:pPr>
      <w:r w:rsidRPr="000B2E7B">
        <w:t xml:space="preserve">        96                               3,5 </w:t>
      </w:r>
    </w:p>
    <w:p w14:paraId="1A4A7FDE" w14:textId="77777777" w:rsidR="002F2A20" w:rsidRPr="000B2E7B" w:rsidRDefault="002F2A20" w:rsidP="002F2A20">
      <w:pPr>
        <w:pStyle w:val="citation"/>
      </w:pPr>
      <w:r w:rsidRPr="000B2E7B">
        <w:t xml:space="preserve">        97                               3 </w:t>
      </w:r>
    </w:p>
    <w:p w14:paraId="37181847" w14:textId="77777777" w:rsidR="002F2A20" w:rsidRPr="000B2E7B" w:rsidRDefault="002F2A20" w:rsidP="002F2A20">
      <w:pPr>
        <w:pStyle w:val="citation"/>
      </w:pPr>
      <w:r w:rsidRPr="000B2E7B">
        <w:t xml:space="preserve">        98                               2,6 </w:t>
      </w:r>
    </w:p>
    <w:p w14:paraId="32683136" w14:textId="77777777" w:rsidR="002F2A20" w:rsidRPr="000B2E7B" w:rsidRDefault="002F2A20" w:rsidP="002F2A20">
      <w:pPr>
        <w:pStyle w:val="citation"/>
      </w:pPr>
      <w:r w:rsidRPr="000B2E7B">
        <w:lastRenderedPageBreak/>
        <w:t xml:space="preserve">        99                               2,3 </w:t>
      </w:r>
    </w:p>
    <w:p w14:paraId="6234C127" w14:textId="77777777" w:rsidR="002F2A20" w:rsidRPr="000B2E7B" w:rsidRDefault="002F2A20" w:rsidP="002F2A20">
      <w:pPr>
        <w:pStyle w:val="citation"/>
      </w:pPr>
      <w:r w:rsidRPr="000B2E7B">
        <w:t xml:space="preserve">       100                               2 </w:t>
      </w:r>
    </w:p>
    <w:p w14:paraId="1CE2DB86" w14:textId="77777777" w:rsidR="002F2A20" w:rsidRPr="000B2E7B" w:rsidRDefault="002F2A20" w:rsidP="002F2A20">
      <w:pPr>
        <w:pStyle w:val="citation"/>
      </w:pPr>
      <w:r w:rsidRPr="000B2E7B">
        <w:t xml:space="preserve">       101                               1,75</w:t>
      </w:r>
    </w:p>
    <w:p w14:paraId="460C5BCD" w14:textId="77777777" w:rsidR="002F2A20" w:rsidRPr="000B2E7B" w:rsidRDefault="002F2A20" w:rsidP="002F2A20">
      <w:pPr>
        <w:pStyle w:val="citation"/>
      </w:pPr>
      <w:r w:rsidRPr="000B2E7B">
        <w:t xml:space="preserve">       102                               1,50</w:t>
      </w:r>
    </w:p>
    <w:p w14:paraId="632AA32F" w14:textId="77777777" w:rsidR="002F2A20" w:rsidRPr="000B2E7B" w:rsidRDefault="002F2A20" w:rsidP="002F2A20">
      <w:pPr>
        <w:pStyle w:val="citation"/>
      </w:pPr>
      <w:r w:rsidRPr="000B2E7B">
        <w:t xml:space="preserve">       103                               1,3</w:t>
      </w:r>
    </w:p>
    <w:p w14:paraId="75C32880" w14:textId="77777777" w:rsidR="002F2A20" w:rsidRPr="000B2E7B" w:rsidRDefault="002F2A20" w:rsidP="002F2A20">
      <w:pPr>
        <w:pStyle w:val="citation"/>
      </w:pPr>
      <w:r w:rsidRPr="000B2E7B">
        <w:t xml:space="preserve">       104                               1,2</w:t>
      </w:r>
    </w:p>
    <w:p w14:paraId="5AF59BF4" w14:textId="77777777" w:rsidR="002F2A20" w:rsidRPr="000B2E7B" w:rsidRDefault="002F2A20" w:rsidP="002F2A20">
      <w:pPr>
        <w:pStyle w:val="citation"/>
      </w:pPr>
      <w:r w:rsidRPr="000B2E7B">
        <w:t xml:space="preserve">       105                               1 </w:t>
      </w:r>
    </w:p>
    <w:p w14:paraId="1B6CB73C" w14:textId="77777777" w:rsidR="002F2A20" w:rsidRPr="000B2E7B" w:rsidRDefault="002F2A20" w:rsidP="002F2A20">
      <w:pPr>
        <w:pStyle w:val="citation"/>
      </w:pPr>
      <w:r w:rsidRPr="000B2E7B">
        <w:t xml:space="preserve">       106                               0,9 </w:t>
      </w:r>
    </w:p>
    <w:p w14:paraId="34BE393C" w14:textId="77777777" w:rsidR="002F2A20" w:rsidRPr="000B2E7B" w:rsidRDefault="002F2A20" w:rsidP="002F2A20">
      <w:pPr>
        <w:pStyle w:val="citation"/>
      </w:pPr>
      <w:r w:rsidRPr="000B2E7B">
        <w:t xml:space="preserve">       107                               0,8</w:t>
      </w:r>
    </w:p>
    <w:p w14:paraId="00A694BB" w14:textId="77777777" w:rsidR="002F2A20" w:rsidRPr="000B2E7B" w:rsidRDefault="002F2A20" w:rsidP="002F2A20">
      <w:pPr>
        <w:pStyle w:val="citation"/>
      </w:pPr>
      <w:r w:rsidRPr="000B2E7B">
        <w:t xml:space="preserve">       108                               0,7</w:t>
      </w:r>
    </w:p>
    <w:p w14:paraId="11A48CEC" w14:textId="77777777" w:rsidR="002F2A20" w:rsidRPr="000B2E7B" w:rsidRDefault="002F2A20" w:rsidP="002F2A20">
      <w:pPr>
        <w:pStyle w:val="citation"/>
      </w:pPr>
      <w:r w:rsidRPr="000B2E7B">
        <w:t xml:space="preserve">       109                               0,6</w:t>
      </w:r>
    </w:p>
    <w:p w14:paraId="70BEFC0B" w14:textId="77777777" w:rsidR="002F2A20" w:rsidRPr="000B2E7B" w:rsidRDefault="002F2A20" w:rsidP="002F2A20">
      <w:pPr>
        <w:pStyle w:val="citation"/>
      </w:pPr>
      <w:r w:rsidRPr="000B2E7B">
        <w:t xml:space="preserve">       110                               0,5</w:t>
      </w:r>
    </w:p>
    <w:p w14:paraId="69D8342F" w14:textId="77777777" w:rsidR="002F2A20" w:rsidRPr="000B2E7B" w:rsidRDefault="002F2A20" w:rsidP="002F2A20">
      <w:pPr>
        <w:pStyle w:val="citation"/>
      </w:pPr>
      <w:r w:rsidRPr="000B2E7B">
        <w:t xml:space="preserve">       111                               0,45</w:t>
      </w:r>
    </w:p>
    <w:p w14:paraId="2656CCD0" w14:textId="77777777" w:rsidR="002F2A20" w:rsidRPr="000B2E7B" w:rsidRDefault="002F2A20" w:rsidP="002F2A20">
      <w:pPr>
        <w:pStyle w:val="citation"/>
      </w:pPr>
      <w:r w:rsidRPr="000B2E7B">
        <w:t xml:space="preserve">       112                               0,4 </w:t>
      </w:r>
    </w:p>
    <w:p w14:paraId="6AFC03F4" w14:textId="77777777" w:rsidR="002F2A20" w:rsidRPr="000B2E7B" w:rsidRDefault="002F2A20" w:rsidP="002F2A20">
      <w:pPr>
        <w:pStyle w:val="citation"/>
      </w:pPr>
      <w:r w:rsidRPr="000B2E7B">
        <w:t xml:space="preserve">       113                               0,35</w:t>
      </w:r>
    </w:p>
    <w:p w14:paraId="613090EA" w14:textId="77777777" w:rsidR="002F2A20" w:rsidRPr="000B2E7B" w:rsidRDefault="002F2A20" w:rsidP="002F2A20">
      <w:pPr>
        <w:pStyle w:val="citation"/>
      </w:pPr>
      <w:r w:rsidRPr="000B2E7B">
        <w:t xml:space="preserve">       114                               0,30</w:t>
      </w:r>
    </w:p>
    <w:p w14:paraId="1F3442CB" w14:textId="77777777" w:rsidR="002F2A20" w:rsidRPr="000B2E7B" w:rsidRDefault="002F2A20" w:rsidP="002F2A20">
      <w:pPr>
        <w:pStyle w:val="citation"/>
      </w:pPr>
      <w:r w:rsidRPr="000B2E7B">
        <w:t xml:space="preserve">       115                               0,25</w:t>
      </w:r>
    </w:p>
    <w:p w14:paraId="32F31ACC" w14:textId="77777777" w:rsidR="002F2A20" w:rsidRPr="000B2E7B" w:rsidRDefault="002F2A20" w:rsidP="002F2A20">
      <w:pPr>
        <w:pStyle w:val="citation"/>
      </w:pPr>
      <w:r w:rsidRPr="000B2E7B">
        <w:t xml:space="preserve">      &gt;115                               0</w:t>
      </w:r>
    </w:p>
    <w:p w14:paraId="3357CEAA" w14:textId="77777777" w:rsidR="002F2A20" w:rsidRPr="000B2E7B" w:rsidRDefault="002F2A20" w:rsidP="002F2A20">
      <w:pPr>
        <w:pStyle w:val="citation"/>
      </w:pPr>
      <w:r w:rsidRPr="000B2E7B">
        <w:t>_____________________________________________________</w:t>
      </w:r>
    </w:p>
    <w:p w14:paraId="4AA01F55" w14:textId="77777777" w:rsidR="002F2A20" w:rsidRPr="000B2E7B" w:rsidRDefault="002F2A20" w:rsidP="002F2A20">
      <w:pPr>
        <w:pStyle w:val="citation"/>
      </w:pPr>
    </w:p>
    <w:p w14:paraId="7BDED5F8" w14:textId="77777777" w:rsidR="002F2A20" w:rsidRDefault="002F2A20" w:rsidP="002F2A20">
      <w:pPr>
        <w:pStyle w:val="citation"/>
      </w:pPr>
      <w:r w:rsidRPr="000B2E7B">
        <w:t>* ceci comprend toute exposition continue ou toute série de courtes expositions sur une période de travail d'un travailleur.</w:t>
      </w:r>
    </w:p>
    <w:p w14:paraId="2EC37FFC" w14:textId="77777777" w:rsidR="002F2A20" w:rsidRPr="000B2E7B" w:rsidRDefault="002F2A20" w:rsidP="002F2A20">
      <w:pPr>
        <w:pStyle w:val="citation"/>
      </w:pPr>
    </w:p>
    <w:p w14:paraId="1D11A7D0" w14:textId="77777777" w:rsidR="002F2A20" w:rsidRPr="000B2E7B" w:rsidRDefault="002F2A20" w:rsidP="002F2A20">
      <w:pPr>
        <w:pStyle w:val="citation"/>
      </w:pPr>
      <w:r w:rsidRPr="000B2E7B">
        <w:t>Le temps d'exposition permis pour tout travailleur à chaque niveau de bruit indiqué au tableau précédent est diminué de moitié, à compter d'une date qui sera déterminée par règlement en vertu de l'article 223 de la Loi sur la santé et la sécurité du travail (chapitre S-2.1).</w:t>
      </w:r>
    </w:p>
    <w:p w14:paraId="495F920E" w14:textId="77777777" w:rsidR="002F2A20" w:rsidRPr="000B2E7B" w:rsidRDefault="002F2A20" w:rsidP="002F2A20">
      <w:pPr>
        <w:pStyle w:val="citation"/>
      </w:pPr>
    </w:p>
    <w:p w14:paraId="72730577" w14:textId="77777777" w:rsidR="002F2A20" w:rsidRDefault="002F2A20" w:rsidP="002F2A20">
      <w:pPr>
        <w:pStyle w:val="citation"/>
      </w:pPr>
      <w:r w:rsidRPr="000B2E7B">
        <w:t>D. 885-2001, a. 131.</w:t>
      </w:r>
    </w:p>
    <w:p w14:paraId="41A59307" w14:textId="77777777" w:rsidR="006C624C" w:rsidRDefault="006C624C" w:rsidP="002F2A20">
      <w:pPr>
        <w:pStyle w:val="citation"/>
      </w:pPr>
    </w:p>
    <w:p w14:paraId="0806437F" w14:textId="77777777" w:rsidR="006C624C" w:rsidRPr="000B2E7B" w:rsidRDefault="006C624C" w:rsidP="002F2A20">
      <w:pPr>
        <w:pStyle w:val="citation"/>
      </w:pPr>
    </w:p>
    <w:p w14:paraId="73580B57" w14:textId="77777777" w:rsidR="002F2A20" w:rsidRDefault="002F2A20" w:rsidP="002F2A20">
      <w:pPr>
        <w:pStyle w:val="corpsdedcision"/>
      </w:pPr>
      <w:r>
        <w:t xml:space="preserve">Comme l’indique la </w:t>
      </w:r>
      <w:r w:rsidRPr="001F4FEB">
        <w:t>Commission des lésions professionnelles</w:t>
      </w:r>
      <w:r>
        <w:t xml:space="preserve"> dans l’affaire St</w:t>
      </w:r>
      <w:r w:rsidR="006C624C">
        <w:noBreakHyphen/>
      </w:r>
      <w:r w:rsidRPr="00C64848">
        <w:rPr>
          <w:i/>
        </w:rPr>
        <w:t>Jean</w:t>
      </w:r>
      <w:r>
        <w:t xml:space="preserve"> et </w:t>
      </w:r>
      <w:r w:rsidRPr="00C64848">
        <w:rPr>
          <w:i/>
        </w:rPr>
        <w:t xml:space="preserve">Concrète Construction </w:t>
      </w:r>
      <w:proofErr w:type="spellStart"/>
      <w:r w:rsidRPr="00C64848">
        <w:rPr>
          <w:i/>
        </w:rPr>
        <w:t>inc</w:t>
      </w:r>
      <w:r>
        <w:t>.</w:t>
      </w:r>
      <w:proofErr w:type="spellEnd"/>
      <w:r>
        <w:rPr>
          <w:rStyle w:val="FootnoteReference"/>
        </w:rPr>
        <w:footnoteReference w:id="5"/>
      </w:r>
      <w:r>
        <w:t> :</w:t>
      </w:r>
    </w:p>
    <w:p w14:paraId="13B80F41" w14:textId="77777777" w:rsidR="002F2A20" w:rsidRDefault="002F2A20" w:rsidP="002F2A20">
      <w:pPr>
        <w:pStyle w:val="citation"/>
        <w:rPr>
          <w:rFonts w:cs="Arial"/>
        </w:rPr>
      </w:pPr>
      <w:r>
        <w:rPr>
          <w:rFonts w:cs="Arial"/>
        </w:rPr>
        <w:t>[26]</w:t>
      </w:r>
      <w:r w:rsidR="006C624C">
        <w:rPr>
          <w:rFonts w:cs="Arial"/>
        </w:rPr>
        <w:tab/>
      </w:r>
      <w:r>
        <w:t>Cela étant, selon la jurisprudence majoritaire</w:t>
      </w:r>
      <w:r>
        <w:rPr>
          <w:rStyle w:val="FootnoteReference"/>
        </w:rPr>
        <w:t>4</w:t>
      </w:r>
      <w:r>
        <w:t xml:space="preserve">, un travailleur n’a pas nécessairement à démontrer que ses conditions de travail ne respectaient pas les normes prévues à ce règlement pour bénéficier de la présomption de maladie professionnelle, </w:t>
      </w:r>
      <w:r w:rsidRPr="00690FF6">
        <w:rPr>
          <w:u w:val="single"/>
        </w:rPr>
        <w:t>la notion de bruit excessif faisant référence de façon plus générale à un niveau de bruit qui peut causer une atteinte neurosensorielle</w:t>
      </w:r>
      <w:r>
        <w:t>.</w:t>
      </w:r>
      <w:r w:rsidRPr="00706218">
        <w:t xml:space="preserve"> </w:t>
      </w:r>
      <w:r w:rsidRPr="00690FF6">
        <w:rPr>
          <w:rFonts w:cs="Arial"/>
          <w:u w:val="single"/>
        </w:rPr>
        <w:t>Plusieurs décisions du tribunal soulignent que le règlement constitue néanmoins une norme utile pour se prononcer sur la notion de « bruit excessif » pouvant causer une atteinte neurosensorielle</w:t>
      </w:r>
      <w:r>
        <w:rPr>
          <w:rStyle w:val="FootnoteReference"/>
          <w:rFonts w:cs="Arial"/>
        </w:rPr>
        <w:t>5</w:t>
      </w:r>
      <w:r>
        <w:rPr>
          <w:rFonts w:cs="Arial"/>
        </w:rPr>
        <w:t>.</w:t>
      </w:r>
    </w:p>
    <w:p w14:paraId="172DF3D4" w14:textId="77777777" w:rsidR="002F2A20" w:rsidRDefault="00805B5D" w:rsidP="002F2A20">
      <w:pPr>
        <w:pStyle w:val="citation"/>
        <w:rPr>
          <w:rFonts w:cs="Arial"/>
        </w:rPr>
      </w:pPr>
      <w:r>
        <w:rPr>
          <w:rFonts w:cs="Arial"/>
        </w:rPr>
        <w:t>___________________</w:t>
      </w:r>
    </w:p>
    <w:p w14:paraId="58EFBCDE" w14:textId="77777777" w:rsidR="002F2A20" w:rsidRPr="006C624C" w:rsidRDefault="002F2A20" w:rsidP="006C624C">
      <w:pPr>
        <w:pStyle w:val="FootnoteText"/>
        <w:tabs>
          <w:tab w:val="left" w:pos="709"/>
        </w:tabs>
        <w:ind w:left="1134" w:right="855" w:hanging="1134"/>
        <w:jc w:val="both"/>
        <w:rPr>
          <w:rFonts w:cs="Arial"/>
          <w:sz w:val="18"/>
          <w:szCs w:val="18"/>
        </w:rPr>
      </w:pPr>
      <w:r>
        <w:rPr>
          <w:sz w:val="16"/>
          <w:szCs w:val="16"/>
          <w:vertAlign w:val="superscript"/>
        </w:rPr>
        <w:tab/>
      </w:r>
      <w:r w:rsidRPr="006C624C">
        <w:rPr>
          <w:sz w:val="18"/>
          <w:szCs w:val="18"/>
          <w:vertAlign w:val="superscript"/>
        </w:rPr>
        <w:t>4</w:t>
      </w:r>
      <w:r w:rsidRPr="006C624C">
        <w:rPr>
          <w:sz w:val="18"/>
          <w:szCs w:val="18"/>
        </w:rPr>
        <w:t xml:space="preserve"> </w:t>
      </w:r>
      <w:r w:rsidRPr="00690FF6">
        <w:rPr>
          <w:sz w:val="16"/>
          <w:szCs w:val="16"/>
        </w:rPr>
        <w:tab/>
      </w:r>
      <w:r w:rsidRPr="006C624C">
        <w:rPr>
          <w:sz w:val="18"/>
          <w:szCs w:val="18"/>
        </w:rPr>
        <w:t xml:space="preserve">Voir notamment : </w:t>
      </w:r>
      <w:r w:rsidRPr="006C624C">
        <w:rPr>
          <w:i/>
          <w:sz w:val="18"/>
          <w:szCs w:val="18"/>
        </w:rPr>
        <w:t xml:space="preserve">Bond </w:t>
      </w:r>
      <w:r w:rsidRPr="006C624C">
        <w:rPr>
          <w:sz w:val="18"/>
          <w:szCs w:val="18"/>
        </w:rPr>
        <w:t xml:space="preserve">et </w:t>
      </w:r>
      <w:r w:rsidRPr="006C624C">
        <w:rPr>
          <w:i/>
          <w:sz w:val="18"/>
          <w:szCs w:val="18"/>
        </w:rPr>
        <w:t xml:space="preserve">BG Checo </w:t>
      </w:r>
      <w:proofErr w:type="spellStart"/>
      <w:r w:rsidRPr="006C624C">
        <w:rPr>
          <w:i/>
          <w:sz w:val="18"/>
          <w:szCs w:val="18"/>
        </w:rPr>
        <w:t>inc</w:t>
      </w:r>
      <w:r w:rsidRPr="006C624C">
        <w:rPr>
          <w:sz w:val="18"/>
          <w:szCs w:val="18"/>
        </w:rPr>
        <w:t>.</w:t>
      </w:r>
      <w:proofErr w:type="spellEnd"/>
      <w:r w:rsidRPr="006C624C">
        <w:rPr>
          <w:sz w:val="18"/>
          <w:szCs w:val="18"/>
        </w:rPr>
        <w:t xml:space="preserve">, </w:t>
      </w:r>
      <w:r w:rsidRPr="006C624C">
        <w:rPr>
          <w:rFonts w:cs="Arial"/>
          <w:sz w:val="18"/>
          <w:szCs w:val="18"/>
        </w:rPr>
        <w:t xml:space="preserve">[1999] C.L.P. 270; </w:t>
      </w:r>
      <w:r w:rsidRPr="006C624C">
        <w:rPr>
          <w:rFonts w:cs="Arial"/>
          <w:i/>
          <w:sz w:val="18"/>
          <w:szCs w:val="18"/>
        </w:rPr>
        <w:t>Brisson</w:t>
      </w:r>
      <w:r w:rsidRPr="006C624C">
        <w:rPr>
          <w:rFonts w:cs="Arial"/>
          <w:sz w:val="18"/>
          <w:szCs w:val="18"/>
        </w:rPr>
        <w:t xml:space="preserve"> et </w:t>
      </w:r>
      <w:r w:rsidRPr="006C624C">
        <w:rPr>
          <w:rFonts w:cs="Arial"/>
          <w:i/>
          <w:sz w:val="18"/>
          <w:szCs w:val="18"/>
        </w:rPr>
        <w:t>Cité de Dorval</w:t>
      </w:r>
      <w:r w:rsidRPr="006C624C">
        <w:rPr>
          <w:rFonts w:cs="Arial"/>
          <w:sz w:val="18"/>
          <w:szCs w:val="18"/>
        </w:rPr>
        <w:t xml:space="preserve"> [2003] C.L.P. 417; </w:t>
      </w:r>
      <w:r w:rsidRPr="006C624C">
        <w:rPr>
          <w:rFonts w:cs="Arial"/>
          <w:i/>
          <w:sz w:val="18"/>
          <w:szCs w:val="18"/>
        </w:rPr>
        <w:t>Lemieux</w:t>
      </w:r>
      <w:r w:rsidRPr="006C624C">
        <w:rPr>
          <w:rFonts w:cs="Arial"/>
          <w:sz w:val="18"/>
          <w:szCs w:val="18"/>
        </w:rPr>
        <w:t xml:space="preserve"> et </w:t>
      </w:r>
      <w:r w:rsidRPr="006C624C">
        <w:rPr>
          <w:rFonts w:cs="Arial"/>
          <w:i/>
          <w:sz w:val="18"/>
          <w:szCs w:val="18"/>
        </w:rPr>
        <w:t xml:space="preserve">René G. Paré </w:t>
      </w:r>
      <w:proofErr w:type="spellStart"/>
      <w:r w:rsidRPr="006C624C">
        <w:rPr>
          <w:rFonts w:cs="Arial"/>
          <w:i/>
          <w:sz w:val="18"/>
          <w:szCs w:val="18"/>
        </w:rPr>
        <w:t>inc</w:t>
      </w:r>
      <w:r w:rsidRPr="006C624C">
        <w:rPr>
          <w:rFonts w:cs="Arial"/>
          <w:sz w:val="18"/>
          <w:szCs w:val="18"/>
        </w:rPr>
        <w:t>.</w:t>
      </w:r>
      <w:proofErr w:type="spellEnd"/>
      <w:r w:rsidRPr="006C624C">
        <w:rPr>
          <w:rFonts w:cs="Arial"/>
          <w:sz w:val="18"/>
          <w:szCs w:val="18"/>
        </w:rPr>
        <w:t>, [2007] C.L.P. 717.</w:t>
      </w:r>
    </w:p>
    <w:p w14:paraId="002D7AFA" w14:textId="77777777" w:rsidR="002F2A20" w:rsidRPr="006C624C" w:rsidRDefault="002F2A20" w:rsidP="006C624C">
      <w:pPr>
        <w:pStyle w:val="FootnoteText"/>
        <w:tabs>
          <w:tab w:val="left" w:pos="709"/>
        </w:tabs>
        <w:ind w:left="1134" w:right="855" w:hanging="1134"/>
        <w:jc w:val="both"/>
        <w:rPr>
          <w:rFonts w:cs="Arial"/>
          <w:sz w:val="18"/>
          <w:szCs w:val="18"/>
        </w:rPr>
      </w:pPr>
      <w:r>
        <w:rPr>
          <w:sz w:val="16"/>
          <w:szCs w:val="16"/>
        </w:rPr>
        <w:tab/>
      </w:r>
      <w:r w:rsidRPr="006C624C">
        <w:rPr>
          <w:rStyle w:val="FootnoteReference"/>
          <w:sz w:val="18"/>
          <w:szCs w:val="18"/>
        </w:rPr>
        <w:t>5</w:t>
      </w:r>
      <w:r w:rsidR="006C624C">
        <w:rPr>
          <w:rFonts w:cs="Arial"/>
          <w:sz w:val="16"/>
          <w:szCs w:val="16"/>
        </w:rPr>
        <w:t>.</w:t>
      </w:r>
      <w:r w:rsidRPr="00690FF6">
        <w:rPr>
          <w:rFonts w:cs="Arial"/>
          <w:sz w:val="16"/>
          <w:szCs w:val="16"/>
        </w:rPr>
        <w:tab/>
      </w:r>
      <w:r w:rsidRPr="006C624C">
        <w:rPr>
          <w:rFonts w:cs="Arial"/>
          <w:i/>
          <w:iCs/>
          <w:sz w:val="18"/>
          <w:szCs w:val="18"/>
        </w:rPr>
        <w:t xml:space="preserve">Philipps Électronique </w:t>
      </w:r>
      <w:proofErr w:type="spellStart"/>
      <w:r w:rsidRPr="006C624C">
        <w:rPr>
          <w:rFonts w:cs="Arial"/>
          <w:i/>
          <w:iCs/>
          <w:sz w:val="18"/>
          <w:szCs w:val="18"/>
        </w:rPr>
        <w:t>ltée</w:t>
      </w:r>
      <w:proofErr w:type="spellEnd"/>
      <w:r w:rsidRPr="006C624C">
        <w:rPr>
          <w:rFonts w:cs="Arial"/>
          <w:i/>
          <w:iCs/>
          <w:sz w:val="18"/>
          <w:szCs w:val="18"/>
        </w:rPr>
        <w:t xml:space="preserve"> </w:t>
      </w:r>
      <w:r w:rsidRPr="006C624C">
        <w:rPr>
          <w:rFonts w:cs="Arial"/>
          <w:iCs/>
          <w:sz w:val="18"/>
          <w:szCs w:val="18"/>
        </w:rPr>
        <w:t>et</w:t>
      </w:r>
      <w:r w:rsidRPr="006C624C">
        <w:rPr>
          <w:rFonts w:cs="Arial"/>
          <w:i/>
          <w:iCs/>
          <w:sz w:val="18"/>
          <w:szCs w:val="18"/>
        </w:rPr>
        <w:t xml:space="preserve"> Baron Caoutchouc </w:t>
      </w:r>
      <w:proofErr w:type="spellStart"/>
      <w:r w:rsidRPr="006C624C">
        <w:rPr>
          <w:rFonts w:cs="Arial"/>
          <w:i/>
          <w:iCs/>
          <w:sz w:val="18"/>
          <w:szCs w:val="18"/>
        </w:rPr>
        <w:t>ltée</w:t>
      </w:r>
      <w:proofErr w:type="spellEnd"/>
      <w:r w:rsidRPr="006C624C">
        <w:rPr>
          <w:rFonts w:cs="Arial"/>
          <w:i/>
          <w:iCs/>
          <w:sz w:val="18"/>
          <w:szCs w:val="18"/>
        </w:rPr>
        <w:t>,</w:t>
      </w:r>
      <w:r w:rsidRPr="006C624C">
        <w:rPr>
          <w:rFonts w:cs="Arial"/>
          <w:sz w:val="18"/>
          <w:szCs w:val="18"/>
        </w:rPr>
        <w:t xml:space="preserve"> 66210-64-9502, 13 juin 1996, B. Lemay; </w:t>
      </w:r>
      <w:r w:rsidRPr="006C624C">
        <w:rPr>
          <w:rFonts w:cs="Arial"/>
          <w:i/>
          <w:iCs/>
          <w:sz w:val="18"/>
          <w:szCs w:val="18"/>
        </w:rPr>
        <w:t xml:space="preserve">Lemieux </w:t>
      </w:r>
      <w:r w:rsidRPr="006C624C">
        <w:rPr>
          <w:rFonts w:cs="Arial"/>
          <w:iCs/>
          <w:sz w:val="18"/>
          <w:szCs w:val="18"/>
        </w:rPr>
        <w:t>et</w:t>
      </w:r>
      <w:r w:rsidRPr="006C624C">
        <w:rPr>
          <w:rFonts w:cs="Arial"/>
          <w:i/>
          <w:iCs/>
          <w:sz w:val="18"/>
          <w:szCs w:val="18"/>
        </w:rPr>
        <w:t xml:space="preserve"> René G. Paré </w:t>
      </w:r>
      <w:proofErr w:type="spellStart"/>
      <w:r w:rsidRPr="006C624C">
        <w:rPr>
          <w:rFonts w:cs="Arial"/>
          <w:i/>
          <w:iCs/>
          <w:sz w:val="18"/>
          <w:szCs w:val="18"/>
        </w:rPr>
        <w:t>inc.</w:t>
      </w:r>
      <w:proofErr w:type="spellEnd"/>
      <w:r w:rsidRPr="006C624C">
        <w:rPr>
          <w:rFonts w:cs="Arial"/>
          <w:i/>
          <w:iCs/>
          <w:sz w:val="18"/>
          <w:szCs w:val="18"/>
        </w:rPr>
        <w:t>,</w:t>
      </w:r>
      <w:r w:rsidRPr="006C624C">
        <w:rPr>
          <w:rFonts w:cs="Arial"/>
          <w:sz w:val="18"/>
          <w:szCs w:val="18"/>
        </w:rPr>
        <w:t xml:space="preserve"> précitée, note 4, </w:t>
      </w:r>
      <w:proofErr w:type="spellStart"/>
      <w:r w:rsidRPr="006C624C">
        <w:rPr>
          <w:i/>
          <w:iCs/>
          <w:sz w:val="18"/>
          <w:szCs w:val="18"/>
        </w:rPr>
        <w:t>Kolostat</w:t>
      </w:r>
      <w:proofErr w:type="spellEnd"/>
      <w:r w:rsidRPr="006C624C">
        <w:rPr>
          <w:i/>
          <w:iCs/>
          <w:sz w:val="18"/>
          <w:szCs w:val="18"/>
        </w:rPr>
        <w:t xml:space="preserve"> </w:t>
      </w:r>
      <w:proofErr w:type="spellStart"/>
      <w:r w:rsidRPr="006C624C">
        <w:rPr>
          <w:i/>
          <w:iCs/>
          <w:sz w:val="18"/>
          <w:szCs w:val="18"/>
        </w:rPr>
        <w:t>inc</w:t>
      </w:r>
      <w:r w:rsidRPr="006C624C">
        <w:rPr>
          <w:sz w:val="18"/>
          <w:szCs w:val="18"/>
        </w:rPr>
        <w:t>.</w:t>
      </w:r>
      <w:proofErr w:type="spellEnd"/>
      <w:r w:rsidRPr="006C624C">
        <w:rPr>
          <w:sz w:val="18"/>
          <w:szCs w:val="18"/>
        </w:rPr>
        <w:t xml:space="preserve"> et </w:t>
      </w:r>
      <w:r w:rsidRPr="006C624C">
        <w:rPr>
          <w:i/>
          <w:iCs/>
          <w:sz w:val="18"/>
          <w:szCs w:val="18"/>
        </w:rPr>
        <w:t>Thérien</w:t>
      </w:r>
      <w:r w:rsidRPr="006C624C">
        <w:rPr>
          <w:iCs/>
          <w:sz w:val="18"/>
          <w:szCs w:val="18"/>
        </w:rPr>
        <w:t>, [2009] C.L.P. 537;</w:t>
      </w:r>
      <w:r w:rsidRPr="006C624C">
        <w:rPr>
          <w:rFonts w:cs="Arial"/>
          <w:i/>
          <w:iCs/>
          <w:sz w:val="18"/>
          <w:szCs w:val="18"/>
        </w:rPr>
        <w:t xml:space="preserve"> Léonard </w:t>
      </w:r>
      <w:r w:rsidRPr="006C624C">
        <w:rPr>
          <w:rFonts w:cs="Arial"/>
          <w:iCs/>
          <w:sz w:val="18"/>
          <w:szCs w:val="18"/>
        </w:rPr>
        <w:t>et</w:t>
      </w:r>
      <w:r w:rsidRPr="006C624C">
        <w:rPr>
          <w:rFonts w:cs="Arial"/>
          <w:i/>
          <w:iCs/>
          <w:sz w:val="18"/>
          <w:szCs w:val="18"/>
        </w:rPr>
        <w:t xml:space="preserve"> CSSS Antoine-Labelle,</w:t>
      </w:r>
      <w:r w:rsidRPr="006C624C">
        <w:rPr>
          <w:rFonts w:cs="Arial"/>
          <w:sz w:val="18"/>
          <w:szCs w:val="18"/>
        </w:rPr>
        <w:t xml:space="preserve"> 2011 QCCLP 1818, [2010] C.L.P. 894.</w:t>
      </w:r>
    </w:p>
    <w:p w14:paraId="6BD372A1" w14:textId="77777777" w:rsidR="002F2A20" w:rsidRPr="006C624C" w:rsidRDefault="002F2A20" w:rsidP="002F2A20">
      <w:pPr>
        <w:pStyle w:val="citation"/>
        <w:ind w:left="0"/>
        <w:rPr>
          <w:sz w:val="10"/>
          <w:szCs w:val="10"/>
        </w:rPr>
      </w:pPr>
    </w:p>
    <w:p w14:paraId="29E171F8" w14:textId="77777777" w:rsidR="002F2A20" w:rsidRDefault="002F2A20" w:rsidP="002F2A20">
      <w:pPr>
        <w:pStyle w:val="citation"/>
        <w:ind w:left="0"/>
        <w:rPr>
          <w:rFonts w:cs="Arial"/>
        </w:rPr>
      </w:pPr>
      <w:r>
        <w:tab/>
      </w:r>
      <w:r w:rsidR="00805B5D">
        <w:rPr>
          <w:rFonts w:cs="Arial"/>
        </w:rPr>
        <w:t>[</w:t>
      </w:r>
      <w:proofErr w:type="gramStart"/>
      <w:r w:rsidR="00805B5D">
        <w:rPr>
          <w:rFonts w:cs="Arial"/>
        </w:rPr>
        <w:t>n</w:t>
      </w:r>
      <w:r>
        <w:rPr>
          <w:rFonts w:cs="Arial"/>
        </w:rPr>
        <w:t>otre</w:t>
      </w:r>
      <w:proofErr w:type="gramEnd"/>
      <w:r>
        <w:rPr>
          <w:rFonts w:cs="Arial"/>
        </w:rPr>
        <w:t xml:space="preserve"> soulignement]</w:t>
      </w:r>
    </w:p>
    <w:p w14:paraId="48DDF2F6" w14:textId="77777777" w:rsidR="002F2A20" w:rsidRDefault="002F2A20" w:rsidP="002F2A20">
      <w:pPr>
        <w:pStyle w:val="citation"/>
        <w:ind w:left="0"/>
        <w:rPr>
          <w:rFonts w:cs="Arial"/>
        </w:rPr>
      </w:pPr>
    </w:p>
    <w:p w14:paraId="05BEA63B" w14:textId="77777777" w:rsidR="002F2A20" w:rsidRPr="009D0936" w:rsidRDefault="002F2A20" w:rsidP="002F2A20">
      <w:pPr>
        <w:pStyle w:val="citation"/>
        <w:ind w:left="0"/>
      </w:pPr>
    </w:p>
    <w:p w14:paraId="7DFBD742" w14:textId="77777777" w:rsidR="000550DE" w:rsidRDefault="000550DE" w:rsidP="002F2A20">
      <w:pPr>
        <w:pStyle w:val="corpsdedcision"/>
      </w:pPr>
      <w:r>
        <w:lastRenderedPageBreak/>
        <w:t xml:space="preserve">Ce principe est réaffirmé dans l’affaire </w:t>
      </w:r>
      <w:r w:rsidRPr="000550DE">
        <w:rPr>
          <w:i/>
        </w:rPr>
        <w:t>Duval</w:t>
      </w:r>
      <w:r>
        <w:t xml:space="preserve"> et </w:t>
      </w:r>
      <w:r w:rsidRPr="000550DE">
        <w:rPr>
          <w:i/>
        </w:rPr>
        <w:t>Transformateur Pioneer Ltée</w:t>
      </w:r>
      <w:r>
        <w:rPr>
          <w:rStyle w:val="FootnoteReference"/>
          <w:i/>
        </w:rPr>
        <w:footnoteReference w:id="6"/>
      </w:r>
      <w:r>
        <w:rPr>
          <w:i/>
        </w:rPr>
        <w:t> </w:t>
      </w:r>
      <w:r>
        <w:t>:</w:t>
      </w:r>
    </w:p>
    <w:p w14:paraId="417DF729" w14:textId="77777777" w:rsidR="000550DE" w:rsidRDefault="000550DE" w:rsidP="000550DE">
      <w:pPr>
        <w:pStyle w:val="citation"/>
      </w:pPr>
      <w:r>
        <w:rPr>
          <w:rFonts w:cs="Arial"/>
        </w:rPr>
        <w:t>[52]</w:t>
      </w:r>
      <w:r w:rsidR="006C624C">
        <w:rPr>
          <w:rFonts w:cs="Arial"/>
        </w:rPr>
        <w:tab/>
      </w:r>
      <w:r>
        <w:t xml:space="preserve">En effet, à maintes reprises, il a été décidé que la notion de « </w:t>
      </w:r>
      <w:r w:rsidRPr="000D3A50">
        <w:t>bruit excessif</w:t>
      </w:r>
      <w:r>
        <w:t xml:space="preserve"> » retrouvée à l’annexe I ne correspond pas aux normes prévues par le </w:t>
      </w:r>
      <w:r w:rsidRPr="00EC233C">
        <w:t>règlement</w:t>
      </w:r>
      <w:r>
        <w:t xml:space="preserve">, dont celle d’un niveau de bruit continu de 90 dB(A) pendant une durée d’exposition de huit heures par jour, parce que ces normes sont </w:t>
      </w:r>
      <w:r>
        <w:rPr>
          <w:lang w:val="fr-FR"/>
        </w:rPr>
        <w:t>édictées dans un cadre réglementaire ayant un tout autre objet que celui visé par la loi. Selon les tenants de cette position, que partage le soussigné</w:t>
      </w:r>
      <w:r>
        <w:rPr>
          <w:rStyle w:val="FootnoteReference"/>
          <w:lang w:val="fr-FR"/>
        </w:rPr>
        <w:t>1</w:t>
      </w:r>
      <w:r w:rsidRPr="000550DE">
        <w:rPr>
          <w:vertAlign w:val="superscript"/>
        </w:rPr>
        <w:t>0</w:t>
      </w:r>
      <w:r>
        <w:rPr>
          <w:lang w:val="fr-FR"/>
        </w:rPr>
        <w:t xml:space="preserve">, l’objet de la loi étant la réparation des lésions professionnelles et des conséquences qu’elles entraînent, la notion de « </w:t>
      </w:r>
      <w:r w:rsidRPr="000D3A50">
        <w:rPr>
          <w:lang w:val="fr-FR"/>
        </w:rPr>
        <w:t>bruit excessif</w:t>
      </w:r>
      <w:r>
        <w:rPr>
          <w:i/>
          <w:lang w:val="fr-FR"/>
        </w:rPr>
        <w:t xml:space="preserve"> </w:t>
      </w:r>
      <w:r>
        <w:rPr>
          <w:lang w:val="fr-FR"/>
        </w:rPr>
        <w:t>» prévue par celle-ci réfère plutôt à un niveau de bruit qui peut causer une atteinte neurosensorielle, de sorte qu’un niveau inférieur à la norme réglementaire peut, selon le cas, être jugé excessif</w:t>
      </w:r>
      <w:r>
        <w:rPr>
          <w:rStyle w:val="FootnoteReference"/>
          <w:lang w:val="fr-FR"/>
        </w:rPr>
        <w:t>11</w:t>
      </w:r>
      <w:r>
        <w:rPr>
          <w:lang w:val="fr-FR"/>
        </w:rPr>
        <w:t>.</w:t>
      </w:r>
    </w:p>
    <w:p w14:paraId="187FC739" w14:textId="77777777" w:rsidR="000550DE" w:rsidRDefault="006C624C" w:rsidP="000550DE">
      <w:pPr>
        <w:pStyle w:val="citation"/>
      </w:pPr>
      <w:r>
        <w:t>__________</w:t>
      </w:r>
    </w:p>
    <w:p w14:paraId="790A9BB0" w14:textId="77777777" w:rsidR="000550DE" w:rsidRPr="006C624C" w:rsidRDefault="000550DE" w:rsidP="006C624C">
      <w:pPr>
        <w:pStyle w:val="FootnoteText"/>
        <w:tabs>
          <w:tab w:val="left" w:pos="1134"/>
        </w:tabs>
        <w:ind w:left="1134" w:right="713" w:hanging="425"/>
        <w:jc w:val="both"/>
        <w:rPr>
          <w:sz w:val="18"/>
          <w:szCs w:val="18"/>
        </w:rPr>
      </w:pPr>
      <w:r w:rsidRPr="006C624C">
        <w:rPr>
          <w:rStyle w:val="FootnoteReference"/>
          <w:sz w:val="18"/>
          <w:szCs w:val="18"/>
        </w:rPr>
        <w:t>10</w:t>
      </w:r>
      <w:r w:rsidR="006C624C" w:rsidRPr="006E5F92">
        <w:rPr>
          <w:sz w:val="18"/>
          <w:szCs w:val="18"/>
          <w:vertAlign w:val="superscript"/>
        </w:rPr>
        <w:t>.</w:t>
      </w:r>
      <w:r w:rsidRPr="006C624C">
        <w:rPr>
          <w:sz w:val="18"/>
          <w:szCs w:val="18"/>
        </w:rPr>
        <w:tab/>
      </w:r>
      <w:r w:rsidRPr="006C624C">
        <w:rPr>
          <w:i/>
          <w:sz w:val="18"/>
          <w:szCs w:val="18"/>
        </w:rPr>
        <w:t>Gauthier</w:t>
      </w:r>
      <w:r w:rsidRPr="006C624C">
        <w:rPr>
          <w:sz w:val="18"/>
          <w:szCs w:val="18"/>
        </w:rPr>
        <w:t xml:space="preserve"> et </w:t>
      </w:r>
      <w:r w:rsidRPr="006C624C">
        <w:rPr>
          <w:i/>
          <w:sz w:val="18"/>
          <w:szCs w:val="18"/>
        </w:rPr>
        <w:t xml:space="preserve">Entreprises Construction </w:t>
      </w:r>
      <w:proofErr w:type="spellStart"/>
      <w:r w:rsidRPr="006C624C">
        <w:rPr>
          <w:i/>
          <w:sz w:val="18"/>
          <w:szCs w:val="18"/>
        </w:rPr>
        <w:t>Refrabec</w:t>
      </w:r>
      <w:proofErr w:type="spellEnd"/>
      <w:r w:rsidRPr="006C624C">
        <w:rPr>
          <w:i/>
          <w:sz w:val="18"/>
          <w:szCs w:val="18"/>
        </w:rPr>
        <w:t xml:space="preserve"> </w:t>
      </w:r>
      <w:proofErr w:type="spellStart"/>
      <w:r w:rsidRPr="006C624C">
        <w:rPr>
          <w:i/>
          <w:sz w:val="18"/>
          <w:szCs w:val="18"/>
        </w:rPr>
        <w:t>inc</w:t>
      </w:r>
      <w:r w:rsidRPr="006C624C">
        <w:rPr>
          <w:sz w:val="18"/>
          <w:szCs w:val="18"/>
        </w:rPr>
        <w:t>.</w:t>
      </w:r>
      <w:proofErr w:type="spellEnd"/>
      <w:r w:rsidRPr="006C624C">
        <w:rPr>
          <w:sz w:val="18"/>
          <w:szCs w:val="18"/>
        </w:rPr>
        <w:t>, C.L.P. 371169-62B-0902, 12 avril 2010, M.</w:t>
      </w:r>
      <w:r w:rsidR="006C624C">
        <w:rPr>
          <w:sz w:val="18"/>
          <w:szCs w:val="18"/>
        </w:rPr>
        <w:t> </w:t>
      </w:r>
      <w:r w:rsidRPr="006C624C">
        <w:rPr>
          <w:sz w:val="18"/>
          <w:szCs w:val="18"/>
        </w:rPr>
        <w:t>Watkins.</w:t>
      </w:r>
    </w:p>
    <w:p w14:paraId="2703A1CE" w14:textId="77777777" w:rsidR="000550DE" w:rsidRPr="006C624C" w:rsidRDefault="000550DE" w:rsidP="006C624C">
      <w:pPr>
        <w:pStyle w:val="citation"/>
        <w:tabs>
          <w:tab w:val="left" w:pos="1134"/>
        </w:tabs>
        <w:ind w:left="1134" w:right="713" w:hanging="425"/>
        <w:rPr>
          <w:sz w:val="18"/>
          <w:szCs w:val="18"/>
        </w:rPr>
      </w:pPr>
      <w:r w:rsidRPr="006C624C">
        <w:rPr>
          <w:rStyle w:val="FootnoteReference"/>
          <w:sz w:val="18"/>
          <w:szCs w:val="18"/>
        </w:rPr>
        <w:t>11</w:t>
      </w:r>
      <w:r w:rsidR="006C624C" w:rsidRPr="006E5F92">
        <w:rPr>
          <w:sz w:val="18"/>
          <w:szCs w:val="18"/>
          <w:vertAlign w:val="superscript"/>
        </w:rPr>
        <w:t>.</w:t>
      </w:r>
      <w:r w:rsidRPr="006C624C">
        <w:rPr>
          <w:sz w:val="18"/>
          <w:szCs w:val="18"/>
        </w:rPr>
        <w:tab/>
      </w:r>
      <w:r w:rsidRPr="006C624C">
        <w:rPr>
          <w:i/>
          <w:sz w:val="18"/>
          <w:szCs w:val="18"/>
        </w:rPr>
        <w:t xml:space="preserve">Rondeau </w:t>
      </w:r>
      <w:r w:rsidRPr="006C624C">
        <w:rPr>
          <w:sz w:val="18"/>
          <w:szCs w:val="18"/>
        </w:rPr>
        <w:t>et</w:t>
      </w:r>
      <w:r w:rsidRPr="006C624C">
        <w:rPr>
          <w:i/>
          <w:sz w:val="18"/>
          <w:szCs w:val="18"/>
        </w:rPr>
        <w:t xml:space="preserve"> Bow Plastiques </w:t>
      </w:r>
      <w:proofErr w:type="spellStart"/>
      <w:r w:rsidRPr="006C624C">
        <w:rPr>
          <w:i/>
          <w:sz w:val="18"/>
          <w:szCs w:val="18"/>
        </w:rPr>
        <w:t>ltée</w:t>
      </w:r>
      <w:proofErr w:type="spellEnd"/>
      <w:r w:rsidRPr="006C624C">
        <w:rPr>
          <w:sz w:val="18"/>
          <w:szCs w:val="18"/>
        </w:rPr>
        <w:t xml:space="preserve">, C.A.L.P. 29574-62B-9106, 16 décembre 1992, J. L’Heureux; </w:t>
      </w:r>
      <w:r w:rsidRPr="006C624C">
        <w:rPr>
          <w:i/>
          <w:sz w:val="18"/>
          <w:szCs w:val="18"/>
        </w:rPr>
        <w:t xml:space="preserve">J. Sirois Électrique </w:t>
      </w:r>
      <w:proofErr w:type="spellStart"/>
      <w:r w:rsidRPr="006C624C">
        <w:rPr>
          <w:i/>
          <w:sz w:val="18"/>
          <w:szCs w:val="18"/>
        </w:rPr>
        <w:t>inc.</w:t>
      </w:r>
      <w:proofErr w:type="spellEnd"/>
      <w:r w:rsidRPr="006C624C">
        <w:rPr>
          <w:i/>
          <w:sz w:val="18"/>
          <w:szCs w:val="18"/>
        </w:rPr>
        <w:t xml:space="preserve"> </w:t>
      </w:r>
      <w:r w:rsidRPr="006C624C">
        <w:rPr>
          <w:sz w:val="18"/>
          <w:szCs w:val="18"/>
        </w:rPr>
        <w:t>et</w:t>
      </w:r>
      <w:r w:rsidRPr="006C624C">
        <w:rPr>
          <w:i/>
          <w:sz w:val="18"/>
          <w:szCs w:val="18"/>
        </w:rPr>
        <w:t xml:space="preserve"> Blackburn</w:t>
      </w:r>
      <w:r w:rsidRPr="006C624C">
        <w:rPr>
          <w:sz w:val="18"/>
          <w:szCs w:val="18"/>
        </w:rPr>
        <w:t xml:space="preserve">, C.A.L.P. 73829-02-9510, 15 octobre 1996, M. Carignan; </w:t>
      </w:r>
      <w:r w:rsidRPr="006C624C">
        <w:rPr>
          <w:i/>
          <w:sz w:val="18"/>
          <w:szCs w:val="18"/>
        </w:rPr>
        <w:t xml:space="preserve">Bond </w:t>
      </w:r>
      <w:r w:rsidRPr="006C624C">
        <w:rPr>
          <w:sz w:val="18"/>
          <w:szCs w:val="18"/>
        </w:rPr>
        <w:t>et</w:t>
      </w:r>
      <w:r w:rsidRPr="006C624C">
        <w:rPr>
          <w:i/>
          <w:sz w:val="18"/>
          <w:szCs w:val="18"/>
        </w:rPr>
        <w:t xml:space="preserve"> BG Checo </w:t>
      </w:r>
      <w:proofErr w:type="spellStart"/>
      <w:r w:rsidRPr="006C624C">
        <w:rPr>
          <w:i/>
          <w:sz w:val="18"/>
          <w:szCs w:val="18"/>
        </w:rPr>
        <w:t>inc.</w:t>
      </w:r>
      <w:proofErr w:type="spellEnd"/>
      <w:r w:rsidRPr="006C624C">
        <w:rPr>
          <w:sz w:val="18"/>
          <w:szCs w:val="18"/>
        </w:rPr>
        <w:t xml:space="preserve">, [1999] C.L.P. 270; </w:t>
      </w:r>
      <w:r w:rsidRPr="006C624C">
        <w:rPr>
          <w:i/>
          <w:sz w:val="18"/>
          <w:szCs w:val="18"/>
        </w:rPr>
        <w:t xml:space="preserve">Nguyen </w:t>
      </w:r>
      <w:r w:rsidRPr="006C624C">
        <w:rPr>
          <w:sz w:val="18"/>
          <w:szCs w:val="18"/>
        </w:rPr>
        <w:t>et</w:t>
      </w:r>
      <w:r w:rsidRPr="006C624C">
        <w:rPr>
          <w:i/>
          <w:sz w:val="18"/>
          <w:szCs w:val="18"/>
        </w:rPr>
        <w:t xml:space="preserve"> Bombardier </w:t>
      </w:r>
      <w:proofErr w:type="spellStart"/>
      <w:r w:rsidRPr="006C624C">
        <w:rPr>
          <w:i/>
          <w:sz w:val="18"/>
          <w:szCs w:val="18"/>
        </w:rPr>
        <w:t>inc.</w:t>
      </w:r>
      <w:proofErr w:type="spellEnd"/>
      <w:r w:rsidRPr="006C624C">
        <w:rPr>
          <w:sz w:val="18"/>
          <w:szCs w:val="18"/>
        </w:rPr>
        <w:t xml:space="preserve">, C.L.P. 109185-71-9801, 20 décembre 1999, D. Lévesque; </w:t>
      </w:r>
      <w:proofErr w:type="spellStart"/>
      <w:r w:rsidRPr="006C624C">
        <w:rPr>
          <w:i/>
          <w:sz w:val="18"/>
          <w:szCs w:val="18"/>
        </w:rPr>
        <w:t>Lechasseur</w:t>
      </w:r>
      <w:proofErr w:type="spellEnd"/>
      <w:r w:rsidRPr="006C624C">
        <w:rPr>
          <w:i/>
          <w:sz w:val="18"/>
          <w:szCs w:val="18"/>
        </w:rPr>
        <w:t xml:space="preserve"> </w:t>
      </w:r>
      <w:r w:rsidRPr="006C624C">
        <w:rPr>
          <w:sz w:val="18"/>
          <w:szCs w:val="18"/>
        </w:rPr>
        <w:t>et</w:t>
      </w:r>
      <w:r w:rsidRPr="006C624C">
        <w:rPr>
          <w:i/>
          <w:sz w:val="18"/>
          <w:szCs w:val="18"/>
        </w:rPr>
        <w:t xml:space="preserve"> General Motors du Canada </w:t>
      </w:r>
      <w:proofErr w:type="spellStart"/>
      <w:r w:rsidRPr="006C624C">
        <w:rPr>
          <w:i/>
          <w:sz w:val="18"/>
          <w:szCs w:val="18"/>
        </w:rPr>
        <w:t>ltée</w:t>
      </w:r>
      <w:proofErr w:type="spellEnd"/>
      <w:r w:rsidRPr="006C624C">
        <w:rPr>
          <w:sz w:val="18"/>
          <w:szCs w:val="18"/>
        </w:rPr>
        <w:t>, C.L.P. 130674</w:t>
      </w:r>
      <w:r w:rsidRPr="006C624C">
        <w:rPr>
          <w:sz w:val="18"/>
          <w:szCs w:val="18"/>
        </w:rPr>
        <w:noBreakHyphen/>
        <w:t>64-0001, 4 avril 2002, T. Demers;</w:t>
      </w:r>
      <w:r w:rsidRPr="006C624C">
        <w:rPr>
          <w:i/>
          <w:sz w:val="18"/>
          <w:szCs w:val="18"/>
        </w:rPr>
        <w:t xml:space="preserve"> Lemieux</w:t>
      </w:r>
      <w:r w:rsidRPr="006C624C">
        <w:rPr>
          <w:sz w:val="18"/>
          <w:szCs w:val="18"/>
        </w:rPr>
        <w:t xml:space="preserve"> et </w:t>
      </w:r>
      <w:r w:rsidRPr="006C624C">
        <w:rPr>
          <w:i/>
          <w:sz w:val="18"/>
          <w:szCs w:val="18"/>
        </w:rPr>
        <w:t xml:space="preserve">René G. Paré </w:t>
      </w:r>
      <w:proofErr w:type="spellStart"/>
      <w:r w:rsidRPr="006C624C">
        <w:rPr>
          <w:i/>
          <w:sz w:val="18"/>
          <w:szCs w:val="18"/>
        </w:rPr>
        <w:t>inc</w:t>
      </w:r>
      <w:r w:rsidRPr="006C624C">
        <w:rPr>
          <w:sz w:val="18"/>
          <w:szCs w:val="18"/>
        </w:rPr>
        <w:t>.</w:t>
      </w:r>
      <w:proofErr w:type="spellEnd"/>
      <w:r w:rsidRPr="006C624C">
        <w:rPr>
          <w:sz w:val="18"/>
          <w:szCs w:val="18"/>
        </w:rPr>
        <w:t>, précitée, note 7.</w:t>
      </w:r>
    </w:p>
    <w:p w14:paraId="516320D8" w14:textId="77777777" w:rsidR="000550DE" w:rsidRDefault="000550DE" w:rsidP="000550DE">
      <w:pPr>
        <w:pStyle w:val="citation"/>
      </w:pPr>
    </w:p>
    <w:p w14:paraId="62EFE378" w14:textId="77777777" w:rsidR="006E5F92" w:rsidRDefault="006E5F92" w:rsidP="000550DE">
      <w:pPr>
        <w:pStyle w:val="citation"/>
      </w:pPr>
    </w:p>
    <w:p w14:paraId="27F66D1A" w14:textId="77777777" w:rsidR="009C7F07" w:rsidRDefault="00446D36" w:rsidP="002F2A20">
      <w:pPr>
        <w:pStyle w:val="corpsdedcision"/>
      </w:pPr>
      <w:proofErr w:type="gramStart"/>
      <w:r>
        <w:t>Ceci étant</w:t>
      </w:r>
      <w:proofErr w:type="gramEnd"/>
      <w:r w:rsidR="002F2A20">
        <w:t>, lorsqu’il y a preuve prépon</w:t>
      </w:r>
      <w:r w:rsidR="000841C7">
        <w:t>dérante d’une atteinte auditive</w:t>
      </w:r>
      <w:r w:rsidR="002F2A20">
        <w:t xml:space="preserve"> causée par le bruit et que le </w:t>
      </w:r>
      <w:r w:rsidR="002F2A20" w:rsidRPr="001F4FEB">
        <w:t>travail</w:t>
      </w:r>
      <w:r w:rsidR="002F2A20">
        <w:t xml:space="preserve"> </w:t>
      </w:r>
      <w:r>
        <w:t xml:space="preserve">en cause </w:t>
      </w:r>
      <w:r w:rsidR="002F2A20">
        <w:t>implique une exposition à un bruit excessif</w:t>
      </w:r>
      <w:r w:rsidR="00272AD3">
        <w:t xml:space="preserve"> (qui peut causer une atteinte neurosensorielle)</w:t>
      </w:r>
      <w:r w:rsidR="002F2A20">
        <w:t xml:space="preserve">, </w:t>
      </w:r>
      <w:r w:rsidR="009C7F07">
        <w:t>l’on</w:t>
      </w:r>
      <w:r w:rsidR="00BF00F2">
        <w:t xml:space="preserve"> </w:t>
      </w:r>
      <w:r w:rsidR="008C29C4">
        <w:t xml:space="preserve">peut </w:t>
      </w:r>
      <w:r w:rsidR="00BF00F2">
        <w:t>présume</w:t>
      </w:r>
      <w:r w:rsidR="008C29C4">
        <w:t>r</w:t>
      </w:r>
      <w:r w:rsidR="00BF00F2">
        <w:t xml:space="preserve"> </w:t>
      </w:r>
      <w:r w:rsidR="008C29C4">
        <w:t xml:space="preserve">que le </w:t>
      </w:r>
      <w:r w:rsidR="008C29C4" w:rsidRPr="001F4FEB">
        <w:t>travailleur</w:t>
      </w:r>
      <w:r w:rsidR="008C29C4">
        <w:t xml:space="preserve"> </w:t>
      </w:r>
      <w:r w:rsidR="00BF00F2">
        <w:t>est atteint</w:t>
      </w:r>
      <w:r w:rsidR="009C7F07">
        <w:t xml:space="preserve"> d’une </w:t>
      </w:r>
      <w:r w:rsidR="008C29C4">
        <w:t>maladie professionnelle. Il</w:t>
      </w:r>
      <w:r w:rsidR="009C7F07">
        <w:t xml:space="preserve"> appartient alors à l’</w:t>
      </w:r>
      <w:r w:rsidR="009C7F07" w:rsidRPr="001F4FEB">
        <w:t>employeur</w:t>
      </w:r>
      <w:r w:rsidR="009C7F07">
        <w:t xml:space="preserve"> de renverser cette présomption.</w:t>
      </w:r>
    </w:p>
    <w:p w14:paraId="33C4579C" w14:textId="77777777" w:rsidR="009C7F07" w:rsidRDefault="009C7F07" w:rsidP="009C7F07">
      <w:pPr>
        <w:pStyle w:val="corpsdedcision"/>
      </w:pPr>
      <w:r>
        <w:t>Pour effectuer un tel renversement,</w:t>
      </w:r>
      <w:r w:rsidR="00DE462C">
        <w:t xml:space="preserve"> l’</w:t>
      </w:r>
      <w:r w:rsidR="00DE462C" w:rsidRPr="001F4FEB">
        <w:t>employeur</w:t>
      </w:r>
      <w:r w:rsidR="00DE462C">
        <w:t xml:space="preserve"> doit démontrer l’absence de relation </w:t>
      </w:r>
      <w:r w:rsidR="000550DE">
        <w:t xml:space="preserve">probable </w:t>
      </w:r>
      <w:r w:rsidR="00DE462C">
        <w:t>entre la maladie et le travail</w:t>
      </w:r>
      <w:r w:rsidR="00DE462C">
        <w:rPr>
          <w:rStyle w:val="FootnoteReference"/>
        </w:rPr>
        <w:footnoteReference w:id="7"/>
      </w:r>
      <w:r w:rsidR="000550DE">
        <w:t xml:space="preserve">, sans par ailleurs être tenu de prouver la cause probable de </w:t>
      </w:r>
      <w:r w:rsidR="003D2001">
        <w:t>cette</w:t>
      </w:r>
      <w:r w:rsidR="000550DE">
        <w:t xml:space="preserve"> maladie</w:t>
      </w:r>
      <w:r w:rsidR="00DE462C">
        <w:t xml:space="preserve">. Dans la cause sous étude, cela peut se traduire par une preuve prépondérante que l’atteinte auditive n’a pas été causée par une exposition au bruit. Il peut être </w:t>
      </w:r>
      <w:r w:rsidR="00BF00F2">
        <w:t>aussi</w:t>
      </w:r>
      <w:r w:rsidR="00DE462C">
        <w:t xml:space="preserve"> question du fait que le nombre d’années d’exposition ou le degré d’exposition au bruit s’avère insuffisant pour causer </w:t>
      </w:r>
      <w:r w:rsidR="00446D36">
        <w:t>l’atteinte auditive</w:t>
      </w:r>
      <w:r w:rsidR="003D2001">
        <w:t xml:space="preserve"> observée</w:t>
      </w:r>
      <w:r w:rsidR="00DE462C">
        <w:t>.</w:t>
      </w:r>
    </w:p>
    <w:p w14:paraId="0E61DB5C" w14:textId="77777777" w:rsidR="009C7F07" w:rsidRDefault="00056863" w:rsidP="003D2001">
      <w:pPr>
        <w:pStyle w:val="corpsdedcision"/>
      </w:pPr>
      <w:r>
        <w:t>Enfin,</w:t>
      </w:r>
      <w:r w:rsidR="008C29C4">
        <w:t xml:space="preserve"> c</w:t>
      </w:r>
      <w:r w:rsidR="0097611E">
        <w:t xml:space="preserve">omme le rappelle la </w:t>
      </w:r>
      <w:r w:rsidR="0097611E" w:rsidRPr="001F4FEB">
        <w:t>Commission des lésions professionnelles</w:t>
      </w:r>
      <w:r w:rsidR="0097611E">
        <w:t xml:space="preserve"> dans sa décision </w:t>
      </w:r>
      <w:r w:rsidR="008C57D6">
        <w:t xml:space="preserve">récente </w:t>
      </w:r>
      <w:r w:rsidR="008C57D6" w:rsidRPr="003D2001">
        <w:rPr>
          <w:i/>
        </w:rPr>
        <w:t>Lajeunesse</w:t>
      </w:r>
      <w:r w:rsidR="008C57D6">
        <w:t xml:space="preserve"> et </w:t>
      </w:r>
      <w:r w:rsidR="008C57D6" w:rsidRPr="003D2001">
        <w:rPr>
          <w:i/>
        </w:rPr>
        <w:t>Entreprise Conjointe Pichette Lambert</w:t>
      </w:r>
      <w:r w:rsidR="008C57D6">
        <w:rPr>
          <w:rStyle w:val="FootnoteReference"/>
          <w:i/>
        </w:rPr>
        <w:footnoteReference w:id="8"/>
      </w:r>
      <w:r w:rsidR="008C57D6">
        <w:t>,</w:t>
      </w:r>
      <w:r w:rsidR="0097611E">
        <w:t xml:space="preserve"> e</w:t>
      </w:r>
      <w:r w:rsidR="0097611E" w:rsidRPr="00656D76">
        <w:t xml:space="preserve">n l’absence de </w:t>
      </w:r>
      <w:r w:rsidR="0097611E">
        <w:t xml:space="preserve">l’application de la présomption de </w:t>
      </w:r>
      <w:r w:rsidR="0097611E" w:rsidRPr="001F4FEB">
        <w:t>maladie professionnelle</w:t>
      </w:r>
      <w:r w:rsidR="0097611E" w:rsidRPr="00656D76">
        <w:t xml:space="preserve">, il revient au travailleur de démontrer, par une preuve prépondérante, </w:t>
      </w:r>
      <w:r w:rsidR="0097611E">
        <w:t>l’une ou l’autre des situations prévues à l’article 30 de la loi </w:t>
      </w:r>
      <w:r w:rsidR="009C7F07">
        <w:t>:</w:t>
      </w:r>
    </w:p>
    <w:p w14:paraId="5B290A2C" w14:textId="77777777" w:rsidR="009C7F07" w:rsidRDefault="009C7F07">
      <w:pPr>
        <w:pStyle w:val="articlesdelaLATMP"/>
      </w:pPr>
      <w:r w:rsidRPr="00977E47">
        <w:rPr>
          <w:b/>
        </w:rPr>
        <w:t>30.</w:t>
      </w:r>
      <w:r>
        <w:t xml:space="preserve">  Le travailleur atteint d'une maladie non prévue par l'annexe I, contractée par le fait ou à l'occasion du travail et qui ne résulte pas d'un accident du travail ni d'une blessure ou d'une maladie causée par un tel accident est considéré atteint d'une maladie </w:t>
      </w:r>
      <w:r>
        <w:lastRenderedPageBreak/>
        <w:t>professionnelle s'il démontre à la Commission que sa maladie est caractéristique d'un travail qu'il a exercé ou qu'elle est reliée directement aux risques particuliers de ce travail.</w:t>
      </w:r>
    </w:p>
    <w:p w14:paraId="50782B33" w14:textId="77777777" w:rsidR="009C7F07" w:rsidRDefault="009C7F07">
      <w:pPr>
        <w:pStyle w:val="articlesdelaLATMP"/>
      </w:pPr>
      <w:r>
        <w:t>__________</w:t>
      </w:r>
    </w:p>
    <w:p w14:paraId="2D1E2EFA" w14:textId="77777777" w:rsidR="009C7F07" w:rsidRDefault="009C7F07">
      <w:pPr>
        <w:pStyle w:val="articlesdelaLATMP"/>
      </w:pPr>
      <w:r>
        <w:t>1985, c. 6, a. 30.</w:t>
      </w:r>
    </w:p>
    <w:p w14:paraId="79FCF26D" w14:textId="77777777" w:rsidR="009C7F07" w:rsidRDefault="009C7F07">
      <w:pPr>
        <w:pStyle w:val="articlesdelaLATMP"/>
      </w:pPr>
    </w:p>
    <w:p w14:paraId="77ED35FB" w14:textId="77777777" w:rsidR="009C7F07" w:rsidRDefault="009C7F07">
      <w:pPr>
        <w:pStyle w:val="articlesdelaLATMP"/>
      </w:pPr>
    </w:p>
    <w:p w14:paraId="623CDE16" w14:textId="77777777" w:rsidR="009C7F07" w:rsidRDefault="009C7F07" w:rsidP="009C7F07">
      <w:pPr>
        <w:pStyle w:val="corpsdedcision"/>
      </w:pPr>
      <w:r>
        <w:t xml:space="preserve">Il appartient alors au </w:t>
      </w:r>
      <w:r w:rsidRPr="001F4FEB">
        <w:t>travailleur</w:t>
      </w:r>
      <w:r>
        <w:t xml:space="preserve"> de démontrer, par une preuve prépondérante, que sa maladie est caractéristique de son travail ou qu’elle est reliée directement aux risques particuliers de ce travail.</w:t>
      </w:r>
    </w:p>
    <w:p w14:paraId="5420CE3A" w14:textId="77777777" w:rsidR="008863D0" w:rsidRDefault="008863D0" w:rsidP="008863D0">
      <w:pPr>
        <w:pStyle w:val="corpsdedcision"/>
      </w:pPr>
      <w:r>
        <w:t>Qu’en est-il dans le présent dossier?</w:t>
      </w:r>
    </w:p>
    <w:p w14:paraId="099477EA" w14:textId="77777777" w:rsidR="00DD2700" w:rsidRDefault="00DD2700" w:rsidP="00DD2700">
      <w:pPr>
        <w:pStyle w:val="corpsdedcision"/>
      </w:pPr>
      <w:r>
        <w:t xml:space="preserve">Le </w:t>
      </w:r>
      <w:r w:rsidRPr="00A72CF6">
        <w:t>travailleur</w:t>
      </w:r>
      <w:r>
        <w:t xml:space="preserve"> présente une atteinte auditive, laquelle est objectivée par les audiogrammes de mai 2012 et septembre 2013. Les docteurs Roy et Bertrand, de même que </w:t>
      </w:r>
      <w:r w:rsidR="005A7F3A" w:rsidRPr="001F4FEB">
        <w:t>monsieur</w:t>
      </w:r>
      <w:r w:rsidR="005A7F3A">
        <w:t xml:space="preserve"> Leroux</w:t>
      </w:r>
      <w:r>
        <w:t>, confirment cette atteinte auditive.</w:t>
      </w:r>
    </w:p>
    <w:p w14:paraId="1FC9149E" w14:textId="77777777" w:rsidR="00FE0186" w:rsidRDefault="00DD2700" w:rsidP="00DD2700">
      <w:pPr>
        <w:pStyle w:val="corpsdedcision"/>
      </w:pPr>
      <w:r>
        <w:t>Les</w:t>
      </w:r>
      <w:r w:rsidR="00FF5968">
        <w:t xml:space="preserve"> deux experts s’entendent pour qualifier l’atteinte auditive de neurosensorielle, bilatérale et symétrique et </w:t>
      </w:r>
      <w:r w:rsidR="00A34E0E">
        <w:t xml:space="preserve">qu’elle s’avère </w:t>
      </w:r>
      <w:r w:rsidR="00FF5968">
        <w:t>plus importante dans les hautes fréquences.</w:t>
      </w:r>
      <w:r w:rsidR="0022064A">
        <w:t xml:space="preserve"> </w:t>
      </w:r>
      <w:r w:rsidR="00B02373">
        <w:t>De tels éléments sont généralement reconnus comme</w:t>
      </w:r>
      <w:r w:rsidR="0022064A">
        <w:t xml:space="preserve"> caractéristiques d’une atteinte causée par le bruit. </w:t>
      </w:r>
    </w:p>
    <w:p w14:paraId="0028A541" w14:textId="77777777" w:rsidR="00B02373" w:rsidRDefault="0022064A" w:rsidP="00F3276A">
      <w:pPr>
        <w:pStyle w:val="corpsdedcision"/>
      </w:pPr>
      <w:r>
        <w:t xml:space="preserve">Une autre caractéristique habituellement </w:t>
      </w:r>
      <w:r w:rsidR="00B02373">
        <w:t>recherchée</w:t>
      </w:r>
      <w:r>
        <w:t xml:space="preserve"> est la présence d’une encoche autour de 4000 Hz avec remontée à 8000 Hz. </w:t>
      </w:r>
    </w:p>
    <w:p w14:paraId="32585667" w14:textId="77777777" w:rsidR="00B02373" w:rsidRDefault="00B02373" w:rsidP="00F3276A">
      <w:pPr>
        <w:pStyle w:val="corpsdedcision"/>
      </w:pPr>
      <w:r>
        <w:t xml:space="preserve">Dans le présent </w:t>
      </w:r>
      <w:proofErr w:type="gramStart"/>
      <w:r>
        <w:t xml:space="preserve">dossier, </w:t>
      </w:r>
      <w:r w:rsidR="0022064A">
        <w:t xml:space="preserve"> </w:t>
      </w:r>
      <w:r>
        <w:t>les</w:t>
      </w:r>
      <w:proofErr w:type="gramEnd"/>
      <w:r>
        <w:t xml:space="preserve"> deux experts</w:t>
      </w:r>
      <w:r w:rsidR="0022064A">
        <w:t xml:space="preserve"> </w:t>
      </w:r>
      <w:r>
        <w:t>constatent</w:t>
      </w:r>
      <w:r w:rsidR="0022064A">
        <w:t xml:space="preserve"> </w:t>
      </w:r>
      <w:r>
        <w:t>que</w:t>
      </w:r>
      <w:r w:rsidR="0022064A">
        <w:t xml:space="preserve"> cette encoche est </w:t>
      </w:r>
      <w:r>
        <w:t>peu perceptible, sinon absente</w:t>
      </w:r>
      <w:r w:rsidR="0022064A">
        <w:t xml:space="preserve">. </w:t>
      </w:r>
    </w:p>
    <w:p w14:paraId="01F77235" w14:textId="77777777" w:rsidR="00FE0186" w:rsidRDefault="00A34E0E" w:rsidP="00A34E0E">
      <w:pPr>
        <w:pStyle w:val="corpsdedcision"/>
      </w:pPr>
      <w:r>
        <w:t>Dans</w:t>
      </w:r>
      <w:r w:rsidR="009508A2">
        <w:t xml:space="preserve"> </w:t>
      </w:r>
      <w:r>
        <w:t>l’</w:t>
      </w:r>
      <w:r w:rsidR="009508A2">
        <w:t>avis de</w:t>
      </w:r>
      <w:r w:rsidR="00DD2700">
        <w:t xml:space="preserve"> l’ACOEM </w:t>
      </w:r>
      <w:r>
        <w:t xml:space="preserve">déposé par le docteur Bertrand, il est effectivement fait mention de cette encoche, habituellement présente à 4000 Hz. Cependant, dans le même avis, il est également fait mention que cette encoche peut s’estomper avec l’âge, </w:t>
      </w:r>
      <w:proofErr w:type="gramStart"/>
      <w:r>
        <w:t xml:space="preserve">rendant </w:t>
      </w:r>
      <w:r w:rsidR="009508A2">
        <w:t xml:space="preserve"> difficile</w:t>
      </w:r>
      <w:proofErr w:type="gramEnd"/>
      <w:r w:rsidR="009508A2">
        <w:t xml:space="preserve"> de déterminer si cette surdité est due au bruit ou à l’effet d’âge (presbyacousie)</w:t>
      </w:r>
      <w:r w:rsidR="00FE0186">
        <w:t xml:space="preserve">. </w:t>
      </w:r>
      <w:r w:rsidRPr="001F4FEB">
        <w:t>Monsieur</w:t>
      </w:r>
      <w:r>
        <w:t xml:space="preserve"> Leroux souligne d’ailleurs cette difficulté</w:t>
      </w:r>
      <w:r w:rsidR="00FE0186">
        <w:t>.</w:t>
      </w:r>
    </w:p>
    <w:p w14:paraId="0CE51361" w14:textId="77777777" w:rsidR="00E27654" w:rsidRDefault="00E27654" w:rsidP="00E27654">
      <w:pPr>
        <w:pStyle w:val="corpsdedcision"/>
        <w:tabs>
          <w:tab w:val="clear" w:pos="360"/>
          <w:tab w:val="num" w:pos="720"/>
        </w:tabs>
      </w:pPr>
      <w:r>
        <w:t xml:space="preserve">Sur cet aspect, il convient de revenir à la décision de la </w:t>
      </w:r>
      <w:r w:rsidRPr="001F4FEB">
        <w:t>Commission des lésions professionnelles</w:t>
      </w:r>
      <w:r>
        <w:t xml:space="preserve"> rendue dans l’affaire </w:t>
      </w:r>
      <w:r w:rsidRPr="00E27654">
        <w:rPr>
          <w:i/>
        </w:rPr>
        <w:t>Duval</w:t>
      </w:r>
      <w:r>
        <w:t xml:space="preserve"> et </w:t>
      </w:r>
      <w:r w:rsidRPr="00E27654">
        <w:rPr>
          <w:i/>
        </w:rPr>
        <w:t>Transformateur Pioneer</w:t>
      </w:r>
      <w:r>
        <w:t>, dans laquelle il est fait mention que :</w:t>
      </w:r>
    </w:p>
    <w:p w14:paraId="4B252597" w14:textId="77777777" w:rsidR="00E27654" w:rsidRDefault="00E27654" w:rsidP="00E27654">
      <w:pPr>
        <w:pStyle w:val="citation"/>
        <w:rPr>
          <w:rFonts w:cs="Arial"/>
        </w:rPr>
      </w:pPr>
      <w:r>
        <w:rPr>
          <w:rFonts w:cs="Arial"/>
        </w:rPr>
        <w:t>[48]</w:t>
      </w:r>
      <w:r w:rsidR="004E0867">
        <w:rPr>
          <w:rFonts w:cs="Arial"/>
        </w:rPr>
        <w:tab/>
      </w:r>
      <w:r>
        <w:t>Le tribunal est par ailleurs d’avis que la légère asymétrie des courbes de l’oreille droite par rapport à la gauche, notée aux audiogrammes, n’exclut</w:t>
      </w:r>
      <w:r w:rsidRPr="00EF3EC4">
        <w:t xml:space="preserve"> pas le diagnostic de surdité professionnelle</w:t>
      </w:r>
      <w:r>
        <w:t>. Comme l’a d’ailleurs reconnu la jurisprudence,</w:t>
      </w:r>
      <w:r w:rsidRPr="00EF3EC4">
        <w:rPr>
          <w:rFonts w:cs="Arial"/>
        </w:rPr>
        <w:t xml:space="preserve"> </w:t>
      </w:r>
      <w:r>
        <w:rPr>
          <w:rFonts w:cs="Arial"/>
        </w:rPr>
        <w:t xml:space="preserve">la présence d’une encoche à la fréquence des 4 000 Hz ne saurait cependant </w:t>
      </w:r>
      <w:r w:rsidRPr="00161FF1">
        <w:rPr>
          <w:rFonts w:cs="Arial"/>
        </w:rPr>
        <w:t>à elle seule</w:t>
      </w:r>
      <w:r>
        <w:rPr>
          <w:rFonts w:cs="Arial"/>
        </w:rPr>
        <w:t xml:space="preserve"> constituer une caractéristique nécessaire à l’émission d’un diagnostic de surdité professionnelle. Il y a lieu </w:t>
      </w:r>
      <w:r w:rsidRPr="00161FF1">
        <w:rPr>
          <w:rFonts w:cs="Arial"/>
        </w:rPr>
        <w:t>également de tenir compte de l’historique de la pathologie, de l’absence ou de l’existence d’autres maladies, de la durée de l’exposition au bruit</w:t>
      </w:r>
      <w:r>
        <w:rPr>
          <w:rFonts w:cs="Arial"/>
        </w:rPr>
        <w:t xml:space="preserve"> et de la nature osseuse ou neurosensorielle de la surdité dont le travailleur est victime</w:t>
      </w:r>
      <w:r>
        <w:rPr>
          <w:rStyle w:val="FootnoteReference"/>
          <w:rFonts w:cs="Arial"/>
        </w:rPr>
        <w:t>4</w:t>
      </w:r>
      <w:r>
        <w:rPr>
          <w:rFonts w:cs="Arial"/>
        </w:rPr>
        <w:t xml:space="preserve">. De même, la seule asymétrie </w:t>
      </w:r>
      <w:r>
        <w:rPr>
          <w:rFonts w:cs="Arial"/>
        </w:rPr>
        <w:lastRenderedPageBreak/>
        <w:t>d’une courbe</w:t>
      </w:r>
      <w:r>
        <w:rPr>
          <w:rStyle w:val="FootnoteReference"/>
          <w:rFonts w:cs="Arial"/>
        </w:rPr>
        <w:t>5</w:t>
      </w:r>
      <w:r>
        <w:rPr>
          <w:rFonts w:cs="Arial"/>
        </w:rPr>
        <w:t xml:space="preserve"> ou le fait que l’on ne retrouve pas la « remontée attendue » vers les 8 000 Hertz ne constitue pas un empêchement à la reconnaissance d’une surdité professionnelle</w:t>
      </w:r>
      <w:r>
        <w:rPr>
          <w:rStyle w:val="FootnoteReference"/>
          <w:rFonts w:cs="Arial"/>
        </w:rPr>
        <w:t>6</w:t>
      </w:r>
      <w:r>
        <w:rPr>
          <w:rFonts w:cs="Arial"/>
        </w:rPr>
        <w:t>.</w:t>
      </w:r>
    </w:p>
    <w:p w14:paraId="6B1FE8E9" w14:textId="77777777" w:rsidR="00F85AE0" w:rsidRDefault="00F85AE0" w:rsidP="00E27654">
      <w:pPr>
        <w:pStyle w:val="citation"/>
        <w:rPr>
          <w:rFonts w:cs="Arial"/>
        </w:rPr>
      </w:pPr>
      <w:r>
        <w:rPr>
          <w:rFonts w:cs="Arial"/>
        </w:rPr>
        <w:t>__________</w:t>
      </w:r>
    </w:p>
    <w:p w14:paraId="4237261C" w14:textId="77777777" w:rsidR="00E27654" w:rsidRPr="004E0867" w:rsidRDefault="00E27654" w:rsidP="004E0867">
      <w:pPr>
        <w:pStyle w:val="FootnoteText"/>
        <w:ind w:left="1134" w:right="713" w:hanging="425"/>
        <w:jc w:val="both"/>
        <w:rPr>
          <w:sz w:val="18"/>
          <w:szCs w:val="18"/>
        </w:rPr>
      </w:pPr>
      <w:r w:rsidRPr="004E0867">
        <w:rPr>
          <w:rStyle w:val="FootnoteReference"/>
          <w:sz w:val="18"/>
          <w:szCs w:val="18"/>
        </w:rPr>
        <w:t>4</w:t>
      </w:r>
      <w:r w:rsidRPr="004E0867">
        <w:rPr>
          <w:sz w:val="18"/>
          <w:szCs w:val="18"/>
        </w:rPr>
        <w:t xml:space="preserve"> </w:t>
      </w:r>
      <w:r w:rsidRPr="004E0867">
        <w:rPr>
          <w:sz w:val="18"/>
          <w:szCs w:val="18"/>
        </w:rPr>
        <w:tab/>
      </w:r>
      <w:r w:rsidRPr="004E0867">
        <w:rPr>
          <w:i/>
          <w:sz w:val="18"/>
          <w:szCs w:val="18"/>
        </w:rPr>
        <w:t>Laurin</w:t>
      </w:r>
      <w:r w:rsidRPr="004E0867">
        <w:rPr>
          <w:sz w:val="18"/>
          <w:szCs w:val="18"/>
        </w:rPr>
        <w:t xml:space="preserve"> et </w:t>
      </w:r>
      <w:r w:rsidRPr="004E0867">
        <w:rPr>
          <w:i/>
          <w:sz w:val="18"/>
          <w:szCs w:val="18"/>
        </w:rPr>
        <w:t xml:space="preserve">Purolator Courrier </w:t>
      </w:r>
      <w:proofErr w:type="spellStart"/>
      <w:r w:rsidRPr="004E0867">
        <w:rPr>
          <w:i/>
          <w:sz w:val="18"/>
          <w:szCs w:val="18"/>
        </w:rPr>
        <w:t>ltée</w:t>
      </w:r>
      <w:proofErr w:type="spellEnd"/>
      <w:r w:rsidRPr="004E0867">
        <w:rPr>
          <w:sz w:val="18"/>
          <w:szCs w:val="18"/>
        </w:rPr>
        <w:t xml:space="preserve"> et </w:t>
      </w:r>
      <w:r w:rsidRPr="004E0867">
        <w:rPr>
          <w:i/>
          <w:sz w:val="18"/>
          <w:szCs w:val="18"/>
        </w:rPr>
        <w:t>al</w:t>
      </w:r>
      <w:r w:rsidRPr="004E0867">
        <w:rPr>
          <w:sz w:val="18"/>
          <w:szCs w:val="18"/>
        </w:rPr>
        <w:t>., C.L.P. 190107-07-0209, 1</w:t>
      </w:r>
      <w:r w:rsidRPr="004E0867">
        <w:rPr>
          <w:sz w:val="18"/>
          <w:szCs w:val="18"/>
          <w:vertAlign w:val="superscript"/>
        </w:rPr>
        <w:t>er</w:t>
      </w:r>
      <w:r w:rsidRPr="004E0867">
        <w:rPr>
          <w:sz w:val="18"/>
          <w:szCs w:val="18"/>
        </w:rPr>
        <w:t xml:space="preserve"> mars 2004, A. </w:t>
      </w:r>
      <w:proofErr w:type="spellStart"/>
      <w:r w:rsidRPr="004E0867">
        <w:rPr>
          <w:sz w:val="18"/>
          <w:szCs w:val="18"/>
        </w:rPr>
        <w:t>Suicco</w:t>
      </w:r>
      <w:proofErr w:type="spellEnd"/>
      <w:r w:rsidRPr="004E0867">
        <w:rPr>
          <w:sz w:val="18"/>
          <w:szCs w:val="18"/>
        </w:rPr>
        <w:t xml:space="preserve">; requête en révision pour cause rejetée, 8 novembre 2004, C.A. Ducharme; </w:t>
      </w:r>
      <w:proofErr w:type="spellStart"/>
      <w:r w:rsidRPr="004E0867">
        <w:rPr>
          <w:i/>
          <w:sz w:val="18"/>
          <w:szCs w:val="18"/>
        </w:rPr>
        <w:t>Orica</w:t>
      </w:r>
      <w:proofErr w:type="spellEnd"/>
      <w:r w:rsidRPr="004E0867">
        <w:rPr>
          <w:i/>
          <w:sz w:val="18"/>
          <w:szCs w:val="18"/>
        </w:rPr>
        <w:t xml:space="preserve"> Canada </w:t>
      </w:r>
      <w:proofErr w:type="spellStart"/>
      <w:r w:rsidRPr="004E0867">
        <w:rPr>
          <w:i/>
          <w:sz w:val="18"/>
          <w:szCs w:val="18"/>
        </w:rPr>
        <w:t>inc</w:t>
      </w:r>
      <w:r w:rsidRPr="004E0867">
        <w:rPr>
          <w:sz w:val="18"/>
          <w:szCs w:val="18"/>
        </w:rPr>
        <w:t>.</w:t>
      </w:r>
      <w:proofErr w:type="spellEnd"/>
      <w:r w:rsidRPr="004E0867">
        <w:rPr>
          <w:sz w:val="18"/>
          <w:szCs w:val="18"/>
        </w:rPr>
        <w:t xml:space="preserve"> et </w:t>
      </w:r>
      <w:r w:rsidRPr="004E0867">
        <w:rPr>
          <w:i/>
          <w:sz w:val="18"/>
          <w:szCs w:val="18"/>
        </w:rPr>
        <w:t>Plouffe</w:t>
      </w:r>
      <w:r w:rsidRPr="004E0867">
        <w:rPr>
          <w:sz w:val="18"/>
          <w:szCs w:val="18"/>
        </w:rPr>
        <w:t>, C.L.P.388355-64-0909, 22 novembre 2010, M. Montplaisir.</w:t>
      </w:r>
    </w:p>
    <w:p w14:paraId="58BDD690" w14:textId="77777777" w:rsidR="00E27654" w:rsidRPr="004E0867" w:rsidRDefault="00E27654" w:rsidP="004E0867">
      <w:pPr>
        <w:pStyle w:val="FootnoteText"/>
        <w:ind w:left="1134" w:right="713" w:hanging="425"/>
        <w:jc w:val="both"/>
        <w:rPr>
          <w:sz w:val="18"/>
          <w:szCs w:val="18"/>
        </w:rPr>
      </w:pPr>
      <w:r w:rsidRPr="004E0867">
        <w:rPr>
          <w:rStyle w:val="FootnoteReference"/>
          <w:sz w:val="18"/>
          <w:szCs w:val="18"/>
        </w:rPr>
        <w:t>5</w:t>
      </w:r>
      <w:r w:rsidRPr="004E0867">
        <w:rPr>
          <w:sz w:val="18"/>
          <w:szCs w:val="18"/>
        </w:rPr>
        <w:tab/>
      </w:r>
      <w:r w:rsidRPr="004E0867">
        <w:rPr>
          <w:i/>
          <w:sz w:val="18"/>
          <w:szCs w:val="18"/>
        </w:rPr>
        <w:t>Tremblay</w:t>
      </w:r>
      <w:r w:rsidRPr="004E0867">
        <w:rPr>
          <w:sz w:val="18"/>
          <w:szCs w:val="18"/>
        </w:rPr>
        <w:t xml:space="preserve"> et </w:t>
      </w:r>
      <w:r w:rsidRPr="004E0867">
        <w:rPr>
          <w:i/>
          <w:sz w:val="18"/>
          <w:szCs w:val="18"/>
        </w:rPr>
        <w:t xml:space="preserve">Carrière Richard Poudrette </w:t>
      </w:r>
      <w:proofErr w:type="spellStart"/>
      <w:r w:rsidRPr="004E0867">
        <w:rPr>
          <w:i/>
          <w:sz w:val="18"/>
          <w:szCs w:val="18"/>
        </w:rPr>
        <w:t>inc</w:t>
      </w:r>
      <w:r w:rsidRPr="004E0867">
        <w:rPr>
          <w:sz w:val="18"/>
          <w:szCs w:val="18"/>
        </w:rPr>
        <w:t>.</w:t>
      </w:r>
      <w:proofErr w:type="spellEnd"/>
      <w:r w:rsidRPr="004E0867">
        <w:rPr>
          <w:sz w:val="18"/>
          <w:szCs w:val="18"/>
        </w:rPr>
        <w:t>, C.L.P.233972-62B-0404, 30 novembre 2006, M</w:t>
      </w:r>
      <w:r w:rsidR="004E0867">
        <w:rPr>
          <w:sz w:val="18"/>
          <w:szCs w:val="18"/>
        </w:rPr>
        <w:t>. </w:t>
      </w:r>
      <w:r w:rsidRPr="004E0867">
        <w:rPr>
          <w:sz w:val="18"/>
          <w:szCs w:val="18"/>
        </w:rPr>
        <w:t>D. Lampron.</w:t>
      </w:r>
    </w:p>
    <w:p w14:paraId="05DD3CB7" w14:textId="77777777" w:rsidR="00E27654" w:rsidRDefault="00E27654" w:rsidP="004E0867">
      <w:pPr>
        <w:pStyle w:val="citation"/>
        <w:ind w:left="1134" w:right="713" w:hanging="425"/>
        <w:rPr>
          <w:sz w:val="18"/>
          <w:szCs w:val="18"/>
        </w:rPr>
      </w:pPr>
      <w:r w:rsidRPr="004E0867">
        <w:rPr>
          <w:sz w:val="18"/>
          <w:szCs w:val="18"/>
          <w:vertAlign w:val="superscript"/>
        </w:rPr>
        <w:t>6</w:t>
      </w:r>
      <w:r w:rsidRPr="004E0867">
        <w:rPr>
          <w:i/>
          <w:sz w:val="18"/>
          <w:szCs w:val="18"/>
        </w:rPr>
        <w:tab/>
        <w:t>Chantal</w:t>
      </w:r>
      <w:r w:rsidRPr="004E0867">
        <w:rPr>
          <w:sz w:val="18"/>
          <w:szCs w:val="18"/>
        </w:rPr>
        <w:t xml:space="preserve"> et </w:t>
      </w:r>
      <w:r w:rsidRPr="004E0867">
        <w:rPr>
          <w:i/>
          <w:sz w:val="18"/>
          <w:szCs w:val="18"/>
        </w:rPr>
        <w:t xml:space="preserve">Emballages </w:t>
      </w:r>
      <w:proofErr w:type="spellStart"/>
      <w:r w:rsidRPr="004E0867">
        <w:rPr>
          <w:i/>
          <w:sz w:val="18"/>
          <w:szCs w:val="18"/>
        </w:rPr>
        <w:t>Biltwell</w:t>
      </w:r>
      <w:proofErr w:type="spellEnd"/>
      <w:r w:rsidRPr="004E0867">
        <w:rPr>
          <w:i/>
          <w:sz w:val="18"/>
          <w:szCs w:val="18"/>
        </w:rPr>
        <w:t xml:space="preserve"> </w:t>
      </w:r>
      <w:proofErr w:type="spellStart"/>
      <w:r w:rsidRPr="004E0867">
        <w:rPr>
          <w:i/>
          <w:sz w:val="18"/>
          <w:szCs w:val="18"/>
        </w:rPr>
        <w:t>ltée</w:t>
      </w:r>
      <w:proofErr w:type="spellEnd"/>
      <w:r w:rsidRPr="004E0867">
        <w:rPr>
          <w:sz w:val="18"/>
          <w:szCs w:val="18"/>
        </w:rPr>
        <w:t>, C.L.P.135896-63-0004, 1</w:t>
      </w:r>
      <w:r w:rsidRPr="004E0867">
        <w:rPr>
          <w:sz w:val="18"/>
          <w:szCs w:val="18"/>
          <w:vertAlign w:val="superscript"/>
        </w:rPr>
        <w:t>er</w:t>
      </w:r>
      <w:r w:rsidRPr="004E0867">
        <w:rPr>
          <w:sz w:val="18"/>
          <w:szCs w:val="18"/>
        </w:rPr>
        <w:t xml:space="preserve"> mai 2001, F. Dion-Drapeau.</w:t>
      </w:r>
    </w:p>
    <w:p w14:paraId="136EE943" w14:textId="77777777" w:rsidR="004E0867" w:rsidRDefault="004E0867" w:rsidP="004E0867">
      <w:pPr>
        <w:pStyle w:val="citation"/>
        <w:ind w:left="1134" w:right="713" w:hanging="425"/>
        <w:rPr>
          <w:sz w:val="18"/>
          <w:szCs w:val="18"/>
        </w:rPr>
      </w:pPr>
    </w:p>
    <w:p w14:paraId="20F76C55" w14:textId="77777777" w:rsidR="004E0867" w:rsidRPr="004E0867" w:rsidRDefault="004E0867" w:rsidP="004E0867">
      <w:pPr>
        <w:pStyle w:val="citation"/>
        <w:ind w:left="1134" w:right="713" w:hanging="425"/>
        <w:rPr>
          <w:rFonts w:cs="Arial"/>
          <w:sz w:val="18"/>
          <w:szCs w:val="18"/>
        </w:rPr>
      </w:pPr>
    </w:p>
    <w:p w14:paraId="4F03CD2C" w14:textId="77777777" w:rsidR="00FF5968" w:rsidRDefault="00E27654" w:rsidP="00F3276A">
      <w:pPr>
        <w:pStyle w:val="corpsdedcision"/>
      </w:pPr>
      <w:r>
        <w:t>Tenant compte de la présence de ces différentes caractéristiques, généralement reconnues, il y a lieu, à première vue, de considérer la présence d’une atteinte auditive causée par le bruit</w:t>
      </w:r>
      <w:r w:rsidR="00FE0186">
        <w:t>.</w:t>
      </w:r>
      <w:r w:rsidR="009508A2">
        <w:t xml:space="preserve"> </w:t>
      </w:r>
    </w:p>
    <w:p w14:paraId="5FE2F816" w14:textId="77777777" w:rsidR="000D5386" w:rsidRDefault="00D55C7B" w:rsidP="00F3276A">
      <w:pPr>
        <w:pStyle w:val="corpsdedcision"/>
      </w:pPr>
      <w:r>
        <w:t>Par ailleurs, pour</w:t>
      </w:r>
      <w:r w:rsidR="00E77EA7">
        <w:t xml:space="preserve"> la période du 8</w:t>
      </w:r>
      <w:r w:rsidR="000D5386">
        <w:t xml:space="preserve"> mai 1978</w:t>
      </w:r>
      <w:r w:rsidR="00E77EA7">
        <w:t xml:space="preserve"> (embauche) au 20</w:t>
      </w:r>
      <w:r w:rsidR="000D5386">
        <w:t xml:space="preserve"> juin 2012</w:t>
      </w:r>
      <w:r w:rsidR="00936E68">
        <w:t xml:space="preserve"> (réclamation)</w:t>
      </w:r>
      <w:r w:rsidR="000D5386">
        <w:t xml:space="preserve">, le </w:t>
      </w:r>
      <w:r w:rsidR="000D5386" w:rsidRPr="00A72CF6">
        <w:t>travailleur</w:t>
      </w:r>
      <w:r w:rsidR="000D5386">
        <w:t xml:space="preserve"> exerce des fonctions liées à la livraison de boissons gazeuses </w:t>
      </w:r>
      <w:r w:rsidR="00936E68">
        <w:t>pour le compte de l’</w:t>
      </w:r>
      <w:r w:rsidR="00936E68" w:rsidRPr="001F4FEB">
        <w:t>employeur</w:t>
      </w:r>
      <w:r w:rsidR="000D5386">
        <w:t xml:space="preserve">. </w:t>
      </w:r>
      <w:r w:rsidR="00936E68">
        <w:t xml:space="preserve">On parle notamment de tâches de </w:t>
      </w:r>
      <w:r>
        <w:t>troisième</w:t>
      </w:r>
      <w:r w:rsidR="00936E68">
        <w:t xml:space="preserve"> homme, d’aide-livreur, de livreur, de préposé à la mise en marché e</w:t>
      </w:r>
      <w:r w:rsidR="004E0867">
        <w:t>t d’agent de commercialisation.</w:t>
      </w:r>
    </w:p>
    <w:p w14:paraId="21543B70" w14:textId="77777777" w:rsidR="008B30E7" w:rsidRDefault="00936E68" w:rsidP="00F3276A">
      <w:pPr>
        <w:pStyle w:val="corpsdedcision"/>
      </w:pPr>
      <w:r>
        <w:t xml:space="preserve">Aux fins du présent litige et tenant compte de la preuve soumise, le tribunal comprend que ce sont les tâches de </w:t>
      </w:r>
      <w:r w:rsidR="00D55C7B">
        <w:t xml:space="preserve">troisième </w:t>
      </w:r>
      <w:r>
        <w:t>homme, d’aide-livreur et de livreur qui sont particulièrement en cause.</w:t>
      </w:r>
    </w:p>
    <w:p w14:paraId="3778EA31" w14:textId="77777777" w:rsidR="00936E68" w:rsidRDefault="00936E68" w:rsidP="00F3276A">
      <w:pPr>
        <w:pStyle w:val="corpsdedcision"/>
      </w:pPr>
      <w:r>
        <w:t xml:space="preserve">En ce qui a trait au niveau de bruit auquel a pu être exposé le </w:t>
      </w:r>
      <w:r w:rsidRPr="001F4FEB">
        <w:t>travailleur</w:t>
      </w:r>
      <w:r>
        <w:t xml:space="preserve"> </w:t>
      </w:r>
      <w:r w:rsidR="00D55C7B">
        <w:t>dans l’exécution de ces différentes</w:t>
      </w:r>
      <w:r>
        <w:t xml:space="preserve"> tâches, le tribunal ne possède aucune étude ou donnée concernant directement le </w:t>
      </w:r>
      <w:r w:rsidRPr="001F4FEB">
        <w:t>travailleur</w:t>
      </w:r>
      <w:r>
        <w:t xml:space="preserve">. </w:t>
      </w:r>
    </w:p>
    <w:p w14:paraId="34BD1D9D" w14:textId="77777777" w:rsidR="004E0D85" w:rsidRDefault="005A7F3A" w:rsidP="00936E68">
      <w:pPr>
        <w:pStyle w:val="corpsdedcision"/>
      </w:pPr>
      <w:r>
        <w:t>Par conséquent</w:t>
      </w:r>
      <w:r w:rsidR="00DA3365">
        <w:t xml:space="preserve">, </w:t>
      </w:r>
      <w:r w:rsidR="000D5386">
        <w:t xml:space="preserve">à partir du témoignage du </w:t>
      </w:r>
      <w:r w:rsidR="000D5386" w:rsidRPr="00A72CF6">
        <w:t>travailleur</w:t>
      </w:r>
      <w:r w:rsidR="008B30E7">
        <w:t xml:space="preserve"> sur ses expériences de travail de </w:t>
      </w:r>
      <w:r w:rsidR="00D55C7B">
        <w:t>troisième</w:t>
      </w:r>
      <w:r w:rsidR="00936E68">
        <w:t xml:space="preserve"> homme, d’</w:t>
      </w:r>
      <w:r w:rsidR="008B30E7">
        <w:t>aide-livreur</w:t>
      </w:r>
      <w:r w:rsidR="00936E68">
        <w:t xml:space="preserve"> ou de livreur</w:t>
      </w:r>
      <w:r w:rsidR="000D5386">
        <w:t xml:space="preserve">, de l’étude effectuée en 1993 pour les livreurs de la </w:t>
      </w:r>
      <w:r w:rsidR="000D5386" w:rsidRPr="00936E68">
        <w:rPr>
          <w:i/>
        </w:rPr>
        <w:t xml:space="preserve">Brasserie </w:t>
      </w:r>
      <w:r w:rsidR="00D55C7B">
        <w:rPr>
          <w:i/>
        </w:rPr>
        <w:t>Molson-</w:t>
      </w:r>
      <w:r w:rsidR="000D5386" w:rsidRPr="00936E68">
        <w:rPr>
          <w:i/>
        </w:rPr>
        <w:t>O’Keefe</w:t>
      </w:r>
      <w:r w:rsidR="000D5386">
        <w:t xml:space="preserve"> et des données recueillies par l’ingénieur Torikian en 2014, </w:t>
      </w:r>
      <w:r w:rsidR="004E0867">
        <w:t>monsieur</w:t>
      </w:r>
      <w:r w:rsidR="000D5386">
        <w:t xml:space="preserve"> Leroux</w:t>
      </w:r>
      <w:r w:rsidR="00D55C7B">
        <w:t xml:space="preserve"> </w:t>
      </w:r>
      <w:r w:rsidR="000D5386">
        <w:t xml:space="preserve">en est arrivé à </w:t>
      </w:r>
      <w:r w:rsidR="00D55C7B">
        <w:t xml:space="preserve">identifier </w:t>
      </w:r>
      <w:r w:rsidR="000D5386">
        <w:t>un niveau moyen d’exposition</w:t>
      </w:r>
      <w:r w:rsidR="00936E68">
        <w:t xml:space="preserve"> de 84 </w:t>
      </w:r>
      <w:proofErr w:type="spellStart"/>
      <w:r w:rsidR="00936E68">
        <w:t>dB</w:t>
      </w:r>
      <w:r w:rsidR="00FE0186">
        <w:t>A</w:t>
      </w:r>
      <w:proofErr w:type="spellEnd"/>
      <w:r w:rsidR="000D5386">
        <w:t>.</w:t>
      </w:r>
      <w:r w:rsidR="00936E68">
        <w:t xml:space="preserve"> </w:t>
      </w:r>
    </w:p>
    <w:p w14:paraId="5625D245" w14:textId="77777777" w:rsidR="000D5386" w:rsidRDefault="00936E68" w:rsidP="00F3276A">
      <w:pPr>
        <w:pStyle w:val="corpsdedcision"/>
      </w:pPr>
      <w:r>
        <w:t>Le</w:t>
      </w:r>
      <w:r w:rsidR="000D5386">
        <w:t xml:space="preserve"> docteur Bertrand, dans son rapport complémentaire du 13 février 2015 (E-44), </w:t>
      </w:r>
      <w:r>
        <w:t>est d’avis que</w:t>
      </w:r>
      <w:r w:rsidR="000D5386">
        <w:t xml:space="preserve"> le niveau d’exposition </w:t>
      </w:r>
      <w:r>
        <w:t xml:space="preserve">pourrait être </w:t>
      </w:r>
      <w:r w:rsidR="000D5386">
        <w:t xml:space="preserve">inférieur à 84 </w:t>
      </w:r>
      <w:proofErr w:type="spellStart"/>
      <w:r w:rsidR="000D5386">
        <w:t>dB</w:t>
      </w:r>
      <w:r w:rsidR="00FE0186">
        <w:t>A</w:t>
      </w:r>
      <w:proofErr w:type="spellEnd"/>
      <w:r>
        <w:t>,</w:t>
      </w:r>
      <w:r w:rsidR="000D5386">
        <w:t xml:space="preserve"> </w:t>
      </w:r>
      <w:r>
        <w:t>mais</w:t>
      </w:r>
      <w:r w:rsidR="000D5386">
        <w:t xml:space="preserve"> </w:t>
      </w:r>
      <w:r>
        <w:t xml:space="preserve">il </w:t>
      </w:r>
      <w:r w:rsidR="004E0D85">
        <w:t xml:space="preserve">peut </w:t>
      </w:r>
      <w:r>
        <w:t xml:space="preserve">quand </w:t>
      </w:r>
      <w:r w:rsidR="004E0D85">
        <w:t>même</w:t>
      </w:r>
      <w:r w:rsidR="000D5386">
        <w:t xml:space="preserve"> </w:t>
      </w:r>
      <w:r w:rsidR="004E0D85">
        <w:t xml:space="preserve">se rallier </w:t>
      </w:r>
      <w:r w:rsidR="000D5386">
        <w:t xml:space="preserve">à un niveau </w:t>
      </w:r>
      <w:r w:rsidR="003502A9">
        <w:t xml:space="preserve">moyen </w:t>
      </w:r>
      <w:r w:rsidR="000D5386">
        <w:t xml:space="preserve">de 84 </w:t>
      </w:r>
      <w:proofErr w:type="spellStart"/>
      <w:r w:rsidR="000D5386">
        <w:t>dB</w:t>
      </w:r>
      <w:r w:rsidR="00375833">
        <w:t>A</w:t>
      </w:r>
      <w:proofErr w:type="spellEnd"/>
      <w:r w:rsidR="000D5386">
        <w:t xml:space="preserve">, pour le travail effectué à </w:t>
      </w:r>
      <w:r w:rsidR="004E0D85">
        <w:t xml:space="preserve">titre de </w:t>
      </w:r>
      <w:r w:rsidR="00DA3365">
        <w:t xml:space="preserve">troisième </w:t>
      </w:r>
      <w:r w:rsidR="003502A9">
        <w:t>homme, d’</w:t>
      </w:r>
      <w:r w:rsidR="004E0D85">
        <w:t>aide-livreur</w:t>
      </w:r>
      <w:r w:rsidR="003502A9">
        <w:t xml:space="preserve"> et de livreur</w:t>
      </w:r>
      <w:r w:rsidR="000D5386">
        <w:t>.</w:t>
      </w:r>
      <w:r w:rsidR="00375833">
        <w:t xml:space="preserve"> Il précise </w:t>
      </w:r>
      <w:r w:rsidR="00196C9A">
        <w:t xml:space="preserve">également </w:t>
      </w:r>
      <w:r w:rsidR="00375833">
        <w:t xml:space="preserve">que les niveaux de bruit qu’il a considérés dans le rapport </w:t>
      </w:r>
      <w:r w:rsidR="00DA3365">
        <w:t xml:space="preserve">de l’ingénieur </w:t>
      </w:r>
      <w:r w:rsidR="00375833">
        <w:t>Torikian sont ceux évalués selon la norme ISO, soit en q=3, puisqu’ils représentent le plus fidèlement la nocivité du bruit au niveau de l’oreille.</w:t>
      </w:r>
    </w:p>
    <w:p w14:paraId="040090CA" w14:textId="77777777" w:rsidR="003502A9" w:rsidRDefault="00A75759" w:rsidP="000A09C3">
      <w:pPr>
        <w:pStyle w:val="corpsdedcision"/>
        <w:tabs>
          <w:tab w:val="clear" w:pos="360"/>
        </w:tabs>
      </w:pPr>
      <w:r>
        <w:t>À ce stade de l’analyse</w:t>
      </w:r>
      <w:r w:rsidR="008E65F6">
        <w:t xml:space="preserve">, </w:t>
      </w:r>
      <w:r w:rsidR="00DA3365">
        <w:t xml:space="preserve">il y a </w:t>
      </w:r>
      <w:r w:rsidR="008E65F6">
        <w:t xml:space="preserve">donc </w:t>
      </w:r>
      <w:r w:rsidR="00DA3365">
        <w:t>lieu de retenir un</w:t>
      </w:r>
      <w:r w:rsidR="00FE0186">
        <w:t xml:space="preserve"> niveau moyen d’exposition</w:t>
      </w:r>
      <w:r w:rsidR="003502A9">
        <w:t xml:space="preserve"> </w:t>
      </w:r>
      <w:r w:rsidR="00FE0186">
        <w:t>au bruit en carrière de 8</w:t>
      </w:r>
      <w:r w:rsidR="003502A9">
        <w:t xml:space="preserve">4 </w:t>
      </w:r>
      <w:proofErr w:type="spellStart"/>
      <w:r w:rsidR="003502A9">
        <w:t>dB</w:t>
      </w:r>
      <w:r w:rsidR="00FE0186">
        <w:t>A</w:t>
      </w:r>
      <w:proofErr w:type="spellEnd"/>
      <w:r>
        <w:t xml:space="preserve"> pour le </w:t>
      </w:r>
      <w:r w:rsidRPr="001F4FEB">
        <w:t>travailleur</w:t>
      </w:r>
      <w:r w:rsidR="00FE0186">
        <w:t>.</w:t>
      </w:r>
    </w:p>
    <w:p w14:paraId="24BF4231" w14:textId="77777777" w:rsidR="008E65F6" w:rsidRDefault="00196C9A" w:rsidP="000A09C3">
      <w:pPr>
        <w:pStyle w:val="corpsdedcision"/>
        <w:tabs>
          <w:tab w:val="clear" w:pos="360"/>
        </w:tabs>
      </w:pPr>
      <w:r>
        <w:lastRenderedPageBreak/>
        <w:t>Q</w:t>
      </w:r>
      <w:r w:rsidR="003502A9" w:rsidRPr="003502A9">
        <w:t xml:space="preserve">uant à la durée de cette </w:t>
      </w:r>
      <w:r w:rsidR="000D5386" w:rsidRPr="003502A9">
        <w:t>exposition</w:t>
      </w:r>
      <w:r w:rsidR="000D5386">
        <w:t>, initialement, le professe</w:t>
      </w:r>
      <w:r w:rsidR="00405AFF">
        <w:t xml:space="preserve">ur Leroux considère </w:t>
      </w:r>
      <w:r w:rsidR="00FE0186">
        <w:t>qu’elle est de</w:t>
      </w:r>
      <w:r w:rsidR="000D5386">
        <w:t xml:space="preserve"> 34,8 ans.</w:t>
      </w:r>
      <w:r>
        <w:t xml:space="preserve"> </w:t>
      </w:r>
      <w:r w:rsidR="00CD4849">
        <w:t xml:space="preserve">Pour </w:t>
      </w:r>
      <w:r w:rsidR="00405AFF">
        <w:t xml:space="preserve">en arriver à un tel résultat, </w:t>
      </w:r>
      <w:r w:rsidR="00FE0186">
        <w:t>il prend en compte</w:t>
      </w:r>
      <w:r w:rsidR="00CD4849">
        <w:t xml:space="preserve"> l’ensemble de la période d’emploi du </w:t>
      </w:r>
      <w:r w:rsidR="00CD4849" w:rsidRPr="001F4FEB">
        <w:t>travailleur</w:t>
      </w:r>
      <w:r w:rsidR="00CD4849">
        <w:t xml:space="preserve"> chez l’</w:t>
      </w:r>
      <w:r w:rsidR="00CD4849" w:rsidRPr="001F4FEB">
        <w:t>employeur</w:t>
      </w:r>
      <w:r w:rsidR="00CD4849">
        <w:t xml:space="preserve"> du 8 mai 1978 à août 2014, moment où il rencontre le </w:t>
      </w:r>
      <w:r w:rsidR="00CD4849" w:rsidRPr="001F4FEB">
        <w:t>travailleur</w:t>
      </w:r>
      <w:r w:rsidR="00CD4849">
        <w:t>.</w:t>
      </w:r>
    </w:p>
    <w:p w14:paraId="585B1D1A" w14:textId="77777777" w:rsidR="00A351FA" w:rsidRDefault="008E65F6" w:rsidP="000A09C3">
      <w:pPr>
        <w:pStyle w:val="corpsdedcision"/>
        <w:tabs>
          <w:tab w:val="clear" w:pos="360"/>
        </w:tabs>
      </w:pPr>
      <w:r>
        <w:t>Or, a</w:t>
      </w:r>
      <w:r w:rsidR="000179DA">
        <w:t xml:space="preserve">près avoir entendu la </w:t>
      </w:r>
      <w:r>
        <w:t xml:space="preserve">preuve, </w:t>
      </w:r>
      <w:r w:rsidR="004E0867">
        <w:t>monsieur</w:t>
      </w:r>
      <w:r>
        <w:t xml:space="preserve"> Leroux a</w:t>
      </w:r>
      <w:r w:rsidR="000179DA">
        <w:t xml:space="preserve"> ramené cette période à 28,2</w:t>
      </w:r>
      <w:r w:rsidR="004E0867">
        <w:t> </w:t>
      </w:r>
      <w:r w:rsidR="000179DA">
        <w:t>ans</w:t>
      </w:r>
      <w:r>
        <w:t>,</w:t>
      </w:r>
      <w:r w:rsidR="00FE0186">
        <w:t xml:space="preserve"> en incluant des périodes où il n’y avait pas d’exposition à un bruit </w:t>
      </w:r>
      <w:r>
        <w:t xml:space="preserve">jugé </w:t>
      </w:r>
      <w:r w:rsidR="00FE0186">
        <w:t>excessif, soit lors du travail d</w:t>
      </w:r>
      <w:r w:rsidR="00A351FA">
        <w:t>e responsable de la mise en marché</w:t>
      </w:r>
      <w:r>
        <w:t xml:space="preserve"> (75 </w:t>
      </w:r>
      <w:proofErr w:type="spellStart"/>
      <w:r>
        <w:t>dBA</w:t>
      </w:r>
      <w:proofErr w:type="spellEnd"/>
      <w:r>
        <w:t>)</w:t>
      </w:r>
      <w:r w:rsidR="00A351FA">
        <w:t xml:space="preserve"> et agent de commercialisation</w:t>
      </w:r>
      <w:r>
        <w:t xml:space="preserve"> (75 </w:t>
      </w:r>
      <w:proofErr w:type="spellStart"/>
      <w:r>
        <w:t>dBA</w:t>
      </w:r>
      <w:proofErr w:type="spellEnd"/>
      <w:r>
        <w:t>)</w:t>
      </w:r>
      <w:r w:rsidR="000179DA">
        <w:t xml:space="preserve">. Quant au docteur Bertrand, il considère plutôt une </w:t>
      </w:r>
      <w:r w:rsidR="00FE0186">
        <w:t>durée</w:t>
      </w:r>
      <w:r w:rsidR="000179DA">
        <w:t xml:space="preserve"> totale de 24 ans</w:t>
      </w:r>
      <w:r w:rsidR="00A351FA">
        <w:t xml:space="preserve">, soit les années ou périodes où le travailleur a réalisé </w:t>
      </w:r>
      <w:r>
        <w:t xml:space="preserve">spécifiquement </w:t>
      </w:r>
      <w:r w:rsidR="00A351FA">
        <w:t>l</w:t>
      </w:r>
      <w:r w:rsidR="000179DA">
        <w:t xml:space="preserve">es tâches de </w:t>
      </w:r>
      <w:r>
        <w:t>troisième</w:t>
      </w:r>
      <w:r w:rsidR="000179DA">
        <w:t xml:space="preserve"> homme, d’aide-livreur ou de </w:t>
      </w:r>
      <w:r w:rsidR="00405AFF">
        <w:t>livreur</w:t>
      </w:r>
      <w:r w:rsidR="00A351FA">
        <w:t>.</w:t>
      </w:r>
    </w:p>
    <w:p w14:paraId="3A785D57" w14:textId="77777777" w:rsidR="00A51675" w:rsidRDefault="00A351FA" w:rsidP="00E01739">
      <w:pPr>
        <w:pStyle w:val="corpsdedcision"/>
      </w:pPr>
      <w:r>
        <w:t xml:space="preserve">Tenant compte de la preuve soumise, le tribunal estime que la période d’exposition au bruit </w:t>
      </w:r>
      <w:r w:rsidR="00405AFF">
        <w:t>doit</w:t>
      </w:r>
      <w:r w:rsidR="008E65F6">
        <w:t xml:space="preserve"> effectivement</w:t>
      </w:r>
      <w:r w:rsidR="00405AFF">
        <w:t xml:space="preserve"> être ramenée </w:t>
      </w:r>
      <w:r w:rsidR="000D5386">
        <w:t>à 24 ans</w:t>
      </w:r>
      <w:r w:rsidR="008E65F6">
        <w:t>, comme le considère le docteur Bertrand</w:t>
      </w:r>
      <w:r w:rsidR="000D5386">
        <w:t>.</w:t>
      </w:r>
    </w:p>
    <w:p w14:paraId="36A1A5DA" w14:textId="77777777" w:rsidR="0083219B" w:rsidRDefault="00A51675" w:rsidP="00E01739">
      <w:pPr>
        <w:pStyle w:val="corpsdedcision"/>
      </w:pPr>
      <w:r>
        <w:t xml:space="preserve">Le tribunal comprend toutefois des explications de </w:t>
      </w:r>
      <w:r w:rsidRPr="001F4FEB">
        <w:t>monsieur</w:t>
      </w:r>
      <w:r>
        <w:t xml:space="preserve"> Leroux que l’ajout des</w:t>
      </w:r>
      <w:r w:rsidR="003F324D">
        <w:t xml:space="preserve"> quatre années (</w:t>
      </w:r>
      <w:r>
        <w:t xml:space="preserve">mise en marché </w:t>
      </w:r>
      <w:r w:rsidR="003F324D">
        <w:t xml:space="preserve">et </w:t>
      </w:r>
      <w:r>
        <w:t>agent à la commercialisation</w:t>
      </w:r>
      <w:r w:rsidR="003F324D">
        <w:t>)</w:t>
      </w:r>
      <w:r>
        <w:t xml:space="preserve"> </w:t>
      </w:r>
      <w:r w:rsidR="00A351FA">
        <w:t xml:space="preserve">n’a </w:t>
      </w:r>
      <w:r>
        <w:t xml:space="preserve">que peu d’incidence sur </w:t>
      </w:r>
      <w:r w:rsidR="003F324D">
        <w:t>le</w:t>
      </w:r>
      <w:r>
        <w:t xml:space="preserve"> niveau </w:t>
      </w:r>
      <w:r w:rsidR="003F324D">
        <w:t xml:space="preserve">moyen </w:t>
      </w:r>
      <w:r>
        <w:t>de bruit</w:t>
      </w:r>
      <w:r w:rsidR="003F324D">
        <w:t xml:space="preserve"> retenu de 84 </w:t>
      </w:r>
      <w:proofErr w:type="spellStart"/>
      <w:r w:rsidR="003F324D">
        <w:t>dBA</w:t>
      </w:r>
      <w:proofErr w:type="spellEnd"/>
      <w:r>
        <w:t xml:space="preserve">. </w:t>
      </w:r>
      <w:r w:rsidRPr="001F4FEB">
        <w:t>Monsieur</w:t>
      </w:r>
      <w:r>
        <w:t xml:space="preserve"> Leroux évalue cet</w:t>
      </w:r>
      <w:r w:rsidR="003F324D">
        <w:t>te</w:t>
      </w:r>
      <w:r>
        <w:t xml:space="preserve"> </w:t>
      </w:r>
      <w:r w:rsidR="003F324D">
        <w:t>incidence</w:t>
      </w:r>
      <w:r>
        <w:t xml:space="preserve"> à </w:t>
      </w:r>
      <w:r w:rsidR="00A351FA">
        <w:t xml:space="preserve">0,1 </w:t>
      </w:r>
      <w:proofErr w:type="spellStart"/>
      <w:r w:rsidR="00A351FA">
        <w:t>dBA</w:t>
      </w:r>
      <w:proofErr w:type="spellEnd"/>
      <w:r w:rsidR="00A351FA">
        <w:t>.</w:t>
      </w:r>
      <w:r w:rsidR="0083219B">
        <w:t xml:space="preserve"> </w:t>
      </w:r>
    </w:p>
    <w:p w14:paraId="72646E77" w14:textId="77777777" w:rsidR="003F324D" w:rsidRPr="003F324D" w:rsidRDefault="003F324D" w:rsidP="00E01739">
      <w:pPr>
        <w:pStyle w:val="corpsdedcision"/>
      </w:pPr>
      <w:r>
        <w:t xml:space="preserve">Ce faisant, le niveau moyen de 84 </w:t>
      </w:r>
      <w:proofErr w:type="spellStart"/>
      <w:r>
        <w:t>dBA</w:t>
      </w:r>
      <w:proofErr w:type="spellEnd"/>
      <w:r>
        <w:t xml:space="preserve"> identifié par </w:t>
      </w:r>
      <w:r w:rsidRPr="001F4FEB">
        <w:t>monsieur</w:t>
      </w:r>
      <w:r>
        <w:t xml:space="preserve"> Leroux</w:t>
      </w:r>
      <w:r w:rsidR="00E73C05">
        <w:t>,</w:t>
      </w:r>
      <w:r>
        <w:t xml:space="preserve"> et </w:t>
      </w:r>
      <w:r w:rsidR="00E73C05">
        <w:t>auquel</w:t>
      </w:r>
      <w:r>
        <w:t xml:space="preserve"> le docteur Bertrand peut se rallier</w:t>
      </w:r>
      <w:r w:rsidR="00E73C05">
        <w:t>, demeure donc présent.</w:t>
      </w:r>
    </w:p>
    <w:p w14:paraId="11EEB602" w14:textId="77777777" w:rsidR="00E73C05" w:rsidRDefault="00E73C05" w:rsidP="00E01739">
      <w:pPr>
        <w:pStyle w:val="corpsdedcision"/>
      </w:pPr>
      <w:r>
        <w:rPr>
          <w:color w:val="000000" w:themeColor="text1"/>
        </w:rPr>
        <w:t xml:space="preserve">Le </w:t>
      </w:r>
      <w:r w:rsidR="00001AB2">
        <w:rPr>
          <w:color w:val="000000" w:themeColor="text1"/>
        </w:rPr>
        <w:t>docteur Bertrand est d’avis qu’i</w:t>
      </w:r>
      <w:r>
        <w:rPr>
          <w:color w:val="000000" w:themeColor="text1"/>
        </w:rPr>
        <w:t xml:space="preserve">l ne peut s’agir d’un bruit excessif. Il </w:t>
      </w:r>
      <w:r w:rsidR="00004C9F">
        <w:t>soumet que le niveau d’intervention pour la problématique de bruit en milieu de travail est établi à 85</w:t>
      </w:r>
      <w:r w:rsidR="004E0867">
        <w:t> </w:t>
      </w:r>
      <w:proofErr w:type="spellStart"/>
      <w:r w:rsidR="00004C9F">
        <w:t>dBA</w:t>
      </w:r>
      <w:proofErr w:type="spellEnd"/>
      <w:r w:rsidR="00004C9F">
        <w:t xml:space="preserve"> au Québec et en Amérique du </w:t>
      </w:r>
      <w:proofErr w:type="gramStart"/>
      <w:r w:rsidR="00004C9F">
        <w:t>nord</w:t>
      </w:r>
      <w:proofErr w:type="gramEnd"/>
      <w:r w:rsidR="00004C9F">
        <w:t xml:space="preserve">. </w:t>
      </w:r>
    </w:p>
    <w:p w14:paraId="0DC91810" w14:textId="77777777" w:rsidR="00371305" w:rsidRDefault="00004C9F" w:rsidP="00750D72">
      <w:pPr>
        <w:pStyle w:val="corpsdedcision"/>
      </w:pPr>
      <w:r>
        <w:t xml:space="preserve">De son côté, monsieur Leroux </w:t>
      </w:r>
      <w:r w:rsidR="00E73C05">
        <w:t xml:space="preserve">est plutôt d’avis qu’il s’agit d’un bruit excessif. Pour sa part, il rappelle </w:t>
      </w:r>
      <w:r>
        <w:t xml:space="preserve">qu’en Europe, le niveau d’intervention est </w:t>
      </w:r>
      <w:r w:rsidR="00E73C05">
        <w:t xml:space="preserve">plutôt </w:t>
      </w:r>
      <w:r>
        <w:t xml:space="preserve">fixé à 80 </w:t>
      </w:r>
      <w:proofErr w:type="spellStart"/>
      <w:r>
        <w:t>dBA</w:t>
      </w:r>
      <w:proofErr w:type="spellEnd"/>
      <w:r w:rsidR="00371305">
        <w:t>.</w:t>
      </w:r>
    </w:p>
    <w:p w14:paraId="76ACCD2A" w14:textId="77777777" w:rsidR="00375833" w:rsidRDefault="00E73C05" w:rsidP="00750D72">
      <w:pPr>
        <w:pStyle w:val="corpsdedcision"/>
      </w:pPr>
      <w:r>
        <w:t xml:space="preserve">À l’instar de </w:t>
      </w:r>
      <w:r w:rsidRPr="001F4FEB">
        <w:t>monsieur</w:t>
      </w:r>
      <w:r>
        <w:t xml:space="preserve"> Leroux, </w:t>
      </w:r>
      <w:r w:rsidR="00001AB2">
        <w:t>le tribunal ret</w:t>
      </w:r>
      <w:r>
        <w:t>i</w:t>
      </w:r>
      <w:r w:rsidR="00001AB2">
        <w:t>e</w:t>
      </w:r>
      <w:r>
        <w:t>nt qu’</w:t>
      </w:r>
      <w:r w:rsidR="00004C9F">
        <w:t xml:space="preserve">un niveau d’intervention ne signifie pas qu’en deçà de cette valeur, il n’y </w:t>
      </w:r>
      <w:r w:rsidR="00375833">
        <w:t xml:space="preserve">a </w:t>
      </w:r>
      <w:r w:rsidR="00004C9F">
        <w:t xml:space="preserve">aucun risque de développer une surdité. </w:t>
      </w:r>
      <w:r w:rsidR="00371305">
        <w:t xml:space="preserve">Comme le rappellent plusieurs décisions de la </w:t>
      </w:r>
      <w:r w:rsidR="00371305" w:rsidRPr="001F4FEB">
        <w:t>Commission des lésions professionnelles</w:t>
      </w:r>
      <w:r w:rsidR="00371305">
        <w:t xml:space="preserve">, au stade de vérifier l’application de la présomption, </w:t>
      </w:r>
      <w:r w:rsidR="00371305" w:rsidRPr="00371305">
        <w:t>la</w:t>
      </w:r>
      <w:r w:rsidR="00371305">
        <w:t xml:space="preserve"> notion de bruit excessif fai</w:t>
      </w:r>
      <w:r w:rsidR="00371305" w:rsidRPr="00371305">
        <w:t>t référence de façon plus générale à un niveau de bruit qui peut causer une atteinte neurosensorielle</w:t>
      </w:r>
      <w:r w:rsidR="00371305">
        <w:t>.</w:t>
      </w:r>
    </w:p>
    <w:p w14:paraId="5E47BCAB" w14:textId="77777777" w:rsidR="00371305" w:rsidRDefault="00371305" w:rsidP="00371305">
      <w:pPr>
        <w:pStyle w:val="corpsdedcision"/>
      </w:pPr>
      <w:r w:rsidRPr="001F4FEB">
        <w:t>Monsieur</w:t>
      </w:r>
      <w:r>
        <w:t xml:space="preserve"> Leroux réfère à des statistiques démontrant que pour une exposition à 85 </w:t>
      </w:r>
      <w:proofErr w:type="spellStart"/>
      <w:r>
        <w:t>dBA</w:t>
      </w:r>
      <w:proofErr w:type="spellEnd"/>
      <w:r>
        <w:t xml:space="preserve"> pendant 40 ans il y a 6 à 8 pour</w:t>
      </w:r>
      <w:r w:rsidR="00281D0E">
        <w:t xml:space="preserve"> </w:t>
      </w:r>
      <w:r>
        <w:t>cent de risque de développer une surdité professionnelle selon la définition d’une atteinte moyenne de 25 dB aux fréquences de 1000, 2000, 30</w:t>
      </w:r>
      <w:r w:rsidR="005A7F3A">
        <w:t>00 et 4000 Hz. Il estime qu’à 84</w:t>
      </w:r>
      <w:r>
        <w:t xml:space="preserve"> </w:t>
      </w:r>
      <w:proofErr w:type="spellStart"/>
      <w:r>
        <w:t>dBA</w:t>
      </w:r>
      <w:proofErr w:type="spellEnd"/>
      <w:r>
        <w:t xml:space="preserve"> pendant 24 ans, il </w:t>
      </w:r>
      <w:r w:rsidR="005A7F3A">
        <w:t xml:space="preserve">pourra </w:t>
      </w:r>
      <w:r>
        <w:t xml:space="preserve">y </w:t>
      </w:r>
      <w:r w:rsidR="005A7F3A">
        <w:t xml:space="preserve">avoir entre 4,3 </w:t>
      </w:r>
      <w:proofErr w:type="gramStart"/>
      <w:r w:rsidR="005A7F3A">
        <w:t>et ,</w:t>
      </w:r>
      <w:proofErr w:type="gramEnd"/>
      <w:r w:rsidR="00134038">
        <w:t xml:space="preserve"> 6,</w:t>
      </w:r>
      <w:r>
        <w:t>7</w:t>
      </w:r>
      <w:r w:rsidR="004E0867">
        <w:t> </w:t>
      </w:r>
      <w:r>
        <w:t>% de cas de surdité indemnisable.</w:t>
      </w:r>
    </w:p>
    <w:p w14:paraId="011DC211" w14:textId="77777777" w:rsidR="00371305" w:rsidRDefault="00371305" w:rsidP="00750D72">
      <w:pPr>
        <w:pStyle w:val="corpsdedcision"/>
      </w:pPr>
      <w:r>
        <w:lastRenderedPageBreak/>
        <w:t>À ce stade</w:t>
      </w:r>
      <w:r w:rsidR="00AF70F6">
        <w:t xml:space="preserve"> de l’analyse</w:t>
      </w:r>
      <w:r>
        <w:t>, tenant compte des éléments soumis, le</w:t>
      </w:r>
      <w:r w:rsidR="00AF70F6">
        <w:t xml:space="preserve"> tribunal estime qu’il y a lieu</w:t>
      </w:r>
      <w:r>
        <w:t xml:space="preserve"> de présumer l’existence d’une </w:t>
      </w:r>
      <w:r w:rsidRPr="001F4FEB">
        <w:t>maladie professionnelle</w:t>
      </w:r>
      <w:r w:rsidR="00A75759">
        <w:t xml:space="preserve">, soit que l’atteinte auditive du </w:t>
      </w:r>
      <w:r w:rsidR="00A75759" w:rsidRPr="001F4FEB">
        <w:t>travailleur</w:t>
      </w:r>
      <w:r w:rsidR="00A75759">
        <w:t xml:space="preserve"> puisse être causée par le bruit, dans le cadre d’un travail impliquant une exposition à un bruit excessif.</w:t>
      </w:r>
    </w:p>
    <w:p w14:paraId="6DAAC6C3" w14:textId="77777777" w:rsidR="00375833" w:rsidRDefault="00C33FA0">
      <w:pPr>
        <w:pStyle w:val="corpsdedcision"/>
      </w:pPr>
      <w:r>
        <w:t xml:space="preserve">Tel qu’indiqué, cette présomption peut être renversée par la démonstration d’une absence de relation entre la maladie et le </w:t>
      </w:r>
      <w:r w:rsidR="00271CEB">
        <w:t>travail</w:t>
      </w:r>
      <w:r>
        <w:t>.</w:t>
      </w:r>
      <w:r w:rsidR="00271CEB">
        <w:t xml:space="preserve"> Et p</w:t>
      </w:r>
      <w:r>
        <w:t>our ce faire, l’</w:t>
      </w:r>
      <w:r w:rsidRPr="001F4FEB">
        <w:t>employeur</w:t>
      </w:r>
      <w:r>
        <w:t xml:space="preserve"> n’a pas à démontrer la cause de la maladie</w:t>
      </w:r>
      <w:r w:rsidR="00271CEB">
        <w:t>,</w:t>
      </w:r>
      <w:r>
        <w:t xml:space="preserve"> bien que cette démonstration p</w:t>
      </w:r>
      <w:r w:rsidR="001B15F5">
        <w:t>uisse</w:t>
      </w:r>
      <w:r>
        <w:t xml:space="preserve"> être faite.</w:t>
      </w:r>
    </w:p>
    <w:p w14:paraId="4B9816B5" w14:textId="77777777" w:rsidR="00DD2700" w:rsidRDefault="00C33FA0" w:rsidP="00DD2700">
      <w:pPr>
        <w:pStyle w:val="corpsdedcision"/>
      </w:pPr>
      <w:r>
        <w:t xml:space="preserve">Dans la présente </w:t>
      </w:r>
      <w:r w:rsidR="001B15F5">
        <w:t>affaire</w:t>
      </w:r>
      <w:r>
        <w:t xml:space="preserve">, après une analyse détaillée de l’imposante preuve d’experts, le tribunal estime qu’il y a effectivement renversement de cette présomption. En ce sens, il juge probante la thèse avancée par le docteur Bertrand pour </w:t>
      </w:r>
      <w:r w:rsidR="00C148AF">
        <w:t xml:space="preserve">expliquer l’atteinte auditive que présente le </w:t>
      </w:r>
      <w:r w:rsidR="00C148AF" w:rsidRPr="001F4FEB">
        <w:t>travailleur</w:t>
      </w:r>
      <w:r w:rsidR="00A75759">
        <w:t>, dans les circonstances</w:t>
      </w:r>
      <w:r w:rsidR="00C148AF">
        <w:t>.</w:t>
      </w:r>
    </w:p>
    <w:p w14:paraId="24AC0A54" w14:textId="77777777" w:rsidR="00C148AF" w:rsidRDefault="00F85B3A" w:rsidP="00AF70F6">
      <w:pPr>
        <w:pStyle w:val="corpsdedcision"/>
      </w:pPr>
      <w:r>
        <w:t>Résumé simplement, le</w:t>
      </w:r>
      <w:r w:rsidR="00634D58">
        <w:t xml:space="preserve"> docteur Bertrand est </w:t>
      </w:r>
      <w:r>
        <w:t xml:space="preserve">d’avis que </w:t>
      </w:r>
      <w:r w:rsidR="00634D58">
        <w:t xml:space="preserve">l’atteinte auditive du </w:t>
      </w:r>
      <w:r w:rsidR="00634D58" w:rsidRPr="001F4FEB">
        <w:t>travailleur</w:t>
      </w:r>
      <w:r w:rsidR="00634D58">
        <w:t xml:space="preserve"> s’explique non seulement </w:t>
      </w:r>
      <w:r w:rsidR="001A695E">
        <w:t>par l’effet du</w:t>
      </w:r>
      <w:r w:rsidR="00634D58">
        <w:t xml:space="preserve"> vieillissement (presbyacousie)</w:t>
      </w:r>
      <w:r>
        <w:t>,</w:t>
      </w:r>
      <w:r w:rsidR="00634D58">
        <w:t xml:space="preserve"> mais aussi par la présence de pathologies à connotation vasculaire importantes</w:t>
      </w:r>
      <w:r w:rsidR="001A695E">
        <w:t xml:space="preserve"> retrouvées chez le </w:t>
      </w:r>
      <w:r w:rsidR="001A695E" w:rsidRPr="001F4FEB">
        <w:t>travailleur</w:t>
      </w:r>
      <w:r w:rsidR="00634D58">
        <w:t>.</w:t>
      </w:r>
      <w:r w:rsidR="009B58AA">
        <w:t xml:space="preserve"> Certes, en réponse au témoigna</w:t>
      </w:r>
      <w:r w:rsidR="00161317">
        <w:t>ge d</w:t>
      </w:r>
      <w:r w:rsidR="004E0867">
        <w:t xml:space="preserve">e monsieur </w:t>
      </w:r>
      <w:r w:rsidR="00161317">
        <w:t xml:space="preserve">Leroux, il a voulu </w:t>
      </w:r>
      <w:r w:rsidR="009B58AA">
        <w:t xml:space="preserve">apporter des précisions à son diagnostic, toutefois, le tribunal considère que sa ligne de pensée a toujours été dans le même sens. Ainsi, </w:t>
      </w:r>
      <w:r w:rsidR="00277322">
        <w:t>le tribunal retient comme diagnostic émis par le docteur Bertrand, une atteinte auditive de type presbyacousique dont l’état a été aggravé par la présence de pathologies à connotation vasculaire importantes.</w:t>
      </w:r>
    </w:p>
    <w:p w14:paraId="7714F38E" w14:textId="77777777" w:rsidR="00271CEB" w:rsidRDefault="005A7F3A" w:rsidP="00DD2700">
      <w:pPr>
        <w:pStyle w:val="corpsdedcision"/>
      </w:pPr>
      <w:r>
        <w:t xml:space="preserve">L’analyse de l’audiogramme du </w:t>
      </w:r>
      <w:r w:rsidRPr="001F4FEB">
        <w:t>travailleur</w:t>
      </w:r>
      <w:r>
        <w:t xml:space="preserve"> de 57 ans, au moment de la </w:t>
      </w:r>
      <w:r w:rsidRPr="001F4FEB">
        <w:t>réclamation</w:t>
      </w:r>
      <w:r>
        <w:t>, met d’abord le docteur Bertrand sur cette piste. Il y a par la suite son examen détaillé</w:t>
      </w:r>
      <w:r w:rsidR="00545355">
        <w:t xml:space="preserve"> révélant certaines données</w:t>
      </w:r>
      <w:r>
        <w:t xml:space="preserve"> puis la comparaison des seuils auditifs du </w:t>
      </w:r>
      <w:r w:rsidRPr="001F4FEB">
        <w:t>travailleur</w:t>
      </w:r>
      <w:r>
        <w:t xml:space="preserve"> avec la norme ISO 1999</w:t>
      </w:r>
      <w:r w:rsidR="00545355">
        <w:t xml:space="preserve"> (2013)</w:t>
      </w:r>
      <w:r>
        <w:t>.</w:t>
      </w:r>
    </w:p>
    <w:p w14:paraId="79D093E1" w14:textId="77777777" w:rsidR="009A4923" w:rsidRDefault="00271CEB" w:rsidP="009A4923">
      <w:pPr>
        <w:pStyle w:val="corpsdedcision"/>
      </w:pPr>
      <w:r>
        <w:t>L</w:t>
      </w:r>
      <w:r w:rsidR="009A4923">
        <w:t xml:space="preserve">a norme ISO 1999 (2013) permet d’estimer ou de prédire l’atteinte auditive causée par le bruit. Elle est conçue à partir d’une base de données recueillies auprès de </w:t>
      </w:r>
      <w:r w:rsidR="009A4923" w:rsidRPr="001F4FEB">
        <w:t>travailleur</w:t>
      </w:r>
      <w:r w:rsidR="009A4923">
        <w:t>s/</w:t>
      </w:r>
      <w:r w:rsidR="009A4923" w:rsidRPr="001F4FEB">
        <w:t>travailleuse</w:t>
      </w:r>
      <w:r w:rsidR="009A4923">
        <w:t xml:space="preserve">s ayant été exposés au bruit pendant plusieurs années. On tient compte du sexe, de l’âge, du niveau d’exposition et de la durée de cette exposition. Cette référence permet donc une comparaison des seuils auditifs du </w:t>
      </w:r>
      <w:r w:rsidR="009A4923" w:rsidRPr="00A72CF6">
        <w:t>travailleur</w:t>
      </w:r>
      <w:r w:rsidR="009A4923">
        <w:t xml:space="preserve"> avec une population de référence, présentant les mêmes caractéristiques (sexe, âge, niveau et durée d’exposition).</w:t>
      </w:r>
    </w:p>
    <w:p w14:paraId="51C62456" w14:textId="77777777" w:rsidR="00271CEB" w:rsidRDefault="00271CEB" w:rsidP="009A4923">
      <w:pPr>
        <w:pStyle w:val="corpsdedcision"/>
      </w:pPr>
      <w:r>
        <w:t xml:space="preserve">Cette norme n’est </w:t>
      </w:r>
      <w:r w:rsidR="00B22DF8">
        <w:t>pas un outil pour établir la relation entre une a</w:t>
      </w:r>
      <w:r w:rsidR="00545355">
        <w:t xml:space="preserve">tteinte auditive et le bruit. </w:t>
      </w:r>
      <w:proofErr w:type="gramStart"/>
      <w:r w:rsidR="00545355">
        <w:t>Par contre</w:t>
      </w:r>
      <w:proofErr w:type="gramEnd"/>
      <w:r w:rsidR="00545355">
        <w:t>, e</w:t>
      </w:r>
      <w:r w:rsidR="00B22DF8">
        <w:t>lle permet de situer un individu, présentant des caractéristiques semblables, par rapport à une population de référence.</w:t>
      </w:r>
      <w:r w:rsidR="00BE1929">
        <w:t xml:space="preserve"> </w:t>
      </w:r>
    </w:p>
    <w:p w14:paraId="396CCBFD" w14:textId="77777777" w:rsidR="00B22DF8" w:rsidRDefault="00B22DF8" w:rsidP="00B22DF8">
      <w:pPr>
        <w:pStyle w:val="corpsdedcision"/>
      </w:pPr>
      <w:r>
        <w:t xml:space="preserve">Le docteur Bertrand, considérant les caractéristiques du </w:t>
      </w:r>
      <w:r w:rsidRPr="001F4FEB">
        <w:t>travailleur</w:t>
      </w:r>
      <w:r>
        <w:t xml:space="preserve"> (</w:t>
      </w:r>
      <w:r w:rsidR="00545355">
        <w:t>homme, 57</w:t>
      </w:r>
      <w:r w:rsidR="004E0867">
        <w:t> </w:t>
      </w:r>
      <w:r w:rsidR="00545355">
        <w:t xml:space="preserve">ans, 24 ans/84 </w:t>
      </w:r>
      <w:proofErr w:type="spellStart"/>
      <w:r w:rsidR="00545355">
        <w:t>dBA</w:t>
      </w:r>
      <w:proofErr w:type="spellEnd"/>
      <w:r>
        <w:t xml:space="preserve">) constate que pour les basses fréquences (500 et 1000 Hz), il n’y a pas d’écart significatif avec la prédiction de la norme. Cet écart devient plutôt significatif </w:t>
      </w:r>
      <w:r>
        <w:lastRenderedPageBreak/>
        <w:t xml:space="preserve">dans les hautes fréquences (2, 3, 4 et 6000 Hz). En fait, tenant compte du rapport détaillé du docteur Bertrand, le </w:t>
      </w:r>
      <w:r w:rsidRPr="001F4FEB">
        <w:t>travailleur</w:t>
      </w:r>
      <w:r>
        <w:t xml:space="preserve"> montre des résultats plus bas que le 5</w:t>
      </w:r>
      <w:r w:rsidR="004E0867" w:rsidRPr="004E0867">
        <w:rPr>
          <w:vertAlign w:val="superscript"/>
        </w:rPr>
        <w:t>e</w:t>
      </w:r>
      <w:r w:rsidR="004E0867">
        <w:t xml:space="preserve"> </w:t>
      </w:r>
      <w:r>
        <w:t>percentile</w:t>
      </w:r>
      <w:r w:rsidR="00545355">
        <w:t>,</w:t>
      </w:r>
      <w:r>
        <w:t xml:space="preserve"> affichant les pires résultats. Donc 95</w:t>
      </w:r>
      <w:r w:rsidR="004E0867">
        <w:t> </w:t>
      </w:r>
      <w:r>
        <w:t xml:space="preserve">% de la population de référence présente une perte auditive moins importante que celle du </w:t>
      </w:r>
      <w:r w:rsidRPr="001F4FEB">
        <w:t>travailleur</w:t>
      </w:r>
      <w:r>
        <w:t>. Le tribunal comprend qu’il s’agit de prédictions, mais un tel résultat peut certes justifier un questionnement additionnel sur la nature de l’atteinte auditive du travailleur.</w:t>
      </w:r>
    </w:p>
    <w:p w14:paraId="1DDA6D19" w14:textId="77777777" w:rsidR="00B22DF8" w:rsidRDefault="009A4923" w:rsidP="00B22DF8">
      <w:pPr>
        <w:pStyle w:val="corpsdedcision"/>
      </w:pPr>
      <w:r>
        <w:t xml:space="preserve">Ce qui </w:t>
      </w:r>
      <w:r w:rsidR="00B22DF8">
        <w:t>justifie d’autant ce</w:t>
      </w:r>
      <w:r>
        <w:t xml:space="preserve"> questionnement </w:t>
      </w:r>
      <w:r w:rsidR="00B22DF8">
        <w:t>ce sont les résultats obtenus lorsque le docteur Bertrand</w:t>
      </w:r>
      <w:r w:rsidR="00B22DF8" w:rsidRPr="00B22DF8">
        <w:t xml:space="preserve"> </w:t>
      </w:r>
      <w:r w:rsidR="00B22DF8">
        <w:t xml:space="preserve">fait l’exercice de déterminer le niveau de bruit nécessaire pour avoir une perte auditive semblable à celle du </w:t>
      </w:r>
      <w:r w:rsidR="00B22DF8" w:rsidRPr="00A72CF6">
        <w:t>travailleur</w:t>
      </w:r>
      <w:r w:rsidR="001B15F5">
        <w:t>,</w:t>
      </w:r>
      <w:r w:rsidR="00B22DF8">
        <w:t xml:space="preserve"> pour la même durée d’exposition. Ce faisant, il obtient un niveau moyen de 104 </w:t>
      </w:r>
      <w:proofErr w:type="spellStart"/>
      <w:r w:rsidR="00B22DF8">
        <w:t>dBA</w:t>
      </w:r>
      <w:proofErr w:type="spellEnd"/>
      <w:r w:rsidR="00B22DF8">
        <w:t xml:space="preserve">, ce qui s’écarte significativement du niveau moyen de 84 </w:t>
      </w:r>
      <w:proofErr w:type="spellStart"/>
      <w:r w:rsidR="00B22DF8">
        <w:t>dBA</w:t>
      </w:r>
      <w:proofErr w:type="spellEnd"/>
      <w:r w:rsidR="00B22DF8">
        <w:t xml:space="preserve"> retenu en l’espèce.</w:t>
      </w:r>
    </w:p>
    <w:p w14:paraId="5F9816CC" w14:textId="77777777" w:rsidR="00AF70F6" w:rsidRDefault="0019134A" w:rsidP="0019134A">
      <w:pPr>
        <w:pStyle w:val="corpsdedcision"/>
      </w:pPr>
      <w:r>
        <w:rPr>
          <w:rFonts w:cs="Arial"/>
        </w:rPr>
        <w:t>Ainsi, l</w:t>
      </w:r>
      <w:r w:rsidRPr="005E0DF5">
        <w:rPr>
          <w:rFonts w:cs="Arial"/>
        </w:rPr>
        <w:t xml:space="preserve">e docteur Bertrand </w:t>
      </w:r>
      <w:r>
        <w:rPr>
          <w:rFonts w:cs="Arial"/>
        </w:rPr>
        <w:t xml:space="preserve">considère </w:t>
      </w:r>
      <w:r>
        <w:t>que, selon la norme ISO 1999, les résultats d’audiogramme du travailleur sont en dehors de ce que l’on devrait s’attendre de voir pour 95</w:t>
      </w:r>
      <w:r w:rsidR="004E0867">
        <w:t> </w:t>
      </w:r>
      <w:r>
        <w:t xml:space="preserve">% d’une population du même âge ayant subi une exposition </w:t>
      </w:r>
      <w:r w:rsidR="005F49D3">
        <w:t>semblable</w:t>
      </w:r>
      <w:r>
        <w:t>. Cela signifie pour lui qu’en fonction du niveau d’exposition utilisé, il doit y avoir une cause autre qu’exclusivement l’exposition au bruit pour expliquer la perte auditive du travailleur.</w:t>
      </w:r>
      <w:r w:rsidR="00161317">
        <w:t xml:space="preserve"> </w:t>
      </w:r>
    </w:p>
    <w:p w14:paraId="68AF6B38" w14:textId="77777777" w:rsidR="00C41A28" w:rsidRDefault="00C41A28" w:rsidP="00C41A28">
      <w:pPr>
        <w:pStyle w:val="corpsdedcision"/>
      </w:pPr>
      <w:r>
        <w:t xml:space="preserve">Le tribunal constate </w:t>
      </w:r>
      <w:r w:rsidR="00161317">
        <w:t xml:space="preserve">par ailleurs </w:t>
      </w:r>
      <w:r>
        <w:t xml:space="preserve">que </w:t>
      </w:r>
      <w:r w:rsidRPr="001F4FEB">
        <w:t>monsieur</w:t>
      </w:r>
      <w:r>
        <w:t xml:space="preserve"> Leroux, ayant également fait l’exercice de comparer les résultats du </w:t>
      </w:r>
      <w:r w:rsidRPr="001F4FEB">
        <w:t>travailleur</w:t>
      </w:r>
      <w:r>
        <w:t xml:space="preserve"> à la norme ISO 1999 (2013)</w:t>
      </w:r>
      <w:r w:rsidR="004E0867">
        <w:t>,</w:t>
      </w:r>
      <w:r>
        <w:t xml:space="preserve"> obtient des résultats semblables à ceux du docteur Bertrand. </w:t>
      </w:r>
    </w:p>
    <w:p w14:paraId="2CB13EC1" w14:textId="77777777" w:rsidR="00001AB2" w:rsidRDefault="00001AB2" w:rsidP="00C41A28">
      <w:pPr>
        <w:pStyle w:val="corpsdedcision"/>
      </w:pPr>
      <w:r>
        <w:t xml:space="preserve">Comparant les résultats du </w:t>
      </w:r>
      <w:r w:rsidRPr="001F4FEB">
        <w:t>travailleur</w:t>
      </w:r>
      <w:r>
        <w:t xml:space="preserve"> à ceux du 10</w:t>
      </w:r>
      <w:r w:rsidR="004E0867" w:rsidRPr="004E0867">
        <w:rPr>
          <w:vertAlign w:val="superscript"/>
        </w:rPr>
        <w:t>e</w:t>
      </w:r>
      <w:r w:rsidR="004E0867">
        <w:t xml:space="preserve"> </w:t>
      </w:r>
      <w:r>
        <w:t xml:space="preserve">percentile, il constate que les seuils auditifs du </w:t>
      </w:r>
      <w:r w:rsidRPr="001F4FEB">
        <w:t>travailleur</w:t>
      </w:r>
      <w:r>
        <w:t xml:space="preserve"> pour les fréquences 500 et 1000 Hz ne sont pas différents de ceux de la population de référence. Il constate toutefois que les seuils auditifs du </w:t>
      </w:r>
      <w:r w:rsidRPr="001F4FEB">
        <w:t>travailleur</w:t>
      </w:r>
      <w:r>
        <w:t xml:space="preserve"> sont pires, en moyenne de 16 dB</w:t>
      </w:r>
      <w:r w:rsidR="005F49D3">
        <w:t>,</w:t>
      </w:r>
      <w:r>
        <w:t xml:space="preserve"> que la population de référence pour les fréquences de 2000 à 8000 Hz. La fréquence montrant la plus grande différence, soit 20</w:t>
      </w:r>
      <w:r w:rsidR="004E0867">
        <w:t> </w:t>
      </w:r>
      <w:r>
        <w:t>dB, est celle de 3000 Hz.</w:t>
      </w:r>
    </w:p>
    <w:p w14:paraId="26C12BCF" w14:textId="77777777" w:rsidR="000612EB" w:rsidRDefault="00001AB2" w:rsidP="00001AB2">
      <w:pPr>
        <w:pStyle w:val="corpsdedcision"/>
      </w:pPr>
      <w:r>
        <w:t xml:space="preserve">Que l’on compare les résultats du </w:t>
      </w:r>
      <w:r w:rsidRPr="001F4FEB">
        <w:t>travailleur</w:t>
      </w:r>
      <w:r>
        <w:t xml:space="preserve"> au 5</w:t>
      </w:r>
      <w:r w:rsidR="004E0867" w:rsidRPr="004E0867">
        <w:rPr>
          <w:vertAlign w:val="superscript"/>
        </w:rPr>
        <w:t>e</w:t>
      </w:r>
      <w:r w:rsidR="004E0867">
        <w:t xml:space="preserve"> </w:t>
      </w:r>
      <w:r>
        <w:t>ou 10</w:t>
      </w:r>
      <w:r w:rsidR="004E0867" w:rsidRPr="004E0867">
        <w:rPr>
          <w:vertAlign w:val="superscript"/>
        </w:rPr>
        <w:t>e</w:t>
      </w:r>
      <w:r w:rsidR="004E0867">
        <w:t xml:space="preserve"> </w:t>
      </w:r>
      <w:r w:rsidR="005F49D3">
        <w:t>percentile</w:t>
      </w:r>
      <w:r>
        <w:t xml:space="preserve"> de la population de référence, le tribunal retient que les deux experts constatent un écart et que cet écart </w:t>
      </w:r>
      <w:r w:rsidR="00D10A86">
        <w:t xml:space="preserve">peut </w:t>
      </w:r>
      <w:r>
        <w:t>suscite</w:t>
      </w:r>
      <w:r w:rsidR="00D10A86">
        <w:t>r voire justifier</w:t>
      </w:r>
      <w:r>
        <w:t xml:space="preserve"> un questionnement légitime </w:t>
      </w:r>
      <w:r w:rsidR="000612EB">
        <w:t xml:space="preserve">sur la nature de l’atteinte auditive du </w:t>
      </w:r>
      <w:r w:rsidR="000612EB" w:rsidRPr="001F4FEB">
        <w:t>travailleur</w:t>
      </w:r>
      <w:r w:rsidR="000612EB">
        <w:t>.</w:t>
      </w:r>
    </w:p>
    <w:p w14:paraId="5BBA78CB" w14:textId="77777777" w:rsidR="000612EB" w:rsidRDefault="000612EB" w:rsidP="00C41A28">
      <w:pPr>
        <w:pStyle w:val="corpsdedcision"/>
      </w:pPr>
      <w:r>
        <w:t xml:space="preserve">D’ailleurs, à la suite de cet exercice de </w:t>
      </w:r>
      <w:r w:rsidR="00001AB2">
        <w:t>comparaison avec la norme ISO</w:t>
      </w:r>
      <w:r>
        <w:t xml:space="preserve">, les deux experts </w:t>
      </w:r>
      <w:r w:rsidR="00001AB2">
        <w:t xml:space="preserve">en </w:t>
      </w:r>
      <w:r>
        <w:t xml:space="preserve">sont venus à développer leur thèse pour expliquer l’écart des résultats du </w:t>
      </w:r>
      <w:r w:rsidRPr="001F4FEB">
        <w:t>travailleur</w:t>
      </w:r>
      <w:r>
        <w:t xml:space="preserve"> par rapport à la prédiction de la norme.</w:t>
      </w:r>
    </w:p>
    <w:p w14:paraId="1BB8E05C" w14:textId="77777777" w:rsidR="006D74EF" w:rsidRDefault="000612EB" w:rsidP="006D74EF">
      <w:pPr>
        <w:pStyle w:val="corpsdedcision"/>
      </w:pPr>
      <w:r>
        <w:t>C’est ainsi qu</w:t>
      </w:r>
      <w:r w:rsidR="006D74EF">
        <w:t xml:space="preserve">e </w:t>
      </w:r>
      <w:r>
        <w:t xml:space="preserve">le </w:t>
      </w:r>
      <w:r w:rsidR="006D74EF">
        <w:t xml:space="preserve">docteur Bertrand considère que </w:t>
      </w:r>
      <w:r>
        <w:t>l’</w:t>
      </w:r>
      <w:r w:rsidR="006D74EF">
        <w:t xml:space="preserve">atteinte auditive plus sévère s’explique non seulement par </w:t>
      </w:r>
      <w:r w:rsidR="005F49D3">
        <w:t xml:space="preserve">le </w:t>
      </w:r>
      <w:r w:rsidR="006D74EF">
        <w:t>vieillissement</w:t>
      </w:r>
      <w:r w:rsidR="0019134A">
        <w:t xml:space="preserve"> (presbyacousie)</w:t>
      </w:r>
      <w:r w:rsidR="00281D0E">
        <w:t>,</w:t>
      </w:r>
      <w:r w:rsidR="006D74EF">
        <w:t xml:space="preserve"> mais aussi par la présence d</w:t>
      </w:r>
      <w:r w:rsidR="00161317">
        <w:t>’une</w:t>
      </w:r>
      <w:r w:rsidR="006D74EF">
        <w:t xml:space="preserve"> maladie </w:t>
      </w:r>
      <w:proofErr w:type="spellStart"/>
      <w:r w:rsidR="006D74EF">
        <w:t>athérosclérotique</w:t>
      </w:r>
      <w:proofErr w:type="spellEnd"/>
      <w:r w:rsidR="006D74EF">
        <w:t xml:space="preserve"> importante s’exprimant chez le travailleur par une maladie coronarienne et une atteinte de la valve aortique. En </w:t>
      </w:r>
      <w:r>
        <w:t xml:space="preserve">plus que le </w:t>
      </w:r>
      <w:r w:rsidRPr="001F4FEB">
        <w:t>travailleur</w:t>
      </w:r>
      <w:r w:rsidR="006D74EF">
        <w:t xml:space="preserve"> </w:t>
      </w:r>
      <w:r w:rsidR="006D74EF">
        <w:lastRenderedPageBreak/>
        <w:t xml:space="preserve">est traité pour une </w:t>
      </w:r>
      <w:r w:rsidR="00134038">
        <w:t xml:space="preserve">hypertension artérielle, une </w:t>
      </w:r>
      <w:r w:rsidR="006D74EF">
        <w:t>hypercholestérolémie</w:t>
      </w:r>
      <w:r>
        <w:t xml:space="preserve"> et un diabète de type 2</w:t>
      </w:r>
      <w:r w:rsidR="006D74EF">
        <w:t xml:space="preserve">. Il considère donc </w:t>
      </w:r>
      <w:r w:rsidR="00524A7C">
        <w:t xml:space="preserve">comme une </w:t>
      </w:r>
      <w:r w:rsidR="006D74EF">
        <w:t xml:space="preserve">cause probable de la surdité du travailleur </w:t>
      </w:r>
      <w:r w:rsidR="00524A7C">
        <w:t>la</w:t>
      </w:r>
      <w:r w:rsidR="006D74EF">
        <w:t xml:space="preserve"> diminution de la vascularisation au niveau de l’oreille interne en raison de cette maladie </w:t>
      </w:r>
      <w:proofErr w:type="spellStart"/>
      <w:r w:rsidR="006D74EF">
        <w:t>athérosclérotique</w:t>
      </w:r>
      <w:proofErr w:type="spellEnd"/>
      <w:r w:rsidR="006D74EF">
        <w:t>.</w:t>
      </w:r>
    </w:p>
    <w:p w14:paraId="1E83F062" w14:textId="77777777" w:rsidR="00C20ECD" w:rsidRPr="00BE1929" w:rsidRDefault="00524A7C" w:rsidP="00BE1929">
      <w:pPr>
        <w:pStyle w:val="corpsdedcision"/>
      </w:pPr>
      <w:r w:rsidRPr="001F4FEB">
        <w:t>Monsieur</w:t>
      </w:r>
      <w:r>
        <w:t xml:space="preserve"> Leroux rejette cette thèse</w:t>
      </w:r>
      <w:r w:rsidR="0019134A">
        <w:t>.</w:t>
      </w:r>
      <w:r>
        <w:t xml:space="preserve"> </w:t>
      </w:r>
      <w:r w:rsidR="006B63D7">
        <w:t>Pour</w:t>
      </w:r>
      <w:r w:rsidR="0019134A">
        <w:t xml:space="preserve"> sa part, il</w:t>
      </w:r>
      <w:r w:rsidR="00BE1929">
        <w:t xml:space="preserve"> explique</w:t>
      </w:r>
      <w:r>
        <w:t xml:space="preserve"> </w:t>
      </w:r>
      <w:r w:rsidR="006B63D7">
        <w:t xml:space="preserve">plutôt </w:t>
      </w:r>
      <w:r w:rsidR="00AD3C1E">
        <w:t xml:space="preserve">que </w:t>
      </w:r>
      <w:r w:rsidR="0019134A">
        <w:t>c’est</w:t>
      </w:r>
      <w:r w:rsidR="00AD3C1E">
        <w:t xml:space="preserve"> </w:t>
      </w:r>
      <w:r w:rsidR="0019134A">
        <w:t xml:space="preserve">l’exposition du </w:t>
      </w:r>
      <w:r w:rsidR="0019134A" w:rsidRPr="001F4FEB">
        <w:t>travailleur</w:t>
      </w:r>
      <w:r w:rsidR="0019134A">
        <w:t xml:space="preserve"> à</w:t>
      </w:r>
      <w:r>
        <w:t xml:space="preserve"> </w:t>
      </w:r>
      <w:r w:rsidR="00D10A86">
        <w:t xml:space="preserve">des </w:t>
      </w:r>
      <w:r>
        <w:t xml:space="preserve">cofacteurs de risque </w:t>
      </w:r>
      <w:r w:rsidR="00AD3C1E">
        <w:t xml:space="preserve">qui ont </w:t>
      </w:r>
      <w:r w:rsidR="0019134A">
        <w:t>contribué</w:t>
      </w:r>
      <w:r w:rsidR="00AD3C1E">
        <w:t xml:space="preserve"> à</w:t>
      </w:r>
      <w:r>
        <w:t xml:space="preserve"> potentialis</w:t>
      </w:r>
      <w:r w:rsidR="00AD3C1E">
        <w:t>er</w:t>
      </w:r>
      <w:r>
        <w:t xml:space="preserve"> l’effet nocif du bruit sur l’ouïe du </w:t>
      </w:r>
      <w:r w:rsidRPr="001F4FEB">
        <w:t>travailleur</w:t>
      </w:r>
      <w:r>
        <w:t>. Il réfère ainsi au monoxyde de carbone, aux vibrations ressenties lors du transport en camion et aux bruits d’impact, sous-estimés par la norme ISO 1999 (2013).</w:t>
      </w:r>
      <w:r w:rsidR="00AD3C1E">
        <w:t xml:space="preserve"> L’ajout </w:t>
      </w:r>
      <w:r>
        <w:t xml:space="preserve">de ces cofacteurs de risque au potentiel nocif du bruit, peut expliquer l’atteinte plus importante que présente le </w:t>
      </w:r>
      <w:r w:rsidRPr="001F4FEB">
        <w:t>travailleur</w:t>
      </w:r>
      <w:r>
        <w:t xml:space="preserve"> par rapport à ce que la norme ISO 1999 (2013) prédit comme atteinte auditive par le bruit</w:t>
      </w:r>
      <w:r w:rsidR="006B63D7">
        <w:t>,</w:t>
      </w:r>
      <w:r>
        <w:t xml:space="preserve"> pour une population comparable.</w:t>
      </w:r>
    </w:p>
    <w:p w14:paraId="46A9939A" w14:textId="77777777" w:rsidR="00BE1929" w:rsidRDefault="00BE1929" w:rsidP="00750D72">
      <w:pPr>
        <w:pStyle w:val="corpsdedcision"/>
      </w:pPr>
      <w:r>
        <w:t>D’emblée,</w:t>
      </w:r>
      <w:r w:rsidR="00A0155A">
        <w:t xml:space="preserve"> le tribunal </w:t>
      </w:r>
      <w:r>
        <w:t>se doit d’indiquer qu’il ne peut souscrire à l’hypothèse de cofacteurs de risque permettant de potentialiser l’effet nocif du bruit</w:t>
      </w:r>
      <w:r w:rsidR="005C71F1">
        <w:t xml:space="preserve"> chez le </w:t>
      </w:r>
      <w:r w:rsidR="005C71F1" w:rsidRPr="001F4FEB">
        <w:t>travailleur</w:t>
      </w:r>
      <w:r w:rsidR="003661B7">
        <w:t>.</w:t>
      </w:r>
    </w:p>
    <w:p w14:paraId="72905708" w14:textId="77777777" w:rsidR="00A0155A" w:rsidRDefault="00A0155A" w:rsidP="00750D72">
      <w:pPr>
        <w:pStyle w:val="corpsdedcision"/>
      </w:pPr>
      <w:r w:rsidRPr="000F7E2B">
        <w:t xml:space="preserve">Il est vrai </w:t>
      </w:r>
      <w:r w:rsidR="00BE1929" w:rsidRPr="000F7E2B">
        <w:t>que monsieur</w:t>
      </w:r>
      <w:r w:rsidR="00BE1929">
        <w:t xml:space="preserve"> Leroux soumet</w:t>
      </w:r>
      <w:r>
        <w:t xml:space="preserve"> </w:t>
      </w:r>
      <w:r w:rsidR="00C11A88">
        <w:t>quelques</w:t>
      </w:r>
      <w:r w:rsidR="00BE1929">
        <w:t xml:space="preserve"> articles</w:t>
      </w:r>
      <w:r>
        <w:t xml:space="preserve"> </w:t>
      </w:r>
      <w:r w:rsidR="00CD42C2">
        <w:t>suggérant</w:t>
      </w:r>
      <w:r>
        <w:t xml:space="preserve"> un</w:t>
      </w:r>
      <w:r w:rsidR="00161317">
        <w:t>e potentialisation de l’effet nocif du bruit en présence d’une</w:t>
      </w:r>
      <w:r w:rsidR="007A0A05">
        <w:t xml:space="preserve"> </w:t>
      </w:r>
      <w:r>
        <w:t>exposition au monoxyde de carbone</w:t>
      </w:r>
      <w:r w:rsidR="00161317">
        <w:t xml:space="preserve"> ou</w:t>
      </w:r>
      <w:r>
        <w:t xml:space="preserve"> aux vibrations</w:t>
      </w:r>
      <w:r w:rsidR="00161317">
        <w:t xml:space="preserve"> du corps entier.</w:t>
      </w:r>
      <w:r>
        <w:t xml:space="preserve"> Cependant, le fait de déposer une telle littérature ne fait pas la preuve de l’exposition du </w:t>
      </w:r>
      <w:r w:rsidRPr="001F4FEB">
        <w:t>travailleur</w:t>
      </w:r>
      <w:r>
        <w:t xml:space="preserve"> à de tels cofacteurs</w:t>
      </w:r>
      <w:r w:rsidR="00B10BA1">
        <w:t xml:space="preserve"> dans le cadre de son travail à la livraison de boissons gazeuses</w:t>
      </w:r>
      <w:r w:rsidR="00BE1929">
        <w:t xml:space="preserve"> pour l’</w:t>
      </w:r>
      <w:r w:rsidR="00BE1929" w:rsidRPr="001F4FEB">
        <w:t>employeur</w:t>
      </w:r>
      <w:r>
        <w:t>.</w:t>
      </w:r>
      <w:r w:rsidR="00B10BA1">
        <w:t xml:space="preserve"> De l’avis du tribunal, </w:t>
      </w:r>
      <w:r w:rsidR="006B63D7" w:rsidRPr="001F4FEB">
        <w:t>monsieur</w:t>
      </w:r>
      <w:r w:rsidR="00B10BA1">
        <w:t xml:space="preserve"> Leroux semble la tenir pour acquise.</w:t>
      </w:r>
    </w:p>
    <w:p w14:paraId="2667B0D0" w14:textId="77777777" w:rsidR="00211265" w:rsidRDefault="008100BD" w:rsidP="00211265">
      <w:pPr>
        <w:pStyle w:val="corpsdedcision"/>
        <w:tabs>
          <w:tab w:val="clear" w:pos="360"/>
          <w:tab w:val="num" w:pos="720"/>
        </w:tabs>
      </w:pPr>
      <w:r>
        <w:t xml:space="preserve">Le tribunal retient que dans la seule étude réalisée chez des humains, </w:t>
      </w:r>
      <w:r w:rsidR="00211265" w:rsidRPr="00211265">
        <w:t>il est question d’exposition au bruit et au monoxyde de carbone d</w:t>
      </w:r>
      <w:r w:rsidR="00211265">
        <w:t>urant une journée de 8</w:t>
      </w:r>
      <w:r w:rsidR="004E0867">
        <w:t> </w:t>
      </w:r>
      <w:r w:rsidR="00211265">
        <w:t>heures. De façon plus précise, l</w:t>
      </w:r>
      <w:r w:rsidR="00211265" w:rsidRPr="00211265">
        <w:t xml:space="preserve">es résultats démontrent qu’une </w:t>
      </w:r>
      <w:proofErr w:type="gramStart"/>
      <w:r w:rsidR="00211265" w:rsidRPr="00211265">
        <w:t>exposition  moyenne</w:t>
      </w:r>
      <w:proofErr w:type="gramEnd"/>
      <w:r w:rsidR="00211265" w:rsidRPr="00211265">
        <w:t xml:space="preserve"> de 8 heures au bruit de 80 à 85 </w:t>
      </w:r>
      <w:proofErr w:type="spellStart"/>
      <w:r w:rsidR="00211265" w:rsidRPr="00211265">
        <w:t>dBA</w:t>
      </w:r>
      <w:proofErr w:type="spellEnd"/>
      <w:r w:rsidR="006B63D7">
        <w:t>,</w:t>
      </w:r>
      <w:r w:rsidR="00211265" w:rsidRPr="00211265">
        <w:t xml:space="preserve"> conjuguée à une exposition de 8 heures au monoxyde de carbone de plus de 20 ppm a un effet significatif sur l’atteinte auditive des travailleurs</w:t>
      </w:r>
      <w:r w:rsidR="00161317">
        <w:t>.</w:t>
      </w:r>
      <w:r w:rsidR="00211265" w:rsidRPr="00211265">
        <w:t xml:space="preserve"> </w:t>
      </w:r>
    </w:p>
    <w:p w14:paraId="72F6EC68" w14:textId="77777777" w:rsidR="00B10BA1" w:rsidRDefault="00211265" w:rsidP="000A7585">
      <w:pPr>
        <w:pStyle w:val="corpsdedcision"/>
      </w:pPr>
      <w:r>
        <w:t>Or, dans le cadre de son témoignage</w:t>
      </w:r>
      <w:r w:rsidR="005C71F1">
        <w:t xml:space="preserve">, </w:t>
      </w:r>
      <w:r w:rsidR="004E0867">
        <w:t xml:space="preserve">monsieur </w:t>
      </w:r>
      <w:r w:rsidR="00B10BA1">
        <w:t xml:space="preserve">Leroux a indiqué qu’il n’a pas de données particulières au sujet de l’exposition du </w:t>
      </w:r>
      <w:r w:rsidR="00B10BA1" w:rsidRPr="001F4FEB">
        <w:t>travailleur</w:t>
      </w:r>
      <w:r w:rsidR="00161317">
        <w:t>,</w:t>
      </w:r>
      <w:r w:rsidR="00B10BA1">
        <w:t xml:space="preserve"> </w:t>
      </w:r>
      <w:r w:rsidR="008100BD">
        <w:t xml:space="preserve">ni </w:t>
      </w:r>
      <w:r w:rsidR="00B10BA1">
        <w:t>au monoxyde de carbone</w:t>
      </w:r>
      <w:r w:rsidR="00161317">
        <w:t>,</w:t>
      </w:r>
      <w:r w:rsidR="00B10BA1">
        <w:t xml:space="preserve"> </w:t>
      </w:r>
      <w:r w:rsidR="008100BD">
        <w:t xml:space="preserve">ni </w:t>
      </w:r>
      <w:r w:rsidR="00B10BA1">
        <w:t>aux vibrations des camions de livraison</w:t>
      </w:r>
      <w:r w:rsidR="00CD42C2">
        <w:t xml:space="preserve">, si ce n’est les déclarations du </w:t>
      </w:r>
      <w:r w:rsidR="00CD42C2" w:rsidRPr="001F4FEB">
        <w:t>travailleur</w:t>
      </w:r>
      <w:r w:rsidR="00CD42C2">
        <w:t xml:space="preserve"> à ce sujet</w:t>
      </w:r>
      <w:r w:rsidR="00B10BA1">
        <w:t>.</w:t>
      </w:r>
    </w:p>
    <w:p w14:paraId="05D8519D" w14:textId="77777777" w:rsidR="00956A21" w:rsidRDefault="00211265" w:rsidP="00956A21">
      <w:pPr>
        <w:pStyle w:val="corpsdedcision"/>
      </w:pPr>
      <w:r>
        <w:t>Force</w:t>
      </w:r>
      <w:r w:rsidR="00956A21">
        <w:t xml:space="preserve"> est d’admettre que le </w:t>
      </w:r>
      <w:r w:rsidR="00956A21" w:rsidRPr="001F4FEB">
        <w:t>travailleur</w:t>
      </w:r>
      <w:r w:rsidR="00956A21">
        <w:t xml:space="preserve"> a été plutôt évasif et imprécis dans le cadre de son témoignage quant à ces différents éléments.</w:t>
      </w:r>
      <w:r w:rsidR="00956A21" w:rsidRPr="00B10BA1">
        <w:t xml:space="preserve"> </w:t>
      </w:r>
      <w:r w:rsidR="00956A21">
        <w:t>De plus, aucune donnée particulière n’a été soumise à l’attention du tribunal sur les camions utilisés ou sur la situation qui prévalait dans le garage. Le tribunal ne peut se contenter d’une simple affirmation, sans plus de détails.</w:t>
      </w:r>
    </w:p>
    <w:p w14:paraId="56BFA2DD" w14:textId="77777777" w:rsidR="006E5F92" w:rsidRDefault="006E5F92" w:rsidP="006E5F92">
      <w:pPr>
        <w:pStyle w:val="corpsdedcision"/>
        <w:numPr>
          <w:ilvl w:val="0"/>
          <w:numId w:val="0"/>
        </w:numPr>
      </w:pPr>
    </w:p>
    <w:p w14:paraId="10D7E648" w14:textId="77777777" w:rsidR="000F7E2B" w:rsidRDefault="00956A21" w:rsidP="00956A21">
      <w:pPr>
        <w:pStyle w:val="corpsdedcision"/>
        <w:tabs>
          <w:tab w:val="clear" w:pos="360"/>
          <w:tab w:val="num" w:pos="720"/>
        </w:tabs>
      </w:pPr>
      <w:r>
        <w:lastRenderedPageBreak/>
        <w:t>D’ailleurs, r</w:t>
      </w:r>
      <w:r w:rsidR="000F7E2B">
        <w:t>épondant aux questions de la procureure de l’</w:t>
      </w:r>
      <w:r w:rsidR="000F7E2B" w:rsidRPr="001F4FEB">
        <w:t>employeur</w:t>
      </w:r>
      <w:r>
        <w:t xml:space="preserve"> particulièrement sur le monoxyde de carbone</w:t>
      </w:r>
      <w:r w:rsidR="000F7E2B">
        <w:t xml:space="preserve">, </w:t>
      </w:r>
      <w:r w:rsidRPr="001F4FEB">
        <w:t>monsieur</w:t>
      </w:r>
      <w:r>
        <w:t xml:space="preserve"> Leroux</w:t>
      </w:r>
      <w:r w:rsidR="000F7E2B" w:rsidRPr="000F7E2B">
        <w:t xml:space="preserve"> convient que</w:t>
      </w:r>
      <w:r w:rsidR="00590F05">
        <w:t>,</w:t>
      </w:r>
      <w:r w:rsidR="000F7E2B" w:rsidRPr="000F7E2B">
        <w:t xml:space="preserve"> nulle part dans son expertise</w:t>
      </w:r>
      <w:r w:rsidR="00590F05">
        <w:t>,</w:t>
      </w:r>
      <w:r w:rsidR="000F7E2B" w:rsidRPr="000F7E2B">
        <w:t xml:space="preserve"> il est question de l’aération du garage où étaient stationnés les camions. Il n’a pas </w:t>
      </w:r>
      <w:r>
        <w:t xml:space="preserve">eu </w:t>
      </w:r>
      <w:r w:rsidR="000F7E2B" w:rsidRPr="000F7E2B">
        <w:t>non plus de données sur la ventilation dans le garage</w:t>
      </w:r>
      <w:r>
        <w:t xml:space="preserve"> ni eu accès</w:t>
      </w:r>
      <w:r w:rsidR="000F7E2B" w:rsidRPr="000F7E2B">
        <w:t xml:space="preserve"> </w:t>
      </w:r>
      <w:r>
        <w:t xml:space="preserve">à quelconque </w:t>
      </w:r>
      <w:r w:rsidR="000F7E2B" w:rsidRPr="000F7E2B">
        <w:t>évaluation de la qualité de l’air faite dans les garages où le travailleur stationnait ses camions entre 1978 et 2012</w:t>
      </w:r>
      <w:r w:rsidR="000F7E2B">
        <w:t>.</w:t>
      </w:r>
    </w:p>
    <w:p w14:paraId="45AA2482" w14:textId="77777777" w:rsidR="0064125E" w:rsidRDefault="00B10BA1" w:rsidP="00211265">
      <w:pPr>
        <w:pStyle w:val="corpsdedcision"/>
      </w:pPr>
      <w:r>
        <w:t>Ceci, dans un contexte où</w:t>
      </w:r>
      <w:r w:rsidR="00A0155A" w:rsidRPr="000F016D">
        <w:t xml:space="preserve"> monsieur Martineau</w:t>
      </w:r>
      <w:r w:rsidR="000F016D">
        <w:t>, alors</w:t>
      </w:r>
      <w:r w:rsidR="00CD42C2">
        <w:t xml:space="preserve"> directement impliqué dans la </w:t>
      </w:r>
      <w:r w:rsidR="00480FB0">
        <w:t xml:space="preserve">gestion de la </w:t>
      </w:r>
      <w:r w:rsidR="00CD42C2">
        <w:t>distribution</w:t>
      </w:r>
      <w:r w:rsidR="00480FB0">
        <w:t>/livraison</w:t>
      </w:r>
      <w:r w:rsidR="00CD42C2">
        <w:t xml:space="preserve"> de produits et membre du comité de santé et sécurité</w:t>
      </w:r>
      <w:r w:rsidR="00480FB0">
        <w:t xml:space="preserve"> du travail de l’entreprise,</w:t>
      </w:r>
      <w:r w:rsidR="00A0155A">
        <w:t xml:space="preserve"> a témoigné très clairement sur l’état d’entretien de la flotte de camions, la disposition du garage</w:t>
      </w:r>
      <w:r w:rsidR="00787533">
        <w:t>, l’étape du</w:t>
      </w:r>
      <w:r w:rsidR="00244964">
        <w:t xml:space="preserve"> démarrage des camions</w:t>
      </w:r>
      <w:r w:rsidR="00480FB0">
        <w:t>, l’ouverture des portes</w:t>
      </w:r>
      <w:r w:rsidR="00244964">
        <w:t xml:space="preserve"> </w:t>
      </w:r>
      <w:r w:rsidR="00A0155A">
        <w:t xml:space="preserve">et la présence de </w:t>
      </w:r>
      <w:r w:rsidR="000A7585">
        <w:t>source</w:t>
      </w:r>
      <w:r w:rsidR="008100BD">
        <w:t>s</w:t>
      </w:r>
      <w:r w:rsidR="000A7585">
        <w:t xml:space="preserve"> de </w:t>
      </w:r>
      <w:r w:rsidR="00A0155A">
        <w:t>ventilation</w:t>
      </w:r>
      <w:r w:rsidR="00787533">
        <w:t xml:space="preserve">. Ce témoignage ne permet pas de confirmer une </w:t>
      </w:r>
      <w:r w:rsidR="00956A21">
        <w:t xml:space="preserve">quelconque </w:t>
      </w:r>
      <w:r w:rsidR="00787533">
        <w:t xml:space="preserve">problématique à ce </w:t>
      </w:r>
      <w:r w:rsidR="00956A21">
        <w:t>sujet</w:t>
      </w:r>
      <w:r w:rsidR="00787533">
        <w:t xml:space="preserve">. Le témoignage de </w:t>
      </w:r>
      <w:r w:rsidR="00787533" w:rsidRPr="001F4FEB">
        <w:t>monsieur</w:t>
      </w:r>
      <w:r w:rsidR="00787533">
        <w:t xml:space="preserve"> Paradis, ayant travaillé à la livraison, va d’ailleurs dans le même sens que celui de </w:t>
      </w:r>
      <w:r w:rsidR="00787533" w:rsidRPr="001F4FEB">
        <w:t>monsieur</w:t>
      </w:r>
      <w:r w:rsidR="00787533">
        <w:t xml:space="preserve"> Martineau.</w:t>
      </w:r>
    </w:p>
    <w:p w14:paraId="2B476C97" w14:textId="77777777" w:rsidR="00956A21" w:rsidRDefault="00956A21" w:rsidP="001B00AA">
      <w:pPr>
        <w:pStyle w:val="corpsdedcision"/>
      </w:pPr>
      <w:r>
        <w:t xml:space="preserve">Quant à la question des vibrations, le tribunal est d’avis que la preuve est tout aussi déficiente. </w:t>
      </w:r>
      <w:r w:rsidR="001B00AA">
        <w:t>D’abord, les études déposées font également état d’une atteinte auditive plus sévère chez les individus exposés durant 8 heures à des vibrations de plus de 0,5</w:t>
      </w:r>
      <w:r w:rsidR="004E0867">
        <w:t> </w:t>
      </w:r>
      <w:r w:rsidR="001B00AA">
        <w:t>m/s</w:t>
      </w:r>
      <w:r w:rsidR="001B00AA">
        <w:rPr>
          <w:vertAlign w:val="superscript"/>
        </w:rPr>
        <w:t>2</w:t>
      </w:r>
      <w:r w:rsidR="001B00AA">
        <w:t xml:space="preserve">. </w:t>
      </w:r>
      <w:r w:rsidR="00166339">
        <w:t>Aussi</w:t>
      </w:r>
      <w:r w:rsidR="00C11A88">
        <w:t>, il est</w:t>
      </w:r>
      <w:r w:rsidR="0064125E">
        <w:t xml:space="preserve"> difficile de faire un rapprochement avec la littérature soumise par </w:t>
      </w:r>
      <w:r w:rsidR="0064125E" w:rsidRPr="001F4FEB">
        <w:t>monsieur</w:t>
      </w:r>
      <w:r w:rsidR="0064125E">
        <w:t xml:space="preserve"> </w:t>
      </w:r>
      <w:r w:rsidR="00211265">
        <w:t>Leroux</w:t>
      </w:r>
      <w:r w:rsidR="0064125E">
        <w:t xml:space="preserve"> laquelle concern</w:t>
      </w:r>
      <w:r w:rsidR="00C11A88">
        <w:t>e</w:t>
      </w:r>
      <w:r w:rsidR="00211265">
        <w:t>,</w:t>
      </w:r>
      <w:r w:rsidR="00C11A88">
        <w:t xml:space="preserve"> </w:t>
      </w:r>
      <w:r w:rsidR="0064125E">
        <w:t>entre autres</w:t>
      </w:r>
      <w:r w:rsidR="00211265">
        <w:t>,</w:t>
      </w:r>
      <w:r w:rsidR="0064125E">
        <w:t xml:space="preserve"> des opérateurs de tracteurs de ferme ou des personnes exposées de façon significative</w:t>
      </w:r>
      <w:r w:rsidR="00C11A88">
        <w:t xml:space="preserve"> en raison de longue</w:t>
      </w:r>
      <w:r w:rsidR="00134038">
        <w:t>s</w:t>
      </w:r>
      <w:r w:rsidR="00C11A88">
        <w:t xml:space="preserve"> période</w:t>
      </w:r>
      <w:r w:rsidR="00134038">
        <w:t>s</w:t>
      </w:r>
      <w:r w:rsidR="00C11A88">
        <w:t xml:space="preserve"> de conduite</w:t>
      </w:r>
      <w:r w:rsidR="0064125E">
        <w:t>.</w:t>
      </w:r>
    </w:p>
    <w:p w14:paraId="6E1D9CC4" w14:textId="77777777" w:rsidR="0064125E" w:rsidRDefault="00211265" w:rsidP="00A84AA5">
      <w:pPr>
        <w:pStyle w:val="corpsdedcision"/>
      </w:pPr>
      <w:r>
        <w:t>Il</w:t>
      </w:r>
      <w:r w:rsidR="0064125E">
        <w:t xml:space="preserve"> ressort </w:t>
      </w:r>
      <w:r>
        <w:t xml:space="preserve">d’ailleurs </w:t>
      </w:r>
      <w:r w:rsidR="0064125E">
        <w:t xml:space="preserve">de la preuve que le </w:t>
      </w:r>
      <w:r w:rsidR="0064125E" w:rsidRPr="001F4FEB">
        <w:t>travailleur</w:t>
      </w:r>
      <w:r w:rsidR="0064125E">
        <w:t xml:space="preserve"> a fait </w:t>
      </w:r>
      <w:r w:rsidR="00C11A88">
        <w:t xml:space="preserve">surtout </w:t>
      </w:r>
      <w:r w:rsidR="0064125E">
        <w:t>de la livraison en vi</w:t>
      </w:r>
      <w:r w:rsidR="009820DE">
        <w:t>lle</w:t>
      </w:r>
      <w:r w:rsidR="00C11A88">
        <w:t xml:space="preserve"> </w:t>
      </w:r>
      <w:r w:rsidR="001B00AA">
        <w:t xml:space="preserve">avec des camions </w:t>
      </w:r>
      <w:r w:rsidR="00C11A88">
        <w:t>de type conventionnel ou vrac/conventionnel</w:t>
      </w:r>
      <w:r w:rsidR="009820DE">
        <w:t xml:space="preserve">. De </w:t>
      </w:r>
      <w:r>
        <w:t>cette</w:t>
      </w:r>
      <w:r w:rsidR="009820DE">
        <w:t xml:space="preserve"> preuve, le tribunal comprend que ce genre de livraison pour une journée de travail implique une proportion moins élevée de </w:t>
      </w:r>
      <w:r w:rsidR="00C11A88">
        <w:t>temps de transport. Par exemple, d</w:t>
      </w:r>
      <w:r w:rsidR="009820DE">
        <w:t xml:space="preserve">ans le cadre de son témoignage, </w:t>
      </w:r>
      <w:r w:rsidR="009820DE" w:rsidRPr="001F4FEB">
        <w:t>monsieur</w:t>
      </w:r>
      <w:r w:rsidR="009820DE">
        <w:t xml:space="preserve"> Paradis </w:t>
      </w:r>
      <w:r w:rsidR="00C11A88">
        <w:t>a estimé</w:t>
      </w:r>
      <w:r w:rsidR="009820DE">
        <w:t xml:space="preserve"> qu’une route de ville </w:t>
      </w:r>
      <w:r w:rsidR="00C11A88">
        <w:t>pouvait nécessiter</w:t>
      </w:r>
      <w:r w:rsidR="009820DE">
        <w:t xml:space="preserve"> environ </w:t>
      </w:r>
      <w:r w:rsidR="004E0867">
        <w:t>2 </w:t>
      </w:r>
      <w:r w:rsidR="009820DE">
        <w:t>h de déplacement en camion et environ 5 h 30 de temps de livraison, placement du produit ou récupération des bouteilles.</w:t>
      </w:r>
    </w:p>
    <w:p w14:paraId="01140916" w14:textId="77777777" w:rsidR="0064125E" w:rsidRDefault="00C11A88" w:rsidP="00A84AA5">
      <w:pPr>
        <w:pStyle w:val="corpsdedcision"/>
      </w:pPr>
      <w:r>
        <w:t>En ce sens</w:t>
      </w:r>
      <w:r w:rsidR="00BF1ECC">
        <w:t xml:space="preserve">, la preuve d’une exposition du </w:t>
      </w:r>
      <w:r w:rsidR="00BF1ECC" w:rsidRPr="001F4FEB">
        <w:t>travailleur</w:t>
      </w:r>
      <w:r w:rsidR="00BF1ECC">
        <w:t xml:space="preserve"> à des vibrations s’avère</w:t>
      </w:r>
      <w:r>
        <w:t xml:space="preserve"> donc</w:t>
      </w:r>
      <w:r w:rsidR="00BF1ECC">
        <w:t xml:space="preserve"> déficiente et ne peut certes permettre un rapprochement avec les situations décrites dans la littérature soumise.</w:t>
      </w:r>
    </w:p>
    <w:p w14:paraId="78AD4A76" w14:textId="77777777" w:rsidR="00480FB0" w:rsidRDefault="000F016D" w:rsidP="000A09C3">
      <w:pPr>
        <w:pStyle w:val="corpsdedcision"/>
        <w:tabs>
          <w:tab w:val="clear" w:pos="360"/>
        </w:tabs>
      </w:pPr>
      <w:r>
        <w:t xml:space="preserve">Dans un tel contexte, le tribunal estime donc que la preuve n’est pas prépondérante pour </w:t>
      </w:r>
      <w:r w:rsidR="00480FB0">
        <w:t xml:space="preserve">appuyer </w:t>
      </w:r>
      <w:proofErr w:type="gramStart"/>
      <w:r w:rsidR="00480FB0">
        <w:t xml:space="preserve">la thèse </w:t>
      </w:r>
      <w:r w:rsidR="00D647A2">
        <w:t>voulant</w:t>
      </w:r>
      <w:proofErr w:type="gramEnd"/>
      <w:r w:rsidR="00D647A2">
        <w:t xml:space="preserve"> qu’il puisse y avoir une</w:t>
      </w:r>
      <w:r w:rsidR="00480FB0">
        <w:t xml:space="preserve"> potentialisation de l’effet nocif du bruit </w:t>
      </w:r>
      <w:r w:rsidR="001B00AA">
        <w:t>sur</w:t>
      </w:r>
      <w:r w:rsidR="00480FB0">
        <w:t xml:space="preserve"> le système auditif du </w:t>
      </w:r>
      <w:r w:rsidR="00480FB0" w:rsidRPr="001F4FEB">
        <w:t>travailleur</w:t>
      </w:r>
      <w:r w:rsidR="00D647A2">
        <w:t xml:space="preserve"> par l’exposition au</w:t>
      </w:r>
      <w:r w:rsidR="00480FB0">
        <w:t xml:space="preserve"> </w:t>
      </w:r>
      <w:r>
        <w:t xml:space="preserve">monoxyde de carbone </w:t>
      </w:r>
      <w:r w:rsidR="00480FB0">
        <w:t xml:space="preserve">et </w:t>
      </w:r>
      <w:r w:rsidR="00D647A2">
        <w:t>aux</w:t>
      </w:r>
      <w:r w:rsidR="00480FB0">
        <w:t xml:space="preserve"> vibrations</w:t>
      </w:r>
      <w:r>
        <w:t>.</w:t>
      </w:r>
    </w:p>
    <w:p w14:paraId="2B0E76EC" w14:textId="77777777" w:rsidR="006E5F92" w:rsidRDefault="006E5F92" w:rsidP="006E5F92">
      <w:pPr>
        <w:pStyle w:val="corpsdedcision"/>
        <w:numPr>
          <w:ilvl w:val="0"/>
          <w:numId w:val="0"/>
        </w:numPr>
      </w:pPr>
    </w:p>
    <w:p w14:paraId="64F509E2" w14:textId="77777777" w:rsidR="00A026E1" w:rsidRDefault="00244964" w:rsidP="007A0A05">
      <w:pPr>
        <w:pStyle w:val="corpsdedcision"/>
        <w:tabs>
          <w:tab w:val="clear" w:pos="360"/>
          <w:tab w:val="num" w:pos="720"/>
        </w:tabs>
      </w:pPr>
      <w:r>
        <w:lastRenderedPageBreak/>
        <w:t xml:space="preserve">En ce qui a trait aux bruits d’impacts, </w:t>
      </w:r>
      <w:r w:rsidR="00590F05">
        <w:t>le tribunal retient que</w:t>
      </w:r>
      <w:r w:rsidR="007A0A05">
        <w:t xml:space="preserve"> </w:t>
      </w:r>
      <w:r w:rsidR="00ED5943">
        <w:t>t</w:t>
      </w:r>
      <w:r w:rsidR="002A7227">
        <w:t xml:space="preserve">ant </w:t>
      </w:r>
      <w:r w:rsidR="00166339" w:rsidRPr="001F4FEB">
        <w:t>monsieur</w:t>
      </w:r>
      <w:r w:rsidR="00ED5943">
        <w:t xml:space="preserve"> Leroux que le docteur Bertra</w:t>
      </w:r>
      <w:r w:rsidR="002A7227">
        <w:t>nd ont indiqué, dans le cadre de leur témoignage, que les mesures prises selon la norme ISO 1999</w:t>
      </w:r>
      <w:r w:rsidR="00D01E66">
        <w:t xml:space="preserve"> (2013)</w:t>
      </w:r>
      <w:r w:rsidR="002A7227">
        <w:t xml:space="preserve"> permettaient l’intégration des bruit</w:t>
      </w:r>
      <w:r w:rsidR="00A026E1">
        <w:t>s d’impacts, inférieurs à 140 dB</w:t>
      </w:r>
      <w:r w:rsidR="002A7227">
        <w:t>.</w:t>
      </w:r>
      <w:r w:rsidR="00ED5943">
        <w:t xml:space="preserve"> </w:t>
      </w:r>
    </w:p>
    <w:p w14:paraId="27890E40" w14:textId="77777777" w:rsidR="00387798" w:rsidRPr="00387798" w:rsidRDefault="00D01E66" w:rsidP="00942E4D">
      <w:pPr>
        <w:pStyle w:val="corpsdedcision"/>
      </w:pPr>
      <w:r>
        <w:t>Pour les impacts excédant</w:t>
      </w:r>
      <w:r w:rsidR="00043541" w:rsidRPr="006A1927">
        <w:t xml:space="preserve"> 140 dB</w:t>
      </w:r>
      <w:r w:rsidR="00043541">
        <w:t xml:space="preserve">, la preuve soumise en révèle très peu. </w:t>
      </w:r>
      <w:r w:rsidR="00942E4D">
        <w:t>D</w:t>
      </w:r>
      <w:r w:rsidR="006A1927">
        <w:t xml:space="preserve">ans le cadre de son témoignage, </w:t>
      </w:r>
      <w:r w:rsidR="006A1927" w:rsidRPr="001F4FEB">
        <w:t>monsieur</w:t>
      </w:r>
      <w:r w:rsidR="006A1927">
        <w:t xml:space="preserve"> Leroux, référant à l’étude de l’ingénieur Torikian, </w:t>
      </w:r>
      <w:r w:rsidR="00942E4D">
        <w:t>en retrouve entre 1 et 4 par dosimétrie, lorsque présent</w:t>
      </w:r>
      <w:r>
        <w:t>s</w:t>
      </w:r>
      <w:r w:rsidR="00942E4D">
        <w:t xml:space="preserve">. </w:t>
      </w:r>
    </w:p>
    <w:p w14:paraId="4FF47D59" w14:textId="77777777" w:rsidR="000F016D" w:rsidRDefault="00942E4D" w:rsidP="009F6E97">
      <w:pPr>
        <w:pStyle w:val="corpsdedcision"/>
      </w:pPr>
      <w:proofErr w:type="gramStart"/>
      <w:r>
        <w:t>Ceci étant</w:t>
      </w:r>
      <w:proofErr w:type="gramEnd"/>
      <w:r w:rsidR="00E514AC">
        <w:t>, le tribunal est d’avis de s’en tenir à la norme ISO 1999 (2013), laquelle permet l’intégration des bru</w:t>
      </w:r>
      <w:r w:rsidR="00B848B4">
        <w:t>its d’impact inférieurs à 140 dB</w:t>
      </w:r>
      <w:r w:rsidR="00E514AC">
        <w:t xml:space="preserve">, </w:t>
      </w:r>
      <w:r w:rsidR="007F0C72">
        <w:t>pour</w:t>
      </w:r>
      <w:r w:rsidR="00E514AC">
        <w:t xml:space="preserve"> éviter en quelque sorte un double usage de tels bruits dans l’analyse de la courbe du </w:t>
      </w:r>
      <w:r w:rsidR="00E514AC" w:rsidRPr="001F4FEB">
        <w:t>travailleur</w:t>
      </w:r>
      <w:r w:rsidR="00E514AC">
        <w:t>.</w:t>
      </w:r>
      <w:r w:rsidR="009F6E97">
        <w:t xml:space="preserve"> De toute façon, lorsque monsieur Leroux fait un calcul des pertes supplémentaires d’audition en dB causées par la présence de cofacteurs, force est de constater qu’il ne tient compte que de l’effet du monoxyde de car</w:t>
      </w:r>
      <w:r w:rsidR="00590F05">
        <w:t>bone (+10</w:t>
      </w:r>
      <w:r w:rsidR="009F6E97">
        <w:t xml:space="preserve"> dB) et des vibrations (</w:t>
      </w:r>
      <w:r w:rsidR="00590F05">
        <w:t>+3-4</w:t>
      </w:r>
      <w:r w:rsidR="009F6E97">
        <w:t xml:space="preserve"> dB). </w:t>
      </w:r>
    </w:p>
    <w:p w14:paraId="71799FD6" w14:textId="77777777" w:rsidR="00ED5943" w:rsidRDefault="00ED5943" w:rsidP="00244964">
      <w:pPr>
        <w:pStyle w:val="corpsdedcision"/>
      </w:pPr>
      <w:r>
        <w:t xml:space="preserve">En conséquence, le tribunal ne peut, comme le suggère </w:t>
      </w:r>
      <w:r w:rsidR="00D01E66" w:rsidRPr="001F4FEB">
        <w:t>monsieur</w:t>
      </w:r>
      <w:r>
        <w:t xml:space="preserve"> Leroux, considérer la présence de cofacteurs de risque reliés au travail de livraison, pour expliquer l’ampleur des dommages auditifs constatés chez ce </w:t>
      </w:r>
      <w:r w:rsidRPr="001F4FEB">
        <w:t>travailleur</w:t>
      </w:r>
      <w:r>
        <w:t>, lesquels s’écartent de façon significative de la prédiction d’atteinte par le bruit de la norme ISO 1999 (2013).</w:t>
      </w:r>
    </w:p>
    <w:p w14:paraId="61F5D325" w14:textId="77777777" w:rsidR="00D10A86" w:rsidRDefault="00D760B3" w:rsidP="00D760B3">
      <w:pPr>
        <w:pStyle w:val="corpsdedcision"/>
      </w:pPr>
      <w:proofErr w:type="gramStart"/>
      <w:r>
        <w:t>Ceci étant</w:t>
      </w:r>
      <w:proofErr w:type="gramEnd"/>
      <w:r>
        <w:t xml:space="preserve">, tel que mentionné, </w:t>
      </w:r>
      <w:r w:rsidR="00B34E76">
        <w:t>le docteur Bertrand</w:t>
      </w:r>
      <w:r>
        <w:t xml:space="preserve"> est d’avis que</w:t>
      </w:r>
      <w:r w:rsidR="00B34E76">
        <w:t xml:space="preserve"> le niveau d’atteinte auditive du </w:t>
      </w:r>
      <w:r w:rsidR="00B34E76" w:rsidRPr="001F4FEB">
        <w:t>travailleur</w:t>
      </w:r>
      <w:r w:rsidR="00B34E76">
        <w:t xml:space="preserve"> s’explique par la presbyacousie et l’ajout de pathologies à connotation vasculaires importantes.</w:t>
      </w:r>
    </w:p>
    <w:p w14:paraId="2EB21CC4" w14:textId="77777777" w:rsidR="00750D72" w:rsidRDefault="00750D72" w:rsidP="00750D72">
      <w:pPr>
        <w:pStyle w:val="corpsdedcision"/>
      </w:pPr>
      <w:r>
        <w:t>De façon générale, à propos de la presbyacousie</w:t>
      </w:r>
      <w:r w:rsidRPr="006C523B">
        <w:t xml:space="preserve">, </w:t>
      </w:r>
      <w:r>
        <w:t>l</w:t>
      </w:r>
      <w:r w:rsidRPr="006C523B">
        <w:t xml:space="preserve">e docteur Bertrand mentionne qu’il existe quatre modalités, la plus fréquente étant la forme neurosensorielle par atteinte de l’organe de Corti au niveau des cellules ciliées externes et internes. </w:t>
      </w:r>
      <w:r>
        <w:t xml:space="preserve">À son avis, le travailleur présente une atteinte </w:t>
      </w:r>
      <w:r w:rsidRPr="001B00AA">
        <w:t>neurosensorielle</w:t>
      </w:r>
      <w:r>
        <w:t>.</w:t>
      </w:r>
    </w:p>
    <w:p w14:paraId="02065B61" w14:textId="77777777" w:rsidR="00750D72" w:rsidRPr="00316B5F" w:rsidRDefault="00316B5F" w:rsidP="00750D72">
      <w:pPr>
        <w:pStyle w:val="corpsdedcision"/>
        <w:rPr>
          <w:color w:val="000000" w:themeColor="text1"/>
        </w:rPr>
      </w:pPr>
      <w:r w:rsidRPr="00316B5F">
        <w:rPr>
          <w:color w:val="000000" w:themeColor="text1"/>
        </w:rPr>
        <w:t>Le docteur Bertrand précise que les atteintes neurosensorielles sont principalement dans le tour basal de la cochlée</w:t>
      </w:r>
      <w:r w:rsidR="002239AB">
        <w:rPr>
          <w:color w:val="000000" w:themeColor="text1"/>
        </w:rPr>
        <w:t>, soit dans les hautes fréquences,</w:t>
      </w:r>
      <w:r w:rsidR="007A0A05">
        <w:rPr>
          <w:color w:val="000000" w:themeColor="text1"/>
        </w:rPr>
        <w:t xml:space="preserve"> </w:t>
      </w:r>
      <w:r w:rsidRPr="00316B5F">
        <w:rPr>
          <w:color w:val="000000" w:themeColor="text1"/>
        </w:rPr>
        <w:t>en raison du fait que l’artère qui irrigue cette région est très petite</w:t>
      </w:r>
      <w:r w:rsidR="003661B7">
        <w:rPr>
          <w:color w:val="000000" w:themeColor="text1"/>
        </w:rPr>
        <w:t>,</w:t>
      </w:r>
      <w:r w:rsidRPr="00316B5F">
        <w:rPr>
          <w:color w:val="000000" w:themeColor="text1"/>
        </w:rPr>
        <w:t xml:space="preserve"> fait un grand trajet avant de s’y rendre et est terminale c’est-à-dire sans collatérale. Si elle se bouche, il y a une diminu</w:t>
      </w:r>
      <w:r w:rsidR="00D01E66">
        <w:rPr>
          <w:color w:val="000000" w:themeColor="text1"/>
        </w:rPr>
        <w:t>tion importante de l’</w:t>
      </w:r>
      <w:r w:rsidRPr="00316B5F">
        <w:rPr>
          <w:color w:val="000000" w:themeColor="text1"/>
        </w:rPr>
        <w:t>apport sanguin</w:t>
      </w:r>
      <w:r w:rsidR="00D01E66">
        <w:rPr>
          <w:color w:val="000000" w:themeColor="text1"/>
        </w:rPr>
        <w:t>.</w:t>
      </w:r>
      <w:r w:rsidRPr="00316B5F">
        <w:rPr>
          <w:color w:val="000000" w:themeColor="text1"/>
        </w:rPr>
        <w:t xml:space="preserve"> </w:t>
      </w:r>
      <w:r w:rsidR="00D01E66">
        <w:rPr>
          <w:color w:val="000000" w:themeColor="text1"/>
        </w:rPr>
        <w:t>Cela</w:t>
      </w:r>
      <w:r w:rsidRPr="00316B5F">
        <w:rPr>
          <w:color w:val="000000" w:themeColor="text1"/>
        </w:rPr>
        <w:t xml:space="preserve"> amène une dégénérescence cellulaire et la presbyacousie. Le docteur Bertrand est d’avis qu’il s’agit du genre d’atteinte</w:t>
      </w:r>
      <w:r w:rsidR="00D01E66">
        <w:rPr>
          <w:color w:val="000000" w:themeColor="text1"/>
        </w:rPr>
        <w:t xml:space="preserve"> </w:t>
      </w:r>
      <w:r w:rsidRPr="00316B5F">
        <w:rPr>
          <w:color w:val="000000" w:themeColor="text1"/>
        </w:rPr>
        <w:t>que présente le travailleur</w:t>
      </w:r>
      <w:r w:rsidR="00D01E66">
        <w:rPr>
          <w:color w:val="000000" w:themeColor="text1"/>
        </w:rPr>
        <w:t xml:space="preserve">, soit une </w:t>
      </w:r>
      <w:r w:rsidR="00D01E66" w:rsidRPr="00960C94">
        <w:rPr>
          <w:color w:val="000000" w:themeColor="text1"/>
          <w:u w:val="single"/>
        </w:rPr>
        <w:t>presbyacousie neurosensorielle</w:t>
      </w:r>
      <w:r w:rsidRPr="00316B5F">
        <w:rPr>
          <w:color w:val="000000" w:themeColor="text1"/>
        </w:rPr>
        <w:t>.</w:t>
      </w:r>
    </w:p>
    <w:p w14:paraId="48EC595A" w14:textId="77777777" w:rsidR="00750D72" w:rsidRDefault="00750D72" w:rsidP="00750D72">
      <w:pPr>
        <w:pStyle w:val="corpsdedcision"/>
      </w:pPr>
      <w:r w:rsidRPr="001F4FEB">
        <w:t>Monsieur</w:t>
      </w:r>
      <w:r>
        <w:t xml:space="preserve"> </w:t>
      </w:r>
      <w:r w:rsidRPr="006C523B">
        <w:t xml:space="preserve">Leroux remet </w:t>
      </w:r>
      <w:r>
        <w:t xml:space="preserve">cet avis en cause, soutenant plutôt </w:t>
      </w:r>
      <w:r w:rsidRPr="006C523B">
        <w:t>que</w:t>
      </w:r>
      <w:r>
        <w:t xml:space="preserve"> la manifestation typique de l’att</w:t>
      </w:r>
      <w:r w:rsidR="00403299">
        <w:t xml:space="preserve">einte auditive due à l’âge est </w:t>
      </w:r>
      <w:r w:rsidR="00770816">
        <w:t>l</w:t>
      </w:r>
      <w:r>
        <w:t xml:space="preserve">a </w:t>
      </w:r>
      <w:r w:rsidRPr="00960C94">
        <w:rPr>
          <w:u w:val="single"/>
        </w:rPr>
        <w:t xml:space="preserve">presbyacousie </w:t>
      </w:r>
      <w:proofErr w:type="spellStart"/>
      <w:r w:rsidRPr="00960C94">
        <w:rPr>
          <w:u w:val="single"/>
        </w:rPr>
        <w:t>striale</w:t>
      </w:r>
      <w:proofErr w:type="spellEnd"/>
      <w:r>
        <w:t>, ce qui n’est pas le cas du travailleur.</w:t>
      </w:r>
    </w:p>
    <w:p w14:paraId="2E2CA59E" w14:textId="77777777" w:rsidR="00750D72" w:rsidRDefault="00750D72" w:rsidP="00750D72">
      <w:pPr>
        <w:pStyle w:val="corpsdedcision"/>
      </w:pPr>
      <w:r>
        <w:rPr>
          <w:rFonts w:cs="Arial"/>
          <w:szCs w:val="24"/>
        </w:rPr>
        <w:lastRenderedPageBreak/>
        <w:t xml:space="preserve">Pour étayer son opinion, monsieur Leroux réfère </w:t>
      </w:r>
      <w:r>
        <w:t>à l’étude de Gates</w:t>
      </w:r>
      <w:r w:rsidR="002C4087">
        <w:t xml:space="preserve"> </w:t>
      </w:r>
      <w:proofErr w:type="spellStart"/>
      <w:r w:rsidR="002C4087" w:rsidRPr="002C4087">
        <w:rPr>
          <w:i/>
        </w:rPr>
        <w:t>Presbycusis</w:t>
      </w:r>
      <w:proofErr w:type="spellEnd"/>
      <w:r>
        <w:t xml:space="preserve"> (</w:t>
      </w:r>
      <w:r w:rsidR="00960C94">
        <w:t xml:space="preserve">page 1113 - </w:t>
      </w:r>
      <w:r>
        <w:t>T-39</w:t>
      </w:r>
      <w:r w:rsidR="00555B68">
        <w:t xml:space="preserve">), </w:t>
      </w:r>
      <w:r>
        <w:t xml:space="preserve">publiée en 2005. </w:t>
      </w:r>
    </w:p>
    <w:p w14:paraId="01DA79AA" w14:textId="77777777" w:rsidR="00750D72" w:rsidRPr="00590F05" w:rsidRDefault="00750D72" w:rsidP="00750D72">
      <w:pPr>
        <w:pStyle w:val="corpsdedcision"/>
      </w:pPr>
      <w:r>
        <w:t xml:space="preserve">L’auteur y décrit que chez des animaux qui n’ont jamais été exposés au bruit, l’examen de la cochlée démontre que la dégénérescence de la strie vasculaire est l’élément le plus important. Cette dégénérescence touche d’abord la base et l’apex de la cochlée et s’étend à la région moyenne à mesure que la personne avance en âge. </w:t>
      </w:r>
      <w:r w:rsidR="00590F05">
        <w:t>L</w:t>
      </w:r>
      <w:r>
        <w:t>’</w:t>
      </w:r>
      <w:r w:rsidR="00960C94">
        <w:t xml:space="preserve">auteur </w:t>
      </w:r>
      <w:r>
        <w:t xml:space="preserve">ajoute que </w:t>
      </w:r>
      <w:r w:rsidR="00960C94">
        <w:t>d</w:t>
      </w:r>
      <w:r>
        <w:t xml:space="preserve">es données histopathologiques chez les gerbilles âgées ont apporté une forte preuve de </w:t>
      </w:r>
      <w:r w:rsidRPr="0016706E">
        <w:t>l’importance du problème vasculaire dans</w:t>
      </w:r>
      <w:r w:rsidR="004E0867">
        <w:t xml:space="preserve"> la perte auditive due à l’âge.</w:t>
      </w:r>
    </w:p>
    <w:p w14:paraId="357A2B60" w14:textId="77777777" w:rsidR="00750D72" w:rsidRDefault="00750D72" w:rsidP="00750D72">
      <w:pPr>
        <w:pStyle w:val="corpsdedcision"/>
      </w:pPr>
      <w:r>
        <w:t xml:space="preserve">Monsieur Leroux explique que les problèmes vasculaires décrits ici font référence à la </w:t>
      </w:r>
      <w:r w:rsidRPr="0016706E">
        <w:t>presbyacousie métabolique</w:t>
      </w:r>
      <w:r>
        <w:t xml:space="preserve"> et non pas à la </w:t>
      </w:r>
      <w:r w:rsidRPr="0016706E">
        <w:t>presbyacousie neurosensorielle</w:t>
      </w:r>
      <w:r>
        <w:t>. Il ne s’agit pas du tout du même site d’atteinte où</w:t>
      </w:r>
      <w:r w:rsidR="00D047B2">
        <w:t>,</w:t>
      </w:r>
      <w:r>
        <w:t xml:space="preserve"> dans cette dernière, ce sont les cellules ciliées externes et internes de la cochlée qui sont touchées. </w:t>
      </w:r>
    </w:p>
    <w:p w14:paraId="2ADED9B2" w14:textId="77777777" w:rsidR="00750D72" w:rsidRDefault="00750D72" w:rsidP="00750D72">
      <w:pPr>
        <w:pStyle w:val="corpsdedcision"/>
      </w:pPr>
      <w:r>
        <w:t xml:space="preserve">Ainsi, selon lui, lorsque le docteur Bertrand affirme que la forme la plus fréquente de presbyacousie est la forme neurosensorielle, ce n’est pas ce que dit l’auteur Gates. </w:t>
      </w:r>
      <w:r w:rsidR="00D047B2">
        <w:t>Il s’agirait</w:t>
      </w:r>
      <w:r>
        <w:t xml:space="preserve"> plutôt</w:t>
      </w:r>
      <w:r w:rsidR="00D047B2">
        <w:t xml:space="preserve"> de</w:t>
      </w:r>
      <w:r>
        <w:t xml:space="preserve"> la </w:t>
      </w:r>
      <w:r w:rsidRPr="003661B7">
        <w:t xml:space="preserve">presbyacousie métabolique ou </w:t>
      </w:r>
      <w:proofErr w:type="spellStart"/>
      <w:r w:rsidRPr="003661B7">
        <w:t>striale</w:t>
      </w:r>
      <w:proofErr w:type="spellEnd"/>
      <w:r>
        <w:t xml:space="preserve">. </w:t>
      </w:r>
    </w:p>
    <w:p w14:paraId="425247A6" w14:textId="77777777" w:rsidR="00750D72" w:rsidRDefault="00750D72" w:rsidP="00750D72">
      <w:pPr>
        <w:pStyle w:val="corpsdedcision"/>
      </w:pPr>
      <w:r>
        <w:t xml:space="preserve">Monsieur Leroux affirme que l’ensemble de la preuve qu’il soumet au sujet de la presbyacousie représente ce à quoi on s’attend aujourd’hui de retrouver dans la surdité due au vieillissement, soit une </w:t>
      </w:r>
      <w:r w:rsidRPr="00960C94">
        <w:rPr>
          <w:u w:val="single"/>
        </w:rPr>
        <w:t xml:space="preserve">presbyacousie </w:t>
      </w:r>
      <w:proofErr w:type="spellStart"/>
      <w:r w:rsidRPr="00960C94">
        <w:rPr>
          <w:u w:val="single"/>
        </w:rPr>
        <w:t>striale</w:t>
      </w:r>
      <w:proofErr w:type="spellEnd"/>
      <w:r>
        <w:t xml:space="preserve">. Il ajoute que l’atteinte auditive se retrouvera tant dans les basses fréquences que dans les hautes fréquences. Or, le travailleur ne présente qu’une atteinte dans les hautes fréquences de sorte qu’on ne peut parler de presbyacousie </w:t>
      </w:r>
      <w:proofErr w:type="spellStart"/>
      <w:r>
        <w:t>striale</w:t>
      </w:r>
      <w:proofErr w:type="spellEnd"/>
      <w:r>
        <w:t xml:space="preserve"> dans ce cas-ci, même si des problèmes cardiovasculaires lui sont reconnus. Il s’agit plutôt d’une atteinte neurosensorielle et elle ne peut être causée que par le bruit, selon lui.</w:t>
      </w:r>
    </w:p>
    <w:p w14:paraId="699377CE" w14:textId="77777777" w:rsidR="00D047B2" w:rsidRDefault="00750D72" w:rsidP="00D047B2">
      <w:pPr>
        <w:pStyle w:val="corpsdedcision"/>
      </w:pPr>
      <w:r>
        <w:t>Avec respect, le tribunal</w:t>
      </w:r>
      <w:r w:rsidR="00555B68">
        <w:t xml:space="preserve"> note que dans le même article (</w:t>
      </w:r>
      <w:r w:rsidR="00960C94">
        <w:t xml:space="preserve">page 1115 - </w:t>
      </w:r>
      <w:r w:rsidR="00555B68">
        <w:t>T-39)</w:t>
      </w:r>
      <w:r>
        <w:t>, l’auteur Gates, alors qu’il discute de la pathophysiologie associée à la presbyacousie,</w:t>
      </w:r>
      <w:r w:rsidRPr="00AB1B81">
        <w:t xml:space="preserve"> mentionne que la </w:t>
      </w:r>
      <w:r w:rsidRPr="00EB5212">
        <w:rPr>
          <w:u w:val="single"/>
        </w:rPr>
        <w:t>perte de sensibilité auditive dans les hautes fréquences est le premier signe de la presbyacousie.</w:t>
      </w:r>
      <w:r>
        <w:t xml:space="preserve"> Il écrit que </w:t>
      </w:r>
      <w:r w:rsidRPr="003E03D2">
        <w:rPr>
          <w:u w:val="single"/>
        </w:rPr>
        <w:t>c</w:t>
      </w:r>
      <w:r w:rsidRPr="00EB5212">
        <w:rPr>
          <w:u w:val="single"/>
        </w:rPr>
        <w:t xml:space="preserve">es changements peuvent débuter chez le jeune adulte mais en général, ils commencent à partir de 60 ans. </w:t>
      </w:r>
      <w:r>
        <w:rPr>
          <w:u w:val="single"/>
        </w:rPr>
        <w:t>Il ajoute que c</w:t>
      </w:r>
      <w:r w:rsidRPr="00EB5212">
        <w:rPr>
          <w:u w:val="single"/>
        </w:rPr>
        <w:t>hez les animaux, ce qui est observé en rapport avec ce type d’atteinte, c’est le déclin des fonctions métaboliques de la strie vasculaire.</w:t>
      </w:r>
      <w:r>
        <w:t xml:space="preserve"> </w:t>
      </w:r>
      <w:r w:rsidR="00D047B2">
        <w:t xml:space="preserve"> </w:t>
      </w:r>
    </w:p>
    <w:p w14:paraId="59680522" w14:textId="77777777" w:rsidR="00750D72" w:rsidRDefault="00750D72" w:rsidP="00750D72">
      <w:pPr>
        <w:pStyle w:val="corpsdedcision"/>
      </w:pPr>
      <w:r>
        <w:t xml:space="preserve">En fait, le problème est beaucoup </w:t>
      </w:r>
      <w:r w:rsidR="00555B68">
        <w:t xml:space="preserve">plus </w:t>
      </w:r>
      <w:r>
        <w:t>complexe</w:t>
      </w:r>
      <w:r w:rsidR="00036704">
        <w:t>,</w:t>
      </w:r>
      <w:r>
        <w:t xml:space="preserve"> tel que le décrit le même auteur Gates en 2005 (</w:t>
      </w:r>
      <w:r w:rsidR="00960C94">
        <w:t>page 1112 -</w:t>
      </w:r>
      <w:r>
        <w:t>T-</w:t>
      </w:r>
      <w:r w:rsidR="00555B68">
        <w:t>39) :</w:t>
      </w:r>
    </w:p>
    <w:p w14:paraId="0699C764" w14:textId="77777777" w:rsidR="00750D72" w:rsidRPr="007D683F" w:rsidRDefault="00750D72" w:rsidP="00036704">
      <w:pPr>
        <w:pStyle w:val="citation"/>
        <w:rPr>
          <w:lang w:val="en-CA"/>
        </w:rPr>
      </w:pPr>
      <w:r w:rsidRPr="007D683F">
        <w:rPr>
          <w:lang w:val="en-CA"/>
        </w:rPr>
        <w:t>Definitions</w:t>
      </w:r>
    </w:p>
    <w:p w14:paraId="5482F93B" w14:textId="77777777" w:rsidR="004E0867" w:rsidRPr="007D683F" w:rsidRDefault="004E0867" w:rsidP="00036704">
      <w:pPr>
        <w:pStyle w:val="citation"/>
        <w:rPr>
          <w:lang w:val="en-CA"/>
        </w:rPr>
      </w:pPr>
    </w:p>
    <w:p w14:paraId="3FA02539" w14:textId="77777777" w:rsidR="00750D72" w:rsidRPr="007D683F" w:rsidRDefault="00750D72" w:rsidP="00750D72">
      <w:pPr>
        <w:pStyle w:val="citation"/>
        <w:rPr>
          <w:lang w:val="en-CA"/>
        </w:rPr>
      </w:pPr>
      <w:r w:rsidRPr="007D683F">
        <w:rPr>
          <w:lang w:val="en-CA"/>
        </w:rPr>
        <w:t xml:space="preserve">Presbycusis (or </w:t>
      </w:r>
      <w:proofErr w:type="spellStart"/>
      <w:r w:rsidRPr="007D683F">
        <w:rPr>
          <w:lang w:val="en-CA"/>
        </w:rPr>
        <w:t>presbyacusis</w:t>
      </w:r>
      <w:proofErr w:type="spellEnd"/>
      <w:r w:rsidRPr="007D683F">
        <w:rPr>
          <w:lang w:val="en-CA"/>
        </w:rPr>
        <w:t>) is a general term that refers to hearing loss in the elderly and, as such, represents the contributions of a lifetime of insults to th</w:t>
      </w:r>
      <w:r w:rsidR="00555B68" w:rsidRPr="007D683F">
        <w:rPr>
          <w:lang w:val="en-CA"/>
        </w:rPr>
        <w:t xml:space="preserve">e auditory system. Of </w:t>
      </w:r>
      <w:r w:rsidR="00555B68" w:rsidRPr="007D683F">
        <w:rPr>
          <w:lang w:val="en-CA"/>
        </w:rPr>
        <w:lastRenderedPageBreak/>
        <w:t>these, ag</w:t>
      </w:r>
      <w:r w:rsidRPr="007D683F">
        <w:rPr>
          <w:lang w:val="en-CA"/>
        </w:rPr>
        <w:t xml:space="preserve">ing and noise damage are the chief factors, plus genetic susceptibility, </w:t>
      </w:r>
      <w:proofErr w:type="spellStart"/>
      <w:r w:rsidRPr="007D683F">
        <w:rPr>
          <w:lang w:val="en-CA"/>
        </w:rPr>
        <w:t>otological</w:t>
      </w:r>
      <w:proofErr w:type="spellEnd"/>
      <w:r w:rsidRPr="007D683F">
        <w:rPr>
          <w:lang w:val="en-CA"/>
        </w:rPr>
        <w:t xml:space="preserve"> disorders, and exposures to ototoxic agents. Some people refer to presbycusis a</w:t>
      </w:r>
      <w:r w:rsidR="00555B68" w:rsidRPr="007D683F">
        <w:rPr>
          <w:lang w:val="en-CA"/>
        </w:rPr>
        <w:t>s hearing loss due to solely ag</w:t>
      </w:r>
      <w:r w:rsidRPr="007D683F">
        <w:rPr>
          <w:lang w:val="en-CA"/>
        </w:rPr>
        <w:t xml:space="preserve">ing. </w:t>
      </w:r>
      <w:r w:rsidRPr="007D683F">
        <w:rPr>
          <w:u w:val="single"/>
          <w:lang w:val="en-CA"/>
        </w:rPr>
        <w:t>Because it is very difficult to isolate age effects from other contributors to age-related hearing loss, we use presbycusis and age-related hearing loss synonymously</w:t>
      </w:r>
      <w:r w:rsidRPr="007D683F">
        <w:rPr>
          <w:lang w:val="en-CA"/>
        </w:rPr>
        <w:t xml:space="preserve">. </w:t>
      </w:r>
      <w:r w:rsidRPr="007D683F">
        <w:rPr>
          <w:u w:val="single"/>
          <w:lang w:val="en-CA"/>
        </w:rPr>
        <w:t>There is uncertainty about the mec</w:t>
      </w:r>
      <w:r w:rsidR="003E03D2" w:rsidRPr="007D683F">
        <w:rPr>
          <w:u w:val="single"/>
          <w:lang w:val="en-CA"/>
        </w:rPr>
        <w:t>hanisms involved in auditory ag</w:t>
      </w:r>
      <w:r w:rsidRPr="007D683F">
        <w:rPr>
          <w:u w:val="single"/>
          <w:lang w:val="en-CA"/>
        </w:rPr>
        <w:t>ing and noise trauma.</w:t>
      </w:r>
      <w:r w:rsidRPr="007D683F">
        <w:rPr>
          <w:lang w:val="en-CA"/>
        </w:rPr>
        <w:t xml:space="preserve"> Both the peripheral and central auditory pathways are affected in </w:t>
      </w:r>
      <w:proofErr w:type="gramStart"/>
      <w:r w:rsidRPr="007D683F">
        <w:rPr>
          <w:lang w:val="en-CA"/>
        </w:rPr>
        <w:t>presbycusis</w:t>
      </w:r>
      <w:proofErr w:type="gramEnd"/>
      <w:r w:rsidRPr="007D683F">
        <w:rPr>
          <w:lang w:val="en-CA"/>
        </w:rPr>
        <w:t xml:space="preserve"> and the clinical findings often represent a mixture of abnormalities.</w:t>
      </w:r>
    </w:p>
    <w:p w14:paraId="7DC0DEE9" w14:textId="77777777" w:rsidR="00960C94" w:rsidRPr="007D683F" w:rsidRDefault="00960C94" w:rsidP="00750D72">
      <w:pPr>
        <w:pStyle w:val="citation"/>
        <w:rPr>
          <w:lang w:val="en-CA"/>
        </w:rPr>
      </w:pPr>
    </w:p>
    <w:p w14:paraId="6B347D5D" w14:textId="77777777" w:rsidR="00960C94" w:rsidRDefault="00960C94" w:rsidP="00750D72">
      <w:pPr>
        <w:pStyle w:val="citation"/>
      </w:pPr>
      <w:r>
        <w:rPr>
          <w:rFonts w:cs="Arial"/>
        </w:rPr>
        <w:t>[</w:t>
      </w:r>
      <w:proofErr w:type="gramStart"/>
      <w:r>
        <w:rPr>
          <w:rFonts w:cs="Arial"/>
        </w:rPr>
        <w:t>notre</w:t>
      </w:r>
      <w:proofErr w:type="gramEnd"/>
      <w:r>
        <w:rPr>
          <w:rFonts w:cs="Arial"/>
        </w:rPr>
        <w:t xml:space="preserve"> soulignement]</w:t>
      </w:r>
    </w:p>
    <w:p w14:paraId="57BA4834" w14:textId="77777777" w:rsidR="00036704" w:rsidRDefault="00036704" w:rsidP="00750D72">
      <w:pPr>
        <w:pStyle w:val="citation"/>
      </w:pPr>
    </w:p>
    <w:p w14:paraId="2070D0A1" w14:textId="77777777" w:rsidR="004E0867" w:rsidRDefault="004E0867" w:rsidP="00750D72">
      <w:pPr>
        <w:pStyle w:val="citation"/>
      </w:pPr>
    </w:p>
    <w:p w14:paraId="23006CE2" w14:textId="77777777" w:rsidR="00750D72" w:rsidRDefault="00036704" w:rsidP="00036704">
      <w:pPr>
        <w:pStyle w:val="corpsdedcision"/>
      </w:pPr>
      <w:r>
        <w:t>Le tribunal s’intéresse également à ce que</w:t>
      </w:r>
      <w:r w:rsidR="00750D72">
        <w:t xml:space="preserve"> disent les auteurs de l’article</w:t>
      </w:r>
      <w:r w:rsidR="002C4087">
        <w:t xml:space="preserve"> </w:t>
      </w:r>
      <w:r w:rsidR="002C4087" w:rsidRPr="002C4087">
        <w:rPr>
          <w:i/>
        </w:rPr>
        <w:t xml:space="preserve">The Influence of </w:t>
      </w:r>
      <w:proofErr w:type="spellStart"/>
      <w:r w:rsidR="002C4087" w:rsidRPr="002C4087">
        <w:rPr>
          <w:i/>
        </w:rPr>
        <w:t>Cardiovascular</w:t>
      </w:r>
      <w:proofErr w:type="spellEnd"/>
      <w:r w:rsidR="002C4087" w:rsidRPr="002C4087">
        <w:rPr>
          <w:i/>
        </w:rPr>
        <w:t xml:space="preserve"> Health on </w:t>
      </w:r>
      <w:proofErr w:type="spellStart"/>
      <w:r w:rsidR="002C4087" w:rsidRPr="002C4087">
        <w:rPr>
          <w:i/>
        </w:rPr>
        <w:t>Peripheral</w:t>
      </w:r>
      <w:proofErr w:type="spellEnd"/>
      <w:r w:rsidR="002C4087" w:rsidRPr="002C4087">
        <w:rPr>
          <w:i/>
        </w:rPr>
        <w:t xml:space="preserve"> and Central </w:t>
      </w:r>
      <w:proofErr w:type="spellStart"/>
      <w:r w:rsidR="002C4087" w:rsidRPr="002C4087">
        <w:rPr>
          <w:i/>
        </w:rPr>
        <w:t>Auditory</w:t>
      </w:r>
      <w:proofErr w:type="spellEnd"/>
      <w:r w:rsidR="002C4087" w:rsidRPr="002C4087">
        <w:rPr>
          <w:i/>
        </w:rPr>
        <w:t xml:space="preserve"> </w:t>
      </w:r>
      <w:proofErr w:type="spellStart"/>
      <w:r w:rsidR="002C4087" w:rsidRPr="002C4087">
        <w:rPr>
          <w:i/>
        </w:rPr>
        <w:t>Function</w:t>
      </w:r>
      <w:proofErr w:type="spellEnd"/>
      <w:r w:rsidR="002C4087" w:rsidRPr="002C4087">
        <w:rPr>
          <w:i/>
        </w:rPr>
        <w:t xml:space="preserve"> in </w:t>
      </w:r>
      <w:proofErr w:type="spellStart"/>
      <w:r w:rsidR="002C4087" w:rsidRPr="002C4087">
        <w:rPr>
          <w:i/>
        </w:rPr>
        <w:t>Adults</w:t>
      </w:r>
      <w:proofErr w:type="spellEnd"/>
      <w:r w:rsidR="002C4087" w:rsidRPr="002C4087">
        <w:rPr>
          <w:i/>
        </w:rPr>
        <w:t xml:space="preserve"> : A </w:t>
      </w:r>
      <w:proofErr w:type="spellStart"/>
      <w:r w:rsidR="002C4087" w:rsidRPr="002C4087">
        <w:rPr>
          <w:i/>
        </w:rPr>
        <w:t>Research</w:t>
      </w:r>
      <w:proofErr w:type="spellEnd"/>
      <w:r w:rsidR="002C4087" w:rsidRPr="002C4087">
        <w:rPr>
          <w:i/>
        </w:rPr>
        <w:t xml:space="preserve"> </w:t>
      </w:r>
      <w:proofErr w:type="spellStart"/>
      <w:r w:rsidR="002C4087" w:rsidRPr="002C4087">
        <w:rPr>
          <w:i/>
        </w:rPr>
        <w:t>Review</w:t>
      </w:r>
      <w:proofErr w:type="spellEnd"/>
      <w:r w:rsidR="002C4087" w:rsidRPr="002C4087">
        <w:rPr>
          <w:i/>
        </w:rPr>
        <w:t xml:space="preserve"> </w:t>
      </w:r>
      <w:r w:rsidR="002C4087">
        <w:t>(</w:t>
      </w:r>
      <w:r w:rsidR="00960C94">
        <w:t xml:space="preserve">page 9 - </w:t>
      </w:r>
      <w:r w:rsidR="002C4087">
        <w:t>T-36), publié</w:t>
      </w:r>
      <w:r w:rsidR="00750D72">
        <w:t xml:space="preserve"> </w:t>
      </w:r>
      <w:r w:rsidR="002C4087">
        <w:t>en 2010 :</w:t>
      </w:r>
    </w:p>
    <w:p w14:paraId="625DDD03" w14:textId="77777777" w:rsidR="00750D72" w:rsidRPr="007D683F" w:rsidRDefault="00750D72" w:rsidP="00750D72">
      <w:pPr>
        <w:pStyle w:val="citation"/>
        <w:rPr>
          <w:lang w:val="en-CA"/>
        </w:rPr>
      </w:pPr>
      <w:r w:rsidRPr="007D683F">
        <w:rPr>
          <w:lang w:val="en-CA"/>
        </w:rPr>
        <w:t>Hearing Loss in Aging</w:t>
      </w:r>
    </w:p>
    <w:p w14:paraId="45F49DCC" w14:textId="77777777" w:rsidR="00750D72" w:rsidRPr="007D683F" w:rsidRDefault="00750D72" w:rsidP="00750D72">
      <w:pPr>
        <w:pStyle w:val="citation"/>
        <w:rPr>
          <w:lang w:val="en-CA"/>
        </w:rPr>
      </w:pPr>
    </w:p>
    <w:p w14:paraId="54566F8D" w14:textId="77777777" w:rsidR="00750D72" w:rsidRPr="007D683F" w:rsidRDefault="00750D72" w:rsidP="00750D72">
      <w:pPr>
        <w:pStyle w:val="citation"/>
        <w:rPr>
          <w:lang w:val="en-CA"/>
        </w:rPr>
      </w:pPr>
      <w:r w:rsidRPr="007D683F">
        <w:rPr>
          <w:b/>
          <w:lang w:val="en-CA"/>
        </w:rPr>
        <w:t xml:space="preserve">   </w:t>
      </w:r>
      <w:r w:rsidRPr="007D683F">
        <w:rPr>
          <w:lang w:val="en-CA"/>
        </w:rPr>
        <w:t xml:space="preserve">The causes of hearing loss in adulthood are almost as varied as the health, lifestyle, and genetic makeup of those who possess impaired hearing. The causes include exposure to </w:t>
      </w:r>
      <w:proofErr w:type="spellStart"/>
      <w:r w:rsidRPr="007D683F">
        <w:rPr>
          <w:lang w:val="en-CA"/>
        </w:rPr>
        <w:t>hasardous</w:t>
      </w:r>
      <w:proofErr w:type="spellEnd"/>
      <w:r w:rsidRPr="007D683F">
        <w:rPr>
          <w:lang w:val="en-CA"/>
        </w:rPr>
        <w:t xml:space="preserve"> levels of noise, disease including those of viral nature, various forms of medications, neurochemical changes, the influence of genetics, cardiovascular diseases, and anoxia (Johnsson &amp; Hawkins, 1972). In fact, a decline in hearing acuity is considered an almost inevitable consequence of advancing age </w:t>
      </w:r>
      <w:proofErr w:type="gramStart"/>
      <w:r w:rsidRPr="007D683F">
        <w:rPr>
          <w:lang w:val="en-CA"/>
        </w:rPr>
        <w:t>as a result of</w:t>
      </w:r>
      <w:proofErr w:type="gramEnd"/>
      <w:r w:rsidRPr="007D683F">
        <w:rPr>
          <w:lang w:val="en-CA"/>
        </w:rPr>
        <w:t xml:space="preserve"> all or any of the above factors that precede it (…).</w:t>
      </w:r>
    </w:p>
    <w:p w14:paraId="13026944" w14:textId="77777777" w:rsidR="00750D72" w:rsidRPr="007D683F" w:rsidRDefault="00750D72" w:rsidP="00750D72">
      <w:pPr>
        <w:pStyle w:val="citation"/>
        <w:rPr>
          <w:lang w:val="en-CA"/>
        </w:rPr>
      </w:pPr>
    </w:p>
    <w:p w14:paraId="5E8CFE8A" w14:textId="77777777" w:rsidR="00750D72" w:rsidRPr="007D683F" w:rsidRDefault="00750D72" w:rsidP="00750D72">
      <w:pPr>
        <w:pStyle w:val="citation"/>
        <w:rPr>
          <w:lang w:val="en-CA"/>
        </w:rPr>
      </w:pPr>
      <w:r w:rsidRPr="007D683F">
        <w:rPr>
          <w:lang w:val="en-CA"/>
        </w:rPr>
        <w:t xml:space="preserve">   In adulthood, two major manifestations of hearing loss are generally observed by audiologists. First, a progressive bilateral reduction in sensitivity to specific sounds is experienced, particularly in the high frequencies, which can compromise the reception of the consonant sounds of speech that are important for speech recognition. Secondly, a decreased ability to understand speech is observed, even when it is loud enough to hear.</w:t>
      </w:r>
    </w:p>
    <w:p w14:paraId="620DCDBF" w14:textId="77777777" w:rsidR="004E0867" w:rsidRPr="007D683F" w:rsidRDefault="004E0867" w:rsidP="00750D72">
      <w:pPr>
        <w:pStyle w:val="citation"/>
        <w:rPr>
          <w:lang w:val="en-CA"/>
        </w:rPr>
      </w:pPr>
    </w:p>
    <w:p w14:paraId="469AFB84" w14:textId="77777777" w:rsidR="004E0867" w:rsidRPr="007D683F" w:rsidRDefault="004E0867" w:rsidP="00750D72">
      <w:pPr>
        <w:pStyle w:val="citation"/>
        <w:rPr>
          <w:lang w:val="en-CA"/>
        </w:rPr>
      </w:pPr>
    </w:p>
    <w:p w14:paraId="42AFDCB5" w14:textId="77777777" w:rsidR="00D047B2" w:rsidRDefault="00590F05" w:rsidP="00750D72">
      <w:pPr>
        <w:pStyle w:val="corpsdedcision"/>
      </w:pPr>
      <w:r>
        <w:t>L</w:t>
      </w:r>
      <w:r w:rsidR="00750D72">
        <w:t xml:space="preserve">e tribunal considère donc que les études déposées ne permettent pas de conclure de façon aussi tranchée que le fait monsieur Leroux sur la cause de la presbyacousie. </w:t>
      </w:r>
    </w:p>
    <w:p w14:paraId="6FB2D8DA" w14:textId="77777777" w:rsidR="00750D72" w:rsidRPr="00063484" w:rsidRDefault="00750D72" w:rsidP="00DA6EB5">
      <w:pPr>
        <w:pStyle w:val="corpsdedcision"/>
      </w:pPr>
      <w:r>
        <w:t>La preuve prépondérante est plutôt à l’effet qu’il s’agit d’une atteinte auditive pouvant apparaître chez le jeune adulte</w:t>
      </w:r>
      <w:r w:rsidR="003E03D2">
        <w:t>,</w:t>
      </w:r>
      <w:r>
        <w:t xml:space="preserve"> mais survenant généralement </w:t>
      </w:r>
      <w:r>
        <w:rPr>
          <w:rFonts w:cs="Arial"/>
        </w:rPr>
        <w:t xml:space="preserve">chez les personnes de plus 60 ans. La cause de l’atteinte auditive </w:t>
      </w:r>
      <w:r w:rsidR="00BD7F9A">
        <w:rPr>
          <w:rFonts w:cs="Arial"/>
        </w:rPr>
        <w:t>peut être</w:t>
      </w:r>
      <w:r>
        <w:rPr>
          <w:rFonts w:cs="Arial"/>
        </w:rPr>
        <w:t xml:space="preserve"> multifactorielle</w:t>
      </w:r>
      <w:r w:rsidR="00BD7F9A">
        <w:rPr>
          <w:rFonts w:cs="Arial"/>
        </w:rPr>
        <w:t>.</w:t>
      </w:r>
      <w:r w:rsidR="00DA6EB5">
        <w:t xml:space="preserve"> </w:t>
      </w:r>
      <w:r w:rsidR="00BD7F9A" w:rsidRPr="00DA6EB5">
        <w:rPr>
          <w:rFonts w:cs="Arial"/>
        </w:rPr>
        <w:t>À</w:t>
      </w:r>
      <w:r w:rsidR="00DA6EB5">
        <w:rPr>
          <w:rFonts w:cs="Arial"/>
        </w:rPr>
        <w:t xml:space="preserve"> la base, il y a la</w:t>
      </w:r>
      <w:r w:rsidR="00BD7F9A" w:rsidRPr="00DA6EB5">
        <w:rPr>
          <w:rFonts w:cs="Arial"/>
        </w:rPr>
        <w:t xml:space="preserve"> </w:t>
      </w:r>
      <w:r w:rsidRPr="00DA6EB5">
        <w:rPr>
          <w:rFonts w:cs="Arial"/>
        </w:rPr>
        <w:t>dégénérescence due à l’âge</w:t>
      </w:r>
      <w:r w:rsidR="008914B7" w:rsidRPr="00DA6EB5">
        <w:rPr>
          <w:rFonts w:cs="Arial"/>
        </w:rPr>
        <w:t>,</w:t>
      </w:r>
      <w:r w:rsidRPr="00DA6EB5">
        <w:rPr>
          <w:rFonts w:cs="Arial"/>
        </w:rPr>
        <w:t xml:space="preserve"> que l’auteur Gates attribue à une atteinte de la strie vasculaire</w:t>
      </w:r>
      <w:r w:rsidR="00BD7F9A" w:rsidRPr="00DA6EB5">
        <w:rPr>
          <w:rFonts w:cs="Arial"/>
        </w:rPr>
        <w:t>. À cel</w:t>
      </w:r>
      <w:r w:rsidR="00DA6EB5">
        <w:rPr>
          <w:rFonts w:cs="Arial"/>
        </w:rPr>
        <w:t>le-ci</w:t>
      </w:r>
      <w:r w:rsidR="00BD7F9A" w:rsidRPr="00DA6EB5">
        <w:rPr>
          <w:rFonts w:cs="Arial"/>
        </w:rPr>
        <w:t xml:space="preserve"> peuvent s’ajouter d’autres causes telle</w:t>
      </w:r>
      <w:r w:rsidRPr="00DA6EB5">
        <w:rPr>
          <w:rFonts w:cs="Arial"/>
        </w:rPr>
        <w:t xml:space="preserve"> une exposition au bruit, des antécédents de maladie infectieuse ou </w:t>
      </w:r>
      <w:r w:rsidR="00DA6EB5">
        <w:rPr>
          <w:rFonts w:cs="Arial"/>
        </w:rPr>
        <w:t>une</w:t>
      </w:r>
      <w:r w:rsidR="007A0A05">
        <w:rPr>
          <w:rFonts w:cs="Arial"/>
        </w:rPr>
        <w:t xml:space="preserve"> </w:t>
      </w:r>
      <w:r w:rsidRPr="00DA6EB5">
        <w:rPr>
          <w:rFonts w:cs="Arial"/>
        </w:rPr>
        <w:t xml:space="preserve">exposition à des produits ototoxiques. </w:t>
      </w:r>
      <w:r w:rsidR="00BD7F9A" w:rsidRPr="00DA6EB5">
        <w:rPr>
          <w:rFonts w:cs="Arial"/>
        </w:rPr>
        <w:t>L’atteinte auditive</w:t>
      </w:r>
      <w:r w:rsidR="007A0A05">
        <w:rPr>
          <w:rFonts w:cs="Arial"/>
        </w:rPr>
        <w:t xml:space="preserve"> </w:t>
      </w:r>
      <w:r w:rsidRPr="001C5E77">
        <w:rPr>
          <w:rFonts w:cs="Arial"/>
        </w:rPr>
        <w:t>peut également être influencée par un facteur génétique, la survenue de maladie cardiovasculaire et d’anoxie</w:t>
      </w:r>
      <w:r w:rsidRPr="00C641AD">
        <w:rPr>
          <w:rFonts w:cs="Arial"/>
        </w:rPr>
        <w:t xml:space="preserve">. </w:t>
      </w:r>
    </w:p>
    <w:p w14:paraId="3B361FE0" w14:textId="77777777" w:rsidR="00750D72" w:rsidRPr="00B65101" w:rsidRDefault="00750D72" w:rsidP="00036704">
      <w:pPr>
        <w:pStyle w:val="corpsdedcision"/>
        <w:rPr>
          <w:u w:val="single"/>
        </w:rPr>
      </w:pPr>
      <w:r>
        <w:t>Par ailleurs, contrairement à ce que soutient monsieur Leroux, l’atteinte auditive de la presbyacousie, telle que définie précédemment, débute typiquement dans les hautes fréquences. On ne s’attend donc pas à retrouver d’emblée une atteinte dans les basses fréquences, au contraire</w:t>
      </w:r>
      <w:r w:rsidRPr="001C5E77">
        <w:t>.</w:t>
      </w:r>
      <w:r w:rsidR="00922829" w:rsidRPr="001C5E77">
        <w:t xml:space="preserve"> D’ailleurs, en réponse à une question du tribunal, il a </w:t>
      </w:r>
      <w:r w:rsidR="00922829" w:rsidRPr="001C5E77">
        <w:lastRenderedPageBreak/>
        <w:t xml:space="preserve">convenu que la presbyacousie </w:t>
      </w:r>
      <w:proofErr w:type="spellStart"/>
      <w:r w:rsidR="00922829" w:rsidRPr="001C5E77">
        <w:t>striale</w:t>
      </w:r>
      <w:proofErr w:type="spellEnd"/>
      <w:r w:rsidR="00922829" w:rsidRPr="001C5E77">
        <w:t xml:space="preserve"> pouvait donner le type de courbe retrouvée chez le travailleur.</w:t>
      </w:r>
    </w:p>
    <w:p w14:paraId="2671B7CF" w14:textId="77777777" w:rsidR="00F85AE0" w:rsidRDefault="00750D72" w:rsidP="00F85AE0">
      <w:pPr>
        <w:pStyle w:val="corpsdedcision"/>
      </w:pPr>
      <w:r>
        <w:t xml:space="preserve">Ainsi, tel que le mentionne l’auteur Gates ci-haut, et tel que le note le docteur Bertrand dans le présent dossier, l’atteinte neurosensorielle dans les hautes fréquences </w:t>
      </w:r>
      <w:r w:rsidR="00C641AD">
        <w:t>est</w:t>
      </w:r>
      <w:r>
        <w:t xml:space="preserve"> </w:t>
      </w:r>
      <w:r w:rsidR="00C641AD">
        <w:t xml:space="preserve">la forme la plus </w:t>
      </w:r>
      <w:r>
        <w:t>typique de la presbyacousie</w:t>
      </w:r>
      <w:r w:rsidR="00C641AD">
        <w:t>.</w:t>
      </w:r>
      <w:r>
        <w:t xml:space="preserve"> </w:t>
      </w:r>
    </w:p>
    <w:p w14:paraId="73A53519" w14:textId="77777777" w:rsidR="00387798" w:rsidRDefault="00B65101" w:rsidP="00036704">
      <w:pPr>
        <w:pStyle w:val="corpsdedcision"/>
      </w:pPr>
      <w:r>
        <w:t>Tenant compte de l’analyse préalable, l</w:t>
      </w:r>
      <w:r w:rsidR="008073F3">
        <w:t xml:space="preserve">e tribunal </w:t>
      </w:r>
      <w:r>
        <w:t xml:space="preserve">retient </w:t>
      </w:r>
      <w:r w:rsidR="00BD7F9A">
        <w:t>que le docteur Bertrand a démontré que l’</w:t>
      </w:r>
      <w:r w:rsidR="009B1824">
        <w:t>a</w:t>
      </w:r>
      <w:r w:rsidR="00BD7F9A">
        <w:t xml:space="preserve">tteinte auditive du travailleur </w:t>
      </w:r>
      <w:r>
        <w:t>est</w:t>
      </w:r>
      <w:r w:rsidR="00BD7F9A">
        <w:t xml:space="preserve"> compatible avec une presbyacousie. </w:t>
      </w:r>
      <w:r w:rsidR="001C5E77">
        <w:t>Le tribunal</w:t>
      </w:r>
      <w:r w:rsidR="00BD7F9A">
        <w:t xml:space="preserve"> ne </w:t>
      </w:r>
      <w:r w:rsidR="009B1824">
        <w:t xml:space="preserve">peut retenir </w:t>
      </w:r>
      <w:r w:rsidR="00BD7F9A">
        <w:t>l’</w:t>
      </w:r>
      <w:r w:rsidR="009B1824">
        <w:t xml:space="preserve">opinion de monsieur Leroux </w:t>
      </w:r>
      <w:r w:rsidR="001C5E77">
        <w:t xml:space="preserve">voulant </w:t>
      </w:r>
      <w:r w:rsidR="00BD7F9A">
        <w:t>que la presbyacousie neurosensorielle n’existe pas, et qu’</w:t>
      </w:r>
      <w:r w:rsidR="009B1824">
        <w:t>en l’</w:t>
      </w:r>
      <w:r w:rsidR="00BD7F9A">
        <w:t xml:space="preserve">espèce les atteintes du type de celle du travailleur ne peuvent correspondre qu’à une </w:t>
      </w:r>
      <w:r w:rsidR="009B1824">
        <w:t>surdité</w:t>
      </w:r>
      <w:r w:rsidR="00BD7F9A">
        <w:t xml:space="preserve"> causée par le bruit</w:t>
      </w:r>
      <w:r w:rsidR="00364071">
        <w:t>.</w:t>
      </w:r>
    </w:p>
    <w:p w14:paraId="23F2E310" w14:textId="77777777" w:rsidR="00CD02AB" w:rsidRDefault="00CD02AB" w:rsidP="00750D72">
      <w:pPr>
        <w:pStyle w:val="corpsdedcision"/>
      </w:pPr>
      <w:r>
        <w:t xml:space="preserve">Tel qu’indiqué, la preuve révèle clairement que le </w:t>
      </w:r>
      <w:r w:rsidRPr="001F4FEB">
        <w:t>travailleur</w:t>
      </w:r>
      <w:r>
        <w:t xml:space="preserve"> présente une atteinte auditive beaucoup plus importante que ce à quoi l’on peut s’attendre pour son âge et en fonction de son exposition au bruit. Ceci, en considérant les courbes d’une population comparable, selon la norme ISO 1999</w:t>
      </w:r>
      <w:r w:rsidR="003E03D2">
        <w:t xml:space="preserve"> (2013)</w:t>
      </w:r>
      <w:r>
        <w:t>, et ce, même au 95</w:t>
      </w:r>
      <w:r w:rsidR="00364071" w:rsidRPr="00364071">
        <w:rPr>
          <w:vertAlign w:val="superscript"/>
        </w:rPr>
        <w:t>e</w:t>
      </w:r>
      <w:r w:rsidR="00364071">
        <w:t xml:space="preserve"> </w:t>
      </w:r>
      <w:r>
        <w:t>percentile.</w:t>
      </w:r>
    </w:p>
    <w:p w14:paraId="37FDB4B4" w14:textId="77777777" w:rsidR="00442388" w:rsidRDefault="00CD02AB" w:rsidP="00750D72">
      <w:pPr>
        <w:pStyle w:val="corpsdedcision"/>
      </w:pPr>
      <w:r>
        <w:t xml:space="preserve">Rappelons que les courbes de </w:t>
      </w:r>
      <w:r w:rsidR="003E03D2">
        <w:t>cette</w:t>
      </w:r>
      <w:r>
        <w:t xml:space="preserve"> norme comprennent notamment les valeurs en lien avec l’atteinte qui serait causée par le bruit et celles en lien avec le facteur âge</w:t>
      </w:r>
      <w:r w:rsidR="00DB2291">
        <w:t xml:space="preserve"> (</w:t>
      </w:r>
      <w:r w:rsidR="00DB2291" w:rsidRPr="00DB2291">
        <w:t>norme ISO 7029</w:t>
      </w:r>
      <w:r w:rsidR="00DB2291">
        <w:t>)</w:t>
      </w:r>
      <w:r>
        <w:t>.</w:t>
      </w:r>
    </w:p>
    <w:p w14:paraId="1B0A39B4" w14:textId="77777777" w:rsidR="00CD02AB" w:rsidRDefault="00CD02AB" w:rsidP="00750D72">
      <w:pPr>
        <w:pStyle w:val="corpsdedcision"/>
      </w:pPr>
      <w:r>
        <w:t>À ce sujet, le docteur Bertrand explique</w:t>
      </w:r>
      <w:r w:rsidR="00827AAD">
        <w:t>,</w:t>
      </w:r>
      <w:r w:rsidR="00C27E41">
        <w:t xml:space="preserve"> à l’aide d’un tableau démontrant la perte d’audition moyenne attrib</w:t>
      </w:r>
      <w:r w:rsidR="001C5E77">
        <w:t>uable uniquement au bruit (Table1 - E-56</w:t>
      </w:r>
      <w:r w:rsidR="00C27E41">
        <w:t>), que celle-ci ne représente que 10</w:t>
      </w:r>
      <w:r w:rsidR="00364071">
        <w:t> </w:t>
      </w:r>
      <w:r w:rsidR="00C27E41">
        <w:t>% de l’ensemble de la perte auditive</w:t>
      </w:r>
      <w:r w:rsidR="00827AAD">
        <w:t xml:space="preserve"> </w:t>
      </w:r>
      <w:r w:rsidR="009B1824">
        <w:t>soit</w:t>
      </w:r>
      <w:r w:rsidR="007A0A05">
        <w:t xml:space="preserve"> </w:t>
      </w:r>
      <w:r w:rsidR="00827AAD">
        <w:t>environ 2 dB en moyenne pour les fréquences de 500, 1000, 2000 et 4000 Hz</w:t>
      </w:r>
      <w:r w:rsidR="009B1824">
        <w:t>,</w:t>
      </w:r>
      <w:r w:rsidR="00827AAD">
        <w:t xml:space="preserve"> pour </w:t>
      </w:r>
      <w:r w:rsidR="00827AAD" w:rsidRPr="0016706E">
        <w:t>un individu exposé pendant 40</w:t>
      </w:r>
      <w:r w:rsidR="00364071">
        <w:t> </w:t>
      </w:r>
      <w:r w:rsidR="00827AAD" w:rsidRPr="0016706E">
        <w:t xml:space="preserve">ans à 85 </w:t>
      </w:r>
      <w:proofErr w:type="spellStart"/>
      <w:r w:rsidR="00827AAD" w:rsidRPr="0016706E">
        <w:t>dBA</w:t>
      </w:r>
      <w:proofErr w:type="spellEnd"/>
      <w:r w:rsidR="00827AAD">
        <w:t>. L’autre 90</w:t>
      </w:r>
      <w:r w:rsidR="00364071">
        <w:t> </w:t>
      </w:r>
      <w:r w:rsidR="00827AAD">
        <w:t>% de la perte s’explique par le facteur presbyacousie.</w:t>
      </w:r>
    </w:p>
    <w:p w14:paraId="72547FD6" w14:textId="77777777" w:rsidR="00B003C8" w:rsidRDefault="00B003C8" w:rsidP="001C2F1C">
      <w:pPr>
        <w:pStyle w:val="corpsdedcision"/>
      </w:pPr>
      <w:r w:rsidRPr="001F4FEB">
        <w:t>Monsieur</w:t>
      </w:r>
      <w:r>
        <w:t xml:space="preserve"> Leroux reconnaît ce fait</w:t>
      </w:r>
      <w:r w:rsidR="00AD51DB">
        <w:t>,</w:t>
      </w:r>
      <w:r>
        <w:t xml:space="preserve"> mais ajoute que le</w:t>
      </w:r>
      <w:r w:rsidR="00AD51DB">
        <w:t>s règles particulières du Chapitre VI du</w:t>
      </w:r>
      <w:r>
        <w:t xml:space="preserve"> </w:t>
      </w:r>
      <w:r w:rsidRPr="00AD51DB">
        <w:rPr>
          <w:i/>
        </w:rPr>
        <w:t>Règlement sur le barème des dommages corporels</w:t>
      </w:r>
      <w:r w:rsidR="001C2F1C">
        <w:rPr>
          <w:rStyle w:val="FootnoteReference"/>
          <w:i/>
        </w:rPr>
        <w:footnoteReference w:id="9"/>
      </w:r>
      <w:r w:rsidR="00AD51DB">
        <w:t xml:space="preserve"> prévoient qu’on ne doit pas faire de correction pour la presbyacousie dans l’évaluation de l’audition d’un </w:t>
      </w:r>
      <w:r w:rsidR="00AD51DB" w:rsidRPr="001F4FEB">
        <w:t>travailleur</w:t>
      </w:r>
      <w:r w:rsidR="00AD51DB">
        <w:t xml:space="preserve">. </w:t>
      </w:r>
      <w:r>
        <w:t xml:space="preserve"> </w:t>
      </w:r>
    </w:p>
    <w:p w14:paraId="2EB91F97" w14:textId="77777777" w:rsidR="009B1824" w:rsidRDefault="001C2F1C" w:rsidP="007224AB">
      <w:pPr>
        <w:pStyle w:val="corpsdedcision"/>
      </w:pPr>
      <w:proofErr w:type="gramStart"/>
      <w:r>
        <w:t>Par contre</w:t>
      </w:r>
      <w:proofErr w:type="gramEnd"/>
      <w:r w:rsidR="009B1824">
        <w:t xml:space="preserve">, </w:t>
      </w:r>
      <w:r w:rsidR="00B65101">
        <w:t>il</w:t>
      </w:r>
      <w:r w:rsidR="009B1824">
        <w:t xml:space="preserve"> explique également qu’en deçà d’une exposition de 85 </w:t>
      </w:r>
      <w:proofErr w:type="spellStart"/>
      <w:r w:rsidR="009B1824">
        <w:t>dBA</w:t>
      </w:r>
      <w:proofErr w:type="spellEnd"/>
      <w:r w:rsidR="009B1824">
        <w:t xml:space="preserve">, les risques de développer une surdité sont </w:t>
      </w:r>
      <w:r w:rsidR="00C641AD">
        <w:t>« très</w:t>
      </w:r>
      <w:r w:rsidR="009B1824">
        <w:t xml:space="preserve"> </w:t>
      </w:r>
      <w:proofErr w:type="spellStart"/>
      <w:r w:rsidR="009B1824">
        <w:t>très</w:t>
      </w:r>
      <w:proofErr w:type="spellEnd"/>
      <w:r w:rsidR="009B1824">
        <w:t xml:space="preserve"> petits</w:t>
      </w:r>
      <w:r w:rsidR="00C641AD">
        <w:t> »</w:t>
      </w:r>
      <w:r w:rsidR="009B1824">
        <w:t xml:space="preserve">, ce qui fait qu’on ne fait pas de dépistage chez </w:t>
      </w:r>
      <w:r w:rsidR="00B65101">
        <w:t xml:space="preserve">un niveau inférieur à 85 </w:t>
      </w:r>
      <w:proofErr w:type="spellStart"/>
      <w:r w:rsidR="00B65101">
        <w:t>dBA</w:t>
      </w:r>
      <w:proofErr w:type="spellEnd"/>
      <w:r w:rsidR="00B65101">
        <w:t>.</w:t>
      </w:r>
    </w:p>
    <w:p w14:paraId="0EFDBE72" w14:textId="77777777" w:rsidR="006E5F92" w:rsidRDefault="006E5F92" w:rsidP="006E5F92">
      <w:pPr>
        <w:pStyle w:val="corpsdedcision"/>
        <w:numPr>
          <w:ilvl w:val="0"/>
          <w:numId w:val="0"/>
        </w:numPr>
      </w:pPr>
    </w:p>
    <w:p w14:paraId="377FE60B" w14:textId="77777777" w:rsidR="007224AB" w:rsidRDefault="00D22675" w:rsidP="007224AB">
      <w:pPr>
        <w:pStyle w:val="corpsdedcision"/>
      </w:pPr>
      <w:r>
        <w:lastRenderedPageBreak/>
        <w:t>L</w:t>
      </w:r>
      <w:r w:rsidR="007224AB">
        <w:t xml:space="preserve">e tribunal </w:t>
      </w:r>
      <w:r w:rsidR="000C5D40">
        <w:t>en infère donc</w:t>
      </w:r>
      <w:r>
        <w:t xml:space="preserve"> </w:t>
      </w:r>
      <w:r w:rsidR="007224AB">
        <w:t xml:space="preserve">que le nombre de travailleurs présentant une surdité indemnisable lorsqu’exposés à 84 </w:t>
      </w:r>
      <w:proofErr w:type="spellStart"/>
      <w:r w:rsidR="007224AB">
        <w:t>dBA</w:t>
      </w:r>
      <w:proofErr w:type="spellEnd"/>
      <w:r w:rsidR="007224AB">
        <w:t xml:space="preserve"> pendant 24 ans demeure donc très bas voire très peu élevé. Un certain pourcentage développera une atteinte moins importante, mais la plupart des individus n’aura </w:t>
      </w:r>
      <w:r>
        <w:t xml:space="preserve">jamais </w:t>
      </w:r>
      <w:r w:rsidR="007224AB">
        <w:t xml:space="preserve">aucune atteinte auditive décelable. </w:t>
      </w:r>
    </w:p>
    <w:p w14:paraId="40A90A8A" w14:textId="77777777" w:rsidR="003E7FEF" w:rsidRDefault="009B1824" w:rsidP="00E43683">
      <w:pPr>
        <w:pStyle w:val="corpsdedcision"/>
      </w:pPr>
      <w:r>
        <w:t xml:space="preserve">Ainsi, le tribunal retient </w:t>
      </w:r>
      <w:r w:rsidR="000C5D40">
        <w:t>d’une part que</w:t>
      </w:r>
      <w:r>
        <w:t xml:space="preserve"> le risque de développer une surdité indemnisable, soit présentant une perte moyenne de 30 dB aux fréquences de 500, 1000, 2000 et 4000 Hz selon le </w:t>
      </w:r>
      <w:r w:rsidR="001C2F1C">
        <w:rPr>
          <w:i/>
        </w:rPr>
        <w:t>R</w:t>
      </w:r>
      <w:r w:rsidRPr="001C2F1C">
        <w:rPr>
          <w:i/>
        </w:rPr>
        <w:t>èglement sur</w:t>
      </w:r>
      <w:r w:rsidR="00B65101" w:rsidRPr="001C2F1C">
        <w:rPr>
          <w:i/>
        </w:rPr>
        <w:t xml:space="preserve"> le barème des dommages corporels</w:t>
      </w:r>
      <w:r w:rsidR="00B65101">
        <w:t xml:space="preserve"> </w:t>
      </w:r>
      <w:r w:rsidR="000C5D40">
        <w:t>est très faible et que d</w:t>
      </w:r>
      <w:r>
        <w:t xml:space="preserve">’autre part, pour les cas où une telle surdité survient, la portion de la perte auditive causée par le bruit demeure </w:t>
      </w:r>
      <w:r w:rsidR="003E7FEF">
        <w:t>minime</w:t>
      </w:r>
      <w:r w:rsidR="00B65101">
        <w:t xml:space="preserve"> (2 dB en moyenne pour les 4 fréquences)</w:t>
      </w:r>
      <w:r w:rsidR="003E7FEF">
        <w:t xml:space="preserve">. </w:t>
      </w:r>
    </w:p>
    <w:p w14:paraId="3006221B" w14:textId="77777777" w:rsidR="009B1824" w:rsidRDefault="003E7FEF" w:rsidP="003E7FEF">
      <w:pPr>
        <w:pStyle w:val="corpsdedcision"/>
      </w:pPr>
      <w:r>
        <w:t xml:space="preserve">Enfin, dans le cas du travailleur, la perte auditive observée dépasse largement le niveau de perte moyen attendu selon la norme ISO 1999. Il est aussi connu pour être porteur d’une maladie </w:t>
      </w:r>
      <w:proofErr w:type="spellStart"/>
      <w:r>
        <w:t>athérosclérotique</w:t>
      </w:r>
      <w:proofErr w:type="spellEnd"/>
      <w:r>
        <w:t xml:space="preserve"> ayant nécessité des interventions chirurgicales. Il présente également des facteurs de risque de maladie </w:t>
      </w:r>
      <w:proofErr w:type="spellStart"/>
      <w:r>
        <w:t>athérosclérotique</w:t>
      </w:r>
      <w:proofErr w:type="spellEnd"/>
      <w:r>
        <w:t xml:space="preserve"> soit le diabète type 2, l’hypertension et l’hypercholestérolémie.  </w:t>
      </w:r>
    </w:p>
    <w:p w14:paraId="765734B5" w14:textId="77777777" w:rsidR="003E7FEF" w:rsidRDefault="003E7FEF" w:rsidP="00E43683">
      <w:pPr>
        <w:pStyle w:val="corpsdedcision"/>
      </w:pPr>
      <w:r>
        <w:t xml:space="preserve">Le docteur Bertrand est d’avis que cette condition personnelle du travailleur est venue aggraver une perte auditive due à l’âge, ce qui explique </w:t>
      </w:r>
      <w:r w:rsidR="00B32C5E">
        <w:t xml:space="preserve">de façon probable </w:t>
      </w:r>
      <w:r>
        <w:t>l’important décalage entre son atteinte et les prédictions de la norme ISO 1999.</w:t>
      </w:r>
      <w:r w:rsidR="00B32C5E">
        <w:t xml:space="preserve"> </w:t>
      </w:r>
    </w:p>
    <w:p w14:paraId="0A8DE7DD" w14:textId="77777777" w:rsidR="002C3564" w:rsidRDefault="00922829" w:rsidP="002C3564">
      <w:pPr>
        <w:pStyle w:val="corpsdedcision"/>
      </w:pPr>
      <w:r>
        <w:t xml:space="preserve">De l’ensemble de la preuve portant sur le lien entre la maladie </w:t>
      </w:r>
      <w:proofErr w:type="spellStart"/>
      <w:r>
        <w:t>athérosclérotique</w:t>
      </w:r>
      <w:proofErr w:type="spellEnd"/>
      <w:r>
        <w:t xml:space="preserve"> et les atteintes auditives, le </w:t>
      </w:r>
      <w:r w:rsidR="00353E51">
        <w:t>tribunal constate que</w:t>
      </w:r>
      <w:r>
        <w:t xml:space="preserve"> </w:t>
      </w:r>
      <w:r w:rsidR="002C3564">
        <w:t xml:space="preserve">dans l’état actuel des </w:t>
      </w:r>
      <w:r w:rsidR="00B32C5E">
        <w:t>connaissances, il ressort qu’</w:t>
      </w:r>
      <w:r w:rsidR="002C3564">
        <w:t xml:space="preserve">une atteinte dans les basses fréquences est fortement associée à la présence d’une maladie </w:t>
      </w:r>
      <w:proofErr w:type="spellStart"/>
      <w:r w:rsidR="002C3564">
        <w:t>athérosclérotique</w:t>
      </w:r>
      <w:proofErr w:type="spellEnd"/>
      <w:r w:rsidR="002C3564">
        <w:t xml:space="preserve">. </w:t>
      </w:r>
      <w:r w:rsidR="00353E51">
        <w:t>Ce type d’atteinte</w:t>
      </w:r>
      <w:r w:rsidR="00B32C5E">
        <w:t xml:space="preserve"> est également associé</w:t>
      </w:r>
      <w:r w:rsidR="002C3564">
        <w:t xml:space="preserve"> à la présence de certains </w:t>
      </w:r>
      <w:proofErr w:type="gramStart"/>
      <w:r w:rsidR="002C3564">
        <w:t>de</w:t>
      </w:r>
      <w:r w:rsidR="00313F4D">
        <w:t>s</w:t>
      </w:r>
      <w:r w:rsidR="002C3564">
        <w:t xml:space="preserve">  facteurs</w:t>
      </w:r>
      <w:proofErr w:type="gramEnd"/>
      <w:r w:rsidR="002C3564">
        <w:t xml:space="preserve"> de risque</w:t>
      </w:r>
      <w:r w:rsidR="00313F4D">
        <w:t xml:space="preserve"> de la maladie </w:t>
      </w:r>
      <w:proofErr w:type="spellStart"/>
      <w:r w:rsidR="00313F4D">
        <w:t>athérosclérotique</w:t>
      </w:r>
      <w:proofErr w:type="spellEnd"/>
      <w:r w:rsidR="002C3564">
        <w:t>. Bien qu’il ne s’agisse pas d’études visant à démontrer une relation causale, l’association est suffisamment fo</w:t>
      </w:r>
      <w:r w:rsidR="007D7590">
        <w:t xml:space="preserve">rte pour que plusieurs auteurs </w:t>
      </w:r>
      <w:r w:rsidR="002C3564">
        <w:t>recommandent, lorsqu’un individu présente une atteinte auditive dans les basses fréquences, de procéder à une investigation pour éliminer la présence d’une pathologie vasculaire asymptomatique. Le docteur Bertrand a mentionné que son équipe fait de même.</w:t>
      </w:r>
    </w:p>
    <w:p w14:paraId="0104B02D" w14:textId="77777777" w:rsidR="002C3564" w:rsidRDefault="002C3564" w:rsidP="002C3564">
      <w:pPr>
        <w:pStyle w:val="corpsdedcision"/>
      </w:pPr>
      <w:r>
        <w:t>Le tribunal considère toutefois, à l’instar du docteur Bertrand et selon la preuve soumise</w:t>
      </w:r>
      <w:r w:rsidR="00E9168A">
        <w:t>,</w:t>
      </w:r>
      <w:r>
        <w:t xml:space="preserve"> que la perte auditive dans les hautes fréquences peut également se retrouver chez les personnes ayant une maladie </w:t>
      </w:r>
      <w:proofErr w:type="spellStart"/>
      <w:r>
        <w:t>athérosclérotique</w:t>
      </w:r>
      <w:proofErr w:type="spellEnd"/>
      <w:r w:rsidR="00313F4D">
        <w:t xml:space="preserve">. </w:t>
      </w:r>
      <w:r>
        <w:t xml:space="preserve">En effet, même si la littérature récente démontre une prévalence accrue de maladie </w:t>
      </w:r>
      <w:proofErr w:type="spellStart"/>
      <w:r>
        <w:t>athérosclérotique</w:t>
      </w:r>
      <w:proofErr w:type="spellEnd"/>
      <w:r>
        <w:t xml:space="preserve"> chez les individus ayant une atteinte dans les basses fréquences, </w:t>
      </w:r>
      <w:r w:rsidR="00313F4D">
        <w:t>il n’est pas</w:t>
      </w:r>
      <w:r w:rsidR="007A0A05">
        <w:t xml:space="preserve"> </w:t>
      </w:r>
      <w:r>
        <w:t xml:space="preserve">exclu que chez d’autres individus, il y a plutôt une atteinte au niveau des hautes fréquences. D’ailleurs, le docteur Bertrand précise que les cas de surdité neurosensorielle dans les hautes fréquences sont beaucoup plus fréquents que ceux en basses fréquences. </w:t>
      </w:r>
    </w:p>
    <w:p w14:paraId="2BE76C3D" w14:textId="77777777" w:rsidR="00466092" w:rsidRDefault="002C3564" w:rsidP="00466092">
      <w:pPr>
        <w:pStyle w:val="corpsdedcision"/>
      </w:pPr>
      <w:r>
        <w:t xml:space="preserve">Enfin, </w:t>
      </w:r>
      <w:r w:rsidR="00134038">
        <w:t>il est vrai que</w:t>
      </w:r>
      <w:r>
        <w:t xml:space="preserve"> la pathophysiologie de l’atteinte auditive en lien avec la présence d’une maladie </w:t>
      </w:r>
      <w:proofErr w:type="spellStart"/>
      <w:r>
        <w:t>athérosclérotique</w:t>
      </w:r>
      <w:proofErr w:type="spellEnd"/>
      <w:r>
        <w:t xml:space="preserve"> </w:t>
      </w:r>
      <w:r w:rsidR="00134038">
        <w:t>ne semble pas encore</w:t>
      </w:r>
      <w:r w:rsidR="00364071">
        <w:t xml:space="preserve"> bien comprise. D’une </w:t>
      </w:r>
      <w:r w:rsidR="00364071">
        <w:lastRenderedPageBreak/>
        <w:t xml:space="preserve">part, </w:t>
      </w:r>
      <w:r>
        <w:t>il est question d’une atteinte de la strie vascu</w:t>
      </w:r>
      <w:r w:rsidR="007D7590">
        <w:t>laire ou d’atteinte métabolique et</w:t>
      </w:r>
      <w:r>
        <w:t xml:space="preserve"> d’autre part</w:t>
      </w:r>
      <w:r w:rsidR="007D7590">
        <w:t>,</w:t>
      </w:r>
      <w:r>
        <w:t xml:space="preserve"> il est question </w:t>
      </w:r>
      <w:r w:rsidR="003E1A6E">
        <w:t xml:space="preserve">également </w:t>
      </w:r>
      <w:r>
        <w:t xml:space="preserve">d’occlusion d’artères terminales irriguant la cochlée et entraînant une atteinte neurosensorielle. Ces deux théories ont été soulevées tant pour expliquer l’atteinte dans les basses fréquences que celle dans les hautes fréquences. </w:t>
      </w:r>
    </w:p>
    <w:p w14:paraId="68303B59" w14:textId="77777777" w:rsidR="002C3564" w:rsidRDefault="002C3564" w:rsidP="00466092">
      <w:pPr>
        <w:pStyle w:val="corpsdedcision"/>
      </w:pPr>
      <w:r>
        <w:t>La preuve scientifique hors de tout doute n’étant pas requise</w:t>
      </w:r>
      <w:r w:rsidR="005B6FE3">
        <w:t xml:space="preserve"> mais bien la </w:t>
      </w:r>
      <w:r w:rsidR="00774D7C">
        <w:t xml:space="preserve">prépondérance </w:t>
      </w:r>
      <w:r w:rsidR="00EA6FF5">
        <w:t>de la preuve</w:t>
      </w:r>
      <w:r w:rsidR="00774D7C">
        <w:rPr>
          <w:rStyle w:val="FootnoteReference"/>
        </w:rPr>
        <w:footnoteReference w:id="10"/>
      </w:r>
      <w:r>
        <w:t xml:space="preserve">, </w:t>
      </w:r>
      <w:r w:rsidR="00466092">
        <w:t xml:space="preserve">le tribunal considère </w:t>
      </w:r>
      <w:r w:rsidR="003E1A6E">
        <w:t>certes</w:t>
      </w:r>
      <w:r>
        <w:t xml:space="preserve"> </w:t>
      </w:r>
      <w:r w:rsidR="005B6FE3">
        <w:t>plausib</w:t>
      </w:r>
      <w:r w:rsidR="00134038">
        <w:t xml:space="preserve">le et probante, dans les circonstances, </w:t>
      </w:r>
      <w:r>
        <w:t xml:space="preserve">une atteinte auditive dans les hautes fréquences chez un individu ayant une maladie </w:t>
      </w:r>
      <w:proofErr w:type="spellStart"/>
      <w:r>
        <w:t>athérosclérotique</w:t>
      </w:r>
      <w:proofErr w:type="spellEnd"/>
      <w:r w:rsidR="005B6FE3">
        <w:t xml:space="preserve">. </w:t>
      </w:r>
    </w:p>
    <w:p w14:paraId="1D61ACD9" w14:textId="77777777" w:rsidR="00EA6FF5" w:rsidRDefault="00460F4A" w:rsidP="00466092">
      <w:pPr>
        <w:pStyle w:val="corpsdedcision"/>
      </w:pPr>
      <w:r>
        <w:t xml:space="preserve">Rappelons </w:t>
      </w:r>
      <w:r w:rsidR="00134038">
        <w:t xml:space="preserve">d’ailleurs </w:t>
      </w:r>
      <w:r>
        <w:t>qu’e</w:t>
      </w:r>
      <w:r w:rsidR="00EA6FF5">
        <w:t xml:space="preserve">n </w:t>
      </w:r>
      <w:r w:rsidR="00B32C5E">
        <w:t>2008-</w:t>
      </w:r>
      <w:r w:rsidR="00EA6FF5">
        <w:t xml:space="preserve">2009, époque à partir de laquelle le </w:t>
      </w:r>
      <w:r w:rsidR="00EA6FF5" w:rsidRPr="001F4FEB">
        <w:t>travailleur</w:t>
      </w:r>
      <w:r w:rsidR="00EA6FF5">
        <w:t xml:space="preserve"> commence à constater une baisse de son audition, il doit cesser de travailler le 28 février 2009 en raison d’une problématique cardiaque sérieuse</w:t>
      </w:r>
      <w:r>
        <w:t xml:space="preserve"> ayant mené à une </w:t>
      </w:r>
      <w:r w:rsidRPr="001F4FEB">
        <w:t>chirurgie</w:t>
      </w:r>
      <w:r>
        <w:t xml:space="preserve"> importante le 21 avril 2009. Il est question notamment de l’implantation d’une valve aortique avec trois pontages. À la même époque, on diagnostique aussi un diabète de type 2, une hypercholestérolémie et de l’hypertension artérielle, ces trois conditions entraînant la prise de médication.</w:t>
      </w:r>
    </w:p>
    <w:p w14:paraId="4730C517" w14:textId="77777777" w:rsidR="002C3564" w:rsidRPr="00210886" w:rsidRDefault="002C3564" w:rsidP="00F01585">
      <w:pPr>
        <w:pStyle w:val="corpsdedcision"/>
        <w:rPr>
          <w:highlight w:val="yellow"/>
        </w:rPr>
      </w:pPr>
      <w:r w:rsidRPr="00210886">
        <w:rPr>
          <w:highlight w:val="yellow"/>
        </w:rPr>
        <w:t xml:space="preserve">Ainsi, considérant que les risques de développer une atteinte auditive indemnisable dans les conditions d’exposition du travailleur sont </w:t>
      </w:r>
      <w:r w:rsidR="009362A6" w:rsidRPr="00210886">
        <w:rPr>
          <w:highlight w:val="yellow"/>
        </w:rPr>
        <w:t xml:space="preserve">plutôt </w:t>
      </w:r>
      <w:r w:rsidRPr="00210886">
        <w:rPr>
          <w:highlight w:val="yellow"/>
        </w:rPr>
        <w:t xml:space="preserve">minimes et que la majorité ne développera aucune atteinte décelable, considérant que la perte auditive </w:t>
      </w:r>
      <w:r w:rsidR="009362A6" w:rsidRPr="00210886">
        <w:rPr>
          <w:highlight w:val="yellow"/>
        </w:rPr>
        <w:t>que</w:t>
      </w:r>
      <w:r w:rsidRPr="00210886">
        <w:rPr>
          <w:highlight w:val="yellow"/>
        </w:rPr>
        <w:t xml:space="preserve"> présente</w:t>
      </w:r>
      <w:r w:rsidR="00364071" w:rsidRPr="00210886">
        <w:rPr>
          <w:highlight w:val="yellow"/>
        </w:rPr>
        <w:t xml:space="preserve"> le</w:t>
      </w:r>
      <w:r w:rsidRPr="00210886">
        <w:rPr>
          <w:highlight w:val="yellow"/>
        </w:rPr>
        <w:t xml:space="preserve"> </w:t>
      </w:r>
      <w:r w:rsidR="009362A6" w:rsidRPr="00210886">
        <w:rPr>
          <w:highlight w:val="yellow"/>
        </w:rPr>
        <w:t xml:space="preserve">travailleur s’avère </w:t>
      </w:r>
      <w:r w:rsidRPr="00210886">
        <w:rPr>
          <w:highlight w:val="yellow"/>
        </w:rPr>
        <w:t xml:space="preserve">beaucoup plus sévère que celle </w:t>
      </w:r>
      <w:r w:rsidR="009362A6" w:rsidRPr="00210886">
        <w:rPr>
          <w:highlight w:val="yellow"/>
        </w:rPr>
        <w:t>attendue</w:t>
      </w:r>
      <w:r w:rsidR="007224AB" w:rsidRPr="00210886">
        <w:rPr>
          <w:highlight w:val="yellow"/>
        </w:rPr>
        <w:t xml:space="preserve">, considérant </w:t>
      </w:r>
      <w:r w:rsidRPr="00210886">
        <w:rPr>
          <w:highlight w:val="yellow"/>
        </w:rPr>
        <w:t>la preuve faite sur les risques d’atteinte auditive en présence de maladie</w:t>
      </w:r>
      <w:r w:rsidR="009362A6" w:rsidRPr="00210886">
        <w:rPr>
          <w:highlight w:val="yellow"/>
        </w:rPr>
        <w:t>s</w:t>
      </w:r>
      <w:r w:rsidRPr="00210886">
        <w:rPr>
          <w:highlight w:val="yellow"/>
        </w:rPr>
        <w:t xml:space="preserve"> </w:t>
      </w:r>
      <w:proofErr w:type="spellStart"/>
      <w:r w:rsidRPr="00210886">
        <w:rPr>
          <w:highlight w:val="yellow"/>
        </w:rPr>
        <w:t>athérosclérotique</w:t>
      </w:r>
      <w:r w:rsidR="009362A6" w:rsidRPr="00210886">
        <w:rPr>
          <w:highlight w:val="yellow"/>
        </w:rPr>
        <w:t>s</w:t>
      </w:r>
      <w:proofErr w:type="spellEnd"/>
      <w:r w:rsidRPr="00210886">
        <w:rPr>
          <w:highlight w:val="yellow"/>
        </w:rPr>
        <w:t xml:space="preserve"> et considérant que le travailleur est porteur d’une telle maladie, relativement sévère, le tribunal estime qu’en l’espèce, l’employeur a </w:t>
      </w:r>
      <w:r w:rsidR="008100BD" w:rsidRPr="00210886">
        <w:rPr>
          <w:highlight w:val="yellow"/>
        </w:rPr>
        <w:t xml:space="preserve">renversé la présomption de maladie professionnelle </w:t>
      </w:r>
      <w:r w:rsidR="009362A6" w:rsidRPr="00210886">
        <w:rPr>
          <w:highlight w:val="yellow"/>
        </w:rPr>
        <w:t xml:space="preserve">en </w:t>
      </w:r>
      <w:r w:rsidRPr="00210886">
        <w:rPr>
          <w:highlight w:val="yellow"/>
        </w:rPr>
        <w:t>démontr</w:t>
      </w:r>
      <w:r w:rsidR="008100BD" w:rsidRPr="00210886">
        <w:rPr>
          <w:highlight w:val="yellow"/>
        </w:rPr>
        <w:t>ant</w:t>
      </w:r>
      <w:r w:rsidRPr="00210886">
        <w:rPr>
          <w:highlight w:val="yellow"/>
        </w:rPr>
        <w:t xml:space="preserve"> que la cause la plus probable de la perte auditive n’était pas l’exposition au bruit</w:t>
      </w:r>
      <w:r w:rsidR="007D7590" w:rsidRPr="00210886">
        <w:rPr>
          <w:highlight w:val="yellow"/>
        </w:rPr>
        <w:t>,</w:t>
      </w:r>
      <w:r w:rsidR="00364071" w:rsidRPr="00210886">
        <w:rPr>
          <w:highlight w:val="yellow"/>
        </w:rPr>
        <w:t xml:space="preserve"> </w:t>
      </w:r>
      <w:r w:rsidRPr="00210886">
        <w:rPr>
          <w:highlight w:val="yellow"/>
        </w:rPr>
        <w:t xml:space="preserve">mais </w:t>
      </w:r>
      <w:r w:rsidR="009362A6" w:rsidRPr="00210886">
        <w:rPr>
          <w:highlight w:val="yellow"/>
        </w:rPr>
        <w:t xml:space="preserve">bien </w:t>
      </w:r>
      <w:r w:rsidRPr="00210886">
        <w:rPr>
          <w:highlight w:val="yellow"/>
        </w:rPr>
        <w:t xml:space="preserve">la </w:t>
      </w:r>
      <w:r w:rsidR="007224AB" w:rsidRPr="00210886">
        <w:rPr>
          <w:highlight w:val="yellow"/>
        </w:rPr>
        <w:t xml:space="preserve">presbyacousie aggravée par la </w:t>
      </w:r>
      <w:r w:rsidRPr="00210886">
        <w:rPr>
          <w:highlight w:val="yellow"/>
        </w:rPr>
        <w:t>condition personnelle du travailleur.</w:t>
      </w:r>
    </w:p>
    <w:p w14:paraId="3505EF67" w14:textId="77777777" w:rsidR="00AD51DB" w:rsidRDefault="00466092" w:rsidP="009362A6">
      <w:pPr>
        <w:pStyle w:val="corpsdedcision"/>
        <w:tabs>
          <w:tab w:val="clear" w:pos="360"/>
          <w:tab w:val="num" w:pos="720"/>
        </w:tabs>
      </w:pPr>
      <w:r>
        <w:t xml:space="preserve">Tenant compte de l’analyse préalable, le tribunal </w:t>
      </w:r>
      <w:r w:rsidR="009362A6">
        <w:t xml:space="preserve">ne peut davantage conclure que l’atteinte auditive du </w:t>
      </w:r>
      <w:r w:rsidR="009362A6" w:rsidRPr="001F4FEB">
        <w:t>travailleur</w:t>
      </w:r>
      <w:r w:rsidR="009362A6">
        <w:t xml:space="preserve"> est caractéristique de son travail exercé à titre de troisième homme, d’aide-livreur ou de livreur ou que cette atteinte est reliée </w:t>
      </w:r>
      <w:r>
        <w:t xml:space="preserve">directement à des risques particuliers de </w:t>
      </w:r>
      <w:r w:rsidR="009362A6">
        <w:t>ce</w:t>
      </w:r>
      <w:r>
        <w:t xml:space="preserve"> travail exercé </w:t>
      </w:r>
      <w:r w:rsidR="008100BD">
        <w:t>pour le compte de l’</w:t>
      </w:r>
      <w:r w:rsidR="008100BD" w:rsidRPr="001F4FEB">
        <w:t>employeur</w:t>
      </w:r>
      <w:r w:rsidR="008100BD">
        <w:t>.</w:t>
      </w:r>
    </w:p>
    <w:p w14:paraId="3FBE1969" w14:textId="77777777" w:rsidR="006E5F92" w:rsidRDefault="006E5F92" w:rsidP="006E5F92">
      <w:pPr>
        <w:pStyle w:val="corpsdedcision"/>
        <w:numPr>
          <w:ilvl w:val="0"/>
          <w:numId w:val="0"/>
        </w:numPr>
        <w:tabs>
          <w:tab w:val="clear" w:pos="720"/>
        </w:tabs>
      </w:pPr>
    </w:p>
    <w:p w14:paraId="7AE1A68F" w14:textId="77777777" w:rsidR="00B15AEA" w:rsidRDefault="008100BD" w:rsidP="008100BD">
      <w:pPr>
        <w:pStyle w:val="corpsdedcision"/>
        <w:tabs>
          <w:tab w:val="clear" w:pos="360"/>
          <w:tab w:val="num" w:pos="720"/>
        </w:tabs>
      </w:pPr>
      <w:r>
        <w:lastRenderedPageBreak/>
        <w:t xml:space="preserve">Le </w:t>
      </w:r>
      <w:r w:rsidRPr="001F4FEB">
        <w:t>travailleur</w:t>
      </w:r>
      <w:r>
        <w:t xml:space="preserve"> n’a </w:t>
      </w:r>
      <w:r w:rsidR="009362A6">
        <w:t xml:space="preserve">donc </w:t>
      </w:r>
      <w:r>
        <w:t xml:space="preserve">pas subi de </w:t>
      </w:r>
      <w:r w:rsidRPr="001F4FEB">
        <w:t>lésion professionnelle</w:t>
      </w:r>
      <w:r>
        <w:t xml:space="preserve"> et n’a pas droit aux prestations prévues à la loi.</w:t>
      </w:r>
    </w:p>
    <w:p w14:paraId="3DBFBED9" w14:textId="77777777" w:rsidR="006E5F92" w:rsidRDefault="006E5F92" w:rsidP="006E5F92">
      <w:pPr>
        <w:pStyle w:val="corpsdedcision"/>
        <w:numPr>
          <w:ilvl w:val="0"/>
          <w:numId w:val="0"/>
        </w:numPr>
        <w:tabs>
          <w:tab w:val="clear" w:pos="720"/>
        </w:tabs>
      </w:pPr>
    </w:p>
    <w:p w14:paraId="00097143" w14:textId="77777777" w:rsidR="00C74B6F" w:rsidRDefault="00C74B6F">
      <w:pPr>
        <w:pStyle w:val="Dispositif"/>
      </w:pPr>
      <w:r>
        <w:rPr>
          <w:b/>
        </w:rPr>
        <w:t>PAR CES MOTIFS, LA COMMISSION DES LÉSIONS PROFESSIONNELLES :</w:t>
      </w:r>
    </w:p>
    <w:p w14:paraId="054AD66F" w14:textId="77777777" w:rsidR="00C74B6F" w:rsidRDefault="008F057F">
      <w:pPr>
        <w:pStyle w:val="Dispositif"/>
      </w:pPr>
      <w:r>
        <w:rPr>
          <w:b/>
        </w:rPr>
        <w:t>ACCUEILLE</w:t>
      </w:r>
      <w:r>
        <w:t xml:space="preserve"> la requête déposée le 22 juillet 2013 par Alex Coulombe </w:t>
      </w:r>
      <w:proofErr w:type="spellStart"/>
      <w:r>
        <w:t>ltée</w:t>
      </w:r>
      <w:proofErr w:type="spellEnd"/>
      <w:r>
        <w:t>, l’</w:t>
      </w:r>
      <w:r w:rsidRPr="001F4FEB">
        <w:t>employeur</w:t>
      </w:r>
      <w:r>
        <w:t>;</w:t>
      </w:r>
    </w:p>
    <w:p w14:paraId="2311118E" w14:textId="77777777" w:rsidR="008F057F" w:rsidRDefault="008F057F">
      <w:pPr>
        <w:pStyle w:val="Dispositif"/>
      </w:pPr>
      <w:r>
        <w:rPr>
          <w:b/>
        </w:rPr>
        <w:t>INFIRME</w:t>
      </w:r>
      <w:r>
        <w:t xml:space="preserve"> la décision de la Commission de la santé et de la sécur</w:t>
      </w:r>
      <w:r w:rsidR="00364071">
        <w:t>ité du travail du 26 </w:t>
      </w:r>
      <w:r>
        <w:t>juin</w:t>
      </w:r>
      <w:r w:rsidR="00364071">
        <w:t> </w:t>
      </w:r>
      <w:r>
        <w:t xml:space="preserve">2013, rendue à la suite d’une </w:t>
      </w:r>
      <w:r w:rsidRPr="001F4FEB">
        <w:t>révision administrative</w:t>
      </w:r>
      <w:r>
        <w:t>;</w:t>
      </w:r>
    </w:p>
    <w:p w14:paraId="60DB42AE" w14:textId="77777777" w:rsidR="008F057F" w:rsidRDefault="008F057F">
      <w:pPr>
        <w:pStyle w:val="Dispositif"/>
      </w:pPr>
      <w:r>
        <w:rPr>
          <w:b/>
        </w:rPr>
        <w:t>DÉCLARE</w:t>
      </w:r>
      <w:r>
        <w:t xml:space="preserve"> que </w:t>
      </w:r>
      <w:r w:rsidRPr="001F4FEB">
        <w:t>monsieur</w:t>
      </w:r>
      <w:r>
        <w:t xml:space="preserve"> Yves Lajeunesse, le </w:t>
      </w:r>
      <w:r w:rsidRPr="001F4FEB">
        <w:t>travailleur</w:t>
      </w:r>
      <w:r>
        <w:t xml:space="preserve">, n’a pas subi de </w:t>
      </w:r>
      <w:r w:rsidRPr="001F4FEB">
        <w:t>lésion professionnelle</w:t>
      </w:r>
      <w:r>
        <w:t xml:space="preserve"> le 20 juin 2012 et qu’il n’a pas droit aux prestations prévues à la </w:t>
      </w:r>
      <w:r w:rsidRPr="008F057F">
        <w:rPr>
          <w:i/>
        </w:rPr>
        <w:t>Loi sur les accidents du travail et les maladies professionnelles</w:t>
      </w:r>
      <w:r>
        <w:t>;</w:t>
      </w:r>
    </w:p>
    <w:p w14:paraId="5699E98F" w14:textId="77777777" w:rsidR="008F057F" w:rsidRDefault="008F057F">
      <w:pPr>
        <w:pStyle w:val="Dispositif"/>
      </w:pPr>
      <w:r>
        <w:t>ET</w:t>
      </w:r>
    </w:p>
    <w:p w14:paraId="69A1FB19" w14:textId="77777777" w:rsidR="008F057F" w:rsidRDefault="008F057F">
      <w:pPr>
        <w:pStyle w:val="Dispositif"/>
      </w:pPr>
      <w:r>
        <w:rPr>
          <w:b/>
        </w:rPr>
        <w:t>DÉCLARE</w:t>
      </w:r>
      <w:r>
        <w:t xml:space="preserve"> sans effet la </w:t>
      </w:r>
      <w:r w:rsidR="00B14B40">
        <w:t xml:space="preserve">seconde </w:t>
      </w:r>
      <w:r>
        <w:t xml:space="preserve">décision de la Commission de la santé et de la sécurité du travail du </w:t>
      </w:r>
      <w:r w:rsidR="00B14B40">
        <w:t>23 mai 2013 déterminant l’</w:t>
      </w:r>
      <w:r w:rsidR="00B14B40" w:rsidRPr="001F4FEB">
        <w:t>atteinte permanente à l'intégrité physique</w:t>
      </w:r>
      <w:r w:rsidR="00B14B40">
        <w:t xml:space="preserve"> à 1,10</w:t>
      </w:r>
      <w:r w:rsidR="00364071">
        <w:t> </w:t>
      </w:r>
      <w:r w:rsidR="00B14B40">
        <w:t xml:space="preserve">%, et l’indemnité pour dommages corporels y correspondant, étant donné l’absence d’une </w:t>
      </w:r>
      <w:r w:rsidR="00B14B40" w:rsidRPr="001F4FEB">
        <w:t>lésion professionnelle</w:t>
      </w:r>
      <w:r w:rsidR="00B14B40">
        <w:t xml:space="preserve"> le 20 juin 2012.</w:t>
      </w:r>
    </w:p>
    <w:p w14:paraId="062ADA5B" w14:textId="77777777" w:rsidR="00C74B6F" w:rsidRDefault="00C74B6F">
      <w:pPr>
        <w:pStyle w:val="Dispositif"/>
      </w:pPr>
    </w:p>
    <w:p w14:paraId="35079A98" w14:textId="77777777" w:rsidR="00050A4F" w:rsidRDefault="00050A4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51C06F24" w14:textId="77777777">
        <w:tc>
          <w:tcPr>
            <w:tcW w:w="4795" w:type="dxa"/>
          </w:tcPr>
          <w:p w14:paraId="7FC28245" w14:textId="77777777" w:rsidR="00C74B6F" w:rsidRDefault="00C74B6F"/>
        </w:tc>
        <w:tc>
          <w:tcPr>
            <w:tcW w:w="4795" w:type="dxa"/>
          </w:tcPr>
          <w:p w14:paraId="640C9517" w14:textId="77777777" w:rsidR="00C74B6F" w:rsidRDefault="00C74B6F">
            <w:bookmarkStart w:id="6" w:name="signature"/>
            <w:bookmarkEnd w:id="6"/>
            <w:r>
              <w:t>__________________________________</w:t>
            </w:r>
          </w:p>
        </w:tc>
      </w:tr>
      <w:tr w:rsidR="00C74B6F" w14:paraId="723492D9" w14:textId="77777777">
        <w:tc>
          <w:tcPr>
            <w:tcW w:w="4795" w:type="dxa"/>
          </w:tcPr>
          <w:p w14:paraId="5E74A579" w14:textId="77777777" w:rsidR="00C74B6F" w:rsidRDefault="00C74B6F"/>
        </w:tc>
        <w:tc>
          <w:tcPr>
            <w:tcW w:w="4795" w:type="dxa"/>
          </w:tcPr>
          <w:p w14:paraId="3BFCF44A" w14:textId="77777777" w:rsidR="00C74B6F" w:rsidRDefault="00362B2B">
            <w:r>
              <w:t>SOPHIE SÉNÉCHAL</w:t>
            </w:r>
          </w:p>
        </w:tc>
      </w:tr>
      <w:tr w:rsidR="00C74B6F" w14:paraId="21108FF0" w14:textId="77777777">
        <w:trPr>
          <w:cantSplit/>
        </w:trPr>
        <w:tc>
          <w:tcPr>
            <w:tcW w:w="9590" w:type="dxa"/>
            <w:gridSpan w:val="2"/>
          </w:tcPr>
          <w:p w14:paraId="65F2721C" w14:textId="77777777" w:rsidR="00C74B6F" w:rsidRDefault="00C74B6F"/>
        </w:tc>
      </w:tr>
      <w:tr w:rsidR="00C74B6F" w14:paraId="19498A67" w14:textId="77777777">
        <w:trPr>
          <w:cantSplit/>
        </w:trPr>
        <w:tc>
          <w:tcPr>
            <w:tcW w:w="9590" w:type="dxa"/>
            <w:gridSpan w:val="2"/>
          </w:tcPr>
          <w:p w14:paraId="136EB605" w14:textId="77777777" w:rsidR="00C74B6F" w:rsidRDefault="00C74B6F"/>
        </w:tc>
      </w:tr>
      <w:tr w:rsidR="00C74B6F" w14:paraId="3D82F1D2" w14:textId="77777777">
        <w:trPr>
          <w:cantSplit/>
        </w:trPr>
        <w:tc>
          <w:tcPr>
            <w:tcW w:w="9590" w:type="dxa"/>
            <w:gridSpan w:val="2"/>
          </w:tcPr>
          <w:p w14:paraId="354F47D1" w14:textId="77777777" w:rsidR="00C74B6F" w:rsidRDefault="00C74B6F"/>
        </w:tc>
      </w:tr>
      <w:tr w:rsidR="00C74B6F" w14:paraId="53EBB3FB" w14:textId="77777777">
        <w:trPr>
          <w:cantSplit/>
        </w:trPr>
        <w:tc>
          <w:tcPr>
            <w:tcW w:w="9590" w:type="dxa"/>
            <w:gridSpan w:val="2"/>
          </w:tcPr>
          <w:p w14:paraId="6383D769" w14:textId="77777777" w:rsidR="00C74B6F" w:rsidRDefault="00C74B6F"/>
        </w:tc>
      </w:tr>
      <w:tr w:rsidR="00C74B6F" w14:paraId="6E911A5B" w14:textId="77777777">
        <w:trPr>
          <w:cantSplit/>
        </w:trPr>
        <w:tc>
          <w:tcPr>
            <w:tcW w:w="9590" w:type="dxa"/>
            <w:gridSpan w:val="2"/>
          </w:tcPr>
          <w:p w14:paraId="1464800C" w14:textId="77777777" w:rsidR="00C74B6F" w:rsidRDefault="00362B2B">
            <w:pPr>
              <w:pStyle w:val="zSoquijdatNomProcureurDem"/>
            </w:pPr>
            <w:r w:rsidRPr="00A72CF6">
              <w:t>M</w:t>
            </w:r>
            <w:r w:rsidRPr="00A72CF6">
              <w:rPr>
                <w:vertAlign w:val="superscript"/>
              </w:rPr>
              <w:t>e</w:t>
            </w:r>
            <w:r w:rsidRPr="00A72CF6">
              <w:t xml:space="preserve"> </w:t>
            </w:r>
            <w:r>
              <w:t>Reine Lafond</w:t>
            </w:r>
          </w:p>
        </w:tc>
      </w:tr>
      <w:tr w:rsidR="00C74B6F" w14:paraId="3E96D731" w14:textId="77777777">
        <w:trPr>
          <w:cantSplit/>
        </w:trPr>
        <w:tc>
          <w:tcPr>
            <w:tcW w:w="9590" w:type="dxa"/>
            <w:gridSpan w:val="2"/>
          </w:tcPr>
          <w:p w14:paraId="4FAD18A2" w14:textId="77777777" w:rsidR="00C74B6F" w:rsidRDefault="00362B2B">
            <w:pPr>
              <w:pStyle w:val="zSoquijdatCabinetProcureurDem"/>
            </w:pPr>
            <w:r>
              <w:t>Le CORRE &amp; ASSOCIÉS, AVOCATS</w:t>
            </w:r>
          </w:p>
        </w:tc>
      </w:tr>
      <w:tr w:rsidR="00C74B6F" w14:paraId="5BCE1708" w14:textId="77777777">
        <w:trPr>
          <w:cantSplit/>
        </w:trPr>
        <w:tc>
          <w:tcPr>
            <w:tcW w:w="9590" w:type="dxa"/>
            <w:gridSpan w:val="2"/>
          </w:tcPr>
          <w:p w14:paraId="3BCA528F" w14:textId="77777777" w:rsidR="00C74B6F" w:rsidRDefault="00C74B6F">
            <w:pPr>
              <w:pStyle w:val="zSoquijlblProcureurDem"/>
            </w:pPr>
            <w:r>
              <w:t>Représentant</w:t>
            </w:r>
            <w:r w:rsidR="00272239">
              <w:t>e</w:t>
            </w:r>
            <w:r>
              <w:t xml:space="preserve"> de la partie requérante</w:t>
            </w:r>
          </w:p>
        </w:tc>
      </w:tr>
      <w:tr w:rsidR="00C74B6F" w14:paraId="6CB99AD2" w14:textId="77777777">
        <w:trPr>
          <w:cantSplit/>
        </w:trPr>
        <w:tc>
          <w:tcPr>
            <w:tcW w:w="9590" w:type="dxa"/>
            <w:gridSpan w:val="2"/>
          </w:tcPr>
          <w:p w14:paraId="0C567B01" w14:textId="77777777" w:rsidR="00C74B6F" w:rsidRDefault="00C74B6F"/>
        </w:tc>
      </w:tr>
      <w:tr w:rsidR="00C74B6F" w14:paraId="5AF3FE71" w14:textId="77777777">
        <w:trPr>
          <w:cantSplit/>
        </w:trPr>
        <w:tc>
          <w:tcPr>
            <w:tcW w:w="9590" w:type="dxa"/>
            <w:gridSpan w:val="2"/>
          </w:tcPr>
          <w:p w14:paraId="277552BE" w14:textId="77777777" w:rsidR="00C74B6F" w:rsidRDefault="00C74B6F"/>
        </w:tc>
      </w:tr>
      <w:tr w:rsidR="00C74B6F" w14:paraId="6F056FC8" w14:textId="77777777">
        <w:trPr>
          <w:cantSplit/>
        </w:trPr>
        <w:tc>
          <w:tcPr>
            <w:tcW w:w="9590" w:type="dxa"/>
            <w:gridSpan w:val="2"/>
          </w:tcPr>
          <w:p w14:paraId="5D751076" w14:textId="77777777" w:rsidR="00C74B6F" w:rsidRDefault="00362B2B">
            <w:pPr>
              <w:pStyle w:val="zSoquijdatNomProcureurDef"/>
            </w:pPr>
            <w:r>
              <w:t>Monsieur Daniel De Roy</w:t>
            </w:r>
          </w:p>
        </w:tc>
      </w:tr>
      <w:tr w:rsidR="00C74B6F" w14:paraId="58473A4F" w14:textId="77777777">
        <w:trPr>
          <w:cantSplit/>
        </w:trPr>
        <w:tc>
          <w:tcPr>
            <w:tcW w:w="9590" w:type="dxa"/>
            <w:gridSpan w:val="2"/>
          </w:tcPr>
          <w:p w14:paraId="3E9E4198" w14:textId="77777777" w:rsidR="00C74B6F" w:rsidRDefault="00362B2B">
            <w:pPr>
              <w:pStyle w:val="zSoquijdatCabinetProcureurDef"/>
            </w:pPr>
            <w:r>
              <w:t xml:space="preserve">UNIFOR QUÉBEC </w:t>
            </w:r>
            <w:r w:rsidR="00272239">
              <w:t>SECTION LOCALE 1044</w:t>
            </w:r>
          </w:p>
        </w:tc>
      </w:tr>
      <w:tr w:rsidR="00C74B6F" w14:paraId="4D05AB1E" w14:textId="77777777">
        <w:trPr>
          <w:cantSplit/>
        </w:trPr>
        <w:tc>
          <w:tcPr>
            <w:tcW w:w="9590" w:type="dxa"/>
            <w:gridSpan w:val="2"/>
          </w:tcPr>
          <w:p w14:paraId="3F94DD96" w14:textId="77777777" w:rsidR="00C74B6F" w:rsidRDefault="00C74B6F">
            <w:pPr>
              <w:pStyle w:val="zSoquijlblProcureurDef"/>
            </w:pPr>
            <w:r>
              <w:t>Représentant de la partie intéressée</w:t>
            </w:r>
          </w:p>
        </w:tc>
      </w:tr>
      <w:tr w:rsidR="00C74B6F" w14:paraId="426BF17F" w14:textId="77777777">
        <w:trPr>
          <w:cantSplit/>
        </w:trPr>
        <w:tc>
          <w:tcPr>
            <w:tcW w:w="9590" w:type="dxa"/>
            <w:gridSpan w:val="2"/>
          </w:tcPr>
          <w:p w14:paraId="6D827FC1" w14:textId="77777777" w:rsidR="00C74B6F" w:rsidRDefault="00C74B6F"/>
        </w:tc>
      </w:tr>
    </w:tbl>
    <w:p w14:paraId="421C5BA5" w14:textId="77777777" w:rsidR="00281F67" w:rsidRDefault="00281F67" w:rsidP="00281F67">
      <w:pPr>
        <w:rPr>
          <w:rFonts w:cs="Arial"/>
          <w:b/>
          <w:caps/>
          <w:sz w:val="28"/>
          <w:szCs w:val="28"/>
        </w:rPr>
      </w:pPr>
    </w:p>
    <w:p w14:paraId="54F49FDB" w14:textId="77777777" w:rsidR="00281F67" w:rsidRDefault="00281F67" w:rsidP="00281F67">
      <w:pPr>
        <w:rPr>
          <w:rFonts w:cs="Arial"/>
          <w:b/>
          <w:caps/>
          <w:sz w:val="28"/>
          <w:szCs w:val="28"/>
        </w:rPr>
      </w:pPr>
    </w:p>
    <w:tbl>
      <w:tblPr>
        <w:tblStyle w:val="TableGrid"/>
        <w:tblW w:w="99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0"/>
        <w:gridCol w:w="7920"/>
      </w:tblGrid>
      <w:tr w:rsidR="00D85EFE" w:rsidRPr="003D0157" w14:paraId="2858719A" w14:textId="77777777" w:rsidTr="006E5F92">
        <w:trPr>
          <w:tblHeader/>
        </w:trPr>
        <w:tc>
          <w:tcPr>
            <w:tcW w:w="9900" w:type="dxa"/>
            <w:gridSpan w:val="2"/>
          </w:tcPr>
          <w:p w14:paraId="47A5895F" w14:textId="77777777" w:rsidR="00D85EFE" w:rsidRPr="00281F21" w:rsidRDefault="00D85EFE" w:rsidP="00F01825">
            <w:pPr>
              <w:jc w:val="center"/>
              <w:rPr>
                <w:rFonts w:cs="Arial"/>
                <w:b/>
                <w:sz w:val="28"/>
                <w:szCs w:val="28"/>
              </w:rPr>
            </w:pPr>
            <w:r>
              <w:rPr>
                <w:rFonts w:cs="Arial"/>
                <w:b/>
                <w:sz w:val="28"/>
                <w:szCs w:val="28"/>
              </w:rPr>
              <w:t>ANNEXE 1</w:t>
            </w:r>
          </w:p>
          <w:p w14:paraId="3493E22C" w14:textId="77777777" w:rsidR="00D85EFE" w:rsidRPr="003D0157" w:rsidRDefault="00D85EFE" w:rsidP="00F01825">
            <w:pPr>
              <w:spacing w:before="120" w:after="240"/>
              <w:jc w:val="center"/>
              <w:rPr>
                <w:b/>
                <w:caps/>
                <w:sz w:val="22"/>
                <w:szCs w:val="22"/>
              </w:rPr>
            </w:pPr>
            <w:r w:rsidRPr="00281F21">
              <w:rPr>
                <w:rFonts w:cs="Arial"/>
                <w:b/>
                <w:caps/>
                <w:sz w:val="28"/>
                <w:szCs w:val="28"/>
              </w:rPr>
              <w:t>Liste des pièces déposées</w:t>
            </w:r>
          </w:p>
        </w:tc>
      </w:tr>
      <w:tr w:rsidR="00D85EFE" w:rsidRPr="003D0157" w14:paraId="6DB827C0" w14:textId="77777777" w:rsidTr="006E5F92">
        <w:trPr>
          <w:tblHeader/>
        </w:trPr>
        <w:tc>
          <w:tcPr>
            <w:tcW w:w="1980" w:type="dxa"/>
          </w:tcPr>
          <w:p w14:paraId="640ADC96" w14:textId="77777777" w:rsidR="00D85EFE" w:rsidRPr="003D0157" w:rsidRDefault="00D85EFE" w:rsidP="00F01825">
            <w:pPr>
              <w:spacing w:before="240" w:after="120"/>
              <w:rPr>
                <w:b/>
                <w:caps/>
                <w:sz w:val="22"/>
                <w:szCs w:val="22"/>
              </w:rPr>
            </w:pPr>
            <w:r>
              <w:rPr>
                <w:b/>
                <w:caps/>
                <w:sz w:val="22"/>
                <w:szCs w:val="22"/>
              </w:rPr>
              <w:t>partie requérante</w:t>
            </w:r>
          </w:p>
        </w:tc>
        <w:tc>
          <w:tcPr>
            <w:tcW w:w="7920" w:type="dxa"/>
          </w:tcPr>
          <w:p w14:paraId="0FBD56D0" w14:textId="77777777" w:rsidR="00D85EFE" w:rsidRPr="003D0157" w:rsidRDefault="00D85EFE" w:rsidP="00F01825">
            <w:pPr>
              <w:spacing w:before="240" w:after="120"/>
              <w:jc w:val="both"/>
              <w:rPr>
                <w:b/>
                <w:caps/>
                <w:sz w:val="22"/>
                <w:szCs w:val="22"/>
              </w:rPr>
            </w:pPr>
            <w:r>
              <w:rPr>
                <w:b/>
                <w:caps/>
                <w:sz w:val="22"/>
                <w:szCs w:val="22"/>
              </w:rPr>
              <w:t>ALEX COULOMBE LTÉE</w:t>
            </w:r>
          </w:p>
        </w:tc>
      </w:tr>
      <w:tr w:rsidR="00D85EFE" w:rsidRPr="00AD58CF" w14:paraId="6159DF16" w14:textId="77777777" w:rsidTr="006E5F92">
        <w:tc>
          <w:tcPr>
            <w:tcW w:w="1980" w:type="dxa"/>
          </w:tcPr>
          <w:p w14:paraId="4CD9E7D0" w14:textId="77777777" w:rsidR="00D85EFE" w:rsidRDefault="00D85EFE" w:rsidP="00F01825">
            <w:pPr>
              <w:spacing w:after="120"/>
              <w:rPr>
                <w:b/>
                <w:sz w:val="22"/>
                <w:szCs w:val="22"/>
              </w:rPr>
            </w:pPr>
          </w:p>
          <w:p w14:paraId="5E9EE22A" w14:textId="77777777" w:rsidR="00D85EFE" w:rsidRPr="00AD58CF" w:rsidRDefault="00D85EFE" w:rsidP="00F01825">
            <w:pPr>
              <w:spacing w:after="120"/>
              <w:rPr>
                <w:b/>
                <w:sz w:val="22"/>
                <w:szCs w:val="22"/>
              </w:rPr>
            </w:pPr>
            <w:r>
              <w:rPr>
                <w:b/>
                <w:sz w:val="22"/>
                <w:szCs w:val="22"/>
              </w:rPr>
              <w:t>E-1</w:t>
            </w:r>
          </w:p>
        </w:tc>
        <w:tc>
          <w:tcPr>
            <w:tcW w:w="7920" w:type="dxa"/>
          </w:tcPr>
          <w:p w14:paraId="105749AA" w14:textId="77777777" w:rsidR="00D85EFE" w:rsidRDefault="00D85EFE" w:rsidP="00F01825">
            <w:pPr>
              <w:spacing w:after="120"/>
              <w:jc w:val="both"/>
              <w:rPr>
                <w:sz w:val="20"/>
              </w:rPr>
            </w:pPr>
          </w:p>
          <w:p w14:paraId="7FB1C184" w14:textId="77777777" w:rsidR="00D85EFE" w:rsidRPr="006A7E1E" w:rsidRDefault="00D85EFE" w:rsidP="00F01825">
            <w:pPr>
              <w:spacing w:after="120"/>
              <w:jc w:val="both"/>
              <w:rPr>
                <w:sz w:val="20"/>
              </w:rPr>
            </w:pPr>
            <w:r>
              <w:rPr>
                <w:sz w:val="20"/>
              </w:rPr>
              <w:t>Lettre du 20 janvier 2014 adressée à la CSST par la procureure de l’employeur pour une demande d’une copie des études citées par la CSST.</w:t>
            </w:r>
          </w:p>
        </w:tc>
      </w:tr>
      <w:tr w:rsidR="00D85EFE" w:rsidRPr="00AD58CF" w14:paraId="2CC894F5" w14:textId="77777777" w:rsidTr="006E5F92">
        <w:tc>
          <w:tcPr>
            <w:tcW w:w="1980" w:type="dxa"/>
          </w:tcPr>
          <w:p w14:paraId="4FD02BAE" w14:textId="77777777" w:rsidR="00D85EFE" w:rsidRPr="00AD58CF" w:rsidRDefault="00D85EFE" w:rsidP="00F01825">
            <w:pPr>
              <w:spacing w:after="120"/>
              <w:rPr>
                <w:b/>
                <w:sz w:val="22"/>
                <w:szCs w:val="22"/>
              </w:rPr>
            </w:pPr>
            <w:r>
              <w:rPr>
                <w:b/>
                <w:sz w:val="22"/>
                <w:szCs w:val="22"/>
              </w:rPr>
              <w:t>E-2</w:t>
            </w:r>
          </w:p>
        </w:tc>
        <w:tc>
          <w:tcPr>
            <w:tcW w:w="7920" w:type="dxa"/>
          </w:tcPr>
          <w:p w14:paraId="00288024" w14:textId="77777777" w:rsidR="00D85EFE" w:rsidRPr="00B52C45" w:rsidRDefault="00D85EFE" w:rsidP="00F01825">
            <w:pPr>
              <w:spacing w:after="120"/>
              <w:jc w:val="both"/>
              <w:rPr>
                <w:rFonts w:cs="Arial"/>
                <w:sz w:val="20"/>
              </w:rPr>
            </w:pPr>
            <w:r>
              <w:rPr>
                <w:rFonts w:cs="Arial"/>
                <w:sz w:val="20"/>
              </w:rPr>
              <w:t>Réponse de la CSST datée du 7 février 2014.</w:t>
            </w:r>
          </w:p>
        </w:tc>
      </w:tr>
      <w:tr w:rsidR="00D85EFE" w:rsidRPr="00AD58CF" w14:paraId="362A03D0" w14:textId="77777777" w:rsidTr="006E5F92">
        <w:tc>
          <w:tcPr>
            <w:tcW w:w="1980" w:type="dxa"/>
          </w:tcPr>
          <w:p w14:paraId="26075778" w14:textId="77777777" w:rsidR="00D85EFE" w:rsidRPr="00AD58CF" w:rsidRDefault="00D85EFE" w:rsidP="00F01825">
            <w:pPr>
              <w:spacing w:after="120"/>
              <w:rPr>
                <w:rFonts w:cs="Arial"/>
                <w:b/>
                <w:sz w:val="22"/>
                <w:szCs w:val="22"/>
              </w:rPr>
            </w:pPr>
            <w:r>
              <w:rPr>
                <w:rFonts w:cs="Arial"/>
                <w:b/>
                <w:sz w:val="22"/>
                <w:szCs w:val="22"/>
              </w:rPr>
              <w:t>E-3</w:t>
            </w:r>
          </w:p>
        </w:tc>
        <w:tc>
          <w:tcPr>
            <w:tcW w:w="7920" w:type="dxa"/>
          </w:tcPr>
          <w:p w14:paraId="02B35E01" w14:textId="77777777" w:rsidR="00D85EFE" w:rsidRPr="007D683F" w:rsidRDefault="00D85EFE" w:rsidP="00F01825">
            <w:pPr>
              <w:spacing w:after="120"/>
              <w:jc w:val="both"/>
              <w:rPr>
                <w:rFonts w:cs="Arial"/>
                <w:sz w:val="20"/>
              </w:rPr>
            </w:pPr>
            <w:r w:rsidRPr="007D683F">
              <w:rPr>
                <w:rFonts w:cs="Arial"/>
                <w:sz w:val="20"/>
              </w:rPr>
              <w:t xml:space="preserve">Compilation – </w:t>
            </w:r>
            <w:proofErr w:type="spellStart"/>
            <w:r w:rsidRPr="007D683F">
              <w:rPr>
                <w:rFonts w:cs="Arial"/>
                <w:sz w:val="20"/>
              </w:rPr>
              <w:t>detail</w:t>
            </w:r>
            <w:proofErr w:type="spellEnd"/>
            <w:r w:rsidRPr="007D683F">
              <w:rPr>
                <w:rFonts w:cs="Arial"/>
                <w:sz w:val="20"/>
              </w:rPr>
              <w:t xml:space="preserve"> du nombre de jours non exposé au bruit de livraison.</w:t>
            </w:r>
          </w:p>
        </w:tc>
      </w:tr>
      <w:tr w:rsidR="00D85EFE" w:rsidRPr="00AD58CF" w14:paraId="595345D7" w14:textId="77777777" w:rsidTr="006E5F92">
        <w:tc>
          <w:tcPr>
            <w:tcW w:w="1980" w:type="dxa"/>
          </w:tcPr>
          <w:p w14:paraId="04E105EE" w14:textId="77777777" w:rsidR="00D85EFE" w:rsidRPr="00AD58CF" w:rsidRDefault="00D85EFE" w:rsidP="00F01825">
            <w:pPr>
              <w:spacing w:after="120"/>
              <w:rPr>
                <w:rFonts w:cs="Arial"/>
                <w:b/>
                <w:sz w:val="22"/>
                <w:szCs w:val="22"/>
                <w:lang w:val="en-CA"/>
              </w:rPr>
            </w:pPr>
            <w:r>
              <w:rPr>
                <w:rFonts w:cs="Arial"/>
                <w:b/>
                <w:sz w:val="22"/>
                <w:szCs w:val="22"/>
                <w:lang w:val="en-CA"/>
              </w:rPr>
              <w:t>E-4</w:t>
            </w:r>
          </w:p>
        </w:tc>
        <w:tc>
          <w:tcPr>
            <w:tcW w:w="7920" w:type="dxa"/>
          </w:tcPr>
          <w:p w14:paraId="47AD2AE4" w14:textId="77777777" w:rsidR="00D85EFE" w:rsidRPr="007D683F" w:rsidRDefault="00D85EFE" w:rsidP="00F01825">
            <w:pPr>
              <w:spacing w:after="120"/>
              <w:jc w:val="both"/>
              <w:rPr>
                <w:rFonts w:cs="Arial"/>
                <w:color w:val="000000"/>
                <w:sz w:val="20"/>
              </w:rPr>
            </w:pPr>
            <w:r w:rsidRPr="007D683F">
              <w:rPr>
                <w:rFonts w:cs="Arial"/>
                <w:color w:val="000000"/>
                <w:sz w:val="20"/>
              </w:rPr>
              <w:t>Registre de paie – liste des absences par code de temps (absences, assurances, CSST) (01/01/1996 au 31/12/2013).</w:t>
            </w:r>
          </w:p>
        </w:tc>
      </w:tr>
      <w:tr w:rsidR="00D85EFE" w:rsidRPr="00AD58CF" w14:paraId="42ACC2B6" w14:textId="77777777" w:rsidTr="006E5F92">
        <w:tc>
          <w:tcPr>
            <w:tcW w:w="1980" w:type="dxa"/>
          </w:tcPr>
          <w:p w14:paraId="6AAB4137" w14:textId="77777777" w:rsidR="00D85EFE" w:rsidRPr="00AD58CF" w:rsidRDefault="00D85EFE" w:rsidP="00F01825">
            <w:pPr>
              <w:spacing w:after="120"/>
              <w:jc w:val="both"/>
              <w:rPr>
                <w:rFonts w:cs="Arial"/>
                <w:b/>
                <w:sz w:val="22"/>
                <w:szCs w:val="22"/>
                <w:lang w:val="en-CA"/>
              </w:rPr>
            </w:pPr>
            <w:r>
              <w:rPr>
                <w:rFonts w:cs="Arial"/>
                <w:b/>
                <w:sz w:val="22"/>
                <w:szCs w:val="22"/>
                <w:lang w:val="en-CA"/>
              </w:rPr>
              <w:t>E-5</w:t>
            </w:r>
          </w:p>
        </w:tc>
        <w:tc>
          <w:tcPr>
            <w:tcW w:w="7920" w:type="dxa"/>
          </w:tcPr>
          <w:p w14:paraId="46F1BB57" w14:textId="77777777" w:rsidR="00D85EFE" w:rsidRPr="007D683F" w:rsidRDefault="00D85EFE" w:rsidP="00F01825">
            <w:pPr>
              <w:spacing w:after="120"/>
              <w:jc w:val="both"/>
              <w:rPr>
                <w:rFonts w:cs="Arial"/>
                <w:color w:val="000000"/>
                <w:sz w:val="20"/>
              </w:rPr>
            </w:pPr>
            <w:r w:rsidRPr="007D683F">
              <w:rPr>
                <w:rFonts w:cs="Arial"/>
                <w:color w:val="000000"/>
                <w:sz w:val="20"/>
              </w:rPr>
              <w:t>Registre de paie – liste des absences par code de temps (vacances) (01/01/1996 au 31/12/2012).</w:t>
            </w:r>
          </w:p>
        </w:tc>
      </w:tr>
      <w:tr w:rsidR="00D85EFE" w:rsidRPr="00AD58CF" w14:paraId="3F529D52" w14:textId="77777777" w:rsidTr="006E5F92">
        <w:tc>
          <w:tcPr>
            <w:tcW w:w="1980" w:type="dxa"/>
          </w:tcPr>
          <w:p w14:paraId="78B68C3E" w14:textId="77777777" w:rsidR="00D85EFE" w:rsidRPr="00AD58CF" w:rsidRDefault="00D85EFE" w:rsidP="00F01825">
            <w:pPr>
              <w:spacing w:after="120"/>
              <w:jc w:val="both"/>
              <w:rPr>
                <w:rFonts w:cs="Arial"/>
                <w:b/>
                <w:color w:val="000000"/>
                <w:sz w:val="22"/>
                <w:szCs w:val="22"/>
              </w:rPr>
            </w:pPr>
            <w:r>
              <w:rPr>
                <w:rFonts w:cs="Arial"/>
                <w:b/>
                <w:color w:val="000000"/>
                <w:sz w:val="22"/>
                <w:szCs w:val="22"/>
              </w:rPr>
              <w:t>E-6</w:t>
            </w:r>
          </w:p>
        </w:tc>
        <w:tc>
          <w:tcPr>
            <w:tcW w:w="7920" w:type="dxa"/>
          </w:tcPr>
          <w:p w14:paraId="0E2F1559" w14:textId="77777777" w:rsidR="00D85EFE" w:rsidRPr="007D683F" w:rsidRDefault="00D85EFE" w:rsidP="00F01825">
            <w:pPr>
              <w:spacing w:after="120"/>
              <w:jc w:val="both"/>
              <w:rPr>
                <w:rFonts w:cs="Arial"/>
                <w:color w:val="000000"/>
                <w:sz w:val="20"/>
              </w:rPr>
            </w:pPr>
            <w:r w:rsidRPr="007D683F">
              <w:rPr>
                <w:rFonts w:cs="Arial"/>
                <w:color w:val="000000"/>
                <w:sz w:val="20"/>
              </w:rPr>
              <w:t>Registre de paie – liste des absences par code de temps (mise en marché) (01/01/1996 au 31/12/2013).</w:t>
            </w:r>
          </w:p>
        </w:tc>
      </w:tr>
      <w:tr w:rsidR="00D85EFE" w:rsidRPr="00AD58CF" w14:paraId="5330E525" w14:textId="77777777" w:rsidTr="006E5F92">
        <w:tc>
          <w:tcPr>
            <w:tcW w:w="1980" w:type="dxa"/>
          </w:tcPr>
          <w:p w14:paraId="5F6A3026" w14:textId="77777777" w:rsidR="00D85EFE" w:rsidRPr="00AD58CF" w:rsidRDefault="00D85EFE" w:rsidP="00F01825">
            <w:pPr>
              <w:spacing w:after="120"/>
              <w:jc w:val="both"/>
              <w:rPr>
                <w:rFonts w:cs="Arial"/>
                <w:b/>
                <w:sz w:val="22"/>
                <w:szCs w:val="22"/>
              </w:rPr>
            </w:pPr>
            <w:r>
              <w:rPr>
                <w:rFonts w:cs="Arial"/>
                <w:b/>
                <w:sz w:val="22"/>
                <w:szCs w:val="22"/>
              </w:rPr>
              <w:t>E-7</w:t>
            </w:r>
          </w:p>
        </w:tc>
        <w:tc>
          <w:tcPr>
            <w:tcW w:w="7920" w:type="dxa"/>
          </w:tcPr>
          <w:p w14:paraId="07C60816" w14:textId="77777777" w:rsidR="00D85EFE" w:rsidRPr="007D683F" w:rsidRDefault="00D85EFE" w:rsidP="00F01825">
            <w:pPr>
              <w:spacing w:after="120"/>
              <w:jc w:val="both"/>
              <w:rPr>
                <w:rFonts w:cs="Arial"/>
                <w:color w:val="000000"/>
                <w:sz w:val="20"/>
              </w:rPr>
            </w:pPr>
            <w:r w:rsidRPr="007D683F">
              <w:rPr>
                <w:rFonts w:cs="Arial"/>
                <w:color w:val="000000"/>
                <w:sz w:val="20"/>
              </w:rPr>
              <w:t>Registre de paie – liste des absences par code de temps (temps travaillé, agent de commercialisation (01/01/1996 au 31/12/2013).</w:t>
            </w:r>
          </w:p>
        </w:tc>
      </w:tr>
      <w:tr w:rsidR="00D85EFE" w:rsidRPr="00AD58CF" w14:paraId="2CA1CAA9" w14:textId="77777777" w:rsidTr="006E5F92">
        <w:tc>
          <w:tcPr>
            <w:tcW w:w="1980" w:type="dxa"/>
          </w:tcPr>
          <w:p w14:paraId="15D39C47" w14:textId="77777777" w:rsidR="00D85EFE" w:rsidRPr="00AD58CF"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E-8</w:t>
            </w:r>
          </w:p>
        </w:tc>
        <w:tc>
          <w:tcPr>
            <w:tcW w:w="7920" w:type="dxa"/>
          </w:tcPr>
          <w:p w14:paraId="721F0F7B" w14:textId="77777777" w:rsidR="00D85EFE" w:rsidRPr="007D683F" w:rsidRDefault="00D85EFE" w:rsidP="00F01825">
            <w:pPr>
              <w:spacing w:after="120"/>
              <w:jc w:val="both"/>
              <w:rPr>
                <w:rFonts w:cs="Arial"/>
                <w:color w:val="000000"/>
                <w:sz w:val="20"/>
              </w:rPr>
            </w:pPr>
            <w:r w:rsidRPr="007D683F">
              <w:rPr>
                <w:rFonts w:cs="Arial"/>
                <w:color w:val="000000"/>
                <w:sz w:val="20"/>
              </w:rPr>
              <w:t>Liste des codes de temps.</w:t>
            </w:r>
          </w:p>
        </w:tc>
      </w:tr>
      <w:tr w:rsidR="00D85EFE" w:rsidRPr="00AD58CF" w14:paraId="6FC64810" w14:textId="77777777" w:rsidTr="006E5F92">
        <w:tc>
          <w:tcPr>
            <w:tcW w:w="1980" w:type="dxa"/>
          </w:tcPr>
          <w:p w14:paraId="55E87B4D" w14:textId="77777777" w:rsidR="00D85EFE" w:rsidRPr="00AD58CF"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E-9</w:t>
            </w:r>
          </w:p>
        </w:tc>
        <w:tc>
          <w:tcPr>
            <w:tcW w:w="7920" w:type="dxa"/>
          </w:tcPr>
          <w:p w14:paraId="52CF24DE" w14:textId="77777777" w:rsidR="00D85EFE" w:rsidRPr="00B52C45" w:rsidRDefault="00D85EFE" w:rsidP="00F01825">
            <w:pPr>
              <w:spacing w:after="120"/>
              <w:jc w:val="both"/>
              <w:rPr>
                <w:rFonts w:cs="Arial"/>
                <w:color w:val="000000"/>
                <w:sz w:val="20"/>
                <w:lang w:val="en-CA"/>
              </w:rPr>
            </w:pPr>
            <w:proofErr w:type="spellStart"/>
            <w:r>
              <w:rPr>
                <w:rFonts w:cs="Arial"/>
                <w:color w:val="000000"/>
                <w:sz w:val="20"/>
                <w:lang w:val="en-CA"/>
              </w:rPr>
              <w:t>Liste</w:t>
            </w:r>
            <w:proofErr w:type="spellEnd"/>
            <w:r>
              <w:rPr>
                <w:rFonts w:cs="Arial"/>
                <w:color w:val="000000"/>
                <w:sz w:val="20"/>
                <w:lang w:val="en-CA"/>
              </w:rPr>
              <w:t xml:space="preserve"> des </w:t>
            </w:r>
            <w:proofErr w:type="spellStart"/>
            <w:r>
              <w:rPr>
                <w:rFonts w:cs="Arial"/>
                <w:color w:val="000000"/>
                <w:sz w:val="20"/>
                <w:lang w:val="en-CA"/>
              </w:rPr>
              <w:t>postes</w:t>
            </w:r>
            <w:proofErr w:type="spellEnd"/>
            <w:r>
              <w:rPr>
                <w:rFonts w:cs="Arial"/>
                <w:color w:val="000000"/>
                <w:sz w:val="20"/>
                <w:lang w:val="en-CA"/>
              </w:rPr>
              <w:t>.</w:t>
            </w:r>
          </w:p>
        </w:tc>
      </w:tr>
      <w:tr w:rsidR="00D85EFE" w:rsidRPr="00AD58CF" w14:paraId="0B5F1A71" w14:textId="77777777" w:rsidTr="006E5F92">
        <w:tc>
          <w:tcPr>
            <w:tcW w:w="1980" w:type="dxa"/>
          </w:tcPr>
          <w:p w14:paraId="24C791D7" w14:textId="77777777" w:rsidR="00D85EFE" w:rsidRPr="00AD58CF" w:rsidRDefault="00D85EFE" w:rsidP="00F01825">
            <w:pPr>
              <w:autoSpaceDE w:val="0"/>
              <w:autoSpaceDN w:val="0"/>
              <w:adjustRightInd w:val="0"/>
              <w:spacing w:after="120" w:line="240" w:lineRule="atLeast"/>
              <w:jc w:val="both"/>
              <w:rPr>
                <w:rFonts w:cs="Arial"/>
                <w:b/>
                <w:sz w:val="22"/>
                <w:szCs w:val="22"/>
                <w:lang w:val="en-CA"/>
              </w:rPr>
            </w:pPr>
            <w:r>
              <w:rPr>
                <w:rFonts w:cs="Arial"/>
                <w:b/>
                <w:sz w:val="22"/>
                <w:szCs w:val="22"/>
                <w:lang w:val="en-CA"/>
              </w:rPr>
              <w:t>E-10</w:t>
            </w:r>
          </w:p>
        </w:tc>
        <w:tc>
          <w:tcPr>
            <w:tcW w:w="7920" w:type="dxa"/>
          </w:tcPr>
          <w:p w14:paraId="17329A88" w14:textId="77777777" w:rsidR="00D85EFE" w:rsidRPr="00B52C45" w:rsidRDefault="00D85EFE" w:rsidP="00F01825">
            <w:pPr>
              <w:spacing w:after="120"/>
              <w:jc w:val="both"/>
              <w:rPr>
                <w:rFonts w:cs="Arial"/>
                <w:color w:val="000000"/>
                <w:sz w:val="20"/>
                <w:lang w:val="en-CA"/>
              </w:rPr>
            </w:pPr>
            <w:r>
              <w:rPr>
                <w:rFonts w:cs="Arial"/>
                <w:color w:val="000000"/>
                <w:sz w:val="20"/>
                <w:lang w:val="en-CA"/>
              </w:rPr>
              <w:t xml:space="preserve">Photo – </w:t>
            </w:r>
            <w:proofErr w:type="spellStart"/>
            <w:r>
              <w:rPr>
                <w:rFonts w:cs="Arial"/>
                <w:color w:val="000000"/>
                <w:sz w:val="20"/>
                <w:lang w:val="en-CA"/>
              </w:rPr>
              <w:t>caisse</w:t>
            </w:r>
            <w:proofErr w:type="spellEnd"/>
            <w:r>
              <w:rPr>
                <w:rFonts w:cs="Arial"/>
                <w:color w:val="000000"/>
                <w:sz w:val="20"/>
                <w:lang w:val="en-CA"/>
              </w:rPr>
              <w:t xml:space="preserve"> de </w:t>
            </w:r>
            <w:proofErr w:type="spellStart"/>
            <w:r>
              <w:rPr>
                <w:rFonts w:cs="Arial"/>
                <w:color w:val="000000"/>
                <w:sz w:val="20"/>
                <w:lang w:val="en-CA"/>
              </w:rPr>
              <w:t>bois</w:t>
            </w:r>
            <w:proofErr w:type="spellEnd"/>
            <w:r>
              <w:rPr>
                <w:rFonts w:cs="Arial"/>
                <w:color w:val="000000"/>
                <w:sz w:val="20"/>
                <w:lang w:val="en-CA"/>
              </w:rPr>
              <w:t>.</w:t>
            </w:r>
          </w:p>
        </w:tc>
      </w:tr>
      <w:tr w:rsidR="00D85EFE" w:rsidRPr="00B52C45" w14:paraId="6D7CB2EF" w14:textId="77777777" w:rsidTr="006E5F92">
        <w:tc>
          <w:tcPr>
            <w:tcW w:w="1980" w:type="dxa"/>
          </w:tcPr>
          <w:p w14:paraId="5A861C05" w14:textId="77777777" w:rsidR="00D85EFE" w:rsidRPr="00AD58CF"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E-11</w:t>
            </w:r>
          </w:p>
        </w:tc>
        <w:tc>
          <w:tcPr>
            <w:tcW w:w="7920" w:type="dxa"/>
          </w:tcPr>
          <w:p w14:paraId="65EDC3C8" w14:textId="77777777" w:rsidR="00D85EFE" w:rsidRPr="00B52C45" w:rsidRDefault="00D85EFE" w:rsidP="00F01825">
            <w:pPr>
              <w:spacing w:after="120"/>
              <w:jc w:val="both"/>
              <w:rPr>
                <w:rFonts w:cs="Arial"/>
                <w:color w:val="000000"/>
                <w:sz w:val="20"/>
              </w:rPr>
            </w:pPr>
            <w:r>
              <w:rPr>
                <w:rFonts w:cs="Arial"/>
                <w:color w:val="000000"/>
                <w:sz w:val="20"/>
              </w:rPr>
              <w:t xml:space="preserve">Dossier médical – </w:t>
            </w:r>
            <w:r w:rsidRPr="006D5E87">
              <w:rPr>
                <w:rFonts w:cs="Arial"/>
                <w:color w:val="000000"/>
                <w:sz w:val="20"/>
              </w:rPr>
              <w:t>D</w:t>
            </w:r>
            <w:r w:rsidRPr="006D5E87">
              <w:rPr>
                <w:rFonts w:cs="Arial"/>
                <w:color w:val="000000"/>
                <w:sz w:val="20"/>
                <w:vertAlign w:val="superscript"/>
              </w:rPr>
              <w:t>r</w:t>
            </w:r>
            <w:r>
              <w:rPr>
                <w:rFonts w:cs="Arial"/>
                <w:color w:val="000000"/>
                <w:sz w:val="20"/>
              </w:rPr>
              <w:t xml:space="preserve"> Roger Roy.</w:t>
            </w:r>
          </w:p>
        </w:tc>
      </w:tr>
      <w:tr w:rsidR="00D85EFE" w:rsidRPr="00B52C45" w14:paraId="25443CA2" w14:textId="77777777" w:rsidTr="006E5F92">
        <w:tc>
          <w:tcPr>
            <w:tcW w:w="1980" w:type="dxa"/>
          </w:tcPr>
          <w:p w14:paraId="63E96E83" w14:textId="77777777" w:rsidR="00D85EFE" w:rsidRPr="00AD58CF"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E-12</w:t>
            </w:r>
          </w:p>
        </w:tc>
        <w:tc>
          <w:tcPr>
            <w:tcW w:w="7920" w:type="dxa"/>
          </w:tcPr>
          <w:p w14:paraId="0D4182D1" w14:textId="77777777" w:rsidR="00D85EFE" w:rsidRDefault="00D85EFE" w:rsidP="00F01825">
            <w:pPr>
              <w:spacing w:after="120"/>
              <w:jc w:val="both"/>
              <w:rPr>
                <w:rFonts w:cs="Arial"/>
                <w:color w:val="000000"/>
                <w:sz w:val="20"/>
              </w:rPr>
            </w:pPr>
            <w:r>
              <w:rPr>
                <w:rFonts w:cs="Arial"/>
                <w:color w:val="000000"/>
                <w:sz w:val="20"/>
              </w:rPr>
              <w:t>Photo – caisse en plastique.</w:t>
            </w:r>
          </w:p>
        </w:tc>
      </w:tr>
      <w:tr w:rsidR="00D85EFE" w:rsidRPr="00B52C45" w14:paraId="7DE8591B" w14:textId="77777777" w:rsidTr="006E5F92">
        <w:tc>
          <w:tcPr>
            <w:tcW w:w="1980" w:type="dxa"/>
          </w:tcPr>
          <w:p w14:paraId="45D6C8E0" w14:textId="77777777" w:rsidR="00D85EFE"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E-13</w:t>
            </w:r>
          </w:p>
        </w:tc>
        <w:tc>
          <w:tcPr>
            <w:tcW w:w="7920" w:type="dxa"/>
          </w:tcPr>
          <w:p w14:paraId="5BE511CA" w14:textId="77777777" w:rsidR="00D85EFE" w:rsidRDefault="00D85EFE" w:rsidP="00F01825">
            <w:pPr>
              <w:spacing w:after="120"/>
              <w:jc w:val="both"/>
              <w:rPr>
                <w:rFonts w:cs="Arial"/>
                <w:color w:val="000000"/>
                <w:sz w:val="20"/>
              </w:rPr>
            </w:pPr>
            <w:r>
              <w:rPr>
                <w:rFonts w:cs="Arial"/>
                <w:color w:val="000000"/>
                <w:sz w:val="20"/>
              </w:rPr>
              <w:t>Photo – caisse en plastique / séparateur en plastique.</w:t>
            </w:r>
          </w:p>
        </w:tc>
      </w:tr>
      <w:tr w:rsidR="00D85EFE" w:rsidRPr="00B52C45" w14:paraId="7D842396" w14:textId="77777777" w:rsidTr="006E5F92">
        <w:tc>
          <w:tcPr>
            <w:tcW w:w="1980" w:type="dxa"/>
          </w:tcPr>
          <w:p w14:paraId="55AF6222" w14:textId="77777777" w:rsidR="00D85EFE" w:rsidRDefault="00D85EFE"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E-14</w:t>
            </w:r>
          </w:p>
        </w:tc>
        <w:tc>
          <w:tcPr>
            <w:tcW w:w="7920" w:type="dxa"/>
          </w:tcPr>
          <w:p w14:paraId="44549FD2" w14:textId="77777777" w:rsidR="00D85EFE" w:rsidRDefault="00D85EFE" w:rsidP="00F01825">
            <w:pPr>
              <w:spacing w:after="120"/>
              <w:jc w:val="both"/>
              <w:rPr>
                <w:rFonts w:cs="Arial"/>
                <w:color w:val="000000"/>
                <w:sz w:val="20"/>
              </w:rPr>
            </w:pPr>
            <w:r>
              <w:rPr>
                <w:rFonts w:cs="Arial"/>
                <w:color w:val="000000"/>
                <w:sz w:val="20"/>
              </w:rPr>
              <w:t>Photo – séparateurs carton / plastique.</w:t>
            </w:r>
          </w:p>
        </w:tc>
      </w:tr>
      <w:tr w:rsidR="00D85EFE" w:rsidRPr="00B52C45" w14:paraId="6D01C43F" w14:textId="77777777" w:rsidTr="006E5F92">
        <w:tc>
          <w:tcPr>
            <w:tcW w:w="1980" w:type="dxa"/>
          </w:tcPr>
          <w:p w14:paraId="51562BB3"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E-15</w:t>
            </w:r>
          </w:p>
        </w:tc>
        <w:tc>
          <w:tcPr>
            <w:tcW w:w="7920" w:type="dxa"/>
          </w:tcPr>
          <w:p w14:paraId="71D755C1" w14:textId="77777777" w:rsidR="00D85EFE" w:rsidRDefault="00D85EFE" w:rsidP="00F01825">
            <w:pPr>
              <w:spacing w:after="120"/>
              <w:jc w:val="both"/>
              <w:rPr>
                <w:rFonts w:cs="Arial"/>
                <w:color w:val="000000"/>
                <w:sz w:val="20"/>
              </w:rPr>
            </w:pPr>
            <w:r>
              <w:rPr>
                <w:rFonts w:cs="Arial"/>
                <w:color w:val="000000"/>
                <w:sz w:val="20"/>
              </w:rPr>
              <w:t>Photo – bouteilles enveloppées en styromousse.</w:t>
            </w:r>
          </w:p>
        </w:tc>
      </w:tr>
      <w:tr w:rsidR="00D85EFE" w:rsidRPr="00B52C45" w14:paraId="56517D98" w14:textId="77777777" w:rsidTr="006E5F92">
        <w:tc>
          <w:tcPr>
            <w:tcW w:w="1980" w:type="dxa"/>
          </w:tcPr>
          <w:p w14:paraId="77D29DB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E-16</w:t>
            </w:r>
          </w:p>
        </w:tc>
        <w:tc>
          <w:tcPr>
            <w:tcW w:w="7920" w:type="dxa"/>
          </w:tcPr>
          <w:p w14:paraId="65FA81C6" w14:textId="77777777" w:rsidR="00D85EFE" w:rsidRDefault="00D85EFE" w:rsidP="00F01825">
            <w:pPr>
              <w:spacing w:after="120"/>
              <w:jc w:val="both"/>
              <w:rPr>
                <w:rFonts w:cs="Arial"/>
                <w:color w:val="000000"/>
                <w:sz w:val="20"/>
              </w:rPr>
            </w:pPr>
            <w:r>
              <w:rPr>
                <w:rFonts w:cs="Arial"/>
                <w:color w:val="000000"/>
                <w:sz w:val="20"/>
              </w:rPr>
              <w:t>Transcription sténographique de l’audience du 10 septembre 2014.</w:t>
            </w:r>
          </w:p>
        </w:tc>
      </w:tr>
      <w:tr w:rsidR="00D85EFE" w:rsidRPr="00B52C45" w14:paraId="5C053A09" w14:textId="77777777" w:rsidTr="006E5F92">
        <w:tc>
          <w:tcPr>
            <w:tcW w:w="1980" w:type="dxa"/>
          </w:tcPr>
          <w:p w14:paraId="0F4C02F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E-17</w:t>
            </w:r>
          </w:p>
        </w:tc>
        <w:tc>
          <w:tcPr>
            <w:tcW w:w="7920" w:type="dxa"/>
          </w:tcPr>
          <w:p w14:paraId="72199F67" w14:textId="77777777" w:rsidR="00D85EFE" w:rsidRDefault="00D85EFE" w:rsidP="00F01825">
            <w:pPr>
              <w:spacing w:after="120"/>
              <w:jc w:val="both"/>
              <w:rPr>
                <w:rFonts w:cs="Arial"/>
                <w:color w:val="000000"/>
                <w:sz w:val="20"/>
              </w:rPr>
            </w:pPr>
            <w:r>
              <w:rPr>
                <w:rFonts w:cs="Arial"/>
                <w:color w:val="000000"/>
                <w:sz w:val="20"/>
              </w:rPr>
              <w:t>Avis de nomination du 2 novembre 1994.</w:t>
            </w:r>
          </w:p>
        </w:tc>
      </w:tr>
      <w:tr w:rsidR="00D85EFE" w:rsidRPr="00B52C45" w14:paraId="256374C8" w14:textId="77777777" w:rsidTr="006E5F92">
        <w:tc>
          <w:tcPr>
            <w:tcW w:w="1980" w:type="dxa"/>
          </w:tcPr>
          <w:p w14:paraId="4F9062A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E-18</w:t>
            </w:r>
          </w:p>
        </w:tc>
        <w:tc>
          <w:tcPr>
            <w:tcW w:w="7920" w:type="dxa"/>
          </w:tcPr>
          <w:p w14:paraId="7124A1E3" w14:textId="77777777" w:rsidR="00D85EFE" w:rsidRDefault="00D85EFE" w:rsidP="00F01825">
            <w:pPr>
              <w:spacing w:after="120"/>
              <w:jc w:val="both"/>
              <w:rPr>
                <w:rFonts w:cs="Arial"/>
                <w:color w:val="000000"/>
                <w:sz w:val="20"/>
              </w:rPr>
            </w:pPr>
            <w:r>
              <w:rPr>
                <w:rFonts w:cs="Arial"/>
                <w:color w:val="000000"/>
                <w:sz w:val="20"/>
              </w:rPr>
              <w:t>Photo du garage (porte ouverte).</w:t>
            </w:r>
          </w:p>
        </w:tc>
      </w:tr>
      <w:tr w:rsidR="00D85EFE" w:rsidRPr="00B52C45" w14:paraId="695DE2F4" w14:textId="77777777" w:rsidTr="006E5F92">
        <w:tc>
          <w:tcPr>
            <w:tcW w:w="1980" w:type="dxa"/>
          </w:tcPr>
          <w:p w14:paraId="7383E51C"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E-19</w:t>
            </w:r>
          </w:p>
        </w:tc>
        <w:tc>
          <w:tcPr>
            <w:tcW w:w="7920" w:type="dxa"/>
          </w:tcPr>
          <w:p w14:paraId="25F955D0" w14:textId="77777777" w:rsidR="00D85EFE" w:rsidRDefault="00D85EFE" w:rsidP="00F01825">
            <w:pPr>
              <w:spacing w:after="120"/>
              <w:jc w:val="both"/>
              <w:rPr>
                <w:rFonts w:cs="Arial"/>
                <w:color w:val="000000"/>
                <w:sz w:val="20"/>
              </w:rPr>
            </w:pPr>
            <w:r>
              <w:rPr>
                <w:rFonts w:cs="Arial"/>
                <w:color w:val="000000"/>
                <w:sz w:val="20"/>
              </w:rPr>
              <w:t>Photo du garage (portes fermées).</w:t>
            </w:r>
          </w:p>
        </w:tc>
      </w:tr>
      <w:tr w:rsidR="00D85EFE" w:rsidRPr="00B52C45" w14:paraId="6431CA48" w14:textId="77777777" w:rsidTr="006E5F92">
        <w:tc>
          <w:tcPr>
            <w:tcW w:w="1980" w:type="dxa"/>
          </w:tcPr>
          <w:p w14:paraId="51D8950A"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E-20</w:t>
            </w:r>
          </w:p>
        </w:tc>
        <w:tc>
          <w:tcPr>
            <w:tcW w:w="7920" w:type="dxa"/>
          </w:tcPr>
          <w:p w14:paraId="7CDA77C5" w14:textId="77777777" w:rsidR="00D85EFE" w:rsidRDefault="00D85EFE" w:rsidP="00F01825">
            <w:pPr>
              <w:spacing w:after="120"/>
              <w:jc w:val="both"/>
              <w:rPr>
                <w:rFonts w:cs="Arial"/>
                <w:color w:val="000000"/>
                <w:sz w:val="20"/>
              </w:rPr>
            </w:pPr>
            <w:r>
              <w:rPr>
                <w:rFonts w:cs="Arial"/>
                <w:color w:val="000000"/>
                <w:sz w:val="20"/>
              </w:rPr>
              <w:t xml:space="preserve">Addendum au rapport d’analyse de bruit de juillet 2014 préparé pour Alex Coulombe </w:t>
            </w:r>
            <w:proofErr w:type="spellStart"/>
            <w:r>
              <w:rPr>
                <w:rFonts w:cs="Arial"/>
                <w:color w:val="000000"/>
                <w:sz w:val="20"/>
              </w:rPr>
              <w:t>ltée</w:t>
            </w:r>
            <w:proofErr w:type="spellEnd"/>
            <w:r>
              <w:rPr>
                <w:rFonts w:cs="Arial"/>
                <w:color w:val="000000"/>
                <w:sz w:val="20"/>
              </w:rPr>
              <w:t>, 10 octobre 2014.</w:t>
            </w:r>
          </w:p>
        </w:tc>
      </w:tr>
      <w:tr w:rsidR="00D85EFE" w:rsidRPr="00B52C45" w14:paraId="6AFAB132" w14:textId="77777777" w:rsidTr="006E5F92">
        <w:tc>
          <w:tcPr>
            <w:tcW w:w="1980" w:type="dxa"/>
          </w:tcPr>
          <w:p w14:paraId="652A26D0"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E-21</w:t>
            </w:r>
          </w:p>
        </w:tc>
        <w:tc>
          <w:tcPr>
            <w:tcW w:w="7920" w:type="dxa"/>
          </w:tcPr>
          <w:p w14:paraId="1D1FE0AB" w14:textId="77777777" w:rsidR="00D85EFE" w:rsidRDefault="00D85EFE" w:rsidP="00F01825">
            <w:pPr>
              <w:spacing w:after="120"/>
              <w:jc w:val="both"/>
              <w:rPr>
                <w:rFonts w:cs="Arial"/>
                <w:color w:val="000000"/>
                <w:sz w:val="20"/>
              </w:rPr>
            </w:pPr>
            <w:r>
              <w:rPr>
                <w:rFonts w:cs="Arial"/>
                <w:color w:val="000000"/>
                <w:sz w:val="20"/>
              </w:rPr>
              <w:t>Transcription sténographique de l’audience du 26 septembre 2014.</w:t>
            </w:r>
          </w:p>
        </w:tc>
      </w:tr>
      <w:tr w:rsidR="00D85EFE" w:rsidRPr="00B52C45" w14:paraId="12F33F1A" w14:textId="77777777" w:rsidTr="006E5F92">
        <w:tc>
          <w:tcPr>
            <w:tcW w:w="1980" w:type="dxa"/>
          </w:tcPr>
          <w:p w14:paraId="2E6CCA65"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E-22</w:t>
            </w:r>
          </w:p>
        </w:tc>
        <w:tc>
          <w:tcPr>
            <w:tcW w:w="7920" w:type="dxa"/>
          </w:tcPr>
          <w:p w14:paraId="1E9D4881" w14:textId="77777777" w:rsidR="00D85EFE" w:rsidRDefault="00D85EFE" w:rsidP="00F01825">
            <w:pPr>
              <w:spacing w:after="120"/>
              <w:jc w:val="both"/>
              <w:rPr>
                <w:rFonts w:cs="Arial"/>
                <w:color w:val="000000"/>
                <w:sz w:val="20"/>
              </w:rPr>
            </w:pPr>
            <w:r>
              <w:rPr>
                <w:rFonts w:cs="Arial"/>
                <w:color w:val="000000"/>
                <w:sz w:val="20"/>
              </w:rPr>
              <w:t>Confirmation de poste, 2 avril 2001.</w:t>
            </w:r>
          </w:p>
        </w:tc>
      </w:tr>
      <w:tr w:rsidR="00D85EFE" w:rsidRPr="00B52C45" w14:paraId="281FDD3F" w14:textId="77777777" w:rsidTr="006E5F92">
        <w:tc>
          <w:tcPr>
            <w:tcW w:w="1980" w:type="dxa"/>
          </w:tcPr>
          <w:p w14:paraId="18C891C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lastRenderedPageBreak/>
              <w:t>E-23</w:t>
            </w:r>
          </w:p>
        </w:tc>
        <w:tc>
          <w:tcPr>
            <w:tcW w:w="7920" w:type="dxa"/>
          </w:tcPr>
          <w:p w14:paraId="618E38A4" w14:textId="77777777" w:rsidR="00D85EFE" w:rsidRDefault="00D85EFE" w:rsidP="00F01825">
            <w:pPr>
              <w:spacing w:after="120"/>
              <w:jc w:val="both"/>
              <w:rPr>
                <w:rFonts w:cs="Arial"/>
                <w:color w:val="000000"/>
                <w:sz w:val="20"/>
              </w:rPr>
            </w:pPr>
            <w:r>
              <w:rPr>
                <w:rFonts w:cs="Arial"/>
                <w:color w:val="000000"/>
                <w:sz w:val="20"/>
              </w:rPr>
              <w:t xml:space="preserve">Note au dossier du </w:t>
            </w:r>
            <w:r w:rsidRPr="004208C3">
              <w:rPr>
                <w:rFonts w:cs="Arial"/>
                <w:color w:val="000000"/>
                <w:sz w:val="20"/>
              </w:rPr>
              <w:t>travailleur</w:t>
            </w:r>
            <w:r>
              <w:rPr>
                <w:rFonts w:cs="Arial"/>
                <w:color w:val="000000"/>
                <w:sz w:val="20"/>
              </w:rPr>
              <w:t>, 13 janvier 1997.</w:t>
            </w:r>
          </w:p>
        </w:tc>
      </w:tr>
      <w:tr w:rsidR="00D85EFE" w:rsidRPr="00B52C45" w14:paraId="45044F2B" w14:textId="77777777" w:rsidTr="006E5F92">
        <w:tc>
          <w:tcPr>
            <w:tcW w:w="1980" w:type="dxa"/>
          </w:tcPr>
          <w:p w14:paraId="6977826A"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E-24</w:t>
            </w:r>
          </w:p>
        </w:tc>
        <w:tc>
          <w:tcPr>
            <w:tcW w:w="7920" w:type="dxa"/>
          </w:tcPr>
          <w:p w14:paraId="28D3161E" w14:textId="77777777" w:rsidR="00D85EFE" w:rsidRDefault="00D85EFE" w:rsidP="00F01825">
            <w:pPr>
              <w:spacing w:after="120"/>
              <w:jc w:val="both"/>
              <w:rPr>
                <w:rFonts w:cs="Arial"/>
                <w:color w:val="000000"/>
                <w:sz w:val="20"/>
              </w:rPr>
            </w:pPr>
            <w:r>
              <w:rPr>
                <w:rFonts w:cs="Arial"/>
                <w:color w:val="000000"/>
                <w:sz w:val="20"/>
              </w:rPr>
              <w:t xml:space="preserve">Note au dossier du </w:t>
            </w:r>
            <w:r w:rsidRPr="004208C3">
              <w:rPr>
                <w:rFonts w:cs="Arial"/>
                <w:color w:val="000000"/>
                <w:sz w:val="20"/>
              </w:rPr>
              <w:t>travailleur</w:t>
            </w:r>
            <w:r>
              <w:rPr>
                <w:rFonts w:cs="Arial"/>
                <w:color w:val="000000"/>
                <w:sz w:val="20"/>
              </w:rPr>
              <w:t>, 26 avril 1988.</w:t>
            </w:r>
          </w:p>
        </w:tc>
      </w:tr>
      <w:tr w:rsidR="00D85EFE" w:rsidRPr="00B52C45" w14:paraId="1FB1F0D0" w14:textId="77777777" w:rsidTr="006E5F92">
        <w:tc>
          <w:tcPr>
            <w:tcW w:w="1980" w:type="dxa"/>
          </w:tcPr>
          <w:p w14:paraId="515E0F65"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E-25</w:t>
            </w:r>
          </w:p>
        </w:tc>
        <w:tc>
          <w:tcPr>
            <w:tcW w:w="7920" w:type="dxa"/>
          </w:tcPr>
          <w:p w14:paraId="20816950" w14:textId="77777777" w:rsidR="00D85EFE" w:rsidRDefault="00D85EFE" w:rsidP="00F01825">
            <w:pPr>
              <w:spacing w:after="120"/>
              <w:jc w:val="both"/>
              <w:rPr>
                <w:rFonts w:cs="Arial"/>
                <w:color w:val="000000"/>
                <w:sz w:val="20"/>
              </w:rPr>
            </w:pPr>
            <w:r>
              <w:rPr>
                <w:rFonts w:cs="Arial"/>
                <w:color w:val="000000"/>
                <w:sz w:val="20"/>
              </w:rPr>
              <w:t>Note au dossier de M. Michel Paradis, 26 mai 1986.</w:t>
            </w:r>
          </w:p>
        </w:tc>
      </w:tr>
      <w:tr w:rsidR="00D85EFE" w:rsidRPr="00B52C45" w14:paraId="0CBA411B" w14:textId="77777777" w:rsidTr="006E5F92">
        <w:tc>
          <w:tcPr>
            <w:tcW w:w="1980" w:type="dxa"/>
          </w:tcPr>
          <w:p w14:paraId="087031BC"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E-26</w:t>
            </w:r>
          </w:p>
        </w:tc>
        <w:tc>
          <w:tcPr>
            <w:tcW w:w="7920" w:type="dxa"/>
          </w:tcPr>
          <w:p w14:paraId="5330A86D" w14:textId="77777777" w:rsidR="00D85EFE" w:rsidRDefault="00D85EFE" w:rsidP="00F01825">
            <w:pPr>
              <w:spacing w:after="120"/>
              <w:jc w:val="both"/>
              <w:rPr>
                <w:rFonts w:cs="Arial"/>
                <w:color w:val="000000"/>
                <w:sz w:val="20"/>
              </w:rPr>
            </w:pPr>
            <w:r>
              <w:rPr>
                <w:rFonts w:cs="Arial"/>
                <w:color w:val="000000"/>
                <w:sz w:val="20"/>
              </w:rPr>
              <w:t xml:space="preserve">Note au dossier de M. Michel Paradis, 11 mai </w:t>
            </w:r>
            <w:proofErr w:type="gramStart"/>
            <w:r>
              <w:rPr>
                <w:rFonts w:cs="Arial"/>
                <w:color w:val="000000"/>
                <w:sz w:val="20"/>
              </w:rPr>
              <w:t>1988..</w:t>
            </w:r>
            <w:proofErr w:type="gramEnd"/>
          </w:p>
        </w:tc>
      </w:tr>
      <w:tr w:rsidR="00D85EFE" w:rsidRPr="00B52C45" w14:paraId="2BE43AF2" w14:textId="77777777" w:rsidTr="006E5F92">
        <w:tc>
          <w:tcPr>
            <w:tcW w:w="1980" w:type="dxa"/>
          </w:tcPr>
          <w:p w14:paraId="606064AD"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E-27</w:t>
            </w:r>
          </w:p>
        </w:tc>
        <w:tc>
          <w:tcPr>
            <w:tcW w:w="7920" w:type="dxa"/>
          </w:tcPr>
          <w:p w14:paraId="6D031FB4" w14:textId="77777777" w:rsidR="00D85EFE" w:rsidRDefault="00D85EFE" w:rsidP="00F01825">
            <w:pPr>
              <w:spacing w:after="120"/>
              <w:jc w:val="both"/>
              <w:rPr>
                <w:rFonts w:cs="Arial"/>
                <w:color w:val="000000"/>
                <w:sz w:val="20"/>
              </w:rPr>
            </w:pPr>
            <w:r>
              <w:rPr>
                <w:rFonts w:cs="Arial"/>
                <w:color w:val="000000"/>
                <w:sz w:val="20"/>
              </w:rPr>
              <w:t>Description des tâches – vendeur – 16 novembre 1989.</w:t>
            </w:r>
          </w:p>
        </w:tc>
      </w:tr>
      <w:tr w:rsidR="00D85EFE" w:rsidRPr="00B52C45" w14:paraId="37F8B000" w14:textId="77777777" w:rsidTr="006E5F92">
        <w:tc>
          <w:tcPr>
            <w:tcW w:w="1980" w:type="dxa"/>
          </w:tcPr>
          <w:p w14:paraId="6DB627CF"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E-28</w:t>
            </w:r>
          </w:p>
        </w:tc>
        <w:tc>
          <w:tcPr>
            <w:tcW w:w="7920" w:type="dxa"/>
          </w:tcPr>
          <w:p w14:paraId="00221E7F" w14:textId="77777777" w:rsidR="00D85EFE" w:rsidRDefault="00D85EFE" w:rsidP="00F01825">
            <w:pPr>
              <w:spacing w:after="120"/>
              <w:jc w:val="both"/>
              <w:rPr>
                <w:rFonts w:cs="Arial"/>
                <w:color w:val="000000"/>
                <w:sz w:val="20"/>
              </w:rPr>
            </w:pPr>
            <w:r>
              <w:rPr>
                <w:rFonts w:cs="Arial"/>
                <w:color w:val="000000"/>
                <w:sz w:val="20"/>
              </w:rPr>
              <w:t>Transcription sténographique de l’audience du 17 octobre 2014.</w:t>
            </w:r>
          </w:p>
        </w:tc>
      </w:tr>
      <w:tr w:rsidR="00D85EFE" w:rsidRPr="00B52C45" w14:paraId="381619C5" w14:textId="77777777" w:rsidTr="006E5F92">
        <w:tc>
          <w:tcPr>
            <w:tcW w:w="1980" w:type="dxa"/>
          </w:tcPr>
          <w:p w14:paraId="5A84BCE0"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E-29</w:t>
            </w:r>
          </w:p>
        </w:tc>
        <w:tc>
          <w:tcPr>
            <w:tcW w:w="7920" w:type="dxa"/>
          </w:tcPr>
          <w:p w14:paraId="314ED38A" w14:textId="77777777" w:rsidR="00D85EFE" w:rsidRDefault="00D85EFE" w:rsidP="00F01825">
            <w:pPr>
              <w:spacing w:after="120"/>
              <w:jc w:val="both"/>
              <w:rPr>
                <w:rFonts w:cs="Arial"/>
                <w:color w:val="000000"/>
                <w:sz w:val="20"/>
              </w:rPr>
            </w:pPr>
            <w:r>
              <w:rPr>
                <w:rFonts w:cs="Arial"/>
                <w:color w:val="000000"/>
                <w:sz w:val="20"/>
              </w:rPr>
              <w:t>Analyse du poste de vendeur – aide (livreur).</w:t>
            </w:r>
          </w:p>
        </w:tc>
      </w:tr>
      <w:tr w:rsidR="00D85EFE" w:rsidRPr="00B52C45" w14:paraId="012D0516" w14:textId="77777777" w:rsidTr="006E5F92">
        <w:tc>
          <w:tcPr>
            <w:tcW w:w="1980" w:type="dxa"/>
          </w:tcPr>
          <w:p w14:paraId="42E75CBA"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E-30</w:t>
            </w:r>
          </w:p>
        </w:tc>
        <w:tc>
          <w:tcPr>
            <w:tcW w:w="7920" w:type="dxa"/>
          </w:tcPr>
          <w:p w14:paraId="40DD3452" w14:textId="77777777" w:rsidR="00D85EFE" w:rsidRDefault="00D85EFE" w:rsidP="00F01825">
            <w:pPr>
              <w:spacing w:after="120"/>
              <w:jc w:val="both"/>
              <w:rPr>
                <w:rFonts w:cs="Arial"/>
                <w:color w:val="000000"/>
                <w:sz w:val="20"/>
              </w:rPr>
            </w:pPr>
            <w:r>
              <w:rPr>
                <w:rFonts w:cs="Arial"/>
                <w:color w:val="000000"/>
                <w:sz w:val="20"/>
              </w:rPr>
              <w:t>Analyse du poste de vendeur – aide (remorque).</w:t>
            </w:r>
          </w:p>
        </w:tc>
      </w:tr>
      <w:tr w:rsidR="00D85EFE" w:rsidRPr="00B52C45" w14:paraId="6F948E50" w14:textId="77777777" w:rsidTr="006E5F92">
        <w:tc>
          <w:tcPr>
            <w:tcW w:w="1980" w:type="dxa"/>
          </w:tcPr>
          <w:p w14:paraId="3728C18F"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E-31</w:t>
            </w:r>
          </w:p>
        </w:tc>
        <w:tc>
          <w:tcPr>
            <w:tcW w:w="7920" w:type="dxa"/>
          </w:tcPr>
          <w:p w14:paraId="31965701" w14:textId="77777777" w:rsidR="00D85EFE" w:rsidRDefault="00D85EFE" w:rsidP="00F01825">
            <w:pPr>
              <w:spacing w:after="120"/>
              <w:jc w:val="both"/>
              <w:rPr>
                <w:rFonts w:cs="Arial"/>
                <w:color w:val="000000"/>
                <w:sz w:val="20"/>
              </w:rPr>
            </w:pPr>
            <w:r>
              <w:rPr>
                <w:rFonts w:cs="Arial"/>
                <w:color w:val="000000"/>
                <w:sz w:val="20"/>
              </w:rPr>
              <w:t>Analyse du poste de vendeur – aide (route).</w:t>
            </w:r>
          </w:p>
        </w:tc>
      </w:tr>
      <w:tr w:rsidR="00D85EFE" w:rsidRPr="00B52C45" w14:paraId="41EB00BD" w14:textId="77777777" w:rsidTr="006E5F92">
        <w:tc>
          <w:tcPr>
            <w:tcW w:w="1980" w:type="dxa"/>
          </w:tcPr>
          <w:p w14:paraId="312481CF"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E-32</w:t>
            </w:r>
          </w:p>
        </w:tc>
        <w:tc>
          <w:tcPr>
            <w:tcW w:w="7920" w:type="dxa"/>
          </w:tcPr>
          <w:p w14:paraId="6094A782" w14:textId="77777777" w:rsidR="00D85EFE" w:rsidRDefault="00D85EFE" w:rsidP="00F01825">
            <w:pPr>
              <w:spacing w:after="120"/>
              <w:jc w:val="both"/>
              <w:rPr>
                <w:rFonts w:cs="Arial"/>
                <w:color w:val="000000"/>
                <w:sz w:val="20"/>
              </w:rPr>
            </w:pPr>
            <w:r>
              <w:rPr>
                <w:rFonts w:cs="Arial"/>
                <w:color w:val="000000"/>
                <w:sz w:val="20"/>
              </w:rPr>
              <w:t>Photo d’une caisse en bois.</w:t>
            </w:r>
          </w:p>
        </w:tc>
      </w:tr>
      <w:tr w:rsidR="00D85EFE" w:rsidRPr="00B52C45" w14:paraId="2F8355C2" w14:textId="77777777" w:rsidTr="006E5F92">
        <w:tc>
          <w:tcPr>
            <w:tcW w:w="1980" w:type="dxa"/>
          </w:tcPr>
          <w:p w14:paraId="6F883CA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E-33</w:t>
            </w:r>
          </w:p>
        </w:tc>
        <w:tc>
          <w:tcPr>
            <w:tcW w:w="7920" w:type="dxa"/>
          </w:tcPr>
          <w:p w14:paraId="588CE03C" w14:textId="77777777" w:rsidR="00D85EFE" w:rsidRDefault="00D85EFE" w:rsidP="00F01825">
            <w:pPr>
              <w:spacing w:after="120"/>
              <w:jc w:val="both"/>
              <w:rPr>
                <w:rFonts w:cs="Arial"/>
                <w:color w:val="000000"/>
                <w:sz w:val="20"/>
              </w:rPr>
            </w:pPr>
            <w:r>
              <w:rPr>
                <w:rFonts w:cs="Arial"/>
                <w:color w:val="000000"/>
                <w:sz w:val="20"/>
              </w:rPr>
              <w:t>Photo d’une caisse en bois.</w:t>
            </w:r>
          </w:p>
        </w:tc>
      </w:tr>
      <w:tr w:rsidR="00D85EFE" w:rsidRPr="00B52C45" w14:paraId="74639B4B" w14:textId="77777777" w:rsidTr="006E5F92">
        <w:tc>
          <w:tcPr>
            <w:tcW w:w="1980" w:type="dxa"/>
          </w:tcPr>
          <w:p w14:paraId="5C7DC5E5"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E-34</w:t>
            </w:r>
          </w:p>
        </w:tc>
        <w:tc>
          <w:tcPr>
            <w:tcW w:w="7920" w:type="dxa"/>
          </w:tcPr>
          <w:p w14:paraId="601DDAE6" w14:textId="77777777" w:rsidR="00D85EFE" w:rsidRDefault="00D85EFE" w:rsidP="00F01825">
            <w:pPr>
              <w:spacing w:after="120"/>
              <w:jc w:val="both"/>
              <w:rPr>
                <w:rFonts w:cs="Arial"/>
                <w:color w:val="000000"/>
                <w:sz w:val="20"/>
              </w:rPr>
            </w:pPr>
            <w:r>
              <w:rPr>
                <w:rFonts w:cs="Arial"/>
                <w:color w:val="000000"/>
                <w:sz w:val="20"/>
              </w:rPr>
              <w:t>Plan du sous-sol.</w:t>
            </w:r>
          </w:p>
        </w:tc>
      </w:tr>
      <w:tr w:rsidR="00D85EFE" w:rsidRPr="00B52C45" w14:paraId="7F1F851F" w14:textId="77777777" w:rsidTr="006E5F92">
        <w:tc>
          <w:tcPr>
            <w:tcW w:w="1980" w:type="dxa"/>
          </w:tcPr>
          <w:p w14:paraId="2C49821C"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E-35</w:t>
            </w:r>
          </w:p>
        </w:tc>
        <w:tc>
          <w:tcPr>
            <w:tcW w:w="7920" w:type="dxa"/>
          </w:tcPr>
          <w:p w14:paraId="1B113B60" w14:textId="77777777" w:rsidR="00D85EFE" w:rsidRDefault="00D85EFE" w:rsidP="00F01825">
            <w:pPr>
              <w:spacing w:after="120"/>
              <w:jc w:val="both"/>
              <w:rPr>
                <w:rFonts w:cs="Arial"/>
                <w:color w:val="000000"/>
                <w:sz w:val="20"/>
              </w:rPr>
            </w:pPr>
            <w:r>
              <w:rPr>
                <w:rFonts w:cs="Arial"/>
                <w:color w:val="000000"/>
                <w:sz w:val="20"/>
              </w:rPr>
              <w:t>Photo d’une bouche de ventilation.</w:t>
            </w:r>
          </w:p>
        </w:tc>
      </w:tr>
      <w:tr w:rsidR="00D85EFE" w:rsidRPr="00B52C45" w14:paraId="094515B3" w14:textId="77777777" w:rsidTr="006E5F92">
        <w:tc>
          <w:tcPr>
            <w:tcW w:w="1980" w:type="dxa"/>
          </w:tcPr>
          <w:p w14:paraId="7742FFC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E-36</w:t>
            </w:r>
          </w:p>
        </w:tc>
        <w:tc>
          <w:tcPr>
            <w:tcW w:w="7920" w:type="dxa"/>
          </w:tcPr>
          <w:p w14:paraId="605A74F0" w14:textId="77777777" w:rsidR="00D85EFE" w:rsidRDefault="00D85EFE" w:rsidP="00F01825">
            <w:pPr>
              <w:spacing w:after="120"/>
              <w:jc w:val="both"/>
              <w:rPr>
                <w:rFonts w:cs="Arial"/>
                <w:color w:val="000000"/>
                <w:sz w:val="20"/>
              </w:rPr>
            </w:pPr>
            <w:r>
              <w:rPr>
                <w:rFonts w:cs="Arial"/>
                <w:color w:val="000000"/>
                <w:sz w:val="20"/>
              </w:rPr>
              <w:t>Photo d’une sortie de bouche de ventilation.</w:t>
            </w:r>
          </w:p>
        </w:tc>
      </w:tr>
      <w:tr w:rsidR="00D85EFE" w:rsidRPr="00B52C45" w14:paraId="4AB11525" w14:textId="77777777" w:rsidTr="006E5F92">
        <w:tc>
          <w:tcPr>
            <w:tcW w:w="1980" w:type="dxa"/>
          </w:tcPr>
          <w:p w14:paraId="3A5E26D4"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E-37</w:t>
            </w:r>
          </w:p>
        </w:tc>
        <w:tc>
          <w:tcPr>
            <w:tcW w:w="7920" w:type="dxa"/>
          </w:tcPr>
          <w:p w14:paraId="490472B3" w14:textId="77777777" w:rsidR="00D85EFE" w:rsidRDefault="00D85EFE" w:rsidP="00F01825">
            <w:pPr>
              <w:spacing w:after="120"/>
              <w:jc w:val="both"/>
              <w:rPr>
                <w:rFonts w:cs="Arial"/>
                <w:color w:val="000000"/>
                <w:sz w:val="20"/>
              </w:rPr>
            </w:pPr>
            <w:r>
              <w:rPr>
                <w:rFonts w:cs="Arial"/>
                <w:color w:val="000000"/>
                <w:sz w:val="20"/>
              </w:rPr>
              <w:t>Photo – ventilation.</w:t>
            </w:r>
          </w:p>
        </w:tc>
      </w:tr>
      <w:tr w:rsidR="00D85EFE" w:rsidRPr="00B52C45" w14:paraId="1A9EE946" w14:textId="77777777" w:rsidTr="006E5F92">
        <w:tc>
          <w:tcPr>
            <w:tcW w:w="1980" w:type="dxa"/>
          </w:tcPr>
          <w:p w14:paraId="0684F74C"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E-38</w:t>
            </w:r>
          </w:p>
        </w:tc>
        <w:tc>
          <w:tcPr>
            <w:tcW w:w="7920" w:type="dxa"/>
          </w:tcPr>
          <w:p w14:paraId="360FE3B2" w14:textId="77777777" w:rsidR="00D85EFE" w:rsidRDefault="00D85EFE" w:rsidP="00F01825">
            <w:pPr>
              <w:spacing w:after="120"/>
              <w:jc w:val="both"/>
              <w:rPr>
                <w:rFonts w:cs="Arial"/>
                <w:color w:val="000000"/>
                <w:sz w:val="20"/>
              </w:rPr>
            </w:pPr>
            <w:r>
              <w:rPr>
                <w:rFonts w:cs="Arial"/>
                <w:color w:val="000000"/>
                <w:sz w:val="20"/>
              </w:rPr>
              <w:t>Formulaire intitulé : « Ronde de sécurité journalière (obligatoire) ».</w:t>
            </w:r>
          </w:p>
        </w:tc>
      </w:tr>
      <w:tr w:rsidR="00D85EFE" w:rsidRPr="00B52C45" w14:paraId="142B6060" w14:textId="77777777" w:rsidTr="006E5F92">
        <w:tc>
          <w:tcPr>
            <w:tcW w:w="1980" w:type="dxa"/>
          </w:tcPr>
          <w:p w14:paraId="5D67F274"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E-39</w:t>
            </w:r>
          </w:p>
        </w:tc>
        <w:tc>
          <w:tcPr>
            <w:tcW w:w="7920" w:type="dxa"/>
          </w:tcPr>
          <w:p w14:paraId="77CD25AD"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Formulaire intitulé : « Entretien préventif – camion et tracteur de route ».</w:t>
            </w:r>
          </w:p>
        </w:tc>
      </w:tr>
      <w:tr w:rsidR="00D85EFE" w:rsidRPr="00B52C45" w14:paraId="2374F024" w14:textId="77777777" w:rsidTr="006E5F92">
        <w:tc>
          <w:tcPr>
            <w:tcW w:w="1980" w:type="dxa"/>
          </w:tcPr>
          <w:p w14:paraId="5F1D0662"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E-40</w:t>
            </w:r>
          </w:p>
        </w:tc>
        <w:tc>
          <w:tcPr>
            <w:tcW w:w="7920" w:type="dxa"/>
          </w:tcPr>
          <w:p w14:paraId="778AD0B0"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Formulaire intitulé : « Entretien préventif – remorque et semi-remorque ».</w:t>
            </w:r>
          </w:p>
        </w:tc>
      </w:tr>
      <w:tr w:rsidR="00D85EFE" w:rsidRPr="00B52C45" w14:paraId="6F047631" w14:textId="77777777" w:rsidTr="006E5F92">
        <w:tc>
          <w:tcPr>
            <w:tcW w:w="1980" w:type="dxa"/>
          </w:tcPr>
          <w:p w14:paraId="582D66D3"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E-41</w:t>
            </w:r>
          </w:p>
        </w:tc>
        <w:tc>
          <w:tcPr>
            <w:tcW w:w="7920" w:type="dxa"/>
          </w:tcPr>
          <w:p w14:paraId="60CE8D02"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Carte et index pour les routes, territoire de Québec.</w:t>
            </w:r>
          </w:p>
        </w:tc>
      </w:tr>
      <w:tr w:rsidR="00D85EFE" w:rsidRPr="00B52C45" w14:paraId="6075FEAA" w14:textId="77777777" w:rsidTr="006E5F92">
        <w:tc>
          <w:tcPr>
            <w:tcW w:w="1980" w:type="dxa"/>
          </w:tcPr>
          <w:p w14:paraId="1937284B"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E-42</w:t>
            </w:r>
          </w:p>
        </w:tc>
        <w:tc>
          <w:tcPr>
            <w:tcW w:w="7920" w:type="dxa"/>
          </w:tcPr>
          <w:p w14:paraId="74118DB3"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Route 041, 2 juillet 2014.</w:t>
            </w:r>
          </w:p>
        </w:tc>
      </w:tr>
      <w:tr w:rsidR="00D85EFE" w:rsidRPr="00B52C45" w14:paraId="75B5DC0C" w14:textId="77777777" w:rsidTr="006E5F92">
        <w:tc>
          <w:tcPr>
            <w:tcW w:w="1980" w:type="dxa"/>
          </w:tcPr>
          <w:p w14:paraId="29B7BC84"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E-43</w:t>
            </w:r>
          </w:p>
        </w:tc>
        <w:tc>
          <w:tcPr>
            <w:tcW w:w="7920" w:type="dxa"/>
          </w:tcPr>
          <w:p w14:paraId="08C7D7FE"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Plan de l’entrepôt principal – 1</w:t>
            </w:r>
            <w:r w:rsidRPr="00433457">
              <w:rPr>
                <w:rFonts w:cs="Arial"/>
                <w:color w:val="000000"/>
                <w:sz w:val="20"/>
                <w:vertAlign w:val="superscript"/>
              </w:rPr>
              <w:t>er</w:t>
            </w:r>
            <w:r>
              <w:rPr>
                <w:rFonts w:cs="Arial"/>
                <w:color w:val="000000"/>
                <w:sz w:val="20"/>
              </w:rPr>
              <w:t xml:space="preserve"> plancher.</w:t>
            </w:r>
          </w:p>
        </w:tc>
      </w:tr>
      <w:tr w:rsidR="00D85EFE" w:rsidRPr="00B52C45" w14:paraId="5A454E0D" w14:textId="77777777" w:rsidTr="006E5F92">
        <w:tc>
          <w:tcPr>
            <w:tcW w:w="1980" w:type="dxa"/>
          </w:tcPr>
          <w:p w14:paraId="5CC7C213"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E-44</w:t>
            </w:r>
          </w:p>
        </w:tc>
        <w:tc>
          <w:tcPr>
            <w:tcW w:w="7920" w:type="dxa"/>
          </w:tcPr>
          <w:p w14:paraId="766D4D8F"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 xml:space="preserve">Complément du 13 février 2015 du </w:t>
            </w:r>
            <w:r w:rsidRPr="00433457">
              <w:rPr>
                <w:rFonts w:cs="Arial"/>
                <w:color w:val="000000"/>
                <w:sz w:val="20"/>
              </w:rPr>
              <w:t>D</w:t>
            </w:r>
            <w:r w:rsidRPr="00433457">
              <w:rPr>
                <w:rFonts w:cs="Arial"/>
                <w:color w:val="000000"/>
                <w:sz w:val="20"/>
                <w:vertAlign w:val="superscript"/>
              </w:rPr>
              <w:t>r</w:t>
            </w:r>
            <w:r>
              <w:rPr>
                <w:rFonts w:cs="Arial"/>
                <w:color w:val="000000"/>
                <w:sz w:val="20"/>
              </w:rPr>
              <w:t xml:space="preserve"> Robert A. Bertrand.</w:t>
            </w:r>
          </w:p>
        </w:tc>
      </w:tr>
      <w:tr w:rsidR="00D85EFE" w:rsidRPr="00B52C45" w14:paraId="5A66C36F" w14:textId="77777777" w:rsidTr="006E5F92">
        <w:tc>
          <w:tcPr>
            <w:tcW w:w="1980" w:type="dxa"/>
          </w:tcPr>
          <w:p w14:paraId="2FD0202A"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E-45</w:t>
            </w:r>
          </w:p>
        </w:tc>
        <w:tc>
          <w:tcPr>
            <w:tcW w:w="7920" w:type="dxa"/>
          </w:tcPr>
          <w:p w14:paraId="5E6EC41F"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 xml:space="preserve">Curriculum vitae du </w:t>
            </w:r>
            <w:r w:rsidRPr="00B96128">
              <w:rPr>
                <w:rFonts w:cs="Arial"/>
                <w:color w:val="000000"/>
                <w:sz w:val="20"/>
              </w:rPr>
              <w:t>D</w:t>
            </w:r>
            <w:r w:rsidRPr="00B96128">
              <w:rPr>
                <w:rFonts w:cs="Arial"/>
                <w:color w:val="000000"/>
                <w:sz w:val="20"/>
                <w:vertAlign w:val="superscript"/>
              </w:rPr>
              <w:t>r</w:t>
            </w:r>
            <w:r>
              <w:rPr>
                <w:rFonts w:cs="Arial"/>
                <w:color w:val="000000"/>
                <w:sz w:val="20"/>
              </w:rPr>
              <w:t xml:space="preserve"> Robert A. Bertrand.</w:t>
            </w:r>
          </w:p>
        </w:tc>
      </w:tr>
      <w:tr w:rsidR="00D85EFE" w:rsidRPr="00B52C45" w14:paraId="7B85574F" w14:textId="77777777" w:rsidTr="006E5F92">
        <w:tc>
          <w:tcPr>
            <w:tcW w:w="1980" w:type="dxa"/>
          </w:tcPr>
          <w:p w14:paraId="336461ED"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E-46</w:t>
            </w:r>
          </w:p>
        </w:tc>
        <w:tc>
          <w:tcPr>
            <w:tcW w:w="7920" w:type="dxa"/>
          </w:tcPr>
          <w:p w14:paraId="2D0D8A74"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 xml:space="preserve">Notes médicales du </w:t>
            </w:r>
            <w:r w:rsidRPr="00B96128">
              <w:rPr>
                <w:rFonts w:cs="Arial"/>
                <w:color w:val="000000"/>
                <w:sz w:val="20"/>
              </w:rPr>
              <w:t>D</w:t>
            </w:r>
            <w:r w:rsidRPr="00B96128">
              <w:rPr>
                <w:rFonts w:cs="Arial"/>
                <w:color w:val="000000"/>
                <w:sz w:val="20"/>
                <w:vertAlign w:val="superscript"/>
              </w:rPr>
              <w:t>r</w:t>
            </w:r>
            <w:r>
              <w:rPr>
                <w:rFonts w:cs="Arial"/>
                <w:color w:val="000000"/>
                <w:sz w:val="20"/>
              </w:rPr>
              <w:t xml:space="preserve"> Robert A. Bertrand du 29 septembre 2013.</w:t>
            </w:r>
          </w:p>
        </w:tc>
      </w:tr>
      <w:tr w:rsidR="00D85EFE" w:rsidRPr="00B52C45" w14:paraId="05902755" w14:textId="77777777" w:rsidTr="006E5F92">
        <w:tc>
          <w:tcPr>
            <w:tcW w:w="1980" w:type="dxa"/>
          </w:tcPr>
          <w:p w14:paraId="4573635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E-47</w:t>
            </w:r>
          </w:p>
        </w:tc>
        <w:tc>
          <w:tcPr>
            <w:tcW w:w="7920" w:type="dxa"/>
          </w:tcPr>
          <w:p w14:paraId="76B7D5C0"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Planche anatomique de l’oreille.</w:t>
            </w:r>
          </w:p>
        </w:tc>
      </w:tr>
      <w:tr w:rsidR="00D85EFE" w:rsidRPr="00B52C45" w14:paraId="2C062F62" w14:textId="77777777" w:rsidTr="006E5F92">
        <w:tc>
          <w:tcPr>
            <w:tcW w:w="1980" w:type="dxa"/>
          </w:tcPr>
          <w:p w14:paraId="06418FAB"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E-48</w:t>
            </w:r>
          </w:p>
        </w:tc>
        <w:tc>
          <w:tcPr>
            <w:tcW w:w="7920" w:type="dxa"/>
          </w:tcPr>
          <w:p w14:paraId="1C3157E8"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Planche anatomique de l’oreille.</w:t>
            </w:r>
          </w:p>
        </w:tc>
      </w:tr>
      <w:tr w:rsidR="00D85EFE" w:rsidRPr="00B52C45" w14:paraId="6AB8D6D8" w14:textId="77777777" w:rsidTr="006E5F92">
        <w:tc>
          <w:tcPr>
            <w:tcW w:w="1980" w:type="dxa"/>
          </w:tcPr>
          <w:p w14:paraId="04547CC0"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p>
        </w:tc>
        <w:tc>
          <w:tcPr>
            <w:tcW w:w="7920" w:type="dxa"/>
          </w:tcPr>
          <w:p w14:paraId="3842836E" w14:textId="77777777" w:rsidR="00D85EFE" w:rsidRDefault="00D85EFE" w:rsidP="00F01825">
            <w:pPr>
              <w:keepNext/>
              <w:keepLines/>
              <w:autoSpaceDE w:val="0"/>
              <w:autoSpaceDN w:val="0"/>
              <w:adjustRightInd w:val="0"/>
              <w:ind w:left="15"/>
              <w:rPr>
                <w:rFonts w:cs="Arial"/>
                <w:color w:val="000000"/>
                <w:sz w:val="20"/>
              </w:rPr>
            </w:pPr>
          </w:p>
        </w:tc>
      </w:tr>
      <w:tr w:rsidR="00D85EFE" w:rsidRPr="00B52C45" w14:paraId="67693831" w14:textId="77777777" w:rsidTr="006E5F92">
        <w:tc>
          <w:tcPr>
            <w:tcW w:w="1980" w:type="dxa"/>
          </w:tcPr>
          <w:p w14:paraId="50170C09"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p>
        </w:tc>
        <w:tc>
          <w:tcPr>
            <w:tcW w:w="7920" w:type="dxa"/>
          </w:tcPr>
          <w:p w14:paraId="1F35A0DE" w14:textId="77777777" w:rsidR="00D85EFE" w:rsidRDefault="00D85EFE" w:rsidP="00F01825">
            <w:pPr>
              <w:keepNext/>
              <w:keepLines/>
              <w:autoSpaceDE w:val="0"/>
              <w:autoSpaceDN w:val="0"/>
              <w:adjustRightInd w:val="0"/>
              <w:ind w:left="15"/>
              <w:rPr>
                <w:rFonts w:cs="Arial"/>
                <w:color w:val="000000"/>
                <w:sz w:val="20"/>
              </w:rPr>
            </w:pPr>
          </w:p>
        </w:tc>
      </w:tr>
      <w:tr w:rsidR="00D85EFE" w:rsidRPr="00B52C45" w14:paraId="5C09CB02" w14:textId="77777777" w:rsidTr="006E5F92">
        <w:tc>
          <w:tcPr>
            <w:tcW w:w="1980" w:type="dxa"/>
          </w:tcPr>
          <w:p w14:paraId="4A9D9DF2"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p>
        </w:tc>
        <w:tc>
          <w:tcPr>
            <w:tcW w:w="7920" w:type="dxa"/>
          </w:tcPr>
          <w:p w14:paraId="1BC12735" w14:textId="77777777" w:rsidR="00D85EFE" w:rsidRDefault="00D85EFE" w:rsidP="00F01825">
            <w:pPr>
              <w:keepNext/>
              <w:keepLines/>
              <w:autoSpaceDE w:val="0"/>
              <w:autoSpaceDN w:val="0"/>
              <w:adjustRightInd w:val="0"/>
              <w:ind w:left="15"/>
              <w:rPr>
                <w:rFonts w:cs="Arial"/>
                <w:color w:val="000000"/>
                <w:sz w:val="20"/>
              </w:rPr>
            </w:pPr>
          </w:p>
        </w:tc>
      </w:tr>
      <w:tr w:rsidR="00D85EFE" w:rsidRPr="00B52C45" w14:paraId="7801A57A" w14:textId="77777777" w:rsidTr="006E5F92">
        <w:tc>
          <w:tcPr>
            <w:tcW w:w="1980" w:type="dxa"/>
          </w:tcPr>
          <w:p w14:paraId="7EBDF2C0"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E-49</w:t>
            </w:r>
          </w:p>
        </w:tc>
        <w:tc>
          <w:tcPr>
            <w:tcW w:w="7920" w:type="dxa"/>
          </w:tcPr>
          <w:p w14:paraId="5816A696" w14:textId="77777777" w:rsidR="00D85EFE" w:rsidRDefault="00D85EFE" w:rsidP="00F01825">
            <w:pPr>
              <w:keepNext/>
              <w:keepLines/>
              <w:autoSpaceDE w:val="0"/>
              <w:autoSpaceDN w:val="0"/>
              <w:adjustRightInd w:val="0"/>
              <w:ind w:left="15"/>
              <w:rPr>
                <w:rFonts w:cs="Arial"/>
                <w:color w:val="000000"/>
                <w:sz w:val="20"/>
              </w:rPr>
            </w:pPr>
            <w:r>
              <w:rPr>
                <w:rFonts w:cs="Arial"/>
                <w:color w:val="000000"/>
                <w:sz w:val="20"/>
              </w:rPr>
              <w:t>Cahier de littératures médicales.</w:t>
            </w:r>
          </w:p>
        </w:tc>
      </w:tr>
      <w:tr w:rsidR="00D85EFE" w:rsidRPr="007D683F" w14:paraId="45803E76" w14:textId="77777777" w:rsidTr="006E5F92">
        <w:tc>
          <w:tcPr>
            <w:tcW w:w="1980" w:type="dxa"/>
          </w:tcPr>
          <w:p w14:paraId="7236231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1</w:t>
            </w:r>
          </w:p>
        </w:tc>
        <w:tc>
          <w:tcPr>
            <w:tcW w:w="7920" w:type="dxa"/>
          </w:tcPr>
          <w:p w14:paraId="21EE2206" w14:textId="77777777" w:rsidR="00D85EFE" w:rsidRPr="007D683F" w:rsidRDefault="00D85EFE" w:rsidP="00F01825">
            <w:pPr>
              <w:keepNext/>
              <w:keepLines/>
              <w:autoSpaceDE w:val="0"/>
              <w:autoSpaceDN w:val="0"/>
              <w:adjustRightInd w:val="0"/>
              <w:ind w:left="15"/>
              <w:jc w:val="both"/>
              <w:rPr>
                <w:rFonts w:cs="Arial"/>
                <w:color w:val="000000"/>
                <w:sz w:val="20"/>
                <w:lang w:val="en-CA"/>
              </w:rPr>
            </w:pPr>
            <w:r w:rsidRPr="007D683F">
              <w:rPr>
                <w:rFonts w:cs="Arial"/>
                <w:color w:val="000000"/>
                <w:sz w:val="20"/>
                <w:lang w:val="en-CA"/>
              </w:rPr>
              <w:t xml:space="preserve">ACOEM TASK FORCE ON OCCUPATIONAL HEARING LOSS et D. Bruce KIRCHNER </w:t>
            </w:r>
            <w:proofErr w:type="gramStart"/>
            <w:r w:rsidRPr="007D683F">
              <w:rPr>
                <w:rFonts w:cs="Arial"/>
                <w:i/>
                <w:iCs/>
                <w:color w:val="000000"/>
                <w:sz w:val="20"/>
                <w:lang w:val="en-CA"/>
              </w:rPr>
              <w:t>et al.,</w:t>
            </w:r>
            <w:r w:rsidRPr="007D683F">
              <w:rPr>
                <w:rFonts w:cs="Arial"/>
                <w:color w:val="000000"/>
                <w:sz w:val="20"/>
                <w:lang w:val="en-CA"/>
              </w:rPr>
              <w:t>«</w:t>
            </w:r>
            <w:proofErr w:type="gramEnd"/>
            <w:r w:rsidRPr="007D683F">
              <w:rPr>
                <w:rFonts w:cs="Arial"/>
                <w:color w:val="000000"/>
                <w:sz w:val="20"/>
                <w:lang w:val="en-CA"/>
              </w:rPr>
              <w:t xml:space="preserve"> Occupational Noise-Induced Hearing Loss », (2012) 54 </w:t>
            </w:r>
            <w:r w:rsidRPr="007D683F">
              <w:rPr>
                <w:rFonts w:cs="Arial"/>
                <w:i/>
                <w:iCs/>
                <w:color w:val="000000"/>
                <w:sz w:val="20"/>
                <w:lang w:val="en-CA"/>
              </w:rPr>
              <w:t xml:space="preserve">Journal of Occupational and Environmental </w:t>
            </w:r>
            <w:proofErr w:type="spellStart"/>
            <w:proofErr w:type="gramStart"/>
            <w:r w:rsidRPr="007D683F">
              <w:rPr>
                <w:rFonts w:cs="Arial"/>
                <w:i/>
                <w:iCs/>
                <w:color w:val="000000"/>
                <w:sz w:val="20"/>
                <w:lang w:val="en-CA"/>
              </w:rPr>
              <w:t>Medicine,</w:t>
            </w:r>
            <w:r w:rsidRPr="007D683F">
              <w:rPr>
                <w:rFonts w:cs="Arial"/>
                <w:color w:val="000000"/>
                <w:sz w:val="20"/>
                <w:lang w:val="en-CA"/>
              </w:rPr>
              <w:t>pp</w:t>
            </w:r>
            <w:proofErr w:type="spellEnd"/>
            <w:r w:rsidRPr="007D683F">
              <w:rPr>
                <w:rFonts w:cs="Arial"/>
                <w:color w:val="000000"/>
                <w:sz w:val="20"/>
                <w:lang w:val="en-CA"/>
              </w:rPr>
              <w:t>.</w:t>
            </w:r>
            <w:proofErr w:type="gramEnd"/>
            <w:r w:rsidRPr="007D683F">
              <w:rPr>
                <w:rFonts w:cs="Arial"/>
                <w:color w:val="000000"/>
                <w:sz w:val="20"/>
                <w:lang w:val="en-CA"/>
              </w:rPr>
              <w:t xml:space="preserve"> 106-108.</w:t>
            </w:r>
          </w:p>
          <w:p w14:paraId="479BF7DA" w14:textId="77777777" w:rsidR="00D85EFE" w:rsidRPr="007D683F" w:rsidRDefault="00D85EFE" w:rsidP="00F01825">
            <w:pPr>
              <w:keepNext/>
              <w:keepLines/>
              <w:autoSpaceDE w:val="0"/>
              <w:autoSpaceDN w:val="0"/>
              <w:adjustRightInd w:val="0"/>
              <w:ind w:left="15"/>
              <w:rPr>
                <w:rFonts w:cs="Arial"/>
                <w:color w:val="000000"/>
                <w:sz w:val="20"/>
                <w:lang w:val="en-CA"/>
              </w:rPr>
            </w:pPr>
          </w:p>
        </w:tc>
      </w:tr>
      <w:tr w:rsidR="00D85EFE" w:rsidRPr="00B52C45" w14:paraId="4A3A8A5F" w14:textId="77777777" w:rsidTr="006E5F92">
        <w:tc>
          <w:tcPr>
            <w:tcW w:w="1980" w:type="dxa"/>
          </w:tcPr>
          <w:p w14:paraId="63E90DA8"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2</w:t>
            </w:r>
          </w:p>
        </w:tc>
        <w:tc>
          <w:tcPr>
            <w:tcW w:w="7920" w:type="dxa"/>
          </w:tcPr>
          <w:p w14:paraId="7EBDC93C"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 xml:space="preserve">INTERNATIONAL STANDARD ORGANIZATION, </w:t>
            </w:r>
            <w:r>
              <w:rPr>
                <w:rFonts w:cs="Arial"/>
                <w:i/>
                <w:iCs/>
                <w:color w:val="000000"/>
                <w:sz w:val="20"/>
              </w:rPr>
              <w:t xml:space="preserve">Acoustique : distribution statistique des seuils d'audition en fonction de l'âge (ISO 7029 : 2000(F),2e </w:t>
            </w:r>
            <w:proofErr w:type="spellStart"/>
            <w:r>
              <w:rPr>
                <w:rFonts w:cs="Arial"/>
                <w:i/>
                <w:iCs/>
                <w:color w:val="000000"/>
                <w:sz w:val="20"/>
              </w:rPr>
              <w:t>éd</w:t>
            </w:r>
            <w:proofErr w:type="gramStart"/>
            <w:r>
              <w:rPr>
                <w:rFonts w:cs="Arial"/>
                <w:i/>
                <w:iCs/>
                <w:color w:val="000000"/>
                <w:sz w:val="20"/>
              </w:rPr>
              <w:t>.,Genève</w:t>
            </w:r>
            <w:proofErr w:type="spellEnd"/>
            <w:proofErr w:type="gramEnd"/>
            <w:r>
              <w:rPr>
                <w:rFonts w:cs="Arial"/>
                <w:i/>
                <w:iCs/>
                <w:color w:val="000000"/>
                <w:sz w:val="20"/>
              </w:rPr>
              <w:t>, ISO,</w:t>
            </w:r>
            <w:r>
              <w:rPr>
                <w:rFonts w:cs="Arial"/>
                <w:color w:val="000000"/>
                <w:sz w:val="20"/>
              </w:rPr>
              <w:t>2000.</w:t>
            </w:r>
          </w:p>
          <w:p w14:paraId="51DDEF84" w14:textId="77777777" w:rsidR="00D85EFE" w:rsidRDefault="00D85EFE" w:rsidP="00F01825">
            <w:pPr>
              <w:keepNext/>
              <w:keepLines/>
              <w:autoSpaceDE w:val="0"/>
              <w:autoSpaceDN w:val="0"/>
              <w:adjustRightInd w:val="0"/>
              <w:ind w:left="15"/>
              <w:jc w:val="both"/>
              <w:rPr>
                <w:rFonts w:cs="Arial"/>
                <w:color w:val="000000"/>
                <w:sz w:val="20"/>
              </w:rPr>
            </w:pPr>
          </w:p>
        </w:tc>
      </w:tr>
      <w:tr w:rsidR="00D85EFE" w:rsidRPr="007D683F" w14:paraId="3ADD9FB3" w14:textId="77777777" w:rsidTr="006E5F92">
        <w:tc>
          <w:tcPr>
            <w:tcW w:w="1980" w:type="dxa"/>
          </w:tcPr>
          <w:p w14:paraId="42DB3C2C"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3</w:t>
            </w:r>
          </w:p>
        </w:tc>
        <w:tc>
          <w:tcPr>
            <w:tcW w:w="7920" w:type="dxa"/>
          </w:tcPr>
          <w:p w14:paraId="6FA03FC5" w14:textId="77777777" w:rsidR="00D85EFE" w:rsidRPr="007D683F" w:rsidRDefault="00D85EFE" w:rsidP="00F01825">
            <w:pPr>
              <w:keepNext/>
              <w:keepLines/>
              <w:autoSpaceDE w:val="0"/>
              <w:autoSpaceDN w:val="0"/>
              <w:adjustRightInd w:val="0"/>
              <w:ind w:left="15"/>
              <w:jc w:val="both"/>
              <w:rPr>
                <w:rFonts w:cs="Arial"/>
                <w:color w:val="000000"/>
                <w:sz w:val="20"/>
                <w:lang w:val="en-CA"/>
              </w:rPr>
            </w:pPr>
            <w:r w:rsidRPr="007D683F">
              <w:rPr>
                <w:rFonts w:cs="Arial"/>
                <w:color w:val="000000"/>
                <w:sz w:val="20"/>
                <w:lang w:val="en-CA"/>
              </w:rPr>
              <w:t xml:space="preserve">George A. GATES, chap. </w:t>
            </w:r>
            <w:proofErr w:type="gramStart"/>
            <w:r w:rsidRPr="007D683F">
              <w:rPr>
                <w:rFonts w:cs="Arial"/>
                <w:color w:val="000000"/>
                <w:sz w:val="20"/>
                <w:lang w:val="en-CA"/>
              </w:rPr>
              <w:t>4 :</w:t>
            </w:r>
            <w:proofErr w:type="gramEnd"/>
            <w:r w:rsidRPr="007D683F">
              <w:rPr>
                <w:rFonts w:cs="Arial"/>
                <w:color w:val="000000"/>
                <w:sz w:val="20"/>
                <w:lang w:val="en-CA"/>
              </w:rPr>
              <w:t xml:space="preserve"> « Central Auditory Processing in </w:t>
            </w:r>
            <w:proofErr w:type="gramStart"/>
            <w:r w:rsidRPr="007D683F">
              <w:rPr>
                <w:rFonts w:cs="Arial"/>
                <w:color w:val="000000"/>
                <w:sz w:val="20"/>
                <w:lang w:val="en-CA"/>
              </w:rPr>
              <w:t>Presbycusis :</w:t>
            </w:r>
            <w:proofErr w:type="gramEnd"/>
            <w:r w:rsidRPr="007D683F">
              <w:rPr>
                <w:rFonts w:cs="Arial"/>
                <w:color w:val="000000"/>
                <w:sz w:val="20"/>
                <w:lang w:val="en-CA"/>
              </w:rPr>
              <w:t xml:space="preserve"> an Epidemiologic Perspective », dans </w:t>
            </w:r>
            <w:r w:rsidRPr="007D683F">
              <w:rPr>
                <w:rFonts w:cs="Arial"/>
                <w:i/>
                <w:iCs/>
                <w:color w:val="000000"/>
                <w:sz w:val="20"/>
                <w:lang w:val="en-CA"/>
              </w:rPr>
              <w:t xml:space="preserve">Proceedings Adult </w:t>
            </w:r>
            <w:proofErr w:type="gramStart"/>
            <w:r w:rsidRPr="007D683F">
              <w:rPr>
                <w:rFonts w:cs="Arial"/>
                <w:i/>
                <w:iCs/>
                <w:color w:val="000000"/>
                <w:sz w:val="20"/>
                <w:lang w:val="en-CA"/>
              </w:rPr>
              <w:t>Conference :</w:t>
            </w:r>
            <w:proofErr w:type="gramEnd"/>
            <w:r w:rsidRPr="007D683F">
              <w:rPr>
                <w:rFonts w:cs="Arial"/>
                <w:i/>
                <w:iCs/>
                <w:color w:val="000000"/>
                <w:sz w:val="20"/>
                <w:lang w:val="en-CA"/>
              </w:rPr>
              <w:t xml:space="preserve"> The Challenge of Aging, </w:t>
            </w:r>
            <w:r w:rsidRPr="007D683F">
              <w:rPr>
                <w:rFonts w:cs="Arial"/>
                <w:color w:val="000000"/>
                <w:sz w:val="20"/>
                <w:lang w:val="en-CA"/>
              </w:rPr>
              <w:t xml:space="preserve">Chicago, 2009, [En </w:t>
            </w:r>
            <w:proofErr w:type="spellStart"/>
            <w:r w:rsidRPr="007D683F">
              <w:rPr>
                <w:rFonts w:cs="Arial"/>
                <w:color w:val="000000"/>
                <w:sz w:val="20"/>
                <w:lang w:val="en-CA"/>
              </w:rPr>
              <w:t>ligne</w:t>
            </w:r>
            <w:proofErr w:type="spellEnd"/>
            <w:r w:rsidRPr="007D683F">
              <w:rPr>
                <w:rFonts w:cs="Arial"/>
                <w:color w:val="000000"/>
                <w:sz w:val="20"/>
                <w:lang w:val="en-CA"/>
              </w:rPr>
              <w:t>], &lt;https://www.phonakpro.com/content/dam/phonak/b2b/Events/conference proceedings/</w:t>
            </w:r>
            <w:proofErr w:type="spellStart"/>
            <w:r w:rsidRPr="007D683F">
              <w:rPr>
                <w:rFonts w:cs="Arial"/>
                <w:color w:val="000000"/>
                <w:sz w:val="20"/>
                <w:lang w:val="en-CA"/>
              </w:rPr>
              <w:t>chigaco</w:t>
            </w:r>
            <w:proofErr w:type="spellEnd"/>
            <w:r w:rsidRPr="007D683F">
              <w:rPr>
                <w:rFonts w:cs="Arial"/>
                <w:color w:val="000000"/>
                <w:sz w:val="20"/>
                <w:lang w:val="en-CA"/>
              </w:rPr>
              <w:t xml:space="preserve"> 2009/proceedings/ 12 P69344 Pho </w:t>
            </w:r>
            <w:proofErr w:type="spellStart"/>
            <w:r w:rsidRPr="007D683F">
              <w:rPr>
                <w:rFonts w:cs="Arial"/>
                <w:color w:val="000000"/>
                <w:sz w:val="20"/>
                <w:lang w:val="en-CA"/>
              </w:rPr>
              <w:t>Kapitel</w:t>
            </w:r>
            <w:proofErr w:type="spellEnd"/>
            <w:r w:rsidRPr="007D683F">
              <w:rPr>
                <w:rFonts w:cs="Arial"/>
                <w:color w:val="000000"/>
                <w:sz w:val="20"/>
                <w:lang w:val="en-CA"/>
              </w:rPr>
              <w:t xml:space="preserve"> 4 S4 52.pdf » (date de consultation inconnue).</w:t>
            </w:r>
          </w:p>
          <w:p w14:paraId="71BB55F6" w14:textId="77777777" w:rsidR="00D85EFE" w:rsidRPr="007D683F" w:rsidRDefault="00D85EFE" w:rsidP="00F01825">
            <w:pPr>
              <w:keepNext/>
              <w:keepLines/>
              <w:autoSpaceDE w:val="0"/>
              <w:autoSpaceDN w:val="0"/>
              <w:adjustRightInd w:val="0"/>
              <w:ind w:left="15"/>
              <w:jc w:val="both"/>
              <w:rPr>
                <w:rFonts w:cs="Arial"/>
                <w:color w:val="000000"/>
                <w:sz w:val="20"/>
                <w:lang w:val="en-CA"/>
              </w:rPr>
            </w:pPr>
          </w:p>
        </w:tc>
      </w:tr>
      <w:tr w:rsidR="00D85EFE" w:rsidRPr="007D683F" w14:paraId="0ABB5613" w14:textId="77777777" w:rsidTr="006E5F92">
        <w:tc>
          <w:tcPr>
            <w:tcW w:w="1980" w:type="dxa"/>
          </w:tcPr>
          <w:p w14:paraId="63446E1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4</w:t>
            </w:r>
          </w:p>
        </w:tc>
        <w:tc>
          <w:tcPr>
            <w:tcW w:w="7920" w:type="dxa"/>
          </w:tcPr>
          <w:p w14:paraId="533F6C6C" w14:textId="77777777" w:rsidR="00D85EFE" w:rsidRPr="007D683F" w:rsidRDefault="00D85EFE" w:rsidP="00F01825">
            <w:pPr>
              <w:keepNext/>
              <w:keepLines/>
              <w:autoSpaceDE w:val="0"/>
              <w:autoSpaceDN w:val="0"/>
              <w:adjustRightInd w:val="0"/>
              <w:ind w:left="15"/>
              <w:jc w:val="both"/>
              <w:rPr>
                <w:rFonts w:cs="Arial"/>
                <w:color w:val="000000"/>
                <w:sz w:val="20"/>
                <w:lang w:val="en-CA"/>
              </w:rPr>
            </w:pPr>
            <w:r w:rsidRPr="007D683F">
              <w:rPr>
                <w:rFonts w:cs="Arial"/>
                <w:color w:val="000000"/>
                <w:sz w:val="20"/>
                <w:lang w:val="en-CA"/>
              </w:rPr>
              <w:t xml:space="preserve">H.F. SCHUKNECHT, </w:t>
            </w:r>
            <w:r w:rsidRPr="007D683F">
              <w:rPr>
                <w:rFonts w:cs="Arial"/>
                <w:i/>
                <w:iCs/>
                <w:color w:val="000000"/>
                <w:sz w:val="20"/>
                <w:lang w:val="en-CA"/>
              </w:rPr>
              <w:t xml:space="preserve">Pathology of the </w:t>
            </w:r>
            <w:proofErr w:type="spellStart"/>
            <w:proofErr w:type="gramStart"/>
            <w:r w:rsidRPr="007D683F">
              <w:rPr>
                <w:rFonts w:cs="Arial"/>
                <w:i/>
                <w:iCs/>
                <w:color w:val="000000"/>
                <w:sz w:val="20"/>
                <w:lang w:val="en-CA"/>
              </w:rPr>
              <w:t>Ear,</w:t>
            </w:r>
            <w:r w:rsidRPr="007D683F">
              <w:rPr>
                <w:rFonts w:cs="Arial"/>
                <w:color w:val="000000"/>
                <w:sz w:val="20"/>
                <w:lang w:val="en-CA"/>
              </w:rPr>
              <w:t>Cambridge</w:t>
            </w:r>
            <w:proofErr w:type="spellEnd"/>
            <w:proofErr w:type="gramEnd"/>
            <w:r w:rsidRPr="007D683F">
              <w:rPr>
                <w:rFonts w:cs="Arial"/>
                <w:color w:val="000000"/>
                <w:sz w:val="20"/>
                <w:lang w:val="en-CA"/>
              </w:rPr>
              <w:t>, Harvard University Press, 1974.</w:t>
            </w:r>
          </w:p>
          <w:p w14:paraId="432F5ACD" w14:textId="77777777" w:rsidR="00D85EFE" w:rsidRPr="007D683F" w:rsidRDefault="00D85EFE" w:rsidP="00F01825">
            <w:pPr>
              <w:keepNext/>
              <w:keepLines/>
              <w:autoSpaceDE w:val="0"/>
              <w:autoSpaceDN w:val="0"/>
              <w:adjustRightInd w:val="0"/>
              <w:ind w:left="15"/>
              <w:rPr>
                <w:rFonts w:cs="Arial"/>
                <w:color w:val="000000"/>
                <w:sz w:val="20"/>
                <w:lang w:val="en-CA"/>
              </w:rPr>
            </w:pPr>
          </w:p>
        </w:tc>
      </w:tr>
      <w:tr w:rsidR="00D85EFE" w:rsidRPr="007D683F" w14:paraId="109AA677" w14:textId="77777777" w:rsidTr="006E5F92">
        <w:tc>
          <w:tcPr>
            <w:tcW w:w="1980" w:type="dxa"/>
          </w:tcPr>
          <w:p w14:paraId="4FE1C415"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5</w:t>
            </w:r>
          </w:p>
        </w:tc>
        <w:tc>
          <w:tcPr>
            <w:tcW w:w="7920" w:type="dxa"/>
          </w:tcPr>
          <w:p w14:paraId="232C47C7" w14:textId="77777777" w:rsidR="00D85EFE" w:rsidRPr="007D683F" w:rsidRDefault="00D85EFE" w:rsidP="00F01825">
            <w:pPr>
              <w:keepNext/>
              <w:keepLines/>
              <w:autoSpaceDE w:val="0"/>
              <w:autoSpaceDN w:val="0"/>
              <w:adjustRightInd w:val="0"/>
              <w:ind w:left="15"/>
              <w:jc w:val="both"/>
              <w:rPr>
                <w:rFonts w:cs="Arial"/>
                <w:color w:val="000000"/>
                <w:sz w:val="20"/>
                <w:lang w:val="en-CA"/>
              </w:rPr>
            </w:pPr>
            <w:r w:rsidRPr="007D683F">
              <w:rPr>
                <w:rFonts w:cs="Arial"/>
                <w:color w:val="000000"/>
                <w:sz w:val="20"/>
                <w:lang w:val="en-CA"/>
              </w:rPr>
              <w:t xml:space="preserve">D.R. FRIEDLAND, C. CEDERBERG et S. TARIMA, « Audiometric Pattern as a Predictor of Cardiovascular </w:t>
            </w:r>
            <w:proofErr w:type="gramStart"/>
            <w:r w:rsidRPr="007D683F">
              <w:rPr>
                <w:rFonts w:cs="Arial"/>
                <w:color w:val="000000"/>
                <w:sz w:val="20"/>
                <w:lang w:val="en-CA"/>
              </w:rPr>
              <w:t>Status :</w:t>
            </w:r>
            <w:proofErr w:type="gramEnd"/>
            <w:r w:rsidRPr="007D683F">
              <w:rPr>
                <w:rFonts w:cs="Arial"/>
                <w:color w:val="000000"/>
                <w:sz w:val="20"/>
                <w:lang w:val="en-CA"/>
              </w:rPr>
              <w:t xml:space="preserve"> Development of a Model for Assessment of Risk </w:t>
            </w:r>
            <w:proofErr w:type="gramStart"/>
            <w:r w:rsidRPr="007D683F">
              <w:rPr>
                <w:rFonts w:cs="Arial"/>
                <w:color w:val="000000"/>
                <w:sz w:val="20"/>
                <w:lang w:val="en-CA"/>
              </w:rPr>
              <w:t>»,  (</w:t>
            </w:r>
            <w:proofErr w:type="gramEnd"/>
            <w:r w:rsidRPr="007D683F">
              <w:rPr>
                <w:rFonts w:cs="Arial"/>
                <w:color w:val="000000"/>
                <w:sz w:val="20"/>
                <w:lang w:val="en-CA"/>
              </w:rPr>
              <w:t xml:space="preserve">2009) 119 </w:t>
            </w:r>
            <w:r w:rsidRPr="007D683F">
              <w:rPr>
                <w:rFonts w:cs="Arial"/>
                <w:i/>
                <w:iCs/>
                <w:color w:val="000000"/>
                <w:sz w:val="20"/>
                <w:lang w:val="en-CA"/>
              </w:rPr>
              <w:t xml:space="preserve">Laryngoscope, </w:t>
            </w:r>
            <w:r w:rsidRPr="007D683F">
              <w:rPr>
                <w:rFonts w:cs="Arial"/>
                <w:color w:val="000000"/>
                <w:sz w:val="20"/>
                <w:lang w:val="en-CA"/>
              </w:rPr>
              <w:t>pp. 473-486.</w:t>
            </w:r>
          </w:p>
          <w:p w14:paraId="74CA5137" w14:textId="77777777" w:rsidR="00D85EFE" w:rsidRPr="007D683F" w:rsidRDefault="00D85EFE" w:rsidP="00F01825">
            <w:pPr>
              <w:keepNext/>
              <w:keepLines/>
              <w:autoSpaceDE w:val="0"/>
              <w:autoSpaceDN w:val="0"/>
              <w:adjustRightInd w:val="0"/>
              <w:ind w:left="15"/>
              <w:jc w:val="both"/>
              <w:rPr>
                <w:rFonts w:cs="Arial"/>
                <w:color w:val="000000"/>
                <w:sz w:val="20"/>
                <w:lang w:val="en-CA"/>
              </w:rPr>
            </w:pPr>
          </w:p>
        </w:tc>
      </w:tr>
      <w:tr w:rsidR="00D85EFE" w:rsidRPr="007D683F" w14:paraId="2D44F8D3" w14:textId="77777777" w:rsidTr="006E5F92">
        <w:tc>
          <w:tcPr>
            <w:tcW w:w="1980" w:type="dxa"/>
          </w:tcPr>
          <w:p w14:paraId="17F0E3E5"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w:t>
            </w:r>
            <w:proofErr w:type="gramStart"/>
            <w:r>
              <w:rPr>
                <w:rFonts w:cs="Arial"/>
                <w:b/>
                <w:color w:val="000000"/>
                <w:sz w:val="22"/>
                <w:szCs w:val="22"/>
                <w:lang w:val="en-CA"/>
              </w:rPr>
              <w:t>49  onglet</w:t>
            </w:r>
            <w:proofErr w:type="gramEnd"/>
            <w:r>
              <w:rPr>
                <w:rFonts w:cs="Arial"/>
                <w:b/>
                <w:color w:val="000000"/>
                <w:sz w:val="22"/>
                <w:szCs w:val="22"/>
                <w:lang w:val="en-CA"/>
              </w:rPr>
              <w:t xml:space="preserve"> 6</w:t>
            </w:r>
          </w:p>
        </w:tc>
        <w:tc>
          <w:tcPr>
            <w:tcW w:w="7920" w:type="dxa"/>
          </w:tcPr>
          <w:p w14:paraId="0F6398AB" w14:textId="77777777" w:rsidR="00D85EFE" w:rsidRPr="007D683F" w:rsidRDefault="00D85EFE" w:rsidP="00F01825">
            <w:pPr>
              <w:keepNext/>
              <w:keepLines/>
              <w:autoSpaceDE w:val="0"/>
              <w:autoSpaceDN w:val="0"/>
              <w:adjustRightInd w:val="0"/>
              <w:ind w:left="15"/>
              <w:jc w:val="both"/>
              <w:rPr>
                <w:rFonts w:cs="Arial"/>
                <w:color w:val="000000"/>
                <w:sz w:val="20"/>
                <w:lang w:val="en-CA"/>
              </w:rPr>
            </w:pPr>
            <w:r w:rsidRPr="007D683F">
              <w:rPr>
                <w:rFonts w:cs="Arial"/>
                <w:color w:val="000000"/>
                <w:sz w:val="20"/>
                <w:lang w:val="en-CA"/>
              </w:rPr>
              <w:t>Joshua S. Fu, James A. Calcagno III, Wayne T. Davis and Albert Alvarez, Evaluation of Noise Level, Whole-Body Vibration, and Air Quality Inside Cabs of Heavy-Duty Diesel Vehicles Par</w:t>
            </w:r>
            <w:r w:rsidR="007A0A05" w:rsidRPr="007D683F">
              <w:rPr>
                <w:rFonts w:cs="Arial"/>
                <w:color w:val="000000"/>
                <w:sz w:val="20"/>
                <w:lang w:val="en-CA"/>
              </w:rPr>
              <w:t>ked Engine Idling and On-Road Dri</w:t>
            </w:r>
            <w:r w:rsidRPr="007D683F">
              <w:rPr>
                <w:rFonts w:cs="Arial"/>
                <w:color w:val="000000"/>
                <w:sz w:val="20"/>
                <w:lang w:val="en-CA"/>
              </w:rPr>
              <w:t>ving, p. 29-36.</w:t>
            </w:r>
          </w:p>
          <w:p w14:paraId="7AE48EBE" w14:textId="77777777" w:rsidR="00D85EFE" w:rsidRPr="007D683F" w:rsidRDefault="00D85EFE" w:rsidP="00F01825">
            <w:pPr>
              <w:keepNext/>
              <w:keepLines/>
              <w:autoSpaceDE w:val="0"/>
              <w:autoSpaceDN w:val="0"/>
              <w:adjustRightInd w:val="0"/>
              <w:ind w:left="15"/>
              <w:jc w:val="both"/>
              <w:rPr>
                <w:rFonts w:cs="Arial"/>
                <w:color w:val="000000"/>
                <w:sz w:val="20"/>
                <w:lang w:val="en-CA"/>
              </w:rPr>
            </w:pPr>
          </w:p>
        </w:tc>
      </w:tr>
      <w:tr w:rsidR="00D85EFE" w:rsidRPr="00B52C45" w14:paraId="17182B1C" w14:textId="77777777" w:rsidTr="006E5F92">
        <w:tc>
          <w:tcPr>
            <w:tcW w:w="1980" w:type="dxa"/>
          </w:tcPr>
          <w:p w14:paraId="4A0A7C69"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E-50</w:t>
            </w:r>
          </w:p>
        </w:tc>
        <w:tc>
          <w:tcPr>
            <w:tcW w:w="7920" w:type="dxa"/>
          </w:tcPr>
          <w:p w14:paraId="0F53A61C" w14:textId="77777777" w:rsidR="00D85EFE" w:rsidRPr="00CE77E2" w:rsidRDefault="00D85EFE" w:rsidP="00F01825">
            <w:pPr>
              <w:keepNext/>
              <w:keepLines/>
              <w:autoSpaceDE w:val="0"/>
              <w:autoSpaceDN w:val="0"/>
              <w:adjustRightInd w:val="0"/>
              <w:ind w:left="15"/>
              <w:jc w:val="both"/>
              <w:rPr>
                <w:rFonts w:cs="Arial"/>
                <w:color w:val="000000"/>
                <w:sz w:val="20"/>
              </w:rPr>
            </w:pPr>
            <w:r>
              <w:rPr>
                <w:rFonts w:cs="Arial"/>
                <w:color w:val="000000"/>
                <w:sz w:val="20"/>
              </w:rPr>
              <w:t>Lettre de Me Reine Lafond du 19 février 2015.</w:t>
            </w:r>
          </w:p>
        </w:tc>
      </w:tr>
      <w:tr w:rsidR="00D85EFE" w:rsidRPr="00B52C45" w14:paraId="13D636BB" w14:textId="77777777" w:rsidTr="006E5F92">
        <w:tc>
          <w:tcPr>
            <w:tcW w:w="1980" w:type="dxa"/>
          </w:tcPr>
          <w:p w14:paraId="153A87B9"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E-51</w:t>
            </w:r>
          </w:p>
        </w:tc>
        <w:tc>
          <w:tcPr>
            <w:tcW w:w="7920" w:type="dxa"/>
          </w:tcPr>
          <w:p w14:paraId="017580AE"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Complément de l’ingénieur, monsieur Hrair Torikian, 24 février 2015.</w:t>
            </w:r>
          </w:p>
        </w:tc>
      </w:tr>
      <w:tr w:rsidR="00D85EFE" w:rsidRPr="00B52C45" w14:paraId="66E09DFF" w14:textId="77777777" w:rsidTr="006E5F92">
        <w:tc>
          <w:tcPr>
            <w:tcW w:w="1980" w:type="dxa"/>
          </w:tcPr>
          <w:p w14:paraId="1BFE5B29"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E-52</w:t>
            </w:r>
          </w:p>
        </w:tc>
        <w:tc>
          <w:tcPr>
            <w:tcW w:w="7920" w:type="dxa"/>
          </w:tcPr>
          <w:p w14:paraId="07FBEDDB"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 xml:space="preserve">Corrections Addendum au rapport d’analyse de bruit de juillet 2014 préparé pour Alex Coulombe </w:t>
            </w:r>
            <w:proofErr w:type="spellStart"/>
            <w:r>
              <w:rPr>
                <w:rFonts w:cs="Arial"/>
                <w:color w:val="000000"/>
                <w:sz w:val="20"/>
              </w:rPr>
              <w:t>ltée</w:t>
            </w:r>
            <w:proofErr w:type="spellEnd"/>
            <w:r>
              <w:rPr>
                <w:rFonts w:cs="Arial"/>
                <w:color w:val="000000"/>
                <w:sz w:val="20"/>
              </w:rPr>
              <w:t>.</w:t>
            </w:r>
          </w:p>
        </w:tc>
      </w:tr>
      <w:tr w:rsidR="00D85EFE" w:rsidRPr="00B52C45" w14:paraId="3FCDA19C" w14:textId="77777777" w:rsidTr="006E5F92">
        <w:tc>
          <w:tcPr>
            <w:tcW w:w="1980" w:type="dxa"/>
          </w:tcPr>
          <w:p w14:paraId="521A210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E-53</w:t>
            </w:r>
          </w:p>
        </w:tc>
        <w:tc>
          <w:tcPr>
            <w:tcW w:w="7920" w:type="dxa"/>
          </w:tcPr>
          <w:p w14:paraId="4F711208"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Transcription sténographique de l’audience du 17 février 2015.</w:t>
            </w:r>
          </w:p>
        </w:tc>
      </w:tr>
      <w:tr w:rsidR="00D85EFE" w:rsidRPr="00B52C45" w14:paraId="449CD2BB" w14:textId="77777777" w:rsidTr="006E5F92">
        <w:tc>
          <w:tcPr>
            <w:tcW w:w="1980" w:type="dxa"/>
          </w:tcPr>
          <w:p w14:paraId="4EBDBC4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E-54</w:t>
            </w:r>
          </w:p>
        </w:tc>
        <w:tc>
          <w:tcPr>
            <w:tcW w:w="7920" w:type="dxa"/>
          </w:tcPr>
          <w:p w14:paraId="5FEDE5FC"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Transcription sténographique de l’audience du 18 février 2015.</w:t>
            </w:r>
          </w:p>
        </w:tc>
      </w:tr>
      <w:tr w:rsidR="00D85EFE" w:rsidRPr="00B52C45" w14:paraId="2D5DC74C" w14:textId="77777777" w:rsidTr="006E5F92">
        <w:tc>
          <w:tcPr>
            <w:tcW w:w="1980" w:type="dxa"/>
          </w:tcPr>
          <w:p w14:paraId="4F4D3623"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E-55</w:t>
            </w:r>
          </w:p>
        </w:tc>
        <w:tc>
          <w:tcPr>
            <w:tcW w:w="7920" w:type="dxa"/>
          </w:tcPr>
          <w:p w14:paraId="6022AD43"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Seuils de comparaison ISO7029 &amp; ISO1999.</w:t>
            </w:r>
          </w:p>
        </w:tc>
      </w:tr>
      <w:tr w:rsidR="00D85EFE" w:rsidRPr="00B52C45" w14:paraId="46F628E0" w14:textId="77777777" w:rsidTr="006E5F92">
        <w:tc>
          <w:tcPr>
            <w:tcW w:w="1980" w:type="dxa"/>
          </w:tcPr>
          <w:p w14:paraId="01B36DEE"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E-56</w:t>
            </w:r>
          </w:p>
        </w:tc>
        <w:tc>
          <w:tcPr>
            <w:tcW w:w="7920" w:type="dxa"/>
          </w:tcPr>
          <w:p w14:paraId="5B8CE33B"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 xml:space="preserve">Complément du </w:t>
            </w:r>
            <w:r w:rsidRPr="002F7F1D">
              <w:rPr>
                <w:rFonts w:cs="Arial"/>
                <w:color w:val="000000"/>
                <w:sz w:val="20"/>
              </w:rPr>
              <w:t>D</w:t>
            </w:r>
            <w:r w:rsidRPr="002F7F1D">
              <w:rPr>
                <w:rFonts w:cs="Arial"/>
                <w:color w:val="000000"/>
                <w:sz w:val="20"/>
                <w:vertAlign w:val="superscript"/>
              </w:rPr>
              <w:t>r</w:t>
            </w:r>
            <w:r>
              <w:rPr>
                <w:rFonts w:cs="Arial"/>
                <w:color w:val="000000"/>
                <w:sz w:val="20"/>
              </w:rPr>
              <w:t xml:space="preserve"> Robert A. Bertrand, 9 avril 2015.</w:t>
            </w:r>
          </w:p>
        </w:tc>
      </w:tr>
      <w:tr w:rsidR="00D85EFE" w:rsidRPr="00B52C45" w14:paraId="5AF83306" w14:textId="77777777" w:rsidTr="006E5F92">
        <w:tc>
          <w:tcPr>
            <w:tcW w:w="1980" w:type="dxa"/>
          </w:tcPr>
          <w:p w14:paraId="6C8AED11"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E-57</w:t>
            </w:r>
          </w:p>
        </w:tc>
        <w:tc>
          <w:tcPr>
            <w:tcW w:w="7920" w:type="dxa"/>
          </w:tcPr>
          <w:p w14:paraId="28B5A142"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 xml:space="preserve">Historique d’emplois du </w:t>
            </w:r>
            <w:r w:rsidRPr="002F7F1D">
              <w:rPr>
                <w:rFonts w:cs="Arial"/>
                <w:color w:val="000000"/>
                <w:sz w:val="20"/>
              </w:rPr>
              <w:t>travailleur</w:t>
            </w:r>
            <w:r>
              <w:rPr>
                <w:rFonts w:cs="Arial"/>
                <w:color w:val="000000"/>
                <w:sz w:val="20"/>
              </w:rPr>
              <w:t xml:space="preserve"> (formulaire)</w:t>
            </w:r>
          </w:p>
        </w:tc>
      </w:tr>
      <w:tr w:rsidR="00D85EFE" w:rsidRPr="00B52C45" w14:paraId="7A3C14AB" w14:textId="77777777" w:rsidTr="006E5F92">
        <w:tc>
          <w:tcPr>
            <w:tcW w:w="1980" w:type="dxa"/>
          </w:tcPr>
          <w:p w14:paraId="7ECA430B" w14:textId="77777777" w:rsidR="00D85EFE" w:rsidRDefault="00D85EFE"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E-58</w:t>
            </w:r>
          </w:p>
        </w:tc>
        <w:tc>
          <w:tcPr>
            <w:tcW w:w="7920" w:type="dxa"/>
          </w:tcPr>
          <w:p w14:paraId="307B0358" w14:textId="77777777" w:rsidR="00D85EFE" w:rsidRDefault="00D85EFE" w:rsidP="00F01825">
            <w:pPr>
              <w:keepNext/>
              <w:keepLines/>
              <w:autoSpaceDE w:val="0"/>
              <w:autoSpaceDN w:val="0"/>
              <w:adjustRightInd w:val="0"/>
              <w:ind w:left="15"/>
              <w:jc w:val="both"/>
              <w:rPr>
                <w:rFonts w:cs="Arial"/>
                <w:color w:val="000000"/>
                <w:sz w:val="20"/>
              </w:rPr>
            </w:pPr>
            <w:r>
              <w:rPr>
                <w:rFonts w:cs="Arial"/>
                <w:color w:val="000000"/>
                <w:sz w:val="20"/>
              </w:rPr>
              <w:t xml:space="preserve">Complément du </w:t>
            </w:r>
            <w:r w:rsidRPr="00100AA8">
              <w:rPr>
                <w:rFonts w:cs="Arial"/>
                <w:color w:val="000000"/>
                <w:sz w:val="20"/>
              </w:rPr>
              <w:t>D</w:t>
            </w:r>
            <w:r w:rsidRPr="00100AA8">
              <w:rPr>
                <w:rFonts w:cs="Arial"/>
                <w:color w:val="000000"/>
                <w:sz w:val="20"/>
                <w:vertAlign w:val="superscript"/>
              </w:rPr>
              <w:t>r</w:t>
            </w:r>
            <w:r>
              <w:rPr>
                <w:rFonts w:cs="Arial"/>
                <w:color w:val="000000"/>
                <w:sz w:val="20"/>
              </w:rPr>
              <w:t xml:space="preserve"> Robert A. Bertrand, 27 avril 2015.</w:t>
            </w:r>
          </w:p>
        </w:tc>
      </w:tr>
    </w:tbl>
    <w:p w14:paraId="6DF1CBD2" w14:textId="77777777" w:rsidR="00D85EFE" w:rsidRDefault="00D85EFE" w:rsidP="00D85EFE"/>
    <w:p w14:paraId="7025201C" w14:textId="77777777" w:rsidR="00281F67" w:rsidRPr="00281F21" w:rsidRDefault="00281F67" w:rsidP="00281F67">
      <w:pPr>
        <w:rPr>
          <w:rFonts w:cs="Arial"/>
          <w:b/>
          <w:caps/>
          <w:sz w:val="28"/>
          <w:szCs w:val="28"/>
        </w:rPr>
      </w:pPr>
    </w:p>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0"/>
        <w:gridCol w:w="7920"/>
      </w:tblGrid>
      <w:tr w:rsidR="00281F67" w:rsidRPr="003D0157" w14:paraId="28634B90" w14:textId="77777777" w:rsidTr="00F01825">
        <w:trPr>
          <w:tblHeader/>
        </w:trPr>
        <w:tc>
          <w:tcPr>
            <w:tcW w:w="9900" w:type="dxa"/>
            <w:gridSpan w:val="2"/>
          </w:tcPr>
          <w:p w14:paraId="5B4DD6DE" w14:textId="77777777" w:rsidR="00281F67" w:rsidRPr="00281F21" w:rsidRDefault="00281F67" w:rsidP="00F01825">
            <w:pPr>
              <w:jc w:val="center"/>
              <w:rPr>
                <w:rFonts w:cs="Arial"/>
                <w:b/>
                <w:sz w:val="28"/>
                <w:szCs w:val="28"/>
              </w:rPr>
            </w:pPr>
            <w:r w:rsidRPr="00281F21">
              <w:rPr>
                <w:rFonts w:cs="Arial"/>
                <w:b/>
                <w:sz w:val="28"/>
                <w:szCs w:val="28"/>
              </w:rPr>
              <w:lastRenderedPageBreak/>
              <w:t xml:space="preserve">ANNEXE </w:t>
            </w:r>
            <w:r>
              <w:rPr>
                <w:rFonts w:cs="Arial"/>
                <w:b/>
                <w:sz w:val="28"/>
                <w:szCs w:val="28"/>
              </w:rPr>
              <w:t>2</w:t>
            </w:r>
          </w:p>
          <w:p w14:paraId="5438F6DC" w14:textId="77777777" w:rsidR="00281F67" w:rsidRPr="003D0157" w:rsidRDefault="00281F67" w:rsidP="00F01825">
            <w:pPr>
              <w:spacing w:before="120" w:after="240"/>
              <w:jc w:val="center"/>
              <w:rPr>
                <w:b/>
                <w:caps/>
                <w:sz w:val="22"/>
                <w:szCs w:val="22"/>
              </w:rPr>
            </w:pPr>
            <w:r w:rsidRPr="00281F21">
              <w:rPr>
                <w:rFonts w:cs="Arial"/>
                <w:b/>
                <w:caps/>
                <w:sz w:val="28"/>
                <w:szCs w:val="28"/>
              </w:rPr>
              <w:t>Liste des pièces déposées</w:t>
            </w:r>
          </w:p>
        </w:tc>
      </w:tr>
      <w:tr w:rsidR="00281F67" w:rsidRPr="003D0157" w14:paraId="66BEBDA2" w14:textId="77777777" w:rsidTr="00F01825">
        <w:trPr>
          <w:tblHeader/>
        </w:trPr>
        <w:tc>
          <w:tcPr>
            <w:tcW w:w="1980" w:type="dxa"/>
          </w:tcPr>
          <w:p w14:paraId="04568D89" w14:textId="77777777" w:rsidR="00281F67" w:rsidRPr="003D0157" w:rsidRDefault="00281F67" w:rsidP="00F01825">
            <w:pPr>
              <w:spacing w:before="240" w:after="120"/>
              <w:rPr>
                <w:b/>
                <w:caps/>
                <w:sz w:val="22"/>
                <w:szCs w:val="22"/>
              </w:rPr>
            </w:pPr>
            <w:r>
              <w:rPr>
                <w:b/>
                <w:caps/>
                <w:sz w:val="22"/>
                <w:szCs w:val="22"/>
              </w:rPr>
              <w:t>partie intéressée</w:t>
            </w:r>
          </w:p>
        </w:tc>
        <w:tc>
          <w:tcPr>
            <w:tcW w:w="7920" w:type="dxa"/>
          </w:tcPr>
          <w:p w14:paraId="0780796B" w14:textId="77777777" w:rsidR="00281F67" w:rsidRPr="003D0157" w:rsidRDefault="00281F67" w:rsidP="00F01825">
            <w:pPr>
              <w:spacing w:before="240" w:after="120"/>
              <w:jc w:val="both"/>
              <w:rPr>
                <w:b/>
                <w:caps/>
                <w:sz w:val="22"/>
                <w:szCs w:val="22"/>
              </w:rPr>
            </w:pPr>
            <w:r>
              <w:rPr>
                <w:b/>
                <w:caps/>
                <w:sz w:val="22"/>
                <w:szCs w:val="22"/>
              </w:rPr>
              <w:t>MONSIEUR YVES LAJEUNESSE</w:t>
            </w:r>
          </w:p>
        </w:tc>
      </w:tr>
      <w:tr w:rsidR="00281F67" w:rsidRPr="00AD58CF" w14:paraId="0B245D0F" w14:textId="77777777" w:rsidTr="00F01825">
        <w:tc>
          <w:tcPr>
            <w:tcW w:w="1980" w:type="dxa"/>
          </w:tcPr>
          <w:p w14:paraId="3E7DDFCB" w14:textId="77777777" w:rsidR="00281F67" w:rsidRDefault="00281F67" w:rsidP="00F01825">
            <w:pPr>
              <w:spacing w:after="120"/>
              <w:rPr>
                <w:b/>
                <w:sz w:val="22"/>
                <w:szCs w:val="22"/>
              </w:rPr>
            </w:pPr>
          </w:p>
          <w:p w14:paraId="7DFF56D1" w14:textId="77777777" w:rsidR="00281F67" w:rsidRPr="00AD58CF" w:rsidRDefault="00281F67" w:rsidP="00F01825">
            <w:pPr>
              <w:spacing w:after="120"/>
              <w:rPr>
                <w:b/>
                <w:sz w:val="22"/>
                <w:szCs w:val="22"/>
              </w:rPr>
            </w:pPr>
            <w:r w:rsidRPr="00AD58CF">
              <w:rPr>
                <w:b/>
                <w:sz w:val="22"/>
                <w:szCs w:val="22"/>
              </w:rPr>
              <w:t>T-1</w:t>
            </w:r>
          </w:p>
        </w:tc>
        <w:tc>
          <w:tcPr>
            <w:tcW w:w="7920" w:type="dxa"/>
          </w:tcPr>
          <w:p w14:paraId="47B29B98" w14:textId="77777777" w:rsidR="00281F67" w:rsidRDefault="00281F67" w:rsidP="00F01825">
            <w:pPr>
              <w:spacing w:after="120"/>
              <w:jc w:val="both"/>
              <w:rPr>
                <w:sz w:val="20"/>
              </w:rPr>
            </w:pPr>
          </w:p>
          <w:p w14:paraId="2A07DFE0" w14:textId="77777777" w:rsidR="00281F67" w:rsidRPr="006A7E1E" w:rsidRDefault="00281F67" w:rsidP="00F01825">
            <w:pPr>
              <w:spacing w:after="120"/>
              <w:jc w:val="both"/>
              <w:rPr>
                <w:sz w:val="20"/>
              </w:rPr>
            </w:pPr>
            <w:r w:rsidRPr="006A7E1E">
              <w:rPr>
                <w:sz w:val="20"/>
              </w:rPr>
              <w:t>Lettre du 2 avril 2001 – poste livreur</w:t>
            </w:r>
            <w:r>
              <w:rPr>
                <w:sz w:val="20"/>
              </w:rPr>
              <w:t>.</w:t>
            </w:r>
          </w:p>
        </w:tc>
      </w:tr>
      <w:tr w:rsidR="00281F67" w:rsidRPr="00AD58CF" w14:paraId="7C0F9C3D" w14:textId="77777777" w:rsidTr="00F01825">
        <w:tc>
          <w:tcPr>
            <w:tcW w:w="1980" w:type="dxa"/>
          </w:tcPr>
          <w:p w14:paraId="0D12C345" w14:textId="77777777" w:rsidR="00281F67" w:rsidRPr="00AD58CF" w:rsidRDefault="00281F67" w:rsidP="00F01825">
            <w:pPr>
              <w:spacing w:after="120"/>
              <w:rPr>
                <w:b/>
                <w:sz w:val="22"/>
                <w:szCs w:val="22"/>
              </w:rPr>
            </w:pPr>
            <w:r w:rsidRPr="00AD58CF">
              <w:rPr>
                <w:rFonts w:cs="Arial"/>
                <w:b/>
                <w:sz w:val="22"/>
                <w:szCs w:val="22"/>
              </w:rPr>
              <w:t xml:space="preserve">T-2 </w:t>
            </w:r>
          </w:p>
        </w:tc>
        <w:tc>
          <w:tcPr>
            <w:tcW w:w="7920" w:type="dxa"/>
          </w:tcPr>
          <w:p w14:paraId="23D9F819" w14:textId="77777777" w:rsidR="00281F67" w:rsidRPr="00B52C45" w:rsidRDefault="00281F67" w:rsidP="00F01825">
            <w:pPr>
              <w:spacing w:after="120"/>
              <w:jc w:val="both"/>
              <w:rPr>
                <w:rFonts w:cs="Arial"/>
                <w:sz w:val="20"/>
              </w:rPr>
            </w:pPr>
            <w:r>
              <w:rPr>
                <w:rFonts w:cs="Arial"/>
                <w:sz w:val="20"/>
              </w:rPr>
              <w:t>Examen de dépistage CSSS – 12 mars 2012.</w:t>
            </w:r>
          </w:p>
        </w:tc>
      </w:tr>
      <w:tr w:rsidR="00281F67" w:rsidRPr="00AD58CF" w14:paraId="58F19852" w14:textId="77777777" w:rsidTr="00F01825">
        <w:tc>
          <w:tcPr>
            <w:tcW w:w="1980" w:type="dxa"/>
          </w:tcPr>
          <w:p w14:paraId="7DE9C319" w14:textId="77777777" w:rsidR="00281F67" w:rsidRPr="00AD58CF" w:rsidRDefault="00281F67" w:rsidP="00F01825">
            <w:pPr>
              <w:spacing w:after="120"/>
              <w:rPr>
                <w:rFonts w:cs="Arial"/>
                <w:b/>
                <w:sz w:val="22"/>
                <w:szCs w:val="22"/>
              </w:rPr>
            </w:pPr>
            <w:r w:rsidRPr="00AD58CF">
              <w:rPr>
                <w:rFonts w:cs="Arial"/>
                <w:b/>
                <w:sz w:val="22"/>
                <w:szCs w:val="22"/>
                <w:lang w:val="en-CA"/>
              </w:rPr>
              <w:t>T-3</w:t>
            </w:r>
          </w:p>
        </w:tc>
        <w:tc>
          <w:tcPr>
            <w:tcW w:w="7920" w:type="dxa"/>
          </w:tcPr>
          <w:p w14:paraId="0BEE885A" w14:textId="77777777" w:rsidR="00281F67" w:rsidRPr="00B52C45" w:rsidRDefault="00281F67" w:rsidP="00F01825">
            <w:pPr>
              <w:spacing w:after="120"/>
              <w:jc w:val="both"/>
              <w:rPr>
                <w:rFonts w:cs="Arial"/>
                <w:sz w:val="20"/>
                <w:lang w:val="en-CA"/>
              </w:rPr>
            </w:pPr>
            <w:r>
              <w:rPr>
                <w:rFonts w:cs="Arial"/>
                <w:sz w:val="20"/>
                <w:lang w:val="en-CA"/>
              </w:rPr>
              <w:t>Document livraison type conventionnel.</w:t>
            </w:r>
          </w:p>
        </w:tc>
      </w:tr>
      <w:tr w:rsidR="00281F67" w:rsidRPr="00AD58CF" w14:paraId="54A434DD" w14:textId="77777777" w:rsidTr="00F01825">
        <w:tc>
          <w:tcPr>
            <w:tcW w:w="1980" w:type="dxa"/>
          </w:tcPr>
          <w:p w14:paraId="476D6166" w14:textId="77777777" w:rsidR="00281F67" w:rsidRPr="00AD58CF" w:rsidRDefault="00281F67" w:rsidP="00F01825">
            <w:pPr>
              <w:spacing w:after="120"/>
              <w:rPr>
                <w:rFonts w:cs="Arial"/>
                <w:b/>
                <w:sz w:val="22"/>
                <w:szCs w:val="22"/>
                <w:lang w:val="en-CA"/>
              </w:rPr>
            </w:pPr>
            <w:r w:rsidRPr="00AD58CF">
              <w:rPr>
                <w:rFonts w:cs="Arial"/>
                <w:b/>
                <w:sz w:val="22"/>
                <w:szCs w:val="22"/>
                <w:lang w:val="en-CA"/>
              </w:rPr>
              <w:t>T-4</w:t>
            </w:r>
          </w:p>
        </w:tc>
        <w:tc>
          <w:tcPr>
            <w:tcW w:w="7920" w:type="dxa"/>
          </w:tcPr>
          <w:p w14:paraId="4A3E5734" w14:textId="77777777" w:rsidR="00281F67" w:rsidRPr="007D683F" w:rsidRDefault="00281F67" w:rsidP="00F01825">
            <w:pPr>
              <w:spacing w:after="120"/>
              <w:jc w:val="both"/>
              <w:rPr>
                <w:rFonts w:cs="Arial"/>
                <w:color w:val="000000"/>
                <w:sz w:val="20"/>
              </w:rPr>
            </w:pPr>
            <w:r w:rsidRPr="007D683F">
              <w:rPr>
                <w:rFonts w:cs="Arial"/>
                <w:color w:val="000000"/>
                <w:sz w:val="20"/>
              </w:rPr>
              <w:t>Document livraison type vrac/conventionnel.</w:t>
            </w:r>
          </w:p>
        </w:tc>
      </w:tr>
      <w:tr w:rsidR="00281F67" w:rsidRPr="00AD58CF" w14:paraId="3C1424DA" w14:textId="77777777" w:rsidTr="00F01825">
        <w:tc>
          <w:tcPr>
            <w:tcW w:w="1980" w:type="dxa"/>
          </w:tcPr>
          <w:p w14:paraId="3A8CED5C" w14:textId="77777777" w:rsidR="00281F67" w:rsidRPr="00AD58CF" w:rsidRDefault="00281F67" w:rsidP="00F01825">
            <w:pPr>
              <w:spacing w:after="120"/>
              <w:jc w:val="both"/>
              <w:rPr>
                <w:rFonts w:cs="Arial"/>
                <w:b/>
                <w:sz w:val="22"/>
                <w:szCs w:val="22"/>
                <w:lang w:val="en-CA"/>
              </w:rPr>
            </w:pPr>
            <w:r w:rsidRPr="00AD58CF">
              <w:rPr>
                <w:rFonts w:cs="Arial"/>
                <w:b/>
                <w:color w:val="000000"/>
                <w:sz w:val="22"/>
                <w:szCs w:val="22"/>
              </w:rPr>
              <w:t>T-5</w:t>
            </w:r>
          </w:p>
        </w:tc>
        <w:tc>
          <w:tcPr>
            <w:tcW w:w="7920" w:type="dxa"/>
          </w:tcPr>
          <w:p w14:paraId="4B7AAB8D" w14:textId="77777777" w:rsidR="00281F67" w:rsidRPr="00B52C45" w:rsidRDefault="00281F67" w:rsidP="00F01825">
            <w:pPr>
              <w:spacing w:after="120"/>
              <w:jc w:val="both"/>
              <w:rPr>
                <w:rFonts w:cs="Arial"/>
                <w:color w:val="000000"/>
                <w:sz w:val="20"/>
                <w:lang w:val="en-CA"/>
              </w:rPr>
            </w:pPr>
            <w:r>
              <w:rPr>
                <w:rFonts w:cs="Arial"/>
                <w:color w:val="000000"/>
                <w:sz w:val="20"/>
                <w:lang w:val="en-CA"/>
              </w:rPr>
              <w:t xml:space="preserve">Document livraison type </w:t>
            </w:r>
            <w:proofErr w:type="spellStart"/>
            <w:r>
              <w:rPr>
                <w:rFonts w:cs="Arial"/>
                <w:color w:val="000000"/>
                <w:sz w:val="20"/>
                <w:lang w:val="en-CA"/>
              </w:rPr>
              <w:t>vrac</w:t>
            </w:r>
            <w:proofErr w:type="spellEnd"/>
            <w:r>
              <w:rPr>
                <w:rFonts w:cs="Arial"/>
                <w:color w:val="000000"/>
                <w:sz w:val="20"/>
                <w:lang w:val="en-CA"/>
              </w:rPr>
              <w:t>.</w:t>
            </w:r>
          </w:p>
        </w:tc>
      </w:tr>
      <w:tr w:rsidR="00281F67" w:rsidRPr="00AD58CF" w14:paraId="4D0B5B2F" w14:textId="77777777" w:rsidTr="00F01825">
        <w:tc>
          <w:tcPr>
            <w:tcW w:w="1980" w:type="dxa"/>
          </w:tcPr>
          <w:p w14:paraId="6BD696DC" w14:textId="77777777" w:rsidR="00281F67" w:rsidRPr="00AD58CF" w:rsidRDefault="00281F67" w:rsidP="00F01825">
            <w:pPr>
              <w:spacing w:after="120"/>
              <w:jc w:val="both"/>
              <w:rPr>
                <w:rFonts w:cs="Arial"/>
                <w:b/>
                <w:color w:val="000000"/>
                <w:sz w:val="22"/>
                <w:szCs w:val="22"/>
              </w:rPr>
            </w:pPr>
            <w:r w:rsidRPr="00AD58CF">
              <w:rPr>
                <w:rFonts w:cs="Arial"/>
                <w:b/>
                <w:sz w:val="22"/>
                <w:szCs w:val="22"/>
              </w:rPr>
              <w:t>T-6</w:t>
            </w:r>
          </w:p>
        </w:tc>
        <w:tc>
          <w:tcPr>
            <w:tcW w:w="7920" w:type="dxa"/>
          </w:tcPr>
          <w:p w14:paraId="226663B2" w14:textId="77777777" w:rsidR="00281F67" w:rsidRPr="007D683F" w:rsidRDefault="00281F67" w:rsidP="00F01825">
            <w:pPr>
              <w:spacing w:after="120"/>
              <w:jc w:val="both"/>
              <w:rPr>
                <w:rFonts w:cs="Arial"/>
                <w:color w:val="000000"/>
                <w:sz w:val="20"/>
              </w:rPr>
            </w:pPr>
            <w:r w:rsidRPr="007D683F">
              <w:rPr>
                <w:rFonts w:cs="Arial"/>
                <w:color w:val="000000"/>
                <w:sz w:val="20"/>
              </w:rPr>
              <w:t>Photos de la semi-remorque (vrac conventionnel).</w:t>
            </w:r>
          </w:p>
        </w:tc>
      </w:tr>
      <w:tr w:rsidR="00281F67" w:rsidRPr="00AD58CF" w14:paraId="683EFA40" w14:textId="77777777" w:rsidTr="00F01825">
        <w:tc>
          <w:tcPr>
            <w:tcW w:w="1980" w:type="dxa"/>
          </w:tcPr>
          <w:p w14:paraId="47B60AC4" w14:textId="77777777" w:rsidR="00281F67" w:rsidRPr="00AD58CF" w:rsidRDefault="00281F67" w:rsidP="00F01825">
            <w:pPr>
              <w:spacing w:after="120"/>
              <w:jc w:val="both"/>
              <w:rPr>
                <w:rFonts w:cs="Arial"/>
                <w:b/>
                <w:sz w:val="22"/>
                <w:szCs w:val="22"/>
              </w:rPr>
            </w:pPr>
            <w:r w:rsidRPr="00AD58CF">
              <w:rPr>
                <w:rFonts w:cs="Arial"/>
                <w:b/>
                <w:color w:val="000000"/>
                <w:sz w:val="22"/>
                <w:szCs w:val="22"/>
                <w:lang w:val="en-CA"/>
              </w:rPr>
              <w:t>T-7</w:t>
            </w:r>
          </w:p>
        </w:tc>
        <w:tc>
          <w:tcPr>
            <w:tcW w:w="7920" w:type="dxa"/>
          </w:tcPr>
          <w:p w14:paraId="2DC7E23D" w14:textId="77777777" w:rsidR="00281F67" w:rsidRPr="007D683F" w:rsidRDefault="00281F67" w:rsidP="00F01825">
            <w:pPr>
              <w:spacing w:after="120"/>
              <w:jc w:val="both"/>
              <w:rPr>
                <w:rFonts w:cs="Arial"/>
                <w:color w:val="000000"/>
                <w:sz w:val="20"/>
              </w:rPr>
            </w:pPr>
            <w:r w:rsidRPr="007D683F">
              <w:rPr>
                <w:rFonts w:cs="Arial"/>
                <w:color w:val="000000"/>
                <w:sz w:val="20"/>
              </w:rPr>
              <w:t xml:space="preserve">Croquis fait par le travailleur. </w:t>
            </w:r>
          </w:p>
        </w:tc>
      </w:tr>
      <w:tr w:rsidR="00281F67" w:rsidRPr="00AD58CF" w14:paraId="54D0531A" w14:textId="77777777" w:rsidTr="00F01825">
        <w:tc>
          <w:tcPr>
            <w:tcW w:w="1980" w:type="dxa"/>
          </w:tcPr>
          <w:p w14:paraId="53135D03" w14:textId="77777777" w:rsidR="00281F67" w:rsidRPr="00AD58CF" w:rsidRDefault="00281F67" w:rsidP="00F01825">
            <w:pPr>
              <w:autoSpaceDE w:val="0"/>
              <w:autoSpaceDN w:val="0"/>
              <w:adjustRightInd w:val="0"/>
              <w:spacing w:after="120" w:line="240" w:lineRule="atLeast"/>
              <w:jc w:val="both"/>
              <w:rPr>
                <w:rFonts w:cs="Arial"/>
                <w:b/>
                <w:color w:val="000000"/>
                <w:sz w:val="22"/>
                <w:szCs w:val="22"/>
                <w:lang w:val="en-CA"/>
              </w:rPr>
            </w:pPr>
            <w:r w:rsidRPr="00AD58CF">
              <w:rPr>
                <w:rFonts w:cs="Arial"/>
                <w:b/>
                <w:color w:val="000000"/>
                <w:sz w:val="22"/>
                <w:szCs w:val="22"/>
                <w:lang w:val="en-CA"/>
              </w:rPr>
              <w:t>T-8</w:t>
            </w:r>
          </w:p>
        </w:tc>
        <w:tc>
          <w:tcPr>
            <w:tcW w:w="7920" w:type="dxa"/>
          </w:tcPr>
          <w:p w14:paraId="28E42E48" w14:textId="77777777" w:rsidR="00281F67" w:rsidRPr="00B52C45" w:rsidRDefault="00281F67" w:rsidP="00F01825">
            <w:pPr>
              <w:spacing w:after="120"/>
              <w:jc w:val="both"/>
              <w:rPr>
                <w:rFonts w:cs="Arial"/>
                <w:color w:val="000000"/>
                <w:sz w:val="20"/>
                <w:lang w:val="en-CA"/>
              </w:rPr>
            </w:pPr>
            <w:r>
              <w:rPr>
                <w:rFonts w:cs="Arial"/>
                <w:color w:val="000000"/>
                <w:sz w:val="20"/>
                <w:lang w:val="en-CA"/>
              </w:rPr>
              <w:t xml:space="preserve">Photo d’un </w:t>
            </w:r>
            <w:proofErr w:type="spellStart"/>
            <w:r>
              <w:rPr>
                <w:rFonts w:cs="Arial"/>
                <w:color w:val="000000"/>
                <w:sz w:val="20"/>
                <w:lang w:val="en-CA"/>
              </w:rPr>
              <w:t>transpalette</w:t>
            </w:r>
            <w:proofErr w:type="spellEnd"/>
            <w:r>
              <w:rPr>
                <w:rFonts w:cs="Arial"/>
                <w:color w:val="000000"/>
                <w:sz w:val="20"/>
                <w:lang w:val="en-CA"/>
              </w:rPr>
              <w:t xml:space="preserve"> </w:t>
            </w:r>
            <w:proofErr w:type="spellStart"/>
            <w:r>
              <w:rPr>
                <w:rFonts w:cs="Arial"/>
                <w:color w:val="000000"/>
                <w:sz w:val="20"/>
                <w:lang w:val="en-CA"/>
              </w:rPr>
              <w:t>manuel</w:t>
            </w:r>
            <w:proofErr w:type="spellEnd"/>
            <w:r>
              <w:rPr>
                <w:rFonts w:cs="Arial"/>
                <w:color w:val="000000"/>
                <w:sz w:val="20"/>
                <w:lang w:val="en-CA"/>
              </w:rPr>
              <w:t>.</w:t>
            </w:r>
          </w:p>
        </w:tc>
      </w:tr>
      <w:tr w:rsidR="00281F67" w:rsidRPr="00AD58CF" w14:paraId="364E62ED" w14:textId="77777777" w:rsidTr="00F01825">
        <w:tc>
          <w:tcPr>
            <w:tcW w:w="1980" w:type="dxa"/>
          </w:tcPr>
          <w:p w14:paraId="5710E935" w14:textId="77777777" w:rsidR="00281F67" w:rsidRPr="00AD58CF" w:rsidRDefault="00281F67" w:rsidP="00F01825">
            <w:pPr>
              <w:autoSpaceDE w:val="0"/>
              <w:autoSpaceDN w:val="0"/>
              <w:adjustRightInd w:val="0"/>
              <w:spacing w:after="120" w:line="240" w:lineRule="atLeast"/>
              <w:jc w:val="both"/>
              <w:rPr>
                <w:rFonts w:cs="Arial"/>
                <w:b/>
                <w:color w:val="000000"/>
                <w:sz w:val="22"/>
                <w:szCs w:val="22"/>
                <w:lang w:val="en-CA"/>
              </w:rPr>
            </w:pPr>
            <w:r w:rsidRPr="00AD58CF">
              <w:rPr>
                <w:rFonts w:cs="Arial"/>
                <w:b/>
                <w:sz w:val="22"/>
                <w:szCs w:val="22"/>
                <w:lang w:val="en-CA"/>
              </w:rPr>
              <w:t>T-9</w:t>
            </w:r>
          </w:p>
        </w:tc>
        <w:tc>
          <w:tcPr>
            <w:tcW w:w="7920" w:type="dxa"/>
          </w:tcPr>
          <w:p w14:paraId="3ECF6B26" w14:textId="77777777" w:rsidR="00281F67" w:rsidRPr="007D683F" w:rsidRDefault="00281F67" w:rsidP="00F01825">
            <w:pPr>
              <w:spacing w:after="120"/>
              <w:jc w:val="both"/>
              <w:rPr>
                <w:rFonts w:cs="Arial"/>
                <w:color w:val="000000"/>
                <w:sz w:val="20"/>
              </w:rPr>
            </w:pPr>
            <w:r w:rsidRPr="007D683F">
              <w:rPr>
                <w:rFonts w:cs="Arial"/>
                <w:color w:val="000000"/>
                <w:sz w:val="20"/>
              </w:rPr>
              <w:t>Prises de mesures des bouteilles.</w:t>
            </w:r>
          </w:p>
        </w:tc>
      </w:tr>
      <w:tr w:rsidR="00281F67" w:rsidRPr="00AD58CF" w14:paraId="7750F3EF" w14:textId="77777777" w:rsidTr="00F01825">
        <w:tc>
          <w:tcPr>
            <w:tcW w:w="1980" w:type="dxa"/>
          </w:tcPr>
          <w:p w14:paraId="7835FAEE" w14:textId="77777777" w:rsidR="00281F67" w:rsidRPr="00AD58CF" w:rsidRDefault="00281F67" w:rsidP="00F01825">
            <w:pPr>
              <w:autoSpaceDE w:val="0"/>
              <w:autoSpaceDN w:val="0"/>
              <w:adjustRightInd w:val="0"/>
              <w:spacing w:after="120" w:line="240" w:lineRule="atLeast"/>
              <w:jc w:val="both"/>
              <w:rPr>
                <w:rFonts w:cs="Arial"/>
                <w:b/>
                <w:sz w:val="22"/>
                <w:szCs w:val="22"/>
                <w:lang w:val="en-CA"/>
              </w:rPr>
            </w:pPr>
            <w:r w:rsidRPr="00AD58CF">
              <w:rPr>
                <w:rFonts w:cs="Arial"/>
                <w:b/>
                <w:color w:val="000000"/>
                <w:sz w:val="22"/>
                <w:szCs w:val="22"/>
                <w:lang w:val="en-CA"/>
              </w:rPr>
              <w:t>T-10</w:t>
            </w:r>
          </w:p>
        </w:tc>
        <w:tc>
          <w:tcPr>
            <w:tcW w:w="7920" w:type="dxa"/>
          </w:tcPr>
          <w:p w14:paraId="49E87EB0" w14:textId="77777777" w:rsidR="00281F67" w:rsidRPr="007D683F" w:rsidRDefault="00281F67" w:rsidP="00F01825">
            <w:pPr>
              <w:spacing w:after="120"/>
              <w:jc w:val="both"/>
              <w:rPr>
                <w:rFonts w:cs="Arial"/>
                <w:color w:val="000000"/>
                <w:sz w:val="20"/>
              </w:rPr>
            </w:pPr>
            <w:r w:rsidRPr="007D683F">
              <w:rPr>
                <w:rFonts w:cs="Arial"/>
                <w:color w:val="000000"/>
                <w:sz w:val="20"/>
              </w:rPr>
              <w:t>Curriculum vitae de M. Tony Leroux.</w:t>
            </w:r>
          </w:p>
        </w:tc>
      </w:tr>
      <w:tr w:rsidR="00281F67" w:rsidRPr="00B52C45" w14:paraId="0E813287" w14:textId="77777777" w:rsidTr="00F01825">
        <w:tc>
          <w:tcPr>
            <w:tcW w:w="1980" w:type="dxa"/>
          </w:tcPr>
          <w:p w14:paraId="77AB1B65" w14:textId="77777777" w:rsidR="00281F67" w:rsidRPr="00AD58CF" w:rsidRDefault="00281F67" w:rsidP="00F01825">
            <w:pPr>
              <w:autoSpaceDE w:val="0"/>
              <w:autoSpaceDN w:val="0"/>
              <w:adjustRightInd w:val="0"/>
              <w:spacing w:after="120" w:line="240" w:lineRule="atLeast"/>
              <w:jc w:val="both"/>
              <w:rPr>
                <w:rFonts w:cs="Arial"/>
                <w:b/>
                <w:color w:val="000000"/>
                <w:sz w:val="22"/>
                <w:szCs w:val="22"/>
                <w:lang w:val="en-CA"/>
              </w:rPr>
            </w:pPr>
            <w:r w:rsidRPr="00AD58CF">
              <w:rPr>
                <w:rFonts w:cs="Arial"/>
                <w:b/>
                <w:color w:val="000000"/>
                <w:sz w:val="22"/>
                <w:szCs w:val="22"/>
                <w:lang w:val="en-CA"/>
              </w:rPr>
              <w:t>T-11</w:t>
            </w:r>
          </w:p>
        </w:tc>
        <w:tc>
          <w:tcPr>
            <w:tcW w:w="7920" w:type="dxa"/>
          </w:tcPr>
          <w:p w14:paraId="7A46F064" w14:textId="77777777" w:rsidR="00281F67" w:rsidRPr="00B52C45" w:rsidRDefault="00281F67" w:rsidP="00F01825">
            <w:pPr>
              <w:spacing w:after="120"/>
              <w:jc w:val="both"/>
              <w:rPr>
                <w:rFonts w:cs="Arial"/>
                <w:color w:val="000000"/>
                <w:sz w:val="20"/>
              </w:rPr>
            </w:pPr>
            <w:r>
              <w:rPr>
                <w:rFonts w:cs="Arial"/>
                <w:color w:val="000000"/>
                <w:sz w:val="20"/>
              </w:rPr>
              <w:t xml:space="preserve">Évaluation du bruit chez les livreurs, </w:t>
            </w:r>
            <w:r>
              <w:rPr>
                <w:rFonts w:cs="Arial"/>
                <w:i/>
                <w:color w:val="000000"/>
                <w:sz w:val="20"/>
              </w:rPr>
              <w:t>Hygiène Conseils de Montréal</w:t>
            </w:r>
            <w:r>
              <w:rPr>
                <w:rFonts w:cs="Arial"/>
                <w:color w:val="000000"/>
                <w:sz w:val="20"/>
              </w:rPr>
              <w:t>, 8 et 25 septembre 1993.</w:t>
            </w:r>
          </w:p>
        </w:tc>
      </w:tr>
      <w:tr w:rsidR="00281F67" w:rsidRPr="007D683F" w14:paraId="13B4D45F" w14:textId="77777777" w:rsidTr="00F01825">
        <w:tc>
          <w:tcPr>
            <w:tcW w:w="1980" w:type="dxa"/>
          </w:tcPr>
          <w:p w14:paraId="0D7C24CF" w14:textId="77777777" w:rsidR="00281F67" w:rsidRPr="00AD58CF" w:rsidRDefault="00281F67"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T-12</w:t>
            </w:r>
          </w:p>
        </w:tc>
        <w:tc>
          <w:tcPr>
            <w:tcW w:w="7920" w:type="dxa"/>
          </w:tcPr>
          <w:p w14:paraId="6E9CE2C7" w14:textId="77777777" w:rsidR="00281F67" w:rsidRPr="007D683F" w:rsidRDefault="00281F67" w:rsidP="00F01825">
            <w:pPr>
              <w:spacing w:after="120"/>
              <w:jc w:val="both"/>
              <w:rPr>
                <w:rFonts w:cs="Arial"/>
                <w:color w:val="000000"/>
                <w:sz w:val="20"/>
                <w:lang w:val="en-CA"/>
              </w:rPr>
            </w:pPr>
            <w:r w:rsidRPr="007D683F">
              <w:rPr>
                <w:rFonts w:cs="Arial"/>
                <w:color w:val="000000"/>
                <w:sz w:val="20"/>
                <w:lang w:val="en-CA"/>
              </w:rPr>
              <w:t xml:space="preserve">B. SESHAGIRI, « Occupational Noise Exposure of Operators of Heavy Trucks », (1998) 59 </w:t>
            </w:r>
            <w:r w:rsidRPr="007D683F">
              <w:rPr>
                <w:rFonts w:cs="Arial"/>
                <w:i/>
                <w:iCs/>
                <w:color w:val="000000"/>
                <w:sz w:val="20"/>
                <w:lang w:val="en-CA"/>
              </w:rPr>
              <w:t xml:space="preserve">American Industrial Hygiene Association Journal, </w:t>
            </w:r>
            <w:r w:rsidRPr="007D683F">
              <w:rPr>
                <w:rFonts w:cs="Arial"/>
                <w:color w:val="000000"/>
                <w:sz w:val="20"/>
                <w:lang w:val="en-CA"/>
              </w:rPr>
              <w:t>pp. 205-213.</w:t>
            </w:r>
          </w:p>
        </w:tc>
      </w:tr>
      <w:tr w:rsidR="00281F67" w:rsidRPr="00B52C45" w14:paraId="3A6F9AAE" w14:textId="77777777" w:rsidTr="00F01825">
        <w:tc>
          <w:tcPr>
            <w:tcW w:w="1980" w:type="dxa"/>
          </w:tcPr>
          <w:p w14:paraId="1B43FF87" w14:textId="77777777" w:rsidR="00281F67" w:rsidRDefault="00281F67"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T-13</w:t>
            </w:r>
          </w:p>
        </w:tc>
        <w:tc>
          <w:tcPr>
            <w:tcW w:w="7920" w:type="dxa"/>
          </w:tcPr>
          <w:p w14:paraId="1AAEAEAB" w14:textId="77777777" w:rsidR="00281F67" w:rsidRDefault="00281F67" w:rsidP="00F01825">
            <w:pPr>
              <w:spacing w:after="120"/>
              <w:jc w:val="both"/>
              <w:rPr>
                <w:rFonts w:cs="Arial"/>
                <w:color w:val="000000"/>
                <w:sz w:val="20"/>
              </w:rPr>
            </w:pPr>
            <w:r>
              <w:rPr>
                <w:rFonts w:cs="Arial"/>
                <w:color w:val="000000"/>
                <w:sz w:val="20"/>
              </w:rPr>
              <w:t xml:space="preserve">ASSOCIATION CANADIENNE DE NORMALISATION, </w:t>
            </w:r>
            <w:r>
              <w:rPr>
                <w:rFonts w:cs="Arial"/>
                <w:i/>
                <w:color w:val="000000"/>
                <w:sz w:val="20"/>
              </w:rPr>
              <w:t>M</w:t>
            </w:r>
            <w:r>
              <w:rPr>
                <w:rFonts w:cs="Arial"/>
                <w:i/>
                <w:iCs/>
                <w:color w:val="000000"/>
                <w:sz w:val="20"/>
              </w:rPr>
              <w:t xml:space="preserve">esure de l'exposition au bruit : comité technique sur la préservation de l’ouïe en milieu de travail (Z107.56-13), </w:t>
            </w:r>
            <w:r>
              <w:rPr>
                <w:rFonts w:cs="Arial"/>
                <w:color w:val="000000"/>
                <w:sz w:val="20"/>
              </w:rPr>
              <w:t>Toronto, CSA, avril 2014.</w:t>
            </w:r>
          </w:p>
        </w:tc>
      </w:tr>
      <w:tr w:rsidR="00281F67" w:rsidRPr="00B52C45" w14:paraId="22ECE1D2" w14:textId="77777777" w:rsidTr="00F01825">
        <w:tc>
          <w:tcPr>
            <w:tcW w:w="1980" w:type="dxa"/>
          </w:tcPr>
          <w:p w14:paraId="668DE6C4" w14:textId="77777777" w:rsidR="00281F67" w:rsidRDefault="00281F67" w:rsidP="00F01825">
            <w:pPr>
              <w:autoSpaceDE w:val="0"/>
              <w:autoSpaceDN w:val="0"/>
              <w:adjustRightInd w:val="0"/>
              <w:spacing w:after="120" w:line="240" w:lineRule="atLeast"/>
              <w:jc w:val="both"/>
              <w:rPr>
                <w:rFonts w:cs="Arial"/>
                <w:b/>
                <w:color w:val="000000"/>
                <w:sz w:val="22"/>
                <w:szCs w:val="22"/>
                <w:lang w:val="en-CA"/>
              </w:rPr>
            </w:pPr>
            <w:r>
              <w:rPr>
                <w:rFonts w:cs="Arial"/>
                <w:b/>
                <w:color w:val="000000"/>
                <w:sz w:val="22"/>
                <w:szCs w:val="22"/>
                <w:lang w:val="en-CA"/>
              </w:rPr>
              <w:t>T-14</w:t>
            </w:r>
          </w:p>
        </w:tc>
        <w:tc>
          <w:tcPr>
            <w:tcW w:w="7920" w:type="dxa"/>
          </w:tcPr>
          <w:p w14:paraId="6CDADA12" w14:textId="77777777" w:rsidR="00281F67" w:rsidRDefault="00281F67" w:rsidP="00F01825">
            <w:pPr>
              <w:spacing w:after="120"/>
              <w:jc w:val="both"/>
              <w:rPr>
                <w:rFonts w:cs="Arial"/>
                <w:color w:val="000000"/>
                <w:sz w:val="20"/>
              </w:rPr>
            </w:pPr>
            <w:r>
              <w:rPr>
                <w:rFonts w:cs="Arial"/>
                <w:color w:val="000000"/>
                <w:sz w:val="20"/>
              </w:rPr>
              <w:t xml:space="preserve">INTERNATIONAL STANDARD ORGANIZATION, </w:t>
            </w:r>
            <w:r>
              <w:rPr>
                <w:rFonts w:cs="Arial"/>
                <w:i/>
                <w:iCs/>
                <w:color w:val="000000"/>
                <w:sz w:val="20"/>
              </w:rPr>
              <w:t xml:space="preserve">Acoustique : estimation de la perte auditive induite par le bruit (ISO 1999: 2013 (E)), </w:t>
            </w:r>
            <w:r>
              <w:rPr>
                <w:rFonts w:cs="Arial"/>
                <w:color w:val="000000"/>
                <w:sz w:val="20"/>
              </w:rPr>
              <w:t>Genève, ISO, 1999.</w:t>
            </w:r>
          </w:p>
        </w:tc>
      </w:tr>
      <w:tr w:rsidR="00281F67" w:rsidRPr="00B52C45" w14:paraId="077BEB68" w14:textId="77777777" w:rsidTr="00F01825">
        <w:tc>
          <w:tcPr>
            <w:tcW w:w="1980" w:type="dxa"/>
          </w:tcPr>
          <w:p w14:paraId="74A003BC"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T-15</w:t>
            </w:r>
          </w:p>
        </w:tc>
        <w:tc>
          <w:tcPr>
            <w:tcW w:w="7920" w:type="dxa"/>
          </w:tcPr>
          <w:p w14:paraId="39BC4A52" w14:textId="77777777" w:rsidR="00281F67" w:rsidRDefault="00281F67" w:rsidP="00F01825">
            <w:pPr>
              <w:spacing w:after="120"/>
              <w:jc w:val="both"/>
              <w:rPr>
                <w:rFonts w:cs="Arial"/>
                <w:color w:val="000000"/>
                <w:sz w:val="20"/>
              </w:rPr>
            </w:pPr>
            <w:r>
              <w:rPr>
                <w:rFonts w:cs="Arial"/>
                <w:color w:val="000000"/>
                <w:sz w:val="20"/>
              </w:rPr>
              <w:t xml:space="preserve">INTERNATIONAL STANDARD ORGANIZATION, </w:t>
            </w:r>
            <w:r>
              <w:rPr>
                <w:rFonts w:cs="Arial"/>
                <w:i/>
                <w:iCs/>
                <w:color w:val="000000"/>
                <w:sz w:val="20"/>
              </w:rPr>
              <w:t xml:space="preserve">Acoustique : détermination de l'exposition au bruit en milieu professionnel et estimation du dommage auditif induit par le bruit (ISO 1999: 1990 (F)), </w:t>
            </w:r>
            <w:r>
              <w:rPr>
                <w:rFonts w:cs="Arial"/>
                <w:color w:val="000000"/>
                <w:sz w:val="20"/>
              </w:rPr>
              <w:t>Genève, ISO, 1995.</w:t>
            </w:r>
          </w:p>
        </w:tc>
      </w:tr>
      <w:tr w:rsidR="00281F67" w:rsidRPr="00B52C45" w14:paraId="0D5C78C8" w14:textId="77777777" w:rsidTr="00F01825">
        <w:tc>
          <w:tcPr>
            <w:tcW w:w="1980" w:type="dxa"/>
          </w:tcPr>
          <w:p w14:paraId="3802B06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T-16</w:t>
            </w:r>
          </w:p>
        </w:tc>
        <w:tc>
          <w:tcPr>
            <w:tcW w:w="7920" w:type="dxa"/>
          </w:tcPr>
          <w:p w14:paraId="5A370F8D" w14:textId="77777777" w:rsidR="00281F67" w:rsidRDefault="00281F67" w:rsidP="00F01825">
            <w:pPr>
              <w:spacing w:after="120"/>
              <w:jc w:val="both"/>
              <w:rPr>
                <w:rFonts w:cs="Arial"/>
                <w:color w:val="000000"/>
                <w:sz w:val="20"/>
              </w:rPr>
            </w:pPr>
            <w:r>
              <w:rPr>
                <w:rFonts w:cs="Arial"/>
                <w:color w:val="000000"/>
                <w:sz w:val="20"/>
              </w:rPr>
              <w:t xml:space="preserve">Christine POULIN, Michel LEGRIS et Catherine DAOUST, « La différence entre les mesures de bruit selon OSHA et ISO », (1991) 7 </w:t>
            </w:r>
            <w:r>
              <w:rPr>
                <w:rFonts w:cs="Arial"/>
                <w:i/>
                <w:iCs/>
                <w:color w:val="000000"/>
                <w:sz w:val="20"/>
              </w:rPr>
              <w:t xml:space="preserve">Travail et santé, </w:t>
            </w:r>
            <w:r>
              <w:rPr>
                <w:rFonts w:cs="Arial"/>
                <w:color w:val="000000"/>
                <w:sz w:val="20"/>
              </w:rPr>
              <w:t>pp. 11-15.</w:t>
            </w:r>
          </w:p>
        </w:tc>
      </w:tr>
      <w:tr w:rsidR="00281F67" w:rsidRPr="00B52C45" w14:paraId="1DC8AEE9" w14:textId="77777777" w:rsidTr="00F01825">
        <w:tc>
          <w:tcPr>
            <w:tcW w:w="1980" w:type="dxa"/>
          </w:tcPr>
          <w:p w14:paraId="2F923AFE"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T-17</w:t>
            </w:r>
          </w:p>
        </w:tc>
        <w:tc>
          <w:tcPr>
            <w:tcW w:w="7920" w:type="dxa"/>
          </w:tcPr>
          <w:p w14:paraId="17EDEDCE" w14:textId="77777777" w:rsidR="00281F67" w:rsidRDefault="00281F67" w:rsidP="00F01825">
            <w:pPr>
              <w:spacing w:after="120"/>
              <w:jc w:val="both"/>
              <w:rPr>
                <w:rFonts w:cs="Arial"/>
                <w:color w:val="000000"/>
                <w:sz w:val="20"/>
              </w:rPr>
            </w:pPr>
            <w:r>
              <w:rPr>
                <w:rFonts w:cs="Arial"/>
                <w:color w:val="000000"/>
                <w:sz w:val="20"/>
              </w:rPr>
              <w:t xml:space="preserve">Henri SCORY et Jérôme BOUTIN, </w:t>
            </w:r>
            <w:r>
              <w:rPr>
                <w:rFonts w:cs="Arial"/>
                <w:i/>
                <w:iCs/>
                <w:color w:val="000000"/>
                <w:sz w:val="20"/>
              </w:rPr>
              <w:t xml:space="preserve">Rapport d’appréciation des performances des instruments de mesure du bruit utilisés dans le réseau de la CSST, </w:t>
            </w:r>
            <w:r>
              <w:rPr>
                <w:rFonts w:cs="Arial"/>
                <w:color w:val="000000"/>
                <w:sz w:val="20"/>
              </w:rPr>
              <w:t>Montréal, Institut de recherche en santé et en sécurité du travail du Québec, juin 1987.</w:t>
            </w:r>
          </w:p>
        </w:tc>
      </w:tr>
      <w:tr w:rsidR="00281F67" w:rsidRPr="008E72AE" w14:paraId="7410CA78" w14:textId="77777777" w:rsidTr="00F01825">
        <w:tc>
          <w:tcPr>
            <w:tcW w:w="1980" w:type="dxa"/>
          </w:tcPr>
          <w:p w14:paraId="36EAE787" w14:textId="77777777" w:rsidR="00281F67" w:rsidRPr="008E72AE" w:rsidRDefault="00281F67" w:rsidP="00F01825">
            <w:pPr>
              <w:autoSpaceDE w:val="0"/>
              <w:autoSpaceDN w:val="0"/>
              <w:adjustRightInd w:val="0"/>
              <w:spacing w:after="120" w:line="240" w:lineRule="atLeast"/>
              <w:ind w:left="708" w:hanging="708"/>
              <w:jc w:val="both"/>
              <w:rPr>
                <w:rFonts w:cs="Arial"/>
                <w:b/>
                <w:color w:val="000000"/>
                <w:sz w:val="22"/>
                <w:szCs w:val="22"/>
              </w:rPr>
            </w:pPr>
          </w:p>
          <w:p w14:paraId="6CC0F970"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T-18</w:t>
            </w:r>
          </w:p>
        </w:tc>
        <w:tc>
          <w:tcPr>
            <w:tcW w:w="7920" w:type="dxa"/>
          </w:tcPr>
          <w:p w14:paraId="422E1DE5" w14:textId="77777777" w:rsidR="00281F67" w:rsidRPr="008E72AE" w:rsidRDefault="00281F67" w:rsidP="00F01825">
            <w:pPr>
              <w:spacing w:after="120"/>
              <w:jc w:val="both"/>
              <w:rPr>
                <w:rFonts w:cs="Arial"/>
                <w:color w:val="000000"/>
                <w:sz w:val="20"/>
                <w:lang w:val="en-CA"/>
              </w:rPr>
            </w:pPr>
          </w:p>
          <w:p w14:paraId="7E3DBCB8" w14:textId="77777777" w:rsidR="00281F67" w:rsidRPr="008E72AE" w:rsidRDefault="00281F67" w:rsidP="00F01825">
            <w:pPr>
              <w:spacing w:after="120"/>
              <w:jc w:val="both"/>
              <w:rPr>
                <w:rFonts w:cs="Arial"/>
                <w:color w:val="000000"/>
                <w:sz w:val="20"/>
                <w:lang w:val="en-CA"/>
              </w:rPr>
            </w:pPr>
            <w:r w:rsidRPr="008E72AE">
              <w:rPr>
                <w:rFonts w:cs="Arial"/>
                <w:color w:val="000000"/>
                <w:sz w:val="20"/>
                <w:lang w:val="en-CA"/>
              </w:rPr>
              <w:t xml:space="preserve">Patra SRIWATTANATAMMA et Patrick BREYSSE, « Comparison of NIOSH Noise Criteria and OSHA Hearing Conservation Criteria », (2000) 37 </w:t>
            </w:r>
            <w:r w:rsidRPr="008E72AE">
              <w:rPr>
                <w:rFonts w:cs="Arial"/>
                <w:i/>
                <w:iCs/>
                <w:color w:val="000000"/>
                <w:sz w:val="20"/>
                <w:lang w:val="en-CA"/>
              </w:rPr>
              <w:t xml:space="preserve">American Journal of Industrial Medicine, </w:t>
            </w:r>
            <w:r w:rsidRPr="008E72AE">
              <w:rPr>
                <w:rFonts w:cs="Arial"/>
                <w:color w:val="000000"/>
                <w:sz w:val="20"/>
                <w:lang w:val="en-CA"/>
              </w:rPr>
              <w:t>pp. 334-338.</w:t>
            </w:r>
          </w:p>
          <w:p w14:paraId="217DD994" w14:textId="77777777" w:rsidR="00281F67" w:rsidRPr="008E72AE" w:rsidRDefault="00281F67" w:rsidP="00F01825">
            <w:pPr>
              <w:spacing w:after="120"/>
              <w:jc w:val="both"/>
              <w:rPr>
                <w:rFonts w:cs="Arial"/>
                <w:color w:val="000000"/>
                <w:sz w:val="20"/>
                <w:lang w:val="en-CA"/>
              </w:rPr>
            </w:pPr>
          </w:p>
        </w:tc>
      </w:tr>
      <w:tr w:rsidR="00281F67" w:rsidRPr="00B52C45" w14:paraId="4077D18F" w14:textId="77777777" w:rsidTr="00F01825">
        <w:tc>
          <w:tcPr>
            <w:tcW w:w="1980" w:type="dxa"/>
          </w:tcPr>
          <w:p w14:paraId="43345747"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lastRenderedPageBreak/>
              <w:t>T-19</w:t>
            </w:r>
          </w:p>
        </w:tc>
        <w:tc>
          <w:tcPr>
            <w:tcW w:w="7920" w:type="dxa"/>
          </w:tcPr>
          <w:p w14:paraId="4A051808" w14:textId="77777777" w:rsidR="00281F67" w:rsidRDefault="00281F67" w:rsidP="00F01825">
            <w:pPr>
              <w:spacing w:after="120"/>
              <w:jc w:val="both"/>
              <w:rPr>
                <w:rFonts w:cs="Arial"/>
                <w:color w:val="000000"/>
                <w:sz w:val="20"/>
              </w:rPr>
            </w:pPr>
            <w:r>
              <w:rPr>
                <w:rFonts w:cs="Arial"/>
                <w:color w:val="000000"/>
                <w:sz w:val="20"/>
              </w:rPr>
              <w:t xml:space="preserve">Tableau synthèse des niveaux de bruit mesurés par dosimétrie – Rapport de Hrair Torikian juillet 2014, préparé par M. Tony Leroux, </w:t>
            </w:r>
            <w:proofErr w:type="spellStart"/>
            <w:r>
              <w:rPr>
                <w:rFonts w:cs="Arial"/>
                <w:color w:val="000000"/>
                <w:sz w:val="20"/>
              </w:rPr>
              <w:t>Ph.D</w:t>
            </w:r>
            <w:proofErr w:type="spellEnd"/>
            <w:r>
              <w:rPr>
                <w:rFonts w:cs="Arial"/>
                <w:color w:val="000000"/>
                <w:sz w:val="20"/>
              </w:rPr>
              <w:t>., audiologiste, 2015-02-17.</w:t>
            </w:r>
          </w:p>
        </w:tc>
      </w:tr>
      <w:tr w:rsidR="00281F67" w:rsidRPr="00B52C45" w14:paraId="7B9FDE00" w14:textId="77777777" w:rsidTr="00F01825">
        <w:tc>
          <w:tcPr>
            <w:tcW w:w="1980" w:type="dxa"/>
          </w:tcPr>
          <w:p w14:paraId="4FAF2EF1"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T-20</w:t>
            </w:r>
          </w:p>
        </w:tc>
        <w:tc>
          <w:tcPr>
            <w:tcW w:w="7920" w:type="dxa"/>
          </w:tcPr>
          <w:p w14:paraId="0EA8C525" w14:textId="77777777" w:rsidR="00281F67" w:rsidRDefault="00281F67" w:rsidP="00F01825">
            <w:pPr>
              <w:spacing w:after="120"/>
              <w:jc w:val="both"/>
              <w:rPr>
                <w:rFonts w:cs="Arial"/>
                <w:color w:val="000000"/>
                <w:sz w:val="20"/>
              </w:rPr>
            </w:pPr>
            <w:r>
              <w:rPr>
                <w:rFonts w:cs="Arial"/>
                <w:color w:val="000000"/>
                <w:sz w:val="20"/>
              </w:rPr>
              <w:t xml:space="preserve">Tableau 1 – Sommaire de la durée et du niveau d’exposition au bruit par poste de travail, préparé par M. Tony Leroux, </w:t>
            </w:r>
            <w:proofErr w:type="spellStart"/>
            <w:r>
              <w:rPr>
                <w:rFonts w:cs="Arial"/>
                <w:color w:val="000000"/>
                <w:sz w:val="20"/>
              </w:rPr>
              <w:t>Ph.D</w:t>
            </w:r>
            <w:proofErr w:type="spellEnd"/>
            <w:r>
              <w:rPr>
                <w:rFonts w:cs="Arial"/>
                <w:color w:val="000000"/>
                <w:sz w:val="20"/>
              </w:rPr>
              <w:t>., audiologiste, 2015-03-13. Correction au tableau.</w:t>
            </w:r>
          </w:p>
        </w:tc>
      </w:tr>
      <w:tr w:rsidR="00281F67" w:rsidRPr="00B52C45" w14:paraId="6977C94F" w14:textId="77777777" w:rsidTr="00F01825">
        <w:tc>
          <w:tcPr>
            <w:tcW w:w="1980" w:type="dxa"/>
          </w:tcPr>
          <w:p w14:paraId="3F14A3BB"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T-21</w:t>
            </w:r>
          </w:p>
        </w:tc>
        <w:tc>
          <w:tcPr>
            <w:tcW w:w="7920" w:type="dxa"/>
          </w:tcPr>
          <w:p w14:paraId="15DA0ED5" w14:textId="77777777" w:rsidR="00281F67" w:rsidRDefault="00281F67" w:rsidP="00F01825">
            <w:pPr>
              <w:spacing w:after="120"/>
              <w:jc w:val="both"/>
              <w:rPr>
                <w:rFonts w:cs="Arial"/>
                <w:color w:val="000000"/>
                <w:sz w:val="20"/>
              </w:rPr>
            </w:pPr>
            <w:r>
              <w:rPr>
                <w:rFonts w:cs="Arial"/>
                <w:color w:val="000000"/>
                <w:sz w:val="20"/>
              </w:rPr>
              <w:t>Tableau de calcul de doses selon étude de l’ingénieur.</w:t>
            </w:r>
          </w:p>
        </w:tc>
      </w:tr>
      <w:tr w:rsidR="00281F67" w:rsidRPr="008E72AE" w14:paraId="43B1633C" w14:textId="77777777" w:rsidTr="00F01825">
        <w:tc>
          <w:tcPr>
            <w:tcW w:w="1980" w:type="dxa"/>
          </w:tcPr>
          <w:p w14:paraId="3372C3E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T-22</w:t>
            </w:r>
          </w:p>
        </w:tc>
        <w:tc>
          <w:tcPr>
            <w:tcW w:w="7920" w:type="dxa"/>
          </w:tcPr>
          <w:p w14:paraId="54D327F9" w14:textId="77777777" w:rsidR="00281F67" w:rsidRPr="008E72AE" w:rsidRDefault="00281F67" w:rsidP="00050A4F">
            <w:pPr>
              <w:spacing w:after="120"/>
              <w:jc w:val="both"/>
              <w:rPr>
                <w:rFonts w:cs="Arial"/>
                <w:color w:val="000000"/>
                <w:sz w:val="20"/>
                <w:lang w:val="en-CA"/>
              </w:rPr>
            </w:pPr>
            <w:r w:rsidRPr="008E72AE">
              <w:rPr>
                <w:rFonts w:cs="Arial"/>
                <w:color w:val="000000"/>
                <w:sz w:val="20"/>
                <w:lang w:val="en-CA"/>
              </w:rPr>
              <w:t xml:space="preserve">« Guideline Values », dans Birgitta BERGLUND, Thomas LINDVALL et Dietrich H. SCHWELA (dir.), </w:t>
            </w:r>
            <w:r w:rsidRPr="008E72AE">
              <w:rPr>
                <w:rFonts w:cs="Arial"/>
                <w:i/>
                <w:iCs/>
                <w:color w:val="000000"/>
                <w:sz w:val="20"/>
                <w:lang w:val="en-CA"/>
              </w:rPr>
              <w:t xml:space="preserve">Guidelines for Community </w:t>
            </w:r>
            <w:proofErr w:type="spellStart"/>
            <w:proofErr w:type="gramStart"/>
            <w:r w:rsidRPr="008E72AE">
              <w:rPr>
                <w:rFonts w:cs="Arial"/>
                <w:i/>
                <w:iCs/>
                <w:color w:val="000000"/>
                <w:sz w:val="20"/>
                <w:lang w:val="en-CA"/>
              </w:rPr>
              <w:t>Noise,</w:t>
            </w:r>
            <w:r w:rsidRPr="008E72AE">
              <w:rPr>
                <w:rFonts w:cs="Arial"/>
                <w:color w:val="000000"/>
                <w:sz w:val="20"/>
                <w:lang w:val="en-CA"/>
              </w:rPr>
              <w:t>Geneva</w:t>
            </w:r>
            <w:proofErr w:type="spellEnd"/>
            <w:proofErr w:type="gramEnd"/>
            <w:r w:rsidRPr="008E72AE">
              <w:rPr>
                <w:rFonts w:cs="Arial"/>
                <w:color w:val="000000"/>
                <w:sz w:val="20"/>
                <w:lang w:val="en-CA"/>
              </w:rPr>
              <w:t>, World Health Organization</w:t>
            </w:r>
            <w:r w:rsidRPr="008E72AE">
              <w:rPr>
                <w:rFonts w:cs="Arial"/>
                <w:i/>
                <w:iCs/>
                <w:color w:val="000000"/>
                <w:sz w:val="20"/>
                <w:lang w:val="en-CA"/>
              </w:rPr>
              <w:t>,</w:t>
            </w:r>
            <w:r w:rsidRPr="008E72AE">
              <w:rPr>
                <w:rFonts w:cs="Arial"/>
                <w:color w:val="000000"/>
                <w:sz w:val="20"/>
                <w:lang w:val="en-CA"/>
              </w:rPr>
              <w:t>1999, pp. 55-65.</w:t>
            </w:r>
          </w:p>
        </w:tc>
      </w:tr>
      <w:tr w:rsidR="00281F67" w:rsidRPr="00B52C45" w14:paraId="765D8BCC" w14:textId="77777777" w:rsidTr="00F01825">
        <w:tc>
          <w:tcPr>
            <w:tcW w:w="1980" w:type="dxa"/>
          </w:tcPr>
          <w:p w14:paraId="0738BE3B"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T-23</w:t>
            </w:r>
          </w:p>
        </w:tc>
        <w:tc>
          <w:tcPr>
            <w:tcW w:w="7920" w:type="dxa"/>
          </w:tcPr>
          <w:p w14:paraId="26E69136" w14:textId="77777777" w:rsidR="00281F67" w:rsidRDefault="00281F67" w:rsidP="00F01825">
            <w:pPr>
              <w:spacing w:after="120"/>
              <w:jc w:val="both"/>
              <w:rPr>
                <w:rFonts w:cs="Arial"/>
                <w:color w:val="000000"/>
                <w:sz w:val="20"/>
              </w:rPr>
            </w:pPr>
            <w:r>
              <w:rPr>
                <w:rFonts w:cs="Arial"/>
                <w:color w:val="000000"/>
                <w:sz w:val="20"/>
              </w:rPr>
              <w:t xml:space="preserve">Analyse de la perte auditive, préparé par M. Tony Leroux, </w:t>
            </w:r>
            <w:proofErr w:type="spellStart"/>
            <w:r>
              <w:rPr>
                <w:rFonts w:cs="Arial"/>
                <w:color w:val="000000"/>
                <w:sz w:val="20"/>
              </w:rPr>
              <w:t>Ph.D</w:t>
            </w:r>
            <w:proofErr w:type="spellEnd"/>
            <w:r>
              <w:rPr>
                <w:rFonts w:cs="Arial"/>
                <w:color w:val="000000"/>
                <w:sz w:val="20"/>
              </w:rPr>
              <w:t>., audiologiste, 2015-03-13.</w:t>
            </w:r>
          </w:p>
        </w:tc>
      </w:tr>
      <w:tr w:rsidR="00281F67" w:rsidRPr="00B52C45" w14:paraId="2B049958" w14:textId="77777777" w:rsidTr="00F01825">
        <w:tc>
          <w:tcPr>
            <w:tcW w:w="1980" w:type="dxa"/>
          </w:tcPr>
          <w:p w14:paraId="7DC90060"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T-24</w:t>
            </w:r>
          </w:p>
        </w:tc>
        <w:tc>
          <w:tcPr>
            <w:tcW w:w="7920" w:type="dxa"/>
          </w:tcPr>
          <w:p w14:paraId="2320590A" w14:textId="77777777" w:rsidR="00281F67" w:rsidRDefault="00281F67" w:rsidP="00050A4F">
            <w:pPr>
              <w:keepNext/>
              <w:keepLines/>
              <w:autoSpaceDE w:val="0"/>
              <w:autoSpaceDN w:val="0"/>
              <w:adjustRightInd w:val="0"/>
              <w:spacing w:after="120"/>
              <w:ind w:left="17"/>
              <w:jc w:val="both"/>
              <w:rPr>
                <w:rFonts w:cs="Arial"/>
                <w:color w:val="000000"/>
                <w:sz w:val="20"/>
              </w:rPr>
            </w:pPr>
            <w:r>
              <w:rPr>
                <w:rFonts w:cs="Arial"/>
                <w:color w:val="000000"/>
                <w:sz w:val="20"/>
              </w:rPr>
              <w:t xml:space="preserve">Raymond Hétu, « La réadaptation et la perte auditive due au bruit », dans Jeanne Mager STELLMAN </w:t>
            </w:r>
            <w:r>
              <w:rPr>
                <w:rFonts w:cs="Arial"/>
                <w:i/>
                <w:iCs/>
                <w:color w:val="000000"/>
                <w:sz w:val="20"/>
              </w:rPr>
              <w:t xml:space="preserve">Encyclopédie de sécurité et de santé au travail, Chapitre 17 - Le handicap et le </w:t>
            </w:r>
            <w:proofErr w:type="spellStart"/>
            <w:proofErr w:type="gramStart"/>
            <w:r>
              <w:rPr>
                <w:rFonts w:cs="Arial"/>
                <w:i/>
                <w:iCs/>
                <w:color w:val="000000"/>
                <w:sz w:val="20"/>
              </w:rPr>
              <w:t>travail,</w:t>
            </w:r>
            <w:r>
              <w:rPr>
                <w:rFonts w:cs="Arial"/>
                <w:color w:val="000000"/>
                <w:sz w:val="20"/>
              </w:rPr>
              <w:t>vol</w:t>
            </w:r>
            <w:proofErr w:type="spellEnd"/>
            <w:r>
              <w:rPr>
                <w:rFonts w:cs="Arial"/>
                <w:color w:val="000000"/>
                <w:sz w:val="20"/>
              </w:rPr>
              <w:t>.</w:t>
            </w:r>
            <w:proofErr w:type="gramEnd"/>
            <w:r>
              <w:rPr>
                <w:rFonts w:cs="Arial"/>
                <w:color w:val="000000"/>
                <w:sz w:val="20"/>
              </w:rPr>
              <w:t xml:space="preserve"> 1, partie III. Gestion et politiques, Genève, Bureau international du travail, 2004, [En ligne], &lt;http://www.ilocis.org/fr/documents/ilo017.htm&gt; (Date de consultation inconnue).</w:t>
            </w:r>
          </w:p>
        </w:tc>
      </w:tr>
      <w:tr w:rsidR="00281F67" w:rsidRPr="00B52C45" w14:paraId="2D3DD2C9" w14:textId="77777777" w:rsidTr="00F01825">
        <w:tc>
          <w:tcPr>
            <w:tcW w:w="1980" w:type="dxa"/>
          </w:tcPr>
          <w:p w14:paraId="6A7B8E19"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T-25</w:t>
            </w:r>
          </w:p>
        </w:tc>
        <w:tc>
          <w:tcPr>
            <w:tcW w:w="7920" w:type="dxa"/>
          </w:tcPr>
          <w:p w14:paraId="210739B7" w14:textId="77777777" w:rsidR="00281F67" w:rsidRDefault="00281F67" w:rsidP="00050A4F">
            <w:pPr>
              <w:spacing w:after="120"/>
              <w:jc w:val="both"/>
              <w:rPr>
                <w:rFonts w:cs="Arial"/>
                <w:color w:val="000000"/>
                <w:sz w:val="20"/>
              </w:rPr>
            </w:pPr>
            <w:r>
              <w:rPr>
                <w:rFonts w:cs="Arial"/>
                <w:color w:val="000000"/>
                <w:sz w:val="20"/>
              </w:rPr>
              <w:t xml:space="preserve">Chantal LAROCHE et R. HÉTU, « Exposition aux bruits impulsionnelles en milieux de travail : la protection assurée par les dispositions règlementaires est-elle suffisante? », (1990) 51 </w:t>
            </w:r>
            <w:r>
              <w:rPr>
                <w:rFonts w:cs="Arial"/>
                <w:i/>
                <w:iCs/>
                <w:color w:val="000000"/>
                <w:sz w:val="20"/>
              </w:rPr>
              <w:t xml:space="preserve">Journal de physique Colloques, </w:t>
            </w:r>
            <w:r>
              <w:rPr>
                <w:rFonts w:cs="Arial"/>
                <w:color w:val="000000"/>
                <w:sz w:val="20"/>
              </w:rPr>
              <w:t>pp. C2-147-C2-150.</w:t>
            </w:r>
          </w:p>
        </w:tc>
      </w:tr>
      <w:tr w:rsidR="00281F67" w:rsidRPr="005A73CE" w14:paraId="290BB682" w14:textId="77777777" w:rsidTr="00F01825">
        <w:tc>
          <w:tcPr>
            <w:tcW w:w="1980" w:type="dxa"/>
          </w:tcPr>
          <w:p w14:paraId="37CC306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T-26</w:t>
            </w:r>
          </w:p>
        </w:tc>
        <w:tc>
          <w:tcPr>
            <w:tcW w:w="7920" w:type="dxa"/>
          </w:tcPr>
          <w:p w14:paraId="2F6AA369" w14:textId="77777777" w:rsidR="00281F67" w:rsidRPr="005A73CE" w:rsidRDefault="00281F67" w:rsidP="00F01825">
            <w:pPr>
              <w:spacing w:after="120"/>
              <w:jc w:val="both"/>
              <w:rPr>
                <w:rFonts w:cs="Arial"/>
                <w:color w:val="000000"/>
                <w:sz w:val="20"/>
                <w:lang w:val="en-CA"/>
              </w:rPr>
            </w:pPr>
            <w:r w:rsidRPr="005A73CE">
              <w:rPr>
                <w:rFonts w:cs="Arial"/>
                <w:color w:val="000000"/>
                <w:sz w:val="20"/>
                <w:lang w:val="en-CA"/>
              </w:rPr>
              <w:t xml:space="preserve">R.P. HAMERNIK </w:t>
            </w:r>
            <w:proofErr w:type="gramStart"/>
            <w:r w:rsidRPr="005A73CE">
              <w:rPr>
                <w:rFonts w:cs="Arial"/>
                <w:i/>
                <w:iCs/>
                <w:color w:val="000000"/>
                <w:sz w:val="20"/>
                <w:lang w:val="en-CA"/>
              </w:rPr>
              <w:t>et al.,</w:t>
            </w:r>
            <w:r w:rsidRPr="005A73CE">
              <w:rPr>
                <w:rFonts w:cs="Arial"/>
                <w:color w:val="000000"/>
                <w:sz w:val="20"/>
                <w:lang w:val="en-CA"/>
              </w:rPr>
              <w:t>«</w:t>
            </w:r>
            <w:proofErr w:type="gramEnd"/>
            <w:r w:rsidRPr="005A73CE">
              <w:rPr>
                <w:rFonts w:cs="Arial"/>
                <w:color w:val="000000"/>
                <w:sz w:val="20"/>
                <w:lang w:val="en-CA"/>
              </w:rPr>
              <w:t xml:space="preserve"> Interaction of Continuous and Impulse </w:t>
            </w:r>
            <w:proofErr w:type="gramStart"/>
            <w:r w:rsidRPr="005A73CE">
              <w:rPr>
                <w:rFonts w:cs="Arial"/>
                <w:color w:val="000000"/>
                <w:sz w:val="20"/>
                <w:lang w:val="en-CA"/>
              </w:rPr>
              <w:t>Noise :</w:t>
            </w:r>
            <w:proofErr w:type="gramEnd"/>
            <w:r w:rsidRPr="005A73CE">
              <w:rPr>
                <w:rFonts w:cs="Arial"/>
                <w:color w:val="000000"/>
                <w:sz w:val="20"/>
                <w:lang w:val="en-CA"/>
              </w:rPr>
              <w:t xml:space="preserve"> Audiometric and Histological Effects », (1974) 55 </w:t>
            </w:r>
            <w:r w:rsidRPr="005A73CE">
              <w:rPr>
                <w:rFonts w:cs="Arial"/>
                <w:i/>
                <w:iCs/>
                <w:color w:val="000000"/>
                <w:sz w:val="20"/>
                <w:lang w:val="en-CA"/>
              </w:rPr>
              <w:t xml:space="preserve">Journal of the Acoustical Society of </w:t>
            </w:r>
            <w:proofErr w:type="spellStart"/>
            <w:proofErr w:type="gramStart"/>
            <w:r w:rsidRPr="005A73CE">
              <w:rPr>
                <w:rFonts w:cs="Arial"/>
                <w:i/>
                <w:iCs/>
                <w:color w:val="000000"/>
                <w:sz w:val="20"/>
                <w:lang w:val="en-CA"/>
              </w:rPr>
              <w:t>America,</w:t>
            </w:r>
            <w:r w:rsidRPr="005A73CE">
              <w:rPr>
                <w:rFonts w:cs="Arial"/>
                <w:color w:val="000000"/>
                <w:sz w:val="20"/>
                <w:lang w:val="en-CA"/>
              </w:rPr>
              <w:t>pp</w:t>
            </w:r>
            <w:proofErr w:type="spellEnd"/>
            <w:r w:rsidRPr="005A73CE">
              <w:rPr>
                <w:rFonts w:cs="Arial"/>
                <w:color w:val="000000"/>
                <w:sz w:val="20"/>
                <w:lang w:val="en-CA"/>
              </w:rPr>
              <w:t>.</w:t>
            </w:r>
            <w:proofErr w:type="gramEnd"/>
            <w:r w:rsidRPr="005A73CE">
              <w:rPr>
                <w:rFonts w:cs="Arial"/>
                <w:color w:val="000000"/>
                <w:sz w:val="20"/>
                <w:lang w:val="en-CA"/>
              </w:rPr>
              <w:t xml:space="preserve"> 117-121.</w:t>
            </w:r>
          </w:p>
        </w:tc>
      </w:tr>
      <w:tr w:rsidR="00281F67" w:rsidRPr="005A73CE" w14:paraId="41D31FB1" w14:textId="77777777" w:rsidTr="00F01825">
        <w:tc>
          <w:tcPr>
            <w:tcW w:w="1980" w:type="dxa"/>
          </w:tcPr>
          <w:p w14:paraId="41655804"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T-27</w:t>
            </w:r>
          </w:p>
        </w:tc>
        <w:tc>
          <w:tcPr>
            <w:tcW w:w="7920" w:type="dxa"/>
          </w:tcPr>
          <w:p w14:paraId="67EE7388" w14:textId="77777777" w:rsidR="00281F67" w:rsidRPr="005A73CE" w:rsidRDefault="00281F67" w:rsidP="00050A4F">
            <w:pPr>
              <w:keepNext/>
              <w:keepLines/>
              <w:autoSpaceDE w:val="0"/>
              <w:autoSpaceDN w:val="0"/>
              <w:adjustRightInd w:val="0"/>
              <w:spacing w:after="120"/>
              <w:ind w:left="17"/>
              <w:rPr>
                <w:rFonts w:cs="Arial"/>
                <w:color w:val="000000"/>
                <w:sz w:val="20"/>
                <w:lang w:val="en-CA"/>
              </w:rPr>
            </w:pPr>
            <w:r w:rsidRPr="005A73CE">
              <w:rPr>
                <w:rFonts w:cs="Arial"/>
                <w:color w:val="000000"/>
                <w:sz w:val="20"/>
                <w:lang w:val="en-CA"/>
              </w:rPr>
              <w:t xml:space="preserve">« Driver, Sales Route (Food Products) », (Last Update 15 November 2000) dans International Labour Organization, </w:t>
            </w:r>
            <w:r w:rsidRPr="005A73CE">
              <w:rPr>
                <w:rFonts w:cs="Arial"/>
                <w:i/>
                <w:iCs/>
                <w:color w:val="000000"/>
                <w:sz w:val="20"/>
                <w:lang w:val="en-CA"/>
              </w:rPr>
              <w:t xml:space="preserve">International Hazard Datasheets on Occupation, </w:t>
            </w:r>
            <w:r w:rsidRPr="005A73CE">
              <w:rPr>
                <w:rFonts w:cs="Arial"/>
                <w:color w:val="000000"/>
                <w:sz w:val="20"/>
                <w:lang w:val="en-CA"/>
              </w:rPr>
              <w:t xml:space="preserve">[En </w:t>
            </w:r>
            <w:proofErr w:type="spellStart"/>
            <w:r w:rsidRPr="005A73CE">
              <w:rPr>
                <w:rFonts w:cs="Arial"/>
                <w:color w:val="000000"/>
                <w:sz w:val="20"/>
                <w:lang w:val="en-CA"/>
              </w:rPr>
              <w:t>ligne</w:t>
            </w:r>
            <w:proofErr w:type="spellEnd"/>
            <w:r w:rsidRPr="005A73CE">
              <w:rPr>
                <w:rFonts w:cs="Arial"/>
                <w:color w:val="000000"/>
                <w:sz w:val="20"/>
                <w:lang w:val="en-CA"/>
              </w:rPr>
              <w:t>], &lt;http://www.ilo.org/wcmsp5/groups/public/</w:t>
            </w:r>
            <w:r w:rsidR="00CB6A73" w:rsidRPr="005A73CE">
              <w:rPr>
                <w:rFonts w:cs="Arial"/>
                <w:color w:val="000000"/>
                <w:sz w:val="20"/>
                <w:lang w:val="en-CA"/>
              </w:rPr>
              <w:t>—</w:t>
            </w:r>
            <w:r w:rsidRPr="005A73CE">
              <w:rPr>
                <w:rFonts w:cs="Arial"/>
                <w:color w:val="000000"/>
                <w:sz w:val="20"/>
                <w:lang w:val="en-CA"/>
              </w:rPr>
              <w:t>-ed_protect/</w:t>
            </w:r>
            <w:r w:rsidR="00CB6A73" w:rsidRPr="005A73CE">
              <w:rPr>
                <w:rFonts w:cs="Arial"/>
                <w:color w:val="000000"/>
                <w:sz w:val="20"/>
                <w:lang w:val="en-CA"/>
              </w:rPr>
              <w:t>—</w:t>
            </w:r>
            <w:r w:rsidRPr="005A73CE">
              <w:rPr>
                <w:rFonts w:cs="Arial"/>
                <w:color w:val="000000"/>
                <w:sz w:val="20"/>
                <w:lang w:val="en-CA"/>
              </w:rPr>
              <w:t>-protrav/</w:t>
            </w:r>
            <w:r w:rsidR="00CB6A73" w:rsidRPr="005A73CE">
              <w:rPr>
                <w:rFonts w:cs="Arial"/>
                <w:color w:val="000000"/>
                <w:sz w:val="20"/>
                <w:lang w:val="en-CA"/>
              </w:rPr>
              <w:t>—</w:t>
            </w:r>
            <w:r w:rsidRPr="005A73CE">
              <w:rPr>
                <w:rFonts w:cs="Arial"/>
                <w:color w:val="000000"/>
                <w:sz w:val="20"/>
                <w:lang w:val="en-CA"/>
              </w:rPr>
              <w:t>-safework/documents/publication/wcms_186151.pdf&gt; (Date de consultation inconnue).</w:t>
            </w:r>
          </w:p>
        </w:tc>
      </w:tr>
      <w:tr w:rsidR="00281F67" w:rsidRPr="005A73CE" w14:paraId="57219E84" w14:textId="77777777" w:rsidTr="00F01825">
        <w:tc>
          <w:tcPr>
            <w:tcW w:w="1980" w:type="dxa"/>
          </w:tcPr>
          <w:p w14:paraId="5B73A9BB"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T-28</w:t>
            </w:r>
          </w:p>
        </w:tc>
        <w:tc>
          <w:tcPr>
            <w:tcW w:w="7920" w:type="dxa"/>
          </w:tcPr>
          <w:p w14:paraId="7F43625E" w14:textId="77777777" w:rsidR="00281F67" w:rsidRPr="005A73CE" w:rsidRDefault="00281F67" w:rsidP="00050A4F">
            <w:pPr>
              <w:keepNext/>
              <w:keepLines/>
              <w:autoSpaceDE w:val="0"/>
              <w:autoSpaceDN w:val="0"/>
              <w:adjustRightInd w:val="0"/>
              <w:spacing w:after="120"/>
              <w:ind w:left="17"/>
              <w:rPr>
                <w:rFonts w:cs="Arial"/>
                <w:color w:val="000000"/>
                <w:sz w:val="20"/>
                <w:lang w:val="en-CA"/>
              </w:rPr>
            </w:pPr>
            <w:r w:rsidRPr="005A73CE">
              <w:rPr>
                <w:rFonts w:cs="Arial"/>
                <w:color w:val="000000"/>
                <w:sz w:val="20"/>
                <w:lang w:val="en-CA"/>
              </w:rPr>
              <w:t xml:space="preserve">E. SCHNEIDER et EUROPEAN AGENCY FOR SAFETY AND HEALTH AT WORK, </w:t>
            </w:r>
            <w:r w:rsidRPr="005A73CE">
              <w:rPr>
                <w:rFonts w:cs="Arial"/>
                <w:i/>
                <w:iCs/>
                <w:color w:val="000000"/>
                <w:sz w:val="20"/>
                <w:lang w:val="en-CA"/>
              </w:rPr>
              <w:t xml:space="preserve">OSH in </w:t>
            </w:r>
            <w:proofErr w:type="gramStart"/>
            <w:r w:rsidRPr="005A73CE">
              <w:rPr>
                <w:rFonts w:cs="Arial"/>
                <w:i/>
                <w:iCs/>
                <w:color w:val="000000"/>
                <w:sz w:val="20"/>
                <w:lang w:val="en-CA"/>
              </w:rPr>
              <w:t>Figures :</w:t>
            </w:r>
            <w:proofErr w:type="gramEnd"/>
            <w:r w:rsidRPr="005A73CE">
              <w:rPr>
                <w:rFonts w:cs="Arial"/>
                <w:i/>
                <w:iCs/>
                <w:color w:val="000000"/>
                <w:sz w:val="20"/>
                <w:lang w:val="en-CA"/>
              </w:rPr>
              <w:t xml:space="preserve"> Occupational Safety and Health in the Transport Sector - An </w:t>
            </w:r>
            <w:proofErr w:type="spellStart"/>
            <w:proofErr w:type="gramStart"/>
            <w:r w:rsidRPr="005A73CE">
              <w:rPr>
                <w:rFonts w:cs="Arial"/>
                <w:i/>
                <w:iCs/>
                <w:color w:val="000000"/>
                <w:sz w:val="20"/>
                <w:lang w:val="en-CA"/>
              </w:rPr>
              <w:t>Overview,</w:t>
            </w:r>
            <w:r w:rsidRPr="005A73CE">
              <w:rPr>
                <w:rFonts w:cs="Arial"/>
                <w:color w:val="000000"/>
                <w:sz w:val="20"/>
                <w:lang w:val="en-CA"/>
              </w:rPr>
              <w:t>European</w:t>
            </w:r>
            <w:proofErr w:type="spellEnd"/>
            <w:proofErr w:type="gramEnd"/>
            <w:r w:rsidRPr="005A73CE">
              <w:rPr>
                <w:rFonts w:cs="Arial"/>
                <w:color w:val="000000"/>
                <w:sz w:val="20"/>
                <w:lang w:val="en-CA"/>
              </w:rPr>
              <w:t xml:space="preserve"> Risk Observatory Report / </w:t>
            </w:r>
            <w:proofErr w:type="spellStart"/>
            <w:r w:rsidRPr="005A73CE">
              <w:rPr>
                <w:rFonts w:cs="Arial"/>
                <w:color w:val="000000"/>
                <w:sz w:val="20"/>
                <w:lang w:val="en-CA"/>
              </w:rPr>
              <w:t>EASHWLuxembourg</w:t>
            </w:r>
            <w:proofErr w:type="spellEnd"/>
            <w:r w:rsidRPr="005A73CE">
              <w:rPr>
                <w:rFonts w:cs="Arial"/>
                <w:color w:val="000000"/>
                <w:sz w:val="20"/>
                <w:lang w:val="en-CA"/>
              </w:rPr>
              <w:t xml:space="preserve">, Publications Office of the European Union, 2011, [En </w:t>
            </w:r>
            <w:proofErr w:type="spellStart"/>
            <w:r w:rsidRPr="005A73CE">
              <w:rPr>
                <w:rFonts w:cs="Arial"/>
                <w:color w:val="000000"/>
                <w:sz w:val="20"/>
                <w:lang w:val="en-CA"/>
              </w:rPr>
              <w:t>ligne</w:t>
            </w:r>
            <w:proofErr w:type="spellEnd"/>
            <w:r w:rsidRPr="005A73CE">
              <w:rPr>
                <w:rFonts w:cs="Arial"/>
                <w:color w:val="000000"/>
                <w:sz w:val="20"/>
                <w:lang w:val="en-CA"/>
              </w:rPr>
              <w:t>], &lt;https://osha.europa.eu/en/tools-and-publications/publications/reports/transport-sector_TERO10001ENC&gt; (Date de consultation inconnue).</w:t>
            </w:r>
          </w:p>
        </w:tc>
      </w:tr>
      <w:tr w:rsidR="00281F67" w:rsidRPr="005A73CE" w14:paraId="4B1DD6FD" w14:textId="77777777" w:rsidTr="00F01825">
        <w:tc>
          <w:tcPr>
            <w:tcW w:w="1980" w:type="dxa"/>
          </w:tcPr>
          <w:p w14:paraId="3FCB1D39"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T-29</w:t>
            </w:r>
          </w:p>
        </w:tc>
        <w:tc>
          <w:tcPr>
            <w:tcW w:w="7920" w:type="dxa"/>
          </w:tcPr>
          <w:p w14:paraId="6E2CE36E" w14:textId="77777777" w:rsidR="00281F67" w:rsidRPr="005A73CE" w:rsidRDefault="00281F67" w:rsidP="00F01825">
            <w:pPr>
              <w:spacing w:after="120"/>
              <w:jc w:val="both"/>
              <w:rPr>
                <w:rFonts w:cs="Arial"/>
                <w:color w:val="000000"/>
                <w:sz w:val="20"/>
                <w:lang w:val="en-CA"/>
              </w:rPr>
            </w:pPr>
            <w:proofErr w:type="spellStart"/>
            <w:r w:rsidRPr="005A73CE">
              <w:rPr>
                <w:rFonts w:cs="Arial"/>
                <w:color w:val="000000"/>
                <w:sz w:val="20"/>
                <w:lang w:val="en-CA"/>
              </w:rPr>
              <w:t>Yorghos</w:t>
            </w:r>
            <w:proofErr w:type="spellEnd"/>
            <w:r w:rsidRPr="005A73CE">
              <w:rPr>
                <w:rFonts w:cs="Arial"/>
                <w:color w:val="000000"/>
                <w:sz w:val="20"/>
                <w:lang w:val="en-CA"/>
              </w:rPr>
              <w:t xml:space="preserve"> APOSTOLOPOULOS </w:t>
            </w:r>
            <w:r w:rsidRPr="005A73CE">
              <w:rPr>
                <w:rFonts w:cs="Arial"/>
                <w:i/>
                <w:color w:val="000000"/>
                <w:sz w:val="20"/>
                <w:lang w:val="en-CA"/>
              </w:rPr>
              <w:t>et al.</w:t>
            </w:r>
            <w:r w:rsidRPr="005A73CE">
              <w:rPr>
                <w:rFonts w:cs="Arial"/>
                <w:color w:val="000000"/>
                <w:sz w:val="20"/>
                <w:lang w:val="en-CA"/>
              </w:rPr>
              <w:t xml:space="preserve">, « Worksite-Induced Morbidities Among Truck Drivers in the United States », (2010) 58 </w:t>
            </w:r>
            <w:r w:rsidRPr="005A73CE">
              <w:rPr>
                <w:rFonts w:cs="Arial"/>
                <w:i/>
                <w:iCs/>
                <w:color w:val="000000"/>
                <w:sz w:val="20"/>
                <w:lang w:val="en-CA"/>
              </w:rPr>
              <w:t xml:space="preserve">AAOHN Journal, </w:t>
            </w:r>
            <w:r w:rsidRPr="005A73CE">
              <w:rPr>
                <w:rFonts w:cs="Arial"/>
                <w:color w:val="000000"/>
                <w:sz w:val="20"/>
                <w:lang w:val="en-CA"/>
              </w:rPr>
              <w:t>pp. 285-296.</w:t>
            </w:r>
          </w:p>
        </w:tc>
      </w:tr>
      <w:tr w:rsidR="00281F67" w:rsidRPr="00B52C45" w14:paraId="2D8A6913" w14:textId="77777777" w:rsidTr="00F01825">
        <w:tc>
          <w:tcPr>
            <w:tcW w:w="1980" w:type="dxa"/>
          </w:tcPr>
          <w:p w14:paraId="52CD94A1"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T-30</w:t>
            </w:r>
          </w:p>
        </w:tc>
        <w:tc>
          <w:tcPr>
            <w:tcW w:w="7920" w:type="dxa"/>
          </w:tcPr>
          <w:p w14:paraId="33CBD3D5" w14:textId="77777777" w:rsidR="00281F67" w:rsidRDefault="00281F67" w:rsidP="00F01825">
            <w:pPr>
              <w:spacing w:after="120"/>
              <w:jc w:val="both"/>
              <w:rPr>
                <w:rFonts w:cs="Arial"/>
                <w:color w:val="000000"/>
                <w:sz w:val="20"/>
              </w:rPr>
            </w:pPr>
            <w:r>
              <w:rPr>
                <w:rFonts w:cs="Arial"/>
                <w:color w:val="000000"/>
                <w:sz w:val="20"/>
              </w:rPr>
              <w:t xml:space="preserve">S. THIERRY, D. CHOUANIÈRE et C. AUBRY, « Conduite et santé : une revue de la littérature », (2008) No 113 </w:t>
            </w:r>
            <w:r>
              <w:rPr>
                <w:rFonts w:cs="Arial"/>
                <w:i/>
                <w:iCs/>
                <w:color w:val="000000"/>
                <w:sz w:val="20"/>
              </w:rPr>
              <w:t xml:space="preserve">Documents pour le médecin du travail, </w:t>
            </w:r>
            <w:r>
              <w:rPr>
                <w:rFonts w:cs="Arial"/>
                <w:color w:val="000000"/>
                <w:sz w:val="20"/>
              </w:rPr>
              <w:t>pp. 45-63.</w:t>
            </w:r>
          </w:p>
        </w:tc>
      </w:tr>
      <w:tr w:rsidR="00281F67" w:rsidRPr="00B52C45" w14:paraId="260FF02E" w14:textId="77777777" w:rsidTr="00F01825">
        <w:tc>
          <w:tcPr>
            <w:tcW w:w="1980" w:type="dxa"/>
          </w:tcPr>
          <w:p w14:paraId="31EDB773"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T-31</w:t>
            </w:r>
          </w:p>
        </w:tc>
        <w:tc>
          <w:tcPr>
            <w:tcW w:w="7920" w:type="dxa"/>
          </w:tcPr>
          <w:p w14:paraId="07A37D70" w14:textId="77777777" w:rsidR="00281F67" w:rsidRDefault="00281F67" w:rsidP="00050A4F">
            <w:pPr>
              <w:spacing w:after="120"/>
              <w:ind w:left="12" w:hanging="12"/>
              <w:jc w:val="both"/>
              <w:rPr>
                <w:rFonts w:cs="Arial"/>
                <w:color w:val="000000"/>
                <w:sz w:val="20"/>
              </w:rPr>
            </w:pPr>
            <w:r>
              <w:rPr>
                <w:rFonts w:cs="Arial"/>
                <w:color w:val="000000"/>
                <w:sz w:val="20"/>
              </w:rPr>
              <w:t xml:space="preserve">A. VYSKOCIL </w:t>
            </w:r>
            <w:r>
              <w:rPr>
                <w:rFonts w:cs="Arial"/>
                <w:i/>
                <w:iCs/>
                <w:color w:val="000000"/>
                <w:sz w:val="20"/>
              </w:rPr>
              <w:t xml:space="preserve">et </w:t>
            </w:r>
            <w:proofErr w:type="spellStart"/>
            <w:r>
              <w:rPr>
                <w:rFonts w:cs="Arial"/>
                <w:i/>
                <w:iCs/>
                <w:color w:val="000000"/>
                <w:sz w:val="20"/>
              </w:rPr>
              <w:t>al</w:t>
            </w:r>
            <w:proofErr w:type="gramStart"/>
            <w:r>
              <w:rPr>
                <w:rFonts w:cs="Arial"/>
                <w:i/>
                <w:iCs/>
                <w:color w:val="000000"/>
                <w:sz w:val="20"/>
              </w:rPr>
              <w:t>.,Effet</w:t>
            </w:r>
            <w:proofErr w:type="spellEnd"/>
            <w:proofErr w:type="gramEnd"/>
            <w:r>
              <w:rPr>
                <w:rFonts w:cs="Arial"/>
                <w:i/>
                <w:iCs/>
                <w:color w:val="000000"/>
                <w:sz w:val="20"/>
              </w:rPr>
              <w:t xml:space="preserve"> des substances chimiques sur l'audition : interactions avec le </w:t>
            </w:r>
            <w:proofErr w:type="spellStart"/>
            <w:proofErr w:type="gramStart"/>
            <w:r>
              <w:rPr>
                <w:rFonts w:cs="Arial"/>
                <w:i/>
                <w:iCs/>
                <w:color w:val="000000"/>
                <w:sz w:val="20"/>
              </w:rPr>
              <w:t>bruit,</w:t>
            </w:r>
            <w:r>
              <w:rPr>
                <w:rFonts w:cs="Arial"/>
                <w:color w:val="000000"/>
                <w:sz w:val="20"/>
              </w:rPr>
              <w:t>coll</w:t>
            </w:r>
            <w:proofErr w:type="spellEnd"/>
            <w:r>
              <w:rPr>
                <w:rFonts w:cs="Arial"/>
                <w:color w:val="000000"/>
                <w:sz w:val="20"/>
              </w:rPr>
              <w:t>.</w:t>
            </w:r>
            <w:proofErr w:type="gramEnd"/>
            <w:r>
              <w:rPr>
                <w:rFonts w:cs="Arial"/>
                <w:color w:val="000000"/>
                <w:sz w:val="20"/>
              </w:rPr>
              <w:t xml:space="preserve"> « Études et recherches : substances chimiques et effets biologiques », Montréal, IRSST, 2011.</w:t>
            </w:r>
          </w:p>
        </w:tc>
      </w:tr>
      <w:tr w:rsidR="00281F67" w:rsidRPr="005A73CE" w14:paraId="3DF5933A" w14:textId="77777777" w:rsidTr="00F01825">
        <w:tc>
          <w:tcPr>
            <w:tcW w:w="1980" w:type="dxa"/>
          </w:tcPr>
          <w:p w14:paraId="4C7DDAEB"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lastRenderedPageBreak/>
              <w:t>T-32</w:t>
            </w:r>
          </w:p>
        </w:tc>
        <w:tc>
          <w:tcPr>
            <w:tcW w:w="7920" w:type="dxa"/>
          </w:tcPr>
          <w:p w14:paraId="13444AC8" w14:textId="77777777" w:rsidR="00281F67" w:rsidRPr="005A73CE" w:rsidRDefault="00281F67" w:rsidP="00050A4F">
            <w:pPr>
              <w:keepNext/>
              <w:keepLines/>
              <w:autoSpaceDE w:val="0"/>
              <w:autoSpaceDN w:val="0"/>
              <w:adjustRightInd w:val="0"/>
              <w:spacing w:after="120"/>
              <w:ind w:left="17"/>
              <w:rPr>
                <w:rFonts w:cs="Arial"/>
                <w:color w:val="000000"/>
                <w:sz w:val="20"/>
                <w:lang w:val="en-CA"/>
              </w:rPr>
            </w:pPr>
            <w:r w:rsidRPr="005A73CE">
              <w:rPr>
                <w:rFonts w:cs="Arial"/>
                <w:color w:val="000000"/>
                <w:sz w:val="20"/>
                <w:lang w:val="en-CA"/>
              </w:rPr>
              <w:t xml:space="preserve">Y.S. AHN </w:t>
            </w:r>
            <w:proofErr w:type="gramStart"/>
            <w:r w:rsidRPr="005A73CE">
              <w:rPr>
                <w:rFonts w:cs="Arial"/>
                <w:i/>
                <w:iCs/>
                <w:color w:val="000000"/>
                <w:sz w:val="20"/>
                <w:lang w:val="en-CA"/>
              </w:rPr>
              <w:t>et al.,</w:t>
            </w:r>
            <w:r w:rsidRPr="005A73CE">
              <w:rPr>
                <w:rFonts w:cs="Arial"/>
                <w:color w:val="000000"/>
                <w:sz w:val="20"/>
                <w:lang w:val="en-CA"/>
              </w:rPr>
              <w:t>«</w:t>
            </w:r>
            <w:proofErr w:type="gramEnd"/>
            <w:r w:rsidRPr="005A73CE">
              <w:rPr>
                <w:rFonts w:cs="Arial"/>
                <w:color w:val="000000"/>
                <w:sz w:val="20"/>
                <w:lang w:val="en-CA"/>
              </w:rPr>
              <w:t xml:space="preserve"> Hearing Loss Among Iron and Steel Workers Exposed to Low Levels of Carbon Monoxide and Noise [Presentation] », dans </w:t>
            </w:r>
            <w:r w:rsidRPr="005A73CE">
              <w:rPr>
                <w:rFonts w:cs="Arial"/>
                <w:i/>
                <w:iCs/>
                <w:color w:val="000000"/>
                <w:sz w:val="20"/>
                <w:lang w:val="en-CA"/>
              </w:rPr>
              <w:t xml:space="preserve">International Symposium on Neurobehavioral Methods and Effects in Occupational and Environmental </w:t>
            </w:r>
            <w:proofErr w:type="spellStart"/>
            <w:proofErr w:type="gramStart"/>
            <w:r w:rsidRPr="005A73CE">
              <w:rPr>
                <w:rFonts w:cs="Arial"/>
                <w:i/>
                <w:iCs/>
                <w:color w:val="000000"/>
                <w:sz w:val="20"/>
                <w:lang w:val="en-CA"/>
              </w:rPr>
              <w:t>Health,</w:t>
            </w:r>
            <w:r w:rsidRPr="005A73CE">
              <w:rPr>
                <w:rFonts w:cs="Arial"/>
                <w:color w:val="000000"/>
                <w:sz w:val="20"/>
                <w:lang w:val="en-CA"/>
              </w:rPr>
              <w:t>Korea</w:t>
            </w:r>
            <w:proofErr w:type="spellEnd"/>
            <w:proofErr w:type="gramEnd"/>
            <w:r w:rsidRPr="005A73CE">
              <w:rPr>
                <w:rFonts w:cs="Arial"/>
                <w:color w:val="000000"/>
                <w:sz w:val="20"/>
                <w:lang w:val="en-CA"/>
              </w:rPr>
              <w:t>, Gyeongju, September 26-29, 2005.</w:t>
            </w:r>
          </w:p>
        </w:tc>
      </w:tr>
      <w:tr w:rsidR="00281F67" w:rsidRPr="00B52C45" w14:paraId="014EE00E" w14:textId="77777777" w:rsidTr="00F01825">
        <w:tc>
          <w:tcPr>
            <w:tcW w:w="1980" w:type="dxa"/>
          </w:tcPr>
          <w:p w14:paraId="111DF73C"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T-33</w:t>
            </w:r>
          </w:p>
        </w:tc>
        <w:tc>
          <w:tcPr>
            <w:tcW w:w="7920" w:type="dxa"/>
          </w:tcPr>
          <w:p w14:paraId="45A26022" w14:textId="77777777" w:rsidR="00281F67" w:rsidRDefault="00281F67" w:rsidP="00F01825">
            <w:pPr>
              <w:spacing w:after="120"/>
              <w:jc w:val="both"/>
              <w:rPr>
                <w:rFonts w:cs="Arial"/>
                <w:color w:val="000000"/>
                <w:sz w:val="20"/>
              </w:rPr>
            </w:pPr>
            <w:r>
              <w:rPr>
                <w:rFonts w:cs="Arial"/>
                <w:color w:val="000000"/>
                <w:sz w:val="20"/>
              </w:rPr>
              <w:t xml:space="preserve">SOCIÉTÉ INTERNATIONALE DE RÉHABILITATION VESTIBULAIRE, </w:t>
            </w:r>
            <w:r>
              <w:rPr>
                <w:rFonts w:cs="Arial"/>
                <w:i/>
                <w:iCs/>
                <w:color w:val="000000"/>
                <w:sz w:val="20"/>
              </w:rPr>
              <w:t xml:space="preserve">L'oreille interne &amp; vestibule, </w:t>
            </w:r>
            <w:r>
              <w:rPr>
                <w:rFonts w:cs="Arial"/>
                <w:color w:val="000000"/>
                <w:sz w:val="20"/>
              </w:rPr>
              <w:t>[En ligne], &lt;http://www.vestib.org/interne.html&gt; (Date de consultation inconnue).</w:t>
            </w:r>
          </w:p>
        </w:tc>
      </w:tr>
      <w:tr w:rsidR="00281F67" w:rsidRPr="00B52C45" w14:paraId="5D769F88" w14:textId="77777777" w:rsidTr="00F01825">
        <w:tc>
          <w:tcPr>
            <w:tcW w:w="1980" w:type="dxa"/>
          </w:tcPr>
          <w:p w14:paraId="49F63B8C"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T-34</w:t>
            </w:r>
          </w:p>
        </w:tc>
        <w:tc>
          <w:tcPr>
            <w:tcW w:w="7920" w:type="dxa"/>
          </w:tcPr>
          <w:p w14:paraId="06574820" w14:textId="77777777" w:rsidR="00281F67" w:rsidRDefault="00281F67" w:rsidP="00F01825">
            <w:pPr>
              <w:spacing w:after="120"/>
              <w:jc w:val="both"/>
              <w:rPr>
                <w:rFonts w:cs="Arial"/>
                <w:color w:val="000000"/>
                <w:sz w:val="20"/>
              </w:rPr>
            </w:pPr>
            <w:r>
              <w:rPr>
                <w:rFonts w:cs="Arial"/>
                <w:color w:val="000000"/>
                <w:sz w:val="20"/>
              </w:rPr>
              <w:t>Planche anatomique « Amplitude des déplacements de la membrane basilaire en fonction de la fréquence »</w:t>
            </w:r>
          </w:p>
        </w:tc>
      </w:tr>
      <w:tr w:rsidR="00281F67" w:rsidRPr="00B52C45" w14:paraId="015D2AA2" w14:textId="77777777" w:rsidTr="00F01825">
        <w:tc>
          <w:tcPr>
            <w:tcW w:w="1980" w:type="dxa"/>
          </w:tcPr>
          <w:p w14:paraId="2AD30F2E"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T-35</w:t>
            </w:r>
          </w:p>
        </w:tc>
        <w:tc>
          <w:tcPr>
            <w:tcW w:w="7920" w:type="dxa"/>
          </w:tcPr>
          <w:p w14:paraId="7DFA2B54" w14:textId="77777777" w:rsidR="00281F67" w:rsidRDefault="00281F67" w:rsidP="00F01825">
            <w:pPr>
              <w:spacing w:after="120"/>
              <w:jc w:val="both"/>
              <w:rPr>
                <w:rFonts w:cs="Arial"/>
                <w:color w:val="000000"/>
                <w:sz w:val="20"/>
              </w:rPr>
            </w:pPr>
            <w:r>
              <w:rPr>
                <w:rFonts w:cs="Arial"/>
                <w:color w:val="000000"/>
                <w:sz w:val="20"/>
              </w:rPr>
              <w:t>Planche anatomique – système vestibulaire.</w:t>
            </w:r>
          </w:p>
        </w:tc>
      </w:tr>
      <w:tr w:rsidR="00281F67" w:rsidRPr="005A73CE" w14:paraId="1BC71F9E" w14:textId="77777777" w:rsidTr="00F01825">
        <w:tc>
          <w:tcPr>
            <w:tcW w:w="1980" w:type="dxa"/>
          </w:tcPr>
          <w:p w14:paraId="6E3938BA"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T-36</w:t>
            </w:r>
          </w:p>
        </w:tc>
        <w:tc>
          <w:tcPr>
            <w:tcW w:w="7920" w:type="dxa"/>
          </w:tcPr>
          <w:p w14:paraId="24423A66" w14:textId="77777777" w:rsidR="00281F67" w:rsidRPr="005A73CE" w:rsidRDefault="00281F67" w:rsidP="00F01825">
            <w:pPr>
              <w:spacing w:after="120"/>
              <w:jc w:val="both"/>
              <w:rPr>
                <w:rFonts w:cs="Arial"/>
                <w:color w:val="000000"/>
                <w:sz w:val="20"/>
                <w:lang w:val="en-CA"/>
              </w:rPr>
            </w:pPr>
            <w:r w:rsidRPr="005A73CE">
              <w:rPr>
                <w:rFonts w:cs="Arial"/>
                <w:color w:val="000000"/>
                <w:sz w:val="20"/>
                <w:lang w:val="en-CA"/>
              </w:rPr>
              <w:t xml:space="preserve">R.H. HULL et S.T. KERSCHEN, « The Influence of Cardiovascular Health on Peripheral and Central Auditory Function in </w:t>
            </w:r>
            <w:proofErr w:type="gramStart"/>
            <w:r w:rsidRPr="005A73CE">
              <w:rPr>
                <w:rFonts w:cs="Arial"/>
                <w:color w:val="000000"/>
                <w:sz w:val="20"/>
                <w:lang w:val="en-CA"/>
              </w:rPr>
              <w:t>Adults :</w:t>
            </w:r>
            <w:proofErr w:type="gramEnd"/>
            <w:r w:rsidRPr="005A73CE">
              <w:rPr>
                <w:rFonts w:cs="Arial"/>
                <w:color w:val="000000"/>
                <w:sz w:val="20"/>
                <w:lang w:val="en-CA"/>
              </w:rPr>
              <w:t xml:space="preserve"> A Research Review », (2010) 19 </w:t>
            </w:r>
            <w:r w:rsidRPr="005A73CE">
              <w:rPr>
                <w:rFonts w:cs="Arial"/>
                <w:i/>
                <w:iCs/>
                <w:color w:val="000000"/>
                <w:sz w:val="20"/>
                <w:lang w:val="en-CA"/>
              </w:rPr>
              <w:t xml:space="preserve">American Journal of </w:t>
            </w:r>
            <w:proofErr w:type="spellStart"/>
            <w:proofErr w:type="gramStart"/>
            <w:r w:rsidRPr="005A73CE">
              <w:rPr>
                <w:rFonts w:cs="Arial"/>
                <w:i/>
                <w:iCs/>
                <w:color w:val="000000"/>
                <w:sz w:val="20"/>
                <w:lang w:val="en-CA"/>
              </w:rPr>
              <w:t>Audiology,</w:t>
            </w:r>
            <w:r w:rsidRPr="005A73CE">
              <w:rPr>
                <w:rFonts w:cs="Arial"/>
                <w:color w:val="000000"/>
                <w:sz w:val="20"/>
                <w:lang w:val="en-CA"/>
              </w:rPr>
              <w:t>pp</w:t>
            </w:r>
            <w:proofErr w:type="spellEnd"/>
            <w:r w:rsidRPr="005A73CE">
              <w:rPr>
                <w:rFonts w:cs="Arial"/>
                <w:color w:val="000000"/>
                <w:sz w:val="20"/>
                <w:lang w:val="en-CA"/>
              </w:rPr>
              <w:t>.</w:t>
            </w:r>
            <w:proofErr w:type="gramEnd"/>
            <w:r w:rsidRPr="005A73CE">
              <w:rPr>
                <w:rFonts w:cs="Arial"/>
                <w:color w:val="000000"/>
                <w:sz w:val="20"/>
                <w:lang w:val="en-CA"/>
              </w:rPr>
              <w:t xml:space="preserve"> 9-16.</w:t>
            </w:r>
          </w:p>
        </w:tc>
      </w:tr>
      <w:tr w:rsidR="00281F67" w:rsidRPr="005A73CE" w14:paraId="2E7A327D" w14:textId="77777777" w:rsidTr="00F01825">
        <w:tc>
          <w:tcPr>
            <w:tcW w:w="1980" w:type="dxa"/>
          </w:tcPr>
          <w:p w14:paraId="4114AB98"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T-37</w:t>
            </w:r>
          </w:p>
        </w:tc>
        <w:tc>
          <w:tcPr>
            <w:tcW w:w="7920" w:type="dxa"/>
          </w:tcPr>
          <w:p w14:paraId="5107ACBA" w14:textId="77777777" w:rsidR="00281F67" w:rsidRPr="005A73CE" w:rsidRDefault="00281F67" w:rsidP="00F01825">
            <w:pPr>
              <w:spacing w:after="120"/>
              <w:jc w:val="both"/>
              <w:rPr>
                <w:rFonts w:cs="Arial"/>
                <w:color w:val="000000"/>
                <w:sz w:val="20"/>
                <w:lang w:val="en-CA"/>
              </w:rPr>
            </w:pPr>
            <w:r w:rsidRPr="005A73CE">
              <w:rPr>
                <w:rFonts w:cs="Arial"/>
                <w:color w:val="000000"/>
                <w:sz w:val="20"/>
                <w:lang w:val="en-CA"/>
              </w:rPr>
              <w:t xml:space="preserve">E.P. HELZNER </w:t>
            </w:r>
            <w:proofErr w:type="gramStart"/>
            <w:r w:rsidRPr="005A73CE">
              <w:rPr>
                <w:rFonts w:cs="Arial"/>
                <w:i/>
                <w:iCs/>
                <w:color w:val="000000"/>
                <w:sz w:val="20"/>
                <w:lang w:val="en-CA"/>
              </w:rPr>
              <w:t>et al.,</w:t>
            </w:r>
            <w:r w:rsidRPr="005A73CE">
              <w:rPr>
                <w:rFonts w:cs="Arial"/>
                <w:color w:val="000000"/>
                <w:sz w:val="20"/>
                <w:lang w:val="en-CA"/>
              </w:rPr>
              <w:t>«</w:t>
            </w:r>
            <w:proofErr w:type="gramEnd"/>
            <w:r w:rsidRPr="005A73CE">
              <w:rPr>
                <w:rFonts w:cs="Arial"/>
                <w:color w:val="000000"/>
                <w:sz w:val="20"/>
                <w:lang w:val="en-CA"/>
              </w:rPr>
              <w:t xml:space="preserve"> Hearing Sensitivity in Older </w:t>
            </w:r>
            <w:proofErr w:type="gramStart"/>
            <w:r w:rsidRPr="005A73CE">
              <w:rPr>
                <w:rFonts w:cs="Arial"/>
                <w:color w:val="000000"/>
                <w:sz w:val="20"/>
                <w:lang w:val="en-CA"/>
              </w:rPr>
              <w:t>Adults :</w:t>
            </w:r>
            <w:proofErr w:type="gramEnd"/>
            <w:r w:rsidRPr="005A73CE">
              <w:rPr>
                <w:rFonts w:cs="Arial"/>
                <w:color w:val="000000"/>
                <w:sz w:val="20"/>
                <w:lang w:val="en-CA"/>
              </w:rPr>
              <w:t xml:space="preserve"> Associations with Cardiovascular Risk Factors in the Health, Aging and Body Composition Study », (2011) 59 </w:t>
            </w:r>
            <w:r w:rsidRPr="005A73CE">
              <w:rPr>
                <w:rFonts w:cs="Arial"/>
                <w:i/>
                <w:iCs/>
                <w:color w:val="000000"/>
                <w:sz w:val="20"/>
                <w:lang w:val="en-CA"/>
              </w:rPr>
              <w:t xml:space="preserve">Journal of the American Geriatrics </w:t>
            </w:r>
            <w:proofErr w:type="spellStart"/>
            <w:proofErr w:type="gramStart"/>
            <w:r w:rsidRPr="005A73CE">
              <w:rPr>
                <w:rFonts w:cs="Arial"/>
                <w:i/>
                <w:iCs/>
                <w:color w:val="000000"/>
                <w:sz w:val="20"/>
                <w:lang w:val="en-CA"/>
              </w:rPr>
              <w:t>Society,</w:t>
            </w:r>
            <w:r w:rsidRPr="005A73CE">
              <w:rPr>
                <w:rFonts w:cs="Arial"/>
                <w:color w:val="000000"/>
                <w:sz w:val="20"/>
                <w:lang w:val="en-CA"/>
              </w:rPr>
              <w:t>pp</w:t>
            </w:r>
            <w:proofErr w:type="spellEnd"/>
            <w:r w:rsidRPr="005A73CE">
              <w:rPr>
                <w:rFonts w:cs="Arial"/>
                <w:color w:val="000000"/>
                <w:sz w:val="20"/>
                <w:lang w:val="en-CA"/>
              </w:rPr>
              <w:t>.</w:t>
            </w:r>
            <w:proofErr w:type="gramEnd"/>
            <w:r w:rsidRPr="005A73CE">
              <w:rPr>
                <w:rFonts w:cs="Arial"/>
                <w:color w:val="000000"/>
                <w:sz w:val="20"/>
                <w:lang w:val="en-CA"/>
              </w:rPr>
              <w:t xml:space="preserve"> 972-979.</w:t>
            </w:r>
          </w:p>
        </w:tc>
      </w:tr>
      <w:tr w:rsidR="00281F67" w:rsidRPr="007D683F" w14:paraId="293516BF" w14:textId="77777777" w:rsidTr="00F01825">
        <w:tc>
          <w:tcPr>
            <w:tcW w:w="1980" w:type="dxa"/>
          </w:tcPr>
          <w:p w14:paraId="20EFB3D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T-38</w:t>
            </w:r>
          </w:p>
        </w:tc>
        <w:tc>
          <w:tcPr>
            <w:tcW w:w="7920" w:type="dxa"/>
          </w:tcPr>
          <w:p w14:paraId="26D3DF95"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5A73CE">
              <w:rPr>
                <w:rFonts w:cs="Arial"/>
                <w:color w:val="000000"/>
                <w:sz w:val="20"/>
                <w:lang w:val="en-CA"/>
              </w:rPr>
              <w:t xml:space="preserve">UNITED STATES, DEPARTMENT OF HEALTH AND HUMAN SERVICES, PUBLIC HEALTH SERVICE, CENTERS FOR DISEASE CONTROL AND PREVENTION, </w:t>
            </w:r>
            <w:r w:rsidRPr="005A73CE">
              <w:rPr>
                <w:rFonts w:cs="Arial"/>
                <w:i/>
                <w:iCs/>
                <w:color w:val="000000"/>
                <w:sz w:val="20"/>
                <w:lang w:val="en-CA"/>
              </w:rPr>
              <w:t xml:space="preserve">Criteria of a Recommended </w:t>
            </w:r>
            <w:proofErr w:type="gramStart"/>
            <w:r w:rsidRPr="005A73CE">
              <w:rPr>
                <w:rFonts w:cs="Arial"/>
                <w:i/>
                <w:iCs/>
                <w:color w:val="000000"/>
                <w:sz w:val="20"/>
                <w:lang w:val="en-CA"/>
              </w:rPr>
              <w:t>Standard :</w:t>
            </w:r>
            <w:proofErr w:type="gramEnd"/>
            <w:r w:rsidRPr="005A73CE">
              <w:rPr>
                <w:rFonts w:cs="Arial"/>
                <w:i/>
                <w:iCs/>
                <w:color w:val="000000"/>
                <w:sz w:val="20"/>
                <w:lang w:val="en-CA"/>
              </w:rPr>
              <w:t xml:space="preserve"> Occupational Noise Exposure, </w:t>
            </w:r>
            <w:r w:rsidRPr="005A73CE">
              <w:rPr>
                <w:rFonts w:cs="Arial"/>
                <w:color w:val="000000"/>
                <w:sz w:val="20"/>
                <w:lang w:val="en-CA"/>
              </w:rPr>
              <w:t xml:space="preserve">coll. </w:t>
            </w:r>
            <w:r w:rsidRPr="007D683F">
              <w:rPr>
                <w:rFonts w:cs="Arial"/>
                <w:color w:val="000000"/>
                <w:sz w:val="20"/>
                <w:lang w:val="en-CA"/>
              </w:rPr>
              <w:t>« NIOSH Publication », Cincinnati, National Institute for Occupational Safety and Health, 1998.</w:t>
            </w:r>
          </w:p>
        </w:tc>
      </w:tr>
      <w:tr w:rsidR="00281F67" w:rsidRPr="00B52C45" w14:paraId="2C8B498D" w14:textId="77777777" w:rsidTr="00F01825">
        <w:tc>
          <w:tcPr>
            <w:tcW w:w="1980" w:type="dxa"/>
          </w:tcPr>
          <w:p w14:paraId="74B65907"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T-39</w:t>
            </w:r>
          </w:p>
        </w:tc>
        <w:tc>
          <w:tcPr>
            <w:tcW w:w="7920" w:type="dxa"/>
          </w:tcPr>
          <w:p w14:paraId="128251DD" w14:textId="77777777" w:rsidR="00281F67" w:rsidRDefault="00281F67" w:rsidP="00050A4F">
            <w:pPr>
              <w:keepNext/>
              <w:keepLines/>
              <w:autoSpaceDE w:val="0"/>
              <w:autoSpaceDN w:val="0"/>
              <w:adjustRightInd w:val="0"/>
              <w:ind w:left="15"/>
              <w:rPr>
                <w:rFonts w:cs="Arial"/>
                <w:color w:val="000000"/>
                <w:sz w:val="20"/>
              </w:rPr>
            </w:pPr>
            <w:r>
              <w:rPr>
                <w:rFonts w:cs="Arial"/>
                <w:color w:val="000000"/>
                <w:sz w:val="20"/>
              </w:rPr>
              <w:t xml:space="preserve">G.A. GATES et J.H. MILLS, « </w:t>
            </w:r>
            <w:proofErr w:type="spellStart"/>
            <w:r>
              <w:rPr>
                <w:rFonts w:cs="Arial"/>
                <w:color w:val="000000"/>
                <w:sz w:val="20"/>
              </w:rPr>
              <w:t>Presbycusis</w:t>
            </w:r>
            <w:proofErr w:type="spellEnd"/>
            <w:r>
              <w:rPr>
                <w:rFonts w:cs="Arial"/>
                <w:color w:val="000000"/>
                <w:sz w:val="20"/>
              </w:rPr>
              <w:t xml:space="preserve"> », (2005) 366 </w:t>
            </w:r>
            <w:proofErr w:type="spellStart"/>
            <w:proofErr w:type="gramStart"/>
            <w:r>
              <w:rPr>
                <w:rFonts w:cs="Arial"/>
                <w:i/>
                <w:iCs/>
                <w:color w:val="000000"/>
                <w:sz w:val="20"/>
              </w:rPr>
              <w:t>Lancet,</w:t>
            </w:r>
            <w:r>
              <w:rPr>
                <w:rFonts w:cs="Arial"/>
                <w:color w:val="000000"/>
                <w:sz w:val="20"/>
              </w:rPr>
              <w:t>pp</w:t>
            </w:r>
            <w:proofErr w:type="spellEnd"/>
            <w:r>
              <w:rPr>
                <w:rFonts w:cs="Arial"/>
                <w:color w:val="000000"/>
                <w:sz w:val="20"/>
              </w:rPr>
              <w:t>.</w:t>
            </w:r>
            <w:proofErr w:type="gramEnd"/>
            <w:r>
              <w:rPr>
                <w:rFonts w:cs="Arial"/>
                <w:color w:val="000000"/>
                <w:sz w:val="20"/>
              </w:rPr>
              <w:t xml:space="preserve"> 1111-1120.</w:t>
            </w:r>
          </w:p>
        </w:tc>
      </w:tr>
      <w:tr w:rsidR="00281F67" w:rsidRPr="007D683F" w14:paraId="3793EAAF" w14:textId="77777777" w:rsidTr="00F01825">
        <w:tc>
          <w:tcPr>
            <w:tcW w:w="1980" w:type="dxa"/>
          </w:tcPr>
          <w:p w14:paraId="76917DE3"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T-40</w:t>
            </w:r>
          </w:p>
        </w:tc>
        <w:tc>
          <w:tcPr>
            <w:tcW w:w="7920" w:type="dxa"/>
          </w:tcPr>
          <w:p w14:paraId="46975B3C"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G.A. GATES </w:t>
            </w:r>
            <w:proofErr w:type="gramStart"/>
            <w:r w:rsidRPr="007D683F">
              <w:rPr>
                <w:rFonts w:cs="Arial"/>
                <w:i/>
                <w:iCs/>
                <w:color w:val="000000"/>
                <w:sz w:val="20"/>
                <w:lang w:val="en-CA"/>
              </w:rPr>
              <w:t>et al.,</w:t>
            </w:r>
            <w:r w:rsidRPr="007D683F">
              <w:rPr>
                <w:rFonts w:cs="Arial"/>
                <w:color w:val="000000"/>
                <w:sz w:val="20"/>
                <w:lang w:val="en-CA"/>
              </w:rPr>
              <w:t>«</w:t>
            </w:r>
            <w:proofErr w:type="gramEnd"/>
            <w:r w:rsidRPr="007D683F">
              <w:rPr>
                <w:rFonts w:cs="Arial"/>
                <w:color w:val="000000"/>
                <w:sz w:val="20"/>
                <w:lang w:val="en-CA"/>
              </w:rPr>
              <w:t xml:space="preserve"> The Relation of Hearing in the Elderly to the Presence of Cardiovascular Disease and Cardiovascular Risk Factors », (1993) 119 </w:t>
            </w:r>
            <w:r w:rsidRPr="007D683F">
              <w:rPr>
                <w:rFonts w:cs="Arial"/>
                <w:i/>
                <w:iCs/>
                <w:color w:val="000000"/>
                <w:sz w:val="20"/>
                <w:lang w:val="en-CA"/>
              </w:rPr>
              <w:t xml:space="preserve">Archives of Otolaryngology - Head and Neck </w:t>
            </w:r>
            <w:proofErr w:type="spellStart"/>
            <w:proofErr w:type="gramStart"/>
            <w:r w:rsidRPr="007D683F">
              <w:rPr>
                <w:rFonts w:cs="Arial"/>
                <w:i/>
                <w:iCs/>
                <w:color w:val="000000"/>
                <w:sz w:val="20"/>
                <w:lang w:val="en-CA"/>
              </w:rPr>
              <w:t>Surgery,</w:t>
            </w:r>
            <w:r w:rsidRPr="007D683F">
              <w:rPr>
                <w:rFonts w:cs="Arial"/>
                <w:color w:val="000000"/>
                <w:sz w:val="20"/>
                <w:lang w:val="en-CA"/>
              </w:rPr>
              <w:t>pp</w:t>
            </w:r>
            <w:proofErr w:type="spellEnd"/>
            <w:r w:rsidRPr="007D683F">
              <w:rPr>
                <w:rFonts w:cs="Arial"/>
                <w:color w:val="000000"/>
                <w:sz w:val="20"/>
                <w:lang w:val="en-CA"/>
              </w:rPr>
              <w:t>.</w:t>
            </w:r>
            <w:proofErr w:type="gramEnd"/>
            <w:r w:rsidRPr="007D683F">
              <w:rPr>
                <w:rFonts w:cs="Arial"/>
                <w:color w:val="000000"/>
                <w:sz w:val="20"/>
                <w:lang w:val="en-CA"/>
              </w:rPr>
              <w:t xml:space="preserve"> 156-161.</w:t>
            </w:r>
          </w:p>
        </w:tc>
      </w:tr>
      <w:tr w:rsidR="00281F67" w:rsidRPr="007D683F" w14:paraId="5A044ADA" w14:textId="77777777" w:rsidTr="00F01825">
        <w:tc>
          <w:tcPr>
            <w:tcW w:w="1980" w:type="dxa"/>
          </w:tcPr>
          <w:p w14:paraId="409F05E7"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p>
          <w:p w14:paraId="2FB24FF4"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T-41</w:t>
            </w:r>
          </w:p>
        </w:tc>
        <w:tc>
          <w:tcPr>
            <w:tcW w:w="7920" w:type="dxa"/>
          </w:tcPr>
          <w:p w14:paraId="66B1FFBB" w14:textId="77777777" w:rsidR="00281F67" w:rsidRPr="007D683F" w:rsidRDefault="00281F67" w:rsidP="00F01825">
            <w:pPr>
              <w:keepNext/>
              <w:keepLines/>
              <w:autoSpaceDE w:val="0"/>
              <w:autoSpaceDN w:val="0"/>
              <w:adjustRightInd w:val="0"/>
              <w:ind w:left="15"/>
              <w:rPr>
                <w:rFonts w:cs="Arial"/>
                <w:color w:val="000000"/>
                <w:sz w:val="20"/>
                <w:lang w:val="en-CA"/>
              </w:rPr>
            </w:pPr>
          </w:p>
          <w:p w14:paraId="55AC9CB2"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M. BOVENZI et C.T.J. HULSHOF « An updated review of epidemiologic studies on the relationship between exposure to whole-body vibration and low back pain (1986-1997) », (1999) 72 </w:t>
            </w:r>
            <w:r w:rsidRPr="007D683F">
              <w:rPr>
                <w:rFonts w:cs="Arial"/>
                <w:i/>
                <w:iCs/>
                <w:color w:val="000000"/>
                <w:sz w:val="20"/>
                <w:lang w:val="en-CA"/>
              </w:rPr>
              <w:t xml:space="preserve">International Archives of Occupational and Environmental Health, </w:t>
            </w:r>
            <w:r w:rsidRPr="007D683F">
              <w:rPr>
                <w:rFonts w:cs="Arial"/>
                <w:color w:val="000000"/>
                <w:sz w:val="20"/>
                <w:lang w:val="en-CA"/>
              </w:rPr>
              <w:t>pp. 352-365.</w:t>
            </w:r>
          </w:p>
        </w:tc>
      </w:tr>
      <w:tr w:rsidR="00281F67" w:rsidRPr="00B52C45" w14:paraId="3BEBD205" w14:textId="77777777" w:rsidTr="00F01825">
        <w:tc>
          <w:tcPr>
            <w:tcW w:w="1980" w:type="dxa"/>
          </w:tcPr>
          <w:p w14:paraId="71B88680"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T-42</w:t>
            </w:r>
          </w:p>
        </w:tc>
        <w:tc>
          <w:tcPr>
            <w:tcW w:w="7920" w:type="dxa"/>
          </w:tcPr>
          <w:p w14:paraId="4F0CDFA0" w14:textId="77777777" w:rsidR="00281F67" w:rsidRDefault="00281F67" w:rsidP="00050A4F">
            <w:pPr>
              <w:keepNext/>
              <w:keepLines/>
              <w:autoSpaceDE w:val="0"/>
              <w:autoSpaceDN w:val="0"/>
              <w:adjustRightInd w:val="0"/>
              <w:spacing w:after="120"/>
              <w:ind w:left="17"/>
              <w:jc w:val="both"/>
              <w:rPr>
                <w:rFonts w:cs="Arial"/>
                <w:color w:val="000000"/>
                <w:sz w:val="20"/>
              </w:rPr>
            </w:pPr>
            <w:r>
              <w:rPr>
                <w:rFonts w:cs="Arial"/>
                <w:color w:val="000000"/>
                <w:sz w:val="20"/>
              </w:rPr>
              <w:t xml:space="preserve">CENTRE CANADIEN D'HYGIÈNE ET DE SÉCURITÉ AU TRAVAIL, </w:t>
            </w:r>
            <w:r>
              <w:rPr>
                <w:rFonts w:cs="Arial"/>
                <w:i/>
                <w:iCs/>
                <w:color w:val="000000"/>
                <w:sz w:val="20"/>
              </w:rPr>
              <w:t xml:space="preserve">Réponses SST - Quelles sont les limites d'exposition au bruit dans les administrations </w:t>
            </w:r>
            <w:proofErr w:type="gramStart"/>
            <w:r>
              <w:rPr>
                <w:rFonts w:cs="Arial"/>
                <w:i/>
                <w:iCs/>
                <w:color w:val="000000"/>
                <w:sz w:val="20"/>
              </w:rPr>
              <w:t>canadiennes?,</w:t>
            </w:r>
            <w:proofErr w:type="gramEnd"/>
            <w:r>
              <w:rPr>
                <w:rFonts w:cs="Arial"/>
                <w:color w:val="000000"/>
                <w:sz w:val="20"/>
              </w:rPr>
              <w:t>[En ligne], &lt;http://www.cchst.ca/oshanswers/phys_agents/exposure_can.html&gt; (Date de consultation inconnue).</w:t>
            </w:r>
          </w:p>
        </w:tc>
      </w:tr>
      <w:tr w:rsidR="00281F67" w:rsidRPr="007D683F" w14:paraId="29A1B90B" w14:textId="77777777" w:rsidTr="00F01825">
        <w:tc>
          <w:tcPr>
            <w:tcW w:w="1980" w:type="dxa"/>
          </w:tcPr>
          <w:p w14:paraId="60E4DBF0"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T-43</w:t>
            </w:r>
          </w:p>
        </w:tc>
        <w:tc>
          <w:tcPr>
            <w:tcW w:w="7920" w:type="dxa"/>
          </w:tcPr>
          <w:p w14:paraId="46D66306"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P. NATALETTI et R. SISTO, </w:t>
            </w:r>
            <w:r w:rsidRPr="007D683F">
              <w:rPr>
                <w:rFonts w:cs="Arial"/>
                <w:i/>
                <w:iCs/>
                <w:color w:val="000000"/>
                <w:sz w:val="20"/>
                <w:lang w:val="en-CA"/>
              </w:rPr>
              <w:t xml:space="preserve">Proceedings of the International Workshop "Synergistic Exposure to Noise, Vibrations and Ototoxic </w:t>
            </w:r>
            <w:proofErr w:type="spellStart"/>
            <w:r w:rsidRPr="007D683F">
              <w:rPr>
                <w:rFonts w:cs="Arial"/>
                <w:i/>
                <w:iCs/>
                <w:color w:val="000000"/>
                <w:sz w:val="20"/>
                <w:lang w:val="en-CA"/>
              </w:rPr>
              <w:t>Substances</w:t>
            </w:r>
            <w:proofErr w:type="gramStart"/>
            <w:r w:rsidRPr="007D683F">
              <w:rPr>
                <w:rFonts w:cs="Arial"/>
                <w:i/>
                <w:iCs/>
                <w:color w:val="000000"/>
                <w:sz w:val="20"/>
                <w:lang w:val="en-CA"/>
              </w:rPr>
              <w:t>",</w:t>
            </w:r>
            <w:r w:rsidRPr="007D683F">
              <w:rPr>
                <w:rFonts w:cs="Arial"/>
                <w:color w:val="000000"/>
                <w:sz w:val="20"/>
                <w:lang w:val="en-CA"/>
              </w:rPr>
              <w:t>Rome</w:t>
            </w:r>
            <w:proofErr w:type="spellEnd"/>
            <w:proofErr w:type="gramEnd"/>
            <w:r w:rsidRPr="007D683F">
              <w:rPr>
                <w:rFonts w:cs="Arial"/>
                <w:color w:val="000000"/>
                <w:sz w:val="20"/>
                <w:lang w:val="en-CA"/>
              </w:rPr>
              <w:t>, Università Urbania, 30th September 2010.</w:t>
            </w:r>
          </w:p>
        </w:tc>
      </w:tr>
      <w:tr w:rsidR="00281F67" w:rsidRPr="007D683F" w14:paraId="6B7D2C2C" w14:textId="77777777" w:rsidTr="00F01825">
        <w:tc>
          <w:tcPr>
            <w:tcW w:w="1980" w:type="dxa"/>
          </w:tcPr>
          <w:p w14:paraId="3C44A8FF"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T-44</w:t>
            </w:r>
          </w:p>
        </w:tc>
        <w:tc>
          <w:tcPr>
            <w:tcW w:w="7920" w:type="dxa"/>
          </w:tcPr>
          <w:p w14:paraId="31141BD9"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L.E. HUMES, « Noise-Induced Hearing Loss as Influenced by Other Agents and by Some Physical Characteristics of the Individual », (1984) 76 </w:t>
            </w:r>
            <w:r w:rsidRPr="007D683F">
              <w:rPr>
                <w:rFonts w:cs="Arial"/>
                <w:i/>
                <w:iCs/>
                <w:color w:val="000000"/>
                <w:sz w:val="20"/>
                <w:lang w:val="en-CA"/>
              </w:rPr>
              <w:t xml:space="preserve">Journal of the Acoustical Society of </w:t>
            </w:r>
            <w:proofErr w:type="spellStart"/>
            <w:proofErr w:type="gramStart"/>
            <w:r w:rsidRPr="007D683F">
              <w:rPr>
                <w:rFonts w:cs="Arial"/>
                <w:i/>
                <w:iCs/>
                <w:color w:val="000000"/>
                <w:sz w:val="20"/>
                <w:lang w:val="en-CA"/>
              </w:rPr>
              <w:t>America,</w:t>
            </w:r>
            <w:r w:rsidRPr="007D683F">
              <w:rPr>
                <w:rFonts w:cs="Arial"/>
                <w:color w:val="000000"/>
                <w:sz w:val="20"/>
                <w:lang w:val="en-CA"/>
              </w:rPr>
              <w:t>pp</w:t>
            </w:r>
            <w:proofErr w:type="spellEnd"/>
            <w:r w:rsidRPr="007D683F">
              <w:rPr>
                <w:rFonts w:cs="Arial"/>
                <w:color w:val="000000"/>
                <w:sz w:val="20"/>
                <w:lang w:val="en-CA"/>
              </w:rPr>
              <w:t>.</w:t>
            </w:r>
            <w:proofErr w:type="gramEnd"/>
            <w:r w:rsidRPr="007D683F">
              <w:rPr>
                <w:rFonts w:cs="Arial"/>
                <w:color w:val="000000"/>
                <w:sz w:val="20"/>
                <w:lang w:val="en-CA"/>
              </w:rPr>
              <w:t xml:space="preserve"> 1318-1329.</w:t>
            </w:r>
          </w:p>
        </w:tc>
      </w:tr>
      <w:tr w:rsidR="00281F67" w:rsidRPr="00B52C45" w14:paraId="2E1B3BE8" w14:textId="77777777" w:rsidTr="00F01825">
        <w:tc>
          <w:tcPr>
            <w:tcW w:w="1980" w:type="dxa"/>
          </w:tcPr>
          <w:p w14:paraId="3C1473BE"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lastRenderedPageBreak/>
              <w:t>T-45</w:t>
            </w:r>
          </w:p>
        </w:tc>
        <w:tc>
          <w:tcPr>
            <w:tcW w:w="7920" w:type="dxa"/>
          </w:tcPr>
          <w:p w14:paraId="77A91F1B" w14:textId="77777777" w:rsidR="00281F67" w:rsidRDefault="00281F67" w:rsidP="00F01825">
            <w:pPr>
              <w:keepNext/>
              <w:keepLines/>
              <w:autoSpaceDE w:val="0"/>
              <w:autoSpaceDN w:val="0"/>
              <w:adjustRightInd w:val="0"/>
              <w:ind w:left="15"/>
              <w:rPr>
                <w:rFonts w:cs="Arial"/>
                <w:color w:val="000000"/>
                <w:sz w:val="20"/>
              </w:rPr>
            </w:pPr>
            <w:r>
              <w:rPr>
                <w:rFonts w:cs="Arial"/>
                <w:color w:val="000000"/>
                <w:sz w:val="20"/>
              </w:rPr>
              <w:t>Modification – page 17.</w:t>
            </w:r>
          </w:p>
        </w:tc>
      </w:tr>
      <w:tr w:rsidR="00281F67" w:rsidRPr="007D683F" w14:paraId="0CE53AF5" w14:textId="77777777" w:rsidTr="00F01825">
        <w:tc>
          <w:tcPr>
            <w:tcW w:w="1980" w:type="dxa"/>
          </w:tcPr>
          <w:p w14:paraId="65D5F8B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T-46</w:t>
            </w:r>
          </w:p>
        </w:tc>
        <w:tc>
          <w:tcPr>
            <w:tcW w:w="7920" w:type="dxa"/>
          </w:tcPr>
          <w:p w14:paraId="5CB4531C"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Y. AGRAWAL </w:t>
            </w:r>
            <w:proofErr w:type="gramStart"/>
            <w:r w:rsidRPr="007D683F">
              <w:rPr>
                <w:rFonts w:cs="Arial"/>
                <w:i/>
                <w:iCs/>
                <w:color w:val="000000"/>
                <w:sz w:val="20"/>
                <w:lang w:val="en-CA"/>
              </w:rPr>
              <w:t>et al.,</w:t>
            </w:r>
            <w:r w:rsidRPr="007D683F">
              <w:rPr>
                <w:rFonts w:cs="Arial"/>
                <w:color w:val="000000"/>
                <w:sz w:val="20"/>
                <w:lang w:val="en-CA"/>
              </w:rPr>
              <w:t>«</w:t>
            </w:r>
            <w:proofErr w:type="gramEnd"/>
            <w:r w:rsidRPr="007D683F">
              <w:rPr>
                <w:rFonts w:cs="Arial"/>
                <w:color w:val="000000"/>
                <w:sz w:val="20"/>
                <w:lang w:val="en-CA"/>
              </w:rPr>
              <w:t xml:space="preserve"> Disorders of Balance and Vestibular Function in US </w:t>
            </w:r>
            <w:proofErr w:type="gramStart"/>
            <w:r w:rsidRPr="007D683F">
              <w:rPr>
                <w:rFonts w:cs="Arial"/>
                <w:color w:val="000000"/>
                <w:sz w:val="20"/>
                <w:lang w:val="en-CA"/>
              </w:rPr>
              <w:t>Adults :</w:t>
            </w:r>
            <w:proofErr w:type="gramEnd"/>
            <w:r w:rsidRPr="007D683F">
              <w:rPr>
                <w:rFonts w:cs="Arial"/>
                <w:color w:val="000000"/>
                <w:sz w:val="20"/>
                <w:lang w:val="en-CA"/>
              </w:rPr>
              <w:t xml:space="preserve"> Data from the National Health and Nutrition Examination Survey, 2001-2004 », (2009) 169 </w:t>
            </w:r>
            <w:r w:rsidRPr="007D683F">
              <w:rPr>
                <w:rFonts w:cs="Arial"/>
                <w:i/>
                <w:iCs/>
                <w:color w:val="000000"/>
                <w:sz w:val="20"/>
                <w:lang w:val="en-CA"/>
              </w:rPr>
              <w:t xml:space="preserve">Archives of Internal </w:t>
            </w:r>
            <w:proofErr w:type="spellStart"/>
            <w:proofErr w:type="gramStart"/>
            <w:r w:rsidRPr="007D683F">
              <w:rPr>
                <w:rFonts w:cs="Arial"/>
                <w:i/>
                <w:iCs/>
                <w:color w:val="000000"/>
                <w:sz w:val="20"/>
                <w:lang w:val="en-CA"/>
              </w:rPr>
              <w:t>Medicine,</w:t>
            </w:r>
            <w:r w:rsidRPr="007D683F">
              <w:rPr>
                <w:rFonts w:cs="Arial"/>
                <w:color w:val="000000"/>
                <w:sz w:val="20"/>
                <w:lang w:val="en-CA"/>
              </w:rPr>
              <w:t>pp</w:t>
            </w:r>
            <w:proofErr w:type="spellEnd"/>
            <w:r w:rsidRPr="007D683F">
              <w:rPr>
                <w:rFonts w:cs="Arial"/>
                <w:color w:val="000000"/>
                <w:sz w:val="20"/>
                <w:lang w:val="en-CA"/>
              </w:rPr>
              <w:t>.</w:t>
            </w:r>
            <w:proofErr w:type="gramEnd"/>
            <w:r w:rsidRPr="007D683F">
              <w:rPr>
                <w:rFonts w:cs="Arial"/>
                <w:color w:val="000000"/>
                <w:sz w:val="20"/>
                <w:lang w:val="en-CA"/>
              </w:rPr>
              <w:t xml:space="preserve"> 938-944.</w:t>
            </w:r>
          </w:p>
        </w:tc>
      </w:tr>
      <w:tr w:rsidR="00281F67" w:rsidRPr="007D683F" w14:paraId="3393C827" w14:textId="77777777" w:rsidTr="00F01825">
        <w:tc>
          <w:tcPr>
            <w:tcW w:w="1980" w:type="dxa"/>
          </w:tcPr>
          <w:p w14:paraId="51137E0D"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T-47</w:t>
            </w:r>
          </w:p>
        </w:tc>
        <w:tc>
          <w:tcPr>
            <w:tcW w:w="7920" w:type="dxa"/>
          </w:tcPr>
          <w:p w14:paraId="73D7A9A3"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r w:rsidRPr="007D683F">
              <w:rPr>
                <w:rFonts w:cs="Arial"/>
                <w:color w:val="000000"/>
                <w:sz w:val="20"/>
                <w:lang w:val="en-CA"/>
              </w:rPr>
              <w:t xml:space="preserve">M.C.J. LEENSEN, J.C. van DUIVENBOODEN et W.A. DRESCHLER, « A Retrospective Analysis of Noise-Induced Hearing Loss in the Dutch Construction Industry », (2011) 84 </w:t>
            </w:r>
            <w:r w:rsidRPr="007D683F">
              <w:rPr>
                <w:rFonts w:cs="Arial"/>
                <w:i/>
                <w:iCs/>
                <w:color w:val="000000"/>
                <w:sz w:val="20"/>
                <w:lang w:val="en-CA"/>
              </w:rPr>
              <w:t xml:space="preserve">International Archives of Occupational and Environmental </w:t>
            </w:r>
            <w:proofErr w:type="spellStart"/>
            <w:proofErr w:type="gramStart"/>
            <w:r w:rsidRPr="007D683F">
              <w:rPr>
                <w:rFonts w:cs="Arial"/>
                <w:i/>
                <w:iCs/>
                <w:color w:val="000000"/>
                <w:sz w:val="20"/>
                <w:lang w:val="en-CA"/>
              </w:rPr>
              <w:t>Health,</w:t>
            </w:r>
            <w:r w:rsidRPr="007D683F">
              <w:rPr>
                <w:rFonts w:cs="Arial"/>
                <w:color w:val="000000"/>
                <w:sz w:val="20"/>
                <w:lang w:val="en-CA"/>
              </w:rPr>
              <w:t>pp</w:t>
            </w:r>
            <w:proofErr w:type="spellEnd"/>
            <w:r w:rsidRPr="007D683F">
              <w:rPr>
                <w:rFonts w:cs="Arial"/>
                <w:color w:val="000000"/>
                <w:sz w:val="20"/>
                <w:lang w:val="en-CA"/>
              </w:rPr>
              <w:t>.</w:t>
            </w:r>
            <w:proofErr w:type="gramEnd"/>
            <w:r w:rsidRPr="007D683F">
              <w:rPr>
                <w:rFonts w:cs="Arial"/>
                <w:color w:val="000000"/>
                <w:sz w:val="20"/>
                <w:lang w:val="en-CA"/>
              </w:rPr>
              <w:t xml:space="preserve"> 577-590.</w:t>
            </w:r>
          </w:p>
        </w:tc>
      </w:tr>
      <w:tr w:rsidR="00281F67" w:rsidRPr="00B52C45" w14:paraId="02CE03EA" w14:textId="77777777" w:rsidTr="00F01825">
        <w:tc>
          <w:tcPr>
            <w:tcW w:w="1980" w:type="dxa"/>
          </w:tcPr>
          <w:p w14:paraId="47725643"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T-48</w:t>
            </w:r>
          </w:p>
        </w:tc>
        <w:tc>
          <w:tcPr>
            <w:tcW w:w="7920" w:type="dxa"/>
          </w:tcPr>
          <w:p w14:paraId="086416DE" w14:textId="77777777" w:rsidR="00281F67" w:rsidRDefault="00281F67" w:rsidP="00050A4F">
            <w:pPr>
              <w:keepNext/>
              <w:keepLines/>
              <w:autoSpaceDE w:val="0"/>
              <w:autoSpaceDN w:val="0"/>
              <w:adjustRightInd w:val="0"/>
              <w:spacing w:after="120"/>
              <w:ind w:left="17"/>
              <w:jc w:val="both"/>
              <w:rPr>
                <w:rFonts w:cs="Arial"/>
                <w:color w:val="000000"/>
                <w:sz w:val="20"/>
              </w:rPr>
            </w:pPr>
            <w:r>
              <w:rPr>
                <w:rFonts w:cs="Arial"/>
                <w:color w:val="000000"/>
                <w:sz w:val="20"/>
              </w:rPr>
              <w:t xml:space="preserve">Facturation des services externes pour les responsabilités autres que celles du </w:t>
            </w:r>
            <w:proofErr w:type="gramStart"/>
            <w:r>
              <w:rPr>
                <w:rFonts w:cs="Arial"/>
                <w:color w:val="000000"/>
                <w:sz w:val="20"/>
              </w:rPr>
              <w:t>Ministère</w:t>
            </w:r>
            <w:proofErr w:type="gramEnd"/>
            <w:r>
              <w:rPr>
                <w:rFonts w:cs="Arial"/>
                <w:color w:val="000000"/>
                <w:sz w:val="20"/>
              </w:rPr>
              <w:t xml:space="preserve"> de la Santé et des Services sociaux (MSSS) – annexe à la circulaire 2013-028 (03.01.42.19).</w:t>
            </w:r>
          </w:p>
        </w:tc>
      </w:tr>
      <w:tr w:rsidR="00281F67" w:rsidRPr="007D683F" w14:paraId="07B5C68A" w14:textId="77777777" w:rsidTr="00F01825">
        <w:tc>
          <w:tcPr>
            <w:tcW w:w="1980" w:type="dxa"/>
          </w:tcPr>
          <w:p w14:paraId="3478E380" w14:textId="77777777" w:rsidR="00281F67" w:rsidRDefault="00281F67" w:rsidP="00F01825">
            <w:pPr>
              <w:autoSpaceDE w:val="0"/>
              <w:autoSpaceDN w:val="0"/>
              <w:adjustRightInd w:val="0"/>
              <w:spacing w:after="120" w:line="240" w:lineRule="atLeast"/>
              <w:ind w:left="708" w:hanging="708"/>
              <w:jc w:val="both"/>
              <w:rPr>
                <w:rFonts w:cs="Arial"/>
                <w:b/>
                <w:color w:val="000000"/>
                <w:sz w:val="22"/>
                <w:szCs w:val="22"/>
                <w:lang w:val="en-CA"/>
              </w:rPr>
            </w:pPr>
            <w:r>
              <w:rPr>
                <w:rFonts w:cs="Arial"/>
                <w:b/>
                <w:color w:val="000000"/>
                <w:sz w:val="22"/>
                <w:szCs w:val="22"/>
                <w:lang w:val="en-CA"/>
              </w:rPr>
              <w:t>T-49</w:t>
            </w:r>
          </w:p>
        </w:tc>
        <w:tc>
          <w:tcPr>
            <w:tcW w:w="7920" w:type="dxa"/>
          </w:tcPr>
          <w:p w14:paraId="1CBC87E3" w14:textId="77777777" w:rsidR="00281F67" w:rsidRPr="007D683F" w:rsidRDefault="00281F67" w:rsidP="00050A4F">
            <w:pPr>
              <w:keepNext/>
              <w:keepLines/>
              <w:autoSpaceDE w:val="0"/>
              <w:autoSpaceDN w:val="0"/>
              <w:adjustRightInd w:val="0"/>
              <w:spacing w:after="120"/>
              <w:ind w:left="17"/>
              <w:jc w:val="both"/>
              <w:rPr>
                <w:rFonts w:cs="Arial"/>
                <w:color w:val="000000"/>
                <w:sz w:val="20"/>
                <w:lang w:val="en-CA"/>
              </w:rPr>
            </w:pPr>
            <w:proofErr w:type="spellStart"/>
            <w:r w:rsidRPr="007D683F">
              <w:rPr>
                <w:rFonts w:cs="Arial"/>
                <w:color w:val="000000"/>
                <w:sz w:val="20"/>
                <w:lang w:val="en-CA"/>
              </w:rPr>
              <w:t>Correspondance</w:t>
            </w:r>
            <w:proofErr w:type="spellEnd"/>
            <w:r w:rsidRPr="007D683F">
              <w:rPr>
                <w:rFonts w:cs="Arial"/>
                <w:color w:val="000000"/>
                <w:sz w:val="20"/>
                <w:lang w:val="en-CA"/>
              </w:rPr>
              <w:t xml:space="preserve"> du 28 </w:t>
            </w:r>
            <w:proofErr w:type="spellStart"/>
            <w:r w:rsidRPr="007D683F">
              <w:rPr>
                <w:rFonts w:cs="Arial"/>
                <w:color w:val="000000"/>
                <w:sz w:val="20"/>
                <w:lang w:val="en-CA"/>
              </w:rPr>
              <w:t>avril</w:t>
            </w:r>
            <w:proofErr w:type="spellEnd"/>
            <w:r w:rsidRPr="007D683F">
              <w:rPr>
                <w:rFonts w:cs="Arial"/>
                <w:color w:val="000000"/>
                <w:sz w:val="20"/>
                <w:lang w:val="en-CA"/>
              </w:rPr>
              <w:t xml:space="preserve"> 2015 de M. Tony Leroux </w:t>
            </w:r>
            <w:proofErr w:type="spellStart"/>
            <w:r w:rsidRPr="007D683F">
              <w:rPr>
                <w:rFonts w:cs="Arial"/>
                <w:color w:val="000000"/>
                <w:sz w:val="20"/>
                <w:lang w:val="en-CA"/>
              </w:rPr>
              <w:t>en</w:t>
            </w:r>
            <w:proofErr w:type="spellEnd"/>
            <w:r w:rsidRPr="007D683F">
              <w:rPr>
                <w:rFonts w:cs="Arial"/>
                <w:color w:val="000000"/>
                <w:sz w:val="20"/>
                <w:lang w:val="en-CA"/>
              </w:rPr>
              <w:t xml:space="preserve"> </w:t>
            </w:r>
            <w:proofErr w:type="spellStart"/>
            <w:r w:rsidRPr="007D683F">
              <w:rPr>
                <w:rFonts w:cs="Arial"/>
                <w:color w:val="000000"/>
                <w:sz w:val="20"/>
                <w:lang w:val="en-CA"/>
              </w:rPr>
              <w:t>réponse</w:t>
            </w:r>
            <w:proofErr w:type="spellEnd"/>
            <w:r w:rsidRPr="007D683F">
              <w:rPr>
                <w:rFonts w:cs="Arial"/>
                <w:color w:val="000000"/>
                <w:sz w:val="20"/>
                <w:lang w:val="en-CA"/>
              </w:rPr>
              <w:t xml:space="preserve"> aux </w:t>
            </w:r>
            <w:proofErr w:type="spellStart"/>
            <w:r w:rsidRPr="007D683F">
              <w:rPr>
                <w:rFonts w:cs="Arial"/>
                <w:color w:val="000000"/>
                <w:sz w:val="20"/>
                <w:lang w:val="en-CA"/>
              </w:rPr>
              <w:t>commentaires</w:t>
            </w:r>
            <w:proofErr w:type="spellEnd"/>
            <w:r w:rsidRPr="007D683F">
              <w:rPr>
                <w:rFonts w:cs="Arial"/>
                <w:color w:val="000000"/>
                <w:sz w:val="20"/>
                <w:lang w:val="en-CA"/>
              </w:rPr>
              <w:t xml:space="preserve"> du D</w:t>
            </w:r>
            <w:r w:rsidRPr="007D683F">
              <w:rPr>
                <w:rFonts w:cs="Arial"/>
                <w:color w:val="000000"/>
                <w:sz w:val="20"/>
                <w:vertAlign w:val="superscript"/>
                <w:lang w:val="en-CA"/>
              </w:rPr>
              <w:t>r</w:t>
            </w:r>
            <w:r w:rsidRPr="007D683F">
              <w:rPr>
                <w:rFonts w:cs="Arial"/>
                <w:color w:val="000000"/>
                <w:sz w:val="20"/>
                <w:lang w:val="en-CA"/>
              </w:rPr>
              <w:t xml:space="preserve"> Robert A. Bertrand </w:t>
            </w:r>
            <w:proofErr w:type="spellStart"/>
            <w:r w:rsidRPr="007D683F">
              <w:rPr>
                <w:rFonts w:cs="Arial"/>
                <w:color w:val="000000"/>
                <w:sz w:val="20"/>
                <w:lang w:val="en-CA"/>
              </w:rPr>
              <w:t>en</w:t>
            </w:r>
            <w:proofErr w:type="spellEnd"/>
            <w:r w:rsidRPr="007D683F">
              <w:rPr>
                <w:rFonts w:cs="Arial"/>
                <w:color w:val="000000"/>
                <w:sz w:val="20"/>
                <w:lang w:val="en-CA"/>
              </w:rPr>
              <w:t xml:space="preserve"> date du 27 </w:t>
            </w:r>
            <w:proofErr w:type="spellStart"/>
            <w:r w:rsidRPr="007D683F">
              <w:rPr>
                <w:rFonts w:cs="Arial"/>
                <w:color w:val="000000"/>
                <w:sz w:val="20"/>
                <w:lang w:val="en-CA"/>
              </w:rPr>
              <w:t>avril</w:t>
            </w:r>
            <w:proofErr w:type="spellEnd"/>
            <w:r w:rsidRPr="007D683F">
              <w:rPr>
                <w:rFonts w:cs="Arial"/>
                <w:color w:val="000000"/>
                <w:sz w:val="20"/>
                <w:lang w:val="en-CA"/>
              </w:rPr>
              <w:t xml:space="preserve"> 2015 et E.A. MASTERSON </w:t>
            </w:r>
            <w:proofErr w:type="gramStart"/>
            <w:r w:rsidRPr="007D683F">
              <w:rPr>
                <w:rFonts w:cs="Arial"/>
                <w:i/>
                <w:iCs/>
                <w:color w:val="000000"/>
                <w:sz w:val="20"/>
                <w:lang w:val="en-CA"/>
              </w:rPr>
              <w:t>et al.,</w:t>
            </w:r>
            <w:r w:rsidRPr="007D683F">
              <w:rPr>
                <w:rFonts w:cs="Arial"/>
                <w:color w:val="000000"/>
                <w:sz w:val="20"/>
                <w:lang w:val="en-CA"/>
              </w:rPr>
              <w:t>«</w:t>
            </w:r>
            <w:proofErr w:type="gramEnd"/>
            <w:r w:rsidRPr="007D683F">
              <w:rPr>
                <w:rFonts w:cs="Arial"/>
                <w:color w:val="000000"/>
                <w:sz w:val="20"/>
                <w:lang w:val="en-CA"/>
              </w:rPr>
              <w:t xml:space="preserve"> Prevalence of Hearing Loss in the United States by Industry », (2013) 56 </w:t>
            </w:r>
            <w:r w:rsidRPr="007D683F">
              <w:rPr>
                <w:rFonts w:cs="Arial"/>
                <w:i/>
                <w:iCs/>
                <w:color w:val="000000"/>
                <w:sz w:val="20"/>
                <w:lang w:val="en-CA"/>
              </w:rPr>
              <w:t xml:space="preserve">American Journal of Industrial Medicine, </w:t>
            </w:r>
            <w:r w:rsidRPr="007D683F">
              <w:rPr>
                <w:rFonts w:cs="Arial"/>
                <w:color w:val="000000"/>
                <w:sz w:val="20"/>
                <w:lang w:val="en-CA"/>
              </w:rPr>
              <w:t>pp. 670-681.</w:t>
            </w:r>
          </w:p>
        </w:tc>
      </w:tr>
    </w:tbl>
    <w:p w14:paraId="638E6303" w14:textId="77777777" w:rsidR="00281F67" w:rsidRPr="007D683F" w:rsidRDefault="00281F67" w:rsidP="00281F67">
      <w:pPr>
        <w:rPr>
          <w:lang w:val="en-CA"/>
        </w:rPr>
      </w:pPr>
    </w:p>
    <w:sectPr w:rsidR="00281F67" w:rsidRPr="007D683F" w:rsidSect="000D65D9">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2734" w14:textId="77777777" w:rsidR="00875DF6" w:rsidRDefault="00875DF6">
      <w:r>
        <w:separator/>
      </w:r>
    </w:p>
  </w:endnote>
  <w:endnote w:type="continuationSeparator" w:id="0">
    <w:p w14:paraId="5E9B924F" w14:textId="77777777" w:rsidR="00875DF6" w:rsidRDefault="0087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F8C5" w14:textId="77777777" w:rsidR="00AD31B4" w:rsidRDefault="00AD3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8EAF" w14:textId="77777777" w:rsidR="00AD31B4" w:rsidRDefault="00AD3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7E49" w14:textId="77777777" w:rsidR="00AD31B4" w:rsidRDefault="00AD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7757" w14:textId="77777777" w:rsidR="00875DF6" w:rsidRDefault="00875DF6">
      <w:r>
        <w:separator/>
      </w:r>
    </w:p>
  </w:footnote>
  <w:footnote w:type="continuationSeparator" w:id="0">
    <w:p w14:paraId="13316381" w14:textId="77777777" w:rsidR="00875DF6" w:rsidRDefault="00875DF6">
      <w:r>
        <w:continuationSeparator/>
      </w:r>
    </w:p>
  </w:footnote>
  <w:footnote w:id="1">
    <w:p w14:paraId="1A4A9DFA" w14:textId="77777777" w:rsidR="00C371BE" w:rsidRPr="00DB2291" w:rsidRDefault="00C371BE" w:rsidP="00DB2291">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D073DF">
        <w:rPr>
          <w:sz w:val="20"/>
        </w:rPr>
        <w:t>RLRQ, c.S-2.1, r.1</w:t>
      </w:r>
      <w:r>
        <w:rPr>
          <w:sz w:val="20"/>
        </w:rPr>
        <w:t>1</w:t>
      </w:r>
      <w:r w:rsidRPr="00D073DF">
        <w:rPr>
          <w:sz w:val="20"/>
        </w:rPr>
        <w:t>.</w:t>
      </w:r>
    </w:p>
  </w:footnote>
  <w:footnote w:id="2">
    <w:p w14:paraId="3B9B37DE" w14:textId="77777777" w:rsidR="00C371BE" w:rsidRPr="00E87E74" w:rsidRDefault="00C371BE" w:rsidP="00E87E74">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c.S-2.1, r.13.</w:t>
      </w:r>
    </w:p>
  </w:footnote>
  <w:footnote w:id="3">
    <w:p w14:paraId="4CBB1464" w14:textId="77777777" w:rsidR="00C371BE" w:rsidRPr="00DE32ED" w:rsidRDefault="00C371BE" w:rsidP="00BB000F">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Pr>
          <w:rFonts w:cs="Arial"/>
          <w:i/>
          <w:sz w:val="20"/>
        </w:rPr>
        <w:t>Boies</w:t>
      </w:r>
      <w:r>
        <w:rPr>
          <w:rFonts w:cs="Arial"/>
          <w:sz w:val="20"/>
        </w:rPr>
        <w:t xml:space="preserve"> et </w:t>
      </w:r>
      <w:r>
        <w:rPr>
          <w:rFonts w:cs="Arial"/>
          <w:i/>
          <w:sz w:val="20"/>
        </w:rPr>
        <w:t>C.S.S.S. Québec-Nord</w:t>
      </w:r>
      <w:r>
        <w:rPr>
          <w:rFonts w:cs="Arial"/>
          <w:sz w:val="20"/>
        </w:rPr>
        <w:t xml:space="preserve"> et </w:t>
      </w:r>
      <w:r>
        <w:rPr>
          <w:rFonts w:cs="Arial"/>
          <w:i/>
          <w:sz w:val="20"/>
        </w:rPr>
        <w:t xml:space="preserve">CSST, </w:t>
      </w:r>
      <w:r>
        <w:rPr>
          <w:rFonts w:cs="Arial"/>
          <w:sz w:val="20"/>
        </w:rPr>
        <w:t xml:space="preserve">2011 QCCLP 2775; </w:t>
      </w:r>
      <w:r>
        <w:rPr>
          <w:rFonts w:cs="Arial"/>
          <w:i/>
          <w:sz w:val="20"/>
        </w:rPr>
        <w:t xml:space="preserve">Bolduc </w:t>
      </w:r>
      <w:r>
        <w:rPr>
          <w:rFonts w:cs="Arial"/>
          <w:sz w:val="20"/>
        </w:rPr>
        <w:t xml:space="preserve">et </w:t>
      </w:r>
      <w:r>
        <w:rPr>
          <w:rFonts w:cs="Arial"/>
          <w:i/>
          <w:sz w:val="20"/>
        </w:rPr>
        <w:t>André Pélissier inc. et al</w:t>
      </w:r>
      <w:r>
        <w:rPr>
          <w:rFonts w:cs="Arial"/>
          <w:sz w:val="20"/>
        </w:rPr>
        <w:t xml:space="preserve">., 2012 QCCLP 4832; </w:t>
      </w:r>
      <w:r>
        <w:rPr>
          <w:rFonts w:cs="Arial"/>
          <w:i/>
          <w:sz w:val="20"/>
        </w:rPr>
        <w:t xml:space="preserve">D’Ambrosio </w:t>
      </w:r>
      <w:r>
        <w:rPr>
          <w:rFonts w:cs="Arial"/>
          <w:sz w:val="20"/>
        </w:rPr>
        <w:t xml:space="preserve">et </w:t>
      </w:r>
      <w:r>
        <w:rPr>
          <w:rFonts w:cs="Arial"/>
          <w:i/>
          <w:sz w:val="20"/>
        </w:rPr>
        <w:t>Vêtements Golden Brand Canada ltée</w:t>
      </w:r>
      <w:r>
        <w:rPr>
          <w:rFonts w:cs="Arial"/>
          <w:sz w:val="20"/>
        </w:rPr>
        <w:t xml:space="preserve">, 2012 QCCLP 5170; </w:t>
      </w:r>
      <w:r>
        <w:rPr>
          <w:rFonts w:cs="Arial"/>
          <w:i/>
          <w:sz w:val="20"/>
        </w:rPr>
        <w:t xml:space="preserve">D’Astous </w:t>
      </w:r>
      <w:r>
        <w:rPr>
          <w:rFonts w:cs="Arial"/>
          <w:sz w:val="20"/>
        </w:rPr>
        <w:t xml:space="preserve">et </w:t>
      </w:r>
      <w:r>
        <w:rPr>
          <w:rFonts w:cs="Arial"/>
          <w:i/>
          <w:sz w:val="20"/>
        </w:rPr>
        <w:t>Anglo Canadian Pulp ltd (f) et al</w:t>
      </w:r>
      <w:r>
        <w:rPr>
          <w:rFonts w:cs="Arial"/>
          <w:sz w:val="20"/>
        </w:rPr>
        <w:t xml:space="preserve">, 2014 QCCLP 1731; </w:t>
      </w:r>
      <w:r>
        <w:rPr>
          <w:rFonts w:cs="Arial"/>
          <w:i/>
          <w:sz w:val="20"/>
        </w:rPr>
        <w:t xml:space="preserve">Silos Port-Cartier </w:t>
      </w:r>
      <w:r>
        <w:rPr>
          <w:rFonts w:cs="Arial"/>
          <w:sz w:val="20"/>
        </w:rPr>
        <w:t xml:space="preserve">et </w:t>
      </w:r>
      <w:r>
        <w:rPr>
          <w:rFonts w:cs="Arial"/>
          <w:i/>
          <w:sz w:val="20"/>
        </w:rPr>
        <w:t>Roy</w:t>
      </w:r>
      <w:r>
        <w:rPr>
          <w:rFonts w:cs="Arial"/>
          <w:sz w:val="20"/>
        </w:rPr>
        <w:t xml:space="preserve">, 2013 QCCLP 5557; </w:t>
      </w:r>
      <w:r>
        <w:rPr>
          <w:rFonts w:cs="Arial"/>
          <w:i/>
          <w:sz w:val="20"/>
        </w:rPr>
        <w:t xml:space="preserve">Racine </w:t>
      </w:r>
      <w:r>
        <w:rPr>
          <w:rFonts w:cs="Arial"/>
          <w:sz w:val="20"/>
        </w:rPr>
        <w:t xml:space="preserve">et </w:t>
      </w:r>
      <w:r>
        <w:rPr>
          <w:rFonts w:cs="Arial"/>
          <w:i/>
          <w:sz w:val="20"/>
        </w:rPr>
        <w:t>Postes Canada – RHDCC Direction travail</w:t>
      </w:r>
      <w:r>
        <w:rPr>
          <w:rFonts w:cs="Arial"/>
          <w:sz w:val="20"/>
        </w:rPr>
        <w:t>, C.L.P. 273250-31-0510, 7</w:t>
      </w:r>
      <w:r w:rsidR="006E5F92">
        <w:rPr>
          <w:rFonts w:cs="Arial"/>
          <w:sz w:val="20"/>
        </w:rPr>
        <w:t> </w:t>
      </w:r>
      <w:r>
        <w:rPr>
          <w:rFonts w:cs="Arial"/>
          <w:sz w:val="20"/>
        </w:rPr>
        <w:t xml:space="preserve">mars 2007, J.-L. Rivard; </w:t>
      </w:r>
      <w:r>
        <w:rPr>
          <w:rFonts w:cs="Arial"/>
          <w:i/>
          <w:sz w:val="20"/>
        </w:rPr>
        <w:t xml:space="preserve">Leblanc </w:t>
      </w:r>
      <w:r>
        <w:rPr>
          <w:rFonts w:cs="Arial"/>
          <w:sz w:val="20"/>
        </w:rPr>
        <w:t xml:space="preserve">et </w:t>
      </w:r>
      <w:r>
        <w:rPr>
          <w:rFonts w:cs="Arial"/>
          <w:i/>
          <w:sz w:val="20"/>
        </w:rPr>
        <w:t>Centre Aluminium du Nord (f) et al</w:t>
      </w:r>
      <w:r>
        <w:rPr>
          <w:rFonts w:cs="Arial"/>
          <w:sz w:val="20"/>
        </w:rPr>
        <w:t xml:space="preserve">, 2013 QCCLP 2557; </w:t>
      </w:r>
      <w:r>
        <w:rPr>
          <w:rFonts w:cs="Arial"/>
          <w:i/>
          <w:sz w:val="20"/>
        </w:rPr>
        <w:t>Manufacture lingerie Château</w:t>
      </w:r>
      <w:r>
        <w:rPr>
          <w:rFonts w:cs="Arial"/>
          <w:sz w:val="20"/>
        </w:rPr>
        <w:t xml:space="preserve"> et </w:t>
      </w:r>
      <w:r>
        <w:rPr>
          <w:rFonts w:cs="Arial"/>
          <w:i/>
          <w:sz w:val="20"/>
        </w:rPr>
        <w:t>Intimes Nouvelles Seamless inc. et al</w:t>
      </w:r>
      <w:r>
        <w:rPr>
          <w:rFonts w:cs="Arial"/>
          <w:sz w:val="20"/>
        </w:rPr>
        <w:t xml:space="preserve">, 2014 QCCLP 5569; </w:t>
      </w:r>
      <w:r>
        <w:rPr>
          <w:rFonts w:cs="Arial"/>
          <w:i/>
          <w:sz w:val="20"/>
        </w:rPr>
        <w:t xml:space="preserve">Compagnie de recyclage de papier MD </w:t>
      </w:r>
      <w:r>
        <w:rPr>
          <w:rFonts w:cs="Arial"/>
          <w:sz w:val="20"/>
        </w:rPr>
        <w:t xml:space="preserve">et </w:t>
      </w:r>
      <w:r w:rsidRPr="005C4DF9">
        <w:rPr>
          <w:rFonts w:cs="Arial"/>
          <w:i/>
          <w:sz w:val="20"/>
        </w:rPr>
        <w:t>Virahsawmy</w:t>
      </w:r>
      <w:r>
        <w:rPr>
          <w:rFonts w:cs="Arial"/>
          <w:i/>
          <w:sz w:val="20"/>
        </w:rPr>
        <w:t xml:space="preserve"> et al</w:t>
      </w:r>
      <w:r>
        <w:rPr>
          <w:rFonts w:cs="Arial"/>
          <w:sz w:val="20"/>
        </w:rPr>
        <w:t xml:space="preserve">, 2011 QCCLP 2405; </w:t>
      </w:r>
      <w:r>
        <w:rPr>
          <w:rFonts w:cs="Arial"/>
          <w:i/>
          <w:sz w:val="20"/>
        </w:rPr>
        <w:t xml:space="preserve">Cloutier </w:t>
      </w:r>
      <w:r>
        <w:rPr>
          <w:rFonts w:cs="Arial"/>
          <w:sz w:val="20"/>
        </w:rPr>
        <w:t xml:space="preserve">et </w:t>
      </w:r>
      <w:r>
        <w:rPr>
          <w:rFonts w:cs="Arial"/>
          <w:i/>
          <w:sz w:val="20"/>
        </w:rPr>
        <w:t xml:space="preserve">Acier Leroux inc., </w:t>
      </w:r>
      <w:r>
        <w:rPr>
          <w:rFonts w:cs="Arial"/>
          <w:sz w:val="20"/>
        </w:rPr>
        <w:t xml:space="preserve">C.L.P. 341622-62-0803, 28 octobre 2009, M. Auclair; </w:t>
      </w:r>
      <w:r>
        <w:rPr>
          <w:rFonts w:cs="Arial"/>
          <w:i/>
          <w:sz w:val="20"/>
        </w:rPr>
        <w:t xml:space="preserve">Després </w:t>
      </w:r>
      <w:r>
        <w:rPr>
          <w:rFonts w:cs="Arial"/>
          <w:sz w:val="20"/>
        </w:rPr>
        <w:t xml:space="preserve">et </w:t>
      </w:r>
      <w:r>
        <w:rPr>
          <w:rFonts w:cs="Arial"/>
          <w:i/>
          <w:sz w:val="20"/>
        </w:rPr>
        <w:t>Société canadienne des postes – RHDCC Direction travail</w:t>
      </w:r>
      <w:r>
        <w:rPr>
          <w:rFonts w:cs="Arial"/>
          <w:sz w:val="20"/>
        </w:rPr>
        <w:t xml:space="preserve">, C.L.P. 278916-71-0512, 6 août 2009, F. Charbonneau; </w:t>
      </w:r>
      <w:r>
        <w:rPr>
          <w:rFonts w:cs="Arial"/>
          <w:i/>
          <w:sz w:val="20"/>
        </w:rPr>
        <w:t>St</w:t>
      </w:r>
      <w:r>
        <w:rPr>
          <w:rFonts w:cs="Arial"/>
          <w:i/>
          <w:sz w:val="20"/>
        </w:rPr>
        <w:noBreakHyphen/>
        <w:t>Jean</w:t>
      </w:r>
      <w:r>
        <w:rPr>
          <w:rFonts w:cs="Arial"/>
          <w:sz w:val="20"/>
        </w:rPr>
        <w:t xml:space="preserve"> et </w:t>
      </w:r>
      <w:r>
        <w:rPr>
          <w:rFonts w:cs="Arial"/>
          <w:i/>
          <w:sz w:val="20"/>
        </w:rPr>
        <w:t>Concrète Construction inc. (f) et al</w:t>
      </w:r>
      <w:r>
        <w:rPr>
          <w:rFonts w:cs="Arial"/>
          <w:sz w:val="20"/>
        </w:rPr>
        <w:t xml:space="preserve">, 2011 QCCLP 7005; </w:t>
      </w:r>
      <w:r>
        <w:rPr>
          <w:rFonts w:cs="Arial"/>
          <w:i/>
          <w:sz w:val="20"/>
        </w:rPr>
        <w:t>Yockell</w:t>
      </w:r>
      <w:r>
        <w:rPr>
          <w:rFonts w:cs="Arial"/>
          <w:sz w:val="20"/>
        </w:rPr>
        <w:t xml:space="preserve">, 2011 QCCLP 1122; </w:t>
      </w:r>
      <w:r>
        <w:rPr>
          <w:rFonts w:cs="Arial"/>
          <w:i/>
          <w:sz w:val="20"/>
        </w:rPr>
        <w:t>Société Groupe embouteillage Pepsi (Canada)</w:t>
      </w:r>
      <w:r>
        <w:rPr>
          <w:rFonts w:cs="Arial"/>
          <w:sz w:val="20"/>
        </w:rPr>
        <w:t xml:space="preserve"> et </w:t>
      </w:r>
      <w:r>
        <w:rPr>
          <w:rFonts w:cs="Arial"/>
          <w:i/>
          <w:sz w:val="20"/>
        </w:rPr>
        <w:t>Turmel et al</w:t>
      </w:r>
      <w:r>
        <w:rPr>
          <w:rFonts w:cs="Arial"/>
          <w:sz w:val="20"/>
        </w:rPr>
        <w:t>, C.L.P. 311175-05-0703, 5 février 2008, M. Allard.</w:t>
      </w:r>
    </w:p>
  </w:footnote>
  <w:footnote w:id="4">
    <w:p w14:paraId="400A2AE0" w14:textId="77777777" w:rsidR="00C371BE" w:rsidRPr="00F721E1" w:rsidRDefault="00C371BE" w:rsidP="006F56D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2013 QCCLP 5505.</w:t>
      </w:r>
    </w:p>
  </w:footnote>
  <w:footnote w:id="5">
    <w:p w14:paraId="611BB874" w14:textId="77777777" w:rsidR="00C371BE" w:rsidRPr="00581CD6" w:rsidRDefault="00C371BE" w:rsidP="002F2A20">
      <w:pPr>
        <w:pStyle w:val="FootnoteText"/>
        <w:tabs>
          <w:tab w:val="left" w:pos="720"/>
        </w:tabs>
        <w:ind w:left="720" w:hanging="720"/>
        <w:jc w:val="both"/>
        <w:rPr>
          <w:rFonts w:cs="Arial"/>
          <w:sz w:val="20"/>
        </w:rPr>
      </w:pPr>
      <w:r>
        <w:rPr>
          <w:rStyle w:val="FootnoteReference"/>
        </w:rPr>
        <w:footnoteRef/>
      </w:r>
      <w:r>
        <w:t xml:space="preserve"> </w:t>
      </w:r>
      <w:r w:rsidR="006C624C">
        <w:rPr>
          <w:rFonts w:cs="Arial"/>
          <w:sz w:val="20"/>
        </w:rPr>
        <w:tab/>
        <w:t>C.L.P. 426</w:t>
      </w:r>
      <w:r>
        <w:rPr>
          <w:rFonts w:cs="Arial"/>
          <w:sz w:val="20"/>
        </w:rPr>
        <w:t>905-01A-1012, 28 octobre 2011, R. Arseneau.</w:t>
      </w:r>
    </w:p>
  </w:footnote>
  <w:footnote w:id="6">
    <w:p w14:paraId="7F801540" w14:textId="77777777" w:rsidR="00C371BE" w:rsidRPr="000550DE" w:rsidRDefault="00C371BE" w:rsidP="000550D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2013 QCCLP 2855.</w:t>
      </w:r>
    </w:p>
  </w:footnote>
  <w:footnote w:id="7">
    <w:p w14:paraId="6FBC33A8" w14:textId="77777777" w:rsidR="00C371BE" w:rsidRPr="00DE462C" w:rsidRDefault="00C371BE" w:rsidP="00DE462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0550DE">
        <w:rPr>
          <w:rFonts w:cs="Arial"/>
          <w:i/>
          <w:sz w:val="20"/>
        </w:rPr>
        <w:t>Bermex international inc</w:t>
      </w:r>
      <w:r>
        <w:rPr>
          <w:rFonts w:cs="Arial"/>
          <w:sz w:val="20"/>
        </w:rPr>
        <w:t xml:space="preserve">. et </w:t>
      </w:r>
      <w:r w:rsidRPr="003D2001">
        <w:rPr>
          <w:rFonts w:cs="Arial"/>
          <w:i/>
          <w:sz w:val="20"/>
        </w:rPr>
        <w:t>Rouleau</w:t>
      </w:r>
      <w:r>
        <w:rPr>
          <w:rFonts w:cs="Arial"/>
          <w:sz w:val="20"/>
        </w:rPr>
        <w:t>, C.L.P. 233846-04-0405, 22 février 2006, G. Tardif.</w:t>
      </w:r>
    </w:p>
  </w:footnote>
  <w:footnote w:id="8">
    <w:p w14:paraId="2216942B" w14:textId="77777777" w:rsidR="00C371BE" w:rsidRPr="008C57D6" w:rsidRDefault="00C371BE" w:rsidP="008C57D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C.L.P. 529103-62C-1312, 14 juillet 2015, S. Sylvestre.</w:t>
      </w:r>
    </w:p>
  </w:footnote>
  <w:footnote w:id="9">
    <w:p w14:paraId="573EEAE5" w14:textId="77777777" w:rsidR="00C371BE" w:rsidRPr="001C2F1C" w:rsidRDefault="00C371BE" w:rsidP="001C2F1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c.A-3.001, r.2.</w:t>
      </w:r>
    </w:p>
  </w:footnote>
  <w:footnote w:id="10">
    <w:p w14:paraId="23C632A7" w14:textId="77777777" w:rsidR="00C371BE" w:rsidRPr="00774D7C" w:rsidRDefault="00C371BE" w:rsidP="00774D7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774D7C">
        <w:rPr>
          <w:rFonts w:cs="Arial"/>
          <w:i/>
          <w:sz w:val="20"/>
        </w:rPr>
        <w:t>Farell</w:t>
      </w:r>
      <w:r>
        <w:rPr>
          <w:rFonts w:cs="Arial"/>
          <w:sz w:val="20"/>
        </w:rPr>
        <w:t xml:space="preserve"> c. </w:t>
      </w:r>
      <w:r w:rsidRPr="00774D7C">
        <w:rPr>
          <w:rFonts w:cs="Arial"/>
          <w:i/>
          <w:sz w:val="20"/>
        </w:rPr>
        <w:t>Snell</w:t>
      </w:r>
      <w:r>
        <w:rPr>
          <w:rFonts w:cs="Arial"/>
          <w:sz w:val="20"/>
        </w:rPr>
        <w:t xml:space="preserve">, [1999] 2 R.C.S. 311; Voir également </w:t>
      </w:r>
      <w:r w:rsidRPr="00774D7C">
        <w:rPr>
          <w:rFonts w:cs="Arial"/>
          <w:i/>
          <w:sz w:val="20"/>
        </w:rPr>
        <w:t xml:space="preserve">Poirier </w:t>
      </w:r>
      <w:r>
        <w:rPr>
          <w:rFonts w:cs="Arial"/>
          <w:sz w:val="20"/>
        </w:rPr>
        <w:t xml:space="preserve">et </w:t>
      </w:r>
      <w:r w:rsidRPr="00774D7C">
        <w:rPr>
          <w:rFonts w:cs="Arial"/>
          <w:i/>
          <w:sz w:val="20"/>
        </w:rPr>
        <w:t>Produits forestiers Arbec inc</w:t>
      </w:r>
      <w:r>
        <w:rPr>
          <w:rFonts w:cs="Arial"/>
          <w:sz w:val="20"/>
        </w:rPr>
        <w:t xml:space="preserve">. et </w:t>
      </w:r>
      <w:r w:rsidRPr="00364071">
        <w:rPr>
          <w:rFonts w:cs="Arial"/>
          <w:i/>
          <w:sz w:val="20"/>
        </w:rPr>
        <w:t>S.D.A.T</w:t>
      </w:r>
      <w:r>
        <w:rPr>
          <w:rFonts w:cs="Arial"/>
          <w:sz w:val="20"/>
        </w:rPr>
        <w:t xml:space="preserve">., C.L.P. 323848-09-0707, 28 juin 2008; </w:t>
      </w:r>
      <w:r w:rsidRPr="005D2015">
        <w:rPr>
          <w:i/>
          <w:sz w:val="20"/>
        </w:rPr>
        <w:t>Chiasson</w:t>
      </w:r>
      <w:r w:rsidRPr="005D2015">
        <w:rPr>
          <w:sz w:val="20"/>
        </w:rPr>
        <w:t xml:space="preserve"> c. </w:t>
      </w:r>
      <w:r w:rsidRPr="005D2015">
        <w:rPr>
          <w:i/>
          <w:sz w:val="20"/>
        </w:rPr>
        <w:t>C.A.L.P</w:t>
      </w:r>
      <w:r w:rsidR="00364071">
        <w:rPr>
          <w:i/>
          <w:sz w:val="20"/>
        </w:rPr>
        <w:t>.,</w:t>
      </w:r>
      <w:r>
        <w:rPr>
          <w:rFonts w:cs="Arial"/>
          <w:sz w:val="20"/>
        </w:rPr>
        <w:t xml:space="preserve"> [1998] C.L.P. 1086 (C.S.), appel rejeté [2001] C.L.P. 875 (C.A.); </w:t>
      </w:r>
      <w:r w:rsidRPr="00B75222">
        <w:rPr>
          <w:rFonts w:cs="Arial"/>
          <w:i/>
          <w:sz w:val="20"/>
        </w:rPr>
        <w:t>Côté</w:t>
      </w:r>
      <w:r>
        <w:rPr>
          <w:rFonts w:cs="Arial"/>
          <w:sz w:val="20"/>
        </w:rPr>
        <w:t xml:space="preserve"> et </w:t>
      </w:r>
      <w:r w:rsidRPr="00B75222">
        <w:rPr>
          <w:rFonts w:cs="Arial"/>
          <w:i/>
          <w:sz w:val="20"/>
        </w:rPr>
        <w:t>P. Bélanger et C. Ranger Pharmaciens</w:t>
      </w:r>
      <w:r>
        <w:rPr>
          <w:rFonts w:cs="Arial"/>
          <w:sz w:val="20"/>
        </w:rPr>
        <w:t xml:space="preserve">, [2001] C.L.P. 95; </w:t>
      </w:r>
      <w:r w:rsidRPr="00B75222">
        <w:rPr>
          <w:rFonts w:cs="Arial"/>
          <w:i/>
          <w:sz w:val="20"/>
        </w:rPr>
        <w:t>Richard</w:t>
      </w:r>
      <w:r>
        <w:rPr>
          <w:rFonts w:cs="Arial"/>
          <w:sz w:val="20"/>
        </w:rPr>
        <w:t xml:space="preserve"> et </w:t>
      </w:r>
      <w:r w:rsidRPr="00B75222">
        <w:rPr>
          <w:rFonts w:cs="Arial"/>
          <w:i/>
          <w:sz w:val="20"/>
        </w:rPr>
        <w:t>Scieries Chics-Chocs</w:t>
      </w:r>
      <w:r>
        <w:rPr>
          <w:rFonts w:cs="Arial"/>
          <w:sz w:val="20"/>
        </w:rPr>
        <w:t xml:space="preserve">, [2002] C.L.P. 487; </w:t>
      </w:r>
      <w:r w:rsidRPr="00B75222">
        <w:rPr>
          <w:rFonts w:cs="Arial"/>
          <w:i/>
          <w:sz w:val="20"/>
        </w:rPr>
        <w:t>Dimarzio</w:t>
      </w:r>
      <w:r>
        <w:rPr>
          <w:rFonts w:cs="Arial"/>
          <w:sz w:val="20"/>
        </w:rPr>
        <w:t xml:space="preserve"> et </w:t>
      </w:r>
      <w:r w:rsidRPr="00B75222">
        <w:rPr>
          <w:rFonts w:cs="Arial"/>
          <w:i/>
          <w:sz w:val="20"/>
        </w:rPr>
        <w:t>Air Canada</w:t>
      </w:r>
      <w:r>
        <w:rPr>
          <w:rFonts w:cs="Arial"/>
          <w:sz w:val="20"/>
        </w:rPr>
        <w:t xml:space="preserve">, C.L.P. 150828-72-0011, 18 février 2003, Anne Vaillancourt; </w:t>
      </w:r>
      <w:r w:rsidRPr="00B733B7">
        <w:rPr>
          <w:rFonts w:cs="Arial"/>
          <w:i/>
          <w:sz w:val="20"/>
        </w:rPr>
        <w:t>Beaudoin</w:t>
      </w:r>
      <w:r>
        <w:rPr>
          <w:rFonts w:cs="Arial"/>
          <w:sz w:val="20"/>
        </w:rPr>
        <w:t xml:space="preserve"> et </w:t>
      </w:r>
      <w:r w:rsidRPr="00B733B7">
        <w:rPr>
          <w:rFonts w:cs="Arial"/>
          <w:i/>
          <w:sz w:val="20"/>
        </w:rPr>
        <w:t>T.G.G</w:t>
      </w:r>
      <w:r>
        <w:rPr>
          <w:rFonts w:cs="Arial"/>
          <w:sz w:val="20"/>
        </w:rPr>
        <w:t>., C.L.P. 174331-05-2004, 1</w:t>
      </w:r>
      <w:r w:rsidRPr="00B733B7">
        <w:rPr>
          <w:rFonts w:cs="Arial"/>
          <w:sz w:val="20"/>
          <w:vertAlign w:val="superscript"/>
        </w:rPr>
        <w:t>er</w:t>
      </w:r>
      <w:r>
        <w:rPr>
          <w:rFonts w:cs="Arial"/>
          <w:sz w:val="20"/>
        </w:rPr>
        <w:t xml:space="preserve"> avril 2004, L. Boudreault.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0ED8" w14:textId="77777777" w:rsidR="00AD31B4" w:rsidRDefault="00AD3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C371BE" w14:paraId="5272AB06" w14:textId="77777777" w:rsidTr="003D2CE0">
      <w:tc>
        <w:tcPr>
          <w:tcW w:w="8730" w:type="dxa"/>
        </w:tcPr>
        <w:p w14:paraId="0FE26623" w14:textId="77777777" w:rsidR="00C371BE" w:rsidRDefault="00C371BE">
          <w:pPr>
            <w:pStyle w:val="Header"/>
            <w:ind w:left="-90"/>
          </w:pPr>
        </w:p>
      </w:tc>
      <w:tc>
        <w:tcPr>
          <w:tcW w:w="860" w:type="dxa"/>
        </w:tcPr>
        <w:p w14:paraId="7B74FF4A" w14:textId="77777777" w:rsidR="00C371BE" w:rsidRDefault="00C371BE">
          <w:pPr>
            <w:pStyle w:val="Header"/>
            <w:ind w:left="-90"/>
          </w:pPr>
        </w:p>
      </w:tc>
    </w:tr>
    <w:tr w:rsidR="00C371BE" w14:paraId="65031546" w14:textId="77777777" w:rsidTr="003D2CE0">
      <w:tc>
        <w:tcPr>
          <w:tcW w:w="8730" w:type="dxa"/>
        </w:tcPr>
        <w:p w14:paraId="1417E9A9" w14:textId="77777777" w:rsidR="00C371BE" w:rsidRDefault="00C371BE" w:rsidP="003D2CE0">
          <w:pPr>
            <w:pStyle w:val="zSoquijdatNoDossier"/>
          </w:pPr>
          <w:r>
            <w:t>517644-31-1307</w:t>
          </w:r>
        </w:p>
      </w:tc>
      <w:tc>
        <w:tcPr>
          <w:tcW w:w="860" w:type="dxa"/>
        </w:tcPr>
        <w:p w14:paraId="746BC21F" w14:textId="77777777" w:rsidR="00C371BE" w:rsidRDefault="00C371BE" w:rsidP="003D2CE0">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210886">
            <w:rPr>
              <w:rStyle w:val="PageNumber"/>
              <w:noProof/>
            </w:rPr>
            <w:t>89</w:t>
          </w:r>
          <w:r>
            <w:rPr>
              <w:rStyle w:val="PageNumber"/>
            </w:rPr>
            <w:fldChar w:fldCharType="end"/>
          </w:r>
        </w:p>
      </w:tc>
    </w:tr>
    <w:tr w:rsidR="00C371BE" w14:paraId="70A29F3C" w14:textId="77777777" w:rsidTr="003D2CE0">
      <w:tc>
        <w:tcPr>
          <w:tcW w:w="8730" w:type="dxa"/>
        </w:tcPr>
        <w:p w14:paraId="4253FB91" w14:textId="77777777" w:rsidR="00C371BE" w:rsidRDefault="00C371BE" w:rsidP="003D2CE0"/>
      </w:tc>
      <w:tc>
        <w:tcPr>
          <w:tcW w:w="860" w:type="dxa"/>
        </w:tcPr>
        <w:p w14:paraId="2AE6BB0D" w14:textId="77777777" w:rsidR="00C371BE" w:rsidRDefault="00C371BE" w:rsidP="003D2CE0">
          <w:pPr>
            <w:pStyle w:val="Header"/>
            <w:ind w:left="-90"/>
            <w:jc w:val="right"/>
          </w:pPr>
        </w:p>
      </w:tc>
    </w:tr>
  </w:tbl>
  <w:p w14:paraId="29C3C5DF" w14:textId="77777777" w:rsidR="00C371BE" w:rsidRDefault="00C37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AB49" w14:textId="77777777" w:rsidR="00AD31B4" w:rsidRDefault="00AD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CDE"/>
    <w:multiLevelType w:val="hybridMultilevel"/>
    <w:tmpl w:val="BAC484A6"/>
    <w:lvl w:ilvl="0" w:tplc="362A7598">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58D65FB5"/>
    <w:multiLevelType w:val="multilevel"/>
    <w:tmpl w:val="F0E634F4"/>
    <w:lvl w:ilvl="0">
      <w:start w:val="1"/>
      <w:numFmt w:val="bullet"/>
      <w:lvlText w:val=""/>
      <w:lvlJc w:val="left"/>
      <w:pPr>
        <w:tabs>
          <w:tab w:val="num" w:pos="360"/>
        </w:tabs>
        <w:ind w:left="0" w:firstLine="0"/>
      </w:pPr>
      <w:rPr>
        <w:rFonts w:ascii="Symbol" w:hAnsi="Symbol" w:hint="default"/>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3" w15:restartNumberingAfterBreak="0">
    <w:nsid w:val="746B0480"/>
    <w:multiLevelType w:val="hybridMultilevel"/>
    <w:tmpl w:val="B35675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5" w15:restartNumberingAfterBreak="0">
    <w:nsid w:val="7DC53C6E"/>
    <w:multiLevelType w:val="hybridMultilevel"/>
    <w:tmpl w:val="1F74EC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38922361">
    <w:abstractNumId w:val="4"/>
  </w:num>
  <w:num w:numId="2" w16cid:durableId="642928224">
    <w:abstractNumId w:val="0"/>
  </w:num>
  <w:num w:numId="3" w16cid:durableId="756248546">
    <w:abstractNumId w:val="1"/>
  </w:num>
  <w:num w:numId="4" w16cid:durableId="2146240699">
    <w:abstractNumId w:val="2"/>
  </w:num>
  <w:num w:numId="5" w16cid:durableId="792212080">
    <w:abstractNumId w:val="3"/>
  </w:num>
  <w:num w:numId="6" w16cid:durableId="1985550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BC"/>
    <w:rsid w:val="00001AB2"/>
    <w:rsid w:val="0000307F"/>
    <w:rsid w:val="000041A1"/>
    <w:rsid w:val="00004C9F"/>
    <w:rsid w:val="00017080"/>
    <w:rsid w:val="000179DA"/>
    <w:rsid w:val="00017F23"/>
    <w:rsid w:val="000217D8"/>
    <w:rsid w:val="00021E4C"/>
    <w:rsid w:val="000246F5"/>
    <w:rsid w:val="00025975"/>
    <w:rsid w:val="00026941"/>
    <w:rsid w:val="0002745F"/>
    <w:rsid w:val="000327D2"/>
    <w:rsid w:val="000366EC"/>
    <w:rsid w:val="00036704"/>
    <w:rsid w:val="000374E7"/>
    <w:rsid w:val="00042CBE"/>
    <w:rsid w:val="00042D10"/>
    <w:rsid w:val="00043541"/>
    <w:rsid w:val="00044205"/>
    <w:rsid w:val="000449A2"/>
    <w:rsid w:val="00045B06"/>
    <w:rsid w:val="00050A4F"/>
    <w:rsid w:val="000550DE"/>
    <w:rsid w:val="00055B85"/>
    <w:rsid w:val="00056863"/>
    <w:rsid w:val="000612EB"/>
    <w:rsid w:val="000666F9"/>
    <w:rsid w:val="00067367"/>
    <w:rsid w:val="00071511"/>
    <w:rsid w:val="0007225E"/>
    <w:rsid w:val="0007470A"/>
    <w:rsid w:val="00076404"/>
    <w:rsid w:val="00076C22"/>
    <w:rsid w:val="000823AB"/>
    <w:rsid w:val="0008378A"/>
    <w:rsid w:val="000841C7"/>
    <w:rsid w:val="00085291"/>
    <w:rsid w:val="00090018"/>
    <w:rsid w:val="00091343"/>
    <w:rsid w:val="000A09C3"/>
    <w:rsid w:val="000A7585"/>
    <w:rsid w:val="000A77C5"/>
    <w:rsid w:val="000B2E7B"/>
    <w:rsid w:val="000B4B35"/>
    <w:rsid w:val="000B7F1B"/>
    <w:rsid w:val="000C5D40"/>
    <w:rsid w:val="000C65B9"/>
    <w:rsid w:val="000D2AB3"/>
    <w:rsid w:val="000D5386"/>
    <w:rsid w:val="000D65D9"/>
    <w:rsid w:val="000E1E0B"/>
    <w:rsid w:val="000E5D5C"/>
    <w:rsid w:val="000F016D"/>
    <w:rsid w:val="000F1F52"/>
    <w:rsid w:val="000F2550"/>
    <w:rsid w:val="000F5344"/>
    <w:rsid w:val="000F7E2B"/>
    <w:rsid w:val="00103EE7"/>
    <w:rsid w:val="001050B4"/>
    <w:rsid w:val="00120031"/>
    <w:rsid w:val="0012326A"/>
    <w:rsid w:val="0012537E"/>
    <w:rsid w:val="00125798"/>
    <w:rsid w:val="001263F9"/>
    <w:rsid w:val="00134038"/>
    <w:rsid w:val="00142618"/>
    <w:rsid w:val="001428EB"/>
    <w:rsid w:val="00143770"/>
    <w:rsid w:val="00143F16"/>
    <w:rsid w:val="00147B8B"/>
    <w:rsid w:val="0015125A"/>
    <w:rsid w:val="00152336"/>
    <w:rsid w:val="00152E73"/>
    <w:rsid w:val="0015539F"/>
    <w:rsid w:val="001578C9"/>
    <w:rsid w:val="00160BED"/>
    <w:rsid w:val="00161317"/>
    <w:rsid w:val="001644EB"/>
    <w:rsid w:val="00166339"/>
    <w:rsid w:val="001664C8"/>
    <w:rsid w:val="0016706E"/>
    <w:rsid w:val="00170947"/>
    <w:rsid w:val="00170E14"/>
    <w:rsid w:val="00171D71"/>
    <w:rsid w:val="001746D6"/>
    <w:rsid w:val="00175A63"/>
    <w:rsid w:val="00177728"/>
    <w:rsid w:val="001800B1"/>
    <w:rsid w:val="00181379"/>
    <w:rsid w:val="0019134A"/>
    <w:rsid w:val="00191500"/>
    <w:rsid w:val="00196C9A"/>
    <w:rsid w:val="001979C3"/>
    <w:rsid w:val="001A04C3"/>
    <w:rsid w:val="001A067E"/>
    <w:rsid w:val="001A1C23"/>
    <w:rsid w:val="001A2900"/>
    <w:rsid w:val="001A3519"/>
    <w:rsid w:val="001A4081"/>
    <w:rsid w:val="001A41D1"/>
    <w:rsid w:val="001A5B3E"/>
    <w:rsid w:val="001A695E"/>
    <w:rsid w:val="001B00AA"/>
    <w:rsid w:val="001B127F"/>
    <w:rsid w:val="001B15F5"/>
    <w:rsid w:val="001C2B0B"/>
    <w:rsid w:val="001C2F1C"/>
    <w:rsid w:val="001C4473"/>
    <w:rsid w:val="001C5E77"/>
    <w:rsid w:val="001D75D2"/>
    <w:rsid w:val="001D7A2C"/>
    <w:rsid w:val="001E7D6D"/>
    <w:rsid w:val="001F0D6E"/>
    <w:rsid w:val="001F6F95"/>
    <w:rsid w:val="00200B85"/>
    <w:rsid w:val="00201229"/>
    <w:rsid w:val="00202763"/>
    <w:rsid w:val="00207286"/>
    <w:rsid w:val="00210886"/>
    <w:rsid w:val="00211265"/>
    <w:rsid w:val="0022064A"/>
    <w:rsid w:val="002239AB"/>
    <w:rsid w:val="00226660"/>
    <w:rsid w:val="00231C1D"/>
    <w:rsid w:val="0023316B"/>
    <w:rsid w:val="00241CED"/>
    <w:rsid w:val="00244964"/>
    <w:rsid w:val="00247332"/>
    <w:rsid w:val="00250503"/>
    <w:rsid w:val="00250FFC"/>
    <w:rsid w:val="002563F0"/>
    <w:rsid w:val="002566FF"/>
    <w:rsid w:val="00260DA1"/>
    <w:rsid w:val="0026206C"/>
    <w:rsid w:val="00263170"/>
    <w:rsid w:val="00263C3E"/>
    <w:rsid w:val="00264C5B"/>
    <w:rsid w:val="00266064"/>
    <w:rsid w:val="002715D6"/>
    <w:rsid w:val="00271BA1"/>
    <w:rsid w:val="00271CEB"/>
    <w:rsid w:val="00272239"/>
    <w:rsid w:val="00272AD3"/>
    <w:rsid w:val="00274351"/>
    <w:rsid w:val="00276C36"/>
    <w:rsid w:val="00277322"/>
    <w:rsid w:val="002803E6"/>
    <w:rsid w:val="002804C4"/>
    <w:rsid w:val="00281319"/>
    <w:rsid w:val="00281D0E"/>
    <w:rsid w:val="00281F67"/>
    <w:rsid w:val="002826DB"/>
    <w:rsid w:val="00283A49"/>
    <w:rsid w:val="002854CE"/>
    <w:rsid w:val="0028606C"/>
    <w:rsid w:val="00286149"/>
    <w:rsid w:val="002909F5"/>
    <w:rsid w:val="00296A4B"/>
    <w:rsid w:val="002A04DA"/>
    <w:rsid w:val="002A7227"/>
    <w:rsid w:val="002A7D4A"/>
    <w:rsid w:val="002B4427"/>
    <w:rsid w:val="002B5BB8"/>
    <w:rsid w:val="002B620A"/>
    <w:rsid w:val="002C3564"/>
    <w:rsid w:val="002C3748"/>
    <w:rsid w:val="002C4087"/>
    <w:rsid w:val="002C7C2D"/>
    <w:rsid w:val="002C7DB2"/>
    <w:rsid w:val="002D1EDF"/>
    <w:rsid w:val="002D4360"/>
    <w:rsid w:val="002D44C8"/>
    <w:rsid w:val="002D6755"/>
    <w:rsid w:val="002D7F5E"/>
    <w:rsid w:val="002E48C5"/>
    <w:rsid w:val="002E5245"/>
    <w:rsid w:val="002E698F"/>
    <w:rsid w:val="002E784E"/>
    <w:rsid w:val="002F1DCF"/>
    <w:rsid w:val="002F284F"/>
    <w:rsid w:val="002F2A20"/>
    <w:rsid w:val="002F6087"/>
    <w:rsid w:val="002F771B"/>
    <w:rsid w:val="003057FC"/>
    <w:rsid w:val="00312983"/>
    <w:rsid w:val="00313F4D"/>
    <w:rsid w:val="00314523"/>
    <w:rsid w:val="00316B5F"/>
    <w:rsid w:val="00320C00"/>
    <w:rsid w:val="003220CF"/>
    <w:rsid w:val="003230D9"/>
    <w:rsid w:val="0032494F"/>
    <w:rsid w:val="0033072A"/>
    <w:rsid w:val="00331EA7"/>
    <w:rsid w:val="003333B0"/>
    <w:rsid w:val="00341ED9"/>
    <w:rsid w:val="003502A9"/>
    <w:rsid w:val="00351156"/>
    <w:rsid w:val="00351E18"/>
    <w:rsid w:val="00353E51"/>
    <w:rsid w:val="00357D09"/>
    <w:rsid w:val="00362B2B"/>
    <w:rsid w:val="00364071"/>
    <w:rsid w:val="003661B7"/>
    <w:rsid w:val="003664E9"/>
    <w:rsid w:val="0037043A"/>
    <w:rsid w:val="00371305"/>
    <w:rsid w:val="00373EE5"/>
    <w:rsid w:val="00375833"/>
    <w:rsid w:val="0038040C"/>
    <w:rsid w:val="00382AA9"/>
    <w:rsid w:val="00387764"/>
    <w:rsid w:val="00387798"/>
    <w:rsid w:val="003954CA"/>
    <w:rsid w:val="003964D8"/>
    <w:rsid w:val="003A1F6E"/>
    <w:rsid w:val="003A2FF3"/>
    <w:rsid w:val="003A459B"/>
    <w:rsid w:val="003A6E47"/>
    <w:rsid w:val="003A7795"/>
    <w:rsid w:val="003B1735"/>
    <w:rsid w:val="003B2666"/>
    <w:rsid w:val="003B6CBF"/>
    <w:rsid w:val="003C3185"/>
    <w:rsid w:val="003C658E"/>
    <w:rsid w:val="003C68D0"/>
    <w:rsid w:val="003D1F05"/>
    <w:rsid w:val="003D2001"/>
    <w:rsid w:val="003D2CE0"/>
    <w:rsid w:val="003D2E75"/>
    <w:rsid w:val="003E00D5"/>
    <w:rsid w:val="003E03D2"/>
    <w:rsid w:val="003E07F2"/>
    <w:rsid w:val="003E1A6E"/>
    <w:rsid w:val="003E7FEF"/>
    <w:rsid w:val="003F24D6"/>
    <w:rsid w:val="003F2838"/>
    <w:rsid w:val="003F324D"/>
    <w:rsid w:val="003F6F36"/>
    <w:rsid w:val="003F7F38"/>
    <w:rsid w:val="00402957"/>
    <w:rsid w:val="00403299"/>
    <w:rsid w:val="00405664"/>
    <w:rsid w:val="00405AFF"/>
    <w:rsid w:val="00406F0C"/>
    <w:rsid w:val="00407A1B"/>
    <w:rsid w:val="00412590"/>
    <w:rsid w:val="00413552"/>
    <w:rsid w:val="00415D5D"/>
    <w:rsid w:val="00416289"/>
    <w:rsid w:val="0042574D"/>
    <w:rsid w:val="0042617B"/>
    <w:rsid w:val="00426893"/>
    <w:rsid w:val="004269A4"/>
    <w:rsid w:val="004317B1"/>
    <w:rsid w:val="00437137"/>
    <w:rsid w:val="00442388"/>
    <w:rsid w:val="00445EDF"/>
    <w:rsid w:val="0044627E"/>
    <w:rsid w:val="00446D36"/>
    <w:rsid w:val="00453C93"/>
    <w:rsid w:val="004547AB"/>
    <w:rsid w:val="00455F6A"/>
    <w:rsid w:val="00460F4A"/>
    <w:rsid w:val="00464448"/>
    <w:rsid w:val="00466092"/>
    <w:rsid w:val="004707ED"/>
    <w:rsid w:val="004714AA"/>
    <w:rsid w:val="004754E9"/>
    <w:rsid w:val="004805B2"/>
    <w:rsid w:val="00480FB0"/>
    <w:rsid w:val="00481E54"/>
    <w:rsid w:val="004830DC"/>
    <w:rsid w:val="00491103"/>
    <w:rsid w:val="00495C9E"/>
    <w:rsid w:val="0049737D"/>
    <w:rsid w:val="004A1345"/>
    <w:rsid w:val="004A6026"/>
    <w:rsid w:val="004A679B"/>
    <w:rsid w:val="004B5F3C"/>
    <w:rsid w:val="004B7A8C"/>
    <w:rsid w:val="004C3675"/>
    <w:rsid w:val="004D1D18"/>
    <w:rsid w:val="004D1E91"/>
    <w:rsid w:val="004D3FA0"/>
    <w:rsid w:val="004D7BFB"/>
    <w:rsid w:val="004E056B"/>
    <w:rsid w:val="004E0867"/>
    <w:rsid w:val="004E0D85"/>
    <w:rsid w:val="004E2E82"/>
    <w:rsid w:val="004E5800"/>
    <w:rsid w:val="004F182B"/>
    <w:rsid w:val="004F576D"/>
    <w:rsid w:val="004F6EB8"/>
    <w:rsid w:val="00500A37"/>
    <w:rsid w:val="0050706A"/>
    <w:rsid w:val="005101F1"/>
    <w:rsid w:val="00517EB0"/>
    <w:rsid w:val="005205CB"/>
    <w:rsid w:val="00521483"/>
    <w:rsid w:val="00524A7C"/>
    <w:rsid w:val="00525AF7"/>
    <w:rsid w:val="0053344C"/>
    <w:rsid w:val="0053454C"/>
    <w:rsid w:val="0053555E"/>
    <w:rsid w:val="00545355"/>
    <w:rsid w:val="0054751A"/>
    <w:rsid w:val="0055271E"/>
    <w:rsid w:val="00554454"/>
    <w:rsid w:val="005545E2"/>
    <w:rsid w:val="00555B68"/>
    <w:rsid w:val="00560D3C"/>
    <w:rsid w:val="0056295A"/>
    <w:rsid w:val="00565FDA"/>
    <w:rsid w:val="005662E9"/>
    <w:rsid w:val="00566B44"/>
    <w:rsid w:val="0057126C"/>
    <w:rsid w:val="005736B6"/>
    <w:rsid w:val="0057500C"/>
    <w:rsid w:val="00575419"/>
    <w:rsid w:val="00577966"/>
    <w:rsid w:val="005801AE"/>
    <w:rsid w:val="0058179A"/>
    <w:rsid w:val="00581CD6"/>
    <w:rsid w:val="00582ECC"/>
    <w:rsid w:val="0058399B"/>
    <w:rsid w:val="00583C8B"/>
    <w:rsid w:val="005864A7"/>
    <w:rsid w:val="0058692F"/>
    <w:rsid w:val="00587168"/>
    <w:rsid w:val="00587AFC"/>
    <w:rsid w:val="00590F05"/>
    <w:rsid w:val="00591B58"/>
    <w:rsid w:val="0059397E"/>
    <w:rsid w:val="005974B7"/>
    <w:rsid w:val="005A5026"/>
    <w:rsid w:val="005A73CE"/>
    <w:rsid w:val="005A7F3A"/>
    <w:rsid w:val="005B30F6"/>
    <w:rsid w:val="005B6FE3"/>
    <w:rsid w:val="005C56CC"/>
    <w:rsid w:val="005C612C"/>
    <w:rsid w:val="005C71F1"/>
    <w:rsid w:val="005D0779"/>
    <w:rsid w:val="005D2E00"/>
    <w:rsid w:val="005E07BD"/>
    <w:rsid w:val="005E3089"/>
    <w:rsid w:val="005E3CB6"/>
    <w:rsid w:val="005F00CA"/>
    <w:rsid w:val="005F3773"/>
    <w:rsid w:val="005F49D3"/>
    <w:rsid w:val="005F49D8"/>
    <w:rsid w:val="00605F59"/>
    <w:rsid w:val="0061488E"/>
    <w:rsid w:val="0061781D"/>
    <w:rsid w:val="0062064A"/>
    <w:rsid w:val="00621532"/>
    <w:rsid w:val="006265D4"/>
    <w:rsid w:val="00632116"/>
    <w:rsid w:val="00634D58"/>
    <w:rsid w:val="00634E6E"/>
    <w:rsid w:val="00636255"/>
    <w:rsid w:val="0064125E"/>
    <w:rsid w:val="006429C4"/>
    <w:rsid w:val="00642C66"/>
    <w:rsid w:val="00651476"/>
    <w:rsid w:val="00653A58"/>
    <w:rsid w:val="00653ECD"/>
    <w:rsid w:val="00656B39"/>
    <w:rsid w:val="00661454"/>
    <w:rsid w:val="0066305D"/>
    <w:rsid w:val="00665901"/>
    <w:rsid w:val="0066642D"/>
    <w:rsid w:val="006672B0"/>
    <w:rsid w:val="00675E85"/>
    <w:rsid w:val="0067750F"/>
    <w:rsid w:val="00680338"/>
    <w:rsid w:val="00682542"/>
    <w:rsid w:val="006841A4"/>
    <w:rsid w:val="00686EC6"/>
    <w:rsid w:val="00690FF6"/>
    <w:rsid w:val="00692150"/>
    <w:rsid w:val="00692327"/>
    <w:rsid w:val="006A1223"/>
    <w:rsid w:val="006A1927"/>
    <w:rsid w:val="006B0BE2"/>
    <w:rsid w:val="006B23A0"/>
    <w:rsid w:val="006B299C"/>
    <w:rsid w:val="006B5C45"/>
    <w:rsid w:val="006B63D7"/>
    <w:rsid w:val="006C1200"/>
    <w:rsid w:val="006C624C"/>
    <w:rsid w:val="006C6E00"/>
    <w:rsid w:val="006C7B7F"/>
    <w:rsid w:val="006D10D6"/>
    <w:rsid w:val="006D19E8"/>
    <w:rsid w:val="006D3C49"/>
    <w:rsid w:val="006D6D16"/>
    <w:rsid w:val="006D74EF"/>
    <w:rsid w:val="006E5B2A"/>
    <w:rsid w:val="006E5F92"/>
    <w:rsid w:val="006E6E76"/>
    <w:rsid w:val="006E793F"/>
    <w:rsid w:val="006E7B1F"/>
    <w:rsid w:val="006F522C"/>
    <w:rsid w:val="006F56DE"/>
    <w:rsid w:val="006F7944"/>
    <w:rsid w:val="006F7E00"/>
    <w:rsid w:val="0070171E"/>
    <w:rsid w:val="007023C4"/>
    <w:rsid w:val="00704121"/>
    <w:rsid w:val="007059C4"/>
    <w:rsid w:val="00706AA8"/>
    <w:rsid w:val="00711F37"/>
    <w:rsid w:val="007162EE"/>
    <w:rsid w:val="007224AB"/>
    <w:rsid w:val="00724638"/>
    <w:rsid w:val="007304B0"/>
    <w:rsid w:val="00730954"/>
    <w:rsid w:val="007319D3"/>
    <w:rsid w:val="0073259C"/>
    <w:rsid w:val="007362CF"/>
    <w:rsid w:val="007433CA"/>
    <w:rsid w:val="00744804"/>
    <w:rsid w:val="00745A8F"/>
    <w:rsid w:val="00745AA8"/>
    <w:rsid w:val="00750D72"/>
    <w:rsid w:val="007510EC"/>
    <w:rsid w:val="00756462"/>
    <w:rsid w:val="00762DB7"/>
    <w:rsid w:val="007669D3"/>
    <w:rsid w:val="00767283"/>
    <w:rsid w:val="0076781B"/>
    <w:rsid w:val="00770816"/>
    <w:rsid w:val="00770D83"/>
    <w:rsid w:val="00771AB5"/>
    <w:rsid w:val="0077253F"/>
    <w:rsid w:val="00774D7C"/>
    <w:rsid w:val="007766A3"/>
    <w:rsid w:val="00783E30"/>
    <w:rsid w:val="00783E55"/>
    <w:rsid w:val="007860E0"/>
    <w:rsid w:val="00787533"/>
    <w:rsid w:val="0079554C"/>
    <w:rsid w:val="007A0A05"/>
    <w:rsid w:val="007A11D3"/>
    <w:rsid w:val="007A3C34"/>
    <w:rsid w:val="007A6E2F"/>
    <w:rsid w:val="007B28D3"/>
    <w:rsid w:val="007B3BC5"/>
    <w:rsid w:val="007C2AA6"/>
    <w:rsid w:val="007C356D"/>
    <w:rsid w:val="007C3986"/>
    <w:rsid w:val="007C6BCE"/>
    <w:rsid w:val="007D0B29"/>
    <w:rsid w:val="007D683F"/>
    <w:rsid w:val="007D6D54"/>
    <w:rsid w:val="007D74C8"/>
    <w:rsid w:val="007D7590"/>
    <w:rsid w:val="007D78A8"/>
    <w:rsid w:val="007F0C72"/>
    <w:rsid w:val="007F1A44"/>
    <w:rsid w:val="007F2E55"/>
    <w:rsid w:val="007F4195"/>
    <w:rsid w:val="00800557"/>
    <w:rsid w:val="00805B5D"/>
    <w:rsid w:val="008073F3"/>
    <w:rsid w:val="00810066"/>
    <w:rsid w:val="008100BD"/>
    <w:rsid w:val="0081130F"/>
    <w:rsid w:val="00817D46"/>
    <w:rsid w:val="008209E8"/>
    <w:rsid w:val="008226D4"/>
    <w:rsid w:val="00825B1F"/>
    <w:rsid w:val="00827AAD"/>
    <w:rsid w:val="00831254"/>
    <w:rsid w:val="0083219B"/>
    <w:rsid w:val="00841DEE"/>
    <w:rsid w:val="0084368F"/>
    <w:rsid w:val="008465D5"/>
    <w:rsid w:val="00851C0B"/>
    <w:rsid w:val="00853845"/>
    <w:rsid w:val="008545C1"/>
    <w:rsid w:val="00857AB0"/>
    <w:rsid w:val="00871FF2"/>
    <w:rsid w:val="008748C7"/>
    <w:rsid w:val="00874C7F"/>
    <w:rsid w:val="0087521A"/>
    <w:rsid w:val="00875DF6"/>
    <w:rsid w:val="0088469B"/>
    <w:rsid w:val="008849F2"/>
    <w:rsid w:val="00884F1F"/>
    <w:rsid w:val="00885CA1"/>
    <w:rsid w:val="008863D0"/>
    <w:rsid w:val="00886A57"/>
    <w:rsid w:val="00890517"/>
    <w:rsid w:val="008914B7"/>
    <w:rsid w:val="00894E36"/>
    <w:rsid w:val="008962E7"/>
    <w:rsid w:val="008A055E"/>
    <w:rsid w:val="008A7FD1"/>
    <w:rsid w:val="008B211E"/>
    <w:rsid w:val="008B30E7"/>
    <w:rsid w:val="008B4B46"/>
    <w:rsid w:val="008C18CD"/>
    <w:rsid w:val="008C29C4"/>
    <w:rsid w:val="008C57D6"/>
    <w:rsid w:val="008C68CD"/>
    <w:rsid w:val="008C743A"/>
    <w:rsid w:val="008D16EF"/>
    <w:rsid w:val="008D49D4"/>
    <w:rsid w:val="008D7469"/>
    <w:rsid w:val="008E2FC1"/>
    <w:rsid w:val="008E4EA3"/>
    <w:rsid w:val="008E65F6"/>
    <w:rsid w:val="008E72AE"/>
    <w:rsid w:val="008F057F"/>
    <w:rsid w:val="008F09A9"/>
    <w:rsid w:val="008F1A84"/>
    <w:rsid w:val="008F1F8A"/>
    <w:rsid w:val="008F4F4A"/>
    <w:rsid w:val="008F5AA2"/>
    <w:rsid w:val="008F5DE1"/>
    <w:rsid w:val="008F7A33"/>
    <w:rsid w:val="008F7D12"/>
    <w:rsid w:val="009032D2"/>
    <w:rsid w:val="00904660"/>
    <w:rsid w:val="00905331"/>
    <w:rsid w:val="00916BC4"/>
    <w:rsid w:val="00917699"/>
    <w:rsid w:val="009214F4"/>
    <w:rsid w:val="00921D7A"/>
    <w:rsid w:val="00922829"/>
    <w:rsid w:val="0092684A"/>
    <w:rsid w:val="00927231"/>
    <w:rsid w:val="00934E48"/>
    <w:rsid w:val="009362A6"/>
    <w:rsid w:val="00936B0D"/>
    <w:rsid w:val="00936E68"/>
    <w:rsid w:val="009416BA"/>
    <w:rsid w:val="00942E4D"/>
    <w:rsid w:val="00946B3A"/>
    <w:rsid w:val="009508A2"/>
    <w:rsid w:val="00950DD9"/>
    <w:rsid w:val="009516DF"/>
    <w:rsid w:val="00952C99"/>
    <w:rsid w:val="009566FF"/>
    <w:rsid w:val="009567FF"/>
    <w:rsid w:val="00956A21"/>
    <w:rsid w:val="00960C94"/>
    <w:rsid w:val="009677DF"/>
    <w:rsid w:val="009712EF"/>
    <w:rsid w:val="0097611E"/>
    <w:rsid w:val="009767EF"/>
    <w:rsid w:val="00977E62"/>
    <w:rsid w:val="0098102E"/>
    <w:rsid w:val="009820DE"/>
    <w:rsid w:val="009824F2"/>
    <w:rsid w:val="00985887"/>
    <w:rsid w:val="00985BAF"/>
    <w:rsid w:val="00986DC0"/>
    <w:rsid w:val="00990CAB"/>
    <w:rsid w:val="009914A0"/>
    <w:rsid w:val="00993B24"/>
    <w:rsid w:val="0099403F"/>
    <w:rsid w:val="0099611F"/>
    <w:rsid w:val="009A2348"/>
    <w:rsid w:val="009A2851"/>
    <w:rsid w:val="009A39BA"/>
    <w:rsid w:val="009A4923"/>
    <w:rsid w:val="009A4B6F"/>
    <w:rsid w:val="009A7C1C"/>
    <w:rsid w:val="009B0453"/>
    <w:rsid w:val="009B1824"/>
    <w:rsid w:val="009B4B22"/>
    <w:rsid w:val="009B562B"/>
    <w:rsid w:val="009B58AA"/>
    <w:rsid w:val="009B6295"/>
    <w:rsid w:val="009C7F07"/>
    <w:rsid w:val="009D0965"/>
    <w:rsid w:val="009D68FA"/>
    <w:rsid w:val="009E0625"/>
    <w:rsid w:val="009E2027"/>
    <w:rsid w:val="009E4FC2"/>
    <w:rsid w:val="009F4A90"/>
    <w:rsid w:val="009F6E97"/>
    <w:rsid w:val="009F7D93"/>
    <w:rsid w:val="00A0155A"/>
    <w:rsid w:val="00A026E1"/>
    <w:rsid w:val="00A02EF2"/>
    <w:rsid w:val="00A04D5E"/>
    <w:rsid w:val="00A06B42"/>
    <w:rsid w:val="00A06CC9"/>
    <w:rsid w:val="00A23878"/>
    <w:rsid w:val="00A32B24"/>
    <w:rsid w:val="00A34E0E"/>
    <w:rsid w:val="00A351FA"/>
    <w:rsid w:val="00A370FA"/>
    <w:rsid w:val="00A378FF"/>
    <w:rsid w:val="00A37BC9"/>
    <w:rsid w:val="00A40AC7"/>
    <w:rsid w:val="00A42321"/>
    <w:rsid w:val="00A4252F"/>
    <w:rsid w:val="00A435C7"/>
    <w:rsid w:val="00A4622B"/>
    <w:rsid w:val="00A51675"/>
    <w:rsid w:val="00A57F93"/>
    <w:rsid w:val="00A63C32"/>
    <w:rsid w:val="00A64014"/>
    <w:rsid w:val="00A72703"/>
    <w:rsid w:val="00A748D6"/>
    <w:rsid w:val="00A7512E"/>
    <w:rsid w:val="00A75759"/>
    <w:rsid w:val="00A80C5B"/>
    <w:rsid w:val="00A80F73"/>
    <w:rsid w:val="00A8366D"/>
    <w:rsid w:val="00A84AA5"/>
    <w:rsid w:val="00A85A57"/>
    <w:rsid w:val="00A85DD8"/>
    <w:rsid w:val="00A86D68"/>
    <w:rsid w:val="00A94150"/>
    <w:rsid w:val="00A948C6"/>
    <w:rsid w:val="00A94958"/>
    <w:rsid w:val="00AA1D3E"/>
    <w:rsid w:val="00AA5D3A"/>
    <w:rsid w:val="00AB17FE"/>
    <w:rsid w:val="00AB1C54"/>
    <w:rsid w:val="00AB23A6"/>
    <w:rsid w:val="00AB4E54"/>
    <w:rsid w:val="00AB5C9B"/>
    <w:rsid w:val="00AC01DC"/>
    <w:rsid w:val="00AC0449"/>
    <w:rsid w:val="00AC295F"/>
    <w:rsid w:val="00AC69D1"/>
    <w:rsid w:val="00AC69E3"/>
    <w:rsid w:val="00AC7A93"/>
    <w:rsid w:val="00AD2497"/>
    <w:rsid w:val="00AD31B4"/>
    <w:rsid w:val="00AD3C1E"/>
    <w:rsid w:val="00AD51DB"/>
    <w:rsid w:val="00AD5E52"/>
    <w:rsid w:val="00AD7E8F"/>
    <w:rsid w:val="00AE1FE7"/>
    <w:rsid w:val="00AE2AED"/>
    <w:rsid w:val="00AE46F5"/>
    <w:rsid w:val="00AE6418"/>
    <w:rsid w:val="00AE6B33"/>
    <w:rsid w:val="00AF2979"/>
    <w:rsid w:val="00AF70F6"/>
    <w:rsid w:val="00B003C8"/>
    <w:rsid w:val="00B0195E"/>
    <w:rsid w:val="00B01A3E"/>
    <w:rsid w:val="00B02373"/>
    <w:rsid w:val="00B025B5"/>
    <w:rsid w:val="00B0375C"/>
    <w:rsid w:val="00B05896"/>
    <w:rsid w:val="00B05989"/>
    <w:rsid w:val="00B107FA"/>
    <w:rsid w:val="00B10BA1"/>
    <w:rsid w:val="00B14B40"/>
    <w:rsid w:val="00B14C08"/>
    <w:rsid w:val="00B15142"/>
    <w:rsid w:val="00B156C3"/>
    <w:rsid w:val="00B15AEA"/>
    <w:rsid w:val="00B224C5"/>
    <w:rsid w:val="00B22DF8"/>
    <w:rsid w:val="00B30E74"/>
    <w:rsid w:val="00B32867"/>
    <w:rsid w:val="00B32C5E"/>
    <w:rsid w:val="00B33C01"/>
    <w:rsid w:val="00B34E76"/>
    <w:rsid w:val="00B36ED9"/>
    <w:rsid w:val="00B4244D"/>
    <w:rsid w:val="00B503D9"/>
    <w:rsid w:val="00B5451F"/>
    <w:rsid w:val="00B65101"/>
    <w:rsid w:val="00B660A8"/>
    <w:rsid w:val="00B7000C"/>
    <w:rsid w:val="00B704BE"/>
    <w:rsid w:val="00B74282"/>
    <w:rsid w:val="00B759B5"/>
    <w:rsid w:val="00B77422"/>
    <w:rsid w:val="00B8056E"/>
    <w:rsid w:val="00B848B4"/>
    <w:rsid w:val="00B90621"/>
    <w:rsid w:val="00B936B7"/>
    <w:rsid w:val="00B96134"/>
    <w:rsid w:val="00BA0B3B"/>
    <w:rsid w:val="00BA2A61"/>
    <w:rsid w:val="00BA6E22"/>
    <w:rsid w:val="00BA6EE9"/>
    <w:rsid w:val="00BA714C"/>
    <w:rsid w:val="00BB000F"/>
    <w:rsid w:val="00BB659F"/>
    <w:rsid w:val="00BC09A5"/>
    <w:rsid w:val="00BC22DC"/>
    <w:rsid w:val="00BD7F9A"/>
    <w:rsid w:val="00BE1929"/>
    <w:rsid w:val="00BE642C"/>
    <w:rsid w:val="00BF00F2"/>
    <w:rsid w:val="00BF1ECC"/>
    <w:rsid w:val="00BF2560"/>
    <w:rsid w:val="00BF4150"/>
    <w:rsid w:val="00BF48C0"/>
    <w:rsid w:val="00BF4F4D"/>
    <w:rsid w:val="00BF542B"/>
    <w:rsid w:val="00BF5E3D"/>
    <w:rsid w:val="00BF6411"/>
    <w:rsid w:val="00C009B7"/>
    <w:rsid w:val="00C03BAE"/>
    <w:rsid w:val="00C100FD"/>
    <w:rsid w:val="00C11A88"/>
    <w:rsid w:val="00C1454C"/>
    <w:rsid w:val="00C148AF"/>
    <w:rsid w:val="00C1686A"/>
    <w:rsid w:val="00C17C2E"/>
    <w:rsid w:val="00C20ECD"/>
    <w:rsid w:val="00C21201"/>
    <w:rsid w:val="00C221F1"/>
    <w:rsid w:val="00C27E41"/>
    <w:rsid w:val="00C3008C"/>
    <w:rsid w:val="00C3201C"/>
    <w:rsid w:val="00C32020"/>
    <w:rsid w:val="00C33FA0"/>
    <w:rsid w:val="00C3408C"/>
    <w:rsid w:val="00C371BE"/>
    <w:rsid w:val="00C410CF"/>
    <w:rsid w:val="00C41A28"/>
    <w:rsid w:val="00C43CDF"/>
    <w:rsid w:val="00C44E22"/>
    <w:rsid w:val="00C47C2F"/>
    <w:rsid w:val="00C512B2"/>
    <w:rsid w:val="00C513ED"/>
    <w:rsid w:val="00C5546E"/>
    <w:rsid w:val="00C56361"/>
    <w:rsid w:val="00C6131E"/>
    <w:rsid w:val="00C61A41"/>
    <w:rsid w:val="00C61EC1"/>
    <w:rsid w:val="00C641AD"/>
    <w:rsid w:val="00C64848"/>
    <w:rsid w:val="00C64EBB"/>
    <w:rsid w:val="00C704B8"/>
    <w:rsid w:val="00C729AD"/>
    <w:rsid w:val="00C73DFE"/>
    <w:rsid w:val="00C74B6F"/>
    <w:rsid w:val="00C77155"/>
    <w:rsid w:val="00C9241B"/>
    <w:rsid w:val="00C97569"/>
    <w:rsid w:val="00CA395F"/>
    <w:rsid w:val="00CA6B8A"/>
    <w:rsid w:val="00CA72CA"/>
    <w:rsid w:val="00CB325B"/>
    <w:rsid w:val="00CB33F6"/>
    <w:rsid w:val="00CB63CC"/>
    <w:rsid w:val="00CB6999"/>
    <w:rsid w:val="00CB6A73"/>
    <w:rsid w:val="00CC2BA9"/>
    <w:rsid w:val="00CC328C"/>
    <w:rsid w:val="00CC4419"/>
    <w:rsid w:val="00CC4422"/>
    <w:rsid w:val="00CD02AB"/>
    <w:rsid w:val="00CD0D6B"/>
    <w:rsid w:val="00CD0F93"/>
    <w:rsid w:val="00CD2266"/>
    <w:rsid w:val="00CD42C2"/>
    <w:rsid w:val="00CD4849"/>
    <w:rsid w:val="00CD6F23"/>
    <w:rsid w:val="00CE1061"/>
    <w:rsid w:val="00CE5A90"/>
    <w:rsid w:val="00CE6183"/>
    <w:rsid w:val="00CF0598"/>
    <w:rsid w:val="00CF21A2"/>
    <w:rsid w:val="00CF4B78"/>
    <w:rsid w:val="00CF58F1"/>
    <w:rsid w:val="00D01E66"/>
    <w:rsid w:val="00D027AF"/>
    <w:rsid w:val="00D047B2"/>
    <w:rsid w:val="00D057DD"/>
    <w:rsid w:val="00D06D7B"/>
    <w:rsid w:val="00D0715B"/>
    <w:rsid w:val="00D073DF"/>
    <w:rsid w:val="00D10A86"/>
    <w:rsid w:val="00D11366"/>
    <w:rsid w:val="00D16B92"/>
    <w:rsid w:val="00D17D57"/>
    <w:rsid w:val="00D22675"/>
    <w:rsid w:val="00D22993"/>
    <w:rsid w:val="00D2339C"/>
    <w:rsid w:val="00D24E31"/>
    <w:rsid w:val="00D303ED"/>
    <w:rsid w:val="00D35AA7"/>
    <w:rsid w:val="00D3672F"/>
    <w:rsid w:val="00D36AC2"/>
    <w:rsid w:val="00D37778"/>
    <w:rsid w:val="00D4046E"/>
    <w:rsid w:val="00D409F6"/>
    <w:rsid w:val="00D440FA"/>
    <w:rsid w:val="00D46E73"/>
    <w:rsid w:val="00D517D1"/>
    <w:rsid w:val="00D55C7B"/>
    <w:rsid w:val="00D57909"/>
    <w:rsid w:val="00D61DE7"/>
    <w:rsid w:val="00D636A5"/>
    <w:rsid w:val="00D63951"/>
    <w:rsid w:val="00D647A2"/>
    <w:rsid w:val="00D704BF"/>
    <w:rsid w:val="00D71CC9"/>
    <w:rsid w:val="00D725DE"/>
    <w:rsid w:val="00D760B3"/>
    <w:rsid w:val="00D763CE"/>
    <w:rsid w:val="00D823BA"/>
    <w:rsid w:val="00D83C50"/>
    <w:rsid w:val="00D8479D"/>
    <w:rsid w:val="00D85EFE"/>
    <w:rsid w:val="00D86F2C"/>
    <w:rsid w:val="00D94EAE"/>
    <w:rsid w:val="00DA3365"/>
    <w:rsid w:val="00DA6EB5"/>
    <w:rsid w:val="00DB2291"/>
    <w:rsid w:val="00DC51A4"/>
    <w:rsid w:val="00DC5E2B"/>
    <w:rsid w:val="00DC6F2D"/>
    <w:rsid w:val="00DC6FE6"/>
    <w:rsid w:val="00DD1BB0"/>
    <w:rsid w:val="00DD2700"/>
    <w:rsid w:val="00DD6D22"/>
    <w:rsid w:val="00DD7E73"/>
    <w:rsid w:val="00DE22B4"/>
    <w:rsid w:val="00DE462C"/>
    <w:rsid w:val="00DF2E67"/>
    <w:rsid w:val="00DF33E3"/>
    <w:rsid w:val="00DF49B5"/>
    <w:rsid w:val="00DF4A2F"/>
    <w:rsid w:val="00DF4DED"/>
    <w:rsid w:val="00DF514A"/>
    <w:rsid w:val="00E01739"/>
    <w:rsid w:val="00E020BA"/>
    <w:rsid w:val="00E0267F"/>
    <w:rsid w:val="00E05651"/>
    <w:rsid w:val="00E12683"/>
    <w:rsid w:val="00E13573"/>
    <w:rsid w:val="00E20425"/>
    <w:rsid w:val="00E228E6"/>
    <w:rsid w:val="00E27654"/>
    <w:rsid w:val="00E27685"/>
    <w:rsid w:val="00E279CB"/>
    <w:rsid w:val="00E43683"/>
    <w:rsid w:val="00E44E3C"/>
    <w:rsid w:val="00E45893"/>
    <w:rsid w:val="00E45EBC"/>
    <w:rsid w:val="00E514AC"/>
    <w:rsid w:val="00E544F6"/>
    <w:rsid w:val="00E5643D"/>
    <w:rsid w:val="00E649A8"/>
    <w:rsid w:val="00E65C0E"/>
    <w:rsid w:val="00E71487"/>
    <w:rsid w:val="00E71D0D"/>
    <w:rsid w:val="00E73C05"/>
    <w:rsid w:val="00E746F0"/>
    <w:rsid w:val="00E77A89"/>
    <w:rsid w:val="00E77EA7"/>
    <w:rsid w:val="00E80174"/>
    <w:rsid w:val="00E813C1"/>
    <w:rsid w:val="00E86F8E"/>
    <w:rsid w:val="00E87589"/>
    <w:rsid w:val="00E87DA4"/>
    <w:rsid w:val="00E87E74"/>
    <w:rsid w:val="00E90D81"/>
    <w:rsid w:val="00E90E37"/>
    <w:rsid w:val="00E9168A"/>
    <w:rsid w:val="00E938FF"/>
    <w:rsid w:val="00EA5017"/>
    <w:rsid w:val="00EA53BC"/>
    <w:rsid w:val="00EA6FF5"/>
    <w:rsid w:val="00EA7948"/>
    <w:rsid w:val="00EB1041"/>
    <w:rsid w:val="00EB14F0"/>
    <w:rsid w:val="00EB3844"/>
    <w:rsid w:val="00EB3CF2"/>
    <w:rsid w:val="00EB4C83"/>
    <w:rsid w:val="00EB5428"/>
    <w:rsid w:val="00EB5865"/>
    <w:rsid w:val="00ED2D34"/>
    <w:rsid w:val="00ED35E7"/>
    <w:rsid w:val="00ED57D8"/>
    <w:rsid w:val="00ED5943"/>
    <w:rsid w:val="00ED649B"/>
    <w:rsid w:val="00ED6811"/>
    <w:rsid w:val="00ED6C51"/>
    <w:rsid w:val="00EE1145"/>
    <w:rsid w:val="00EE17EF"/>
    <w:rsid w:val="00EE1E5C"/>
    <w:rsid w:val="00EF4DCE"/>
    <w:rsid w:val="00EF7301"/>
    <w:rsid w:val="00F01825"/>
    <w:rsid w:val="00F02237"/>
    <w:rsid w:val="00F02558"/>
    <w:rsid w:val="00F036B8"/>
    <w:rsid w:val="00F1170E"/>
    <w:rsid w:val="00F143CF"/>
    <w:rsid w:val="00F162A5"/>
    <w:rsid w:val="00F27652"/>
    <w:rsid w:val="00F30265"/>
    <w:rsid w:val="00F30F50"/>
    <w:rsid w:val="00F31E9B"/>
    <w:rsid w:val="00F3276A"/>
    <w:rsid w:val="00F339BD"/>
    <w:rsid w:val="00F348B2"/>
    <w:rsid w:val="00F34BF0"/>
    <w:rsid w:val="00F36F8A"/>
    <w:rsid w:val="00F428C2"/>
    <w:rsid w:val="00F449EB"/>
    <w:rsid w:val="00F5224A"/>
    <w:rsid w:val="00F54044"/>
    <w:rsid w:val="00F55E2C"/>
    <w:rsid w:val="00F572A6"/>
    <w:rsid w:val="00F576DD"/>
    <w:rsid w:val="00F721E1"/>
    <w:rsid w:val="00F742B2"/>
    <w:rsid w:val="00F742EA"/>
    <w:rsid w:val="00F7528A"/>
    <w:rsid w:val="00F75FE5"/>
    <w:rsid w:val="00F773F7"/>
    <w:rsid w:val="00F77435"/>
    <w:rsid w:val="00F8245F"/>
    <w:rsid w:val="00F85AE0"/>
    <w:rsid w:val="00F85B3A"/>
    <w:rsid w:val="00F8773C"/>
    <w:rsid w:val="00F90FF6"/>
    <w:rsid w:val="00F91E2A"/>
    <w:rsid w:val="00FA1D78"/>
    <w:rsid w:val="00FA1F7E"/>
    <w:rsid w:val="00FB1F03"/>
    <w:rsid w:val="00FB2051"/>
    <w:rsid w:val="00FB3963"/>
    <w:rsid w:val="00FB3B51"/>
    <w:rsid w:val="00FB68C2"/>
    <w:rsid w:val="00FC1DD8"/>
    <w:rsid w:val="00FC688D"/>
    <w:rsid w:val="00FD0249"/>
    <w:rsid w:val="00FD3B92"/>
    <w:rsid w:val="00FD3DA6"/>
    <w:rsid w:val="00FD5C36"/>
    <w:rsid w:val="00FD6206"/>
    <w:rsid w:val="00FE0186"/>
    <w:rsid w:val="00FE03B4"/>
    <w:rsid w:val="00FE4A28"/>
    <w:rsid w:val="00FE4DBE"/>
    <w:rsid w:val="00FE5B4B"/>
    <w:rsid w:val="00FE6E9D"/>
    <w:rsid w:val="00FF0804"/>
    <w:rsid w:val="00FF19C7"/>
    <w:rsid w:val="00FF32C3"/>
    <w:rsid w:val="00FF4A09"/>
    <w:rsid w:val="00FF59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D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style>
  <w:style w:type="paragraph" w:customStyle="1" w:styleId="zSoquijdatGreffe">
    <w:name w:val="zSoquij_datGreffe"/>
    <w:basedOn w:val="Normal"/>
  </w:style>
  <w:style w:type="paragraph" w:customStyle="1" w:styleId="zSoquijdatJuge">
    <w:name w:val="zSoquij_datJuge"/>
    <w:basedOn w:val="Normal"/>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table" w:styleId="TableGrid">
    <w:name w:val="Table Grid"/>
    <w:basedOn w:val="TableNormal"/>
    <w:rsid w:val="0097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0265"/>
    <w:rPr>
      <w:color w:val="808080"/>
    </w:rPr>
  </w:style>
  <w:style w:type="paragraph" w:styleId="ListParagraph">
    <w:name w:val="List Paragraph"/>
    <w:basedOn w:val="Normal"/>
    <w:uiPriority w:val="34"/>
    <w:qFormat/>
    <w:rsid w:val="00260DA1"/>
    <w:pPr>
      <w:ind w:left="720"/>
      <w:contextualSpacing/>
    </w:pPr>
  </w:style>
  <w:style w:type="paragraph" w:styleId="BalloonText">
    <w:name w:val="Balloon Text"/>
    <w:basedOn w:val="Normal"/>
    <w:link w:val="BalloonTextChar"/>
    <w:rsid w:val="008B4B46"/>
    <w:rPr>
      <w:rFonts w:ascii="Segoe UI" w:hAnsi="Segoe UI" w:cs="Segoe UI"/>
      <w:sz w:val="18"/>
      <w:szCs w:val="18"/>
    </w:rPr>
  </w:style>
  <w:style w:type="character" w:customStyle="1" w:styleId="BalloonTextChar">
    <w:name w:val="Balloon Text Char"/>
    <w:basedOn w:val="DefaultParagraphFont"/>
    <w:link w:val="BalloonText"/>
    <w:rsid w:val="008B4B46"/>
    <w:rPr>
      <w:rFonts w:ascii="Segoe UI" w:hAnsi="Segoe UI" w:cs="Segoe UI"/>
      <w:sz w:val="18"/>
      <w:szCs w:val="18"/>
    </w:rPr>
  </w:style>
  <w:style w:type="paragraph" w:customStyle="1" w:styleId="articlesdelaLATMPnouveaux">
    <w:name w:val="articles de la LATMP (nouveaux)"/>
    <w:basedOn w:val="Normal"/>
    <w:rsid w:val="002A04DA"/>
    <w:pPr>
      <w:ind w:left="720" w:right="720"/>
      <w:jc w:val="both"/>
    </w:pPr>
    <w:rPr>
      <w:sz w:val="20"/>
    </w:rPr>
  </w:style>
  <w:style w:type="paragraph" w:styleId="HTMLPreformatted">
    <w:name w:val="HTML Preformatted"/>
    <w:basedOn w:val="Normal"/>
    <w:link w:val="HTMLPreformattedChar"/>
    <w:uiPriority w:val="99"/>
    <w:unhideWhenUsed/>
    <w:rsid w:val="000B2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customStyle="1" w:styleId="HTMLPreformattedChar">
    <w:name w:val="HTML Preformatted Char"/>
    <w:basedOn w:val="DefaultParagraphFont"/>
    <w:link w:val="HTMLPreformatted"/>
    <w:uiPriority w:val="99"/>
    <w:rsid w:val="000B2E7B"/>
    <w:rPr>
      <w:rFonts w:ascii="Courier New" w:hAnsi="Courier New" w:cs="Courier New"/>
      <w:sz w:val="24"/>
      <w:szCs w:val="24"/>
    </w:rPr>
  </w:style>
  <w:style w:type="character" w:customStyle="1" w:styleId="emphtyperd">
    <w:name w:val="emphtyperd"/>
    <w:basedOn w:val="DefaultParagraphFont"/>
    <w:rsid w:val="000B2E7B"/>
    <w:rPr>
      <w:sz w:val="15"/>
      <w:szCs w:val="15"/>
    </w:rPr>
  </w:style>
  <w:style w:type="character" w:customStyle="1" w:styleId="emphtypegras">
    <w:name w:val="emphtypegras"/>
    <w:basedOn w:val="DefaultParagraphFont"/>
    <w:rsid w:val="000B2E7B"/>
    <w:rPr>
      <w:b/>
      <w:bCs/>
    </w:rPr>
  </w:style>
  <w:style w:type="character" w:customStyle="1" w:styleId="elemartouartannno">
    <w:name w:val="elemartouartannno"/>
    <w:basedOn w:val="DefaultParagraphFont"/>
    <w:rsid w:val="000B2E7B"/>
    <w:rPr>
      <w:b/>
      <w:bCs/>
      <w:sz w:val="36"/>
      <w:szCs w:val="36"/>
    </w:rPr>
  </w:style>
  <w:style w:type="character" w:customStyle="1" w:styleId="corpsdedcisionCar">
    <w:name w:val="corps de décision Car"/>
    <w:link w:val="corpsdedcision"/>
    <w:rsid w:val="009761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2586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909000069">
          <w:marLeft w:val="0"/>
          <w:marRight w:val="0"/>
          <w:marTop w:val="0"/>
          <w:marBottom w:val="0"/>
          <w:divBdr>
            <w:top w:val="none" w:sz="0" w:space="0" w:color="auto"/>
            <w:left w:val="none" w:sz="0" w:space="0" w:color="auto"/>
            <w:bottom w:val="none" w:sz="0" w:space="0" w:color="auto"/>
            <w:right w:val="none" w:sz="0" w:space="0" w:color="auto"/>
          </w:divBdr>
          <w:divsChild>
            <w:div w:id="264509300">
              <w:marLeft w:val="450"/>
              <w:marRight w:val="0"/>
              <w:marTop w:val="0"/>
              <w:marBottom w:val="0"/>
              <w:divBdr>
                <w:top w:val="none" w:sz="0" w:space="0" w:color="auto"/>
                <w:left w:val="none" w:sz="0" w:space="0" w:color="auto"/>
                <w:bottom w:val="none" w:sz="0" w:space="0" w:color="auto"/>
                <w:right w:val="none" w:sz="0" w:space="0" w:color="auto"/>
              </w:divBdr>
            </w:div>
            <w:div w:id="1564172354">
              <w:marLeft w:val="450"/>
              <w:marRight w:val="0"/>
              <w:marTop w:val="0"/>
              <w:marBottom w:val="0"/>
              <w:divBdr>
                <w:top w:val="none" w:sz="0" w:space="0" w:color="auto"/>
                <w:left w:val="none" w:sz="0" w:space="0" w:color="auto"/>
                <w:bottom w:val="none" w:sz="0" w:space="0" w:color="auto"/>
                <w:right w:val="none" w:sz="0" w:space="0" w:color="auto"/>
              </w:divBdr>
            </w:div>
            <w:div w:id="1947808676">
              <w:marLeft w:val="450"/>
              <w:marRight w:val="0"/>
              <w:marTop w:val="0"/>
              <w:marBottom w:val="0"/>
              <w:divBdr>
                <w:top w:val="none" w:sz="0" w:space="0" w:color="auto"/>
                <w:left w:val="none" w:sz="0" w:space="0" w:color="auto"/>
                <w:bottom w:val="none" w:sz="0" w:space="0" w:color="auto"/>
                <w:right w:val="none" w:sz="0" w:space="0" w:color="auto"/>
              </w:divBdr>
            </w:div>
            <w:div w:id="939486271">
              <w:marLeft w:val="450"/>
              <w:marRight w:val="0"/>
              <w:marTop w:val="0"/>
              <w:marBottom w:val="0"/>
              <w:divBdr>
                <w:top w:val="none" w:sz="0" w:space="0" w:color="auto"/>
                <w:left w:val="none" w:sz="0" w:space="0" w:color="auto"/>
                <w:bottom w:val="none" w:sz="0" w:space="0" w:color="auto"/>
                <w:right w:val="none" w:sz="0" w:space="0" w:color="auto"/>
              </w:divBdr>
            </w:div>
            <w:div w:id="16829706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3D57-943D-44E7-904B-3893605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36046</Words>
  <Characters>205465</Characters>
  <Application>Microsoft Office Word</Application>
  <DocSecurity>0</DocSecurity>
  <Lines>1712</Lines>
  <Paragraphs>482</Paragraphs>
  <ScaleCrop>false</ScaleCrop>
  <Company/>
  <LinksUpToDate>false</LinksUpToDate>
  <CharactersWithSpaces>241029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2026-06-03T22:13:00Z</dcterms:created>
  <dcterms:modified xsi:type="dcterms:W3CDTF">2026-06-03T22:13:00Z</dcterms:modified>
</cp:coreProperties>
</file>