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ayout w:type="fixed"/>
        <w:tblLook w:val="04A0" w:firstRow="1" w:lastRow="0" w:firstColumn="1" w:lastColumn="0" w:noHBand="0" w:noVBand="1"/>
      </w:tblPr>
      <w:tblGrid>
        <w:gridCol w:w="630"/>
        <w:gridCol w:w="900"/>
        <w:gridCol w:w="5544"/>
        <w:gridCol w:w="2196"/>
      </w:tblGrid>
      <w:tr w:rsidR="003E2428" w14:paraId="7E4140ED" w14:textId="77777777" w:rsidTr="00A34B32">
        <w:tc>
          <w:tcPr>
            <w:tcW w:w="7074" w:type="dxa"/>
            <w:gridSpan w:val="3"/>
            <w:tcBorders>
              <w:top w:val="nil"/>
              <w:left w:val="nil"/>
              <w:bottom w:val="nil"/>
              <w:right w:val="nil"/>
            </w:tcBorders>
          </w:tcPr>
          <w:p w14:paraId="7ECBC3A3" w14:textId="329D7F3D" w:rsidR="00DF7D37" w:rsidRPr="00E8465A" w:rsidRDefault="00E8465A" w:rsidP="00E8465A">
            <w:pPr>
              <w:pStyle w:val="zSoquijdatRepertorie"/>
            </w:pPr>
            <w:bookmarkStart w:id="0" w:name="_GoBack"/>
            <w:bookmarkEnd w:id="0"/>
            <w:r>
              <w:t>Ville de Saint-Lambert c. Wade</w:t>
            </w:r>
          </w:p>
        </w:tc>
        <w:tc>
          <w:tcPr>
            <w:tcW w:w="2196" w:type="dxa"/>
            <w:tcBorders>
              <w:top w:val="nil"/>
              <w:left w:val="nil"/>
              <w:bottom w:val="nil"/>
              <w:right w:val="nil"/>
            </w:tcBorders>
          </w:tcPr>
          <w:p w14:paraId="6A1D39DA" w14:textId="517A7520" w:rsidR="00DF7D37" w:rsidRPr="008519AE" w:rsidRDefault="008519AE" w:rsidP="008519AE">
            <w:pPr>
              <w:pStyle w:val="zSoquijdatRefNeutre"/>
              <w:jc w:val="right"/>
            </w:pPr>
            <w:r w:rsidRPr="008519AE">
              <w:t>2020 QCCA 1322</w:t>
            </w:r>
          </w:p>
        </w:tc>
      </w:tr>
      <w:tr w:rsidR="003E2428" w14:paraId="6CD3F722" w14:textId="77777777" w:rsidTr="00A34B32">
        <w:tc>
          <w:tcPr>
            <w:tcW w:w="9270" w:type="dxa"/>
            <w:gridSpan w:val="4"/>
            <w:tcBorders>
              <w:top w:val="nil"/>
              <w:left w:val="nil"/>
              <w:bottom w:val="nil"/>
              <w:right w:val="nil"/>
            </w:tcBorders>
          </w:tcPr>
          <w:p w14:paraId="4DE888C6" w14:textId="1C5CAEBE" w:rsidR="00DF7D37" w:rsidRDefault="00E8465A" w:rsidP="00C02B72">
            <w:pPr>
              <w:pStyle w:val="zSoquijlblCour"/>
            </w:pPr>
            <w:r w:rsidRPr="00887EEB">
              <w:t>COUR D'APPEL</w:t>
            </w:r>
          </w:p>
        </w:tc>
      </w:tr>
      <w:tr w:rsidR="003E2428" w14:paraId="3E4CBBE4" w14:textId="77777777" w:rsidTr="00A34B32">
        <w:tc>
          <w:tcPr>
            <w:tcW w:w="9270" w:type="dxa"/>
            <w:gridSpan w:val="4"/>
            <w:tcBorders>
              <w:top w:val="nil"/>
              <w:left w:val="nil"/>
              <w:bottom w:val="nil"/>
              <w:right w:val="nil"/>
            </w:tcBorders>
          </w:tcPr>
          <w:p w14:paraId="7BF3428B" w14:textId="7991708E" w:rsidR="00DF7D37" w:rsidRDefault="00E8465A" w:rsidP="00447A05">
            <w:pPr>
              <w:pStyle w:val="zSoquijlblPays"/>
            </w:pPr>
            <w:r>
              <w:t>CANADA</w:t>
            </w:r>
          </w:p>
        </w:tc>
      </w:tr>
      <w:tr w:rsidR="003E2428" w14:paraId="66A92B33" w14:textId="77777777" w:rsidTr="00A34B32">
        <w:tc>
          <w:tcPr>
            <w:tcW w:w="9270" w:type="dxa"/>
            <w:gridSpan w:val="4"/>
            <w:tcBorders>
              <w:top w:val="nil"/>
              <w:left w:val="nil"/>
              <w:bottom w:val="nil"/>
              <w:right w:val="nil"/>
            </w:tcBorders>
          </w:tcPr>
          <w:p w14:paraId="5C5FEA37" w14:textId="5B980367" w:rsidR="00DF7D37" w:rsidRDefault="00E8465A" w:rsidP="00447A05">
            <w:pPr>
              <w:pStyle w:val="zSoquijlblProvince"/>
            </w:pPr>
            <w:r>
              <w:t>PROVINCE DE QUÉBEC</w:t>
            </w:r>
          </w:p>
        </w:tc>
      </w:tr>
      <w:tr w:rsidR="003E2428" w14:paraId="15BA2F03" w14:textId="77777777" w:rsidTr="00A34B32">
        <w:tc>
          <w:tcPr>
            <w:tcW w:w="1530" w:type="dxa"/>
            <w:gridSpan w:val="2"/>
            <w:tcBorders>
              <w:top w:val="nil"/>
              <w:left w:val="nil"/>
              <w:bottom w:val="nil"/>
              <w:right w:val="nil"/>
            </w:tcBorders>
          </w:tcPr>
          <w:p w14:paraId="3319D961" w14:textId="77777777" w:rsidR="00803B9C" w:rsidRPr="00F933A4" w:rsidRDefault="00E8465A" w:rsidP="00803B9C">
            <w:pPr>
              <w:pStyle w:val="zSoquijlblGreffe"/>
            </w:pPr>
            <w:r w:rsidRPr="00F933A4">
              <w:t xml:space="preserve">GREFFE DE </w:t>
            </w:r>
          </w:p>
        </w:tc>
        <w:tc>
          <w:tcPr>
            <w:tcW w:w="7740" w:type="dxa"/>
            <w:gridSpan w:val="2"/>
            <w:tcBorders>
              <w:top w:val="nil"/>
              <w:left w:val="nil"/>
              <w:bottom w:val="nil"/>
              <w:right w:val="nil"/>
            </w:tcBorders>
          </w:tcPr>
          <w:p w14:paraId="4EC925C1" w14:textId="508B7C1A" w:rsidR="00803B9C" w:rsidRPr="00F933A4" w:rsidRDefault="00E8465A" w:rsidP="00803B9C">
            <w:pPr>
              <w:pStyle w:val="zSoquijdatGreffe"/>
            </w:pPr>
            <w:bookmarkStart w:id="1" w:name="District_2"/>
            <w:r>
              <w:t>MONTRÉAL</w:t>
            </w:r>
            <w:bookmarkEnd w:id="1"/>
          </w:p>
        </w:tc>
      </w:tr>
      <w:tr w:rsidR="003E2428" w14:paraId="1343B8B2" w14:textId="77777777" w:rsidTr="00A34B32">
        <w:tc>
          <w:tcPr>
            <w:tcW w:w="9270" w:type="dxa"/>
            <w:gridSpan w:val="4"/>
            <w:tcBorders>
              <w:top w:val="nil"/>
              <w:left w:val="nil"/>
              <w:bottom w:val="nil"/>
              <w:right w:val="nil"/>
            </w:tcBorders>
          </w:tcPr>
          <w:p w14:paraId="533E2CA6" w14:textId="77777777" w:rsidR="00F55CD4" w:rsidRDefault="00F55CD4" w:rsidP="002C7179">
            <w:pPr>
              <w:ind w:left="-108"/>
            </w:pPr>
          </w:p>
        </w:tc>
      </w:tr>
      <w:tr w:rsidR="003E2428" w14:paraId="0EA2108F" w14:textId="77777777" w:rsidTr="00392DCA">
        <w:tc>
          <w:tcPr>
            <w:tcW w:w="630" w:type="dxa"/>
            <w:tcBorders>
              <w:top w:val="nil"/>
              <w:left w:val="nil"/>
              <w:bottom w:val="nil"/>
              <w:right w:val="nil"/>
            </w:tcBorders>
          </w:tcPr>
          <w:p w14:paraId="09167D30" w14:textId="77777777" w:rsidR="00803B9C" w:rsidRPr="00392DCA" w:rsidRDefault="00E8465A" w:rsidP="00392DCA">
            <w:pPr>
              <w:pStyle w:val="zSoquijlblNoDossier"/>
              <w:ind w:left="-108"/>
            </w:pPr>
            <w:r w:rsidRPr="00392DCA">
              <w:t xml:space="preserve">No :  </w:t>
            </w:r>
          </w:p>
        </w:tc>
        <w:tc>
          <w:tcPr>
            <w:tcW w:w="8640" w:type="dxa"/>
            <w:gridSpan w:val="3"/>
            <w:tcBorders>
              <w:top w:val="nil"/>
              <w:left w:val="nil"/>
              <w:bottom w:val="nil"/>
              <w:right w:val="nil"/>
            </w:tcBorders>
          </w:tcPr>
          <w:p w14:paraId="435E2AF0" w14:textId="04DBAD6C" w:rsidR="00803B9C" w:rsidRPr="00160465" w:rsidRDefault="00E8465A" w:rsidP="00392DCA">
            <w:pPr>
              <w:pStyle w:val="zSoquijdatNoDossier"/>
            </w:pPr>
            <w:bookmarkStart w:id="2" w:name="NoDossier"/>
            <w:r>
              <w:t>500-09-027733-187</w:t>
            </w:r>
            <w:bookmarkEnd w:id="2"/>
          </w:p>
        </w:tc>
      </w:tr>
      <w:tr w:rsidR="003E2428" w14:paraId="4FF41692" w14:textId="77777777" w:rsidTr="00A34B32">
        <w:tc>
          <w:tcPr>
            <w:tcW w:w="9270" w:type="dxa"/>
            <w:gridSpan w:val="4"/>
            <w:tcBorders>
              <w:top w:val="nil"/>
              <w:left w:val="nil"/>
              <w:bottom w:val="nil"/>
              <w:right w:val="nil"/>
            </w:tcBorders>
          </w:tcPr>
          <w:p w14:paraId="79F1E53C" w14:textId="1224C9CA" w:rsidR="00EC57E1" w:rsidRDefault="00E8465A" w:rsidP="00392DCA">
            <w:pPr>
              <w:pStyle w:val="zSoquijdatNoDossierAnt"/>
            </w:pPr>
            <w:r>
              <w:t xml:space="preserve">     </w:t>
            </w:r>
            <w:r w:rsidR="00A34B32">
              <w:t xml:space="preserve"> </w:t>
            </w:r>
            <w:r>
              <w:t xml:space="preserve"> </w:t>
            </w:r>
            <w:r w:rsidR="00392DCA">
              <w:t xml:space="preserve"> </w:t>
            </w:r>
            <w:r>
              <w:t>(</w:t>
            </w:r>
            <w:bookmarkStart w:id="3" w:name="DossierAnt"/>
            <w:r w:rsidR="00FD388C">
              <w:t>505-17-009364-169</w:t>
            </w:r>
            <w:bookmarkEnd w:id="3"/>
            <w:r>
              <w:t>)</w:t>
            </w:r>
          </w:p>
        </w:tc>
      </w:tr>
      <w:tr w:rsidR="003E2428" w14:paraId="7B571BDF" w14:textId="77777777" w:rsidTr="00A34B32">
        <w:tc>
          <w:tcPr>
            <w:tcW w:w="9270" w:type="dxa"/>
            <w:gridSpan w:val="4"/>
            <w:tcBorders>
              <w:top w:val="nil"/>
              <w:left w:val="nil"/>
              <w:bottom w:val="single" w:sz="4" w:space="0" w:color="auto"/>
              <w:right w:val="nil"/>
            </w:tcBorders>
          </w:tcPr>
          <w:p w14:paraId="1811BB9C" w14:textId="77777777" w:rsidR="00EC57E1" w:rsidRDefault="00EC57E1"/>
        </w:tc>
      </w:tr>
      <w:tr w:rsidR="003E2428" w14:paraId="538FCB70" w14:textId="77777777" w:rsidTr="00A34B32">
        <w:tc>
          <w:tcPr>
            <w:tcW w:w="9270" w:type="dxa"/>
            <w:gridSpan w:val="4"/>
            <w:tcBorders>
              <w:top w:val="single" w:sz="4" w:space="0" w:color="auto"/>
              <w:left w:val="nil"/>
              <w:bottom w:val="nil"/>
              <w:right w:val="nil"/>
            </w:tcBorders>
          </w:tcPr>
          <w:p w14:paraId="14F9F099" w14:textId="77777777" w:rsidR="00EC57E1" w:rsidRDefault="00EC57E1"/>
        </w:tc>
      </w:tr>
      <w:tr w:rsidR="003E2428" w14:paraId="5F5189AF" w14:textId="77777777" w:rsidTr="00A34B32">
        <w:tc>
          <w:tcPr>
            <w:tcW w:w="9270" w:type="dxa"/>
            <w:gridSpan w:val="4"/>
            <w:tcBorders>
              <w:top w:val="nil"/>
              <w:left w:val="nil"/>
              <w:bottom w:val="nil"/>
              <w:right w:val="nil"/>
            </w:tcBorders>
          </w:tcPr>
          <w:p w14:paraId="15A7BEDB" w14:textId="72028850" w:rsidR="00EC57E1" w:rsidRDefault="00E8465A" w:rsidP="00A8271F">
            <w:pPr>
              <w:pStyle w:val="zSoquijlblTypeDocument"/>
            </w:pPr>
            <w:r w:rsidRPr="00887EEB">
              <w:t>PROCÈS-VERBAL D'AUDIENCE</w:t>
            </w:r>
          </w:p>
        </w:tc>
      </w:tr>
      <w:tr w:rsidR="003E2428" w14:paraId="7BF86957" w14:textId="77777777" w:rsidTr="00A34B32">
        <w:tc>
          <w:tcPr>
            <w:tcW w:w="9270" w:type="dxa"/>
            <w:gridSpan w:val="4"/>
            <w:tcBorders>
              <w:top w:val="nil"/>
              <w:left w:val="nil"/>
              <w:bottom w:val="single" w:sz="4" w:space="0" w:color="auto"/>
              <w:right w:val="nil"/>
            </w:tcBorders>
          </w:tcPr>
          <w:p w14:paraId="2FE19406" w14:textId="77777777" w:rsidR="00EC57E1" w:rsidRDefault="00EC57E1"/>
        </w:tc>
      </w:tr>
    </w:tbl>
    <w:p w14:paraId="10A3A6B6" w14:textId="65688E6C" w:rsidR="000949A6" w:rsidRDefault="000949A6" w:rsidP="00887EEB">
      <w:pPr>
        <w:tabs>
          <w:tab w:val="left" w:pos="630"/>
        </w:tabs>
        <w:spacing w:line="240" w:lineRule="auto"/>
        <w:jc w:val="both"/>
        <w:rPr>
          <w:rFonts w:cs="Arial"/>
          <w:szCs w:val="24"/>
        </w:rPr>
      </w:pPr>
    </w:p>
    <w:p w14:paraId="6582E4D7" w14:textId="77777777" w:rsidR="00BD7DAF" w:rsidRDefault="00BD7DAF" w:rsidP="00887EEB">
      <w:pPr>
        <w:tabs>
          <w:tab w:val="left" w:pos="630"/>
        </w:tabs>
        <w:spacing w:line="240" w:lineRule="auto"/>
        <w:jc w:val="both"/>
        <w:rPr>
          <w:rFonts w:cs="Arial"/>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215"/>
      </w:tblGrid>
      <w:tr w:rsidR="003E2428" w14:paraId="6B8E3EE2" w14:textId="77777777" w:rsidTr="00BE1C8F">
        <w:tc>
          <w:tcPr>
            <w:tcW w:w="4045" w:type="dxa"/>
          </w:tcPr>
          <w:p w14:paraId="5874E020" w14:textId="1BEE6C1F" w:rsidR="00E01CAD" w:rsidRDefault="00E8465A" w:rsidP="00DC384E">
            <w:pPr>
              <w:pStyle w:val="zSoquijdatDateJugement"/>
            </w:pPr>
            <w:r>
              <w:t xml:space="preserve">DATE : Le </w:t>
            </w:r>
            <w:sdt>
              <w:sdtPr>
                <w:id w:val="-1317951951"/>
                <w:placeholder>
                  <w:docPart w:val="140462DD9F6D4DC4910B5C88414FEF2F"/>
                </w:placeholder>
                <w:date w:fullDate="2020-10-09T00:00:00Z">
                  <w:dateFormat w:val="d MMMM yyyy"/>
                  <w:lid w:val="fr-CA"/>
                  <w:storeMappedDataAs w:val="dateTime"/>
                  <w:calendar w:val="gregorian"/>
                </w:date>
              </w:sdtPr>
              <w:sdtEndPr/>
              <w:sdtContent>
                <w:r w:rsidR="004F520A">
                  <w:t>9 octobre 2020</w:t>
                </w:r>
              </w:sdtContent>
            </w:sdt>
          </w:p>
        </w:tc>
        <w:tc>
          <w:tcPr>
            <w:tcW w:w="5215" w:type="dxa"/>
          </w:tcPr>
          <w:p w14:paraId="16C7016C" w14:textId="77777777" w:rsidR="00E01CAD" w:rsidRDefault="00E01CAD" w:rsidP="00887EEB">
            <w:pPr>
              <w:tabs>
                <w:tab w:val="left" w:pos="630"/>
              </w:tabs>
              <w:spacing w:line="240" w:lineRule="auto"/>
              <w:jc w:val="both"/>
            </w:pPr>
          </w:p>
        </w:tc>
      </w:tr>
      <w:tr w:rsidR="003E2428" w14:paraId="34CF5069" w14:textId="77777777" w:rsidTr="00BE1C8F">
        <w:tc>
          <w:tcPr>
            <w:tcW w:w="4045" w:type="dxa"/>
          </w:tcPr>
          <w:p w14:paraId="79CE7185" w14:textId="77777777" w:rsidR="00E01CAD" w:rsidRDefault="00E01CAD" w:rsidP="00887EEB">
            <w:pPr>
              <w:tabs>
                <w:tab w:val="left" w:pos="630"/>
              </w:tabs>
              <w:spacing w:line="240" w:lineRule="auto"/>
              <w:jc w:val="both"/>
            </w:pPr>
          </w:p>
        </w:tc>
        <w:tc>
          <w:tcPr>
            <w:tcW w:w="5215" w:type="dxa"/>
          </w:tcPr>
          <w:p w14:paraId="7FE5FAB1" w14:textId="77777777" w:rsidR="00E01CAD" w:rsidRDefault="00E01CAD" w:rsidP="00887EEB">
            <w:pPr>
              <w:tabs>
                <w:tab w:val="left" w:pos="630"/>
              </w:tabs>
              <w:spacing w:line="240" w:lineRule="auto"/>
              <w:jc w:val="both"/>
            </w:pPr>
          </w:p>
        </w:tc>
      </w:tr>
      <w:tr w:rsidR="003E2428" w14:paraId="6A7A3DE7" w14:textId="77777777" w:rsidTr="00BE1C8F">
        <w:tc>
          <w:tcPr>
            <w:tcW w:w="4045" w:type="dxa"/>
          </w:tcPr>
          <w:p w14:paraId="63C6521C" w14:textId="5BF889EC" w:rsidR="00E01CAD" w:rsidRDefault="00E8465A" w:rsidP="00E002CB">
            <w:pPr>
              <w:pStyle w:val="zSoquijdatQteJuge"/>
              <w:ind w:left="-108"/>
            </w:pPr>
            <w:r w:rsidRPr="00DC384E">
              <w:t>FORMATION :</w:t>
            </w:r>
            <w:r>
              <w:t xml:space="preserve"> </w:t>
            </w:r>
            <w:r w:rsidRPr="00FB0AFC">
              <w:t>LES HONORABLES</w:t>
            </w:r>
          </w:p>
        </w:tc>
        <w:tc>
          <w:tcPr>
            <w:tcW w:w="5215" w:type="dxa"/>
          </w:tcPr>
          <w:p w14:paraId="4A48EB5D" w14:textId="52DDFA1F" w:rsidR="00E01CAD" w:rsidRPr="00836D3E" w:rsidRDefault="00E8465A" w:rsidP="00E21494">
            <w:pPr>
              <w:pStyle w:val="zSoquijdatJuge1"/>
            </w:pPr>
            <w:bookmarkStart w:id="4" w:name="NomJuge1"/>
            <w:r>
              <w:t>MANON SAVARD, J.C.Q.</w:t>
            </w:r>
            <w:bookmarkEnd w:id="4"/>
          </w:p>
        </w:tc>
      </w:tr>
      <w:tr w:rsidR="003E2428" w14:paraId="22C1B474" w14:textId="77777777" w:rsidTr="00BE1C8F">
        <w:tc>
          <w:tcPr>
            <w:tcW w:w="4045" w:type="dxa"/>
          </w:tcPr>
          <w:p w14:paraId="7ED60062" w14:textId="77777777" w:rsidR="00E01CAD" w:rsidRDefault="00E01CAD" w:rsidP="00887EEB">
            <w:pPr>
              <w:tabs>
                <w:tab w:val="left" w:pos="630"/>
              </w:tabs>
              <w:spacing w:line="240" w:lineRule="auto"/>
              <w:jc w:val="both"/>
            </w:pPr>
          </w:p>
        </w:tc>
        <w:tc>
          <w:tcPr>
            <w:tcW w:w="5215" w:type="dxa"/>
          </w:tcPr>
          <w:p w14:paraId="72D9A5FC" w14:textId="28D15B4B" w:rsidR="00E01CAD" w:rsidRPr="00FD388C" w:rsidRDefault="00E8465A" w:rsidP="00E21494">
            <w:pPr>
              <w:pStyle w:val="zSoquijdatJuge2"/>
              <w:rPr>
                <w:lang w:val="en-CA"/>
              </w:rPr>
            </w:pPr>
            <w:bookmarkStart w:id="5" w:name="NomJuge2"/>
            <w:r w:rsidRPr="00FD388C">
              <w:rPr>
                <w:lang w:val="en-CA"/>
              </w:rPr>
              <w:t>MARK SCHRAGER, J.C.A.</w:t>
            </w:r>
            <w:bookmarkEnd w:id="5"/>
          </w:p>
        </w:tc>
      </w:tr>
      <w:tr w:rsidR="003E2428" w14:paraId="2781EA48" w14:textId="77777777" w:rsidTr="00BE1C8F">
        <w:tc>
          <w:tcPr>
            <w:tcW w:w="4045" w:type="dxa"/>
          </w:tcPr>
          <w:p w14:paraId="3480EC95" w14:textId="77777777" w:rsidR="00E01CAD" w:rsidRPr="00FD388C" w:rsidRDefault="00E01CAD" w:rsidP="00887EEB">
            <w:pPr>
              <w:tabs>
                <w:tab w:val="left" w:pos="630"/>
              </w:tabs>
              <w:spacing w:line="240" w:lineRule="auto"/>
              <w:jc w:val="both"/>
              <w:rPr>
                <w:lang w:val="en-CA"/>
              </w:rPr>
            </w:pPr>
          </w:p>
        </w:tc>
        <w:tc>
          <w:tcPr>
            <w:tcW w:w="5215" w:type="dxa"/>
          </w:tcPr>
          <w:p w14:paraId="5100D1EA" w14:textId="02A81288" w:rsidR="00E01CAD" w:rsidRPr="00E21494" w:rsidRDefault="00E8465A" w:rsidP="00E21494">
            <w:pPr>
              <w:pStyle w:val="zSoquijdatJuge3"/>
            </w:pPr>
            <w:bookmarkStart w:id="6" w:name="NomJuge3"/>
            <w:r>
              <w:t>SIMON RUEL, J.C.A.</w:t>
            </w:r>
            <w:bookmarkEnd w:id="6"/>
          </w:p>
        </w:tc>
      </w:tr>
    </w:tbl>
    <w:p w14:paraId="53BDB450" w14:textId="77777777" w:rsidR="00E01CAD" w:rsidRPr="00887EEB" w:rsidRDefault="00E01CAD" w:rsidP="00887EEB">
      <w:pPr>
        <w:tabs>
          <w:tab w:val="left" w:pos="630"/>
        </w:tabs>
        <w:spacing w:line="240" w:lineRule="auto"/>
        <w:jc w:val="both"/>
        <w:rPr>
          <w:rFonts w:cs="Arial"/>
          <w:szCs w:val="24"/>
        </w:rPr>
      </w:pPr>
    </w:p>
    <w:p w14:paraId="4845C074" w14:textId="77777777" w:rsidR="00887EEB" w:rsidRPr="00E01CAD" w:rsidRDefault="00887EEB" w:rsidP="000949A6">
      <w:pPr>
        <w:tabs>
          <w:tab w:val="left" w:pos="0"/>
        </w:tabs>
        <w:spacing w:line="240" w:lineRule="auto"/>
        <w:jc w:val="both"/>
        <w:rPr>
          <w:rFonts w:cs="Arial"/>
          <w:szCs w:val="24"/>
        </w:rPr>
      </w:pPr>
      <w:bookmarkStart w:id="7" w:name="Faillite"/>
      <w:bookmarkEnd w:id="7"/>
    </w:p>
    <w:p w14:paraId="36F4F876" w14:textId="77777777" w:rsidR="00887EEB" w:rsidRPr="00887EEB" w:rsidRDefault="00887EEB" w:rsidP="00887EEB">
      <w:pPr>
        <w:spacing w:line="240" w:lineRule="auto"/>
        <w:jc w:val="both"/>
        <w:rPr>
          <w:rFonts w:cs="Arial"/>
          <w:szCs w:val="24"/>
        </w:rPr>
      </w:pPr>
    </w:p>
    <w:tbl>
      <w:tblPr>
        <w:tblStyle w:val="Grilledutableau1"/>
        <w:tblW w:w="0" w:type="auto"/>
        <w:tblInd w:w="-5"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4846"/>
      </w:tblGrid>
      <w:tr w:rsidR="003E2428" w14:paraId="6521827B" w14:textId="77777777" w:rsidTr="005A127D">
        <w:tc>
          <w:tcPr>
            <w:tcW w:w="4419" w:type="dxa"/>
          </w:tcPr>
          <w:p w14:paraId="6EEC9AEF" w14:textId="05042356" w:rsidR="00887EEB" w:rsidRPr="00FA7F32" w:rsidRDefault="00E8465A" w:rsidP="00FA7F32">
            <w:pPr>
              <w:pStyle w:val="zSoquijdatQtePartieDem"/>
            </w:pPr>
            <w:r w:rsidRPr="00FA7F32">
              <w:t>PARTIE APPELANTE</w:t>
            </w:r>
          </w:p>
        </w:tc>
        <w:tc>
          <w:tcPr>
            <w:tcW w:w="4846" w:type="dxa"/>
            <w:vAlign w:val="center"/>
          </w:tcPr>
          <w:p w14:paraId="0600BB63" w14:textId="5BD6B311" w:rsidR="00887EEB" w:rsidRPr="00887EEB" w:rsidRDefault="00E8465A" w:rsidP="00C551F8">
            <w:pPr>
              <w:pStyle w:val="zSoquijlblProcureurDem"/>
            </w:pPr>
            <w:r w:rsidRPr="00C551F8">
              <w:t>AVOCAT</w:t>
            </w:r>
          </w:p>
        </w:tc>
      </w:tr>
      <w:tr w:rsidR="003E2428" w14:paraId="158E7160" w14:textId="77777777" w:rsidTr="005A127D">
        <w:tc>
          <w:tcPr>
            <w:tcW w:w="4419" w:type="dxa"/>
          </w:tcPr>
          <w:p w14:paraId="143D446F" w14:textId="77777777" w:rsidR="00887EEB" w:rsidRDefault="00887EEB" w:rsidP="00033ACA">
            <w:pPr>
              <w:tabs>
                <w:tab w:val="center" w:pos="2162"/>
              </w:tabs>
              <w:spacing w:line="240" w:lineRule="auto"/>
              <w:jc w:val="center"/>
              <w:rPr>
                <w:b/>
              </w:rPr>
            </w:pPr>
          </w:p>
          <w:p w14:paraId="51978764" w14:textId="285E03C8" w:rsidR="00033ACA" w:rsidRPr="00F12661" w:rsidRDefault="00E8465A" w:rsidP="00F12661">
            <w:pPr>
              <w:pStyle w:val="zSoquijdatNomPartieDem"/>
              <w:tabs>
                <w:tab w:val="center" w:pos="2412"/>
              </w:tabs>
            </w:pPr>
            <w:bookmarkStart w:id="8" w:name="App"/>
            <w:r w:rsidRPr="00FD388C">
              <w:rPr>
                <w:caps/>
              </w:rPr>
              <w:t>Ville de Saint-Lambert</w:t>
            </w:r>
            <w:bookmarkEnd w:id="8"/>
          </w:p>
        </w:tc>
        <w:tc>
          <w:tcPr>
            <w:tcW w:w="4846" w:type="dxa"/>
          </w:tcPr>
          <w:p w14:paraId="3D31F7F2" w14:textId="77777777" w:rsidR="00887EEB" w:rsidRPr="00887EEB" w:rsidRDefault="00887EEB" w:rsidP="00887EEB">
            <w:pPr>
              <w:spacing w:line="240" w:lineRule="auto"/>
              <w:jc w:val="center"/>
              <w:rPr>
                <w:rFonts w:cs="Arial"/>
                <w:szCs w:val="24"/>
              </w:rPr>
            </w:pPr>
          </w:p>
          <w:p w14:paraId="4101D8FA" w14:textId="56A071BC" w:rsidR="00887EEB" w:rsidRPr="00F12661" w:rsidRDefault="00E8465A" w:rsidP="00C551F8">
            <w:pPr>
              <w:pStyle w:val="zSoquijdatNomProcureurDem"/>
            </w:pPr>
            <w:r w:rsidRPr="00887EEB">
              <w:t>M</w:t>
            </w:r>
            <w:r w:rsidR="002E7403">
              <w:t xml:space="preserve">e </w:t>
            </w:r>
            <w:bookmarkStart w:id="9" w:name="Avocat_app"/>
            <w:bookmarkEnd w:id="9"/>
            <w:r w:rsidR="00F91BDB">
              <w:t>MIKAEL MAHER</w:t>
            </w:r>
          </w:p>
          <w:p w14:paraId="7EEDD565" w14:textId="368E3974" w:rsidR="00887EEB" w:rsidRDefault="00E8465A" w:rsidP="00F12661">
            <w:pPr>
              <w:pStyle w:val="zSoquijdatCabinetProcureurDem"/>
            </w:pPr>
            <w:r w:rsidRPr="00887EEB">
              <w:t>(</w:t>
            </w:r>
            <w:bookmarkStart w:id="10" w:name="Bureau_Avocat_app"/>
            <w:bookmarkEnd w:id="10"/>
            <w:r w:rsidR="00F91BDB">
              <w:rPr>
                <w:i/>
              </w:rPr>
              <w:t>Fasken Martineau DuMoulin</w:t>
            </w:r>
            <w:r w:rsidRPr="00887EEB">
              <w:t>)</w:t>
            </w:r>
          </w:p>
          <w:p w14:paraId="5E5760EE" w14:textId="592E675F" w:rsidR="00AA3C27" w:rsidRPr="00887EEB" w:rsidRDefault="00E8465A" w:rsidP="00F12661">
            <w:pPr>
              <w:pStyle w:val="zSoquijdatCabinetProcureurDem"/>
            </w:pPr>
            <w:r>
              <w:t>Absent</w:t>
            </w:r>
          </w:p>
          <w:p w14:paraId="49852FFA" w14:textId="77777777" w:rsidR="00887EEB" w:rsidRPr="00887EEB" w:rsidRDefault="00887EEB" w:rsidP="00B25D48">
            <w:pPr>
              <w:spacing w:line="240" w:lineRule="auto"/>
              <w:jc w:val="center"/>
              <w:rPr>
                <w:rFonts w:cs="Arial"/>
                <w:szCs w:val="24"/>
              </w:rPr>
            </w:pPr>
          </w:p>
        </w:tc>
      </w:tr>
      <w:tr w:rsidR="003E2428" w14:paraId="6BA98B01" w14:textId="77777777" w:rsidTr="005A127D">
        <w:tc>
          <w:tcPr>
            <w:tcW w:w="4419" w:type="dxa"/>
          </w:tcPr>
          <w:p w14:paraId="14A02467" w14:textId="77777777" w:rsidR="00887EEB" w:rsidRPr="00FA7F32" w:rsidRDefault="00E8465A" w:rsidP="00FA7F32">
            <w:pPr>
              <w:pStyle w:val="zSoquijdatQtePartieDef"/>
            </w:pPr>
            <w:r w:rsidRPr="00FA7F32">
              <w:t>PARTIE INTIMÉE</w:t>
            </w:r>
          </w:p>
        </w:tc>
        <w:tc>
          <w:tcPr>
            <w:tcW w:w="4846" w:type="dxa"/>
            <w:vAlign w:val="center"/>
          </w:tcPr>
          <w:p w14:paraId="5EA1438E" w14:textId="7303DC08" w:rsidR="00887EEB" w:rsidRPr="00887EEB" w:rsidRDefault="00E8465A" w:rsidP="00C551F8">
            <w:pPr>
              <w:pStyle w:val="zSoquijlblProcureurDef"/>
            </w:pPr>
            <w:r w:rsidRPr="00887EEB">
              <w:t>AVOCAT</w:t>
            </w:r>
          </w:p>
        </w:tc>
      </w:tr>
      <w:tr w:rsidR="003E2428" w14:paraId="6E7CBC16" w14:textId="77777777" w:rsidTr="005A127D">
        <w:tc>
          <w:tcPr>
            <w:tcW w:w="4419" w:type="dxa"/>
          </w:tcPr>
          <w:p w14:paraId="1AA695C1" w14:textId="77777777" w:rsidR="00887EEB" w:rsidRDefault="00887EEB" w:rsidP="00887EEB">
            <w:pPr>
              <w:spacing w:line="240" w:lineRule="auto"/>
              <w:jc w:val="center"/>
              <w:rPr>
                <w:b/>
              </w:rPr>
            </w:pPr>
          </w:p>
          <w:p w14:paraId="62469F32" w14:textId="26EAF7F9" w:rsidR="00F12661" w:rsidRPr="007519EA" w:rsidRDefault="00E8465A" w:rsidP="007377D2">
            <w:pPr>
              <w:pStyle w:val="zSoquijdatNomPartieDef"/>
              <w:tabs>
                <w:tab w:val="center" w:pos="2412"/>
              </w:tabs>
            </w:pPr>
            <w:bookmarkStart w:id="11" w:name="Intimé"/>
            <w:r w:rsidRPr="00FD388C">
              <w:rPr>
                <w:caps/>
              </w:rPr>
              <w:t>Vincent Wade</w:t>
            </w:r>
            <w:bookmarkEnd w:id="11"/>
          </w:p>
        </w:tc>
        <w:tc>
          <w:tcPr>
            <w:tcW w:w="4846" w:type="dxa"/>
          </w:tcPr>
          <w:p w14:paraId="4A56287D" w14:textId="77777777" w:rsidR="00887EEB" w:rsidRPr="00887EEB" w:rsidRDefault="00887EEB" w:rsidP="00887EEB">
            <w:pPr>
              <w:spacing w:line="240" w:lineRule="auto"/>
              <w:jc w:val="center"/>
              <w:rPr>
                <w:rFonts w:cs="Arial"/>
                <w:szCs w:val="24"/>
              </w:rPr>
            </w:pPr>
          </w:p>
          <w:p w14:paraId="665C2FC1" w14:textId="53E961D1" w:rsidR="00887EEB" w:rsidRPr="002E7403" w:rsidRDefault="00E8465A" w:rsidP="00C551F8">
            <w:pPr>
              <w:pStyle w:val="zSoquijdatNomProcureurDef"/>
            </w:pPr>
            <w:r w:rsidRPr="00887EEB">
              <w:t>M</w:t>
            </w:r>
            <w:r w:rsidR="002E7403">
              <w:t xml:space="preserve">e </w:t>
            </w:r>
            <w:bookmarkStart w:id="12" w:name="Avocat_int"/>
            <w:bookmarkEnd w:id="12"/>
            <w:r w:rsidR="00E37703">
              <w:t>JEAN-FRANÇOIS P. RAYMOND</w:t>
            </w:r>
          </w:p>
          <w:p w14:paraId="79A0F1FA" w14:textId="3B5A7C8C" w:rsidR="00887EEB" w:rsidRPr="00887EEB" w:rsidRDefault="00E8465A" w:rsidP="00C551F8">
            <w:pPr>
              <w:pStyle w:val="zSoquijdatCabinetProcureurDef"/>
            </w:pPr>
            <w:r w:rsidRPr="00887EEB">
              <w:t>(</w:t>
            </w:r>
            <w:bookmarkStart w:id="13" w:name="Bureau_Avocat_int"/>
            <w:bookmarkEnd w:id="13"/>
            <w:r w:rsidR="00E37703">
              <w:rPr>
                <w:i/>
              </w:rPr>
              <w:t>Roy Bélanger Avocats</w:t>
            </w:r>
            <w:r w:rsidRPr="00887EEB">
              <w:t>)</w:t>
            </w:r>
          </w:p>
          <w:p w14:paraId="2E6FEF1E" w14:textId="1B081BDA" w:rsidR="00887EEB" w:rsidRPr="00887EEB" w:rsidRDefault="00E8465A" w:rsidP="00887EEB">
            <w:pPr>
              <w:spacing w:line="240" w:lineRule="auto"/>
              <w:jc w:val="center"/>
              <w:rPr>
                <w:rFonts w:cs="Arial"/>
                <w:szCs w:val="24"/>
              </w:rPr>
            </w:pPr>
            <w:r>
              <w:rPr>
                <w:rFonts w:cs="Arial"/>
                <w:szCs w:val="24"/>
              </w:rPr>
              <w:t>Absent</w:t>
            </w:r>
          </w:p>
          <w:p w14:paraId="17352FF0" w14:textId="77777777" w:rsidR="00887EEB" w:rsidRPr="00887EEB" w:rsidRDefault="00887EEB" w:rsidP="00887EEB">
            <w:pPr>
              <w:spacing w:line="240" w:lineRule="auto"/>
              <w:jc w:val="center"/>
              <w:rPr>
                <w:rFonts w:cs="Arial"/>
                <w:szCs w:val="24"/>
              </w:rPr>
            </w:pPr>
          </w:p>
        </w:tc>
      </w:tr>
      <w:tr w:rsidR="003E2428" w14:paraId="78A80B88" w14:textId="77777777" w:rsidTr="005A127D">
        <w:tc>
          <w:tcPr>
            <w:tcW w:w="4419" w:type="dxa"/>
            <w:vAlign w:val="center"/>
          </w:tcPr>
          <w:p w14:paraId="42489725" w14:textId="5C8BE978" w:rsidR="00887EEB" w:rsidRPr="00887EEB" w:rsidRDefault="00E8465A" w:rsidP="00C551F8">
            <w:pPr>
              <w:pStyle w:val="zSoquijdatQtePartieMec"/>
            </w:pPr>
            <w:r w:rsidRPr="00887EEB">
              <w:t>PARTIE</w:t>
            </w:r>
            <w:r w:rsidR="004835FF">
              <w:t>S</w:t>
            </w:r>
            <w:r w:rsidRPr="00887EEB">
              <w:t xml:space="preserve"> MISE</w:t>
            </w:r>
            <w:r w:rsidR="004835FF">
              <w:t>S</w:t>
            </w:r>
            <w:r w:rsidRPr="00887EEB">
              <w:t xml:space="preserve"> EN CAUSE</w:t>
            </w:r>
          </w:p>
        </w:tc>
        <w:tc>
          <w:tcPr>
            <w:tcW w:w="4846" w:type="dxa"/>
            <w:vAlign w:val="center"/>
          </w:tcPr>
          <w:p w14:paraId="75DB49B8" w14:textId="22C4D11E" w:rsidR="00887EEB" w:rsidRPr="00887EEB" w:rsidRDefault="00E8465A" w:rsidP="00C551F8">
            <w:pPr>
              <w:pStyle w:val="zSoquijlblProcureurMec"/>
            </w:pPr>
            <w:r>
              <w:t>AVOCATS</w:t>
            </w:r>
          </w:p>
        </w:tc>
      </w:tr>
      <w:tr w:rsidR="003E2428" w14:paraId="450EEDE9" w14:textId="77777777" w:rsidTr="005A127D">
        <w:tc>
          <w:tcPr>
            <w:tcW w:w="4419" w:type="dxa"/>
          </w:tcPr>
          <w:p w14:paraId="65706969" w14:textId="77777777" w:rsidR="00C7371F" w:rsidRDefault="00C7371F" w:rsidP="00C7371F">
            <w:pPr>
              <w:pStyle w:val="zSoquijdatNomPartieMec"/>
              <w:tabs>
                <w:tab w:val="center" w:pos="2322"/>
              </w:tabs>
              <w:jc w:val="left"/>
              <w:rPr>
                <w:caps/>
              </w:rPr>
            </w:pPr>
          </w:p>
          <w:p w14:paraId="2488C4E0" w14:textId="77777777" w:rsidR="00C7371F" w:rsidRDefault="00E8465A" w:rsidP="00C7371F">
            <w:pPr>
              <w:pStyle w:val="zSoquijdatNomPartieMec"/>
              <w:tabs>
                <w:tab w:val="center" w:pos="2322"/>
              </w:tabs>
              <w:rPr>
                <w:caps/>
              </w:rPr>
            </w:pPr>
            <w:r w:rsidRPr="00FD388C">
              <w:rPr>
                <w:caps/>
              </w:rPr>
              <w:t>Trib</w:t>
            </w:r>
            <w:r>
              <w:rPr>
                <w:caps/>
              </w:rPr>
              <w:t>unal administratif du travail</w:t>
            </w:r>
          </w:p>
          <w:p w14:paraId="21D8D4E4" w14:textId="77777777" w:rsidR="005A127D" w:rsidRPr="00887EEB" w:rsidRDefault="005A127D" w:rsidP="005A127D">
            <w:pPr>
              <w:pStyle w:val="zSoquijdatQtePartieMec"/>
            </w:pPr>
          </w:p>
        </w:tc>
        <w:tc>
          <w:tcPr>
            <w:tcW w:w="4846" w:type="dxa"/>
          </w:tcPr>
          <w:p w14:paraId="0C7D8165" w14:textId="77777777" w:rsidR="005A127D" w:rsidRDefault="005A127D" w:rsidP="005A127D">
            <w:pPr>
              <w:spacing w:line="240" w:lineRule="auto"/>
              <w:jc w:val="center"/>
              <w:rPr>
                <w:rFonts w:cs="Arial"/>
                <w:szCs w:val="24"/>
              </w:rPr>
            </w:pPr>
          </w:p>
          <w:p w14:paraId="45D9B8DD" w14:textId="362F1241" w:rsidR="005A127D" w:rsidRPr="00887EEB" w:rsidRDefault="00E8465A" w:rsidP="005A127D">
            <w:pPr>
              <w:pStyle w:val="zSoquijdatNomProcureurMec"/>
            </w:pPr>
            <w:r w:rsidRPr="00887EEB">
              <w:t xml:space="preserve">Me </w:t>
            </w:r>
            <w:r w:rsidR="00A756B4">
              <w:t>MARIE-F</w:t>
            </w:r>
            <w:r w:rsidR="00B25D48">
              <w:t>RANCE</w:t>
            </w:r>
            <w:r w:rsidR="00A756B4">
              <w:t xml:space="preserve"> BERNIER</w:t>
            </w:r>
          </w:p>
          <w:p w14:paraId="4C95C077" w14:textId="63871D1A" w:rsidR="005A127D" w:rsidRPr="00887EEB" w:rsidRDefault="00E8465A" w:rsidP="005A127D">
            <w:pPr>
              <w:pStyle w:val="zSoquijdatCabinetProcureurMec"/>
            </w:pPr>
            <w:r w:rsidRPr="00887EEB">
              <w:t>(</w:t>
            </w:r>
            <w:r w:rsidR="00A756B4">
              <w:rPr>
                <w:i/>
              </w:rPr>
              <w:t>Bernier Charbonneau</w:t>
            </w:r>
            <w:r w:rsidRPr="00887EEB">
              <w:t>)</w:t>
            </w:r>
          </w:p>
          <w:p w14:paraId="28056854" w14:textId="1171AAB1" w:rsidR="005A127D" w:rsidRPr="00887EEB" w:rsidRDefault="00E8465A" w:rsidP="005A127D">
            <w:pPr>
              <w:spacing w:line="240" w:lineRule="auto"/>
              <w:jc w:val="center"/>
              <w:rPr>
                <w:rFonts w:cs="Arial"/>
                <w:szCs w:val="24"/>
              </w:rPr>
            </w:pPr>
            <w:r>
              <w:rPr>
                <w:rFonts w:cs="Arial"/>
                <w:szCs w:val="24"/>
              </w:rPr>
              <w:t>Absente</w:t>
            </w:r>
          </w:p>
          <w:p w14:paraId="166BEA79" w14:textId="77777777" w:rsidR="005A127D" w:rsidRPr="00887EEB" w:rsidRDefault="005A127D" w:rsidP="005A127D">
            <w:pPr>
              <w:pStyle w:val="zSoquijlblProcureurMec"/>
            </w:pPr>
          </w:p>
        </w:tc>
      </w:tr>
      <w:tr w:rsidR="003E2428" w14:paraId="7283E4FA" w14:textId="77777777" w:rsidTr="005A127D">
        <w:tc>
          <w:tcPr>
            <w:tcW w:w="4419" w:type="dxa"/>
          </w:tcPr>
          <w:p w14:paraId="38860F7F" w14:textId="77777777" w:rsidR="00AE7E65" w:rsidRDefault="00AE7E65" w:rsidP="00AE7E65">
            <w:pPr>
              <w:pStyle w:val="zSoquijdatNomPartieMec"/>
              <w:tabs>
                <w:tab w:val="center" w:pos="2322"/>
              </w:tabs>
              <w:jc w:val="left"/>
            </w:pPr>
          </w:p>
          <w:p w14:paraId="22966AD5" w14:textId="1BF61CAD" w:rsidR="00C7371F" w:rsidRDefault="00E8465A" w:rsidP="00AE7E65">
            <w:pPr>
              <w:pStyle w:val="zSoquijdatNomPartieMec"/>
              <w:tabs>
                <w:tab w:val="center" w:pos="2322"/>
              </w:tabs>
              <w:rPr>
                <w:caps/>
              </w:rPr>
            </w:pPr>
            <w:r>
              <w:rPr>
                <w:caps/>
              </w:rPr>
              <w:t>Commission des normes</w:t>
            </w:r>
            <w:r w:rsidRPr="00FD388C">
              <w:rPr>
                <w:caps/>
              </w:rPr>
              <w:t xml:space="preserve"> de l'équité, de la santé</w:t>
            </w:r>
            <w:r>
              <w:rPr>
                <w:caps/>
              </w:rPr>
              <w:t xml:space="preserve"> et de la sécurité du travail</w:t>
            </w:r>
          </w:p>
          <w:p w14:paraId="181044C8" w14:textId="77777777" w:rsidR="005A127D" w:rsidRDefault="005A127D" w:rsidP="005A127D">
            <w:pPr>
              <w:pStyle w:val="zSoquijdatNomPartieMec"/>
            </w:pPr>
          </w:p>
        </w:tc>
        <w:tc>
          <w:tcPr>
            <w:tcW w:w="4846" w:type="dxa"/>
          </w:tcPr>
          <w:p w14:paraId="0CD9D17A" w14:textId="77777777" w:rsidR="005A127D" w:rsidRDefault="005A127D" w:rsidP="005A127D">
            <w:pPr>
              <w:spacing w:line="240" w:lineRule="auto"/>
              <w:jc w:val="center"/>
              <w:rPr>
                <w:rFonts w:cs="Arial"/>
                <w:szCs w:val="24"/>
              </w:rPr>
            </w:pPr>
          </w:p>
          <w:p w14:paraId="1B45F696" w14:textId="786CC9D1" w:rsidR="005A127D" w:rsidRPr="00887EEB" w:rsidRDefault="00E8465A" w:rsidP="005A127D">
            <w:pPr>
              <w:pStyle w:val="zSoquijdatNomProcureurMec"/>
            </w:pPr>
            <w:r w:rsidRPr="00887EEB">
              <w:t xml:space="preserve">Me </w:t>
            </w:r>
            <w:r w:rsidR="00ED0038">
              <w:t>LUCILLE GIARD</w:t>
            </w:r>
          </w:p>
          <w:p w14:paraId="661193FC" w14:textId="0087552C" w:rsidR="005A127D" w:rsidRPr="00887EEB" w:rsidRDefault="00E8465A" w:rsidP="005A127D">
            <w:pPr>
              <w:pStyle w:val="zSoquijdatCabinetProcureurMec"/>
            </w:pPr>
            <w:r w:rsidRPr="00887EEB">
              <w:t>(</w:t>
            </w:r>
            <w:r w:rsidR="00ED0038">
              <w:rPr>
                <w:i/>
              </w:rPr>
              <w:t>Pineault Avocats CNESST</w:t>
            </w:r>
            <w:r w:rsidRPr="00887EEB">
              <w:t>)</w:t>
            </w:r>
          </w:p>
          <w:p w14:paraId="4B670CED" w14:textId="412D2A19" w:rsidR="005A127D" w:rsidRPr="00887EEB" w:rsidRDefault="00E8465A" w:rsidP="005A127D">
            <w:pPr>
              <w:spacing w:line="240" w:lineRule="auto"/>
              <w:jc w:val="center"/>
              <w:rPr>
                <w:rFonts w:cs="Arial"/>
                <w:szCs w:val="24"/>
              </w:rPr>
            </w:pPr>
            <w:r>
              <w:rPr>
                <w:rFonts w:cs="Arial"/>
                <w:szCs w:val="24"/>
              </w:rPr>
              <w:t>Absente</w:t>
            </w:r>
          </w:p>
          <w:p w14:paraId="432B630E" w14:textId="77777777" w:rsidR="005A127D" w:rsidRDefault="005A127D" w:rsidP="005A127D">
            <w:pPr>
              <w:spacing w:line="240" w:lineRule="auto"/>
              <w:jc w:val="center"/>
              <w:rPr>
                <w:rFonts w:cs="Arial"/>
                <w:szCs w:val="24"/>
              </w:rPr>
            </w:pPr>
          </w:p>
        </w:tc>
      </w:tr>
      <w:tr w:rsidR="003E2428" w14:paraId="3A92CA1E" w14:textId="77777777" w:rsidTr="005A127D">
        <w:tc>
          <w:tcPr>
            <w:tcW w:w="4419" w:type="dxa"/>
            <w:vAlign w:val="center"/>
          </w:tcPr>
          <w:p w14:paraId="7649444B" w14:textId="0069FA09" w:rsidR="005A127D" w:rsidRPr="00887EEB" w:rsidRDefault="00E8465A" w:rsidP="005A127D">
            <w:pPr>
              <w:pStyle w:val="zSoquijdatQtePartieMec"/>
            </w:pPr>
            <w:r w:rsidRPr="00887EEB">
              <w:lastRenderedPageBreak/>
              <w:t>PARTIE MISE EN CAUSE</w:t>
            </w:r>
          </w:p>
        </w:tc>
        <w:tc>
          <w:tcPr>
            <w:tcW w:w="4846" w:type="dxa"/>
            <w:vAlign w:val="center"/>
          </w:tcPr>
          <w:p w14:paraId="73CDD5DF" w14:textId="77777777" w:rsidR="005A127D" w:rsidRPr="00887EEB" w:rsidRDefault="005A127D" w:rsidP="005A127D">
            <w:pPr>
              <w:pStyle w:val="zSoquijlblProcureurMec"/>
            </w:pPr>
          </w:p>
        </w:tc>
      </w:tr>
      <w:tr w:rsidR="003E2428" w14:paraId="62524F23" w14:textId="77777777" w:rsidTr="005A127D">
        <w:tc>
          <w:tcPr>
            <w:tcW w:w="4419" w:type="dxa"/>
          </w:tcPr>
          <w:p w14:paraId="346A32CC" w14:textId="77777777" w:rsidR="005A127D" w:rsidRDefault="005A127D" w:rsidP="00F50962">
            <w:pPr>
              <w:pStyle w:val="zSoquijdatNomPartieMec"/>
              <w:tabs>
                <w:tab w:val="center" w:pos="2322"/>
              </w:tabs>
              <w:jc w:val="left"/>
              <w:rPr>
                <w:caps/>
              </w:rPr>
            </w:pPr>
            <w:bookmarkStart w:id="14" w:name="MeC"/>
          </w:p>
          <w:p w14:paraId="0A7FB2F6" w14:textId="1EB45ABD" w:rsidR="005A127D" w:rsidRDefault="00E8465A" w:rsidP="005A127D">
            <w:pPr>
              <w:pStyle w:val="zSoquijdatNomPartieMec"/>
              <w:tabs>
                <w:tab w:val="center" w:pos="2322"/>
              </w:tabs>
              <w:rPr>
                <w:caps/>
              </w:rPr>
            </w:pPr>
            <w:r w:rsidRPr="00FD388C">
              <w:rPr>
                <w:caps/>
              </w:rPr>
              <w:t>Ville de Longueuil</w:t>
            </w:r>
            <w:bookmarkEnd w:id="14"/>
          </w:p>
          <w:p w14:paraId="61CF4BA0" w14:textId="3B568975" w:rsidR="005A127D" w:rsidRPr="00887EEB" w:rsidRDefault="005A127D" w:rsidP="005A127D">
            <w:pPr>
              <w:pStyle w:val="zSoquijdatNomPartieMec"/>
              <w:tabs>
                <w:tab w:val="center" w:pos="2322"/>
              </w:tabs>
            </w:pPr>
          </w:p>
        </w:tc>
        <w:tc>
          <w:tcPr>
            <w:tcW w:w="4846" w:type="dxa"/>
          </w:tcPr>
          <w:p w14:paraId="689536A1" w14:textId="77777777" w:rsidR="005A127D" w:rsidRPr="00887EEB" w:rsidRDefault="005A127D" w:rsidP="005A127D">
            <w:pPr>
              <w:spacing w:line="240" w:lineRule="auto"/>
              <w:jc w:val="center"/>
              <w:rPr>
                <w:rFonts w:cs="Arial"/>
                <w:szCs w:val="24"/>
              </w:rPr>
            </w:pPr>
          </w:p>
          <w:p w14:paraId="5703B5C4" w14:textId="0CF58B02" w:rsidR="005A127D" w:rsidRPr="00887EEB" w:rsidRDefault="00E8465A" w:rsidP="005A127D">
            <w:pPr>
              <w:spacing w:line="240" w:lineRule="auto"/>
              <w:jc w:val="center"/>
              <w:rPr>
                <w:rFonts w:cs="Arial"/>
                <w:szCs w:val="24"/>
              </w:rPr>
            </w:pPr>
            <w:r w:rsidRPr="00481F6B">
              <w:rPr>
                <w:rFonts w:cs="Arial"/>
                <w:szCs w:val="24"/>
              </w:rPr>
              <w:t>ABSENTE ET NON REPRÉSENTÉE</w:t>
            </w:r>
          </w:p>
          <w:p w14:paraId="521A9EFE" w14:textId="77777777" w:rsidR="005A127D" w:rsidRPr="00887EEB" w:rsidRDefault="005A127D" w:rsidP="005A127D">
            <w:pPr>
              <w:spacing w:line="240" w:lineRule="auto"/>
              <w:jc w:val="center"/>
              <w:rPr>
                <w:rFonts w:cs="Arial"/>
                <w:szCs w:val="24"/>
              </w:rPr>
            </w:pPr>
          </w:p>
        </w:tc>
      </w:tr>
    </w:tbl>
    <w:p w14:paraId="0AB2DBE4" w14:textId="77777777" w:rsidR="00887EEB" w:rsidRPr="00887EEB" w:rsidRDefault="00887EEB" w:rsidP="00887EEB">
      <w:pPr>
        <w:spacing w:line="240" w:lineRule="auto"/>
        <w:jc w:val="both"/>
        <w:rPr>
          <w:rFonts w:cs="Arial"/>
          <w:szCs w:val="24"/>
        </w:rPr>
      </w:pPr>
    </w:p>
    <w:tbl>
      <w:tblPr>
        <w:tblStyle w:val="Grilledutableau1"/>
        <w:tblW w:w="0" w:type="auto"/>
        <w:tblBorders>
          <w:top w:val="none" w:sz="0" w:space="0" w:color="auto"/>
          <w:bottom w:val="none" w:sz="0" w:space="0" w:color="auto"/>
        </w:tblBorders>
        <w:tblLook w:val="04A0" w:firstRow="1" w:lastRow="0" w:firstColumn="1" w:lastColumn="0" w:noHBand="0" w:noVBand="1"/>
      </w:tblPr>
      <w:tblGrid>
        <w:gridCol w:w="9450"/>
      </w:tblGrid>
      <w:tr w:rsidR="003E2428" w14:paraId="49666188" w14:textId="77777777" w:rsidTr="002159AA">
        <w:tc>
          <w:tcPr>
            <w:tcW w:w="9450" w:type="dxa"/>
          </w:tcPr>
          <w:p w14:paraId="0AAA7C11" w14:textId="10787B08" w:rsidR="00887EEB" w:rsidRPr="00887EEB" w:rsidRDefault="00E8465A" w:rsidP="004630AB">
            <w:pPr>
              <w:spacing w:line="240" w:lineRule="auto"/>
              <w:ind w:left="-108"/>
              <w:jc w:val="both"/>
            </w:pPr>
            <w:r w:rsidRPr="00887EEB">
              <w:t xml:space="preserve">En appel d’un jugement rendu le </w:t>
            </w:r>
            <w:bookmarkStart w:id="15" w:name="jugement_PI"/>
            <w:r w:rsidR="00FD388C">
              <w:t>12 juillet 2018</w:t>
            </w:r>
            <w:bookmarkEnd w:id="15"/>
            <w:r w:rsidRPr="00887EEB">
              <w:t xml:space="preserve"> par l’honorable </w:t>
            </w:r>
            <w:bookmarkStart w:id="16" w:name="juge_PI"/>
            <w:r w:rsidR="00FD388C">
              <w:t>Marc St-Pierre</w:t>
            </w:r>
            <w:bookmarkEnd w:id="16"/>
            <w:r w:rsidRPr="00887EEB">
              <w:t xml:space="preserve"> de la Cour </w:t>
            </w:r>
            <w:bookmarkStart w:id="17" w:name="Cour"/>
            <w:r w:rsidR="00FD388C">
              <w:t>supérieure</w:t>
            </w:r>
            <w:bookmarkEnd w:id="17"/>
            <w:r w:rsidRPr="00887EEB">
              <w:t xml:space="preserve">, district de </w:t>
            </w:r>
            <w:bookmarkStart w:id="18" w:name="District"/>
            <w:r w:rsidR="00FD388C">
              <w:t>Longueuil</w:t>
            </w:r>
            <w:bookmarkEnd w:id="18"/>
            <w:r w:rsidRPr="00887EEB">
              <w:t>.</w:t>
            </w:r>
          </w:p>
        </w:tc>
      </w:tr>
    </w:tbl>
    <w:p w14:paraId="77B87193" w14:textId="77777777" w:rsidR="00887EEB" w:rsidRPr="00887EEB" w:rsidRDefault="00887EEB" w:rsidP="00887EEB">
      <w:pPr>
        <w:spacing w:line="240" w:lineRule="auto"/>
        <w:jc w:val="both"/>
        <w:rPr>
          <w:rFonts w:cs="Arial"/>
          <w:szCs w:val="24"/>
        </w:rPr>
      </w:pPr>
    </w:p>
    <w:tbl>
      <w:tblPr>
        <w:tblStyle w:val="Grilledutableau1"/>
        <w:tblW w:w="9360" w:type="dxa"/>
        <w:tblBorders>
          <w:top w:val="none" w:sz="0" w:space="0" w:color="auto"/>
          <w:bottom w:val="none" w:sz="0" w:space="0" w:color="auto"/>
        </w:tblBorders>
        <w:tblLook w:val="04A0" w:firstRow="1" w:lastRow="0" w:firstColumn="1" w:lastColumn="0" w:noHBand="0" w:noVBand="1"/>
      </w:tblPr>
      <w:tblGrid>
        <w:gridCol w:w="2790"/>
        <w:gridCol w:w="6570"/>
      </w:tblGrid>
      <w:tr w:rsidR="003E2428" w14:paraId="3520CABB" w14:textId="77777777" w:rsidTr="00FB3369">
        <w:tc>
          <w:tcPr>
            <w:tcW w:w="2790" w:type="dxa"/>
            <w:shd w:val="clear" w:color="auto" w:fill="auto"/>
          </w:tcPr>
          <w:p w14:paraId="79EA0611" w14:textId="77777777" w:rsidR="00887EEB" w:rsidRPr="00887EEB" w:rsidRDefault="00E8465A" w:rsidP="004630AB">
            <w:pPr>
              <w:spacing w:line="240" w:lineRule="auto"/>
              <w:ind w:left="-108"/>
              <w:jc w:val="both"/>
              <w:rPr>
                <w:rFonts w:cs="Arial"/>
                <w:kern w:val="28"/>
                <w:szCs w:val="24"/>
              </w:rPr>
            </w:pPr>
            <w:r w:rsidRPr="00887EEB">
              <w:rPr>
                <w:rFonts w:cs="Arial"/>
                <w:kern w:val="28"/>
                <w:szCs w:val="24"/>
              </w:rPr>
              <w:t>NATURE DE L’APPEL :</w:t>
            </w:r>
          </w:p>
        </w:tc>
        <w:tc>
          <w:tcPr>
            <w:tcW w:w="6570" w:type="dxa"/>
            <w:vAlign w:val="center"/>
          </w:tcPr>
          <w:p w14:paraId="21F7A926" w14:textId="4FEFDAE5" w:rsidR="00887EEB" w:rsidRPr="00887EEB" w:rsidRDefault="00E8465A" w:rsidP="00887EEB">
            <w:pPr>
              <w:spacing w:line="240" w:lineRule="auto"/>
              <w:jc w:val="both"/>
              <w:rPr>
                <w:rFonts w:cs="Arial"/>
                <w:kern w:val="28"/>
                <w:szCs w:val="24"/>
              </w:rPr>
            </w:pPr>
            <w:bookmarkStart w:id="19" w:name="Nature"/>
            <w:r w:rsidRPr="00FD388C">
              <w:rPr>
                <w:rFonts w:cs="Arial"/>
                <w:b/>
                <w:kern w:val="28"/>
                <w:szCs w:val="24"/>
              </w:rPr>
              <w:t xml:space="preserve">Santé et sécurité du travail </w:t>
            </w:r>
            <w:r w:rsidR="00BE6F85">
              <w:rPr>
                <w:rFonts w:cs="Arial"/>
                <w:b/>
                <w:kern w:val="28"/>
                <w:szCs w:val="24"/>
              </w:rPr>
              <w:t>–</w:t>
            </w:r>
            <w:r w:rsidRPr="00FD388C">
              <w:rPr>
                <w:rFonts w:cs="Arial"/>
                <w:b/>
                <w:kern w:val="28"/>
                <w:szCs w:val="24"/>
              </w:rPr>
              <w:t xml:space="preserve"> Pourvoi en contrôle judiciaire accueilli par la Cour supérieure </w:t>
            </w:r>
            <w:r w:rsidR="00BE6F85">
              <w:rPr>
                <w:rFonts w:cs="Arial"/>
                <w:b/>
                <w:kern w:val="28"/>
                <w:szCs w:val="24"/>
              </w:rPr>
              <w:t>–</w:t>
            </w:r>
            <w:r w:rsidRPr="00FD388C">
              <w:rPr>
                <w:rFonts w:cs="Arial"/>
                <w:b/>
                <w:kern w:val="28"/>
                <w:szCs w:val="24"/>
              </w:rPr>
              <w:t xml:space="preserve"> Notion de "connaissance d'office spécialisée" versus la notion de l'utilisation d'une "preuve extrinsèque". </w:t>
            </w:r>
            <w:bookmarkEnd w:id="19"/>
          </w:p>
        </w:tc>
      </w:tr>
    </w:tbl>
    <w:p w14:paraId="460E3D0D" w14:textId="77777777" w:rsidR="00887EEB" w:rsidRPr="00887EEB" w:rsidRDefault="00887EEB" w:rsidP="00887EEB">
      <w:pPr>
        <w:spacing w:line="240" w:lineRule="auto"/>
        <w:jc w:val="both"/>
        <w:rPr>
          <w:rFonts w:cs="Arial"/>
          <w:szCs w:val="24"/>
        </w:rPr>
      </w:pPr>
    </w:p>
    <w:tbl>
      <w:tblPr>
        <w:tblW w:w="936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930"/>
        <w:gridCol w:w="4430"/>
      </w:tblGrid>
      <w:tr w:rsidR="003E2428" w14:paraId="064177B2" w14:textId="77777777" w:rsidTr="00FB3369">
        <w:trPr>
          <w:cantSplit/>
          <w:trHeight w:val="397"/>
        </w:trPr>
        <w:tc>
          <w:tcPr>
            <w:tcW w:w="4930" w:type="dxa"/>
            <w:tcBorders>
              <w:top w:val="single" w:sz="4" w:space="0" w:color="auto"/>
              <w:bottom w:val="single" w:sz="4" w:space="0" w:color="auto"/>
              <w:right w:val="single" w:sz="4" w:space="0" w:color="auto"/>
            </w:tcBorders>
            <w:vAlign w:val="center"/>
          </w:tcPr>
          <w:p w14:paraId="2B4902C0" w14:textId="650EDCDA" w:rsidR="00887EEB" w:rsidRPr="00887EEB" w:rsidRDefault="00E8465A" w:rsidP="00887EEB">
            <w:pPr>
              <w:spacing w:before="120" w:after="120" w:line="240" w:lineRule="auto"/>
              <w:rPr>
                <w:rFonts w:cs="Arial"/>
                <w:szCs w:val="24"/>
              </w:rPr>
            </w:pPr>
            <w:bookmarkStart w:id="20" w:name="Greffier"/>
            <w:r>
              <w:rPr>
                <w:rFonts w:cs="Arial"/>
                <w:szCs w:val="24"/>
              </w:rPr>
              <w:t>Greffière-audiencière</w:t>
            </w:r>
            <w:bookmarkEnd w:id="20"/>
            <w:r w:rsidRPr="00887EEB">
              <w:rPr>
                <w:rFonts w:cs="Arial"/>
                <w:szCs w:val="24"/>
              </w:rPr>
              <w:t xml:space="preserve"> : </w:t>
            </w:r>
            <w:bookmarkStart w:id="21" w:name="Nom_greffier"/>
            <w:r>
              <w:rPr>
                <w:rFonts w:cs="Arial"/>
                <w:szCs w:val="24"/>
              </w:rPr>
              <w:t>Anne Dumont</w:t>
            </w:r>
            <w:bookmarkEnd w:id="21"/>
          </w:p>
        </w:tc>
        <w:tc>
          <w:tcPr>
            <w:tcW w:w="4430" w:type="dxa"/>
            <w:tcBorders>
              <w:left w:val="single" w:sz="4" w:space="0" w:color="auto"/>
            </w:tcBorders>
            <w:vAlign w:val="center"/>
          </w:tcPr>
          <w:p w14:paraId="2AFB5039" w14:textId="3877C009" w:rsidR="00887EEB" w:rsidRPr="00887EEB" w:rsidRDefault="00E8465A" w:rsidP="00887EEB">
            <w:pPr>
              <w:spacing w:line="240" w:lineRule="auto"/>
              <w:jc w:val="both"/>
              <w:rPr>
                <w:rFonts w:eastAsiaTheme="minorHAnsi" w:cs="Arial"/>
                <w:szCs w:val="24"/>
                <w:lang w:eastAsia="en-US"/>
              </w:rPr>
            </w:pPr>
            <w:r w:rsidRPr="00887EEB">
              <w:rPr>
                <w:rFonts w:cs="Arial"/>
                <w:szCs w:val="24"/>
              </w:rPr>
              <w:t xml:space="preserve">Salle : </w:t>
            </w:r>
            <w:bookmarkStart w:id="22" w:name="Salle"/>
            <w:r w:rsidR="00FD388C">
              <w:rPr>
                <w:rFonts w:cs="Arial"/>
                <w:szCs w:val="24"/>
              </w:rPr>
              <w:t>Antonio-Lamer</w:t>
            </w:r>
            <w:bookmarkEnd w:id="22"/>
            <w:r w:rsidRPr="00887EEB">
              <w:rPr>
                <w:rFonts w:cs="Arial"/>
                <w:szCs w:val="24"/>
              </w:rPr>
              <w:fldChar w:fldCharType="begin"/>
            </w:r>
            <w:r w:rsidRPr="00887EEB">
              <w:rPr>
                <w:rFonts w:cs="Arial"/>
                <w:szCs w:val="24"/>
              </w:rPr>
              <w:instrText xml:space="preserve">  </w:instrText>
            </w:r>
            <w:r w:rsidRPr="00887EEB">
              <w:rPr>
                <w:rFonts w:cs="Arial"/>
                <w:szCs w:val="24"/>
              </w:rPr>
              <w:fldChar w:fldCharType="end"/>
            </w:r>
          </w:p>
        </w:tc>
      </w:tr>
    </w:tbl>
    <w:p w14:paraId="1899AB1A" w14:textId="6345419E" w:rsidR="00E44A1C" w:rsidRDefault="00E44A1C" w:rsidP="00887EEB">
      <w:pPr>
        <w:spacing w:line="240" w:lineRule="auto"/>
        <w:jc w:val="both"/>
        <w:rPr>
          <w:rFonts w:cs="Arial"/>
          <w:szCs w:val="24"/>
        </w:rPr>
      </w:pPr>
    </w:p>
    <w:p w14:paraId="72F32608" w14:textId="77777777" w:rsidR="00E44A1C" w:rsidRDefault="00E8465A">
      <w:pPr>
        <w:spacing w:line="240" w:lineRule="auto"/>
        <w:rPr>
          <w:rFonts w:cs="Arial"/>
          <w:szCs w:val="24"/>
        </w:rPr>
      </w:pPr>
      <w:r>
        <w:rPr>
          <w:rFonts w:cs="Arial"/>
          <w:szCs w:val="24"/>
        </w:rPr>
        <w:br w:type="page"/>
      </w:r>
    </w:p>
    <w:tbl>
      <w:tblPr>
        <w:tblStyle w:val="Grilledutableau1"/>
        <w:tblW w:w="9360" w:type="dxa"/>
        <w:tblBorders>
          <w:insideH w:val="single" w:sz="4" w:space="0" w:color="auto"/>
          <w:insideV w:val="single" w:sz="4" w:space="0" w:color="auto"/>
        </w:tblBorders>
        <w:tblLook w:val="04A0" w:firstRow="1" w:lastRow="0" w:firstColumn="1" w:lastColumn="0" w:noHBand="0" w:noVBand="1"/>
      </w:tblPr>
      <w:tblGrid>
        <w:gridCol w:w="9360"/>
      </w:tblGrid>
      <w:tr w:rsidR="003E2428" w14:paraId="1F8C1E7F" w14:textId="77777777" w:rsidTr="00FB3369">
        <w:tc>
          <w:tcPr>
            <w:tcW w:w="9360" w:type="dxa"/>
            <w:vAlign w:val="center"/>
          </w:tcPr>
          <w:p w14:paraId="426B0ADA" w14:textId="77777777" w:rsidR="00887EEB" w:rsidRPr="00887EEB" w:rsidRDefault="00E8465A" w:rsidP="00887EEB">
            <w:pPr>
              <w:spacing w:before="240" w:after="240" w:line="240" w:lineRule="auto"/>
              <w:jc w:val="center"/>
            </w:pPr>
            <w:r w:rsidRPr="00887EEB">
              <w:t>AUDITION</w:t>
            </w:r>
          </w:p>
        </w:tc>
      </w:tr>
    </w:tbl>
    <w:p w14:paraId="5D7AA4AF" w14:textId="77777777" w:rsidR="00887EEB" w:rsidRPr="00887EEB" w:rsidRDefault="00887EEB" w:rsidP="00887EEB">
      <w:pPr>
        <w:spacing w:line="240" w:lineRule="auto"/>
        <w:jc w:val="both"/>
        <w:rPr>
          <w:rFonts w:cs="Arial"/>
          <w:szCs w:val="24"/>
        </w:rPr>
      </w:pPr>
    </w:p>
    <w:tbl>
      <w:tblPr>
        <w:tblW w:w="936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8100"/>
      </w:tblGrid>
      <w:tr w:rsidR="003E2428" w14:paraId="0F74E3FC" w14:textId="77777777" w:rsidTr="00FB3369">
        <w:trPr>
          <w:trHeight w:val="260"/>
        </w:trPr>
        <w:tc>
          <w:tcPr>
            <w:tcW w:w="1260" w:type="dxa"/>
            <w:tcBorders>
              <w:top w:val="nil"/>
              <w:bottom w:val="single" w:sz="4" w:space="0" w:color="auto"/>
              <w:right w:val="nil"/>
            </w:tcBorders>
          </w:tcPr>
          <w:p w14:paraId="450CB068" w14:textId="7ACC22F0" w:rsidR="00887EEB" w:rsidRPr="00887EEB" w:rsidRDefault="00887EEB" w:rsidP="006212C1">
            <w:pPr>
              <w:spacing w:before="120" w:after="120" w:line="240" w:lineRule="auto"/>
              <w:jc w:val="both"/>
              <w:rPr>
                <w:rFonts w:cs="Arial"/>
                <w:szCs w:val="24"/>
              </w:rPr>
            </w:pPr>
          </w:p>
        </w:tc>
        <w:tc>
          <w:tcPr>
            <w:tcW w:w="8100" w:type="dxa"/>
            <w:tcBorders>
              <w:top w:val="nil"/>
              <w:left w:val="nil"/>
              <w:bottom w:val="single" w:sz="4" w:space="0" w:color="auto"/>
            </w:tcBorders>
          </w:tcPr>
          <w:p w14:paraId="42E07F9B" w14:textId="77777777" w:rsidR="00E679EE" w:rsidRDefault="00E8465A" w:rsidP="00E679EE">
            <w:pPr>
              <w:spacing w:before="120" w:after="120" w:line="240" w:lineRule="auto"/>
              <w:jc w:val="both"/>
              <w:rPr>
                <w:rFonts w:cs="Arial"/>
                <w:iCs/>
                <w:szCs w:val="24"/>
                <w:lang w:val="fr-FR" w:eastAsia="fr-CA"/>
              </w:rPr>
            </w:pPr>
            <w:r w:rsidRPr="006212C1">
              <w:rPr>
                <w:rFonts w:cs="Arial"/>
                <w:bCs/>
                <w:iCs/>
                <w:szCs w:val="24"/>
                <w:lang w:eastAsia="fr-CA"/>
              </w:rPr>
              <w:t>Continuation</w:t>
            </w:r>
            <w:r w:rsidRPr="00887EEB">
              <w:rPr>
                <w:rFonts w:cs="Arial"/>
                <w:iCs/>
                <w:szCs w:val="24"/>
                <w:lang w:eastAsia="fr-CA"/>
              </w:rPr>
              <w:t xml:space="preserve"> de l'audience </w:t>
            </w:r>
            <w:r w:rsidRPr="006212C1">
              <w:rPr>
                <w:rFonts w:cs="Arial"/>
                <w:iCs/>
                <w:szCs w:val="24"/>
                <w:lang w:eastAsia="fr-CA"/>
              </w:rPr>
              <w:t>du 6 octobre 2020.</w:t>
            </w:r>
            <w:r w:rsidRPr="00887EEB">
              <w:rPr>
                <w:rFonts w:cs="Arial"/>
                <w:iCs/>
                <w:szCs w:val="24"/>
                <w:lang w:eastAsia="fr-CA"/>
              </w:rPr>
              <w:t xml:space="preserve"> L</w:t>
            </w:r>
            <w:r w:rsidRPr="00887EEB">
              <w:rPr>
                <w:rFonts w:cs="Arial"/>
                <w:iCs/>
                <w:szCs w:val="24"/>
                <w:lang w:val="fr-FR" w:eastAsia="fr-CA"/>
              </w:rPr>
              <w:t>es parties ont été dispensées d’être présentes à la Cour.</w:t>
            </w:r>
          </w:p>
          <w:p w14:paraId="12D84FAA" w14:textId="3AA8E0D7" w:rsidR="00AE7BAC" w:rsidRPr="001A54B6" w:rsidRDefault="00E8465A" w:rsidP="00E679EE">
            <w:pPr>
              <w:spacing w:before="120" w:after="120" w:line="240" w:lineRule="auto"/>
              <w:jc w:val="both"/>
              <w:rPr>
                <w:rFonts w:cs="Arial"/>
                <w:iCs/>
                <w:szCs w:val="24"/>
                <w:lang w:val="fr-FR" w:eastAsia="fr-CA"/>
              </w:rPr>
            </w:pPr>
            <w:r w:rsidRPr="00AE7BAC">
              <w:rPr>
                <w:rFonts w:cs="Arial"/>
                <w:b/>
                <w:iCs/>
                <w:szCs w:val="24"/>
                <w:lang w:val="fr-FR" w:eastAsia="fr-CA"/>
              </w:rPr>
              <w:t>PAR LA COUR</w:t>
            </w:r>
            <w:r>
              <w:rPr>
                <w:rFonts w:cs="Arial"/>
                <w:iCs/>
                <w:szCs w:val="24"/>
                <w:lang w:val="fr-FR" w:eastAsia="fr-CA"/>
              </w:rPr>
              <w:t> : Arrêt – voir page 4.</w:t>
            </w:r>
          </w:p>
        </w:tc>
      </w:tr>
      <w:tr w:rsidR="003E2428" w14:paraId="01633A6C" w14:textId="77777777" w:rsidTr="00FB3369">
        <w:trPr>
          <w:trHeight w:val="251"/>
        </w:trPr>
        <w:tc>
          <w:tcPr>
            <w:tcW w:w="1260" w:type="dxa"/>
            <w:tcBorders>
              <w:top w:val="single" w:sz="4" w:space="0" w:color="auto"/>
              <w:bottom w:val="nil"/>
              <w:right w:val="nil"/>
            </w:tcBorders>
          </w:tcPr>
          <w:p w14:paraId="4D099AFD" w14:textId="77777777" w:rsidR="00887EEB" w:rsidRPr="00887EEB" w:rsidRDefault="00887EEB" w:rsidP="00887EEB">
            <w:pPr>
              <w:spacing w:before="120" w:after="120" w:line="240" w:lineRule="auto"/>
              <w:jc w:val="both"/>
              <w:rPr>
                <w:rFonts w:cs="Arial"/>
                <w:szCs w:val="24"/>
                <w:lang w:val="fr-FR"/>
              </w:rPr>
            </w:pPr>
          </w:p>
        </w:tc>
        <w:tc>
          <w:tcPr>
            <w:tcW w:w="8100" w:type="dxa"/>
            <w:tcBorders>
              <w:top w:val="single" w:sz="4" w:space="0" w:color="auto"/>
              <w:left w:val="nil"/>
            </w:tcBorders>
          </w:tcPr>
          <w:p w14:paraId="048BC723" w14:textId="77777777" w:rsidR="00887EEB" w:rsidRPr="00887EEB" w:rsidRDefault="00887EEB" w:rsidP="00887EEB">
            <w:pPr>
              <w:spacing w:before="120" w:after="120" w:line="240" w:lineRule="auto"/>
              <w:jc w:val="both"/>
              <w:rPr>
                <w:rFonts w:cs="Arial"/>
                <w:szCs w:val="24"/>
                <w:lang w:val="fr-FR"/>
              </w:rPr>
            </w:pPr>
          </w:p>
        </w:tc>
      </w:tr>
    </w:tbl>
    <w:p w14:paraId="56C4F742" w14:textId="77777777" w:rsidR="00887EEB" w:rsidRPr="00887EEB" w:rsidRDefault="00887EEB" w:rsidP="00887EEB">
      <w:pPr>
        <w:spacing w:line="240" w:lineRule="auto"/>
        <w:rPr>
          <w:rFonts w:cs="Arial"/>
          <w:szCs w:val="24"/>
          <w:lang w:val="fr-FR"/>
        </w:rPr>
      </w:pPr>
    </w:p>
    <w:tbl>
      <w:tblPr>
        <w:tblStyle w:val="Grilledutableau1"/>
        <w:tblW w:w="0" w:type="auto"/>
        <w:tblBorders>
          <w:top w:val="none" w:sz="0" w:space="0" w:color="auto"/>
          <w:bottom w:val="none" w:sz="0" w:space="0" w:color="auto"/>
        </w:tblBorders>
        <w:tblLook w:val="04A0" w:firstRow="1" w:lastRow="0" w:firstColumn="1" w:lastColumn="0" w:noHBand="0" w:noVBand="1"/>
      </w:tblPr>
      <w:tblGrid>
        <w:gridCol w:w="4770"/>
      </w:tblGrid>
      <w:tr w:rsidR="003E2428" w14:paraId="26472985" w14:textId="77777777" w:rsidTr="002159AA">
        <w:tc>
          <w:tcPr>
            <w:tcW w:w="4770" w:type="dxa"/>
            <w:tcBorders>
              <w:bottom w:val="single" w:sz="4" w:space="0" w:color="auto"/>
            </w:tcBorders>
          </w:tcPr>
          <w:p w14:paraId="5D4E7764" w14:textId="77777777" w:rsidR="00887EEB" w:rsidRPr="00887EEB" w:rsidRDefault="00887EEB" w:rsidP="00887EEB">
            <w:pPr>
              <w:spacing w:line="240" w:lineRule="auto"/>
              <w:jc w:val="both"/>
              <w:rPr>
                <w:rFonts w:cs="Arial"/>
                <w:szCs w:val="24"/>
              </w:rPr>
            </w:pPr>
          </w:p>
        </w:tc>
      </w:tr>
      <w:tr w:rsidR="003E2428" w14:paraId="00C7351B" w14:textId="77777777" w:rsidTr="002159AA">
        <w:tc>
          <w:tcPr>
            <w:tcW w:w="4770" w:type="dxa"/>
            <w:tcBorders>
              <w:top w:val="single" w:sz="4" w:space="0" w:color="auto"/>
            </w:tcBorders>
          </w:tcPr>
          <w:p w14:paraId="1310A644" w14:textId="77777777" w:rsidR="00887EEB" w:rsidRPr="00887EEB" w:rsidRDefault="00E8465A" w:rsidP="00887EEB">
            <w:pPr>
              <w:spacing w:line="240" w:lineRule="auto"/>
              <w:jc w:val="both"/>
              <w:rPr>
                <w:rFonts w:cs="Arial"/>
                <w:szCs w:val="24"/>
              </w:rPr>
            </w:pPr>
            <w:r>
              <w:rPr>
                <w:rFonts w:cs="Arial"/>
                <w:szCs w:val="24"/>
              </w:rPr>
              <w:t>Anne Dumont</w:t>
            </w:r>
            <w:r w:rsidRPr="00887EEB">
              <w:rPr>
                <w:rFonts w:cs="Arial"/>
                <w:szCs w:val="24"/>
              </w:rPr>
              <w:t xml:space="preserve">, </w:t>
            </w:r>
            <w:r>
              <w:rPr>
                <w:rFonts w:cs="Arial"/>
                <w:szCs w:val="24"/>
              </w:rPr>
              <w:t>Greffière-audiencière</w:t>
            </w:r>
          </w:p>
        </w:tc>
      </w:tr>
    </w:tbl>
    <w:p w14:paraId="7DCF69F1" w14:textId="7D8F25B8" w:rsidR="002C7179" w:rsidRDefault="002C7179" w:rsidP="002C7179">
      <w:pPr>
        <w:spacing w:after="160" w:line="259" w:lineRule="auto"/>
        <w:rPr>
          <w:rFonts w:cs="Arial"/>
          <w:szCs w:val="24"/>
        </w:rPr>
      </w:pPr>
    </w:p>
    <w:p w14:paraId="77A7083D" w14:textId="77777777" w:rsidR="002C7179" w:rsidRDefault="00E8465A">
      <w:pPr>
        <w:spacing w:line="240" w:lineRule="auto"/>
        <w:rPr>
          <w:rFonts w:cs="Arial"/>
          <w:szCs w:val="24"/>
        </w:rPr>
      </w:pPr>
      <w:r>
        <w:rPr>
          <w:rFonts w:cs="Arial"/>
          <w:szCs w:val="24"/>
        </w:rPr>
        <w:br w:type="page"/>
      </w:r>
    </w:p>
    <w:tbl>
      <w:tblPr>
        <w:tblStyle w:val="Grilledutableau1"/>
        <w:tblW w:w="9360" w:type="dxa"/>
        <w:tblBorders>
          <w:top w:val="single" w:sz="8" w:space="0" w:color="auto"/>
          <w:bottom w:val="single" w:sz="8" w:space="0" w:color="auto"/>
        </w:tblBorders>
        <w:tblLook w:val="04A0" w:firstRow="1" w:lastRow="0" w:firstColumn="1" w:lastColumn="0" w:noHBand="0" w:noVBand="1"/>
      </w:tblPr>
      <w:tblGrid>
        <w:gridCol w:w="9360"/>
      </w:tblGrid>
      <w:tr w:rsidR="003E2428" w14:paraId="05D3161C" w14:textId="77777777" w:rsidTr="00FB3369">
        <w:tc>
          <w:tcPr>
            <w:tcW w:w="9360" w:type="dxa"/>
            <w:vAlign w:val="center"/>
          </w:tcPr>
          <w:p w14:paraId="192043BB" w14:textId="77777777" w:rsidR="00887EEB" w:rsidRPr="00887EEB" w:rsidRDefault="00E8465A" w:rsidP="00887EEB">
            <w:pPr>
              <w:spacing w:before="240" w:after="240" w:line="240" w:lineRule="exact"/>
              <w:jc w:val="center"/>
            </w:pPr>
            <w:r w:rsidRPr="00887EEB">
              <w:t>ARRÊT</w:t>
            </w:r>
          </w:p>
        </w:tc>
      </w:tr>
    </w:tbl>
    <w:p w14:paraId="0E03D3FE" w14:textId="77777777" w:rsidR="00887EEB" w:rsidRDefault="00887EEB" w:rsidP="00887EEB">
      <w:pPr>
        <w:spacing w:line="240" w:lineRule="auto"/>
        <w:jc w:val="both"/>
      </w:pPr>
    </w:p>
    <w:p w14:paraId="77754068" w14:textId="77777777" w:rsidR="00457B6C" w:rsidRPr="00887EEB" w:rsidRDefault="00457B6C" w:rsidP="00887EEB">
      <w:pPr>
        <w:spacing w:line="240" w:lineRule="auto"/>
        <w:jc w:val="both"/>
      </w:pPr>
    </w:p>
    <w:p w14:paraId="04DABCA3" w14:textId="77777777" w:rsidR="0017535D" w:rsidRPr="0043167E" w:rsidRDefault="00E8465A" w:rsidP="004E532D">
      <w:pPr>
        <w:pStyle w:val="Paragraphe"/>
        <w:tabs>
          <w:tab w:val="clear" w:pos="990"/>
          <w:tab w:val="num" w:pos="720"/>
        </w:tabs>
        <w:spacing w:line="280" w:lineRule="exact"/>
        <w:ind w:left="0"/>
      </w:pPr>
      <w:bookmarkStart w:id="23" w:name="ORDONNANCE_DE"/>
      <w:bookmarkEnd w:id="23"/>
      <w:r w:rsidRPr="0043167E">
        <w:t>Avec l’autorisation d’un juge de la Cour</w:t>
      </w:r>
      <w:r>
        <w:rPr>
          <w:rStyle w:val="Appelnotedebasdep"/>
        </w:rPr>
        <w:footnoteReference w:id="1"/>
      </w:r>
      <w:r w:rsidRPr="0043167E">
        <w:t>, l’appelante, Ville de Saint-Lambert, porte en appel un jugement de la Cour supérieure</w:t>
      </w:r>
      <w:r>
        <w:rPr>
          <w:rStyle w:val="Appelnotedebasdep"/>
        </w:rPr>
        <w:footnoteReference w:id="2"/>
      </w:r>
      <w:r w:rsidRPr="0043167E">
        <w:t xml:space="preserve"> qui, le 12 juillet 2018, accueille le pourvoi de l’intimé en contrôle judiciaire d’une décision du Tribunal administratif du travail, division de la santé et de la sécurité du travail (TAT</w:t>
      </w:r>
      <w:r>
        <w:rPr>
          <w:rStyle w:val="Appelnotedebasdep"/>
        </w:rPr>
        <w:footnoteReference w:id="3"/>
      </w:r>
      <w:r w:rsidRPr="0043167E">
        <w:t>), et retourne le dossier devant cette instance pour qu’il statue à nouveau sur le recours dont il était saisi. Cette décision du TAT</w:t>
      </w:r>
      <w:r>
        <w:rPr>
          <w:rStyle w:val="Appelnotedebasdep"/>
        </w:rPr>
        <w:footnoteReference w:id="4"/>
      </w:r>
      <w:r w:rsidRPr="0043167E">
        <w:t xml:space="preserve"> avait rejeté, le 23 septembre 2016, la contestation formée par l’intimé à l’encontre une décision de la Commission de la santé et de la sécurité du travail (CSST</w:t>
      </w:r>
      <w:r>
        <w:rPr>
          <w:rStyle w:val="Appelnotedebasdep"/>
        </w:rPr>
        <w:footnoteReference w:id="5"/>
      </w:r>
      <w:r w:rsidRPr="0043167E">
        <w:t xml:space="preserve">) et statué que sa surdité n’était pas d’origine professionnelle. </w:t>
      </w:r>
    </w:p>
    <w:p w14:paraId="56837814" w14:textId="77777777" w:rsidR="0017535D" w:rsidRPr="0043167E" w:rsidRDefault="00E8465A" w:rsidP="004E532D">
      <w:pPr>
        <w:pStyle w:val="Paragraphe"/>
        <w:tabs>
          <w:tab w:val="clear" w:pos="990"/>
          <w:tab w:val="num" w:pos="720"/>
        </w:tabs>
        <w:spacing w:line="280" w:lineRule="exact"/>
        <w:ind w:left="0"/>
      </w:pPr>
      <w:r w:rsidRPr="0043167E">
        <w:t xml:space="preserve">Le pourvoi devant la Cour porte sur l’usage par le TAT de notions faisant partie de sa connaissance d’office et sur la valeur probante accordée à des études rapportées par la jurisprudence et invoquées par l’intimé au soutien de sa contestation. Sur chacun de ces aspects, le pourvoi soulève les deux questions sous-jacentes à cette procédure : (i) le juge de première instance a-t-il correctement identifié la norme de contrôle appropriée et (ii) dans l’hypothèse où il a correctement répondu à la première question, s’est-il conformé à la norme applicable en accueillant la demande de l’intimé. </w:t>
      </w:r>
    </w:p>
    <w:p w14:paraId="0CA28052" w14:textId="77777777" w:rsidR="0017535D" w:rsidRPr="0043167E" w:rsidRDefault="00E8465A" w:rsidP="004E532D">
      <w:pPr>
        <w:pStyle w:val="Paragraphe"/>
        <w:numPr>
          <w:ilvl w:val="0"/>
          <w:numId w:val="0"/>
        </w:numPr>
        <w:jc w:val="center"/>
      </w:pPr>
      <w:r w:rsidRPr="0043167E">
        <w:t>* * * * *</w:t>
      </w:r>
    </w:p>
    <w:p w14:paraId="5121703A" w14:textId="77777777" w:rsidR="0017535D" w:rsidRPr="0043167E" w:rsidRDefault="00E8465A" w:rsidP="004E532D">
      <w:pPr>
        <w:pStyle w:val="Paragraphe"/>
        <w:tabs>
          <w:tab w:val="clear" w:pos="990"/>
          <w:tab w:val="num" w:pos="720"/>
        </w:tabs>
        <w:spacing w:line="280" w:lineRule="exact"/>
        <w:ind w:left="0"/>
      </w:pPr>
      <w:r w:rsidRPr="0043167E">
        <w:t xml:space="preserve">L’intimé travaille à titre de policier patrouilleur au service de l’appelante de 1967 à 1997, année où il prend sa retraite. </w:t>
      </w:r>
    </w:p>
    <w:p w14:paraId="0ADB41E2" w14:textId="2B389E00" w:rsidR="0017535D" w:rsidRPr="0043167E" w:rsidRDefault="00E8465A" w:rsidP="004E532D">
      <w:pPr>
        <w:pStyle w:val="Paragraphe"/>
        <w:tabs>
          <w:tab w:val="clear" w:pos="990"/>
          <w:tab w:val="num" w:pos="720"/>
        </w:tabs>
        <w:spacing w:line="280" w:lineRule="exact"/>
        <w:ind w:left="0"/>
      </w:pPr>
      <w:r w:rsidRPr="0043167E">
        <w:t xml:space="preserve">Le 19 janvier 2015, alors âgé de 75 ans, l’intimé dépose une réclamation auprès de la CSST. Il estime que la surdité dont il est atteint est d’origine professionnelle et demande qu’elle soit reconnue à titre de maladie professionnelle en vertu de la </w:t>
      </w:r>
      <w:r w:rsidRPr="0043167E">
        <w:rPr>
          <w:i/>
        </w:rPr>
        <w:t>Loi sur les accidents du travail et les maladies professionnelles</w:t>
      </w:r>
      <w:r>
        <w:rPr>
          <w:rStyle w:val="Appelnotedebasdep"/>
          <w:i/>
        </w:rPr>
        <w:footnoteReference w:id="6"/>
      </w:r>
      <w:r w:rsidRPr="0043167E">
        <w:t xml:space="preserve"> (</w:t>
      </w:r>
      <w:r w:rsidRPr="0043167E">
        <w:rPr>
          <w:i/>
        </w:rPr>
        <w:t>Latmp</w:t>
      </w:r>
      <w:r w:rsidRPr="0043167E">
        <w:t>). Au soutien de sa réclamation, l’intimé dépose le rapport d’une audiologiste qui conclut que sa surdité est « compatible avec l’histoire d’exposition au bruit, du moins en partie », tout en ajoutant qu’«</w:t>
      </w:r>
      <w:r w:rsidR="00457B6C">
        <w:t> </w:t>
      </w:r>
      <w:r w:rsidRPr="0043167E">
        <w:t>une composante reliée à l’âge est également possible ». L’intimé remet également une attestation médicale complétée par le D</w:t>
      </w:r>
      <w:r w:rsidRPr="0043167E">
        <w:rPr>
          <w:vertAlign w:val="superscript"/>
        </w:rPr>
        <w:t>r</w:t>
      </w:r>
      <w:r w:rsidRPr="0043167E">
        <w:t xml:space="preserve"> Larose, oto-rhino-laryngologiste, qui indique à titre de diagnostic : « surdité reliée à l’exposition au bruit du travail ». </w:t>
      </w:r>
    </w:p>
    <w:p w14:paraId="187B224B" w14:textId="77777777" w:rsidR="0017535D" w:rsidRPr="0043167E" w:rsidRDefault="00E8465A" w:rsidP="004E532D">
      <w:pPr>
        <w:pStyle w:val="Paragraphe"/>
        <w:tabs>
          <w:tab w:val="clear" w:pos="990"/>
          <w:tab w:val="num" w:pos="720"/>
        </w:tabs>
        <w:spacing w:line="280" w:lineRule="exact"/>
        <w:ind w:left="0"/>
      </w:pPr>
      <w:r w:rsidRPr="0043167E">
        <w:t xml:space="preserve">La CSST refuse la réclamation de l’intimé, de sorte que celui-ci conteste devant le TAT le bien-fondé de ce refus. </w:t>
      </w:r>
    </w:p>
    <w:p w14:paraId="46DF4AA6" w14:textId="77777777" w:rsidR="0017535D" w:rsidRPr="0043167E" w:rsidRDefault="00E8465A" w:rsidP="004E532D">
      <w:pPr>
        <w:pStyle w:val="Paragraphe"/>
        <w:tabs>
          <w:tab w:val="clear" w:pos="990"/>
          <w:tab w:val="num" w:pos="720"/>
        </w:tabs>
        <w:spacing w:line="280" w:lineRule="exact"/>
        <w:ind w:left="0"/>
      </w:pPr>
      <w:r w:rsidRPr="0043167E">
        <w:t>Après avoir entendu l’intimé et son procureur</w:t>
      </w:r>
      <w:r>
        <w:rPr>
          <w:rStyle w:val="Appelnotedebasdep"/>
        </w:rPr>
        <w:footnoteReference w:id="7"/>
      </w:r>
      <w:r w:rsidRPr="0043167E">
        <w:t>, le TAT rend sa décision le 23 septembre 2016 et rejette son recours. Il conclut d’abord que l’intimé ne peut bénéficier de la présomption de l’article 29 </w:t>
      </w:r>
      <w:r w:rsidRPr="0043167E">
        <w:rPr>
          <w:i/>
        </w:rPr>
        <w:t>Latmp</w:t>
      </w:r>
      <w:r w:rsidRPr="0043167E">
        <w:t xml:space="preserve"> puisqu’il n’a pas démontré que son atteinte auditive a été causée par le bruit et qu’il a exercé un travail impliquant une exposition à un bruit excessif. Le TAT poursuit ensuite son analyse en vertu de l’article 30 </w:t>
      </w:r>
      <w:r w:rsidRPr="0043167E">
        <w:rPr>
          <w:i/>
        </w:rPr>
        <w:t>Latmp</w:t>
      </w:r>
      <w:r w:rsidRPr="0043167E">
        <w:t xml:space="preserve"> et retient que l’intimé n’a pas démontré que sa surdité est caractéristique du travail exercé auprès de l’appelante ou reliée directement aux risques particuliers de celui-ci. Il maintient ainsi la décision de la CSST refusant de reconnaître la surdité de l’intimé à titre de maladie professionnelle. </w:t>
      </w:r>
    </w:p>
    <w:p w14:paraId="7F3F8D01" w14:textId="77777777" w:rsidR="0017535D" w:rsidRPr="0043167E" w:rsidRDefault="00E8465A" w:rsidP="004E532D">
      <w:pPr>
        <w:pStyle w:val="Paragraphe"/>
        <w:tabs>
          <w:tab w:val="clear" w:pos="990"/>
          <w:tab w:val="num" w:pos="720"/>
        </w:tabs>
        <w:spacing w:line="280" w:lineRule="exact"/>
        <w:ind w:left="0"/>
      </w:pPr>
      <w:r w:rsidRPr="0043167E">
        <w:t>L’intimé demande la révision judiciaire de la décision du TAT, à laquelle le juge de première instance fait droit. Il rejette le premier grief formulé par l’intimé et conclut que le TAT pouvait raisonnablement conclure « que la preuve médicale proposée par [l’intimé] n’était pas suffisante pour établir un lien direct de causalité entre sa surdité et l’exposition à un bruit excessif dans l’exercice de ses fonctions » (paragr. [11]). Le juge retient toutefois que le TAT n’aurait pas respecté les règles de justice naturelle. Ce dernier, écrit-il, ne pouvait avoir recours à sa connaissance d’office lors de son analyse de la présomption de l’article 29 </w:t>
      </w:r>
      <w:r w:rsidRPr="0043167E">
        <w:rPr>
          <w:i/>
        </w:rPr>
        <w:t>Latmp</w:t>
      </w:r>
      <w:r w:rsidRPr="0043167E">
        <w:t xml:space="preserve"> sans donner l’occasion à l’intimé « de pouvoir y répondre ou de la contrer » (paragr. [22]). Le juge reproche également au TAT d’avoir écarté « des études scientifiques » pourtant rapportées dans la jurisprudence sans « prévenir la partie avant de [les] écarter » (paragr. [28]). En pareilles circonstances, et conformément à l’article 268 </w:t>
      </w:r>
      <w:r w:rsidRPr="0043167E">
        <w:rPr>
          <w:i/>
        </w:rPr>
        <w:t>C.p.c.</w:t>
      </w:r>
      <w:r w:rsidRPr="0043167E">
        <w:t>, le TAT aurait dû aviser l’intimé de la « lacune dans la preuve » puisque, selon lui, « […] si une preuve manquante peut s’avérer déterminante, [le TAT] se doit de prévenir les parties avant de rendre jugement » (paragr. [36]). Bref, le juge accueille le pourvoi en contrôle judiciaire de l’intimé, annule la décision du TAT et lui retourne le dossier afin qu’il statue à nouveau sur sa demande.</w:t>
      </w:r>
    </w:p>
    <w:p w14:paraId="4411633D" w14:textId="77777777" w:rsidR="0017535D" w:rsidRPr="0043167E" w:rsidRDefault="00E8465A" w:rsidP="004E532D">
      <w:pPr>
        <w:pStyle w:val="Paragraphe"/>
        <w:numPr>
          <w:ilvl w:val="0"/>
          <w:numId w:val="0"/>
        </w:numPr>
        <w:jc w:val="center"/>
      </w:pPr>
      <w:r w:rsidRPr="0043167E">
        <w:t>* * *</w:t>
      </w:r>
    </w:p>
    <w:p w14:paraId="6A18E902" w14:textId="77777777" w:rsidR="0017535D" w:rsidRPr="0043167E" w:rsidRDefault="00E8465A" w:rsidP="004E532D">
      <w:pPr>
        <w:pStyle w:val="Paragraphe"/>
        <w:tabs>
          <w:tab w:val="clear" w:pos="990"/>
          <w:tab w:val="num" w:pos="720"/>
        </w:tabs>
        <w:spacing w:line="280" w:lineRule="exact"/>
        <w:ind w:left="0"/>
      </w:pPr>
      <w:r w:rsidRPr="0043167E">
        <w:t>L’appelante soutient que le juge a erronément identifié la norme de contrôle applicable et conteste chacun des motifs qu’il a invoqués au soutien de son intervention. L’intimé, quant à lui, reprend à son compte le raisonnement du juge et invite la Cour à conclure que son intervention était justifiée.</w:t>
      </w:r>
    </w:p>
    <w:p w14:paraId="58AFE75D" w14:textId="77777777" w:rsidR="0017535D" w:rsidRPr="0043167E" w:rsidRDefault="00E8465A" w:rsidP="004E532D">
      <w:pPr>
        <w:pStyle w:val="Paragraphe"/>
        <w:tabs>
          <w:tab w:val="clear" w:pos="990"/>
          <w:tab w:val="num" w:pos="720"/>
        </w:tabs>
        <w:spacing w:line="280" w:lineRule="exact"/>
        <w:ind w:left="0"/>
      </w:pPr>
      <w:r w:rsidRPr="0043167E">
        <w:t xml:space="preserve">Pour les motifs qui suivent, la Cour est d’avis que l’intimé a tort. Avec égards, le TAT n’a pas manqué à la règle </w:t>
      </w:r>
      <w:r w:rsidRPr="0043167E">
        <w:rPr>
          <w:i/>
        </w:rPr>
        <w:t>audi alteram partem</w:t>
      </w:r>
      <w:r w:rsidRPr="0043167E">
        <w:t xml:space="preserve">. De plus, puisque sa décision fait partie des issues possibles auxquelles il pouvait raisonnablement en venir à la lumière des faits et des dispositions de la </w:t>
      </w:r>
      <w:r w:rsidRPr="0043167E">
        <w:rPr>
          <w:i/>
        </w:rPr>
        <w:t>Latmp</w:t>
      </w:r>
      <w:r w:rsidRPr="0043167E">
        <w:t>, il n’y avait pas lieu pour le juge de première instance d’intervenir.</w:t>
      </w:r>
    </w:p>
    <w:p w14:paraId="6F4BBB5D" w14:textId="77777777" w:rsidR="0017535D" w:rsidRPr="0043167E" w:rsidRDefault="00E8465A" w:rsidP="004E532D">
      <w:pPr>
        <w:pStyle w:val="Paragraphe"/>
        <w:tabs>
          <w:tab w:val="clear" w:pos="990"/>
          <w:tab w:val="num" w:pos="720"/>
        </w:tabs>
        <w:spacing w:line="280" w:lineRule="exact"/>
        <w:ind w:left="0"/>
      </w:pPr>
      <w:r w:rsidRPr="0043167E">
        <w:t xml:space="preserve">Le TAT devait décider si la surdité développée par l’intimé constituait une maladie professionnelle au sens de la </w:t>
      </w:r>
      <w:r w:rsidRPr="0043167E">
        <w:rPr>
          <w:i/>
        </w:rPr>
        <w:t>Latmp</w:t>
      </w:r>
      <w:r w:rsidRPr="0043167E">
        <w:t>. À cette fin, il devait d’abord déterminer si l’intimé pouvait bénéficier de la présomption de l’article 29 </w:t>
      </w:r>
      <w:r w:rsidRPr="0043167E">
        <w:rPr>
          <w:i/>
        </w:rPr>
        <w:t>Latmp</w:t>
      </w:r>
      <w:r w:rsidRPr="0043167E">
        <w:t>, laquelle requiert du travailleur la preuve de deux éléments : d’une part, que son atteinte auditive est causée par le bruit et, d’autre part, qu’il a exercé un travail impliquant une exposition à un bruit excessif. Si une telle présomption ne trouvait pas application, le TAT devait alors s’interroger quant à savoir si la surdité de l’intimé était caractéristique de son travail auprès de l’appelante ou reliée directement aux risques particuliers de ce travail, selon l’article 30 </w:t>
      </w:r>
      <w:r w:rsidRPr="0043167E">
        <w:rPr>
          <w:i/>
        </w:rPr>
        <w:t>Latmp</w:t>
      </w:r>
      <w:r w:rsidRPr="0043167E">
        <w:t>. Si la réponse à ces deux questions était négative, le TAT devait rejeter la réclamation de l’intimé pour maladie professionnelle.</w:t>
      </w:r>
    </w:p>
    <w:p w14:paraId="475FE428" w14:textId="77777777" w:rsidR="0017535D" w:rsidRPr="0043167E" w:rsidRDefault="00E8465A" w:rsidP="004E532D">
      <w:pPr>
        <w:pStyle w:val="Paragraphe"/>
        <w:tabs>
          <w:tab w:val="clear" w:pos="990"/>
          <w:tab w:val="num" w:pos="720"/>
        </w:tabs>
        <w:spacing w:line="280" w:lineRule="exact"/>
        <w:ind w:left="0"/>
      </w:pPr>
      <w:r w:rsidRPr="0043167E">
        <w:t>Tous conviennent que le TAT a correctement cerné le débat et les questions en litige. Sa décision refusant d’appliquer l’article 30 </w:t>
      </w:r>
      <w:r w:rsidRPr="0043167E">
        <w:rPr>
          <w:i/>
        </w:rPr>
        <w:t xml:space="preserve">Latmp </w:t>
      </w:r>
      <w:r w:rsidRPr="0043167E">
        <w:t>n’est pas remise en question devant la Cour, celle-ci étant de toute façon raisonnable. Le cœur du débat porte plutôt sur la décision du TAT suivant laquelle l’intimé ne pouvait bénéficier de la présomption de l’article 29 </w:t>
      </w:r>
      <w:r w:rsidRPr="0043167E">
        <w:rPr>
          <w:i/>
        </w:rPr>
        <w:t>Latmp</w:t>
      </w:r>
      <w:r w:rsidRPr="0043167E">
        <w:t xml:space="preserve">. </w:t>
      </w:r>
    </w:p>
    <w:p w14:paraId="44C0B8A9" w14:textId="77777777" w:rsidR="0017535D" w:rsidRPr="0043167E" w:rsidRDefault="00E8465A" w:rsidP="004E532D">
      <w:pPr>
        <w:pStyle w:val="Paragraphe"/>
        <w:tabs>
          <w:tab w:val="clear" w:pos="990"/>
          <w:tab w:val="num" w:pos="720"/>
        </w:tabs>
        <w:spacing w:line="280" w:lineRule="exact"/>
        <w:ind w:left="0"/>
      </w:pPr>
      <w:r w:rsidRPr="0043167E">
        <w:t xml:space="preserve">Sur cet aspect du litige, le TAT analyse les deux éléments de la présomption distinctement. Quant au premier élément – l’atteinte auditive causée par le bruit –, le TAT énonce, aux paragraphes 78 et 79 de ses motifs, les caractéristiques d’une telle atteinte reconnues par la jurisprudence. L’intimé convient que, de façon générale, il s’agit là de « faits ou d’opinions médicales » relevant de la spécialisation du TAT et faisant partie de sa connaissance d’office, conformément à l’article 36 des </w:t>
      </w:r>
      <w:r w:rsidRPr="0043167E">
        <w:rPr>
          <w:i/>
        </w:rPr>
        <w:t>Règles de preuve et de procédure du Tribunal administratif du travail</w:t>
      </w:r>
      <w:r>
        <w:rPr>
          <w:rStyle w:val="Appelnotedebasdep"/>
        </w:rPr>
        <w:footnoteReference w:id="8"/>
      </w:r>
      <w:r w:rsidRPr="0043167E">
        <w:t> :</w:t>
      </w:r>
    </w:p>
    <w:tbl>
      <w:tblPr>
        <w:tblW w:w="0" w:type="auto"/>
        <w:tblCellMar>
          <w:left w:w="70" w:type="dxa"/>
          <w:right w:w="70" w:type="dxa"/>
        </w:tblCellMar>
        <w:tblLook w:val="0000" w:firstRow="0" w:lastRow="0" w:firstColumn="0" w:lastColumn="0" w:noHBand="0" w:noVBand="0"/>
      </w:tblPr>
      <w:tblGrid>
        <w:gridCol w:w="4707"/>
        <w:gridCol w:w="4703"/>
      </w:tblGrid>
      <w:tr w:rsidR="003E2428" w14:paraId="57CB32B5" w14:textId="77777777" w:rsidTr="00D504E2">
        <w:tc>
          <w:tcPr>
            <w:tcW w:w="4751" w:type="dxa"/>
          </w:tcPr>
          <w:p w14:paraId="3078F4FA" w14:textId="77777777" w:rsidR="0017535D" w:rsidRPr="0043167E" w:rsidRDefault="00E8465A" w:rsidP="004E532D">
            <w:pPr>
              <w:pStyle w:val="Tableaugauchefranais"/>
              <w:spacing w:before="120" w:after="360" w:line="240" w:lineRule="auto"/>
            </w:pPr>
            <w:r w:rsidRPr="0043167E">
              <w:rPr>
                <w:b/>
                <w:bCs/>
              </w:rPr>
              <w:t>36</w:t>
            </w:r>
            <w:r w:rsidRPr="0043167E">
              <w:t>. Le Tribunal prend connaissance d’office des faits généralement reconnus, des opinions et des renseignements qui relèvent de sa spécialisation.</w:t>
            </w:r>
          </w:p>
        </w:tc>
        <w:tc>
          <w:tcPr>
            <w:tcW w:w="4751" w:type="dxa"/>
          </w:tcPr>
          <w:p w14:paraId="2B5ADC89" w14:textId="77777777" w:rsidR="0017535D" w:rsidRPr="0043167E" w:rsidRDefault="00E8465A" w:rsidP="004E532D">
            <w:pPr>
              <w:pStyle w:val="Tableaudroiteanglais"/>
              <w:spacing w:before="120" w:line="240" w:lineRule="auto"/>
            </w:pPr>
            <w:r w:rsidRPr="0043167E">
              <w:rPr>
                <w:b/>
                <w:bCs/>
              </w:rPr>
              <w:t>36</w:t>
            </w:r>
            <w:r w:rsidRPr="0043167E">
              <w:t>. The Tribunal must take judicial notice of generally recognized facts, opinions and information within its field of specialization.</w:t>
            </w:r>
          </w:p>
        </w:tc>
      </w:tr>
    </w:tbl>
    <w:p w14:paraId="74CED0C9" w14:textId="77777777" w:rsidR="00457B6C" w:rsidRPr="00EB4A92" w:rsidRDefault="00457B6C" w:rsidP="00EB4A92">
      <w:pPr>
        <w:pStyle w:val="Paragraphe"/>
        <w:numPr>
          <w:ilvl w:val="0"/>
          <w:numId w:val="0"/>
        </w:numPr>
        <w:spacing w:line="280" w:lineRule="exact"/>
        <w:rPr>
          <w:lang w:val="en-CA"/>
        </w:rPr>
      </w:pPr>
    </w:p>
    <w:p w14:paraId="725FBCA9" w14:textId="77777777" w:rsidR="00457B6C" w:rsidRPr="00EB4A92" w:rsidRDefault="00E8465A">
      <w:pPr>
        <w:spacing w:line="240" w:lineRule="auto"/>
        <w:rPr>
          <w:lang w:val="en-CA"/>
        </w:rPr>
      </w:pPr>
      <w:r w:rsidRPr="00EB4A92">
        <w:rPr>
          <w:lang w:val="en-CA"/>
        </w:rPr>
        <w:br w:type="page"/>
      </w:r>
    </w:p>
    <w:p w14:paraId="296539C6" w14:textId="3D2C9513" w:rsidR="0017535D" w:rsidRPr="0043167E" w:rsidRDefault="00E8465A" w:rsidP="004E532D">
      <w:pPr>
        <w:pStyle w:val="Paragraphe"/>
        <w:tabs>
          <w:tab w:val="clear" w:pos="990"/>
          <w:tab w:val="num" w:pos="720"/>
        </w:tabs>
        <w:spacing w:line="280" w:lineRule="exact"/>
        <w:ind w:left="0"/>
      </w:pPr>
      <w:r w:rsidRPr="0043167E">
        <w:t xml:space="preserve">L’intimé reproche toutefois au TAT d’avoir eu recours aux données médicales énoncées aux paragraphes 78 et 79, dont plus précisément celle suivant laquelle « la progression de la surdité professionnelle cesse dès qu’il n’y a plus d’exposition au bruit », pour </w:t>
      </w:r>
      <w:r w:rsidRPr="0043167E">
        <w:rPr>
          <w:u w:val="single"/>
        </w:rPr>
        <w:t>repousser</w:t>
      </w:r>
      <w:r w:rsidRPr="0043167E">
        <w:t xml:space="preserve"> la présomption de l’article 29 </w:t>
      </w:r>
      <w:r w:rsidRPr="0043167E">
        <w:rPr>
          <w:i/>
        </w:rPr>
        <w:t>Latmp</w:t>
      </w:r>
      <w:r w:rsidRPr="0043167E">
        <w:t xml:space="preserve">, sans l’aviser au préalable de son intention et sans lui donner la possibilité de contredire ces données. Tout comme le juge de première instance, il y voit là une violation de la règle </w:t>
      </w:r>
      <w:r w:rsidRPr="0043167E">
        <w:rPr>
          <w:i/>
        </w:rPr>
        <w:t>audi alteram partem</w:t>
      </w:r>
      <w:r w:rsidRPr="0043167E">
        <w:t>, qui vicie sa conclusion quant à la présomption de l’article 29 </w:t>
      </w:r>
      <w:r w:rsidRPr="0043167E">
        <w:rPr>
          <w:i/>
        </w:rPr>
        <w:t>Latmp</w:t>
      </w:r>
      <w:r w:rsidRPr="0043167E">
        <w:t xml:space="preserve"> et justifie son intervention.</w:t>
      </w:r>
    </w:p>
    <w:p w14:paraId="2B66299D" w14:textId="77777777" w:rsidR="0017535D" w:rsidRPr="0043167E" w:rsidRDefault="00E8465A" w:rsidP="004E532D">
      <w:pPr>
        <w:pStyle w:val="Paragraphe"/>
        <w:tabs>
          <w:tab w:val="clear" w:pos="990"/>
          <w:tab w:val="num" w:pos="720"/>
        </w:tabs>
        <w:spacing w:line="280" w:lineRule="exact"/>
        <w:ind w:left="0"/>
      </w:pPr>
      <w:r w:rsidRPr="0043167E">
        <w:t>L’intimé a raison de prétendre qu’en semblables matières, le rôle du juge réviseur est de déterminer s’il y a eu manquement ou non aux principes de justice naturelle ou à l’obligation d’agir équitablement</w:t>
      </w:r>
      <w:bookmarkStart w:id="24" w:name="_Ref52898729"/>
      <w:r>
        <w:rPr>
          <w:rStyle w:val="Appelnotedebasdep"/>
        </w:rPr>
        <w:footnoteReference w:id="9"/>
      </w:r>
      <w:bookmarkEnd w:id="24"/>
      <w:r w:rsidRPr="0043167E">
        <w:t xml:space="preserve">. Toutefois, à la lumière des faits de l’espèce, le juge de première instance ne pouvait y voir une violation de la règle </w:t>
      </w:r>
      <w:r w:rsidRPr="0043167E">
        <w:rPr>
          <w:i/>
        </w:rPr>
        <w:t>audi alteram partem</w:t>
      </w:r>
      <w:r w:rsidRPr="0043167E">
        <w:t xml:space="preserve">. Pour paraphraser le juge, l’intimé a eu l’occasion de répondre et de contrer cette preuve. Il ne peut prétendre avoir été pris par surprise du fait que le TAT réfère à cette notion dans son appréciation de la preuve. </w:t>
      </w:r>
    </w:p>
    <w:p w14:paraId="095726DC" w14:textId="4DF0A9D0" w:rsidR="0017535D" w:rsidRPr="0043167E" w:rsidRDefault="00E8465A" w:rsidP="004E532D">
      <w:pPr>
        <w:pStyle w:val="Paragraphe"/>
        <w:tabs>
          <w:tab w:val="clear" w:pos="990"/>
          <w:tab w:val="num" w:pos="720"/>
        </w:tabs>
        <w:spacing w:line="280" w:lineRule="exact"/>
        <w:ind w:left="0"/>
      </w:pPr>
      <w:r w:rsidRPr="0043167E">
        <w:t>L’application de la présomption de l’article 29 </w:t>
      </w:r>
      <w:r w:rsidRPr="0043167E">
        <w:rPr>
          <w:i/>
        </w:rPr>
        <w:t>Latmp</w:t>
      </w:r>
      <w:r w:rsidRPr="0043167E">
        <w:t xml:space="preserve"> était au cœur du débat. L’intimé savait que le TAT devait déterminer si son atteinte auditive avait été causée par le bruit. Les observations et les autorités jurisprudentielles de l’intimé, tant devant la CSST que devant le TAT, reprennent </w:t>
      </w:r>
      <w:r w:rsidR="00F40471">
        <w:t xml:space="preserve">essentiellement </w:t>
      </w:r>
      <w:r w:rsidRPr="0043167E">
        <w:t>les mêmes caractéristiques que celles retenues par le TAT pour statuer sur cette question. Il ne s’agissait donc pas ici de nouvelles données. L’intimé les connaissait, n’en contestait pas le bien-fondé et savait qu’il devait en faire la preuve pour pouvoir établir, de façon prépondérante, le premier volet de la présomption de l’article 29 </w:t>
      </w:r>
      <w:r w:rsidRPr="0043167E">
        <w:rPr>
          <w:i/>
        </w:rPr>
        <w:t>Latmp</w:t>
      </w:r>
      <w:r w:rsidRPr="0043167E">
        <w:t>.</w:t>
      </w:r>
    </w:p>
    <w:p w14:paraId="6F7A6996" w14:textId="38899937" w:rsidR="002D09BB" w:rsidRDefault="00E8465A" w:rsidP="004E532D">
      <w:pPr>
        <w:pStyle w:val="Paragraphe"/>
        <w:tabs>
          <w:tab w:val="clear" w:pos="990"/>
          <w:tab w:val="num" w:pos="720"/>
        </w:tabs>
        <w:spacing w:line="280" w:lineRule="exact"/>
        <w:ind w:left="0"/>
      </w:pPr>
      <w:r w:rsidRPr="0043167E">
        <w:t xml:space="preserve">Dans l’affaire </w:t>
      </w:r>
      <w:r w:rsidRPr="0043167E">
        <w:rPr>
          <w:i/>
        </w:rPr>
        <w:t>Syndicat des producteurs de bois de la Gaspésie</w:t>
      </w:r>
      <w:r w:rsidRPr="0043167E">
        <w:t xml:space="preserve">, bien que dans un contexte différent, la Cour reconnaît qu’en principe, un tribunal administratif ne peut, de lui-même, recueillir une preuve </w:t>
      </w:r>
      <w:r w:rsidR="00F40471">
        <w:t xml:space="preserve">en invoquant sa connaissance d’office </w:t>
      </w:r>
      <w:r w:rsidRPr="0043167E">
        <w:t>sans permettre aux parties de la commenter ou d’en discuter</w:t>
      </w:r>
      <w:r>
        <w:rPr>
          <w:rStyle w:val="Appelnotedebasdep"/>
        </w:rPr>
        <w:footnoteReference w:id="10"/>
      </w:r>
      <w:r w:rsidRPr="0043167E">
        <w:t>. Elle ajoute toutefois qu’une telle règle ne s’applique pas lorsque les données ainsi recueillies ne sont pas « intrinsèquement nouvelles » et que les parties pouvaient s’attendre à ce que le tribunal puise dans celles-ci</w:t>
      </w:r>
      <w:r w:rsidR="00F40471">
        <w:t xml:space="preserve"> compte tenu de la nature du débat et du contexte</w:t>
      </w:r>
      <w:r w:rsidRPr="0043167E">
        <w:t xml:space="preserve">. Elle écrit : </w:t>
      </w:r>
    </w:p>
    <w:p w14:paraId="02E41CE0" w14:textId="77777777" w:rsidR="002D09BB" w:rsidRDefault="00E8465A">
      <w:pPr>
        <w:spacing w:line="240" w:lineRule="auto"/>
      </w:pPr>
      <w:r>
        <w:br w:type="page"/>
      </w:r>
    </w:p>
    <w:p w14:paraId="46318B04" w14:textId="77777777" w:rsidR="0017535D" w:rsidRPr="0043167E" w:rsidRDefault="00E8465A" w:rsidP="004E532D">
      <w:pPr>
        <w:pStyle w:val="Citationenretrait"/>
        <w:spacing w:line="240" w:lineRule="auto"/>
        <w:rPr>
          <w:rFonts w:ascii="Times New Roman" w:hAnsi="Times New Roman"/>
          <w:sz w:val="24"/>
          <w:lang w:eastAsia="fr-CA"/>
        </w:rPr>
      </w:pPr>
      <w:r w:rsidRPr="0043167E">
        <w:t xml:space="preserve">[27] La Régie a donc déterminé le prix du tremble en se basant sur la moyenne des prix offerts pour la même essence par les acheteurs dans d’autres régions. À l’instar du juge de première instance, je suis d’avis que la Régie n’a pas violé la règle </w:t>
      </w:r>
      <w:r w:rsidRPr="0043167E">
        <w:rPr>
          <w:i/>
          <w:iCs/>
        </w:rPr>
        <w:t>audi alteram partem</w:t>
      </w:r>
      <w:r w:rsidRPr="0043167E">
        <w:t xml:space="preserve"> en procédant comme elle l’a fait. Les parties savaient que la Régie, dans son rôle de régulation de la mise en marché du bois, devait fixer le prix du tremble pour les années concernées et que, pour ce faire, elle pouvait, comme le lui avait suggéré le Syndicat, prendre en compte « l’état du marché » et « l’évolution des prix payés aux producteurs par les entreprises concurrentes ». Il ne faut pas oublier que, lors de l’arbitrage d’une convention de mise en marché, la Régie entend, dans un débat contradictoire, les parties à une future convention. Dans ce cadre, son pouvoir ne se limite pas à appliquer une règle de droit, mais elle agit dans une perspective plus large de régulation économique. Elle jouit, en conséquence, d’une large discrétion dans ce rôle et dans la décision qu’elle est appelée à rendre.</w:t>
      </w:r>
    </w:p>
    <w:p w14:paraId="75AEE51A" w14:textId="77777777" w:rsidR="0017535D" w:rsidRPr="0043167E" w:rsidRDefault="00E8465A" w:rsidP="004E532D">
      <w:pPr>
        <w:pStyle w:val="Citationenretrait"/>
        <w:spacing w:line="240" w:lineRule="auto"/>
      </w:pPr>
      <w:r w:rsidRPr="0043167E">
        <w:t>[28]</w:t>
      </w:r>
      <w:r w:rsidRPr="0043167E">
        <w:rPr>
          <w:sz w:val="14"/>
          <w:szCs w:val="14"/>
        </w:rPr>
        <w:t xml:space="preserve"> </w:t>
      </w:r>
      <w:r w:rsidRPr="0043167E">
        <w:t>Je suis donc d’accord avec le juge de première instance pour dire que les données utilisées par la Régie n’étaient pas intrinsèquement nouvelles et que les parties pouvaient s’attendre à ce que la Régie puise dans l’expérience du marché des données publiques connues de tous et qui étaient de nature à lui permettre de fixer le juste prix du tremble pour les années concernées. S'il fallait exiger de la Régie qu'elle soumette à tous les intéressés chacune des données publiques connues, pertinentes et de la même nature que celles soumises lors des séances publiques et dont elle envisage de tenir compte, cela pourrait scléroser son action.</w:t>
      </w:r>
    </w:p>
    <w:p w14:paraId="51980FAE" w14:textId="3C2AADD8" w:rsidR="0017535D" w:rsidRPr="0043167E" w:rsidRDefault="00E8465A" w:rsidP="00457B6C">
      <w:pPr>
        <w:pStyle w:val="Paragraphe"/>
        <w:tabs>
          <w:tab w:val="clear" w:pos="990"/>
          <w:tab w:val="num" w:pos="720"/>
        </w:tabs>
        <w:spacing w:line="280" w:lineRule="exact"/>
        <w:ind w:left="0"/>
      </w:pPr>
      <w:r w:rsidRPr="0043167E">
        <w:t>Le même constat s’impose en l’espèce : le TAT n’avait pas à avertir l’intimé qu’il entendait utiliser des faits issus de cette connaissance d’office</w:t>
      </w:r>
      <w:r w:rsidR="00002344">
        <w:t xml:space="preserve">, </w:t>
      </w:r>
      <w:r w:rsidRPr="0043167E">
        <w:t xml:space="preserve">qui étaient au cœur du débat et </w:t>
      </w:r>
      <w:r w:rsidR="00002344">
        <w:t xml:space="preserve">qui avaient </w:t>
      </w:r>
      <w:r w:rsidR="002D2389">
        <w:t xml:space="preserve">d’ailleurs </w:t>
      </w:r>
      <w:r w:rsidR="00002344">
        <w:t>fait l’objet de représentations de l’intimé</w:t>
      </w:r>
      <w:r w:rsidRPr="0043167E">
        <w:t>.</w:t>
      </w:r>
    </w:p>
    <w:p w14:paraId="519E5C27" w14:textId="77777777" w:rsidR="0017535D" w:rsidRPr="0043167E" w:rsidRDefault="00E8465A" w:rsidP="00457B6C">
      <w:pPr>
        <w:pStyle w:val="Paragraphe"/>
        <w:tabs>
          <w:tab w:val="clear" w:pos="990"/>
          <w:tab w:val="num" w:pos="720"/>
        </w:tabs>
        <w:spacing w:line="280" w:lineRule="exact"/>
        <w:ind w:left="0"/>
      </w:pPr>
      <w:r w:rsidRPr="0043167E">
        <w:t xml:space="preserve">Soulignons par ailleurs que la conclusion du TAT relative au premier élément de la présomption n’est pas ici déterminante, en ce que, aux paragraphes 85 et suivants de ses motifs, il poursuit son analyse en tenant pour acquis que l’atteinte auditive de l’intimé a été causée par le bruit. Par conséquent, exceptionnellement, même s’il y avait eu violation de la règle </w:t>
      </w:r>
      <w:r w:rsidRPr="0043167E">
        <w:rPr>
          <w:i/>
        </w:rPr>
        <w:t>audi alteram partem</w:t>
      </w:r>
      <w:r w:rsidRPr="0043167E">
        <w:t>, ce que la Cour ne conclut pas, il n’y aurait pas eu lieu de retourner le dossier au TAT pour permettre à l’intimé de contester cette donnée médicale</w:t>
      </w:r>
      <w:r>
        <w:rPr>
          <w:rStyle w:val="Appelnotedebasdep"/>
        </w:rPr>
        <w:footnoteReference w:id="11"/>
      </w:r>
      <w:r w:rsidRPr="0043167E">
        <w:t>.</w:t>
      </w:r>
    </w:p>
    <w:p w14:paraId="43422B1F" w14:textId="2940F0F9" w:rsidR="0017535D" w:rsidRPr="0043167E" w:rsidRDefault="00E8465A" w:rsidP="00457B6C">
      <w:pPr>
        <w:pStyle w:val="Paragraphe"/>
        <w:tabs>
          <w:tab w:val="clear" w:pos="990"/>
          <w:tab w:val="num" w:pos="720"/>
        </w:tabs>
        <w:spacing w:line="280" w:lineRule="exact"/>
        <w:ind w:left="0"/>
      </w:pPr>
      <w:r w:rsidRPr="0043167E">
        <w:t>Quant au second élément de la présomption – l’exercice d’un travail impliquant une exposition à un bruit excessif</w:t>
      </w:r>
      <w:r>
        <w:t xml:space="preserve"> </w:t>
      </w:r>
      <w:r w:rsidRPr="0043167E">
        <w:t>–, l’intimé, tout comme le juge de première instance, reproche au TAT d’avoir écarté les données de deux études portant sur les niveaux de bruit causés par des armes à feu. L’extrait de l’une d’elles avait été déposé devant le TAT, alors que la seconde avait simplement été citée par la Commission des lésions professionnelles dans une décision à laquelle l’intimé a référé au soutien de sa prétention. Encore une fois, le juge considère que le TAT devait informer l’intimé avant d’écarter ces études afin qu’il puisse « combler les lacunes dans la preuve ».</w:t>
      </w:r>
    </w:p>
    <w:p w14:paraId="5C7D0DC4" w14:textId="6834D8E7" w:rsidR="0017535D" w:rsidRPr="0043167E" w:rsidRDefault="00E8465A" w:rsidP="00457B6C">
      <w:pPr>
        <w:pStyle w:val="Paragraphe"/>
        <w:tabs>
          <w:tab w:val="clear" w:pos="990"/>
          <w:tab w:val="num" w:pos="720"/>
        </w:tabs>
        <w:spacing w:line="280" w:lineRule="exact"/>
        <w:ind w:left="0"/>
      </w:pPr>
      <w:r w:rsidRPr="0043167E">
        <w:t>De l’avis de la Cour, cette question ne soulève aucun enjeu de justice naturelle, mais porte plutôt sur l’évaluation de la preuve par le TAT. Celle-ci étant au cœur de sa compétence, le juge devait donc analyser ce moyen selon la norme de la décision raisonnable</w:t>
      </w:r>
      <w:r>
        <w:rPr>
          <w:rStyle w:val="Appelnotedebasdep"/>
        </w:rPr>
        <w:footnoteReference w:id="12"/>
      </w:r>
      <w:r w:rsidRPr="0043167E">
        <w:t xml:space="preserve">. </w:t>
      </w:r>
    </w:p>
    <w:p w14:paraId="4485F94F" w14:textId="77777777" w:rsidR="0017535D" w:rsidRPr="0043167E" w:rsidRDefault="00E8465A" w:rsidP="00457B6C">
      <w:pPr>
        <w:pStyle w:val="Paragraphe"/>
        <w:tabs>
          <w:tab w:val="clear" w:pos="990"/>
          <w:tab w:val="num" w:pos="720"/>
        </w:tabs>
        <w:spacing w:line="280" w:lineRule="exact"/>
        <w:ind w:left="0"/>
      </w:pPr>
      <w:r w:rsidRPr="0043167E">
        <w:t>L’analyse du TAT sur le second volet de la présomption de l’article 29 </w:t>
      </w:r>
      <w:r w:rsidRPr="0043167E">
        <w:rPr>
          <w:i/>
        </w:rPr>
        <w:t>Latmp</w:t>
      </w:r>
      <w:r w:rsidRPr="0043167E">
        <w:t xml:space="preserve"> est détaillée. Celui-ci explique les motifs pour lesquels il écarte ces deux études, notamment à la lumière du témoignage de l’intimé quant au niveau de bruit auquel il était exposé dans le cadre de son travail et à la fréquence d’une telle exposition. Il considère le témoignage de l’intimé et la preuve médicale qu’il a déposée pour conclure qu’il n’avait pas établi avoir exercé un travail impliquant une exposition à un bruit excessif (paragr. [85] et [121]). Il s’agit là d’une décision raisonnable par l’intelligibilité de sa motivation et sa conclusion fait partie des issues raisonnables à la lumière des faits et du droit</w:t>
      </w:r>
      <w:r>
        <w:rPr>
          <w:rStyle w:val="Appelnotedebasdep"/>
        </w:rPr>
        <w:footnoteReference w:id="13"/>
      </w:r>
      <w:r w:rsidRPr="0043167E">
        <w:t xml:space="preserve">. </w:t>
      </w:r>
    </w:p>
    <w:p w14:paraId="62BA351F" w14:textId="77777777" w:rsidR="0017535D" w:rsidRPr="0043167E" w:rsidRDefault="00E8465A" w:rsidP="00457B6C">
      <w:pPr>
        <w:pStyle w:val="Paragraphe"/>
        <w:tabs>
          <w:tab w:val="clear" w:pos="990"/>
          <w:tab w:val="num" w:pos="720"/>
        </w:tabs>
        <w:spacing w:line="280" w:lineRule="exact"/>
        <w:ind w:left="0"/>
      </w:pPr>
      <w:r w:rsidRPr="0043167E">
        <w:t xml:space="preserve">Finalement, la question de savoir si la détérioration des coquilles auditives dans le temps constitue ou non un fait relevant de la connaissance d’office est un faux débat. L’intimé indique avoir utilisé des coquilles protectrices lors des exercices de tir, mais ne peut dire si les coquilles utilisées étaient toujours les mêmes ou encore la fréquence de leur remplacement. C’est pour cette raison que le TAT écarte les observations de l’intimé sur la détérioration des coquilles, et ce dernier ne démontre pas le caractère déraisonnable de cette analyse. </w:t>
      </w:r>
    </w:p>
    <w:p w14:paraId="1C94D5E8" w14:textId="77777777" w:rsidR="0017535D" w:rsidRPr="0043167E" w:rsidRDefault="00E8465A" w:rsidP="00457B6C">
      <w:pPr>
        <w:pStyle w:val="Paragraphe"/>
        <w:tabs>
          <w:tab w:val="clear" w:pos="990"/>
          <w:tab w:val="num" w:pos="720"/>
        </w:tabs>
        <w:spacing w:line="280" w:lineRule="exact"/>
        <w:ind w:left="0"/>
      </w:pPr>
      <w:r w:rsidRPr="0043167E">
        <w:t xml:space="preserve">Dès lors, avec égards, le juge de première instance a fait une application erronée, d’une part, de la règle </w:t>
      </w:r>
      <w:r w:rsidRPr="0043167E">
        <w:rPr>
          <w:i/>
        </w:rPr>
        <w:t>audi alteram partem</w:t>
      </w:r>
      <w:r w:rsidRPr="0043167E">
        <w:t>, et, d’autre part, de la norme de la décision raisonnable en regard de l’évaluation par le TAT des éléments de la présomption de l’article 29 </w:t>
      </w:r>
      <w:r w:rsidRPr="0043167E">
        <w:rPr>
          <w:i/>
        </w:rPr>
        <w:t>Latmp</w:t>
      </w:r>
      <w:r w:rsidRPr="0043167E">
        <w:t>.</w:t>
      </w:r>
    </w:p>
    <w:p w14:paraId="14DEF17C" w14:textId="6A5E926E" w:rsidR="0017535D" w:rsidRPr="0043167E" w:rsidRDefault="00E8465A" w:rsidP="00457B6C">
      <w:pPr>
        <w:pStyle w:val="Paragraphe"/>
        <w:numPr>
          <w:ilvl w:val="0"/>
          <w:numId w:val="0"/>
        </w:numPr>
        <w:spacing w:before="240" w:after="240"/>
      </w:pPr>
      <w:r w:rsidRPr="0043167E">
        <w:rPr>
          <w:b/>
        </w:rPr>
        <w:t>POUR CES MOTIFS, LA COUR</w:t>
      </w:r>
      <w:r w:rsidRPr="0043167E">
        <w:t> :</w:t>
      </w:r>
    </w:p>
    <w:p w14:paraId="47E2F179" w14:textId="77777777" w:rsidR="0017535D" w:rsidRPr="0043167E" w:rsidRDefault="00E8465A" w:rsidP="00457B6C">
      <w:pPr>
        <w:pStyle w:val="Paragraphe"/>
        <w:tabs>
          <w:tab w:val="clear" w:pos="990"/>
          <w:tab w:val="num" w:pos="720"/>
        </w:tabs>
        <w:spacing w:line="280" w:lineRule="exact"/>
        <w:ind w:left="0"/>
      </w:pPr>
      <w:r w:rsidRPr="0043167E">
        <w:rPr>
          <w:b/>
        </w:rPr>
        <w:t>ACCUEILLE</w:t>
      </w:r>
      <w:r w:rsidRPr="0043167E">
        <w:t xml:space="preserve"> l’appel, avec les frais de justice;</w:t>
      </w:r>
    </w:p>
    <w:p w14:paraId="6856771C" w14:textId="77777777" w:rsidR="0017535D" w:rsidRPr="0043167E" w:rsidRDefault="00E8465A" w:rsidP="00457B6C">
      <w:pPr>
        <w:pStyle w:val="Paragraphe"/>
        <w:tabs>
          <w:tab w:val="clear" w:pos="990"/>
          <w:tab w:val="num" w:pos="720"/>
        </w:tabs>
        <w:spacing w:line="280" w:lineRule="exact"/>
        <w:ind w:left="0"/>
      </w:pPr>
      <w:r w:rsidRPr="0043167E">
        <w:rPr>
          <w:b/>
        </w:rPr>
        <w:t>INFIRME</w:t>
      </w:r>
      <w:r w:rsidRPr="0043167E">
        <w:t xml:space="preserve"> le jugement de première instance et, procédant à statuer de nouveau :</w:t>
      </w:r>
    </w:p>
    <w:p w14:paraId="58246A4D" w14:textId="77777777" w:rsidR="0017535D" w:rsidRPr="00B26AFE" w:rsidRDefault="00E8465A" w:rsidP="00457B6C">
      <w:pPr>
        <w:pStyle w:val="Paragraphe"/>
        <w:tabs>
          <w:tab w:val="clear" w:pos="990"/>
          <w:tab w:val="num" w:pos="720"/>
        </w:tabs>
        <w:spacing w:line="280" w:lineRule="exact"/>
        <w:ind w:left="0"/>
      </w:pPr>
      <w:r w:rsidRPr="0043167E">
        <w:rPr>
          <w:b/>
        </w:rPr>
        <w:t>REJ</w:t>
      </w:r>
      <w:r w:rsidRPr="00FC709D">
        <w:rPr>
          <w:b/>
        </w:rPr>
        <w:t>ETTE</w:t>
      </w:r>
      <w:r>
        <w:t xml:space="preserve"> le pourvoi en contrôle judiciaire du demandeur, avec frais de justice.</w:t>
      </w:r>
    </w:p>
    <w:p w14:paraId="64E7DE41" w14:textId="391B640B" w:rsidR="00E51293" w:rsidRDefault="00E51293" w:rsidP="0017535D">
      <w:pPr>
        <w:pStyle w:val="Paragraphe"/>
        <w:numPr>
          <w:ilvl w:val="0"/>
          <w:numId w:val="0"/>
        </w:numPr>
      </w:pPr>
    </w:p>
    <w:p w14:paraId="6AD9DA5A" w14:textId="77777777" w:rsidR="0017535D" w:rsidRPr="002C7179" w:rsidRDefault="0017535D" w:rsidP="0017535D">
      <w:pPr>
        <w:pStyle w:val="Paragraphe"/>
        <w:numPr>
          <w:ilvl w:val="0"/>
          <w:numId w:val="0"/>
        </w:numPr>
      </w:pPr>
    </w:p>
    <w:tbl>
      <w:tblPr>
        <w:tblW w:w="9360" w:type="dxa"/>
        <w:tblLayout w:type="fixed"/>
        <w:tblCellMar>
          <w:left w:w="70" w:type="dxa"/>
          <w:right w:w="70" w:type="dxa"/>
        </w:tblCellMar>
        <w:tblLook w:val="0000" w:firstRow="0" w:lastRow="0" w:firstColumn="0" w:lastColumn="0" w:noHBand="0" w:noVBand="0"/>
      </w:tblPr>
      <w:tblGrid>
        <w:gridCol w:w="4500"/>
        <w:gridCol w:w="4860"/>
      </w:tblGrid>
      <w:tr w:rsidR="003E2428" w14:paraId="20F691A4" w14:textId="77777777" w:rsidTr="00FB3369">
        <w:tc>
          <w:tcPr>
            <w:tcW w:w="4500" w:type="dxa"/>
          </w:tcPr>
          <w:p w14:paraId="616F6413" w14:textId="77777777" w:rsidR="00887EEB" w:rsidRPr="00887EEB" w:rsidRDefault="00887EEB" w:rsidP="00887EEB">
            <w:pPr>
              <w:keepNext/>
              <w:spacing w:line="240" w:lineRule="auto"/>
              <w:jc w:val="both"/>
              <w:rPr>
                <w:rFonts w:cs="Arial"/>
                <w:szCs w:val="24"/>
              </w:rPr>
            </w:pPr>
          </w:p>
        </w:tc>
        <w:tc>
          <w:tcPr>
            <w:tcW w:w="4860" w:type="dxa"/>
            <w:tcBorders>
              <w:top w:val="single" w:sz="4" w:space="0" w:color="auto"/>
            </w:tcBorders>
          </w:tcPr>
          <w:p w14:paraId="095F1D60" w14:textId="77777777" w:rsidR="00887EEB" w:rsidRPr="00887EEB" w:rsidRDefault="00426575" w:rsidP="00887EEB">
            <w:pPr>
              <w:keepNext/>
              <w:spacing w:line="240" w:lineRule="auto"/>
              <w:rPr>
                <w:rFonts w:cs="Arial"/>
                <w:caps/>
                <w:szCs w:val="24"/>
                <w:lang w:val="es-ES"/>
              </w:rPr>
            </w:pPr>
            <w:r>
              <w:t>MANON SAVARD, J.C.Q.</w:t>
            </w:r>
          </w:p>
        </w:tc>
      </w:tr>
    </w:tbl>
    <w:p w14:paraId="2E3E0909" w14:textId="77777777" w:rsidR="00887EEB" w:rsidRPr="00887EEB" w:rsidRDefault="00887EEB" w:rsidP="00887EEB">
      <w:pPr>
        <w:keepNext/>
        <w:spacing w:line="240" w:lineRule="auto"/>
        <w:jc w:val="both"/>
        <w:rPr>
          <w:rFonts w:cs="Arial"/>
          <w:szCs w:val="24"/>
          <w:lang w:val="es-ES"/>
        </w:rPr>
      </w:pPr>
    </w:p>
    <w:p w14:paraId="1CED6A8D" w14:textId="77777777" w:rsidR="00887EEB" w:rsidRPr="00887EEB" w:rsidRDefault="00887EEB" w:rsidP="00887EEB">
      <w:pPr>
        <w:keepNext/>
        <w:spacing w:line="240" w:lineRule="auto"/>
        <w:jc w:val="both"/>
        <w:rPr>
          <w:rFonts w:cs="Arial"/>
          <w:szCs w:val="24"/>
          <w:lang w:val="es-ES"/>
        </w:rPr>
      </w:pPr>
    </w:p>
    <w:tbl>
      <w:tblPr>
        <w:tblW w:w="9360" w:type="dxa"/>
        <w:tblLayout w:type="fixed"/>
        <w:tblCellMar>
          <w:left w:w="70" w:type="dxa"/>
          <w:right w:w="70" w:type="dxa"/>
        </w:tblCellMar>
        <w:tblLook w:val="0000" w:firstRow="0" w:lastRow="0" w:firstColumn="0" w:lastColumn="0" w:noHBand="0" w:noVBand="0"/>
      </w:tblPr>
      <w:tblGrid>
        <w:gridCol w:w="4500"/>
        <w:gridCol w:w="4860"/>
      </w:tblGrid>
      <w:tr w:rsidR="003E2428" w14:paraId="66C5BF72" w14:textId="77777777" w:rsidTr="00FB3369">
        <w:tc>
          <w:tcPr>
            <w:tcW w:w="4500" w:type="dxa"/>
          </w:tcPr>
          <w:p w14:paraId="5B1D5340" w14:textId="77777777" w:rsidR="00887EEB" w:rsidRPr="00887EEB" w:rsidRDefault="00887EEB" w:rsidP="00887EEB">
            <w:pPr>
              <w:keepNext/>
              <w:spacing w:line="240" w:lineRule="auto"/>
              <w:jc w:val="both"/>
              <w:rPr>
                <w:rFonts w:cs="Arial"/>
                <w:szCs w:val="24"/>
                <w:lang w:val="es-ES"/>
              </w:rPr>
            </w:pPr>
          </w:p>
        </w:tc>
        <w:tc>
          <w:tcPr>
            <w:tcW w:w="4860" w:type="dxa"/>
            <w:tcBorders>
              <w:top w:val="single" w:sz="4" w:space="0" w:color="auto"/>
            </w:tcBorders>
          </w:tcPr>
          <w:p w14:paraId="0F0FA8A7" w14:textId="77777777" w:rsidR="00887EEB" w:rsidRPr="00887EEB" w:rsidRDefault="00426575" w:rsidP="00887EEB">
            <w:pPr>
              <w:keepNext/>
              <w:spacing w:line="240" w:lineRule="auto"/>
              <w:rPr>
                <w:rFonts w:cs="Arial"/>
                <w:caps/>
                <w:szCs w:val="24"/>
                <w:lang w:val="es-ES"/>
              </w:rPr>
            </w:pPr>
            <w:r w:rsidRPr="00FD388C">
              <w:rPr>
                <w:lang w:val="en-CA"/>
              </w:rPr>
              <w:t>MARK SCHRAGER, J.C.A.</w:t>
            </w:r>
          </w:p>
        </w:tc>
      </w:tr>
    </w:tbl>
    <w:p w14:paraId="4B4E5BC5" w14:textId="77777777" w:rsidR="00887EEB" w:rsidRPr="00887EEB" w:rsidRDefault="00887EEB" w:rsidP="00887EEB">
      <w:pPr>
        <w:keepNext/>
        <w:spacing w:line="240" w:lineRule="auto"/>
        <w:jc w:val="both"/>
        <w:rPr>
          <w:rFonts w:cs="Arial"/>
          <w:szCs w:val="24"/>
          <w:lang w:val="es-ES"/>
        </w:rPr>
      </w:pPr>
    </w:p>
    <w:p w14:paraId="182368DD" w14:textId="77777777" w:rsidR="00887EEB" w:rsidRPr="00887EEB" w:rsidRDefault="00887EEB" w:rsidP="00887EEB">
      <w:pPr>
        <w:keepNext/>
        <w:spacing w:line="240" w:lineRule="auto"/>
        <w:jc w:val="both"/>
        <w:rPr>
          <w:rFonts w:cs="Arial"/>
          <w:szCs w:val="24"/>
          <w:lang w:val="es-ES"/>
        </w:rPr>
      </w:pPr>
    </w:p>
    <w:tbl>
      <w:tblPr>
        <w:tblW w:w="9360" w:type="dxa"/>
        <w:tblLayout w:type="fixed"/>
        <w:tblCellMar>
          <w:left w:w="70" w:type="dxa"/>
          <w:right w:w="70" w:type="dxa"/>
        </w:tblCellMar>
        <w:tblLook w:val="0000" w:firstRow="0" w:lastRow="0" w:firstColumn="0" w:lastColumn="0" w:noHBand="0" w:noVBand="0"/>
      </w:tblPr>
      <w:tblGrid>
        <w:gridCol w:w="4500"/>
        <w:gridCol w:w="4860"/>
      </w:tblGrid>
      <w:tr w:rsidR="003E2428" w14:paraId="68C874A0" w14:textId="77777777" w:rsidTr="00FB3369">
        <w:tc>
          <w:tcPr>
            <w:tcW w:w="4500" w:type="dxa"/>
          </w:tcPr>
          <w:p w14:paraId="217AA707" w14:textId="77777777" w:rsidR="00887EEB" w:rsidRPr="00887EEB" w:rsidRDefault="00887EEB" w:rsidP="00887EEB">
            <w:pPr>
              <w:keepNext/>
              <w:spacing w:line="240" w:lineRule="auto"/>
              <w:jc w:val="both"/>
              <w:rPr>
                <w:rFonts w:cs="Arial"/>
                <w:szCs w:val="24"/>
                <w:lang w:val="es-ES"/>
              </w:rPr>
            </w:pPr>
          </w:p>
        </w:tc>
        <w:tc>
          <w:tcPr>
            <w:tcW w:w="4860" w:type="dxa"/>
            <w:tcBorders>
              <w:top w:val="single" w:sz="4" w:space="0" w:color="auto"/>
            </w:tcBorders>
          </w:tcPr>
          <w:p w14:paraId="7966689E" w14:textId="77777777" w:rsidR="00887EEB" w:rsidRPr="00887EEB" w:rsidRDefault="00426575" w:rsidP="00887EEB">
            <w:pPr>
              <w:keepNext/>
              <w:spacing w:line="240" w:lineRule="auto"/>
              <w:rPr>
                <w:rFonts w:cs="Arial"/>
                <w:caps/>
                <w:szCs w:val="24"/>
                <w:lang w:val="es-ES"/>
              </w:rPr>
            </w:pPr>
            <w:r>
              <w:t>SIMON RUEL, J.C.A.</w:t>
            </w:r>
          </w:p>
        </w:tc>
      </w:tr>
    </w:tbl>
    <w:p w14:paraId="6D2F0872" w14:textId="77777777" w:rsidR="00887EEB" w:rsidRPr="00887EEB" w:rsidRDefault="00887EEB" w:rsidP="00887EEB">
      <w:pPr>
        <w:spacing w:line="240" w:lineRule="auto"/>
        <w:jc w:val="both"/>
        <w:rPr>
          <w:rFonts w:cs="Arial"/>
          <w:szCs w:val="24"/>
          <w:lang w:val="es-ES"/>
        </w:rPr>
      </w:pPr>
    </w:p>
    <w:sectPr w:rsidR="00887EEB" w:rsidRPr="00887EEB" w:rsidSect="00A26979">
      <w:headerReference w:type="default" r:id="rId13"/>
      <w:footnotePr>
        <w:numRestart w:val="eachSect"/>
      </w:footnotePr>
      <w:pgSz w:w="12242" w:h="15842" w:code="1"/>
      <w:pgMar w:top="720" w:right="1352" w:bottom="1296" w:left="1620" w:header="1440" w:footer="792" w:gutter="0"/>
      <w:pgNumType w:start="1"/>
      <w:cols w:space="720"/>
      <w:formProt w:val="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BC"/>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85E19" w14:textId="77777777" w:rsidR="00173F70" w:rsidRDefault="00E8465A">
      <w:pPr>
        <w:spacing w:line="240" w:lineRule="auto"/>
      </w:pPr>
      <w:r>
        <w:separator/>
      </w:r>
    </w:p>
  </w:endnote>
  <w:endnote w:type="continuationSeparator" w:id="0">
    <w:p w14:paraId="1E898BA2" w14:textId="77777777" w:rsidR="00173F70" w:rsidRDefault="00E84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37338" w14:textId="77777777" w:rsidR="00E01CAD" w:rsidRDefault="00E8465A">
      <w:r>
        <w:separator/>
      </w:r>
    </w:p>
    <w:p w14:paraId="1D72F0FB" w14:textId="77777777" w:rsidR="005654A8" w:rsidRDefault="005654A8"/>
  </w:footnote>
  <w:footnote w:type="continuationSeparator" w:id="0">
    <w:p w14:paraId="46A37339" w14:textId="77777777" w:rsidR="00E01CAD" w:rsidRDefault="00E8465A">
      <w:r>
        <w:continuationSeparator/>
      </w:r>
    </w:p>
    <w:p w14:paraId="61196EBF" w14:textId="77777777" w:rsidR="005654A8" w:rsidRDefault="005654A8"/>
  </w:footnote>
  <w:footnote w:id="1">
    <w:p w14:paraId="080EF2DA" w14:textId="77777777" w:rsidR="0017535D" w:rsidRPr="002A21AE" w:rsidRDefault="00E8465A" w:rsidP="0017535D">
      <w:pPr>
        <w:pStyle w:val="Notedebasdepage"/>
      </w:pPr>
      <w:r>
        <w:rPr>
          <w:rStyle w:val="Appelnotedebasdep"/>
        </w:rPr>
        <w:footnoteRef/>
      </w:r>
      <w:r w:rsidRPr="002A21AE">
        <w:t xml:space="preserve"> </w:t>
      </w:r>
      <w:r>
        <w:tab/>
      </w:r>
      <w:r w:rsidRPr="002A21AE">
        <w:rPr>
          <w:i/>
        </w:rPr>
        <w:t>Ville de Saint-Lambert c. Wade</w:t>
      </w:r>
      <w:r>
        <w:t>, 2018 QCCA 2195.</w:t>
      </w:r>
    </w:p>
  </w:footnote>
  <w:footnote w:id="2">
    <w:p w14:paraId="408757BB" w14:textId="77777777" w:rsidR="0017535D" w:rsidRPr="002A21AE" w:rsidRDefault="00E8465A" w:rsidP="0017535D">
      <w:pPr>
        <w:pStyle w:val="Notedebasdepage"/>
      </w:pPr>
      <w:r>
        <w:rPr>
          <w:rStyle w:val="Appelnotedebasdep"/>
        </w:rPr>
        <w:footnoteRef/>
      </w:r>
      <w:r w:rsidRPr="002A21AE">
        <w:t xml:space="preserve"> </w:t>
      </w:r>
      <w:r>
        <w:tab/>
      </w:r>
      <w:r w:rsidRPr="002A21AE">
        <w:rPr>
          <w:i/>
        </w:rPr>
        <w:t>Wade c. Tribunal administratif du travail</w:t>
      </w:r>
      <w:r>
        <w:t>, 2018 QCCS 3345.</w:t>
      </w:r>
    </w:p>
  </w:footnote>
  <w:footnote w:id="3">
    <w:p w14:paraId="233D862A" w14:textId="77777777" w:rsidR="0017535D" w:rsidRPr="002232A6" w:rsidRDefault="00E8465A" w:rsidP="0017535D">
      <w:pPr>
        <w:pStyle w:val="Notedebasdepage"/>
      </w:pPr>
      <w:r>
        <w:rPr>
          <w:rStyle w:val="Appelnotedebasdep"/>
        </w:rPr>
        <w:footnoteRef/>
      </w:r>
      <w:r w:rsidRPr="002232A6">
        <w:t xml:space="preserve"> </w:t>
      </w:r>
      <w:r>
        <w:tab/>
        <w:t xml:space="preserve">La </w:t>
      </w:r>
      <w:r w:rsidRPr="002232A6">
        <w:rPr>
          <w:i/>
        </w:rPr>
        <w:t>Loi instituant le Tribunal administratif du travail</w:t>
      </w:r>
      <w:r>
        <w:t xml:space="preserve"> est entrée en vigueur le 1</w:t>
      </w:r>
      <w:r w:rsidRPr="002232A6">
        <w:rPr>
          <w:vertAlign w:val="superscript"/>
        </w:rPr>
        <w:t>er</w:t>
      </w:r>
      <w:r>
        <w:t xml:space="preserve"> janvier 2016. Elle crée le TAT qui assume notamment les compétences de la Commission des lésions professionnelles (art. 261).</w:t>
      </w:r>
    </w:p>
  </w:footnote>
  <w:footnote w:id="4">
    <w:p w14:paraId="0A50BBF3" w14:textId="77777777" w:rsidR="0017535D" w:rsidRPr="008A3104" w:rsidRDefault="00E8465A" w:rsidP="0017535D">
      <w:pPr>
        <w:pStyle w:val="Notedebasdepage"/>
      </w:pPr>
      <w:r>
        <w:rPr>
          <w:rStyle w:val="Appelnotedebasdep"/>
        </w:rPr>
        <w:footnoteRef/>
      </w:r>
      <w:r w:rsidRPr="008A3104">
        <w:t xml:space="preserve"> </w:t>
      </w:r>
      <w:r>
        <w:tab/>
      </w:r>
      <w:r w:rsidRPr="008A3104">
        <w:rPr>
          <w:i/>
        </w:rPr>
        <w:t>Wade et Longueuil (Ville de)</w:t>
      </w:r>
      <w:r>
        <w:t>, 2016 QCTAT 5596.</w:t>
      </w:r>
    </w:p>
  </w:footnote>
  <w:footnote w:id="5">
    <w:p w14:paraId="5646FFB7" w14:textId="77777777" w:rsidR="0017535D" w:rsidRPr="00180995" w:rsidRDefault="00E8465A" w:rsidP="0017535D">
      <w:pPr>
        <w:pStyle w:val="Notedebasdepage"/>
      </w:pPr>
      <w:r>
        <w:rPr>
          <w:rStyle w:val="Appelnotedebasdep"/>
        </w:rPr>
        <w:footnoteRef/>
      </w:r>
      <w:r w:rsidRPr="00180995">
        <w:t xml:space="preserve"> </w:t>
      </w:r>
      <w:r>
        <w:tab/>
        <w:t>Depuis le 1</w:t>
      </w:r>
      <w:r w:rsidRPr="002232A6">
        <w:rPr>
          <w:vertAlign w:val="superscript"/>
        </w:rPr>
        <w:t>er</w:t>
      </w:r>
      <w:r>
        <w:t xml:space="preserve"> janvier 2016, la Commission des normes, de l’équité, de la santé et de la sécurité du travail assume les compétences autrefois dévolues à la CSST. </w:t>
      </w:r>
    </w:p>
  </w:footnote>
  <w:footnote w:id="6">
    <w:p w14:paraId="7CCCF049" w14:textId="77777777" w:rsidR="0017535D" w:rsidRPr="00893A9C" w:rsidRDefault="00E8465A" w:rsidP="0017535D">
      <w:pPr>
        <w:pStyle w:val="Notedebasdepage"/>
      </w:pPr>
      <w:r>
        <w:rPr>
          <w:rStyle w:val="Appelnotedebasdep"/>
        </w:rPr>
        <w:footnoteRef/>
      </w:r>
      <w:r w:rsidRPr="00893A9C">
        <w:t xml:space="preserve"> </w:t>
      </w:r>
      <w:r>
        <w:tab/>
      </w:r>
      <w:r w:rsidRPr="00893A9C">
        <w:rPr>
          <w:i/>
        </w:rPr>
        <w:t>Loi sur les accidents de travail et les maladies professionnelles</w:t>
      </w:r>
      <w:r>
        <w:t>, RLRQ, c. A-3.001.</w:t>
      </w:r>
    </w:p>
  </w:footnote>
  <w:footnote w:id="7">
    <w:p w14:paraId="5D2B146F" w14:textId="77777777" w:rsidR="0017535D" w:rsidRPr="00F47E0D" w:rsidRDefault="00E8465A" w:rsidP="0017535D">
      <w:pPr>
        <w:pStyle w:val="Notedebasdepage"/>
      </w:pPr>
      <w:r>
        <w:rPr>
          <w:rStyle w:val="Appelnotedebasdep"/>
        </w:rPr>
        <w:footnoteRef/>
      </w:r>
      <w:r w:rsidRPr="00F47E0D">
        <w:t xml:space="preserve"> </w:t>
      </w:r>
      <w:r>
        <w:tab/>
        <w:t>Bien que dûment convoquée, l’appelante n’était pas présente à l’audience.</w:t>
      </w:r>
    </w:p>
  </w:footnote>
  <w:footnote w:id="8">
    <w:p w14:paraId="58BBC029" w14:textId="77777777" w:rsidR="0017535D" w:rsidRPr="00206C24" w:rsidRDefault="00E8465A" w:rsidP="0017535D">
      <w:pPr>
        <w:pStyle w:val="Notedebasdepage"/>
      </w:pPr>
      <w:r>
        <w:rPr>
          <w:rStyle w:val="Appelnotedebasdep"/>
        </w:rPr>
        <w:footnoteRef/>
      </w:r>
      <w:r w:rsidRPr="00206C24">
        <w:t xml:space="preserve"> </w:t>
      </w:r>
      <w:r>
        <w:tab/>
      </w:r>
      <w:r w:rsidRPr="00206C24">
        <w:rPr>
          <w:i/>
        </w:rPr>
        <w:t>Règles de preuve et de procédure du Tribunal administratif du travail</w:t>
      </w:r>
      <w:r>
        <w:t>, RLRQ, c. T-15.1, r. 1.1, art. 36.</w:t>
      </w:r>
    </w:p>
  </w:footnote>
  <w:footnote w:id="9">
    <w:p w14:paraId="35C7DCEE" w14:textId="1FEF74F2" w:rsidR="0017535D" w:rsidRPr="003B7876" w:rsidRDefault="00E8465A" w:rsidP="0017535D">
      <w:pPr>
        <w:pStyle w:val="Notedebasdepage"/>
      </w:pPr>
      <w:r>
        <w:rPr>
          <w:rStyle w:val="Appelnotedebasdep"/>
        </w:rPr>
        <w:footnoteRef/>
      </w:r>
      <w:r w:rsidRPr="003B7876">
        <w:t xml:space="preserve"> </w:t>
      </w:r>
      <w:r>
        <w:tab/>
      </w:r>
      <w:r w:rsidRPr="003B7876">
        <w:rPr>
          <w:i/>
        </w:rPr>
        <w:t>Canada (Ministre de la Citoyenneté et de l’Immigration c. Vavilov</w:t>
      </w:r>
      <w:r>
        <w:t xml:space="preserve">, 2019 CSC 65, paragr. 23 et 77; </w:t>
      </w:r>
      <w:r w:rsidRPr="003B7876">
        <w:rPr>
          <w:i/>
        </w:rPr>
        <w:t>Chemin de fer Canadien Pacifique Limitée c. Canada (Procureur général)</w:t>
      </w:r>
      <w:r>
        <w:t>, 2018 CAF 69.</w:t>
      </w:r>
    </w:p>
  </w:footnote>
  <w:footnote w:id="10">
    <w:p w14:paraId="4F736FDA" w14:textId="77777777" w:rsidR="0017535D" w:rsidRPr="000B5777" w:rsidRDefault="00E8465A" w:rsidP="0017535D">
      <w:pPr>
        <w:pStyle w:val="Notedebasdepage"/>
      </w:pPr>
      <w:r>
        <w:rPr>
          <w:rStyle w:val="Appelnotedebasdep"/>
        </w:rPr>
        <w:footnoteRef/>
      </w:r>
      <w:r w:rsidRPr="00F32BA4">
        <w:t xml:space="preserve"> </w:t>
      </w:r>
      <w:r>
        <w:tab/>
      </w:r>
      <w:r w:rsidRPr="0017535D">
        <w:rPr>
          <w:i/>
        </w:rPr>
        <w:t>Syndicat des producteurs de bois de la Gaspésie c. Damabois, division Cap-Chat inc.</w:t>
      </w:r>
      <w:r w:rsidRPr="0017535D">
        <w:t xml:space="preserve">, 2010 QCCA 1201, paragr. 19. Soulignons que la Régie des marchés agricoles et alimentaires du Québec avait utilisé des données nouvelles, à l’égard desquelles les parties n’avaient pas expressément fait d’observations; voir aussi </w:t>
      </w:r>
      <w:r w:rsidRPr="0017535D">
        <w:rPr>
          <w:i/>
        </w:rPr>
        <w:t>Pfizer Co. Ltd. c. Sous-ministre du Revenu National</w:t>
      </w:r>
      <w:r w:rsidRPr="0017535D">
        <w:t>, [1977] 1 R.C.S. 456, p. 463</w:t>
      </w:r>
    </w:p>
  </w:footnote>
  <w:footnote w:id="11">
    <w:p w14:paraId="1A96CC6C" w14:textId="77777777" w:rsidR="0017535D" w:rsidRPr="00B26AFE" w:rsidRDefault="00E8465A" w:rsidP="0017535D">
      <w:pPr>
        <w:pStyle w:val="Notedebasdepage"/>
      </w:pPr>
      <w:r>
        <w:rPr>
          <w:rStyle w:val="Appelnotedebasdep"/>
        </w:rPr>
        <w:footnoteRef/>
      </w:r>
      <w:r w:rsidRPr="00B26AFE">
        <w:t xml:space="preserve"> </w:t>
      </w:r>
      <w:r w:rsidRPr="00B26AFE">
        <w:tab/>
      </w:r>
      <w:r>
        <w:t xml:space="preserve">Par analogie, voir : </w:t>
      </w:r>
      <w:r w:rsidRPr="00B26AFE">
        <w:rPr>
          <w:i/>
        </w:rPr>
        <w:t>Mobil Oil Canada Ltd. c. Office Canada-Terre-Neuve des hydrocarbures extracôtiers</w:t>
      </w:r>
      <w:r>
        <w:t>, [1994] 1 R.C.S. 202, p. 228.</w:t>
      </w:r>
    </w:p>
  </w:footnote>
  <w:footnote w:id="12">
    <w:p w14:paraId="262D16FD" w14:textId="77777777" w:rsidR="0017535D" w:rsidRPr="00434647" w:rsidRDefault="00E8465A" w:rsidP="0017535D">
      <w:pPr>
        <w:pStyle w:val="Notedebasdepage"/>
      </w:pPr>
      <w:r>
        <w:rPr>
          <w:rStyle w:val="Appelnotedebasdep"/>
        </w:rPr>
        <w:footnoteRef/>
      </w:r>
      <w:r w:rsidRPr="00434647">
        <w:t xml:space="preserve"> </w:t>
      </w:r>
      <w:r>
        <w:tab/>
      </w:r>
      <w:r w:rsidRPr="003B7876">
        <w:rPr>
          <w:i/>
        </w:rPr>
        <w:t>Canada (Ministre de la Citoyenneté et de l’Immigration</w:t>
      </w:r>
      <w:r>
        <w:rPr>
          <w:i/>
        </w:rPr>
        <w:t>)</w:t>
      </w:r>
      <w:r w:rsidRPr="003B7876">
        <w:rPr>
          <w:i/>
        </w:rPr>
        <w:t xml:space="preserve"> c. Vavilov</w:t>
      </w:r>
      <w:r>
        <w:rPr>
          <w:i/>
        </w:rPr>
        <w:t xml:space="preserve">, </w:t>
      </w:r>
      <w:r w:rsidRPr="00434647">
        <w:rPr>
          <w:i/>
        </w:rPr>
        <w:t>supra</w:t>
      </w:r>
      <w:r>
        <w:t xml:space="preserve">, note 9, paragr. 23; </w:t>
      </w:r>
      <w:r w:rsidRPr="00B65B03">
        <w:rPr>
          <w:i/>
        </w:rPr>
        <w:t>Mouvement laïque québécois c. Saguenay (Ville)</w:t>
      </w:r>
      <w:r>
        <w:t>, 2015 CSC 16, paragr. 50</w:t>
      </w:r>
      <w:r w:rsidRPr="00B65B03">
        <w:rPr>
          <w:i/>
        </w:rPr>
        <w:t>; Établissement de Mission c. Khela</w:t>
      </w:r>
      <w:r>
        <w:t xml:space="preserve">, 2014 CSC 24, paragr. 74; </w:t>
      </w:r>
      <w:r w:rsidRPr="00B65B03">
        <w:rPr>
          <w:i/>
        </w:rPr>
        <w:t>Front des artistes canadiens c. Musée des beaux-arts du Canada</w:t>
      </w:r>
      <w:r>
        <w:t xml:space="preserve">, 2014 CSC 42, paragr. 30; </w:t>
      </w:r>
      <w:r w:rsidRPr="00E247C2">
        <w:t>Canada</w:t>
      </w:r>
      <w:r w:rsidRPr="00B65B03">
        <w:rPr>
          <w:i/>
        </w:rPr>
        <w:t xml:space="preserve"> (Citoyenneté et Immigration) c. Khosa</w:t>
      </w:r>
      <w:r>
        <w:t>, 2009 CSC 12, paragr. 64.</w:t>
      </w:r>
    </w:p>
  </w:footnote>
  <w:footnote w:id="13">
    <w:p w14:paraId="2AD7B3E4" w14:textId="77777777" w:rsidR="0017535D" w:rsidRPr="00434647" w:rsidRDefault="00E8465A" w:rsidP="0017535D">
      <w:pPr>
        <w:pStyle w:val="Notedebasdepage"/>
      </w:pPr>
      <w:r>
        <w:rPr>
          <w:rStyle w:val="Appelnotedebasdep"/>
        </w:rPr>
        <w:footnoteRef/>
      </w:r>
      <w:r w:rsidRPr="00B313BD">
        <w:t xml:space="preserve"> </w:t>
      </w:r>
      <w:r>
        <w:tab/>
      </w:r>
      <w:r w:rsidRPr="00B65B03">
        <w:rPr>
          <w:i/>
        </w:rPr>
        <w:t>Dunsmuir c. Nouveau-Brunswick</w:t>
      </w:r>
      <w:r w:rsidRPr="00B65B03">
        <w:t>, 2008 CSC 9,</w:t>
      </w:r>
      <w:r>
        <w:t xml:space="preserve"> paragr.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3"/>
      <w:gridCol w:w="2157"/>
    </w:tblGrid>
    <w:tr w:rsidR="003E2428" w14:paraId="46A3733E" w14:textId="77777777" w:rsidTr="00094DC3">
      <w:tc>
        <w:tcPr>
          <w:tcW w:w="7383" w:type="dxa"/>
        </w:tcPr>
        <w:p w14:paraId="46A3733C" w14:textId="7A98BCAF" w:rsidR="00E01CAD" w:rsidRDefault="00E8465A" w:rsidP="00637D6F">
          <w:pPr>
            <w:tabs>
              <w:tab w:val="left" w:pos="442"/>
              <w:tab w:val="center" w:pos="4709"/>
              <w:tab w:val="right" w:pos="9360"/>
            </w:tabs>
            <w:ind w:right="524"/>
          </w:pPr>
          <w:bookmarkStart w:id="25" w:name="EntDossier"/>
          <w:r>
            <w:t>500-09-027733-187</w:t>
          </w:r>
          <w:bookmarkEnd w:id="25"/>
        </w:p>
      </w:tc>
      <w:tc>
        <w:tcPr>
          <w:tcW w:w="2157" w:type="dxa"/>
        </w:tcPr>
        <w:p w14:paraId="46A3733D" w14:textId="072ADB06" w:rsidR="00E01CAD" w:rsidRDefault="00E8465A" w:rsidP="00CD58FC">
          <w:pPr>
            <w:tabs>
              <w:tab w:val="left" w:pos="442"/>
              <w:tab w:val="center" w:pos="4709"/>
              <w:tab w:val="right" w:pos="9360"/>
            </w:tabs>
            <w:ind w:right="159"/>
            <w:jc w:val="right"/>
          </w:pPr>
          <w:r>
            <w:tab/>
            <w:t xml:space="preserve">PAGE : </w:t>
          </w:r>
          <w:r>
            <w:fldChar w:fldCharType="begin"/>
          </w:r>
          <w:r>
            <w:instrText xml:space="preserve"> PAGE </w:instrText>
          </w:r>
          <w:r>
            <w:fldChar w:fldCharType="separate"/>
          </w:r>
          <w:r w:rsidR="008519AE">
            <w:rPr>
              <w:noProof/>
            </w:rPr>
            <w:t>5</w:t>
          </w:r>
          <w:r>
            <w:fldChar w:fldCharType="end"/>
          </w:r>
        </w:p>
      </w:tc>
    </w:tr>
  </w:tbl>
  <w:p w14:paraId="46A37340" w14:textId="77777777" w:rsidR="00E01CAD" w:rsidRDefault="00E01CAD">
    <w:pPr>
      <w:tabs>
        <w:tab w:val="center" w:pos="4709"/>
        <w:tab w:val="right" w:pos="9090"/>
      </w:tabs>
      <w:ind w:right="524"/>
    </w:pPr>
  </w:p>
  <w:p w14:paraId="61077DE2" w14:textId="77777777" w:rsidR="00457B6C" w:rsidRDefault="00457B6C">
    <w:pPr>
      <w:tabs>
        <w:tab w:val="center" w:pos="4709"/>
        <w:tab w:val="right" w:pos="9090"/>
      </w:tabs>
      <w:ind w:right="524"/>
    </w:pPr>
  </w:p>
  <w:p w14:paraId="75A79C00" w14:textId="77777777" w:rsidR="005654A8" w:rsidRDefault="005654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0E1EBC"/>
    <w:lvl w:ilvl="0">
      <w:start w:val="1"/>
      <w:numFmt w:val="decimal"/>
      <w:lvlText w:val="%1."/>
      <w:lvlJc w:val="left"/>
      <w:pPr>
        <w:tabs>
          <w:tab w:val="num" w:pos="1492"/>
        </w:tabs>
        <w:ind w:left="1492" w:hanging="360"/>
      </w:pPr>
    </w:lvl>
  </w:abstractNum>
  <w:abstractNum w:abstractNumId="1">
    <w:nsid w:val="FFFFFF7D"/>
    <w:multiLevelType w:val="singleLevel"/>
    <w:tmpl w:val="3F12EADE"/>
    <w:lvl w:ilvl="0">
      <w:start w:val="1"/>
      <w:numFmt w:val="decimal"/>
      <w:lvlText w:val="%1."/>
      <w:lvlJc w:val="left"/>
      <w:pPr>
        <w:tabs>
          <w:tab w:val="num" w:pos="1209"/>
        </w:tabs>
        <w:ind w:left="1209" w:hanging="360"/>
      </w:pPr>
    </w:lvl>
  </w:abstractNum>
  <w:abstractNum w:abstractNumId="2">
    <w:nsid w:val="FFFFFF7E"/>
    <w:multiLevelType w:val="singleLevel"/>
    <w:tmpl w:val="2F26470C"/>
    <w:lvl w:ilvl="0">
      <w:start w:val="1"/>
      <w:numFmt w:val="decimal"/>
      <w:lvlText w:val="%1."/>
      <w:lvlJc w:val="left"/>
      <w:pPr>
        <w:tabs>
          <w:tab w:val="num" w:pos="926"/>
        </w:tabs>
        <w:ind w:left="926" w:hanging="360"/>
      </w:pPr>
    </w:lvl>
  </w:abstractNum>
  <w:abstractNum w:abstractNumId="3">
    <w:nsid w:val="FFFFFF7F"/>
    <w:multiLevelType w:val="singleLevel"/>
    <w:tmpl w:val="651C3B52"/>
    <w:lvl w:ilvl="0">
      <w:start w:val="1"/>
      <w:numFmt w:val="decimal"/>
      <w:lvlText w:val="%1."/>
      <w:lvlJc w:val="left"/>
      <w:pPr>
        <w:tabs>
          <w:tab w:val="num" w:pos="643"/>
        </w:tabs>
        <w:ind w:left="643" w:hanging="360"/>
      </w:pPr>
    </w:lvl>
  </w:abstractNum>
  <w:abstractNum w:abstractNumId="4">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DCE6E8"/>
    <w:lvl w:ilvl="0">
      <w:start w:val="1"/>
      <w:numFmt w:val="decimal"/>
      <w:lvlText w:val="%1."/>
      <w:lvlJc w:val="left"/>
      <w:pPr>
        <w:tabs>
          <w:tab w:val="num" w:pos="360"/>
        </w:tabs>
        <w:ind w:left="360" w:hanging="360"/>
      </w:pPr>
    </w:lvl>
  </w:abstractNum>
  <w:abstractNum w:abstractNumId="9">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nsid w:val="28BB52DE"/>
    <w:multiLevelType w:val="multilevel"/>
    <w:tmpl w:val="5C103B16"/>
    <w:lvl w:ilvl="0">
      <w:start w:val="1"/>
      <w:numFmt w:val="decimal"/>
      <w:pStyle w:val="Paragraphe"/>
      <w:lvlText w:val="[%1]"/>
      <w:lvlJc w:val="left"/>
      <w:pPr>
        <w:tabs>
          <w:tab w:val="num" w:pos="990"/>
        </w:tabs>
        <w:ind w:left="27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2"/>
  </w:num>
  <w:num w:numId="2">
    <w:abstractNumId w:val="12"/>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2"/>
  </w:num>
  <w:num w:numId="16">
    <w:abstractNumId w:val="12"/>
  </w:num>
  <w:num w:numId="17">
    <w:abstractNumId w:val="11"/>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hyphenationZone w:val="425"/>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E3"/>
    <w:rsid w:val="00002344"/>
    <w:rsid w:val="00005741"/>
    <w:rsid w:val="00022BDB"/>
    <w:rsid w:val="000250C2"/>
    <w:rsid w:val="000259BF"/>
    <w:rsid w:val="00033ACA"/>
    <w:rsid w:val="000614D8"/>
    <w:rsid w:val="0007485B"/>
    <w:rsid w:val="00075207"/>
    <w:rsid w:val="00080D1F"/>
    <w:rsid w:val="00082F0A"/>
    <w:rsid w:val="000949A6"/>
    <w:rsid w:val="00094DC3"/>
    <w:rsid w:val="000B3F39"/>
    <w:rsid w:val="000B5777"/>
    <w:rsid w:val="000B60BA"/>
    <w:rsid w:val="000B6E58"/>
    <w:rsid w:val="000C54D9"/>
    <w:rsid w:val="000C7ACC"/>
    <w:rsid w:val="000D5528"/>
    <w:rsid w:val="000E3231"/>
    <w:rsid w:val="000F74B3"/>
    <w:rsid w:val="001009B2"/>
    <w:rsid w:val="00103275"/>
    <w:rsid w:val="00104397"/>
    <w:rsid w:val="00106BD1"/>
    <w:rsid w:val="001073D4"/>
    <w:rsid w:val="0011329E"/>
    <w:rsid w:val="00113F44"/>
    <w:rsid w:val="00135014"/>
    <w:rsid w:val="00137252"/>
    <w:rsid w:val="001433C6"/>
    <w:rsid w:val="00146ED1"/>
    <w:rsid w:val="00151498"/>
    <w:rsid w:val="00156F49"/>
    <w:rsid w:val="00160465"/>
    <w:rsid w:val="00171C93"/>
    <w:rsid w:val="00173F70"/>
    <w:rsid w:val="0017535D"/>
    <w:rsid w:val="00175437"/>
    <w:rsid w:val="0017571F"/>
    <w:rsid w:val="00180995"/>
    <w:rsid w:val="00186B64"/>
    <w:rsid w:val="001933CB"/>
    <w:rsid w:val="001A4667"/>
    <w:rsid w:val="001A54B6"/>
    <w:rsid w:val="001A7C22"/>
    <w:rsid w:val="001B1B44"/>
    <w:rsid w:val="001B3876"/>
    <w:rsid w:val="001E13E3"/>
    <w:rsid w:val="001F31D0"/>
    <w:rsid w:val="00206ACE"/>
    <w:rsid w:val="00206C24"/>
    <w:rsid w:val="00207089"/>
    <w:rsid w:val="0021091C"/>
    <w:rsid w:val="00215559"/>
    <w:rsid w:val="002159AA"/>
    <w:rsid w:val="00221170"/>
    <w:rsid w:val="002232A6"/>
    <w:rsid w:val="0022417B"/>
    <w:rsid w:val="0023213C"/>
    <w:rsid w:val="00240B45"/>
    <w:rsid w:val="00263A55"/>
    <w:rsid w:val="00266D03"/>
    <w:rsid w:val="002745AE"/>
    <w:rsid w:val="00290120"/>
    <w:rsid w:val="00293750"/>
    <w:rsid w:val="002A0B7A"/>
    <w:rsid w:val="002A21AE"/>
    <w:rsid w:val="002A295B"/>
    <w:rsid w:val="002A2A78"/>
    <w:rsid w:val="002B0869"/>
    <w:rsid w:val="002C0C00"/>
    <w:rsid w:val="002C1B95"/>
    <w:rsid w:val="002C239E"/>
    <w:rsid w:val="002C4107"/>
    <w:rsid w:val="002C7179"/>
    <w:rsid w:val="002D09BB"/>
    <w:rsid w:val="002D2389"/>
    <w:rsid w:val="002D400F"/>
    <w:rsid w:val="002E540C"/>
    <w:rsid w:val="002E7403"/>
    <w:rsid w:val="003041AF"/>
    <w:rsid w:val="00317A57"/>
    <w:rsid w:val="00320C2D"/>
    <w:rsid w:val="0033020E"/>
    <w:rsid w:val="00335475"/>
    <w:rsid w:val="0034708B"/>
    <w:rsid w:val="0037521E"/>
    <w:rsid w:val="003779A9"/>
    <w:rsid w:val="003847F3"/>
    <w:rsid w:val="0039120A"/>
    <w:rsid w:val="00392D3D"/>
    <w:rsid w:val="00392DCA"/>
    <w:rsid w:val="003B65F2"/>
    <w:rsid w:val="003B7876"/>
    <w:rsid w:val="003D4D2F"/>
    <w:rsid w:val="003D645B"/>
    <w:rsid w:val="003E2428"/>
    <w:rsid w:val="003E5AF3"/>
    <w:rsid w:val="003F40FD"/>
    <w:rsid w:val="00406E40"/>
    <w:rsid w:val="00424BE3"/>
    <w:rsid w:val="00426575"/>
    <w:rsid w:val="0043167E"/>
    <w:rsid w:val="004331C4"/>
    <w:rsid w:val="00434647"/>
    <w:rsid w:val="00447A05"/>
    <w:rsid w:val="004505FD"/>
    <w:rsid w:val="004546D6"/>
    <w:rsid w:val="00457B6C"/>
    <w:rsid w:val="004630AB"/>
    <w:rsid w:val="00481F6B"/>
    <w:rsid w:val="004835FF"/>
    <w:rsid w:val="00493F73"/>
    <w:rsid w:val="0049788A"/>
    <w:rsid w:val="004D10FD"/>
    <w:rsid w:val="004D37E3"/>
    <w:rsid w:val="004D3CB0"/>
    <w:rsid w:val="004D74FD"/>
    <w:rsid w:val="004E532D"/>
    <w:rsid w:val="004F15FC"/>
    <w:rsid w:val="004F520A"/>
    <w:rsid w:val="004F69BB"/>
    <w:rsid w:val="00501E09"/>
    <w:rsid w:val="005244DB"/>
    <w:rsid w:val="00540690"/>
    <w:rsid w:val="0054437A"/>
    <w:rsid w:val="005504D5"/>
    <w:rsid w:val="005654A8"/>
    <w:rsid w:val="00566BF6"/>
    <w:rsid w:val="00571E6A"/>
    <w:rsid w:val="00583A46"/>
    <w:rsid w:val="0059674C"/>
    <w:rsid w:val="005A127D"/>
    <w:rsid w:val="005B4976"/>
    <w:rsid w:val="005C6118"/>
    <w:rsid w:val="005D1522"/>
    <w:rsid w:val="005D29E7"/>
    <w:rsid w:val="005D5710"/>
    <w:rsid w:val="005F0450"/>
    <w:rsid w:val="00604230"/>
    <w:rsid w:val="006212C1"/>
    <w:rsid w:val="00622706"/>
    <w:rsid w:val="00637D6F"/>
    <w:rsid w:val="00643C88"/>
    <w:rsid w:val="00645E4B"/>
    <w:rsid w:val="0065602B"/>
    <w:rsid w:val="00692E06"/>
    <w:rsid w:val="006C6451"/>
    <w:rsid w:val="006D1CB1"/>
    <w:rsid w:val="006E12E8"/>
    <w:rsid w:val="006F1896"/>
    <w:rsid w:val="006F7378"/>
    <w:rsid w:val="00702C6D"/>
    <w:rsid w:val="00706367"/>
    <w:rsid w:val="00711DD5"/>
    <w:rsid w:val="007149F6"/>
    <w:rsid w:val="0073154F"/>
    <w:rsid w:val="007377D2"/>
    <w:rsid w:val="00740A17"/>
    <w:rsid w:val="0074110E"/>
    <w:rsid w:val="00747420"/>
    <w:rsid w:val="007519EA"/>
    <w:rsid w:val="00752373"/>
    <w:rsid w:val="007547CE"/>
    <w:rsid w:val="00757467"/>
    <w:rsid w:val="0077096E"/>
    <w:rsid w:val="00770C57"/>
    <w:rsid w:val="007818B0"/>
    <w:rsid w:val="007953F3"/>
    <w:rsid w:val="007A2195"/>
    <w:rsid w:val="007B2F4C"/>
    <w:rsid w:val="007B663C"/>
    <w:rsid w:val="007C678F"/>
    <w:rsid w:val="007D13F3"/>
    <w:rsid w:val="007D632A"/>
    <w:rsid w:val="007E1A63"/>
    <w:rsid w:val="007F2157"/>
    <w:rsid w:val="00803B9C"/>
    <w:rsid w:val="00827B04"/>
    <w:rsid w:val="00831C53"/>
    <w:rsid w:val="00836D3E"/>
    <w:rsid w:val="008430CA"/>
    <w:rsid w:val="00850063"/>
    <w:rsid w:val="008519AE"/>
    <w:rsid w:val="00854C3E"/>
    <w:rsid w:val="008757BD"/>
    <w:rsid w:val="00882210"/>
    <w:rsid w:val="00887EEB"/>
    <w:rsid w:val="00893A9C"/>
    <w:rsid w:val="00893C15"/>
    <w:rsid w:val="008A1AD8"/>
    <w:rsid w:val="008A3104"/>
    <w:rsid w:val="008D0955"/>
    <w:rsid w:val="008D2FB6"/>
    <w:rsid w:val="008E0ED5"/>
    <w:rsid w:val="008E36F0"/>
    <w:rsid w:val="008F2ACD"/>
    <w:rsid w:val="008F364A"/>
    <w:rsid w:val="00904E5E"/>
    <w:rsid w:val="00907492"/>
    <w:rsid w:val="0093677F"/>
    <w:rsid w:val="00950F4A"/>
    <w:rsid w:val="00950FA6"/>
    <w:rsid w:val="0095228A"/>
    <w:rsid w:val="00953B63"/>
    <w:rsid w:val="009542F2"/>
    <w:rsid w:val="00954DC2"/>
    <w:rsid w:val="00996C51"/>
    <w:rsid w:val="009A2428"/>
    <w:rsid w:val="009A2C1B"/>
    <w:rsid w:val="009B77AF"/>
    <w:rsid w:val="009C3ACF"/>
    <w:rsid w:val="009D1618"/>
    <w:rsid w:val="009F0E98"/>
    <w:rsid w:val="00A00FEB"/>
    <w:rsid w:val="00A12875"/>
    <w:rsid w:val="00A25B13"/>
    <w:rsid w:val="00A26979"/>
    <w:rsid w:val="00A34B32"/>
    <w:rsid w:val="00A4063D"/>
    <w:rsid w:val="00A427B1"/>
    <w:rsid w:val="00A449F2"/>
    <w:rsid w:val="00A62FEE"/>
    <w:rsid w:val="00A65E08"/>
    <w:rsid w:val="00A756B4"/>
    <w:rsid w:val="00A8271F"/>
    <w:rsid w:val="00AA0AE4"/>
    <w:rsid w:val="00AA3C27"/>
    <w:rsid w:val="00AA6B06"/>
    <w:rsid w:val="00AB77FF"/>
    <w:rsid w:val="00AC5BB3"/>
    <w:rsid w:val="00AE1C2E"/>
    <w:rsid w:val="00AE7BAC"/>
    <w:rsid w:val="00AE7E65"/>
    <w:rsid w:val="00AF38CF"/>
    <w:rsid w:val="00AF5327"/>
    <w:rsid w:val="00B15536"/>
    <w:rsid w:val="00B17667"/>
    <w:rsid w:val="00B25D48"/>
    <w:rsid w:val="00B26AFE"/>
    <w:rsid w:val="00B27D59"/>
    <w:rsid w:val="00B313BD"/>
    <w:rsid w:val="00B323E7"/>
    <w:rsid w:val="00B367AC"/>
    <w:rsid w:val="00B451C3"/>
    <w:rsid w:val="00B65B03"/>
    <w:rsid w:val="00B71E57"/>
    <w:rsid w:val="00B82A13"/>
    <w:rsid w:val="00BB0501"/>
    <w:rsid w:val="00BB483F"/>
    <w:rsid w:val="00BC2160"/>
    <w:rsid w:val="00BD1289"/>
    <w:rsid w:val="00BD31B6"/>
    <w:rsid w:val="00BD7DAF"/>
    <w:rsid w:val="00BE1C8F"/>
    <w:rsid w:val="00BE2FA2"/>
    <w:rsid w:val="00BE6F85"/>
    <w:rsid w:val="00BF09C1"/>
    <w:rsid w:val="00BF1A06"/>
    <w:rsid w:val="00C02B72"/>
    <w:rsid w:val="00C1429C"/>
    <w:rsid w:val="00C30F2F"/>
    <w:rsid w:val="00C40A6B"/>
    <w:rsid w:val="00C47029"/>
    <w:rsid w:val="00C47211"/>
    <w:rsid w:val="00C477EB"/>
    <w:rsid w:val="00C551F8"/>
    <w:rsid w:val="00C617FC"/>
    <w:rsid w:val="00C7371F"/>
    <w:rsid w:val="00C92E57"/>
    <w:rsid w:val="00C96021"/>
    <w:rsid w:val="00CA5121"/>
    <w:rsid w:val="00CC7EE5"/>
    <w:rsid w:val="00CD39A0"/>
    <w:rsid w:val="00CD58FC"/>
    <w:rsid w:val="00D04536"/>
    <w:rsid w:val="00D26AB1"/>
    <w:rsid w:val="00D2716D"/>
    <w:rsid w:val="00D3496C"/>
    <w:rsid w:val="00D361D4"/>
    <w:rsid w:val="00D4370F"/>
    <w:rsid w:val="00D57AC7"/>
    <w:rsid w:val="00D63F55"/>
    <w:rsid w:val="00D67052"/>
    <w:rsid w:val="00D90C7D"/>
    <w:rsid w:val="00DB2A53"/>
    <w:rsid w:val="00DB348F"/>
    <w:rsid w:val="00DC223B"/>
    <w:rsid w:val="00DC384E"/>
    <w:rsid w:val="00DD3A24"/>
    <w:rsid w:val="00DE3438"/>
    <w:rsid w:val="00DF3EE2"/>
    <w:rsid w:val="00DF7D37"/>
    <w:rsid w:val="00E002CB"/>
    <w:rsid w:val="00E01CAD"/>
    <w:rsid w:val="00E06061"/>
    <w:rsid w:val="00E14E3D"/>
    <w:rsid w:val="00E21494"/>
    <w:rsid w:val="00E22228"/>
    <w:rsid w:val="00E22DB7"/>
    <w:rsid w:val="00E247C2"/>
    <w:rsid w:val="00E25C04"/>
    <w:rsid w:val="00E311DC"/>
    <w:rsid w:val="00E37703"/>
    <w:rsid w:val="00E44A1C"/>
    <w:rsid w:val="00E50F09"/>
    <w:rsid w:val="00E51293"/>
    <w:rsid w:val="00E55CDF"/>
    <w:rsid w:val="00E625E6"/>
    <w:rsid w:val="00E679EE"/>
    <w:rsid w:val="00E8465A"/>
    <w:rsid w:val="00E85342"/>
    <w:rsid w:val="00EB4A92"/>
    <w:rsid w:val="00EC2D0A"/>
    <w:rsid w:val="00EC57E1"/>
    <w:rsid w:val="00ED0038"/>
    <w:rsid w:val="00ED3C2E"/>
    <w:rsid w:val="00EE4728"/>
    <w:rsid w:val="00EE7DAB"/>
    <w:rsid w:val="00EF53A0"/>
    <w:rsid w:val="00F01378"/>
    <w:rsid w:val="00F050F0"/>
    <w:rsid w:val="00F10DAB"/>
    <w:rsid w:val="00F12661"/>
    <w:rsid w:val="00F1760F"/>
    <w:rsid w:val="00F257C5"/>
    <w:rsid w:val="00F2699D"/>
    <w:rsid w:val="00F32BA4"/>
    <w:rsid w:val="00F3537E"/>
    <w:rsid w:val="00F40471"/>
    <w:rsid w:val="00F44D2D"/>
    <w:rsid w:val="00F47DB9"/>
    <w:rsid w:val="00F47E0D"/>
    <w:rsid w:val="00F50962"/>
    <w:rsid w:val="00F55CD4"/>
    <w:rsid w:val="00F7072E"/>
    <w:rsid w:val="00F72BD0"/>
    <w:rsid w:val="00F7585F"/>
    <w:rsid w:val="00F853BE"/>
    <w:rsid w:val="00F903C2"/>
    <w:rsid w:val="00F91BDB"/>
    <w:rsid w:val="00F933A4"/>
    <w:rsid w:val="00F943C5"/>
    <w:rsid w:val="00F95FC5"/>
    <w:rsid w:val="00FA19D7"/>
    <w:rsid w:val="00FA7F32"/>
    <w:rsid w:val="00FB0AFC"/>
    <w:rsid w:val="00FB32B0"/>
    <w:rsid w:val="00FB3369"/>
    <w:rsid w:val="00FB3A36"/>
    <w:rsid w:val="00FC1957"/>
    <w:rsid w:val="00FC709D"/>
    <w:rsid w:val="00FD388C"/>
    <w:rsid w:val="00FE73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rsid w:val="00E06061"/>
    <w:pPr>
      <w:numPr>
        <w:numId w:val="18"/>
      </w:numPr>
      <w:spacing w:before="120" w:after="120" w:line="240" w:lineRule="auto"/>
      <w:jc w:val="both"/>
    </w:pPr>
  </w:style>
  <w:style w:type="paragraph" w:customStyle="1" w:styleId="Citationenretrait">
    <w:name w:val="Citation en retrait"/>
    <w:basedOn w:val="Normal"/>
    <w:link w:val="CitationenretraitCar"/>
    <w:qFormat/>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rsid w:val="00447A05"/>
    <w:pPr>
      <w:ind w:left="-108"/>
    </w:pPr>
    <w:rPr>
      <w:rFonts w:eastAsiaTheme="minorHAnsi" w:cs="Arial"/>
      <w:szCs w:val="24"/>
    </w:rPr>
  </w:style>
  <w:style w:type="paragraph" w:customStyle="1" w:styleId="zSoquijlblProvince">
    <w:name w:val="zSoquij_lblProvince"/>
    <w:basedOn w:val="Normal"/>
    <w:rsid w:val="00447A05"/>
    <w:pPr>
      <w:ind w:left="-108"/>
    </w:pPr>
    <w:rPr>
      <w:rFonts w:eastAsiaTheme="minorHAnsi" w:cs="Arial"/>
      <w:szCs w:val="24"/>
    </w:rPr>
  </w:style>
  <w:style w:type="paragraph" w:customStyle="1" w:styleId="zSoquijlblGreffe">
    <w:name w:val="zSoquij_lblGreffe"/>
    <w:basedOn w:val="Normal"/>
    <w:rsid w:val="00F933A4"/>
    <w:pPr>
      <w:ind w:left="-108"/>
    </w:pPr>
    <w:rPr>
      <w:rFonts w:eastAsiaTheme="minorHAnsi" w:cs="Arial"/>
      <w:szCs w:val="24"/>
    </w:rPr>
  </w:style>
  <w:style w:type="paragraph" w:customStyle="1" w:styleId="zSoquijdatGreffe">
    <w:name w:val="zSoquij_datGreffe"/>
    <w:basedOn w:val="Normal"/>
    <w:rsid w:val="00F95FC5"/>
    <w:pPr>
      <w:ind w:left="-108"/>
    </w:pPr>
    <w:rPr>
      <w:rFonts w:eastAsiaTheme="minorHAnsi" w:cs="Arial"/>
      <w:szCs w:val="24"/>
    </w:r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rsid w:val="00392DCA"/>
    <w:rPr>
      <w:rFonts w:eastAsiaTheme="minorHAnsi" w:cs="Arial"/>
      <w:szCs w:val="24"/>
    </w:rPr>
  </w:style>
  <w:style w:type="paragraph" w:customStyle="1" w:styleId="zSoquijdatNoDossier">
    <w:name w:val="zSoquij_datNoDossier"/>
    <w:basedOn w:val="Normal"/>
    <w:rsid w:val="00160465"/>
    <w:pPr>
      <w:ind w:left="-108"/>
    </w:pPr>
    <w:rPr>
      <w:rFonts w:eastAsiaTheme="minorHAnsi" w:cs="Arial"/>
      <w:szCs w:val="24"/>
    </w:rPr>
  </w:style>
  <w:style w:type="paragraph" w:customStyle="1" w:styleId="zSoquijdatNoDossierAnt">
    <w:name w:val="zSoquij_datNoDossierAnt"/>
    <w:basedOn w:val="Normal"/>
    <w:rsid w:val="00160465"/>
    <w:pPr>
      <w:ind w:left="-108"/>
    </w:pPr>
    <w:rPr>
      <w:rFonts w:eastAsiaTheme="minorHAnsi" w:cs="Arial"/>
      <w:szCs w:val="24"/>
    </w:rPr>
  </w:style>
  <w:style w:type="paragraph" w:customStyle="1" w:styleId="zSoquijdatDateJugement">
    <w:name w:val="zSoquij_datDateJugement"/>
    <w:basedOn w:val="Normal"/>
    <w:rsid w:val="00160465"/>
    <w:pPr>
      <w:ind w:left="-108"/>
    </w:pPr>
    <w:rPr>
      <w:rFonts w:eastAsiaTheme="minorHAnsi" w:cs="Arial"/>
      <w:szCs w:val="24"/>
    </w:rPr>
  </w:style>
  <w:style w:type="paragraph" w:customStyle="1" w:styleId="zSoquijlblDateJugement">
    <w:name w:val="zSoquij_lblDateJugement"/>
    <w:basedOn w:val="Normal"/>
  </w:style>
  <w:style w:type="paragraph" w:customStyle="1" w:styleId="zSoquijlblJuge">
    <w:name w:val="zSoquij_lblJuge"/>
    <w:basedOn w:val="Normal"/>
    <w:rsid w:val="00DC384E"/>
    <w:pPr>
      <w:ind w:left="-108"/>
    </w:pPr>
    <w:rPr>
      <w:rFonts w:eastAsiaTheme="minorHAnsi" w:cs="Arial"/>
      <w:szCs w:val="24"/>
    </w:rPr>
  </w:style>
  <w:style w:type="paragraph" w:customStyle="1" w:styleId="zSoquijdatQteJuge">
    <w:name w:val="zSoquij_datQteJuge"/>
    <w:basedOn w:val="Normal"/>
    <w:rsid w:val="00FB0AFC"/>
    <w:rPr>
      <w:rFonts w:eastAsiaTheme="minorHAnsi" w:cs="Arial"/>
      <w:szCs w:val="24"/>
    </w:rPr>
  </w:style>
  <w:style w:type="paragraph" w:customStyle="1" w:styleId="zSoquijdatJuge1">
    <w:name w:val="zSoquij_datJuge_1"/>
    <w:basedOn w:val="Normal"/>
    <w:qFormat/>
    <w:rsid w:val="00FB0AFC"/>
    <w:pPr>
      <w:ind w:left="-103"/>
    </w:pPr>
    <w:rPr>
      <w:rFonts w:eastAsiaTheme="minorHAnsi" w:cs="Arial"/>
      <w:szCs w:val="24"/>
    </w:rPr>
  </w:style>
  <w:style w:type="paragraph" w:customStyle="1" w:styleId="zSoquijdatNomPartieDem">
    <w:name w:val="zSoquij_datNomPartieDem"/>
    <w:basedOn w:val="Normal"/>
    <w:rsid w:val="00F12661"/>
    <w:pPr>
      <w:jc w:val="center"/>
    </w:pPr>
    <w:rPr>
      <w:b/>
      <w:bCs/>
    </w:rPr>
  </w:style>
  <w:style w:type="paragraph" w:customStyle="1" w:styleId="zSoquijdatQtePartieDem">
    <w:name w:val="zSoquij_datQtePartieDem"/>
    <w:basedOn w:val="Normal"/>
    <w:rsid w:val="00FA7F32"/>
    <w:pPr>
      <w:spacing w:before="120" w:after="120" w:line="240" w:lineRule="auto"/>
      <w:jc w:val="center"/>
    </w:pPr>
    <w:rPr>
      <w:rFonts w:cs="Arial"/>
      <w:kern w:val="28"/>
      <w:szCs w:val="24"/>
    </w:rPr>
  </w:style>
  <w:style w:type="paragraph" w:customStyle="1" w:styleId="zSoquijlblLienParties">
    <w:name w:val="zSoquij_lblLienParties"/>
    <w:basedOn w:val="Normal"/>
  </w:style>
  <w:style w:type="paragraph" w:customStyle="1" w:styleId="zSoquijdatNomPartieDef">
    <w:name w:val="zSoquij_datNomPartieDef"/>
    <w:basedOn w:val="Normal"/>
    <w:rsid w:val="007519EA"/>
    <w:pPr>
      <w:jc w:val="center"/>
    </w:pPr>
    <w:rPr>
      <w:b/>
      <w:bCs/>
    </w:rPr>
  </w:style>
  <w:style w:type="paragraph" w:customStyle="1" w:styleId="zSoquijdatQtePartieDef">
    <w:name w:val="zSoquij_datQtePartieDef"/>
    <w:basedOn w:val="Normal"/>
    <w:rsid w:val="00FA7F32"/>
    <w:pPr>
      <w:spacing w:before="120" w:after="120" w:line="240" w:lineRule="auto"/>
      <w:jc w:val="center"/>
    </w:pPr>
    <w:rPr>
      <w:rFonts w:cs="Arial"/>
      <w:kern w:val="28"/>
      <w:szCs w:val="24"/>
    </w:r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rsid w:val="00C551F8"/>
    <w:pPr>
      <w:spacing w:before="40" w:after="40" w:line="240" w:lineRule="auto"/>
      <w:jc w:val="center"/>
    </w:pPr>
    <w:rPr>
      <w:rFonts w:cs="Arial"/>
      <w:kern w:val="28"/>
      <w:szCs w:val="24"/>
    </w:rPr>
  </w:style>
  <w:style w:type="paragraph" w:customStyle="1" w:styleId="zSoquijlblProcureurDef">
    <w:name w:val="zSoquij_lblProcureurDef"/>
    <w:basedOn w:val="Normal"/>
    <w:rsid w:val="00C551F8"/>
    <w:pPr>
      <w:spacing w:before="40" w:after="40" w:line="240" w:lineRule="auto"/>
      <w:jc w:val="center"/>
    </w:pPr>
    <w:rPr>
      <w:rFonts w:cs="Arial"/>
      <w:kern w:val="28"/>
      <w:szCs w:val="24"/>
    </w:rPr>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rsid w:val="00F12661"/>
    <w:pPr>
      <w:keepNext/>
    </w:pPr>
  </w:style>
  <w:style w:type="paragraph" w:customStyle="1" w:styleId="zSoquijdatNomProcureurDef">
    <w:name w:val="zSoquij_datNomProcureurDef"/>
    <w:basedOn w:val="zSoquijlblProcureurDef"/>
    <w:rsid w:val="002E7403"/>
    <w:pPr>
      <w:keepNext/>
    </w:pPr>
  </w:style>
  <w:style w:type="paragraph" w:customStyle="1" w:styleId="zSoquijdatCabinetProcureurDem">
    <w:name w:val="zSoquij_datCabinetProcureurDem"/>
    <w:basedOn w:val="Normal"/>
    <w:rsid w:val="00F12661"/>
    <w:pPr>
      <w:keepNext/>
      <w:jc w:val="center"/>
    </w:pPr>
    <w:rPr>
      <w:lang w:val="es-ES"/>
    </w:rPr>
  </w:style>
  <w:style w:type="paragraph" w:customStyle="1" w:styleId="zSoquijdatCabinetProcureurDef">
    <w:name w:val="zSoquij_datCabinetProcureurDef"/>
    <w:basedOn w:val="zSoquijlblProcureurDef"/>
    <w:rsid w:val="002E7403"/>
    <w:pPr>
      <w:keepNext/>
    </w:pPr>
    <w:rPr>
      <w:lang w:val="es-ES"/>
    </w:r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link w:val="TableaudroiteanglaisCar"/>
    <w:pPr>
      <w:ind w:left="144" w:right="720"/>
      <w:jc w:val="both"/>
    </w:pPr>
    <w:rPr>
      <w:lang w:val="en-CA"/>
    </w:rPr>
  </w:style>
  <w:style w:type="paragraph" w:customStyle="1" w:styleId="Tableaugauchefranais">
    <w:name w:val="Tableau gauche français"/>
    <w:basedOn w:val="Normal"/>
    <w:link w:val="TableaugauchefranaisCar"/>
    <w:pPr>
      <w:ind w:left="720" w:right="144"/>
    </w:pPr>
    <w:rPr>
      <w:sz w:val="22"/>
    </w:rPr>
  </w:style>
  <w:style w:type="character" w:styleId="Appelnotedebasdep">
    <w:name w:val="footnote reference"/>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character" w:customStyle="1" w:styleId="NotedebasdepageCar">
    <w:name w:val="Note de bas de page Car"/>
    <w:basedOn w:val="Policepardfaut"/>
    <w:link w:val="Notedebasdepage"/>
    <w:rsid w:val="00FB3A36"/>
    <w:rPr>
      <w:rFonts w:ascii="Arial" w:hAnsi="Arial"/>
      <w:lang w:eastAsia="fr-FR"/>
    </w:rPr>
  </w:style>
  <w:style w:type="character" w:customStyle="1" w:styleId="ParagrapheCar">
    <w:name w:val="Paragraphe Car"/>
    <w:link w:val="Paragraphe"/>
    <w:qFormat/>
    <w:rsid w:val="00E06061"/>
    <w:rPr>
      <w:rFonts w:ascii="Arial" w:hAnsi="Arial"/>
      <w:sz w:val="24"/>
      <w:lang w:eastAsia="fr-FR"/>
    </w:rPr>
  </w:style>
  <w:style w:type="paragraph" w:styleId="Textedebulles">
    <w:name w:val="Balloon Text"/>
    <w:basedOn w:val="Normal"/>
    <w:link w:val="TextedebullesCar"/>
    <w:uiPriority w:val="99"/>
    <w:semiHidden/>
    <w:unhideWhenUsed/>
    <w:rsid w:val="00082F0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2F0A"/>
    <w:rPr>
      <w:rFonts w:ascii="Segoe UI" w:hAnsi="Segoe UI" w:cs="Segoe UI"/>
      <w:sz w:val="18"/>
      <w:szCs w:val="18"/>
      <w:lang w:eastAsia="fr-FR"/>
    </w:rPr>
  </w:style>
  <w:style w:type="character" w:styleId="Lienhypertexte">
    <w:name w:val="Hyperlink"/>
    <w:uiPriority w:val="99"/>
    <w:rsid w:val="00711DD5"/>
    <w:rPr>
      <w:noProof w:val="0"/>
      <w:color w:val="0000FF"/>
      <w:u w:val="single"/>
      <w:lang w:val="fr-CA"/>
    </w:rPr>
  </w:style>
  <w:style w:type="character" w:customStyle="1" w:styleId="TableaugauchefranaisCar">
    <w:name w:val="Tableau gauche français Car"/>
    <w:link w:val="Tableaugauchefranais"/>
    <w:rsid w:val="00711DD5"/>
    <w:rPr>
      <w:rFonts w:ascii="Arial" w:hAnsi="Arial"/>
      <w:sz w:val="22"/>
      <w:lang w:eastAsia="fr-FR"/>
    </w:rPr>
  </w:style>
  <w:style w:type="character" w:customStyle="1" w:styleId="TableaudroiteanglaisCar">
    <w:name w:val="Tableau droite anglais Car"/>
    <w:link w:val="Tableaudroiteanglais"/>
    <w:rsid w:val="00711DD5"/>
    <w:rPr>
      <w:rFonts w:ascii="Arial" w:hAnsi="Arial"/>
      <w:sz w:val="22"/>
      <w:lang w:val="en-CA" w:eastAsia="fr-FR"/>
    </w:rPr>
  </w:style>
  <w:style w:type="character" w:customStyle="1" w:styleId="CitationenretraitCar">
    <w:name w:val="Citation en retrait Car"/>
    <w:link w:val="Citationenretrait"/>
    <w:rsid w:val="00711DD5"/>
    <w:rPr>
      <w:rFonts w:ascii="Arial" w:hAnsi="Arial"/>
      <w:kern w:val="24"/>
      <w:sz w:val="22"/>
      <w:lang w:eastAsia="fr-FR"/>
    </w:rPr>
  </w:style>
  <w:style w:type="character" w:styleId="Marquedecommentaire">
    <w:name w:val="annotation reference"/>
    <w:basedOn w:val="Policepardfaut"/>
    <w:uiPriority w:val="99"/>
    <w:semiHidden/>
    <w:unhideWhenUsed/>
    <w:rsid w:val="00711DD5"/>
    <w:rPr>
      <w:sz w:val="16"/>
      <w:szCs w:val="16"/>
    </w:rPr>
  </w:style>
  <w:style w:type="paragraph" w:styleId="Commentaire">
    <w:name w:val="annotation text"/>
    <w:basedOn w:val="Normal"/>
    <w:link w:val="CommentaireCar"/>
    <w:uiPriority w:val="99"/>
    <w:semiHidden/>
    <w:unhideWhenUsed/>
    <w:rsid w:val="00711DD5"/>
    <w:pPr>
      <w:spacing w:line="240" w:lineRule="auto"/>
    </w:pPr>
    <w:rPr>
      <w:sz w:val="20"/>
    </w:rPr>
  </w:style>
  <w:style w:type="character" w:customStyle="1" w:styleId="CommentaireCar">
    <w:name w:val="Commentaire Car"/>
    <w:basedOn w:val="Policepardfaut"/>
    <w:link w:val="Commentaire"/>
    <w:uiPriority w:val="99"/>
    <w:semiHidden/>
    <w:rsid w:val="00711DD5"/>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711DD5"/>
    <w:rPr>
      <w:b/>
      <w:bCs/>
    </w:rPr>
  </w:style>
  <w:style w:type="character" w:customStyle="1" w:styleId="ObjetducommentaireCar">
    <w:name w:val="Objet du commentaire Car"/>
    <w:basedOn w:val="CommentaireCar"/>
    <w:link w:val="Objetducommentaire"/>
    <w:uiPriority w:val="99"/>
    <w:semiHidden/>
    <w:rsid w:val="00711DD5"/>
    <w:rPr>
      <w:rFonts w:ascii="Arial" w:hAnsi="Arial"/>
      <w:b/>
      <w:bCs/>
      <w:lang w:eastAsia="fr-FR"/>
    </w:rPr>
  </w:style>
  <w:style w:type="table" w:styleId="Grilledutableau">
    <w:name w:val="Table Grid"/>
    <w:basedOn w:val="TableauNormal"/>
    <w:uiPriority w:val="39"/>
    <w:rsid w:val="002C1B95"/>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009B2"/>
    <w:rPr>
      <w:color w:val="808080"/>
    </w:rPr>
  </w:style>
  <w:style w:type="table" w:customStyle="1" w:styleId="Grilledutableau1">
    <w:name w:val="Grille du tableau1"/>
    <w:basedOn w:val="TableauNormal"/>
    <w:next w:val="Grilledutableau"/>
    <w:uiPriority w:val="39"/>
    <w:rsid w:val="00887EEB"/>
    <w:rPr>
      <w:rFonts w:ascii="Arial" w:hAnsi="Arial"/>
      <w:sz w:val="24"/>
    </w:rPr>
    <w:tblPr>
      <w:tblBorders>
        <w:top w:val="single" w:sz="4" w:space="0" w:color="auto"/>
        <w:bottom w:val="single" w:sz="4" w:space="0" w:color="auto"/>
      </w:tblBorders>
    </w:tblPr>
  </w:style>
  <w:style w:type="paragraph" w:customStyle="1" w:styleId="zSoquijdatNomPartieMec">
    <w:name w:val="zSoquij_datNomPartieMec"/>
    <w:basedOn w:val="Normal"/>
    <w:qFormat/>
    <w:rsid w:val="002E7403"/>
    <w:pPr>
      <w:spacing w:line="240" w:lineRule="auto"/>
      <w:jc w:val="center"/>
    </w:pPr>
    <w:rPr>
      <w:b/>
      <w:bCs/>
    </w:rPr>
  </w:style>
  <w:style w:type="paragraph" w:customStyle="1" w:styleId="zSoquijdatNomProcureurMec">
    <w:name w:val="zSoquij_datNomProcureurMec"/>
    <w:basedOn w:val="Normal"/>
    <w:qFormat/>
    <w:rsid w:val="00F3537E"/>
    <w:pPr>
      <w:spacing w:line="240" w:lineRule="auto"/>
      <w:jc w:val="center"/>
    </w:pPr>
  </w:style>
  <w:style w:type="paragraph" w:customStyle="1" w:styleId="zSoquijdatCabinetProcureurMec">
    <w:name w:val="zSoquij_datCabinetProcureurMec"/>
    <w:basedOn w:val="Normal"/>
    <w:qFormat/>
    <w:rsid w:val="00F3537E"/>
    <w:pPr>
      <w:spacing w:line="240" w:lineRule="auto"/>
      <w:jc w:val="center"/>
    </w:pPr>
    <w:rPr>
      <w:lang w:val="es-ES"/>
    </w:rPr>
  </w:style>
  <w:style w:type="paragraph" w:customStyle="1" w:styleId="zSoquijdatJuge2">
    <w:name w:val="zSoquij_datJuge_2"/>
    <w:basedOn w:val="zSoquijdatJuge1"/>
    <w:qFormat/>
    <w:rsid w:val="00836D3E"/>
  </w:style>
  <w:style w:type="paragraph" w:customStyle="1" w:styleId="zSoquijdatJuge3">
    <w:name w:val="zSoquij_datJuge_3"/>
    <w:basedOn w:val="zSoquijdatJuge1"/>
    <w:qFormat/>
    <w:rsid w:val="00836D3E"/>
  </w:style>
  <w:style w:type="paragraph" w:customStyle="1" w:styleId="zSoquijdatQtePartieMec">
    <w:name w:val="zSoquij_datQtePartieMec"/>
    <w:basedOn w:val="zSoquijdatQtePartieDem"/>
    <w:qFormat/>
    <w:rsid w:val="00C551F8"/>
  </w:style>
  <w:style w:type="paragraph" w:customStyle="1" w:styleId="zSoquijlblProcureurMec">
    <w:name w:val="zSoquij_lblProcureurMec"/>
    <w:basedOn w:val="zSoquijlblProcureurDef"/>
    <w:qFormat/>
    <w:rsid w:val="00C55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rsid w:val="00E06061"/>
    <w:pPr>
      <w:numPr>
        <w:numId w:val="18"/>
      </w:numPr>
      <w:spacing w:before="120" w:after="120" w:line="240" w:lineRule="auto"/>
      <w:jc w:val="both"/>
    </w:pPr>
  </w:style>
  <w:style w:type="paragraph" w:customStyle="1" w:styleId="Citationenretrait">
    <w:name w:val="Citation en retrait"/>
    <w:basedOn w:val="Normal"/>
    <w:link w:val="CitationenretraitCar"/>
    <w:qFormat/>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rsid w:val="00447A05"/>
    <w:pPr>
      <w:ind w:left="-108"/>
    </w:pPr>
    <w:rPr>
      <w:rFonts w:eastAsiaTheme="minorHAnsi" w:cs="Arial"/>
      <w:szCs w:val="24"/>
    </w:rPr>
  </w:style>
  <w:style w:type="paragraph" w:customStyle="1" w:styleId="zSoquijlblProvince">
    <w:name w:val="zSoquij_lblProvince"/>
    <w:basedOn w:val="Normal"/>
    <w:rsid w:val="00447A05"/>
    <w:pPr>
      <w:ind w:left="-108"/>
    </w:pPr>
    <w:rPr>
      <w:rFonts w:eastAsiaTheme="minorHAnsi" w:cs="Arial"/>
      <w:szCs w:val="24"/>
    </w:rPr>
  </w:style>
  <w:style w:type="paragraph" w:customStyle="1" w:styleId="zSoquijlblGreffe">
    <w:name w:val="zSoquij_lblGreffe"/>
    <w:basedOn w:val="Normal"/>
    <w:rsid w:val="00F933A4"/>
    <w:pPr>
      <w:ind w:left="-108"/>
    </w:pPr>
    <w:rPr>
      <w:rFonts w:eastAsiaTheme="minorHAnsi" w:cs="Arial"/>
      <w:szCs w:val="24"/>
    </w:rPr>
  </w:style>
  <w:style w:type="paragraph" w:customStyle="1" w:styleId="zSoquijdatGreffe">
    <w:name w:val="zSoquij_datGreffe"/>
    <w:basedOn w:val="Normal"/>
    <w:rsid w:val="00F95FC5"/>
    <w:pPr>
      <w:ind w:left="-108"/>
    </w:pPr>
    <w:rPr>
      <w:rFonts w:eastAsiaTheme="minorHAnsi" w:cs="Arial"/>
      <w:szCs w:val="24"/>
    </w:r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rsid w:val="00392DCA"/>
    <w:rPr>
      <w:rFonts w:eastAsiaTheme="minorHAnsi" w:cs="Arial"/>
      <w:szCs w:val="24"/>
    </w:rPr>
  </w:style>
  <w:style w:type="paragraph" w:customStyle="1" w:styleId="zSoquijdatNoDossier">
    <w:name w:val="zSoquij_datNoDossier"/>
    <w:basedOn w:val="Normal"/>
    <w:rsid w:val="00160465"/>
    <w:pPr>
      <w:ind w:left="-108"/>
    </w:pPr>
    <w:rPr>
      <w:rFonts w:eastAsiaTheme="minorHAnsi" w:cs="Arial"/>
      <w:szCs w:val="24"/>
    </w:rPr>
  </w:style>
  <w:style w:type="paragraph" w:customStyle="1" w:styleId="zSoquijdatNoDossierAnt">
    <w:name w:val="zSoquij_datNoDossierAnt"/>
    <w:basedOn w:val="Normal"/>
    <w:rsid w:val="00160465"/>
    <w:pPr>
      <w:ind w:left="-108"/>
    </w:pPr>
    <w:rPr>
      <w:rFonts w:eastAsiaTheme="minorHAnsi" w:cs="Arial"/>
      <w:szCs w:val="24"/>
    </w:rPr>
  </w:style>
  <w:style w:type="paragraph" w:customStyle="1" w:styleId="zSoquijdatDateJugement">
    <w:name w:val="zSoquij_datDateJugement"/>
    <w:basedOn w:val="Normal"/>
    <w:rsid w:val="00160465"/>
    <w:pPr>
      <w:ind w:left="-108"/>
    </w:pPr>
    <w:rPr>
      <w:rFonts w:eastAsiaTheme="minorHAnsi" w:cs="Arial"/>
      <w:szCs w:val="24"/>
    </w:rPr>
  </w:style>
  <w:style w:type="paragraph" w:customStyle="1" w:styleId="zSoquijlblDateJugement">
    <w:name w:val="zSoquij_lblDateJugement"/>
    <w:basedOn w:val="Normal"/>
  </w:style>
  <w:style w:type="paragraph" w:customStyle="1" w:styleId="zSoquijlblJuge">
    <w:name w:val="zSoquij_lblJuge"/>
    <w:basedOn w:val="Normal"/>
    <w:rsid w:val="00DC384E"/>
    <w:pPr>
      <w:ind w:left="-108"/>
    </w:pPr>
    <w:rPr>
      <w:rFonts w:eastAsiaTheme="minorHAnsi" w:cs="Arial"/>
      <w:szCs w:val="24"/>
    </w:rPr>
  </w:style>
  <w:style w:type="paragraph" w:customStyle="1" w:styleId="zSoquijdatQteJuge">
    <w:name w:val="zSoquij_datQteJuge"/>
    <w:basedOn w:val="Normal"/>
    <w:rsid w:val="00FB0AFC"/>
    <w:rPr>
      <w:rFonts w:eastAsiaTheme="minorHAnsi" w:cs="Arial"/>
      <w:szCs w:val="24"/>
    </w:rPr>
  </w:style>
  <w:style w:type="paragraph" w:customStyle="1" w:styleId="zSoquijdatJuge1">
    <w:name w:val="zSoquij_datJuge_1"/>
    <w:basedOn w:val="Normal"/>
    <w:qFormat/>
    <w:rsid w:val="00FB0AFC"/>
    <w:pPr>
      <w:ind w:left="-103"/>
    </w:pPr>
    <w:rPr>
      <w:rFonts w:eastAsiaTheme="minorHAnsi" w:cs="Arial"/>
      <w:szCs w:val="24"/>
    </w:rPr>
  </w:style>
  <w:style w:type="paragraph" w:customStyle="1" w:styleId="zSoquijdatNomPartieDem">
    <w:name w:val="zSoquij_datNomPartieDem"/>
    <w:basedOn w:val="Normal"/>
    <w:rsid w:val="00F12661"/>
    <w:pPr>
      <w:jc w:val="center"/>
    </w:pPr>
    <w:rPr>
      <w:b/>
      <w:bCs/>
    </w:rPr>
  </w:style>
  <w:style w:type="paragraph" w:customStyle="1" w:styleId="zSoquijdatQtePartieDem">
    <w:name w:val="zSoquij_datQtePartieDem"/>
    <w:basedOn w:val="Normal"/>
    <w:rsid w:val="00FA7F32"/>
    <w:pPr>
      <w:spacing w:before="120" w:after="120" w:line="240" w:lineRule="auto"/>
      <w:jc w:val="center"/>
    </w:pPr>
    <w:rPr>
      <w:rFonts w:cs="Arial"/>
      <w:kern w:val="28"/>
      <w:szCs w:val="24"/>
    </w:rPr>
  </w:style>
  <w:style w:type="paragraph" w:customStyle="1" w:styleId="zSoquijlblLienParties">
    <w:name w:val="zSoquij_lblLienParties"/>
    <w:basedOn w:val="Normal"/>
  </w:style>
  <w:style w:type="paragraph" w:customStyle="1" w:styleId="zSoquijdatNomPartieDef">
    <w:name w:val="zSoquij_datNomPartieDef"/>
    <w:basedOn w:val="Normal"/>
    <w:rsid w:val="007519EA"/>
    <w:pPr>
      <w:jc w:val="center"/>
    </w:pPr>
    <w:rPr>
      <w:b/>
      <w:bCs/>
    </w:rPr>
  </w:style>
  <w:style w:type="paragraph" w:customStyle="1" w:styleId="zSoquijdatQtePartieDef">
    <w:name w:val="zSoquij_datQtePartieDef"/>
    <w:basedOn w:val="Normal"/>
    <w:rsid w:val="00FA7F32"/>
    <w:pPr>
      <w:spacing w:before="120" w:after="120" w:line="240" w:lineRule="auto"/>
      <w:jc w:val="center"/>
    </w:pPr>
    <w:rPr>
      <w:rFonts w:cs="Arial"/>
      <w:kern w:val="28"/>
      <w:szCs w:val="24"/>
    </w:r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rsid w:val="00C551F8"/>
    <w:pPr>
      <w:spacing w:before="40" w:after="40" w:line="240" w:lineRule="auto"/>
      <w:jc w:val="center"/>
    </w:pPr>
    <w:rPr>
      <w:rFonts w:cs="Arial"/>
      <w:kern w:val="28"/>
      <w:szCs w:val="24"/>
    </w:rPr>
  </w:style>
  <w:style w:type="paragraph" w:customStyle="1" w:styleId="zSoquijlblProcureurDef">
    <w:name w:val="zSoquij_lblProcureurDef"/>
    <w:basedOn w:val="Normal"/>
    <w:rsid w:val="00C551F8"/>
    <w:pPr>
      <w:spacing w:before="40" w:after="40" w:line="240" w:lineRule="auto"/>
      <w:jc w:val="center"/>
    </w:pPr>
    <w:rPr>
      <w:rFonts w:cs="Arial"/>
      <w:kern w:val="28"/>
      <w:szCs w:val="24"/>
    </w:rPr>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rsid w:val="00F12661"/>
    <w:pPr>
      <w:keepNext/>
    </w:pPr>
  </w:style>
  <w:style w:type="paragraph" w:customStyle="1" w:styleId="zSoquijdatNomProcureurDef">
    <w:name w:val="zSoquij_datNomProcureurDef"/>
    <w:basedOn w:val="zSoquijlblProcureurDef"/>
    <w:rsid w:val="002E7403"/>
    <w:pPr>
      <w:keepNext/>
    </w:pPr>
  </w:style>
  <w:style w:type="paragraph" w:customStyle="1" w:styleId="zSoquijdatCabinetProcureurDem">
    <w:name w:val="zSoquij_datCabinetProcureurDem"/>
    <w:basedOn w:val="Normal"/>
    <w:rsid w:val="00F12661"/>
    <w:pPr>
      <w:keepNext/>
      <w:jc w:val="center"/>
    </w:pPr>
    <w:rPr>
      <w:lang w:val="es-ES"/>
    </w:rPr>
  </w:style>
  <w:style w:type="paragraph" w:customStyle="1" w:styleId="zSoquijdatCabinetProcureurDef">
    <w:name w:val="zSoquij_datCabinetProcureurDef"/>
    <w:basedOn w:val="zSoquijlblProcureurDef"/>
    <w:rsid w:val="002E7403"/>
    <w:pPr>
      <w:keepNext/>
    </w:pPr>
    <w:rPr>
      <w:lang w:val="es-ES"/>
    </w:r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link w:val="TableaudroiteanglaisCar"/>
    <w:pPr>
      <w:ind w:left="144" w:right="720"/>
      <w:jc w:val="both"/>
    </w:pPr>
    <w:rPr>
      <w:lang w:val="en-CA"/>
    </w:rPr>
  </w:style>
  <w:style w:type="paragraph" w:customStyle="1" w:styleId="Tableaugauchefranais">
    <w:name w:val="Tableau gauche français"/>
    <w:basedOn w:val="Normal"/>
    <w:link w:val="TableaugauchefranaisCar"/>
    <w:pPr>
      <w:ind w:left="720" w:right="144"/>
    </w:pPr>
    <w:rPr>
      <w:sz w:val="22"/>
    </w:rPr>
  </w:style>
  <w:style w:type="character" w:styleId="Appelnotedebasdep">
    <w:name w:val="footnote reference"/>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character" w:customStyle="1" w:styleId="NotedebasdepageCar">
    <w:name w:val="Note de bas de page Car"/>
    <w:basedOn w:val="Policepardfaut"/>
    <w:link w:val="Notedebasdepage"/>
    <w:rsid w:val="00FB3A36"/>
    <w:rPr>
      <w:rFonts w:ascii="Arial" w:hAnsi="Arial"/>
      <w:lang w:eastAsia="fr-FR"/>
    </w:rPr>
  </w:style>
  <w:style w:type="character" w:customStyle="1" w:styleId="ParagrapheCar">
    <w:name w:val="Paragraphe Car"/>
    <w:link w:val="Paragraphe"/>
    <w:qFormat/>
    <w:rsid w:val="00E06061"/>
    <w:rPr>
      <w:rFonts w:ascii="Arial" w:hAnsi="Arial"/>
      <w:sz w:val="24"/>
      <w:lang w:eastAsia="fr-FR"/>
    </w:rPr>
  </w:style>
  <w:style w:type="paragraph" w:styleId="Textedebulles">
    <w:name w:val="Balloon Text"/>
    <w:basedOn w:val="Normal"/>
    <w:link w:val="TextedebullesCar"/>
    <w:uiPriority w:val="99"/>
    <w:semiHidden/>
    <w:unhideWhenUsed/>
    <w:rsid w:val="00082F0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2F0A"/>
    <w:rPr>
      <w:rFonts w:ascii="Segoe UI" w:hAnsi="Segoe UI" w:cs="Segoe UI"/>
      <w:sz w:val="18"/>
      <w:szCs w:val="18"/>
      <w:lang w:eastAsia="fr-FR"/>
    </w:rPr>
  </w:style>
  <w:style w:type="character" w:styleId="Lienhypertexte">
    <w:name w:val="Hyperlink"/>
    <w:uiPriority w:val="99"/>
    <w:rsid w:val="00711DD5"/>
    <w:rPr>
      <w:noProof w:val="0"/>
      <w:color w:val="0000FF"/>
      <w:u w:val="single"/>
      <w:lang w:val="fr-CA"/>
    </w:rPr>
  </w:style>
  <w:style w:type="character" w:customStyle="1" w:styleId="TableaugauchefranaisCar">
    <w:name w:val="Tableau gauche français Car"/>
    <w:link w:val="Tableaugauchefranais"/>
    <w:rsid w:val="00711DD5"/>
    <w:rPr>
      <w:rFonts w:ascii="Arial" w:hAnsi="Arial"/>
      <w:sz w:val="22"/>
      <w:lang w:eastAsia="fr-FR"/>
    </w:rPr>
  </w:style>
  <w:style w:type="character" w:customStyle="1" w:styleId="TableaudroiteanglaisCar">
    <w:name w:val="Tableau droite anglais Car"/>
    <w:link w:val="Tableaudroiteanglais"/>
    <w:rsid w:val="00711DD5"/>
    <w:rPr>
      <w:rFonts w:ascii="Arial" w:hAnsi="Arial"/>
      <w:sz w:val="22"/>
      <w:lang w:val="en-CA" w:eastAsia="fr-FR"/>
    </w:rPr>
  </w:style>
  <w:style w:type="character" w:customStyle="1" w:styleId="CitationenretraitCar">
    <w:name w:val="Citation en retrait Car"/>
    <w:link w:val="Citationenretrait"/>
    <w:rsid w:val="00711DD5"/>
    <w:rPr>
      <w:rFonts w:ascii="Arial" w:hAnsi="Arial"/>
      <w:kern w:val="24"/>
      <w:sz w:val="22"/>
      <w:lang w:eastAsia="fr-FR"/>
    </w:rPr>
  </w:style>
  <w:style w:type="character" w:styleId="Marquedecommentaire">
    <w:name w:val="annotation reference"/>
    <w:basedOn w:val="Policepardfaut"/>
    <w:uiPriority w:val="99"/>
    <w:semiHidden/>
    <w:unhideWhenUsed/>
    <w:rsid w:val="00711DD5"/>
    <w:rPr>
      <w:sz w:val="16"/>
      <w:szCs w:val="16"/>
    </w:rPr>
  </w:style>
  <w:style w:type="paragraph" w:styleId="Commentaire">
    <w:name w:val="annotation text"/>
    <w:basedOn w:val="Normal"/>
    <w:link w:val="CommentaireCar"/>
    <w:uiPriority w:val="99"/>
    <w:semiHidden/>
    <w:unhideWhenUsed/>
    <w:rsid w:val="00711DD5"/>
    <w:pPr>
      <w:spacing w:line="240" w:lineRule="auto"/>
    </w:pPr>
    <w:rPr>
      <w:sz w:val="20"/>
    </w:rPr>
  </w:style>
  <w:style w:type="character" w:customStyle="1" w:styleId="CommentaireCar">
    <w:name w:val="Commentaire Car"/>
    <w:basedOn w:val="Policepardfaut"/>
    <w:link w:val="Commentaire"/>
    <w:uiPriority w:val="99"/>
    <w:semiHidden/>
    <w:rsid w:val="00711DD5"/>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711DD5"/>
    <w:rPr>
      <w:b/>
      <w:bCs/>
    </w:rPr>
  </w:style>
  <w:style w:type="character" w:customStyle="1" w:styleId="ObjetducommentaireCar">
    <w:name w:val="Objet du commentaire Car"/>
    <w:basedOn w:val="CommentaireCar"/>
    <w:link w:val="Objetducommentaire"/>
    <w:uiPriority w:val="99"/>
    <w:semiHidden/>
    <w:rsid w:val="00711DD5"/>
    <w:rPr>
      <w:rFonts w:ascii="Arial" w:hAnsi="Arial"/>
      <w:b/>
      <w:bCs/>
      <w:lang w:eastAsia="fr-FR"/>
    </w:rPr>
  </w:style>
  <w:style w:type="table" w:styleId="Grilledutableau">
    <w:name w:val="Table Grid"/>
    <w:basedOn w:val="TableauNormal"/>
    <w:uiPriority w:val="39"/>
    <w:rsid w:val="002C1B95"/>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009B2"/>
    <w:rPr>
      <w:color w:val="808080"/>
    </w:rPr>
  </w:style>
  <w:style w:type="table" w:customStyle="1" w:styleId="Grilledutableau1">
    <w:name w:val="Grille du tableau1"/>
    <w:basedOn w:val="TableauNormal"/>
    <w:next w:val="Grilledutableau"/>
    <w:uiPriority w:val="39"/>
    <w:rsid w:val="00887EEB"/>
    <w:rPr>
      <w:rFonts w:ascii="Arial" w:hAnsi="Arial"/>
      <w:sz w:val="24"/>
    </w:rPr>
    <w:tblPr>
      <w:tblBorders>
        <w:top w:val="single" w:sz="4" w:space="0" w:color="auto"/>
        <w:bottom w:val="single" w:sz="4" w:space="0" w:color="auto"/>
      </w:tblBorders>
    </w:tblPr>
  </w:style>
  <w:style w:type="paragraph" w:customStyle="1" w:styleId="zSoquijdatNomPartieMec">
    <w:name w:val="zSoquij_datNomPartieMec"/>
    <w:basedOn w:val="Normal"/>
    <w:qFormat/>
    <w:rsid w:val="002E7403"/>
    <w:pPr>
      <w:spacing w:line="240" w:lineRule="auto"/>
      <w:jc w:val="center"/>
    </w:pPr>
    <w:rPr>
      <w:b/>
      <w:bCs/>
    </w:rPr>
  </w:style>
  <w:style w:type="paragraph" w:customStyle="1" w:styleId="zSoquijdatNomProcureurMec">
    <w:name w:val="zSoquij_datNomProcureurMec"/>
    <w:basedOn w:val="Normal"/>
    <w:qFormat/>
    <w:rsid w:val="00F3537E"/>
    <w:pPr>
      <w:spacing w:line="240" w:lineRule="auto"/>
      <w:jc w:val="center"/>
    </w:pPr>
  </w:style>
  <w:style w:type="paragraph" w:customStyle="1" w:styleId="zSoquijdatCabinetProcureurMec">
    <w:name w:val="zSoquij_datCabinetProcureurMec"/>
    <w:basedOn w:val="Normal"/>
    <w:qFormat/>
    <w:rsid w:val="00F3537E"/>
    <w:pPr>
      <w:spacing w:line="240" w:lineRule="auto"/>
      <w:jc w:val="center"/>
    </w:pPr>
    <w:rPr>
      <w:lang w:val="es-ES"/>
    </w:rPr>
  </w:style>
  <w:style w:type="paragraph" w:customStyle="1" w:styleId="zSoquijdatJuge2">
    <w:name w:val="zSoquij_datJuge_2"/>
    <w:basedOn w:val="zSoquijdatJuge1"/>
    <w:qFormat/>
    <w:rsid w:val="00836D3E"/>
  </w:style>
  <w:style w:type="paragraph" w:customStyle="1" w:styleId="zSoquijdatJuge3">
    <w:name w:val="zSoquij_datJuge_3"/>
    <w:basedOn w:val="zSoquijdatJuge1"/>
    <w:qFormat/>
    <w:rsid w:val="00836D3E"/>
  </w:style>
  <w:style w:type="paragraph" w:customStyle="1" w:styleId="zSoquijdatQtePartieMec">
    <w:name w:val="zSoquij_datQtePartieMec"/>
    <w:basedOn w:val="zSoquijdatQtePartieDem"/>
    <w:qFormat/>
    <w:rsid w:val="00C551F8"/>
  </w:style>
  <w:style w:type="paragraph" w:customStyle="1" w:styleId="zSoquijlblProcureurMec">
    <w:name w:val="zSoquij_lblProcureurMec"/>
    <w:basedOn w:val="zSoquijlblProcureurDef"/>
    <w:qFormat/>
    <w:rsid w:val="00C55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0462DD9F6D4DC4910B5C88414FEF2F"/>
        <w:category>
          <w:name w:val="Général"/>
          <w:gallery w:val="placeholder"/>
        </w:category>
        <w:types>
          <w:type w:val="bbPlcHdr"/>
        </w:types>
        <w:behaviors>
          <w:behavior w:val="content"/>
        </w:behaviors>
        <w:guid w:val="{046E8D99-F2C8-4A24-B929-CF539184E301}"/>
      </w:docPartPr>
      <w:docPartBody>
        <w:p w:rsidR="004D10FD" w:rsidRDefault="00406D2D" w:rsidP="004D10FD">
          <w:pPr>
            <w:pStyle w:val="140462DD9F6D4DC4910B5C88414FEF2F"/>
          </w:pPr>
          <w:r w:rsidRPr="003B65F2">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85"/>
    <w:rsid w:val="00406D2D"/>
    <w:rsid w:val="004361DD"/>
    <w:rsid w:val="0044060A"/>
    <w:rsid w:val="004D10FD"/>
    <w:rsid w:val="004D585A"/>
    <w:rsid w:val="0060721E"/>
    <w:rsid w:val="009B5F85"/>
    <w:rsid w:val="00CB62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10FD"/>
    <w:rPr>
      <w:color w:val="808080"/>
    </w:rPr>
  </w:style>
  <w:style w:type="paragraph" w:customStyle="1" w:styleId="978BC50EE2744F50AD6DF766FEED783D">
    <w:name w:val="978BC50EE2744F50AD6DF766FEED783D"/>
    <w:rsid w:val="009B5F85"/>
  </w:style>
  <w:style w:type="paragraph" w:customStyle="1" w:styleId="0763AB162A2541BD8913CD9A2879646B">
    <w:name w:val="0763AB162A2541BD8913CD9A2879646B"/>
    <w:rsid w:val="004D585A"/>
  </w:style>
  <w:style w:type="paragraph" w:customStyle="1" w:styleId="791531C74B13492D8F7AF4F595610D15">
    <w:name w:val="791531C74B13492D8F7AF4F595610D15"/>
    <w:rsid w:val="00CB62A6"/>
    <w:pPr>
      <w:spacing w:after="0" w:line="280" w:lineRule="exact"/>
    </w:pPr>
    <w:rPr>
      <w:rFonts w:ascii="Arial" w:eastAsia="Times New Roman" w:hAnsi="Arial" w:cs="Times New Roman"/>
      <w:sz w:val="24"/>
      <w:szCs w:val="20"/>
      <w:lang w:eastAsia="fr-FR"/>
    </w:rPr>
  </w:style>
  <w:style w:type="paragraph" w:customStyle="1" w:styleId="1E6D7211909B4157BD49D679B1B85F23">
    <w:name w:val="1E6D7211909B4157BD49D679B1B85F23"/>
    <w:rsid w:val="004D10FD"/>
    <w:pPr>
      <w:spacing w:after="0" w:line="280" w:lineRule="exact"/>
    </w:pPr>
    <w:rPr>
      <w:rFonts w:ascii="Arial" w:eastAsia="Times New Roman" w:hAnsi="Arial" w:cs="Times New Roman"/>
      <w:sz w:val="24"/>
      <w:szCs w:val="20"/>
      <w:lang w:eastAsia="fr-FR"/>
    </w:rPr>
  </w:style>
  <w:style w:type="paragraph" w:customStyle="1" w:styleId="140462DD9F6D4DC4910B5C88414FEF2F">
    <w:name w:val="140462DD9F6D4DC4910B5C88414FEF2F"/>
    <w:rsid w:val="004D10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10FD"/>
    <w:rPr>
      <w:color w:val="808080"/>
    </w:rPr>
  </w:style>
  <w:style w:type="paragraph" w:customStyle="1" w:styleId="978BC50EE2744F50AD6DF766FEED783D">
    <w:name w:val="978BC50EE2744F50AD6DF766FEED783D"/>
    <w:rsid w:val="009B5F85"/>
  </w:style>
  <w:style w:type="paragraph" w:customStyle="1" w:styleId="0763AB162A2541BD8913CD9A2879646B">
    <w:name w:val="0763AB162A2541BD8913CD9A2879646B"/>
    <w:rsid w:val="004D585A"/>
  </w:style>
  <w:style w:type="paragraph" w:customStyle="1" w:styleId="791531C74B13492D8F7AF4F595610D15">
    <w:name w:val="791531C74B13492D8F7AF4F595610D15"/>
    <w:rsid w:val="00CB62A6"/>
    <w:pPr>
      <w:spacing w:after="0" w:line="280" w:lineRule="exact"/>
    </w:pPr>
    <w:rPr>
      <w:rFonts w:ascii="Arial" w:eastAsia="Times New Roman" w:hAnsi="Arial" w:cs="Times New Roman"/>
      <w:sz w:val="24"/>
      <w:szCs w:val="20"/>
      <w:lang w:eastAsia="fr-FR"/>
    </w:rPr>
  </w:style>
  <w:style w:type="paragraph" w:customStyle="1" w:styleId="1E6D7211909B4157BD49D679B1B85F23">
    <w:name w:val="1E6D7211909B4157BD49D679B1B85F23"/>
    <w:rsid w:val="004D10FD"/>
    <w:pPr>
      <w:spacing w:after="0" w:line="280" w:lineRule="exact"/>
    </w:pPr>
    <w:rPr>
      <w:rFonts w:ascii="Arial" w:eastAsia="Times New Roman" w:hAnsi="Arial" w:cs="Times New Roman"/>
      <w:sz w:val="24"/>
      <w:szCs w:val="20"/>
      <w:lang w:eastAsia="fr-FR"/>
    </w:rPr>
  </w:style>
  <w:style w:type="paragraph" w:customStyle="1" w:styleId="140462DD9F6D4DC4910B5C88414FEF2F">
    <w:name w:val="140462DD9F6D4DC4910B5C88414FEF2F"/>
    <w:rsid w:val="004D1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6E5C38BEB7D47B481EFAA9500C527" ma:contentTypeVersion="3" ma:contentTypeDescription="Crée un document." ma:contentTypeScope="" ma:versionID="cfe173ba16a03b619cb81f0fc45f2e75">
  <xsd:schema xmlns:xsd="http://www.w3.org/2001/XMLSchema" xmlns:xs="http://www.w3.org/2001/XMLSchema" xmlns:p="http://schemas.microsoft.com/office/2006/metadata/properties" xmlns:ns1="http://schemas.microsoft.com/sharepoint/v3" xmlns:ns2="ddd9db8a-241d-4149-a0d3-7618663a9260" targetNamespace="http://schemas.microsoft.com/office/2006/metadata/properties" ma:root="true" ma:fieldsID="2db7a610f5d53e3816f1ccaec44c3812" ns1:_="" ns2:_="">
    <xsd:import namespace="http://schemas.microsoft.com/sharepoint/v3"/>
    <xsd:import namespace="ddd9db8a-241d-4149-a0d3-7618663a9260"/>
    <xsd:element name="properties">
      <xsd:complexType>
        <xsd:sequence>
          <xsd:element name="documentManagement">
            <xsd:complexType>
              <xsd:all>
                <xsd:element ref="ns1:PublishingStartDate" minOccurs="0"/>
                <xsd:element ref="ns1:PublishingExpirationDate" minOccurs="0"/>
                <xsd:element ref="ns2:Auteur_x0020_du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internalName="PublishingStartDate">
      <xsd:simpleType>
        <xsd:restriction base="dms:Unknown"/>
      </xsd:simpleType>
    </xsd:element>
    <xsd:element name="PublishingExpirationDate" ma:index="9" nillable="true" ma:displayName="Date de fin de planification"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9db8a-241d-4149-a0d3-7618663a9260" elementFormDefault="qualified">
    <xsd:import namespace="http://schemas.microsoft.com/office/2006/documentManagement/types"/>
    <xsd:import namespace="http://schemas.microsoft.com/office/infopath/2007/PartnerControls"/>
    <xsd:element name="Auteur_x0020_du_x0020_document" ma:index="10" nillable="true" ma:displayName="Auteur du document" ma:description="Auteur principal" ma:internalName="Auteur_x0020_du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eur_x0020_du_x0020_document xmlns="ddd9db8a-241d-4149-a0d3-7618663a9260"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EDD-E97B-4675-83A4-85D97A49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d9db8a-241d-4149-a0d3-7618663a9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256C5-2120-47CD-9705-4C0C5831D503}">
  <ds:schemaRefs>
    <ds:schemaRef ds:uri="http://schemas.microsoft.com/sharepoint/v3/contenttype/forms"/>
  </ds:schemaRefs>
</ds:datastoreItem>
</file>

<file path=customXml/itemProps3.xml><?xml version="1.0" encoding="utf-8"?>
<ds:datastoreItem xmlns:ds="http://schemas.openxmlformats.org/officeDocument/2006/customXml" ds:itemID="{3519E368-B3E8-45DA-B27D-C302E8E1726C}">
  <ds:schemaRefs>
    <ds:schemaRef ds:uri="http://schemas.microsoft.com/office/2006/metadata/properties"/>
    <ds:schemaRef ds:uri="http://purl.org/dc/terms/"/>
    <ds:schemaRef ds:uri="http://schemas.microsoft.com/sharepoint/v3"/>
    <ds:schemaRef ds:uri="http://schemas.microsoft.com/office/2006/documentManagement/types"/>
    <ds:schemaRef ds:uri="ddd9db8a-241d-4149-a0d3-7618663a9260"/>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9E301ED-7362-4FD6-B61E-870E4526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2530</Words>
  <Characters>13918</Characters>
  <Application>Microsoft Office Word</Application>
  <DocSecurity>0</DocSecurity>
  <Lines>115</Lines>
  <Paragraphs>32</Paragraphs>
  <ScaleCrop>false</ScaleCrop>
  <Company/>
  <LinksUpToDate>false</LinksUpToDate>
  <CharactersWithSpaces>16416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SOQUIJ</cp:lastModifiedBy>
  <cp:revision>1</cp:revision>
  <dcterms:created xsi:type="dcterms:W3CDTF">2020-10-15T13:11:00Z</dcterms:created>
  <dcterms:modified xsi:type="dcterms:W3CDTF">2020-10-15T18:35:00Z</dcterms:modified>
</cp:coreProperties>
</file>