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43B4AA58" w14:textId="77777777">
        <w:trPr>
          <w:cantSplit/>
        </w:trPr>
        <w:tc>
          <w:tcPr>
            <w:tcW w:w="4795" w:type="dxa"/>
          </w:tcPr>
          <w:p w14:paraId="57ABA000" w14:textId="5BD493A9" w:rsidR="008A7FD1" w:rsidRPr="00D90D56" w:rsidRDefault="00D90D56" w:rsidP="00D90D56">
            <w:pPr>
              <w:pStyle w:val="zSoquijdatRepertorie"/>
              <w:rPr>
                <w:rFonts w:cs="Arial"/>
              </w:rPr>
            </w:pPr>
            <w:bookmarkStart w:id="0" w:name="_GoBack"/>
            <w:bookmarkEnd w:id="0"/>
            <w:r>
              <w:rPr>
                <w:rFonts w:cs="Arial"/>
              </w:rPr>
              <w:t>Services d'entretien Bee-Clean et Bessette</w:t>
            </w:r>
          </w:p>
        </w:tc>
        <w:tc>
          <w:tcPr>
            <w:tcW w:w="2477" w:type="dxa"/>
          </w:tcPr>
          <w:p w14:paraId="6E2605AD" w14:textId="194E31EB" w:rsidR="008A7FD1" w:rsidRPr="00F74131" w:rsidRDefault="00F74131" w:rsidP="00F74131">
            <w:pPr>
              <w:pStyle w:val="zSoquijdatRefNeutre"/>
              <w:rPr>
                <w:rFonts w:cs="Arial"/>
              </w:rPr>
            </w:pPr>
            <w:r w:rsidRPr="00F74131">
              <w:rPr>
                <w:rFonts w:cs="Arial"/>
              </w:rPr>
              <w:t>2024 QCTAT 3080</w:t>
            </w:r>
          </w:p>
        </w:tc>
      </w:tr>
    </w:tbl>
    <w:p w14:paraId="04F7CC69" w14:textId="77777777" w:rsidR="008A7FD1" w:rsidRDefault="008A7FD1"/>
    <w:tbl>
      <w:tblPr>
        <w:tblW w:w="9568" w:type="dxa"/>
        <w:tblLayout w:type="fixed"/>
        <w:tblCellMar>
          <w:left w:w="70" w:type="dxa"/>
          <w:right w:w="70" w:type="dxa"/>
        </w:tblCellMar>
        <w:tblLook w:val="0000" w:firstRow="0" w:lastRow="0" w:firstColumn="0" w:lastColumn="0" w:noHBand="0" w:noVBand="0"/>
      </w:tblPr>
      <w:tblGrid>
        <w:gridCol w:w="3331"/>
        <w:gridCol w:w="1559"/>
        <w:gridCol w:w="993"/>
        <w:gridCol w:w="3685"/>
      </w:tblGrid>
      <w:tr w:rsidR="00C74B6F" w14:paraId="3A7FB487" w14:textId="77777777" w:rsidTr="00036794">
        <w:trPr>
          <w:cantSplit/>
        </w:trPr>
        <w:tc>
          <w:tcPr>
            <w:tcW w:w="9568" w:type="dxa"/>
            <w:gridSpan w:val="4"/>
          </w:tcPr>
          <w:p w14:paraId="316994D6" w14:textId="77777777" w:rsidR="00C74B6F" w:rsidRPr="00BE1981" w:rsidRDefault="00C74B6F">
            <w:pPr>
              <w:rPr>
                <w:szCs w:val="24"/>
              </w:rPr>
            </w:pPr>
          </w:p>
        </w:tc>
      </w:tr>
      <w:tr w:rsidR="00C74B6F" w14:paraId="6008B6A5" w14:textId="77777777" w:rsidTr="00036794">
        <w:trPr>
          <w:cantSplit/>
        </w:trPr>
        <w:tc>
          <w:tcPr>
            <w:tcW w:w="9568" w:type="dxa"/>
            <w:gridSpan w:val="4"/>
            <w:vAlign w:val="center"/>
          </w:tcPr>
          <w:p w14:paraId="503D7044" w14:textId="77777777" w:rsidR="00C74B6F" w:rsidRPr="000E1320" w:rsidRDefault="000E1320">
            <w:pPr>
              <w:jc w:val="center"/>
              <w:rPr>
                <w:sz w:val="36"/>
                <w:szCs w:val="36"/>
              </w:rPr>
            </w:pPr>
            <w:r w:rsidRPr="000E1320">
              <w:rPr>
                <w:b/>
                <w:sz w:val="36"/>
                <w:szCs w:val="36"/>
              </w:rPr>
              <w:t>TRIBUNAL ADMINISTRATIF DU TRAVAIL</w:t>
            </w:r>
          </w:p>
        </w:tc>
      </w:tr>
      <w:tr w:rsidR="00C74B6F" w14:paraId="2CCF20B3" w14:textId="77777777" w:rsidTr="00036794">
        <w:trPr>
          <w:cantSplit/>
        </w:trPr>
        <w:tc>
          <w:tcPr>
            <w:tcW w:w="9568" w:type="dxa"/>
            <w:gridSpan w:val="4"/>
          </w:tcPr>
          <w:p w14:paraId="4953BEE5" w14:textId="2D275F96" w:rsidR="00C74B6F" w:rsidRPr="00BE7014" w:rsidRDefault="006F0154" w:rsidP="009A67E7">
            <w:pPr>
              <w:pStyle w:val="zSoquijdatDivision"/>
            </w:pPr>
            <w:r w:rsidRPr="00BE7014">
              <w:t>(</w:t>
            </w:r>
            <w:r w:rsidR="00112B86" w:rsidRPr="00441ADA">
              <w:t>Division de la santé et de la sécurité du travail</w:t>
            </w:r>
            <w:r w:rsidRPr="00BE7014">
              <w:t>)</w:t>
            </w:r>
          </w:p>
        </w:tc>
      </w:tr>
      <w:tr w:rsidR="00C74B6F" w14:paraId="50B6C7FD" w14:textId="77777777" w:rsidTr="00036794">
        <w:trPr>
          <w:cantSplit/>
        </w:trPr>
        <w:tc>
          <w:tcPr>
            <w:tcW w:w="9568" w:type="dxa"/>
            <w:gridSpan w:val="4"/>
          </w:tcPr>
          <w:p w14:paraId="21262DC6" w14:textId="77777777" w:rsidR="002B2FC3" w:rsidRDefault="002B2FC3" w:rsidP="002B2FC3"/>
        </w:tc>
      </w:tr>
      <w:tr w:rsidR="00A84FC6" w14:paraId="523E27CA" w14:textId="77777777" w:rsidTr="00036794">
        <w:trPr>
          <w:cantSplit/>
        </w:trPr>
        <w:tc>
          <w:tcPr>
            <w:tcW w:w="9568" w:type="dxa"/>
            <w:gridSpan w:val="4"/>
          </w:tcPr>
          <w:p w14:paraId="0F23248E" w14:textId="77777777" w:rsidR="00A84FC6" w:rsidRDefault="00A84FC6" w:rsidP="002B2FC3"/>
        </w:tc>
      </w:tr>
      <w:tr w:rsidR="00C74B6F" w14:paraId="57B769D3" w14:textId="77777777" w:rsidTr="00036794">
        <w:tc>
          <w:tcPr>
            <w:tcW w:w="3331" w:type="dxa"/>
          </w:tcPr>
          <w:p w14:paraId="35893FCF" w14:textId="77777777" w:rsidR="00C74B6F" w:rsidRDefault="0084255F">
            <w:bookmarkStart w:id="1" w:name="region" w:colFirst="1" w:colLast="1"/>
            <w:r>
              <w:t>Région :</w:t>
            </w:r>
          </w:p>
        </w:tc>
        <w:tc>
          <w:tcPr>
            <w:tcW w:w="6237" w:type="dxa"/>
            <w:gridSpan w:val="3"/>
          </w:tcPr>
          <w:p w14:paraId="6D61B05A" w14:textId="1906D3E0" w:rsidR="00C74B6F" w:rsidRDefault="00112B86" w:rsidP="00F4095A">
            <w:pPr>
              <w:pStyle w:val="zSoquijdatGreffe"/>
            </w:pPr>
            <w:r>
              <w:t>Montréal</w:t>
            </w:r>
          </w:p>
        </w:tc>
      </w:tr>
      <w:bookmarkEnd w:id="1"/>
      <w:tr w:rsidR="00C74B6F" w14:paraId="3497A5AF" w14:textId="77777777" w:rsidTr="00036794">
        <w:trPr>
          <w:cantSplit/>
        </w:trPr>
        <w:tc>
          <w:tcPr>
            <w:tcW w:w="9568" w:type="dxa"/>
            <w:gridSpan w:val="4"/>
          </w:tcPr>
          <w:p w14:paraId="3263AAAE" w14:textId="77777777" w:rsidR="00C74B6F" w:rsidRDefault="00C74B6F"/>
        </w:tc>
      </w:tr>
      <w:tr w:rsidR="00C74B6F" w14:paraId="2559A583" w14:textId="77777777" w:rsidTr="00036794">
        <w:tc>
          <w:tcPr>
            <w:tcW w:w="3331" w:type="dxa"/>
          </w:tcPr>
          <w:p w14:paraId="38BC0790" w14:textId="675F2ED3" w:rsidR="00C74B6F" w:rsidRDefault="0084255F">
            <w:bookmarkStart w:id="2" w:name="ref_dossier" w:colFirst="1" w:colLast="1"/>
            <w:r>
              <w:t>Dossier</w:t>
            </w:r>
            <w:bookmarkStart w:id="3" w:name="dossiers"/>
            <w:bookmarkEnd w:id="3"/>
            <w:r>
              <w:t> :</w:t>
            </w:r>
          </w:p>
        </w:tc>
        <w:tc>
          <w:tcPr>
            <w:tcW w:w="6237" w:type="dxa"/>
            <w:gridSpan w:val="3"/>
          </w:tcPr>
          <w:p w14:paraId="207AE2C0" w14:textId="20426343" w:rsidR="00C74B6F" w:rsidRDefault="00112B86" w:rsidP="00F4095A">
            <w:pPr>
              <w:pStyle w:val="zSoquijdatNoDossier"/>
            </w:pPr>
            <w:r w:rsidRPr="00112B86">
              <w:t>1267137-71-2202</w:t>
            </w:r>
          </w:p>
        </w:tc>
      </w:tr>
      <w:bookmarkEnd w:id="2"/>
      <w:tr w:rsidR="00C74B6F" w14:paraId="603DE4BC" w14:textId="77777777" w:rsidTr="00036794">
        <w:trPr>
          <w:cantSplit/>
        </w:trPr>
        <w:tc>
          <w:tcPr>
            <w:tcW w:w="9568" w:type="dxa"/>
            <w:gridSpan w:val="4"/>
          </w:tcPr>
          <w:p w14:paraId="7B2F4A2F" w14:textId="77777777" w:rsidR="00C74B6F" w:rsidRDefault="00D44BCF">
            <w:r>
              <w:fldChar w:fldCharType="begin"/>
            </w:r>
            <w:r>
              <w:instrText xml:space="preserve"> AUTOTEXTLIST  \* Upper  \* MERGEFORMAT </w:instrText>
            </w:r>
            <w:r>
              <w:fldChar w:fldCharType="end"/>
            </w:r>
          </w:p>
        </w:tc>
      </w:tr>
      <w:tr w:rsidR="00C74B6F" w14:paraId="749208C2" w14:textId="77777777" w:rsidTr="00036794">
        <w:tc>
          <w:tcPr>
            <w:tcW w:w="3331" w:type="dxa"/>
          </w:tcPr>
          <w:p w14:paraId="417CDD48" w14:textId="73D43088" w:rsidR="00C74B6F" w:rsidRDefault="008C79A7" w:rsidP="0045114F">
            <w:pPr>
              <w:ind w:right="46"/>
            </w:pPr>
            <w:r>
              <w:t>Dossier</w:t>
            </w:r>
            <w:r w:rsidR="00112B86">
              <w:t xml:space="preserve"> CNESST :</w:t>
            </w:r>
          </w:p>
        </w:tc>
        <w:tc>
          <w:tcPr>
            <w:tcW w:w="6237" w:type="dxa"/>
            <w:gridSpan w:val="3"/>
          </w:tcPr>
          <w:p w14:paraId="6E41FCF4" w14:textId="3A15BC26" w:rsidR="00C74B6F" w:rsidRDefault="00112B86" w:rsidP="004D6CEA">
            <w:pPr>
              <w:pStyle w:val="zSoquijdatNCSST"/>
            </w:pPr>
            <w:r w:rsidRPr="00112B86">
              <w:t>505762336</w:t>
            </w:r>
          </w:p>
        </w:tc>
      </w:tr>
      <w:tr w:rsidR="00C74B6F" w14:paraId="074CAFB8" w14:textId="77777777" w:rsidTr="00036794">
        <w:trPr>
          <w:cantSplit/>
        </w:trPr>
        <w:tc>
          <w:tcPr>
            <w:tcW w:w="9568" w:type="dxa"/>
            <w:gridSpan w:val="4"/>
          </w:tcPr>
          <w:p w14:paraId="2166FEE1" w14:textId="77777777" w:rsidR="00C74B6F" w:rsidRDefault="00C74B6F"/>
        </w:tc>
      </w:tr>
      <w:tr w:rsidR="00C74B6F" w14:paraId="2B312D75" w14:textId="77777777" w:rsidTr="00036794">
        <w:trPr>
          <w:cantSplit/>
        </w:trPr>
        <w:tc>
          <w:tcPr>
            <w:tcW w:w="9568" w:type="dxa"/>
            <w:gridSpan w:val="4"/>
          </w:tcPr>
          <w:p w14:paraId="7A410386" w14:textId="77777777" w:rsidR="00C74B6F" w:rsidRDefault="00C74B6F"/>
        </w:tc>
      </w:tr>
      <w:tr w:rsidR="006E3DD8" w14:paraId="20F43B46" w14:textId="77777777" w:rsidTr="00036794">
        <w:trPr>
          <w:cantSplit/>
        </w:trPr>
        <w:tc>
          <w:tcPr>
            <w:tcW w:w="3331" w:type="dxa"/>
          </w:tcPr>
          <w:p w14:paraId="18A9AC0F" w14:textId="1B77D117" w:rsidR="006E3DD8" w:rsidRDefault="00112B86" w:rsidP="0076350E">
            <w:pPr>
              <w:ind w:right="-70"/>
            </w:pPr>
            <w:r>
              <w:t>Montréal</w:t>
            </w:r>
            <w:r w:rsidR="00C04E32">
              <w:t>,</w:t>
            </w:r>
          </w:p>
        </w:tc>
        <w:tc>
          <w:tcPr>
            <w:tcW w:w="6237" w:type="dxa"/>
            <w:gridSpan w:val="3"/>
          </w:tcPr>
          <w:p w14:paraId="403A8B06" w14:textId="2BD15020" w:rsidR="006E3DD8" w:rsidRDefault="00C04E32" w:rsidP="005B5689">
            <w:pPr>
              <w:pStyle w:val="zSoquijdatDateJugement"/>
            </w:pPr>
            <w:r>
              <w:t xml:space="preserve">le </w:t>
            </w:r>
            <w:r w:rsidR="00112B86">
              <w:t>2</w:t>
            </w:r>
            <w:r w:rsidR="00732747">
              <w:t>6</w:t>
            </w:r>
            <w:r w:rsidR="00112B86">
              <w:t xml:space="preserve"> août 2024</w:t>
            </w:r>
          </w:p>
        </w:tc>
      </w:tr>
      <w:tr w:rsidR="00942AB8" w14:paraId="1C1B0A45" w14:textId="77777777" w:rsidTr="00036794">
        <w:trPr>
          <w:cantSplit/>
        </w:trPr>
        <w:tc>
          <w:tcPr>
            <w:tcW w:w="9568" w:type="dxa"/>
            <w:gridSpan w:val="4"/>
          </w:tcPr>
          <w:p w14:paraId="5492BAF4" w14:textId="77777777" w:rsidR="00942AB8" w:rsidRDefault="00942AB8" w:rsidP="00FA153F">
            <w:r>
              <w:t>______________________________________________________________________</w:t>
            </w:r>
          </w:p>
        </w:tc>
      </w:tr>
      <w:tr w:rsidR="00942AB8" w14:paraId="5CCCB454" w14:textId="77777777" w:rsidTr="00036794">
        <w:trPr>
          <w:cantSplit/>
          <w:trHeight w:val="148"/>
        </w:trPr>
        <w:tc>
          <w:tcPr>
            <w:tcW w:w="9568" w:type="dxa"/>
            <w:gridSpan w:val="4"/>
          </w:tcPr>
          <w:p w14:paraId="5465B48F" w14:textId="77777777" w:rsidR="00942AB8" w:rsidRDefault="00942AB8" w:rsidP="00FA153F"/>
        </w:tc>
      </w:tr>
      <w:tr w:rsidR="0035375B" w14:paraId="13DC1DAA" w14:textId="77777777" w:rsidTr="00036794">
        <w:trPr>
          <w:cantSplit/>
          <w:trHeight w:val="148"/>
        </w:trPr>
        <w:tc>
          <w:tcPr>
            <w:tcW w:w="5883" w:type="dxa"/>
            <w:gridSpan w:val="3"/>
          </w:tcPr>
          <w:p w14:paraId="342EE750" w14:textId="128DDCE0" w:rsidR="0035375B" w:rsidRPr="00942AB8" w:rsidRDefault="0035375B">
            <w:pPr>
              <w:rPr>
                <w:b/>
                <w:bCs/>
              </w:rPr>
            </w:pPr>
            <w:bookmarkStart w:id="4" w:name="ref_commissaire" w:colFirst="1" w:colLast="1"/>
            <w:r w:rsidRPr="00942AB8">
              <w:rPr>
                <w:b/>
                <w:bCs/>
              </w:rPr>
              <w:t>DEVANT L</w:t>
            </w:r>
            <w:r w:rsidR="00112B86">
              <w:rPr>
                <w:b/>
                <w:bCs/>
              </w:rPr>
              <w:t>A</w:t>
            </w:r>
            <w:r w:rsidRPr="00942AB8">
              <w:rPr>
                <w:b/>
                <w:bCs/>
              </w:rPr>
              <w:t xml:space="preserve"> JUGE ADMINISTRATI</w:t>
            </w:r>
            <w:r w:rsidR="00112B86">
              <w:rPr>
                <w:b/>
                <w:bCs/>
              </w:rPr>
              <w:t>VE</w:t>
            </w:r>
            <w:r w:rsidRPr="00942AB8">
              <w:rPr>
                <w:b/>
                <w:bCs/>
              </w:rPr>
              <w:t> :</w:t>
            </w:r>
          </w:p>
        </w:tc>
        <w:tc>
          <w:tcPr>
            <w:tcW w:w="3685" w:type="dxa"/>
          </w:tcPr>
          <w:p w14:paraId="066CB804" w14:textId="510C52DF" w:rsidR="0035375B" w:rsidRPr="00942AB8" w:rsidRDefault="00112B86" w:rsidP="005B5689">
            <w:pPr>
              <w:pStyle w:val="zSoquijdatJuge"/>
              <w:rPr>
                <w:bCs/>
              </w:rPr>
            </w:pPr>
            <w:r>
              <w:t>Virginie Brisebois</w:t>
            </w:r>
          </w:p>
        </w:tc>
      </w:tr>
      <w:bookmarkEnd w:id="4"/>
      <w:tr w:rsidR="00942AB8" w14:paraId="5FD52258" w14:textId="77777777" w:rsidTr="00036794">
        <w:trPr>
          <w:cantSplit/>
          <w:trHeight w:val="148"/>
        </w:trPr>
        <w:tc>
          <w:tcPr>
            <w:tcW w:w="9568" w:type="dxa"/>
            <w:gridSpan w:val="4"/>
          </w:tcPr>
          <w:p w14:paraId="7E6ABCAD" w14:textId="77777777" w:rsidR="00942AB8" w:rsidRDefault="00942AB8" w:rsidP="00FA153F">
            <w:r>
              <w:t>______________________________________________________________________</w:t>
            </w:r>
          </w:p>
        </w:tc>
      </w:tr>
      <w:tr w:rsidR="00942AB8" w14:paraId="4BB89C36" w14:textId="77777777" w:rsidTr="00036794">
        <w:tc>
          <w:tcPr>
            <w:tcW w:w="9568" w:type="dxa"/>
            <w:gridSpan w:val="4"/>
          </w:tcPr>
          <w:p w14:paraId="0E938095" w14:textId="77777777" w:rsidR="00942AB8" w:rsidRDefault="00942AB8"/>
        </w:tc>
      </w:tr>
      <w:tr w:rsidR="00942AB8" w14:paraId="0E742164" w14:textId="77777777" w:rsidTr="00E21768">
        <w:tc>
          <w:tcPr>
            <w:tcW w:w="4890" w:type="dxa"/>
            <w:gridSpan w:val="2"/>
          </w:tcPr>
          <w:p w14:paraId="044D936B" w14:textId="77777777" w:rsidR="00942AB8" w:rsidRDefault="00942AB8">
            <w:bookmarkStart w:id="5" w:name="bloc_parties_gauche"/>
            <w:bookmarkEnd w:id="5"/>
          </w:p>
        </w:tc>
        <w:tc>
          <w:tcPr>
            <w:tcW w:w="4678" w:type="dxa"/>
            <w:gridSpan w:val="2"/>
          </w:tcPr>
          <w:p w14:paraId="2F1D3482" w14:textId="77777777" w:rsidR="00942AB8" w:rsidRDefault="00942AB8"/>
        </w:tc>
      </w:tr>
      <w:tr w:rsidR="00942AB8" w14:paraId="2DD7A0DC" w14:textId="77777777" w:rsidTr="00E21768">
        <w:tc>
          <w:tcPr>
            <w:tcW w:w="4890" w:type="dxa"/>
            <w:gridSpan w:val="2"/>
          </w:tcPr>
          <w:p w14:paraId="1831BBB8" w14:textId="4C59954D" w:rsidR="00942AB8" w:rsidRDefault="00112B86">
            <w:pPr>
              <w:pStyle w:val="zSoquijdatNomPartieDem"/>
              <w:rPr>
                <w:b/>
              </w:rPr>
            </w:pPr>
            <w:r w:rsidRPr="00112B86">
              <w:rPr>
                <w:b/>
              </w:rPr>
              <w:t>Services d'entretien Bee-Clean</w:t>
            </w:r>
          </w:p>
        </w:tc>
        <w:tc>
          <w:tcPr>
            <w:tcW w:w="4678" w:type="dxa"/>
            <w:gridSpan w:val="2"/>
          </w:tcPr>
          <w:p w14:paraId="46FB32C6" w14:textId="77777777" w:rsidR="00942AB8" w:rsidRDefault="00942AB8"/>
        </w:tc>
      </w:tr>
      <w:tr w:rsidR="00942AB8" w14:paraId="47C23A19" w14:textId="77777777" w:rsidTr="00E21768">
        <w:tc>
          <w:tcPr>
            <w:tcW w:w="4890" w:type="dxa"/>
            <w:gridSpan w:val="2"/>
          </w:tcPr>
          <w:p w14:paraId="4442E3F9" w14:textId="5CEA94BA" w:rsidR="00942AB8" w:rsidRDefault="00112B86" w:rsidP="007B0DF2">
            <w:pPr>
              <w:pStyle w:val="zSoquijdatQtePartieDem"/>
              <w:tabs>
                <w:tab w:val="left" w:pos="3539"/>
              </w:tabs>
              <w:ind w:left="708"/>
            </w:pPr>
            <w:bookmarkStart w:id="6" w:name="partie_demanderesse"/>
            <w:bookmarkEnd w:id="6"/>
            <w:r>
              <w:t>Partie demanderesse</w:t>
            </w:r>
          </w:p>
        </w:tc>
        <w:tc>
          <w:tcPr>
            <w:tcW w:w="4678" w:type="dxa"/>
            <w:gridSpan w:val="2"/>
          </w:tcPr>
          <w:p w14:paraId="5530AF4F" w14:textId="77777777" w:rsidR="00942AB8" w:rsidRDefault="00942AB8"/>
        </w:tc>
      </w:tr>
      <w:tr w:rsidR="00942AB8" w14:paraId="04EAE3C1" w14:textId="77777777" w:rsidTr="00E21768">
        <w:tc>
          <w:tcPr>
            <w:tcW w:w="4890" w:type="dxa"/>
            <w:gridSpan w:val="2"/>
          </w:tcPr>
          <w:p w14:paraId="013BA71B" w14:textId="77777777" w:rsidR="00942AB8" w:rsidRDefault="00942AB8" w:rsidP="00E6363B"/>
        </w:tc>
        <w:tc>
          <w:tcPr>
            <w:tcW w:w="4678" w:type="dxa"/>
            <w:gridSpan w:val="2"/>
          </w:tcPr>
          <w:p w14:paraId="68865800" w14:textId="77777777" w:rsidR="00942AB8" w:rsidRDefault="00942AB8"/>
        </w:tc>
      </w:tr>
      <w:tr w:rsidR="00942AB8" w14:paraId="673C7688" w14:textId="77777777" w:rsidTr="00E21768">
        <w:tc>
          <w:tcPr>
            <w:tcW w:w="4890" w:type="dxa"/>
            <w:gridSpan w:val="2"/>
          </w:tcPr>
          <w:p w14:paraId="42300355" w14:textId="59706411" w:rsidR="00942AB8" w:rsidRDefault="00112B86" w:rsidP="00D06652">
            <w:pPr>
              <w:pStyle w:val="zSoquijlblLienParties"/>
            </w:pPr>
            <w:r>
              <w:t>et</w:t>
            </w:r>
          </w:p>
        </w:tc>
        <w:tc>
          <w:tcPr>
            <w:tcW w:w="4678" w:type="dxa"/>
            <w:gridSpan w:val="2"/>
          </w:tcPr>
          <w:p w14:paraId="46FCB1C4" w14:textId="77777777" w:rsidR="00942AB8" w:rsidRDefault="00942AB8"/>
        </w:tc>
      </w:tr>
      <w:tr w:rsidR="00942AB8" w14:paraId="777097D7" w14:textId="77777777" w:rsidTr="00E21768">
        <w:tc>
          <w:tcPr>
            <w:tcW w:w="4890" w:type="dxa"/>
            <w:gridSpan w:val="2"/>
          </w:tcPr>
          <w:p w14:paraId="159C2071" w14:textId="77777777" w:rsidR="00942AB8" w:rsidRDefault="00942AB8"/>
        </w:tc>
        <w:tc>
          <w:tcPr>
            <w:tcW w:w="4678" w:type="dxa"/>
            <w:gridSpan w:val="2"/>
          </w:tcPr>
          <w:p w14:paraId="21954B25" w14:textId="77777777" w:rsidR="00942AB8" w:rsidRDefault="00942AB8"/>
        </w:tc>
      </w:tr>
      <w:tr w:rsidR="00942AB8" w14:paraId="4F94AF59" w14:textId="77777777" w:rsidTr="00E21768">
        <w:tc>
          <w:tcPr>
            <w:tcW w:w="4890" w:type="dxa"/>
            <w:gridSpan w:val="2"/>
          </w:tcPr>
          <w:p w14:paraId="357E054C" w14:textId="616F5C3A" w:rsidR="00942AB8" w:rsidRDefault="00112B86">
            <w:pPr>
              <w:pStyle w:val="zSoquijdatNomPartieDef"/>
              <w:rPr>
                <w:b/>
              </w:rPr>
            </w:pPr>
            <w:r>
              <w:rPr>
                <w:b/>
              </w:rPr>
              <w:t>Luc Bessette</w:t>
            </w:r>
          </w:p>
        </w:tc>
        <w:tc>
          <w:tcPr>
            <w:tcW w:w="4678" w:type="dxa"/>
            <w:gridSpan w:val="2"/>
          </w:tcPr>
          <w:p w14:paraId="3E9E078E" w14:textId="77777777" w:rsidR="00942AB8" w:rsidRDefault="00942AB8"/>
        </w:tc>
      </w:tr>
      <w:tr w:rsidR="00942AB8" w14:paraId="4540F9A3" w14:textId="77777777" w:rsidTr="00E21768">
        <w:tc>
          <w:tcPr>
            <w:tcW w:w="4890" w:type="dxa"/>
            <w:gridSpan w:val="2"/>
          </w:tcPr>
          <w:p w14:paraId="1617BE3B" w14:textId="00C5CFB7" w:rsidR="00942AB8" w:rsidRDefault="00112B86">
            <w:pPr>
              <w:pStyle w:val="zSoquijdatQtePartieDef"/>
              <w:ind w:left="708"/>
            </w:pPr>
            <w:r>
              <w:t>Partie mise en cause</w:t>
            </w:r>
          </w:p>
        </w:tc>
        <w:tc>
          <w:tcPr>
            <w:tcW w:w="4678" w:type="dxa"/>
            <w:gridSpan w:val="2"/>
          </w:tcPr>
          <w:p w14:paraId="27E98932" w14:textId="77777777" w:rsidR="00942AB8" w:rsidRDefault="00942AB8"/>
        </w:tc>
      </w:tr>
      <w:tr w:rsidR="0065093D" w14:paraId="6E3AB4E9" w14:textId="77777777" w:rsidTr="00E21768">
        <w:tc>
          <w:tcPr>
            <w:tcW w:w="4890" w:type="dxa"/>
            <w:gridSpan w:val="2"/>
          </w:tcPr>
          <w:p w14:paraId="68B5BE13" w14:textId="77777777" w:rsidR="0065093D" w:rsidRDefault="0065093D"/>
        </w:tc>
        <w:tc>
          <w:tcPr>
            <w:tcW w:w="4678" w:type="dxa"/>
            <w:gridSpan w:val="2"/>
          </w:tcPr>
          <w:p w14:paraId="1F49D345" w14:textId="77777777" w:rsidR="0065093D" w:rsidRDefault="0065093D"/>
        </w:tc>
      </w:tr>
    </w:tbl>
    <w:p w14:paraId="0D2898ED" w14:textId="77777777" w:rsidR="00C74B6F" w:rsidRDefault="00C74B6F">
      <w:r>
        <w:t>______________________________________________________________________</w:t>
      </w:r>
    </w:p>
    <w:p w14:paraId="697F7531" w14:textId="77777777" w:rsidR="00C74B6F" w:rsidRDefault="00C74B6F"/>
    <w:p w14:paraId="59BFC260" w14:textId="77777777" w:rsidR="00C74B6F" w:rsidRPr="005B0612" w:rsidRDefault="00C74B6F" w:rsidP="008B042E">
      <w:pPr>
        <w:jc w:val="center"/>
        <w:rPr>
          <w:b/>
          <w:bCs/>
        </w:rPr>
      </w:pPr>
      <w:bookmarkStart w:id="7" w:name="decision"/>
      <w:r w:rsidRPr="005B0612">
        <w:rPr>
          <w:b/>
          <w:bCs/>
        </w:rPr>
        <w:t>DÉCISION</w:t>
      </w:r>
      <w:bookmarkEnd w:id="7"/>
    </w:p>
    <w:p w14:paraId="2C90B418" w14:textId="77777777" w:rsidR="008F20EA" w:rsidRDefault="008F20EA" w:rsidP="008F20EA">
      <w:bookmarkStart w:id="8" w:name="separation"/>
      <w:bookmarkStart w:id="9" w:name="parag_1"/>
      <w:r>
        <w:t>______________________________________________________________________</w:t>
      </w:r>
    </w:p>
    <w:p w14:paraId="4659C0AE" w14:textId="77777777" w:rsidR="008F20EA" w:rsidRDefault="008F20EA" w:rsidP="008F20EA">
      <w:pPr>
        <w:pStyle w:val="corpsdedcision"/>
        <w:numPr>
          <w:ilvl w:val="0"/>
          <w:numId w:val="0"/>
        </w:numPr>
        <w:spacing w:before="360"/>
      </w:pPr>
      <w:bookmarkStart w:id="10" w:name="supprimer_apercu"/>
      <w:bookmarkEnd w:id="8"/>
      <w:r>
        <w:rPr>
          <w:b/>
          <w:bCs/>
          <w:u w:val="single"/>
        </w:rPr>
        <w:t>L’APERÇU</w:t>
      </w:r>
    </w:p>
    <w:bookmarkEnd w:id="10"/>
    <w:bookmarkEnd w:id="9"/>
    <w:p w14:paraId="7AEFA9A7" w14:textId="22D995FD" w:rsidR="00755E76" w:rsidRDefault="00755E76" w:rsidP="00755E76">
      <w:pPr>
        <w:pStyle w:val="corpsdedcision"/>
        <w:spacing w:after="300"/>
      </w:pPr>
      <w:r>
        <w:t xml:space="preserve">Monsieur </w:t>
      </w:r>
      <w:r w:rsidR="00FE07AF">
        <w:t>Luc Bessette</w:t>
      </w:r>
      <w:r>
        <w:t xml:space="preserve"> occupe un emploi de</w:t>
      </w:r>
      <w:r w:rsidR="00FE07AF">
        <w:t xml:space="preserve"> </w:t>
      </w:r>
      <w:r w:rsidR="005E6400">
        <w:t xml:space="preserve">conducteur de chariot élévateur </w:t>
      </w:r>
      <w:r>
        <w:t>pour</w:t>
      </w:r>
      <w:r w:rsidR="00FE07AF">
        <w:t xml:space="preserve"> les Services d’entretien Bee-Clean</w:t>
      </w:r>
      <w:r>
        <w:t xml:space="preserve"> lorsqu’il se blesse au travail en</w:t>
      </w:r>
      <w:r w:rsidR="00FE07AF">
        <w:t xml:space="preserve"> novembre 2018</w:t>
      </w:r>
      <w:r>
        <w:t xml:space="preserve">. En </w:t>
      </w:r>
      <w:r w:rsidR="00FE07AF">
        <w:t>effectuant le chargement</w:t>
      </w:r>
      <w:r w:rsidR="005E6400">
        <w:t xml:space="preserve"> d’un conteneur avec le membre supérieur droit, il ressent une douleur à l’épaule et à la région cervicale droite</w:t>
      </w:r>
      <w:r w:rsidR="00FA4D2B">
        <w:t>s</w:t>
      </w:r>
      <w:r w:rsidR="005E6400">
        <w:t>.</w:t>
      </w:r>
    </w:p>
    <w:p w14:paraId="2A56384B" w14:textId="217952EE" w:rsidR="005E6400" w:rsidRDefault="00755E76" w:rsidP="00755E76">
      <w:pPr>
        <w:pStyle w:val="corpsdedcision"/>
        <w:spacing w:after="300"/>
      </w:pPr>
      <w:r>
        <w:t xml:space="preserve">La Commission </w:t>
      </w:r>
      <w:r w:rsidRPr="009E0807">
        <w:t>des normes, de l’équité, de la santé et de la sécurité du travail accepte la réclamation du travailleur à titre de lésion professionnelle, dont les diagnostics sont une entorse</w:t>
      </w:r>
      <w:r w:rsidR="005E6400" w:rsidRPr="009E0807">
        <w:t xml:space="preserve"> cervicale</w:t>
      </w:r>
      <w:r w:rsidR="005E6400">
        <w:t xml:space="preserve"> et une arthrose gléno-humérale de l’épaule rendue symptomatique. En lien avec cette lésion professionnelle, le travailleur subit une première chirurgie de remplacement de l’épaule par prothèse en juillet 2020. Cette chirurgie n’ayant pas l’effet escompté, une deuxième intervention chirurgicale pour installer une prothèse totale inversée est réalisée au mois d’août 2021. </w:t>
      </w:r>
    </w:p>
    <w:p w14:paraId="298E1EDD" w14:textId="52F51B9D" w:rsidR="00755E76" w:rsidRDefault="00755E76" w:rsidP="00755E76">
      <w:pPr>
        <w:pStyle w:val="corpsdedcision"/>
        <w:spacing w:after="300"/>
      </w:pPr>
      <w:r>
        <w:t>Par la suite, la Commission</w:t>
      </w:r>
      <w:r>
        <w:rPr>
          <w:rStyle w:val="Appelnotedebasdep"/>
        </w:rPr>
        <w:footnoteReference w:id="1"/>
      </w:r>
      <w:r>
        <w:t xml:space="preserve"> accepte le diagnostic</w:t>
      </w:r>
      <w:r w:rsidR="005E6400">
        <w:t xml:space="preserve"> de trouble </w:t>
      </w:r>
      <w:r w:rsidR="009E0807">
        <w:t>de l’adaptation avec humeur anxio-dépressive.</w:t>
      </w:r>
    </w:p>
    <w:p w14:paraId="4C42D475" w14:textId="59AC6061" w:rsidR="00755E76" w:rsidRDefault="00755E76" w:rsidP="00755E76">
      <w:pPr>
        <w:pStyle w:val="corpsdedcision"/>
        <w:spacing w:after="300"/>
      </w:pPr>
      <w:r>
        <w:t>Cette décision est contestée par l’employeur. Il allègue que le</w:t>
      </w:r>
      <w:r w:rsidR="009E0807">
        <w:t xml:space="preserve"> trouble d’adaptation es</w:t>
      </w:r>
      <w:r>
        <w:t xml:space="preserve">t </w:t>
      </w:r>
      <w:r w:rsidR="009E0807">
        <w:t>une</w:t>
      </w:r>
      <w:r>
        <w:t xml:space="preserve"> lésion professionnelle découlant</w:t>
      </w:r>
      <w:r w:rsidRPr="003A577B">
        <w:t xml:space="preserve"> </w:t>
      </w:r>
      <w:r>
        <w:t xml:space="preserve">des soins au sens de l’article 31 de la </w:t>
      </w:r>
      <w:r w:rsidRPr="002C4585">
        <w:rPr>
          <w:i/>
        </w:rPr>
        <w:t>Loi sur les accidents du travail et les maladies professionnelles</w:t>
      </w:r>
      <w:r w:rsidR="009E0807">
        <w:rPr>
          <w:i/>
        </w:rPr>
        <w:t>,</w:t>
      </w:r>
      <w:r w:rsidRPr="00FE347C">
        <w:rPr>
          <w:vertAlign w:val="superscript"/>
        </w:rPr>
        <w:footnoteReference w:id="2"/>
      </w:r>
      <w:r w:rsidRPr="00FE347C">
        <w:rPr>
          <w:i/>
        </w:rPr>
        <w:t xml:space="preserve"> </w:t>
      </w:r>
      <w:r w:rsidRPr="00FE347C">
        <w:t>la Loi</w:t>
      </w:r>
      <w:r>
        <w:t>.</w:t>
      </w:r>
    </w:p>
    <w:p w14:paraId="7C41A361" w14:textId="30D5218C" w:rsidR="00C74B6F" w:rsidRDefault="00755E76" w:rsidP="00B15304">
      <w:pPr>
        <w:pStyle w:val="corpsdedcision"/>
        <w:spacing w:after="300"/>
      </w:pPr>
      <w:r>
        <w:t>Le Tribunal considère que l</w:t>
      </w:r>
      <w:r w:rsidR="009E0807">
        <w:t>e trouble d’adaptation c</w:t>
      </w:r>
      <w:r>
        <w:t>onstitue</w:t>
      </w:r>
      <w:r w:rsidR="00771F22">
        <w:t xml:space="preserve"> effectivement</w:t>
      </w:r>
      <w:r>
        <w:t xml:space="preserve"> </w:t>
      </w:r>
      <w:r w:rsidR="009E0807">
        <w:t>une</w:t>
      </w:r>
      <w:r>
        <w:t xml:space="preserve"> lésion professionnelle au sens de l’article 31 de la Loi, puisqu’</w:t>
      </w:r>
      <w:r w:rsidR="004D35EF">
        <w:t>il</w:t>
      </w:r>
      <w:r>
        <w:t xml:space="preserve"> découle des soins reçus,</w:t>
      </w:r>
      <w:r w:rsidR="004D35EF">
        <w:t xml:space="preserve"> particulièrement</w:t>
      </w:r>
      <w:r w:rsidR="009E0807">
        <w:t xml:space="preserve"> la deuxième chirurgie </w:t>
      </w:r>
      <w:r w:rsidR="004D35EF">
        <w:t>de remplacement totale de l’épaule.</w:t>
      </w:r>
    </w:p>
    <w:p w14:paraId="7D25CE13" w14:textId="77777777" w:rsidR="00082A97" w:rsidRDefault="00082A97" w:rsidP="00F10236">
      <w:pPr>
        <w:pStyle w:val="corpsdedcision"/>
        <w:numPr>
          <w:ilvl w:val="0"/>
          <w:numId w:val="0"/>
        </w:numPr>
        <w:rPr>
          <w:b/>
          <w:bCs/>
          <w:u w:val="single"/>
        </w:rPr>
      </w:pPr>
      <w:bookmarkStart w:id="11" w:name="supprimer_analyse"/>
      <w:r w:rsidRPr="00B51F99">
        <w:rPr>
          <w:b/>
          <w:bCs/>
          <w:u w:val="single"/>
        </w:rPr>
        <w:t>L</w:t>
      </w:r>
      <w:r>
        <w:rPr>
          <w:b/>
          <w:bCs/>
          <w:u w:val="single"/>
        </w:rPr>
        <w:t>’ANALYSE</w:t>
      </w:r>
    </w:p>
    <w:bookmarkEnd w:id="11"/>
    <w:p w14:paraId="051F42D9" w14:textId="7B74C914" w:rsidR="00755E76" w:rsidRDefault="004D35EF" w:rsidP="00755E76">
      <w:pPr>
        <w:pStyle w:val="corpsdedcision"/>
        <w:spacing w:after="300"/>
      </w:pPr>
      <w:r>
        <w:rPr>
          <w:rFonts w:cs="Arial"/>
          <w:szCs w:val="24"/>
        </w:rPr>
        <w:t>L</w:t>
      </w:r>
      <w:r w:rsidR="00755E76">
        <w:rPr>
          <w:rFonts w:cs="Arial"/>
          <w:szCs w:val="24"/>
        </w:rPr>
        <w:t>e Tribunal doit déterminer si l</w:t>
      </w:r>
      <w:r>
        <w:rPr>
          <w:rFonts w:cs="Arial"/>
          <w:szCs w:val="24"/>
        </w:rPr>
        <w:t xml:space="preserve">e </w:t>
      </w:r>
      <w:r>
        <w:t>trouble d’adaptation</w:t>
      </w:r>
      <w:r w:rsidR="00755E76">
        <w:rPr>
          <w:rFonts w:cs="Arial"/>
          <w:szCs w:val="24"/>
        </w:rPr>
        <w:t xml:space="preserve"> </w:t>
      </w:r>
      <w:r w:rsidR="00755E76">
        <w:t xml:space="preserve">constitue </w:t>
      </w:r>
      <w:r>
        <w:t>une</w:t>
      </w:r>
      <w:r w:rsidR="00755E76">
        <w:t xml:space="preserve"> lésion professionnelle par le fait ou à l’occasion des soins reçus par le travailleur comme le prétend</w:t>
      </w:r>
      <w:r>
        <w:t xml:space="preserve"> l’employeur</w:t>
      </w:r>
      <w:r w:rsidR="00755E76">
        <w:t xml:space="preserve">. </w:t>
      </w:r>
    </w:p>
    <w:p w14:paraId="0B0346B4" w14:textId="6D8DA76C" w:rsidR="006E5DDD" w:rsidRDefault="006E5DDD" w:rsidP="006E5DDD">
      <w:pPr>
        <w:pStyle w:val="corpsdedcision"/>
        <w:spacing w:after="300"/>
      </w:pPr>
      <w:r>
        <w:t xml:space="preserve">L’article 31 de la Loi prévoit qu’une blessure ou une maladie qui survient par le fait ou à l’occasion des soins qu’un travailleur reçoit pour une lésion professionnelle est considérée </w:t>
      </w:r>
      <w:r w:rsidR="00FA4D2B">
        <w:t xml:space="preserve">comme </w:t>
      </w:r>
      <w:r>
        <w:t>une lésion professionnelle. Pour pouvoir appliquer les dispositions de l’article 31 de la Loi, les trois conditions suivantes doivent être remplies :</w:t>
      </w:r>
    </w:p>
    <w:p w14:paraId="17BC30C0" w14:textId="77777777" w:rsidR="006E5DDD" w:rsidRDefault="006E5DDD" w:rsidP="008F633F">
      <w:pPr>
        <w:pStyle w:val="corpsdedcision"/>
        <w:numPr>
          <w:ilvl w:val="0"/>
          <w:numId w:val="12"/>
        </w:numPr>
        <w:tabs>
          <w:tab w:val="clear" w:pos="720"/>
          <w:tab w:val="left" w:pos="1134"/>
        </w:tabs>
        <w:spacing w:after="180"/>
        <w:ind w:left="1134" w:hanging="425"/>
      </w:pPr>
      <w:r>
        <w:t>une lésion professionnelle initiale;</w:t>
      </w:r>
    </w:p>
    <w:p w14:paraId="29A6E28F" w14:textId="77777777" w:rsidR="006E5DDD" w:rsidRDefault="006E5DDD" w:rsidP="008F633F">
      <w:pPr>
        <w:pStyle w:val="corpsdedcision"/>
        <w:numPr>
          <w:ilvl w:val="0"/>
          <w:numId w:val="12"/>
        </w:numPr>
        <w:tabs>
          <w:tab w:val="clear" w:pos="720"/>
          <w:tab w:val="left" w:pos="1134"/>
        </w:tabs>
        <w:spacing w:after="180"/>
        <w:ind w:left="1134" w:hanging="425"/>
      </w:pPr>
      <w:r>
        <w:t>une maladie distincte de la lésion initiale;</w:t>
      </w:r>
    </w:p>
    <w:p w14:paraId="024E5342" w14:textId="77777777" w:rsidR="006E5DDD" w:rsidRDefault="006E5DDD" w:rsidP="008F633F">
      <w:pPr>
        <w:pStyle w:val="corpsdedcision"/>
        <w:numPr>
          <w:ilvl w:val="0"/>
          <w:numId w:val="12"/>
        </w:numPr>
        <w:tabs>
          <w:tab w:val="clear" w:pos="720"/>
          <w:tab w:val="left" w:pos="1134"/>
        </w:tabs>
        <w:spacing w:after="300"/>
        <w:ind w:left="1134" w:hanging="425"/>
      </w:pPr>
      <w:r>
        <w:t>une relation causale entre cette maladie et les traitements reçus.</w:t>
      </w:r>
    </w:p>
    <w:p w14:paraId="11DCAD26" w14:textId="0EB092F3" w:rsidR="006E5DDD" w:rsidRDefault="00771F22" w:rsidP="006E5DDD">
      <w:pPr>
        <w:pStyle w:val="corpsdedcision"/>
        <w:spacing w:after="300"/>
      </w:pPr>
      <w:r>
        <w:t>L</w:t>
      </w:r>
      <w:r w:rsidR="006E5DDD">
        <w:t xml:space="preserve">’admissibilité d’une lésion professionnelle </w:t>
      </w:r>
      <w:r w:rsidR="004D35EF">
        <w:t xml:space="preserve">d’ordre psychologique </w:t>
      </w:r>
      <w:r w:rsidR="006E5DDD">
        <w:t xml:space="preserve">le </w:t>
      </w:r>
      <w:r w:rsidR="004D35EF">
        <w:t>23</w:t>
      </w:r>
      <w:r w:rsidR="008F633F">
        <w:t> </w:t>
      </w:r>
      <w:r w:rsidR="004D35EF">
        <w:t>novembre 2021</w:t>
      </w:r>
      <w:r w:rsidR="006E5DDD">
        <w:t xml:space="preserve"> n’est </w:t>
      </w:r>
      <w:r>
        <w:t>pas</w:t>
      </w:r>
      <w:r w:rsidR="006E5DDD">
        <w:t xml:space="preserve"> remise en question.</w:t>
      </w:r>
    </w:p>
    <w:p w14:paraId="59EB37B0" w14:textId="1B56CAC9" w:rsidR="006E5DDD" w:rsidRDefault="006E5DDD" w:rsidP="00D87F40">
      <w:pPr>
        <w:pStyle w:val="corpsdedcision"/>
        <w:spacing w:after="300"/>
      </w:pPr>
      <w:r>
        <w:t>L</w:t>
      </w:r>
      <w:r w:rsidR="004D35EF">
        <w:t xml:space="preserve">’employeur </w:t>
      </w:r>
      <w:r>
        <w:t>prétend que ce</w:t>
      </w:r>
      <w:r w:rsidR="004D35EF">
        <w:t xml:space="preserve">tte lésion psychologique </w:t>
      </w:r>
      <w:r>
        <w:t xml:space="preserve">découle des soins donnés au travailleur, </w:t>
      </w:r>
      <w:r w:rsidR="004D35EF">
        <w:t>particulièrement la chirurgie du 9</w:t>
      </w:r>
      <w:r w:rsidR="008F633F">
        <w:t> </w:t>
      </w:r>
      <w:r w:rsidR="004D35EF">
        <w:t xml:space="preserve">août 2021 où on a dû remplacer la prothèse </w:t>
      </w:r>
      <w:r w:rsidR="00D87F40">
        <w:t xml:space="preserve">totale </w:t>
      </w:r>
      <w:r w:rsidR="004D35EF">
        <w:t xml:space="preserve">de l’épaule par une prothèse </w:t>
      </w:r>
      <w:r w:rsidR="00D87F40">
        <w:t xml:space="preserve">inversée. Il allègue que cette lésion psychologique </w:t>
      </w:r>
      <w:r>
        <w:t xml:space="preserve">constitue </w:t>
      </w:r>
      <w:r w:rsidR="00D87F40">
        <w:t>une</w:t>
      </w:r>
      <w:r>
        <w:t xml:space="preserve"> lésion professionnelle au sens de l’article 31 de la Loi. </w:t>
      </w:r>
      <w:r w:rsidR="00D87F40">
        <w:t xml:space="preserve">Il a </w:t>
      </w:r>
      <w:r>
        <w:t>raison.</w:t>
      </w:r>
    </w:p>
    <w:p w14:paraId="2FC44437" w14:textId="35AEAD58" w:rsidR="006E5DDD" w:rsidRDefault="006E5DDD" w:rsidP="006E5DDD">
      <w:pPr>
        <w:pStyle w:val="corpsdedcision"/>
        <w:spacing w:after="300"/>
      </w:pPr>
      <w:r>
        <w:t>Ce diagnostic représente</w:t>
      </w:r>
      <w:r w:rsidR="00D87F40">
        <w:t xml:space="preserve"> une</w:t>
      </w:r>
      <w:r>
        <w:t xml:space="preserve"> lésion différente de</w:t>
      </w:r>
      <w:r w:rsidR="002B54F6">
        <w:t xml:space="preserve">s lésions physiques </w:t>
      </w:r>
      <w:r>
        <w:t xml:space="preserve">reconnues par la Commission à la suite de l’accident du travail. Les deux premières conditions sont donc </w:t>
      </w:r>
      <w:r w:rsidR="002B54F6">
        <w:t>remplies</w:t>
      </w:r>
      <w:r>
        <w:t>.</w:t>
      </w:r>
    </w:p>
    <w:p w14:paraId="024F2A0D" w14:textId="416D2832" w:rsidR="00FE07AF" w:rsidRDefault="007B3553" w:rsidP="00FE07AF">
      <w:pPr>
        <w:pStyle w:val="corpsdedcision"/>
        <w:spacing w:after="300"/>
      </w:pPr>
      <w:r>
        <w:t>En ce qui concerne le</w:t>
      </w:r>
      <w:r w:rsidR="00FE07AF">
        <w:t xml:space="preserve"> lien causal, </w:t>
      </w:r>
      <w:r>
        <w:t>le trouble d’adaptation</w:t>
      </w:r>
      <w:r w:rsidR="00FE07AF">
        <w:t xml:space="preserve"> découle des douleurs et des conséquences liées </w:t>
      </w:r>
      <w:r>
        <w:t xml:space="preserve">aux chirurgies, particulièrement la seconde. </w:t>
      </w:r>
    </w:p>
    <w:p w14:paraId="2CB00716" w14:textId="5B432972" w:rsidR="007B3553" w:rsidRDefault="00FE07AF" w:rsidP="00FE07AF">
      <w:pPr>
        <w:pStyle w:val="corpsdedcision"/>
        <w:spacing w:after="300"/>
      </w:pPr>
      <w:r>
        <w:t>Sur cette question,</w:t>
      </w:r>
      <w:r w:rsidR="007B3553" w:rsidRPr="007B3553">
        <w:t xml:space="preserve"> </w:t>
      </w:r>
      <w:r w:rsidR="007B3553">
        <w:t>le professionnel de la santé qui a charge</w:t>
      </w:r>
      <w:r w:rsidR="005B3D27">
        <w:t xml:space="preserve"> retient le diagnostic de trouble d’adaptation </w:t>
      </w:r>
      <w:r w:rsidR="007B3553">
        <w:t>le 23</w:t>
      </w:r>
      <w:r w:rsidR="008F633F">
        <w:t> </w:t>
      </w:r>
      <w:r w:rsidR="007B3553">
        <w:t>novembre 2021</w:t>
      </w:r>
      <w:r w:rsidR="005B3D27">
        <w:t>. Il réfère à la chirurgie du 9</w:t>
      </w:r>
      <w:r w:rsidR="008F633F">
        <w:t> </w:t>
      </w:r>
      <w:r w:rsidR="005B3D27">
        <w:t xml:space="preserve">août 2021 qui a dû être réalisée après l’échec de la première en juillet 2020. Il mentionne </w:t>
      </w:r>
      <w:r w:rsidR="007B3553">
        <w:t>qu</w:t>
      </w:r>
      <w:r w:rsidR="00294BFB">
        <w:t>e le travailleur</w:t>
      </w:r>
      <w:r w:rsidR="007B3553">
        <w:t xml:space="preserve"> est encore très limité au niveau de ses activités de la vie quotidienne, qu’il est inquiet et que le chirurgien ayant réalisé l’opération suggère une réorientation de carrière. Son moral est atteint et </w:t>
      </w:r>
      <w:r w:rsidR="006A3DAA">
        <w:t>un</w:t>
      </w:r>
      <w:r w:rsidR="007B3553">
        <w:t xml:space="preserve"> diagnost</w:t>
      </w:r>
      <w:r w:rsidR="006A3DAA">
        <w:t xml:space="preserve">ic de trouble </w:t>
      </w:r>
      <w:r w:rsidR="00294BFB">
        <w:t xml:space="preserve">d’adaptation </w:t>
      </w:r>
      <w:r w:rsidR="00294BFB" w:rsidRPr="00A3330C">
        <w:t xml:space="preserve">est </w:t>
      </w:r>
      <w:r w:rsidR="00732747" w:rsidRPr="00A3330C">
        <w:t>posé</w:t>
      </w:r>
      <w:r w:rsidR="00A3330C">
        <w:t>.</w:t>
      </w:r>
      <w:r w:rsidR="0089418F" w:rsidRPr="00A3330C">
        <w:t xml:space="preserve"> Il</w:t>
      </w:r>
      <w:r w:rsidR="0089418F">
        <w:t xml:space="preserve"> est dirigé en psychologie.</w:t>
      </w:r>
      <w:r w:rsidR="00294BFB">
        <w:t xml:space="preserve"> </w:t>
      </w:r>
    </w:p>
    <w:p w14:paraId="35493203" w14:textId="5C3F86DA" w:rsidR="007B7F21" w:rsidRDefault="007B7F21" w:rsidP="00FE07AF">
      <w:pPr>
        <w:pStyle w:val="corpsdedcision"/>
        <w:spacing w:after="300"/>
      </w:pPr>
      <w:r>
        <w:t>Le 19</w:t>
      </w:r>
      <w:r w:rsidR="008F633F">
        <w:t> </w:t>
      </w:r>
      <w:r>
        <w:t xml:space="preserve">janvier 2022, la physiothérapeute note que le travailleur dort mal en raison de ses douleurs au membre supérieur droit, qu’il </w:t>
      </w:r>
      <w:r w:rsidRPr="00A3330C">
        <w:t>est «</w:t>
      </w:r>
      <w:r w:rsidR="008F633F" w:rsidRPr="00A3330C">
        <w:t> </w:t>
      </w:r>
      <w:r w:rsidRPr="00A3330C">
        <w:rPr>
          <w:i/>
          <w:iCs/>
          <w:sz w:val="22"/>
          <w:szCs w:val="18"/>
        </w:rPr>
        <w:t>tanné</w:t>
      </w:r>
      <w:r w:rsidR="008F633F" w:rsidRPr="00A3330C">
        <w:rPr>
          <w:sz w:val="22"/>
          <w:szCs w:val="18"/>
        </w:rPr>
        <w:t> </w:t>
      </w:r>
      <w:r w:rsidRPr="00A3330C">
        <w:t>» de</w:t>
      </w:r>
      <w:r>
        <w:t xml:space="preserve"> sa situation, qu’il est très centré sur sa douleur et a développé un comportement hypervigilant par crainte d’aggraver sa situation. </w:t>
      </w:r>
      <w:r w:rsidR="002E7CED">
        <w:t xml:space="preserve">En mars 2022, elle rapporte des douleurs importantes au membre supérieur droit de sorte qu’il utilise davantage son membre opposé. </w:t>
      </w:r>
    </w:p>
    <w:p w14:paraId="4AC4A72F" w14:textId="30FE79F6" w:rsidR="005B3D27" w:rsidRDefault="005B3D27" w:rsidP="005B3D27">
      <w:pPr>
        <w:pStyle w:val="corpsdedcision"/>
        <w:spacing w:after="300"/>
      </w:pPr>
      <w:r>
        <w:t>Le travailleur témoigne que</w:t>
      </w:r>
      <w:r w:rsidR="00732747">
        <w:t>,</w:t>
      </w:r>
      <w:r>
        <w:t xml:space="preserve"> pour une raison inconnue, la première chirurgie n’a pas été un succès</w:t>
      </w:r>
      <w:r w:rsidR="0089418F">
        <w:t>.</w:t>
      </w:r>
      <w:r>
        <w:t xml:space="preserve"> Le docteur Massie</w:t>
      </w:r>
      <w:r w:rsidR="008F633F">
        <w:t xml:space="preserve">, </w:t>
      </w:r>
      <w:r w:rsidR="008F633F" w:rsidRPr="00A3330C">
        <w:t>chirurgien orthopédiste qui a procédé à la chirurgie,</w:t>
      </w:r>
      <w:r w:rsidRPr="00A3330C">
        <w:t xml:space="preserve"> lui a expliqué que dans un faible</w:t>
      </w:r>
      <w:r>
        <w:t xml:space="preserve"> pourcentage de cas, la prothèse ne fonctionne pas. Il a donc dû subir une deuxième chirurgie où on lui a inséré une prothèse inversée. </w:t>
      </w:r>
      <w:r w:rsidRPr="00A3330C">
        <w:t xml:space="preserve">Cette chirurgie </w:t>
      </w:r>
      <w:r w:rsidR="00732747" w:rsidRPr="00A3330C">
        <w:t xml:space="preserve">n’a </w:t>
      </w:r>
      <w:r w:rsidRPr="00A3330C">
        <w:t xml:space="preserve">pas </w:t>
      </w:r>
      <w:r w:rsidR="0089418F" w:rsidRPr="00A3330C">
        <w:t xml:space="preserve">davantage </w:t>
      </w:r>
      <w:r w:rsidRPr="00A3330C">
        <w:t>réussi</w:t>
      </w:r>
      <w:r w:rsidR="00A3330C" w:rsidRPr="00A3330C">
        <w:t xml:space="preserve">. </w:t>
      </w:r>
      <w:r w:rsidRPr="00A3330C">
        <w:t>La mobilité</w:t>
      </w:r>
      <w:r>
        <w:t xml:space="preserve"> de son épaule est très restreinte de sorte qu’il est toujours très limité dans ses activités. Son bras droit est plus long que le gauche. </w:t>
      </w:r>
      <w:r w:rsidR="0089418F">
        <w:t>Il explique qu’il n’y a maintenant plus rien à faire sur le plan chirurgical et qu’il doit vivre avec les conséquences</w:t>
      </w:r>
      <w:r>
        <w:t xml:space="preserve"> </w:t>
      </w:r>
      <w:r w:rsidR="0089418F">
        <w:t>de ces échecs.</w:t>
      </w:r>
      <w:r w:rsidR="00A91BBE">
        <w:t xml:space="preserve"> </w:t>
      </w:r>
    </w:p>
    <w:p w14:paraId="36D46589" w14:textId="7B294CF3" w:rsidR="00EE188F" w:rsidRDefault="00096347" w:rsidP="005B3D27">
      <w:pPr>
        <w:pStyle w:val="corpsdedcision"/>
        <w:spacing w:after="300"/>
      </w:pPr>
      <w:r>
        <w:t>L</w:t>
      </w:r>
      <w:r w:rsidR="00EE188F">
        <w:t>a nécessité d’une deuxième chirurgie à la suite de l’échec d’une première n’est peut-être pas exceptionnel</w:t>
      </w:r>
      <w:r w:rsidR="00FA4D2B">
        <w:t>le</w:t>
      </w:r>
      <w:r w:rsidR="00EE188F">
        <w:t>, mais il ne s’agit pas d’une complication usuelle. D’autant que cette deuxième chirurgie est également un échec.</w:t>
      </w:r>
    </w:p>
    <w:p w14:paraId="00454A59" w14:textId="539A9BEF" w:rsidR="00EE188F" w:rsidRDefault="0089418F" w:rsidP="002B519F">
      <w:pPr>
        <w:pStyle w:val="corpsdedcision"/>
        <w:spacing w:after="300"/>
      </w:pPr>
      <w:r>
        <w:t>A</w:t>
      </w:r>
      <w:r w:rsidR="004153EE">
        <w:t xml:space="preserve">insi, </w:t>
      </w:r>
      <w:r w:rsidR="00EE188F">
        <w:t xml:space="preserve">quelques semaines </w:t>
      </w:r>
      <w:r w:rsidR="00EE188F" w:rsidRPr="00A3330C">
        <w:t xml:space="preserve">après </w:t>
      </w:r>
      <w:r w:rsidR="00732747" w:rsidRPr="00A3330C">
        <w:t>l’insuccès</w:t>
      </w:r>
      <w:r w:rsidR="00EE188F" w:rsidRPr="00A3330C">
        <w:t xml:space="preserve"> de sa</w:t>
      </w:r>
      <w:r w:rsidR="00EE188F">
        <w:t xml:space="preserve"> deuxième intervention, </w:t>
      </w:r>
      <w:r>
        <w:t xml:space="preserve">en raison de la douleur et de la perte de fonction de son membre supérieur </w:t>
      </w:r>
      <w:r w:rsidR="007B7F21">
        <w:t>droit</w:t>
      </w:r>
      <w:r>
        <w:t>, il perd espoir que sa condition s’améliore</w:t>
      </w:r>
      <w:r w:rsidR="007B7F21">
        <w:t xml:space="preserve"> </w:t>
      </w:r>
      <w:r>
        <w:t>et qu’il redevienne comme avant</w:t>
      </w:r>
      <w:r w:rsidR="00096347">
        <w:t xml:space="preserve"> son accident</w:t>
      </w:r>
      <w:r w:rsidR="007B7F21">
        <w:t>, lui qui était pourtant très actif</w:t>
      </w:r>
      <w:r w:rsidR="00096347">
        <w:t>.</w:t>
      </w:r>
      <w:r w:rsidR="002E7CED">
        <w:t xml:space="preserve"> </w:t>
      </w:r>
    </w:p>
    <w:p w14:paraId="07843788" w14:textId="63308AD7" w:rsidR="004153EE" w:rsidRDefault="00096347" w:rsidP="002B519F">
      <w:pPr>
        <w:pStyle w:val="corpsdedcision"/>
        <w:spacing w:after="300"/>
      </w:pPr>
      <w:r>
        <w:t xml:space="preserve">Il y a </w:t>
      </w:r>
      <w:r w:rsidR="002E7CED">
        <w:t>une relation temporelle entre l’échec de la deuxième chirurgie</w:t>
      </w:r>
      <w:r w:rsidR="00EE188F">
        <w:t xml:space="preserve"> du 9</w:t>
      </w:r>
      <w:r w:rsidR="00732747">
        <w:t> </w:t>
      </w:r>
      <w:r w:rsidR="00EE188F">
        <w:t>août 2021</w:t>
      </w:r>
      <w:r w:rsidR="002E7CED">
        <w:t xml:space="preserve"> et l’apparition des symptômes d’atteinte psychologique.</w:t>
      </w:r>
      <w:r w:rsidR="001A133C">
        <w:t xml:space="preserve"> </w:t>
      </w:r>
      <w:r w:rsidR="00F52C52">
        <w:t xml:space="preserve">Ce n’est pas l’événement accidentel qui est à l’origine du trouble de l’adaptation, mais les conséquences de la seconde chirurgie. </w:t>
      </w:r>
      <w:r w:rsidR="004153EE">
        <w:t xml:space="preserve">Il existe donc un lien causal entre la lésion psychologique </w:t>
      </w:r>
      <w:r w:rsidR="001A133C">
        <w:t>diagnostiquée le</w:t>
      </w:r>
      <w:r w:rsidR="00EE188F">
        <w:t xml:space="preserve"> 23</w:t>
      </w:r>
      <w:r w:rsidR="00356092">
        <w:t> </w:t>
      </w:r>
      <w:r w:rsidR="00EE188F">
        <w:t xml:space="preserve">novembre 2021 </w:t>
      </w:r>
      <w:r w:rsidR="004153EE">
        <w:t>et les soins reçus. Le trouble d’adaptation se développe à la suite de l’échec de la chirurgie</w:t>
      </w:r>
      <w:r w:rsidR="00F52C52">
        <w:t xml:space="preserve"> du mois d’août 2021</w:t>
      </w:r>
      <w:r w:rsidR="004153EE">
        <w:t xml:space="preserve"> lorsque le travailleur constate qu’il n’y a plus d’espoir de voir sa condition s’améliorer. </w:t>
      </w:r>
    </w:p>
    <w:p w14:paraId="2A8AF714" w14:textId="499B7D04" w:rsidR="00FE07AF" w:rsidRDefault="00A54524" w:rsidP="009A02DB">
      <w:pPr>
        <w:pStyle w:val="corpsdedcision"/>
        <w:spacing w:after="300"/>
      </w:pPr>
      <w:r>
        <w:t>En conséquence, il y a lieu de conclure que le trouble d’adaptation est une conséquence des</w:t>
      </w:r>
      <w:r w:rsidR="008E5578">
        <w:t xml:space="preserve"> soins reçus par le travailleur</w:t>
      </w:r>
      <w:r>
        <w:t xml:space="preserve">. </w:t>
      </w:r>
      <w:r w:rsidR="0038128F">
        <w:t>Il constitue donc une lésion professionnelle</w:t>
      </w:r>
      <w:r w:rsidR="00977174">
        <w:t xml:space="preserve"> au sens de l’article 31 de la Loi</w:t>
      </w:r>
      <w:r w:rsidR="00096347">
        <w:t>,</w:t>
      </w:r>
      <w:r w:rsidR="00977174">
        <w:t xml:space="preserve"> p</w:t>
      </w:r>
      <w:r w:rsidR="00FE07AF">
        <w:t>uisque les critères permettant l’application de cette disposition législative sont remplis.</w:t>
      </w:r>
    </w:p>
    <w:p w14:paraId="2E5FA943" w14:textId="77777777" w:rsidR="004C2944" w:rsidRPr="00B51F99" w:rsidRDefault="004C2944" w:rsidP="00D90A7C">
      <w:pPr>
        <w:pStyle w:val="corpsdedcision"/>
        <w:numPr>
          <w:ilvl w:val="0"/>
          <w:numId w:val="0"/>
        </w:numPr>
        <w:spacing w:after="300"/>
      </w:pPr>
    </w:p>
    <w:p w14:paraId="26ED3AA5" w14:textId="77777777" w:rsidR="00C74B6F" w:rsidRDefault="00C74B6F">
      <w:pPr>
        <w:pStyle w:val="Dispositif"/>
      </w:pPr>
      <w:r>
        <w:rPr>
          <w:b/>
        </w:rPr>
        <w:t>P</w:t>
      </w:r>
      <w:r w:rsidR="00401325">
        <w:rPr>
          <w:b/>
        </w:rPr>
        <w:t>AR</w:t>
      </w:r>
      <w:r w:rsidR="00D07FA6">
        <w:rPr>
          <w:b/>
        </w:rPr>
        <w:t xml:space="preserve"> CES MOTIFS, LE TRIBUNAL ADMINISTRATIF DU TRAVAIL</w:t>
      </w:r>
      <w:r>
        <w:rPr>
          <w:b/>
        </w:rPr>
        <w:t> :</w:t>
      </w:r>
    </w:p>
    <w:p w14:paraId="6BDD17A9" w14:textId="4215C85D" w:rsidR="00096347" w:rsidRPr="00107D54" w:rsidRDefault="00096347" w:rsidP="00096347">
      <w:pPr>
        <w:pStyle w:val="Dispositif"/>
        <w:spacing w:after="300"/>
      </w:pPr>
      <w:r w:rsidRPr="00107D54">
        <w:rPr>
          <w:b/>
        </w:rPr>
        <w:t>ACCUEILLE</w:t>
      </w:r>
      <w:r w:rsidRPr="00107D54">
        <w:t xml:space="preserve"> la contestation de </w:t>
      </w:r>
      <w:r>
        <w:t>l’entreprise Services d’entretien Bee-Clean, l’employeur</w:t>
      </w:r>
      <w:r w:rsidRPr="00107D54">
        <w:t>;</w:t>
      </w:r>
    </w:p>
    <w:p w14:paraId="1BE1A336" w14:textId="59482EBF" w:rsidR="00096347" w:rsidRPr="00107D54" w:rsidRDefault="00096347" w:rsidP="00096347">
      <w:pPr>
        <w:pStyle w:val="Dispositif"/>
        <w:spacing w:after="300"/>
      </w:pPr>
      <w:r>
        <w:rPr>
          <w:b/>
        </w:rPr>
        <w:t xml:space="preserve">MODIFIE </w:t>
      </w:r>
      <w:r w:rsidRPr="00107D54">
        <w:t>la décision de la Commission des normes, de l’équité, de la santé et de la sécurité du travail rendue le 2</w:t>
      </w:r>
      <w:r>
        <w:t>3</w:t>
      </w:r>
      <w:r w:rsidR="00356092">
        <w:t> </w:t>
      </w:r>
      <w:r w:rsidRPr="00107D54">
        <w:t>février 202</w:t>
      </w:r>
      <w:r>
        <w:t>2</w:t>
      </w:r>
      <w:r w:rsidRPr="00107D54">
        <w:t>, à la suite d’une révision administrative;</w:t>
      </w:r>
    </w:p>
    <w:p w14:paraId="3A3F08FD" w14:textId="00DF220B" w:rsidR="00096347" w:rsidRPr="00107D54" w:rsidRDefault="00096347" w:rsidP="00096347">
      <w:pPr>
        <w:pStyle w:val="Dispositif"/>
        <w:spacing w:after="300"/>
      </w:pPr>
      <w:r w:rsidRPr="00107D54">
        <w:rPr>
          <w:b/>
        </w:rPr>
        <w:t>DÉCLARE</w:t>
      </w:r>
      <w:r w:rsidRPr="00107D54">
        <w:t xml:space="preserve"> que le</w:t>
      </w:r>
      <w:r>
        <w:t xml:space="preserve"> diagnostic de trouble de l’adaptation avec humeur anxio-dépressive constitue une lésion professionnelle en vertu de l’article 31 de la </w:t>
      </w:r>
      <w:r w:rsidRPr="002C4585">
        <w:rPr>
          <w:i/>
        </w:rPr>
        <w:t>Loi sur les accidents du travail et les maladies professionnelles</w:t>
      </w:r>
      <w:r>
        <w:rPr>
          <w:i/>
        </w:rPr>
        <w:t>.</w:t>
      </w:r>
      <w:r w:rsidRPr="00107D54">
        <w:t xml:space="preserve"> </w:t>
      </w:r>
    </w:p>
    <w:p w14:paraId="75EF9478" w14:textId="726B6C99" w:rsidR="00C74B6F" w:rsidRDefault="00C74B6F">
      <w:pPr>
        <w:pStyle w:val="Dispositif"/>
      </w:pPr>
    </w:p>
    <w:p w14:paraId="031FB935" w14:textId="0327CDA6" w:rsidR="00C74B6F" w:rsidRDefault="00C74B6F">
      <w:pPr>
        <w:pStyle w:val="Dispositif"/>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14:paraId="24D249B6" w14:textId="77777777">
        <w:tc>
          <w:tcPr>
            <w:tcW w:w="4795" w:type="dxa"/>
          </w:tcPr>
          <w:p w14:paraId="7310D23C" w14:textId="77777777" w:rsidR="00C74B6F" w:rsidRDefault="00C74B6F"/>
        </w:tc>
        <w:tc>
          <w:tcPr>
            <w:tcW w:w="4795" w:type="dxa"/>
          </w:tcPr>
          <w:p w14:paraId="675E398A" w14:textId="77777777" w:rsidR="00C74B6F" w:rsidRDefault="00C74B6F">
            <w:bookmarkStart w:id="12" w:name="signature"/>
            <w:bookmarkEnd w:id="12"/>
            <w:r>
              <w:t>__________________________________</w:t>
            </w:r>
          </w:p>
        </w:tc>
      </w:tr>
      <w:tr w:rsidR="00C74B6F" w14:paraId="6BD336EE" w14:textId="77777777">
        <w:tc>
          <w:tcPr>
            <w:tcW w:w="4795" w:type="dxa"/>
          </w:tcPr>
          <w:p w14:paraId="32629825" w14:textId="77777777" w:rsidR="00C74B6F" w:rsidRDefault="00C74B6F"/>
        </w:tc>
        <w:tc>
          <w:tcPr>
            <w:tcW w:w="4795" w:type="dxa"/>
          </w:tcPr>
          <w:p w14:paraId="0B7392CB" w14:textId="0CC25FEE" w:rsidR="00C74B6F" w:rsidRDefault="00112B86">
            <w:r>
              <w:t>Virginie Brisebois</w:t>
            </w:r>
          </w:p>
        </w:tc>
      </w:tr>
      <w:tr w:rsidR="00C74B6F" w14:paraId="16EBB1B2" w14:textId="77777777">
        <w:trPr>
          <w:cantSplit/>
        </w:trPr>
        <w:tc>
          <w:tcPr>
            <w:tcW w:w="9590" w:type="dxa"/>
            <w:gridSpan w:val="2"/>
          </w:tcPr>
          <w:p w14:paraId="20EF49B7" w14:textId="77777777" w:rsidR="00C74B6F" w:rsidRDefault="00C74B6F"/>
        </w:tc>
      </w:tr>
      <w:tr w:rsidR="00C74B6F" w14:paraId="642F43A6" w14:textId="77777777">
        <w:trPr>
          <w:cantSplit/>
        </w:trPr>
        <w:tc>
          <w:tcPr>
            <w:tcW w:w="9590" w:type="dxa"/>
            <w:gridSpan w:val="2"/>
          </w:tcPr>
          <w:p w14:paraId="6B0CC6B0" w14:textId="77777777" w:rsidR="00C74B6F" w:rsidRPr="00C912F9" w:rsidRDefault="00C74B6F" w:rsidP="00EC5C8D">
            <w:pPr>
              <w:tabs>
                <w:tab w:val="left" w:pos="1592"/>
              </w:tabs>
            </w:pPr>
          </w:p>
        </w:tc>
      </w:tr>
      <w:tr w:rsidR="00C74B6F" w14:paraId="1E067252" w14:textId="77777777">
        <w:trPr>
          <w:cantSplit/>
        </w:trPr>
        <w:tc>
          <w:tcPr>
            <w:tcW w:w="9590" w:type="dxa"/>
            <w:gridSpan w:val="2"/>
          </w:tcPr>
          <w:p w14:paraId="04431EEF" w14:textId="77777777" w:rsidR="00C74B6F" w:rsidRDefault="00C74B6F"/>
        </w:tc>
      </w:tr>
      <w:tr w:rsidR="00861F8B" w14:paraId="0D3A1EA3" w14:textId="77777777">
        <w:trPr>
          <w:cantSplit/>
        </w:trPr>
        <w:tc>
          <w:tcPr>
            <w:tcW w:w="9590" w:type="dxa"/>
            <w:gridSpan w:val="2"/>
          </w:tcPr>
          <w:p w14:paraId="785C6FCE" w14:textId="7E2ED732" w:rsidR="00596AB2" w:rsidRPr="00596AB2" w:rsidRDefault="00112B86" w:rsidP="00596AB2">
            <w:r>
              <w:t>M. Luc Bessette</w:t>
            </w:r>
          </w:p>
        </w:tc>
      </w:tr>
      <w:tr w:rsidR="00861F8B" w14:paraId="25B0170C" w14:textId="77777777">
        <w:trPr>
          <w:cantSplit/>
        </w:trPr>
        <w:tc>
          <w:tcPr>
            <w:tcW w:w="9590" w:type="dxa"/>
            <w:gridSpan w:val="2"/>
          </w:tcPr>
          <w:p w14:paraId="09B5FCCE" w14:textId="5A0A2CD3" w:rsidR="00861F8B" w:rsidRDefault="00E25DCB">
            <w:r>
              <w:fldChar w:fldCharType="begin"/>
            </w:r>
            <w:r>
              <w:instrText xml:space="preserve"> MACROBUTTON  AbaisserNiveauListe </w:instrText>
            </w:r>
            <w:r>
              <w:fldChar w:fldCharType="end"/>
            </w:r>
            <w:r w:rsidR="00112B86">
              <w:t>Pour lui-même</w:t>
            </w:r>
          </w:p>
        </w:tc>
      </w:tr>
      <w:tr w:rsidR="00C74B6F" w14:paraId="587F4A4A" w14:textId="77777777">
        <w:trPr>
          <w:cantSplit/>
        </w:trPr>
        <w:tc>
          <w:tcPr>
            <w:tcW w:w="9590" w:type="dxa"/>
            <w:gridSpan w:val="2"/>
          </w:tcPr>
          <w:p w14:paraId="6F70E147" w14:textId="77777777" w:rsidR="00C74B6F" w:rsidRDefault="00C74B6F"/>
        </w:tc>
      </w:tr>
      <w:tr w:rsidR="00C74B6F" w14:paraId="305DA338" w14:textId="77777777">
        <w:trPr>
          <w:cantSplit/>
        </w:trPr>
        <w:tc>
          <w:tcPr>
            <w:tcW w:w="9590" w:type="dxa"/>
            <w:gridSpan w:val="2"/>
          </w:tcPr>
          <w:p w14:paraId="2651EF7F" w14:textId="16657B0D" w:rsidR="00C74B6F" w:rsidRDefault="00112B86">
            <w:pPr>
              <w:pStyle w:val="zSoquijdatNomProcureurDem"/>
            </w:pPr>
            <w:r>
              <w:t>M</w:t>
            </w:r>
            <w:r w:rsidRPr="00112B86">
              <w:rPr>
                <w:vertAlign w:val="superscript"/>
              </w:rPr>
              <w:t>e</w:t>
            </w:r>
            <w:r>
              <w:t xml:space="preserve"> Richard Auclair</w:t>
            </w:r>
          </w:p>
        </w:tc>
      </w:tr>
      <w:tr w:rsidR="00C74B6F" w14:paraId="4F5A2F13" w14:textId="77777777">
        <w:trPr>
          <w:cantSplit/>
        </w:trPr>
        <w:tc>
          <w:tcPr>
            <w:tcW w:w="9590" w:type="dxa"/>
            <w:gridSpan w:val="2"/>
          </w:tcPr>
          <w:p w14:paraId="134B6B25" w14:textId="66710C0D" w:rsidR="00C74B6F" w:rsidRDefault="00112B86">
            <w:pPr>
              <w:pStyle w:val="zSoquijdatCabinetProcureurDem"/>
            </w:pPr>
            <w:r>
              <w:t>TRIVIUM AVOCATS INC.</w:t>
            </w:r>
          </w:p>
        </w:tc>
      </w:tr>
      <w:tr w:rsidR="00C74B6F" w14:paraId="39FE4259" w14:textId="77777777">
        <w:trPr>
          <w:cantSplit/>
        </w:trPr>
        <w:tc>
          <w:tcPr>
            <w:tcW w:w="9590" w:type="dxa"/>
            <w:gridSpan w:val="2"/>
          </w:tcPr>
          <w:p w14:paraId="51CCD46D" w14:textId="77777777" w:rsidR="00C74B6F" w:rsidRDefault="00CB05A7">
            <w:pPr>
              <w:pStyle w:val="zSoquijlblProcureurDem"/>
            </w:pPr>
            <w:r>
              <w:t>Pour la partie demanderesse</w:t>
            </w:r>
          </w:p>
        </w:tc>
      </w:tr>
      <w:tr w:rsidR="00C74B6F" w14:paraId="53B0F00D" w14:textId="77777777">
        <w:trPr>
          <w:cantSplit/>
        </w:trPr>
        <w:tc>
          <w:tcPr>
            <w:tcW w:w="9590" w:type="dxa"/>
            <w:gridSpan w:val="2"/>
          </w:tcPr>
          <w:p w14:paraId="6A44279F" w14:textId="77777777" w:rsidR="00C74B6F" w:rsidRDefault="00C74B6F"/>
        </w:tc>
      </w:tr>
      <w:tr w:rsidR="00C15A3F" w14:paraId="6841E411" w14:textId="77777777">
        <w:trPr>
          <w:cantSplit/>
        </w:trPr>
        <w:tc>
          <w:tcPr>
            <w:tcW w:w="9590" w:type="dxa"/>
            <w:gridSpan w:val="2"/>
          </w:tcPr>
          <w:p w14:paraId="740B156D" w14:textId="44F6BDBA" w:rsidR="00C15A3F" w:rsidRDefault="00C15A3F" w:rsidP="000E56A6">
            <w:pPr>
              <w:pStyle w:val="zSoquijdatDateAudience"/>
            </w:pPr>
            <w:bookmarkStart w:id="13" w:name="Date_derniere_audience"/>
            <w:bookmarkEnd w:id="13"/>
            <w:r>
              <w:t xml:space="preserve">Date de la </w:t>
            </w:r>
            <w:r w:rsidR="00CC6338">
              <w:t>mise en délibéré</w:t>
            </w:r>
            <w:r>
              <w:t> :</w:t>
            </w:r>
            <w:r w:rsidR="00597016">
              <w:tab/>
            </w:r>
            <w:r w:rsidR="00732747">
              <w:t>19 août 2024</w:t>
            </w:r>
          </w:p>
        </w:tc>
      </w:tr>
    </w:tbl>
    <w:p w14:paraId="42D7488D" w14:textId="77777777" w:rsidR="00F76B4A" w:rsidRDefault="00F76B4A" w:rsidP="00F73D1C"/>
    <w:p w14:paraId="58072409" w14:textId="77777777" w:rsidR="002542E0" w:rsidRDefault="002542E0" w:rsidP="002542E0">
      <w:pPr>
        <w:pStyle w:val="corpsdedcision"/>
        <w:numPr>
          <w:ilvl w:val="0"/>
          <w:numId w:val="0"/>
        </w:numPr>
        <w:tabs>
          <w:tab w:val="clear" w:pos="720"/>
        </w:tabs>
      </w:pPr>
    </w:p>
    <w:sectPr w:rsidR="002542E0">
      <w:headerReference w:type="default" r:id="rId7"/>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036D1" w14:textId="77777777" w:rsidR="00D26901" w:rsidRDefault="00D26901">
      <w:r>
        <w:separator/>
      </w:r>
    </w:p>
  </w:endnote>
  <w:endnote w:type="continuationSeparator" w:id="0">
    <w:p w14:paraId="2D64FCDC" w14:textId="77777777" w:rsidR="00D26901" w:rsidRDefault="00D2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54504" w14:textId="77777777" w:rsidR="00D26901" w:rsidRDefault="00D26901">
      <w:r>
        <w:separator/>
      </w:r>
    </w:p>
  </w:footnote>
  <w:footnote w:type="continuationSeparator" w:id="0">
    <w:p w14:paraId="1D6E4E8F" w14:textId="77777777" w:rsidR="00D26901" w:rsidRDefault="00D26901">
      <w:r>
        <w:continuationSeparator/>
      </w:r>
    </w:p>
  </w:footnote>
  <w:footnote w:id="1">
    <w:p w14:paraId="473E0039" w14:textId="275A6AAA" w:rsidR="00755E76" w:rsidRPr="003A577B" w:rsidRDefault="00755E76" w:rsidP="00755E76">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 xml:space="preserve">Décision rendue le </w:t>
      </w:r>
      <w:r w:rsidR="00096347">
        <w:rPr>
          <w:rFonts w:cs="Arial"/>
          <w:sz w:val="20"/>
        </w:rPr>
        <w:t>23 février 2022, à la suite d’une</w:t>
      </w:r>
      <w:r>
        <w:rPr>
          <w:rFonts w:cs="Arial"/>
          <w:sz w:val="20"/>
        </w:rPr>
        <w:t xml:space="preserve"> révision administrative.</w:t>
      </w:r>
    </w:p>
  </w:footnote>
  <w:footnote w:id="2">
    <w:p w14:paraId="309B61DA" w14:textId="77777777" w:rsidR="00755E76" w:rsidRPr="00D36A58" w:rsidRDefault="00755E76" w:rsidP="00755E76">
      <w:pPr>
        <w:pStyle w:val="Notedebasdepage"/>
        <w:tabs>
          <w:tab w:val="left" w:pos="720"/>
        </w:tabs>
        <w:ind w:left="720" w:hanging="720"/>
        <w:jc w:val="both"/>
        <w:rPr>
          <w:rFonts w:cs="Arial"/>
          <w:sz w:val="20"/>
        </w:rPr>
      </w:pPr>
      <w:r w:rsidRPr="007263E4">
        <w:rPr>
          <w:rStyle w:val="Appelnotedebasdep"/>
        </w:rPr>
        <w:footnoteRef/>
      </w:r>
      <w:r w:rsidRPr="007263E4">
        <w:t xml:space="preserve"> </w:t>
      </w:r>
      <w:r w:rsidRPr="00D36A58">
        <w:rPr>
          <w:rFonts w:cs="Arial"/>
          <w:sz w:val="20"/>
        </w:rPr>
        <w:tab/>
        <w:t>RLRQ, c. A-3.001.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D330B6" w14:paraId="7E4F9295" w14:textId="77777777" w:rsidTr="00112B86">
      <w:tc>
        <w:tcPr>
          <w:tcW w:w="8730" w:type="dxa"/>
        </w:tcPr>
        <w:p w14:paraId="7CF4617A" w14:textId="77777777" w:rsidR="00D330B6" w:rsidRDefault="00D330B6">
          <w:pPr>
            <w:pStyle w:val="En-tte"/>
            <w:ind w:left="-90"/>
          </w:pPr>
        </w:p>
      </w:tc>
      <w:tc>
        <w:tcPr>
          <w:tcW w:w="860" w:type="dxa"/>
        </w:tcPr>
        <w:p w14:paraId="464C75CA" w14:textId="77777777" w:rsidR="00D330B6" w:rsidRDefault="00D330B6">
          <w:pPr>
            <w:pStyle w:val="En-tte"/>
            <w:ind w:left="-90"/>
          </w:pPr>
        </w:p>
      </w:tc>
    </w:tr>
    <w:tr w:rsidR="00112B86" w14:paraId="65A1DFCF" w14:textId="77777777" w:rsidTr="00112B86">
      <w:tc>
        <w:tcPr>
          <w:tcW w:w="8730" w:type="dxa"/>
        </w:tcPr>
        <w:p w14:paraId="4DB753EA" w14:textId="7A40EF08" w:rsidR="00112B86" w:rsidRDefault="00112B86" w:rsidP="00112B86">
          <w:r w:rsidRPr="00112B86">
            <w:t>1267137-71-2202</w:t>
          </w:r>
        </w:p>
      </w:tc>
      <w:tc>
        <w:tcPr>
          <w:tcW w:w="860" w:type="dxa"/>
        </w:tcPr>
        <w:p w14:paraId="0D1B2688" w14:textId="77777777" w:rsidR="00112B86" w:rsidRDefault="00112B86" w:rsidP="00112B86">
          <w:pPr>
            <w:pStyle w:val="En-tte"/>
            <w:ind w:left="-9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6963BF">
            <w:rPr>
              <w:rStyle w:val="Numrodepage"/>
              <w:noProof/>
            </w:rPr>
            <w:t>2</w:t>
          </w:r>
          <w:r>
            <w:rPr>
              <w:rStyle w:val="Numrodepage"/>
            </w:rPr>
            <w:fldChar w:fldCharType="end"/>
          </w:r>
        </w:p>
      </w:tc>
    </w:tr>
    <w:tr w:rsidR="00112B86" w14:paraId="5CA461B3" w14:textId="77777777" w:rsidTr="00112B86">
      <w:tc>
        <w:tcPr>
          <w:tcW w:w="8730" w:type="dxa"/>
        </w:tcPr>
        <w:p w14:paraId="0E13EF14" w14:textId="77777777" w:rsidR="00112B86" w:rsidRDefault="00112B86" w:rsidP="00112B86"/>
      </w:tc>
      <w:tc>
        <w:tcPr>
          <w:tcW w:w="860" w:type="dxa"/>
        </w:tcPr>
        <w:p w14:paraId="2DC794CE" w14:textId="77777777" w:rsidR="00112B86" w:rsidRDefault="00112B86" w:rsidP="00112B86">
          <w:pPr>
            <w:pStyle w:val="En-tte"/>
            <w:ind w:left="-90"/>
            <w:jc w:val="right"/>
          </w:pPr>
        </w:p>
      </w:tc>
    </w:tr>
  </w:tbl>
  <w:p w14:paraId="2944F914" w14:textId="77777777" w:rsidR="00D330B6" w:rsidRDefault="00D330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9F2A10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3" w15:restartNumberingAfterBreak="0">
    <w:nsid w:val="6106716E"/>
    <w:multiLevelType w:val="hybridMultilevel"/>
    <w:tmpl w:val="9BA4811A"/>
    <w:lvl w:ilvl="0" w:tplc="0C0C0001">
      <w:start w:val="1"/>
      <w:numFmt w:val="bullet"/>
      <w:lvlText w:val=""/>
      <w:lvlJc w:val="left"/>
      <w:pPr>
        <w:ind w:left="1506" w:hanging="360"/>
      </w:pPr>
      <w:rPr>
        <w:rFonts w:ascii="Symbol" w:hAnsi="Symbol" w:hint="default"/>
      </w:rPr>
    </w:lvl>
    <w:lvl w:ilvl="1" w:tplc="0C0C0003" w:tentative="1">
      <w:start w:val="1"/>
      <w:numFmt w:val="bullet"/>
      <w:lvlText w:val="o"/>
      <w:lvlJc w:val="left"/>
      <w:pPr>
        <w:ind w:left="2226" w:hanging="360"/>
      </w:pPr>
      <w:rPr>
        <w:rFonts w:ascii="Courier New" w:hAnsi="Courier New" w:cs="Courier New" w:hint="default"/>
      </w:rPr>
    </w:lvl>
    <w:lvl w:ilvl="2" w:tplc="0C0C0005" w:tentative="1">
      <w:start w:val="1"/>
      <w:numFmt w:val="bullet"/>
      <w:lvlText w:val=""/>
      <w:lvlJc w:val="left"/>
      <w:pPr>
        <w:ind w:left="2946" w:hanging="360"/>
      </w:pPr>
      <w:rPr>
        <w:rFonts w:ascii="Wingdings" w:hAnsi="Wingdings" w:hint="default"/>
      </w:rPr>
    </w:lvl>
    <w:lvl w:ilvl="3" w:tplc="0C0C0001" w:tentative="1">
      <w:start w:val="1"/>
      <w:numFmt w:val="bullet"/>
      <w:lvlText w:val=""/>
      <w:lvlJc w:val="left"/>
      <w:pPr>
        <w:ind w:left="3666" w:hanging="360"/>
      </w:pPr>
      <w:rPr>
        <w:rFonts w:ascii="Symbol" w:hAnsi="Symbol" w:hint="default"/>
      </w:rPr>
    </w:lvl>
    <w:lvl w:ilvl="4" w:tplc="0C0C0003" w:tentative="1">
      <w:start w:val="1"/>
      <w:numFmt w:val="bullet"/>
      <w:lvlText w:val="o"/>
      <w:lvlJc w:val="left"/>
      <w:pPr>
        <w:ind w:left="4386" w:hanging="360"/>
      </w:pPr>
      <w:rPr>
        <w:rFonts w:ascii="Courier New" w:hAnsi="Courier New" w:cs="Courier New" w:hint="default"/>
      </w:rPr>
    </w:lvl>
    <w:lvl w:ilvl="5" w:tplc="0C0C0005" w:tentative="1">
      <w:start w:val="1"/>
      <w:numFmt w:val="bullet"/>
      <w:lvlText w:val=""/>
      <w:lvlJc w:val="left"/>
      <w:pPr>
        <w:ind w:left="5106" w:hanging="360"/>
      </w:pPr>
      <w:rPr>
        <w:rFonts w:ascii="Wingdings" w:hAnsi="Wingdings" w:hint="default"/>
      </w:rPr>
    </w:lvl>
    <w:lvl w:ilvl="6" w:tplc="0C0C0001" w:tentative="1">
      <w:start w:val="1"/>
      <w:numFmt w:val="bullet"/>
      <w:lvlText w:val=""/>
      <w:lvlJc w:val="left"/>
      <w:pPr>
        <w:ind w:left="5826" w:hanging="360"/>
      </w:pPr>
      <w:rPr>
        <w:rFonts w:ascii="Symbol" w:hAnsi="Symbol" w:hint="default"/>
      </w:rPr>
    </w:lvl>
    <w:lvl w:ilvl="7" w:tplc="0C0C0003" w:tentative="1">
      <w:start w:val="1"/>
      <w:numFmt w:val="bullet"/>
      <w:lvlText w:val="o"/>
      <w:lvlJc w:val="left"/>
      <w:pPr>
        <w:ind w:left="6546" w:hanging="360"/>
      </w:pPr>
      <w:rPr>
        <w:rFonts w:ascii="Courier New" w:hAnsi="Courier New" w:cs="Courier New" w:hint="default"/>
      </w:rPr>
    </w:lvl>
    <w:lvl w:ilvl="8" w:tplc="0C0C0005" w:tentative="1">
      <w:start w:val="1"/>
      <w:numFmt w:val="bullet"/>
      <w:lvlText w:val=""/>
      <w:lvlJc w:val="left"/>
      <w:pPr>
        <w:ind w:left="7266" w:hanging="360"/>
      </w:pPr>
      <w:rPr>
        <w:rFonts w:ascii="Wingdings" w:hAnsi="Wingdings" w:hint="default"/>
      </w:rPr>
    </w:lvl>
  </w:abstractNum>
  <w:abstractNum w:abstractNumId="4" w15:restartNumberingAfterBreak="0">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5"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32348AF"/>
    <w:multiLevelType w:val="hybridMultilevel"/>
    <w:tmpl w:val="54C694A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9" w15:restartNumberingAfterBreak="0">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10" w15:restartNumberingAfterBreak="0">
    <w:nsid w:val="78D6079A"/>
    <w:multiLevelType w:val="hybridMultilevel"/>
    <w:tmpl w:val="80AE0E1E"/>
    <w:lvl w:ilvl="0" w:tplc="22AEE0D8">
      <w:start w:val="1"/>
      <w:numFmt w:val="lowerLetter"/>
      <w:lvlText w:val="%1."/>
      <w:lvlJc w:val="left"/>
      <w:pPr>
        <w:ind w:left="1210" w:hanging="36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11"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9"/>
  </w:num>
  <w:num w:numId="2">
    <w:abstractNumId w:val="8"/>
  </w:num>
  <w:num w:numId="3">
    <w:abstractNumId w:val="7"/>
  </w:num>
  <w:num w:numId="4">
    <w:abstractNumId w:val="5"/>
  </w:num>
  <w:num w:numId="5">
    <w:abstractNumId w:val="11"/>
  </w:num>
  <w:num w:numId="6">
    <w:abstractNumId w:val="11"/>
  </w:num>
  <w:num w:numId="7">
    <w:abstractNumId w:val="1"/>
  </w:num>
  <w:num w:numId="8">
    <w:abstractNumId w:val="4"/>
  </w:num>
  <w:num w:numId="9">
    <w:abstractNumId w:val="2"/>
  </w:num>
  <w:num w:numId="10">
    <w:abstractNumId w:val="10"/>
  </w:num>
  <w:num w:numId="11">
    <w:abstractNumId w:val="6"/>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901"/>
    <w:rsid w:val="000034B0"/>
    <w:rsid w:val="000041A1"/>
    <w:rsid w:val="00006DD2"/>
    <w:rsid w:val="0001305E"/>
    <w:rsid w:val="00016D99"/>
    <w:rsid w:val="00021B30"/>
    <w:rsid w:val="00021E4C"/>
    <w:rsid w:val="00022556"/>
    <w:rsid w:val="0002285D"/>
    <w:rsid w:val="00023858"/>
    <w:rsid w:val="000352CA"/>
    <w:rsid w:val="000366EC"/>
    <w:rsid w:val="00036794"/>
    <w:rsid w:val="00043E4D"/>
    <w:rsid w:val="000536CC"/>
    <w:rsid w:val="000559A8"/>
    <w:rsid w:val="00055A3E"/>
    <w:rsid w:val="00056393"/>
    <w:rsid w:val="00057739"/>
    <w:rsid w:val="0007225E"/>
    <w:rsid w:val="00074ABE"/>
    <w:rsid w:val="00074EAE"/>
    <w:rsid w:val="000756D0"/>
    <w:rsid w:val="00076D81"/>
    <w:rsid w:val="00080885"/>
    <w:rsid w:val="00082A97"/>
    <w:rsid w:val="0008378A"/>
    <w:rsid w:val="0008784D"/>
    <w:rsid w:val="00090018"/>
    <w:rsid w:val="00090306"/>
    <w:rsid w:val="00090F69"/>
    <w:rsid w:val="00093ACD"/>
    <w:rsid w:val="00095814"/>
    <w:rsid w:val="00096347"/>
    <w:rsid w:val="00097D81"/>
    <w:rsid w:val="00097FCE"/>
    <w:rsid w:val="000A1DAC"/>
    <w:rsid w:val="000A4AD0"/>
    <w:rsid w:val="000A5AD1"/>
    <w:rsid w:val="000A63DF"/>
    <w:rsid w:val="000A77C5"/>
    <w:rsid w:val="000B6275"/>
    <w:rsid w:val="000B7F1B"/>
    <w:rsid w:val="000C710F"/>
    <w:rsid w:val="000D3948"/>
    <w:rsid w:val="000E0C28"/>
    <w:rsid w:val="000E0C3A"/>
    <w:rsid w:val="000E1320"/>
    <w:rsid w:val="000E3FF6"/>
    <w:rsid w:val="000E56A6"/>
    <w:rsid w:val="000F20A5"/>
    <w:rsid w:val="000F3423"/>
    <w:rsid w:val="000F5F81"/>
    <w:rsid w:val="00100AB8"/>
    <w:rsid w:val="00104550"/>
    <w:rsid w:val="00104C3D"/>
    <w:rsid w:val="001050B4"/>
    <w:rsid w:val="00112B86"/>
    <w:rsid w:val="001144AB"/>
    <w:rsid w:val="0012224D"/>
    <w:rsid w:val="001225BC"/>
    <w:rsid w:val="00122A9E"/>
    <w:rsid w:val="00122F94"/>
    <w:rsid w:val="0012326A"/>
    <w:rsid w:val="00132622"/>
    <w:rsid w:val="00137E7E"/>
    <w:rsid w:val="001407FC"/>
    <w:rsid w:val="00144572"/>
    <w:rsid w:val="00146116"/>
    <w:rsid w:val="00147A49"/>
    <w:rsid w:val="00147B8B"/>
    <w:rsid w:val="0015125A"/>
    <w:rsid w:val="00152464"/>
    <w:rsid w:val="0015539F"/>
    <w:rsid w:val="00160597"/>
    <w:rsid w:val="00162ECC"/>
    <w:rsid w:val="001664C8"/>
    <w:rsid w:val="00167AD0"/>
    <w:rsid w:val="00167DEF"/>
    <w:rsid w:val="00167E9D"/>
    <w:rsid w:val="00173184"/>
    <w:rsid w:val="00175079"/>
    <w:rsid w:val="001761B9"/>
    <w:rsid w:val="00183515"/>
    <w:rsid w:val="001846FC"/>
    <w:rsid w:val="001924FE"/>
    <w:rsid w:val="001947EB"/>
    <w:rsid w:val="001965E1"/>
    <w:rsid w:val="001A03BE"/>
    <w:rsid w:val="001A067E"/>
    <w:rsid w:val="001A133C"/>
    <w:rsid w:val="001A2900"/>
    <w:rsid w:val="001A4081"/>
    <w:rsid w:val="001A65F1"/>
    <w:rsid w:val="001B2B40"/>
    <w:rsid w:val="001B3E9D"/>
    <w:rsid w:val="001B4A40"/>
    <w:rsid w:val="001B5524"/>
    <w:rsid w:val="001B6D8A"/>
    <w:rsid w:val="001C19D4"/>
    <w:rsid w:val="001C2B0B"/>
    <w:rsid w:val="001C436D"/>
    <w:rsid w:val="001D63C8"/>
    <w:rsid w:val="001D65D8"/>
    <w:rsid w:val="001E3DFD"/>
    <w:rsid w:val="001E42F0"/>
    <w:rsid w:val="001E497A"/>
    <w:rsid w:val="001E5E3B"/>
    <w:rsid w:val="00225C46"/>
    <w:rsid w:val="00226493"/>
    <w:rsid w:val="00227040"/>
    <w:rsid w:val="00230CFC"/>
    <w:rsid w:val="0023162A"/>
    <w:rsid w:val="00231C1D"/>
    <w:rsid w:val="00233532"/>
    <w:rsid w:val="00234BC8"/>
    <w:rsid w:val="00241CED"/>
    <w:rsid w:val="00242FB4"/>
    <w:rsid w:val="00245605"/>
    <w:rsid w:val="002542E0"/>
    <w:rsid w:val="002563F0"/>
    <w:rsid w:val="00256DBB"/>
    <w:rsid w:val="00260119"/>
    <w:rsid w:val="00266064"/>
    <w:rsid w:val="00267C8D"/>
    <w:rsid w:val="002701DD"/>
    <w:rsid w:val="002710FD"/>
    <w:rsid w:val="00273F49"/>
    <w:rsid w:val="002769B5"/>
    <w:rsid w:val="00276B25"/>
    <w:rsid w:val="00276B59"/>
    <w:rsid w:val="00281319"/>
    <w:rsid w:val="00286149"/>
    <w:rsid w:val="0028668D"/>
    <w:rsid w:val="00290289"/>
    <w:rsid w:val="00292188"/>
    <w:rsid w:val="002923D9"/>
    <w:rsid w:val="00294BFB"/>
    <w:rsid w:val="00296645"/>
    <w:rsid w:val="00296A4B"/>
    <w:rsid w:val="00297284"/>
    <w:rsid w:val="002A0077"/>
    <w:rsid w:val="002A07DC"/>
    <w:rsid w:val="002A3573"/>
    <w:rsid w:val="002A374B"/>
    <w:rsid w:val="002A73E9"/>
    <w:rsid w:val="002B132B"/>
    <w:rsid w:val="002B2FC3"/>
    <w:rsid w:val="002B35F0"/>
    <w:rsid w:val="002B54F6"/>
    <w:rsid w:val="002B58AF"/>
    <w:rsid w:val="002C07AF"/>
    <w:rsid w:val="002C3748"/>
    <w:rsid w:val="002C5E89"/>
    <w:rsid w:val="002D42BC"/>
    <w:rsid w:val="002D71A9"/>
    <w:rsid w:val="002D7846"/>
    <w:rsid w:val="002D7FCB"/>
    <w:rsid w:val="002E05AE"/>
    <w:rsid w:val="002E7CED"/>
    <w:rsid w:val="002F7507"/>
    <w:rsid w:val="0030059B"/>
    <w:rsid w:val="00302FB4"/>
    <w:rsid w:val="00305273"/>
    <w:rsid w:val="003057FC"/>
    <w:rsid w:val="00305AFB"/>
    <w:rsid w:val="00307C85"/>
    <w:rsid w:val="00312983"/>
    <w:rsid w:val="00323DC5"/>
    <w:rsid w:val="003248CB"/>
    <w:rsid w:val="00331EA7"/>
    <w:rsid w:val="003332B8"/>
    <w:rsid w:val="00337555"/>
    <w:rsid w:val="00343B46"/>
    <w:rsid w:val="00344465"/>
    <w:rsid w:val="0034740A"/>
    <w:rsid w:val="0035375B"/>
    <w:rsid w:val="00356092"/>
    <w:rsid w:val="00362D74"/>
    <w:rsid w:val="003664E9"/>
    <w:rsid w:val="00366D1E"/>
    <w:rsid w:val="003703A5"/>
    <w:rsid w:val="0037112C"/>
    <w:rsid w:val="00373EE5"/>
    <w:rsid w:val="0038128F"/>
    <w:rsid w:val="003817E7"/>
    <w:rsid w:val="00382E55"/>
    <w:rsid w:val="00390B55"/>
    <w:rsid w:val="003961B2"/>
    <w:rsid w:val="003A41AD"/>
    <w:rsid w:val="003B0C41"/>
    <w:rsid w:val="003B152B"/>
    <w:rsid w:val="003B1734"/>
    <w:rsid w:val="003B1735"/>
    <w:rsid w:val="003B2D2E"/>
    <w:rsid w:val="003B6CBF"/>
    <w:rsid w:val="003C47A7"/>
    <w:rsid w:val="003D0826"/>
    <w:rsid w:val="003D18FC"/>
    <w:rsid w:val="003D3C93"/>
    <w:rsid w:val="003D71BB"/>
    <w:rsid w:val="003E00D5"/>
    <w:rsid w:val="003E02BA"/>
    <w:rsid w:val="003F0578"/>
    <w:rsid w:val="003F7F38"/>
    <w:rsid w:val="00401325"/>
    <w:rsid w:val="004019AA"/>
    <w:rsid w:val="0040399B"/>
    <w:rsid w:val="00406F0C"/>
    <w:rsid w:val="004106DB"/>
    <w:rsid w:val="00410A9A"/>
    <w:rsid w:val="00411251"/>
    <w:rsid w:val="00412585"/>
    <w:rsid w:val="0041363B"/>
    <w:rsid w:val="00414FA8"/>
    <w:rsid w:val="004153EE"/>
    <w:rsid w:val="00415D5D"/>
    <w:rsid w:val="0041643A"/>
    <w:rsid w:val="004232E9"/>
    <w:rsid w:val="0042650F"/>
    <w:rsid w:val="0042684F"/>
    <w:rsid w:val="00427D5D"/>
    <w:rsid w:val="00431E0B"/>
    <w:rsid w:val="004337FE"/>
    <w:rsid w:val="00433E98"/>
    <w:rsid w:val="00435738"/>
    <w:rsid w:val="00437137"/>
    <w:rsid w:val="004403B8"/>
    <w:rsid w:val="00441ADA"/>
    <w:rsid w:val="004422CA"/>
    <w:rsid w:val="0044274C"/>
    <w:rsid w:val="0044371C"/>
    <w:rsid w:val="0044627E"/>
    <w:rsid w:val="0045114F"/>
    <w:rsid w:val="004529D3"/>
    <w:rsid w:val="00453F31"/>
    <w:rsid w:val="00456B0C"/>
    <w:rsid w:val="00460101"/>
    <w:rsid w:val="0046538B"/>
    <w:rsid w:val="00466661"/>
    <w:rsid w:val="00471C92"/>
    <w:rsid w:val="004739AC"/>
    <w:rsid w:val="00474489"/>
    <w:rsid w:val="00475FEF"/>
    <w:rsid w:val="0047680F"/>
    <w:rsid w:val="00477536"/>
    <w:rsid w:val="0047776F"/>
    <w:rsid w:val="00482D5B"/>
    <w:rsid w:val="004832E2"/>
    <w:rsid w:val="004870EA"/>
    <w:rsid w:val="004873EC"/>
    <w:rsid w:val="00487F13"/>
    <w:rsid w:val="0049595F"/>
    <w:rsid w:val="00496193"/>
    <w:rsid w:val="004A02AF"/>
    <w:rsid w:val="004A2D66"/>
    <w:rsid w:val="004A4449"/>
    <w:rsid w:val="004A679B"/>
    <w:rsid w:val="004C0FB4"/>
    <w:rsid w:val="004C1811"/>
    <w:rsid w:val="004C2944"/>
    <w:rsid w:val="004C4555"/>
    <w:rsid w:val="004D16D6"/>
    <w:rsid w:val="004D35EF"/>
    <w:rsid w:val="004D6B2D"/>
    <w:rsid w:val="004D6CEA"/>
    <w:rsid w:val="004E0E02"/>
    <w:rsid w:val="004E3564"/>
    <w:rsid w:val="004E3D9F"/>
    <w:rsid w:val="004E51C0"/>
    <w:rsid w:val="004E64BE"/>
    <w:rsid w:val="004F6293"/>
    <w:rsid w:val="00503B8D"/>
    <w:rsid w:val="00503EE3"/>
    <w:rsid w:val="00505811"/>
    <w:rsid w:val="0051261C"/>
    <w:rsid w:val="00515DE7"/>
    <w:rsid w:val="00517EB0"/>
    <w:rsid w:val="005205CB"/>
    <w:rsid w:val="0052430C"/>
    <w:rsid w:val="005348E4"/>
    <w:rsid w:val="00534D8F"/>
    <w:rsid w:val="005352F1"/>
    <w:rsid w:val="00540094"/>
    <w:rsid w:val="00545CFF"/>
    <w:rsid w:val="00547A9C"/>
    <w:rsid w:val="00555800"/>
    <w:rsid w:val="00556DBB"/>
    <w:rsid w:val="00560781"/>
    <w:rsid w:val="0056268F"/>
    <w:rsid w:val="005662E9"/>
    <w:rsid w:val="005700F8"/>
    <w:rsid w:val="00572AAF"/>
    <w:rsid w:val="005801AE"/>
    <w:rsid w:val="00582868"/>
    <w:rsid w:val="00582ECC"/>
    <w:rsid w:val="0058399B"/>
    <w:rsid w:val="0058692F"/>
    <w:rsid w:val="00587045"/>
    <w:rsid w:val="00587C22"/>
    <w:rsid w:val="005907BE"/>
    <w:rsid w:val="0059436D"/>
    <w:rsid w:val="005945C0"/>
    <w:rsid w:val="00596AB2"/>
    <w:rsid w:val="00597016"/>
    <w:rsid w:val="005974B7"/>
    <w:rsid w:val="005A0D51"/>
    <w:rsid w:val="005A181B"/>
    <w:rsid w:val="005A1CB3"/>
    <w:rsid w:val="005A3073"/>
    <w:rsid w:val="005A33A5"/>
    <w:rsid w:val="005A37D7"/>
    <w:rsid w:val="005A3950"/>
    <w:rsid w:val="005A5437"/>
    <w:rsid w:val="005A6969"/>
    <w:rsid w:val="005A70A0"/>
    <w:rsid w:val="005B0612"/>
    <w:rsid w:val="005B13F0"/>
    <w:rsid w:val="005B2E0C"/>
    <w:rsid w:val="005B30F6"/>
    <w:rsid w:val="005B3D27"/>
    <w:rsid w:val="005B45BA"/>
    <w:rsid w:val="005B5689"/>
    <w:rsid w:val="005B6680"/>
    <w:rsid w:val="005B6774"/>
    <w:rsid w:val="005C0A89"/>
    <w:rsid w:val="005C3BC4"/>
    <w:rsid w:val="005D26CC"/>
    <w:rsid w:val="005D4711"/>
    <w:rsid w:val="005D59B1"/>
    <w:rsid w:val="005D764B"/>
    <w:rsid w:val="005E2367"/>
    <w:rsid w:val="005E34D2"/>
    <w:rsid w:val="005E5E90"/>
    <w:rsid w:val="005E62C7"/>
    <w:rsid w:val="005E6400"/>
    <w:rsid w:val="005E654C"/>
    <w:rsid w:val="005F05F6"/>
    <w:rsid w:val="005F0D07"/>
    <w:rsid w:val="00605734"/>
    <w:rsid w:val="0061488E"/>
    <w:rsid w:val="0061574B"/>
    <w:rsid w:val="00616406"/>
    <w:rsid w:val="00622670"/>
    <w:rsid w:val="00623328"/>
    <w:rsid w:val="00623A1A"/>
    <w:rsid w:val="00626E8D"/>
    <w:rsid w:val="0063156B"/>
    <w:rsid w:val="006326A9"/>
    <w:rsid w:val="00632DA8"/>
    <w:rsid w:val="00634C4B"/>
    <w:rsid w:val="00634E6E"/>
    <w:rsid w:val="0063651F"/>
    <w:rsid w:val="0064342A"/>
    <w:rsid w:val="00643A28"/>
    <w:rsid w:val="006452FA"/>
    <w:rsid w:val="0065093D"/>
    <w:rsid w:val="00652A16"/>
    <w:rsid w:val="00655193"/>
    <w:rsid w:val="00655459"/>
    <w:rsid w:val="00656FB2"/>
    <w:rsid w:val="00657A70"/>
    <w:rsid w:val="00661454"/>
    <w:rsid w:val="006620AA"/>
    <w:rsid w:val="006626AF"/>
    <w:rsid w:val="0066642D"/>
    <w:rsid w:val="006722E2"/>
    <w:rsid w:val="00675E85"/>
    <w:rsid w:val="0067750F"/>
    <w:rsid w:val="00681396"/>
    <w:rsid w:val="0068171F"/>
    <w:rsid w:val="0068401E"/>
    <w:rsid w:val="006841A4"/>
    <w:rsid w:val="0068643F"/>
    <w:rsid w:val="006877A1"/>
    <w:rsid w:val="00692150"/>
    <w:rsid w:val="00692F0C"/>
    <w:rsid w:val="006944B0"/>
    <w:rsid w:val="006963BF"/>
    <w:rsid w:val="00696E7C"/>
    <w:rsid w:val="00696EF2"/>
    <w:rsid w:val="006A0C54"/>
    <w:rsid w:val="006A3DAA"/>
    <w:rsid w:val="006A3E54"/>
    <w:rsid w:val="006A7C53"/>
    <w:rsid w:val="006B140A"/>
    <w:rsid w:val="006B309C"/>
    <w:rsid w:val="006B4316"/>
    <w:rsid w:val="006B727F"/>
    <w:rsid w:val="006C1B57"/>
    <w:rsid w:val="006C6D3A"/>
    <w:rsid w:val="006C7B36"/>
    <w:rsid w:val="006C7B7F"/>
    <w:rsid w:val="006D19E8"/>
    <w:rsid w:val="006D7768"/>
    <w:rsid w:val="006E04B5"/>
    <w:rsid w:val="006E330C"/>
    <w:rsid w:val="006E3DD8"/>
    <w:rsid w:val="006E5DDD"/>
    <w:rsid w:val="006E793F"/>
    <w:rsid w:val="006F0154"/>
    <w:rsid w:val="006F608D"/>
    <w:rsid w:val="006F7944"/>
    <w:rsid w:val="00704121"/>
    <w:rsid w:val="00705BB5"/>
    <w:rsid w:val="0071326F"/>
    <w:rsid w:val="007153D7"/>
    <w:rsid w:val="00720ED4"/>
    <w:rsid w:val="00722736"/>
    <w:rsid w:val="00724B20"/>
    <w:rsid w:val="00732747"/>
    <w:rsid w:val="0074488F"/>
    <w:rsid w:val="00745AA8"/>
    <w:rsid w:val="007503E0"/>
    <w:rsid w:val="007510EC"/>
    <w:rsid w:val="0075233C"/>
    <w:rsid w:val="0075256A"/>
    <w:rsid w:val="00752DCD"/>
    <w:rsid w:val="00755E76"/>
    <w:rsid w:val="007569DE"/>
    <w:rsid w:val="0075723C"/>
    <w:rsid w:val="0076146A"/>
    <w:rsid w:val="0076350E"/>
    <w:rsid w:val="00763F36"/>
    <w:rsid w:val="00771F22"/>
    <w:rsid w:val="00775BDF"/>
    <w:rsid w:val="0077614D"/>
    <w:rsid w:val="00782C8F"/>
    <w:rsid w:val="00785F78"/>
    <w:rsid w:val="0078659D"/>
    <w:rsid w:val="007869EC"/>
    <w:rsid w:val="00791ED8"/>
    <w:rsid w:val="007A1E58"/>
    <w:rsid w:val="007A5C7E"/>
    <w:rsid w:val="007A63F9"/>
    <w:rsid w:val="007A69A9"/>
    <w:rsid w:val="007A6E2F"/>
    <w:rsid w:val="007B0DF2"/>
    <w:rsid w:val="007B3553"/>
    <w:rsid w:val="007B3BC5"/>
    <w:rsid w:val="007B6F8D"/>
    <w:rsid w:val="007B7F21"/>
    <w:rsid w:val="007C1832"/>
    <w:rsid w:val="007D03DF"/>
    <w:rsid w:val="007D4953"/>
    <w:rsid w:val="007D50F4"/>
    <w:rsid w:val="007D7173"/>
    <w:rsid w:val="007E1216"/>
    <w:rsid w:val="007E4CD4"/>
    <w:rsid w:val="007E530C"/>
    <w:rsid w:val="007F0E8E"/>
    <w:rsid w:val="007F2149"/>
    <w:rsid w:val="007F4E00"/>
    <w:rsid w:val="007F5C5E"/>
    <w:rsid w:val="008048CF"/>
    <w:rsid w:val="008079DD"/>
    <w:rsid w:val="0081130F"/>
    <w:rsid w:val="00813095"/>
    <w:rsid w:val="008145AD"/>
    <w:rsid w:val="008146B2"/>
    <w:rsid w:val="00824430"/>
    <w:rsid w:val="00825B1F"/>
    <w:rsid w:val="00827D55"/>
    <w:rsid w:val="00832C84"/>
    <w:rsid w:val="00840EDD"/>
    <w:rsid w:val="0084255F"/>
    <w:rsid w:val="00846FB1"/>
    <w:rsid w:val="00854FB3"/>
    <w:rsid w:val="00857FCA"/>
    <w:rsid w:val="00860F13"/>
    <w:rsid w:val="0086199C"/>
    <w:rsid w:val="00861F8B"/>
    <w:rsid w:val="0086561F"/>
    <w:rsid w:val="00865A7A"/>
    <w:rsid w:val="00865FE1"/>
    <w:rsid w:val="0087069B"/>
    <w:rsid w:val="00873D37"/>
    <w:rsid w:val="00874542"/>
    <w:rsid w:val="008748C7"/>
    <w:rsid w:val="0087521A"/>
    <w:rsid w:val="008808C0"/>
    <w:rsid w:val="00882255"/>
    <w:rsid w:val="008845FE"/>
    <w:rsid w:val="00890BDE"/>
    <w:rsid w:val="00892AD3"/>
    <w:rsid w:val="00894155"/>
    <w:rsid w:val="0089418F"/>
    <w:rsid w:val="008962E7"/>
    <w:rsid w:val="008A1118"/>
    <w:rsid w:val="008A281F"/>
    <w:rsid w:val="008A48D2"/>
    <w:rsid w:val="008A4AF6"/>
    <w:rsid w:val="008A4FF8"/>
    <w:rsid w:val="008A5ED1"/>
    <w:rsid w:val="008A73CE"/>
    <w:rsid w:val="008A7FD1"/>
    <w:rsid w:val="008B042E"/>
    <w:rsid w:val="008B211E"/>
    <w:rsid w:val="008B6D48"/>
    <w:rsid w:val="008C7660"/>
    <w:rsid w:val="008C79A7"/>
    <w:rsid w:val="008D5521"/>
    <w:rsid w:val="008D555F"/>
    <w:rsid w:val="008D566A"/>
    <w:rsid w:val="008D625D"/>
    <w:rsid w:val="008D650E"/>
    <w:rsid w:val="008D6F9F"/>
    <w:rsid w:val="008E02B2"/>
    <w:rsid w:val="008E5578"/>
    <w:rsid w:val="008E673E"/>
    <w:rsid w:val="008E67D1"/>
    <w:rsid w:val="008E6A41"/>
    <w:rsid w:val="008E6FC1"/>
    <w:rsid w:val="008F15D5"/>
    <w:rsid w:val="008F20EA"/>
    <w:rsid w:val="008F633F"/>
    <w:rsid w:val="008F79C4"/>
    <w:rsid w:val="00903990"/>
    <w:rsid w:val="009042A8"/>
    <w:rsid w:val="00904950"/>
    <w:rsid w:val="0091442E"/>
    <w:rsid w:val="00915E5E"/>
    <w:rsid w:val="009166B8"/>
    <w:rsid w:val="00916FA5"/>
    <w:rsid w:val="00917915"/>
    <w:rsid w:val="00920684"/>
    <w:rsid w:val="009216E6"/>
    <w:rsid w:val="009224EC"/>
    <w:rsid w:val="00922DB7"/>
    <w:rsid w:val="0092684A"/>
    <w:rsid w:val="00927654"/>
    <w:rsid w:val="00937FAB"/>
    <w:rsid w:val="0094094D"/>
    <w:rsid w:val="00942AB8"/>
    <w:rsid w:val="0094548C"/>
    <w:rsid w:val="00945CAF"/>
    <w:rsid w:val="00946AC9"/>
    <w:rsid w:val="00947448"/>
    <w:rsid w:val="00952B38"/>
    <w:rsid w:val="00952C99"/>
    <w:rsid w:val="009619EB"/>
    <w:rsid w:val="00965333"/>
    <w:rsid w:val="009712EF"/>
    <w:rsid w:val="009727BF"/>
    <w:rsid w:val="00973321"/>
    <w:rsid w:val="00975C2E"/>
    <w:rsid w:val="00976D29"/>
    <w:rsid w:val="009770EB"/>
    <w:rsid w:val="00977174"/>
    <w:rsid w:val="00977270"/>
    <w:rsid w:val="009824F2"/>
    <w:rsid w:val="00983080"/>
    <w:rsid w:val="00986AA3"/>
    <w:rsid w:val="00993B24"/>
    <w:rsid w:val="0099611F"/>
    <w:rsid w:val="009A083F"/>
    <w:rsid w:val="009A135C"/>
    <w:rsid w:val="009A67E7"/>
    <w:rsid w:val="009C603A"/>
    <w:rsid w:val="009C74CD"/>
    <w:rsid w:val="009D048F"/>
    <w:rsid w:val="009D162F"/>
    <w:rsid w:val="009D23FF"/>
    <w:rsid w:val="009D401F"/>
    <w:rsid w:val="009D5B42"/>
    <w:rsid w:val="009D68FA"/>
    <w:rsid w:val="009E0807"/>
    <w:rsid w:val="009E1E4F"/>
    <w:rsid w:val="009E32CF"/>
    <w:rsid w:val="009E4261"/>
    <w:rsid w:val="009E4FC2"/>
    <w:rsid w:val="009F44AE"/>
    <w:rsid w:val="009F59B9"/>
    <w:rsid w:val="00A02529"/>
    <w:rsid w:val="00A02EF2"/>
    <w:rsid w:val="00A04D5E"/>
    <w:rsid w:val="00A10DDF"/>
    <w:rsid w:val="00A11172"/>
    <w:rsid w:val="00A1219E"/>
    <w:rsid w:val="00A12E55"/>
    <w:rsid w:val="00A168D7"/>
    <w:rsid w:val="00A20F81"/>
    <w:rsid w:val="00A2411A"/>
    <w:rsid w:val="00A242E4"/>
    <w:rsid w:val="00A24437"/>
    <w:rsid w:val="00A24CA0"/>
    <w:rsid w:val="00A25D4B"/>
    <w:rsid w:val="00A30AAC"/>
    <w:rsid w:val="00A3330C"/>
    <w:rsid w:val="00A33601"/>
    <w:rsid w:val="00A3362A"/>
    <w:rsid w:val="00A34251"/>
    <w:rsid w:val="00A35278"/>
    <w:rsid w:val="00A36257"/>
    <w:rsid w:val="00A37045"/>
    <w:rsid w:val="00A37B70"/>
    <w:rsid w:val="00A40AC7"/>
    <w:rsid w:val="00A435C7"/>
    <w:rsid w:val="00A54524"/>
    <w:rsid w:val="00A55607"/>
    <w:rsid w:val="00A569B2"/>
    <w:rsid w:val="00A60CDA"/>
    <w:rsid w:val="00A611A4"/>
    <w:rsid w:val="00A61F09"/>
    <w:rsid w:val="00A637ED"/>
    <w:rsid w:val="00A63E1A"/>
    <w:rsid w:val="00A643DC"/>
    <w:rsid w:val="00A6695B"/>
    <w:rsid w:val="00A72703"/>
    <w:rsid w:val="00A727F6"/>
    <w:rsid w:val="00A72E71"/>
    <w:rsid w:val="00A76432"/>
    <w:rsid w:val="00A770C0"/>
    <w:rsid w:val="00A84FC6"/>
    <w:rsid w:val="00A8528E"/>
    <w:rsid w:val="00A90BD9"/>
    <w:rsid w:val="00A9101B"/>
    <w:rsid w:val="00A91BBE"/>
    <w:rsid w:val="00A94A49"/>
    <w:rsid w:val="00A95C5E"/>
    <w:rsid w:val="00AA1815"/>
    <w:rsid w:val="00AA1D3E"/>
    <w:rsid w:val="00AA20E7"/>
    <w:rsid w:val="00AA39F9"/>
    <w:rsid w:val="00AA79D3"/>
    <w:rsid w:val="00AB0931"/>
    <w:rsid w:val="00AB4DC4"/>
    <w:rsid w:val="00AB5C9B"/>
    <w:rsid w:val="00AC0159"/>
    <w:rsid w:val="00AC0276"/>
    <w:rsid w:val="00AC0312"/>
    <w:rsid w:val="00AC0449"/>
    <w:rsid w:val="00AC0DC3"/>
    <w:rsid w:val="00AD035F"/>
    <w:rsid w:val="00AD2497"/>
    <w:rsid w:val="00AD5C04"/>
    <w:rsid w:val="00AD5EB4"/>
    <w:rsid w:val="00AD667B"/>
    <w:rsid w:val="00AE63E2"/>
    <w:rsid w:val="00AE7976"/>
    <w:rsid w:val="00AF04C9"/>
    <w:rsid w:val="00AF19A2"/>
    <w:rsid w:val="00AF1DC4"/>
    <w:rsid w:val="00AF26B6"/>
    <w:rsid w:val="00AF2979"/>
    <w:rsid w:val="00AF3189"/>
    <w:rsid w:val="00AF5BF8"/>
    <w:rsid w:val="00B0375C"/>
    <w:rsid w:val="00B052CB"/>
    <w:rsid w:val="00B11A45"/>
    <w:rsid w:val="00B156C3"/>
    <w:rsid w:val="00B15F67"/>
    <w:rsid w:val="00B1624F"/>
    <w:rsid w:val="00B20F5D"/>
    <w:rsid w:val="00B21184"/>
    <w:rsid w:val="00B224C5"/>
    <w:rsid w:val="00B325CD"/>
    <w:rsid w:val="00B36C0F"/>
    <w:rsid w:val="00B37793"/>
    <w:rsid w:val="00B41203"/>
    <w:rsid w:val="00B4561E"/>
    <w:rsid w:val="00B4768D"/>
    <w:rsid w:val="00B518E5"/>
    <w:rsid w:val="00B51E1F"/>
    <w:rsid w:val="00B52601"/>
    <w:rsid w:val="00B57032"/>
    <w:rsid w:val="00B60222"/>
    <w:rsid w:val="00B62CFB"/>
    <w:rsid w:val="00B662F5"/>
    <w:rsid w:val="00B7000C"/>
    <w:rsid w:val="00B760D5"/>
    <w:rsid w:val="00B77495"/>
    <w:rsid w:val="00B83B2C"/>
    <w:rsid w:val="00B92049"/>
    <w:rsid w:val="00B94740"/>
    <w:rsid w:val="00B95002"/>
    <w:rsid w:val="00B97F75"/>
    <w:rsid w:val="00BA0A4F"/>
    <w:rsid w:val="00BA1CAE"/>
    <w:rsid w:val="00BA33BB"/>
    <w:rsid w:val="00BA4830"/>
    <w:rsid w:val="00BA6E22"/>
    <w:rsid w:val="00BB1460"/>
    <w:rsid w:val="00BB362C"/>
    <w:rsid w:val="00BB5942"/>
    <w:rsid w:val="00BC0A03"/>
    <w:rsid w:val="00BC4A42"/>
    <w:rsid w:val="00BC5BB4"/>
    <w:rsid w:val="00BD4139"/>
    <w:rsid w:val="00BE059A"/>
    <w:rsid w:val="00BE1981"/>
    <w:rsid w:val="00BE2DA6"/>
    <w:rsid w:val="00BE2E86"/>
    <w:rsid w:val="00BE320B"/>
    <w:rsid w:val="00BE56E9"/>
    <w:rsid w:val="00BE63CF"/>
    <w:rsid w:val="00BE7014"/>
    <w:rsid w:val="00BE7991"/>
    <w:rsid w:val="00BF25C7"/>
    <w:rsid w:val="00C009B7"/>
    <w:rsid w:val="00C02B8F"/>
    <w:rsid w:val="00C04E32"/>
    <w:rsid w:val="00C116B1"/>
    <w:rsid w:val="00C15A3F"/>
    <w:rsid w:val="00C20630"/>
    <w:rsid w:val="00C224A4"/>
    <w:rsid w:val="00C22F7A"/>
    <w:rsid w:val="00C2666F"/>
    <w:rsid w:val="00C32020"/>
    <w:rsid w:val="00C32D02"/>
    <w:rsid w:val="00C3408C"/>
    <w:rsid w:val="00C3484D"/>
    <w:rsid w:val="00C351CC"/>
    <w:rsid w:val="00C35435"/>
    <w:rsid w:val="00C432FD"/>
    <w:rsid w:val="00C43CDF"/>
    <w:rsid w:val="00C4608E"/>
    <w:rsid w:val="00C512B2"/>
    <w:rsid w:val="00C53B5D"/>
    <w:rsid w:val="00C571FB"/>
    <w:rsid w:val="00C57381"/>
    <w:rsid w:val="00C61D56"/>
    <w:rsid w:val="00C62B69"/>
    <w:rsid w:val="00C644B7"/>
    <w:rsid w:val="00C64564"/>
    <w:rsid w:val="00C66D6F"/>
    <w:rsid w:val="00C71377"/>
    <w:rsid w:val="00C73C87"/>
    <w:rsid w:val="00C74B6F"/>
    <w:rsid w:val="00C87EF3"/>
    <w:rsid w:val="00C9015F"/>
    <w:rsid w:val="00C912F9"/>
    <w:rsid w:val="00C91B22"/>
    <w:rsid w:val="00C9241B"/>
    <w:rsid w:val="00C9370B"/>
    <w:rsid w:val="00C96DDF"/>
    <w:rsid w:val="00C97569"/>
    <w:rsid w:val="00CA199D"/>
    <w:rsid w:val="00CA4D9C"/>
    <w:rsid w:val="00CB05A7"/>
    <w:rsid w:val="00CB06A4"/>
    <w:rsid w:val="00CB325B"/>
    <w:rsid w:val="00CB3EFF"/>
    <w:rsid w:val="00CB64FF"/>
    <w:rsid w:val="00CB7078"/>
    <w:rsid w:val="00CB711D"/>
    <w:rsid w:val="00CB7902"/>
    <w:rsid w:val="00CC014B"/>
    <w:rsid w:val="00CC0E81"/>
    <w:rsid w:val="00CC21D8"/>
    <w:rsid w:val="00CC3369"/>
    <w:rsid w:val="00CC5343"/>
    <w:rsid w:val="00CC59D7"/>
    <w:rsid w:val="00CC6338"/>
    <w:rsid w:val="00CC78DE"/>
    <w:rsid w:val="00CD04D9"/>
    <w:rsid w:val="00CD0F93"/>
    <w:rsid w:val="00CD6D6E"/>
    <w:rsid w:val="00CD6F23"/>
    <w:rsid w:val="00CF640B"/>
    <w:rsid w:val="00CF6B5A"/>
    <w:rsid w:val="00D027AF"/>
    <w:rsid w:val="00D0323E"/>
    <w:rsid w:val="00D06652"/>
    <w:rsid w:val="00D07FA6"/>
    <w:rsid w:val="00D16ADF"/>
    <w:rsid w:val="00D17C53"/>
    <w:rsid w:val="00D17D57"/>
    <w:rsid w:val="00D2341D"/>
    <w:rsid w:val="00D252DA"/>
    <w:rsid w:val="00D25E0E"/>
    <w:rsid w:val="00D26901"/>
    <w:rsid w:val="00D302EB"/>
    <w:rsid w:val="00D31679"/>
    <w:rsid w:val="00D320C8"/>
    <w:rsid w:val="00D330B6"/>
    <w:rsid w:val="00D3672F"/>
    <w:rsid w:val="00D40ABA"/>
    <w:rsid w:val="00D40FE2"/>
    <w:rsid w:val="00D440FA"/>
    <w:rsid w:val="00D442BC"/>
    <w:rsid w:val="00D44BCF"/>
    <w:rsid w:val="00D46E73"/>
    <w:rsid w:val="00D5548D"/>
    <w:rsid w:val="00D56572"/>
    <w:rsid w:val="00D60F81"/>
    <w:rsid w:val="00D63951"/>
    <w:rsid w:val="00D63BF2"/>
    <w:rsid w:val="00D67348"/>
    <w:rsid w:val="00D70A26"/>
    <w:rsid w:val="00D73BB4"/>
    <w:rsid w:val="00D75FEC"/>
    <w:rsid w:val="00D76B98"/>
    <w:rsid w:val="00D82E63"/>
    <w:rsid w:val="00D835A0"/>
    <w:rsid w:val="00D86905"/>
    <w:rsid w:val="00D86F2C"/>
    <w:rsid w:val="00D87F40"/>
    <w:rsid w:val="00D90A7C"/>
    <w:rsid w:val="00D90D56"/>
    <w:rsid w:val="00D94301"/>
    <w:rsid w:val="00D96248"/>
    <w:rsid w:val="00DA0680"/>
    <w:rsid w:val="00DA36F6"/>
    <w:rsid w:val="00DA48F0"/>
    <w:rsid w:val="00DB0C8D"/>
    <w:rsid w:val="00DB6AF2"/>
    <w:rsid w:val="00DC1599"/>
    <w:rsid w:val="00DC1611"/>
    <w:rsid w:val="00DD3C53"/>
    <w:rsid w:val="00DD6B73"/>
    <w:rsid w:val="00DE745D"/>
    <w:rsid w:val="00DF0774"/>
    <w:rsid w:val="00DF1036"/>
    <w:rsid w:val="00DF4644"/>
    <w:rsid w:val="00DF68F6"/>
    <w:rsid w:val="00DF7A83"/>
    <w:rsid w:val="00E012B4"/>
    <w:rsid w:val="00E05451"/>
    <w:rsid w:val="00E05651"/>
    <w:rsid w:val="00E100F6"/>
    <w:rsid w:val="00E11BA5"/>
    <w:rsid w:val="00E17CBD"/>
    <w:rsid w:val="00E20425"/>
    <w:rsid w:val="00E21768"/>
    <w:rsid w:val="00E25DCB"/>
    <w:rsid w:val="00E2613B"/>
    <w:rsid w:val="00E313DF"/>
    <w:rsid w:val="00E330E0"/>
    <w:rsid w:val="00E36C70"/>
    <w:rsid w:val="00E4156E"/>
    <w:rsid w:val="00E41E2D"/>
    <w:rsid w:val="00E44D61"/>
    <w:rsid w:val="00E453F2"/>
    <w:rsid w:val="00E460AD"/>
    <w:rsid w:val="00E61925"/>
    <w:rsid w:val="00E6363B"/>
    <w:rsid w:val="00E65C0E"/>
    <w:rsid w:val="00E65FB9"/>
    <w:rsid w:val="00E730FC"/>
    <w:rsid w:val="00E746F0"/>
    <w:rsid w:val="00E809B9"/>
    <w:rsid w:val="00E82A15"/>
    <w:rsid w:val="00E85445"/>
    <w:rsid w:val="00E87589"/>
    <w:rsid w:val="00E938FF"/>
    <w:rsid w:val="00E93DFE"/>
    <w:rsid w:val="00EA2124"/>
    <w:rsid w:val="00EA2B12"/>
    <w:rsid w:val="00EA34DC"/>
    <w:rsid w:val="00EA456C"/>
    <w:rsid w:val="00EA5017"/>
    <w:rsid w:val="00EA6BED"/>
    <w:rsid w:val="00EB14F0"/>
    <w:rsid w:val="00EB3844"/>
    <w:rsid w:val="00EB5A9F"/>
    <w:rsid w:val="00EC573F"/>
    <w:rsid w:val="00EC5C8D"/>
    <w:rsid w:val="00ED106C"/>
    <w:rsid w:val="00ED2D34"/>
    <w:rsid w:val="00ED4805"/>
    <w:rsid w:val="00ED57F6"/>
    <w:rsid w:val="00ED6C51"/>
    <w:rsid w:val="00ED6DA1"/>
    <w:rsid w:val="00EE188F"/>
    <w:rsid w:val="00EF0AF8"/>
    <w:rsid w:val="00EF207D"/>
    <w:rsid w:val="00EF4258"/>
    <w:rsid w:val="00EF6D31"/>
    <w:rsid w:val="00F02237"/>
    <w:rsid w:val="00F046F1"/>
    <w:rsid w:val="00F072E2"/>
    <w:rsid w:val="00F079A6"/>
    <w:rsid w:val="00F10236"/>
    <w:rsid w:val="00F15811"/>
    <w:rsid w:val="00F22423"/>
    <w:rsid w:val="00F24C72"/>
    <w:rsid w:val="00F30267"/>
    <w:rsid w:val="00F31D22"/>
    <w:rsid w:val="00F348B2"/>
    <w:rsid w:val="00F34BF0"/>
    <w:rsid w:val="00F34ED8"/>
    <w:rsid w:val="00F4095A"/>
    <w:rsid w:val="00F452CC"/>
    <w:rsid w:val="00F45845"/>
    <w:rsid w:val="00F50189"/>
    <w:rsid w:val="00F508FC"/>
    <w:rsid w:val="00F510B7"/>
    <w:rsid w:val="00F52C52"/>
    <w:rsid w:val="00F53571"/>
    <w:rsid w:val="00F54044"/>
    <w:rsid w:val="00F576E7"/>
    <w:rsid w:val="00F73D1C"/>
    <w:rsid w:val="00F74131"/>
    <w:rsid w:val="00F763FC"/>
    <w:rsid w:val="00F76B4A"/>
    <w:rsid w:val="00F772C1"/>
    <w:rsid w:val="00F8026D"/>
    <w:rsid w:val="00F8245F"/>
    <w:rsid w:val="00F82E40"/>
    <w:rsid w:val="00F91629"/>
    <w:rsid w:val="00F91E2A"/>
    <w:rsid w:val="00F96C39"/>
    <w:rsid w:val="00F96E41"/>
    <w:rsid w:val="00FA153F"/>
    <w:rsid w:val="00FA1D78"/>
    <w:rsid w:val="00FA1F7E"/>
    <w:rsid w:val="00FA280F"/>
    <w:rsid w:val="00FA4D2B"/>
    <w:rsid w:val="00FA5289"/>
    <w:rsid w:val="00FA6213"/>
    <w:rsid w:val="00FB2186"/>
    <w:rsid w:val="00FB45D9"/>
    <w:rsid w:val="00FB7E03"/>
    <w:rsid w:val="00FD0133"/>
    <w:rsid w:val="00FD25FE"/>
    <w:rsid w:val="00FD6206"/>
    <w:rsid w:val="00FE07AF"/>
    <w:rsid w:val="00FE1318"/>
    <w:rsid w:val="00FE208F"/>
    <w:rsid w:val="00FE54CD"/>
    <w:rsid w:val="00FE6DF6"/>
    <w:rsid w:val="00FF32C3"/>
    <w:rsid w:val="00FF3F8B"/>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FA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itre1">
    <w:name w:val="heading 1"/>
    <w:basedOn w:val="Normal"/>
    <w:next w:val="corpsdedcision"/>
    <w:link w:val="Titre1Car"/>
    <w:qFormat/>
    <w:rsid w:val="00F96E41"/>
    <w:pPr>
      <w:keepNext/>
      <w:spacing w:before="240" w:after="240"/>
      <w:outlineLvl w:val="0"/>
    </w:pPr>
    <w:rPr>
      <w:rFonts w:cs="Arial"/>
      <w:b/>
      <w:bCs/>
      <w:caps/>
      <w:kern w:val="32"/>
      <w:szCs w:val="32"/>
      <w:u w:val="single"/>
      <w:lang w:eastAsia="fr-FR"/>
    </w:rPr>
  </w:style>
  <w:style w:type="paragraph" w:styleId="Titre2">
    <w:name w:val="heading 2"/>
    <w:basedOn w:val="Normal"/>
    <w:next w:val="corpsdedcision"/>
    <w:qFormat/>
    <w:rsid w:val="0047680F"/>
    <w:pPr>
      <w:keepNext/>
      <w:spacing w:before="240" w:after="240"/>
      <w:outlineLvl w:val="1"/>
    </w:pPr>
    <w:rPr>
      <w:rFonts w:cs="Arial"/>
      <w:bCs/>
      <w:iCs/>
      <w:caps/>
      <w:szCs w:val="28"/>
      <w:lang w:eastAsia="fr-FR"/>
    </w:rPr>
  </w:style>
  <w:style w:type="paragraph" w:styleId="Titre3">
    <w:name w:val="heading 3"/>
    <w:basedOn w:val="Normal"/>
    <w:next w:val="corpsdedcision"/>
    <w:qFormat/>
    <w:rsid w:val="00EA456C"/>
    <w:pPr>
      <w:keepNext/>
      <w:spacing w:before="240" w:after="240"/>
      <w:outlineLvl w:val="2"/>
    </w:pPr>
    <w:rPr>
      <w:rFonts w:cs="Arial"/>
      <w:b/>
      <w:szCs w:val="24"/>
      <w:lang w:eastAsia="fr-FR"/>
    </w:rPr>
  </w:style>
  <w:style w:type="paragraph" w:styleId="Titre4">
    <w:name w:val="heading 4"/>
    <w:basedOn w:val="Normal"/>
    <w:next w:val="corpsdedcision"/>
    <w:qFormat/>
    <w:rsid w:val="008F15D5"/>
    <w:pPr>
      <w:keepNext/>
      <w:spacing w:before="240" w:after="240"/>
      <w:outlineLvl w:val="3"/>
    </w:pPr>
    <w:rPr>
      <w:rFonts w:cs="Arial"/>
      <w:szCs w:val="24"/>
      <w:u w:val="single"/>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link w:val="corpsdedcisionCar"/>
    <w:pPr>
      <w:numPr>
        <w:numId w:val="1"/>
      </w:numPr>
      <w:tabs>
        <w:tab w:val="clear" w:pos="360"/>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aliases w:val="Note de bas de page art 65,Note de bas de page + 10pt"/>
    <w:basedOn w:val="Normal"/>
    <w:link w:val="NotedebasdepageCar"/>
  </w:style>
  <w:style w:type="paragraph" w:styleId="En-tte">
    <w:name w:val="header"/>
    <w:basedOn w:val="Normal"/>
    <w:pPr>
      <w:tabs>
        <w:tab w:val="center" w:pos="4320"/>
        <w:tab w:val="right" w:pos="8640"/>
      </w:tabs>
    </w:pPr>
  </w:style>
  <w:style w:type="character" w:styleId="Numrodepage">
    <w:name w:val="page number"/>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NotedebasdepageCar">
    <w:name w:val="Note de bas de page Car"/>
    <w:aliases w:val="Note de bas de page art 65 Car,Note de bas de page + 10pt Car"/>
    <w:link w:val="Notedebasdepage"/>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link w:val="CitationenretraitCar"/>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link w:val="CitationendoubleretraitCar"/>
    <w:rsid w:val="008048CF"/>
    <w:pPr>
      <w:spacing w:before="0" w:after="0"/>
      <w:ind w:left="1440" w:right="1440"/>
    </w:pPr>
    <w:rPr>
      <w:sz w:val="18"/>
    </w:rPr>
  </w:style>
  <w:style w:type="character" w:customStyle="1" w:styleId="Citationintgre">
    <w:name w:val="Citation intégrée"/>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itre1Car">
    <w:name w:val="Titre 1 Car"/>
    <w:link w:val="Titre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Lienhypertexte">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Paragraphedeliste">
    <w:name w:val="List Paragraph"/>
    <w:basedOn w:val="Normal"/>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locked/>
    <w:rsid w:val="00ED57F6"/>
    <w:rPr>
      <w:rFonts w:ascii="Arial" w:hAnsi="Arial" w:cs="Times New Roman"/>
      <w:sz w:val="24"/>
    </w:rPr>
  </w:style>
  <w:style w:type="character" w:customStyle="1" w:styleId="CitationenretraitCar">
    <w:name w:val="Citation en retrait Car"/>
    <w:link w:val="Citationenretrait"/>
    <w:rsid w:val="00DB6AF2"/>
    <w:rPr>
      <w:rFonts w:ascii="Arial" w:hAnsi="Arial"/>
      <w:kern w:val="24"/>
      <w:sz w:val="22"/>
      <w:lang w:val="fr-CA" w:eastAsia="fr-FR" w:bidi="ar-SA"/>
    </w:rPr>
  </w:style>
  <w:style w:type="character" w:customStyle="1" w:styleId="CitationendoubleretraitCar">
    <w:name w:val="Citation en double retrait Car"/>
    <w:link w:val="Citationendoubleretrait"/>
    <w:rsid w:val="00DB6AF2"/>
    <w:rPr>
      <w:rFonts w:ascii="Arial" w:hAnsi="Arial"/>
      <w:kern w:val="24"/>
      <w:sz w:val="18"/>
      <w:lang w:val="fr-CA" w:eastAsia="fr-FR" w:bidi="ar-SA"/>
    </w:rPr>
  </w:style>
  <w:style w:type="character" w:customStyle="1" w:styleId="corpsdedcisionCar">
    <w:name w:val="corps de décision Car"/>
    <w:link w:val="corpsdedcision"/>
    <w:locked/>
    <w:rsid w:val="00755E76"/>
    <w:rPr>
      <w:rFonts w:ascii="Arial" w:hAnsi="Arial"/>
      <w:sz w:val="24"/>
    </w:rPr>
  </w:style>
  <w:style w:type="paragraph" w:styleId="Listepuces">
    <w:name w:val="List Bullet"/>
    <w:basedOn w:val="Normal"/>
    <w:rsid w:val="004D35EF"/>
    <w:pPr>
      <w:numPr>
        <w:numId w:val="13"/>
      </w:numPr>
      <w:contextualSpacing/>
    </w:pPr>
  </w:style>
  <w:style w:type="character" w:customStyle="1" w:styleId="Mentionnonrsolue1">
    <w:name w:val="Mention non résolue1"/>
    <w:basedOn w:val="Policepardfaut"/>
    <w:uiPriority w:val="99"/>
    <w:semiHidden/>
    <w:unhideWhenUsed/>
    <w:rsid w:val="00112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40969">
      <w:bodyDiv w:val="1"/>
      <w:marLeft w:val="0"/>
      <w:marRight w:val="0"/>
      <w:marTop w:val="0"/>
      <w:marBottom w:val="0"/>
      <w:divBdr>
        <w:top w:val="none" w:sz="0" w:space="0" w:color="auto"/>
        <w:left w:val="none" w:sz="0" w:space="0" w:color="auto"/>
        <w:bottom w:val="none" w:sz="0" w:space="0" w:color="auto"/>
        <w:right w:val="none" w:sz="0" w:space="0" w:color="auto"/>
      </w:divBdr>
    </w:div>
    <w:div w:id="1032147689">
      <w:bodyDiv w:val="1"/>
      <w:marLeft w:val="0"/>
      <w:marRight w:val="0"/>
      <w:marTop w:val="0"/>
      <w:marBottom w:val="0"/>
      <w:divBdr>
        <w:top w:val="none" w:sz="0" w:space="0" w:color="auto"/>
        <w:left w:val="none" w:sz="0" w:space="0" w:color="auto"/>
        <w:bottom w:val="none" w:sz="0" w:space="0" w:color="auto"/>
        <w:right w:val="none" w:sz="0" w:space="0" w:color="auto"/>
      </w:divBdr>
    </w:div>
    <w:div w:id="145905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1158</Words>
  <Characters>6372</Characters>
  <Application>Microsoft Office Word</Application>
  <DocSecurity>0</DocSecurity>
  <Lines>53</Lines>
  <Paragraphs>15</Paragraphs>
  <ScaleCrop>false</ScaleCrop>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2024-08-30T13:27:00Z</dcterms:created>
  <dcterms:modified xsi:type="dcterms:W3CDTF">2024-08-30T13:27:00Z</dcterms:modified>
</cp:coreProperties>
</file>