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trPr>
          <w:cantSplit/>
        </w:trPr>
        <w:tc>
          <w:tcPr>
            <w:tcW w:w="4795" w:type="dxa"/>
          </w:tcPr>
          <w:p w:rsidR="008A7FD1" w:rsidRPr="0070570B" w:rsidRDefault="0070570B" w:rsidP="0070570B">
            <w:pPr>
              <w:pStyle w:val="zSoquijdatRepertorie"/>
              <w:rPr>
                <w:rFonts w:cs="Arial"/>
              </w:rPr>
            </w:pPr>
            <w:bookmarkStart w:id="0" w:name="_GoBack"/>
            <w:bookmarkEnd w:id="0"/>
            <w:r>
              <w:rPr>
                <w:rFonts w:cs="Arial"/>
              </w:rPr>
              <w:t>E.M. et Ville A</w:t>
            </w:r>
          </w:p>
        </w:tc>
        <w:tc>
          <w:tcPr>
            <w:tcW w:w="2477" w:type="dxa"/>
          </w:tcPr>
          <w:p w:rsidR="008A7FD1" w:rsidRPr="00182E68" w:rsidRDefault="00182E68" w:rsidP="00182E68">
            <w:pPr>
              <w:pStyle w:val="zSoquijdatRefNeutre"/>
              <w:rPr>
                <w:rFonts w:cs="Arial"/>
              </w:rPr>
            </w:pPr>
            <w:r w:rsidRPr="00182E68">
              <w:rPr>
                <w:rFonts w:cs="Arial"/>
              </w:rPr>
              <w:t>2015 QCCLP 3782</w:t>
            </w:r>
          </w:p>
        </w:tc>
      </w:tr>
    </w:tbl>
    <w:p w:rsidR="008A7FD1" w:rsidRDefault="008A7FD1"/>
    <w:tbl>
      <w:tblPr>
        <w:tblW w:w="9590" w:type="dxa"/>
        <w:tblLayout w:type="fixed"/>
        <w:tblCellMar>
          <w:left w:w="70" w:type="dxa"/>
          <w:right w:w="70" w:type="dxa"/>
        </w:tblCellMar>
        <w:tblLook w:val="0000" w:firstRow="0" w:lastRow="0" w:firstColumn="0" w:lastColumn="0" w:noHBand="0" w:noVBand="0"/>
      </w:tblPr>
      <w:tblGrid>
        <w:gridCol w:w="2880"/>
        <w:gridCol w:w="1915"/>
        <w:gridCol w:w="4795"/>
      </w:tblGrid>
      <w:tr w:rsidR="00C74B6F">
        <w:trPr>
          <w:cantSplit/>
        </w:trPr>
        <w:tc>
          <w:tcPr>
            <w:tcW w:w="9590" w:type="dxa"/>
            <w:gridSpan w:val="3"/>
          </w:tcPr>
          <w:p w:rsidR="00C74B6F" w:rsidRDefault="00C74B6F"/>
        </w:tc>
      </w:tr>
      <w:tr w:rsidR="00C74B6F">
        <w:trPr>
          <w:cantSplit/>
        </w:trPr>
        <w:tc>
          <w:tcPr>
            <w:tcW w:w="9590" w:type="dxa"/>
            <w:gridSpan w:val="3"/>
            <w:vAlign w:val="center"/>
          </w:tcPr>
          <w:p w:rsidR="00C74B6F" w:rsidRDefault="00C74B6F">
            <w:pPr>
              <w:jc w:val="center"/>
            </w:pPr>
            <w:r>
              <w:rPr>
                <w:b/>
                <w:sz w:val="28"/>
              </w:rPr>
              <w:t>COMMISSION DES LÉSIONS PROFESSIONNELLES</w:t>
            </w:r>
          </w:p>
        </w:tc>
      </w:tr>
      <w:tr w:rsidR="00C74B6F">
        <w:trPr>
          <w:cantSplit/>
        </w:trPr>
        <w:tc>
          <w:tcPr>
            <w:tcW w:w="9590" w:type="dxa"/>
            <w:gridSpan w:val="3"/>
          </w:tcPr>
          <w:p w:rsidR="00C74B6F" w:rsidRDefault="00C74B6F"/>
        </w:tc>
      </w:tr>
      <w:tr w:rsidR="00C74B6F">
        <w:trPr>
          <w:cantSplit/>
        </w:trPr>
        <w:tc>
          <w:tcPr>
            <w:tcW w:w="9590" w:type="dxa"/>
            <w:gridSpan w:val="3"/>
          </w:tcPr>
          <w:p w:rsidR="00C74B6F" w:rsidRDefault="00C74B6F"/>
        </w:tc>
      </w:tr>
      <w:tr w:rsidR="00C74B6F">
        <w:tc>
          <w:tcPr>
            <w:tcW w:w="2880" w:type="dxa"/>
          </w:tcPr>
          <w:p w:rsidR="00C74B6F" w:rsidRDefault="00525FA5">
            <w:r>
              <w:t>Saguenay</w:t>
            </w:r>
          </w:p>
        </w:tc>
        <w:tc>
          <w:tcPr>
            <w:tcW w:w="6710" w:type="dxa"/>
            <w:gridSpan w:val="2"/>
          </w:tcPr>
          <w:p w:rsidR="00C74B6F" w:rsidRDefault="000D7CB3">
            <w:pPr>
              <w:pStyle w:val="zSoquijdatDateJugement"/>
            </w:pPr>
            <w:r>
              <w:t>8</w:t>
            </w:r>
            <w:r w:rsidR="00525FA5">
              <w:t> juillet 2015</w:t>
            </w:r>
          </w:p>
        </w:tc>
      </w:tr>
      <w:tr w:rsidR="00C74B6F">
        <w:trPr>
          <w:cantSplit/>
        </w:trPr>
        <w:tc>
          <w:tcPr>
            <w:tcW w:w="9590" w:type="dxa"/>
            <w:gridSpan w:val="3"/>
          </w:tcPr>
          <w:p w:rsidR="00C74B6F" w:rsidRDefault="00C74B6F"/>
        </w:tc>
      </w:tr>
      <w:tr w:rsidR="00C74B6F">
        <w:tc>
          <w:tcPr>
            <w:tcW w:w="2880" w:type="dxa"/>
          </w:tcPr>
          <w:p w:rsidR="00C74B6F" w:rsidRDefault="00C74B6F">
            <w:r>
              <w:t>Région :</w:t>
            </w:r>
          </w:p>
        </w:tc>
        <w:tc>
          <w:tcPr>
            <w:tcW w:w="6710" w:type="dxa"/>
            <w:gridSpan w:val="2"/>
          </w:tcPr>
          <w:p w:rsidR="00C74B6F" w:rsidRDefault="00525FA5">
            <w:pPr>
              <w:pStyle w:val="zSoquijdatGreffe"/>
            </w:pPr>
            <w:r>
              <w:t>Saguenay–Lac-Saint-Jean</w:t>
            </w:r>
          </w:p>
        </w:tc>
      </w:tr>
      <w:tr w:rsidR="00C74B6F">
        <w:trPr>
          <w:cantSplit/>
        </w:trPr>
        <w:tc>
          <w:tcPr>
            <w:tcW w:w="9590" w:type="dxa"/>
            <w:gridSpan w:val="3"/>
          </w:tcPr>
          <w:p w:rsidR="00C74B6F" w:rsidRDefault="00C74B6F"/>
        </w:tc>
      </w:tr>
      <w:tr w:rsidR="00C74B6F">
        <w:tc>
          <w:tcPr>
            <w:tcW w:w="2880" w:type="dxa"/>
          </w:tcPr>
          <w:p w:rsidR="00C74B6F" w:rsidRDefault="00C74B6F">
            <w:bookmarkStart w:id="1" w:name="ref_dossier" w:colFirst="1" w:colLast="1"/>
            <w:r>
              <w:t>Dossier</w:t>
            </w:r>
            <w:bookmarkStart w:id="2" w:name="dossiers"/>
            <w:bookmarkEnd w:id="2"/>
            <w:r>
              <w:t xml:space="preserve"> :</w:t>
            </w:r>
          </w:p>
        </w:tc>
        <w:tc>
          <w:tcPr>
            <w:tcW w:w="6710" w:type="dxa"/>
            <w:gridSpan w:val="2"/>
          </w:tcPr>
          <w:p w:rsidR="00C74B6F" w:rsidRDefault="00525FA5">
            <w:pPr>
              <w:pStyle w:val="zSoquijdatNoDossier"/>
            </w:pPr>
            <w:r>
              <w:t>560450-02-1412</w:t>
            </w:r>
          </w:p>
        </w:tc>
      </w:tr>
      <w:bookmarkEnd w:id="1"/>
      <w:tr w:rsidR="00C74B6F">
        <w:trPr>
          <w:cantSplit/>
        </w:trPr>
        <w:tc>
          <w:tcPr>
            <w:tcW w:w="9590" w:type="dxa"/>
            <w:gridSpan w:val="3"/>
          </w:tcPr>
          <w:p w:rsidR="00C74B6F" w:rsidRDefault="00C74B6F"/>
        </w:tc>
      </w:tr>
      <w:tr w:rsidR="00C74B6F">
        <w:tc>
          <w:tcPr>
            <w:tcW w:w="2880" w:type="dxa"/>
          </w:tcPr>
          <w:p w:rsidR="00C74B6F" w:rsidRDefault="00C74B6F">
            <w:r>
              <w:t>Dossier CSST :</w:t>
            </w:r>
          </w:p>
        </w:tc>
        <w:tc>
          <w:tcPr>
            <w:tcW w:w="6710" w:type="dxa"/>
            <w:gridSpan w:val="2"/>
          </w:tcPr>
          <w:p w:rsidR="00C74B6F" w:rsidRDefault="00257927">
            <w:pPr>
              <w:pStyle w:val="zSoquijdatNCSST"/>
            </w:pPr>
            <w:r>
              <w:t>142720333</w:t>
            </w:r>
          </w:p>
        </w:tc>
      </w:tr>
      <w:tr w:rsidR="00C74B6F">
        <w:trPr>
          <w:cantSplit/>
        </w:trPr>
        <w:tc>
          <w:tcPr>
            <w:tcW w:w="9590" w:type="dxa"/>
            <w:gridSpan w:val="3"/>
          </w:tcPr>
          <w:p w:rsidR="00C74B6F" w:rsidRDefault="00C74B6F"/>
        </w:tc>
      </w:tr>
      <w:tr w:rsidR="00C74B6F">
        <w:tc>
          <w:tcPr>
            <w:tcW w:w="2880" w:type="dxa"/>
          </w:tcPr>
          <w:p w:rsidR="00C74B6F" w:rsidRDefault="00C74B6F">
            <w:r>
              <w:t>Commissaire :</w:t>
            </w:r>
          </w:p>
        </w:tc>
        <w:tc>
          <w:tcPr>
            <w:tcW w:w="6710" w:type="dxa"/>
            <w:gridSpan w:val="2"/>
          </w:tcPr>
          <w:p w:rsidR="00C74B6F" w:rsidRDefault="00257927">
            <w:pPr>
              <w:pStyle w:val="zSoquijdatJuge"/>
            </w:pPr>
            <w:r>
              <w:t>Jean Grégoire</w:t>
            </w:r>
            <w:r w:rsidR="00C74B6F">
              <w:t>, juge administratif</w:t>
            </w:r>
          </w:p>
        </w:tc>
      </w:tr>
      <w:tr w:rsidR="00C74B6F">
        <w:trPr>
          <w:cantSplit/>
        </w:trPr>
        <w:tc>
          <w:tcPr>
            <w:tcW w:w="9590" w:type="dxa"/>
            <w:gridSpan w:val="3"/>
          </w:tcPr>
          <w:p w:rsidR="00C74B6F" w:rsidRDefault="00C74B6F"/>
        </w:tc>
      </w:tr>
      <w:tr w:rsidR="00C74B6F">
        <w:tc>
          <w:tcPr>
            <w:tcW w:w="2880" w:type="dxa"/>
          </w:tcPr>
          <w:p w:rsidR="00C74B6F" w:rsidRDefault="00C74B6F">
            <w:r>
              <w:t>Membres :</w:t>
            </w:r>
          </w:p>
        </w:tc>
        <w:tc>
          <w:tcPr>
            <w:tcW w:w="6710" w:type="dxa"/>
            <w:gridSpan w:val="2"/>
          </w:tcPr>
          <w:p w:rsidR="00C74B6F" w:rsidRDefault="00257927">
            <w:pPr>
              <w:pStyle w:val="zSoquijdatMembreE"/>
            </w:pPr>
            <w:r>
              <w:t>André Beaulieu</w:t>
            </w:r>
            <w:r w:rsidR="00C74B6F">
              <w:t>, associations d’employeurs</w:t>
            </w:r>
          </w:p>
        </w:tc>
      </w:tr>
      <w:tr w:rsidR="00C74B6F">
        <w:tc>
          <w:tcPr>
            <w:tcW w:w="2880" w:type="dxa"/>
          </w:tcPr>
          <w:p w:rsidR="00C74B6F" w:rsidRDefault="00C74B6F"/>
        </w:tc>
        <w:tc>
          <w:tcPr>
            <w:tcW w:w="6710" w:type="dxa"/>
            <w:gridSpan w:val="2"/>
          </w:tcPr>
          <w:p w:rsidR="00C74B6F" w:rsidRDefault="00257927">
            <w:pPr>
              <w:pStyle w:val="zSoquijdatMembreS"/>
            </w:pPr>
            <w:r>
              <w:t>Alain Hunter</w:t>
            </w:r>
            <w:r w:rsidR="00C74B6F">
              <w:t>, associations syndicales</w:t>
            </w:r>
          </w:p>
        </w:tc>
      </w:tr>
      <w:tr w:rsidR="00C74B6F">
        <w:trPr>
          <w:cantSplit/>
        </w:trPr>
        <w:tc>
          <w:tcPr>
            <w:tcW w:w="9590" w:type="dxa"/>
            <w:gridSpan w:val="3"/>
          </w:tcPr>
          <w:p w:rsidR="00C74B6F" w:rsidRDefault="00C74B6F">
            <w:r>
              <w:t>______________________________________________________________________</w:t>
            </w:r>
          </w:p>
        </w:tc>
      </w:tr>
      <w:tr w:rsidR="00C74B6F">
        <w:trPr>
          <w:cantSplit/>
        </w:trPr>
        <w:tc>
          <w:tcPr>
            <w:tcW w:w="9590" w:type="dxa"/>
            <w:gridSpan w:val="3"/>
          </w:tcPr>
          <w:p w:rsidR="00C74B6F" w:rsidRDefault="00C74B6F"/>
        </w:tc>
      </w:tr>
      <w:tr w:rsidR="00C74B6F">
        <w:tc>
          <w:tcPr>
            <w:tcW w:w="4795" w:type="dxa"/>
            <w:gridSpan w:val="2"/>
          </w:tcPr>
          <w:p w:rsidR="00C74B6F" w:rsidRDefault="00C74B6F">
            <w:bookmarkStart w:id="3" w:name="bloc_parties_gauche"/>
            <w:bookmarkEnd w:id="3"/>
          </w:p>
        </w:tc>
        <w:tc>
          <w:tcPr>
            <w:tcW w:w="4795" w:type="dxa"/>
          </w:tcPr>
          <w:p w:rsidR="00C74B6F" w:rsidRDefault="00C74B6F"/>
        </w:tc>
      </w:tr>
      <w:tr w:rsidR="00C74B6F">
        <w:tc>
          <w:tcPr>
            <w:tcW w:w="4795" w:type="dxa"/>
            <w:gridSpan w:val="2"/>
          </w:tcPr>
          <w:p w:rsidR="00C74B6F" w:rsidRDefault="003B73EB" w:rsidP="00257927">
            <w:pPr>
              <w:pStyle w:val="zSoquijdatNomPartieDem"/>
              <w:rPr>
                <w:b/>
              </w:rPr>
            </w:pPr>
            <w:r>
              <w:rPr>
                <w:b/>
              </w:rPr>
              <w:t>E... M...</w:t>
            </w:r>
          </w:p>
        </w:tc>
        <w:tc>
          <w:tcPr>
            <w:tcW w:w="4795" w:type="dxa"/>
          </w:tcPr>
          <w:p w:rsidR="00C74B6F" w:rsidRDefault="00C74B6F"/>
        </w:tc>
      </w:tr>
      <w:tr w:rsidR="00C74B6F">
        <w:tc>
          <w:tcPr>
            <w:tcW w:w="4795" w:type="dxa"/>
            <w:gridSpan w:val="2"/>
          </w:tcPr>
          <w:p w:rsidR="00C74B6F" w:rsidRDefault="00C74B6F">
            <w:pPr>
              <w:pStyle w:val="zSoquijdatQtePartieDem"/>
              <w:ind w:left="708"/>
            </w:pPr>
            <w:r>
              <w:t>Partie requérante</w:t>
            </w:r>
          </w:p>
        </w:tc>
        <w:tc>
          <w:tcPr>
            <w:tcW w:w="4795" w:type="dxa"/>
          </w:tcPr>
          <w:p w:rsidR="00C74B6F" w:rsidRDefault="00C74B6F"/>
        </w:tc>
      </w:tr>
      <w:tr w:rsidR="00C74B6F">
        <w:tc>
          <w:tcPr>
            <w:tcW w:w="4795" w:type="dxa"/>
            <w:gridSpan w:val="2"/>
          </w:tcPr>
          <w:p w:rsidR="00C74B6F" w:rsidRDefault="00C74B6F"/>
        </w:tc>
        <w:tc>
          <w:tcPr>
            <w:tcW w:w="4795" w:type="dxa"/>
          </w:tcPr>
          <w:p w:rsidR="00C74B6F" w:rsidRDefault="00C74B6F"/>
        </w:tc>
      </w:tr>
      <w:tr w:rsidR="00C74B6F">
        <w:tc>
          <w:tcPr>
            <w:tcW w:w="4795" w:type="dxa"/>
            <w:gridSpan w:val="2"/>
          </w:tcPr>
          <w:p w:rsidR="00C74B6F" w:rsidRDefault="00C74B6F">
            <w:r>
              <w:t>et</w:t>
            </w:r>
          </w:p>
        </w:tc>
        <w:tc>
          <w:tcPr>
            <w:tcW w:w="4795" w:type="dxa"/>
          </w:tcPr>
          <w:p w:rsidR="00C74B6F" w:rsidRDefault="00C74B6F"/>
        </w:tc>
      </w:tr>
      <w:tr w:rsidR="00C74B6F">
        <w:tc>
          <w:tcPr>
            <w:tcW w:w="4795" w:type="dxa"/>
            <w:gridSpan w:val="2"/>
          </w:tcPr>
          <w:p w:rsidR="00C74B6F" w:rsidRDefault="00C74B6F"/>
        </w:tc>
        <w:tc>
          <w:tcPr>
            <w:tcW w:w="4795" w:type="dxa"/>
          </w:tcPr>
          <w:p w:rsidR="00C74B6F" w:rsidRDefault="00C74B6F"/>
        </w:tc>
      </w:tr>
      <w:tr w:rsidR="00C74B6F">
        <w:tc>
          <w:tcPr>
            <w:tcW w:w="4795" w:type="dxa"/>
            <w:gridSpan w:val="2"/>
          </w:tcPr>
          <w:p w:rsidR="00C74B6F" w:rsidRDefault="00257927">
            <w:pPr>
              <w:pStyle w:val="zSoquijdatNomPartieDef"/>
              <w:rPr>
                <w:b/>
              </w:rPr>
            </w:pPr>
            <w:r>
              <w:rPr>
                <w:b/>
              </w:rPr>
              <w:t xml:space="preserve">Ville </w:t>
            </w:r>
            <w:r w:rsidR="003B73EB">
              <w:rPr>
                <w:b/>
              </w:rPr>
              <w:t>A</w:t>
            </w:r>
          </w:p>
        </w:tc>
        <w:tc>
          <w:tcPr>
            <w:tcW w:w="4795" w:type="dxa"/>
          </w:tcPr>
          <w:p w:rsidR="00C74B6F" w:rsidRDefault="00C74B6F"/>
        </w:tc>
      </w:tr>
      <w:tr w:rsidR="00C74B6F">
        <w:tc>
          <w:tcPr>
            <w:tcW w:w="4795" w:type="dxa"/>
            <w:gridSpan w:val="2"/>
          </w:tcPr>
          <w:p w:rsidR="00C74B6F" w:rsidRDefault="00C74B6F">
            <w:pPr>
              <w:pStyle w:val="zSoquijdatQtePartieDef"/>
              <w:ind w:left="708"/>
            </w:pPr>
            <w:r>
              <w:t>Partie intéressée</w:t>
            </w:r>
          </w:p>
        </w:tc>
        <w:tc>
          <w:tcPr>
            <w:tcW w:w="4795" w:type="dxa"/>
          </w:tcPr>
          <w:p w:rsidR="00C74B6F" w:rsidRDefault="00C74B6F"/>
        </w:tc>
      </w:tr>
      <w:tr w:rsidR="00257927">
        <w:tc>
          <w:tcPr>
            <w:tcW w:w="4795" w:type="dxa"/>
            <w:gridSpan w:val="2"/>
          </w:tcPr>
          <w:p w:rsidR="00257927" w:rsidRDefault="00257927"/>
        </w:tc>
        <w:tc>
          <w:tcPr>
            <w:tcW w:w="4795" w:type="dxa"/>
          </w:tcPr>
          <w:p w:rsidR="00257927" w:rsidRDefault="00257927"/>
        </w:tc>
      </w:tr>
      <w:tr w:rsidR="00257927">
        <w:tc>
          <w:tcPr>
            <w:tcW w:w="4795" w:type="dxa"/>
            <w:gridSpan w:val="2"/>
          </w:tcPr>
          <w:p w:rsidR="00257927" w:rsidRDefault="00257927">
            <w:r>
              <w:t>et</w:t>
            </w:r>
          </w:p>
        </w:tc>
        <w:tc>
          <w:tcPr>
            <w:tcW w:w="4795" w:type="dxa"/>
          </w:tcPr>
          <w:p w:rsidR="00257927" w:rsidRDefault="00257927"/>
        </w:tc>
      </w:tr>
      <w:tr w:rsidR="00C74B6F">
        <w:tc>
          <w:tcPr>
            <w:tcW w:w="4795" w:type="dxa"/>
            <w:gridSpan w:val="2"/>
          </w:tcPr>
          <w:p w:rsidR="00C74B6F" w:rsidRDefault="00C74B6F"/>
        </w:tc>
        <w:tc>
          <w:tcPr>
            <w:tcW w:w="4795" w:type="dxa"/>
          </w:tcPr>
          <w:p w:rsidR="00C74B6F" w:rsidRDefault="00C74B6F"/>
        </w:tc>
      </w:tr>
      <w:tr w:rsidR="00C74B6F">
        <w:tc>
          <w:tcPr>
            <w:tcW w:w="4795" w:type="dxa"/>
            <w:gridSpan w:val="2"/>
          </w:tcPr>
          <w:p w:rsidR="00C74B6F" w:rsidRDefault="00257927">
            <w:pPr>
              <w:pStyle w:val="zSoquijdatNomPartieInt"/>
              <w:rPr>
                <w:b/>
              </w:rPr>
            </w:pPr>
            <w:r>
              <w:rPr>
                <w:b/>
              </w:rPr>
              <w:t xml:space="preserve">Commission de la santé </w:t>
            </w:r>
          </w:p>
          <w:p w:rsidR="00257927" w:rsidRDefault="00257927">
            <w:pPr>
              <w:pStyle w:val="zSoquijdatNomPartieInt"/>
              <w:rPr>
                <w:b/>
              </w:rPr>
            </w:pPr>
            <w:r>
              <w:rPr>
                <w:b/>
              </w:rPr>
              <w:t>et de la sécurité du travail</w:t>
            </w:r>
          </w:p>
        </w:tc>
        <w:tc>
          <w:tcPr>
            <w:tcW w:w="4795" w:type="dxa"/>
          </w:tcPr>
          <w:p w:rsidR="00C74B6F" w:rsidRDefault="00C74B6F"/>
        </w:tc>
      </w:tr>
      <w:tr w:rsidR="00C74B6F">
        <w:tc>
          <w:tcPr>
            <w:tcW w:w="4795" w:type="dxa"/>
            <w:gridSpan w:val="2"/>
          </w:tcPr>
          <w:p w:rsidR="00C74B6F" w:rsidRDefault="00257927">
            <w:pPr>
              <w:pStyle w:val="zSoquijdatQtePartieInt"/>
              <w:ind w:left="708"/>
            </w:pPr>
            <w:r>
              <w:t>Partie intervenante</w:t>
            </w:r>
          </w:p>
        </w:tc>
        <w:tc>
          <w:tcPr>
            <w:tcW w:w="4795" w:type="dxa"/>
          </w:tcPr>
          <w:p w:rsidR="00C74B6F" w:rsidRDefault="00C74B6F"/>
        </w:tc>
      </w:tr>
      <w:tr w:rsidR="00C74B6F">
        <w:tc>
          <w:tcPr>
            <w:tcW w:w="4795" w:type="dxa"/>
            <w:gridSpan w:val="2"/>
          </w:tcPr>
          <w:p w:rsidR="00C74B6F" w:rsidRDefault="00C74B6F"/>
        </w:tc>
        <w:tc>
          <w:tcPr>
            <w:tcW w:w="4795" w:type="dxa"/>
          </w:tcPr>
          <w:p w:rsidR="00C74B6F" w:rsidRDefault="00C74B6F"/>
        </w:tc>
      </w:tr>
    </w:tbl>
    <w:p w:rsidR="00C74B6F" w:rsidRDefault="00C74B6F">
      <w:r>
        <w:t>______________________________________________________________________</w:t>
      </w:r>
    </w:p>
    <w:p w:rsidR="00C74B6F" w:rsidRDefault="00C74B6F"/>
    <w:p w:rsidR="00C74B6F" w:rsidRDefault="00C74B6F">
      <w:pPr>
        <w:jc w:val="center"/>
      </w:pPr>
      <w:bookmarkStart w:id="4" w:name="decision"/>
      <w:r>
        <w:t>DÉCISION</w:t>
      </w:r>
      <w:bookmarkEnd w:id="4"/>
    </w:p>
    <w:p w:rsidR="00C74B6F" w:rsidRDefault="00C74B6F">
      <w:pPr>
        <w:jc w:val="center"/>
      </w:pPr>
      <w:r>
        <w:t>______________________________________________________________________</w:t>
      </w:r>
    </w:p>
    <w:p w:rsidR="00C74B6F" w:rsidRDefault="00C74B6F"/>
    <w:p w:rsidR="00C74B6F" w:rsidRDefault="00C74B6F"/>
    <w:p w:rsidR="00C74B6F" w:rsidRDefault="00AA00E4">
      <w:pPr>
        <w:pStyle w:val="corpsdedcision"/>
      </w:pPr>
      <w:r>
        <w:t xml:space="preserve">Le 17 décembre 2014, madame </w:t>
      </w:r>
      <w:r w:rsidR="003B73EB">
        <w:t>E... M...</w:t>
      </w:r>
      <w:r>
        <w:t xml:space="preserve"> (la travailleuse) dépose à la Commission des lésions professionnelles une requête par laquelle elle conteste une décision de la Commission de la santé et de la sécurité du travail (la CSST) rendue le 30 octobre 2014 à la suite d'une révision administrative.</w:t>
      </w:r>
    </w:p>
    <w:p w:rsidR="00AA00E4" w:rsidRDefault="00AA00E4">
      <w:pPr>
        <w:pStyle w:val="corpsdedcision"/>
      </w:pPr>
      <w:r>
        <w:lastRenderedPageBreak/>
        <w:t xml:space="preserve">Par cette décision, la CSST </w:t>
      </w:r>
      <w:r w:rsidR="00DD3A14">
        <w:t>confirme celle qu’elle a initialement rendue le 31 juillet 2014</w:t>
      </w:r>
      <w:r w:rsidR="00A15719">
        <w:t>,</w:t>
      </w:r>
      <w:r w:rsidR="00DD3A14">
        <w:t xml:space="preserve"> déclare q</w:t>
      </w:r>
      <w:r w:rsidR="00A15719">
        <w:t>ue la travailleuse n’a pas subi de</w:t>
      </w:r>
      <w:r w:rsidR="00DD3A14">
        <w:t xml:space="preserve"> lésion professionnelle</w:t>
      </w:r>
      <w:r w:rsidR="00A15719">
        <w:t xml:space="preserve"> le 17</w:t>
      </w:r>
      <w:r w:rsidR="00D24BD3">
        <w:t> </w:t>
      </w:r>
      <w:r w:rsidR="00A15719">
        <w:t xml:space="preserve">juin 2014 et </w:t>
      </w:r>
      <w:r w:rsidR="00DD3A14">
        <w:t xml:space="preserve">qu’elle lui réclame la </w:t>
      </w:r>
      <w:r w:rsidR="00A15719">
        <w:t>somme de 1 590,4</w:t>
      </w:r>
      <w:r w:rsidR="00DD3A14">
        <w:t>0 $.</w:t>
      </w:r>
    </w:p>
    <w:p w:rsidR="00DD3A14" w:rsidRDefault="00B46DC3">
      <w:pPr>
        <w:pStyle w:val="corpsdedcision"/>
      </w:pPr>
      <w:r>
        <w:t>Une audience a eu lieu le 20 mai 2015 à Saguenay en présence de la travailleuse et de sa représentante.</w:t>
      </w:r>
      <w:r w:rsidR="00361AE7">
        <w:t xml:space="preserve"> Pour sa part, Ville </w:t>
      </w:r>
      <w:r w:rsidR="003B73EB">
        <w:t>A</w:t>
      </w:r>
      <w:r w:rsidR="00361AE7">
        <w:t xml:space="preserve"> (l’employeur) </w:t>
      </w:r>
      <w:r w:rsidR="00D0144F">
        <w:t>était représentée par monsieur Jean-François Renald qui était accompagné d’une procureure. Quant à la CSST, sa procureure avait avisé le tribunal de son absence</w:t>
      </w:r>
      <w:r w:rsidR="00927140">
        <w:t>.</w:t>
      </w:r>
    </w:p>
    <w:p w:rsidR="00D0144F" w:rsidRDefault="00F52CEA">
      <w:pPr>
        <w:pStyle w:val="corpsdedcision"/>
      </w:pPr>
      <w:r>
        <w:t>Lors de l’</w:t>
      </w:r>
      <w:r w:rsidR="00860EA7">
        <w:t>audience, un délai a été accordé à la représentante de la travailleuse afi</w:t>
      </w:r>
      <w:r w:rsidR="00EA33AA">
        <w:t>n qu’elle achemine au tribunal l</w:t>
      </w:r>
      <w:r w:rsidR="00860EA7">
        <w:t xml:space="preserve">es notes de consultation </w:t>
      </w:r>
      <w:r w:rsidR="00EA33AA">
        <w:t xml:space="preserve">pertinentes </w:t>
      </w:r>
      <w:r w:rsidR="00860EA7">
        <w:t xml:space="preserve">de la docteure Marion Dubois. La cause fut </w:t>
      </w:r>
      <w:r w:rsidR="00A23330">
        <w:t>m</w:t>
      </w:r>
      <w:r w:rsidR="00860EA7">
        <w:t>ise en délibéré le 19 juin 2015, date jusqu’à laquelle la procureure de l’employeur pouvait répliquer aux documents médicaux transmis.</w:t>
      </w:r>
    </w:p>
    <w:p w:rsidR="00FF6AA3" w:rsidRDefault="00FF6AA3">
      <w:pPr>
        <w:pStyle w:val="corpsdedcision"/>
        <w:numPr>
          <w:ilvl w:val="0"/>
          <w:numId w:val="0"/>
        </w:numPr>
      </w:pPr>
      <w:r>
        <w:rPr>
          <w:b/>
        </w:rPr>
        <w:t>L’OBJET DE LA CONTESTATION</w:t>
      </w:r>
    </w:p>
    <w:p w:rsidR="00860EA7" w:rsidRDefault="00030C70">
      <w:pPr>
        <w:pStyle w:val="corpsdedcision"/>
      </w:pPr>
      <w:r>
        <w:t xml:space="preserve">La travailleuse demande à la Commission des lésions professionnelles de déclarer recevable sa requête déposée le 17 décembre 2014. Sur le fond du litige, elle demande de déclarer qu’elle a subi, le 17 juin 2014, une lésion professionnelle et qu’elle a droit aux prestations prévues à la </w:t>
      </w:r>
      <w:r>
        <w:rPr>
          <w:i/>
        </w:rPr>
        <w:t xml:space="preserve">Loi sur les accidents du travail et les maladies </w:t>
      </w:r>
      <w:r w:rsidRPr="00D83EA5">
        <w:rPr>
          <w:i/>
        </w:rPr>
        <w:t>professionnelles</w:t>
      </w:r>
      <w:r>
        <w:rPr>
          <w:rStyle w:val="Appelnotedebasdep"/>
        </w:rPr>
        <w:footnoteReference w:id="1"/>
      </w:r>
      <w:r>
        <w:t xml:space="preserve"> (la loi)</w:t>
      </w:r>
      <w:r w:rsidR="0055044A">
        <w:t>.</w:t>
      </w:r>
    </w:p>
    <w:p w:rsidR="0055044A" w:rsidRDefault="0055044A">
      <w:pPr>
        <w:pStyle w:val="corpsdedcision"/>
        <w:numPr>
          <w:ilvl w:val="0"/>
          <w:numId w:val="0"/>
        </w:numPr>
      </w:pPr>
      <w:r>
        <w:rPr>
          <w:b/>
        </w:rPr>
        <w:t>LES FAITS</w:t>
      </w:r>
    </w:p>
    <w:p w:rsidR="0055044A" w:rsidRDefault="00152203">
      <w:pPr>
        <w:pStyle w:val="corpsdedcision"/>
      </w:pPr>
      <w:r>
        <w:t>De la preuve documentaire et testimoniale, le tribunal retient notamment ce qui suit.</w:t>
      </w:r>
    </w:p>
    <w:p w:rsidR="00152203" w:rsidRDefault="00152203">
      <w:pPr>
        <w:pStyle w:val="corpsdedcision"/>
      </w:pPr>
      <w:r>
        <w:t>Actuellement âgée de 33 ans, la travailleuse occupe, depuis 2004, un emp</w:t>
      </w:r>
      <w:r w:rsidR="00567C18">
        <w:t xml:space="preserve">loi de répartitrice au </w:t>
      </w:r>
      <w:r w:rsidR="00577A1B">
        <w:t>centre</w:t>
      </w:r>
      <w:r>
        <w:t xml:space="preserve"> d’urgence 911 de l’employeur.</w:t>
      </w:r>
    </w:p>
    <w:p w:rsidR="00152203" w:rsidRDefault="00F315F0">
      <w:pPr>
        <w:pStyle w:val="corpsdedcision"/>
      </w:pPr>
      <w:r>
        <w:t>Le 20 juin 2014, elle consulte la docteure Lucie Bouchard qui pose le diagnostic de stress post</w:t>
      </w:r>
      <w:r>
        <w:noBreakHyphen/>
        <w:t xml:space="preserve">traumatique et lui recommande un arrêt de travail. Sur l’attestation médicale qu’elle complète pour la CSST, le médecin indique </w:t>
      </w:r>
      <w:r w:rsidR="00515CEA">
        <w:t>que l</w:t>
      </w:r>
      <w:r w:rsidR="00130288">
        <w:t>a lésion fait suite à un événement relié au travail qui serait survenu le 17 juin 2014. Dans ses notes de consultation, la docteure Bouchard écrit que la travailleuse est en état de choc</w:t>
      </w:r>
      <w:r w:rsidR="00551DF7">
        <w:t>,</w:t>
      </w:r>
      <w:r w:rsidR="00130288">
        <w:t xml:space="preserve"> car à la suite d’un événement au travail, on l’accuse, aux nouvelles d’un réseau de télévision national, d’avoir fait une erreur.</w:t>
      </w:r>
    </w:p>
    <w:p w:rsidR="00130288" w:rsidRDefault="009C7DC6">
      <w:pPr>
        <w:pStyle w:val="corpsdedcision"/>
      </w:pPr>
      <w:r>
        <w:t xml:space="preserve">Le 23 juin 2014, </w:t>
      </w:r>
      <w:r w:rsidR="00FA556E">
        <w:t>la travailleuse complète un formulaire de déclaration d’accident</w:t>
      </w:r>
      <w:r w:rsidR="009602CF">
        <w:t xml:space="preserve"> où elle réfère à un événement survenu le 17 juin 2014 dans les circonstances suivantes :</w:t>
      </w:r>
    </w:p>
    <w:p w:rsidR="009079E8" w:rsidRDefault="002A6E55" w:rsidP="00515CEA">
      <w:pPr>
        <w:pStyle w:val="citation"/>
      </w:pPr>
      <w:r>
        <w:lastRenderedPageBreak/>
        <w:t>Au poste de police, j’ai donné de l’information important sur les ondes radio de police. A 22h10 le soir même au National à TVA</w:t>
      </w:r>
      <w:r w:rsidR="00A97FAE">
        <w:t xml:space="preserve"> mentionne « Grave erreur de la répartitrice ». Sous le choc on entent ma voix. La SQ est </w:t>
      </w:r>
      <w:r w:rsidR="00515CEA">
        <w:t>fa</w:t>
      </w:r>
      <w:r w:rsidR="009079E8">
        <w:t>ché.</w:t>
      </w:r>
    </w:p>
    <w:p w:rsidR="009079E8" w:rsidRDefault="009079E8" w:rsidP="009602CF">
      <w:pPr>
        <w:pStyle w:val="citation"/>
      </w:pPr>
    </w:p>
    <w:p w:rsidR="009079E8" w:rsidRDefault="009079E8" w:rsidP="009602CF">
      <w:pPr>
        <w:pStyle w:val="citation"/>
      </w:pPr>
      <w:r>
        <w:t>[</w:t>
      </w:r>
      <w:r w:rsidRPr="009079E8">
        <w:rPr>
          <w:i/>
        </w:rPr>
        <w:t>sic</w:t>
      </w:r>
      <w:r>
        <w:t>]</w:t>
      </w:r>
    </w:p>
    <w:p w:rsidR="000F4804" w:rsidRDefault="000F4804" w:rsidP="009602CF">
      <w:pPr>
        <w:pStyle w:val="citation"/>
      </w:pPr>
    </w:p>
    <w:p w:rsidR="000F4804" w:rsidRDefault="000F4804" w:rsidP="009602CF">
      <w:pPr>
        <w:pStyle w:val="citation"/>
      </w:pPr>
    </w:p>
    <w:p w:rsidR="000F4804" w:rsidRDefault="00944BF1" w:rsidP="000F4804">
      <w:pPr>
        <w:pStyle w:val="corpsdedcision"/>
      </w:pPr>
      <w:r>
        <w:t>À compter du 4 juillet 2014, la travailleuse est pris</w:t>
      </w:r>
      <w:r w:rsidR="00012A19">
        <w:t>e</w:t>
      </w:r>
      <w:r>
        <w:t xml:space="preserve"> en charge par la docteure Marion Dubois</w:t>
      </w:r>
      <w:r w:rsidR="003E47FB">
        <w:t xml:space="preserve"> qui pose le diagnostic de stress post</w:t>
      </w:r>
      <w:r w:rsidR="003E47FB">
        <w:noBreakHyphen/>
        <w:t>traumatique et prolonge l’arrêt de travail jusqu’au 1</w:t>
      </w:r>
      <w:r w:rsidR="003E47FB" w:rsidRPr="003E47FB">
        <w:rPr>
          <w:vertAlign w:val="superscript"/>
        </w:rPr>
        <w:t>er</w:t>
      </w:r>
      <w:r w:rsidR="003E47FB">
        <w:t xml:space="preserve"> août 2014. Dans ses notes de consultation, le médecin </w:t>
      </w:r>
      <w:r w:rsidR="00012A19">
        <w:t>indique</w:t>
      </w:r>
      <w:r w:rsidR="003E47FB">
        <w:t xml:space="preserve"> que </w:t>
      </w:r>
      <w:r w:rsidR="00012A19">
        <w:t>celle-ci</w:t>
      </w:r>
      <w:r w:rsidR="003E47FB">
        <w:t xml:space="preserve"> a un somme</w:t>
      </w:r>
      <w:r w:rsidR="007B04D8">
        <w:t>il perturbé, une diminution de s</w:t>
      </w:r>
      <w:r w:rsidR="003E47FB">
        <w:t>a confiance, qu’elle a l’impression que tout le monde la reconnaît et qu’elle a peur de faire des erreurs.</w:t>
      </w:r>
    </w:p>
    <w:p w:rsidR="003E47FB" w:rsidRDefault="00D07D49" w:rsidP="000F4804">
      <w:pPr>
        <w:pStyle w:val="corpsdedcision"/>
      </w:pPr>
      <w:r>
        <w:t>À la demande de l’employeur, la travailleuse rencontre, le 17 juillet 2014, le docteur Fabien Gagnon (psychiatre). Dans son rapport, le docteur Gagnon mentionne d’abord qu’outre une consultation auprès d’</w:t>
      </w:r>
      <w:r w:rsidR="007B04D8">
        <w:t>une travailleuse sociale il y a deux ans</w:t>
      </w:r>
      <w:r>
        <w:t xml:space="preserve"> pour un problème de santé affectant un membre de sa famille, la travailleuse n’a pas d’antécédents à caractère psychologique. Par la suite, le </w:t>
      </w:r>
      <w:r w:rsidR="004B2182">
        <w:t>médecin</w:t>
      </w:r>
      <w:r>
        <w:t xml:space="preserve"> relate les propos de </w:t>
      </w:r>
      <w:r w:rsidR="00DE38C3">
        <w:t>cette dernière</w:t>
      </w:r>
      <w:r>
        <w:t xml:space="preserve"> sur les événements survenus le 17 juin 2014 et souligne, à plusieurs reprises, que celle-ci est fâchée contre les médias, que ceux-ci n’avaient pas le droit de faire ça ni de di</w:t>
      </w:r>
      <w:r w:rsidR="00DE38C3">
        <w:t>ffus</w:t>
      </w:r>
      <w:r>
        <w:t>er sa voix sur les ondes publiques.</w:t>
      </w:r>
    </w:p>
    <w:p w:rsidR="004C08F7" w:rsidRDefault="00B74E1B" w:rsidP="004C08F7">
      <w:pPr>
        <w:pStyle w:val="corpsdedcision"/>
      </w:pPr>
      <w:r>
        <w:t>À la suite de s</w:t>
      </w:r>
      <w:r w:rsidR="007B04D8">
        <w:t>on évaluation</w:t>
      </w:r>
      <w:r>
        <w:t xml:space="preserve">, le docteur Gagnon </w:t>
      </w:r>
      <w:r w:rsidR="001B5AB9">
        <w:t>pose</w:t>
      </w:r>
      <w:r>
        <w:t xml:space="preserve"> </w:t>
      </w:r>
      <w:r w:rsidR="00ED1D1B">
        <w:t>le</w:t>
      </w:r>
      <w:r>
        <w:t xml:space="preserve"> diagnostic de trouble d'adaptation avec </w:t>
      </w:r>
      <w:r w:rsidR="00DF7D3D">
        <w:t>présence d’</w:t>
      </w:r>
      <w:r>
        <w:t xml:space="preserve">éléments anxiodépressifs. </w:t>
      </w:r>
      <w:r w:rsidR="000105E5">
        <w:t>À l’axe II, il ne retient aucun trouble de la personnalité et identifie, à l’axe IV, l’événement survenu à la télévision le 17 juin 2014</w:t>
      </w:r>
      <w:r w:rsidR="00605A79">
        <w:t xml:space="preserve"> où l’on a </w:t>
      </w:r>
      <w:r w:rsidR="00DF7D3D">
        <w:t>rapport</w:t>
      </w:r>
      <w:r w:rsidR="00605A79">
        <w:t>é que la travailleuse avait fait une erreur au travail. Au sujet du diagnostic d’état de str</w:t>
      </w:r>
      <w:r w:rsidR="007B04D8">
        <w:t>ess post</w:t>
      </w:r>
      <w:r w:rsidR="007B04D8">
        <w:noBreakHyphen/>
        <w:t xml:space="preserve">traumatique, il </w:t>
      </w:r>
      <w:r w:rsidR="00DF7D3D">
        <w:t>précise</w:t>
      </w:r>
      <w:r w:rsidR="007B04D8">
        <w:t xml:space="preserve"> qu’il</w:t>
      </w:r>
      <w:r w:rsidR="00605A79">
        <w:t xml:space="preserve"> ne peut être retenu</w:t>
      </w:r>
      <w:r w:rsidR="007B04D8">
        <w:t>,</w:t>
      </w:r>
      <w:r w:rsidR="00605A79">
        <w:t xml:space="preserve"> puisque la travailleuse n’a pas les symptômes correspondant aux critères diagnostiques de cette pathologie. Le docteur Gagnon ajoute ensuite les commentaires suivants :</w:t>
      </w:r>
    </w:p>
    <w:p w:rsidR="004C08F7" w:rsidRDefault="004C08F7" w:rsidP="004C08F7">
      <w:pPr>
        <w:pStyle w:val="citation"/>
      </w:pPr>
      <w:r>
        <w:t>[…]</w:t>
      </w:r>
    </w:p>
    <w:p w:rsidR="004C08F7" w:rsidRDefault="004C08F7" w:rsidP="004C08F7">
      <w:pPr>
        <w:pStyle w:val="citation"/>
      </w:pPr>
    </w:p>
    <w:p w:rsidR="00B74E1B" w:rsidRDefault="004C08F7" w:rsidP="004C08F7">
      <w:pPr>
        <w:pStyle w:val="citation"/>
      </w:pPr>
      <w:r>
        <w:t>Nous croyons en fait qu’il s’agit d’un trouble d’adaptation qui est relié à un stresseur qui est en dehors de l’événement qui est arrivé purement au travail. C’est plutôt lorsque madame a entendu les nouvelles à TVA, qu’on disait qu’elle avait fait une erreur, que le problème a été amorcé. C’e</w:t>
      </w:r>
      <w:r w:rsidR="00010526">
        <w:t>s</w:t>
      </w:r>
      <w:r>
        <w:t>t là qu’est le stresseur. Il s’agit donc d’un trouble d’adaptation non pas en lien avec le travail mais en lien avec ce qui a été dit par les médias. D’ailleurs, madame a une symptomatologie où essentiellement elle a de l’anxiété en rapport avec la réintégration au travail de peur de faire une erreur mais suite à ce qui a été dit dans les médias. Elle est également fâchée par rapport aux médias et non pas par rapport à l’employeur.</w:t>
      </w:r>
      <w:r w:rsidR="00B74E1B">
        <w:t xml:space="preserve"> </w:t>
      </w:r>
    </w:p>
    <w:p w:rsidR="008D6C0F" w:rsidRDefault="008D6C0F" w:rsidP="004C08F7">
      <w:pPr>
        <w:pStyle w:val="citation"/>
      </w:pPr>
    </w:p>
    <w:p w:rsidR="004C08F7" w:rsidRDefault="004C08F7" w:rsidP="004C08F7">
      <w:pPr>
        <w:pStyle w:val="citation"/>
      </w:pPr>
      <w:r>
        <w:t>[</w:t>
      </w:r>
      <w:r w:rsidRPr="004C08F7">
        <w:rPr>
          <w:i/>
        </w:rPr>
        <w:t>sic</w:t>
      </w:r>
      <w:r>
        <w:t>]</w:t>
      </w:r>
    </w:p>
    <w:p w:rsidR="00BB451C" w:rsidRDefault="00BB451C" w:rsidP="004C08F7">
      <w:pPr>
        <w:pStyle w:val="citation"/>
      </w:pPr>
    </w:p>
    <w:p w:rsidR="00BB451C" w:rsidRDefault="00BB451C" w:rsidP="004C08F7">
      <w:pPr>
        <w:pStyle w:val="citation"/>
      </w:pPr>
    </w:p>
    <w:p w:rsidR="007E79C3" w:rsidRDefault="006F60B0" w:rsidP="007E79C3">
      <w:pPr>
        <w:pStyle w:val="corpsdedcision"/>
      </w:pPr>
      <w:r>
        <w:t>Le médecin conclut son rappo</w:t>
      </w:r>
      <w:r w:rsidR="00AA25EE">
        <w:t>rt en indiquant que la lésion</w:t>
      </w:r>
      <w:r>
        <w:t xml:space="preserve"> psychologiq</w:t>
      </w:r>
      <w:r w:rsidR="00AA25EE">
        <w:t xml:space="preserve">ue </w:t>
      </w:r>
      <w:r>
        <w:t xml:space="preserve">n’est pas encore consolidée et recommande la poursuite du suivi psychologique. Dans un </w:t>
      </w:r>
      <w:r>
        <w:lastRenderedPageBreak/>
        <w:t>rapport co</w:t>
      </w:r>
      <w:r w:rsidR="00BC3CFE">
        <w:t>mplémentaire, le docteur Gagnon</w:t>
      </w:r>
      <w:r w:rsidR="00320194">
        <w:t xml:space="preserve"> justifie de la façon suivante l’arrêt de travail :</w:t>
      </w:r>
    </w:p>
    <w:p w:rsidR="00320194" w:rsidRDefault="001B22CE" w:rsidP="001B22CE">
      <w:pPr>
        <w:pStyle w:val="citation"/>
      </w:pPr>
      <w:r>
        <w:t>[…]</w:t>
      </w:r>
    </w:p>
    <w:p w:rsidR="001B22CE" w:rsidRDefault="001B22CE" w:rsidP="001B22CE">
      <w:pPr>
        <w:pStyle w:val="citation"/>
      </w:pPr>
    </w:p>
    <w:p w:rsidR="001B22CE" w:rsidRDefault="001B22CE" w:rsidP="001B22CE">
      <w:pPr>
        <w:pStyle w:val="citation"/>
      </w:pPr>
      <w:r>
        <w:t xml:space="preserve">Oui, l’arrêt de travail est justifié. Madame a présenté un tableau de trouble d’adaptation avec éléments anxiodépressifs en lien avec le stresseur qui est l’annonce aux nouvelles que la répartitrice de </w:t>
      </w:r>
      <w:r w:rsidR="003B73EB">
        <w:t>[Ville A]</w:t>
      </w:r>
      <w:r>
        <w:t xml:space="preserve"> aurait fait une erreur en ne cryptant pas les ondes lors d’un message. Cela est venu nettement ébranler l’estime de soi de madame, mettre un doute dans l’esprit de madame en rapport avec sa capacité à faire son travail. En ce sens, madame gagnait à être </w:t>
      </w:r>
      <w:r w:rsidR="007458B3">
        <w:t>retirée quelques semaines, le temps de prendre un peu de distance par rapport à ce qui s’est produit, à avoir également de l’aide psychologique, ce qu’elle a obtenu. Elle sera probablement capable de rentrer au travail le 1</w:t>
      </w:r>
      <w:r w:rsidR="007458B3" w:rsidRPr="007458B3">
        <w:rPr>
          <w:vertAlign w:val="superscript"/>
        </w:rPr>
        <w:t>er</w:t>
      </w:r>
      <w:r w:rsidR="007458B3">
        <w:t xml:space="preserve"> août 2014, tel que prévu.</w:t>
      </w:r>
    </w:p>
    <w:p w:rsidR="007458B3" w:rsidRDefault="007458B3" w:rsidP="001B22CE">
      <w:pPr>
        <w:pStyle w:val="citation"/>
      </w:pPr>
    </w:p>
    <w:p w:rsidR="007458B3" w:rsidRDefault="007458B3" w:rsidP="001B22CE">
      <w:pPr>
        <w:pStyle w:val="citation"/>
      </w:pPr>
      <w:r>
        <w:t>[…]</w:t>
      </w:r>
    </w:p>
    <w:p w:rsidR="007458B3" w:rsidRDefault="007458B3" w:rsidP="001B22CE">
      <w:pPr>
        <w:pStyle w:val="citation"/>
      </w:pPr>
    </w:p>
    <w:p w:rsidR="007458B3" w:rsidRDefault="007458B3" w:rsidP="001B22CE">
      <w:pPr>
        <w:pStyle w:val="citation"/>
      </w:pPr>
      <w:r>
        <w:t>[</w:t>
      </w:r>
      <w:r w:rsidRPr="007458B3">
        <w:rPr>
          <w:i/>
        </w:rPr>
        <w:t>sic</w:t>
      </w:r>
      <w:r>
        <w:t>]</w:t>
      </w:r>
    </w:p>
    <w:p w:rsidR="00E51C18" w:rsidRDefault="00E51C18" w:rsidP="001B22CE">
      <w:pPr>
        <w:pStyle w:val="citation"/>
      </w:pPr>
    </w:p>
    <w:p w:rsidR="00E51C18" w:rsidRDefault="00E51C18" w:rsidP="001B22CE">
      <w:pPr>
        <w:pStyle w:val="citation"/>
      </w:pPr>
    </w:p>
    <w:p w:rsidR="00E51C18" w:rsidRDefault="00E51C18" w:rsidP="00E51C18">
      <w:pPr>
        <w:pStyle w:val="corpsdedcision"/>
      </w:pPr>
      <w:r>
        <w:t xml:space="preserve">À la demande de la CSST, </w:t>
      </w:r>
      <w:r w:rsidR="00C11D07">
        <w:t>la travailleuse complète, le 23 juillet 2014, un document où elle décrit comme suit les événements qu’elle considère être à l’origine de sa lésion psychologique :</w:t>
      </w:r>
    </w:p>
    <w:p w:rsidR="00173895" w:rsidRDefault="00173895" w:rsidP="00173895">
      <w:pPr>
        <w:pStyle w:val="citation"/>
      </w:pPr>
      <w:r>
        <w:t xml:space="preserve">Lors de mon quart de travail du 17 juin 2014, j’ai reçu un message narratif sur le CRPQ qui disait que la police de Québec était à la recherche d’un homme (nom et date de naissance) qui conduit un véhicule (marque, modèle, année, couleur et plaque) qui avait été loué à montréal et que la personne abord peut être armée et dangereuse, si intercepté agir avec prudence.  J’ai donc donné le message de manière général sur les ondes de radio de police et à toutes les patrouilles. Personne n’a réagit à l’information que je venais de donner? Vers 16h30 ma patronne vient me voir et me demande, si j’ai donné les infos que j’ai d’écrit plutôt. Je lui confirme que oui. Vers 17h00 elle revient me voir et me dit que tout est correct. Je termine mon quart de travail et je rentre chez moi. A 22h00 lorsque les nouvelles commencent, je suis assise dans le salon avec mon conjoint, j’entend : «  Grosse erreure de LA RÉPARTITRICE </w:t>
      </w:r>
      <w:r w:rsidR="003B73EB">
        <w:t>[de Ville A]</w:t>
      </w:r>
      <w:r>
        <w:t>, elle a mentionné de l’information confidentiel sur les ondes de radio police sans avoir crypté les ondes radio. La Surté du Q</w:t>
      </w:r>
      <w:r w:rsidR="00AA25EE">
        <w:t>u</w:t>
      </w:r>
      <w:r>
        <w:t>ébec est en maudit contre la « répartitrice. Elle vient de compromettre une enquête importante (c’éta</w:t>
      </w:r>
      <w:r w:rsidR="00B72DBD">
        <w:t>i</w:t>
      </w:r>
      <w:r>
        <w:t>t l’enquête des 3 évadés de la prison d’Orsainville). » Ensuite, ils passent l’enregistrement de « ma »</w:t>
      </w:r>
      <w:r w:rsidR="00B72DBD">
        <w:t xml:space="preserve"> </w:t>
      </w:r>
      <w:r>
        <w:t>voix à la télévision. Les mots e</w:t>
      </w:r>
      <w:r w:rsidR="00B72DBD">
        <w:t>x</w:t>
      </w:r>
      <w:r>
        <w:t>actes que je disais dans l’après-midi et ce sans brouiller ma voix. Mon conjoint me regarde et me mentionne : « C</w:t>
      </w:r>
      <w:r w:rsidR="00B72DBD">
        <w:t>’</w:t>
      </w:r>
      <w:r>
        <w:t xml:space="preserve">est toi qu’on entend ! » Je me suis </w:t>
      </w:r>
      <w:r w:rsidR="00AA25EE">
        <w:t xml:space="preserve">effondrer en larme. La télé et </w:t>
      </w:r>
      <w:r w:rsidR="00A90A5E">
        <w:t>L</w:t>
      </w:r>
      <w:r>
        <w:t>es journaliste mon détruit et on détruit ma confiance en moi.</w:t>
      </w:r>
    </w:p>
    <w:p w:rsidR="00173895" w:rsidRDefault="00173895" w:rsidP="00173895">
      <w:pPr>
        <w:pStyle w:val="citation"/>
      </w:pPr>
    </w:p>
    <w:p w:rsidR="00C11D07" w:rsidRDefault="00173895" w:rsidP="00173895">
      <w:pPr>
        <w:pStyle w:val="citation"/>
      </w:pPr>
      <w:r>
        <w:t>[</w:t>
      </w:r>
      <w:r w:rsidRPr="00173895">
        <w:rPr>
          <w:i/>
        </w:rPr>
        <w:t>sic</w:t>
      </w:r>
      <w:r>
        <w:t xml:space="preserve">]  </w:t>
      </w:r>
    </w:p>
    <w:p w:rsidR="00B72DBD" w:rsidRDefault="00B72DBD" w:rsidP="00173895">
      <w:pPr>
        <w:pStyle w:val="citation"/>
      </w:pPr>
    </w:p>
    <w:p w:rsidR="00B72DBD" w:rsidRDefault="00B72DBD" w:rsidP="00173895">
      <w:pPr>
        <w:pStyle w:val="citation"/>
      </w:pPr>
    </w:p>
    <w:p w:rsidR="00B72DBD" w:rsidRDefault="00B72DBD" w:rsidP="00B72DBD">
      <w:pPr>
        <w:pStyle w:val="corpsdedcision"/>
      </w:pPr>
      <w:r>
        <w:t>Le 31 juillet 2014, la docteure Dubois revoit en consultation la travailleuse et recommande un retour progressif au travail à compter du 24 août 2014. Dans ses notes de consultation, elle retient le diagnostic de trouble d’adaptation et réfère à l’expertise médicale réalisée par le docteur Gagnon. Le médecin recommande</w:t>
      </w:r>
      <w:r w:rsidR="001661B5">
        <w:t xml:space="preserve"> également de continuer le suivi psychologique.</w:t>
      </w:r>
    </w:p>
    <w:p w:rsidR="001661B5" w:rsidRDefault="006048EF" w:rsidP="00B72DBD">
      <w:pPr>
        <w:pStyle w:val="corpsdedcision"/>
      </w:pPr>
      <w:r>
        <w:t>Le même jour, la CSST rend une décision par laquelle elle rejette la réclamation de la travailleuse en fonction du diagnostic de stress post-traumatique et lui réclame la somme de 1 590,</w:t>
      </w:r>
      <w:r w:rsidR="004D7184">
        <w:t>40 $.</w:t>
      </w:r>
    </w:p>
    <w:p w:rsidR="004D7184" w:rsidRDefault="004D7184" w:rsidP="00B72DBD">
      <w:pPr>
        <w:pStyle w:val="corpsdedcision"/>
      </w:pPr>
      <w:r>
        <w:t xml:space="preserve">Le 16 septembre 2014, la docteure Dubois écrit, dans ses notes de consultation, que la travailleuse a trouvé difficile son retour au travail et lui recommande de revoir </w:t>
      </w:r>
      <w:r w:rsidR="008A619E">
        <w:t>un</w:t>
      </w:r>
      <w:r>
        <w:t xml:space="preserve"> psychologue au besoin.</w:t>
      </w:r>
    </w:p>
    <w:p w:rsidR="004D7184" w:rsidRDefault="000E176F" w:rsidP="00B72DBD">
      <w:pPr>
        <w:pStyle w:val="corpsdedcision"/>
      </w:pPr>
      <w:r>
        <w:t>Le 30 octobre 2014, à la suite d'une révision administrative, la CSST confirme sa décision initiale du 31 juillet 2014.</w:t>
      </w:r>
    </w:p>
    <w:p w:rsidR="000E176F" w:rsidRDefault="000E176F" w:rsidP="00B72DBD">
      <w:pPr>
        <w:pStyle w:val="corpsdedcision"/>
      </w:pPr>
      <w:r>
        <w:t>Le 17 décembre 2014, la travailleuse dépose une requête à la Commission des lésions professionnelles par laquelle elle conteste la décision rendue par la CSST le 30 octobre 2014, d’où le présent litige.</w:t>
      </w:r>
    </w:p>
    <w:p w:rsidR="000E176F" w:rsidRDefault="00F031CE" w:rsidP="00B72DBD">
      <w:pPr>
        <w:pStyle w:val="corpsdedcision"/>
      </w:pPr>
      <w:r>
        <w:t>Lors de l’audience, le tribunal a d’abord entendu le témoignage de la travailleuse.</w:t>
      </w:r>
    </w:p>
    <w:p w:rsidR="00F031CE" w:rsidRDefault="00F031CE" w:rsidP="00736ABA">
      <w:pPr>
        <w:pStyle w:val="corpsdedcision"/>
      </w:pPr>
      <w:r>
        <w:t>Sur la question du délai à déposer sa requête à la Commission des lésions professionnelles, la travailleuse mentionne avoir reçu la décision de la révision admi</w:t>
      </w:r>
      <w:r w:rsidR="00FC5F9D">
        <w:t>nistrative de la CSST datée du 3</w:t>
      </w:r>
      <w:r>
        <w:t>0 octobre 2014,</w:t>
      </w:r>
      <w:r w:rsidR="00FC5F9D">
        <w:t xml:space="preserve"> seulement</w:t>
      </w:r>
      <w:r>
        <w:t xml:space="preserve"> le mardi de la semaine suivante, soit le 4 novembre 2014.</w:t>
      </w:r>
      <w:r w:rsidR="00916E9A">
        <w:t xml:space="preserve"> </w:t>
      </w:r>
      <w:r>
        <w:t xml:space="preserve">Elle affirme </w:t>
      </w:r>
      <w:r w:rsidR="00916E9A">
        <w:t>l’</w:t>
      </w:r>
      <w:r>
        <w:t>avoir lu</w:t>
      </w:r>
      <w:r w:rsidR="00916E9A">
        <w:t>e</w:t>
      </w:r>
      <w:r>
        <w:t>, puis avoir contacté son employeur pour</w:t>
      </w:r>
      <w:r w:rsidR="00377451">
        <w:t xml:space="preserve"> faire une demande d’indemnisation</w:t>
      </w:r>
      <w:r>
        <w:t xml:space="preserve"> en assurance-salaire. </w:t>
      </w:r>
      <w:r w:rsidR="00377451">
        <w:t>Quelque temps plus tard, la travailleuse mentionne</w:t>
      </w:r>
      <w:r>
        <w:t xml:space="preserve"> que l’employeur lui a dit de contacter son syndicat, si elle voulait contester la décision rendue par la CSST, ce qu’elle a fait quelques jours avant la fin du délai de contestation.</w:t>
      </w:r>
    </w:p>
    <w:p w:rsidR="00F031CE" w:rsidRDefault="002B78C6" w:rsidP="00B72DBD">
      <w:pPr>
        <w:pStyle w:val="corpsdedcision"/>
      </w:pPr>
      <w:r>
        <w:t xml:space="preserve">Sur le fond du litige, elle confirme </w:t>
      </w:r>
      <w:r w:rsidR="002E2FB6">
        <w:t>occuper un poste de</w:t>
      </w:r>
      <w:r>
        <w:t xml:space="preserve"> répartitrice </w:t>
      </w:r>
      <w:r w:rsidR="00717A9C">
        <w:t>au</w:t>
      </w:r>
      <w:r>
        <w:t xml:space="preserve"> cent</w:t>
      </w:r>
      <w:r w:rsidR="00717A9C">
        <w:t>r</w:t>
      </w:r>
      <w:r>
        <w:t>e d’urgence 911 de l’employeur. Elle y travaille 40 heures par semaine selon un hor</w:t>
      </w:r>
      <w:r w:rsidR="00377E64">
        <w:t xml:space="preserve">aire rotatif de jour ou de soir, </w:t>
      </w:r>
      <w:r>
        <w:t>comportant des quarts de travail de 12 heures.</w:t>
      </w:r>
    </w:p>
    <w:p w:rsidR="002B78C6" w:rsidRDefault="002B78C6" w:rsidP="00377E64">
      <w:pPr>
        <w:pStyle w:val="corpsdedcision"/>
      </w:pPr>
      <w:r>
        <w:t>La travailleuse explique qu’il y a 4 employés par quart de travail et que durant le quart de jour, un employé supplémentaire est présent pour combler les absences survenant durant les heures de repas. Elle souligne que le centre d’urgence 911 est si</w:t>
      </w:r>
      <w:r w:rsidR="00377E64">
        <w:t>tué au quartier général du service</w:t>
      </w:r>
      <w:r>
        <w:t xml:space="preserve"> de police de </w:t>
      </w:r>
      <w:r w:rsidR="003B73EB">
        <w:t>Ville A</w:t>
      </w:r>
      <w:r>
        <w:t xml:space="preserve"> et qu’à son poste de travail, elle dispose d’un téléphone, d’un ordinateur ainsi que d’une imprimante.</w:t>
      </w:r>
      <w:r w:rsidR="00377E64">
        <w:t xml:space="preserve"> </w:t>
      </w:r>
      <w:r w:rsidR="00905AF4">
        <w:t>Le témoin mentionne que s</w:t>
      </w:r>
      <w:r w:rsidR="00317770">
        <w:t>a</w:t>
      </w:r>
      <w:r w:rsidR="00905AF4">
        <w:t xml:space="preserve"> che</w:t>
      </w:r>
      <w:r w:rsidR="00377E64">
        <w:t>f d’équipe est madame Renée Paris</w:t>
      </w:r>
      <w:r w:rsidR="00905AF4">
        <w:t xml:space="preserve"> dont le rôle est notamment de superviser le travail des répartiteurs.</w:t>
      </w:r>
    </w:p>
    <w:p w:rsidR="001A6B14" w:rsidRDefault="00742538" w:rsidP="00B72DBD">
      <w:pPr>
        <w:pStyle w:val="corpsdedcision"/>
      </w:pPr>
      <w:r>
        <w:t>La travailleuse poursuit son témoignage en spécifiant que tous les répartiteurs ont accès aux informations contenues au Centre de renseignement</w:t>
      </w:r>
      <w:r w:rsidR="009F23AC">
        <w:t>s</w:t>
      </w:r>
      <w:r>
        <w:t xml:space="preserve"> policier</w:t>
      </w:r>
      <w:r w:rsidR="009F23AC">
        <w:t>s</w:t>
      </w:r>
      <w:r>
        <w:t xml:space="preserve"> du Québec</w:t>
      </w:r>
      <w:r w:rsidR="00582338">
        <w:t>,</w:t>
      </w:r>
      <w:r>
        <w:t xml:space="preserve"> mais qu’il y a seulement un poste de travail qui reçoit les informat</w:t>
      </w:r>
      <w:r w:rsidR="00582338">
        <w:t>ions provenant des autres corps</w:t>
      </w:r>
      <w:r>
        <w:t xml:space="preserve"> de police du Québec (poste 1).</w:t>
      </w:r>
      <w:r w:rsidR="00C00C22">
        <w:t xml:space="preserve"> Pour sa part, la travailleuse explique qu’elle </w:t>
      </w:r>
      <w:r w:rsidR="00841BE8">
        <w:t>est</w:t>
      </w:r>
      <w:r w:rsidR="00C00C22">
        <w:t xml:space="preserve"> habituellement attitrée au poste de travail numéro</w:t>
      </w:r>
      <w:r w:rsidR="00582338">
        <w:t xml:space="preserve"> 2, mais qu’à l’occasion, elle</w:t>
      </w:r>
      <w:r w:rsidR="00C00C22">
        <w:t xml:space="preserve"> remplace la personne occupant le poste numéro 1</w:t>
      </w:r>
      <w:r w:rsidR="00582338">
        <w:t xml:space="preserve">, </w:t>
      </w:r>
      <w:r w:rsidR="002164D9">
        <w:t>entre autres</w:t>
      </w:r>
      <w:r w:rsidR="007653D1">
        <w:t xml:space="preserve"> pendant les</w:t>
      </w:r>
      <w:r w:rsidR="00C00C22">
        <w:t xml:space="preserve"> période</w:t>
      </w:r>
      <w:r w:rsidR="007653D1">
        <w:t>s</w:t>
      </w:r>
      <w:r w:rsidR="00C00C22">
        <w:t xml:space="preserve"> de repas. Elle précise que le centre d’urgence 911 de </w:t>
      </w:r>
      <w:r w:rsidR="003B73EB">
        <w:t>Ville A</w:t>
      </w:r>
      <w:r w:rsidR="00C00C22">
        <w:t xml:space="preserve"> reçoit des appels provenant du territoire de la Ville </w:t>
      </w:r>
      <w:r w:rsidR="003B73EB">
        <w:t>A</w:t>
      </w:r>
      <w:r w:rsidR="00C00C22">
        <w:t xml:space="preserve"> ainsi que du territoire de la MRC </w:t>
      </w:r>
      <w:r w:rsidR="003B73EB">
        <w:t>A</w:t>
      </w:r>
      <w:r w:rsidR="00C00C22">
        <w:t>. Selon la nature des appels (</w:t>
      </w:r>
      <w:r w:rsidR="001A6B14">
        <w:t>incendies, ambulances ou autres), elle traite ceux</w:t>
      </w:r>
      <w:r w:rsidR="001A6B14">
        <w:noBreakHyphen/>
        <w:t>ci ou les dirige auprès de l’organisme approprié.</w:t>
      </w:r>
    </w:p>
    <w:p w:rsidR="004A7930" w:rsidRDefault="00B5468B" w:rsidP="00B72DBD">
      <w:pPr>
        <w:pStyle w:val="corpsdedcision"/>
      </w:pPr>
      <w:r>
        <w:t>Par aill</w:t>
      </w:r>
      <w:r w:rsidR="004C3135">
        <w:t xml:space="preserve">eurs, elle </w:t>
      </w:r>
      <w:r w:rsidR="00DE5E42">
        <w:t>indi</w:t>
      </w:r>
      <w:r w:rsidR="004C3135">
        <w:t>que qu’</w:t>
      </w:r>
      <w:r>
        <w:t xml:space="preserve">à l’occasion, </w:t>
      </w:r>
      <w:r w:rsidR="004C3135">
        <w:t>elle reçoit</w:t>
      </w:r>
      <w:r>
        <w:t xml:space="preserve"> du Centre de renseignement</w:t>
      </w:r>
      <w:r w:rsidR="009F23AC">
        <w:t>s</w:t>
      </w:r>
      <w:r>
        <w:t xml:space="preserve"> policier</w:t>
      </w:r>
      <w:r w:rsidR="009F23AC">
        <w:t>s</w:t>
      </w:r>
      <w:r>
        <w:t xml:space="preserve"> du Québec, des informations qu’elle doit diffuser aux policiers</w:t>
      </w:r>
      <w:r w:rsidR="004C3135">
        <w:t>, par exemple</w:t>
      </w:r>
      <w:r>
        <w:t xml:space="preserve"> lorsque la Sûreté du Québec recherche une personne qui a des idées suicidaires. Dans une telle situation, la travailleuse procède</w:t>
      </w:r>
      <w:r w:rsidR="00AD76A3">
        <w:t xml:space="preserve"> à la diffusion d’un message narratif aux policiers qui sont sur la route, en utilisant les ondes radio</w:t>
      </w:r>
      <w:r w:rsidR="004C3135">
        <w:t>. Il s’agit alors d’un message appelé</w:t>
      </w:r>
      <w:r w:rsidR="00594C2E">
        <w:t xml:space="preserve"> « 10-10 </w:t>
      </w:r>
      <w:r w:rsidR="003F46D6">
        <w:t>à toutes les patrouilles »</w:t>
      </w:r>
      <w:r w:rsidR="004A7930">
        <w:t xml:space="preserve">. À l’annonce de ce message, </w:t>
      </w:r>
      <w:r w:rsidR="00D511DF">
        <w:t>elle</w:t>
      </w:r>
      <w:r w:rsidR="004A7930">
        <w:t xml:space="preserve"> explique </w:t>
      </w:r>
      <w:r w:rsidR="004C3135">
        <w:t xml:space="preserve">que les policiers doivent </w:t>
      </w:r>
      <w:r w:rsidR="004A7930">
        <w:t>répondre qu’ils sont à l’écoute et, après le message, qu’ils l’ont bien compris.</w:t>
      </w:r>
    </w:p>
    <w:p w:rsidR="00905AF4" w:rsidRDefault="004E3ABB" w:rsidP="00B72DBD">
      <w:pPr>
        <w:pStyle w:val="corpsdedcision"/>
      </w:pPr>
      <w:r>
        <w:t>La travailleuse témoigne ensuite qu’avant le 17 juin 2014, il n’existait pas de protoco</w:t>
      </w:r>
      <w:r w:rsidR="00A23312">
        <w:t>le chez l’employeur pour déterminer</w:t>
      </w:r>
      <w:r>
        <w:t xml:space="preserve"> si un message</w:t>
      </w:r>
      <w:r w:rsidR="00A23312" w:rsidRPr="00A23312">
        <w:t xml:space="preserve"> </w:t>
      </w:r>
      <w:r w:rsidR="00A23312">
        <w:t>en provenance du Centre de renseignements policiers du Québec</w:t>
      </w:r>
      <w:r w:rsidR="00C00C22">
        <w:t xml:space="preserve"> </w:t>
      </w:r>
      <w:r>
        <w:t>devait être ou non divulgué sur les ondes radio</w:t>
      </w:r>
      <w:r w:rsidR="00A23312">
        <w:t>. Cette question était</w:t>
      </w:r>
      <w:r>
        <w:t xml:space="preserve"> laissée au jugement de chaque répartiteur. Toutefois, depuis le 26 juin 2014, une procédure écrite a été mise en place par l’employ</w:t>
      </w:r>
      <w:r w:rsidR="00A23312">
        <w:t>eur (pièce T-1) et c’est</w:t>
      </w:r>
      <w:r>
        <w:t xml:space="preserve"> maintenant un lieutenant du service de police qui décide si un message narratif doit être transmis</w:t>
      </w:r>
      <w:r w:rsidR="00A23312">
        <w:t xml:space="preserve"> ou non</w:t>
      </w:r>
      <w:r>
        <w:t xml:space="preserve"> sur les ondes radio.</w:t>
      </w:r>
    </w:p>
    <w:p w:rsidR="004E3ABB" w:rsidRDefault="00110ADC" w:rsidP="00B72DBD">
      <w:pPr>
        <w:pStyle w:val="corpsdedcision"/>
      </w:pPr>
      <w:r>
        <w:t>D’autre part, elle</w:t>
      </w:r>
      <w:r w:rsidR="007944B1">
        <w:t xml:space="preserve"> mentionne que lors de sa formation comme répartitrice, on lui avait expliqué que selon la </w:t>
      </w:r>
      <w:r w:rsidR="007944B1">
        <w:rPr>
          <w:i/>
        </w:rPr>
        <w:t>Loi sur la radiocommunication</w:t>
      </w:r>
      <w:r w:rsidR="007944B1" w:rsidRPr="007944B1">
        <w:rPr>
          <w:rStyle w:val="Appelnotedebasdep"/>
        </w:rPr>
        <w:footnoteReference w:id="2"/>
      </w:r>
      <w:r w:rsidR="007944B1">
        <w:t xml:space="preserve"> (pièce</w:t>
      </w:r>
      <w:r w:rsidR="0007325E">
        <w:t> </w:t>
      </w:r>
      <w:r w:rsidR="007944B1">
        <w:t>T</w:t>
      </w:r>
      <w:r w:rsidR="0007325E">
        <w:noBreakHyphen/>
      </w:r>
      <w:r w:rsidR="007944B1">
        <w:t>2)</w:t>
      </w:r>
      <w:r w:rsidR="0007325E">
        <w:t xml:space="preserve">, les informations divulguées sur les ondes </w:t>
      </w:r>
      <w:r w:rsidR="00543D8B">
        <w:t>radio</w:t>
      </w:r>
      <w:r w:rsidR="0007325E">
        <w:t xml:space="preserve"> étai</w:t>
      </w:r>
      <w:r>
        <w:t>ent confidentielles et que c’étai</w:t>
      </w:r>
      <w:r w:rsidR="00543D8B">
        <w:t>t</w:t>
      </w:r>
      <w:r w:rsidR="0007325E">
        <w:t xml:space="preserve"> seulement les policiers qui pouvaient utiliser celles-ci.</w:t>
      </w:r>
    </w:p>
    <w:p w:rsidR="0007325E" w:rsidRDefault="00CF7EA3" w:rsidP="00B72DBD">
      <w:pPr>
        <w:pStyle w:val="corpsdedcision"/>
      </w:pPr>
      <w:r>
        <w:t xml:space="preserve">Appelée à relater les événements survenus le 17 juin 2014, la travailleuse explique que ce jour-là, elle travaillait sur le quart de jour et qu’à un certain moment au cours de l’avant-midi, elle </w:t>
      </w:r>
      <w:r w:rsidR="00110ADC">
        <w:t>a</w:t>
      </w:r>
      <w:r w:rsidR="009B2604">
        <w:t xml:space="preserve"> dû remplacer sa chef d’équipe</w:t>
      </w:r>
      <w:r>
        <w:t xml:space="preserve"> au poste numéro 1. C’est dans ce contexte qu’elle a reçu, vers 10 h 30, un message en provenance du Centre de renseignements policier</w:t>
      </w:r>
      <w:r w:rsidR="009F23AC">
        <w:t>s</w:t>
      </w:r>
      <w:r>
        <w:t xml:space="preserve"> du Québec à l’effet que l</w:t>
      </w:r>
      <w:r w:rsidR="00937C81">
        <w:t>e service de police de la ville de</w:t>
      </w:r>
      <w:r>
        <w:t xml:space="preserve"> Québec était à la recherche d’un individu, que celui-ci était au volant d’un véhicule</w:t>
      </w:r>
      <w:r w:rsidR="003314AA">
        <w:t xml:space="preserve"> loué dans la région de Montréal</w:t>
      </w:r>
      <w:r>
        <w:t>, qu’il pouvait êt</w:t>
      </w:r>
      <w:r w:rsidR="000A6188">
        <w:t>re dangereux et pourr</w:t>
      </w:r>
      <w:r>
        <w:t>ait être relié à une éva</w:t>
      </w:r>
      <w:r w:rsidR="003B73EB">
        <w:t>-</w:t>
      </w:r>
      <w:r>
        <w:t>sion de détenus survenue à la prison d’Orsainville</w:t>
      </w:r>
      <w:r w:rsidR="00937C81">
        <w:t xml:space="preserve"> </w:t>
      </w:r>
      <w:r>
        <w:t>(pièce E-1).</w:t>
      </w:r>
      <w:r w:rsidR="009B2604">
        <w:t xml:space="preserve"> La travailleuse témoigne</w:t>
      </w:r>
      <w:r w:rsidR="009F23AC">
        <w:t xml:space="preserve"> avoir </w:t>
      </w:r>
      <w:r w:rsidR="009B2604">
        <w:t xml:space="preserve">immédiatement </w:t>
      </w:r>
      <w:r w:rsidR="009F23AC">
        <w:t>diffusé</w:t>
      </w:r>
      <w:r w:rsidR="00C225E6">
        <w:t xml:space="preserve"> ce message (message 10-10)</w:t>
      </w:r>
      <w:r w:rsidR="009F23AC">
        <w:t xml:space="preserve"> sur les ondes radio</w:t>
      </w:r>
      <w:r w:rsidR="00C225E6">
        <w:t>.</w:t>
      </w:r>
    </w:p>
    <w:p w:rsidR="00CF7EA3" w:rsidRDefault="00083416" w:rsidP="00B72DBD">
      <w:pPr>
        <w:pStyle w:val="corpsdedcision"/>
      </w:pPr>
      <w:r>
        <w:t>Durant l’après-midi du 17 juin 2014, l</w:t>
      </w:r>
      <w:r w:rsidR="00246A79">
        <w:t>e</w:t>
      </w:r>
      <w:r>
        <w:t xml:space="preserve"> t</w:t>
      </w:r>
      <w:r w:rsidR="00246A79">
        <w:t>émoin</w:t>
      </w:r>
      <w:r>
        <w:t xml:space="preserve"> </w:t>
      </w:r>
      <w:r w:rsidR="00246A79">
        <w:t>ind</w:t>
      </w:r>
      <w:r>
        <w:t>ique que sa supérieure</w:t>
      </w:r>
      <w:r w:rsidR="00321162">
        <w:t xml:space="preserve">, madame Lyne Grenon, est venue la voir pour s’informer si elle avait effectivement diffusé le message </w:t>
      </w:r>
      <w:r w:rsidR="00C225E6">
        <w:t>reçu plu</w:t>
      </w:r>
      <w:r w:rsidR="00246A79">
        <w:t xml:space="preserve">s </w:t>
      </w:r>
      <w:r w:rsidR="00C225E6">
        <w:t xml:space="preserve">tôt </w:t>
      </w:r>
      <w:r w:rsidR="00321162">
        <w:t xml:space="preserve">du Centre de renseignements policiers du Québec sur les ondes radio. Après lui avoir répondu par l’affirmative, la travailleuse </w:t>
      </w:r>
      <w:r w:rsidR="00246A79">
        <w:t>déclar</w:t>
      </w:r>
      <w:r w:rsidR="00321162">
        <w:t xml:space="preserve">e </w:t>
      </w:r>
      <w:r w:rsidR="00C225E6">
        <w:t>que madame Grenon a quitté son poste de travail</w:t>
      </w:r>
      <w:r w:rsidR="00321162">
        <w:t>, puis est revenue plus tard pour lui dire que tout était correct. La travailleuse soupçonne alors qu’il se passe quelque chose d’inhabituel, mais ignore de quoi il s’agit exactement. Elle termine</w:t>
      </w:r>
      <w:r w:rsidR="00A62E24">
        <w:t xml:space="preserve"> néanmoins</w:t>
      </w:r>
      <w:r w:rsidR="00321162">
        <w:t xml:space="preserve"> son quart de travail comme prévu vers 19 h et se rend à son domicile.</w:t>
      </w:r>
    </w:p>
    <w:p w:rsidR="00321162" w:rsidRDefault="009A7530" w:rsidP="00B72DBD">
      <w:pPr>
        <w:pStyle w:val="corpsdedcision"/>
      </w:pPr>
      <w:r>
        <w:t xml:space="preserve">Par la suite, vers 22 h, alors qu’elle </w:t>
      </w:r>
      <w:r w:rsidR="006C3911">
        <w:t xml:space="preserve">écoute le bulletin de nouvelles d’un réseau national de télévision, en compagnie de son conjoint, elle entend sa voix et </w:t>
      </w:r>
      <w:r w:rsidR="00951C1D">
        <w:t>un</w:t>
      </w:r>
      <w:r>
        <w:t xml:space="preserve"> journaliste di</w:t>
      </w:r>
      <w:r w:rsidR="006C3911">
        <w:t>re</w:t>
      </w:r>
      <w:r>
        <w:t xml:space="preserve"> qu’une répartitrice </w:t>
      </w:r>
      <w:r w:rsidR="003B73EB">
        <w:t>de Ville A</w:t>
      </w:r>
      <w:r>
        <w:t xml:space="preserve"> a fait une grosse erreur en diffusant un message sur les ondes radio </w:t>
      </w:r>
      <w:r w:rsidR="006C3911">
        <w:t>du service de police</w:t>
      </w:r>
      <w:r>
        <w:t xml:space="preserve"> sans avoir crypté celles-ci.</w:t>
      </w:r>
    </w:p>
    <w:p w:rsidR="00883AF3" w:rsidRDefault="00883AF3" w:rsidP="00B72DBD">
      <w:pPr>
        <w:pStyle w:val="corpsdedcision"/>
      </w:pPr>
      <w:r>
        <w:t>La travailleuse mentionne ne pas comprendre</w:t>
      </w:r>
      <w:r w:rsidR="00E02C16">
        <w:t xml:space="preserve"> alors</w:t>
      </w:r>
      <w:r>
        <w:t xml:space="preserve"> ce qui se passe, car on l’accuse d’avoir fa</w:t>
      </w:r>
      <w:r w:rsidR="006E2286">
        <w:t>it une erreur importante durant son</w:t>
      </w:r>
      <w:r>
        <w:t xml:space="preserve"> quart de son travail.</w:t>
      </w:r>
      <w:r w:rsidR="001D45BF">
        <w:t xml:space="preserve"> Son conjoint lui p</w:t>
      </w:r>
      <w:r w:rsidR="00D31042">
        <w:t>ose aussi des questions relativement à ce reportage</w:t>
      </w:r>
      <w:r w:rsidR="001D45BF">
        <w:t>. Elle explique avoir pleuré et ne pas avoir réussi à dormir pendant la nuit qui a suivi.</w:t>
      </w:r>
    </w:p>
    <w:p w:rsidR="00B3622E" w:rsidRDefault="00B3622E" w:rsidP="00B72DBD">
      <w:pPr>
        <w:pStyle w:val="corpsdedcision"/>
      </w:pPr>
      <w:r>
        <w:t>Le lendemain matin, l</w:t>
      </w:r>
      <w:r w:rsidR="00066786">
        <w:t>e témoin souligne</w:t>
      </w:r>
      <w:r>
        <w:t xml:space="preserve"> qu’elle était convaincue d’avoir fait une grosse erreur</w:t>
      </w:r>
      <w:r w:rsidR="006B1875">
        <w:t>. Elle ajoute que même sa belle-mère</w:t>
      </w:r>
      <w:r>
        <w:t xml:space="preserve"> était au courant de cette nouvelle, car celle-ci l’a contactée pour lui poser des questions à ce sujet.</w:t>
      </w:r>
    </w:p>
    <w:p w:rsidR="00B3622E" w:rsidRDefault="00D10DB0" w:rsidP="00B72DBD">
      <w:pPr>
        <w:pStyle w:val="corpsdedcision"/>
      </w:pPr>
      <w:r>
        <w:t>La travailleuse précise que durant la journée du 18 juin 2014, cette nouvelle était diffusée en boucle pa</w:t>
      </w:r>
      <w:r w:rsidR="00003FF2">
        <w:t>r plusieurs médias, y incluant d</w:t>
      </w:r>
      <w:r>
        <w:t xml:space="preserve">es stations de radio. On y affirmait que la Sûreté du Québec était fâchée </w:t>
      </w:r>
      <w:r w:rsidR="00304149">
        <w:t>à l’endroit du</w:t>
      </w:r>
      <w:r>
        <w:t xml:space="preserve"> service de police de Ville </w:t>
      </w:r>
      <w:r w:rsidR="003B73EB">
        <w:t>A</w:t>
      </w:r>
      <w:r>
        <w:t xml:space="preserve"> et que la répartitrice avait fait échou</w:t>
      </w:r>
      <w:r w:rsidR="00627875">
        <w:t>er</w:t>
      </w:r>
      <w:r>
        <w:t xml:space="preserve"> une enquête policière.</w:t>
      </w:r>
    </w:p>
    <w:p w:rsidR="00D10DB0" w:rsidRDefault="00DA4FF2" w:rsidP="00B72DBD">
      <w:pPr>
        <w:pStyle w:val="corpsdedcision"/>
      </w:pPr>
      <w:r>
        <w:t>N’ayant reçu aucune nouvelle de la part de l’employeur</w:t>
      </w:r>
      <w:r w:rsidR="00BD7C1A">
        <w:t>, elle décide</w:t>
      </w:r>
      <w:r w:rsidR="00003FF2">
        <w:t>,</w:t>
      </w:r>
      <w:r w:rsidR="00BD7C1A">
        <w:t xml:space="preserve"> vers 9 h 30, de se rendre au quartier général d</w:t>
      </w:r>
      <w:r w:rsidR="0087527E">
        <w:t xml:space="preserve">u service de </w:t>
      </w:r>
      <w:r w:rsidR="00BD7C1A">
        <w:t>police</w:t>
      </w:r>
      <w:r w:rsidR="00003FF2">
        <w:t xml:space="preserve"> pour y rencontrer sa supérieure. Elle affirme que madame Grenon</w:t>
      </w:r>
      <w:r w:rsidR="00BD7C1A">
        <w:t xml:space="preserve"> lui a mentionné qu’elle n’avait fait aucune erreur en diff</w:t>
      </w:r>
      <w:r w:rsidR="00003FF2">
        <w:t>usant le message narratif</w:t>
      </w:r>
      <w:r w:rsidR="00BD7C1A">
        <w:t xml:space="preserve"> sur les ondes </w:t>
      </w:r>
      <w:r w:rsidR="00003FF2">
        <w:t>radio et</w:t>
      </w:r>
      <w:r w:rsidR="00BD7C1A">
        <w:t xml:space="preserve"> qu’un communiqué de presse allait être envoyé par l’employeur aux médias à ce sujet.</w:t>
      </w:r>
    </w:p>
    <w:p w:rsidR="00AB2465" w:rsidRDefault="00AB2465" w:rsidP="00B72DBD">
      <w:pPr>
        <w:pStyle w:val="corpsdedcision"/>
      </w:pPr>
      <w:r>
        <w:t xml:space="preserve">Malgré les propos rassurants de sa supérieure, la travailleuse déclare qu’elle n’était pas convaincue de n’avoir fait </w:t>
      </w:r>
      <w:r w:rsidR="00003FF2">
        <w:t xml:space="preserve">aucune erreur et </w:t>
      </w:r>
      <w:r w:rsidR="002E1AD7">
        <w:t xml:space="preserve">a eu </w:t>
      </w:r>
      <w:r w:rsidR="00003FF2">
        <w:t>de la difficulté</w:t>
      </w:r>
      <w:r>
        <w:t xml:space="preserve"> à dormir dans les jours suivants.</w:t>
      </w:r>
      <w:r w:rsidR="00003FF2">
        <w:t xml:space="preserve"> C’est dans ce contexte</w:t>
      </w:r>
      <w:r w:rsidR="005C52D8">
        <w:t xml:space="preserve"> qu’elle a décidé de consulter un médecin, le 20 juin 2014, qui lui a recommandé un arrêt de travail complet.</w:t>
      </w:r>
    </w:p>
    <w:p w:rsidR="001B6D87" w:rsidRDefault="001B6D87" w:rsidP="00B72DBD">
      <w:pPr>
        <w:pStyle w:val="corpsdedcision"/>
      </w:pPr>
      <w:r>
        <w:t xml:space="preserve">La travailleuse </w:t>
      </w:r>
      <w:r w:rsidR="006F1C01">
        <w:t>précis</w:t>
      </w:r>
      <w:r>
        <w:t>e par la suite que 2 semaines plus tard, elle a consulté son médecin de famille, la docteure Dubois</w:t>
      </w:r>
      <w:r w:rsidR="00AA0467">
        <w:t>,</w:t>
      </w:r>
      <w:r>
        <w:t xml:space="preserve"> qui a prolongé son arrêt de travail. Elle </w:t>
      </w:r>
      <w:r w:rsidR="006F1C01">
        <w:t>reconnaît</w:t>
      </w:r>
      <w:r w:rsidR="00AA0467">
        <w:t xml:space="preserve"> que durant </w:t>
      </w:r>
      <w:r w:rsidR="006F1C01">
        <w:t>sa période d’</w:t>
      </w:r>
      <w:r w:rsidR="00AA0467">
        <w:t>arrêt de travail, elle a eu environ 9 rencontres</w:t>
      </w:r>
      <w:r>
        <w:t xml:space="preserve"> avec un psychologue et avoir </w:t>
      </w:r>
      <w:r w:rsidR="006D1ECE">
        <w:t xml:space="preserve">ensuite </w:t>
      </w:r>
      <w:r>
        <w:t>effectué un retour progressif au travail à la fin du mois d’août</w:t>
      </w:r>
      <w:r w:rsidR="006F1C01">
        <w:t> </w:t>
      </w:r>
      <w:r>
        <w:t>2014. La travailleuse confirme avoir trouvé difficile son retour au travail, car elle avait peur de donner certaines informations sur les ondes radio.</w:t>
      </w:r>
    </w:p>
    <w:p w:rsidR="001B6D87" w:rsidRDefault="007C3E54" w:rsidP="00B72DBD">
      <w:pPr>
        <w:pStyle w:val="corpsdedcision"/>
      </w:pPr>
      <w:r>
        <w:t>En contre-interrogatoire, la travailleuse reconnaît que</w:t>
      </w:r>
      <w:r w:rsidR="00F572DE">
        <w:t xml:space="preserve"> les médias n’ont jamais mentionné son nom, mais on</w:t>
      </w:r>
      <w:r w:rsidR="00793C56">
        <w:t>t</w:t>
      </w:r>
      <w:r w:rsidR="00F572DE">
        <w:t xml:space="preserve"> plutôt fait référence à une répartitrice </w:t>
      </w:r>
      <w:r w:rsidR="003B73EB">
        <w:t>de Ville A</w:t>
      </w:r>
      <w:r w:rsidR="00F572DE">
        <w:t>.</w:t>
      </w:r>
    </w:p>
    <w:p w:rsidR="00F572DE" w:rsidRDefault="00EF4546" w:rsidP="00B72DBD">
      <w:pPr>
        <w:pStyle w:val="corpsdedcision"/>
      </w:pPr>
      <w:r>
        <w:t xml:space="preserve">D’autre part, </w:t>
      </w:r>
      <w:r w:rsidR="00AA0467">
        <w:t xml:space="preserve">elle admet que faire en onde un « message </w:t>
      </w:r>
      <w:r>
        <w:t xml:space="preserve"> 10-10 », </w:t>
      </w:r>
      <w:r w:rsidR="00EC767E">
        <w:t xml:space="preserve">est quelque chose de fréquent dans l’exercice de ses fonctions et qu’à </w:t>
      </w:r>
      <w:r w:rsidR="003B73EB">
        <w:t>Ville A</w:t>
      </w:r>
      <w:r w:rsidR="00EC767E">
        <w:t>, il n’est pas techniquement possible de crypter les o</w:t>
      </w:r>
      <w:r w:rsidR="00AA0467">
        <w:t>ndes</w:t>
      </w:r>
      <w:r w:rsidR="002252B9">
        <w:t xml:space="preserve"> radio</w:t>
      </w:r>
      <w:r w:rsidR="00EC767E">
        <w:t>.</w:t>
      </w:r>
    </w:p>
    <w:p w:rsidR="00EC767E" w:rsidRDefault="009A28FD" w:rsidP="00B72DBD">
      <w:pPr>
        <w:pStyle w:val="corpsdedcision"/>
      </w:pPr>
      <w:r>
        <w:t>La travailleuse reconnaît également savoir que les ondes radio</w:t>
      </w:r>
      <w:r w:rsidR="00623FB9">
        <w:t xml:space="preserve"> du service de police</w:t>
      </w:r>
      <w:r>
        <w:t xml:space="preserve"> peuvent être écoutées, mais affirme qu’elle ignorait que les médias pouvaient les utiliser.</w:t>
      </w:r>
    </w:p>
    <w:p w:rsidR="009A28FD" w:rsidRDefault="00910F95" w:rsidP="00B72DBD">
      <w:pPr>
        <w:pStyle w:val="corpsdedcision"/>
      </w:pPr>
      <w:r>
        <w:t>Par ailleurs</w:t>
      </w:r>
      <w:r w:rsidR="009A28FD">
        <w:t>, l</w:t>
      </w:r>
      <w:r w:rsidR="00721792">
        <w:t>e témoin</w:t>
      </w:r>
      <w:r w:rsidR="009A28FD">
        <w:t xml:space="preserve"> mentionne que madame Grenon lui a </w:t>
      </w:r>
      <w:r w:rsidR="00A569E6">
        <w:t xml:space="preserve">réitéré </w:t>
      </w:r>
      <w:r w:rsidR="009A28FD">
        <w:t>qu’elle n’avait fait aucune erreur le 17 juin 2014 et que</w:t>
      </w:r>
      <w:r w:rsidR="00A569E6">
        <w:t>,</w:t>
      </w:r>
      <w:r w:rsidR="009A28FD">
        <w:t xml:space="preserve"> contrairement à ce que les médias </w:t>
      </w:r>
      <w:r w:rsidR="00A569E6">
        <w:t>diffus</w:t>
      </w:r>
      <w:r w:rsidR="009A28FD">
        <w:t>aient, la Sûreté du Québec n’était pas fâchée de cette situation.</w:t>
      </w:r>
    </w:p>
    <w:p w:rsidR="009A28FD" w:rsidRDefault="0051262E" w:rsidP="00B72DBD">
      <w:pPr>
        <w:pStyle w:val="corpsdedcision"/>
      </w:pPr>
      <w:r>
        <w:t>Elle termine son témoignage en confirmant être de retour au travail à temps complet depuis le milieu du mois de septembre 2014 et ne pas avoir eu de nouvel arrêt de travail jusqu’à ce jour.</w:t>
      </w:r>
    </w:p>
    <w:p w:rsidR="0051262E" w:rsidRDefault="005C4903" w:rsidP="00B72DBD">
      <w:pPr>
        <w:pStyle w:val="corpsdedcision"/>
      </w:pPr>
      <w:r>
        <w:t>Le tribunal a aussi entendu le témoignage de madame Lyne Grenon. Cette dernière occupe le poste de chef de division au Service de la sécurité publique de l’employeur. En 2014, elle était superviseure au centre d’</w:t>
      </w:r>
      <w:r w:rsidR="009877E9">
        <w:t>urgence</w:t>
      </w:r>
      <w:r>
        <w:t xml:space="preserve"> 911 et à ce titre, elle était la supérieure immédiate de la travailleuse. Madame Grenon </w:t>
      </w:r>
      <w:r w:rsidR="002115B3">
        <w:t>déclar</w:t>
      </w:r>
      <w:r>
        <w:t>e</w:t>
      </w:r>
      <w:r w:rsidR="006C432A">
        <w:t xml:space="preserve"> être à l’emploi de l’employeur depuis 24 ans.</w:t>
      </w:r>
    </w:p>
    <w:p w:rsidR="006C432A" w:rsidRDefault="003E66DC" w:rsidP="00B72DBD">
      <w:pPr>
        <w:pStyle w:val="corpsdedcision"/>
      </w:pPr>
      <w:r>
        <w:t xml:space="preserve">Tout d’abord, </w:t>
      </w:r>
      <w:r w:rsidR="006C432A">
        <w:t xml:space="preserve">madame Grenon mentionne avoir rencontré la travailleuse le 10 décembre 2014 (voir courriel pièce E-3) et lui avoir donné des explications sur la procédure à suivre pour contester la décision de refus </w:t>
      </w:r>
      <w:r>
        <w:t xml:space="preserve">rendue par </w:t>
      </w:r>
      <w:r w:rsidR="006C432A">
        <w:t>la CSST</w:t>
      </w:r>
      <w:r>
        <w:t xml:space="preserve"> dans son dossier</w:t>
      </w:r>
      <w:r w:rsidR="006C432A">
        <w:t>. Elle souligne qu’à ce</w:t>
      </w:r>
      <w:r>
        <w:t>tte époque, la travailleuse lui disait ne pas</w:t>
      </w:r>
      <w:r w:rsidR="002252B9">
        <w:t xml:space="preserve"> savoir si elle contesterait ladite décision</w:t>
      </w:r>
      <w:r w:rsidR="006C432A">
        <w:t>.</w:t>
      </w:r>
    </w:p>
    <w:p w:rsidR="00EC0A6F" w:rsidRDefault="00EC0A6F" w:rsidP="00745D73">
      <w:pPr>
        <w:pStyle w:val="corpsdedcision"/>
      </w:pPr>
      <w:r>
        <w:t xml:space="preserve">Par ailleurs, elle déclare avoir déjà travaillé comme répartitrice au centre d’urgence 911 et être familière avec les messages provenant du Centre de renseignements policiers du Québec. Elle souligne que le message diffusé par la travailleuse sur les ondes </w:t>
      </w:r>
      <w:r w:rsidR="003E66DC">
        <w:t>radio le 17 juin 2014</w:t>
      </w:r>
      <w:r>
        <w:t xml:space="preserve"> ne comportait aucune indication à l’effet qu’il était confidentiel et qu’aucun reproche n</w:t>
      </w:r>
      <w:r w:rsidR="00B86036">
        <w:t xml:space="preserve">e lui </w:t>
      </w:r>
      <w:r>
        <w:t xml:space="preserve">a été fait pour </w:t>
      </w:r>
      <w:r w:rsidR="00B86036">
        <w:t>l’</w:t>
      </w:r>
      <w:r>
        <w:t>avoir diffus</w:t>
      </w:r>
      <w:r w:rsidR="003E66DC">
        <w:t>é</w:t>
      </w:r>
      <w:r>
        <w:t>.</w:t>
      </w:r>
      <w:r w:rsidR="00B86036">
        <w:t xml:space="preserve"> </w:t>
      </w:r>
      <w:r w:rsidR="00AC6F45">
        <w:t>L</w:t>
      </w:r>
      <w:r w:rsidR="000130F4">
        <w:t xml:space="preserve">e témoin souligne qu’à </w:t>
      </w:r>
      <w:r w:rsidR="00890D6D">
        <w:t>Ville A</w:t>
      </w:r>
      <w:r w:rsidR="000130F4">
        <w:t>, tout comme à Laval et Longueuil, il n’est pas techniquement possible de crypter les ondes radio.</w:t>
      </w:r>
    </w:p>
    <w:p w:rsidR="005461B2" w:rsidRDefault="003E66DC" w:rsidP="00B72DBD">
      <w:pPr>
        <w:pStyle w:val="corpsdedcision"/>
      </w:pPr>
      <w:r>
        <w:t>Par ailleurs, m</w:t>
      </w:r>
      <w:r w:rsidR="005461B2">
        <w:t>adame Grenon déclare avoir elle-même entendu le reportage aux nouvelles le soir du 17 juin 2014, et estime que 80 % de ce reportage était inexact.</w:t>
      </w:r>
    </w:p>
    <w:p w:rsidR="00C8024A" w:rsidRDefault="001E16A3" w:rsidP="00B72DBD">
      <w:pPr>
        <w:pStyle w:val="corpsdedcision"/>
      </w:pPr>
      <w:r>
        <w:t>Le témoin mentionne par la suite que le lendemain de ce reportage, l’employeur a diffusé aux médias</w:t>
      </w:r>
      <w:r w:rsidR="003E66DC">
        <w:t>,</w:t>
      </w:r>
      <w:r>
        <w:t xml:space="preserve"> un communiqué de presse où le directeur du service de police a rétabli les faits et précisé que la répartitrice</w:t>
      </w:r>
      <w:r w:rsidR="009A5048">
        <w:t xml:space="preserve"> n’avait fait aucune erreur en diffusant ce message sur les onde</w:t>
      </w:r>
      <w:r w:rsidR="003E66DC">
        <w:t xml:space="preserve">s radio. Elle </w:t>
      </w:r>
      <w:r w:rsidR="00AE5528">
        <w:t>soulign</w:t>
      </w:r>
      <w:r w:rsidR="003E66DC">
        <w:t>e</w:t>
      </w:r>
      <w:r w:rsidR="009A5048">
        <w:t xml:space="preserve"> que la travailleuse a reçu un</w:t>
      </w:r>
      <w:r w:rsidR="00E13AEC">
        <w:t>e</w:t>
      </w:r>
      <w:r w:rsidR="009A5048">
        <w:t xml:space="preserve"> copie de ce communiqué de presse</w:t>
      </w:r>
      <w:r w:rsidR="00C8024A">
        <w:t>.</w:t>
      </w:r>
    </w:p>
    <w:p w:rsidR="000130F4" w:rsidRDefault="00E13AEC" w:rsidP="00B72DBD">
      <w:pPr>
        <w:pStyle w:val="corpsdedcision"/>
      </w:pPr>
      <w:r>
        <w:t>D</w:t>
      </w:r>
      <w:r w:rsidR="002248A6">
        <w:t>e plus</w:t>
      </w:r>
      <w:r>
        <w:t xml:space="preserve">, madame Grenon </w:t>
      </w:r>
      <w:r w:rsidR="00D75C48">
        <w:t>déclar</w:t>
      </w:r>
      <w:r>
        <w:t>e avoir rencontré la travailleuse à son bureau le 18 juin 2014 et lui avoir dit</w:t>
      </w:r>
      <w:r w:rsidR="00F83855">
        <w:t>,</w:t>
      </w:r>
      <w:r>
        <w:t xml:space="preserve"> à plusieurs reprises</w:t>
      </w:r>
      <w:r w:rsidR="00F83855">
        <w:t>,</w:t>
      </w:r>
      <w:r>
        <w:t xml:space="preserve"> qu’elle n’avait fait aucune erreur en diffusant ce message narrati</w:t>
      </w:r>
      <w:r w:rsidR="00F83855">
        <w:t>f sur les ondes radio</w:t>
      </w:r>
      <w:r>
        <w:t>.</w:t>
      </w:r>
      <w:r w:rsidR="00F83855">
        <w:t xml:space="preserve"> Elle réfère alors</w:t>
      </w:r>
      <w:r w:rsidR="00626949">
        <w:t xml:space="preserve"> à des notes qu’elle a prises de façon contemporaine</w:t>
      </w:r>
      <w:r w:rsidR="00F83855">
        <w:t xml:space="preserve"> à cette rencontre </w:t>
      </w:r>
      <w:r w:rsidR="00626949">
        <w:t>et qui apparaissent au dossier du tribunal. Elle ajoute avoir également informé la travailleuse, qu’un directeur de la Sûreté du Québec a communiqué avec le directeur du service de police de l’employeur pour lui c</w:t>
      </w:r>
      <w:r w:rsidR="00F83855">
        <w:t>onfirmer que cette organisation</w:t>
      </w:r>
      <w:r w:rsidR="00626949">
        <w:t xml:space="preserve"> n’était pas fâchée de</w:t>
      </w:r>
      <w:r w:rsidR="00F83855">
        <w:t>s agissements de la répartitrice</w:t>
      </w:r>
      <w:r w:rsidR="00626949">
        <w:t xml:space="preserve"> dans ce dossier. Elle a donc été surprise</w:t>
      </w:r>
      <w:r w:rsidR="00B44E66">
        <w:t xml:space="preserve"> de constater que la travailleuse indiquait encore cette information sur sa déclaration d’accident complétée le 23 juin 2014.</w:t>
      </w:r>
    </w:p>
    <w:p w:rsidR="00B44E66" w:rsidRDefault="00533156" w:rsidP="00B72DBD">
      <w:pPr>
        <w:pStyle w:val="corpsdedcision"/>
      </w:pPr>
      <w:r>
        <w:t>En contre-interrogatoire, elle affirme ignorer si des entrevues ont été accordées par l’employeur à la suite de la diffusion du communiqué de presse aux médias, mais précise que les médias ont fait état de ce communiqué dans leurs bulletins de nouvelles.</w:t>
      </w:r>
    </w:p>
    <w:p w:rsidR="00533156" w:rsidRDefault="00071FED" w:rsidP="00B72DBD">
      <w:pPr>
        <w:pStyle w:val="corpsdedcision"/>
      </w:pPr>
      <w:r>
        <w:t xml:space="preserve">D’autre part, elle </w:t>
      </w:r>
      <w:r w:rsidR="008B38CD">
        <w:t>reconnaît</w:t>
      </w:r>
      <w:r>
        <w:t xml:space="preserve"> que le 18 juin 2014, la travailleuse était en état de</w:t>
      </w:r>
      <w:r w:rsidR="007B0BB7">
        <w:t xml:space="preserve"> choc</w:t>
      </w:r>
      <w:r>
        <w:t>, et qu’elle l’a référée au programme d’aide aux employés.</w:t>
      </w:r>
    </w:p>
    <w:p w:rsidR="00071FED" w:rsidRDefault="00BA5C6D" w:rsidP="00B72DBD">
      <w:pPr>
        <w:pStyle w:val="corpsdedcision"/>
      </w:pPr>
      <w:r>
        <w:t xml:space="preserve">Madame Grenon </w:t>
      </w:r>
      <w:r w:rsidR="00F83855">
        <w:t xml:space="preserve">termine son témoignage en </w:t>
      </w:r>
      <w:r w:rsidR="00EF3409">
        <w:t>indiqu</w:t>
      </w:r>
      <w:r w:rsidR="00F83855">
        <w:t>ant</w:t>
      </w:r>
      <w:r>
        <w:t xml:space="preserve"> qu’elle œuvre au service de police de l’employeur depuis 1998, et qu’à sa connaissance, c’était la première fois qu’elle entendait la voix d’une répartitrice du </w:t>
      </w:r>
      <w:r w:rsidR="00352004">
        <w:t>centre</w:t>
      </w:r>
      <w:r>
        <w:t xml:space="preserve"> d’urgence 911 lors d’un reportage médiatique.</w:t>
      </w:r>
    </w:p>
    <w:p w:rsidR="0042623B" w:rsidRDefault="0042623B">
      <w:pPr>
        <w:pStyle w:val="corpsdedcision"/>
        <w:numPr>
          <w:ilvl w:val="0"/>
          <w:numId w:val="0"/>
        </w:numPr>
      </w:pPr>
      <w:r>
        <w:rPr>
          <w:b/>
        </w:rPr>
        <w:t>L’AVIS DES MEMBRES</w:t>
      </w:r>
    </w:p>
    <w:p w:rsidR="0042623B" w:rsidRDefault="00663C86" w:rsidP="00B72DBD">
      <w:pPr>
        <w:pStyle w:val="corpsdedcision"/>
      </w:pPr>
      <w:r>
        <w:t>Le membre issu des associations d’employeurs ainsi que le membre issu des associations syndicales sont d’avis unanime que la requête de la travailleuse doit d’abord être déclarée recevable.</w:t>
      </w:r>
    </w:p>
    <w:p w:rsidR="00663C86" w:rsidRDefault="0013595B" w:rsidP="00B72DBD">
      <w:pPr>
        <w:pStyle w:val="corpsdedcision"/>
      </w:pPr>
      <w:r>
        <w:t xml:space="preserve">Ils considèrent, en tenant compte des délais de livraison habituels de la poste, </w:t>
      </w:r>
      <w:r w:rsidR="00F06384">
        <w:t xml:space="preserve">qu’il est vraisemblable que la travailleuse n’ait reçu que le 4 novembre 2014, la décision rendue par la CSST le 30 octobre précédent. Dans ce contexte, ils estiment </w:t>
      </w:r>
      <w:r>
        <w:t>que la requête de cette dernière a été produite à l’intérieur du délai de 45 jours prévu à la loi.</w:t>
      </w:r>
    </w:p>
    <w:p w:rsidR="0013595B" w:rsidRDefault="00BE3525" w:rsidP="00B72DBD">
      <w:pPr>
        <w:pStyle w:val="corpsdedcision"/>
      </w:pPr>
      <w:r>
        <w:t>Sur le fond du litige, ils considèrent que la requête de la travailleuse doit être accueillie.</w:t>
      </w:r>
    </w:p>
    <w:p w:rsidR="00BE3525" w:rsidRDefault="00BE3525" w:rsidP="00B72DBD">
      <w:pPr>
        <w:pStyle w:val="corpsdedcision"/>
      </w:pPr>
      <w:r>
        <w:t xml:space="preserve">Ils sont d’avis que la preuve prépondérante </w:t>
      </w:r>
      <w:r w:rsidR="00CD185B">
        <w:t>est à l’effet que les évén</w:t>
      </w:r>
      <w:r w:rsidR="00F06384">
        <w:t>ements vécus par celle-ci</w:t>
      </w:r>
      <w:r w:rsidR="00CD185B">
        <w:t xml:space="preserve"> le 17 juin 2014, dont la diffusion de sa voix aux nouvelles d’un réseau de télévision national, représente un événement imprévu et soudain au sens de la loi et qu’il est à l’origine du trouble d’adaptation diagnostiqué</w:t>
      </w:r>
      <w:r w:rsidR="003B79A0">
        <w:t xml:space="preserve"> par la suite</w:t>
      </w:r>
      <w:r w:rsidR="00CD185B">
        <w:t>.</w:t>
      </w:r>
    </w:p>
    <w:p w:rsidR="00CD185B" w:rsidRDefault="00CD185B">
      <w:pPr>
        <w:pStyle w:val="corpsdedcision"/>
        <w:numPr>
          <w:ilvl w:val="0"/>
          <w:numId w:val="0"/>
        </w:numPr>
      </w:pPr>
      <w:r>
        <w:rPr>
          <w:b/>
        </w:rPr>
        <w:t>LES MOTIFS DE LA DÉCISION</w:t>
      </w:r>
    </w:p>
    <w:p w:rsidR="00CD185B" w:rsidRDefault="00EF16D9" w:rsidP="00B72DBD">
      <w:pPr>
        <w:pStyle w:val="corpsdedcision"/>
      </w:pPr>
      <w:r>
        <w:t>La Commission des lésions professionnelles doit d’abord déterminer si la requête déposée par la travailleuse le 17 décembre 2014 est recevable. Dans l’affirmative, le tri</w:t>
      </w:r>
      <w:r w:rsidR="00890D6D">
        <w:t>-</w:t>
      </w:r>
      <w:r>
        <w:t xml:space="preserve">bunal </w:t>
      </w:r>
      <w:r w:rsidR="00826E84">
        <w:t>devra décider si cette dernière</w:t>
      </w:r>
      <w:r>
        <w:t xml:space="preserve"> a subi, le 17 juin 2014, une lésion professionnelle.</w:t>
      </w:r>
    </w:p>
    <w:p w:rsidR="00EF16D9" w:rsidRDefault="00B63C4A" w:rsidP="00B72DBD">
      <w:pPr>
        <w:pStyle w:val="corpsdedcision"/>
      </w:pPr>
      <w:r>
        <w:t>Sur la question de la recevabilité de la requête de la travailleuse, c’est l’article 359 de la loi qui prévoit le délai à l’intérieur duquel une personne qui se croit lésée par une décision rendue par la CSST, peut la contester devant le présent tribunal :</w:t>
      </w:r>
    </w:p>
    <w:p w:rsidR="00B63C4A" w:rsidRDefault="00B63C4A">
      <w:pPr>
        <w:pStyle w:val="articlesdelaLATMP"/>
      </w:pPr>
      <w:r w:rsidRPr="00216E8F">
        <w:rPr>
          <w:b/>
        </w:rPr>
        <w:t>359.</w:t>
      </w:r>
      <w:r>
        <w:t xml:space="preserve">  Une personne qui se croit lésée par une décision rendue à la suite d'une demande faite en vertu de l'article 358 peut la contester devant la Commission des lésions professionnelles dans les 45 jours de sa notification.</w:t>
      </w:r>
    </w:p>
    <w:p w:rsidR="00B63C4A" w:rsidRDefault="00B63C4A">
      <w:pPr>
        <w:pStyle w:val="articlesdelaLATMP"/>
      </w:pPr>
      <w:r>
        <w:t>__________</w:t>
      </w:r>
    </w:p>
    <w:p w:rsidR="00B63C4A" w:rsidRDefault="00B63C4A">
      <w:pPr>
        <w:pStyle w:val="articlesdelaLATMP"/>
      </w:pPr>
      <w:r>
        <w:t>1985, c. 6, a. 359; 1992, c. 11, a. 32; 1997, c. 27, a. 16.</w:t>
      </w:r>
    </w:p>
    <w:p w:rsidR="00B63C4A" w:rsidRDefault="00B63C4A">
      <w:pPr>
        <w:pStyle w:val="articlesdelaLATMP"/>
      </w:pPr>
    </w:p>
    <w:p w:rsidR="00B63C4A" w:rsidRDefault="00B63C4A">
      <w:pPr>
        <w:pStyle w:val="articlesdelaLATMP"/>
      </w:pPr>
    </w:p>
    <w:p w:rsidR="00B63C4A" w:rsidRDefault="00A03142" w:rsidP="00B72DBD">
      <w:pPr>
        <w:pStyle w:val="corpsdedcision"/>
      </w:pPr>
      <w:r>
        <w:t xml:space="preserve">En l’espèce, selon le témoignage crédible et non contredit sur cet aspect de la travailleuse, celle-ci </w:t>
      </w:r>
      <w:r w:rsidR="00C7701B">
        <w:t>n’</w:t>
      </w:r>
      <w:r>
        <w:t>a reçu la décision rendue par la CSST le 30 octobre 2014, que le mardi de la semaine suivante</w:t>
      </w:r>
      <w:r w:rsidR="00021AB5">
        <w:t>, soit le 4 novembre 2014.</w:t>
      </w:r>
    </w:p>
    <w:p w:rsidR="00021AB5" w:rsidRDefault="00021AB5" w:rsidP="00B72DBD">
      <w:pPr>
        <w:pStyle w:val="corpsdedcision"/>
      </w:pPr>
      <w:r>
        <w:t>De l’avis du tribunal, ce délai de notification de quelques jours est fort réaliste, lorsque l’on tient compte des délais normaux</w:t>
      </w:r>
      <w:r>
        <w:rPr>
          <w:rStyle w:val="Appelnotedebasdep"/>
        </w:rPr>
        <w:footnoteReference w:id="3"/>
      </w:r>
      <w:r>
        <w:t xml:space="preserve"> de livraison de la poste, soit 3 à 4 jours ouvrables.</w:t>
      </w:r>
    </w:p>
    <w:p w:rsidR="009313E5" w:rsidRDefault="009313E5" w:rsidP="00B72DBD">
      <w:pPr>
        <w:pStyle w:val="corpsdedcision"/>
      </w:pPr>
      <w:r>
        <w:t>C’est ainsi qu’en appliquant le délai de 45 jours à compter du 5 novembre 2014</w:t>
      </w:r>
      <w:r>
        <w:rPr>
          <w:rStyle w:val="Appelnotedebasdep"/>
        </w:rPr>
        <w:footnoteReference w:id="4"/>
      </w:r>
      <w:r w:rsidR="00FD7044">
        <w:t>, la travailleuse avait donc jusqu’au 19 décembre 2014 pour produire sa requête à la Commission des lésions professionnelles.</w:t>
      </w:r>
    </w:p>
    <w:p w:rsidR="00FD7044" w:rsidRDefault="00FD7044" w:rsidP="00B72DBD">
      <w:pPr>
        <w:pStyle w:val="corpsdedcision"/>
      </w:pPr>
      <w:r>
        <w:t>Par c</w:t>
      </w:r>
      <w:r w:rsidR="00826E84">
        <w:t>onséquent, force est de constater</w:t>
      </w:r>
      <w:r>
        <w:t xml:space="preserve"> que la req</w:t>
      </w:r>
      <w:r w:rsidR="002252B9">
        <w:t>uête déposée</w:t>
      </w:r>
      <w:r>
        <w:t xml:space="preserve"> à la Commission des lésions professionnelles le 17 décembre 2014, a été produite à l’intérieur du délai de 45 jours prévu à l’article 359 de la loi.</w:t>
      </w:r>
    </w:p>
    <w:p w:rsidR="00FD7044" w:rsidRDefault="00FD7044" w:rsidP="00B72DBD">
      <w:pPr>
        <w:pStyle w:val="corpsdedcision"/>
      </w:pPr>
      <w:r>
        <w:t>Sur le fond du litige, il est pertinent de reproduire la définition de la n</w:t>
      </w:r>
      <w:r w:rsidR="00BF4354">
        <w:t>otion de lésion professionnelle</w:t>
      </w:r>
      <w:r>
        <w:t xml:space="preserve"> prévue à l’article 2 de la loi :</w:t>
      </w:r>
    </w:p>
    <w:p w:rsidR="00FD7044" w:rsidRDefault="00FD7044">
      <w:pPr>
        <w:pStyle w:val="Dfinitions"/>
      </w:pPr>
      <w:r>
        <w:rPr>
          <w:b/>
        </w:rPr>
        <w:t xml:space="preserve">2. </w:t>
      </w:r>
      <w:r>
        <w:t>Dans la présente loi, à moins que le contexte n'indique un sens différent, on entend par :</w:t>
      </w:r>
    </w:p>
    <w:p w:rsidR="00FD7044" w:rsidRDefault="00FD7044">
      <w:pPr>
        <w:pStyle w:val="Dfinitions"/>
      </w:pPr>
    </w:p>
    <w:p w:rsidR="00FD7044" w:rsidRDefault="00FD7044">
      <w:pPr>
        <w:pStyle w:val="articlesdelaLATMPnouveaux"/>
      </w:pPr>
      <w:r>
        <w:rPr>
          <w:b/>
        </w:rPr>
        <w:t xml:space="preserve">« lésion professionnelle » </w:t>
      </w:r>
      <w:r>
        <w:t>: une blessure ou une maladie qui survient par le fait ou à l'occasion d'un accident du travail, ou une maladie professionnelle, y compris la récidive, la rechute ou l'aggravation;</w:t>
      </w:r>
    </w:p>
    <w:p w:rsidR="00FD7044" w:rsidRDefault="00FD7044">
      <w:pPr>
        <w:pStyle w:val="Dfinitions"/>
      </w:pPr>
      <w:r>
        <w:t>__________</w:t>
      </w:r>
    </w:p>
    <w:p w:rsidR="00FD7044" w:rsidRDefault="00FD7044">
      <w:pPr>
        <w:pStyle w:val="articlesdelaLATMP"/>
      </w:pPr>
      <w:r>
        <w:t>1985, c. 6, a. 2; 1997, c. 27, a. 1; 1999, c. 14, a. 2; 1999, c. 40, a. 4; 1999, c. 89, a. 53; 2002, c. 6, a. 76; 2002, c. 76, a. 27; 2006, c. 53, a. 1; 2009, c. 24, a. 72.</w:t>
      </w:r>
    </w:p>
    <w:p w:rsidR="00FD7044" w:rsidRDefault="00FD7044">
      <w:pPr>
        <w:pStyle w:val="Dfinitions"/>
      </w:pPr>
    </w:p>
    <w:p w:rsidR="00FD7044" w:rsidRDefault="00FD7044">
      <w:pPr>
        <w:pStyle w:val="Dfinitions"/>
      </w:pPr>
    </w:p>
    <w:p w:rsidR="00FD7044" w:rsidRDefault="001772E5" w:rsidP="00B72DBD">
      <w:pPr>
        <w:pStyle w:val="corpsdedcision"/>
      </w:pPr>
      <w:r>
        <w:t>En l’espèce, il n’est nullement allégué ni soutenu par la preuve, que la lésion subie par la travailleuse puisse résulter d’une récidive, rechute ou aggravation d’une lésion professionnelle antérieure ou encore d’une maladie professionnelle.</w:t>
      </w:r>
    </w:p>
    <w:p w:rsidR="001772E5" w:rsidRDefault="001772E5" w:rsidP="00B72DBD">
      <w:pPr>
        <w:pStyle w:val="corpsdedcision"/>
      </w:pPr>
      <w:r>
        <w:t>C’est donc en fonction de la notion d’accident du travail, qu’il faut analyser le bien</w:t>
      </w:r>
      <w:r>
        <w:noBreakHyphen/>
        <w:t>fondé ou non de la réclamation de la travailleuse. À ce propos, l’article 2 de la loi définit comme suit la notion d’accident du travail :</w:t>
      </w:r>
    </w:p>
    <w:p w:rsidR="001772E5" w:rsidRDefault="001772E5">
      <w:pPr>
        <w:pStyle w:val="Dfinitions"/>
      </w:pPr>
      <w:r>
        <w:rPr>
          <w:b/>
        </w:rPr>
        <w:t xml:space="preserve">2. </w:t>
      </w:r>
      <w:r>
        <w:t>Dans la présente loi, à moins que le contexte n'indique un sens différent, on entend par :</w:t>
      </w:r>
    </w:p>
    <w:p w:rsidR="001772E5" w:rsidRDefault="001772E5">
      <w:pPr>
        <w:pStyle w:val="Dfinitions"/>
      </w:pPr>
    </w:p>
    <w:p w:rsidR="001772E5" w:rsidRDefault="001772E5">
      <w:pPr>
        <w:pStyle w:val="Dfinitions"/>
      </w:pPr>
      <w:r>
        <w:rPr>
          <w:b/>
        </w:rPr>
        <w:t xml:space="preserve">« accident du travail » </w:t>
      </w:r>
      <w:r>
        <w:t>: un événement imprévu et soudain attribuable à toute cause, survenant à une personne par le fait ou à l'occasion de son travail et qui entraîne pour elle une lésion professionnelle;</w:t>
      </w:r>
    </w:p>
    <w:p w:rsidR="001772E5" w:rsidRDefault="001772E5">
      <w:pPr>
        <w:pStyle w:val="Dfinitions"/>
      </w:pPr>
      <w:r>
        <w:t>__________</w:t>
      </w:r>
    </w:p>
    <w:p w:rsidR="001772E5" w:rsidRDefault="001772E5">
      <w:pPr>
        <w:pStyle w:val="articlesdelaLATMP"/>
      </w:pPr>
      <w:r>
        <w:t>1985, c. 6, a. 2; 1997, c. 27, a. 1; 1999, c. 14, a. 2; 1999, c. 40, a. 4; 1999, c. 89, a. 53; 2002, c. 6, a. 76; 2002, c. 76, a. 27; 2006, c. 53, a. 1; 2009, c. 24, a. 72.</w:t>
      </w:r>
    </w:p>
    <w:p w:rsidR="001772E5" w:rsidRDefault="001772E5">
      <w:pPr>
        <w:pStyle w:val="Dfinitions"/>
      </w:pPr>
    </w:p>
    <w:p w:rsidR="001772E5" w:rsidRDefault="001772E5">
      <w:pPr>
        <w:pStyle w:val="Dfinitions"/>
      </w:pPr>
    </w:p>
    <w:p w:rsidR="00DE7412" w:rsidRDefault="00DE7412" w:rsidP="00DE7412">
      <w:pPr>
        <w:pStyle w:val="corpsdedcision"/>
      </w:pPr>
      <w:r>
        <w:t>Par ailleurs, l’article 28 de la loi contient une présomption légale e</w:t>
      </w:r>
      <w:r w:rsidR="00502EEA">
        <w:t>n faveur de la  travailleuse</w:t>
      </w:r>
      <w:r>
        <w:t xml:space="preserve"> s’il est démontré la présence des trois éléments suivants :</w:t>
      </w:r>
    </w:p>
    <w:p w:rsidR="00DE7412" w:rsidRDefault="00DE7412" w:rsidP="00DE7412">
      <w:pPr>
        <w:pStyle w:val="corpsdedcision"/>
        <w:numPr>
          <w:ilvl w:val="0"/>
          <w:numId w:val="2"/>
        </w:numPr>
      </w:pPr>
      <w:r>
        <w:t>l’existence d’une blessure;</w:t>
      </w:r>
    </w:p>
    <w:p w:rsidR="00DE7412" w:rsidRDefault="00DE7412" w:rsidP="00DE7412">
      <w:pPr>
        <w:pStyle w:val="corpsdedcision"/>
        <w:numPr>
          <w:ilvl w:val="0"/>
          <w:numId w:val="2"/>
        </w:numPr>
      </w:pPr>
      <w:r>
        <w:t xml:space="preserve">qui arrive sur les lieux du travail; </w:t>
      </w:r>
    </w:p>
    <w:p w:rsidR="00DE7412" w:rsidRDefault="00DE7412" w:rsidP="00DE7412">
      <w:pPr>
        <w:pStyle w:val="corpsdedcision"/>
        <w:numPr>
          <w:ilvl w:val="0"/>
          <w:numId w:val="2"/>
        </w:numPr>
      </w:pPr>
      <w:r>
        <w:t>alors que le travailleur est à son travail.</w:t>
      </w:r>
    </w:p>
    <w:p w:rsidR="00DE7412" w:rsidRDefault="00DE7412" w:rsidP="00DE7412">
      <w:pPr>
        <w:pStyle w:val="corpsdedcision"/>
      </w:pPr>
      <w:r>
        <w:t>La jurisprudence</w:t>
      </w:r>
      <w:r>
        <w:rPr>
          <w:rStyle w:val="Appelnotedebasdep"/>
        </w:rPr>
        <w:footnoteReference w:id="5"/>
      </w:r>
      <w:r>
        <w:t xml:space="preserve"> du tribunal a depuis longtemps établi que cette présomption prévue à l’article 28 de la loi ne pouvait généralement trouver application dans le cas d’une lésion à caractère psychologique, puisque celle-ci ne constitue pas une blessure au sens de cet article</w:t>
      </w:r>
      <w:r w:rsidR="00502EEA">
        <w:t>. Il revient donc à la travailleuse</w:t>
      </w:r>
      <w:r>
        <w:t xml:space="preserve"> de démontrer, par</w:t>
      </w:r>
      <w:r w:rsidR="00502EEA">
        <w:t xml:space="preserve"> une preuve prépondérante, qu’elle</w:t>
      </w:r>
      <w:r>
        <w:t xml:space="preserve"> a été victime d’un accident du travail tel que défini à l’article 2 de la loi, c’est-à-dire un événement imprévu et soudain qui survient par le fait ou à l’occasion de son travail et qui entraîne une lésion professionnelle.</w:t>
      </w:r>
    </w:p>
    <w:p w:rsidR="001772E5" w:rsidRDefault="00DE7412" w:rsidP="00DE7412">
      <w:pPr>
        <w:pStyle w:val="corpsdedcision"/>
      </w:pPr>
      <w:r>
        <w:t xml:space="preserve">Dans l’affaire </w:t>
      </w:r>
      <w:r>
        <w:rPr>
          <w:i/>
        </w:rPr>
        <w:t>Bonvalot</w:t>
      </w:r>
      <w:r>
        <w:t xml:space="preserve"> et </w:t>
      </w:r>
      <w:r>
        <w:rPr>
          <w:i/>
        </w:rPr>
        <w:t>Centre Hospitalier Maisonneuve-Rosemont</w:t>
      </w:r>
      <w:r w:rsidRPr="00A64A04">
        <w:rPr>
          <w:rStyle w:val="Appelnotedebasdep"/>
        </w:rPr>
        <w:footnoteReference w:id="6"/>
      </w:r>
      <w:r>
        <w:t xml:space="preserve">, la Commission des lésions professionnelles précisait qu’un seul événement ou une série d’événements pouvaient être à l’origine d’une lésion professionnelle de nature psychologique. Cet ou ces événements doivent cependant dépasser le cadre habituel ou normal du travail.  </w:t>
      </w:r>
    </w:p>
    <w:p w:rsidR="0003397C" w:rsidRDefault="00A77267" w:rsidP="0003397C">
      <w:pPr>
        <w:pStyle w:val="corpsdedcision"/>
      </w:pPr>
      <w:r>
        <w:t xml:space="preserve">Par conséquent, il faut d’abord </w:t>
      </w:r>
      <w:r w:rsidR="0003397C">
        <w:t xml:space="preserve">analyser si les événements vécus par </w:t>
      </w:r>
      <w:r>
        <w:t>la travailleuse le 17 juin 2014</w:t>
      </w:r>
      <w:r w:rsidR="0003397C">
        <w:t xml:space="preserve"> peuvent être assimilables à un événement imprévu et soudain au sens de la loi.</w:t>
      </w:r>
    </w:p>
    <w:p w:rsidR="0003397C" w:rsidRDefault="0003397C" w:rsidP="0003397C">
      <w:pPr>
        <w:pStyle w:val="corpsdedcision"/>
      </w:pPr>
      <w:r>
        <w:t>Or, en tout respect, le tribunal se doit de conclure par l’affirmative.</w:t>
      </w:r>
    </w:p>
    <w:p w:rsidR="0003397C" w:rsidRDefault="0003397C" w:rsidP="00DE7412">
      <w:pPr>
        <w:pStyle w:val="corpsdedcision"/>
      </w:pPr>
      <w:r>
        <w:t xml:space="preserve">Tout d’abord, le </w:t>
      </w:r>
      <w:r w:rsidR="00317E82">
        <w:t>soussigné</w:t>
      </w:r>
      <w:r>
        <w:t xml:space="preserve"> tient à </w:t>
      </w:r>
      <w:r w:rsidR="00317E82">
        <w:t>mentionn</w:t>
      </w:r>
      <w:r>
        <w:t>er qu’il rend la présente décision en fonction du diagnostic de trouble d’adaptation. En effet, bien qu’un diagnostic de stress post-traumatique fût d’abord posé, la preuve médicale révèle, dont les notes de consultation de la docteure Dubois, qu’en cours d’évolution, le diagnostic s’est précisé vers celui de trouble d’adaptation, diagnostic d’ailleurs retenu par le psychiatre Gagnon. C’est ainsi que tel que lui permet l’article 377 de la loi, il y a lieu d’actualiser le dossier de la travailleuse et de rendre la présente décision en fonction du diagnostic de trouble d’adaptation</w:t>
      </w:r>
      <w:r w:rsidR="00013F8D">
        <w:rPr>
          <w:rStyle w:val="Appelnotedebasdep"/>
        </w:rPr>
        <w:footnoteReference w:id="7"/>
      </w:r>
      <w:r>
        <w:t>.</w:t>
      </w:r>
    </w:p>
    <w:p w:rsidR="0003397C" w:rsidRDefault="00013F8D" w:rsidP="00DE7412">
      <w:pPr>
        <w:pStyle w:val="corpsdedcision"/>
      </w:pPr>
      <w:r>
        <w:t>Par ailleurs, le soussigné considère</w:t>
      </w:r>
      <w:r w:rsidR="0003397C">
        <w:t xml:space="preserve"> que la preuve prépondérante </w:t>
      </w:r>
      <w:r w:rsidR="003E7F1B">
        <w:t>est à l’effet</w:t>
      </w:r>
      <w:r w:rsidR="0003397C">
        <w:t xml:space="preserve"> que la tr</w:t>
      </w:r>
      <w:r>
        <w:t>availleuse a vécu, dans le contexte</w:t>
      </w:r>
      <w:r w:rsidR="0003397C">
        <w:t xml:space="preserve"> de son travail le 17 juin 2014, des événements</w:t>
      </w:r>
      <w:r w:rsidR="00754C29">
        <w:t xml:space="preserve"> qui dépassent le cadre</w:t>
      </w:r>
      <w:r w:rsidR="0003397C">
        <w:t xml:space="preserve"> habituel</w:t>
      </w:r>
      <w:r w:rsidR="00754C29">
        <w:t xml:space="preserve"> du travail et qui sont</w:t>
      </w:r>
      <w:r w:rsidR="0003397C">
        <w:t xml:space="preserve"> assimilables à un événement imprévu et soudain au sens de la loi.</w:t>
      </w:r>
    </w:p>
    <w:p w:rsidR="008E2E0E" w:rsidRDefault="008E2E0E" w:rsidP="00DE7412">
      <w:pPr>
        <w:pStyle w:val="corpsdedcision"/>
      </w:pPr>
      <w:r>
        <w:t>En effet, bien que l’employeur n’ait formulé aucun reproche à la travailleuse pour avoir diffusé sur les ondes radio, un message narratif le 17 juin 2014, la preuve démontre néanmoins que cette dernière a été faussement accusée</w:t>
      </w:r>
      <w:r w:rsidR="00BB5C6D">
        <w:t xml:space="preserve"> par les médias, d’avoir fait une erreur</w:t>
      </w:r>
      <w:r>
        <w:t xml:space="preserve"> relativement à la diffusion de ce message. Le tribunal retient à ce propos le témoignage fort convaincant de la travailleuse à l’effet qu’elle a entendu, de manière inattendue et subite, sa voix aux nouvelles nationales d’un réseau de télévi</w:t>
      </w:r>
      <w:r w:rsidR="00BB5C6D">
        <w:t>sion le soir du 17 juin 2014,</w:t>
      </w:r>
      <w:r>
        <w:t xml:space="preserve"> où le journaliste affirmait qu’elle avait fait une grave erreur et fait en sorte de faire échouer une enquête policière.</w:t>
      </w:r>
    </w:p>
    <w:p w:rsidR="00A02C41" w:rsidRDefault="00A02C41" w:rsidP="00A02C41">
      <w:pPr>
        <w:pStyle w:val="corpsdedcision"/>
      </w:pPr>
      <w:r>
        <w:t>Qui plus est, le tribunal retient que selon le témoignage de madame Grenon, il est très inhabituel que la voix d’une répartitrice d’une centrale</w:t>
      </w:r>
      <w:r w:rsidR="0042122A">
        <w:t xml:space="preserve"> d’urgence</w:t>
      </w:r>
      <w:r>
        <w:t xml:space="preserve"> 911 soit diffusée lors d’un bulletin de nouvelles nationales.</w:t>
      </w:r>
    </w:p>
    <w:p w:rsidR="00A02C41" w:rsidRDefault="003B5176" w:rsidP="00DE7412">
      <w:pPr>
        <w:pStyle w:val="corpsdedcision"/>
      </w:pPr>
      <w:r>
        <w:t>Ces éléments démontrent donc que l’existence, lors de la journée du 17</w:t>
      </w:r>
      <w:r w:rsidR="0042122A">
        <w:t> </w:t>
      </w:r>
      <w:r>
        <w:t>juin</w:t>
      </w:r>
      <w:r w:rsidR="0042122A">
        <w:t> </w:t>
      </w:r>
      <w:r>
        <w:t>2014, d’une situation</w:t>
      </w:r>
      <w:r w:rsidR="0042122A">
        <w:t xml:space="preserve"> qui est</w:t>
      </w:r>
      <w:r w:rsidR="004D7A5C">
        <w:t xml:space="preserve"> en lien avec l’exercice des fonctions de répartitrice</w:t>
      </w:r>
      <w:r w:rsidR="00015C44">
        <w:t xml:space="preserve"> de la travailleuse et</w:t>
      </w:r>
      <w:r>
        <w:t xml:space="preserve"> qui dépasse la cadre habituel ou normal du travail. D’ailleurs, le fait que l’employeur estime nécessaire de produire un communiqué de presse le lendemain de ces événements pour rétablir les faits et</w:t>
      </w:r>
      <w:r w:rsidR="005C3611">
        <w:t xml:space="preserve"> qu’il procède à la mise en place d’</w:t>
      </w:r>
      <w:r>
        <w:t>une procédure interne pour la diffusion des messages narratif</w:t>
      </w:r>
      <w:r w:rsidR="00FF720A">
        <w:t>s</w:t>
      </w:r>
      <w:r>
        <w:t xml:space="preserve"> en provenance du </w:t>
      </w:r>
      <w:r w:rsidR="005C3611">
        <w:t>C</w:t>
      </w:r>
      <w:r>
        <w:t>entre de renseignements policier</w:t>
      </w:r>
      <w:r w:rsidR="00843386">
        <w:t>s</w:t>
      </w:r>
      <w:r>
        <w:t xml:space="preserve"> du Québec, </w:t>
      </w:r>
      <w:r w:rsidR="00843386">
        <w:t>confirme encore davantage</w:t>
      </w:r>
      <w:r>
        <w:t xml:space="preserve"> le contexte inhabituelle de la situation.</w:t>
      </w:r>
    </w:p>
    <w:p w:rsidR="0064616E" w:rsidRDefault="008E2E0E" w:rsidP="00DE7412">
      <w:pPr>
        <w:pStyle w:val="corpsdedcision"/>
      </w:pPr>
      <w:r>
        <w:t>D’autre part, la preuve démontre que cette nouvelle a fortement</w:t>
      </w:r>
      <w:r w:rsidR="0064616E">
        <w:t xml:space="preserve"> perturbé la tra</w:t>
      </w:r>
      <w:r w:rsidR="00890D6D">
        <w:t>-</w:t>
      </w:r>
      <w:r w:rsidR="0064616E">
        <w:t>vailleuse qui a eu de la difficulté à dormir ce soir-là de même que dans les jours sui</w:t>
      </w:r>
      <w:r w:rsidR="00890D6D">
        <w:t>-</w:t>
      </w:r>
      <w:r w:rsidR="0064616E">
        <w:t xml:space="preserve">vants, </w:t>
      </w:r>
      <w:r w:rsidR="00037AAF">
        <w:t>que sa confiance en elle a été ébranlé</w:t>
      </w:r>
      <w:r w:rsidR="00B43DA8">
        <w:t>e</w:t>
      </w:r>
      <w:r w:rsidR="00037AAF">
        <w:t xml:space="preserve"> et qu’elle avait peur de faire des erreurs, et ce, malgré les propos rassurant</w:t>
      </w:r>
      <w:r w:rsidR="00BE63F5">
        <w:t>s</w:t>
      </w:r>
      <w:r w:rsidR="00037AAF">
        <w:t xml:space="preserve"> de </w:t>
      </w:r>
      <w:r w:rsidR="0064616E">
        <w:t>sa supé</w:t>
      </w:r>
      <w:r w:rsidR="00037AAF">
        <w:t>rieure immédiate, madame Grenon.</w:t>
      </w:r>
    </w:p>
    <w:p w:rsidR="00F13DCD" w:rsidRDefault="00F13DCD" w:rsidP="00DE7412">
      <w:pPr>
        <w:pStyle w:val="corpsdedcision"/>
      </w:pPr>
      <w:r>
        <w:t xml:space="preserve">De l’avis du </w:t>
      </w:r>
      <w:r w:rsidR="00003EAE">
        <w:t>soussigné</w:t>
      </w:r>
      <w:r>
        <w:t xml:space="preserve">, il est tout à fait raisonnable de croire qu’une personne puisse être perturbée lorsqu’elle entend, sur les ondes d’un réseau de nouvelles nationales, sa </w:t>
      </w:r>
      <w:r w:rsidR="00A14C16">
        <w:t xml:space="preserve">voix </w:t>
      </w:r>
      <w:r w:rsidR="00037AAF">
        <w:t>capté</w:t>
      </w:r>
      <w:r w:rsidR="00A92A2F">
        <w:t>e</w:t>
      </w:r>
      <w:r w:rsidR="00037AAF">
        <w:t xml:space="preserve"> dans l’exercice de ses fonctions </w:t>
      </w:r>
      <w:r w:rsidR="00A14C16">
        <w:t>et qu</w:t>
      </w:r>
      <w:r w:rsidR="001802F8">
        <w:t>e l</w:t>
      </w:r>
      <w:r w:rsidR="00A14C16">
        <w:t>’on l’accuse à tort d’avoir</w:t>
      </w:r>
      <w:r>
        <w:t xml:space="preserve"> fait une grave erreur dans le cadre de son travail de répartitrice.</w:t>
      </w:r>
    </w:p>
    <w:p w:rsidR="00324E18" w:rsidRDefault="00F707E7" w:rsidP="00DE7412">
      <w:pPr>
        <w:pStyle w:val="corpsdedcision"/>
      </w:pPr>
      <w:r>
        <w:t xml:space="preserve">Par ailleurs, </w:t>
      </w:r>
      <w:r w:rsidR="00324E18">
        <w:t xml:space="preserve">le tribunal ne peut retenir, en tout respect, l’opinion du docteur Gagnon qui relie les difficultés psychologiques présentées par la travailleuse </w:t>
      </w:r>
      <w:r w:rsidR="00C44E92">
        <w:t>non pas à son travail, mais plutôt aux propos diffusé</w:t>
      </w:r>
      <w:r w:rsidR="004420EE">
        <w:t>s</w:t>
      </w:r>
      <w:r w:rsidR="00C44E92">
        <w:t xml:space="preserve"> par </w:t>
      </w:r>
      <w:r w:rsidR="00324E18">
        <w:t xml:space="preserve">les médias. </w:t>
      </w:r>
      <w:r w:rsidR="0049442E">
        <w:t>En effet, le soussigné estime que l’</w:t>
      </w:r>
      <w:r w:rsidR="00324E18">
        <w:t xml:space="preserve">on ne peut faire abstraction du fait que si la travailleuse est fâchée après les </w:t>
      </w:r>
      <w:r w:rsidR="00E762AF">
        <w:t xml:space="preserve">médias, cela découle </w:t>
      </w:r>
      <w:r w:rsidR="001C6500">
        <w:t xml:space="preserve">exclusivement </w:t>
      </w:r>
      <w:r w:rsidR="00E762AF">
        <w:t>du reportage diffusé</w:t>
      </w:r>
      <w:r w:rsidR="00324E18">
        <w:t xml:space="preserve"> par ceux-ci</w:t>
      </w:r>
      <w:r w:rsidR="00E762AF">
        <w:t>, reportage qui concerne directement</w:t>
      </w:r>
      <w:r w:rsidR="00324E18">
        <w:t xml:space="preserve"> l’exercice de son travail de répartitrice au centre d’urgence 911 de l’employeur.</w:t>
      </w:r>
      <w:r w:rsidR="0016066D">
        <w:t xml:space="preserve"> En d’autres </w:t>
      </w:r>
      <w:r w:rsidR="00123C09">
        <w:t>mots, on ne peut ignorer</w:t>
      </w:r>
      <w:r w:rsidR="0016066D">
        <w:t xml:space="preserve"> que si </w:t>
      </w:r>
      <w:r w:rsidR="00B7765E">
        <w:t>elle</w:t>
      </w:r>
      <w:r w:rsidR="0016066D">
        <w:t xml:space="preserve"> est en colère après les médias, c’</w:t>
      </w:r>
      <w:r w:rsidR="001C6500">
        <w:t>est unique</w:t>
      </w:r>
      <w:r w:rsidR="0016066D">
        <w:t xml:space="preserve">ment parce qu’ils ont diffusé sa voix alors qu’elle était dans l’exercice de ses fonctions de répartitrice et qu’ils </w:t>
      </w:r>
      <w:r w:rsidR="001C6500">
        <w:t xml:space="preserve">ont </w:t>
      </w:r>
      <w:r w:rsidR="0016066D">
        <w:t xml:space="preserve">véhiculé des informations fausses mettant en cause la qualité de son travail. </w:t>
      </w:r>
      <w:r w:rsidR="00AD3722">
        <w:t>Le tribunal trouve d’ailleurs particulièrement révélateur le témoignage de madame Grenon a l’effet que 80</w:t>
      </w:r>
      <w:r w:rsidR="009739D1">
        <w:t> </w:t>
      </w:r>
      <w:r w:rsidR="00AD3722">
        <w:t xml:space="preserve">% du reportage diffusé à la télévision le soir du 17 juin 2014, était inexact. </w:t>
      </w:r>
    </w:p>
    <w:p w:rsidR="00324E18" w:rsidRDefault="00324E18" w:rsidP="00DE7412">
      <w:pPr>
        <w:pStyle w:val="corpsdedcision"/>
      </w:pPr>
      <w:r>
        <w:t xml:space="preserve">Par conséquent, </w:t>
      </w:r>
      <w:r w:rsidR="009739D1">
        <w:t>il y a lieu de conclure</w:t>
      </w:r>
      <w:r>
        <w:t xml:space="preserve"> que la preuve largement prépondérante démontre que la travailleuse a subi, le 17 juin 2014, un événement imprévu et soudain par le fait ou à l’occasion de son travail de répartitrice à la centrale d’urgence 911 de l’employeur et que cet événement lui a causé un trouble d’adaptation.</w:t>
      </w:r>
    </w:p>
    <w:p w:rsidR="00850F53" w:rsidRDefault="00850F53" w:rsidP="00DE7412">
      <w:pPr>
        <w:pStyle w:val="corpsdedcision"/>
      </w:pPr>
      <w:r>
        <w:t xml:space="preserve">Cette conclusion se justifie d’autant plus que selon la preuve non contredite, </w:t>
      </w:r>
      <w:r w:rsidR="0005088A">
        <w:t>celle</w:t>
      </w:r>
      <w:r w:rsidR="0005088A">
        <w:noBreakHyphen/>
        <w:t>ci</w:t>
      </w:r>
      <w:r>
        <w:t xml:space="preserve"> n’a aucun antécédent à caractère psychologique personnel pouvant justifier sa condition psychologique diagnostiquée à compter du 20 juin 2014.</w:t>
      </w:r>
    </w:p>
    <w:p w:rsidR="0003397C" w:rsidRDefault="00850F53" w:rsidP="00DE7412">
      <w:pPr>
        <w:pStyle w:val="corpsdedcision"/>
      </w:pPr>
      <w:r>
        <w:t xml:space="preserve">La requête de la travailleuse doit </w:t>
      </w:r>
      <w:r w:rsidR="0005088A">
        <w:t xml:space="preserve">donc </w:t>
      </w:r>
      <w:r>
        <w:t>être accueillie.</w:t>
      </w:r>
      <w:r w:rsidR="008E2E0E">
        <w:t xml:space="preserve"> </w:t>
      </w:r>
    </w:p>
    <w:p w:rsidR="00BB451C" w:rsidRDefault="00BB451C">
      <w:pPr>
        <w:pStyle w:val="Dispositif"/>
        <w:rPr>
          <w:b/>
        </w:rPr>
      </w:pPr>
    </w:p>
    <w:p w:rsidR="00C74B6F" w:rsidRDefault="00C74B6F">
      <w:pPr>
        <w:pStyle w:val="Dispositif"/>
      </w:pPr>
      <w:r>
        <w:rPr>
          <w:b/>
        </w:rPr>
        <w:t>PAR CES MOTIFS, LA COMMISSION DES LÉSIONS PROFESSIONNELLES :</w:t>
      </w:r>
    </w:p>
    <w:p w:rsidR="00D054E5" w:rsidRPr="00D054E5" w:rsidRDefault="00D054E5">
      <w:pPr>
        <w:pStyle w:val="Dispositif"/>
      </w:pPr>
      <w:r>
        <w:rPr>
          <w:b/>
        </w:rPr>
        <w:t>DÉCLARE</w:t>
      </w:r>
      <w:r>
        <w:t xml:space="preserve"> recevable la requête de</w:t>
      </w:r>
      <w:r w:rsidR="00BB451C">
        <w:t xml:space="preserve"> madame </w:t>
      </w:r>
      <w:r w:rsidR="003B73EB">
        <w:t>E... M...</w:t>
      </w:r>
      <w:r w:rsidR="00BB451C">
        <w:t>,</w:t>
      </w:r>
      <w:r>
        <w:t xml:space="preserve"> la travailleuse</w:t>
      </w:r>
      <w:r w:rsidR="00BB451C">
        <w:t>,</w:t>
      </w:r>
      <w:r>
        <w:t xml:space="preserve"> déposée le 17 décembre 2014;</w:t>
      </w:r>
    </w:p>
    <w:p w:rsidR="00C74B6F" w:rsidRDefault="00850F53">
      <w:pPr>
        <w:pStyle w:val="Dispositif"/>
      </w:pPr>
      <w:r>
        <w:rPr>
          <w:b/>
        </w:rPr>
        <w:t>ACCUEILLE</w:t>
      </w:r>
      <w:r>
        <w:t xml:space="preserve"> la requête de la travailleuse;</w:t>
      </w:r>
    </w:p>
    <w:p w:rsidR="00850F53" w:rsidRDefault="00850F53">
      <w:pPr>
        <w:pStyle w:val="Dispositif"/>
      </w:pPr>
      <w:r>
        <w:rPr>
          <w:b/>
        </w:rPr>
        <w:t>INFIRME</w:t>
      </w:r>
      <w:r>
        <w:t xml:space="preserve"> la décision rendue par la Commission de la santé et de la sécurité du travail le 30 octobre 2014 à la suite d'une révision administrative;</w:t>
      </w:r>
    </w:p>
    <w:p w:rsidR="00850F53" w:rsidRDefault="00850F53">
      <w:pPr>
        <w:pStyle w:val="Dispositif"/>
      </w:pPr>
      <w:r>
        <w:rPr>
          <w:b/>
        </w:rPr>
        <w:t>DÉCLARE</w:t>
      </w:r>
      <w:r>
        <w:t xml:space="preserve"> que la travailleuse a subi, le 17 juin 2014, une lésion professionnelle et que cette dernière a droit aux prestations prévues à la </w:t>
      </w:r>
      <w:r>
        <w:rPr>
          <w:i/>
        </w:rPr>
        <w:t xml:space="preserve">Loi sur les accidents du travail et les maladies </w:t>
      </w:r>
      <w:r w:rsidRPr="00D83EA5">
        <w:rPr>
          <w:i/>
        </w:rPr>
        <w:t>professionnelles</w:t>
      </w:r>
      <w:r>
        <w:t>.</w:t>
      </w:r>
    </w:p>
    <w:p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tc>
          <w:tcPr>
            <w:tcW w:w="4795" w:type="dxa"/>
          </w:tcPr>
          <w:p w:rsidR="00C74B6F" w:rsidRDefault="00C74B6F"/>
        </w:tc>
        <w:tc>
          <w:tcPr>
            <w:tcW w:w="4795" w:type="dxa"/>
          </w:tcPr>
          <w:p w:rsidR="00C74B6F" w:rsidRDefault="00C74B6F">
            <w:bookmarkStart w:id="5" w:name="signature"/>
            <w:bookmarkEnd w:id="5"/>
            <w:r>
              <w:t>__________________________________</w:t>
            </w:r>
          </w:p>
        </w:tc>
      </w:tr>
      <w:tr w:rsidR="00C74B6F">
        <w:tc>
          <w:tcPr>
            <w:tcW w:w="4795" w:type="dxa"/>
          </w:tcPr>
          <w:p w:rsidR="00C74B6F" w:rsidRDefault="00C74B6F"/>
        </w:tc>
        <w:tc>
          <w:tcPr>
            <w:tcW w:w="4795" w:type="dxa"/>
          </w:tcPr>
          <w:p w:rsidR="00C74B6F" w:rsidRDefault="00850F53">
            <w:r>
              <w:t>Jean Grégoire</w:t>
            </w:r>
          </w:p>
        </w:tc>
      </w:tr>
      <w:tr w:rsidR="00C74B6F">
        <w:trPr>
          <w:cantSplit/>
        </w:trPr>
        <w:tc>
          <w:tcPr>
            <w:tcW w:w="9590" w:type="dxa"/>
            <w:gridSpan w:val="2"/>
          </w:tcPr>
          <w:p w:rsidR="00C74B6F" w:rsidRDefault="00C74B6F"/>
        </w:tc>
      </w:tr>
      <w:tr w:rsidR="00C74B6F">
        <w:trPr>
          <w:cantSplit/>
        </w:trPr>
        <w:tc>
          <w:tcPr>
            <w:tcW w:w="9590" w:type="dxa"/>
            <w:gridSpan w:val="2"/>
          </w:tcPr>
          <w:p w:rsidR="00C74B6F" w:rsidRDefault="00C74B6F"/>
        </w:tc>
      </w:tr>
      <w:tr w:rsidR="00C74B6F">
        <w:trPr>
          <w:cantSplit/>
        </w:trPr>
        <w:tc>
          <w:tcPr>
            <w:tcW w:w="9590" w:type="dxa"/>
            <w:gridSpan w:val="2"/>
          </w:tcPr>
          <w:p w:rsidR="00C74B6F" w:rsidRDefault="00C74B6F"/>
        </w:tc>
      </w:tr>
      <w:tr w:rsidR="00C74B6F">
        <w:trPr>
          <w:cantSplit/>
        </w:trPr>
        <w:tc>
          <w:tcPr>
            <w:tcW w:w="9590" w:type="dxa"/>
            <w:gridSpan w:val="2"/>
          </w:tcPr>
          <w:p w:rsidR="00C74B6F" w:rsidRPr="00850F53" w:rsidRDefault="00850F53">
            <w:pPr>
              <w:pStyle w:val="zSoquijdatNomProcureurDem"/>
            </w:pPr>
            <w:r>
              <w:t>M</w:t>
            </w:r>
            <w:r>
              <w:rPr>
                <w:vertAlign w:val="superscript"/>
              </w:rPr>
              <w:t>me</w:t>
            </w:r>
            <w:r>
              <w:t xml:space="preserve"> Anny Gilbert</w:t>
            </w:r>
          </w:p>
        </w:tc>
      </w:tr>
      <w:tr w:rsidR="00C74B6F">
        <w:trPr>
          <w:cantSplit/>
        </w:trPr>
        <w:tc>
          <w:tcPr>
            <w:tcW w:w="9590" w:type="dxa"/>
            <w:gridSpan w:val="2"/>
          </w:tcPr>
          <w:p w:rsidR="00C74B6F" w:rsidRDefault="00850F53">
            <w:pPr>
              <w:pStyle w:val="zSoquijdatCabinetProcureurDem"/>
            </w:pPr>
            <w:r>
              <w:t>S.C.F.P. (FTQ)</w:t>
            </w:r>
          </w:p>
        </w:tc>
      </w:tr>
      <w:tr w:rsidR="00C74B6F">
        <w:trPr>
          <w:cantSplit/>
        </w:trPr>
        <w:tc>
          <w:tcPr>
            <w:tcW w:w="9590" w:type="dxa"/>
            <w:gridSpan w:val="2"/>
          </w:tcPr>
          <w:p w:rsidR="00C74B6F" w:rsidRDefault="00C74B6F">
            <w:pPr>
              <w:pStyle w:val="zSoquijlblProcureurDem"/>
            </w:pPr>
            <w:r>
              <w:t>Représentant</w:t>
            </w:r>
            <w:r w:rsidR="00850F53">
              <w:t>e</w:t>
            </w:r>
            <w:r>
              <w:t xml:space="preserve"> de la partie requérante</w:t>
            </w:r>
          </w:p>
        </w:tc>
      </w:tr>
      <w:tr w:rsidR="00C74B6F">
        <w:trPr>
          <w:cantSplit/>
        </w:trPr>
        <w:tc>
          <w:tcPr>
            <w:tcW w:w="9590" w:type="dxa"/>
            <w:gridSpan w:val="2"/>
          </w:tcPr>
          <w:p w:rsidR="00C74B6F" w:rsidRDefault="00C74B6F"/>
        </w:tc>
      </w:tr>
      <w:tr w:rsidR="00C74B6F">
        <w:trPr>
          <w:cantSplit/>
        </w:trPr>
        <w:tc>
          <w:tcPr>
            <w:tcW w:w="9590" w:type="dxa"/>
            <w:gridSpan w:val="2"/>
          </w:tcPr>
          <w:p w:rsidR="00C74B6F" w:rsidRDefault="00C74B6F"/>
        </w:tc>
      </w:tr>
      <w:tr w:rsidR="00C74B6F">
        <w:trPr>
          <w:cantSplit/>
        </w:trPr>
        <w:tc>
          <w:tcPr>
            <w:tcW w:w="9590" w:type="dxa"/>
            <w:gridSpan w:val="2"/>
          </w:tcPr>
          <w:p w:rsidR="00C74B6F" w:rsidRPr="00850F53" w:rsidRDefault="00850F53">
            <w:pPr>
              <w:pStyle w:val="zSoquijdatNomProcureurDef"/>
            </w:pPr>
            <w:r>
              <w:t>M</w:t>
            </w:r>
            <w:r>
              <w:rPr>
                <w:vertAlign w:val="superscript"/>
              </w:rPr>
              <w:t>me</w:t>
            </w:r>
            <w:r>
              <w:t xml:space="preserve"> Émilie Morin-Gravel</w:t>
            </w:r>
          </w:p>
        </w:tc>
      </w:tr>
      <w:tr w:rsidR="00C74B6F">
        <w:trPr>
          <w:cantSplit/>
        </w:trPr>
        <w:tc>
          <w:tcPr>
            <w:tcW w:w="9590" w:type="dxa"/>
            <w:gridSpan w:val="2"/>
          </w:tcPr>
          <w:p w:rsidR="00C74B6F" w:rsidRDefault="00850F53">
            <w:pPr>
              <w:pStyle w:val="zSoquijdatCabinetProcureurDef"/>
            </w:pPr>
            <w:r>
              <w:t>MORIN, COULOMBE, CROTEAU, BOIVIN</w:t>
            </w:r>
          </w:p>
        </w:tc>
      </w:tr>
      <w:tr w:rsidR="00C74B6F">
        <w:trPr>
          <w:cantSplit/>
        </w:trPr>
        <w:tc>
          <w:tcPr>
            <w:tcW w:w="9590" w:type="dxa"/>
            <w:gridSpan w:val="2"/>
          </w:tcPr>
          <w:p w:rsidR="00C74B6F" w:rsidRDefault="00C74B6F">
            <w:pPr>
              <w:pStyle w:val="zSoquijlblProcureurDef"/>
            </w:pPr>
            <w:r>
              <w:t>Représentant</w:t>
            </w:r>
            <w:r w:rsidR="00850F53">
              <w:t>e</w:t>
            </w:r>
            <w:r>
              <w:t xml:space="preserve"> de la partie intéressée</w:t>
            </w:r>
          </w:p>
        </w:tc>
      </w:tr>
      <w:tr w:rsidR="00C74B6F">
        <w:trPr>
          <w:cantSplit/>
        </w:trPr>
        <w:tc>
          <w:tcPr>
            <w:tcW w:w="9590" w:type="dxa"/>
            <w:gridSpan w:val="2"/>
          </w:tcPr>
          <w:p w:rsidR="00C74B6F" w:rsidRDefault="00C74B6F"/>
        </w:tc>
      </w:tr>
      <w:tr w:rsidR="00C74B6F">
        <w:trPr>
          <w:cantSplit/>
        </w:trPr>
        <w:tc>
          <w:tcPr>
            <w:tcW w:w="9590" w:type="dxa"/>
            <w:gridSpan w:val="2"/>
          </w:tcPr>
          <w:p w:rsidR="00C74B6F" w:rsidRDefault="00C74B6F"/>
        </w:tc>
      </w:tr>
      <w:tr w:rsidR="00C74B6F">
        <w:trPr>
          <w:cantSplit/>
        </w:trPr>
        <w:tc>
          <w:tcPr>
            <w:tcW w:w="9590" w:type="dxa"/>
            <w:gridSpan w:val="2"/>
          </w:tcPr>
          <w:p w:rsidR="00C74B6F" w:rsidRPr="00850F53" w:rsidRDefault="00850F53">
            <w:pPr>
              <w:pStyle w:val="zSoquijdatNomProcureurInt"/>
            </w:pPr>
            <w:r>
              <w:t>M</w:t>
            </w:r>
            <w:r>
              <w:rPr>
                <w:vertAlign w:val="superscript"/>
              </w:rPr>
              <w:t>e</w:t>
            </w:r>
            <w:r>
              <w:t xml:space="preserve"> Sarah Hébert</w:t>
            </w:r>
          </w:p>
        </w:tc>
      </w:tr>
      <w:tr w:rsidR="00C74B6F">
        <w:trPr>
          <w:cantSplit/>
        </w:trPr>
        <w:tc>
          <w:tcPr>
            <w:tcW w:w="9590" w:type="dxa"/>
            <w:gridSpan w:val="2"/>
          </w:tcPr>
          <w:p w:rsidR="00C74B6F" w:rsidRDefault="00850F53">
            <w:pPr>
              <w:pStyle w:val="zSoquijdatCabinetProcureurInt"/>
            </w:pPr>
            <w:r>
              <w:t xml:space="preserve">PAQUET THIBODEAU BERGERON </w:t>
            </w:r>
          </w:p>
        </w:tc>
      </w:tr>
      <w:tr w:rsidR="00C74B6F">
        <w:trPr>
          <w:cantSplit/>
        </w:trPr>
        <w:tc>
          <w:tcPr>
            <w:tcW w:w="9590" w:type="dxa"/>
            <w:gridSpan w:val="2"/>
          </w:tcPr>
          <w:p w:rsidR="00C74B6F" w:rsidRDefault="00C74B6F">
            <w:pPr>
              <w:pStyle w:val="zSoquijlblProcureurInt"/>
            </w:pPr>
            <w:r>
              <w:t>Représentant</w:t>
            </w:r>
            <w:r w:rsidR="00850F53">
              <w:t>e</w:t>
            </w:r>
            <w:r>
              <w:t xml:space="preserve"> de la partie intervenante</w:t>
            </w:r>
          </w:p>
        </w:tc>
      </w:tr>
    </w:tbl>
    <w:p w:rsidR="00C74B6F" w:rsidRDefault="00C74B6F"/>
    <w:sectPr w:rsidR="00C74B6F" w:rsidSect="00BB451C">
      <w:headerReference w:type="default" r:id="rId8"/>
      <w:pgSz w:w="12240" w:h="15840" w:code="1"/>
      <w:pgMar w:top="1152" w:right="1440" w:bottom="135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070" w:rsidRDefault="00976070">
      <w:r>
        <w:separator/>
      </w:r>
    </w:p>
  </w:endnote>
  <w:endnote w:type="continuationSeparator" w:id="0">
    <w:p w:rsidR="00976070" w:rsidRDefault="0097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070" w:rsidRDefault="00976070">
      <w:r>
        <w:separator/>
      </w:r>
    </w:p>
  </w:footnote>
  <w:footnote w:type="continuationSeparator" w:id="0">
    <w:p w:rsidR="00976070" w:rsidRDefault="00976070">
      <w:r>
        <w:continuationSeparator/>
      </w:r>
    </w:p>
  </w:footnote>
  <w:footnote w:id="1">
    <w:p w:rsidR="00030C70" w:rsidRPr="003B73EB" w:rsidRDefault="00030C70" w:rsidP="007309C8">
      <w:pPr>
        <w:pStyle w:val="Notedebasdepage"/>
        <w:rPr>
          <w:lang w:val="en-CA"/>
        </w:rPr>
      </w:pPr>
      <w:r w:rsidRPr="00AB53AE">
        <w:rPr>
          <w:rStyle w:val="Appelnotedebasdep"/>
          <w:szCs w:val="24"/>
        </w:rPr>
        <w:footnoteRef/>
      </w:r>
      <w:r w:rsidRPr="003B73EB">
        <w:rPr>
          <w:szCs w:val="24"/>
          <w:lang w:val="en-CA"/>
        </w:rPr>
        <w:t xml:space="preserve"> </w:t>
      </w:r>
      <w:r w:rsidRPr="003B73EB">
        <w:rPr>
          <w:sz w:val="20"/>
          <w:lang w:val="en-CA"/>
        </w:rPr>
        <w:tab/>
        <w:t>RLRQ, c. A-3.001.</w:t>
      </w:r>
    </w:p>
  </w:footnote>
  <w:footnote w:id="2">
    <w:p w:rsidR="007944B1" w:rsidRPr="007944B1" w:rsidRDefault="007944B1" w:rsidP="007944B1">
      <w:pPr>
        <w:pStyle w:val="Notedebasdepage"/>
        <w:tabs>
          <w:tab w:val="left" w:pos="720"/>
        </w:tabs>
        <w:ind w:left="720" w:hanging="720"/>
        <w:jc w:val="both"/>
        <w:rPr>
          <w:rFonts w:cs="Arial"/>
          <w:sz w:val="20"/>
        </w:rPr>
      </w:pPr>
      <w:r>
        <w:rPr>
          <w:rStyle w:val="Appelnotedebasdep"/>
        </w:rPr>
        <w:footnoteRef/>
      </w:r>
      <w:r w:rsidRPr="003B73EB">
        <w:rPr>
          <w:lang w:val="en-CA"/>
        </w:rPr>
        <w:t xml:space="preserve"> </w:t>
      </w:r>
      <w:r w:rsidRPr="003B73EB">
        <w:rPr>
          <w:rFonts w:cs="Arial"/>
          <w:sz w:val="20"/>
          <w:lang w:val="en-CA"/>
        </w:rPr>
        <w:tab/>
        <w:t xml:space="preserve">L.R.C. (1985), ch. </w:t>
      </w:r>
      <w:r>
        <w:rPr>
          <w:rFonts w:cs="Arial"/>
          <w:sz w:val="20"/>
        </w:rPr>
        <w:t>R-2.</w:t>
      </w:r>
    </w:p>
  </w:footnote>
  <w:footnote w:id="3">
    <w:p w:rsidR="00021AB5" w:rsidRPr="00021AB5" w:rsidRDefault="00021AB5" w:rsidP="00021AB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rFonts w:cs="Arial"/>
          <w:i/>
          <w:sz w:val="20"/>
        </w:rPr>
        <w:t xml:space="preserve">Shink </w:t>
      </w:r>
      <w:r>
        <w:rPr>
          <w:rFonts w:cs="Arial"/>
          <w:sz w:val="20"/>
        </w:rPr>
        <w:t xml:space="preserve">et </w:t>
      </w:r>
      <w:r>
        <w:rPr>
          <w:rFonts w:cs="Arial"/>
          <w:i/>
          <w:sz w:val="20"/>
        </w:rPr>
        <w:t>Transforce inc.</w:t>
      </w:r>
      <w:r>
        <w:rPr>
          <w:rFonts w:cs="Arial"/>
          <w:sz w:val="20"/>
        </w:rPr>
        <w:t>, C.L.P. 216120-04-0309, 28 janvier 2005, J.-F. Clément.</w:t>
      </w:r>
    </w:p>
  </w:footnote>
  <w:footnote w:id="4">
    <w:p w:rsidR="009313E5" w:rsidRPr="009313E5" w:rsidRDefault="009313E5" w:rsidP="009313E5">
      <w:pPr>
        <w:pStyle w:val="Notedebasdepage"/>
        <w:tabs>
          <w:tab w:val="left" w:pos="720"/>
        </w:tabs>
        <w:ind w:left="720" w:hanging="720"/>
        <w:jc w:val="both"/>
        <w:rPr>
          <w:rFonts w:cs="Arial"/>
          <w:i/>
          <w:sz w:val="20"/>
        </w:rPr>
      </w:pPr>
      <w:r>
        <w:rPr>
          <w:rStyle w:val="Appelnotedebasdep"/>
        </w:rPr>
        <w:footnoteRef/>
      </w:r>
      <w:r>
        <w:t xml:space="preserve"> </w:t>
      </w:r>
      <w:r>
        <w:rPr>
          <w:rFonts w:cs="Arial"/>
          <w:sz w:val="20"/>
        </w:rPr>
        <w:tab/>
      </w:r>
      <w:r w:rsidR="00831E28">
        <w:rPr>
          <w:rFonts w:cs="Arial"/>
          <w:sz w:val="20"/>
        </w:rPr>
        <w:t xml:space="preserve">Sur la question du point de départ du délai, voir </w:t>
      </w:r>
      <w:r>
        <w:rPr>
          <w:rFonts w:cs="Arial"/>
          <w:sz w:val="20"/>
        </w:rPr>
        <w:t xml:space="preserve">l’article 40 du </w:t>
      </w:r>
      <w:r>
        <w:rPr>
          <w:rFonts w:cs="Arial"/>
          <w:i/>
          <w:sz w:val="20"/>
        </w:rPr>
        <w:t xml:space="preserve">Règlement sur la preuve et la procédure de la Commission des lésions professionnelles </w:t>
      </w:r>
      <w:r w:rsidRPr="009313E5">
        <w:rPr>
          <w:rFonts w:cs="Arial"/>
          <w:sz w:val="20"/>
        </w:rPr>
        <w:t>(</w:t>
      </w:r>
      <w:r>
        <w:rPr>
          <w:rFonts w:cs="Arial"/>
          <w:color w:val="000000"/>
          <w:sz w:val="20"/>
        </w:rPr>
        <w:t>RLRQ, c. A-3.001, r. 12.).</w:t>
      </w:r>
    </w:p>
  </w:footnote>
  <w:footnote w:id="5">
    <w:p w:rsidR="00DE7412" w:rsidRPr="0065379A" w:rsidRDefault="00DE7412" w:rsidP="00DE7412">
      <w:pPr>
        <w:pStyle w:val="Notedebasdepage"/>
        <w:tabs>
          <w:tab w:val="left" w:pos="720"/>
        </w:tabs>
        <w:ind w:left="720" w:hanging="720"/>
        <w:jc w:val="both"/>
        <w:rPr>
          <w:rFonts w:cs="Arial"/>
          <w:sz w:val="20"/>
        </w:rPr>
      </w:pPr>
      <w:r>
        <w:rPr>
          <w:rStyle w:val="Appelnotedebasdep"/>
        </w:rPr>
        <w:footnoteRef/>
      </w:r>
      <w:r>
        <w:t xml:space="preserve"> </w:t>
      </w:r>
      <w:r>
        <w:tab/>
      </w:r>
      <w:r w:rsidRPr="0065379A">
        <w:rPr>
          <w:i/>
          <w:sz w:val="20"/>
        </w:rPr>
        <w:t xml:space="preserve">Boily </w:t>
      </w:r>
      <w:r w:rsidRPr="0065379A">
        <w:rPr>
          <w:sz w:val="20"/>
        </w:rPr>
        <w:t xml:space="preserve">et </w:t>
      </w:r>
      <w:r>
        <w:rPr>
          <w:i/>
          <w:sz w:val="20"/>
        </w:rPr>
        <w:t>R.H.D.</w:t>
      </w:r>
      <w:r w:rsidRPr="0065379A">
        <w:rPr>
          <w:i/>
          <w:sz w:val="20"/>
        </w:rPr>
        <w:t>C</w:t>
      </w:r>
      <w:r>
        <w:rPr>
          <w:i/>
          <w:sz w:val="20"/>
        </w:rPr>
        <w:t>.</w:t>
      </w:r>
      <w:r w:rsidRPr="0065379A">
        <w:rPr>
          <w:i/>
          <w:sz w:val="20"/>
        </w:rPr>
        <w:t>C</w:t>
      </w:r>
      <w:r>
        <w:rPr>
          <w:i/>
          <w:sz w:val="20"/>
        </w:rPr>
        <w:t>.</w:t>
      </w:r>
      <w:r w:rsidRPr="0065379A">
        <w:rPr>
          <w:i/>
          <w:sz w:val="20"/>
        </w:rPr>
        <w:t xml:space="preserve"> Direction travail</w:t>
      </w:r>
      <w:r w:rsidRPr="003C6402">
        <w:rPr>
          <w:sz w:val="20"/>
        </w:rPr>
        <w:t>,</w:t>
      </w:r>
      <w:r w:rsidRPr="0065379A">
        <w:rPr>
          <w:i/>
          <w:sz w:val="20"/>
        </w:rPr>
        <w:t xml:space="preserve"> </w:t>
      </w:r>
      <w:r w:rsidRPr="0065379A">
        <w:rPr>
          <w:rFonts w:cs="Arial"/>
          <w:sz w:val="20"/>
        </w:rPr>
        <w:t>C.L.P.</w:t>
      </w:r>
      <w:r>
        <w:rPr>
          <w:rFonts w:cs="Arial"/>
          <w:sz w:val="20"/>
        </w:rPr>
        <w:t xml:space="preserve"> 277428-02-0512, 13 décembre 200</w:t>
      </w:r>
      <w:r w:rsidR="003C6402">
        <w:rPr>
          <w:rFonts w:cs="Arial"/>
          <w:sz w:val="20"/>
        </w:rPr>
        <w:t>6</w:t>
      </w:r>
      <w:r>
        <w:rPr>
          <w:rFonts w:cs="Arial"/>
          <w:sz w:val="20"/>
        </w:rPr>
        <w:t>, R. Deraiche.</w:t>
      </w:r>
    </w:p>
  </w:footnote>
  <w:footnote w:id="6">
    <w:p w:rsidR="00DE7412" w:rsidRPr="00A64A04" w:rsidRDefault="00DE7412" w:rsidP="00DE741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C.L.P. 213089-71-0307, 25 octobre </w:t>
      </w:r>
      <w:smartTag w:uri="urn:schemas-microsoft-com:office:smarttags" w:element="metricconverter">
        <w:smartTagPr>
          <w:attr w:name="ProductID" w:val="2005, L"/>
        </w:smartTagPr>
        <w:r>
          <w:rPr>
            <w:rFonts w:cs="Arial"/>
            <w:sz w:val="20"/>
          </w:rPr>
          <w:t>2005, L</w:t>
        </w:r>
      </w:smartTag>
      <w:r>
        <w:rPr>
          <w:rFonts w:cs="Arial"/>
          <w:sz w:val="20"/>
        </w:rPr>
        <w:t>. Landriault.</w:t>
      </w:r>
    </w:p>
  </w:footnote>
  <w:footnote w:id="7">
    <w:p w:rsidR="00013F8D" w:rsidRPr="00013F8D" w:rsidRDefault="00013F8D" w:rsidP="00013F8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013F8D">
        <w:rPr>
          <w:rFonts w:cs="Arial"/>
          <w:i/>
          <w:sz w:val="20"/>
        </w:rPr>
        <w:t>Brousseau</w:t>
      </w:r>
      <w:r>
        <w:rPr>
          <w:rFonts w:cs="Arial"/>
          <w:sz w:val="20"/>
        </w:rPr>
        <w:t xml:space="preserve"> et </w:t>
      </w:r>
      <w:r w:rsidRPr="00013F8D">
        <w:rPr>
          <w:rFonts w:cs="Arial"/>
          <w:i/>
          <w:sz w:val="20"/>
        </w:rPr>
        <w:t>Travaux publics et Services Canada</w:t>
      </w:r>
      <w:r w:rsidR="00754C29">
        <w:rPr>
          <w:rFonts w:cs="Arial"/>
          <w:sz w:val="20"/>
        </w:rPr>
        <w:t>,</w:t>
      </w:r>
      <w:r>
        <w:rPr>
          <w:rFonts w:cs="Arial"/>
          <w:sz w:val="20"/>
        </w:rPr>
        <w:t xml:space="preserve"> 2015 QCCLP 785.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A435C7" w:rsidTr="00525FA5">
      <w:tc>
        <w:tcPr>
          <w:tcW w:w="8730" w:type="dxa"/>
        </w:tcPr>
        <w:p w:rsidR="00A435C7" w:rsidRDefault="00A435C7">
          <w:pPr>
            <w:pStyle w:val="En-tte"/>
            <w:ind w:left="-90"/>
          </w:pPr>
        </w:p>
      </w:tc>
      <w:tc>
        <w:tcPr>
          <w:tcW w:w="860" w:type="dxa"/>
        </w:tcPr>
        <w:p w:rsidR="00A435C7" w:rsidRDefault="00A435C7">
          <w:pPr>
            <w:pStyle w:val="En-tte"/>
            <w:ind w:left="-90"/>
          </w:pPr>
        </w:p>
      </w:tc>
    </w:tr>
    <w:tr w:rsidR="00525FA5" w:rsidTr="00525FA5">
      <w:tc>
        <w:tcPr>
          <w:tcW w:w="8730" w:type="dxa"/>
        </w:tcPr>
        <w:p w:rsidR="00525FA5" w:rsidRDefault="00525FA5" w:rsidP="00525FA5">
          <w:pPr>
            <w:pStyle w:val="zSoquijdatNoDossier"/>
          </w:pPr>
          <w:r>
            <w:t>560450-02-1412</w:t>
          </w:r>
        </w:p>
      </w:tc>
      <w:tc>
        <w:tcPr>
          <w:tcW w:w="860" w:type="dxa"/>
        </w:tcPr>
        <w:p w:rsidR="00525FA5" w:rsidRDefault="00CC6C3F" w:rsidP="00525FA5">
          <w:pPr>
            <w:pStyle w:val="En-tte"/>
            <w:ind w:left="-90"/>
            <w:jc w:val="right"/>
            <w:rPr>
              <w:rStyle w:val="Numrodepage"/>
            </w:rPr>
          </w:pPr>
          <w:r>
            <w:rPr>
              <w:rStyle w:val="Numrodepage"/>
            </w:rPr>
            <w:fldChar w:fldCharType="begin"/>
          </w:r>
          <w:r w:rsidR="00525FA5">
            <w:rPr>
              <w:rStyle w:val="Numrodepage"/>
            </w:rPr>
            <w:instrText xml:space="preserve"> PAGE </w:instrText>
          </w:r>
          <w:r>
            <w:rPr>
              <w:rStyle w:val="Numrodepage"/>
            </w:rPr>
            <w:fldChar w:fldCharType="separate"/>
          </w:r>
          <w:r w:rsidR="002C2BFE">
            <w:rPr>
              <w:rStyle w:val="Numrodepage"/>
              <w:noProof/>
            </w:rPr>
            <w:t>3</w:t>
          </w:r>
          <w:r>
            <w:rPr>
              <w:rStyle w:val="Numrodepage"/>
            </w:rPr>
            <w:fldChar w:fldCharType="end"/>
          </w:r>
        </w:p>
      </w:tc>
    </w:tr>
    <w:tr w:rsidR="00525FA5" w:rsidTr="00525FA5">
      <w:tc>
        <w:tcPr>
          <w:tcW w:w="8730" w:type="dxa"/>
        </w:tcPr>
        <w:p w:rsidR="00525FA5" w:rsidRDefault="00525FA5" w:rsidP="00525FA5"/>
      </w:tc>
      <w:tc>
        <w:tcPr>
          <w:tcW w:w="860" w:type="dxa"/>
        </w:tcPr>
        <w:p w:rsidR="00525FA5" w:rsidRDefault="00525FA5" w:rsidP="00525FA5">
          <w:pPr>
            <w:pStyle w:val="En-tte"/>
            <w:ind w:left="-90"/>
            <w:jc w:val="right"/>
          </w:pPr>
        </w:p>
      </w:tc>
    </w:tr>
  </w:tbl>
  <w:p w:rsidR="00A435C7" w:rsidRDefault="00A435C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8E5"/>
    <w:multiLevelType w:val="hybridMultilevel"/>
    <w:tmpl w:val="3BEEA734"/>
    <w:lvl w:ilvl="0" w:tplc="C3788928">
      <w:start w:val="3"/>
      <w:numFmt w:val="bullet"/>
      <w:lvlText w:val="-"/>
      <w:lvlJc w:val="left"/>
      <w:pPr>
        <w:tabs>
          <w:tab w:val="num" w:pos="1080"/>
        </w:tabs>
        <w:ind w:left="1080" w:hanging="72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3F2"/>
    <w:rsid w:val="00003EAE"/>
    <w:rsid w:val="00003FF2"/>
    <w:rsid w:val="000041A1"/>
    <w:rsid w:val="00010526"/>
    <w:rsid w:val="000105E5"/>
    <w:rsid w:val="00012A19"/>
    <w:rsid w:val="000130F4"/>
    <w:rsid w:val="00013F8D"/>
    <w:rsid w:val="00014C8A"/>
    <w:rsid w:val="00015C44"/>
    <w:rsid w:val="00021AB5"/>
    <w:rsid w:val="00021E4C"/>
    <w:rsid w:val="00030C70"/>
    <w:rsid w:val="0003397C"/>
    <w:rsid w:val="000366EC"/>
    <w:rsid w:val="00037AAF"/>
    <w:rsid w:val="0005088A"/>
    <w:rsid w:val="00066786"/>
    <w:rsid w:val="00071FED"/>
    <w:rsid w:val="0007225E"/>
    <w:rsid w:val="0007325E"/>
    <w:rsid w:val="00083416"/>
    <w:rsid w:val="0008378A"/>
    <w:rsid w:val="00090018"/>
    <w:rsid w:val="000961DA"/>
    <w:rsid w:val="000A6188"/>
    <w:rsid w:val="000A77C5"/>
    <w:rsid w:val="000B7F1B"/>
    <w:rsid w:val="000D7CB3"/>
    <w:rsid w:val="000E176F"/>
    <w:rsid w:val="000F4804"/>
    <w:rsid w:val="001050B4"/>
    <w:rsid w:val="00110ADC"/>
    <w:rsid w:val="0012326A"/>
    <w:rsid w:val="00123C09"/>
    <w:rsid w:val="00124DA3"/>
    <w:rsid w:val="00130288"/>
    <w:rsid w:val="0013595B"/>
    <w:rsid w:val="00147B8B"/>
    <w:rsid w:val="0015125A"/>
    <w:rsid w:val="00152203"/>
    <w:rsid w:val="0015539F"/>
    <w:rsid w:val="0016066D"/>
    <w:rsid w:val="001661B5"/>
    <w:rsid w:val="001664C8"/>
    <w:rsid w:val="00173895"/>
    <w:rsid w:val="001772E5"/>
    <w:rsid w:val="001802F8"/>
    <w:rsid w:val="00182E68"/>
    <w:rsid w:val="00197A31"/>
    <w:rsid w:val="001A067E"/>
    <w:rsid w:val="001A2900"/>
    <w:rsid w:val="001A4081"/>
    <w:rsid w:val="001A6B14"/>
    <w:rsid w:val="001B22CE"/>
    <w:rsid w:val="001B5AB9"/>
    <w:rsid w:val="001B6D87"/>
    <w:rsid w:val="001B73BD"/>
    <w:rsid w:val="001C2B0B"/>
    <w:rsid w:val="001C6500"/>
    <w:rsid w:val="001D45BF"/>
    <w:rsid w:val="001E16A3"/>
    <w:rsid w:val="002115B3"/>
    <w:rsid w:val="002164D9"/>
    <w:rsid w:val="0021796D"/>
    <w:rsid w:val="002248A6"/>
    <w:rsid w:val="002252B9"/>
    <w:rsid w:val="00230AD7"/>
    <w:rsid w:val="00231C1D"/>
    <w:rsid w:val="00241CED"/>
    <w:rsid w:val="00246A79"/>
    <w:rsid w:val="00251BC3"/>
    <w:rsid w:val="002563F0"/>
    <w:rsid w:val="00257927"/>
    <w:rsid w:val="00257E64"/>
    <w:rsid w:val="00266064"/>
    <w:rsid w:val="00281319"/>
    <w:rsid w:val="00286149"/>
    <w:rsid w:val="00296A4B"/>
    <w:rsid w:val="002A6E55"/>
    <w:rsid w:val="002B78C6"/>
    <w:rsid w:val="002C2BFE"/>
    <w:rsid w:val="002C3748"/>
    <w:rsid w:val="002E1AD7"/>
    <w:rsid w:val="002E2FB6"/>
    <w:rsid w:val="00304149"/>
    <w:rsid w:val="003057FC"/>
    <w:rsid w:val="00312826"/>
    <w:rsid w:val="00312983"/>
    <w:rsid w:val="00317770"/>
    <w:rsid w:val="00317E82"/>
    <w:rsid w:val="00320194"/>
    <w:rsid w:val="00321162"/>
    <w:rsid w:val="00324E18"/>
    <w:rsid w:val="003314AA"/>
    <w:rsid w:val="00331EA7"/>
    <w:rsid w:val="00352004"/>
    <w:rsid w:val="00361AE7"/>
    <w:rsid w:val="003664E9"/>
    <w:rsid w:val="00373EE5"/>
    <w:rsid w:val="00377451"/>
    <w:rsid w:val="00377E64"/>
    <w:rsid w:val="003B1735"/>
    <w:rsid w:val="003B23B6"/>
    <w:rsid w:val="003B5176"/>
    <w:rsid w:val="003B6CBF"/>
    <w:rsid w:val="003B73EB"/>
    <w:rsid w:val="003B79A0"/>
    <w:rsid w:val="003C2746"/>
    <w:rsid w:val="003C29C6"/>
    <w:rsid w:val="003C6402"/>
    <w:rsid w:val="003E00D5"/>
    <w:rsid w:val="003E47FB"/>
    <w:rsid w:val="003E66DC"/>
    <w:rsid w:val="003E7F1B"/>
    <w:rsid w:val="003F46D6"/>
    <w:rsid w:val="003F7F38"/>
    <w:rsid w:val="00406F0C"/>
    <w:rsid w:val="0040730A"/>
    <w:rsid w:val="00415D5D"/>
    <w:rsid w:val="0042122A"/>
    <w:rsid w:val="0042623B"/>
    <w:rsid w:val="00430E23"/>
    <w:rsid w:val="00437137"/>
    <w:rsid w:val="004420EE"/>
    <w:rsid w:val="0044627E"/>
    <w:rsid w:val="0045335F"/>
    <w:rsid w:val="0049442E"/>
    <w:rsid w:val="004A679B"/>
    <w:rsid w:val="004A7930"/>
    <w:rsid w:val="004B2182"/>
    <w:rsid w:val="004C08F7"/>
    <w:rsid w:val="004C3135"/>
    <w:rsid w:val="004C3CDE"/>
    <w:rsid w:val="004D7184"/>
    <w:rsid w:val="004D7A5C"/>
    <w:rsid w:val="004E1D83"/>
    <w:rsid w:val="004E3ABB"/>
    <w:rsid w:val="004F3FDD"/>
    <w:rsid w:val="00502EEA"/>
    <w:rsid w:val="0051262E"/>
    <w:rsid w:val="00515CEA"/>
    <w:rsid w:val="00517EB0"/>
    <w:rsid w:val="005205CB"/>
    <w:rsid w:val="00525FA5"/>
    <w:rsid w:val="00533156"/>
    <w:rsid w:val="00543D8B"/>
    <w:rsid w:val="005461B2"/>
    <w:rsid w:val="0055044A"/>
    <w:rsid w:val="00551DF7"/>
    <w:rsid w:val="005662E9"/>
    <w:rsid w:val="00567C18"/>
    <w:rsid w:val="00577A1B"/>
    <w:rsid w:val="005801AE"/>
    <w:rsid w:val="00582338"/>
    <w:rsid w:val="00582ECC"/>
    <w:rsid w:val="0058399B"/>
    <w:rsid w:val="0058692F"/>
    <w:rsid w:val="00594C2E"/>
    <w:rsid w:val="00596625"/>
    <w:rsid w:val="005974B7"/>
    <w:rsid w:val="005B30F6"/>
    <w:rsid w:val="005B743B"/>
    <w:rsid w:val="005C3611"/>
    <w:rsid w:val="005C4903"/>
    <w:rsid w:val="005C52D8"/>
    <w:rsid w:val="006048EF"/>
    <w:rsid w:val="00605A79"/>
    <w:rsid w:val="0061488E"/>
    <w:rsid w:val="00614BD6"/>
    <w:rsid w:val="00623FB9"/>
    <w:rsid w:val="00626949"/>
    <w:rsid w:val="00627875"/>
    <w:rsid w:val="00634E6E"/>
    <w:rsid w:val="00641C91"/>
    <w:rsid w:val="0064616E"/>
    <w:rsid w:val="00661454"/>
    <w:rsid w:val="00663C86"/>
    <w:rsid w:val="0066642D"/>
    <w:rsid w:val="00675E85"/>
    <w:rsid w:val="0067750F"/>
    <w:rsid w:val="006841A4"/>
    <w:rsid w:val="00692150"/>
    <w:rsid w:val="006B1875"/>
    <w:rsid w:val="006C3911"/>
    <w:rsid w:val="006C432A"/>
    <w:rsid w:val="006C7B7F"/>
    <w:rsid w:val="006D19E8"/>
    <w:rsid w:val="006D1ECE"/>
    <w:rsid w:val="006E2286"/>
    <w:rsid w:val="006E793F"/>
    <w:rsid w:val="006F1C01"/>
    <w:rsid w:val="006F60B0"/>
    <w:rsid w:val="006F7944"/>
    <w:rsid w:val="00704121"/>
    <w:rsid w:val="0070570B"/>
    <w:rsid w:val="00710C65"/>
    <w:rsid w:val="00717A9C"/>
    <w:rsid w:val="00721792"/>
    <w:rsid w:val="00742538"/>
    <w:rsid w:val="007458B3"/>
    <w:rsid w:val="00745AA8"/>
    <w:rsid w:val="007510EC"/>
    <w:rsid w:val="00753132"/>
    <w:rsid w:val="00754C29"/>
    <w:rsid w:val="007653D1"/>
    <w:rsid w:val="0078154B"/>
    <w:rsid w:val="0079100E"/>
    <w:rsid w:val="00793C56"/>
    <w:rsid w:val="007944B1"/>
    <w:rsid w:val="007A6E2F"/>
    <w:rsid w:val="007B04D8"/>
    <w:rsid w:val="007B0BB7"/>
    <w:rsid w:val="007B3BC5"/>
    <w:rsid w:val="007C3E54"/>
    <w:rsid w:val="007E79C3"/>
    <w:rsid w:val="0081130F"/>
    <w:rsid w:val="0082380F"/>
    <w:rsid w:val="00825B1F"/>
    <w:rsid w:val="00826E84"/>
    <w:rsid w:val="00831E28"/>
    <w:rsid w:val="00841BE8"/>
    <w:rsid w:val="00843386"/>
    <w:rsid w:val="00850F53"/>
    <w:rsid w:val="00860EA7"/>
    <w:rsid w:val="008748C7"/>
    <w:rsid w:val="0087521A"/>
    <w:rsid w:val="0087527E"/>
    <w:rsid w:val="00883AF3"/>
    <w:rsid w:val="00890D6D"/>
    <w:rsid w:val="00892BE7"/>
    <w:rsid w:val="008962E7"/>
    <w:rsid w:val="008A619E"/>
    <w:rsid w:val="008A7FD1"/>
    <w:rsid w:val="008B211E"/>
    <w:rsid w:val="008B38CD"/>
    <w:rsid w:val="008B7381"/>
    <w:rsid w:val="008D6C0F"/>
    <w:rsid w:val="008E2E0E"/>
    <w:rsid w:val="00905AF4"/>
    <w:rsid w:val="009079E8"/>
    <w:rsid w:val="00910F95"/>
    <w:rsid w:val="009135B8"/>
    <w:rsid w:val="00916BC6"/>
    <w:rsid w:val="00916E9A"/>
    <w:rsid w:val="00917AC0"/>
    <w:rsid w:val="0092684A"/>
    <w:rsid w:val="00927140"/>
    <w:rsid w:val="009313E5"/>
    <w:rsid w:val="00937C81"/>
    <w:rsid w:val="00944BF1"/>
    <w:rsid w:val="00951C1D"/>
    <w:rsid w:val="00952C99"/>
    <w:rsid w:val="009602CF"/>
    <w:rsid w:val="009712EF"/>
    <w:rsid w:val="009739D1"/>
    <w:rsid w:val="00976070"/>
    <w:rsid w:val="009824F2"/>
    <w:rsid w:val="009877E9"/>
    <w:rsid w:val="00993B24"/>
    <w:rsid w:val="0099460A"/>
    <w:rsid w:val="0099611F"/>
    <w:rsid w:val="009A28FD"/>
    <w:rsid w:val="009A5048"/>
    <w:rsid w:val="009A7530"/>
    <w:rsid w:val="009B2604"/>
    <w:rsid w:val="009C7DC6"/>
    <w:rsid w:val="009D68FA"/>
    <w:rsid w:val="009E4FC2"/>
    <w:rsid w:val="009F23AC"/>
    <w:rsid w:val="009F57A6"/>
    <w:rsid w:val="009F753B"/>
    <w:rsid w:val="00A02C41"/>
    <w:rsid w:val="00A02EF2"/>
    <w:rsid w:val="00A03142"/>
    <w:rsid w:val="00A04D5E"/>
    <w:rsid w:val="00A14C16"/>
    <w:rsid w:val="00A15719"/>
    <w:rsid w:val="00A23312"/>
    <w:rsid w:val="00A23330"/>
    <w:rsid w:val="00A40AC7"/>
    <w:rsid w:val="00A435C7"/>
    <w:rsid w:val="00A569E6"/>
    <w:rsid w:val="00A62E24"/>
    <w:rsid w:val="00A72703"/>
    <w:rsid w:val="00A77267"/>
    <w:rsid w:val="00A845F7"/>
    <w:rsid w:val="00A90A5E"/>
    <w:rsid w:val="00A92A2F"/>
    <w:rsid w:val="00A97FAE"/>
    <w:rsid w:val="00AA00E4"/>
    <w:rsid w:val="00AA0467"/>
    <w:rsid w:val="00AA078F"/>
    <w:rsid w:val="00AA1D3E"/>
    <w:rsid w:val="00AA25EE"/>
    <w:rsid w:val="00AB2465"/>
    <w:rsid w:val="00AB5C9B"/>
    <w:rsid w:val="00AC0449"/>
    <w:rsid w:val="00AC6F45"/>
    <w:rsid w:val="00AD2497"/>
    <w:rsid w:val="00AD3722"/>
    <w:rsid w:val="00AD76A3"/>
    <w:rsid w:val="00AE5528"/>
    <w:rsid w:val="00AF2979"/>
    <w:rsid w:val="00B0375C"/>
    <w:rsid w:val="00B156C3"/>
    <w:rsid w:val="00B20115"/>
    <w:rsid w:val="00B224C5"/>
    <w:rsid w:val="00B3622E"/>
    <w:rsid w:val="00B43DA8"/>
    <w:rsid w:val="00B44E66"/>
    <w:rsid w:val="00B46DC3"/>
    <w:rsid w:val="00B5468B"/>
    <w:rsid w:val="00B63C4A"/>
    <w:rsid w:val="00B7000C"/>
    <w:rsid w:val="00B72DBD"/>
    <w:rsid w:val="00B74E1B"/>
    <w:rsid w:val="00B7765E"/>
    <w:rsid w:val="00B86036"/>
    <w:rsid w:val="00BA5C6D"/>
    <w:rsid w:val="00BA6E22"/>
    <w:rsid w:val="00BB451C"/>
    <w:rsid w:val="00BB5C6D"/>
    <w:rsid w:val="00BC3CFE"/>
    <w:rsid w:val="00BD7C1A"/>
    <w:rsid w:val="00BE3525"/>
    <w:rsid w:val="00BE63F5"/>
    <w:rsid w:val="00BF4354"/>
    <w:rsid w:val="00C009B7"/>
    <w:rsid w:val="00C00C22"/>
    <w:rsid w:val="00C11D07"/>
    <w:rsid w:val="00C225E6"/>
    <w:rsid w:val="00C24FF3"/>
    <w:rsid w:val="00C32020"/>
    <w:rsid w:val="00C3408C"/>
    <w:rsid w:val="00C43CDF"/>
    <w:rsid w:val="00C44E92"/>
    <w:rsid w:val="00C512B2"/>
    <w:rsid w:val="00C74B6F"/>
    <w:rsid w:val="00C7701B"/>
    <w:rsid w:val="00C8024A"/>
    <w:rsid w:val="00C9241B"/>
    <w:rsid w:val="00C97569"/>
    <w:rsid w:val="00CA760B"/>
    <w:rsid w:val="00CB325B"/>
    <w:rsid w:val="00CC6C3F"/>
    <w:rsid w:val="00CD0F93"/>
    <w:rsid w:val="00CD185B"/>
    <w:rsid w:val="00CD6F23"/>
    <w:rsid w:val="00CF7EA3"/>
    <w:rsid w:val="00D0144F"/>
    <w:rsid w:val="00D027AF"/>
    <w:rsid w:val="00D054E5"/>
    <w:rsid w:val="00D07D49"/>
    <w:rsid w:val="00D10DB0"/>
    <w:rsid w:val="00D17D57"/>
    <w:rsid w:val="00D24BD3"/>
    <w:rsid w:val="00D31042"/>
    <w:rsid w:val="00D3672F"/>
    <w:rsid w:val="00D440FA"/>
    <w:rsid w:val="00D46E73"/>
    <w:rsid w:val="00D511DF"/>
    <w:rsid w:val="00D63951"/>
    <w:rsid w:val="00D75C48"/>
    <w:rsid w:val="00D86570"/>
    <w:rsid w:val="00D86F2C"/>
    <w:rsid w:val="00DA4FF2"/>
    <w:rsid w:val="00DB0D67"/>
    <w:rsid w:val="00DD3A14"/>
    <w:rsid w:val="00DE38C3"/>
    <w:rsid w:val="00DE5E42"/>
    <w:rsid w:val="00DE7412"/>
    <w:rsid w:val="00DF660F"/>
    <w:rsid w:val="00DF7D3D"/>
    <w:rsid w:val="00E02C16"/>
    <w:rsid w:val="00E05651"/>
    <w:rsid w:val="00E13AEC"/>
    <w:rsid w:val="00E20425"/>
    <w:rsid w:val="00E51C18"/>
    <w:rsid w:val="00E65C0E"/>
    <w:rsid w:val="00E746F0"/>
    <w:rsid w:val="00E762AF"/>
    <w:rsid w:val="00E87589"/>
    <w:rsid w:val="00E938FF"/>
    <w:rsid w:val="00EA33AA"/>
    <w:rsid w:val="00EA5017"/>
    <w:rsid w:val="00EB14F0"/>
    <w:rsid w:val="00EB3844"/>
    <w:rsid w:val="00EB53F2"/>
    <w:rsid w:val="00EC0A6F"/>
    <w:rsid w:val="00EC3054"/>
    <w:rsid w:val="00EC767E"/>
    <w:rsid w:val="00ED1D1B"/>
    <w:rsid w:val="00ED2D34"/>
    <w:rsid w:val="00ED6C51"/>
    <w:rsid w:val="00EF16D9"/>
    <w:rsid w:val="00EF3409"/>
    <w:rsid w:val="00EF4546"/>
    <w:rsid w:val="00F02237"/>
    <w:rsid w:val="00F031CE"/>
    <w:rsid w:val="00F06384"/>
    <w:rsid w:val="00F13DCD"/>
    <w:rsid w:val="00F21987"/>
    <w:rsid w:val="00F315F0"/>
    <w:rsid w:val="00F348B2"/>
    <w:rsid w:val="00F34BF0"/>
    <w:rsid w:val="00F52CEA"/>
    <w:rsid w:val="00F54044"/>
    <w:rsid w:val="00F572DE"/>
    <w:rsid w:val="00F707E7"/>
    <w:rsid w:val="00F8245F"/>
    <w:rsid w:val="00F83855"/>
    <w:rsid w:val="00F85A8C"/>
    <w:rsid w:val="00F91E2A"/>
    <w:rsid w:val="00FA1D78"/>
    <w:rsid w:val="00FA1F7E"/>
    <w:rsid w:val="00FA556E"/>
    <w:rsid w:val="00FC5F9D"/>
    <w:rsid w:val="00FD6206"/>
    <w:rsid w:val="00FD7044"/>
    <w:rsid w:val="00FD7742"/>
    <w:rsid w:val="00FF32C3"/>
    <w:rsid w:val="00FF6AA3"/>
    <w:rsid w:val="00FF720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6C3F"/>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rsid w:val="00CC6C3F"/>
  </w:style>
  <w:style w:type="paragraph" w:customStyle="1" w:styleId="zSoquijdatCabinetProcureurDef">
    <w:name w:val="zSoquij_datCabinetProcureurDef"/>
    <w:basedOn w:val="Normal"/>
    <w:rsid w:val="00CC6C3F"/>
  </w:style>
  <w:style w:type="paragraph" w:customStyle="1" w:styleId="zSoquijdatCabinetProcureurDem">
    <w:name w:val="zSoquij_datCabinetProcureurDem"/>
    <w:basedOn w:val="Normal"/>
    <w:rsid w:val="00CC6C3F"/>
  </w:style>
  <w:style w:type="paragraph" w:customStyle="1" w:styleId="zSoquijdatDateJugement">
    <w:name w:val="zSoquij_datDateJugement"/>
    <w:basedOn w:val="Normal"/>
    <w:rsid w:val="00CC6C3F"/>
  </w:style>
  <w:style w:type="paragraph" w:customStyle="1" w:styleId="zSoquijdatGreffe">
    <w:name w:val="zSoquij_datGreffe"/>
    <w:basedOn w:val="Normal"/>
    <w:rsid w:val="00CC6C3F"/>
  </w:style>
  <w:style w:type="paragraph" w:customStyle="1" w:styleId="zSoquijdatJuge">
    <w:name w:val="zSoquij_datJuge"/>
    <w:basedOn w:val="Normal"/>
    <w:rsid w:val="00CC6C3F"/>
  </w:style>
  <w:style w:type="paragraph" w:customStyle="1" w:styleId="zSoquijdatMembreE">
    <w:name w:val="zSoquij_datMembreE"/>
    <w:basedOn w:val="Normal"/>
    <w:rsid w:val="00CC6C3F"/>
  </w:style>
  <w:style w:type="paragraph" w:customStyle="1" w:styleId="zSoquijdatMembreS">
    <w:name w:val="zSoquij_datMembreS"/>
    <w:basedOn w:val="Normal"/>
    <w:rsid w:val="00CC6C3F"/>
  </w:style>
  <w:style w:type="paragraph" w:customStyle="1" w:styleId="articlesdelaLSST">
    <w:name w:val="articles de la LSST"/>
    <w:basedOn w:val="Normal"/>
    <w:rsid w:val="00CC6C3F"/>
    <w:pPr>
      <w:ind w:left="720" w:right="720"/>
      <w:jc w:val="both"/>
    </w:pPr>
    <w:rPr>
      <w:sz w:val="20"/>
    </w:rPr>
  </w:style>
  <w:style w:type="paragraph" w:customStyle="1" w:styleId="zSoquijdatNCSST">
    <w:name w:val="zSoquij_datNCSST"/>
    <w:basedOn w:val="Normal"/>
    <w:rsid w:val="00CC6C3F"/>
  </w:style>
  <w:style w:type="paragraph" w:customStyle="1" w:styleId="zSoquijdatNoDossier">
    <w:name w:val="zSoquij_datNoDossier"/>
    <w:basedOn w:val="Normal"/>
    <w:rsid w:val="00CC6C3F"/>
  </w:style>
  <w:style w:type="paragraph" w:customStyle="1" w:styleId="zSoquijdatNomPartieDef">
    <w:name w:val="zSoquij_datNomPartieDef"/>
    <w:basedOn w:val="Normal"/>
    <w:rsid w:val="00CC6C3F"/>
  </w:style>
  <w:style w:type="paragraph" w:customStyle="1" w:styleId="zSoquijdatNomPartieDem">
    <w:name w:val="zSoquij_datNomPartieDem"/>
    <w:basedOn w:val="Normal"/>
    <w:rsid w:val="00CC6C3F"/>
  </w:style>
  <w:style w:type="paragraph" w:customStyle="1" w:styleId="zSoquijdatNomPartieInt">
    <w:name w:val="zSoquij_datNomPartieInt"/>
    <w:basedOn w:val="Normal"/>
    <w:rsid w:val="00CC6C3F"/>
  </w:style>
  <w:style w:type="paragraph" w:customStyle="1" w:styleId="zSoquijdatNomProcureurDef">
    <w:name w:val="zSoquij_datNomProcureurDef"/>
    <w:basedOn w:val="Normal"/>
    <w:rsid w:val="00CC6C3F"/>
  </w:style>
  <w:style w:type="paragraph" w:customStyle="1" w:styleId="zSoquijdatNomProcureurDem">
    <w:name w:val="zSoquij_datNomProcureurDem"/>
    <w:basedOn w:val="Normal"/>
    <w:rsid w:val="00CC6C3F"/>
  </w:style>
  <w:style w:type="paragraph" w:customStyle="1" w:styleId="zSoquijdatQtePartieDef">
    <w:name w:val="zSoquij_datQtePartieDef"/>
    <w:basedOn w:val="Normal"/>
    <w:rsid w:val="00CC6C3F"/>
  </w:style>
  <w:style w:type="paragraph" w:customStyle="1" w:styleId="zSoquijdatQtePartieDem">
    <w:name w:val="zSoquij_datQtePartieDem"/>
    <w:basedOn w:val="Normal"/>
    <w:rsid w:val="00CC6C3F"/>
  </w:style>
  <w:style w:type="paragraph" w:customStyle="1" w:styleId="zSoquijdatQtePartieInt">
    <w:name w:val="zSoquij_datQtePartieInt"/>
    <w:basedOn w:val="Normal"/>
    <w:rsid w:val="00CC6C3F"/>
  </w:style>
  <w:style w:type="paragraph" w:customStyle="1" w:styleId="zSoquijlblProcureurDef">
    <w:name w:val="zSoquij_lblProcureurDef"/>
    <w:basedOn w:val="Normal"/>
    <w:rsid w:val="00CC6C3F"/>
  </w:style>
  <w:style w:type="paragraph" w:customStyle="1" w:styleId="zSoquijlblProcureurDem">
    <w:name w:val="zSoquij_lblProcureurDem"/>
    <w:basedOn w:val="Normal"/>
    <w:rsid w:val="00CC6C3F"/>
  </w:style>
  <w:style w:type="character" w:styleId="Appelnotedebasdep">
    <w:name w:val="footnote reference"/>
    <w:uiPriority w:val="99"/>
    <w:semiHidden/>
    <w:rsid w:val="00CC6C3F"/>
    <w:rPr>
      <w:rFonts w:ascii="Arial" w:hAnsi="Arial"/>
      <w:vertAlign w:val="superscript"/>
    </w:rPr>
  </w:style>
  <w:style w:type="paragraph" w:customStyle="1" w:styleId="citation">
    <w:name w:val="citation"/>
    <w:basedOn w:val="Normal"/>
    <w:rsid w:val="00CC6C3F"/>
    <w:pPr>
      <w:ind w:left="720" w:right="720"/>
      <w:jc w:val="both"/>
    </w:pPr>
    <w:rPr>
      <w:sz w:val="20"/>
    </w:rPr>
  </w:style>
  <w:style w:type="paragraph" w:customStyle="1" w:styleId="corpsdedcision">
    <w:name w:val="corps de décision"/>
    <w:basedOn w:val="Normal"/>
    <w:link w:val="corpsdedcisionCar"/>
    <w:rsid w:val="00CC6C3F"/>
    <w:pPr>
      <w:numPr>
        <w:numId w:val="1"/>
      </w:numPr>
      <w:tabs>
        <w:tab w:val="clear" w:pos="360"/>
        <w:tab w:val="left" w:pos="720"/>
      </w:tabs>
      <w:spacing w:after="360"/>
      <w:jc w:val="both"/>
    </w:pPr>
  </w:style>
  <w:style w:type="paragraph" w:customStyle="1" w:styleId="Dfinitions">
    <w:name w:val="Définitions"/>
    <w:basedOn w:val="citation"/>
    <w:rsid w:val="00CC6C3F"/>
  </w:style>
  <w:style w:type="paragraph" w:customStyle="1" w:styleId="Dispositif">
    <w:name w:val="Dispositif"/>
    <w:basedOn w:val="Normal"/>
    <w:rsid w:val="00CC6C3F"/>
    <w:pPr>
      <w:spacing w:after="360"/>
      <w:jc w:val="both"/>
    </w:pPr>
  </w:style>
  <w:style w:type="paragraph" w:styleId="Notedebasdepage">
    <w:name w:val="footnote text"/>
    <w:aliases w:val="Note de bas de page art 65"/>
    <w:basedOn w:val="Normal"/>
    <w:link w:val="NotedebasdepageCar"/>
    <w:uiPriority w:val="99"/>
    <w:semiHidden/>
    <w:rsid w:val="00CC6C3F"/>
  </w:style>
  <w:style w:type="paragraph" w:styleId="En-tte">
    <w:name w:val="header"/>
    <w:basedOn w:val="Normal"/>
    <w:rsid w:val="00CC6C3F"/>
    <w:pPr>
      <w:tabs>
        <w:tab w:val="center" w:pos="4320"/>
        <w:tab w:val="right" w:pos="8640"/>
      </w:tabs>
    </w:pPr>
  </w:style>
  <w:style w:type="character" w:styleId="Numrodepage">
    <w:name w:val="page number"/>
    <w:rsid w:val="00CC6C3F"/>
    <w:rPr>
      <w:rFonts w:ascii="Arial" w:hAnsi="Arial"/>
      <w:sz w:val="24"/>
    </w:rPr>
  </w:style>
  <w:style w:type="paragraph" w:styleId="Pieddepage">
    <w:name w:val="footer"/>
    <w:basedOn w:val="Normal"/>
    <w:rsid w:val="00CC6C3F"/>
    <w:pPr>
      <w:tabs>
        <w:tab w:val="center" w:pos="4320"/>
        <w:tab w:val="right" w:pos="8640"/>
      </w:tabs>
    </w:pPr>
  </w:style>
  <w:style w:type="paragraph" w:customStyle="1" w:styleId="zSoquijlblProcureurInt">
    <w:name w:val="zSoquij_lblProcureurInt"/>
    <w:basedOn w:val="Normal"/>
    <w:rsid w:val="00CC6C3F"/>
  </w:style>
  <w:style w:type="paragraph" w:customStyle="1" w:styleId="articlesdelaLATMP">
    <w:name w:val="articles de la LATMP"/>
    <w:basedOn w:val="Normal"/>
    <w:rsid w:val="00CC6C3F"/>
    <w:pPr>
      <w:ind w:left="720" w:right="720"/>
      <w:jc w:val="both"/>
    </w:pPr>
    <w:rPr>
      <w:sz w:val="20"/>
    </w:rPr>
  </w:style>
  <w:style w:type="paragraph" w:customStyle="1" w:styleId="Annexes">
    <w:name w:val="Annexes"/>
    <w:basedOn w:val="citation"/>
    <w:rsid w:val="00CC6C3F"/>
  </w:style>
  <w:style w:type="paragraph" w:customStyle="1" w:styleId="zSoquijdatNomProcureurInt">
    <w:name w:val="zSoquij_datNomProcureurInt"/>
    <w:basedOn w:val="Normal"/>
    <w:rsid w:val="00CC6C3F"/>
  </w:style>
  <w:style w:type="paragraph" w:customStyle="1" w:styleId="zSoquijdatCabinetProcureurInt">
    <w:name w:val="zSoquij_datCabinetProcureurInt"/>
    <w:basedOn w:val="Normal"/>
    <w:rsid w:val="00CC6C3F"/>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character" w:customStyle="1" w:styleId="NotedebasdepageCar">
    <w:name w:val="Note de bas de page Car"/>
    <w:aliases w:val="Note de bas de page art 65 Car"/>
    <w:link w:val="Notedebasdepage"/>
    <w:uiPriority w:val="99"/>
    <w:semiHidden/>
    <w:rsid w:val="00030C70"/>
    <w:rPr>
      <w:rFonts w:ascii="Arial" w:hAnsi="Arial"/>
      <w:sz w:val="24"/>
    </w:rPr>
  </w:style>
  <w:style w:type="paragraph" w:customStyle="1" w:styleId="articlesdelaLATMPnouveaux">
    <w:name w:val="articles de la LATMP (nouveaux)"/>
    <w:basedOn w:val="Normal"/>
    <w:rsid w:val="00FD7044"/>
    <w:pPr>
      <w:ind w:left="720" w:right="720"/>
      <w:jc w:val="both"/>
    </w:pPr>
    <w:rPr>
      <w:sz w:val="20"/>
    </w:rPr>
  </w:style>
  <w:style w:type="character" w:customStyle="1" w:styleId="corpsdedcisionCar">
    <w:name w:val="corps de décision Car"/>
    <w:link w:val="corpsdedcision"/>
    <w:locked/>
    <w:rsid w:val="00DE7412"/>
    <w:rPr>
      <w:rFonts w:ascii="Arial" w:hAnsi="Arial"/>
      <w:sz w:val="24"/>
    </w:rPr>
  </w:style>
  <w:style w:type="paragraph" w:styleId="Textedebulles">
    <w:name w:val="Balloon Text"/>
    <w:basedOn w:val="Normal"/>
    <w:link w:val="TextedebullesCar"/>
    <w:rsid w:val="00C44E92"/>
    <w:rPr>
      <w:rFonts w:ascii="Segoe UI" w:hAnsi="Segoe UI" w:cs="Segoe UI"/>
      <w:sz w:val="18"/>
      <w:szCs w:val="18"/>
    </w:rPr>
  </w:style>
  <w:style w:type="character" w:customStyle="1" w:styleId="TextedebullesCar">
    <w:name w:val="Texte de bulles Car"/>
    <w:link w:val="Textedebulles"/>
    <w:rsid w:val="00C44E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5037</Words>
  <Characters>27705</Characters>
  <Application>Microsoft Office Word</Application>
  <DocSecurity>0</DocSecurity>
  <Lines>230</Lines>
  <Paragraphs>65</Paragraphs>
  <ScaleCrop>false</ScaleCrop>
  <Company/>
  <LinksUpToDate>false</LinksUpToDate>
  <CharactersWithSpaces>32677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2015-07-15T13:10:00Z</dcterms:created>
  <dcterms:modified xsi:type="dcterms:W3CDTF">2015-07-15T13:10:00Z</dcterms:modified>
</cp:coreProperties>
</file>