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671199B8" w14:textId="77777777">
        <w:trPr>
          <w:cantSplit/>
        </w:trPr>
        <w:tc>
          <w:tcPr>
            <w:tcW w:w="4795" w:type="dxa"/>
          </w:tcPr>
          <w:p w14:paraId="52D96133" w14:textId="11B6F268" w:rsidR="008A7FD1" w:rsidRPr="00CE67DB" w:rsidRDefault="00CE67DB" w:rsidP="00CE67DB">
            <w:pPr>
              <w:pStyle w:val="zSoquijdatRepertorie"/>
              <w:rPr>
                <w:rFonts w:cs="Arial"/>
              </w:rPr>
            </w:pPr>
            <w:bookmarkStart w:id="0" w:name="_GoBack"/>
            <w:bookmarkEnd w:id="0"/>
            <w:r>
              <w:rPr>
                <w:rFonts w:cs="Arial"/>
              </w:rPr>
              <w:t>Catrinescu et Université McGill</w:t>
            </w:r>
          </w:p>
        </w:tc>
        <w:tc>
          <w:tcPr>
            <w:tcW w:w="2477" w:type="dxa"/>
          </w:tcPr>
          <w:p w14:paraId="7872CC39" w14:textId="787A11A0" w:rsidR="008A7FD1" w:rsidRPr="00DF7EE0" w:rsidRDefault="00DF7EE0" w:rsidP="00DF7EE0">
            <w:pPr>
              <w:pStyle w:val="zSoquijdatRefNeutre"/>
              <w:rPr>
                <w:rFonts w:cs="Arial"/>
              </w:rPr>
            </w:pPr>
            <w:r w:rsidRPr="00DF7EE0">
              <w:rPr>
                <w:rFonts w:cs="Arial"/>
              </w:rPr>
              <w:t>2023 QCTAT 2884</w:t>
            </w:r>
          </w:p>
        </w:tc>
      </w:tr>
    </w:tbl>
    <w:p w14:paraId="29432128"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4BC5CC5B" w14:textId="77777777" w:rsidTr="002A374B">
        <w:trPr>
          <w:cantSplit/>
        </w:trPr>
        <w:tc>
          <w:tcPr>
            <w:tcW w:w="9568" w:type="dxa"/>
            <w:gridSpan w:val="4"/>
          </w:tcPr>
          <w:p w14:paraId="0F5BB1EF" w14:textId="77777777" w:rsidR="00C74B6F" w:rsidRPr="00BE1981" w:rsidRDefault="00C74B6F">
            <w:pPr>
              <w:rPr>
                <w:szCs w:val="24"/>
              </w:rPr>
            </w:pPr>
          </w:p>
        </w:tc>
      </w:tr>
      <w:tr w:rsidR="00C74B6F" w14:paraId="1AF76E8D" w14:textId="77777777" w:rsidTr="002A374B">
        <w:trPr>
          <w:cantSplit/>
        </w:trPr>
        <w:tc>
          <w:tcPr>
            <w:tcW w:w="9568" w:type="dxa"/>
            <w:gridSpan w:val="4"/>
            <w:vAlign w:val="center"/>
          </w:tcPr>
          <w:p w14:paraId="7E3D912D" w14:textId="77777777" w:rsidR="00C74B6F" w:rsidRPr="000E1320" w:rsidRDefault="000E1320">
            <w:pPr>
              <w:jc w:val="center"/>
              <w:rPr>
                <w:sz w:val="36"/>
                <w:szCs w:val="36"/>
              </w:rPr>
            </w:pPr>
            <w:r w:rsidRPr="000E1320">
              <w:rPr>
                <w:b/>
                <w:sz w:val="36"/>
                <w:szCs w:val="36"/>
              </w:rPr>
              <w:t>TRIBUNAL ADMINISTRATIF DU TRAVAIL</w:t>
            </w:r>
          </w:p>
        </w:tc>
      </w:tr>
      <w:tr w:rsidR="00C74B6F" w14:paraId="66B58313" w14:textId="77777777" w:rsidTr="002A374B">
        <w:trPr>
          <w:cantSplit/>
        </w:trPr>
        <w:tc>
          <w:tcPr>
            <w:tcW w:w="9568" w:type="dxa"/>
            <w:gridSpan w:val="4"/>
          </w:tcPr>
          <w:p w14:paraId="2158CCCC" w14:textId="77777777" w:rsidR="00C74B6F" w:rsidRPr="00BE7014" w:rsidRDefault="006F0154" w:rsidP="009A67E7">
            <w:pPr>
              <w:pStyle w:val="zSoquijdatDivision"/>
            </w:pPr>
            <w:r w:rsidRPr="00BE7014">
              <w:t>(</w:t>
            </w:r>
            <w:r w:rsidR="00D415B7" w:rsidRPr="00441ADA">
              <w:t>Division de la santé et de la sécurité du travail</w:t>
            </w:r>
            <w:r w:rsidRPr="00BE7014">
              <w:t>)</w:t>
            </w:r>
          </w:p>
        </w:tc>
      </w:tr>
      <w:tr w:rsidR="00C74B6F" w14:paraId="2D26CEC6" w14:textId="77777777" w:rsidTr="002A374B">
        <w:trPr>
          <w:cantSplit/>
        </w:trPr>
        <w:tc>
          <w:tcPr>
            <w:tcW w:w="9568" w:type="dxa"/>
            <w:gridSpan w:val="4"/>
          </w:tcPr>
          <w:p w14:paraId="5C726F5B" w14:textId="77777777" w:rsidR="002B2FC3" w:rsidRDefault="002B2FC3" w:rsidP="002B2FC3"/>
        </w:tc>
      </w:tr>
      <w:tr w:rsidR="00A84FC6" w14:paraId="1544621A" w14:textId="77777777" w:rsidTr="002A374B">
        <w:trPr>
          <w:cantSplit/>
        </w:trPr>
        <w:tc>
          <w:tcPr>
            <w:tcW w:w="9568" w:type="dxa"/>
            <w:gridSpan w:val="4"/>
          </w:tcPr>
          <w:p w14:paraId="44D75E2B" w14:textId="77777777" w:rsidR="00A84FC6" w:rsidRDefault="00A84FC6" w:rsidP="002B2FC3"/>
        </w:tc>
      </w:tr>
      <w:tr w:rsidR="00C74B6F" w14:paraId="214D6957" w14:textId="77777777" w:rsidTr="005E654C">
        <w:tc>
          <w:tcPr>
            <w:tcW w:w="3614" w:type="dxa"/>
          </w:tcPr>
          <w:p w14:paraId="7B74480C" w14:textId="77777777" w:rsidR="00C74B6F" w:rsidRDefault="0084255F">
            <w:bookmarkStart w:id="1" w:name="region" w:colFirst="1" w:colLast="1"/>
            <w:r>
              <w:t>Région :</w:t>
            </w:r>
          </w:p>
        </w:tc>
        <w:tc>
          <w:tcPr>
            <w:tcW w:w="5954" w:type="dxa"/>
            <w:gridSpan w:val="3"/>
          </w:tcPr>
          <w:p w14:paraId="36FCF4F0" w14:textId="77777777" w:rsidR="00C74B6F" w:rsidRDefault="0025632B" w:rsidP="00F4095A">
            <w:pPr>
              <w:pStyle w:val="zSoquijdatGreffe"/>
            </w:pPr>
            <w:r>
              <w:t>Montérégie</w:t>
            </w:r>
          </w:p>
        </w:tc>
      </w:tr>
      <w:bookmarkEnd w:id="1"/>
      <w:tr w:rsidR="00C74B6F" w14:paraId="6B5C136D" w14:textId="77777777" w:rsidTr="002A374B">
        <w:trPr>
          <w:cantSplit/>
        </w:trPr>
        <w:tc>
          <w:tcPr>
            <w:tcW w:w="9568" w:type="dxa"/>
            <w:gridSpan w:val="4"/>
          </w:tcPr>
          <w:p w14:paraId="31CEF364" w14:textId="77777777" w:rsidR="00C74B6F" w:rsidRDefault="00C74B6F"/>
        </w:tc>
      </w:tr>
      <w:tr w:rsidR="00C74B6F" w14:paraId="4773AB15" w14:textId="77777777" w:rsidTr="005E654C">
        <w:tc>
          <w:tcPr>
            <w:tcW w:w="3614" w:type="dxa"/>
          </w:tcPr>
          <w:p w14:paraId="46621D1B" w14:textId="77777777" w:rsidR="00C74B6F" w:rsidRDefault="0084255F">
            <w:bookmarkStart w:id="2" w:name="ref_dossier" w:colFirst="1" w:colLast="1"/>
            <w:r>
              <w:t>Dossier</w:t>
            </w:r>
            <w:bookmarkStart w:id="3" w:name="dossiers"/>
            <w:bookmarkEnd w:id="3"/>
            <w:r>
              <w:t> :</w:t>
            </w:r>
          </w:p>
        </w:tc>
        <w:tc>
          <w:tcPr>
            <w:tcW w:w="5954" w:type="dxa"/>
            <w:gridSpan w:val="3"/>
          </w:tcPr>
          <w:p w14:paraId="3D036CDA" w14:textId="77777777" w:rsidR="00C74B6F" w:rsidRDefault="0025632B" w:rsidP="00F4095A">
            <w:pPr>
              <w:pStyle w:val="zSoquijdatNoDossier"/>
            </w:pPr>
            <w:r>
              <w:t>1249227-62-2110</w:t>
            </w:r>
          </w:p>
        </w:tc>
      </w:tr>
      <w:bookmarkEnd w:id="2"/>
      <w:tr w:rsidR="00C74B6F" w14:paraId="615A8FF9" w14:textId="77777777" w:rsidTr="002A374B">
        <w:trPr>
          <w:cantSplit/>
        </w:trPr>
        <w:tc>
          <w:tcPr>
            <w:tcW w:w="9568" w:type="dxa"/>
            <w:gridSpan w:val="4"/>
          </w:tcPr>
          <w:p w14:paraId="3B770DD6" w14:textId="77777777" w:rsidR="00C74B6F" w:rsidRDefault="00D44BCF">
            <w:r>
              <w:fldChar w:fldCharType="begin"/>
            </w:r>
            <w:r>
              <w:instrText xml:space="preserve"> AUTOTEXTLIST  \* Upper  \* MERGEFORMAT </w:instrText>
            </w:r>
            <w:r>
              <w:fldChar w:fldCharType="end"/>
            </w:r>
          </w:p>
        </w:tc>
      </w:tr>
      <w:tr w:rsidR="00C74B6F" w14:paraId="255BB2C0" w14:textId="77777777" w:rsidTr="005E654C">
        <w:tc>
          <w:tcPr>
            <w:tcW w:w="3614" w:type="dxa"/>
          </w:tcPr>
          <w:p w14:paraId="6A523D5D" w14:textId="77777777" w:rsidR="00C74B6F" w:rsidRDefault="008C79A7" w:rsidP="00456727">
            <w:pPr>
              <w:ind w:right="46"/>
            </w:pPr>
            <w:r>
              <w:t xml:space="preserve">Dossier </w:t>
            </w:r>
            <w:r w:rsidR="00456727">
              <w:rPr>
                <w:szCs w:val="24"/>
              </w:rPr>
              <w:t>CNESST</w:t>
            </w:r>
            <w:r w:rsidRPr="008C79A7">
              <w:rPr>
                <w:szCs w:val="24"/>
              </w:rPr>
              <w:t xml:space="preserve"> :</w:t>
            </w:r>
          </w:p>
        </w:tc>
        <w:tc>
          <w:tcPr>
            <w:tcW w:w="5954" w:type="dxa"/>
            <w:gridSpan w:val="3"/>
          </w:tcPr>
          <w:p w14:paraId="700906ED" w14:textId="77777777" w:rsidR="00C74B6F" w:rsidRDefault="0025632B" w:rsidP="004D6CEA">
            <w:pPr>
              <w:pStyle w:val="zSoquijdatNCSST"/>
            </w:pPr>
            <w:r>
              <w:t>504179433</w:t>
            </w:r>
          </w:p>
        </w:tc>
      </w:tr>
      <w:tr w:rsidR="00D14658" w14:paraId="47CB2A36" w14:textId="77777777" w:rsidTr="005E654C">
        <w:tc>
          <w:tcPr>
            <w:tcW w:w="3614" w:type="dxa"/>
          </w:tcPr>
          <w:p w14:paraId="49E544F1" w14:textId="77777777" w:rsidR="00D14658" w:rsidRDefault="00D14658" w:rsidP="00456727">
            <w:pPr>
              <w:ind w:right="46"/>
            </w:pPr>
          </w:p>
        </w:tc>
        <w:tc>
          <w:tcPr>
            <w:tcW w:w="5954" w:type="dxa"/>
            <w:gridSpan w:val="3"/>
          </w:tcPr>
          <w:p w14:paraId="7B92BF8B" w14:textId="77777777" w:rsidR="00D14658" w:rsidRDefault="00D14658" w:rsidP="004D6CEA">
            <w:pPr>
              <w:pStyle w:val="zSoquijdatNCSST"/>
            </w:pPr>
          </w:p>
        </w:tc>
      </w:tr>
      <w:tr w:rsidR="00C74B6F" w14:paraId="408FDAF8" w14:textId="77777777" w:rsidTr="002A374B">
        <w:trPr>
          <w:cantSplit/>
        </w:trPr>
        <w:tc>
          <w:tcPr>
            <w:tcW w:w="9568" w:type="dxa"/>
            <w:gridSpan w:val="4"/>
          </w:tcPr>
          <w:p w14:paraId="581F370D" w14:textId="77777777" w:rsidR="00C74B6F" w:rsidRDefault="00C74B6F"/>
        </w:tc>
      </w:tr>
      <w:tr w:rsidR="006E3DD8" w14:paraId="7EC9C5ED" w14:textId="77777777" w:rsidTr="005E654C">
        <w:trPr>
          <w:cantSplit/>
        </w:trPr>
        <w:tc>
          <w:tcPr>
            <w:tcW w:w="3614" w:type="dxa"/>
          </w:tcPr>
          <w:p w14:paraId="69D02F7D" w14:textId="77777777" w:rsidR="006E3DD8" w:rsidRPr="00B67FD5" w:rsidRDefault="004E3FDF" w:rsidP="004E3FDF">
            <w:pPr>
              <w:tabs>
                <w:tab w:val="left" w:pos="2672"/>
              </w:tabs>
            </w:pPr>
            <w:r w:rsidRPr="00B67FD5">
              <w:t>Longueuil</w:t>
            </w:r>
            <w:r w:rsidR="00C04E32" w:rsidRPr="00B67FD5">
              <w:t>,</w:t>
            </w:r>
          </w:p>
        </w:tc>
        <w:tc>
          <w:tcPr>
            <w:tcW w:w="5954" w:type="dxa"/>
            <w:gridSpan w:val="3"/>
          </w:tcPr>
          <w:p w14:paraId="72BAAE9E" w14:textId="77777777" w:rsidR="006E3DD8" w:rsidRPr="00B67FD5" w:rsidRDefault="00C04E32" w:rsidP="002F5F78">
            <w:pPr>
              <w:pStyle w:val="zSoquijdatDateJugement"/>
            </w:pPr>
            <w:r w:rsidRPr="00B67FD5">
              <w:t xml:space="preserve">le </w:t>
            </w:r>
            <w:r w:rsidR="007E1469" w:rsidRPr="00B67FD5">
              <w:t>2</w:t>
            </w:r>
            <w:r w:rsidR="00B90122" w:rsidRPr="00B67FD5">
              <w:t>7</w:t>
            </w:r>
            <w:r w:rsidR="00956FE7" w:rsidRPr="00B67FD5">
              <w:t xml:space="preserve"> juin</w:t>
            </w:r>
            <w:r w:rsidR="004C33A3" w:rsidRPr="00B67FD5">
              <w:t xml:space="preserve"> 202</w:t>
            </w:r>
            <w:r w:rsidR="00994D3B" w:rsidRPr="00B67FD5">
              <w:t>3</w:t>
            </w:r>
          </w:p>
        </w:tc>
      </w:tr>
      <w:tr w:rsidR="00942AB8" w14:paraId="2C5E0608" w14:textId="77777777" w:rsidTr="002A374B">
        <w:trPr>
          <w:cantSplit/>
        </w:trPr>
        <w:tc>
          <w:tcPr>
            <w:tcW w:w="9568" w:type="dxa"/>
            <w:gridSpan w:val="4"/>
          </w:tcPr>
          <w:p w14:paraId="1DBB0FE8" w14:textId="77777777" w:rsidR="00942AB8" w:rsidRDefault="00942AB8" w:rsidP="00FA153F">
            <w:r>
              <w:t>______________________________________________________________________</w:t>
            </w:r>
          </w:p>
        </w:tc>
      </w:tr>
      <w:tr w:rsidR="00942AB8" w14:paraId="3EBFA965" w14:textId="77777777" w:rsidTr="002A374B">
        <w:trPr>
          <w:cantSplit/>
          <w:trHeight w:val="148"/>
        </w:trPr>
        <w:tc>
          <w:tcPr>
            <w:tcW w:w="9568" w:type="dxa"/>
            <w:gridSpan w:val="4"/>
          </w:tcPr>
          <w:p w14:paraId="2E1A3713" w14:textId="77777777" w:rsidR="00942AB8" w:rsidRDefault="00942AB8" w:rsidP="00FA153F"/>
        </w:tc>
      </w:tr>
      <w:tr w:rsidR="0035375B" w14:paraId="2BF7E48D" w14:textId="77777777" w:rsidTr="00A12E55">
        <w:trPr>
          <w:cantSplit/>
          <w:trHeight w:val="148"/>
        </w:trPr>
        <w:tc>
          <w:tcPr>
            <w:tcW w:w="5457" w:type="dxa"/>
            <w:gridSpan w:val="3"/>
          </w:tcPr>
          <w:p w14:paraId="59D26B32" w14:textId="77777777" w:rsidR="0035375B" w:rsidRPr="00942AB8" w:rsidRDefault="0035375B" w:rsidP="00D415B7">
            <w:pPr>
              <w:rPr>
                <w:b/>
                <w:bCs/>
              </w:rPr>
            </w:pPr>
            <w:bookmarkStart w:id="4" w:name="ref_commissaire" w:colFirst="1" w:colLast="1"/>
            <w:r w:rsidRPr="00942AB8">
              <w:rPr>
                <w:b/>
                <w:bCs/>
              </w:rPr>
              <w:t>DEVANT L</w:t>
            </w:r>
            <w:r w:rsidR="00D415B7">
              <w:rPr>
                <w:b/>
                <w:bCs/>
              </w:rPr>
              <w:t>A</w:t>
            </w:r>
            <w:r w:rsidRPr="00942AB8">
              <w:rPr>
                <w:b/>
                <w:bCs/>
              </w:rPr>
              <w:t xml:space="preserve"> JUGE ADMINISTRATI</w:t>
            </w:r>
            <w:r w:rsidR="00D415B7">
              <w:rPr>
                <w:b/>
                <w:bCs/>
              </w:rPr>
              <w:t>VE</w:t>
            </w:r>
            <w:r w:rsidRPr="00942AB8">
              <w:rPr>
                <w:b/>
                <w:bCs/>
              </w:rPr>
              <w:t> :</w:t>
            </w:r>
          </w:p>
        </w:tc>
        <w:tc>
          <w:tcPr>
            <w:tcW w:w="4111" w:type="dxa"/>
          </w:tcPr>
          <w:p w14:paraId="78673F64" w14:textId="77777777" w:rsidR="0035375B" w:rsidRPr="00942AB8" w:rsidRDefault="00D415B7" w:rsidP="005B5689">
            <w:pPr>
              <w:pStyle w:val="zSoquijdatJuge"/>
              <w:rPr>
                <w:bCs/>
              </w:rPr>
            </w:pPr>
            <w:r>
              <w:t>Isabelle St-Jean</w:t>
            </w:r>
          </w:p>
        </w:tc>
      </w:tr>
      <w:bookmarkEnd w:id="4"/>
      <w:tr w:rsidR="00942AB8" w14:paraId="2665ED13" w14:textId="77777777" w:rsidTr="002A374B">
        <w:trPr>
          <w:cantSplit/>
          <w:trHeight w:val="148"/>
        </w:trPr>
        <w:tc>
          <w:tcPr>
            <w:tcW w:w="9568" w:type="dxa"/>
            <w:gridSpan w:val="4"/>
          </w:tcPr>
          <w:p w14:paraId="6007CD90" w14:textId="77777777" w:rsidR="00942AB8" w:rsidRDefault="00942AB8" w:rsidP="00FA153F">
            <w:r>
              <w:t>______________________________________________________________________</w:t>
            </w:r>
          </w:p>
        </w:tc>
      </w:tr>
      <w:tr w:rsidR="00942AB8" w14:paraId="785282DB" w14:textId="77777777" w:rsidTr="002A374B">
        <w:tc>
          <w:tcPr>
            <w:tcW w:w="9568" w:type="dxa"/>
            <w:gridSpan w:val="4"/>
          </w:tcPr>
          <w:p w14:paraId="2F44AAA0" w14:textId="77777777" w:rsidR="00942AB8" w:rsidRDefault="00942AB8"/>
        </w:tc>
      </w:tr>
      <w:tr w:rsidR="00942AB8" w14:paraId="1A871D98" w14:textId="77777777" w:rsidTr="00D40ABA">
        <w:tc>
          <w:tcPr>
            <w:tcW w:w="4748" w:type="dxa"/>
            <w:gridSpan w:val="2"/>
          </w:tcPr>
          <w:p w14:paraId="1072F762" w14:textId="77777777" w:rsidR="00942AB8" w:rsidRDefault="00942AB8">
            <w:bookmarkStart w:id="5" w:name="bloc_parties_gauche"/>
            <w:bookmarkEnd w:id="5"/>
          </w:p>
        </w:tc>
        <w:tc>
          <w:tcPr>
            <w:tcW w:w="4820" w:type="dxa"/>
            <w:gridSpan w:val="2"/>
          </w:tcPr>
          <w:p w14:paraId="25892CC4" w14:textId="77777777" w:rsidR="00942AB8" w:rsidRDefault="00942AB8"/>
        </w:tc>
      </w:tr>
      <w:tr w:rsidR="00942AB8" w14:paraId="3004CD5A" w14:textId="77777777" w:rsidTr="00D40ABA">
        <w:tc>
          <w:tcPr>
            <w:tcW w:w="4748" w:type="dxa"/>
            <w:gridSpan w:val="2"/>
          </w:tcPr>
          <w:p w14:paraId="4C870126" w14:textId="77777777" w:rsidR="00942AB8" w:rsidRDefault="0025632B">
            <w:pPr>
              <w:pStyle w:val="zSoquijdatNomPartieDem"/>
              <w:rPr>
                <w:b/>
              </w:rPr>
            </w:pPr>
            <w:r w:rsidRPr="0025632B">
              <w:rPr>
                <w:b/>
              </w:rPr>
              <w:t>Maria-Magdalena Catrinescu</w:t>
            </w:r>
          </w:p>
        </w:tc>
        <w:tc>
          <w:tcPr>
            <w:tcW w:w="4820" w:type="dxa"/>
            <w:gridSpan w:val="2"/>
          </w:tcPr>
          <w:p w14:paraId="7243D9BB" w14:textId="77777777" w:rsidR="00942AB8" w:rsidRDefault="00942AB8"/>
        </w:tc>
      </w:tr>
      <w:tr w:rsidR="00942AB8" w14:paraId="62BE9FDD" w14:textId="77777777" w:rsidTr="00D40ABA">
        <w:tc>
          <w:tcPr>
            <w:tcW w:w="4748" w:type="dxa"/>
            <w:gridSpan w:val="2"/>
          </w:tcPr>
          <w:p w14:paraId="4346B742" w14:textId="77777777" w:rsidR="00942AB8" w:rsidRDefault="00E0183F" w:rsidP="007B0DF2">
            <w:pPr>
              <w:pStyle w:val="zSoquijdatQtePartieDem"/>
              <w:tabs>
                <w:tab w:val="left" w:pos="3539"/>
              </w:tabs>
              <w:ind w:left="708"/>
            </w:pPr>
            <w:bookmarkStart w:id="6" w:name="partie_demanderesse"/>
            <w:bookmarkEnd w:id="6"/>
            <w:r>
              <w:t>Partie demanderesse</w:t>
            </w:r>
          </w:p>
        </w:tc>
        <w:tc>
          <w:tcPr>
            <w:tcW w:w="4820" w:type="dxa"/>
            <w:gridSpan w:val="2"/>
          </w:tcPr>
          <w:p w14:paraId="0AF13659" w14:textId="77777777" w:rsidR="00942AB8" w:rsidRDefault="00942AB8"/>
        </w:tc>
      </w:tr>
      <w:tr w:rsidR="00942AB8" w14:paraId="5D040526" w14:textId="77777777" w:rsidTr="00D40ABA">
        <w:tc>
          <w:tcPr>
            <w:tcW w:w="4748" w:type="dxa"/>
            <w:gridSpan w:val="2"/>
          </w:tcPr>
          <w:p w14:paraId="4607CF94" w14:textId="77777777" w:rsidR="00942AB8" w:rsidRDefault="00942AB8"/>
        </w:tc>
        <w:tc>
          <w:tcPr>
            <w:tcW w:w="4820" w:type="dxa"/>
            <w:gridSpan w:val="2"/>
          </w:tcPr>
          <w:p w14:paraId="34B348FE" w14:textId="77777777" w:rsidR="00942AB8" w:rsidRDefault="00942AB8"/>
        </w:tc>
      </w:tr>
      <w:tr w:rsidR="00942AB8" w14:paraId="64BD0B16" w14:textId="77777777" w:rsidTr="00D40ABA">
        <w:tc>
          <w:tcPr>
            <w:tcW w:w="4748" w:type="dxa"/>
            <w:gridSpan w:val="2"/>
          </w:tcPr>
          <w:p w14:paraId="7E466A94" w14:textId="77777777" w:rsidR="00942AB8" w:rsidRDefault="00E0183F" w:rsidP="00D06652">
            <w:pPr>
              <w:pStyle w:val="zSoquijlblLienParties"/>
            </w:pPr>
            <w:r>
              <w:t>et</w:t>
            </w:r>
          </w:p>
        </w:tc>
        <w:tc>
          <w:tcPr>
            <w:tcW w:w="4820" w:type="dxa"/>
            <w:gridSpan w:val="2"/>
          </w:tcPr>
          <w:p w14:paraId="6E739F8E" w14:textId="77777777" w:rsidR="00942AB8" w:rsidRDefault="00942AB8"/>
        </w:tc>
      </w:tr>
      <w:tr w:rsidR="00942AB8" w14:paraId="5641EC3F" w14:textId="77777777" w:rsidTr="00D40ABA">
        <w:tc>
          <w:tcPr>
            <w:tcW w:w="4748" w:type="dxa"/>
            <w:gridSpan w:val="2"/>
          </w:tcPr>
          <w:p w14:paraId="435F389D" w14:textId="77777777" w:rsidR="00942AB8" w:rsidRDefault="00942AB8"/>
        </w:tc>
        <w:tc>
          <w:tcPr>
            <w:tcW w:w="4820" w:type="dxa"/>
            <w:gridSpan w:val="2"/>
          </w:tcPr>
          <w:p w14:paraId="370BAEE9" w14:textId="77777777" w:rsidR="00942AB8" w:rsidRDefault="00942AB8"/>
        </w:tc>
      </w:tr>
      <w:tr w:rsidR="00942AB8" w14:paraId="62B8797F" w14:textId="77777777" w:rsidTr="00D40ABA">
        <w:tc>
          <w:tcPr>
            <w:tcW w:w="4748" w:type="dxa"/>
            <w:gridSpan w:val="2"/>
          </w:tcPr>
          <w:p w14:paraId="3A11114B" w14:textId="77777777" w:rsidR="00942AB8" w:rsidRDefault="0025632B">
            <w:pPr>
              <w:pStyle w:val="zSoquijdatNomPartieDef"/>
              <w:rPr>
                <w:b/>
              </w:rPr>
            </w:pPr>
            <w:r w:rsidRPr="0025632B">
              <w:rPr>
                <w:b/>
                <w:lang w:val="en-CA"/>
              </w:rPr>
              <w:t>Université McGill</w:t>
            </w:r>
          </w:p>
        </w:tc>
        <w:tc>
          <w:tcPr>
            <w:tcW w:w="4820" w:type="dxa"/>
            <w:gridSpan w:val="2"/>
          </w:tcPr>
          <w:p w14:paraId="3BD12D02" w14:textId="77777777" w:rsidR="00942AB8" w:rsidRDefault="00942AB8"/>
        </w:tc>
      </w:tr>
      <w:tr w:rsidR="00942AB8" w14:paraId="4CCEA102" w14:textId="77777777" w:rsidTr="00D40ABA">
        <w:tc>
          <w:tcPr>
            <w:tcW w:w="4748" w:type="dxa"/>
            <w:gridSpan w:val="2"/>
          </w:tcPr>
          <w:p w14:paraId="5A19D9D2" w14:textId="77777777" w:rsidR="00942AB8" w:rsidRDefault="00E0183F">
            <w:pPr>
              <w:pStyle w:val="zSoquijdatQtePartieDef"/>
              <w:ind w:left="708"/>
            </w:pPr>
            <w:r>
              <w:t>Partie mise en cause</w:t>
            </w:r>
          </w:p>
        </w:tc>
        <w:tc>
          <w:tcPr>
            <w:tcW w:w="4820" w:type="dxa"/>
            <w:gridSpan w:val="2"/>
          </w:tcPr>
          <w:p w14:paraId="2CC64194" w14:textId="77777777" w:rsidR="00942AB8" w:rsidRDefault="00942AB8"/>
        </w:tc>
      </w:tr>
      <w:tr w:rsidR="0065093D" w14:paraId="184180E6" w14:textId="77777777" w:rsidTr="00D40ABA">
        <w:tc>
          <w:tcPr>
            <w:tcW w:w="4748" w:type="dxa"/>
            <w:gridSpan w:val="2"/>
          </w:tcPr>
          <w:p w14:paraId="2E03A631" w14:textId="77777777" w:rsidR="0065093D" w:rsidRDefault="0065093D"/>
        </w:tc>
        <w:tc>
          <w:tcPr>
            <w:tcW w:w="4820" w:type="dxa"/>
            <w:gridSpan w:val="2"/>
          </w:tcPr>
          <w:p w14:paraId="5D0B5ED2" w14:textId="77777777" w:rsidR="0065093D" w:rsidRDefault="0065093D"/>
        </w:tc>
      </w:tr>
      <w:tr w:rsidR="0099611B" w14:paraId="066203F9" w14:textId="77777777" w:rsidTr="00D40ABA">
        <w:tc>
          <w:tcPr>
            <w:tcW w:w="4748" w:type="dxa"/>
            <w:gridSpan w:val="2"/>
          </w:tcPr>
          <w:p w14:paraId="23FAAC88" w14:textId="77777777" w:rsidR="0099611B" w:rsidRDefault="0099611B"/>
        </w:tc>
        <w:tc>
          <w:tcPr>
            <w:tcW w:w="4820" w:type="dxa"/>
            <w:gridSpan w:val="2"/>
          </w:tcPr>
          <w:p w14:paraId="62B9A0FD" w14:textId="77777777" w:rsidR="0099611B" w:rsidRDefault="0099611B"/>
        </w:tc>
      </w:tr>
    </w:tbl>
    <w:p w14:paraId="793F16CF" w14:textId="77777777" w:rsidR="00C74B6F" w:rsidRDefault="00C74B6F">
      <w:r>
        <w:t>______________________________________________________________________</w:t>
      </w:r>
    </w:p>
    <w:p w14:paraId="045AFB9D" w14:textId="77777777" w:rsidR="00C74B6F" w:rsidRDefault="00C74B6F"/>
    <w:p w14:paraId="3173659E" w14:textId="77777777" w:rsidR="00C74B6F" w:rsidRPr="00AD7849" w:rsidRDefault="00AD7849" w:rsidP="00AD7849">
      <w:pPr>
        <w:jc w:val="center"/>
        <w:rPr>
          <w:b/>
          <w:bCs/>
        </w:rPr>
      </w:pPr>
      <w:bookmarkStart w:id="7" w:name="decision"/>
      <w:r>
        <w:rPr>
          <w:b/>
          <w:bCs/>
        </w:rPr>
        <w:t>DÉCISION</w:t>
      </w:r>
      <w:bookmarkEnd w:id="7"/>
    </w:p>
    <w:p w14:paraId="330E1EFD" w14:textId="77777777" w:rsidR="00C74B6F" w:rsidRDefault="00C74B6F">
      <w:pPr>
        <w:jc w:val="center"/>
      </w:pPr>
      <w:r>
        <w:t>______________________________________________________________________</w:t>
      </w:r>
    </w:p>
    <w:p w14:paraId="3FC7996A" w14:textId="77777777" w:rsidR="00C74B6F" w:rsidRDefault="00C74B6F" w:rsidP="002431DE"/>
    <w:p w14:paraId="6755589D" w14:textId="77777777" w:rsidR="002F5F78" w:rsidRDefault="002F5F78" w:rsidP="002431DE">
      <w:pPr>
        <w:pStyle w:val="corpsdedcision"/>
        <w:numPr>
          <w:ilvl w:val="0"/>
          <w:numId w:val="0"/>
        </w:numPr>
      </w:pPr>
      <w:bookmarkStart w:id="8" w:name="supprimer_apercu"/>
      <w:r>
        <w:rPr>
          <w:b/>
          <w:bCs/>
          <w:u w:val="single"/>
        </w:rPr>
        <w:t>L’APERÇU</w:t>
      </w:r>
    </w:p>
    <w:bookmarkEnd w:id="8"/>
    <w:p w14:paraId="50356875" w14:textId="77777777" w:rsidR="006561B3" w:rsidRDefault="002F5F78" w:rsidP="002F5F78">
      <w:pPr>
        <w:pStyle w:val="corpsdedcision"/>
      </w:pPr>
      <w:r w:rsidRPr="002431DE">
        <w:t xml:space="preserve">De </w:t>
      </w:r>
      <w:r w:rsidR="0099611B" w:rsidRPr="002431DE">
        <w:t xml:space="preserve">2008 </w:t>
      </w:r>
      <w:r w:rsidRPr="002431DE">
        <w:t>à novembre 2017, madame</w:t>
      </w:r>
      <w:r>
        <w:t xml:space="preserve"> Maria-Magdalena Catrinescu est assistante de recherche en laboratoire pour diverses institutions, d</w:t>
      </w:r>
      <w:r w:rsidR="00B90122">
        <w:t>ont l’Université McGill. En mai </w:t>
      </w:r>
      <w:r>
        <w:t>2018, la Commission des normes, de l’équité, de la santé et de la sécurité du travail accepte sa réclamation pour une maladie professionnelle pulmonaire, soit un asthme professionnel aux rongeurs</w:t>
      </w:r>
      <w:r>
        <w:rPr>
          <w:rStyle w:val="Appelnotedebasdep"/>
        </w:rPr>
        <w:footnoteReference w:id="1"/>
      </w:r>
      <w:r w:rsidR="00B90122">
        <w:t>.</w:t>
      </w:r>
    </w:p>
    <w:p w14:paraId="2BF54026" w14:textId="77777777" w:rsidR="002F5F78" w:rsidRPr="00BC5EEA" w:rsidRDefault="002F5F78" w:rsidP="002431DE">
      <w:pPr>
        <w:pStyle w:val="corpsdedcision"/>
      </w:pPr>
      <w:r>
        <w:t>Une atteinte permanente à l’intégrité physique de 3</w:t>
      </w:r>
      <w:r w:rsidR="00B90122">
        <w:t> </w:t>
      </w:r>
      <w:r>
        <w:t xml:space="preserve">% est alors établie. Il est également établi que la travailleuse ne peut plus désormais être exposée aux souris, aux rats ou à d’autres rongeurs. La Commission conclut donc que la travailleuse n’est pas </w:t>
      </w:r>
      <w:r w:rsidRPr="00BC5EEA">
        <w:t>capable d’exercer son emploi. Elle détermine qu’elle est toutefois capable d’exercer l’emploi conven</w:t>
      </w:r>
      <w:r w:rsidRPr="002431DE">
        <w:t xml:space="preserve">able de technicienne en laboratoire/assistance en recherche à compter </w:t>
      </w:r>
      <w:r w:rsidRPr="00B21301">
        <w:t>du 9 avril 2019</w:t>
      </w:r>
      <w:r w:rsidRPr="00BC5EEA">
        <w:rPr>
          <w:rStyle w:val="Appelnotedebasdep"/>
        </w:rPr>
        <w:footnoteReference w:id="2"/>
      </w:r>
      <w:r w:rsidR="00B90122" w:rsidRPr="00BC5EEA">
        <w:t>.</w:t>
      </w:r>
    </w:p>
    <w:p w14:paraId="7AAABE01" w14:textId="77777777" w:rsidR="002F5F78" w:rsidRPr="00BC5EEA" w:rsidRDefault="002F5F78" w:rsidP="002431DE">
      <w:pPr>
        <w:pStyle w:val="corpsdedcision"/>
      </w:pPr>
      <w:r w:rsidRPr="002431DE">
        <w:t>En février 2020, à la suite d’une réévaluation des séquelles de la maladie, la Commission reconnaît une atteinte permanente additionnelle de 13</w:t>
      </w:r>
      <w:r w:rsidR="00B90122" w:rsidRPr="002431DE">
        <w:t> </w:t>
      </w:r>
      <w:r w:rsidRPr="00BC5EEA">
        <w:t>%</w:t>
      </w:r>
      <w:r w:rsidRPr="00BC5EEA">
        <w:rPr>
          <w:rStyle w:val="Appelnotedebasdep"/>
        </w:rPr>
        <w:footnoteReference w:id="3"/>
      </w:r>
      <w:r w:rsidRPr="00BC5EEA">
        <w:t>.</w:t>
      </w:r>
    </w:p>
    <w:p w14:paraId="03482228" w14:textId="77777777" w:rsidR="002F5F78" w:rsidRDefault="002F5F78">
      <w:pPr>
        <w:pStyle w:val="corpsdedcision"/>
      </w:pPr>
      <w:r w:rsidRPr="002431DE">
        <w:t>En mars 2020, la</w:t>
      </w:r>
      <w:r>
        <w:t xml:space="preserve"> travailleuse dépose une réclamation à la Commission pour une récidive, rechute ou aggravation pour </w:t>
      </w:r>
      <w:r w:rsidRPr="00BC5EEA">
        <w:rPr>
          <w:rStyle w:val="Citationintgre"/>
          <w:i w:val="0"/>
          <w:sz w:val="24"/>
        </w:rPr>
        <w:t>«</w:t>
      </w:r>
      <w:r w:rsidR="00454F04">
        <w:rPr>
          <w:rStyle w:val="Citationintgre"/>
          <w:i w:val="0"/>
          <w:sz w:val="24"/>
        </w:rPr>
        <w:t> </w:t>
      </w:r>
      <w:r w:rsidRPr="00A24119">
        <w:rPr>
          <w:rStyle w:val="Citationintgre"/>
        </w:rPr>
        <w:t>perte d’emploi</w:t>
      </w:r>
      <w:r w:rsidR="00454F04">
        <w:rPr>
          <w:rStyle w:val="Citationintgre"/>
        </w:rPr>
        <w:t> </w:t>
      </w:r>
      <w:r w:rsidRPr="00BC5EEA">
        <w:rPr>
          <w:rStyle w:val="Citationintgre"/>
          <w:i w:val="0"/>
          <w:sz w:val="24"/>
        </w:rPr>
        <w:t>»</w:t>
      </w:r>
      <w:r>
        <w:t xml:space="preserve">. L’attestation médicale produite à son soutien mentionne divers diagnostics, dont celui de détresse psychologique. Cette condition sera plus tard précisée comme </w:t>
      </w:r>
      <w:r>
        <w:rPr>
          <w:rStyle w:val="Citationintgre"/>
          <w:i w:val="0"/>
          <w:sz w:val="24"/>
          <w:szCs w:val="24"/>
        </w:rPr>
        <w:t xml:space="preserve">un trouble d’adaptation. Lors du traitement de sa réclamation, la travailleuse précise </w:t>
      </w:r>
      <w:r w:rsidR="00FF1798">
        <w:rPr>
          <w:rStyle w:val="Citationintgre"/>
          <w:i w:val="0"/>
          <w:sz w:val="24"/>
          <w:szCs w:val="24"/>
        </w:rPr>
        <w:t xml:space="preserve">à la Commission </w:t>
      </w:r>
      <w:r>
        <w:rPr>
          <w:rStyle w:val="Citationintgre"/>
          <w:i w:val="0"/>
          <w:sz w:val="24"/>
          <w:szCs w:val="24"/>
        </w:rPr>
        <w:t>que la récidive, rechute ou aggravation qu’elle invoque ne concerne que sa lésion psychologique. Tant initialement qu’à la suite d’une révision administrative, la Commission refuse la réclamation, d’où la présente contestation</w:t>
      </w:r>
      <w:r>
        <w:rPr>
          <w:rStyle w:val="Appelnotedebasdep"/>
          <w:szCs w:val="24"/>
        </w:rPr>
        <w:footnoteReference w:id="4"/>
      </w:r>
      <w:r>
        <w:rPr>
          <w:rStyle w:val="Citationintgre"/>
          <w:i w:val="0"/>
          <w:sz w:val="24"/>
          <w:szCs w:val="24"/>
        </w:rPr>
        <w:t>.</w:t>
      </w:r>
    </w:p>
    <w:p w14:paraId="0152FA54" w14:textId="77777777" w:rsidR="002F5F78" w:rsidRDefault="002F5F78" w:rsidP="002F5F78">
      <w:pPr>
        <w:pStyle w:val="corpsdedcision"/>
      </w:pPr>
      <w:r>
        <w:t xml:space="preserve">Seule la travailleuse est présente à l’audience. Elle prétend que sa lésion psychologique, diagnostiquée le 10 mars 2020, est en lien avec sa maladie professionnelle pulmonaire. </w:t>
      </w:r>
      <w:r w:rsidR="005F146A">
        <w:t xml:space="preserve">Dans une correspondance transmise avant la tenue de l’audience, l’employeur </w:t>
      </w:r>
      <w:r>
        <w:t>a</w:t>
      </w:r>
      <w:r w:rsidR="005F146A">
        <w:t>vise</w:t>
      </w:r>
      <w:r>
        <w:t xml:space="preserve"> le Tribunal </w:t>
      </w:r>
      <w:r w:rsidR="005F146A">
        <w:t>qu’il n’y participera pas et il</w:t>
      </w:r>
      <w:r>
        <w:t xml:space="preserve"> invoque que la Commission a refusé à juste titre la réclamation de la travailleuse.</w:t>
      </w:r>
    </w:p>
    <w:p w14:paraId="675A18EB" w14:textId="77777777" w:rsidR="002F5F78" w:rsidRDefault="002F5F78" w:rsidP="002F5F78">
      <w:pPr>
        <w:pStyle w:val="corpsdedcision"/>
      </w:pPr>
      <w:r>
        <w:t>Le Tribunal n’est pas de cet avis. La preuve démontre que le trouble d’adaptation de la travailleuse consiste en une récidive, rechute ou aggravation de sa maladie professionnelle du 9 novembre 2017.</w:t>
      </w:r>
    </w:p>
    <w:p w14:paraId="067AED40" w14:textId="77777777" w:rsidR="002F5F78" w:rsidRDefault="002F5F78" w:rsidP="002F5F78">
      <w:pPr>
        <w:pStyle w:val="corpsdedcision"/>
        <w:numPr>
          <w:ilvl w:val="0"/>
          <w:numId w:val="0"/>
        </w:numPr>
        <w:rPr>
          <w:b/>
          <w:bCs/>
          <w:u w:val="single"/>
        </w:rPr>
      </w:pPr>
      <w:bookmarkStart w:id="9" w:name="supprimer_analyse"/>
      <w:r w:rsidRPr="00B51F99">
        <w:rPr>
          <w:b/>
          <w:bCs/>
          <w:u w:val="single"/>
        </w:rPr>
        <w:t>L</w:t>
      </w:r>
      <w:r>
        <w:rPr>
          <w:b/>
          <w:bCs/>
          <w:u w:val="single"/>
        </w:rPr>
        <w:t>’ANALYSE</w:t>
      </w:r>
    </w:p>
    <w:bookmarkEnd w:id="9"/>
    <w:p w14:paraId="34EC569D" w14:textId="77777777" w:rsidR="002F5F78" w:rsidRDefault="002F5F78" w:rsidP="002F5F78">
      <w:pPr>
        <w:pStyle w:val="corpsdedcision"/>
      </w:pPr>
      <w:r w:rsidRPr="00966B49">
        <w:t>La récidive, rechute ou aggravation</w:t>
      </w:r>
      <w:r>
        <w:t xml:space="preserve"> </w:t>
      </w:r>
      <w:r w:rsidRPr="00966B49">
        <w:t xml:space="preserve">est l’une des catégories de lésion professionnelle mentionnées à l’article 2 de la </w:t>
      </w:r>
      <w:r w:rsidRPr="00C57EEB">
        <w:rPr>
          <w:i/>
          <w:iCs/>
        </w:rPr>
        <w:t>Loi sur les accidents du travail et les maladies professionnelles</w:t>
      </w:r>
      <w:r>
        <w:rPr>
          <w:rStyle w:val="Appelnotedebasdep"/>
        </w:rPr>
        <w:footnoteReference w:id="5"/>
      </w:r>
      <w:r w:rsidRPr="00966B49">
        <w:t>. La notion elle-même n’est toutefois pas définie. Selon le sens courant de ses termes, on l’assimile à une réapparition, une reprise évolutive ou une recrudescence d’une lésion ou de ses symptômes, soit de façon plus générale à une modification négative de l’état de santé</w:t>
      </w:r>
      <w:r>
        <w:rPr>
          <w:rStyle w:val="Appelnotedebasdep"/>
        </w:rPr>
        <w:footnoteReference w:id="6"/>
      </w:r>
      <w:r w:rsidRPr="00966B49">
        <w:t>.</w:t>
      </w:r>
    </w:p>
    <w:p w14:paraId="69C39EDF" w14:textId="77777777" w:rsidR="002F5F78" w:rsidRDefault="002F5F78" w:rsidP="002F5F78">
      <w:pPr>
        <w:pStyle w:val="corpsdedcision"/>
      </w:pPr>
      <w:r w:rsidRPr="00966B49">
        <w:t>Le travailleur qui y prétend doit d’abord établir, selon une preuve prépondérante, une modification négative de son état de santé depuis la consolidation de sa lésion professionnelle initiale. Une telle modification pourra être établie en fonction notamment des symptômes ressentis par le travailleur, des signes cliniques déjà présents ou nouveaux, qu’ils soient objectifs ou subjectifs, et s’il y a lieu, des tests cliniques et autres examens venant corroborer une telle détérioration</w:t>
      </w:r>
      <w:r>
        <w:rPr>
          <w:rStyle w:val="Appelnotedebasdep"/>
        </w:rPr>
        <w:footnoteReference w:id="7"/>
      </w:r>
      <w:r w:rsidRPr="00966B49">
        <w:t>.</w:t>
      </w:r>
    </w:p>
    <w:p w14:paraId="10B2C90D" w14:textId="77777777" w:rsidR="002F5F78" w:rsidRDefault="002F5F78" w:rsidP="002F5F78">
      <w:pPr>
        <w:pStyle w:val="corpsdedcision"/>
      </w:pPr>
      <w:r>
        <w:t>Il ne fait aucun doute, en l’espèce, que le trouble d’adaptation, diagnostiqué par le professionnel de la santé qui a charge de l</w:t>
      </w:r>
      <w:r w:rsidR="00B90122">
        <w:t>a travailleuse, soit le docteur </w:t>
      </w:r>
      <w:r>
        <w:t>Tewfik</w:t>
      </w:r>
      <w:r w:rsidR="00B90122">
        <w:t> Yahia </w:t>
      </w:r>
      <w:r>
        <w:t xml:space="preserve">Cherif, consiste en une </w:t>
      </w:r>
      <w:r>
        <w:rPr>
          <w:rFonts w:cs="Arial"/>
          <w:color w:val="000000"/>
        </w:rPr>
        <w:t xml:space="preserve">modification négative de son état de santé. Aucune preuve avant mars </w:t>
      </w:r>
      <w:r w:rsidR="00BC5EEA">
        <w:rPr>
          <w:rFonts w:cs="Arial"/>
          <w:color w:val="000000"/>
        </w:rPr>
        <w:t xml:space="preserve">2020 </w:t>
      </w:r>
      <w:r>
        <w:rPr>
          <w:rFonts w:cs="Arial"/>
          <w:color w:val="000000"/>
        </w:rPr>
        <w:t>ne fait allusion à une quelconque condition ou lésion psychologique chez la travailleuse.</w:t>
      </w:r>
    </w:p>
    <w:p w14:paraId="35D7AAC0" w14:textId="77777777" w:rsidR="002F5F78" w:rsidRDefault="002F5F78" w:rsidP="002F5F78">
      <w:pPr>
        <w:pStyle w:val="corpsdedcision"/>
      </w:pPr>
      <w:r>
        <w:t xml:space="preserve">Une fois cette </w:t>
      </w:r>
      <w:r w:rsidRPr="00F46AD7">
        <w:t>première étape franchie, un lien causal entre cette modification et la lésion professionnelle initiale ou l’événement d’origine doit être démontré.</w:t>
      </w:r>
    </w:p>
    <w:p w14:paraId="2DBE55FA" w14:textId="77777777" w:rsidR="002F5F78" w:rsidRDefault="002F5F78" w:rsidP="002F5F78">
      <w:pPr>
        <w:pStyle w:val="corpsdedcision"/>
      </w:pPr>
      <w:r w:rsidRPr="00F46AD7">
        <w:t>Sans être décisifs, les critères suivants, énoncés dans l’affaire</w:t>
      </w:r>
      <w:r w:rsidRPr="00D9578B">
        <w:rPr>
          <w:i/>
          <w:iCs/>
        </w:rPr>
        <w:t> Boisvert</w:t>
      </w:r>
      <w:r w:rsidRPr="00F46AD7">
        <w:t> et </w:t>
      </w:r>
      <w:r w:rsidRPr="00D9578B">
        <w:t>Halco</w:t>
      </w:r>
      <w:r>
        <w:rPr>
          <w:rStyle w:val="Appelnotedebasdep"/>
        </w:rPr>
        <w:footnoteReference w:id="8"/>
      </w:r>
      <w:r w:rsidRPr="00D9578B">
        <w:t>,</w:t>
      </w:r>
      <w:r w:rsidRPr="00F46AD7">
        <w:t xml:space="preserve"> guident le Tribunal dans l’appréciation de cette relation : la gravité de la lésion initiale; la continuité de la symptomatologie; l’existence ou non d’un suivi médical; le retour au travail, avec ou sans limitations fonctionnelles; la présence ou l’absence d’une atteinte permanente à l’intégrité physique ou psychique; la présence ou l’absence de conditions personnelles ; la compatibilité de la symptomatologie alléguée au moment de la </w:t>
      </w:r>
      <w:r w:rsidRPr="00D9578B">
        <w:t>récidive, rechute ou aggravation avec la nature de la lésion initiale; le délai entre la récidive, rechute ou aggravation et la lésion initiale</w:t>
      </w:r>
      <w:r w:rsidRPr="00F46AD7">
        <w:t>.</w:t>
      </w:r>
    </w:p>
    <w:p w14:paraId="79F52392" w14:textId="77777777" w:rsidR="002F5F78" w:rsidRDefault="002F5F78" w:rsidP="002F5F78">
      <w:pPr>
        <w:pStyle w:val="corpsdedcision"/>
      </w:pPr>
      <w:r w:rsidRPr="002431DE">
        <w:t>Lorsqu’il s’agit de déterminer, comme</w:t>
      </w:r>
      <w:r>
        <w:t xml:space="preserve"> en l’espèce,</w:t>
      </w:r>
      <w:r w:rsidRPr="007D5236">
        <w:t xml:space="preserve"> si une lésion </w:t>
      </w:r>
      <w:r w:rsidRPr="007D5236">
        <w:rPr>
          <w:rFonts w:cs="Arial"/>
          <w:color w:val="000000"/>
        </w:rPr>
        <w:t>psychologique peut être reconnue à titre de récidive, rechute ou aggravation,</w:t>
      </w:r>
      <w:r>
        <w:rPr>
          <w:rFonts w:cs="Arial"/>
          <w:color w:val="000000"/>
        </w:rPr>
        <w:t xml:space="preserve"> une attention particulière est portée sur </w:t>
      </w:r>
      <w:r w:rsidRPr="007D5236">
        <w:t xml:space="preserve">la gravité et </w:t>
      </w:r>
      <w:r>
        <w:t>l</w:t>
      </w:r>
      <w:r w:rsidRPr="007D5236">
        <w:t xml:space="preserve">es conséquences de la lésion initiale, </w:t>
      </w:r>
      <w:r w:rsidR="00410952">
        <w:t xml:space="preserve">sur </w:t>
      </w:r>
      <w:r w:rsidRPr="007D5236">
        <w:t>les effets de celle</w:t>
      </w:r>
      <w:r w:rsidR="002431DE">
        <w:noBreakHyphen/>
      </w:r>
      <w:r w:rsidRPr="007D5236">
        <w:t>ci sur la condition </w:t>
      </w:r>
      <w:r w:rsidRPr="00193664">
        <w:t>psychologique</w:t>
      </w:r>
      <w:r w:rsidRPr="007D5236">
        <w:t xml:space="preserve"> du travailleur, </w:t>
      </w:r>
      <w:r>
        <w:t xml:space="preserve">sur </w:t>
      </w:r>
      <w:r w:rsidRPr="007D5236">
        <w:t>la présence de conditions ou de problèmes personnels sans lien ave</w:t>
      </w:r>
      <w:r>
        <w:t xml:space="preserve">c la lésion professionnelle et sur </w:t>
      </w:r>
      <w:r w:rsidRPr="007D5236">
        <w:t>les opinions médicales à ce sujet</w:t>
      </w:r>
      <w:r>
        <w:rPr>
          <w:rStyle w:val="Appelnotedebasdep"/>
        </w:rPr>
        <w:footnoteReference w:id="9"/>
      </w:r>
      <w:r w:rsidRPr="007D5236">
        <w:t>.</w:t>
      </w:r>
    </w:p>
    <w:p w14:paraId="4C628A61" w14:textId="77777777" w:rsidR="002F5F78" w:rsidRPr="00F46AD7" w:rsidRDefault="002F5F78" w:rsidP="002431DE">
      <w:pPr>
        <w:pStyle w:val="corpsdedcision"/>
      </w:pPr>
      <w:r w:rsidRPr="002431DE">
        <w:t>Ainsi, pour établir un lien entre le trouble</w:t>
      </w:r>
      <w:r>
        <w:t xml:space="preserve"> d’adaptation de la travailleuse et son asthme professionnel aux rongeurs, le Tribunal doit identifier les facteurs responsables</w:t>
      </w:r>
      <w:r w:rsidR="005F146A">
        <w:t xml:space="preserve"> de la lésion psychologique</w:t>
      </w:r>
      <w:r>
        <w:t>, puis déterminer s’ils sont suffisamment liés aux conséquences de la maladie physique initiale</w:t>
      </w:r>
      <w:r>
        <w:rPr>
          <w:rStyle w:val="Appelnotedebasdep"/>
        </w:rPr>
        <w:footnoteReference w:id="10"/>
      </w:r>
      <w:r>
        <w:t xml:space="preserve">. </w:t>
      </w:r>
      <w:r w:rsidRPr="009C0E49">
        <w:t>Un</w:t>
      </w:r>
      <w:r>
        <w:t>e</w:t>
      </w:r>
      <w:r w:rsidRPr="009C0E49">
        <w:t xml:space="preserve"> tel</w:t>
      </w:r>
      <w:r>
        <w:t>le relation</w:t>
      </w:r>
      <w:r w:rsidRPr="009C0E49">
        <w:t xml:space="preserve"> est établi</w:t>
      </w:r>
      <w:r>
        <w:t>e</w:t>
      </w:r>
      <w:r w:rsidRPr="009C0E49">
        <w:t xml:space="preserve"> si la preuve prépondérante mène </w:t>
      </w:r>
      <w:r w:rsidRPr="00B67FD5">
        <w:t xml:space="preserve">à conclure que </w:t>
      </w:r>
      <w:r w:rsidRPr="009C0E49">
        <w:t xml:space="preserve">l’existence d’une relation entre la lésion psychologique et la lésion physique </w:t>
      </w:r>
      <w:r w:rsidRPr="00B67FD5">
        <w:t>est plus probable</w:t>
      </w:r>
      <w:r w:rsidRPr="009C0E49">
        <w:t xml:space="preserve"> que son absence.</w:t>
      </w:r>
    </w:p>
    <w:p w14:paraId="7B638C44" w14:textId="77777777" w:rsidR="002F5F78" w:rsidRDefault="002F5F78" w:rsidP="002F5F78">
      <w:pPr>
        <w:pStyle w:val="corpsdedcision"/>
      </w:pPr>
      <w:r>
        <w:t>En l’espèce, la Commission conclut, dans sa décision du 1</w:t>
      </w:r>
      <w:r w:rsidRPr="00D9578B">
        <w:rPr>
          <w:vertAlign w:val="superscript"/>
        </w:rPr>
        <w:t>er</w:t>
      </w:r>
      <w:r>
        <w:t xml:space="preserve"> octobre 2021, que la travailleuse ne fait pas cette démonstration :</w:t>
      </w:r>
    </w:p>
    <w:p w14:paraId="35091586" w14:textId="77777777" w:rsidR="002F5F78" w:rsidRDefault="002F5F78" w:rsidP="002431DE">
      <w:pPr>
        <w:pStyle w:val="citation"/>
      </w:pPr>
      <w:r>
        <w:t>Bien que vous présentiez un trouble de l’adaptation, la preuve médicale disponible ne permet pas de démontrer qu’une modification objective, voire une aggravation, de votre état de santé soit survenue le 10 mars 2020 en relation directe avec votre lésion professionnelle initiale du 9 novembre 2017 ou avec les conséquences de celle-ci. De plus, votre insatisfaction résultant de la perte d’emploi ne peut être retenue comme étant à l’origine d’une lésion professionnelle.</w:t>
      </w:r>
    </w:p>
    <w:p w14:paraId="388B833B" w14:textId="77777777" w:rsidR="0099611B" w:rsidRDefault="0099611B" w:rsidP="00544DAB">
      <w:pPr>
        <w:pStyle w:val="citation"/>
        <w:spacing w:after="360"/>
      </w:pPr>
    </w:p>
    <w:p w14:paraId="5B364832" w14:textId="77777777" w:rsidR="002F5F78" w:rsidRDefault="002F5F78" w:rsidP="002F5F78">
      <w:pPr>
        <w:pStyle w:val="corpsdedcision"/>
      </w:pPr>
      <w:r>
        <w:t>Le Tribunal n</w:t>
      </w:r>
      <w:r w:rsidR="00B90122">
        <w:t>e partage pas cette conclusion.</w:t>
      </w:r>
    </w:p>
    <w:p w14:paraId="4C7C973B" w14:textId="77777777" w:rsidR="002F5F78" w:rsidRDefault="002F5F78" w:rsidP="002F5F78">
      <w:pPr>
        <w:pStyle w:val="corpsdedcision"/>
      </w:pPr>
      <w:r w:rsidRPr="002431DE">
        <w:t>En premier lieu, l’affirmation de la Commission selon</w:t>
      </w:r>
      <w:r>
        <w:t xml:space="preserve"> laquelle l’insatisfaction de la travailleuse résultant de sa perte d’emploi ne peut être retenue doit être nuancée.</w:t>
      </w:r>
    </w:p>
    <w:p w14:paraId="62C28FF1" w14:textId="77777777" w:rsidR="002F5F78" w:rsidRDefault="002F5F78" w:rsidP="002F5F78">
      <w:pPr>
        <w:pStyle w:val="corpsdedcision"/>
      </w:pPr>
      <w:r>
        <w:t>Certes, l’ensemble des événements qui ne sont pas reliés directement à la lésion professionnelle et qui résultent plutôt d’une conséquence de l’application de la Loi, par exemple les problèmes administratifs ou financiers découlant d’une contestation d’une décision de la Commission, demeurent des considérations de nature personnelle qui ne permettent généralement pas d’établir la relation</w:t>
      </w:r>
      <w:r>
        <w:rPr>
          <w:rStyle w:val="Appelnotedebasdep"/>
        </w:rPr>
        <w:footnoteReference w:id="11"/>
      </w:r>
      <w:r w:rsidR="00B90122">
        <w:t>.</w:t>
      </w:r>
    </w:p>
    <w:p w14:paraId="5D1904C3" w14:textId="77777777" w:rsidR="002F5F78" w:rsidRPr="00307465" w:rsidRDefault="002F5F78" w:rsidP="002431DE">
      <w:pPr>
        <w:pStyle w:val="corpsdedcision"/>
      </w:pPr>
      <w:r>
        <w:t xml:space="preserve">Toutefois, </w:t>
      </w:r>
      <w:r w:rsidRPr="00B55F4C">
        <w:t>les facteurs de stress reliés à la </w:t>
      </w:r>
      <w:r w:rsidRPr="003D3C0B">
        <w:rPr>
          <w:rFonts w:cs="Arial"/>
          <w:color w:val="000000"/>
        </w:rPr>
        <w:t xml:space="preserve">perte d’emploi, </w:t>
      </w:r>
      <w:r w:rsidRPr="00B55F4C">
        <w:t xml:space="preserve">le deuil de cet emploi, la perte de capacité, l’incertitude par rapport à un avenir </w:t>
      </w:r>
      <w:r w:rsidRPr="002431DE">
        <w:t>professionnel sont des facteurs qui ne constituent pas de simples « </w:t>
      </w:r>
      <w:r w:rsidRPr="002431DE">
        <w:rPr>
          <w:i/>
          <w:iCs/>
          <w:sz w:val="22"/>
          <w:szCs w:val="22"/>
        </w:rPr>
        <w:t>tracasseries administratives</w:t>
      </w:r>
      <w:r w:rsidRPr="002431DE">
        <w:t xml:space="preserve"> »</w:t>
      </w:r>
      <w:r w:rsidRPr="002431DE">
        <w:rPr>
          <w:rStyle w:val="Appelnotedebasdep"/>
        </w:rPr>
        <w:footnoteReference w:id="12"/>
      </w:r>
      <w:r w:rsidRPr="002431DE">
        <w:t xml:space="preserve">. Elles doivent être considérées aux fins de l’examen </w:t>
      </w:r>
      <w:r w:rsidRPr="0099611B">
        <w:rPr>
          <w:rFonts w:cs="Arial"/>
          <w:color w:val="000000"/>
        </w:rPr>
        <w:t>de la relation entre la lésion psychologique et la lésion</w:t>
      </w:r>
      <w:r>
        <w:rPr>
          <w:rFonts w:cs="Arial"/>
          <w:color w:val="000000"/>
        </w:rPr>
        <w:t xml:space="preserve"> physique initiale</w:t>
      </w:r>
      <w:r>
        <w:rPr>
          <w:rStyle w:val="Appelnotedebasdep"/>
          <w:rFonts w:cs="Arial"/>
          <w:color w:val="000000"/>
        </w:rPr>
        <w:footnoteReference w:id="13"/>
      </w:r>
      <w:r>
        <w:rPr>
          <w:rFonts w:cs="Arial"/>
          <w:color w:val="000000"/>
        </w:rPr>
        <w:t> :</w:t>
      </w:r>
    </w:p>
    <w:p w14:paraId="23D8A27B" w14:textId="77777777" w:rsidR="002F5F78" w:rsidRDefault="0099611B" w:rsidP="002431DE">
      <w:pPr>
        <w:pStyle w:val="citation"/>
        <w:keepNext/>
        <w:spacing w:after="360"/>
      </w:pPr>
      <w:r w:rsidRPr="002431DE">
        <w:t>[60]</w:t>
      </w:r>
      <w:r w:rsidRPr="002431DE">
        <w:tab/>
      </w:r>
      <w:r w:rsidR="002F5F78" w:rsidRPr="002431DE">
        <w:t>Il s’agit de conséquences directes de la lésion professionnelle et des changements opérés dans la vie professionnelle et personnelle d’un travailleur, et non de situations qui résultent de l’application d’une disposition de la Loi ou de simples inconvénients normaux dans le traitement administratif d’un dossier par la Commission.</w:t>
      </w:r>
    </w:p>
    <w:p w14:paraId="48DE02E7" w14:textId="77777777" w:rsidR="0099611B" w:rsidRPr="002431DE" w:rsidRDefault="0099611B" w:rsidP="002431DE">
      <w:pPr>
        <w:pStyle w:val="citation"/>
        <w:keepNext/>
        <w:spacing w:after="360"/>
        <w:rPr>
          <w:sz w:val="24"/>
        </w:rPr>
      </w:pPr>
      <w:r w:rsidRPr="002431DE">
        <w:rPr>
          <w:sz w:val="24"/>
        </w:rPr>
        <w:t>[Note omise]</w:t>
      </w:r>
    </w:p>
    <w:p w14:paraId="082236EE" w14:textId="77777777" w:rsidR="002F5F78" w:rsidRDefault="002F5F78" w:rsidP="002F5F78">
      <w:pPr>
        <w:pStyle w:val="corpsdedcision"/>
      </w:pPr>
      <w:r>
        <w:t>En l’espèce, il est d’abord surprenant de constater à qu</w:t>
      </w:r>
      <w:r w:rsidR="001432D1">
        <w:t>el point la Commission banalise</w:t>
      </w:r>
      <w:r>
        <w:t xml:space="preserve"> la réaction psychologique de la travailleuse face à sa perte d’emploi. La Commission considère qu’il s’agit d’insatisfaction de sa part, alors que la preuve médicale fait plutôt référence à une détresse psychologique, puis à un trouble d’adaptation, relié</w:t>
      </w:r>
      <w:r w:rsidR="0099611B">
        <w:t>s</w:t>
      </w:r>
      <w:r>
        <w:t xml:space="preserve"> directement à cette perte d’emploi.</w:t>
      </w:r>
    </w:p>
    <w:p w14:paraId="23A2083A" w14:textId="77777777" w:rsidR="002F5F78" w:rsidRDefault="002F5F78" w:rsidP="002F5F78">
      <w:pPr>
        <w:pStyle w:val="corpsdedcision"/>
      </w:pPr>
      <w:r>
        <w:t>À l’audience, la travailleuse témoigne combien cette perte d’emploi a été un choc pour elle. Biochimiste de formation, la travailleuse devient, en 2008, assistante de recherche en laboratoire après avoir obtenu un certificat effectué à la suite de son arrivée au Québec, un emploi qu’elle exercera durant une dizaine d’années.</w:t>
      </w:r>
    </w:p>
    <w:p w14:paraId="1A2262A7" w14:textId="77777777" w:rsidR="002F5F78" w:rsidRDefault="002F5F78" w:rsidP="002F5F78">
      <w:pPr>
        <w:pStyle w:val="corpsdedcision"/>
      </w:pPr>
      <w:r>
        <w:t>Malgré son asthme professionnel aux rongeurs, la travailleuse a bon espoir au printemps 2019 de pouvoir trouver un emploi similaire, soit l’emploi convenable de technicienne en laboratoire/assistance en recherche</w:t>
      </w:r>
      <w:r w:rsidR="0099611B">
        <w:t>,</w:t>
      </w:r>
      <w:r>
        <w:t xml:space="preserve"> déterminé par la Commission. En janvier et février 2020, elle passe des entrevues pour occuper de tels postes. Sa candidature est refusée en raison, dit-elle, du dossier médical qu’elle fournit.</w:t>
      </w:r>
    </w:p>
    <w:p w14:paraId="342F6262" w14:textId="77777777" w:rsidR="002F5F78" w:rsidRDefault="002F5F78" w:rsidP="00A6671E">
      <w:pPr>
        <w:pStyle w:val="corpsdedcision"/>
      </w:pPr>
      <w:r>
        <w:t>Par ailleurs, une récente expertise du Comité des maladies professionnelles pulmonaires, soit celle du 9 janvier 2020, indique que non seulement la travailleuse ne doit pas être exposée à des rongeurs, ni en laboratoire ni en dehors du laboratoire, elle ne doit pas non plus être exposée à des irritants respiratoires en quantité excessive.</w:t>
      </w:r>
      <w:r w:rsidR="00A6671E">
        <w:t xml:space="preserve"> </w:t>
      </w:r>
      <w:r>
        <w:t xml:space="preserve">C’est d’ailleurs sur la base de cette dernière restriction qu’il sera convenu par accord, au printemps 2021, </w:t>
      </w:r>
      <w:r w:rsidRPr="00C11D3D">
        <w:t xml:space="preserve">que la travailleuse n’a </w:t>
      </w:r>
      <w:r>
        <w:t xml:space="preserve">finalement </w:t>
      </w:r>
      <w:r w:rsidRPr="00C11D3D">
        <w:t xml:space="preserve">pas la capacité d’exercer </w:t>
      </w:r>
      <w:r>
        <w:t>l’</w:t>
      </w:r>
      <w:r w:rsidRPr="00C11D3D">
        <w:t xml:space="preserve">emploi convenable </w:t>
      </w:r>
      <w:r>
        <w:t>de technicienne en laboratoire/assistance en recherche.</w:t>
      </w:r>
    </w:p>
    <w:p w14:paraId="18DE088B" w14:textId="77777777" w:rsidR="002F5F78" w:rsidRDefault="002F5F78" w:rsidP="002F5F78">
      <w:pPr>
        <w:pStyle w:val="corpsdedcision"/>
      </w:pPr>
      <w:r>
        <w:t xml:space="preserve">Au cours des </w:t>
      </w:r>
      <w:r w:rsidR="0099611B">
        <w:t>premières semaines</w:t>
      </w:r>
      <w:r>
        <w:t xml:space="preserve"> de 2020, la travailleuse apprend ainsi qu’elle ne pourra plus jamais occuper un emploi en laboratoire en raison de sa maladie professionnelle. Un grand deuil s’amorce pour elle. Des symptômes anxieux s’installent progressivement. Elle a de plus en plus de difficulté à dormir, à se concentrer et à s’intéresser à ses proches. Ce qui la conduit à consulter début mars </w:t>
      </w:r>
      <w:r w:rsidR="0099611B">
        <w:t>2020</w:t>
      </w:r>
      <w:r>
        <w:t>. Il lui est dès lors prescrit un suivi psychologique.</w:t>
      </w:r>
    </w:p>
    <w:p w14:paraId="18FA8627" w14:textId="77777777" w:rsidR="002F5F78" w:rsidRDefault="002F5F78" w:rsidP="002431DE">
      <w:pPr>
        <w:pStyle w:val="corpsdedcision"/>
      </w:pPr>
      <w:r>
        <w:t xml:space="preserve">Contrairement à la Commission, le Tribunal considère qu’il n’est </w:t>
      </w:r>
      <w:r w:rsidR="00A6671E">
        <w:t xml:space="preserve">pas </w:t>
      </w:r>
      <w:r>
        <w:t>ici question d’une simple insatisfaction de la travailleuse ni d’une simple tracasserie administrative.</w:t>
      </w:r>
    </w:p>
    <w:p w14:paraId="5DF94ED9" w14:textId="77777777" w:rsidR="002431DE" w:rsidRDefault="002F5F78" w:rsidP="002431DE">
      <w:pPr>
        <w:pStyle w:val="corpsdedcision"/>
      </w:pPr>
      <w:r>
        <w:t>En plus de la perte d’emploi, la travailleuse est informée, à la même époque, de l’aggravation importante de ses séquelles. R</w:t>
      </w:r>
      <w:r w:rsidR="00B90122">
        <w:t>appelons que le déficit anatomo</w:t>
      </w:r>
      <w:r w:rsidR="00B90122">
        <w:noBreakHyphen/>
      </w:r>
      <w:r>
        <w:t>physiologique en lien avec son asthme prof</w:t>
      </w:r>
      <w:r w:rsidR="00B90122">
        <w:t>essionnel passe de 3 % à 16 %.</w:t>
      </w:r>
    </w:p>
    <w:p w14:paraId="4052BC04" w14:textId="77777777" w:rsidR="002F5F78" w:rsidRDefault="00B90122" w:rsidP="002431DE">
      <w:pPr>
        <w:pStyle w:val="corpsdedcision"/>
      </w:pPr>
      <w:r>
        <w:t>Au</w:t>
      </w:r>
      <w:r>
        <w:noBreakHyphen/>
      </w:r>
      <w:r w:rsidR="002F5F78">
        <w:t>delà de ce pourcentage, la travailleuse témoigne qu’elle devient très anxieuse quant à cette détérioration objective de sa capacité respiratoire. Elle craint de ne plus pouvoir respirer, ce qui entraîne chez elle des crises de pani</w:t>
      </w:r>
      <w:r w:rsidR="009953D2">
        <w:t>que</w:t>
      </w:r>
      <w:r w:rsidR="002F5F78">
        <w:t xml:space="preserve"> qui ne </w:t>
      </w:r>
      <w:r w:rsidR="009953D2">
        <w:t>font</w:t>
      </w:r>
      <w:r w:rsidR="002F5F78">
        <w:t xml:space="preserve"> qu’exacerber ses difficultés respiratoires, d’autant plus que le recours aux pompes ne réussit pas à les apaiser. </w:t>
      </w:r>
      <w:r w:rsidR="00FB3338">
        <w:t xml:space="preserve">Cette réaction </w:t>
      </w:r>
      <w:r w:rsidR="002F5F78">
        <w:t xml:space="preserve">psychologique </w:t>
      </w:r>
      <w:r w:rsidR="009953D2">
        <w:t xml:space="preserve">face aux séquelles de sa maladie professionnelle y </w:t>
      </w:r>
      <w:r w:rsidR="00FB3338">
        <w:t xml:space="preserve">est </w:t>
      </w:r>
      <w:r w:rsidR="002F5F78">
        <w:t>directement reliée.</w:t>
      </w:r>
    </w:p>
    <w:p w14:paraId="4103AF7C" w14:textId="77777777" w:rsidR="002F5F78" w:rsidRDefault="00FB3338" w:rsidP="002F5F78">
      <w:pPr>
        <w:pStyle w:val="corpsdedcision"/>
      </w:pPr>
      <w:r>
        <w:t>Ainsi, l</w:t>
      </w:r>
      <w:r w:rsidR="002F5F78">
        <w:t>a travailleuse attribue sa lésion psychologique aux pensées négatives et au stress qu’occasionnent sa perte d’emploi et la dégradation de son asthme. Son témoignage est crédible et trouve écho dans la preuve documentaire.</w:t>
      </w:r>
    </w:p>
    <w:p w14:paraId="456FED35" w14:textId="77777777" w:rsidR="002F5F78" w:rsidRDefault="002F5F78" w:rsidP="002F5F78">
      <w:pPr>
        <w:pStyle w:val="corpsdedcision"/>
      </w:pPr>
      <w:r>
        <w:t xml:space="preserve">Enfin, aucune autre condition ou problème personnel ne survient </w:t>
      </w:r>
      <w:r w:rsidR="009953D2">
        <w:t>dans les premiers mois de 2020.</w:t>
      </w:r>
      <w:r>
        <w:t xml:space="preserve"> La travailleuse ne le cache pas, la pandémie de la Covid-19 n’a certes pas aidé. Le Tribunal retient toutefois que la possible contribution de cette situation, alors </w:t>
      </w:r>
      <w:r w:rsidR="009953D2">
        <w:t xml:space="preserve">bien </w:t>
      </w:r>
      <w:r>
        <w:t xml:space="preserve">naissante, ne fait pas </w:t>
      </w:r>
      <w:r w:rsidRPr="00EB2615">
        <w:t>obstacle à la reconnaissance</w:t>
      </w:r>
      <w:r>
        <w:t xml:space="preserve"> de son trouble d’adaptation à titre de ré</w:t>
      </w:r>
      <w:r w:rsidR="00B90122">
        <w:t>cidive, rechute ou aggravation.</w:t>
      </w:r>
    </w:p>
    <w:p w14:paraId="71EBD6D4" w14:textId="77777777" w:rsidR="002F5F78" w:rsidRPr="009757BD" w:rsidRDefault="002F5F78" w:rsidP="002F5F78">
      <w:pPr>
        <w:pStyle w:val="corpsdedcision"/>
      </w:pPr>
      <w:r>
        <w:t xml:space="preserve">En effet, </w:t>
      </w:r>
      <w:r w:rsidRPr="009C0E49">
        <w:t xml:space="preserve">la preuve prépondérante mène </w:t>
      </w:r>
      <w:r>
        <w:t xml:space="preserve">ici </w:t>
      </w:r>
      <w:r w:rsidR="00FB3338">
        <w:t xml:space="preserve">le Tribunal </w:t>
      </w:r>
      <w:r w:rsidRPr="009C0E49">
        <w:t xml:space="preserve">à conclure que la probabilité de l’existence d’une relation entre </w:t>
      </w:r>
      <w:r>
        <w:t>le trouble d’adaptation</w:t>
      </w:r>
      <w:r w:rsidRPr="009C0E49">
        <w:t xml:space="preserve"> et </w:t>
      </w:r>
      <w:r>
        <w:t>l’asthme professionnel aux rongeurs</w:t>
      </w:r>
      <w:r w:rsidRPr="009C0E49">
        <w:t xml:space="preserve"> est plus probable que son absence.</w:t>
      </w:r>
    </w:p>
    <w:p w14:paraId="7F9D7547" w14:textId="77777777" w:rsidR="002F5F78" w:rsidRDefault="002F5F78" w:rsidP="002F5F78">
      <w:pPr>
        <w:pStyle w:val="Dispositif"/>
      </w:pPr>
      <w:r>
        <w:rPr>
          <w:b/>
        </w:rPr>
        <w:t>PAR CES MOTIFS, LE TRIBUNAL ADMINISTRATIF DU TRAVAIL :</w:t>
      </w:r>
    </w:p>
    <w:p w14:paraId="56A92525" w14:textId="77777777" w:rsidR="002F5F78" w:rsidRDefault="002F5F78" w:rsidP="002F5F78">
      <w:pPr>
        <w:pStyle w:val="Dispositif"/>
      </w:pPr>
      <w:r>
        <w:rPr>
          <w:b/>
        </w:rPr>
        <w:t>ACCUEILLE</w:t>
      </w:r>
      <w:r>
        <w:t xml:space="preserve"> la contestation de madame Maria-Magdalena Catrinescu, la travailleuse;</w:t>
      </w:r>
    </w:p>
    <w:p w14:paraId="3202DC20" w14:textId="77777777" w:rsidR="002F5F78" w:rsidRDefault="002F5F78" w:rsidP="002F5F78">
      <w:pPr>
        <w:pStyle w:val="Dispositif"/>
      </w:pPr>
      <w:r>
        <w:rPr>
          <w:b/>
        </w:rPr>
        <w:t xml:space="preserve">INFIRME </w:t>
      </w:r>
      <w:r w:rsidRPr="00776BBE">
        <w:t xml:space="preserve">la </w:t>
      </w:r>
      <w:r>
        <w:t xml:space="preserve">décision de la Commission des normes, de l'équité, de la santé et de la </w:t>
      </w:r>
      <w:r w:rsidRPr="000870A2">
        <w:t xml:space="preserve">sécurité du travail rendue le </w:t>
      </w:r>
      <w:r>
        <w:t>1</w:t>
      </w:r>
      <w:r w:rsidRPr="00B55AD3">
        <w:rPr>
          <w:vertAlign w:val="superscript"/>
        </w:rPr>
        <w:t>er</w:t>
      </w:r>
      <w:r>
        <w:t xml:space="preserve"> octobre 2021</w:t>
      </w:r>
      <w:r w:rsidRPr="000870A2">
        <w:t>, à la suite d’une révision administrative</w:t>
      </w:r>
      <w:r>
        <w:t>;</w:t>
      </w:r>
    </w:p>
    <w:p w14:paraId="32C38FBE" w14:textId="77777777" w:rsidR="002F5F78" w:rsidRDefault="002F5F78" w:rsidP="002431DE">
      <w:pPr>
        <w:pStyle w:val="Dispositif"/>
      </w:pPr>
      <w:r>
        <w:rPr>
          <w:b/>
        </w:rPr>
        <w:t>DÉCLARE</w:t>
      </w:r>
      <w:r>
        <w:t xml:space="preserve"> que la travailleuse a subi une récidive, re</w:t>
      </w:r>
      <w:r w:rsidR="00B90122">
        <w:t>chute ou aggravation le 10 mars </w:t>
      </w:r>
      <w:r>
        <w:t>2020 de sa maladie professionnelle du 9 novembre 2017, soit un trouble d’adaptation.</w:t>
      </w:r>
    </w:p>
    <w:p w14:paraId="136E36E1" w14:textId="77777777" w:rsidR="00B90122" w:rsidRDefault="00B90122">
      <w:pPr>
        <w:pStyle w:val="Dispositif"/>
      </w:pPr>
    </w:p>
    <w:p w14:paraId="063C1AD3" w14:textId="77777777" w:rsidR="002431DE" w:rsidRDefault="002431DE">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0FEF0154" w14:textId="77777777">
        <w:tc>
          <w:tcPr>
            <w:tcW w:w="4795" w:type="dxa"/>
          </w:tcPr>
          <w:p w14:paraId="4ADDD643" w14:textId="77777777" w:rsidR="00C74B6F" w:rsidRDefault="00C74B6F"/>
        </w:tc>
        <w:tc>
          <w:tcPr>
            <w:tcW w:w="4795" w:type="dxa"/>
          </w:tcPr>
          <w:p w14:paraId="3B71985D" w14:textId="77777777" w:rsidR="00C74B6F" w:rsidRDefault="00C74B6F">
            <w:bookmarkStart w:id="10" w:name="signature"/>
            <w:bookmarkEnd w:id="10"/>
            <w:r>
              <w:t>__________________________________</w:t>
            </w:r>
          </w:p>
        </w:tc>
      </w:tr>
      <w:tr w:rsidR="00C74B6F" w14:paraId="28CC02EA" w14:textId="77777777">
        <w:tc>
          <w:tcPr>
            <w:tcW w:w="4795" w:type="dxa"/>
          </w:tcPr>
          <w:p w14:paraId="5F12A950" w14:textId="77777777" w:rsidR="00C74B6F" w:rsidRDefault="00C74B6F" w:rsidP="002431DE"/>
        </w:tc>
        <w:tc>
          <w:tcPr>
            <w:tcW w:w="4795" w:type="dxa"/>
          </w:tcPr>
          <w:p w14:paraId="69F64BEF" w14:textId="77777777" w:rsidR="00C74B6F" w:rsidRDefault="006668C2">
            <w:r>
              <w:t>Isabelle St-Jean</w:t>
            </w:r>
          </w:p>
        </w:tc>
      </w:tr>
      <w:tr w:rsidR="00C74B6F" w14:paraId="3BF8EA81" w14:textId="77777777">
        <w:trPr>
          <w:cantSplit/>
        </w:trPr>
        <w:tc>
          <w:tcPr>
            <w:tcW w:w="9590" w:type="dxa"/>
            <w:gridSpan w:val="2"/>
          </w:tcPr>
          <w:p w14:paraId="3598A4D9" w14:textId="77777777" w:rsidR="00C74B6F" w:rsidRDefault="00C74B6F" w:rsidP="002431DE"/>
        </w:tc>
      </w:tr>
      <w:tr w:rsidR="00C74B6F" w14:paraId="2DCCFBD7" w14:textId="77777777">
        <w:trPr>
          <w:cantSplit/>
        </w:trPr>
        <w:tc>
          <w:tcPr>
            <w:tcW w:w="9590" w:type="dxa"/>
            <w:gridSpan w:val="2"/>
          </w:tcPr>
          <w:p w14:paraId="57493040" w14:textId="77777777" w:rsidR="00C74B6F" w:rsidRPr="00C912F9" w:rsidRDefault="00C74B6F" w:rsidP="002431DE">
            <w:pPr>
              <w:tabs>
                <w:tab w:val="left" w:pos="1592"/>
              </w:tabs>
            </w:pPr>
          </w:p>
        </w:tc>
      </w:tr>
      <w:tr w:rsidR="00D24789" w14:paraId="3939EDE6" w14:textId="77777777">
        <w:trPr>
          <w:cantSplit/>
        </w:trPr>
        <w:tc>
          <w:tcPr>
            <w:tcW w:w="9590" w:type="dxa"/>
            <w:gridSpan w:val="2"/>
          </w:tcPr>
          <w:p w14:paraId="2BE632DC" w14:textId="77777777" w:rsidR="00D24789" w:rsidRDefault="0025632B" w:rsidP="002431DE">
            <w:pPr>
              <w:pStyle w:val="zSoquijdatNomProcureurDem"/>
            </w:pPr>
            <w:r>
              <w:t>M</w:t>
            </w:r>
            <w:r w:rsidRPr="0025632B">
              <w:rPr>
                <w:vertAlign w:val="superscript"/>
              </w:rPr>
              <w:t>me</w:t>
            </w:r>
            <w:r>
              <w:t xml:space="preserve"> </w:t>
            </w:r>
            <w:r w:rsidRPr="0025632B">
              <w:t>Maria-Magdalena Catrinescu</w:t>
            </w:r>
          </w:p>
        </w:tc>
      </w:tr>
      <w:tr w:rsidR="00C74B6F" w14:paraId="07D4AA36" w14:textId="77777777">
        <w:trPr>
          <w:cantSplit/>
        </w:trPr>
        <w:tc>
          <w:tcPr>
            <w:tcW w:w="9590" w:type="dxa"/>
            <w:gridSpan w:val="2"/>
          </w:tcPr>
          <w:p w14:paraId="7E68716F" w14:textId="77777777" w:rsidR="00C74B6F" w:rsidRDefault="00CB05A7" w:rsidP="002431DE">
            <w:pPr>
              <w:pStyle w:val="zSoquijlblProcureurDem"/>
            </w:pPr>
            <w:r>
              <w:t xml:space="preserve">Pour </w:t>
            </w:r>
            <w:r w:rsidR="0025632B">
              <w:t>elle-même</w:t>
            </w:r>
          </w:p>
        </w:tc>
      </w:tr>
      <w:tr w:rsidR="00D24789" w14:paraId="049AAAA3" w14:textId="77777777">
        <w:trPr>
          <w:cantSplit/>
        </w:trPr>
        <w:tc>
          <w:tcPr>
            <w:tcW w:w="9590" w:type="dxa"/>
            <w:gridSpan w:val="2"/>
          </w:tcPr>
          <w:p w14:paraId="049288E7" w14:textId="77777777" w:rsidR="00D24789" w:rsidRDefault="00D24789" w:rsidP="002431DE">
            <w:pPr>
              <w:pStyle w:val="zSoquijlblProcureurDem"/>
            </w:pPr>
          </w:p>
        </w:tc>
      </w:tr>
      <w:tr w:rsidR="00D24789" w14:paraId="1D5B31B7" w14:textId="77777777">
        <w:trPr>
          <w:cantSplit/>
        </w:trPr>
        <w:tc>
          <w:tcPr>
            <w:tcW w:w="9590" w:type="dxa"/>
            <w:gridSpan w:val="2"/>
          </w:tcPr>
          <w:p w14:paraId="3C90E2D7" w14:textId="77777777" w:rsidR="00D24789" w:rsidRDefault="0025632B" w:rsidP="002431DE">
            <w:pPr>
              <w:pStyle w:val="zSoquijlblProcureurDem"/>
            </w:pPr>
            <w:r>
              <w:t>M</w:t>
            </w:r>
            <w:r w:rsidRPr="0025632B">
              <w:rPr>
                <w:vertAlign w:val="superscript"/>
              </w:rPr>
              <w:t>me</w:t>
            </w:r>
            <w:r>
              <w:t xml:space="preserve"> </w:t>
            </w:r>
            <w:r w:rsidRPr="0025632B">
              <w:t>Stéphanie Lauzon</w:t>
            </w:r>
          </w:p>
        </w:tc>
      </w:tr>
      <w:tr w:rsidR="00D24789" w14:paraId="60979176" w14:textId="77777777">
        <w:trPr>
          <w:cantSplit/>
        </w:trPr>
        <w:tc>
          <w:tcPr>
            <w:tcW w:w="9590" w:type="dxa"/>
            <w:gridSpan w:val="2"/>
          </w:tcPr>
          <w:p w14:paraId="4E8F0AA1" w14:textId="77777777" w:rsidR="00D24789" w:rsidRDefault="00D24789" w:rsidP="002431DE">
            <w:pPr>
              <w:pStyle w:val="zSoquijlblProcureurDem"/>
            </w:pPr>
            <w:r>
              <w:t>Pour la partie mise en cause</w:t>
            </w:r>
          </w:p>
        </w:tc>
      </w:tr>
      <w:tr w:rsidR="00D24789" w14:paraId="6C1254AE" w14:textId="77777777">
        <w:trPr>
          <w:cantSplit/>
        </w:trPr>
        <w:tc>
          <w:tcPr>
            <w:tcW w:w="9590" w:type="dxa"/>
            <w:gridSpan w:val="2"/>
          </w:tcPr>
          <w:p w14:paraId="31B446F1" w14:textId="77777777" w:rsidR="00D24789" w:rsidRDefault="00D24789" w:rsidP="002431DE">
            <w:pPr>
              <w:pStyle w:val="zSoquijlblProcureurDem"/>
            </w:pPr>
          </w:p>
        </w:tc>
      </w:tr>
      <w:tr w:rsidR="00D24789" w14:paraId="4F66BED9" w14:textId="77777777">
        <w:trPr>
          <w:cantSplit/>
        </w:trPr>
        <w:tc>
          <w:tcPr>
            <w:tcW w:w="9590" w:type="dxa"/>
            <w:gridSpan w:val="2"/>
          </w:tcPr>
          <w:p w14:paraId="16477BD8" w14:textId="77777777" w:rsidR="00D24789" w:rsidRDefault="00D24789" w:rsidP="002431DE">
            <w:pPr>
              <w:pStyle w:val="zSoquijlblProcureurDem"/>
            </w:pPr>
          </w:p>
        </w:tc>
      </w:tr>
      <w:tr w:rsidR="00C15A3F" w14:paraId="28CF1FF2" w14:textId="77777777">
        <w:trPr>
          <w:cantSplit/>
        </w:trPr>
        <w:tc>
          <w:tcPr>
            <w:tcW w:w="9590" w:type="dxa"/>
            <w:gridSpan w:val="2"/>
          </w:tcPr>
          <w:p w14:paraId="33B45935" w14:textId="77777777" w:rsidR="00C15A3F" w:rsidRDefault="00C15A3F" w:rsidP="002431DE">
            <w:pPr>
              <w:pStyle w:val="zSoquijdatDateAudience"/>
            </w:pPr>
            <w:bookmarkStart w:id="11" w:name="Date_derniere_audience"/>
            <w:bookmarkEnd w:id="11"/>
            <w:r>
              <w:t xml:space="preserve">Date de la </w:t>
            </w:r>
            <w:r w:rsidR="00CC6338">
              <w:t>mise en délibéré</w:t>
            </w:r>
            <w:r>
              <w:t> :</w:t>
            </w:r>
            <w:r w:rsidR="00597016">
              <w:tab/>
            </w:r>
            <w:r w:rsidR="0025632B">
              <w:t>22 juin 2023</w:t>
            </w:r>
          </w:p>
        </w:tc>
      </w:tr>
    </w:tbl>
    <w:p w14:paraId="2D094AA7" w14:textId="77777777" w:rsidR="00AD667B" w:rsidRDefault="00AD667B" w:rsidP="002431DE"/>
    <w:sectPr w:rsidR="00AD667B">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35C8" w14:textId="77777777" w:rsidR="00A05F09" w:rsidRDefault="00A05F09">
      <w:r>
        <w:separator/>
      </w:r>
    </w:p>
  </w:endnote>
  <w:endnote w:type="continuationSeparator" w:id="0">
    <w:p w14:paraId="5A38E61A" w14:textId="77777777" w:rsidR="00A05F09" w:rsidRDefault="00A0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A3EF" w14:textId="77777777" w:rsidR="00A05F09" w:rsidRDefault="00A05F09">
      <w:r>
        <w:separator/>
      </w:r>
    </w:p>
  </w:footnote>
  <w:footnote w:type="continuationSeparator" w:id="0">
    <w:p w14:paraId="09157B8F" w14:textId="77777777" w:rsidR="00A05F09" w:rsidRDefault="00A05F09">
      <w:r>
        <w:continuationSeparator/>
      </w:r>
    </w:p>
  </w:footnote>
  <w:footnote w:id="1">
    <w:p w14:paraId="2D0A1AFC" w14:textId="77777777" w:rsidR="002F5F78" w:rsidRPr="00B60247"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sz w:val="20"/>
        </w:rPr>
        <w:t>À la suite d’une expertise du Comité des maladies professionnelles pulmonaires, entérinée par le Comité spécial des présidents.</w:t>
      </w:r>
    </w:p>
  </w:footnote>
  <w:footnote w:id="2">
    <w:p w14:paraId="77B9F169" w14:textId="77777777" w:rsidR="002F5F78" w:rsidRPr="006E4CE5"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sz w:val="20"/>
        </w:rPr>
        <w:t>À noter qu’en avril 2021, à l’issue d’un accord intervenu entre la travailleuse, l’employeur et la Commission, qu’entérine le Tribunal, il est convenu que la travailleuse n’a pas la capacité d’exercer cet emploi convenable. Les parties s’entendent sur la capacité de la travailleuse d’exercer un nouvel emploi convenable d’adjointe administrative à compter du 22 février 2021.</w:t>
      </w:r>
    </w:p>
  </w:footnote>
  <w:footnote w:id="3">
    <w:p w14:paraId="336F4E5E" w14:textId="77777777" w:rsidR="002F5F78" w:rsidRPr="00C8776C"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FF1798" w:rsidRPr="00C31DE8">
        <w:rPr>
          <w:rFonts w:cs="Arial"/>
          <w:sz w:val="20"/>
        </w:rPr>
        <w:t>De nouveau, à la suite d’une expertise du Comité des maladies professionnelles pulmonaires, entérinée par le Comité spécial des présidents.</w:t>
      </w:r>
      <w:r>
        <w:rPr>
          <w:rFonts w:cs="Arial"/>
          <w:sz w:val="20"/>
        </w:rPr>
        <w:t xml:space="preserve"> </w:t>
      </w:r>
    </w:p>
  </w:footnote>
  <w:footnote w:id="4">
    <w:p w14:paraId="501E447D" w14:textId="77777777" w:rsidR="002F5F78" w:rsidRPr="00BC0563"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sz w:val="20"/>
        </w:rPr>
        <w:t>Décisions des 1</w:t>
      </w:r>
      <w:r w:rsidR="00C31DE8">
        <w:rPr>
          <w:rFonts w:cs="Arial"/>
          <w:sz w:val="20"/>
        </w:rPr>
        <w:t>5</w:t>
      </w:r>
      <w:r w:rsidRPr="00C31DE8">
        <w:rPr>
          <w:rFonts w:cs="Arial"/>
          <w:sz w:val="20"/>
        </w:rPr>
        <w:t xml:space="preserve"> juillet et 1</w:t>
      </w:r>
      <w:r w:rsidRPr="00C31DE8">
        <w:rPr>
          <w:rFonts w:cs="Arial"/>
          <w:sz w:val="20"/>
          <w:vertAlign w:val="superscript"/>
        </w:rPr>
        <w:t>er</w:t>
      </w:r>
      <w:r w:rsidRPr="00C31DE8">
        <w:rPr>
          <w:rFonts w:cs="Arial"/>
          <w:sz w:val="20"/>
        </w:rPr>
        <w:t xml:space="preserve"> octobre 2021.</w:t>
      </w:r>
    </w:p>
  </w:footnote>
  <w:footnote w:id="5">
    <w:p w14:paraId="34364F2B" w14:textId="77777777" w:rsidR="002F5F78"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 la Loi.</w:t>
      </w:r>
    </w:p>
  </w:footnote>
  <w:footnote w:id="6">
    <w:p w14:paraId="228803B5" w14:textId="77777777" w:rsidR="002F5F78" w:rsidRPr="00966B49"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i/>
          <w:iCs/>
          <w:color w:val="000000"/>
          <w:sz w:val="20"/>
        </w:rPr>
        <w:t>Dubé </w:t>
      </w:r>
      <w:r w:rsidRPr="00C31DE8">
        <w:rPr>
          <w:rFonts w:cs="Arial"/>
          <w:color w:val="000000"/>
          <w:sz w:val="20"/>
        </w:rPr>
        <w:t>et </w:t>
      </w:r>
      <w:r w:rsidRPr="00C31DE8">
        <w:rPr>
          <w:rFonts w:cs="Arial"/>
          <w:i/>
          <w:iCs/>
          <w:color w:val="000000"/>
          <w:sz w:val="20"/>
        </w:rPr>
        <w:t>Entreprises du Jalaumé enr., </w:t>
      </w:r>
      <w:r w:rsidRPr="00C31DE8">
        <w:rPr>
          <w:rFonts w:cs="Arial"/>
          <w:color w:val="000000"/>
          <w:sz w:val="20"/>
        </w:rPr>
        <w:t>C.L.P. 380599-01A-0906, 21 septembre 2009, G. Tardif.</w:t>
      </w:r>
    </w:p>
  </w:footnote>
  <w:footnote w:id="7">
    <w:p w14:paraId="5702FD7C" w14:textId="77777777" w:rsidR="002F5F78" w:rsidRPr="00C613F1" w:rsidRDefault="002F5F78" w:rsidP="002F5F78">
      <w:pPr>
        <w:pStyle w:val="Notedebasdepage"/>
        <w:tabs>
          <w:tab w:val="left" w:pos="720"/>
        </w:tabs>
        <w:ind w:left="720" w:hanging="720"/>
        <w:jc w:val="both"/>
        <w:rPr>
          <w:rFonts w:cs="Arial"/>
          <w:i/>
          <w:sz w:val="20"/>
        </w:rPr>
      </w:pPr>
      <w:r>
        <w:rPr>
          <w:rStyle w:val="Appelnotedebasdep"/>
        </w:rPr>
        <w:footnoteRef/>
      </w:r>
      <w:r w:rsidRPr="00C613F1">
        <w:t xml:space="preserve"> </w:t>
      </w:r>
      <w:r w:rsidRPr="00C613F1">
        <w:rPr>
          <w:rFonts w:cs="Arial"/>
          <w:sz w:val="20"/>
        </w:rPr>
        <w:tab/>
      </w:r>
      <w:r w:rsidRPr="00C613F1">
        <w:rPr>
          <w:rFonts w:cs="Arial"/>
          <w:i/>
          <w:sz w:val="20"/>
        </w:rPr>
        <w:t>Id.</w:t>
      </w:r>
    </w:p>
  </w:footnote>
  <w:footnote w:id="8">
    <w:p w14:paraId="28C369DF" w14:textId="77777777" w:rsidR="002F5F78" w:rsidRPr="00C613F1" w:rsidRDefault="002F5F78" w:rsidP="002F5F78">
      <w:pPr>
        <w:pStyle w:val="Notedebasdepage"/>
        <w:tabs>
          <w:tab w:val="left" w:pos="720"/>
        </w:tabs>
        <w:ind w:left="720" w:hanging="720"/>
        <w:jc w:val="both"/>
        <w:rPr>
          <w:rFonts w:cs="Arial"/>
          <w:sz w:val="20"/>
        </w:rPr>
      </w:pPr>
      <w:r>
        <w:rPr>
          <w:rStyle w:val="Appelnotedebasdep"/>
        </w:rPr>
        <w:footnoteRef/>
      </w:r>
      <w:r w:rsidRPr="00C613F1">
        <w:t xml:space="preserve"> </w:t>
      </w:r>
      <w:r w:rsidRPr="00C613F1">
        <w:rPr>
          <w:rFonts w:cs="Arial"/>
          <w:sz w:val="20"/>
        </w:rPr>
        <w:tab/>
        <w:t>[1995] C.A.L.P. 19.</w:t>
      </w:r>
    </w:p>
  </w:footnote>
  <w:footnote w:id="9">
    <w:p w14:paraId="6BC15219" w14:textId="77777777" w:rsidR="002F5F78" w:rsidRPr="00193664"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i/>
          <w:sz w:val="20"/>
        </w:rPr>
        <w:t>Compagnie A</w:t>
      </w:r>
      <w:r w:rsidRPr="00C31DE8">
        <w:rPr>
          <w:rFonts w:cs="Arial"/>
          <w:sz w:val="20"/>
        </w:rPr>
        <w:t xml:space="preserve"> et </w:t>
      </w:r>
      <w:r w:rsidRPr="00C31DE8">
        <w:rPr>
          <w:rFonts w:cs="Arial"/>
          <w:i/>
          <w:sz w:val="20"/>
        </w:rPr>
        <w:t>A.D.</w:t>
      </w:r>
      <w:r w:rsidRPr="00C31DE8">
        <w:rPr>
          <w:rFonts w:cs="Arial"/>
          <w:sz w:val="20"/>
        </w:rPr>
        <w:t>, 2023 QCTAT 235</w:t>
      </w:r>
      <w:r w:rsidR="00C31DE8">
        <w:rPr>
          <w:rFonts w:cs="Arial"/>
          <w:sz w:val="20"/>
        </w:rPr>
        <w:t>.</w:t>
      </w:r>
    </w:p>
  </w:footnote>
  <w:footnote w:id="10">
    <w:p w14:paraId="72776ADC" w14:textId="77777777" w:rsidR="002F5F78" w:rsidRPr="00434BCE"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i/>
          <w:sz w:val="20"/>
        </w:rPr>
        <w:t>M. A.</w:t>
      </w:r>
      <w:r w:rsidRPr="00C31DE8">
        <w:rPr>
          <w:rFonts w:cs="Arial"/>
          <w:sz w:val="20"/>
        </w:rPr>
        <w:t xml:space="preserve"> et </w:t>
      </w:r>
      <w:r w:rsidRPr="00C31DE8">
        <w:rPr>
          <w:rFonts w:cs="Arial"/>
          <w:i/>
          <w:sz w:val="20"/>
        </w:rPr>
        <w:t>Compagnie A</w:t>
      </w:r>
      <w:r w:rsidRPr="00C31DE8">
        <w:rPr>
          <w:rFonts w:cs="Arial"/>
          <w:sz w:val="20"/>
        </w:rPr>
        <w:t>, 2015 QCCLP 1511</w:t>
      </w:r>
      <w:r w:rsidR="00C31DE8" w:rsidRPr="00C31DE8">
        <w:rPr>
          <w:rFonts w:cs="Arial"/>
          <w:sz w:val="20"/>
        </w:rPr>
        <w:t>,</w:t>
      </w:r>
      <w:r w:rsidRPr="00C31DE8">
        <w:rPr>
          <w:rFonts w:cs="Arial"/>
          <w:sz w:val="20"/>
        </w:rPr>
        <w:t xml:space="preserve"> et plus récemment : </w:t>
      </w:r>
      <w:r w:rsidRPr="00C31DE8">
        <w:rPr>
          <w:rFonts w:cs="Arial"/>
          <w:i/>
          <w:sz w:val="20"/>
        </w:rPr>
        <w:t xml:space="preserve">Bouchard </w:t>
      </w:r>
      <w:r w:rsidRPr="00C31DE8">
        <w:rPr>
          <w:rFonts w:cs="Arial"/>
          <w:sz w:val="20"/>
        </w:rPr>
        <w:t xml:space="preserve">et </w:t>
      </w:r>
      <w:r w:rsidRPr="00C31DE8">
        <w:rPr>
          <w:rFonts w:cs="Arial"/>
          <w:i/>
          <w:sz w:val="20"/>
        </w:rPr>
        <w:t>Charl-Pol inc. (usines</w:t>
      </w:r>
      <w:r w:rsidR="00C31DE8" w:rsidRPr="00C31DE8">
        <w:rPr>
          <w:rFonts w:cs="Arial"/>
          <w:i/>
          <w:sz w:val="20"/>
        </w:rPr>
        <w:t> </w:t>
      </w:r>
      <w:r w:rsidRPr="00C31DE8">
        <w:rPr>
          <w:rFonts w:cs="Arial"/>
          <w:i/>
          <w:sz w:val="20"/>
        </w:rPr>
        <w:t>Saguenay)</w:t>
      </w:r>
      <w:r w:rsidRPr="00C31DE8">
        <w:rPr>
          <w:rFonts w:cs="Arial"/>
          <w:sz w:val="20"/>
        </w:rPr>
        <w:t>, 2020 QCTAT 2031.</w:t>
      </w:r>
    </w:p>
  </w:footnote>
  <w:footnote w:id="11">
    <w:p w14:paraId="6A4B7BC5" w14:textId="77777777" w:rsidR="002F5F78" w:rsidRPr="003C3C81"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i/>
          <w:iCs/>
          <w:color w:val="000000"/>
          <w:sz w:val="20"/>
        </w:rPr>
        <w:t>Vallières</w:t>
      </w:r>
      <w:r w:rsidRPr="00C31DE8">
        <w:rPr>
          <w:rFonts w:cs="Arial"/>
          <w:color w:val="000000"/>
          <w:sz w:val="20"/>
        </w:rPr>
        <w:t> et </w:t>
      </w:r>
      <w:r w:rsidRPr="00C31DE8">
        <w:rPr>
          <w:rFonts w:cs="Arial"/>
          <w:i/>
          <w:iCs/>
          <w:color w:val="000000"/>
          <w:sz w:val="20"/>
        </w:rPr>
        <w:t>Excavations Gaston Vallières inc.</w:t>
      </w:r>
      <w:r w:rsidRPr="00C31DE8">
        <w:rPr>
          <w:rFonts w:cs="Arial"/>
          <w:color w:val="000000"/>
          <w:sz w:val="20"/>
        </w:rPr>
        <w:t>, 2015 QCCLP 1598.</w:t>
      </w:r>
    </w:p>
  </w:footnote>
  <w:footnote w:id="12">
    <w:p w14:paraId="6CD82C86" w14:textId="77777777" w:rsidR="002F5F78" w:rsidRPr="003D3C0B" w:rsidRDefault="002F5F78" w:rsidP="002F5F7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1DE8">
        <w:rPr>
          <w:rFonts w:cs="Arial"/>
          <w:i/>
          <w:sz w:val="20"/>
        </w:rPr>
        <w:t>Compagnie A</w:t>
      </w:r>
      <w:r w:rsidRPr="00C31DE8">
        <w:rPr>
          <w:rFonts w:cs="Arial"/>
          <w:sz w:val="20"/>
        </w:rPr>
        <w:t xml:space="preserve"> et </w:t>
      </w:r>
      <w:r w:rsidRPr="00C31DE8">
        <w:rPr>
          <w:rFonts w:cs="Arial"/>
          <w:i/>
          <w:sz w:val="20"/>
        </w:rPr>
        <w:t>A.D.</w:t>
      </w:r>
      <w:r w:rsidRPr="00C31DE8">
        <w:rPr>
          <w:rFonts w:cs="Arial"/>
          <w:sz w:val="20"/>
        </w:rPr>
        <w:t>, précitée, note 9.</w:t>
      </w:r>
    </w:p>
  </w:footnote>
  <w:footnote w:id="13">
    <w:p w14:paraId="3C310977" w14:textId="77777777" w:rsidR="002F5F78" w:rsidRPr="00307465" w:rsidRDefault="002F5F78" w:rsidP="00C31DE8">
      <w:pPr>
        <w:pStyle w:val="Dispositif"/>
        <w:ind w:left="680" w:hanging="680"/>
        <w:rPr>
          <w:rFonts w:cs="Arial"/>
          <w:sz w:val="20"/>
        </w:rPr>
      </w:pPr>
      <w:r>
        <w:rPr>
          <w:rStyle w:val="Appelnotedebasdep"/>
        </w:rPr>
        <w:footnoteRef/>
      </w:r>
      <w:r>
        <w:t xml:space="preserve"> </w:t>
      </w:r>
      <w:r>
        <w:rPr>
          <w:rFonts w:cs="Arial"/>
          <w:sz w:val="20"/>
        </w:rPr>
        <w:tab/>
      </w:r>
      <w:r w:rsidRPr="00544DAB">
        <w:rPr>
          <w:rFonts w:cs="Arial"/>
          <w:i/>
          <w:iCs/>
          <w:color w:val="000000"/>
          <w:sz w:val="20"/>
        </w:rPr>
        <w:t>Grondin </w:t>
      </w:r>
      <w:r w:rsidRPr="00544DAB">
        <w:rPr>
          <w:rFonts w:cs="Arial"/>
          <w:color w:val="000000"/>
          <w:sz w:val="20"/>
        </w:rPr>
        <w:t>et </w:t>
      </w:r>
      <w:r w:rsidRPr="00544DAB">
        <w:rPr>
          <w:rFonts w:cs="Arial"/>
          <w:i/>
          <w:iCs/>
          <w:color w:val="000000"/>
          <w:sz w:val="20"/>
        </w:rPr>
        <w:t>Planfor inc</w:t>
      </w:r>
      <w:r w:rsidRPr="00544DAB">
        <w:rPr>
          <w:rFonts w:cs="Arial"/>
          <w:color w:val="000000"/>
          <w:sz w:val="20"/>
        </w:rPr>
        <w:t xml:space="preserve">., 2018 QCTAT 5171. Voir également </w:t>
      </w:r>
      <w:r w:rsidRPr="00544DAB">
        <w:rPr>
          <w:rFonts w:cs="Arial"/>
          <w:i/>
          <w:iCs/>
          <w:color w:val="000000"/>
          <w:sz w:val="20"/>
        </w:rPr>
        <w:t>Brousseau </w:t>
      </w:r>
      <w:r w:rsidRPr="00544DAB">
        <w:rPr>
          <w:rFonts w:cs="Arial"/>
          <w:color w:val="000000"/>
          <w:sz w:val="20"/>
        </w:rPr>
        <w:t>et </w:t>
      </w:r>
      <w:r w:rsidRPr="00544DAB">
        <w:rPr>
          <w:rFonts w:cs="Arial"/>
          <w:i/>
          <w:iCs/>
          <w:color w:val="000000"/>
          <w:sz w:val="20"/>
        </w:rPr>
        <w:t>Lionel Vennes &amp; Fils</w:t>
      </w:r>
      <w:r w:rsidR="00B90122" w:rsidRPr="00544DAB">
        <w:rPr>
          <w:rFonts w:cs="Arial"/>
          <w:i/>
          <w:iCs/>
          <w:color w:val="000000"/>
          <w:sz w:val="20"/>
        </w:rPr>
        <w:t> </w:t>
      </w:r>
      <w:r w:rsidRPr="00544DAB">
        <w:rPr>
          <w:rFonts w:cs="Arial"/>
          <w:i/>
          <w:iCs/>
          <w:color w:val="000000"/>
          <w:sz w:val="20"/>
        </w:rPr>
        <w:t>inc.</w:t>
      </w:r>
      <w:r w:rsidRPr="00544DAB">
        <w:rPr>
          <w:rFonts w:cs="Arial"/>
          <w:color w:val="000000"/>
          <w:sz w:val="20"/>
        </w:rPr>
        <w:t>, 2021 QCTAT 5141.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AD667B" w14:paraId="17110A16" w14:textId="77777777" w:rsidTr="00AD7849">
      <w:tc>
        <w:tcPr>
          <w:tcW w:w="8730" w:type="dxa"/>
        </w:tcPr>
        <w:p w14:paraId="5F3B389A" w14:textId="77777777" w:rsidR="00AD667B" w:rsidRDefault="00AD667B">
          <w:pPr>
            <w:pStyle w:val="En-tte"/>
            <w:ind w:left="-90"/>
          </w:pPr>
        </w:p>
      </w:tc>
      <w:tc>
        <w:tcPr>
          <w:tcW w:w="860" w:type="dxa"/>
        </w:tcPr>
        <w:p w14:paraId="7DF76600" w14:textId="77777777" w:rsidR="00AD667B" w:rsidRDefault="00AD667B">
          <w:pPr>
            <w:pStyle w:val="En-tte"/>
            <w:ind w:left="-90"/>
          </w:pPr>
        </w:p>
      </w:tc>
    </w:tr>
    <w:tr w:rsidR="0025632B" w14:paraId="0C11E778" w14:textId="77777777" w:rsidTr="00AD7849">
      <w:tc>
        <w:tcPr>
          <w:tcW w:w="8730" w:type="dxa"/>
        </w:tcPr>
        <w:p w14:paraId="03BC99AE" w14:textId="77777777" w:rsidR="0025632B" w:rsidRDefault="0025632B" w:rsidP="0025632B">
          <w:pPr>
            <w:pStyle w:val="zSoquijdatNoDossier"/>
          </w:pPr>
          <w:r>
            <w:t>1249227-62-2110</w:t>
          </w:r>
        </w:p>
      </w:tc>
      <w:tc>
        <w:tcPr>
          <w:tcW w:w="860" w:type="dxa"/>
        </w:tcPr>
        <w:p w14:paraId="756057B6" w14:textId="77777777" w:rsidR="0025632B" w:rsidRDefault="0025632B" w:rsidP="0025632B">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EC1FE3">
            <w:rPr>
              <w:rStyle w:val="Numrodepage"/>
              <w:noProof/>
            </w:rPr>
            <w:t>2</w:t>
          </w:r>
          <w:r>
            <w:rPr>
              <w:rStyle w:val="Numrodepage"/>
            </w:rPr>
            <w:fldChar w:fldCharType="end"/>
          </w:r>
        </w:p>
      </w:tc>
    </w:tr>
    <w:tr w:rsidR="00956FE7" w14:paraId="15DCCCB9" w14:textId="77777777" w:rsidTr="00AD7849">
      <w:tc>
        <w:tcPr>
          <w:tcW w:w="8730" w:type="dxa"/>
        </w:tcPr>
        <w:p w14:paraId="25E98DEF" w14:textId="77777777" w:rsidR="00956FE7" w:rsidRDefault="00956FE7" w:rsidP="00956FE7"/>
      </w:tc>
      <w:tc>
        <w:tcPr>
          <w:tcW w:w="860" w:type="dxa"/>
        </w:tcPr>
        <w:p w14:paraId="0BF6CB2A" w14:textId="77777777" w:rsidR="00956FE7" w:rsidRDefault="00956FE7" w:rsidP="00956FE7">
          <w:pPr>
            <w:pStyle w:val="En-tte"/>
            <w:ind w:left="-90"/>
            <w:jc w:val="right"/>
          </w:pPr>
        </w:p>
      </w:tc>
    </w:tr>
  </w:tbl>
  <w:p w14:paraId="52A68D1A" w14:textId="77777777" w:rsidR="00AD667B" w:rsidRDefault="00AD66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3"/>
  </w:num>
  <w:num w:numId="5">
    <w:abstractNumId w:val="9"/>
  </w:num>
  <w:num w:numId="6">
    <w:abstractNumId w:val="9"/>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1B"/>
    <w:rsid w:val="000034B0"/>
    <w:rsid w:val="000041A1"/>
    <w:rsid w:val="0001305E"/>
    <w:rsid w:val="00021B30"/>
    <w:rsid w:val="00021E4C"/>
    <w:rsid w:val="00022556"/>
    <w:rsid w:val="000352CA"/>
    <w:rsid w:val="000366EC"/>
    <w:rsid w:val="00043E4D"/>
    <w:rsid w:val="00056393"/>
    <w:rsid w:val="0007225E"/>
    <w:rsid w:val="00074EAE"/>
    <w:rsid w:val="00076D81"/>
    <w:rsid w:val="00080885"/>
    <w:rsid w:val="00082A97"/>
    <w:rsid w:val="0008378A"/>
    <w:rsid w:val="0008784D"/>
    <w:rsid w:val="00090018"/>
    <w:rsid w:val="00090306"/>
    <w:rsid w:val="00093ACD"/>
    <w:rsid w:val="00095814"/>
    <w:rsid w:val="00097D81"/>
    <w:rsid w:val="00097FCE"/>
    <w:rsid w:val="000A4AD0"/>
    <w:rsid w:val="000A5AD1"/>
    <w:rsid w:val="000A77C5"/>
    <w:rsid w:val="000B7F1B"/>
    <w:rsid w:val="000C710F"/>
    <w:rsid w:val="000D3948"/>
    <w:rsid w:val="000E0C28"/>
    <w:rsid w:val="000E1320"/>
    <w:rsid w:val="000E3FF6"/>
    <w:rsid w:val="000E56A6"/>
    <w:rsid w:val="000F3423"/>
    <w:rsid w:val="000F5CF9"/>
    <w:rsid w:val="000F5F81"/>
    <w:rsid w:val="00104550"/>
    <w:rsid w:val="00104C3D"/>
    <w:rsid w:val="001050B4"/>
    <w:rsid w:val="001144AB"/>
    <w:rsid w:val="0012224D"/>
    <w:rsid w:val="001225BC"/>
    <w:rsid w:val="00122A9E"/>
    <w:rsid w:val="00122F94"/>
    <w:rsid w:val="0012326A"/>
    <w:rsid w:val="00137E7E"/>
    <w:rsid w:val="001407FC"/>
    <w:rsid w:val="001432D1"/>
    <w:rsid w:val="00144572"/>
    <w:rsid w:val="00147A49"/>
    <w:rsid w:val="00147B8B"/>
    <w:rsid w:val="0015125A"/>
    <w:rsid w:val="00152464"/>
    <w:rsid w:val="0015539F"/>
    <w:rsid w:val="00160597"/>
    <w:rsid w:val="001664C8"/>
    <w:rsid w:val="00167AD0"/>
    <w:rsid w:val="00167E9D"/>
    <w:rsid w:val="00173184"/>
    <w:rsid w:val="00175079"/>
    <w:rsid w:val="00183515"/>
    <w:rsid w:val="001A03BE"/>
    <w:rsid w:val="001A067E"/>
    <w:rsid w:val="001A2900"/>
    <w:rsid w:val="001A4081"/>
    <w:rsid w:val="001A65F1"/>
    <w:rsid w:val="001B2B40"/>
    <w:rsid w:val="001B3E9D"/>
    <w:rsid w:val="001B4A40"/>
    <w:rsid w:val="001B5524"/>
    <w:rsid w:val="001C19D4"/>
    <w:rsid w:val="001C2B0B"/>
    <w:rsid w:val="001C436D"/>
    <w:rsid w:val="001E42F0"/>
    <w:rsid w:val="0020679B"/>
    <w:rsid w:val="00226493"/>
    <w:rsid w:val="00227040"/>
    <w:rsid w:val="00230CFC"/>
    <w:rsid w:val="00231C1D"/>
    <w:rsid w:val="002353E5"/>
    <w:rsid w:val="00241CED"/>
    <w:rsid w:val="00242FB4"/>
    <w:rsid w:val="002431DE"/>
    <w:rsid w:val="00245605"/>
    <w:rsid w:val="0025632B"/>
    <w:rsid w:val="002563F0"/>
    <w:rsid w:val="00256DBB"/>
    <w:rsid w:val="00266064"/>
    <w:rsid w:val="00267C8D"/>
    <w:rsid w:val="002701DD"/>
    <w:rsid w:val="00273F49"/>
    <w:rsid w:val="002769B5"/>
    <w:rsid w:val="00276B59"/>
    <w:rsid w:val="00281319"/>
    <w:rsid w:val="00286149"/>
    <w:rsid w:val="0028668D"/>
    <w:rsid w:val="00290289"/>
    <w:rsid w:val="00292188"/>
    <w:rsid w:val="00296645"/>
    <w:rsid w:val="00296A4B"/>
    <w:rsid w:val="00297284"/>
    <w:rsid w:val="002A0077"/>
    <w:rsid w:val="002A07DC"/>
    <w:rsid w:val="002A3573"/>
    <w:rsid w:val="002A374B"/>
    <w:rsid w:val="002A73E9"/>
    <w:rsid w:val="002B2FC3"/>
    <w:rsid w:val="002B35F0"/>
    <w:rsid w:val="002B58AF"/>
    <w:rsid w:val="002C3748"/>
    <w:rsid w:val="002C5E89"/>
    <w:rsid w:val="002D42BC"/>
    <w:rsid w:val="002D71A9"/>
    <w:rsid w:val="002D7846"/>
    <w:rsid w:val="002D7FCB"/>
    <w:rsid w:val="002E05AE"/>
    <w:rsid w:val="002F5F78"/>
    <w:rsid w:val="002F7507"/>
    <w:rsid w:val="00302FB4"/>
    <w:rsid w:val="00305273"/>
    <w:rsid w:val="003057FC"/>
    <w:rsid w:val="00307C85"/>
    <w:rsid w:val="00312983"/>
    <w:rsid w:val="003248CB"/>
    <w:rsid w:val="00331EA7"/>
    <w:rsid w:val="003332B8"/>
    <w:rsid w:val="00344465"/>
    <w:rsid w:val="0034740A"/>
    <w:rsid w:val="0035375B"/>
    <w:rsid w:val="00362D74"/>
    <w:rsid w:val="003664E9"/>
    <w:rsid w:val="00366D1E"/>
    <w:rsid w:val="0037112C"/>
    <w:rsid w:val="00373EE5"/>
    <w:rsid w:val="003817E7"/>
    <w:rsid w:val="0038242C"/>
    <w:rsid w:val="00382E55"/>
    <w:rsid w:val="00390B55"/>
    <w:rsid w:val="003961B2"/>
    <w:rsid w:val="003A41AD"/>
    <w:rsid w:val="003B152B"/>
    <w:rsid w:val="003B1734"/>
    <w:rsid w:val="003B1735"/>
    <w:rsid w:val="003B6CBF"/>
    <w:rsid w:val="003C47A7"/>
    <w:rsid w:val="003D0826"/>
    <w:rsid w:val="003D18FC"/>
    <w:rsid w:val="003D3C93"/>
    <w:rsid w:val="003E00D5"/>
    <w:rsid w:val="003E02BA"/>
    <w:rsid w:val="003E1DC0"/>
    <w:rsid w:val="003F0578"/>
    <w:rsid w:val="003F7F38"/>
    <w:rsid w:val="0040399B"/>
    <w:rsid w:val="00406F0C"/>
    <w:rsid w:val="00410952"/>
    <w:rsid w:val="00411251"/>
    <w:rsid w:val="00412585"/>
    <w:rsid w:val="0041363B"/>
    <w:rsid w:val="00415D5D"/>
    <w:rsid w:val="004232E9"/>
    <w:rsid w:val="0042650F"/>
    <w:rsid w:val="0042684F"/>
    <w:rsid w:val="00427D5D"/>
    <w:rsid w:val="00431E0B"/>
    <w:rsid w:val="004337FE"/>
    <w:rsid w:val="00433E98"/>
    <w:rsid w:val="00435738"/>
    <w:rsid w:val="00437137"/>
    <w:rsid w:val="004403B8"/>
    <w:rsid w:val="00441ADA"/>
    <w:rsid w:val="004422CA"/>
    <w:rsid w:val="004436DB"/>
    <w:rsid w:val="0044371C"/>
    <w:rsid w:val="0044627E"/>
    <w:rsid w:val="0045114F"/>
    <w:rsid w:val="004529D3"/>
    <w:rsid w:val="00453F31"/>
    <w:rsid w:val="00454F04"/>
    <w:rsid w:val="00456727"/>
    <w:rsid w:val="00456B0C"/>
    <w:rsid w:val="0046538B"/>
    <w:rsid w:val="00471C92"/>
    <w:rsid w:val="004739AC"/>
    <w:rsid w:val="00474489"/>
    <w:rsid w:val="00475FEF"/>
    <w:rsid w:val="0047776F"/>
    <w:rsid w:val="00482D5B"/>
    <w:rsid w:val="004870EA"/>
    <w:rsid w:val="00487F13"/>
    <w:rsid w:val="0049595F"/>
    <w:rsid w:val="00496193"/>
    <w:rsid w:val="004A02AF"/>
    <w:rsid w:val="004A4449"/>
    <w:rsid w:val="004A679B"/>
    <w:rsid w:val="004B1C77"/>
    <w:rsid w:val="004C0FB4"/>
    <w:rsid w:val="004C1390"/>
    <w:rsid w:val="004C1811"/>
    <w:rsid w:val="004C2944"/>
    <w:rsid w:val="004C33A3"/>
    <w:rsid w:val="004C4555"/>
    <w:rsid w:val="004D16D6"/>
    <w:rsid w:val="004D6CEA"/>
    <w:rsid w:val="004E3564"/>
    <w:rsid w:val="004E3FDF"/>
    <w:rsid w:val="004E51C0"/>
    <w:rsid w:val="004E64BE"/>
    <w:rsid w:val="004F6293"/>
    <w:rsid w:val="00503B8D"/>
    <w:rsid w:val="00503EE3"/>
    <w:rsid w:val="00505811"/>
    <w:rsid w:val="00515DE7"/>
    <w:rsid w:val="00517EB0"/>
    <w:rsid w:val="005205CB"/>
    <w:rsid w:val="005348E4"/>
    <w:rsid w:val="005352F1"/>
    <w:rsid w:val="00540094"/>
    <w:rsid w:val="00544DAB"/>
    <w:rsid w:val="00545CFF"/>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436D"/>
    <w:rsid w:val="005945C0"/>
    <w:rsid w:val="00597016"/>
    <w:rsid w:val="005974B7"/>
    <w:rsid w:val="005A0D51"/>
    <w:rsid w:val="005A181B"/>
    <w:rsid w:val="005A1CB3"/>
    <w:rsid w:val="005A3073"/>
    <w:rsid w:val="005A33A5"/>
    <w:rsid w:val="005A70A0"/>
    <w:rsid w:val="005B0612"/>
    <w:rsid w:val="005B13F0"/>
    <w:rsid w:val="005B2E0C"/>
    <w:rsid w:val="005B30F6"/>
    <w:rsid w:val="005B45BA"/>
    <w:rsid w:val="005B5689"/>
    <w:rsid w:val="005B6680"/>
    <w:rsid w:val="005B6774"/>
    <w:rsid w:val="005C0A89"/>
    <w:rsid w:val="005C3BC4"/>
    <w:rsid w:val="005C3D19"/>
    <w:rsid w:val="005D26CC"/>
    <w:rsid w:val="005D59B1"/>
    <w:rsid w:val="005D764B"/>
    <w:rsid w:val="005E2367"/>
    <w:rsid w:val="005E5E90"/>
    <w:rsid w:val="005E654C"/>
    <w:rsid w:val="005F05F6"/>
    <w:rsid w:val="005F146A"/>
    <w:rsid w:val="00605734"/>
    <w:rsid w:val="0061488E"/>
    <w:rsid w:val="0061574B"/>
    <w:rsid w:val="00622670"/>
    <w:rsid w:val="00623A1A"/>
    <w:rsid w:val="00626E8D"/>
    <w:rsid w:val="0063156B"/>
    <w:rsid w:val="006326A9"/>
    <w:rsid w:val="00632DA8"/>
    <w:rsid w:val="00634E6E"/>
    <w:rsid w:val="0064342A"/>
    <w:rsid w:val="00643A28"/>
    <w:rsid w:val="006452FA"/>
    <w:rsid w:val="0065093D"/>
    <w:rsid w:val="00652A16"/>
    <w:rsid w:val="00655193"/>
    <w:rsid w:val="00655459"/>
    <w:rsid w:val="006561B3"/>
    <w:rsid w:val="00656FB2"/>
    <w:rsid w:val="00657A70"/>
    <w:rsid w:val="00661454"/>
    <w:rsid w:val="006620AA"/>
    <w:rsid w:val="0066642D"/>
    <w:rsid w:val="006668C2"/>
    <w:rsid w:val="00675E85"/>
    <w:rsid w:val="0067750F"/>
    <w:rsid w:val="00681396"/>
    <w:rsid w:val="0068171F"/>
    <w:rsid w:val="0068401E"/>
    <w:rsid w:val="006841A4"/>
    <w:rsid w:val="0068643F"/>
    <w:rsid w:val="006877A1"/>
    <w:rsid w:val="00692150"/>
    <w:rsid w:val="00692F0C"/>
    <w:rsid w:val="00696E7C"/>
    <w:rsid w:val="006A0C54"/>
    <w:rsid w:val="006A7C53"/>
    <w:rsid w:val="006B140A"/>
    <w:rsid w:val="006B309C"/>
    <w:rsid w:val="006B727F"/>
    <w:rsid w:val="006C6D3A"/>
    <w:rsid w:val="006C7B36"/>
    <w:rsid w:val="006C7B7F"/>
    <w:rsid w:val="006D19E8"/>
    <w:rsid w:val="006E04B5"/>
    <w:rsid w:val="006E330C"/>
    <w:rsid w:val="006E3DD8"/>
    <w:rsid w:val="006E793F"/>
    <w:rsid w:val="006F0154"/>
    <w:rsid w:val="006F608D"/>
    <w:rsid w:val="006F7682"/>
    <w:rsid w:val="006F7944"/>
    <w:rsid w:val="00704121"/>
    <w:rsid w:val="00705BB5"/>
    <w:rsid w:val="0071326F"/>
    <w:rsid w:val="007153D7"/>
    <w:rsid w:val="00720ED4"/>
    <w:rsid w:val="0072642E"/>
    <w:rsid w:val="0074488F"/>
    <w:rsid w:val="007459A5"/>
    <w:rsid w:val="00745AA8"/>
    <w:rsid w:val="007503E0"/>
    <w:rsid w:val="007510EC"/>
    <w:rsid w:val="0075233C"/>
    <w:rsid w:val="0075256A"/>
    <w:rsid w:val="00752DCD"/>
    <w:rsid w:val="007569DE"/>
    <w:rsid w:val="0075723C"/>
    <w:rsid w:val="00775BDF"/>
    <w:rsid w:val="0077614D"/>
    <w:rsid w:val="00782C8F"/>
    <w:rsid w:val="00785F78"/>
    <w:rsid w:val="0078659D"/>
    <w:rsid w:val="007869EC"/>
    <w:rsid w:val="007A1E58"/>
    <w:rsid w:val="007A5C7E"/>
    <w:rsid w:val="007A6E2F"/>
    <w:rsid w:val="007B0DF2"/>
    <w:rsid w:val="007B3BC5"/>
    <w:rsid w:val="007D03DF"/>
    <w:rsid w:val="007D4953"/>
    <w:rsid w:val="007D50F4"/>
    <w:rsid w:val="007D7173"/>
    <w:rsid w:val="007E1216"/>
    <w:rsid w:val="007E1469"/>
    <w:rsid w:val="007E4CD4"/>
    <w:rsid w:val="007E530C"/>
    <w:rsid w:val="007F0E8E"/>
    <w:rsid w:val="007F2149"/>
    <w:rsid w:val="007F3CC9"/>
    <w:rsid w:val="007F4E00"/>
    <w:rsid w:val="008048CF"/>
    <w:rsid w:val="008079DD"/>
    <w:rsid w:val="0081130F"/>
    <w:rsid w:val="00813095"/>
    <w:rsid w:val="008146B2"/>
    <w:rsid w:val="00824430"/>
    <w:rsid w:val="00825B1F"/>
    <w:rsid w:val="00827D55"/>
    <w:rsid w:val="00840EDD"/>
    <w:rsid w:val="0084255F"/>
    <w:rsid w:val="00845D7C"/>
    <w:rsid w:val="00854FB3"/>
    <w:rsid w:val="00860F13"/>
    <w:rsid w:val="00861F8B"/>
    <w:rsid w:val="0086561F"/>
    <w:rsid w:val="00865A7A"/>
    <w:rsid w:val="00865FE1"/>
    <w:rsid w:val="0087069B"/>
    <w:rsid w:val="008748C7"/>
    <w:rsid w:val="0087521A"/>
    <w:rsid w:val="00877B53"/>
    <w:rsid w:val="008808C0"/>
    <w:rsid w:val="00890BDE"/>
    <w:rsid w:val="00892AD3"/>
    <w:rsid w:val="00894970"/>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625D"/>
    <w:rsid w:val="008D650E"/>
    <w:rsid w:val="008E6A41"/>
    <w:rsid w:val="008F15D5"/>
    <w:rsid w:val="00903990"/>
    <w:rsid w:val="009042A8"/>
    <w:rsid w:val="00904950"/>
    <w:rsid w:val="00915E5E"/>
    <w:rsid w:val="009166B8"/>
    <w:rsid w:val="00917915"/>
    <w:rsid w:val="00920684"/>
    <w:rsid w:val="009216E6"/>
    <w:rsid w:val="00922DB7"/>
    <w:rsid w:val="0092684A"/>
    <w:rsid w:val="00932F0E"/>
    <w:rsid w:val="00937FAB"/>
    <w:rsid w:val="0094094D"/>
    <w:rsid w:val="00942AB8"/>
    <w:rsid w:val="0094548C"/>
    <w:rsid w:val="00945CAF"/>
    <w:rsid w:val="00947448"/>
    <w:rsid w:val="00952B38"/>
    <w:rsid w:val="00952C99"/>
    <w:rsid w:val="00956FE7"/>
    <w:rsid w:val="00965333"/>
    <w:rsid w:val="009712EF"/>
    <w:rsid w:val="009727BF"/>
    <w:rsid w:val="00973321"/>
    <w:rsid w:val="00975C2E"/>
    <w:rsid w:val="00977270"/>
    <w:rsid w:val="009824F2"/>
    <w:rsid w:val="00983080"/>
    <w:rsid w:val="009867B3"/>
    <w:rsid w:val="00986AA3"/>
    <w:rsid w:val="00993B24"/>
    <w:rsid w:val="00994D3B"/>
    <w:rsid w:val="009953D2"/>
    <w:rsid w:val="0099611B"/>
    <w:rsid w:val="0099611F"/>
    <w:rsid w:val="00996139"/>
    <w:rsid w:val="009A083F"/>
    <w:rsid w:val="009A135C"/>
    <w:rsid w:val="009A67E7"/>
    <w:rsid w:val="009C603A"/>
    <w:rsid w:val="009C74CD"/>
    <w:rsid w:val="009D048F"/>
    <w:rsid w:val="009D162F"/>
    <w:rsid w:val="009D401F"/>
    <w:rsid w:val="009D68FA"/>
    <w:rsid w:val="009E32CF"/>
    <w:rsid w:val="009E4FC2"/>
    <w:rsid w:val="009F44AE"/>
    <w:rsid w:val="00A02529"/>
    <w:rsid w:val="00A02EF2"/>
    <w:rsid w:val="00A04D5E"/>
    <w:rsid w:val="00A05F09"/>
    <w:rsid w:val="00A10DDF"/>
    <w:rsid w:val="00A11172"/>
    <w:rsid w:val="00A1219E"/>
    <w:rsid w:val="00A12E55"/>
    <w:rsid w:val="00A2411A"/>
    <w:rsid w:val="00A242E4"/>
    <w:rsid w:val="00A24437"/>
    <w:rsid w:val="00A24CA0"/>
    <w:rsid w:val="00A272B2"/>
    <w:rsid w:val="00A33601"/>
    <w:rsid w:val="00A3362A"/>
    <w:rsid w:val="00A37B70"/>
    <w:rsid w:val="00A40AC7"/>
    <w:rsid w:val="00A435C7"/>
    <w:rsid w:val="00A569B2"/>
    <w:rsid w:val="00A611A4"/>
    <w:rsid w:val="00A61F09"/>
    <w:rsid w:val="00A6671E"/>
    <w:rsid w:val="00A6695B"/>
    <w:rsid w:val="00A67915"/>
    <w:rsid w:val="00A72703"/>
    <w:rsid w:val="00A727F6"/>
    <w:rsid w:val="00A72E71"/>
    <w:rsid w:val="00A76432"/>
    <w:rsid w:val="00A82A37"/>
    <w:rsid w:val="00A84FC6"/>
    <w:rsid w:val="00A8528E"/>
    <w:rsid w:val="00A90BD9"/>
    <w:rsid w:val="00A94A49"/>
    <w:rsid w:val="00AA1815"/>
    <w:rsid w:val="00AA1D3E"/>
    <w:rsid w:val="00AA39F9"/>
    <w:rsid w:val="00AA79D3"/>
    <w:rsid w:val="00AB0931"/>
    <w:rsid w:val="00AB5C9B"/>
    <w:rsid w:val="00AC0276"/>
    <w:rsid w:val="00AC0312"/>
    <w:rsid w:val="00AC0449"/>
    <w:rsid w:val="00AC0DC3"/>
    <w:rsid w:val="00AD2497"/>
    <w:rsid w:val="00AD5EB4"/>
    <w:rsid w:val="00AD667B"/>
    <w:rsid w:val="00AD7849"/>
    <w:rsid w:val="00AE63E2"/>
    <w:rsid w:val="00AF04C9"/>
    <w:rsid w:val="00AF1DC4"/>
    <w:rsid w:val="00AF26B6"/>
    <w:rsid w:val="00AF2979"/>
    <w:rsid w:val="00AF3189"/>
    <w:rsid w:val="00B0375C"/>
    <w:rsid w:val="00B052CB"/>
    <w:rsid w:val="00B156C3"/>
    <w:rsid w:val="00B15F67"/>
    <w:rsid w:val="00B1624F"/>
    <w:rsid w:val="00B21184"/>
    <w:rsid w:val="00B21301"/>
    <w:rsid w:val="00B224C5"/>
    <w:rsid w:val="00B325CD"/>
    <w:rsid w:val="00B44A37"/>
    <w:rsid w:val="00B4561E"/>
    <w:rsid w:val="00B4768D"/>
    <w:rsid w:val="00B518E5"/>
    <w:rsid w:val="00B51E1F"/>
    <w:rsid w:val="00B57032"/>
    <w:rsid w:val="00B60222"/>
    <w:rsid w:val="00B62CFB"/>
    <w:rsid w:val="00B662F5"/>
    <w:rsid w:val="00B67FD5"/>
    <w:rsid w:val="00B7000C"/>
    <w:rsid w:val="00B760D5"/>
    <w:rsid w:val="00B800E0"/>
    <w:rsid w:val="00B83B2C"/>
    <w:rsid w:val="00B85B01"/>
    <w:rsid w:val="00B90122"/>
    <w:rsid w:val="00B92049"/>
    <w:rsid w:val="00B94740"/>
    <w:rsid w:val="00B95002"/>
    <w:rsid w:val="00B97F75"/>
    <w:rsid w:val="00BA0A4F"/>
    <w:rsid w:val="00BA1CAE"/>
    <w:rsid w:val="00BA33BB"/>
    <w:rsid w:val="00BA4830"/>
    <w:rsid w:val="00BA6E22"/>
    <w:rsid w:val="00BB362C"/>
    <w:rsid w:val="00BB5942"/>
    <w:rsid w:val="00BC0A03"/>
    <w:rsid w:val="00BC5BB4"/>
    <w:rsid w:val="00BC5EEA"/>
    <w:rsid w:val="00BD4139"/>
    <w:rsid w:val="00BE059A"/>
    <w:rsid w:val="00BE1981"/>
    <w:rsid w:val="00BE2DA6"/>
    <w:rsid w:val="00BE320B"/>
    <w:rsid w:val="00BE56E9"/>
    <w:rsid w:val="00BE607F"/>
    <w:rsid w:val="00BE63CF"/>
    <w:rsid w:val="00BE7014"/>
    <w:rsid w:val="00BE7991"/>
    <w:rsid w:val="00BF00E3"/>
    <w:rsid w:val="00BF25C7"/>
    <w:rsid w:val="00C009B7"/>
    <w:rsid w:val="00C04E32"/>
    <w:rsid w:val="00C116B1"/>
    <w:rsid w:val="00C15A3F"/>
    <w:rsid w:val="00C20630"/>
    <w:rsid w:val="00C224A4"/>
    <w:rsid w:val="00C22F7A"/>
    <w:rsid w:val="00C2666F"/>
    <w:rsid w:val="00C31DE8"/>
    <w:rsid w:val="00C32020"/>
    <w:rsid w:val="00C32D02"/>
    <w:rsid w:val="00C3408C"/>
    <w:rsid w:val="00C351CC"/>
    <w:rsid w:val="00C35435"/>
    <w:rsid w:val="00C432FD"/>
    <w:rsid w:val="00C43CDF"/>
    <w:rsid w:val="00C512B2"/>
    <w:rsid w:val="00C54965"/>
    <w:rsid w:val="00C613F1"/>
    <w:rsid w:val="00C62B69"/>
    <w:rsid w:val="00C644B7"/>
    <w:rsid w:val="00C64564"/>
    <w:rsid w:val="00C70B37"/>
    <w:rsid w:val="00C73C87"/>
    <w:rsid w:val="00C74B6F"/>
    <w:rsid w:val="00C87EF3"/>
    <w:rsid w:val="00C9015F"/>
    <w:rsid w:val="00C912F9"/>
    <w:rsid w:val="00C9241B"/>
    <w:rsid w:val="00C96DDF"/>
    <w:rsid w:val="00C97569"/>
    <w:rsid w:val="00CA199D"/>
    <w:rsid w:val="00CA4D9C"/>
    <w:rsid w:val="00CB05A7"/>
    <w:rsid w:val="00CB06A4"/>
    <w:rsid w:val="00CB325B"/>
    <w:rsid w:val="00CB64FF"/>
    <w:rsid w:val="00CB7078"/>
    <w:rsid w:val="00CC014B"/>
    <w:rsid w:val="00CC2182"/>
    <w:rsid w:val="00CC21D8"/>
    <w:rsid w:val="00CC3369"/>
    <w:rsid w:val="00CC5343"/>
    <w:rsid w:val="00CC6338"/>
    <w:rsid w:val="00CC78DE"/>
    <w:rsid w:val="00CD04D9"/>
    <w:rsid w:val="00CD0F93"/>
    <w:rsid w:val="00CD6D6E"/>
    <w:rsid w:val="00CD6F23"/>
    <w:rsid w:val="00CE67DB"/>
    <w:rsid w:val="00CF640B"/>
    <w:rsid w:val="00CF6B5A"/>
    <w:rsid w:val="00D027AF"/>
    <w:rsid w:val="00D0323E"/>
    <w:rsid w:val="00D06652"/>
    <w:rsid w:val="00D07FA6"/>
    <w:rsid w:val="00D14658"/>
    <w:rsid w:val="00D16ADF"/>
    <w:rsid w:val="00D17C53"/>
    <w:rsid w:val="00D17D57"/>
    <w:rsid w:val="00D2341D"/>
    <w:rsid w:val="00D2360F"/>
    <w:rsid w:val="00D24789"/>
    <w:rsid w:val="00D25E0E"/>
    <w:rsid w:val="00D302EB"/>
    <w:rsid w:val="00D31679"/>
    <w:rsid w:val="00D320C8"/>
    <w:rsid w:val="00D3672F"/>
    <w:rsid w:val="00D40ABA"/>
    <w:rsid w:val="00D40FE2"/>
    <w:rsid w:val="00D415B7"/>
    <w:rsid w:val="00D440FA"/>
    <w:rsid w:val="00D44BCF"/>
    <w:rsid w:val="00D46E73"/>
    <w:rsid w:val="00D5548D"/>
    <w:rsid w:val="00D60F81"/>
    <w:rsid w:val="00D63951"/>
    <w:rsid w:val="00D63BF2"/>
    <w:rsid w:val="00D67348"/>
    <w:rsid w:val="00D70A26"/>
    <w:rsid w:val="00D73BB4"/>
    <w:rsid w:val="00D75FEC"/>
    <w:rsid w:val="00D76B98"/>
    <w:rsid w:val="00D835A0"/>
    <w:rsid w:val="00D86F2C"/>
    <w:rsid w:val="00DA36F6"/>
    <w:rsid w:val="00DB0C8D"/>
    <w:rsid w:val="00DC1611"/>
    <w:rsid w:val="00DC2F87"/>
    <w:rsid w:val="00DD3C53"/>
    <w:rsid w:val="00DF0774"/>
    <w:rsid w:val="00DF1036"/>
    <w:rsid w:val="00DF7EE0"/>
    <w:rsid w:val="00E0183F"/>
    <w:rsid w:val="00E05451"/>
    <w:rsid w:val="00E05651"/>
    <w:rsid w:val="00E11BA5"/>
    <w:rsid w:val="00E20425"/>
    <w:rsid w:val="00E25DCB"/>
    <w:rsid w:val="00E344E6"/>
    <w:rsid w:val="00E34FFF"/>
    <w:rsid w:val="00E4156E"/>
    <w:rsid w:val="00E44D61"/>
    <w:rsid w:val="00E453F2"/>
    <w:rsid w:val="00E460AD"/>
    <w:rsid w:val="00E5363C"/>
    <w:rsid w:val="00E61925"/>
    <w:rsid w:val="00E65C0E"/>
    <w:rsid w:val="00E730FC"/>
    <w:rsid w:val="00E746F0"/>
    <w:rsid w:val="00E809B9"/>
    <w:rsid w:val="00E8273B"/>
    <w:rsid w:val="00E82A15"/>
    <w:rsid w:val="00E85445"/>
    <w:rsid w:val="00E87589"/>
    <w:rsid w:val="00E938FF"/>
    <w:rsid w:val="00E93DFE"/>
    <w:rsid w:val="00EA2124"/>
    <w:rsid w:val="00EA2B12"/>
    <w:rsid w:val="00EA34DC"/>
    <w:rsid w:val="00EA5017"/>
    <w:rsid w:val="00EA6BED"/>
    <w:rsid w:val="00EB14F0"/>
    <w:rsid w:val="00EB3844"/>
    <w:rsid w:val="00EB5A9F"/>
    <w:rsid w:val="00EC1FE3"/>
    <w:rsid w:val="00EC573F"/>
    <w:rsid w:val="00EC5C8D"/>
    <w:rsid w:val="00EC666F"/>
    <w:rsid w:val="00ED106C"/>
    <w:rsid w:val="00ED2D34"/>
    <w:rsid w:val="00ED4805"/>
    <w:rsid w:val="00ED57F6"/>
    <w:rsid w:val="00ED6C51"/>
    <w:rsid w:val="00ED6DA1"/>
    <w:rsid w:val="00EF207D"/>
    <w:rsid w:val="00EF2DE9"/>
    <w:rsid w:val="00EF4258"/>
    <w:rsid w:val="00EF6D31"/>
    <w:rsid w:val="00F02237"/>
    <w:rsid w:val="00F07619"/>
    <w:rsid w:val="00F079A6"/>
    <w:rsid w:val="00F10236"/>
    <w:rsid w:val="00F15811"/>
    <w:rsid w:val="00F22423"/>
    <w:rsid w:val="00F24C72"/>
    <w:rsid w:val="00F310FB"/>
    <w:rsid w:val="00F31D22"/>
    <w:rsid w:val="00F3231B"/>
    <w:rsid w:val="00F348B2"/>
    <w:rsid w:val="00F34BF0"/>
    <w:rsid w:val="00F34ED8"/>
    <w:rsid w:val="00F4095A"/>
    <w:rsid w:val="00F45845"/>
    <w:rsid w:val="00F50189"/>
    <w:rsid w:val="00F508FC"/>
    <w:rsid w:val="00F53571"/>
    <w:rsid w:val="00F54044"/>
    <w:rsid w:val="00F576E7"/>
    <w:rsid w:val="00F763FC"/>
    <w:rsid w:val="00F772C1"/>
    <w:rsid w:val="00F8026D"/>
    <w:rsid w:val="00F8245F"/>
    <w:rsid w:val="00F91629"/>
    <w:rsid w:val="00F91E2A"/>
    <w:rsid w:val="00F96C39"/>
    <w:rsid w:val="00F96E41"/>
    <w:rsid w:val="00FA153F"/>
    <w:rsid w:val="00FA1D78"/>
    <w:rsid w:val="00FA1F7E"/>
    <w:rsid w:val="00FA280F"/>
    <w:rsid w:val="00FB2186"/>
    <w:rsid w:val="00FB3338"/>
    <w:rsid w:val="00FD0133"/>
    <w:rsid w:val="00FD6206"/>
    <w:rsid w:val="00FE1318"/>
    <w:rsid w:val="00FE208F"/>
    <w:rsid w:val="00FF1798"/>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6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8F15D5"/>
    <w:pPr>
      <w:keepNext/>
      <w:spacing w:before="240" w:after="240"/>
      <w:outlineLvl w:val="2"/>
    </w:pPr>
    <w:rPr>
      <w:rFonts w:cs="Arial"/>
      <w:b/>
      <w:bCs/>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semiHidden/>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orpsdedcisionCar">
    <w:name w:val="corps de décision Car"/>
    <w:link w:val="corpsdedcision"/>
    <w:rsid w:val="002F5F78"/>
    <w:rPr>
      <w:rFonts w:ascii="Arial" w:hAnsi="Arial"/>
      <w:sz w:val="24"/>
    </w:rPr>
  </w:style>
  <w:style w:type="paragraph" w:styleId="Textedebulles">
    <w:name w:val="Balloon Text"/>
    <w:basedOn w:val="Normal"/>
    <w:link w:val="TextedebullesCar"/>
    <w:rsid w:val="00B90122"/>
    <w:rPr>
      <w:rFonts w:ascii="Segoe UI" w:hAnsi="Segoe UI" w:cs="Segoe UI"/>
      <w:sz w:val="18"/>
      <w:szCs w:val="18"/>
    </w:rPr>
  </w:style>
  <w:style w:type="character" w:customStyle="1" w:styleId="TextedebullesCar">
    <w:name w:val="Texte de bulles Car"/>
    <w:basedOn w:val="Policepardfaut"/>
    <w:link w:val="Textedebulles"/>
    <w:rsid w:val="00B90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712">
      <w:bodyDiv w:val="1"/>
      <w:marLeft w:val="0"/>
      <w:marRight w:val="0"/>
      <w:marTop w:val="0"/>
      <w:marBottom w:val="0"/>
      <w:divBdr>
        <w:top w:val="none" w:sz="0" w:space="0" w:color="auto"/>
        <w:left w:val="none" w:sz="0" w:space="0" w:color="auto"/>
        <w:bottom w:val="none" w:sz="0" w:space="0" w:color="auto"/>
        <w:right w:val="none" w:sz="0" w:space="0" w:color="auto"/>
      </w:divBdr>
    </w:div>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Words>
  <Characters>10613</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2023-07-04T14:00:00Z</dcterms:created>
  <dcterms:modified xsi:type="dcterms:W3CDTF">2023-07-04T14:00:00Z</dcterms:modified>
</cp:coreProperties>
</file>