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trPr>
          <w:cantSplit/>
        </w:trPr>
        <w:tc>
          <w:tcPr>
            <w:tcW w:w="4795" w:type="dxa"/>
          </w:tcPr>
          <w:p w:rsidR="008A7FD1" w:rsidRPr="00A504F6" w:rsidRDefault="00A504F6" w:rsidP="00A504F6">
            <w:pPr>
              <w:pStyle w:val="zSoquijdatRepertorie"/>
              <w:rPr>
                <w:rFonts w:cs="Arial"/>
              </w:rPr>
            </w:pPr>
            <w:bookmarkStart w:id="0" w:name="_GoBack"/>
            <w:bookmarkEnd w:id="0"/>
            <w:r>
              <w:rPr>
                <w:rFonts w:cs="Arial"/>
              </w:rPr>
              <w:t>Binet et Lab, s.e.c.-B.C. (F)</w:t>
            </w:r>
          </w:p>
        </w:tc>
        <w:tc>
          <w:tcPr>
            <w:tcW w:w="2477" w:type="dxa"/>
          </w:tcPr>
          <w:p w:rsidR="008A7FD1" w:rsidRPr="00FD5155" w:rsidRDefault="00FD5155" w:rsidP="00FD5155">
            <w:pPr>
              <w:pStyle w:val="zSoquijdatRefNeutre"/>
              <w:rPr>
                <w:rFonts w:cs="Arial"/>
              </w:rPr>
            </w:pPr>
            <w:r w:rsidRPr="00FD5155">
              <w:rPr>
                <w:rFonts w:cs="Arial"/>
              </w:rPr>
              <w:t>2016 QCTAT 7077</w:t>
            </w:r>
          </w:p>
        </w:tc>
      </w:tr>
    </w:tbl>
    <w:p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rsidTr="002A374B">
        <w:trPr>
          <w:cantSplit/>
        </w:trPr>
        <w:tc>
          <w:tcPr>
            <w:tcW w:w="9568" w:type="dxa"/>
            <w:gridSpan w:val="4"/>
          </w:tcPr>
          <w:p w:rsidR="00C74B6F" w:rsidRPr="00BE1981" w:rsidRDefault="00C74B6F">
            <w:pPr>
              <w:rPr>
                <w:szCs w:val="24"/>
              </w:rPr>
            </w:pPr>
          </w:p>
        </w:tc>
      </w:tr>
      <w:tr w:rsidR="00C74B6F" w:rsidTr="002A374B">
        <w:trPr>
          <w:cantSplit/>
        </w:trPr>
        <w:tc>
          <w:tcPr>
            <w:tcW w:w="9568" w:type="dxa"/>
            <w:gridSpan w:val="4"/>
            <w:vAlign w:val="center"/>
          </w:tcPr>
          <w:p w:rsidR="00C74B6F" w:rsidRPr="000E1320" w:rsidRDefault="000E1320">
            <w:pPr>
              <w:jc w:val="center"/>
              <w:rPr>
                <w:sz w:val="36"/>
                <w:szCs w:val="36"/>
              </w:rPr>
            </w:pPr>
            <w:r w:rsidRPr="000E1320">
              <w:rPr>
                <w:b/>
                <w:sz w:val="36"/>
                <w:szCs w:val="36"/>
              </w:rPr>
              <w:t>TRIBUNAL ADMINISTRATIF DU TRAVAIL</w:t>
            </w:r>
          </w:p>
        </w:tc>
      </w:tr>
      <w:tr w:rsidR="00C74B6F" w:rsidTr="002A374B">
        <w:trPr>
          <w:cantSplit/>
        </w:trPr>
        <w:tc>
          <w:tcPr>
            <w:tcW w:w="9568" w:type="dxa"/>
            <w:gridSpan w:val="4"/>
          </w:tcPr>
          <w:p w:rsidR="00C74B6F" w:rsidRPr="00BE7014" w:rsidRDefault="006F0154" w:rsidP="00F459DC">
            <w:pPr>
              <w:pStyle w:val="zSoquijdatDivision"/>
            </w:pPr>
            <w:r w:rsidRPr="00BE7014">
              <w:t>(</w:t>
            </w:r>
            <w:r w:rsidR="00F459DC">
              <w:t>Division de la santé et de la sécurité du travail</w:t>
            </w:r>
            <w:r w:rsidRPr="00BE7014">
              <w:t>)</w:t>
            </w:r>
          </w:p>
        </w:tc>
      </w:tr>
      <w:tr w:rsidR="00C74B6F" w:rsidTr="002A374B">
        <w:trPr>
          <w:cantSplit/>
        </w:trPr>
        <w:tc>
          <w:tcPr>
            <w:tcW w:w="9568" w:type="dxa"/>
            <w:gridSpan w:val="4"/>
          </w:tcPr>
          <w:p w:rsidR="002B2FC3" w:rsidRDefault="002B2FC3" w:rsidP="002B2FC3"/>
        </w:tc>
      </w:tr>
      <w:tr w:rsidR="00A84FC6" w:rsidTr="002A374B">
        <w:trPr>
          <w:cantSplit/>
        </w:trPr>
        <w:tc>
          <w:tcPr>
            <w:tcW w:w="9568" w:type="dxa"/>
            <w:gridSpan w:val="4"/>
          </w:tcPr>
          <w:p w:rsidR="00A84FC6" w:rsidRDefault="00A84FC6" w:rsidP="002B2FC3"/>
        </w:tc>
      </w:tr>
      <w:tr w:rsidR="00C74B6F" w:rsidTr="005E654C">
        <w:tc>
          <w:tcPr>
            <w:tcW w:w="3614" w:type="dxa"/>
          </w:tcPr>
          <w:p w:rsidR="00C74B6F" w:rsidRDefault="0084255F">
            <w:r>
              <w:t>Région :</w:t>
            </w:r>
          </w:p>
        </w:tc>
        <w:tc>
          <w:tcPr>
            <w:tcW w:w="5954" w:type="dxa"/>
            <w:gridSpan w:val="3"/>
          </w:tcPr>
          <w:p w:rsidR="00C74B6F" w:rsidRDefault="00E0626C" w:rsidP="00F4095A">
            <w:pPr>
              <w:pStyle w:val="zSoquijdatGreffe"/>
            </w:pPr>
            <w:r>
              <w:t>Chaudière-Appalaches</w:t>
            </w:r>
          </w:p>
        </w:tc>
      </w:tr>
      <w:tr w:rsidR="00C74B6F" w:rsidTr="002A374B">
        <w:trPr>
          <w:cantSplit/>
        </w:trPr>
        <w:tc>
          <w:tcPr>
            <w:tcW w:w="9568" w:type="dxa"/>
            <w:gridSpan w:val="4"/>
          </w:tcPr>
          <w:p w:rsidR="00C74B6F" w:rsidRDefault="00C74B6F"/>
        </w:tc>
      </w:tr>
      <w:tr w:rsidR="00C74B6F" w:rsidTr="005E654C">
        <w:tc>
          <w:tcPr>
            <w:tcW w:w="3614" w:type="dxa"/>
          </w:tcPr>
          <w:p w:rsidR="00C74B6F" w:rsidRDefault="0084255F">
            <w:r>
              <w:t>Dossier</w:t>
            </w:r>
            <w:bookmarkStart w:id="1" w:name="dossiers"/>
            <w:bookmarkEnd w:id="1"/>
            <w:r>
              <w:t> :</w:t>
            </w:r>
          </w:p>
        </w:tc>
        <w:tc>
          <w:tcPr>
            <w:tcW w:w="5954" w:type="dxa"/>
            <w:gridSpan w:val="3"/>
          </w:tcPr>
          <w:p w:rsidR="00C74B6F" w:rsidRDefault="00E0626C" w:rsidP="00F4095A">
            <w:pPr>
              <w:pStyle w:val="zSoquijdatNoDossier"/>
            </w:pPr>
            <w:r>
              <w:t>611277-03B-1607</w:t>
            </w:r>
          </w:p>
        </w:tc>
      </w:tr>
      <w:tr w:rsidR="00C74B6F" w:rsidTr="002A374B">
        <w:trPr>
          <w:cantSplit/>
        </w:trPr>
        <w:tc>
          <w:tcPr>
            <w:tcW w:w="9568" w:type="dxa"/>
            <w:gridSpan w:val="4"/>
          </w:tcPr>
          <w:p w:rsidR="00C74B6F" w:rsidRDefault="00C74B6F"/>
        </w:tc>
      </w:tr>
      <w:tr w:rsidR="00C74B6F" w:rsidTr="005E654C">
        <w:tc>
          <w:tcPr>
            <w:tcW w:w="3614" w:type="dxa"/>
          </w:tcPr>
          <w:p w:rsidR="00C74B6F" w:rsidRDefault="008C79A7" w:rsidP="00F459DC">
            <w:pPr>
              <w:ind w:right="46"/>
            </w:pPr>
            <w:r>
              <w:t xml:space="preserve">Dossier </w:t>
            </w:r>
            <w:r w:rsidR="00F459DC">
              <w:rPr>
                <w:szCs w:val="24"/>
              </w:rPr>
              <w:t>CNESST</w:t>
            </w:r>
            <w:r w:rsidRPr="008C79A7">
              <w:rPr>
                <w:szCs w:val="24"/>
              </w:rPr>
              <w:t xml:space="preserve"> :</w:t>
            </w:r>
          </w:p>
        </w:tc>
        <w:tc>
          <w:tcPr>
            <w:tcW w:w="5954" w:type="dxa"/>
            <w:gridSpan w:val="3"/>
          </w:tcPr>
          <w:p w:rsidR="00C74B6F" w:rsidRDefault="00E0626C" w:rsidP="003332B8">
            <w:pPr>
              <w:pStyle w:val="zSoquijdatNoDossier"/>
            </w:pPr>
            <w:r>
              <w:t>110399128</w:t>
            </w:r>
          </w:p>
        </w:tc>
      </w:tr>
      <w:tr w:rsidR="00C74B6F" w:rsidTr="002A374B">
        <w:trPr>
          <w:cantSplit/>
        </w:trPr>
        <w:tc>
          <w:tcPr>
            <w:tcW w:w="9568" w:type="dxa"/>
            <w:gridSpan w:val="4"/>
          </w:tcPr>
          <w:p w:rsidR="00C74B6F" w:rsidRDefault="00C74B6F"/>
        </w:tc>
      </w:tr>
      <w:tr w:rsidR="006E3DD8" w:rsidTr="005E654C">
        <w:trPr>
          <w:cantSplit/>
        </w:trPr>
        <w:tc>
          <w:tcPr>
            <w:tcW w:w="3614" w:type="dxa"/>
          </w:tcPr>
          <w:p w:rsidR="006E3DD8" w:rsidRDefault="00F459DC" w:rsidP="006E3DD8">
            <w:pPr>
              <w:tabs>
                <w:tab w:val="left" w:pos="2672"/>
              </w:tabs>
            </w:pPr>
            <w:r>
              <w:t>Lévis</w:t>
            </w:r>
            <w:r w:rsidR="00C04E32">
              <w:t>,</w:t>
            </w:r>
          </w:p>
        </w:tc>
        <w:tc>
          <w:tcPr>
            <w:tcW w:w="5954" w:type="dxa"/>
            <w:gridSpan w:val="3"/>
          </w:tcPr>
          <w:p w:rsidR="006E3DD8" w:rsidRDefault="00C04E32" w:rsidP="00F459DC">
            <w:pPr>
              <w:pStyle w:val="zSoquijdatDateJugement"/>
            </w:pPr>
            <w:r w:rsidRPr="00E35FBB">
              <w:t xml:space="preserve">le </w:t>
            </w:r>
            <w:r w:rsidR="00D673C7" w:rsidRPr="00E35FBB">
              <w:t>14 décembre</w:t>
            </w:r>
            <w:r w:rsidR="00D673C7">
              <w:t xml:space="preserve"> 2016</w:t>
            </w:r>
          </w:p>
        </w:tc>
      </w:tr>
      <w:tr w:rsidR="00942AB8" w:rsidTr="002A374B">
        <w:trPr>
          <w:cantSplit/>
        </w:trPr>
        <w:tc>
          <w:tcPr>
            <w:tcW w:w="9568" w:type="dxa"/>
            <w:gridSpan w:val="4"/>
          </w:tcPr>
          <w:p w:rsidR="00942AB8" w:rsidRDefault="00942AB8" w:rsidP="00FA153F">
            <w:r>
              <w:t>______________________________________________________________________</w:t>
            </w:r>
          </w:p>
        </w:tc>
      </w:tr>
      <w:tr w:rsidR="00942AB8" w:rsidTr="002A374B">
        <w:trPr>
          <w:cantSplit/>
          <w:trHeight w:val="148"/>
        </w:trPr>
        <w:tc>
          <w:tcPr>
            <w:tcW w:w="9568" w:type="dxa"/>
            <w:gridSpan w:val="4"/>
          </w:tcPr>
          <w:p w:rsidR="00942AB8" w:rsidRDefault="00942AB8" w:rsidP="00FA153F"/>
        </w:tc>
      </w:tr>
      <w:tr w:rsidR="0035375B" w:rsidTr="00A12E55">
        <w:trPr>
          <w:cantSplit/>
          <w:trHeight w:val="148"/>
        </w:trPr>
        <w:tc>
          <w:tcPr>
            <w:tcW w:w="5457" w:type="dxa"/>
            <w:gridSpan w:val="3"/>
          </w:tcPr>
          <w:p w:rsidR="0035375B" w:rsidRPr="00942AB8" w:rsidRDefault="0035375B" w:rsidP="00F459DC">
            <w:pPr>
              <w:rPr>
                <w:b/>
                <w:bCs/>
              </w:rPr>
            </w:pPr>
            <w:r w:rsidRPr="00942AB8">
              <w:rPr>
                <w:b/>
                <w:bCs/>
              </w:rPr>
              <w:t>DEVANT L</w:t>
            </w:r>
            <w:r w:rsidR="00F459DC">
              <w:rPr>
                <w:b/>
                <w:bCs/>
              </w:rPr>
              <w:t>E</w:t>
            </w:r>
            <w:r w:rsidRPr="00942AB8">
              <w:rPr>
                <w:b/>
                <w:bCs/>
              </w:rPr>
              <w:t xml:space="preserve"> JUGE ADMINISTRATI</w:t>
            </w:r>
            <w:r w:rsidR="00F459DC">
              <w:rPr>
                <w:b/>
                <w:bCs/>
              </w:rPr>
              <w:t>F</w:t>
            </w:r>
            <w:r w:rsidRPr="00942AB8">
              <w:rPr>
                <w:b/>
                <w:bCs/>
              </w:rPr>
              <w:t> :</w:t>
            </w:r>
          </w:p>
        </w:tc>
        <w:tc>
          <w:tcPr>
            <w:tcW w:w="4111" w:type="dxa"/>
          </w:tcPr>
          <w:p w:rsidR="0035375B" w:rsidRPr="00942AB8" w:rsidRDefault="00F459DC" w:rsidP="005B5689">
            <w:pPr>
              <w:pStyle w:val="zSoquijdatJuge"/>
              <w:rPr>
                <w:bCs/>
              </w:rPr>
            </w:pPr>
            <w:r>
              <w:t>Michel Sansfaçon</w:t>
            </w:r>
          </w:p>
        </w:tc>
      </w:tr>
      <w:tr w:rsidR="00942AB8" w:rsidTr="002A374B">
        <w:trPr>
          <w:cantSplit/>
          <w:trHeight w:val="148"/>
        </w:trPr>
        <w:tc>
          <w:tcPr>
            <w:tcW w:w="9568" w:type="dxa"/>
            <w:gridSpan w:val="4"/>
          </w:tcPr>
          <w:p w:rsidR="00942AB8" w:rsidRDefault="00942AB8" w:rsidP="00FA153F">
            <w:r>
              <w:t>______________________________________________________________________</w:t>
            </w:r>
          </w:p>
        </w:tc>
      </w:tr>
      <w:tr w:rsidR="00942AB8" w:rsidTr="002A374B">
        <w:tc>
          <w:tcPr>
            <w:tcW w:w="9568" w:type="dxa"/>
            <w:gridSpan w:val="4"/>
          </w:tcPr>
          <w:p w:rsidR="00942AB8" w:rsidRDefault="00942AB8"/>
        </w:tc>
      </w:tr>
      <w:tr w:rsidR="00942AB8" w:rsidTr="00D40ABA">
        <w:tc>
          <w:tcPr>
            <w:tcW w:w="4748" w:type="dxa"/>
            <w:gridSpan w:val="2"/>
          </w:tcPr>
          <w:p w:rsidR="00942AB8" w:rsidRDefault="00942AB8">
            <w:bookmarkStart w:id="2" w:name="bloc_parties_gauche"/>
            <w:bookmarkEnd w:id="2"/>
          </w:p>
        </w:tc>
        <w:tc>
          <w:tcPr>
            <w:tcW w:w="4820" w:type="dxa"/>
            <w:gridSpan w:val="2"/>
          </w:tcPr>
          <w:p w:rsidR="00942AB8" w:rsidRDefault="00942AB8"/>
        </w:tc>
      </w:tr>
      <w:tr w:rsidR="00942AB8" w:rsidTr="00D40ABA">
        <w:tc>
          <w:tcPr>
            <w:tcW w:w="4748" w:type="dxa"/>
            <w:gridSpan w:val="2"/>
          </w:tcPr>
          <w:p w:rsidR="00942AB8" w:rsidRDefault="00E0626C">
            <w:pPr>
              <w:pStyle w:val="zSoquijdatNomPartieDem"/>
              <w:rPr>
                <w:b/>
              </w:rPr>
            </w:pPr>
            <w:r>
              <w:rPr>
                <w:b/>
              </w:rPr>
              <w:t>Réal Binet</w:t>
            </w:r>
          </w:p>
        </w:tc>
        <w:tc>
          <w:tcPr>
            <w:tcW w:w="4820" w:type="dxa"/>
            <w:gridSpan w:val="2"/>
          </w:tcPr>
          <w:p w:rsidR="00942AB8" w:rsidRDefault="00942AB8"/>
        </w:tc>
      </w:tr>
      <w:tr w:rsidR="00942AB8" w:rsidTr="00D40ABA">
        <w:tc>
          <w:tcPr>
            <w:tcW w:w="4748" w:type="dxa"/>
            <w:gridSpan w:val="2"/>
          </w:tcPr>
          <w:p w:rsidR="00942AB8" w:rsidRDefault="00F459DC">
            <w:pPr>
              <w:pStyle w:val="zSoquijdatQtePartieDem"/>
              <w:ind w:left="708"/>
            </w:pPr>
            <w:r>
              <w:t>Partie demanderesse</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r w:rsidR="00942AB8" w:rsidTr="00D40ABA">
        <w:tc>
          <w:tcPr>
            <w:tcW w:w="4748" w:type="dxa"/>
            <w:gridSpan w:val="2"/>
          </w:tcPr>
          <w:p w:rsidR="00942AB8" w:rsidRDefault="00F459DC" w:rsidP="00D06652">
            <w:pPr>
              <w:pStyle w:val="zSoquijlblLienParties"/>
            </w:pPr>
            <w:r>
              <w:t>et</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r w:rsidR="00942AB8" w:rsidTr="00D40ABA">
        <w:tc>
          <w:tcPr>
            <w:tcW w:w="4748" w:type="dxa"/>
            <w:gridSpan w:val="2"/>
          </w:tcPr>
          <w:p w:rsidR="00671CCB" w:rsidRDefault="00E0626C">
            <w:pPr>
              <w:pStyle w:val="zSoquijdatNomPartieDef"/>
              <w:rPr>
                <w:b/>
              </w:rPr>
            </w:pPr>
            <w:r>
              <w:rPr>
                <w:b/>
              </w:rPr>
              <w:t>Lab Société en Commandite-B.C.</w:t>
            </w:r>
            <w:r w:rsidR="00D673C7">
              <w:rPr>
                <w:b/>
              </w:rPr>
              <w:t xml:space="preserve"> (F)</w:t>
            </w:r>
          </w:p>
        </w:tc>
        <w:tc>
          <w:tcPr>
            <w:tcW w:w="4820" w:type="dxa"/>
            <w:gridSpan w:val="2"/>
          </w:tcPr>
          <w:p w:rsidR="00942AB8" w:rsidRDefault="00942AB8"/>
        </w:tc>
      </w:tr>
      <w:tr w:rsidR="00942AB8" w:rsidTr="00D40ABA">
        <w:tc>
          <w:tcPr>
            <w:tcW w:w="4748" w:type="dxa"/>
            <w:gridSpan w:val="2"/>
          </w:tcPr>
          <w:p w:rsidR="00942AB8" w:rsidRDefault="00481F4E">
            <w:pPr>
              <w:pStyle w:val="zSoquijdatQtePartieDef"/>
              <w:ind w:left="708"/>
            </w:pPr>
            <w:r>
              <w:t>Partie mise en cause</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bl>
    <w:p w:rsidR="00C74B6F" w:rsidRDefault="00C74B6F">
      <w:r>
        <w:t>______________________________________________________________________</w:t>
      </w:r>
    </w:p>
    <w:p w:rsidR="00C74B6F" w:rsidRDefault="00C74B6F"/>
    <w:p w:rsidR="00C74B6F" w:rsidRPr="005B0612" w:rsidRDefault="00C74B6F" w:rsidP="008B042E">
      <w:pPr>
        <w:jc w:val="center"/>
        <w:rPr>
          <w:b/>
          <w:bCs/>
        </w:rPr>
      </w:pPr>
      <w:bookmarkStart w:id="3" w:name="decision"/>
      <w:r w:rsidRPr="005B0612">
        <w:rPr>
          <w:b/>
          <w:bCs/>
        </w:rPr>
        <w:t>DÉCISION</w:t>
      </w:r>
      <w:bookmarkEnd w:id="3"/>
    </w:p>
    <w:p w:rsidR="00C74B6F" w:rsidRDefault="00C74B6F">
      <w:pPr>
        <w:jc w:val="center"/>
      </w:pPr>
      <w:r>
        <w:t>______________________________________________________________________</w:t>
      </w:r>
    </w:p>
    <w:p w:rsidR="00C74B6F" w:rsidRDefault="00C74B6F"/>
    <w:p w:rsidR="00C74B6F" w:rsidRDefault="00C74B6F"/>
    <w:p w:rsidR="006A5E15" w:rsidRDefault="00DC667A" w:rsidP="000F7CC6">
      <w:pPr>
        <w:pStyle w:val="corpsdedcision"/>
        <w:tabs>
          <w:tab w:val="clear" w:pos="360"/>
          <w:tab w:val="num" w:pos="720"/>
        </w:tabs>
      </w:pPr>
      <w:r>
        <w:t xml:space="preserve">Le </w:t>
      </w:r>
      <w:r w:rsidR="00E0626C">
        <w:t>7 juillet</w:t>
      </w:r>
      <w:r w:rsidR="00671CCB">
        <w:t xml:space="preserve"> 2016, monsieur </w:t>
      </w:r>
      <w:r w:rsidR="00E0626C">
        <w:t>Réal Binet</w:t>
      </w:r>
      <w:r w:rsidR="00671CCB">
        <w:t xml:space="preserve"> (le travailleur</w:t>
      </w:r>
      <w:r w:rsidR="00943AE3">
        <w:t xml:space="preserve">) dépose </w:t>
      </w:r>
      <w:r w:rsidR="00671CCB">
        <w:t>au Tribunal administratif du travail un acte introductif par lequel il</w:t>
      </w:r>
      <w:r w:rsidR="006A5E15">
        <w:t xml:space="preserve"> conteste une décision rendue par la </w:t>
      </w:r>
      <w:r w:rsidR="00671CCB" w:rsidRPr="00671CCB">
        <w:t>Commission des normes, de l’équité, de la santé et de la sécu</w:t>
      </w:r>
      <w:r w:rsidR="00671CCB">
        <w:t>rité du travail (la Commission)</w:t>
      </w:r>
      <w:r>
        <w:t xml:space="preserve"> le </w:t>
      </w:r>
      <w:r w:rsidR="00817CCD">
        <w:t>23 juin</w:t>
      </w:r>
      <w:r w:rsidR="00671CCB">
        <w:t xml:space="preserve"> 2016</w:t>
      </w:r>
      <w:r w:rsidR="006A5E15">
        <w:t xml:space="preserve"> à la suite d’une révision administrative.</w:t>
      </w:r>
    </w:p>
    <w:p w:rsidR="00943AE3" w:rsidRDefault="006A5E15" w:rsidP="000F7CC6">
      <w:pPr>
        <w:pStyle w:val="corpsdedcision"/>
        <w:tabs>
          <w:tab w:val="clear" w:pos="360"/>
          <w:tab w:val="num" w:pos="720"/>
        </w:tabs>
      </w:pPr>
      <w:r>
        <w:t>P</w:t>
      </w:r>
      <w:r w:rsidR="00671CCB">
        <w:t>ar cette décision, la Commission</w:t>
      </w:r>
      <w:r>
        <w:t xml:space="preserve"> confirme celle qu’</w:t>
      </w:r>
      <w:r w:rsidR="00DC667A">
        <w:t xml:space="preserve">elle a rendue le </w:t>
      </w:r>
      <w:r w:rsidR="00817CCD">
        <w:t>4 mars 2016</w:t>
      </w:r>
      <w:r>
        <w:t xml:space="preserve"> et déclare que </w:t>
      </w:r>
      <w:r w:rsidR="00671CCB">
        <w:t>le</w:t>
      </w:r>
      <w:r>
        <w:t xml:space="preserve"> tra</w:t>
      </w:r>
      <w:r w:rsidR="00671CCB">
        <w:t>vailleur</w:t>
      </w:r>
      <w:r w:rsidR="00943AE3">
        <w:t xml:space="preserve"> n’a pa</w:t>
      </w:r>
      <w:r w:rsidR="00671CCB">
        <w:t xml:space="preserve">s </w:t>
      </w:r>
      <w:r w:rsidR="00817CCD">
        <w:t>droit au remboursement du coût d’achat d’un téléphone amplifié.</w:t>
      </w:r>
    </w:p>
    <w:p w:rsidR="00817CCD" w:rsidRDefault="00EF1630" w:rsidP="000F7CC6">
      <w:pPr>
        <w:pStyle w:val="corpsdedcision"/>
        <w:tabs>
          <w:tab w:val="clear" w:pos="360"/>
          <w:tab w:val="num" w:pos="720"/>
        </w:tabs>
      </w:pPr>
      <w:r>
        <w:t>Une audience a</w:t>
      </w:r>
      <w:r w:rsidR="004969DE">
        <w:t xml:space="preserve"> </w:t>
      </w:r>
      <w:r w:rsidR="00671CCB">
        <w:t>eu lieu</w:t>
      </w:r>
      <w:r w:rsidR="00655521">
        <w:t xml:space="preserve"> </w:t>
      </w:r>
      <w:r w:rsidR="00817CCD">
        <w:t>à Thetford Mines le 24 octobre</w:t>
      </w:r>
      <w:r w:rsidR="00671CCB">
        <w:t xml:space="preserve"> 2016. Le tr</w:t>
      </w:r>
      <w:r w:rsidR="00817CCD">
        <w:t>availleur était présent et</w:t>
      </w:r>
      <w:r w:rsidR="00671CCB">
        <w:t xml:space="preserve"> représenté. </w:t>
      </w:r>
      <w:r w:rsidR="00817CCD" w:rsidRPr="00817CCD">
        <w:t>Lab Société en Commandite-B.C.</w:t>
      </w:r>
      <w:r w:rsidR="00943AE3">
        <w:t xml:space="preserve"> </w:t>
      </w:r>
      <w:r w:rsidR="00943AE3" w:rsidRPr="00943AE3">
        <w:t>(l’employeur)</w:t>
      </w:r>
      <w:r w:rsidR="00671CCB">
        <w:t xml:space="preserve"> n’est plus en activité</w:t>
      </w:r>
      <w:r w:rsidR="00943AE3" w:rsidRPr="00943AE3">
        <w:t>.</w:t>
      </w:r>
    </w:p>
    <w:p w:rsidR="00C74B6F" w:rsidRPr="00582308" w:rsidRDefault="00582308" w:rsidP="00582308">
      <w:pPr>
        <w:pStyle w:val="corpsdedcision"/>
        <w:numPr>
          <w:ilvl w:val="0"/>
          <w:numId w:val="0"/>
        </w:numPr>
        <w:rPr>
          <w:b/>
        </w:rPr>
      </w:pPr>
      <w:r w:rsidRPr="00582308">
        <w:rPr>
          <w:b/>
        </w:rPr>
        <w:lastRenderedPageBreak/>
        <w:t>L’OBJET DE</w:t>
      </w:r>
      <w:r w:rsidR="00256627">
        <w:rPr>
          <w:b/>
        </w:rPr>
        <w:t xml:space="preserve"> LA</w:t>
      </w:r>
      <w:r w:rsidRPr="00582308">
        <w:rPr>
          <w:b/>
        </w:rPr>
        <w:t xml:space="preserve"> CONTESTATION</w:t>
      </w:r>
    </w:p>
    <w:p w:rsidR="00943AE3" w:rsidRDefault="00671CCB" w:rsidP="003D4F92">
      <w:pPr>
        <w:pStyle w:val="corpsdedcision"/>
        <w:tabs>
          <w:tab w:val="clear" w:pos="360"/>
        </w:tabs>
      </w:pPr>
      <w:r>
        <w:t>Le travailleur</w:t>
      </w:r>
      <w:r w:rsidR="00245241">
        <w:t xml:space="preserve"> demande au tribunal de </w:t>
      </w:r>
      <w:r>
        <w:t>déclarer qu’il</w:t>
      </w:r>
      <w:r w:rsidR="00943AE3">
        <w:t xml:space="preserve"> a</w:t>
      </w:r>
      <w:r>
        <w:t xml:space="preserve"> </w:t>
      </w:r>
      <w:r w:rsidR="003D4F92" w:rsidRPr="003D4F92">
        <w:t xml:space="preserve">droit au remboursement du coût </w:t>
      </w:r>
      <w:r w:rsidR="003D4F92">
        <w:t xml:space="preserve">d’achat d’un téléphone amplifié puisque l’utilisation de cet appareil est </w:t>
      </w:r>
      <w:r w:rsidR="00D673C7">
        <w:t>maintenant</w:t>
      </w:r>
      <w:r w:rsidR="003D4F92">
        <w:t xml:space="preserve"> nécessaire en raison de sa surdité professionnelle.</w:t>
      </w:r>
    </w:p>
    <w:p w:rsidR="00693522" w:rsidRPr="00582308" w:rsidRDefault="00582308" w:rsidP="00582308">
      <w:pPr>
        <w:pStyle w:val="corpsdedcision"/>
        <w:numPr>
          <w:ilvl w:val="0"/>
          <w:numId w:val="0"/>
        </w:numPr>
        <w:rPr>
          <w:b/>
        </w:rPr>
      </w:pPr>
      <w:r w:rsidRPr="00582308">
        <w:rPr>
          <w:b/>
        </w:rPr>
        <w:t>LES FAITS ET LES MOTIFS</w:t>
      </w:r>
    </w:p>
    <w:p w:rsidR="00485E0A" w:rsidRDefault="00A06A3C" w:rsidP="000F7CC6">
      <w:pPr>
        <w:pStyle w:val="corpsdedcision"/>
        <w:tabs>
          <w:tab w:val="clear" w:pos="360"/>
          <w:tab w:val="num" w:pos="720"/>
        </w:tabs>
      </w:pPr>
      <w:r>
        <w:t>Le travailleur est embauché par l’emplo</w:t>
      </w:r>
      <w:r w:rsidR="009A5FAC">
        <w:t>yeur en 1969.</w:t>
      </w:r>
      <w:r>
        <w:t xml:space="preserve"> </w:t>
      </w:r>
      <w:r w:rsidR="00485E0A">
        <w:t>Il exerce différents métiers, dont celui de mécanicien, j</w:t>
      </w:r>
      <w:r>
        <w:t xml:space="preserve">usqu’à </w:t>
      </w:r>
      <w:r w:rsidR="009A5FAC">
        <w:t xml:space="preserve">ce qu’il prenne </w:t>
      </w:r>
      <w:r>
        <w:t>sa retraite</w:t>
      </w:r>
      <w:r w:rsidR="009A5FAC">
        <w:t xml:space="preserve"> </w:t>
      </w:r>
      <w:r>
        <w:t>en 1995</w:t>
      </w:r>
      <w:r w:rsidR="00485E0A">
        <w:t>.</w:t>
      </w:r>
    </w:p>
    <w:p w:rsidR="003D4F92" w:rsidRDefault="00D42AF0" w:rsidP="000F7CC6">
      <w:pPr>
        <w:pStyle w:val="corpsdedcision"/>
        <w:tabs>
          <w:tab w:val="clear" w:pos="360"/>
          <w:tab w:val="num" w:pos="720"/>
        </w:tabs>
      </w:pPr>
      <w:r>
        <w:t>Il est atteint d’une surdité professionnelle reconnue par la Commission en date du 14 mars 1996</w:t>
      </w:r>
      <w:r w:rsidR="00672365">
        <w:t>. L’atteinte permanente résultant de cette surdité est évaluée à 1,10</w:t>
      </w:r>
      <w:r w:rsidR="00D673C7">
        <w:t> </w:t>
      </w:r>
      <w:r w:rsidR="00672365">
        <w:t>%.</w:t>
      </w:r>
    </w:p>
    <w:p w:rsidR="008511DD" w:rsidRDefault="009A5FAC" w:rsidP="008511DD">
      <w:pPr>
        <w:pStyle w:val="corpsdedcision"/>
        <w:tabs>
          <w:tab w:val="clear" w:pos="360"/>
          <w:tab w:val="num" w:pos="720"/>
        </w:tabs>
      </w:pPr>
      <w:r>
        <w:t>Le 12 mars 2009, le travailleur subit une récidive, rechute ou aggravation de sa surdité</w:t>
      </w:r>
      <w:r w:rsidR="00D42AF0">
        <w:t>,</w:t>
      </w:r>
      <w:r>
        <w:t xml:space="preserve"> entraînant une augmentation de l’atteinte permanente de 6,30</w:t>
      </w:r>
      <w:r w:rsidR="00D673C7">
        <w:t> </w:t>
      </w:r>
      <w:r>
        <w:t>%.</w:t>
      </w:r>
      <w:r w:rsidR="007D123F">
        <w:t xml:space="preserve"> </w:t>
      </w:r>
      <w:r w:rsidR="00D42AF0">
        <w:t>Il est alors recommandé au travailleur d’utiliser un appareillage auditif binaural et un système</w:t>
      </w:r>
      <w:r w:rsidR="008511DD">
        <w:t xml:space="preserve"> </w:t>
      </w:r>
      <w:r w:rsidR="00D673C7">
        <w:t>MF</w:t>
      </w:r>
      <w:r w:rsidR="008511DD">
        <w:t xml:space="preserve"> (modulation de fréquence)</w:t>
      </w:r>
      <w:r w:rsidR="00485E0A">
        <w:t xml:space="preserve"> pour l’écoute de la télévision.</w:t>
      </w:r>
    </w:p>
    <w:p w:rsidR="00485E0A" w:rsidRDefault="00485E0A" w:rsidP="000F7CC6">
      <w:pPr>
        <w:pStyle w:val="corpsdedcision"/>
        <w:tabs>
          <w:tab w:val="clear" w:pos="360"/>
          <w:tab w:val="num" w:pos="720"/>
        </w:tabs>
      </w:pPr>
      <w:r>
        <w:t>Dans un rapport produit le 8 décembre 2015, monsieur Charles Riendeau, audiologiste, précise que la surdité du travailleur « est suffisante pour entraîner des incapacités et handicaps auditifs</w:t>
      </w:r>
      <w:r w:rsidR="00DA65F2">
        <w:t> ». Il recommande, notamment,</w:t>
      </w:r>
      <w:r>
        <w:t xml:space="preserve"> l’utilisation d’un téléphone amplifié</w:t>
      </w:r>
      <w:r w:rsidR="00DA65F2">
        <w:t>.</w:t>
      </w:r>
    </w:p>
    <w:p w:rsidR="00DA65F2" w:rsidRDefault="00485E0A" w:rsidP="00583CF4">
      <w:pPr>
        <w:pStyle w:val="corpsdedcision"/>
      </w:pPr>
      <w:r>
        <w:t>Le 8 mars 2016, une demande est faite à la Commission</w:t>
      </w:r>
      <w:r w:rsidR="00DA65F2">
        <w:t xml:space="preserve"> afin d’autoriser l’achat, par le travailleur, d’un tel téléphone.</w:t>
      </w:r>
    </w:p>
    <w:p w:rsidR="00DA65F2" w:rsidRDefault="00DA65F2" w:rsidP="00583CF4">
      <w:pPr>
        <w:pStyle w:val="corpsdedcision"/>
      </w:pPr>
      <w:r>
        <w:t>Dans une d</w:t>
      </w:r>
      <w:r w:rsidR="009A5FAC">
        <w:t xml:space="preserve">écision </w:t>
      </w:r>
      <w:r>
        <w:t xml:space="preserve">rendue le </w:t>
      </w:r>
      <w:r w:rsidR="009A5FAC">
        <w:t>4 mars 2016</w:t>
      </w:r>
      <w:r>
        <w:t>, la Commission accepte cette demande dans les termes suivants :</w:t>
      </w:r>
    </w:p>
    <w:p w:rsidR="00DA65F2" w:rsidRDefault="00DA65F2" w:rsidP="00DA65F2">
      <w:pPr>
        <w:pStyle w:val="citation"/>
      </w:pPr>
      <w:r>
        <w:t>Nous vous informons que nous acceptons de payer l’aide de suppléance à l’audition suivante : le téléphone amplifié. Un montant de 216.93 est autorisé pour l’acquisition de ces équipements.</w:t>
      </w:r>
    </w:p>
    <w:p w:rsidR="00DA65F2" w:rsidRDefault="00DA65F2" w:rsidP="00DA65F2">
      <w:pPr>
        <w:pStyle w:val="citation"/>
      </w:pPr>
    </w:p>
    <w:p w:rsidR="00DA65F2" w:rsidRDefault="00DA65F2" w:rsidP="00DA65F2">
      <w:pPr>
        <w:pStyle w:val="citation"/>
      </w:pPr>
    </w:p>
    <w:p w:rsidR="000868D7" w:rsidRDefault="00CD58BE" w:rsidP="000868D7">
      <w:pPr>
        <w:pStyle w:val="corpsdedcision"/>
      </w:pPr>
      <w:r>
        <w:t>Le</w:t>
      </w:r>
      <w:r w:rsidR="007D123F">
        <w:t xml:space="preserve"> 15 mars 2016</w:t>
      </w:r>
      <w:r>
        <w:t xml:space="preserve">, la Commission reconsidère toutefois cette décision. </w:t>
      </w:r>
      <w:r w:rsidR="000868D7">
        <w:t xml:space="preserve">S’appuyant sur un règlement adopté en vertu de la </w:t>
      </w:r>
      <w:r w:rsidR="000868D7" w:rsidRPr="000868D7">
        <w:rPr>
          <w:i/>
        </w:rPr>
        <w:t>Loi sur l’assurance-maladie</w:t>
      </w:r>
      <w:r w:rsidR="000868D7">
        <w:rPr>
          <w:rStyle w:val="Appelnotedebasdep"/>
          <w:i/>
        </w:rPr>
        <w:footnoteReference w:id="1"/>
      </w:r>
      <w:r w:rsidR="000868D7">
        <w:t xml:space="preserve">, elle considère que </w:t>
      </w:r>
      <w:r w:rsidR="000868D7" w:rsidRPr="000868D7">
        <w:t xml:space="preserve">la déficience auditive </w:t>
      </w:r>
      <w:r w:rsidR="000868D7">
        <w:t>du travailleur n’est pas suffisamment importante pour justifier le remboursement du coût d’achat d’un téléphone amplifié :</w:t>
      </w:r>
    </w:p>
    <w:p w:rsidR="000868D7" w:rsidRDefault="000868D7" w:rsidP="000868D7">
      <w:pPr>
        <w:pStyle w:val="citation"/>
      </w:pPr>
      <w:r>
        <w:lastRenderedPageBreak/>
        <w:t>En vertu de l’article 365, 1</w:t>
      </w:r>
      <w:r w:rsidRPr="000868D7">
        <w:rPr>
          <w:vertAlign w:val="superscript"/>
        </w:rPr>
        <w:t>er</w:t>
      </w:r>
      <w:r>
        <w:t xml:space="preserve"> alinéa de la Loi sur les accidents du travail et les maladies professionnelles, il y a lieu de reconsidérer la décision du 4 mars 2016 concernant l’admissibilité de la réclamation. Selon l’article 36, 1</w:t>
      </w:r>
      <w:r w:rsidRPr="000868D7">
        <w:rPr>
          <w:vertAlign w:val="superscript"/>
        </w:rPr>
        <w:t>er</w:t>
      </w:r>
      <w:r>
        <w:t xml:space="preserve"> paragraphe du règlement sur les aides auditives et les services assurés RAMQ, le déficit auditif minimal pour autoriser l’aide de suppléance à l’audition est de 55 DB pour la meilleure oreille alors que nous pouvons constater que vous êtes à 35 DB.</w:t>
      </w:r>
    </w:p>
    <w:p w:rsidR="000868D7" w:rsidRDefault="000868D7" w:rsidP="000868D7">
      <w:pPr>
        <w:pStyle w:val="citation"/>
      </w:pPr>
    </w:p>
    <w:p w:rsidR="000868D7" w:rsidRDefault="000868D7" w:rsidP="000868D7">
      <w:pPr>
        <w:pStyle w:val="citation"/>
      </w:pPr>
    </w:p>
    <w:p w:rsidR="000868D7" w:rsidRDefault="000868D7" w:rsidP="000868D7">
      <w:pPr>
        <w:pStyle w:val="corpsdedcision"/>
      </w:pPr>
      <w:r>
        <w:t xml:space="preserve">Cette décision est confirmée par la révision administrative le </w:t>
      </w:r>
      <w:r w:rsidR="00610932">
        <w:t>23 juin 2016 pour le même motif.</w:t>
      </w:r>
    </w:p>
    <w:p w:rsidR="008511DD" w:rsidRDefault="00610932" w:rsidP="008511DD">
      <w:pPr>
        <w:pStyle w:val="corpsdedcision"/>
      </w:pPr>
      <w:r>
        <w:t xml:space="preserve">Le tribunal doit donc décider si le travailleur </w:t>
      </w:r>
      <w:r w:rsidR="00F72AB6">
        <w:t xml:space="preserve">a droit </w:t>
      </w:r>
      <w:r w:rsidRPr="00610932">
        <w:t>au remboursement du coût d’achat d’un téléphone amplifié</w:t>
      </w:r>
      <w:r>
        <w:t>.</w:t>
      </w:r>
    </w:p>
    <w:p w:rsidR="00B07352" w:rsidRDefault="00C6176D" w:rsidP="00F51633">
      <w:pPr>
        <w:pStyle w:val="corpsdedcision"/>
      </w:pPr>
      <w:r>
        <w:t xml:space="preserve">Comme il a été décidé dans l’affaire </w:t>
      </w:r>
      <w:r w:rsidRPr="00C6176D">
        <w:rPr>
          <w:i/>
        </w:rPr>
        <w:t xml:space="preserve">Deslandes </w:t>
      </w:r>
      <w:r w:rsidRPr="00E35FBB">
        <w:t>et</w:t>
      </w:r>
      <w:r w:rsidRPr="00C6176D">
        <w:rPr>
          <w:i/>
        </w:rPr>
        <w:t xml:space="preserve"> AirBoss Produits d’ingénierie inc</w:t>
      </w:r>
      <w:r>
        <w:t>.</w:t>
      </w:r>
      <w:r>
        <w:rPr>
          <w:rStyle w:val="Appelnotedebasdep"/>
        </w:rPr>
        <w:footnoteReference w:id="2"/>
      </w:r>
      <w:r>
        <w:t xml:space="preserve">, c’est sous l’angle de la réadaptation que doit </w:t>
      </w:r>
      <w:r w:rsidR="00B07352">
        <w:t>être traitée une telle demande :</w:t>
      </w:r>
    </w:p>
    <w:p w:rsidR="00C22C04" w:rsidRDefault="00B07352" w:rsidP="00B07352">
      <w:pPr>
        <w:pStyle w:val="citation"/>
      </w:pPr>
      <w:r>
        <w:t xml:space="preserve">[28] </w:t>
      </w:r>
      <w:r w:rsidR="00C22C04" w:rsidRPr="00C22C04">
        <w:t xml:space="preserve">Quoi qu’il en soit, le tribunal est plutôt d’avis, comme dans l’affaire </w:t>
      </w:r>
      <w:r w:rsidR="00C22C04" w:rsidRPr="00C54BB0">
        <w:rPr>
          <w:i/>
        </w:rPr>
        <w:t>Thibault et Goodyear Canada inc</w:t>
      </w:r>
      <w:r w:rsidRPr="00C54BB0">
        <w:rPr>
          <w:i/>
        </w:rPr>
        <w:t>.</w:t>
      </w:r>
      <w:r w:rsidR="00C22C04" w:rsidRPr="00C54BB0">
        <w:rPr>
          <w:i/>
        </w:rPr>
        <w:t>,</w:t>
      </w:r>
      <w:r w:rsidR="00C22C04" w:rsidRPr="00C22C04">
        <w:t xml:space="preserve"> que c’est sous l’angle de la réadaptation que doit s’évaluer la demande de la travailleuse. En effet, la travailleuse conserve une atteinte permanente à l'intégrité physique ou psychique et elle a droit à la réadaptation que requiert son état conformément à l’article 145 de la loi :</w:t>
      </w:r>
    </w:p>
    <w:p w:rsidR="00B07352" w:rsidRPr="00C22C04" w:rsidRDefault="00B07352" w:rsidP="00B07352">
      <w:pPr>
        <w:pStyle w:val="citation"/>
      </w:pPr>
    </w:p>
    <w:p w:rsidR="00C22C04" w:rsidRPr="00C22C04" w:rsidRDefault="00C22C04" w:rsidP="00B07352">
      <w:pPr>
        <w:pStyle w:val="citation"/>
        <w:ind w:left="1416"/>
      </w:pPr>
      <w:r w:rsidRPr="00C22C04">
        <w:rPr>
          <w:b/>
          <w:bCs/>
        </w:rPr>
        <w:t>145.</w:t>
      </w:r>
      <w:r w:rsidRPr="00C22C04">
        <w:t xml:space="preserve">  Le travailleur qui, en raison de la lésion professionnelle dont il a été victime, subit une atteinte permanente à son intégrité physique ou psychique a droit, dans la mesure prévue par le présent chapitre, à la réadaptation que requiert son état en vue de sa réinsertion sociale et professionnelle.</w:t>
      </w:r>
    </w:p>
    <w:p w:rsidR="00C22C04" w:rsidRPr="00C22C04" w:rsidRDefault="00C22C04" w:rsidP="00B07352">
      <w:pPr>
        <w:pStyle w:val="citation"/>
        <w:ind w:firstLine="696"/>
      </w:pPr>
      <w:r w:rsidRPr="00C22C04">
        <w:t>__________</w:t>
      </w:r>
    </w:p>
    <w:p w:rsidR="00B07352" w:rsidRDefault="00C22C04" w:rsidP="00B07352">
      <w:pPr>
        <w:pStyle w:val="citation"/>
        <w:ind w:firstLine="696"/>
      </w:pPr>
      <w:r w:rsidRPr="00C22C04">
        <w:t>1985, c. 6, a. 145.</w:t>
      </w:r>
    </w:p>
    <w:p w:rsidR="00B07352" w:rsidRPr="00C22C04" w:rsidRDefault="00B07352" w:rsidP="00B07352">
      <w:pPr>
        <w:pStyle w:val="citation"/>
      </w:pPr>
    </w:p>
    <w:p w:rsidR="00C22C04" w:rsidRDefault="00C22C04" w:rsidP="00B07352">
      <w:pPr>
        <w:pStyle w:val="citation"/>
      </w:pPr>
      <w:r w:rsidRPr="00C22C04">
        <w:t>[29]</w:t>
      </w:r>
      <w:r w:rsidRPr="00B07352">
        <w:rPr>
          <w:rFonts w:ascii="Times New Roman" w:hAnsi="Times New Roman"/>
          <w:sz w:val="14"/>
          <w:szCs w:val="14"/>
        </w:rPr>
        <w:t xml:space="preserve"> </w:t>
      </w:r>
      <w:r w:rsidRPr="00C22C04">
        <w:t>Les articles 151 et 152 de la loi mentionnent ce qui suit à propos de la réadaptation sociale :</w:t>
      </w:r>
    </w:p>
    <w:p w:rsidR="00B07352" w:rsidRPr="00C22C04" w:rsidRDefault="00B07352" w:rsidP="00B07352">
      <w:pPr>
        <w:pStyle w:val="citation"/>
      </w:pPr>
    </w:p>
    <w:p w:rsidR="00C22C04" w:rsidRPr="00C22C04" w:rsidRDefault="00C22C04" w:rsidP="00B07352">
      <w:pPr>
        <w:pStyle w:val="citation"/>
        <w:ind w:left="1416"/>
      </w:pPr>
      <w:r w:rsidRPr="00C22C04">
        <w:rPr>
          <w:b/>
          <w:bCs/>
        </w:rPr>
        <w:t xml:space="preserve">151. </w:t>
      </w:r>
      <w:r w:rsidRPr="00C22C04">
        <w:t> La réadaptation sociale a pour but d'aider le travailleur à surmonter dans la mesure du possible les conséquences personnelles et sociales de sa lésion professionnelle, à s'adapter à la nouvelle situation qui découle de sa lésion et à redevenir autonome dans l'accomplissement de ses activités habituelles.</w:t>
      </w:r>
    </w:p>
    <w:p w:rsidR="00C22C04" w:rsidRPr="00C22C04" w:rsidRDefault="00C22C04" w:rsidP="00B07352">
      <w:pPr>
        <w:pStyle w:val="citation"/>
        <w:ind w:firstLine="696"/>
      </w:pPr>
      <w:r w:rsidRPr="00C22C04">
        <w:t>__________</w:t>
      </w:r>
    </w:p>
    <w:p w:rsidR="00C22C04" w:rsidRDefault="00C22C04" w:rsidP="00B07352">
      <w:pPr>
        <w:pStyle w:val="citation"/>
        <w:ind w:firstLine="696"/>
      </w:pPr>
      <w:r w:rsidRPr="00C22C04">
        <w:t>1985, c. 6, a. 151.</w:t>
      </w:r>
    </w:p>
    <w:p w:rsidR="00B07352" w:rsidRPr="00C22C04" w:rsidRDefault="00B07352" w:rsidP="00B07352">
      <w:pPr>
        <w:pStyle w:val="citation"/>
        <w:ind w:firstLine="696"/>
      </w:pPr>
    </w:p>
    <w:p w:rsidR="00C22C04" w:rsidRDefault="00C22C04" w:rsidP="00B07352">
      <w:pPr>
        <w:pStyle w:val="citation"/>
        <w:ind w:firstLine="696"/>
      </w:pPr>
      <w:r w:rsidRPr="00C22C04">
        <w:rPr>
          <w:b/>
          <w:bCs/>
        </w:rPr>
        <w:t>152.</w:t>
      </w:r>
      <w:r w:rsidRPr="00C22C04">
        <w:t xml:space="preserve">  Un programme de réadaptation sociale peut comprendre notamment :</w:t>
      </w:r>
    </w:p>
    <w:p w:rsidR="00B07352" w:rsidRPr="00C22C04" w:rsidRDefault="00B07352" w:rsidP="00B07352">
      <w:pPr>
        <w:pStyle w:val="citation"/>
      </w:pPr>
    </w:p>
    <w:p w:rsidR="00C22C04" w:rsidRPr="00C22C04" w:rsidRDefault="00C22C04" w:rsidP="00B07352">
      <w:pPr>
        <w:pStyle w:val="citation"/>
        <w:ind w:firstLine="696"/>
      </w:pPr>
      <w:r w:rsidRPr="00C22C04">
        <w:t>1° des services professionnels d'intervention psychosociale;</w:t>
      </w:r>
    </w:p>
    <w:p w:rsidR="00C22C04" w:rsidRPr="00C22C04" w:rsidRDefault="00C22C04" w:rsidP="00B07352">
      <w:pPr>
        <w:pStyle w:val="citation"/>
      </w:pPr>
    </w:p>
    <w:p w:rsidR="00C22C04" w:rsidRPr="00C22C04" w:rsidRDefault="00C22C04" w:rsidP="00B07352">
      <w:pPr>
        <w:pStyle w:val="citation"/>
        <w:ind w:left="1416"/>
      </w:pPr>
      <w:r w:rsidRPr="00C22C04">
        <w:t>2° la mise en oeuvre de moyens pour procurer au travailleur un domicile et un véhicule adaptés à sa capacité résiduelle;</w:t>
      </w:r>
    </w:p>
    <w:p w:rsidR="00C22C04" w:rsidRPr="00C22C04" w:rsidRDefault="00C22C04" w:rsidP="00B07352">
      <w:pPr>
        <w:pStyle w:val="citation"/>
        <w:ind w:left="1416"/>
      </w:pPr>
      <w:r w:rsidRPr="00C22C04">
        <w:t> </w:t>
      </w:r>
    </w:p>
    <w:p w:rsidR="00C22C04" w:rsidRPr="00C22C04" w:rsidRDefault="00C22C04" w:rsidP="00B07352">
      <w:pPr>
        <w:pStyle w:val="citation"/>
        <w:ind w:left="1416"/>
      </w:pPr>
      <w:r w:rsidRPr="00C22C04">
        <w:t>3° le paiement de frais d'aide personnelle à domicile;</w:t>
      </w:r>
    </w:p>
    <w:p w:rsidR="00C22C04" w:rsidRPr="00C22C04" w:rsidRDefault="00C22C04" w:rsidP="00B07352">
      <w:pPr>
        <w:pStyle w:val="citation"/>
        <w:ind w:left="1416"/>
      </w:pPr>
      <w:r w:rsidRPr="00C22C04">
        <w:t> </w:t>
      </w:r>
    </w:p>
    <w:p w:rsidR="00C22C04" w:rsidRPr="00C22C04" w:rsidRDefault="00C22C04" w:rsidP="00B07352">
      <w:pPr>
        <w:pStyle w:val="citation"/>
        <w:ind w:left="1416"/>
      </w:pPr>
      <w:r w:rsidRPr="00C22C04">
        <w:lastRenderedPageBreak/>
        <w:t>4° le remboursement de frais de garde d'enfants;</w:t>
      </w:r>
    </w:p>
    <w:p w:rsidR="00C22C04" w:rsidRPr="00C22C04" w:rsidRDefault="00C22C04" w:rsidP="00B07352">
      <w:pPr>
        <w:pStyle w:val="citation"/>
        <w:ind w:left="1416"/>
      </w:pPr>
      <w:r w:rsidRPr="00C22C04">
        <w:t> </w:t>
      </w:r>
    </w:p>
    <w:p w:rsidR="00C22C04" w:rsidRPr="00C22C04" w:rsidRDefault="00C22C04" w:rsidP="00B07352">
      <w:pPr>
        <w:pStyle w:val="citation"/>
        <w:ind w:left="1416"/>
      </w:pPr>
      <w:r w:rsidRPr="00C22C04">
        <w:t>5° le remboursement du coût des travaux d'entretien courant du domicile.</w:t>
      </w:r>
    </w:p>
    <w:p w:rsidR="00C22C04" w:rsidRPr="00C22C04" w:rsidRDefault="00C22C04" w:rsidP="00B07352">
      <w:pPr>
        <w:pStyle w:val="citation"/>
        <w:ind w:left="1416"/>
      </w:pPr>
      <w:r w:rsidRPr="00C22C04">
        <w:t>__________</w:t>
      </w:r>
    </w:p>
    <w:p w:rsidR="00C22C04" w:rsidRDefault="00C22C04" w:rsidP="00B07352">
      <w:pPr>
        <w:pStyle w:val="citation"/>
        <w:ind w:left="1416"/>
      </w:pPr>
      <w:r w:rsidRPr="00C22C04">
        <w:t>1985, c. 6, a. 152.</w:t>
      </w:r>
    </w:p>
    <w:p w:rsidR="00B07352" w:rsidRDefault="00B07352" w:rsidP="00B07352">
      <w:pPr>
        <w:pStyle w:val="citation"/>
        <w:ind w:left="1416"/>
      </w:pPr>
    </w:p>
    <w:p w:rsidR="00B07352" w:rsidRPr="00C22C04" w:rsidRDefault="00B07352" w:rsidP="00B07352">
      <w:pPr>
        <w:pStyle w:val="citation"/>
      </w:pPr>
    </w:p>
    <w:p w:rsidR="00C22C04" w:rsidRDefault="00C22C04" w:rsidP="00C54BB0">
      <w:pPr>
        <w:pStyle w:val="citation"/>
      </w:pPr>
      <w:r w:rsidRPr="00C22C04">
        <w:t>[30]</w:t>
      </w:r>
      <w:r w:rsidRPr="00C22C04">
        <w:rPr>
          <w:rFonts w:ascii="Times New Roman" w:hAnsi="Times New Roman"/>
          <w:sz w:val="14"/>
          <w:szCs w:val="14"/>
        </w:rPr>
        <w:t xml:space="preserve"> </w:t>
      </w:r>
      <w:r w:rsidRPr="00C22C04">
        <w:t>De plus, l’article 184 de la loi qui se retrouve aussi au chapitre de la réadaptation prévoit que la CSST peut prendre toute mesure qu’elle estime utile pour atténuer ou faire disparaître les conséquences d’une lésion professionnelle :</w:t>
      </w:r>
    </w:p>
    <w:p w:rsidR="00C54BB0" w:rsidRPr="00C22C04" w:rsidRDefault="00C54BB0" w:rsidP="00C54BB0">
      <w:pPr>
        <w:pStyle w:val="citation"/>
      </w:pPr>
    </w:p>
    <w:p w:rsidR="00C22C04" w:rsidRDefault="00C22C04" w:rsidP="00C54BB0">
      <w:pPr>
        <w:pStyle w:val="citation"/>
        <w:ind w:left="1416"/>
      </w:pPr>
      <w:r w:rsidRPr="00C54BB0">
        <w:rPr>
          <w:b/>
          <w:bCs/>
        </w:rPr>
        <w:t>184.</w:t>
      </w:r>
      <w:r w:rsidRPr="00C22C04">
        <w:t xml:space="preserve">  La Commission peut :</w:t>
      </w:r>
    </w:p>
    <w:p w:rsidR="00C54BB0" w:rsidRPr="00C22C04" w:rsidRDefault="00C54BB0" w:rsidP="00C54BB0">
      <w:pPr>
        <w:pStyle w:val="citation"/>
        <w:ind w:left="1416"/>
      </w:pPr>
    </w:p>
    <w:p w:rsidR="00C22C04" w:rsidRDefault="00C22C04" w:rsidP="00C54BB0">
      <w:pPr>
        <w:pStyle w:val="citation"/>
        <w:ind w:left="1416"/>
      </w:pPr>
      <w:r w:rsidRPr="00C22C04">
        <w:t>1° développer et soutenir les activités des personnes et des organismes qui s'occupent de réadaptation et coopérer avec eux;</w:t>
      </w:r>
    </w:p>
    <w:p w:rsidR="00C54BB0" w:rsidRPr="00C22C04" w:rsidRDefault="00C54BB0" w:rsidP="00C54BB0">
      <w:pPr>
        <w:pStyle w:val="citation"/>
        <w:ind w:left="1416"/>
      </w:pPr>
    </w:p>
    <w:p w:rsidR="00C22C04" w:rsidRDefault="00C22C04" w:rsidP="00C54BB0">
      <w:pPr>
        <w:pStyle w:val="citation"/>
        <w:ind w:left="1416"/>
      </w:pPr>
      <w:r w:rsidRPr="00C22C04">
        <w:t xml:space="preserve">2° évaluer l'efficacité des politiques, des programmes et des services de réadaptation disponibles; </w:t>
      </w:r>
    </w:p>
    <w:p w:rsidR="00C54BB0" w:rsidRPr="00C22C04" w:rsidRDefault="00C54BB0" w:rsidP="00C54BB0">
      <w:pPr>
        <w:pStyle w:val="citation"/>
        <w:ind w:left="1416"/>
      </w:pPr>
    </w:p>
    <w:p w:rsidR="00C22C04" w:rsidRDefault="00C22C04" w:rsidP="00C54BB0">
      <w:pPr>
        <w:pStyle w:val="citation"/>
        <w:ind w:left="1416"/>
      </w:pPr>
      <w:r w:rsidRPr="00C22C04">
        <w:t>3° effectuer ou faire effectuer des études et des recherches sur la réadaptation;</w:t>
      </w:r>
    </w:p>
    <w:p w:rsidR="00C54BB0" w:rsidRPr="00C22C04" w:rsidRDefault="00C54BB0" w:rsidP="00C54BB0">
      <w:pPr>
        <w:pStyle w:val="citation"/>
        <w:ind w:left="1416"/>
      </w:pPr>
    </w:p>
    <w:p w:rsidR="00C22C04" w:rsidRDefault="00C22C04" w:rsidP="00C54BB0">
      <w:pPr>
        <w:pStyle w:val="citation"/>
        <w:ind w:left="1416"/>
      </w:pPr>
      <w:r w:rsidRPr="00C22C04">
        <w:t>4° prendre toute mesure qu'elle estime utile pour favoriser la réinsertion professionnelle du conjoint d'un travailleur décédé en raison d'une lésion professionnelle;</w:t>
      </w:r>
    </w:p>
    <w:p w:rsidR="00C54BB0" w:rsidRPr="00C22C04" w:rsidRDefault="00C54BB0" w:rsidP="00C54BB0">
      <w:pPr>
        <w:pStyle w:val="citation"/>
        <w:ind w:left="1416"/>
      </w:pPr>
    </w:p>
    <w:p w:rsidR="00C22C04" w:rsidRDefault="00C22C04" w:rsidP="00C54BB0">
      <w:pPr>
        <w:pStyle w:val="citation"/>
        <w:ind w:left="1416"/>
      </w:pPr>
      <w:r w:rsidRPr="00C22C04">
        <w:t>5° prendre toute mesure qu'elle estime utile pour atténuer ou faire disparaître les conséquences d'une lésion professionnelle.</w:t>
      </w:r>
    </w:p>
    <w:p w:rsidR="00C54BB0" w:rsidRPr="00C22C04" w:rsidRDefault="00C54BB0" w:rsidP="00C54BB0">
      <w:pPr>
        <w:pStyle w:val="citation"/>
        <w:ind w:left="1416"/>
      </w:pPr>
    </w:p>
    <w:p w:rsidR="00C22C04" w:rsidRPr="00C22C04" w:rsidRDefault="00C22C04" w:rsidP="00C54BB0">
      <w:pPr>
        <w:pStyle w:val="citation"/>
        <w:ind w:left="1416"/>
      </w:pPr>
      <w:r w:rsidRPr="00C22C04">
        <w:t>Aux fins des paragraphes 1°, 2° et 3°, la Commission forme un comité multidisciplinaire.</w:t>
      </w:r>
    </w:p>
    <w:p w:rsidR="00C22C04" w:rsidRPr="00C22C04" w:rsidRDefault="00C22C04" w:rsidP="00C54BB0">
      <w:pPr>
        <w:pStyle w:val="citation"/>
        <w:ind w:left="1416"/>
      </w:pPr>
      <w:r w:rsidRPr="00C22C04">
        <w:t>__________</w:t>
      </w:r>
    </w:p>
    <w:p w:rsidR="00C22C04" w:rsidRDefault="00C22C04" w:rsidP="00C54BB0">
      <w:pPr>
        <w:pStyle w:val="citation"/>
        <w:ind w:left="1416"/>
      </w:pPr>
      <w:r w:rsidRPr="00C22C04">
        <w:t>1985, c. 6, a. 184.</w:t>
      </w:r>
    </w:p>
    <w:p w:rsidR="00C54BB0" w:rsidRDefault="00C54BB0" w:rsidP="00C54BB0">
      <w:pPr>
        <w:pStyle w:val="citation"/>
        <w:ind w:left="1416"/>
      </w:pPr>
    </w:p>
    <w:p w:rsidR="00C54BB0" w:rsidRPr="00C22C04" w:rsidRDefault="00C54BB0" w:rsidP="00C54BB0">
      <w:pPr>
        <w:pStyle w:val="citation"/>
      </w:pPr>
    </w:p>
    <w:p w:rsidR="00C22C04" w:rsidRDefault="00C22C04" w:rsidP="00C54BB0">
      <w:pPr>
        <w:pStyle w:val="citation"/>
      </w:pPr>
      <w:r w:rsidRPr="00C22C04">
        <w:t>[31]</w:t>
      </w:r>
      <w:r w:rsidRPr="00C22C04">
        <w:rPr>
          <w:rFonts w:ascii="Times New Roman" w:hAnsi="Times New Roman"/>
          <w:sz w:val="14"/>
          <w:szCs w:val="14"/>
        </w:rPr>
        <w:t xml:space="preserve"> </w:t>
      </w:r>
      <w:r w:rsidRPr="00C22C04">
        <w:t>Il a déjà été reconnu que des aides à la communication ou de suppléances à l’audition pouvaient constituer des mesures de réadaptation sociale.</w:t>
      </w:r>
    </w:p>
    <w:p w:rsidR="00C54BB0" w:rsidRPr="00C22C04" w:rsidRDefault="00C54BB0" w:rsidP="00C54BB0">
      <w:pPr>
        <w:pStyle w:val="citation"/>
      </w:pPr>
    </w:p>
    <w:p w:rsidR="00C22C04" w:rsidRDefault="00C22C04" w:rsidP="00C54BB0">
      <w:pPr>
        <w:pStyle w:val="citation"/>
      </w:pPr>
      <w:r w:rsidRPr="00C22C04">
        <w:t>[32]</w:t>
      </w:r>
      <w:r w:rsidRPr="00C22C04">
        <w:rPr>
          <w:rFonts w:ascii="Times New Roman" w:hAnsi="Times New Roman"/>
          <w:sz w:val="14"/>
          <w:szCs w:val="14"/>
        </w:rPr>
        <w:t xml:space="preserve"> </w:t>
      </w:r>
      <w:r w:rsidRPr="00C22C04">
        <w:t xml:space="preserve">Dans l’affaire </w:t>
      </w:r>
      <w:r w:rsidRPr="00C54BB0">
        <w:rPr>
          <w:i/>
        </w:rPr>
        <w:t>Choquette et Sécurité Incendie</w:t>
      </w:r>
      <w:r w:rsidRPr="00C22C04">
        <w:t>, la Commission des lésions professionnelles, saisie d’une demande de remboursement d’un système de connectivité pour téléviseur, s’exprime ainsi :</w:t>
      </w:r>
    </w:p>
    <w:p w:rsidR="00C54BB0" w:rsidRPr="00C22C04" w:rsidRDefault="00C54BB0" w:rsidP="00C54BB0">
      <w:pPr>
        <w:pStyle w:val="citation"/>
      </w:pPr>
    </w:p>
    <w:p w:rsidR="00C22C04" w:rsidRPr="00C54BB0" w:rsidRDefault="00C54BB0" w:rsidP="00C54BB0">
      <w:pPr>
        <w:pStyle w:val="citation"/>
        <w:ind w:left="1416"/>
        <w:rPr>
          <w:vertAlign w:val="superscript"/>
        </w:rPr>
      </w:pPr>
      <w:r>
        <w:t>[20]</w:t>
      </w:r>
      <w:r w:rsidR="00C22C04" w:rsidRPr="00C22C04">
        <w:t xml:space="preserve"> Au départ, la jurisprudence a indiqué à plus d’une reprise que la « combinaison » des articles 145, 152 et 184 de la loi permet d’envisager une mesure qui n’es</w:t>
      </w:r>
      <w:r>
        <w:t>t pas spé</w:t>
      </w:r>
      <w:r w:rsidR="00C22C04" w:rsidRPr="00C22C04">
        <w:t>cifiquement énumérée à la loi, mais qui répond à l’obje</w:t>
      </w:r>
      <w:r>
        <w:t>ctif de la réadaptation sociale</w:t>
      </w:r>
      <w:r w:rsidR="00C22C04" w:rsidRPr="00C22C04">
        <w:t>.</w:t>
      </w:r>
    </w:p>
    <w:p w:rsidR="00C54BB0" w:rsidRPr="00C22C04" w:rsidRDefault="00C54BB0" w:rsidP="00C54BB0">
      <w:pPr>
        <w:pStyle w:val="citation"/>
        <w:ind w:left="1416"/>
      </w:pPr>
    </w:p>
    <w:p w:rsidR="00C22C04" w:rsidRDefault="00C54BB0" w:rsidP="00C54BB0">
      <w:pPr>
        <w:pStyle w:val="citation"/>
        <w:ind w:left="1416"/>
      </w:pPr>
      <w:r>
        <w:t>[21]</w:t>
      </w:r>
      <w:r w:rsidR="00C22C04" w:rsidRPr="00C22C04">
        <w:t xml:space="preserve"> Ce type d’aide correspond à ce qui est prévu au chapitre IV de la loi, notamment aux articles 145 et 151 selon lesquels un travailleur qui subit une atteinte permanente à son intégrité physique a droit à la réadaptation que requiert son état, dont des mesures de réadaptation sociale. Ces mesures visent à l’aider entre autres à surmonter les conséquences personnelles et sociales de sa lésion professionnelle. De plus, même si l’article 152 de la loi prévoit une série de mesures, la jurisprudence a plus d’une fois reconnu que cette énumération n’est pas exclusive.</w:t>
      </w:r>
    </w:p>
    <w:p w:rsidR="00C54BB0" w:rsidRPr="00C22C04" w:rsidRDefault="00C54BB0" w:rsidP="00C54BB0">
      <w:pPr>
        <w:pStyle w:val="citation"/>
        <w:ind w:left="1416"/>
      </w:pPr>
    </w:p>
    <w:p w:rsidR="00C22C04" w:rsidRDefault="00C54BB0" w:rsidP="00C54BB0">
      <w:pPr>
        <w:pStyle w:val="citation"/>
        <w:ind w:left="1416"/>
      </w:pPr>
      <w:r>
        <w:t>[22]</w:t>
      </w:r>
      <w:r w:rsidR="00C22C04" w:rsidRPr="00C22C04">
        <w:t xml:space="preserve"> Enfin, au 5</w:t>
      </w:r>
      <w:r w:rsidR="00C22C04" w:rsidRPr="00C54BB0">
        <w:rPr>
          <w:vertAlign w:val="superscript"/>
        </w:rPr>
        <w:t>e</w:t>
      </w:r>
      <w:r w:rsidR="00C22C04" w:rsidRPr="00C22C04">
        <w:t xml:space="preserve"> paragraphe de l’article 184 de la loi, qui fait également partie du chapitre de la réadaptation, il est prévu ce qui suit : </w:t>
      </w:r>
    </w:p>
    <w:p w:rsidR="00C54BB0" w:rsidRPr="00C22C04" w:rsidRDefault="00C54BB0" w:rsidP="00C54BB0">
      <w:pPr>
        <w:pStyle w:val="citation"/>
        <w:ind w:left="1416"/>
      </w:pPr>
    </w:p>
    <w:p w:rsidR="00C22C04" w:rsidRDefault="00C22C04" w:rsidP="00C54BB0">
      <w:pPr>
        <w:pStyle w:val="citation"/>
        <w:ind w:left="1416" w:firstLine="708"/>
      </w:pPr>
      <w:r w:rsidRPr="00C22C04">
        <w:t>184. La Commission peut :</w:t>
      </w:r>
    </w:p>
    <w:p w:rsidR="00C54BB0" w:rsidRPr="00C54BB0" w:rsidRDefault="00C54BB0" w:rsidP="00C54BB0">
      <w:pPr>
        <w:pStyle w:val="citation"/>
        <w:ind w:left="1416"/>
        <w:rPr>
          <w:sz w:val="24"/>
        </w:rPr>
      </w:pPr>
    </w:p>
    <w:p w:rsidR="00C22C04" w:rsidRPr="00C54BB0" w:rsidRDefault="00C22C04" w:rsidP="00C54BB0">
      <w:pPr>
        <w:pStyle w:val="citation"/>
        <w:ind w:left="2124"/>
        <w:rPr>
          <w:sz w:val="18"/>
          <w:szCs w:val="18"/>
        </w:rPr>
      </w:pPr>
      <w:r w:rsidRPr="00C22C04">
        <w:t xml:space="preserve">5° prendre toute mesure qu'elle estime utile pour atténuer ou faire disparaître les conséquences d'une lésion professionnelle. </w:t>
      </w:r>
    </w:p>
    <w:p w:rsidR="00C22C04" w:rsidRPr="00C22C04" w:rsidRDefault="00C22C04" w:rsidP="00C54BB0">
      <w:pPr>
        <w:pStyle w:val="citation"/>
        <w:ind w:left="1416" w:firstLine="708"/>
        <w:rPr>
          <w:sz w:val="18"/>
          <w:szCs w:val="18"/>
        </w:rPr>
      </w:pPr>
      <w:r w:rsidRPr="00C22C04">
        <w:t>__________</w:t>
      </w:r>
    </w:p>
    <w:p w:rsidR="00C54BB0" w:rsidRDefault="00C22C04" w:rsidP="00C54BB0">
      <w:pPr>
        <w:pStyle w:val="citation"/>
        <w:ind w:left="1416" w:firstLine="708"/>
      </w:pPr>
      <w:r w:rsidRPr="00C22C04">
        <w:t>1985, c. 6, a. 184.</w:t>
      </w:r>
    </w:p>
    <w:p w:rsidR="00C54BB0" w:rsidRDefault="00C54BB0" w:rsidP="00C54BB0">
      <w:pPr>
        <w:pStyle w:val="citation"/>
        <w:ind w:left="1416"/>
      </w:pPr>
    </w:p>
    <w:p w:rsidR="00C54BB0" w:rsidRDefault="00C54BB0" w:rsidP="00C54BB0">
      <w:pPr>
        <w:pStyle w:val="citation"/>
        <w:ind w:left="1416"/>
      </w:pPr>
      <w:r>
        <w:t>[23]</w:t>
      </w:r>
      <w:r w:rsidR="00C22C04" w:rsidRPr="00C22C04">
        <w:t xml:space="preserve"> Comme il a été dit, c’est la combina</w:t>
      </w:r>
      <w:r>
        <w:t xml:space="preserve">ison de ces articles qui permet </w:t>
      </w:r>
      <w:r w:rsidR="00C22C04" w:rsidRPr="00C22C04">
        <w:t>l’octroi d’une mesure qui, par ailleurs, n’est pas spécifiquement prévue à la loi. Toutefois, une telle interprétation ne permet pas d’accorder n’importe quelle demande, chaque cas devant être analysé selon ses faits propres. Il faut cependant donner un sens au 5e paragraphe de l’article 184 lorsque les circonstances le permettent. Exclure son application seulement parce que l’aide sollicitée n’est pas prévue à l’article 189 de la loi par exemple, n’atteint pas cet objectif.</w:t>
      </w:r>
    </w:p>
    <w:p w:rsidR="00C54BB0" w:rsidRPr="00C54BB0" w:rsidRDefault="00C54BB0" w:rsidP="00C54BB0">
      <w:pPr>
        <w:pStyle w:val="citation"/>
        <w:rPr>
          <w:sz w:val="18"/>
          <w:szCs w:val="18"/>
        </w:rPr>
      </w:pPr>
    </w:p>
    <w:p w:rsidR="00C22C04" w:rsidRDefault="00C22C04" w:rsidP="00C54BB0">
      <w:pPr>
        <w:pStyle w:val="citation"/>
      </w:pPr>
      <w:r w:rsidRPr="00C22C04">
        <w:t>[33]</w:t>
      </w:r>
      <w:r w:rsidRPr="00C22C04">
        <w:rPr>
          <w:rFonts w:ascii="Times New Roman" w:hAnsi="Times New Roman"/>
          <w:sz w:val="14"/>
          <w:szCs w:val="14"/>
        </w:rPr>
        <w:t xml:space="preserve"> </w:t>
      </w:r>
      <w:r w:rsidRPr="00C22C04">
        <w:t xml:space="preserve">Le but de la réadaptation professionnelle est de permettre au travailleur de surmonter les conséquences personnelles et sociales de sa lésion professionnelle et de s'adapter à sa nouvelle situation. En vertu de l’article 184, cinquième alinéa, la CSST peut prendre toute mesure qu'elle estime utile pour atténuer ou faire disparaître les conséquences d'une lésion professionnelle. </w:t>
      </w:r>
    </w:p>
    <w:p w:rsidR="00C54BB0" w:rsidRPr="00C22C04" w:rsidRDefault="00C54BB0" w:rsidP="00C54BB0">
      <w:pPr>
        <w:pStyle w:val="citation"/>
      </w:pPr>
    </w:p>
    <w:p w:rsidR="00C22C04" w:rsidRDefault="00C22C04" w:rsidP="00C54BB0">
      <w:pPr>
        <w:pStyle w:val="citation"/>
      </w:pPr>
      <w:r w:rsidRPr="00C22C04">
        <w:t>[34]</w:t>
      </w:r>
      <w:r w:rsidRPr="00C22C04">
        <w:rPr>
          <w:rFonts w:ascii="Times New Roman" w:hAnsi="Times New Roman"/>
          <w:sz w:val="14"/>
          <w:szCs w:val="14"/>
        </w:rPr>
        <w:t xml:space="preserve"> </w:t>
      </w:r>
      <w:r w:rsidRPr="00C22C04">
        <w:t>La question qui se pose est donc de savoir si les difficultés qu’éprouve la travailleuse au téléphone, pour écouter la télévision ou entendre le réveille-matin sont une conséquence de sa lésion professionnelle de 2009.</w:t>
      </w:r>
    </w:p>
    <w:p w:rsidR="003A479F" w:rsidRDefault="003A479F" w:rsidP="00C54BB0">
      <w:pPr>
        <w:pStyle w:val="citation"/>
      </w:pPr>
    </w:p>
    <w:p w:rsidR="002A0B8C" w:rsidRDefault="002A0B8C" w:rsidP="00E35FBB">
      <w:pPr>
        <w:pStyle w:val="Dfinitions"/>
      </w:pPr>
      <w:r>
        <w:t>__________</w:t>
      </w:r>
    </w:p>
    <w:p w:rsidR="003A479F" w:rsidRDefault="003A479F" w:rsidP="00C54BB0">
      <w:pPr>
        <w:pStyle w:val="citation"/>
      </w:pPr>
      <w:r>
        <w:t>[Notes omises]</w:t>
      </w:r>
    </w:p>
    <w:p w:rsidR="00C54BB0" w:rsidRDefault="00C54BB0" w:rsidP="00C54BB0">
      <w:pPr>
        <w:pStyle w:val="citation"/>
      </w:pPr>
    </w:p>
    <w:p w:rsidR="00C54BB0" w:rsidRDefault="00C54BB0" w:rsidP="00C54BB0">
      <w:pPr>
        <w:pStyle w:val="citation"/>
      </w:pPr>
    </w:p>
    <w:p w:rsidR="00C54BB0" w:rsidRDefault="00C54BB0" w:rsidP="003A479F">
      <w:pPr>
        <w:pStyle w:val="corpsdedcision"/>
      </w:pPr>
      <w:r>
        <w:t xml:space="preserve">Dans le présent cas, le travailleur présente une surdité de nature professionnelle </w:t>
      </w:r>
      <w:r w:rsidR="002A0B8C">
        <w:t>entraînant</w:t>
      </w:r>
      <w:r>
        <w:t xml:space="preserve"> une atteinte permanente globale de </w:t>
      </w:r>
      <w:r w:rsidR="003A479F">
        <w:t>7,40</w:t>
      </w:r>
      <w:r w:rsidR="002A0B8C">
        <w:t> </w:t>
      </w:r>
      <w:r w:rsidR="003A479F">
        <w:t xml:space="preserve">%. Il a donc droit à la réadaptation que requiert son état en </w:t>
      </w:r>
      <w:r w:rsidR="003A479F" w:rsidRPr="003A479F">
        <w:t>vue de sa réinsertion sociale</w:t>
      </w:r>
      <w:r w:rsidR="003A479F">
        <w:t>.</w:t>
      </w:r>
    </w:p>
    <w:p w:rsidR="003A479F" w:rsidRDefault="003A479F" w:rsidP="00C54BB0">
      <w:pPr>
        <w:pStyle w:val="corpsdedcision"/>
        <w:tabs>
          <w:tab w:val="clear" w:pos="360"/>
          <w:tab w:val="num" w:pos="720"/>
        </w:tabs>
      </w:pPr>
      <w:r>
        <w:t>Monsieur Charles Riendeau, audiologiste</w:t>
      </w:r>
      <w:r w:rsidR="002A0B8C">
        <w:t>,</w:t>
      </w:r>
      <w:r>
        <w:t xml:space="preserve"> a effectué une évaluation globale des besoins du travailleur. Dans son rapport daté du 8 décembre 2015, il est d’avis que les « incapacités et handicaps auditifs » du travailleur justifie</w:t>
      </w:r>
      <w:r w:rsidR="002A0B8C">
        <w:t>nt</w:t>
      </w:r>
      <w:r>
        <w:t xml:space="preserve"> l’utilisation d’un téléphone amplifié.</w:t>
      </w:r>
    </w:p>
    <w:p w:rsidR="00E35FBB" w:rsidRDefault="00E35FBB" w:rsidP="00E35FBB">
      <w:pPr>
        <w:pStyle w:val="corpsdedcision"/>
      </w:pPr>
      <w:r>
        <w:t xml:space="preserve">Aucune disposition de la </w:t>
      </w:r>
      <w:r w:rsidRPr="00C57EEB">
        <w:rPr>
          <w:i/>
          <w:iCs/>
        </w:rPr>
        <w:t>Loi sur les accidents du travail et les maladies professionnelles</w:t>
      </w:r>
      <w:r>
        <w:rPr>
          <w:rStyle w:val="Appelnotedebasdep"/>
        </w:rPr>
        <w:footnoteReference w:id="3"/>
      </w:r>
      <w:r>
        <w:rPr>
          <w:i/>
          <w:iCs/>
        </w:rPr>
        <w:t xml:space="preserve"> </w:t>
      </w:r>
      <w:r>
        <w:rPr>
          <w:iCs/>
        </w:rPr>
        <w:t>(la loi)</w:t>
      </w:r>
      <w:r w:rsidRPr="00E35FBB">
        <w:t xml:space="preserve"> n'assujettit le droit au remboursement du coût d'un téléphone amplifié à un niveau d'atteinte auditive spécifique.</w:t>
      </w:r>
    </w:p>
    <w:p w:rsidR="00C22C04" w:rsidRDefault="00DC5F42" w:rsidP="00C22C04">
      <w:pPr>
        <w:pStyle w:val="corpsdedcision"/>
      </w:pPr>
      <w:r>
        <w:lastRenderedPageBreak/>
        <w:t>En conséquence de ce qui précède, le travailleur</w:t>
      </w:r>
      <w:r w:rsidR="00C22C04" w:rsidRPr="00C22C04">
        <w:t xml:space="preserve"> a droit au remboursement du coût d’achat </w:t>
      </w:r>
      <w:r>
        <w:t xml:space="preserve">d’un téléphone amplifié </w:t>
      </w:r>
      <w:r w:rsidR="00C22C04" w:rsidRPr="00C22C04">
        <w:t xml:space="preserve">tel que recommandé par l’audiologiste puisque cela lui permettra de surmonter </w:t>
      </w:r>
      <w:r w:rsidR="002A0B8C">
        <w:t>l’</w:t>
      </w:r>
      <w:r w:rsidR="00C22C04" w:rsidRPr="00C22C04">
        <w:t>une des conséquences de sa surdité professionnelle. Il s’agit d’une mesure de réadaptati</w:t>
      </w:r>
      <w:r>
        <w:t>on sociale à laquelle a droit le travailleur</w:t>
      </w:r>
      <w:r w:rsidR="00C22C04" w:rsidRPr="00C22C04">
        <w:t>.</w:t>
      </w:r>
    </w:p>
    <w:p w:rsidR="002A0B8C" w:rsidRPr="00C22C04" w:rsidRDefault="002A0B8C" w:rsidP="00E35FBB">
      <w:pPr>
        <w:pStyle w:val="corpsdedcision"/>
        <w:numPr>
          <w:ilvl w:val="0"/>
          <w:numId w:val="0"/>
        </w:numPr>
      </w:pPr>
    </w:p>
    <w:p w:rsidR="00C74B6F" w:rsidRDefault="00C74B6F">
      <w:pPr>
        <w:pStyle w:val="Dispositif"/>
      </w:pPr>
      <w:r>
        <w:rPr>
          <w:b/>
        </w:rPr>
        <w:t>P</w:t>
      </w:r>
      <w:r w:rsidR="00D07FA6">
        <w:rPr>
          <w:b/>
        </w:rPr>
        <w:t>AR CES MOTIFS, LE TRIBUNAL ADMINISTRATIF DU TRAVAIL</w:t>
      </w:r>
      <w:r>
        <w:rPr>
          <w:b/>
        </w:rPr>
        <w:t> :</w:t>
      </w:r>
    </w:p>
    <w:p w:rsidR="00B05B24" w:rsidRDefault="009F3C68" w:rsidP="00B05B24">
      <w:pPr>
        <w:pStyle w:val="Dispositif"/>
      </w:pPr>
      <w:r>
        <w:rPr>
          <w:b/>
        </w:rPr>
        <w:t>ACC</w:t>
      </w:r>
      <w:r w:rsidR="00EA4B47">
        <w:rPr>
          <w:b/>
        </w:rPr>
        <w:t>UEILLE</w:t>
      </w:r>
      <w:r w:rsidR="00EA4B47">
        <w:t xml:space="preserve"> la demande</w:t>
      </w:r>
      <w:r w:rsidR="001E307E">
        <w:t xml:space="preserve"> </w:t>
      </w:r>
      <w:r w:rsidR="00F666F3">
        <w:t>de m</w:t>
      </w:r>
      <w:r w:rsidR="00EA4B47">
        <w:t>onsieur Réal Binet</w:t>
      </w:r>
      <w:r w:rsidR="002A0B8C">
        <w:t xml:space="preserve">, </w:t>
      </w:r>
      <w:r w:rsidR="005A2857">
        <w:t>le</w:t>
      </w:r>
      <w:r w:rsidR="00632466">
        <w:t xml:space="preserve"> </w:t>
      </w:r>
      <w:r w:rsidR="005A2857">
        <w:t>travailleur</w:t>
      </w:r>
      <w:r w:rsidR="00B05B24">
        <w:t>;</w:t>
      </w:r>
    </w:p>
    <w:p w:rsidR="00B05B24" w:rsidRDefault="00EA4B47" w:rsidP="00B05B24">
      <w:pPr>
        <w:pStyle w:val="Dispositif"/>
      </w:pPr>
      <w:r>
        <w:rPr>
          <w:b/>
        </w:rPr>
        <w:t>IN</w:t>
      </w:r>
      <w:r w:rsidR="00B05B24" w:rsidRPr="00B05B24">
        <w:rPr>
          <w:b/>
        </w:rPr>
        <w:t>FIRME</w:t>
      </w:r>
      <w:r w:rsidR="00B05B24">
        <w:t xml:space="preserve"> la décision rendue p</w:t>
      </w:r>
      <w:r w:rsidR="00154AF4">
        <w:t xml:space="preserve">ar la </w:t>
      </w:r>
      <w:r w:rsidR="00154AF4" w:rsidRPr="00154AF4">
        <w:t>Commission des normes, de l’équité, de la santé et de la sécurité du trav</w:t>
      </w:r>
      <w:r>
        <w:t>ail</w:t>
      </w:r>
      <w:r w:rsidR="009F3C68">
        <w:t xml:space="preserve"> le </w:t>
      </w:r>
      <w:r>
        <w:t>23 juin</w:t>
      </w:r>
      <w:r w:rsidR="00154AF4" w:rsidRPr="00154AF4">
        <w:t xml:space="preserve"> 2016 à la suite d’une révision administrati</w:t>
      </w:r>
      <w:r w:rsidR="00154AF4">
        <w:t>ve</w:t>
      </w:r>
      <w:r w:rsidR="00B05B24">
        <w:t>;</w:t>
      </w:r>
    </w:p>
    <w:p w:rsidR="009A67D0" w:rsidRDefault="00B05B24" w:rsidP="00B05B24">
      <w:pPr>
        <w:pStyle w:val="Dispositif"/>
      </w:pPr>
      <w:r w:rsidRPr="00B05B24">
        <w:rPr>
          <w:b/>
        </w:rPr>
        <w:t>DÉCLARE</w:t>
      </w:r>
      <w:r w:rsidR="001E307E">
        <w:t xml:space="preserve"> que </w:t>
      </w:r>
      <w:r w:rsidR="000F7CC6">
        <w:t xml:space="preserve">le travailleur </w:t>
      </w:r>
      <w:r w:rsidR="00EA4B47" w:rsidRPr="00EA4B47">
        <w:t>a droit au remboursement du coût d’ach</w:t>
      </w:r>
      <w:r w:rsidR="00EA4B47">
        <w:t>at d’un téléphone amplifié.</w:t>
      </w:r>
    </w:p>
    <w:p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tc>
          <w:tcPr>
            <w:tcW w:w="4795" w:type="dxa"/>
          </w:tcPr>
          <w:p w:rsidR="00C74B6F" w:rsidRDefault="00C74B6F"/>
        </w:tc>
        <w:tc>
          <w:tcPr>
            <w:tcW w:w="4795" w:type="dxa"/>
          </w:tcPr>
          <w:p w:rsidR="00C74B6F" w:rsidRDefault="00C74B6F">
            <w:bookmarkStart w:id="4" w:name="signature"/>
            <w:bookmarkEnd w:id="4"/>
            <w:r>
              <w:t>__________________________________</w:t>
            </w:r>
          </w:p>
        </w:tc>
      </w:tr>
      <w:tr w:rsidR="00C74B6F">
        <w:tc>
          <w:tcPr>
            <w:tcW w:w="4795" w:type="dxa"/>
          </w:tcPr>
          <w:p w:rsidR="00C74B6F" w:rsidRDefault="00C74B6F"/>
        </w:tc>
        <w:tc>
          <w:tcPr>
            <w:tcW w:w="4795" w:type="dxa"/>
          </w:tcPr>
          <w:p w:rsidR="00C74B6F" w:rsidRDefault="002A0B8C">
            <w:r>
              <w:t>Michel Sansfaçon</w:t>
            </w:r>
          </w:p>
        </w:tc>
      </w:tr>
      <w:tr w:rsidR="00C74B6F">
        <w:trPr>
          <w:cantSplit/>
        </w:trPr>
        <w:tc>
          <w:tcPr>
            <w:tcW w:w="9590" w:type="dxa"/>
            <w:gridSpan w:val="2"/>
          </w:tcPr>
          <w:p w:rsidR="00C74B6F" w:rsidRDefault="00C74B6F"/>
        </w:tc>
      </w:tr>
      <w:tr w:rsidR="00C74B6F">
        <w:trPr>
          <w:cantSplit/>
        </w:trPr>
        <w:tc>
          <w:tcPr>
            <w:tcW w:w="9590" w:type="dxa"/>
            <w:gridSpan w:val="2"/>
          </w:tcPr>
          <w:p w:rsidR="00C74B6F" w:rsidRPr="00C912F9" w:rsidRDefault="00C74B6F" w:rsidP="00EC5C8D">
            <w:pPr>
              <w:tabs>
                <w:tab w:val="left" w:pos="1592"/>
              </w:tabs>
            </w:pPr>
          </w:p>
        </w:tc>
      </w:tr>
      <w:tr w:rsidR="00C74B6F">
        <w:trPr>
          <w:cantSplit/>
        </w:trPr>
        <w:tc>
          <w:tcPr>
            <w:tcW w:w="9590" w:type="dxa"/>
            <w:gridSpan w:val="2"/>
          </w:tcPr>
          <w:p w:rsidR="00C74B6F" w:rsidRDefault="002A0B8C">
            <w:pPr>
              <w:pStyle w:val="zSoquijdatNomProcureurDem"/>
            </w:pPr>
            <w:r>
              <w:t xml:space="preserve">M. Yves Poulin </w:t>
            </w:r>
          </w:p>
        </w:tc>
      </w:tr>
      <w:tr w:rsidR="00C74B6F">
        <w:trPr>
          <w:cantSplit/>
        </w:trPr>
        <w:tc>
          <w:tcPr>
            <w:tcW w:w="9590" w:type="dxa"/>
            <w:gridSpan w:val="2"/>
          </w:tcPr>
          <w:p w:rsidR="00C74B6F" w:rsidRDefault="00CB05A7">
            <w:pPr>
              <w:pStyle w:val="zSoquijlblProcureurDem"/>
            </w:pPr>
            <w:r>
              <w:t>Pour la partie demanderesse</w:t>
            </w:r>
          </w:p>
        </w:tc>
      </w:tr>
      <w:tr w:rsidR="00C74B6F">
        <w:trPr>
          <w:cantSplit/>
        </w:trPr>
        <w:tc>
          <w:tcPr>
            <w:tcW w:w="9590" w:type="dxa"/>
            <w:gridSpan w:val="2"/>
          </w:tcPr>
          <w:p w:rsidR="00C74B6F" w:rsidRDefault="00C74B6F"/>
        </w:tc>
      </w:tr>
      <w:tr w:rsidR="00C15A3F">
        <w:trPr>
          <w:cantSplit/>
        </w:trPr>
        <w:tc>
          <w:tcPr>
            <w:tcW w:w="9590" w:type="dxa"/>
            <w:gridSpan w:val="2"/>
          </w:tcPr>
          <w:p w:rsidR="00C15A3F" w:rsidRDefault="00C15A3F" w:rsidP="002A0B8C">
            <w:pPr>
              <w:pStyle w:val="zSoquijdatDateAudience"/>
            </w:pPr>
            <w:r>
              <w:t>Date de la dernière audience :</w:t>
            </w:r>
            <w:r w:rsidR="00597016">
              <w:tab/>
            </w:r>
            <w:r w:rsidR="002A0B8C">
              <w:t>24 octobre 2016</w:t>
            </w:r>
          </w:p>
        </w:tc>
      </w:tr>
    </w:tbl>
    <w:p w:rsidR="00F576E7" w:rsidRDefault="00F576E7" w:rsidP="00FD0133"/>
    <w:sectPr w:rsidR="00F576E7">
      <w:headerReference w:type="default" r:id="rId9"/>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AAA" w:rsidRDefault="004A3AAA">
      <w:r>
        <w:separator/>
      </w:r>
    </w:p>
  </w:endnote>
  <w:endnote w:type="continuationSeparator" w:id="0">
    <w:p w:rsidR="004A3AAA" w:rsidRDefault="004A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AAA" w:rsidRDefault="004A3AAA">
      <w:r>
        <w:separator/>
      </w:r>
    </w:p>
  </w:footnote>
  <w:footnote w:type="continuationSeparator" w:id="0">
    <w:p w:rsidR="004A3AAA" w:rsidRDefault="004A3AAA">
      <w:r>
        <w:continuationSeparator/>
      </w:r>
    </w:p>
  </w:footnote>
  <w:footnote w:id="1">
    <w:p w:rsidR="000868D7" w:rsidRPr="000868D7" w:rsidRDefault="000868D7">
      <w:pPr>
        <w:pStyle w:val="Notedebasdepage"/>
        <w:rPr>
          <w:sz w:val="20"/>
        </w:rPr>
      </w:pPr>
      <w:r w:rsidRPr="000868D7">
        <w:rPr>
          <w:rStyle w:val="Appelnotedebasdep"/>
          <w:sz w:val="20"/>
        </w:rPr>
        <w:footnoteRef/>
      </w:r>
      <w:r w:rsidRPr="000868D7">
        <w:rPr>
          <w:sz w:val="20"/>
        </w:rPr>
        <w:t xml:space="preserve"> </w:t>
      </w:r>
      <w:r w:rsidR="002A0B8C">
        <w:rPr>
          <w:sz w:val="20"/>
        </w:rPr>
        <w:tab/>
      </w:r>
      <w:r w:rsidRPr="000868D7">
        <w:rPr>
          <w:sz w:val="20"/>
        </w:rPr>
        <w:t>RLRQ, chapitre A-29.</w:t>
      </w:r>
    </w:p>
  </w:footnote>
  <w:footnote w:id="2">
    <w:p w:rsidR="00C6176D" w:rsidRPr="00C6176D" w:rsidRDefault="00C6176D">
      <w:pPr>
        <w:pStyle w:val="Notedebasdepage"/>
        <w:rPr>
          <w:sz w:val="20"/>
        </w:rPr>
      </w:pPr>
      <w:r w:rsidRPr="00C6176D">
        <w:rPr>
          <w:rStyle w:val="Appelnotedebasdep"/>
          <w:sz w:val="20"/>
        </w:rPr>
        <w:footnoteRef/>
      </w:r>
      <w:r w:rsidRPr="00C6176D">
        <w:rPr>
          <w:sz w:val="20"/>
        </w:rPr>
        <w:t xml:space="preserve"> </w:t>
      </w:r>
      <w:r w:rsidR="002A0B8C">
        <w:rPr>
          <w:sz w:val="20"/>
        </w:rPr>
        <w:tab/>
      </w:r>
      <w:r w:rsidRPr="00C6176D">
        <w:rPr>
          <w:sz w:val="20"/>
        </w:rPr>
        <w:t>2015 QCCLP 1915</w:t>
      </w:r>
      <w:r w:rsidR="00E35FBB">
        <w:rPr>
          <w:sz w:val="20"/>
        </w:rPr>
        <w:t xml:space="preserve">; voir aussi </w:t>
      </w:r>
      <w:r w:rsidR="00E35FBB">
        <w:rPr>
          <w:rStyle w:val="Accentuation"/>
          <w:sz w:val="20"/>
        </w:rPr>
        <w:t xml:space="preserve">Dussault </w:t>
      </w:r>
      <w:r w:rsidR="00E35FBB" w:rsidRPr="00E35FBB">
        <w:rPr>
          <w:rStyle w:val="Accentuation"/>
          <w:i w:val="0"/>
          <w:sz w:val="20"/>
        </w:rPr>
        <w:t>et</w:t>
      </w:r>
      <w:r w:rsidR="00E35FBB">
        <w:rPr>
          <w:rStyle w:val="Accentuation"/>
          <w:sz w:val="20"/>
        </w:rPr>
        <w:t xml:space="preserve"> Structures DLD ltée</w:t>
      </w:r>
      <w:r w:rsidR="00E35FBB">
        <w:rPr>
          <w:sz w:val="20"/>
        </w:rPr>
        <w:t>, 2016 QCTAT 5122.</w:t>
      </w:r>
    </w:p>
  </w:footnote>
  <w:footnote w:id="3">
    <w:p w:rsidR="00E35FBB" w:rsidRDefault="00E35FBB" w:rsidP="0007644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A-3.001.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 w:type="dxa"/>
      <w:tblLayout w:type="fixed"/>
      <w:tblCellMar>
        <w:left w:w="70" w:type="dxa"/>
        <w:right w:w="70" w:type="dxa"/>
      </w:tblCellMar>
      <w:tblLook w:val="0000" w:firstRow="0" w:lastRow="0" w:firstColumn="0" w:lastColumn="0" w:noHBand="0" w:noVBand="0"/>
    </w:tblPr>
    <w:tblGrid>
      <w:gridCol w:w="8730"/>
      <w:gridCol w:w="860"/>
    </w:tblGrid>
    <w:tr w:rsidR="00556DBB">
      <w:tc>
        <w:tcPr>
          <w:tcW w:w="8730" w:type="dxa"/>
        </w:tcPr>
        <w:p w:rsidR="00556DBB" w:rsidRDefault="00556DBB">
          <w:pPr>
            <w:pStyle w:val="En-tte"/>
            <w:ind w:left="-90"/>
          </w:pPr>
        </w:p>
      </w:tc>
      <w:tc>
        <w:tcPr>
          <w:tcW w:w="860" w:type="dxa"/>
        </w:tcPr>
        <w:p w:rsidR="00556DBB" w:rsidRDefault="00556DBB">
          <w:pPr>
            <w:pStyle w:val="En-tte"/>
            <w:ind w:left="-90"/>
          </w:pPr>
        </w:p>
      </w:tc>
    </w:tr>
    <w:tr w:rsidR="00556DBB">
      <w:tc>
        <w:tcPr>
          <w:tcW w:w="8730" w:type="dxa"/>
        </w:tcPr>
        <w:p w:rsidR="00556DBB" w:rsidRDefault="00D673C7">
          <w:r>
            <w:t>611277-03B-1607</w:t>
          </w:r>
        </w:p>
      </w:tc>
      <w:tc>
        <w:tcPr>
          <w:tcW w:w="860" w:type="dxa"/>
        </w:tcPr>
        <w:p w:rsidR="00556DBB" w:rsidRDefault="00556DBB">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66511C">
            <w:rPr>
              <w:rStyle w:val="Numrodepage"/>
              <w:noProof/>
            </w:rPr>
            <w:t>5</w:t>
          </w:r>
          <w:r>
            <w:rPr>
              <w:rStyle w:val="Numrodepage"/>
            </w:rPr>
            <w:fldChar w:fldCharType="end"/>
          </w:r>
        </w:p>
      </w:tc>
    </w:tr>
    <w:tr w:rsidR="00556DBB">
      <w:tc>
        <w:tcPr>
          <w:tcW w:w="8730" w:type="dxa"/>
        </w:tcPr>
        <w:p w:rsidR="00556DBB" w:rsidRDefault="00556DBB"/>
      </w:tc>
      <w:tc>
        <w:tcPr>
          <w:tcW w:w="860" w:type="dxa"/>
        </w:tcPr>
        <w:p w:rsidR="00556DBB" w:rsidRDefault="00556DBB">
          <w:pPr>
            <w:pStyle w:val="En-tte"/>
            <w:ind w:left="-90"/>
            <w:jc w:val="right"/>
          </w:pPr>
        </w:p>
      </w:tc>
    </w:tr>
  </w:tbl>
  <w:p w:rsidR="00556DBB" w:rsidRDefault="00556DB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E60E0"/>
    <w:multiLevelType w:val="singleLevel"/>
    <w:tmpl w:val="0C0C000F"/>
    <w:lvl w:ilvl="0">
      <w:start w:val="1"/>
      <w:numFmt w:val="decimal"/>
      <w:lvlText w:val="%1."/>
      <w:lvlJc w:val="left"/>
      <w:pPr>
        <w:tabs>
          <w:tab w:val="num" w:pos="360"/>
        </w:tabs>
        <w:ind w:left="360" w:hanging="360"/>
      </w:pPr>
    </w:lvl>
  </w:abstractNum>
  <w:abstractNum w:abstractNumId="1">
    <w:nsid w:val="3EB8687A"/>
    <w:multiLevelType w:val="hybridMultilevel"/>
    <w:tmpl w:val="C7C6AE98"/>
    <w:lvl w:ilvl="0" w:tplc="B6EE39CC">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51D87FE0"/>
    <w:multiLevelType w:val="hybridMultilevel"/>
    <w:tmpl w:val="BFD25274"/>
    <w:lvl w:ilvl="0" w:tplc="F0C44634">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nsid w:val="59DE5410"/>
    <w:multiLevelType w:val="hybridMultilevel"/>
    <w:tmpl w:val="1576A8AC"/>
    <w:lvl w:ilvl="0" w:tplc="E2E63C98">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7">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8">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42"/>
    <w:rsid w:val="000034B0"/>
    <w:rsid w:val="000041A1"/>
    <w:rsid w:val="000050AF"/>
    <w:rsid w:val="00021B30"/>
    <w:rsid w:val="00021E4C"/>
    <w:rsid w:val="000232CD"/>
    <w:rsid w:val="000267A7"/>
    <w:rsid w:val="000348F8"/>
    <w:rsid w:val="00035EB8"/>
    <w:rsid w:val="000366EC"/>
    <w:rsid w:val="00043E4D"/>
    <w:rsid w:val="0004468F"/>
    <w:rsid w:val="00046B93"/>
    <w:rsid w:val="00051171"/>
    <w:rsid w:val="00053B8B"/>
    <w:rsid w:val="000576D4"/>
    <w:rsid w:val="00061348"/>
    <w:rsid w:val="0006184C"/>
    <w:rsid w:val="0006596B"/>
    <w:rsid w:val="0007225E"/>
    <w:rsid w:val="000726F1"/>
    <w:rsid w:val="00076D81"/>
    <w:rsid w:val="00080312"/>
    <w:rsid w:val="0008378A"/>
    <w:rsid w:val="000864E4"/>
    <w:rsid w:val="000868D7"/>
    <w:rsid w:val="0008784D"/>
    <w:rsid w:val="00090018"/>
    <w:rsid w:val="00090306"/>
    <w:rsid w:val="00093A66"/>
    <w:rsid w:val="00093ACD"/>
    <w:rsid w:val="0009467F"/>
    <w:rsid w:val="00095814"/>
    <w:rsid w:val="00097D81"/>
    <w:rsid w:val="000A1261"/>
    <w:rsid w:val="000A2950"/>
    <w:rsid w:val="000A3647"/>
    <w:rsid w:val="000A77C5"/>
    <w:rsid w:val="000B7637"/>
    <w:rsid w:val="000B7F1B"/>
    <w:rsid w:val="000C23A6"/>
    <w:rsid w:val="000C29FB"/>
    <w:rsid w:val="000D1360"/>
    <w:rsid w:val="000D3948"/>
    <w:rsid w:val="000D551B"/>
    <w:rsid w:val="000E086C"/>
    <w:rsid w:val="000E0C28"/>
    <w:rsid w:val="000E1320"/>
    <w:rsid w:val="000E56A6"/>
    <w:rsid w:val="000E616E"/>
    <w:rsid w:val="000E62E0"/>
    <w:rsid w:val="000F0293"/>
    <w:rsid w:val="000F3423"/>
    <w:rsid w:val="000F7CC6"/>
    <w:rsid w:val="00100932"/>
    <w:rsid w:val="001050B4"/>
    <w:rsid w:val="001130D2"/>
    <w:rsid w:val="001225BC"/>
    <w:rsid w:val="0012326A"/>
    <w:rsid w:val="0012649F"/>
    <w:rsid w:val="001308C7"/>
    <w:rsid w:val="00132363"/>
    <w:rsid w:val="001407FC"/>
    <w:rsid w:val="00145E69"/>
    <w:rsid w:val="00147180"/>
    <w:rsid w:val="00147A49"/>
    <w:rsid w:val="00147B8B"/>
    <w:rsid w:val="00147C7D"/>
    <w:rsid w:val="0015125A"/>
    <w:rsid w:val="00152464"/>
    <w:rsid w:val="00154031"/>
    <w:rsid w:val="00154AF4"/>
    <w:rsid w:val="00154F3E"/>
    <w:rsid w:val="0015539F"/>
    <w:rsid w:val="001557EF"/>
    <w:rsid w:val="001568C4"/>
    <w:rsid w:val="00157B45"/>
    <w:rsid w:val="00160597"/>
    <w:rsid w:val="001664C8"/>
    <w:rsid w:val="001675FE"/>
    <w:rsid w:val="001676A6"/>
    <w:rsid w:val="001678BF"/>
    <w:rsid w:val="00167AD0"/>
    <w:rsid w:val="00171C6F"/>
    <w:rsid w:val="00173184"/>
    <w:rsid w:val="00175079"/>
    <w:rsid w:val="00183515"/>
    <w:rsid w:val="00184C98"/>
    <w:rsid w:val="0019381A"/>
    <w:rsid w:val="00196882"/>
    <w:rsid w:val="001A03BE"/>
    <w:rsid w:val="001A067E"/>
    <w:rsid w:val="001A081F"/>
    <w:rsid w:val="001A19E5"/>
    <w:rsid w:val="001A2900"/>
    <w:rsid w:val="001A4081"/>
    <w:rsid w:val="001A65F1"/>
    <w:rsid w:val="001A782C"/>
    <w:rsid w:val="001B106D"/>
    <w:rsid w:val="001B2B40"/>
    <w:rsid w:val="001B33A7"/>
    <w:rsid w:val="001B3E9D"/>
    <w:rsid w:val="001C0FD8"/>
    <w:rsid w:val="001C2B0B"/>
    <w:rsid w:val="001C7F1F"/>
    <w:rsid w:val="001E307E"/>
    <w:rsid w:val="001E3A14"/>
    <w:rsid w:val="001E47B0"/>
    <w:rsid w:val="002046E7"/>
    <w:rsid w:val="002050C6"/>
    <w:rsid w:val="0021053C"/>
    <w:rsid w:val="00210AC2"/>
    <w:rsid w:val="00210B28"/>
    <w:rsid w:val="00212B2E"/>
    <w:rsid w:val="002206D9"/>
    <w:rsid w:val="002216D8"/>
    <w:rsid w:val="00224BE8"/>
    <w:rsid w:val="00225F1C"/>
    <w:rsid w:val="00227040"/>
    <w:rsid w:val="00230CFC"/>
    <w:rsid w:val="00230E28"/>
    <w:rsid w:val="00231C1D"/>
    <w:rsid w:val="00232822"/>
    <w:rsid w:val="00240033"/>
    <w:rsid w:val="00241CED"/>
    <w:rsid w:val="00242FB4"/>
    <w:rsid w:val="00245241"/>
    <w:rsid w:val="00245605"/>
    <w:rsid w:val="00245CD2"/>
    <w:rsid w:val="00247486"/>
    <w:rsid w:val="0025027A"/>
    <w:rsid w:val="002563F0"/>
    <w:rsid w:val="00256627"/>
    <w:rsid w:val="00260F0D"/>
    <w:rsid w:val="00261B76"/>
    <w:rsid w:val="00265D9E"/>
    <w:rsid w:val="00266064"/>
    <w:rsid w:val="00266621"/>
    <w:rsid w:val="00267C8D"/>
    <w:rsid w:val="002701DD"/>
    <w:rsid w:val="002769B5"/>
    <w:rsid w:val="00276B59"/>
    <w:rsid w:val="00281319"/>
    <w:rsid w:val="00281AA9"/>
    <w:rsid w:val="00283186"/>
    <w:rsid w:val="00285356"/>
    <w:rsid w:val="00286149"/>
    <w:rsid w:val="0028668D"/>
    <w:rsid w:val="00290289"/>
    <w:rsid w:val="00292BF8"/>
    <w:rsid w:val="00295817"/>
    <w:rsid w:val="002964C8"/>
    <w:rsid w:val="00296645"/>
    <w:rsid w:val="00296A4B"/>
    <w:rsid w:val="00297284"/>
    <w:rsid w:val="002A0077"/>
    <w:rsid w:val="002A0B8C"/>
    <w:rsid w:val="002A0E07"/>
    <w:rsid w:val="002A199D"/>
    <w:rsid w:val="002A374B"/>
    <w:rsid w:val="002A3B9F"/>
    <w:rsid w:val="002A65A4"/>
    <w:rsid w:val="002A6A2D"/>
    <w:rsid w:val="002B27F2"/>
    <w:rsid w:val="002B2FC3"/>
    <w:rsid w:val="002B35F0"/>
    <w:rsid w:val="002B58AF"/>
    <w:rsid w:val="002B5E1F"/>
    <w:rsid w:val="002C3748"/>
    <w:rsid w:val="002C4B99"/>
    <w:rsid w:val="002C5014"/>
    <w:rsid w:val="002D30F5"/>
    <w:rsid w:val="002D6A98"/>
    <w:rsid w:val="002D71A9"/>
    <w:rsid w:val="002E2F00"/>
    <w:rsid w:val="002F0C6B"/>
    <w:rsid w:val="002F3CD2"/>
    <w:rsid w:val="002F7507"/>
    <w:rsid w:val="003030A7"/>
    <w:rsid w:val="00304BFA"/>
    <w:rsid w:val="00305273"/>
    <w:rsid w:val="003057FC"/>
    <w:rsid w:val="00306D05"/>
    <w:rsid w:val="00307C85"/>
    <w:rsid w:val="00312983"/>
    <w:rsid w:val="003168EE"/>
    <w:rsid w:val="00323C1E"/>
    <w:rsid w:val="003248CB"/>
    <w:rsid w:val="00327DDA"/>
    <w:rsid w:val="00331D46"/>
    <w:rsid w:val="00331EA7"/>
    <w:rsid w:val="003332B8"/>
    <w:rsid w:val="00334931"/>
    <w:rsid w:val="003416A6"/>
    <w:rsid w:val="00344465"/>
    <w:rsid w:val="003521CB"/>
    <w:rsid w:val="00352E93"/>
    <w:rsid w:val="0035375B"/>
    <w:rsid w:val="003559E5"/>
    <w:rsid w:val="003578A7"/>
    <w:rsid w:val="00363CD8"/>
    <w:rsid w:val="003664E9"/>
    <w:rsid w:val="00367667"/>
    <w:rsid w:val="00373EE5"/>
    <w:rsid w:val="00376F04"/>
    <w:rsid w:val="00382C9B"/>
    <w:rsid w:val="00382E55"/>
    <w:rsid w:val="00384AA0"/>
    <w:rsid w:val="00392229"/>
    <w:rsid w:val="003961B2"/>
    <w:rsid w:val="003964FF"/>
    <w:rsid w:val="003A39EB"/>
    <w:rsid w:val="003A45E6"/>
    <w:rsid w:val="003A479F"/>
    <w:rsid w:val="003A6CE8"/>
    <w:rsid w:val="003B152B"/>
    <w:rsid w:val="003B1734"/>
    <w:rsid w:val="003B1735"/>
    <w:rsid w:val="003B42EA"/>
    <w:rsid w:val="003B6CBF"/>
    <w:rsid w:val="003C20D9"/>
    <w:rsid w:val="003C2101"/>
    <w:rsid w:val="003C47A7"/>
    <w:rsid w:val="003C5BED"/>
    <w:rsid w:val="003C6EA3"/>
    <w:rsid w:val="003D0826"/>
    <w:rsid w:val="003D089C"/>
    <w:rsid w:val="003D195C"/>
    <w:rsid w:val="003D3C05"/>
    <w:rsid w:val="003D4F92"/>
    <w:rsid w:val="003D6B6B"/>
    <w:rsid w:val="003E00D5"/>
    <w:rsid w:val="003E02BA"/>
    <w:rsid w:val="003E1720"/>
    <w:rsid w:val="003E50D9"/>
    <w:rsid w:val="003F1FD5"/>
    <w:rsid w:val="003F6C12"/>
    <w:rsid w:val="003F7F38"/>
    <w:rsid w:val="0040043E"/>
    <w:rsid w:val="0040152D"/>
    <w:rsid w:val="00401AB5"/>
    <w:rsid w:val="0040399B"/>
    <w:rsid w:val="00403B64"/>
    <w:rsid w:val="00406F0C"/>
    <w:rsid w:val="00412585"/>
    <w:rsid w:val="0041363B"/>
    <w:rsid w:val="00415688"/>
    <w:rsid w:val="00415D5D"/>
    <w:rsid w:val="004237DC"/>
    <w:rsid w:val="0042650F"/>
    <w:rsid w:val="00431E0B"/>
    <w:rsid w:val="004337FE"/>
    <w:rsid w:val="00433E98"/>
    <w:rsid w:val="00435738"/>
    <w:rsid w:val="00437137"/>
    <w:rsid w:val="0043756B"/>
    <w:rsid w:val="004403B8"/>
    <w:rsid w:val="00441445"/>
    <w:rsid w:val="00441ADA"/>
    <w:rsid w:val="0044371C"/>
    <w:rsid w:val="0044627E"/>
    <w:rsid w:val="0045114F"/>
    <w:rsid w:val="004529D3"/>
    <w:rsid w:val="00453F31"/>
    <w:rsid w:val="00455206"/>
    <w:rsid w:val="00456B0C"/>
    <w:rsid w:val="00461E35"/>
    <w:rsid w:val="0046443F"/>
    <w:rsid w:val="004649EE"/>
    <w:rsid w:val="0046538B"/>
    <w:rsid w:val="00471C92"/>
    <w:rsid w:val="00472CD5"/>
    <w:rsid w:val="004731C4"/>
    <w:rsid w:val="004739AC"/>
    <w:rsid w:val="004740BE"/>
    <w:rsid w:val="004741EA"/>
    <w:rsid w:val="004743F2"/>
    <w:rsid w:val="00474992"/>
    <w:rsid w:val="004758E3"/>
    <w:rsid w:val="00475FEF"/>
    <w:rsid w:val="0047776F"/>
    <w:rsid w:val="0047792A"/>
    <w:rsid w:val="00477B1F"/>
    <w:rsid w:val="00481F4E"/>
    <w:rsid w:val="004856FB"/>
    <w:rsid w:val="00485E0A"/>
    <w:rsid w:val="004870EA"/>
    <w:rsid w:val="00487F13"/>
    <w:rsid w:val="00491AB8"/>
    <w:rsid w:val="00493202"/>
    <w:rsid w:val="00493882"/>
    <w:rsid w:val="00496193"/>
    <w:rsid w:val="004969DE"/>
    <w:rsid w:val="004A02AF"/>
    <w:rsid w:val="004A0E83"/>
    <w:rsid w:val="004A3AAA"/>
    <w:rsid w:val="004A679B"/>
    <w:rsid w:val="004B15DB"/>
    <w:rsid w:val="004C0FB4"/>
    <w:rsid w:val="004C1811"/>
    <w:rsid w:val="004C4555"/>
    <w:rsid w:val="004D2DA8"/>
    <w:rsid w:val="004D5455"/>
    <w:rsid w:val="004D6144"/>
    <w:rsid w:val="004D7A94"/>
    <w:rsid w:val="004E2685"/>
    <w:rsid w:val="004E51C0"/>
    <w:rsid w:val="004E64BE"/>
    <w:rsid w:val="004F0B2E"/>
    <w:rsid w:val="004F10FD"/>
    <w:rsid w:val="004F63D2"/>
    <w:rsid w:val="004F7561"/>
    <w:rsid w:val="00503B8D"/>
    <w:rsid w:val="00503EE3"/>
    <w:rsid w:val="00505811"/>
    <w:rsid w:val="00515DE7"/>
    <w:rsid w:val="005167F7"/>
    <w:rsid w:val="00517EB0"/>
    <w:rsid w:val="005205CB"/>
    <w:rsid w:val="00521A74"/>
    <w:rsid w:val="00531BFF"/>
    <w:rsid w:val="005352F1"/>
    <w:rsid w:val="0053608D"/>
    <w:rsid w:val="00536A57"/>
    <w:rsid w:val="00540094"/>
    <w:rsid w:val="00542774"/>
    <w:rsid w:val="00545CFF"/>
    <w:rsid w:val="00550F86"/>
    <w:rsid w:val="00556DBB"/>
    <w:rsid w:val="00560781"/>
    <w:rsid w:val="00560A51"/>
    <w:rsid w:val="0056268F"/>
    <w:rsid w:val="005662E9"/>
    <w:rsid w:val="0056740A"/>
    <w:rsid w:val="00572AAF"/>
    <w:rsid w:val="005801AE"/>
    <w:rsid w:val="00582308"/>
    <w:rsid w:val="00582868"/>
    <w:rsid w:val="00582ECC"/>
    <w:rsid w:val="0058399B"/>
    <w:rsid w:val="00583CF4"/>
    <w:rsid w:val="0058692F"/>
    <w:rsid w:val="00587C22"/>
    <w:rsid w:val="00592CD7"/>
    <w:rsid w:val="0059436D"/>
    <w:rsid w:val="005952D9"/>
    <w:rsid w:val="00595FFA"/>
    <w:rsid w:val="00597016"/>
    <w:rsid w:val="005974B7"/>
    <w:rsid w:val="005A088F"/>
    <w:rsid w:val="005A0D51"/>
    <w:rsid w:val="005A181B"/>
    <w:rsid w:val="005A1CB3"/>
    <w:rsid w:val="005A2857"/>
    <w:rsid w:val="005A2D67"/>
    <w:rsid w:val="005A3073"/>
    <w:rsid w:val="005A4056"/>
    <w:rsid w:val="005A70A0"/>
    <w:rsid w:val="005B0612"/>
    <w:rsid w:val="005B0688"/>
    <w:rsid w:val="005B13F0"/>
    <w:rsid w:val="005B30F6"/>
    <w:rsid w:val="005B332E"/>
    <w:rsid w:val="005B45BA"/>
    <w:rsid w:val="005B5403"/>
    <w:rsid w:val="005B5689"/>
    <w:rsid w:val="005B5DFE"/>
    <w:rsid w:val="005B6774"/>
    <w:rsid w:val="005C0789"/>
    <w:rsid w:val="005C0A89"/>
    <w:rsid w:val="005C2DB1"/>
    <w:rsid w:val="005C3BC4"/>
    <w:rsid w:val="005C7480"/>
    <w:rsid w:val="005C7F74"/>
    <w:rsid w:val="005D391D"/>
    <w:rsid w:val="005D764B"/>
    <w:rsid w:val="005E2367"/>
    <w:rsid w:val="005E2BFF"/>
    <w:rsid w:val="005E48A2"/>
    <w:rsid w:val="005E4F9B"/>
    <w:rsid w:val="005E5E90"/>
    <w:rsid w:val="005E62FE"/>
    <w:rsid w:val="005E654C"/>
    <w:rsid w:val="005E6731"/>
    <w:rsid w:val="005F02FF"/>
    <w:rsid w:val="005F05F6"/>
    <w:rsid w:val="005F1F18"/>
    <w:rsid w:val="005F344B"/>
    <w:rsid w:val="005F60C4"/>
    <w:rsid w:val="00600D75"/>
    <w:rsid w:val="00600EC9"/>
    <w:rsid w:val="00601B90"/>
    <w:rsid w:val="00604673"/>
    <w:rsid w:val="00604C35"/>
    <w:rsid w:val="00605734"/>
    <w:rsid w:val="00610932"/>
    <w:rsid w:val="0061488E"/>
    <w:rsid w:val="00615329"/>
    <w:rsid w:val="0061574B"/>
    <w:rsid w:val="00616136"/>
    <w:rsid w:val="00620220"/>
    <w:rsid w:val="00621CA5"/>
    <w:rsid w:val="00622670"/>
    <w:rsid w:val="00623A1A"/>
    <w:rsid w:val="00626E8D"/>
    <w:rsid w:val="006304B5"/>
    <w:rsid w:val="00630750"/>
    <w:rsid w:val="00632466"/>
    <w:rsid w:val="00632DA8"/>
    <w:rsid w:val="00632FD8"/>
    <w:rsid w:val="00633080"/>
    <w:rsid w:val="00634E6E"/>
    <w:rsid w:val="0063767C"/>
    <w:rsid w:val="0064342A"/>
    <w:rsid w:val="00643A28"/>
    <w:rsid w:val="006452FA"/>
    <w:rsid w:val="0065093D"/>
    <w:rsid w:val="00655193"/>
    <w:rsid w:val="00655459"/>
    <w:rsid w:val="00655521"/>
    <w:rsid w:val="006555D4"/>
    <w:rsid w:val="00656FB2"/>
    <w:rsid w:val="00661454"/>
    <w:rsid w:val="0066167E"/>
    <w:rsid w:val="0066511C"/>
    <w:rsid w:val="0066642D"/>
    <w:rsid w:val="00671CCB"/>
    <w:rsid w:val="00672365"/>
    <w:rsid w:val="00673AC5"/>
    <w:rsid w:val="00675E85"/>
    <w:rsid w:val="0067662E"/>
    <w:rsid w:val="0067750F"/>
    <w:rsid w:val="00680557"/>
    <w:rsid w:val="0068401E"/>
    <w:rsid w:val="006841A4"/>
    <w:rsid w:val="0068471F"/>
    <w:rsid w:val="0068643F"/>
    <w:rsid w:val="006877A1"/>
    <w:rsid w:val="00687B08"/>
    <w:rsid w:val="00691787"/>
    <w:rsid w:val="00691DD4"/>
    <w:rsid w:val="00692150"/>
    <w:rsid w:val="00692D1E"/>
    <w:rsid w:val="00692F0C"/>
    <w:rsid w:val="00693522"/>
    <w:rsid w:val="006943B1"/>
    <w:rsid w:val="00696E7C"/>
    <w:rsid w:val="006A0C54"/>
    <w:rsid w:val="006A1E69"/>
    <w:rsid w:val="006A4D26"/>
    <w:rsid w:val="006A5E15"/>
    <w:rsid w:val="006A7C53"/>
    <w:rsid w:val="006B05A4"/>
    <w:rsid w:val="006B309C"/>
    <w:rsid w:val="006B727F"/>
    <w:rsid w:val="006C0B8D"/>
    <w:rsid w:val="006C3D30"/>
    <w:rsid w:val="006C4D2D"/>
    <w:rsid w:val="006C6D3A"/>
    <w:rsid w:val="006C7B7F"/>
    <w:rsid w:val="006D04B9"/>
    <w:rsid w:val="006D19E8"/>
    <w:rsid w:val="006E0BE2"/>
    <w:rsid w:val="006E330C"/>
    <w:rsid w:val="006E3DD8"/>
    <w:rsid w:val="006E72A2"/>
    <w:rsid w:val="006E793F"/>
    <w:rsid w:val="006F0154"/>
    <w:rsid w:val="006F0A74"/>
    <w:rsid w:val="006F0AE4"/>
    <w:rsid w:val="006F0DF1"/>
    <w:rsid w:val="006F4BB2"/>
    <w:rsid w:val="006F7283"/>
    <w:rsid w:val="006F7944"/>
    <w:rsid w:val="00700082"/>
    <w:rsid w:val="00704121"/>
    <w:rsid w:val="00705BB5"/>
    <w:rsid w:val="00707682"/>
    <w:rsid w:val="00711BF4"/>
    <w:rsid w:val="0071326F"/>
    <w:rsid w:val="007137E7"/>
    <w:rsid w:val="00713855"/>
    <w:rsid w:val="007153D7"/>
    <w:rsid w:val="00715FA8"/>
    <w:rsid w:val="00716D6C"/>
    <w:rsid w:val="00720ED4"/>
    <w:rsid w:val="00721A1F"/>
    <w:rsid w:val="00724C27"/>
    <w:rsid w:val="007254AE"/>
    <w:rsid w:val="00725F01"/>
    <w:rsid w:val="00726F48"/>
    <w:rsid w:val="0074194F"/>
    <w:rsid w:val="0074367C"/>
    <w:rsid w:val="0074470B"/>
    <w:rsid w:val="0074488F"/>
    <w:rsid w:val="00745AA8"/>
    <w:rsid w:val="0075070B"/>
    <w:rsid w:val="007510EC"/>
    <w:rsid w:val="0075195D"/>
    <w:rsid w:val="0075233C"/>
    <w:rsid w:val="0075554F"/>
    <w:rsid w:val="007569DE"/>
    <w:rsid w:val="0075723C"/>
    <w:rsid w:val="0076313D"/>
    <w:rsid w:val="00766D18"/>
    <w:rsid w:val="0077314A"/>
    <w:rsid w:val="00780AC8"/>
    <w:rsid w:val="007819DB"/>
    <w:rsid w:val="00782C8F"/>
    <w:rsid w:val="00783F2F"/>
    <w:rsid w:val="00785F78"/>
    <w:rsid w:val="0078659D"/>
    <w:rsid w:val="007869EC"/>
    <w:rsid w:val="007923DD"/>
    <w:rsid w:val="007960BA"/>
    <w:rsid w:val="007A030A"/>
    <w:rsid w:val="007A1E58"/>
    <w:rsid w:val="007A5C7E"/>
    <w:rsid w:val="007A6E2F"/>
    <w:rsid w:val="007B332E"/>
    <w:rsid w:val="007B3BC5"/>
    <w:rsid w:val="007C2CCF"/>
    <w:rsid w:val="007C7968"/>
    <w:rsid w:val="007D03DF"/>
    <w:rsid w:val="007D123F"/>
    <w:rsid w:val="007D39AF"/>
    <w:rsid w:val="007D4953"/>
    <w:rsid w:val="007D50F4"/>
    <w:rsid w:val="007D5147"/>
    <w:rsid w:val="007E1216"/>
    <w:rsid w:val="007E4CA9"/>
    <w:rsid w:val="007E4CD4"/>
    <w:rsid w:val="007E7EDA"/>
    <w:rsid w:val="007F0E8E"/>
    <w:rsid w:val="007F3622"/>
    <w:rsid w:val="007F4B81"/>
    <w:rsid w:val="007F68D9"/>
    <w:rsid w:val="00800B82"/>
    <w:rsid w:val="0080175B"/>
    <w:rsid w:val="00804880"/>
    <w:rsid w:val="0080511F"/>
    <w:rsid w:val="00807913"/>
    <w:rsid w:val="0081130F"/>
    <w:rsid w:val="00813A38"/>
    <w:rsid w:val="00814B88"/>
    <w:rsid w:val="00817CCD"/>
    <w:rsid w:val="00825B1F"/>
    <w:rsid w:val="00825FD2"/>
    <w:rsid w:val="00827D55"/>
    <w:rsid w:val="0083014F"/>
    <w:rsid w:val="00837F03"/>
    <w:rsid w:val="00840EDD"/>
    <w:rsid w:val="008419E5"/>
    <w:rsid w:val="00842054"/>
    <w:rsid w:val="0084255F"/>
    <w:rsid w:val="00844502"/>
    <w:rsid w:val="008511DD"/>
    <w:rsid w:val="00854FB3"/>
    <w:rsid w:val="008569F7"/>
    <w:rsid w:val="00860F13"/>
    <w:rsid w:val="00861F8B"/>
    <w:rsid w:val="0086561F"/>
    <w:rsid w:val="008748C7"/>
    <w:rsid w:val="0087504D"/>
    <w:rsid w:val="0087521A"/>
    <w:rsid w:val="00880171"/>
    <w:rsid w:val="008808C0"/>
    <w:rsid w:val="0088359C"/>
    <w:rsid w:val="00885286"/>
    <w:rsid w:val="00890BDE"/>
    <w:rsid w:val="0089556E"/>
    <w:rsid w:val="008962E7"/>
    <w:rsid w:val="008967AB"/>
    <w:rsid w:val="008A1118"/>
    <w:rsid w:val="008A14B2"/>
    <w:rsid w:val="008A281F"/>
    <w:rsid w:val="008A4AF6"/>
    <w:rsid w:val="008A4FF8"/>
    <w:rsid w:val="008A595F"/>
    <w:rsid w:val="008A5ED1"/>
    <w:rsid w:val="008A7FD1"/>
    <w:rsid w:val="008B042E"/>
    <w:rsid w:val="008B211E"/>
    <w:rsid w:val="008B3D5B"/>
    <w:rsid w:val="008B6D48"/>
    <w:rsid w:val="008B7CC5"/>
    <w:rsid w:val="008C2258"/>
    <w:rsid w:val="008C79A7"/>
    <w:rsid w:val="008D3A51"/>
    <w:rsid w:val="008D555F"/>
    <w:rsid w:val="008D625D"/>
    <w:rsid w:val="008D650E"/>
    <w:rsid w:val="008E1358"/>
    <w:rsid w:val="008E27DD"/>
    <w:rsid w:val="008E39F7"/>
    <w:rsid w:val="008E5CBC"/>
    <w:rsid w:val="008E6A41"/>
    <w:rsid w:val="008E75C4"/>
    <w:rsid w:val="008F1903"/>
    <w:rsid w:val="008F2991"/>
    <w:rsid w:val="00902623"/>
    <w:rsid w:val="0090292C"/>
    <w:rsid w:val="00902CED"/>
    <w:rsid w:val="00903990"/>
    <w:rsid w:val="00904950"/>
    <w:rsid w:val="00907E61"/>
    <w:rsid w:val="009109A5"/>
    <w:rsid w:val="009166B8"/>
    <w:rsid w:val="00917594"/>
    <w:rsid w:val="00922DB7"/>
    <w:rsid w:val="00925ECB"/>
    <w:rsid w:val="0092684A"/>
    <w:rsid w:val="00930E64"/>
    <w:rsid w:val="009361C2"/>
    <w:rsid w:val="009374D1"/>
    <w:rsid w:val="00937FAB"/>
    <w:rsid w:val="0094094D"/>
    <w:rsid w:val="00942AB8"/>
    <w:rsid w:val="00943AE3"/>
    <w:rsid w:val="00945CAF"/>
    <w:rsid w:val="00945D64"/>
    <w:rsid w:val="009465F8"/>
    <w:rsid w:val="00947448"/>
    <w:rsid w:val="009508BE"/>
    <w:rsid w:val="00952B38"/>
    <w:rsid w:val="00952C99"/>
    <w:rsid w:val="00953747"/>
    <w:rsid w:val="009540D6"/>
    <w:rsid w:val="00955BEE"/>
    <w:rsid w:val="00956C61"/>
    <w:rsid w:val="0096139F"/>
    <w:rsid w:val="00965333"/>
    <w:rsid w:val="00965660"/>
    <w:rsid w:val="00967B90"/>
    <w:rsid w:val="009712EF"/>
    <w:rsid w:val="00971559"/>
    <w:rsid w:val="009727BF"/>
    <w:rsid w:val="00973321"/>
    <w:rsid w:val="0097514B"/>
    <w:rsid w:val="00975C2E"/>
    <w:rsid w:val="00977270"/>
    <w:rsid w:val="00977309"/>
    <w:rsid w:val="009824F2"/>
    <w:rsid w:val="009829DB"/>
    <w:rsid w:val="009854E4"/>
    <w:rsid w:val="00986AA3"/>
    <w:rsid w:val="00986EE6"/>
    <w:rsid w:val="00990FFD"/>
    <w:rsid w:val="00993805"/>
    <w:rsid w:val="00993B24"/>
    <w:rsid w:val="0099611F"/>
    <w:rsid w:val="00996C1E"/>
    <w:rsid w:val="009A083F"/>
    <w:rsid w:val="009A542F"/>
    <w:rsid w:val="009A5590"/>
    <w:rsid w:val="009A58EC"/>
    <w:rsid w:val="009A5FAC"/>
    <w:rsid w:val="009A67D0"/>
    <w:rsid w:val="009A67E7"/>
    <w:rsid w:val="009B071A"/>
    <w:rsid w:val="009B3461"/>
    <w:rsid w:val="009B3CCC"/>
    <w:rsid w:val="009B3E57"/>
    <w:rsid w:val="009C1456"/>
    <w:rsid w:val="009C1EB1"/>
    <w:rsid w:val="009C603A"/>
    <w:rsid w:val="009C74CD"/>
    <w:rsid w:val="009D03AB"/>
    <w:rsid w:val="009D048F"/>
    <w:rsid w:val="009D401F"/>
    <w:rsid w:val="009D4D75"/>
    <w:rsid w:val="009D543E"/>
    <w:rsid w:val="009D68FA"/>
    <w:rsid w:val="009E32CF"/>
    <w:rsid w:val="009E4C35"/>
    <w:rsid w:val="009E4FC2"/>
    <w:rsid w:val="009F1C72"/>
    <w:rsid w:val="009F3C68"/>
    <w:rsid w:val="009F3EC9"/>
    <w:rsid w:val="009F44AE"/>
    <w:rsid w:val="009F72A0"/>
    <w:rsid w:val="00A01327"/>
    <w:rsid w:val="00A02EF2"/>
    <w:rsid w:val="00A041D9"/>
    <w:rsid w:val="00A04D5E"/>
    <w:rsid w:val="00A06A3C"/>
    <w:rsid w:val="00A106E1"/>
    <w:rsid w:val="00A10DDF"/>
    <w:rsid w:val="00A11172"/>
    <w:rsid w:val="00A12E55"/>
    <w:rsid w:val="00A209FB"/>
    <w:rsid w:val="00A237D8"/>
    <w:rsid w:val="00A242E4"/>
    <w:rsid w:val="00A24437"/>
    <w:rsid w:val="00A248D1"/>
    <w:rsid w:val="00A255D6"/>
    <w:rsid w:val="00A2643A"/>
    <w:rsid w:val="00A31A63"/>
    <w:rsid w:val="00A3362A"/>
    <w:rsid w:val="00A34758"/>
    <w:rsid w:val="00A37B70"/>
    <w:rsid w:val="00A40AC7"/>
    <w:rsid w:val="00A435C7"/>
    <w:rsid w:val="00A47680"/>
    <w:rsid w:val="00A504F6"/>
    <w:rsid w:val="00A50C1B"/>
    <w:rsid w:val="00A569B2"/>
    <w:rsid w:val="00A56BA3"/>
    <w:rsid w:val="00A611A4"/>
    <w:rsid w:val="00A636C0"/>
    <w:rsid w:val="00A67D44"/>
    <w:rsid w:val="00A72703"/>
    <w:rsid w:val="00A727F6"/>
    <w:rsid w:val="00A72E71"/>
    <w:rsid w:val="00A74324"/>
    <w:rsid w:val="00A75540"/>
    <w:rsid w:val="00A75837"/>
    <w:rsid w:val="00A76432"/>
    <w:rsid w:val="00A81EE2"/>
    <w:rsid w:val="00A82E27"/>
    <w:rsid w:val="00A84FC6"/>
    <w:rsid w:val="00A8528E"/>
    <w:rsid w:val="00A9270F"/>
    <w:rsid w:val="00A94A49"/>
    <w:rsid w:val="00AA1815"/>
    <w:rsid w:val="00AA1D3E"/>
    <w:rsid w:val="00AA39F9"/>
    <w:rsid w:val="00AA5328"/>
    <w:rsid w:val="00AA5DC0"/>
    <w:rsid w:val="00AA759C"/>
    <w:rsid w:val="00AB0931"/>
    <w:rsid w:val="00AB09A0"/>
    <w:rsid w:val="00AB5C9B"/>
    <w:rsid w:val="00AB652D"/>
    <w:rsid w:val="00AC0276"/>
    <w:rsid w:val="00AC0312"/>
    <w:rsid w:val="00AC0449"/>
    <w:rsid w:val="00AC3827"/>
    <w:rsid w:val="00AC3F78"/>
    <w:rsid w:val="00AC3F86"/>
    <w:rsid w:val="00AD2497"/>
    <w:rsid w:val="00AD572D"/>
    <w:rsid w:val="00AD5EB4"/>
    <w:rsid w:val="00AE0E74"/>
    <w:rsid w:val="00AE2E87"/>
    <w:rsid w:val="00AE30AC"/>
    <w:rsid w:val="00AE63E2"/>
    <w:rsid w:val="00AE7974"/>
    <w:rsid w:val="00AF04C9"/>
    <w:rsid w:val="00AF26B6"/>
    <w:rsid w:val="00AF2979"/>
    <w:rsid w:val="00B0375C"/>
    <w:rsid w:val="00B04EB6"/>
    <w:rsid w:val="00B052CB"/>
    <w:rsid w:val="00B05B24"/>
    <w:rsid w:val="00B07352"/>
    <w:rsid w:val="00B150D9"/>
    <w:rsid w:val="00B156C3"/>
    <w:rsid w:val="00B15F67"/>
    <w:rsid w:val="00B1624F"/>
    <w:rsid w:val="00B224C5"/>
    <w:rsid w:val="00B2499F"/>
    <w:rsid w:val="00B26A09"/>
    <w:rsid w:val="00B325CD"/>
    <w:rsid w:val="00B350A5"/>
    <w:rsid w:val="00B374A1"/>
    <w:rsid w:val="00B4297A"/>
    <w:rsid w:val="00B44851"/>
    <w:rsid w:val="00B46F2A"/>
    <w:rsid w:val="00B4768D"/>
    <w:rsid w:val="00B5154E"/>
    <w:rsid w:val="00B518E5"/>
    <w:rsid w:val="00B51E1F"/>
    <w:rsid w:val="00B52B11"/>
    <w:rsid w:val="00B548EE"/>
    <w:rsid w:val="00B60222"/>
    <w:rsid w:val="00B62CFB"/>
    <w:rsid w:val="00B632A9"/>
    <w:rsid w:val="00B662F5"/>
    <w:rsid w:val="00B7000C"/>
    <w:rsid w:val="00B70B9F"/>
    <w:rsid w:val="00B718AC"/>
    <w:rsid w:val="00B760D5"/>
    <w:rsid w:val="00B8011D"/>
    <w:rsid w:val="00B825E0"/>
    <w:rsid w:val="00B90D6E"/>
    <w:rsid w:val="00B94740"/>
    <w:rsid w:val="00B97C28"/>
    <w:rsid w:val="00B97F75"/>
    <w:rsid w:val="00BA1077"/>
    <w:rsid w:val="00BA1CAE"/>
    <w:rsid w:val="00BA33BB"/>
    <w:rsid w:val="00BA4830"/>
    <w:rsid w:val="00BA6E22"/>
    <w:rsid w:val="00BB362C"/>
    <w:rsid w:val="00BC249D"/>
    <w:rsid w:val="00BC3777"/>
    <w:rsid w:val="00BC574F"/>
    <w:rsid w:val="00BD4139"/>
    <w:rsid w:val="00BD7C9F"/>
    <w:rsid w:val="00BE059A"/>
    <w:rsid w:val="00BE1981"/>
    <w:rsid w:val="00BE5575"/>
    <w:rsid w:val="00BE56E9"/>
    <w:rsid w:val="00BE63CF"/>
    <w:rsid w:val="00BE7014"/>
    <w:rsid w:val="00BE764B"/>
    <w:rsid w:val="00BF1BF2"/>
    <w:rsid w:val="00BF25C7"/>
    <w:rsid w:val="00BF2BE0"/>
    <w:rsid w:val="00BF5B77"/>
    <w:rsid w:val="00C009B7"/>
    <w:rsid w:val="00C04E32"/>
    <w:rsid w:val="00C07C01"/>
    <w:rsid w:val="00C1084F"/>
    <w:rsid w:val="00C12A00"/>
    <w:rsid w:val="00C14971"/>
    <w:rsid w:val="00C15A3F"/>
    <w:rsid w:val="00C20630"/>
    <w:rsid w:val="00C21D22"/>
    <w:rsid w:val="00C227DD"/>
    <w:rsid w:val="00C22C04"/>
    <w:rsid w:val="00C22F7A"/>
    <w:rsid w:val="00C25F69"/>
    <w:rsid w:val="00C2666F"/>
    <w:rsid w:val="00C317F3"/>
    <w:rsid w:val="00C32020"/>
    <w:rsid w:val="00C32FF9"/>
    <w:rsid w:val="00C33813"/>
    <w:rsid w:val="00C34079"/>
    <w:rsid w:val="00C3408C"/>
    <w:rsid w:val="00C351CC"/>
    <w:rsid w:val="00C35435"/>
    <w:rsid w:val="00C412B0"/>
    <w:rsid w:val="00C432FD"/>
    <w:rsid w:val="00C43CDF"/>
    <w:rsid w:val="00C504EF"/>
    <w:rsid w:val="00C5061C"/>
    <w:rsid w:val="00C512B2"/>
    <w:rsid w:val="00C54BB0"/>
    <w:rsid w:val="00C55867"/>
    <w:rsid w:val="00C60619"/>
    <w:rsid w:val="00C6176D"/>
    <w:rsid w:val="00C644B7"/>
    <w:rsid w:val="00C64564"/>
    <w:rsid w:val="00C67923"/>
    <w:rsid w:val="00C67F26"/>
    <w:rsid w:val="00C731A3"/>
    <w:rsid w:val="00C73C87"/>
    <w:rsid w:val="00C74B6F"/>
    <w:rsid w:val="00C7744A"/>
    <w:rsid w:val="00C81AD1"/>
    <w:rsid w:val="00C85268"/>
    <w:rsid w:val="00C87EF3"/>
    <w:rsid w:val="00C9015F"/>
    <w:rsid w:val="00C912F9"/>
    <w:rsid w:val="00C91755"/>
    <w:rsid w:val="00C9241B"/>
    <w:rsid w:val="00C967D6"/>
    <w:rsid w:val="00C97569"/>
    <w:rsid w:val="00CA0A4A"/>
    <w:rsid w:val="00CA199D"/>
    <w:rsid w:val="00CA4D9C"/>
    <w:rsid w:val="00CB05A7"/>
    <w:rsid w:val="00CB06A4"/>
    <w:rsid w:val="00CB2CDF"/>
    <w:rsid w:val="00CB325B"/>
    <w:rsid w:val="00CB4FA6"/>
    <w:rsid w:val="00CB560A"/>
    <w:rsid w:val="00CB64FF"/>
    <w:rsid w:val="00CB7078"/>
    <w:rsid w:val="00CB70B2"/>
    <w:rsid w:val="00CC0730"/>
    <w:rsid w:val="00CC13C8"/>
    <w:rsid w:val="00CC21D8"/>
    <w:rsid w:val="00CC3369"/>
    <w:rsid w:val="00CC5343"/>
    <w:rsid w:val="00CC78DE"/>
    <w:rsid w:val="00CD0F93"/>
    <w:rsid w:val="00CD2A4F"/>
    <w:rsid w:val="00CD58BE"/>
    <w:rsid w:val="00CD6D6E"/>
    <w:rsid w:val="00CD6F23"/>
    <w:rsid w:val="00CF5666"/>
    <w:rsid w:val="00CF640B"/>
    <w:rsid w:val="00CF6766"/>
    <w:rsid w:val="00D027AF"/>
    <w:rsid w:val="00D035B7"/>
    <w:rsid w:val="00D03F9E"/>
    <w:rsid w:val="00D06652"/>
    <w:rsid w:val="00D07FA6"/>
    <w:rsid w:val="00D1072E"/>
    <w:rsid w:val="00D134D0"/>
    <w:rsid w:val="00D13E90"/>
    <w:rsid w:val="00D146BD"/>
    <w:rsid w:val="00D17C53"/>
    <w:rsid w:val="00D17D57"/>
    <w:rsid w:val="00D17DFA"/>
    <w:rsid w:val="00D209F0"/>
    <w:rsid w:val="00D25376"/>
    <w:rsid w:val="00D25605"/>
    <w:rsid w:val="00D25E0E"/>
    <w:rsid w:val="00D302EB"/>
    <w:rsid w:val="00D31679"/>
    <w:rsid w:val="00D320C8"/>
    <w:rsid w:val="00D3672F"/>
    <w:rsid w:val="00D36E82"/>
    <w:rsid w:val="00D40ABA"/>
    <w:rsid w:val="00D40FE2"/>
    <w:rsid w:val="00D42942"/>
    <w:rsid w:val="00D42AF0"/>
    <w:rsid w:val="00D440FA"/>
    <w:rsid w:val="00D44BCF"/>
    <w:rsid w:val="00D45471"/>
    <w:rsid w:val="00D46E73"/>
    <w:rsid w:val="00D5114D"/>
    <w:rsid w:val="00D52C3C"/>
    <w:rsid w:val="00D5548D"/>
    <w:rsid w:val="00D600AC"/>
    <w:rsid w:val="00D60F81"/>
    <w:rsid w:val="00D63951"/>
    <w:rsid w:val="00D63BF2"/>
    <w:rsid w:val="00D6468E"/>
    <w:rsid w:val="00D664D9"/>
    <w:rsid w:val="00D668CA"/>
    <w:rsid w:val="00D67348"/>
    <w:rsid w:val="00D673C7"/>
    <w:rsid w:val="00D67627"/>
    <w:rsid w:val="00D75FEC"/>
    <w:rsid w:val="00D77165"/>
    <w:rsid w:val="00D80F2E"/>
    <w:rsid w:val="00D8348A"/>
    <w:rsid w:val="00D86F2C"/>
    <w:rsid w:val="00D900BB"/>
    <w:rsid w:val="00D9214A"/>
    <w:rsid w:val="00DA08CF"/>
    <w:rsid w:val="00DA36F6"/>
    <w:rsid w:val="00DA45CF"/>
    <w:rsid w:val="00DA65F2"/>
    <w:rsid w:val="00DB17AB"/>
    <w:rsid w:val="00DB2DDD"/>
    <w:rsid w:val="00DC1611"/>
    <w:rsid w:val="00DC4639"/>
    <w:rsid w:val="00DC5F42"/>
    <w:rsid w:val="00DC667A"/>
    <w:rsid w:val="00DE3007"/>
    <w:rsid w:val="00DE4D6B"/>
    <w:rsid w:val="00DE5B28"/>
    <w:rsid w:val="00DE606E"/>
    <w:rsid w:val="00DE70A5"/>
    <w:rsid w:val="00DF0774"/>
    <w:rsid w:val="00DF1036"/>
    <w:rsid w:val="00DF14D2"/>
    <w:rsid w:val="00DF2467"/>
    <w:rsid w:val="00E03BB9"/>
    <w:rsid w:val="00E05451"/>
    <w:rsid w:val="00E05651"/>
    <w:rsid w:val="00E0626C"/>
    <w:rsid w:val="00E1401C"/>
    <w:rsid w:val="00E1683C"/>
    <w:rsid w:val="00E17724"/>
    <w:rsid w:val="00E20425"/>
    <w:rsid w:val="00E25384"/>
    <w:rsid w:val="00E25DCB"/>
    <w:rsid w:val="00E2663C"/>
    <w:rsid w:val="00E2735D"/>
    <w:rsid w:val="00E35780"/>
    <w:rsid w:val="00E35FBB"/>
    <w:rsid w:val="00E460AD"/>
    <w:rsid w:val="00E476A1"/>
    <w:rsid w:val="00E5003A"/>
    <w:rsid w:val="00E55592"/>
    <w:rsid w:val="00E61925"/>
    <w:rsid w:val="00E62373"/>
    <w:rsid w:val="00E65C0E"/>
    <w:rsid w:val="00E671C8"/>
    <w:rsid w:val="00E730FC"/>
    <w:rsid w:val="00E746F0"/>
    <w:rsid w:val="00E76C2C"/>
    <w:rsid w:val="00E809EA"/>
    <w:rsid w:val="00E816EA"/>
    <w:rsid w:val="00E81BBA"/>
    <w:rsid w:val="00E82A15"/>
    <w:rsid w:val="00E83E83"/>
    <w:rsid w:val="00E85184"/>
    <w:rsid w:val="00E85C84"/>
    <w:rsid w:val="00E87589"/>
    <w:rsid w:val="00E938FF"/>
    <w:rsid w:val="00E9484D"/>
    <w:rsid w:val="00E95CAD"/>
    <w:rsid w:val="00E96347"/>
    <w:rsid w:val="00EA347B"/>
    <w:rsid w:val="00EA34DC"/>
    <w:rsid w:val="00EA4B47"/>
    <w:rsid w:val="00EA5017"/>
    <w:rsid w:val="00EA7069"/>
    <w:rsid w:val="00EB14B9"/>
    <w:rsid w:val="00EB14F0"/>
    <w:rsid w:val="00EB3844"/>
    <w:rsid w:val="00EB5A9F"/>
    <w:rsid w:val="00EB7953"/>
    <w:rsid w:val="00EC4F9A"/>
    <w:rsid w:val="00EC5C8D"/>
    <w:rsid w:val="00ED106C"/>
    <w:rsid w:val="00ED2D34"/>
    <w:rsid w:val="00ED4805"/>
    <w:rsid w:val="00ED6C51"/>
    <w:rsid w:val="00ED7509"/>
    <w:rsid w:val="00EF1630"/>
    <w:rsid w:val="00EF1D61"/>
    <w:rsid w:val="00EF3F56"/>
    <w:rsid w:val="00EF4258"/>
    <w:rsid w:val="00F02237"/>
    <w:rsid w:val="00F0465A"/>
    <w:rsid w:val="00F1117C"/>
    <w:rsid w:val="00F22423"/>
    <w:rsid w:val="00F229A5"/>
    <w:rsid w:val="00F24C72"/>
    <w:rsid w:val="00F31D22"/>
    <w:rsid w:val="00F32FDD"/>
    <w:rsid w:val="00F348B2"/>
    <w:rsid w:val="00F34BF0"/>
    <w:rsid w:val="00F4095A"/>
    <w:rsid w:val="00F40C10"/>
    <w:rsid w:val="00F45845"/>
    <w:rsid w:val="00F459DC"/>
    <w:rsid w:val="00F50189"/>
    <w:rsid w:val="00F507F0"/>
    <w:rsid w:val="00F508FC"/>
    <w:rsid w:val="00F51633"/>
    <w:rsid w:val="00F54044"/>
    <w:rsid w:val="00F54CAC"/>
    <w:rsid w:val="00F576E7"/>
    <w:rsid w:val="00F646E4"/>
    <w:rsid w:val="00F666F3"/>
    <w:rsid w:val="00F72AB6"/>
    <w:rsid w:val="00F7599E"/>
    <w:rsid w:val="00F763FC"/>
    <w:rsid w:val="00F772C1"/>
    <w:rsid w:val="00F8026D"/>
    <w:rsid w:val="00F8245F"/>
    <w:rsid w:val="00F91629"/>
    <w:rsid w:val="00F91E2A"/>
    <w:rsid w:val="00F92FC3"/>
    <w:rsid w:val="00F94792"/>
    <w:rsid w:val="00FA153F"/>
    <w:rsid w:val="00FA1D78"/>
    <w:rsid w:val="00FA1F7E"/>
    <w:rsid w:val="00FA280F"/>
    <w:rsid w:val="00FB2186"/>
    <w:rsid w:val="00FB2C8A"/>
    <w:rsid w:val="00FB6DE6"/>
    <w:rsid w:val="00FC692E"/>
    <w:rsid w:val="00FD0133"/>
    <w:rsid w:val="00FD4B24"/>
    <w:rsid w:val="00FD5155"/>
    <w:rsid w:val="00FD6206"/>
    <w:rsid w:val="00FE5429"/>
    <w:rsid w:val="00FE59DF"/>
    <w:rsid w:val="00FE6EF6"/>
    <w:rsid w:val="00FF1A53"/>
    <w:rsid w:val="00FF1F8A"/>
    <w:rsid w:val="00FF32C3"/>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Paragraphe"/>
    <w:qFormat/>
    <w:rsid w:val="006A7C53"/>
    <w:pPr>
      <w:keepNext/>
      <w:spacing w:before="240" w:after="60"/>
      <w:outlineLvl w:val="0"/>
    </w:pPr>
    <w:rPr>
      <w:rFonts w:cs="Arial"/>
      <w:bCs/>
      <w:caps/>
      <w:kern w:val="32"/>
      <w:szCs w:val="32"/>
      <w:u w:val="single"/>
      <w:lang w:eastAsia="fr-FR"/>
    </w:rPr>
  </w:style>
  <w:style w:type="paragraph" w:styleId="Titre2">
    <w:name w:val="heading 2"/>
    <w:basedOn w:val="Normal"/>
    <w:next w:val="Paragraphe"/>
    <w:qFormat/>
    <w:rsid w:val="006A7C53"/>
    <w:pPr>
      <w:keepNext/>
      <w:spacing w:before="240" w:after="60"/>
      <w:outlineLvl w:val="1"/>
    </w:pPr>
    <w:rPr>
      <w:rFonts w:cs="Arial"/>
      <w:bCs/>
      <w:iCs/>
      <w:caps/>
      <w:szCs w:val="28"/>
      <w:lang w:eastAsia="fr-FR"/>
    </w:rPr>
  </w:style>
  <w:style w:type="paragraph" w:styleId="Titre3">
    <w:name w:val="heading 3"/>
    <w:basedOn w:val="Normal"/>
    <w:next w:val="Paragraphe"/>
    <w:qFormat/>
    <w:rsid w:val="006A7C53"/>
    <w:pPr>
      <w:keepNext/>
      <w:spacing w:before="240" w:after="60"/>
      <w:outlineLvl w:val="2"/>
    </w:pPr>
    <w:rPr>
      <w:rFonts w:cs="Arial"/>
      <w:bCs/>
      <w:szCs w:val="26"/>
      <w:u w:val="single"/>
      <w:lang w:eastAsia="fr-FR"/>
    </w:rPr>
  </w:style>
  <w:style w:type="paragraph" w:styleId="Titre4">
    <w:name w:val="heading 4"/>
    <w:basedOn w:val="Normal"/>
    <w:next w:val="Paragraphe"/>
    <w:qFormat/>
    <w:rsid w:val="006A7C53"/>
    <w:pPr>
      <w:keepNext/>
      <w:spacing w:before="240" w:after="60"/>
      <w:outlineLvl w:val="3"/>
    </w:pPr>
    <w:rPr>
      <w:bCs/>
      <w:szCs w:val="28"/>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semiHidden/>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
    <w:basedOn w:val="Normal"/>
    <w:link w:val="NotedebasdepageCar"/>
    <w:semiHidden/>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147A49"/>
    <w:pPr>
      <w:spacing w:before="0" w:after="0"/>
      <w:ind w:left="1440" w:right="1440"/>
    </w:pPr>
    <w:rPr>
      <w:sz w:val="20"/>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NotedebasdepageCar">
    <w:name w:val="Note de bas de page Car"/>
    <w:aliases w:val="Note de bas de page art 65 Car"/>
    <w:basedOn w:val="Policepardfaut"/>
    <w:link w:val="Notedebasdepage"/>
    <w:semiHidden/>
    <w:locked/>
    <w:rsid w:val="006A5E15"/>
    <w:rPr>
      <w:rFonts w:ascii="Arial" w:hAnsi="Arial"/>
      <w:sz w:val="24"/>
    </w:rPr>
  </w:style>
  <w:style w:type="character" w:customStyle="1" w:styleId="corpsdedcisionCar">
    <w:name w:val="corps de décision Car"/>
    <w:link w:val="corpsdedcision"/>
    <w:locked/>
    <w:rsid w:val="006A5E15"/>
    <w:rPr>
      <w:rFonts w:ascii="Arial" w:hAnsi="Arial"/>
      <w:sz w:val="24"/>
    </w:rPr>
  </w:style>
  <w:style w:type="paragraph" w:customStyle="1" w:styleId="corpsdedcision0">
    <w:name w:val="corpsdedcision"/>
    <w:basedOn w:val="Normal"/>
    <w:rsid w:val="004237DC"/>
    <w:pPr>
      <w:spacing w:line="336" w:lineRule="atLeast"/>
    </w:pPr>
    <w:rPr>
      <w:rFonts w:ascii="Times New Roman" w:hAnsi="Times New Roman"/>
      <w:sz w:val="18"/>
      <w:szCs w:val="18"/>
    </w:rPr>
  </w:style>
  <w:style w:type="paragraph" w:customStyle="1" w:styleId="articlesdelalatmp0">
    <w:name w:val="articlesdelalatmp"/>
    <w:basedOn w:val="Normal"/>
    <w:rsid w:val="00C22C04"/>
    <w:pPr>
      <w:spacing w:line="336" w:lineRule="atLeast"/>
    </w:pPr>
    <w:rPr>
      <w:rFonts w:ascii="Times New Roman" w:hAnsi="Times New Roman"/>
      <w:sz w:val="18"/>
      <w:szCs w:val="18"/>
    </w:rPr>
  </w:style>
  <w:style w:type="paragraph" w:styleId="Textedebulles">
    <w:name w:val="Balloon Text"/>
    <w:basedOn w:val="Normal"/>
    <w:link w:val="TextedebullesCar"/>
    <w:rsid w:val="002A0B8C"/>
    <w:rPr>
      <w:rFonts w:ascii="Segoe UI" w:hAnsi="Segoe UI" w:cs="Segoe UI"/>
      <w:sz w:val="18"/>
      <w:szCs w:val="18"/>
    </w:rPr>
  </w:style>
  <w:style w:type="character" w:customStyle="1" w:styleId="TextedebullesCar">
    <w:name w:val="Texte de bulles Car"/>
    <w:basedOn w:val="Policepardfaut"/>
    <w:link w:val="Textedebulles"/>
    <w:rsid w:val="002A0B8C"/>
    <w:rPr>
      <w:rFonts w:ascii="Segoe UI" w:hAnsi="Segoe UI" w:cs="Segoe UI"/>
      <w:sz w:val="18"/>
      <w:szCs w:val="18"/>
    </w:rPr>
  </w:style>
  <w:style w:type="character" w:styleId="Accentuation">
    <w:name w:val="Emphasis"/>
    <w:basedOn w:val="Policepardfaut"/>
    <w:uiPriority w:val="20"/>
    <w:qFormat/>
    <w:rsid w:val="00E35F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Paragraphe"/>
    <w:qFormat/>
    <w:rsid w:val="006A7C53"/>
    <w:pPr>
      <w:keepNext/>
      <w:spacing w:before="240" w:after="60"/>
      <w:outlineLvl w:val="0"/>
    </w:pPr>
    <w:rPr>
      <w:rFonts w:cs="Arial"/>
      <w:bCs/>
      <w:caps/>
      <w:kern w:val="32"/>
      <w:szCs w:val="32"/>
      <w:u w:val="single"/>
      <w:lang w:eastAsia="fr-FR"/>
    </w:rPr>
  </w:style>
  <w:style w:type="paragraph" w:styleId="Titre2">
    <w:name w:val="heading 2"/>
    <w:basedOn w:val="Normal"/>
    <w:next w:val="Paragraphe"/>
    <w:qFormat/>
    <w:rsid w:val="006A7C53"/>
    <w:pPr>
      <w:keepNext/>
      <w:spacing w:before="240" w:after="60"/>
      <w:outlineLvl w:val="1"/>
    </w:pPr>
    <w:rPr>
      <w:rFonts w:cs="Arial"/>
      <w:bCs/>
      <w:iCs/>
      <w:caps/>
      <w:szCs w:val="28"/>
      <w:lang w:eastAsia="fr-FR"/>
    </w:rPr>
  </w:style>
  <w:style w:type="paragraph" w:styleId="Titre3">
    <w:name w:val="heading 3"/>
    <w:basedOn w:val="Normal"/>
    <w:next w:val="Paragraphe"/>
    <w:qFormat/>
    <w:rsid w:val="006A7C53"/>
    <w:pPr>
      <w:keepNext/>
      <w:spacing w:before="240" w:after="60"/>
      <w:outlineLvl w:val="2"/>
    </w:pPr>
    <w:rPr>
      <w:rFonts w:cs="Arial"/>
      <w:bCs/>
      <w:szCs w:val="26"/>
      <w:u w:val="single"/>
      <w:lang w:eastAsia="fr-FR"/>
    </w:rPr>
  </w:style>
  <w:style w:type="paragraph" w:styleId="Titre4">
    <w:name w:val="heading 4"/>
    <w:basedOn w:val="Normal"/>
    <w:next w:val="Paragraphe"/>
    <w:qFormat/>
    <w:rsid w:val="006A7C53"/>
    <w:pPr>
      <w:keepNext/>
      <w:spacing w:before="240" w:after="60"/>
      <w:outlineLvl w:val="3"/>
    </w:pPr>
    <w:rPr>
      <w:bCs/>
      <w:szCs w:val="28"/>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semiHidden/>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
    <w:basedOn w:val="Normal"/>
    <w:link w:val="NotedebasdepageCar"/>
    <w:semiHidden/>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147A49"/>
    <w:pPr>
      <w:spacing w:before="0" w:after="0"/>
      <w:ind w:left="1440" w:right="1440"/>
    </w:pPr>
    <w:rPr>
      <w:sz w:val="20"/>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NotedebasdepageCar">
    <w:name w:val="Note de bas de page Car"/>
    <w:aliases w:val="Note de bas de page art 65 Car"/>
    <w:basedOn w:val="Policepardfaut"/>
    <w:link w:val="Notedebasdepage"/>
    <w:semiHidden/>
    <w:locked/>
    <w:rsid w:val="006A5E15"/>
    <w:rPr>
      <w:rFonts w:ascii="Arial" w:hAnsi="Arial"/>
      <w:sz w:val="24"/>
    </w:rPr>
  </w:style>
  <w:style w:type="character" w:customStyle="1" w:styleId="corpsdedcisionCar">
    <w:name w:val="corps de décision Car"/>
    <w:link w:val="corpsdedcision"/>
    <w:locked/>
    <w:rsid w:val="006A5E15"/>
    <w:rPr>
      <w:rFonts w:ascii="Arial" w:hAnsi="Arial"/>
      <w:sz w:val="24"/>
    </w:rPr>
  </w:style>
  <w:style w:type="paragraph" w:customStyle="1" w:styleId="corpsdedcision0">
    <w:name w:val="corpsdedcision"/>
    <w:basedOn w:val="Normal"/>
    <w:rsid w:val="004237DC"/>
    <w:pPr>
      <w:spacing w:line="336" w:lineRule="atLeast"/>
    </w:pPr>
    <w:rPr>
      <w:rFonts w:ascii="Times New Roman" w:hAnsi="Times New Roman"/>
      <w:sz w:val="18"/>
      <w:szCs w:val="18"/>
    </w:rPr>
  </w:style>
  <w:style w:type="paragraph" w:customStyle="1" w:styleId="articlesdelalatmp0">
    <w:name w:val="articlesdelalatmp"/>
    <w:basedOn w:val="Normal"/>
    <w:rsid w:val="00C22C04"/>
    <w:pPr>
      <w:spacing w:line="336" w:lineRule="atLeast"/>
    </w:pPr>
    <w:rPr>
      <w:rFonts w:ascii="Times New Roman" w:hAnsi="Times New Roman"/>
      <w:sz w:val="18"/>
      <w:szCs w:val="18"/>
    </w:rPr>
  </w:style>
  <w:style w:type="paragraph" w:styleId="Textedebulles">
    <w:name w:val="Balloon Text"/>
    <w:basedOn w:val="Normal"/>
    <w:link w:val="TextedebullesCar"/>
    <w:rsid w:val="002A0B8C"/>
    <w:rPr>
      <w:rFonts w:ascii="Segoe UI" w:hAnsi="Segoe UI" w:cs="Segoe UI"/>
      <w:sz w:val="18"/>
      <w:szCs w:val="18"/>
    </w:rPr>
  </w:style>
  <w:style w:type="character" w:customStyle="1" w:styleId="TextedebullesCar">
    <w:name w:val="Texte de bulles Car"/>
    <w:basedOn w:val="Policepardfaut"/>
    <w:link w:val="Textedebulles"/>
    <w:rsid w:val="002A0B8C"/>
    <w:rPr>
      <w:rFonts w:ascii="Segoe UI" w:hAnsi="Segoe UI" w:cs="Segoe UI"/>
      <w:sz w:val="18"/>
      <w:szCs w:val="18"/>
    </w:rPr>
  </w:style>
  <w:style w:type="character" w:styleId="Accentuation">
    <w:name w:val="Emphasis"/>
    <w:basedOn w:val="Policepardfaut"/>
    <w:uiPriority w:val="20"/>
    <w:qFormat/>
    <w:rsid w:val="00E35F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021354">
      <w:bodyDiv w:val="1"/>
      <w:marLeft w:val="0"/>
      <w:marRight w:val="0"/>
      <w:marTop w:val="0"/>
      <w:marBottom w:val="0"/>
      <w:divBdr>
        <w:top w:val="none" w:sz="0" w:space="0" w:color="auto"/>
        <w:left w:val="none" w:sz="0" w:space="0" w:color="auto"/>
        <w:bottom w:val="none" w:sz="0" w:space="0" w:color="auto"/>
        <w:right w:val="none" w:sz="0" w:space="0" w:color="auto"/>
      </w:divBdr>
    </w:div>
    <w:div w:id="763454913">
      <w:bodyDiv w:val="1"/>
      <w:marLeft w:val="0"/>
      <w:marRight w:val="0"/>
      <w:marTop w:val="0"/>
      <w:marBottom w:val="0"/>
      <w:divBdr>
        <w:top w:val="none" w:sz="0" w:space="0" w:color="auto"/>
        <w:left w:val="none" w:sz="0" w:space="0" w:color="auto"/>
        <w:bottom w:val="none" w:sz="0" w:space="0" w:color="auto"/>
        <w:right w:val="none" w:sz="0" w:space="0" w:color="auto"/>
      </w:divBdr>
    </w:div>
    <w:div w:id="1028221683">
      <w:bodyDiv w:val="1"/>
      <w:marLeft w:val="0"/>
      <w:marRight w:val="0"/>
      <w:marTop w:val="0"/>
      <w:marBottom w:val="0"/>
      <w:divBdr>
        <w:top w:val="none" w:sz="0" w:space="0" w:color="auto"/>
        <w:left w:val="none" w:sz="0" w:space="0" w:color="auto"/>
        <w:bottom w:val="none" w:sz="0" w:space="0" w:color="auto"/>
        <w:right w:val="none" w:sz="0" w:space="0" w:color="auto"/>
      </w:divBdr>
      <w:divsChild>
        <w:div w:id="492575434">
          <w:marLeft w:val="0"/>
          <w:marRight w:val="0"/>
          <w:marTop w:val="0"/>
          <w:marBottom w:val="0"/>
          <w:divBdr>
            <w:top w:val="none" w:sz="0" w:space="0" w:color="auto"/>
            <w:left w:val="none" w:sz="0" w:space="0" w:color="auto"/>
            <w:bottom w:val="none" w:sz="0" w:space="0" w:color="auto"/>
            <w:right w:val="none" w:sz="0" w:space="0" w:color="auto"/>
          </w:divBdr>
          <w:divsChild>
            <w:div w:id="1897547121">
              <w:marLeft w:val="0"/>
              <w:marRight w:val="0"/>
              <w:marTop w:val="0"/>
              <w:marBottom w:val="0"/>
              <w:divBdr>
                <w:top w:val="none" w:sz="0" w:space="0" w:color="auto"/>
                <w:left w:val="none" w:sz="0" w:space="0" w:color="auto"/>
                <w:bottom w:val="none" w:sz="0" w:space="0" w:color="auto"/>
                <w:right w:val="none" w:sz="0" w:space="0" w:color="auto"/>
              </w:divBdr>
              <w:divsChild>
                <w:div w:id="557787385">
                  <w:marLeft w:val="0"/>
                  <w:marRight w:val="0"/>
                  <w:marTop w:val="0"/>
                  <w:marBottom w:val="0"/>
                  <w:divBdr>
                    <w:top w:val="none" w:sz="0" w:space="0" w:color="auto"/>
                    <w:left w:val="none" w:sz="0" w:space="0" w:color="auto"/>
                    <w:bottom w:val="none" w:sz="0" w:space="0" w:color="auto"/>
                    <w:right w:val="none" w:sz="0" w:space="0" w:color="auto"/>
                  </w:divBdr>
                  <w:divsChild>
                    <w:div w:id="1946958426">
                      <w:marLeft w:val="0"/>
                      <w:marRight w:val="75"/>
                      <w:marTop w:val="0"/>
                      <w:marBottom w:val="0"/>
                      <w:divBdr>
                        <w:top w:val="none" w:sz="0" w:space="0" w:color="auto"/>
                        <w:left w:val="none" w:sz="0" w:space="0" w:color="auto"/>
                        <w:bottom w:val="none" w:sz="0" w:space="0" w:color="auto"/>
                        <w:right w:val="none" w:sz="0" w:space="0" w:color="auto"/>
                      </w:divBdr>
                      <w:divsChild>
                        <w:div w:id="1774787742">
                          <w:marLeft w:val="0"/>
                          <w:marRight w:val="0"/>
                          <w:marTop w:val="0"/>
                          <w:marBottom w:val="0"/>
                          <w:divBdr>
                            <w:top w:val="none" w:sz="0" w:space="0" w:color="auto"/>
                            <w:left w:val="none" w:sz="0" w:space="0" w:color="auto"/>
                            <w:bottom w:val="none" w:sz="0" w:space="0" w:color="auto"/>
                            <w:right w:val="none" w:sz="0" w:space="0" w:color="auto"/>
                          </w:divBdr>
                          <w:divsChild>
                            <w:div w:id="1945382631">
                              <w:marLeft w:val="0"/>
                              <w:marRight w:val="0"/>
                              <w:marTop w:val="0"/>
                              <w:marBottom w:val="0"/>
                              <w:divBdr>
                                <w:top w:val="none" w:sz="0" w:space="0" w:color="auto"/>
                                <w:left w:val="none" w:sz="0" w:space="0" w:color="auto"/>
                                <w:bottom w:val="none" w:sz="0" w:space="0" w:color="auto"/>
                                <w:right w:val="none" w:sz="0" w:space="0" w:color="auto"/>
                              </w:divBdr>
                              <w:divsChild>
                                <w:div w:id="11008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7453">
      <w:bodyDiv w:val="1"/>
      <w:marLeft w:val="0"/>
      <w:marRight w:val="0"/>
      <w:marTop w:val="0"/>
      <w:marBottom w:val="0"/>
      <w:divBdr>
        <w:top w:val="none" w:sz="0" w:space="0" w:color="auto"/>
        <w:left w:val="none" w:sz="0" w:space="0" w:color="auto"/>
        <w:bottom w:val="none" w:sz="0" w:space="0" w:color="auto"/>
        <w:right w:val="none" w:sz="0" w:space="0" w:color="auto"/>
      </w:divBdr>
      <w:divsChild>
        <w:div w:id="1643315743">
          <w:marLeft w:val="0"/>
          <w:marRight w:val="0"/>
          <w:marTop w:val="0"/>
          <w:marBottom w:val="0"/>
          <w:divBdr>
            <w:top w:val="none" w:sz="0" w:space="0" w:color="auto"/>
            <w:left w:val="none" w:sz="0" w:space="0" w:color="auto"/>
            <w:bottom w:val="none" w:sz="0" w:space="0" w:color="auto"/>
            <w:right w:val="none" w:sz="0" w:space="0" w:color="auto"/>
          </w:divBdr>
          <w:divsChild>
            <w:div w:id="1094745840">
              <w:marLeft w:val="0"/>
              <w:marRight w:val="0"/>
              <w:marTop w:val="0"/>
              <w:marBottom w:val="0"/>
              <w:divBdr>
                <w:top w:val="none" w:sz="0" w:space="0" w:color="auto"/>
                <w:left w:val="none" w:sz="0" w:space="0" w:color="auto"/>
                <w:bottom w:val="none" w:sz="0" w:space="0" w:color="auto"/>
                <w:right w:val="none" w:sz="0" w:space="0" w:color="auto"/>
              </w:divBdr>
              <w:divsChild>
                <w:div w:id="936055741">
                  <w:marLeft w:val="0"/>
                  <w:marRight w:val="0"/>
                  <w:marTop w:val="0"/>
                  <w:marBottom w:val="0"/>
                  <w:divBdr>
                    <w:top w:val="none" w:sz="0" w:space="0" w:color="auto"/>
                    <w:left w:val="none" w:sz="0" w:space="0" w:color="auto"/>
                    <w:bottom w:val="none" w:sz="0" w:space="0" w:color="auto"/>
                    <w:right w:val="none" w:sz="0" w:space="0" w:color="auto"/>
                  </w:divBdr>
                  <w:divsChild>
                    <w:div w:id="18317142">
                      <w:marLeft w:val="0"/>
                      <w:marRight w:val="75"/>
                      <w:marTop w:val="0"/>
                      <w:marBottom w:val="0"/>
                      <w:divBdr>
                        <w:top w:val="none" w:sz="0" w:space="0" w:color="auto"/>
                        <w:left w:val="none" w:sz="0" w:space="0" w:color="auto"/>
                        <w:bottom w:val="none" w:sz="0" w:space="0" w:color="auto"/>
                        <w:right w:val="none" w:sz="0" w:space="0" w:color="auto"/>
                      </w:divBdr>
                      <w:divsChild>
                        <w:div w:id="122622377">
                          <w:marLeft w:val="0"/>
                          <w:marRight w:val="0"/>
                          <w:marTop w:val="0"/>
                          <w:marBottom w:val="0"/>
                          <w:divBdr>
                            <w:top w:val="none" w:sz="0" w:space="0" w:color="auto"/>
                            <w:left w:val="none" w:sz="0" w:space="0" w:color="auto"/>
                            <w:bottom w:val="none" w:sz="0" w:space="0" w:color="auto"/>
                            <w:right w:val="none" w:sz="0" w:space="0" w:color="auto"/>
                          </w:divBdr>
                          <w:divsChild>
                            <w:div w:id="1741517142">
                              <w:marLeft w:val="0"/>
                              <w:marRight w:val="0"/>
                              <w:marTop w:val="0"/>
                              <w:marBottom w:val="0"/>
                              <w:divBdr>
                                <w:top w:val="none" w:sz="0" w:space="0" w:color="auto"/>
                                <w:left w:val="none" w:sz="0" w:space="0" w:color="auto"/>
                                <w:bottom w:val="none" w:sz="0" w:space="0" w:color="auto"/>
                                <w:right w:val="none" w:sz="0" w:space="0" w:color="auto"/>
                              </w:divBdr>
                              <w:divsChild>
                                <w:div w:id="6860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134768">
      <w:bodyDiv w:val="1"/>
      <w:marLeft w:val="0"/>
      <w:marRight w:val="0"/>
      <w:marTop w:val="0"/>
      <w:marBottom w:val="0"/>
      <w:divBdr>
        <w:top w:val="none" w:sz="0" w:space="0" w:color="auto"/>
        <w:left w:val="none" w:sz="0" w:space="0" w:color="auto"/>
        <w:bottom w:val="none" w:sz="0" w:space="0" w:color="auto"/>
        <w:right w:val="none" w:sz="0" w:space="0" w:color="auto"/>
      </w:divBdr>
    </w:div>
    <w:div w:id="211008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300A9-288E-4EB5-9A12-87C42FD7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1708</Words>
  <Characters>9395</Characters>
  <Application>Microsoft Office Word</Application>
  <DocSecurity>0</DocSecurity>
  <Lines>78</Lines>
  <Paragraphs>22</Paragraphs>
  <ScaleCrop>false</ScaleCrop>
  <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2016-12-20T13:00:00Z</dcterms:created>
  <dcterms:modified xsi:type="dcterms:W3CDTF">2016-12-20T13:00:00Z</dcterms:modified>
</cp:coreProperties>
</file>