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4D36A3D8" w14:textId="77777777">
        <w:trPr>
          <w:cantSplit/>
        </w:trPr>
        <w:tc>
          <w:tcPr>
            <w:tcW w:w="4795" w:type="dxa"/>
          </w:tcPr>
          <w:p w14:paraId="627F6909" w14:textId="55E7AC27" w:rsidR="008A7FD1" w:rsidRPr="0093531A" w:rsidRDefault="0093531A" w:rsidP="0093531A">
            <w:pPr>
              <w:pStyle w:val="zSoquijdatRepertorie"/>
              <w:rPr>
                <w:rFonts w:cs="Arial"/>
              </w:rPr>
            </w:pPr>
            <w:bookmarkStart w:id="0" w:name="_GoBack"/>
            <w:bookmarkEnd w:id="0"/>
            <w:r>
              <w:rPr>
                <w:rFonts w:cs="Arial"/>
              </w:rPr>
              <w:t>Pageau et Outillage de précision Drummond inc.</w:t>
            </w:r>
          </w:p>
        </w:tc>
        <w:tc>
          <w:tcPr>
            <w:tcW w:w="2477" w:type="dxa"/>
          </w:tcPr>
          <w:p w14:paraId="4CED788D" w14:textId="071E7695" w:rsidR="008A7FD1" w:rsidRPr="00747BCB" w:rsidRDefault="00747BCB" w:rsidP="00747BCB">
            <w:pPr>
              <w:pStyle w:val="zSoquijdatRefNeutre"/>
              <w:rPr>
                <w:rFonts w:cs="Arial"/>
              </w:rPr>
            </w:pPr>
            <w:r w:rsidRPr="00747BCB">
              <w:rPr>
                <w:rFonts w:cs="Arial"/>
              </w:rPr>
              <w:t>2025 QCTAT 3182</w:t>
            </w:r>
          </w:p>
        </w:tc>
      </w:tr>
    </w:tbl>
    <w:p w14:paraId="44388184"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5418C855" w14:textId="77777777" w:rsidTr="00036794">
        <w:trPr>
          <w:cantSplit/>
        </w:trPr>
        <w:tc>
          <w:tcPr>
            <w:tcW w:w="9568" w:type="dxa"/>
            <w:gridSpan w:val="4"/>
          </w:tcPr>
          <w:p w14:paraId="46CD7BF2" w14:textId="77777777" w:rsidR="00C74B6F" w:rsidRPr="00BE1981" w:rsidRDefault="00C74B6F">
            <w:pPr>
              <w:rPr>
                <w:szCs w:val="24"/>
              </w:rPr>
            </w:pPr>
          </w:p>
        </w:tc>
      </w:tr>
      <w:tr w:rsidR="00C74B6F" w14:paraId="4B3C65DC" w14:textId="77777777" w:rsidTr="00036794">
        <w:trPr>
          <w:cantSplit/>
        </w:trPr>
        <w:tc>
          <w:tcPr>
            <w:tcW w:w="9568" w:type="dxa"/>
            <w:gridSpan w:val="4"/>
            <w:vAlign w:val="center"/>
          </w:tcPr>
          <w:p w14:paraId="55CA416A" w14:textId="77777777" w:rsidR="00C74B6F" w:rsidRPr="000E1320" w:rsidRDefault="000E1320">
            <w:pPr>
              <w:jc w:val="center"/>
              <w:rPr>
                <w:sz w:val="36"/>
                <w:szCs w:val="36"/>
              </w:rPr>
            </w:pPr>
            <w:r w:rsidRPr="000E1320">
              <w:rPr>
                <w:b/>
                <w:sz w:val="36"/>
                <w:szCs w:val="36"/>
              </w:rPr>
              <w:t>TRIBUNAL ADMINISTRATIF DU TRAVAIL</w:t>
            </w:r>
          </w:p>
        </w:tc>
      </w:tr>
      <w:tr w:rsidR="00C74B6F" w14:paraId="4C837C7E" w14:textId="77777777" w:rsidTr="00036794">
        <w:trPr>
          <w:cantSplit/>
        </w:trPr>
        <w:tc>
          <w:tcPr>
            <w:tcW w:w="9568" w:type="dxa"/>
            <w:gridSpan w:val="4"/>
          </w:tcPr>
          <w:p w14:paraId="671C8768" w14:textId="00A86C9E" w:rsidR="00C74B6F" w:rsidRPr="00BE7014" w:rsidRDefault="006F0154" w:rsidP="009A67E7">
            <w:pPr>
              <w:pStyle w:val="zSoquijdatDivision"/>
            </w:pPr>
            <w:r w:rsidRPr="00BE7014">
              <w:t>(</w:t>
            </w:r>
            <w:r w:rsidR="00290C3A" w:rsidRPr="00441ADA">
              <w:t>Division de la santé et de la sécurité du travail</w:t>
            </w:r>
            <w:r w:rsidRPr="00BE7014">
              <w:t>)</w:t>
            </w:r>
          </w:p>
        </w:tc>
      </w:tr>
      <w:tr w:rsidR="00C74B6F" w14:paraId="57188DFB" w14:textId="77777777" w:rsidTr="00036794">
        <w:trPr>
          <w:cantSplit/>
        </w:trPr>
        <w:tc>
          <w:tcPr>
            <w:tcW w:w="9568" w:type="dxa"/>
            <w:gridSpan w:val="4"/>
          </w:tcPr>
          <w:p w14:paraId="6B4BD433" w14:textId="77777777" w:rsidR="002B2FC3" w:rsidRDefault="002B2FC3" w:rsidP="002B2FC3"/>
        </w:tc>
      </w:tr>
      <w:tr w:rsidR="00A84FC6" w14:paraId="2F1C2B79" w14:textId="77777777" w:rsidTr="00036794">
        <w:trPr>
          <w:cantSplit/>
        </w:trPr>
        <w:tc>
          <w:tcPr>
            <w:tcW w:w="9568" w:type="dxa"/>
            <w:gridSpan w:val="4"/>
          </w:tcPr>
          <w:p w14:paraId="640BADEC" w14:textId="77777777" w:rsidR="00A84FC6" w:rsidRDefault="00A84FC6" w:rsidP="002B2FC3"/>
        </w:tc>
      </w:tr>
      <w:tr w:rsidR="00C74B6F" w14:paraId="5BD9DF43" w14:textId="77777777" w:rsidTr="00036794">
        <w:tc>
          <w:tcPr>
            <w:tcW w:w="3331" w:type="dxa"/>
          </w:tcPr>
          <w:p w14:paraId="66BC9AA5" w14:textId="77777777" w:rsidR="00C74B6F" w:rsidRDefault="0084255F">
            <w:bookmarkStart w:id="1" w:name="region" w:colFirst="1" w:colLast="1"/>
            <w:r>
              <w:t>Région :</w:t>
            </w:r>
          </w:p>
        </w:tc>
        <w:tc>
          <w:tcPr>
            <w:tcW w:w="6237" w:type="dxa"/>
            <w:gridSpan w:val="3"/>
          </w:tcPr>
          <w:p w14:paraId="6C85960A" w14:textId="4E9B03AB" w:rsidR="00C74B6F" w:rsidRDefault="00290C3A" w:rsidP="00F4095A">
            <w:pPr>
              <w:pStyle w:val="zSoquijdatGreffe"/>
            </w:pPr>
            <w:r>
              <w:t>Mauricie–Centre-du-Québec</w:t>
            </w:r>
          </w:p>
        </w:tc>
      </w:tr>
      <w:bookmarkEnd w:id="1"/>
      <w:tr w:rsidR="00C74B6F" w14:paraId="34D7F461" w14:textId="77777777" w:rsidTr="00036794">
        <w:trPr>
          <w:cantSplit/>
        </w:trPr>
        <w:tc>
          <w:tcPr>
            <w:tcW w:w="9568" w:type="dxa"/>
            <w:gridSpan w:val="4"/>
          </w:tcPr>
          <w:p w14:paraId="50570141" w14:textId="77777777" w:rsidR="00C74B6F" w:rsidRDefault="00C74B6F"/>
        </w:tc>
      </w:tr>
      <w:tr w:rsidR="00C74B6F" w14:paraId="7DAF51A9" w14:textId="77777777" w:rsidTr="00036794">
        <w:tc>
          <w:tcPr>
            <w:tcW w:w="3331" w:type="dxa"/>
          </w:tcPr>
          <w:p w14:paraId="5BC6F7F1" w14:textId="6841D5E3" w:rsidR="00C74B6F" w:rsidRDefault="0084255F">
            <w:bookmarkStart w:id="2" w:name="ref_dossier" w:colFirst="1" w:colLast="1"/>
            <w:r>
              <w:t>Dossier</w:t>
            </w:r>
            <w:bookmarkStart w:id="3" w:name="dossiers"/>
            <w:bookmarkEnd w:id="3"/>
            <w:r>
              <w:t> :</w:t>
            </w:r>
          </w:p>
        </w:tc>
        <w:tc>
          <w:tcPr>
            <w:tcW w:w="6237" w:type="dxa"/>
            <w:gridSpan w:val="3"/>
          </w:tcPr>
          <w:p w14:paraId="7B22B60F" w14:textId="6DC08534" w:rsidR="00C74B6F" w:rsidRDefault="00393782" w:rsidP="00F4095A">
            <w:pPr>
              <w:pStyle w:val="zSoquijdatNoDossier"/>
            </w:pPr>
            <w:r>
              <w:t>1338567-04B-2309</w:t>
            </w:r>
          </w:p>
        </w:tc>
      </w:tr>
      <w:bookmarkEnd w:id="2"/>
      <w:tr w:rsidR="00C74B6F" w14:paraId="3343116F" w14:textId="77777777" w:rsidTr="00036794">
        <w:trPr>
          <w:cantSplit/>
        </w:trPr>
        <w:tc>
          <w:tcPr>
            <w:tcW w:w="9568" w:type="dxa"/>
            <w:gridSpan w:val="4"/>
          </w:tcPr>
          <w:p w14:paraId="49DCB61B" w14:textId="77777777" w:rsidR="00C74B6F" w:rsidRDefault="00D44BCF">
            <w:r>
              <w:fldChar w:fldCharType="begin"/>
            </w:r>
            <w:r>
              <w:instrText xml:space="preserve"> AUTOTEXTLIST  \* Upper  \* MERGEFORMAT </w:instrText>
            </w:r>
            <w:r>
              <w:fldChar w:fldCharType="end"/>
            </w:r>
          </w:p>
        </w:tc>
      </w:tr>
      <w:tr w:rsidR="00C74B6F" w14:paraId="5A01A326" w14:textId="77777777" w:rsidTr="00036794">
        <w:tc>
          <w:tcPr>
            <w:tcW w:w="3331" w:type="dxa"/>
          </w:tcPr>
          <w:p w14:paraId="2F00B12F" w14:textId="5A9CD351" w:rsidR="00C74B6F" w:rsidRDefault="008C79A7" w:rsidP="0045114F">
            <w:pPr>
              <w:ind w:right="46"/>
            </w:pPr>
            <w:r>
              <w:t xml:space="preserve">Dossier </w:t>
            </w:r>
            <w:r w:rsidR="00290C3A" w:rsidRPr="00290C3A">
              <w:rPr>
                <w:szCs w:val="24"/>
              </w:rPr>
              <w:t>CNESST</w:t>
            </w:r>
            <w:r w:rsidRPr="008C79A7">
              <w:rPr>
                <w:szCs w:val="24"/>
              </w:rPr>
              <w:t xml:space="preserve"> :</w:t>
            </w:r>
          </w:p>
        </w:tc>
        <w:tc>
          <w:tcPr>
            <w:tcW w:w="6237" w:type="dxa"/>
            <w:gridSpan w:val="3"/>
          </w:tcPr>
          <w:p w14:paraId="489A1417" w14:textId="5E97D6A6" w:rsidR="00C74B6F" w:rsidRDefault="00290C3A" w:rsidP="004D6CEA">
            <w:pPr>
              <w:pStyle w:val="zSoquijdatNCSST"/>
            </w:pPr>
            <w:r>
              <w:t>513273219</w:t>
            </w:r>
          </w:p>
        </w:tc>
      </w:tr>
      <w:tr w:rsidR="00C74B6F" w14:paraId="33685478" w14:textId="77777777" w:rsidTr="00036794">
        <w:trPr>
          <w:cantSplit/>
        </w:trPr>
        <w:tc>
          <w:tcPr>
            <w:tcW w:w="9568" w:type="dxa"/>
            <w:gridSpan w:val="4"/>
          </w:tcPr>
          <w:p w14:paraId="0BDCDF1F" w14:textId="77777777" w:rsidR="00C74B6F" w:rsidRDefault="00C74B6F"/>
        </w:tc>
      </w:tr>
      <w:tr w:rsidR="00C74B6F" w14:paraId="785E815E" w14:textId="77777777" w:rsidTr="00036794">
        <w:trPr>
          <w:cantSplit/>
        </w:trPr>
        <w:tc>
          <w:tcPr>
            <w:tcW w:w="9568" w:type="dxa"/>
            <w:gridSpan w:val="4"/>
          </w:tcPr>
          <w:p w14:paraId="1DE1BEB9" w14:textId="77777777" w:rsidR="00C74B6F" w:rsidRDefault="00C74B6F"/>
        </w:tc>
      </w:tr>
      <w:tr w:rsidR="006E3DD8" w14:paraId="598286E9" w14:textId="77777777" w:rsidTr="00036794">
        <w:trPr>
          <w:cantSplit/>
        </w:trPr>
        <w:tc>
          <w:tcPr>
            <w:tcW w:w="3331" w:type="dxa"/>
          </w:tcPr>
          <w:p w14:paraId="5C95E766" w14:textId="1055ADF6" w:rsidR="006E3DD8" w:rsidRDefault="00290C3A" w:rsidP="0076350E">
            <w:pPr>
              <w:ind w:right="-70"/>
            </w:pPr>
            <w:r>
              <w:t>Drummondville</w:t>
            </w:r>
            <w:r w:rsidR="00C04E32">
              <w:t>,</w:t>
            </w:r>
          </w:p>
        </w:tc>
        <w:tc>
          <w:tcPr>
            <w:tcW w:w="6237" w:type="dxa"/>
            <w:gridSpan w:val="3"/>
          </w:tcPr>
          <w:p w14:paraId="7DDB1A07" w14:textId="42DFFB61" w:rsidR="006E3DD8" w:rsidRDefault="00C04E32" w:rsidP="005B5689">
            <w:pPr>
              <w:pStyle w:val="zSoquijdatDateJugement"/>
            </w:pPr>
            <w:r>
              <w:t xml:space="preserve">le </w:t>
            </w:r>
            <w:r w:rsidR="00290C3A">
              <w:t>2</w:t>
            </w:r>
            <w:r w:rsidR="005E2820">
              <w:t>9</w:t>
            </w:r>
            <w:r w:rsidR="00290C3A">
              <w:t xml:space="preserve"> juillet 2025</w:t>
            </w:r>
          </w:p>
        </w:tc>
      </w:tr>
      <w:tr w:rsidR="00942AB8" w14:paraId="345929EC" w14:textId="77777777" w:rsidTr="00036794">
        <w:trPr>
          <w:cantSplit/>
        </w:trPr>
        <w:tc>
          <w:tcPr>
            <w:tcW w:w="9568" w:type="dxa"/>
            <w:gridSpan w:val="4"/>
          </w:tcPr>
          <w:p w14:paraId="7F7E88F5" w14:textId="77777777" w:rsidR="00942AB8" w:rsidRDefault="00942AB8" w:rsidP="00FA153F">
            <w:r>
              <w:t>______________________________________________________________________</w:t>
            </w:r>
          </w:p>
        </w:tc>
      </w:tr>
      <w:tr w:rsidR="00942AB8" w14:paraId="26BE1498" w14:textId="77777777" w:rsidTr="00036794">
        <w:trPr>
          <w:cantSplit/>
          <w:trHeight w:val="148"/>
        </w:trPr>
        <w:tc>
          <w:tcPr>
            <w:tcW w:w="9568" w:type="dxa"/>
            <w:gridSpan w:val="4"/>
          </w:tcPr>
          <w:p w14:paraId="5BAA1395" w14:textId="77777777" w:rsidR="00942AB8" w:rsidRDefault="00942AB8" w:rsidP="00FA153F"/>
        </w:tc>
      </w:tr>
      <w:tr w:rsidR="0035375B" w14:paraId="702FD36D" w14:textId="77777777" w:rsidTr="00036794">
        <w:trPr>
          <w:cantSplit/>
          <w:trHeight w:val="148"/>
        </w:trPr>
        <w:tc>
          <w:tcPr>
            <w:tcW w:w="5883" w:type="dxa"/>
            <w:gridSpan w:val="3"/>
          </w:tcPr>
          <w:p w14:paraId="6528E069" w14:textId="430EE494" w:rsidR="0035375B" w:rsidRPr="00942AB8" w:rsidRDefault="0035375B">
            <w:pPr>
              <w:rPr>
                <w:b/>
                <w:bCs/>
              </w:rPr>
            </w:pPr>
            <w:bookmarkStart w:id="4" w:name="ref_commissaire" w:colFirst="1" w:colLast="1"/>
            <w:r w:rsidRPr="00942AB8">
              <w:rPr>
                <w:b/>
                <w:bCs/>
              </w:rPr>
              <w:t>DEVANT L</w:t>
            </w:r>
            <w:r w:rsidR="00290C3A">
              <w:rPr>
                <w:b/>
                <w:bCs/>
              </w:rPr>
              <w:t>A</w:t>
            </w:r>
            <w:r w:rsidRPr="00942AB8">
              <w:rPr>
                <w:b/>
                <w:bCs/>
              </w:rPr>
              <w:t xml:space="preserve"> JUGE ADMINISTRATI</w:t>
            </w:r>
            <w:r w:rsidR="00290C3A">
              <w:rPr>
                <w:b/>
                <w:bCs/>
              </w:rPr>
              <w:t>VE</w:t>
            </w:r>
            <w:r w:rsidRPr="00942AB8">
              <w:rPr>
                <w:b/>
                <w:bCs/>
              </w:rPr>
              <w:t> :</w:t>
            </w:r>
          </w:p>
        </w:tc>
        <w:tc>
          <w:tcPr>
            <w:tcW w:w="3685" w:type="dxa"/>
          </w:tcPr>
          <w:p w14:paraId="6C360A23" w14:textId="2282C0FF" w:rsidR="0035375B" w:rsidRPr="00942AB8" w:rsidRDefault="00290C3A" w:rsidP="005B5689">
            <w:pPr>
              <w:pStyle w:val="zSoquijdatJuge"/>
              <w:rPr>
                <w:bCs/>
              </w:rPr>
            </w:pPr>
            <w:r>
              <w:t>Isabelle Arseneault</w:t>
            </w:r>
          </w:p>
        </w:tc>
      </w:tr>
      <w:bookmarkEnd w:id="4"/>
      <w:tr w:rsidR="00942AB8" w14:paraId="214F1004" w14:textId="77777777" w:rsidTr="00036794">
        <w:trPr>
          <w:cantSplit/>
          <w:trHeight w:val="148"/>
        </w:trPr>
        <w:tc>
          <w:tcPr>
            <w:tcW w:w="9568" w:type="dxa"/>
            <w:gridSpan w:val="4"/>
          </w:tcPr>
          <w:p w14:paraId="75CF0065" w14:textId="77777777" w:rsidR="00942AB8" w:rsidRDefault="00942AB8" w:rsidP="00FA153F">
            <w:r>
              <w:t>______________________________________________________________________</w:t>
            </w:r>
          </w:p>
        </w:tc>
      </w:tr>
      <w:tr w:rsidR="00942AB8" w14:paraId="5E47A719" w14:textId="77777777" w:rsidTr="00036794">
        <w:tc>
          <w:tcPr>
            <w:tcW w:w="9568" w:type="dxa"/>
            <w:gridSpan w:val="4"/>
          </w:tcPr>
          <w:p w14:paraId="71261D87" w14:textId="77777777" w:rsidR="00942AB8" w:rsidRDefault="00942AB8"/>
        </w:tc>
      </w:tr>
      <w:tr w:rsidR="00942AB8" w14:paraId="4C693DE3" w14:textId="77777777" w:rsidTr="00E21768">
        <w:tc>
          <w:tcPr>
            <w:tcW w:w="4890" w:type="dxa"/>
            <w:gridSpan w:val="2"/>
          </w:tcPr>
          <w:p w14:paraId="7DE24903" w14:textId="77777777" w:rsidR="00942AB8" w:rsidRDefault="00942AB8">
            <w:bookmarkStart w:id="5" w:name="bloc_parties_gauche"/>
            <w:bookmarkEnd w:id="5"/>
          </w:p>
        </w:tc>
        <w:tc>
          <w:tcPr>
            <w:tcW w:w="4678" w:type="dxa"/>
            <w:gridSpan w:val="2"/>
          </w:tcPr>
          <w:p w14:paraId="6D17FD9C" w14:textId="77777777" w:rsidR="00942AB8" w:rsidRDefault="00942AB8"/>
        </w:tc>
      </w:tr>
      <w:tr w:rsidR="00942AB8" w14:paraId="5826F692" w14:textId="77777777" w:rsidTr="00E21768">
        <w:tc>
          <w:tcPr>
            <w:tcW w:w="4890" w:type="dxa"/>
            <w:gridSpan w:val="2"/>
          </w:tcPr>
          <w:p w14:paraId="7C77FCCF" w14:textId="304525E4" w:rsidR="00942AB8" w:rsidRDefault="00290C3A">
            <w:pPr>
              <w:pStyle w:val="zSoquijdatNomPartieDem"/>
              <w:rPr>
                <w:b/>
              </w:rPr>
            </w:pPr>
            <w:r>
              <w:rPr>
                <w:b/>
              </w:rPr>
              <w:t>Stéphane Pageau</w:t>
            </w:r>
          </w:p>
        </w:tc>
        <w:tc>
          <w:tcPr>
            <w:tcW w:w="4678" w:type="dxa"/>
            <w:gridSpan w:val="2"/>
          </w:tcPr>
          <w:p w14:paraId="222A9F1E" w14:textId="77777777" w:rsidR="00942AB8" w:rsidRDefault="00942AB8"/>
        </w:tc>
      </w:tr>
      <w:tr w:rsidR="00942AB8" w14:paraId="718809B7" w14:textId="77777777" w:rsidTr="00E21768">
        <w:tc>
          <w:tcPr>
            <w:tcW w:w="4890" w:type="dxa"/>
            <w:gridSpan w:val="2"/>
          </w:tcPr>
          <w:p w14:paraId="69CE337A" w14:textId="01C485F0" w:rsidR="00942AB8" w:rsidRDefault="00290C3A" w:rsidP="007B0DF2">
            <w:pPr>
              <w:pStyle w:val="zSoquijdatQtePartieDem"/>
              <w:tabs>
                <w:tab w:val="left" w:pos="3539"/>
              </w:tabs>
              <w:ind w:left="708"/>
            </w:pPr>
            <w:bookmarkStart w:id="6" w:name="partie_demanderesse"/>
            <w:bookmarkEnd w:id="6"/>
            <w:r>
              <w:t>Partie demanderesse</w:t>
            </w:r>
          </w:p>
        </w:tc>
        <w:tc>
          <w:tcPr>
            <w:tcW w:w="4678" w:type="dxa"/>
            <w:gridSpan w:val="2"/>
          </w:tcPr>
          <w:p w14:paraId="2699B380" w14:textId="77777777" w:rsidR="00942AB8" w:rsidRDefault="00942AB8"/>
        </w:tc>
      </w:tr>
      <w:tr w:rsidR="00942AB8" w14:paraId="1B2DE0F7" w14:textId="77777777" w:rsidTr="00E21768">
        <w:tc>
          <w:tcPr>
            <w:tcW w:w="4890" w:type="dxa"/>
            <w:gridSpan w:val="2"/>
          </w:tcPr>
          <w:p w14:paraId="0AE9B7FB" w14:textId="77777777" w:rsidR="00942AB8" w:rsidRDefault="00942AB8" w:rsidP="00E6363B"/>
        </w:tc>
        <w:tc>
          <w:tcPr>
            <w:tcW w:w="4678" w:type="dxa"/>
            <w:gridSpan w:val="2"/>
          </w:tcPr>
          <w:p w14:paraId="4343CD75" w14:textId="77777777" w:rsidR="00942AB8" w:rsidRDefault="00942AB8"/>
        </w:tc>
      </w:tr>
      <w:tr w:rsidR="00942AB8" w14:paraId="1252C388" w14:textId="77777777" w:rsidTr="00E21768">
        <w:tc>
          <w:tcPr>
            <w:tcW w:w="4890" w:type="dxa"/>
            <w:gridSpan w:val="2"/>
          </w:tcPr>
          <w:p w14:paraId="4A1C26F1" w14:textId="77AAC0C4" w:rsidR="00942AB8" w:rsidRDefault="00290C3A" w:rsidP="00D06652">
            <w:pPr>
              <w:pStyle w:val="zSoquijlblLienParties"/>
            </w:pPr>
            <w:r>
              <w:t>et</w:t>
            </w:r>
          </w:p>
        </w:tc>
        <w:tc>
          <w:tcPr>
            <w:tcW w:w="4678" w:type="dxa"/>
            <w:gridSpan w:val="2"/>
          </w:tcPr>
          <w:p w14:paraId="350EC2C5" w14:textId="77777777" w:rsidR="00942AB8" w:rsidRDefault="00942AB8"/>
        </w:tc>
      </w:tr>
      <w:tr w:rsidR="00942AB8" w14:paraId="39513F6D" w14:textId="77777777" w:rsidTr="00E21768">
        <w:tc>
          <w:tcPr>
            <w:tcW w:w="4890" w:type="dxa"/>
            <w:gridSpan w:val="2"/>
          </w:tcPr>
          <w:p w14:paraId="0C23E238" w14:textId="77777777" w:rsidR="00942AB8" w:rsidRDefault="00942AB8"/>
        </w:tc>
        <w:tc>
          <w:tcPr>
            <w:tcW w:w="4678" w:type="dxa"/>
            <w:gridSpan w:val="2"/>
          </w:tcPr>
          <w:p w14:paraId="57AA3F75" w14:textId="77777777" w:rsidR="00942AB8" w:rsidRDefault="00942AB8"/>
        </w:tc>
      </w:tr>
      <w:tr w:rsidR="00942AB8" w14:paraId="35EB9673" w14:textId="77777777" w:rsidTr="00E21768">
        <w:tc>
          <w:tcPr>
            <w:tcW w:w="4890" w:type="dxa"/>
            <w:gridSpan w:val="2"/>
          </w:tcPr>
          <w:p w14:paraId="7CFAFCDB" w14:textId="2277CC8A" w:rsidR="00942AB8" w:rsidRDefault="00290C3A">
            <w:pPr>
              <w:pStyle w:val="zSoquijdatNomPartieDef"/>
              <w:rPr>
                <w:b/>
              </w:rPr>
            </w:pPr>
            <w:r>
              <w:rPr>
                <w:b/>
              </w:rPr>
              <w:t>Outillage de précision Drummond inc.</w:t>
            </w:r>
          </w:p>
        </w:tc>
        <w:tc>
          <w:tcPr>
            <w:tcW w:w="4678" w:type="dxa"/>
            <w:gridSpan w:val="2"/>
          </w:tcPr>
          <w:p w14:paraId="43C3499B" w14:textId="77777777" w:rsidR="00942AB8" w:rsidRDefault="00942AB8"/>
        </w:tc>
      </w:tr>
      <w:tr w:rsidR="00942AB8" w14:paraId="7F03A20A" w14:textId="77777777" w:rsidTr="00E21768">
        <w:tc>
          <w:tcPr>
            <w:tcW w:w="4890" w:type="dxa"/>
            <w:gridSpan w:val="2"/>
          </w:tcPr>
          <w:p w14:paraId="29F79D22" w14:textId="23C253E7" w:rsidR="00942AB8" w:rsidRDefault="00290C3A">
            <w:pPr>
              <w:pStyle w:val="zSoquijdatQtePartieDef"/>
              <w:ind w:left="708"/>
            </w:pPr>
            <w:r>
              <w:t>Partie mise en cause</w:t>
            </w:r>
          </w:p>
        </w:tc>
        <w:tc>
          <w:tcPr>
            <w:tcW w:w="4678" w:type="dxa"/>
            <w:gridSpan w:val="2"/>
          </w:tcPr>
          <w:p w14:paraId="1B53F5A6" w14:textId="77777777" w:rsidR="00942AB8" w:rsidRDefault="00942AB8"/>
        </w:tc>
      </w:tr>
      <w:tr w:rsidR="0065093D" w14:paraId="6619B744" w14:textId="77777777" w:rsidTr="00E21768">
        <w:tc>
          <w:tcPr>
            <w:tcW w:w="4890" w:type="dxa"/>
            <w:gridSpan w:val="2"/>
          </w:tcPr>
          <w:p w14:paraId="496C5770" w14:textId="77777777" w:rsidR="0065093D" w:rsidRDefault="0065093D"/>
        </w:tc>
        <w:tc>
          <w:tcPr>
            <w:tcW w:w="4678" w:type="dxa"/>
            <w:gridSpan w:val="2"/>
          </w:tcPr>
          <w:p w14:paraId="5C633CA0" w14:textId="77777777" w:rsidR="0065093D" w:rsidRDefault="0065093D"/>
        </w:tc>
      </w:tr>
    </w:tbl>
    <w:p w14:paraId="41A7546D" w14:textId="77777777" w:rsidR="00C74B6F" w:rsidRDefault="00C74B6F">
      <w:r>
        <w:t>______________________________________________________________________</w:t>
      </w:r>
    </w:p>
    <w:p w14:paraId="4B5EA3A0" w14:textId="77777777" w:rsidR="00C74B6F" w:rsidRDefault="00C74B6F"/>
    <w:p w14:paraId="08B81CA7" w14:textId="77777777" w:rsidR="00C74B6F" w:rsidRPr="005B0612" w:rsidRDefault="00C74B6F" w:rsidP="008B042E">
      <w:pPr>
        <w:jc w:val="center"/>
        <w:rPr>
          <w:b/>
          <w:bCs/>
        </w:rPr>
      </w:pPr>
      <w:bookmarkStart w:id="7" w:name="decision"/>
      <w:r w:rsidRPr="005B0612">
        <w:rPr>
          <w:b/>
          <w:bCs/>
        </w:rPr>
        <w:t>DÉCISION</w:t>
      </w:r>
      <w:bookmarkEnd w:id="7"/>
    </w:p>
    <w:p w14:paraId="1A2FD8E2" w14:textId="77777777" w:rsidR="008F20EA" w:rsidRDefault="008F20EA" w:rsidP="008F20EA">
      <w:bookmarkStart w:id="8" w:name="separation"/>
      <w:bookmarkStart w:id="9" w:name="parag_1"/>
      <w:r>
        <w:t>______________________________________________________________________</w:t>
      </w:r>
    </w:p>
    <w:p w14:paraId="38A02201" w14:textId="77777777" w:rsidR="008F20EA" w:rsidRDefault="008F20EA" w:rsidP="008F20EA">
      <w:pPr>
        <w:pStyle w:val="corpsdedcision"/>
        <w:numPr>
          <w:ilvl w:val="0"/>
          <w:numId w:val="0"/>
        </w:numPr>
        <w:spacing w:before="360"/>
      </w:pPr>
      <w:bookmarkStart w:id="10" w:name="supprimer_apercu"/>
      <w:bookmarkEnd w:id="8"/>
      <w:r>
        <w:rPr>
          <w:b/>
          <w:bCs/>
          <w:u w:val="single"/>
        </w:rPr>
        <w:t>L’APERÇU</w:t>
      </w:r>
    </w:p>
    <w:bookmarkEnd w:id="10"/>
    <w:bookmarkEnd w:id="9"/>
    <w:p w14:paraId="53777ABD" w14:textId="14FA97A2" w:rsidR="00C972C2" w:rsidRDefault="00C972C2" w:rsidP="00C972C2">
      <w:pPr>
        <w:pStyle w:val="corpsdedcision"/>
        <w:tabs>
          <w:tab w:val="clear" w:pos="360"/>
          <w:tab w:val="num" w:pos="720"/>
        </w:tabs>
      </w:pPr>
      <w:r>
        <w:t>Monsieur Stéphane</w:t>
      </w:r>
      <w:r w:rsidR="005036F4">
        <w:t> </w:t>
      </w:r>
      <w:r>
        <w:t xml:space="preserve">Pageau </w:t>
      </w:r>
      <w:r w:rsidRPr="004A281E">
        <w:t>occupe un emp</w:t>
      </w:r>
      <w:r>
        <w:t>loi de soudeur</w:t>
      </w:r>
      <w:r w:rsidR="005036F4">
        <w:noBreakHyphen/>
      </w:r>
      <w:r>
        <w:t xml:space="preserve">assembleur pour Outillage de précision Drummond inc. </w:t>
      </w:r>
      <w:r w:rsidRPr="004A281E">
        <w:t xml:space="preserve">depuis </w:t>
      </w:r>
      <w:r>
        <w:t>septembre</w:t>
      </w:r>
      <w:r w:rsidR="005036F4">
        <w:t> </w:t>
      </w:r>
      <w:r>
        <w:t>2004</w:t>
      </w:r>
      <w:r w:rsidRPr="004A281E">
        <w:t>.</w:t>
      </w:r>
      <w:r>
        <w:t xml:space="preserve"> Le</w:t>
      </w:r>
      <w:r w:rsidR="005036F4">
        <w:t> </w:t>
      </w:r>
      <w:r>
        <w:t>4</w:t>
      </w:r>
      <w:r w:rsidR="005036F4">
        <w:t> </w:t>
      </w:r>
      <w:r>
        <w:t>novembre</w:t>
      </w:r>
      <w:r w:rsidR="005036F4">
        <w:t> </w:t>
      </w:r>
      <w:r>
        <w:t>2022, il produit une réclamation à la Commission des normes, de l’équité, de la santé et de la sécurité du travail pour faire reconnaître qu’il est porteur d’une surdité neurosensorielle bilatérale d’origine professionnelle. La Commission reconnaît le caractère professionnel de la lésion et indemnise le travailleur à compter du 18</w:t>
      </w:r>
      <w:r w:rsidR="005036F4">
        <w:t> </w:t>
      </w:r>
      <w:r>
        <w:t>octobre</w:t>
      </w:r>
      <w:r w:rsidR="005036F4">
        <w:t> </w:t>
      </w:r>
      <w:r>
        <w:t>2022.</w:t>
      </w:r>
    </w:p>
    <w:p w14:paraId="29AC871E" w14:textId="76FC27C0" w:rsidR="00C972C2" w:rsidRPr="00E50AC7" w:rsidRDefault="00C972C2" w:rsidP="00C972C2">
      <w:pPr>
        <w:pStyle w:val="corpsdedcision"/>
        <w:tabs>
          <w:tab w:val="clear" w:pos="360"/>
          <w:tab w:val="num" w:pos="720"/>
        </w:tabs>
      </w:pPr>
      <w:r>
        <w:t>Sur</w:t>
      </w:r>
      <w:r w:rsidRPr="004A281E">
        <w:t xml:space="preserve"> un r</w:t>
      </w:r>
      <w:r>
        <w:t xml:space="preserve">apport médical de la Commission du </w:t>
      </w:r>
      <w:r w:rsidRPr="00126A8B">
        <w:t>9</w:t>
      </w:r>
      <w:r w:rsidR="005036F4" w:rsidRPr="00126A8B">
        <w:t> </w:t>
      </w:r>
      <w:r w:rsidRPr="00126A8B">
        <w:t>janvier</w:t>
      </w:r>
      <w:r w:rsidR="005036F4">
        <w:t> </w:t>
      </w:r>
      <w:r>
        <w:t>2023, le nouveau diagnostic de trouble de l’adaptation secondaire est posé par le professionnel de la santé qui a charge.</w:t>
      </w:r>
    </w:p>
    <w:p w14:paraId="5AC8574C" w14:textId="2AFCE952" w:rsidR="00C972C2" w:rsidRPr="004A281E" w:rsidRDefault="00C972C2" w:rsidP="00C972C2">
      <w:pPr>
        <w:pStyle w:val="corpsdedcision"/>
        <w:tabs>
          <w:tab w:val="clear" w:pos="360"/>
          <w:tab w:val="num" w:pos="720"/>
        </w:tabs>
      </w:pPr>
      <w:r w:rsidRPr="004A281E">
        <w:t>La Commission</w:t>
      </w:r>
      <w:r>
        <w:t xml:space="preserve"> </w:t>
      </w:r>
      <w:r w:rsidRPr="004A281E">
        <w:t>refuse de reconnaître</w:t>
      </w:r>
      <w:r>
        <w:t xml:space="preserve"> la relation entre c</w:t>
      </w:r>
      <w:r w:rsidRPr="004A281E">
        <w:t xml:space="preserve">e </w:t>
      </w:r>
      <w:r>
        <w:t xml:space="preserve">nouveau diagnostic et la </w:t>
      </w:r>
      <w:r w:rsidR="00A51022">
        <w:t>surdité</w:t>
      </w:r>
      <w:r>
        <w:t xml:space="preserve"> professionnelle du </w:t>
      </w:r>
      <w:r w:rsidRPr="008A08C8">
        <w:t>travailleur</w:t>
      </w:r>
      <w:r w:rsidR="00D55091">
        <w:rPr>
          <w:rStyle w:val="Appelnotedebasdep"/>
        </w:rPr>
        <w:footnoteReference w:id="1"/>
      </w:r>
      <w:r w:rsidRPr="008A08C8">
        <w:t>,</w:t>
      </w:r>
      <w:r w:rsidRPr="004A281E">
        <w:t xml:space="preserve"> </w:t>
      </w:r>
      <w:r>
        <w:t>ce qu’il conteste devant le Tribunal</w:t>
      </w:r>
      <w:r w:rsidR="00D55091">
        <w:t>.</w:t>
      </w:r>
    </w:p>
    <w:p w14:paraId="52C9F0CD" w14:textId="198EAC9D" w:rsidR="00C972C2" w:rsidRDefault="00C972C2" w:rsidP="00C972C2">
      <w:pPr>
        <w:pStyle w:val="corpsdedcision"/>
        <w:tabs>
          <w:tab w:val="clear" w:pos="360"/>
          <w:tab w:val="num" w:pos="720"/>
        </w:tabs>
      </w:pPr>
      <w:r w:rsidRPr="004A281E">
        <w:t>L</w:t>
      </w:r>
      <w:r>
        <w:t>a représentante du travailleur demande au Tribunal de déclarer</w:t>
      </w:r>
      <w:r w:rsidRPr="004A281E">
        <w:t xml:space="preserve"> </w:t>
      </w:r>
      <w:r>
        <w:t>que le diagnostic de trouble de l’adaptation secondaire</w:t>
      </w:r>
      <w:r w:rsidRPr="004A281E">
        <w:t xml:space="preserve"> est en lien avec</w:t>
      </w:r>
      <w:r>
        <w:t xml:space="preserve"> la surdité professionnelle acceptée. Elle argue que les acouphènes dont le travailleur est porteur, reconnus par la</w:t>
      </w:r>
      <w:r w:rsidR="00A12CFC">
        <w:t> </w:t>
      </w:r>
      <w:r>
        <w:t>Commission comme étant un symptôme de sa surdité neurosensorielle secondaire au bruit, se sont aggravés à compter de l’été 2022, étant à l’origine de la lésion psychologique diagnostiquée.</w:t>
      </w:r>
    </w:p>
    <w:p w14:paraId="2827BB6C" w14:textId="6F120E6A" w:rsidR="00C972C2" w:rsidRPr="00B155FA" w:rsidRDefault="00C972C2" w:rsidP="00C972C2">
      <w:pPr>
        <w:pStyle w:val="corpsdedcision"/>
        <w:tabs>
          <w:tab w:val="clear" w:pos="360"/>
          <w:tab w:val="num" w:pos="720"/>
        </w:tabs>
      </w:pPr>
      <w:r>
        <w:t>La représentante de l’employeur reconnaît que le diagnostic de trouble de l’adaptation secondaire est en lien avec les acouphènes dont le travailleur est porteur. Elle argue toutefois que ces acouphènes ne découlent pas de la surdité professionnelle acceptée, puisqu’ils sont apparus quelques années avant la légère perte d’audition diagnostiquée à l’automne 2022. Par conséquent, elle plaide que puisque le trouble de l’adaptation secondaire est en lien avec une condition personnelle du travailleur, il ne peut être reconnu à titre de lésion professionnelle. Subsidiairement, si le</w:t>
      </w:r>
      <w:r w:rsidR="00A12CFC">
        <w:t> </w:t>
      </w:r>
      <w:r>
        <w:t>Tribunal concluait à la relation entre ce diagnostic et la surdité professionnelle, elle demande de conclure à l’aggravation d’une condition personnelle préexistante vu la santé psychologique antérieure du travailleur.</w:t>
      </w:r>
    </w:p>
    <w:p w14:paraId="174DD4A3" w14:textId="77777777" w:rsidR="00C972C2" w:rsidRPr="00B11E7A" w:rsidRDefault="00C972C2" w:rsidP="00A12CFC">
      <w:pPr>
        <w:pStyle w:val="corpsdedcision"/>
        <w:tabs>
          <w:tab w:val="clear" w:pos="360"/>
          <w:tab w:val="clear" w:pos="720"/>
          <w:tab w:val="num" w:pos="709"/>
        </w:tabs>
      </w:pPr>
      <w:bookmarkStart w:id="11" w:name="_Hlk204505104"/>
      <w:r w:rsidRPr="00B11E7A">
        <w:t>En vue de se prononcer relativement au présent</w:t>
      </w:r>
      <w:r>
        <w:t xml:space="preserve"> </w:t>
      </w:r>
      <w:r w:rsidRPr="00B11E7A">
        <w:t>litige, le Tribunal doit répondre aux questions suivantes:</w:t>
      </w:r>
    </w:p>
    <w:p w14:paraId="1FE31FBF" w14:textId="044311BC" w:rsidR="00C972C2" w:rsidRDefault="00C972C2" w:rsidP="00C972C2">
      <w:pPr>
        <w:numPr>
          <w:ilvl w:val="0"/>
          <w:numId w:val="13"/>
        </w:numPr>
        <w:spacing w:after="120"/>
        <w:ind w:left="1418" w:hanging="709"/>
        <w:jc w:val="both"/>
      </w:pPr>
      <w:r>
        <w:t xml:space="preserve">Les acouphènes qui affectent le travailleur </w:t>
      </w:r>
      <w:r w:rsidR="005D115D">
        <w:t xml:space="preserve">découlent-ils </w:t>
      </w:r>
      <w:r>
        <w:t>de sa surdité professionnelle?</w:t>
      </w:r>
    </w:p>
    <w:p w14:paraId="6745B482" w14:textId="0205AE0B" w:rsidR="00C972C2" w:rsidRPr="00B11E7A" w:rsidRDefault="00C972C2" w:rsidP="00C972C2">
      <w:pPr>
        <w:numPr>
          <w:ilvl w:val="0"/>
          <w:numId w:val="13"/>
        </w:numPr>
        <w:spacing w:after="120"/>
        <w:ind w:left="1418" w:hanging="709"/>
        <w:jc w:val="both"/>
      </w:pPr>
      <w:r>
        <w:t>Le</w:t>
      </w:r>
      <w:r w:rsidRPr="00B11E7A">
        <w:t xml:space="preserve"> nouveau diagnostic </w:t>
      </w:r>
      <w:r>
        <w:t xml:space="preserve">de trouble de l’adaptation secondaire est-il </w:t>
      </w:r>
      <w:r w:rsidRPr="00B11E7A">
        <w:t xml:space="preserve">en relation avec la </w:t>
      </w:r>
      <w:r>
        <w:t xml:space="preserve">surdité professionnelle reconnue </w:t>
      </w:r>
      <w:r w:rsidRPr="00B11E7A">
        <w:t xml:space="preserve">ou ses conséquences? </w:t>
      </w:r>
    </w:p>
    <w:p w14:paraId="782ABC0F" w14:textId="77777777" w:rsidR="00C972C2" w:rsidRDefault="00C972C2" w:rsidP="00C972C2">
      <w:pPr>
        <w:numPr>
          <w:ilvl w:val="0"/>
          <w:numId w:val="13"/>
        </w:numPr>
        <w:spacing w:after="360"/>
        <w:ind w:left="1418" w:hanging="709"/>
        <w:jc w:val="both"/>
      </w:pPr>
      <w:r>
        <w:t>Dans l’affirmative, ce nouveau diagnostic constitue-t-il une aggravation d’une condition personnelle préexistante?</w:t>
      </w:r>
      <w:bookmarkEnd w:id="11"/>
    </w:p>
    <w:p w14:paraId="1A7D8DAD" w14:textId="77777777" w:rsidR="00C972C2" w:rsidRPr="004A281E" w:rsidRDefault="00C972C2" w:rsidP="00C972C2">
      <w:pPr>
        <w:pStyle w:val="corpsdedcision"/>
        <w:tabs>
          <w:tab w:val="clear" w:pos="360"/>
          <w:tab w:val="num" w:pos="720"/>
        </w:tabs>
      </w:pPr>
      <w:r w:rsidRPr="004A281E">
        <w:t>P</w:t>
      </w:r>
      <w:r>
        <w:t>our les motifs qui suivent</w:t>
      </w:r>
      <w:r w:rsidRPr="004A281E">
        <w:t>, le Tribunal conclu</w:t>
      </w:r>
      <w:r>
        <w:t xml:space="preserve">t que le diagnostic de trouble de l’adaptation secondaire est </w:t>
      </w:r>
      <w:r w:rsidRPr="004A281E">
        <w:t>en relation</w:t>
      </w:r>
      <w:r>
        <w:t xml:space="preserve"> avec la surdité professionnelle dont le travailleur est porteur et qu’il ne s’agit pas de l’aggravation d’une condition personnelle préexistante.</w:t>
      </w:r>
    </w:p>
    <w:p w14:paraId="5DB0F3FF" w14:textId="77777777" w:rsidR="00C972C2" w:rsidRPr="00C33A12" w:rsidRDefault="00C972C2" w:rsidP="00C972C2">
      <w:pPr>
        <w:pStyle w:val="corpsdedcision"/>
        <w:numPr>
          <w:ilvl w:val="0"/>
          <w:numId w:val="0"/>
        </w:numPr>
        <w:rPr>
          <w:b/>
          <w:u w:val="single"/>
        </w:rPr>
      </w:pPr>
      <w:r w:rsidRPr="00C33A12">
        <w:rPr>
          <w:b/>
          <w:u w:val="single"/>
        </w:rPr>
        <w:t>L’ANALYSE</w:t>
      </w:r>
    </w:p>
    <w:p w14:paraId="18B19FD3" w14:textId="75E58230" w:rsidR="00C972C2" w:rsidRDefault="00C972C2" w:rsidP="00A12CFC">
      <w:pPr>
        <w:spacing w:after="360"/>
        <w:jc w:val="both"/>
        <w:rPr>
          <w:b/>
          <w:bCs/>
        </w:rPr>
      </w:pPr>
      <w:r w:rsidRPr="00747A4C">
        <w:rPr>
          <w:b/>
          <w:bCs/>
        </w:rPr>
        <w:t xml:space="preserve">Les acouphènes qui affectent le travailleur </w:t>
      </w:r>
      <w:r w:rsidR="005D115D">
        <w:rPr>
          <w:b/>
          <w:bCs/>
        </w:rPr>
        <w:t>découlent-ils</w:t>
      </w:r>
      <w:r w:rsidRPr="00747A4C">
        <w:rPr>
          <w:b/>
          <w:bCs/>
        </w:rPr>
        <w:t xml:space="preserve"> de sa surdité professionnelle?</w:t>
      </w:r>
    </w:p>
    <w:p w14:paraId="714D259C" w14:textId="0A6E7BC2" w:rsidR="00C972C2" w:rsidRPr="00A12CFC" w:rsidRDefault="00C972C2" w:rsidP="00A12CFC">
      <w:pPr>
        <w:pStyle w:val="corpsdedcision"/>
        <w:tabs>
          <w:tab w:val="clear" w:pos="360"/>
          <w:tab w:val="num" w:pos="720"/>
        </w:tabs>
      </w:pPr>
      <w:r w:rsidRPr="00A12CFC">
        <w:t>La représentante du travailleur soutient que les acouphènes qui affectent ce dernier sont un symptôme de sa surdité professionnelle diagnostiquée à l’automne 2022, comme l’a d’ailleurs reconnu la Commission. Elle argue que la preuve médicale contenue au dossier révèle que les problèmes de surdité présentés par le travailleur se sont aggravés avec le temps, à l’instar des acouphènes qui y sont associés, d’où la première consultation médicale du 19</w:t>
      </w:r>
      <w:r w:rsidR="00A12CFC">
        <w:t> </w:t>
      </w:r>
      <w:r w:rsidRPr="00A12CFC">
        <w:t>octobre</w:t>
      </w:r>
      <w:r w:rsidR="00A12CFC">
        <w:t> </w:t>
      </w:r>
      <w:r w:rsidRPr="00A12CFC">
        <w:t>2022. Elle ajoute que le professionnel de la santé qui a charge du travailleur, le</w:t>
      </w:r>
      <w:r w:rsidR="00A12CFC">
        <w:t> </w:t>
      </w:r>
      <w:r w:rsidRPr="00A12CFC">
        <w:t>docteur</w:t>
      </w:r>
      <w:r w:rsidR="00A12CFC">
        <w:t> </w:t>
      </w:r>
      <w:r w:rsidRPr="00A12CFC">
        <w:t>Marc</w:t>
      </w:r>
      <w:r w:rsidR="00A12CFC">
        <w:noBreakHyphen/>
      </w:r>
      <w:r w:rsidRPr="00A12CFC">
        <w:t>André</w:t>
      </w:r>
      <w:r w:rsidR="00A12CFC">
        <w:t> </w:t>
      </w:r>
      <w:r w:rsidRPr="00A12CFC">
        <w:t>Allard, a lui-même reconnu que les acouphènes présentés par le travailleur étaient probablement secondaires à une surexposition à un environnement bruyant au travail sur le rapport médical de la</w:t>
      </w:r>
      <w:r w:rsidR="00A12CFC">
        <w:t> </w:t>
      </w:r>
      <w:r w:rsidRPr="00A12CFC">
        <w:t>Commission du 7</w:t>
      </w:r>
      <w:r w:rsidR="00A12CFC">
        <w:t> </w:t>
      </w:r>
      <w:r w:rsidRPr="00A12CFC">
        <w:t>novembre</w:t>
      </w:r>
      <w:r w:rsidR="00A12CFC">
        <w:t> </w:t>
      </w:r>
      <w:r w:rsidRPr="00A12CFC">
        <w:t xml:space="preserve">2022. Par conséquent, elle plaide que ce n’est pas parce que les acouphènes sont apparus avant que le diagnostic de surdité neurosensorielle </w:t>
      </w:r>
      <w:r w:rsidR="00A51022">
        <w:t xml:space="preserve">secondaire au bruit </w:t>
      </w:r>
      <w:r w:rsidRPr="00A12CFC">
        <w:t xml:space="preserve">ne </w:t>
      </w:r>
      <w:r w:rsidRPr="00EF76EA">
        <w:t xml:space="preserve">soit posé </w:t>
      </w:r>
      <w:r w:rsidR="00D55091" w:rsidRPr="00EF76EA">
        <w:t>sur une attestation médicale du 29</w:t>
      </w:r>
      <w:r w:rsidR="00A12CFC" w:rsidRPr="00EF76EA">
        <w:t> </w:t>
      </w:r>
      <w:r w:rsidR="00D55091" w:rsidRPr="00EF76EA">
        <w:t>novembre</w:t>
      </w:r>
      <w:r w:rsidR="00A12CFC" w:rsidRPr="00EF76EA">
        <w:t> </w:t>
      </w:r>
      <w:r w:rsidR="00D55091" w:rsidRPr="00EF76EA">
        <w:t xml:space="preserve">2022 </w:t>
      </w:r>
      <w:r w:rsidRPr="00EF76EA">
        <w:t>par la</w:t>
      </w:r>
      <w:r w:rsidR="00A12CFC" w:rsidRPr="00EF76EA">
        <w:t> </w:t>
      </w:r>
      <w:r w:rsidRPr="00EF76EA">
        <w:t>docteure</w:t>
      </w:r>
      <w:r w:rsidR="00A12CFC" w:rsidRPr="00EF76EA">
        <w:t> </w:t>
      </w:r>
      <w:r w:rsidRPr="00EF76EA">
        <w:t>Julie</w:t>
      </w:r>
      <w:r w:rsidR="00A12CFC" w:rsidRPr="00EF76EA">
        <w:t> </w:t>
      </w:r>
      <w:r w:rsidRPr="00EF76EA">
        <w:t>Kim, otorhinolaryngologiste qui a</w:t>
      </w:r>
      <w:r w:rsidRPr="00A12CFC">
        <w:t xml:space="preserve"> charge, qu’ils ne découlent pas de celle</w:t>
      </w:r>
      <w:r w:rsidR="006B0A18">
        <w:noBreakHyphen/>
      </w:r>
      <w:r w:rsidRPr="00A12CFC">
        <w:t>ci</w:t>
      </w:r>
      <w:r w:rsidR="00A12CFC" w:rsidRPr="00A12CFC">
        <w:t>.</w:t>
      </w:r>
    </w:p>
    <w:p w14:paraId="37A8C836" w14:textId="06E8CE7B" w:rsidR="00C972C2" w:rsidRDefault="00C972C2" w:rsidP="00346BA4">
      <w:pPr>
        <w:pStyle w:val="corpsdedcision"/>
        <w:tabs>
          <w:tab w:val="clear" w:pos="360"/>
          <w:tab w:val="num" w:pos="720"/>
        </w:tabs>
      </w:pPr>
      <w:r>
        <w:t>Quant à la représentante de l’employeur, elle soutient que les acouphènes qui affectent le travailleur étaient présents quelques années avant que sa surdité professionnelle ne soit diagnostiquée en novembre</w:t>
      </w:r>
      <w:r w:rsidR="00A12CFC">
        <w:t> </w:t>
      </w:r>
      <w:r>
        <w:t>2022. Elle ajoute que la preuve médicale prépondérante ne permet pas de conclure qu’ils sont reliés à la légère perte d’audition diagnostiquée</w:t>
      </w:r>
      <w:r w:rsidR="00346BA4">
        <w:t>, invoquant une cause médicamenteuse</w:t>
      </w:r>
      <w:r w:rsidR="00A51022">
        <w:t xml:space="preserve"> ou d’autres stresseurs </w:t>
      </w:r>
      <w:r w:rsidR="00346BA4">
        <w:t xml:space="preserve">pour les expliquer. </w:t>
      </w:r>
    </w:p>
    <w:p w14:paraId="611580E1" w14:textId="0846A9BA" w:rsidR="00C972C2" w:rsidRDefault="00C972C2" w:rsidP="00C972C2">
      <w:pPr>
        <w:pStyle w:val="corpsdedcision"/>
      </w:pPr>
      <w:r>
        <w:t xml:space="preserve">Après analyse, le Tribunal conclut que les acouphènes </w:t>
      </w:r>
      <w:r w:rsidR="00A51022">
        <w:t>qui affectent</w:t>
      </w:r>
      <w:r>
        <w:t xml:space="preserve"> le travailleur </w:t>
      </w:r>
      <w:r w:rsidR="00A51022">
        <w:t>découlent</w:t>
      </w:r>
      <w:r>
        <w:t xml:space="preserve"> de sa surdité professionnelle. Voici pourquoi.</w:t>
      </w:r>
    </w:p>
    <w:p w14:paraId="10FE1999" w14:textId="7B41FD28" w:rsidR="00C972C2" w:rsidRDefault="00C972C2" w:rsidP="00C972C2">
      <w:pPr>
        <w:pStyle w:val="corpsdedcision"/>
      </w:pPr>
      <w:r>
        <w:t>Tout d’abord, rappelons que la</w:t>
      </w:r>
      <w:r w:rsidR="00A12CFC">
        <w:t> </w:t>
      </w:r>
      <w:r>
        <w:t>Commission a reconnu que le</w:t>
      </w:r>
      <w:r w:rsidR="00A12CFC">
        <w:t> </w:t>
      </w:r>
      <w:r>
        <w:t>travailleur, un soudeur</w:t>
      </w:r>
      <w:r w:rsidR="00A12CFC">
        <w:noBreakHyphen/>
      </w:r>
      <w:r>
        <w:t>assembleur chez l’employeur depuis septembre</w:t>
      </w:r>
      <w:r w:rsidR="00A12CFC">
        <w:t> </w:t>
      </w:r>
      <w:r>
        <w:t>2004, était porteur d’une surdité d’origine professionnelle à compter du 18</w:t>
      </w:r>
      <w:r w:rsidR="00A12CFC">
        <w:t> </w:t>
      </w:r>
      <w:r>
        <w:t>octobre</w:t>
      </w:r>
      <w:r w:rsidR="00A12CFC">
        <w:t> </w:t>
      </w:r>
      <w:r>
        <w:t>2022, ce qui n’est pas contesté en l’espèce.</w:t>
      </w:r>
    </w:p>
    <w:p w14:paraId="7F28BE99" w14:textId="4C7E7CDD" w:rsidR="00C972C2" w:rsidRPr="002C5BC0" w:rsidRDefault="00C972C2" w:rsidP="00F95280">
      <w:pPr>
        <w:pStyle w:val="corpsdedcision"/>
      </w:pPr>
      <w:r>
        <w:t>De la preuve médicale contenue au dossier et de son témoignage à l’audience, le</w:t>
      </w:r>
      <w:r w:rsidR="001852F9">
        <w:t> </w:t>
      </w:r>
      <w:r>
        <w:t>Tribunal retient que le travailleur a commencé à présenter des problèmes de surdité dès 2021, comme le révèle un rapport audiologique du 19</w:t>
      </w:r>
      <w:r w:rsidR="001852F9">
        <w:t> </w:t>
      </w:r>
      <w:r>
        <w:t>février</w:t>
      </w:r>
      <w:r w:rsidR="001852F9">
        <w:t> </w:t>
      </w:r>
      <w:r>
        <w:t xml:space="preserve">2021. Parallèlement à de légères pertes auditives notées dans ce rapport, l’audiologiste Simon Millette indique également que le travailleur présente un acouphène continuel de type bourdonnement depuis quelques années, qui nuirait à l’endormissement et qui serait plus fort à la suite d’une exposition au bruit. </w:t>
      </w:r>
    </w:p>
    <w:p w14:paraId="7CB4FFBE" w14:textId="7987045A" w:rsidR="002C5BC0" w:rsidRDefault="00C972C2" w:rsidP="001852F9">
      <w:pPr>
        <w:pStyle w:val="corpsdedcision"/>
      </w:pPr>
      <w:r>
        <w:t>Selon le témoignage du travailleur, aucune suite n’aurait été donnée à ce rapport. Il a continué à travailler dans un environnement bruyant. À l’été</w:t>
      </w:r>
      <w:r w:rsidR="001852F9">
        <w:t> </w:t>
      </w:r>
      <w:r>
        <w:t>20</w:t>
      </w:r>
      <w:r w:rsidR="002C5BC0">
        <w:t>2</w:t>
      </w:r>
      <w:r>
        <w:t>2, il témoigne que ses problèmes de surdité se sont aggravés, de même que ses acouphènes. Il relate que ceux</w:t>
      </w:r>
      <w:r w:rsidR="001852F9">
        <w:noBreakHyphen/>
      </w:r>
      <w:r>
        <w:t xml:space="preserve">ci sont désormais toujours présents, alors qu’avant, ils diminuaient lors de ses journées de repos. Il image </w:t>
      </w:r>
      <w:r w:rsidR="00FE7F93">
        <w:t>le tout</w:t>
      </w:r>
      <w:r>
        <w:t xml:space="preserve"> de la manière suivante : au début, ses acouphènes étaient « </w:t>
      </w:r>
      <w:r w:rsidRPr="001852F9">
        <w:rPr>
          <w:i/>
          <w:iCs/>
          <w:sz w:val="22"/>
          <w:szCs w:val="22"/>
        </w:rPr>
        <w:t>on/off</w:t>
      </w:r>
      <w:r>
        <w:t xml:space="preserve"> ». </w:t>
      </w:r>
      <w:r w:rsidR="00FE7F93">
        <w:t>Par la suite</w:t>
      </w:r>
      <w:r>
        <w:t>, ils pouvaient varier de 30</w:t>
      </w:r>
      <w:r w:rsidR="001852F9">
        <w:t> </w:t>
      </w:r>
      <w:r>
        <w:t>% à 90</w:t>
      </w:r>
      <w:r w:rsidR="001852F9">
        <w:t> </w:t>
      </w:r>
      <w:r>
        <w:t>% selon son exposition au bruit. À l’été 2022, ils ne redescendaient plus en bas de 80</w:t>
      </w:r>
      <w:r w:rsidR="001852F9">
        <w:t> </w:t>
      </w:r>
      <w:r>
        <w:t>%. Face à cette problématique, il a commencé à devenir plus irritable et déprimé. Au retour de ses vacances, il allègue qu’il avait de la difficulté à faire son travail et qu’il a eu plusieurs absences en raison des migraines, des vertiges et des nausées qui accompagnaient ses acouphènes.</w:t>
      </w:r>
    </w:p>
    <w:p w14:paraId="76C0B92F" w14:textId="23BA3107" w:rsidR="00C972C2" w:rsidRDefault="00C972C2" w:rsidP="00C972C2">
      <w:pPr>
        <w:pStyle w:val="corpsdedcision"/>
      </w:pPr>
      <w:r>
        <w:t>C’est dans ce contexte</w:t>
      </w:r>
      <w:r w:rsidR="00A51022">
        <w:t xml:space="preserve"> </w:t>
      </w:r>
      <w:r>
        <w:t>qu’iI a</w:t>
      </w:r>
      <w:r w:rsidR="00A51022">
        <w:t xml:space="preserve"> </w:t>
      </w:r>
      <w:r>
        <w:t>consulté son médecin, le</w:t>
      </w:r>
      <w:r w:rsidR="001852F9">
        <w:t> </w:t>
      </w:r>
      <w:r>
        <w:t>docteur</w:t>
      </w:r>
      <w:r w:rsidR="001852F9">
        <w:t> </w:t>
      </w:r>
      <w:r>
        <w:t>Allard, le</w:t>
      </w:r>
      <w:r w:rsidR="001852F9">
        <w:t> </w:t>
      </w:r>
      <w:r>
        <w:t>19</w:t>
      </w:r>
      <w:r w:rsidR="001852F9">
        <w:t> </w:t>
      </w:r>
      <w:r>
        <w:t>octobre</w:t>
      </w:r>
      <w:r w:rsidR="001852F9">
        <w:t> </w:t>
      </w:r>
      <w:r>
        <w:t>2022. La note de cette consultation médicale fait notamment état que le</w:t>
      </w:r>
      <w:r w:rsidR="001852F9">
        <w:t> </w:t>
      </w:r>
      <w:r>
        <w:t>travailleur présente des acouphènes depuis deux à trois ans, mais qu’ils sont empirés, avec une diminution de son audition. Il retient alors un diagnostic d’acouphènes secondaire à une exposition au bruit probable et s’interroge sur la présence d’un trouble de l’humeur. Il dirige le travailleur en audiologie et le met en arrêt de travail.</w:t>
      </w:r>
    </w:p>
    <w:p w14:paraId="5A8D3902" w14:textId="38F7A00D" w:rsidR="00C972C2" w:rsidRDefault="00C972C2" w:rsidP="00C972C2">
      <w:pPr>
        <w:pStyle w:val="corpsdedcision"/>
      </w:pPr>
      <w:r>
        <w:t>Un rapport audiologique du 31</w:t>
      </w:r>
      <w:r w:rsidR="00CD171A">
        <w:t> </w:t>
      </w:r>
      <w:r>
        <w:t>octobre</w:t>
      </w:r>
      <w:r w:rsidR="00CD171A">
        <w:t> </w:t>
      </w:r>
      <w:r>
        <w:t>2022 fait état que le travailleur présente une baisse subjective de son audition</w:t>
      </w:r>
      <w:r w:rsidR="00A51022">
        <w:t>,</w:t>
      </w:r>
      <w:r>
        <w:t xml:space="preserve"> </w:t>
      </w:r>
      <w:r w:rsidR="006714CA">
        <w:t>ainsi</w:t>
      </w:r>
      <w:r>
        <w:t xml:space="preserve"> </w:t>
      </w:r>
      <w:r w:rsidR="006714CA">
        <w:t>qu’</w:t>
      </w:r>
      <w:r>
        <w:t>un acouphène « </w:t>
      </w:r>
      <w:r w:rsidRPr="00CD171A">
        <w:rPr>
          <w:i/>
          <w:iCs/>
          <w:sz w:val="22"/>
          <w:szCs w:val="22"/>
        </w:rPr>
        <w:t xml:space="preserve">non </w:t>
      </w:r>
      <w:r w:rsidRPr="00EF76EA">
        <w:rPr>
          <w:i/>
          <w:iCs/>
          <w:sz w:val="22"/>
          <w:szCs w:val="22"/>
        </w:rPr>
        <w:t>déra</w:t>
      </w:r>
      <w:r w:rsidR="00CD171A" w:rsidRPr="00EF76EA">
        <w:rPr>
          <w:i/>
          <w:iCs/>
          <w:sz w:val="22"/>
          <w:szCs w:val="22"/>
        </w:rPr>
        <w:t>n</w:t>
      </w:r>
      <w:r w:rsidRPr="00EF76EA">
        <w:rPr>
          <w:i/>
          <w:iCs/>
          <w:sz w:val="22"/>
          <w:szCs w:val="22"/>
        </w:rPr>
        <w:t>geant </w:t>
      </w:r>
      <w:r w:rsidRPr="00EF76EA">
        <w:t>» de type sifflement continuel bilatéralement depuis plusieurs années. Il est noté que cet acouphène est maintenant « </w:t>
      </w:r>
      <w:r w:rsidRPr="00EF76EA">
        <w:rPr>
          <w:rStyle w:val="Citationintgre"/>
        </w:rPr>
        <w:t>exacerbé</w:t>
      </w:r>
      <w:r w:rsidRPr="00EF76EA">
        <w:t> », accompagné de vertiges, nausées, céphalée</w:t>
      </w:r>
      <w:r w:rsidR="006714CA" w:rsidRPr="00EF76EA">
        <w:t>s</w:t>
      </w:r>
      <w:r w:rsidRPr="00EF76EA">
        <w:t xml:space="preserve"> et vomissements. Les conclusion</w:t>
      </w:r>
      <w:r w:rsidR="00DA7248" w:rsidRPr="00EF76EA">
        <w:t>s</w:t>
      </w:r>
      <w:r w:rsidRPr="00EF76EA">
        <w:t xml:space="preserve"> audiologiques révèlent, d’une part,</w:t>
      </w:r>
      <w:r>
        <w:t xml:space="preserve"> une encoche neurosensorielle à l’oreille gauche compatible avec un profil d’exposition au bruit au travail avec une atteinte plus importante que celle attendue pour </w:t>
      </w:r>
      <w:r w:rsidR="006714CA">
        <w:t>l’</w:t>
      </w:r>
      <w:r>
        <w:t>âge, soit 44</w:t>
      </w:r>
      <w:r w:rsidR="00CD171A">
        <w:t> </w:t>
      </w:r>
      <w:r>
        <w:t>ans, de même qu’il est noté qu’il n'y a pas d’asymétrie auditive neurosensorielle significative. D’autre part, il est également noté par l’audiologiste Pascale Héon un « </w:t>
      </w:r>
      <w:r w:rsidR="00CD171A">
        <w:rPr>
          <w:rStyle w:val="Citationintgre"/>
        </w:rPr>
        <w:t>ac</w:t>
      </w:r>
      <w:r w:rsidRPr="006714CA">
        <w:rPr>
          <w:rStyle w:val="Citationintgre"/>
        </w:rPr>
        <w:t>ouphène probablement secondaire à l’atteinte auditive, pouvant être exacerbé par des facteurs externes (stress, fatigue, exposition au bruit) et affectant occasionnellement la qualité de vie </w:t>
      </w:r>
      <w:r>
        <w:t>».</w:t>
      </w:r>
      <w:r w:rsidR="006714CA">
        <w:t xml:space="preserve"> </w:t>
      </w:r>
    </w:p>
    <w:p w14:paraId="76D0E228" w14:textId="6ED5591C" w:rsidR="00C972C2" w:rsidRDefault="00C972C2" w:rsidP="00C972C2">
      <w:pPr>
        <w:pStyle w:val="corpsdedcision"/>
      </w:pPr>
      <w:r>
        <w:t>Le 7</w:t>
      </w:r>
      <w:r w:rsidR="00CD171A">
        <w:t> </w:t>
      </w:r>
      <w:r>
        <w:t>novembre</w:t>
      </w:r>
      <w:r w:rsidR="00CD171A">
        <w:t> </w:t>
      </w:r>
      <w:r>
        <w:t>2022, le</w:t>
      </w:r>
      <w:r w:rsidR="00CD171A">
        <w:t> </w:t>
      </w:r>
      <w:r>
        <w:t>docteur</w:t>
      </w:r>
      <w:r w:rsidR="00CD171A">
        <w:t> </w:t>
      </w:r>
      <w:r>
        <w:t>Allard retient ceci sur un rapport médical de la</w:t>
      </w:r>
      <w:r w:rsidR="00CD171A">
        <w:t> </w:t>
      </w:r>
      <w:r>
        <w:t>Commission : « </w:t>
      </w:r>
      <w:r w:rsidRPr="005462A3">
        <w:rPr>
          <w:rStyle w:val="Citationintgre"/>
        </w:rPr>
        <w:t>Acouphènes de haute tonalité depuis au moins 2021 probablement secondaire à une surexposition à environnement bruyant (108</w:t>
      </w:r>
      <w:r w:rsidR="00CD171A">
        <w:rPr>
          <w:rStyle w:val="Citationintgre"/>
        </w:rPr>
        <w:t> </w:t>
      </w:r>
      <w:r w:rsidRPr="005462A3">
        <w:rPr>
          <w:rStyle w:val="Citationintgre"/>
        </w:rPr>
        <w:t xml:space="preserve">dB) au travail (presse). Céphalée et vertiges </w:t>
      </w:r>
      <w:r w:rsidRPr="00EF76EA">
        <w:rPr>
          <w:rStyle w:val="Citationintgre"/>
        </w:rPr>
        <w:t>secondaires</w:t>
      </w:r>
      <w:r w:rsidRPr="00EF76EA">
        <w:t> ». Il maintient l’arrêt de travail et dirige le travailleur pour une consultation en otorhino</w:t>
      </w:r>
      <w:r w:rsidR="005462A3" w:rsidRPr="00EF76EA">
        <w:t>l</w:t>
      </w:r>
      <w:r w:rsidRPr="00EF76EA">
        <w:t>aryngologie à la suite</w:t>
      </w:r>
      <w:r>
        <w:t xml:space="preserve"> de son évaluation en audiologie.</w:t>
      </w:r>
    </w:p>
    <w:p w14:paraId="46810FF8" w14:textId="65886ECE" w:rsidR="00C972C2" w:rsidRDefault="00C972C2" w:rsidP="00C03824">
      <w:pPr>
        <w:pStyle w:val="corpsdedcision"/>
        <w:keepNext/>
        <w:keepLines/>
      </w:pPr>
      <w:r>
        <w:t>Cette consultation avec la docteur</w:t>
      </w:r>
      <w:r w:rsidR="005462A3">
        <w:t>e</w:t>
      </w:r>
      <w:r>
        <w:t xml:space="preserve"> Kim a lieu le 29</w:t>
      </w:r>
      <w:r w:rsidR="00CD171A">
        <w:t> </w:t>
      </w:r>
      <w:r>
        <w:t>novembre</w:t>
      </w:r>
      <w:r w:rsidR="00CD171A">
        <w:t> </w:t>
      </w:r>
      <w:r>
        <w:t>2022. Elle pose alors le diagnostic de surdité neurosensorielle secondaire au bruit et celui d’acouphène.</w:t>
      </w:r>
    </w:p>
    <w:p w14:paraId="604E6540" w14:textId="44ADECD6" w:rsidR="00C972C2" w:rsidRDefault="00C972C2" w:rsidP="00C972C2">
      <w:pPr>
        <w:pStyle w:val="corpsdedcision"/>
      </w:pPr>
      <w:r>
        <w:t>Le</w:t>
      </w:r>
      <w:r w:rsidR="002700B0">
        <w:t> </w:t>
      </w:r>
      <w:r>
        <w:t>9 janvier</w:t>
      </w:r>
      <w:r w:rsidR="002700B0">
        <w:t> </w:t>
      </w:r>
      <w:r>
        <w:t>2023, le travailleur se présente à l</w:t>
      </w:r>
      <w:r w:rsidR="00EF76EA">
        <w:t xml:space="preserve">a mini-urgence </w:t>
      </w:r>
      <w:r>
        <w:t xml:space="preserve">en raison de ses symptômes dépressifs. La note de consultation </w:t>
      </w:r>
      <w:r w:rsidR="005F1021">
        <w:t xml:space="preserve">médicale </w:t>
      </w:r>
      <w:r>
        <w:t>du docteur</w:t>
      </w:r>
      <w:r w:rsidR="002700B0">
        <w:t> </w:t>
      </w:r>
      <w:r>
        <w:t>Vincent</w:t>
      </w:r>
      <w:r w:rsidR="002700B0">
        <w:t> </w:t>
      </w:r>
      <w:r>
        <w:t>Simard, médecin de garde, fait état de symptômes dépressifs depuis l’été 2022 et d’un arrêt de travail depuis octobre en lien avec des acouphènes. D</w:t>
      </w:r>
      <w:r w:rsidR="005F1021">
        <w:t xml:space="preserve">u Cymbalta est </w:t>
      </w:r>
      <w:r>
        <w:t>alors prescrit au travailleur. Un rapport médical est rempli par le docteur</w:t>
      </w:r>
      <w:r w:rsidR="002700B0">
        <w:t> </w:t>
      </w:r>
      <w:r w:rsidR="00EF76EA">
        <w:t>Simard</w:t>
      </w:r>
      <w:r>
        <w:t xml:space="preserve"> ce même jour</w:t>
      </w:r>
      <w:r w:rsidRPr="00EF76EA">
        <w:t>, sur lequel</w:t>
      </w:r>
      <w:r>
        <w:t xml:space="preserve"> il reprend le diagnostic préalablement retenu par le docteur</w:t>
      </w:r>
      <w:r w:rsidR="002700B0">
        <w:t> </w:t>
      </w:r>
      <w:r>
        <w:t xml:space="preserve">Allard </w:t>
      </w:r>
      <w:r w:rsidR="00A51022">
        <w:t xml:space="preserve">concernant </w:t>
      </w:r>
      <w:r>
        <w:t xml:space="preserve">les acouphènes et pose également le diagnostic de trouble de l’adaptation secondaire. </w:t>
      </w:r>
    </w:p>
    <w:p w14:paraId="6A64F3B0" w14:textId="3604CACA" w:rsidR="005F1021" w:rsidRDefault="005F1021" w:rsidP="00C972C2">
      <w:pPr>
        <w:pStyle w:val="corpsdedcision"/>
      </w:pPr>
      <w:r w:rsidRPr="00A235D5">
        <w:t>Un rapport final</w:t>
      </w:r>
      <w:r>
        <w:t xml:space="preserve"> </w:t>
      </w:r>
      <w:r w:rsidR="00B7761A">
        <w:t xml:space="preserve">est </w:t>
      </w:r>
      <w:r>
        <w:t>produit</w:t>
      </w:r>
      <w:r w:rsidR="00B7761A">
        <w:t xml:space="preserve"> </w:t>
      </w:r>
      <w:r>
        <w:t>par la docteure</w:t>
      </w:r>
      <w:r w:rsidR="00A235D5">
        <w:t> </w:t>
      </w:r>
      <w:r>
        <w:t xml:space="preserve">Kim en date du </w:t>
      </w:r>
      <w:r w:rsidRPr="002B17D4">
        <w:t>10</w:t>
      </w:r>
      <w:r w:rsidR="00A235D5" w:rsidRPr="002B17D4">
        <w:t> </w:t>
      </w:r>
      <w:r w:rsidRPr="002B17D4">
        <w:t>janvier</w:t>
      </w:r>
      <w:r w:rsidR="00A235D5" w:rsidRPr="002B17D4">
        <w:t> </w:t>
      </w:r>
      <w:r w:rsidRPr="002B17D4">
        <w:t xml:space="preserve">2023. </w:t>
      </w:r>
      <w:r w:rsidR="00B7761A" w:rsidRPr="002B17D4">
        <w:t>À</w:t>
      </w:r>
      <w:r w:rsidR="00B7761A">
        <w:t xml:space="preserve"> la section du diagnostic du rapport d’évaluation médicale rempli le même jour, elle indique une surdité professionnelle. À celle des plaintes et problèmes liés à la lésion professionnelle, qui inclut notamment une description des symptômes, elle inscrit </w:t>
      </w:r>
      <w:r>
        <w:t>que le</w:t>
      </w:r>
      <w:r w:rsidR="002B17D4">
        <w:t> </w:t>
      </w:r>
      <w:r>
        <w:t>travailleur est porteur d’une « </w:t>
      </w:r>
      <w:r w:rsidRPr="00B7761A">
        <w:rPr>
          <w:rStyle w:val="Citationintgre"/>
        </w:rPr>
        <w:t xml:space="preserve">surdité progressive depuis qqes années. Acouphène incommodant perturbant son sommeil et lui donne </w:t>
      </w:r>
      <w:r w:rsidR="00B7761A" w:rsidRPr="00B7761A">
        <w:rPr>
          <w:rStyle w:val="Citationintgre"/>
        </w:rPr>
        <w:t xml:space="preserve">de cephalée, anxiété et l’étourdissement. Le bruit lui </w:t>
      </w:r>
      <w:r w:rsidR="00B7761A" w:rsidRPr="00EF76EA">
        <w:rPr>
          <w:rStyle w:val="Citationintgre"/>
        </w:rPr>
        <w:t>donne la migraine et l’étourdissement. Hx otologique, personnelle et familiale peu contributive</w:t>
      </w:r>
      <w:r w:rsidR="002B17D4" w:rsidRPr="00EF76EA">
        <w:rPr>
          <w:rStyle w:val="Citationintgre"/>
        </w:rPr>
        <w:t xml:space="preserve">s </w:t>
      </w:r>
      <w:r w:rsidR="002B17D4" w:rsidRPr="00EF76EA">
        <w:rPr>
          <w:rStyle w:val="Citationintgre"/>
          <w:rFonts w:cs="Arial"/>
          <w:i w:val="0"/>
          <w:iCs/>
          <w:sz w:val="24"/>
          <w:szCs w:val="24"/>
        </w:rPr>
        <w:t>[Transcription textuelle]</w:t>
      </w:r>
      <w:r w:rsidR="00B7761A" w:rsidRPr="00EF76EA">
        <w:t> ».</w:t>
      </w:r>
      <w:r w:rsidR="00C872B2" w:rsidRPr="00EF76EA">
        <w:t xml:space="preserve"> À la section 3, soit celle des antécédents pertinents concernant la lésion professionnelle, elle écrit : « </w:t>
      </w:r>
      <w:r w:rsidR="00C872B2" w:rsidRPr="00EF76EA">
        <w:rPr>
          <w:rStyle w:val="Citationintgre"/>
        </w:rPr>
        <w:t>Hx professionnelle </w:t>
      </w:r>
      <w:r w:rsidR="00C872B2" w:rsidRPr="00EF76EA">
        <w:t xml:space="preserve">», ajoutant que le travailleur est à l’emploi de l’employeur depuis environ </w:t>
      </w:r>
      <w:r w:rsidR="002233A7" w:rsidRPr="00EF76EA">
        <w:t>huit </w:t>
      </w:r>
      <w:r w:rsidR="00C872B2" w:rsidRPr="00EF76EA">
        <w:t>ans et que « </w:t>
      </w:r>
      <w:r w:rsidR="00C872B2" w:rsidRPr="00EF76EA">
        <w:rPr>
          <w:rStyle w:val="Citationintgre"/>
        </w:rPr>
        <w:t>cette détérioration de l’ouïe s’est produite durant la période de son travail à cet endroit </w:t>
      </w:r>
      <w:r w:rsidR="00C872B2" w:rsidRPr="00EF76EA">
        <w:t>». À la section</w:t>
      </w:r>
      <w:r w:rsidR="002233A7" w:rsidRPr="00EF76EA">
        <w:t> </w:t>
      </w:r>
      <w:r w:rsidR="00C872B2" w:rsidRPr="00EF76EA">
        <w:t>9, soit celle des limitations fonctionnelles résultant de la lésion professionnelle, elle note que le travailleur présente des difficultés de compréhension lorsqu’il y a une foule et qu’il doit hausser le volume de la télévision. Elle ajoute également « </w:t>
      </w:r>
      <w:r w:rsidR="00C872B2" w:rsidRPr="00EF76EA">
        <w:rPr>
          <w:rStyle w:val="Citationintgre"/>
        </w:rPr>
        <w:t>L’acouphène incommodant perturbant le sommeil et lui donne l’anxiété, c</w:t>
      </w:r>
      <w:r w:rsidR="004C1544" w:rsidRPr="00EF76EA">
        <w:rPr>
          <w:rStyle w:val="Citationintgre"/>
        </w:rPr>
        <w:t>e</w:t>
      </w:r>
      <w:r w:rsidR="00C872B2" w:rsidRPr="00EF76EA">
        <w:rPr>
          <w:rStyle w:val="Citationintgre"/>
        </w:rPr>
        <w:t>phalée et l’étourdissement</w:t>
      </w:r>
      <w:r w:rsidR="004C1544" w:rsidRPr="00EF76EA">
        <w:rPr>
          <w:rStyle w:val="Citationintgre"/>
        </w:rPr>
        <w:t xml:space="preserve"> </w:t>
      </w:r>
      <w:r w:rsidR="004C1544" w:rsidRPr="00EF76EA">
        <w:rPr>
          <w:rStyle w:val="Citationintgre"/>
          <w:rFonts w:cs="Arial"/>
          <w:i w:val="0"/>
          <w:iCs/>
          <w:sz w:val="24"/>
          <w:szCs w:val="24"/>
        </w:rPr>
        <w:t>[Transcription textuelle]</w:t>
      </w:r>
      <w:r w:rsidR="00C872B2" w:rsidRPr="00EF76EA">
        <w:t> ».</w:t>
      </w:r>
      <w:r w:rsidR="003D751B" w:rsidRPr="00EF76EA">
        <w:t xml:space="preserve"> Enfin, au niveau des séquelles</w:t>
      </w:r>
      <w:r w:rsidR="003D751B">
        <w:t xml:space="preserve">, elle indique une surdité </w:t>
      </w:r>
      <w:r w:rsidR="003D751B" w:rsidRPr="006503B4">
        <w:t>infrabarème au</w:t>
      </w:r>
      <w:r w:rsidR="003D751B">
        <w:t>x deux oreilles</w:t>
      </w:r>
      <w:r w:rsidR="00B34EF5">
        <w:t>, avec un déficit anatomophysiologique de 0</w:t>
      </w:r>
      <w:r w:rsidR="002233A7">
        <w:t> </w:t>
      </w:r>
      <w:r w:rsidR="00B34EF5">
        <w:t>%.</w:t>
      </w:r>
    </w:p>
    <w:p w14:paraId="68E2A22E" w14:textId="18203A79" w:rsidR="006473E1" w:rsidRDefault="006473E1" w:rsidP="00C972C2">
      <w:pPr>
        <w:pStyle w:val="corpsdedcision"/>
      </w:pPr>
      <w:r>
        <w:t>Le 17</w:t>
      </w:r>
      <w:r w:rsidR="002233A7">
        <w:t> </w:t>
      </w:r>
      <w:r>
        <w:t>janvier</w:t>
      </w:r>
      <w:r w:rsidR="002233A7">
        <w:t> </w:t>
      </w:r>
      <w:r>
        <w:t>2023, le docteur</w:t>
      </w:r>
      <w:r w:rsidR="002233A7">
        <w:t> </w:t>
      </w:r>
      <w:r>
        <w:t>Allard retient le diagnostic de trouble de l’adaptation secondaire sur un rapport médical de la</w:t>
      </w:r>
      <w:r w:rsidR="002233A7">
        <w:t> </w:t>
      </w:r>
      <w:r>
        <w:t>Commission.</w:t>
      </w:r>
    </w:p>
    <w:p w14:paraId="457376DC" w14:textId="05498F59" w:rsidR="006473E1" w:rsidRDefault="006473E1" w:rsidP="00C972C2">
      <w:pPr>
        <w:pStyle w:val="corpsdedcision"/>
      </w:pPr>
      <w:r>
        <w:t>Dans le cadre de son témoignage, le travailleur mentionne que depuis la fin de janvier</w:t>
      </w:r>
      <w:r w:rsidR="002233A7">
        <w:t> </w:t>
      </w:r>
      <w:r>
        <w:t xml:space="preserve">2023, il porte des appareils auditifs avec des générateurs de bruit intégrés qu’il utilise au besoin, dont le coût a été </w:t>
      </w:r>
      <w:r w:rsidR="00EF76EA">
        <w:t>remboursé</w:t>
      </w:r>
      <w:r>
        <w:t xml:space="preserve"> par la</w:t>
      </w:r>
      <w:r w:rsidR="002233A7">
        <w:t> </w:t>
      </w:r>
      <w:r>
        <w:t>Commission. Il a également été dirigé vers un service de réadaptation en lien avec sa problématique d’hyperacousie et d’acouphène.</w:t>
      </w:r>
      <w:r w:rsidR="00153F09">
        <w:t xml:space="preserve"> Dans une lettre du 5</w:t>
      </w:r>
      <w:r w:rsidR="002233A7">
        <w:t> </w:t>
      </w:r>
      <w:r w:rsidR="00153F09">
        <w:t>juin</w:t>
      </w:r>
      <w:r w:rsidR="002233A7">
        <w:t> </w:t>
      </w:r>
      <w:r w:rsidR="00153F09">
        <w:t>2023 signée par l’audiologiste Arianne</w:t>
      </w:r>
      <w:r w:rsidR="002233A7">
        <w:t> </w:t>
      </w:r>
      <w:r w:rsidR="00153F09">
        <w:t xml:space="preserve">Damphousse et le </w:t>
      </w:r>
      <w:r w:rsidR="00153F09" w:rsidRPr="00EF76EA">
        <w:t>psychoéducateur</w:t>
      </w:r>
      <w:r w:rsidR="002233A7" w:rsidRPr="00EF76EA">
        <w:t>,</w:t>
      </w:r>
      <w:r w:rsidR="00153F09" w:rsidRPr="00EF76EA">
        <w:t xml:space="preserve"> </w:t>
      </w:r>
      <w:r w:rsidR="002233A7" w:rsidRPr="00EF76EA">
        <w:t>monsieur</w:t>
      </w:r>
      <w:r w:rsidR="002233A7">
        <w:t xml:space="preserve"> </w:t>
      </w:r>
      <w:r w:rsidR="00153F09">
        <w:t>Alain</w:t>
      </w:r>
      <w:r w:rsidR="002233A7">
        <w:t> </w:t>
      </w:r>
      <w:r w:rsidR="00153F09">
        <w:t>Guy</w:t>
      </w:r>
      <w:r w:rsidR="00EF76EA">
        <w:t>,</w:t>
      </w:r>
      <w:r w:rsidR="00153F09">
        <w:t xml:space="preserve"> du Programme de déficience auditive, il est noté que le travailleur remarque qu’il est plus tolérant au bruit</w:t>
      </w:r>
      <w:r w:rsidR="00EF76EA">
        <w:t xml:space="preserve"> </w:t>
      </w:r>
      <w:r w:rsidR="00153F09">
        <w:t xml:space="preserve">lorsqu’il porte ses appareils auditifs. Ils expliquent également que plusieurs facteurs peuvent influencer l’acouphène, dont le stress, la fatigue et l’exposition au bruit. </w:t>
      </w:r>
      <w:r w:rsidR="003B789A">
        <w:t xml:space="preserve">Ils concluent leur lettre en mentionnant ce qui suit : </w:t>
      </w:r>
    </w:p>
    <w:p w14:paraId="0CAF2DA9" w14:textId="4AB9A107" w:rsidR="003B789A" w:rsidRDefault="003B789A" w:rsidP="00C03824">
      <w:pPr>
        <w:pStyle w:val="citation"/>
        <w:spacing w:after="360"/>
      </w:pPr>
      <w:r>
        <w:t>Le suivi en psychoéducation vise à ce que Monsieur s’adapte à ses dérangements auditifs en cheminant vers l’acceptation de ses dérangements, en développant une attitude de bienveillance envers soi et en utilisant des moyens de gestion : en s’occupant l’esprit et en ayant une meilleure gestion de sa fatigue et de ses facteurs de stress.</w:t>
      </w:r>
    </w:p>
    <w:p w14:paraId="549659EE" w14:textId="392C6402" w:rsidR="00C03824" w:rsidRPr="00C03824" w:rsidRDefault="00C03824" w:rsidP="00C03824">
      <w:pPr>
        <w:pStyle w:val="citation"/>
        <w:spacing w:after="360"/>
        <w:rPr>
          <w:sz w:val="24"/>
          <w:szCs w:val="24"/>
        </w:rPr>
      </w:pPr>
      <w:r w:rsidRPr="00143F57">
        <w:rPr>
          <w:rFonts w:cs="Arial"/>
          <w:sz w:val="24"/>
          <w:szCs w:val="24"/>
        </w:rPr>
        <w:t>[Transcription textuelle]</w:t>
      </w:r>
    </w:p>
    <w:p w14:paraId="1584E6AE" w14:textId="602F2395" w:rsidR="00330B03" w:rsidRDefault="00330B03" w:rsidP="00330B03">
      <w:pPr>
        <w:pStyle w:val="corpsdedcision"/>
      </w:pPr>
      <w:r>
        <w:t>À l’audience, le travailleur témoigne qu’il va mieux et qu’il réussit tranquillement à s’adapter à sa nouvelle situation. Son trouble de l’adaptation a été consolidé dans un rapport final du docteur</w:t>
      </w:r>
      <w:r w:rsidR="00C03824">
        <w:t> </w:t>
      </w:r>
      <w:r>
        <w:t>Allard du 11</w:t>
      </w:r>
      <w:r w:rsidR="00C03824">
        <w:t> </w:t>
      </w:r>
      <w:r>
        <w:t>octobre</w:t>
      </w:r>
      <w:r w:rsidR="00C03824">
        <w:t> </w:t>
      </w:r>
      <w:r>
        <w:t xml:space="preserve">2023, avec une atteinte à l’intégrité </w:t>
      </w:r>
      <w:r w:rsidR="007621B9">
        <w:t xml:space="preserve">physique ou </w:t>
      </w:r>
      <w:r>
        <w:t>psychique</w:t>
      </w:r>
      <w:r w:rsidR="000C3714">
        <w:t>,</w:t>
      </w:r>
      <w:r>
        <w:t xml:space="preserve"> mais sans </w:t>
      </w:r>
      <w:r w:rsidRPr="00EF76EA">
        <w:t>limitation</w:t>
      </w:r>
      <w:r w:rsidR="00C03824" w:rsidRPr="00EF76EA">
        <w:t>s</w:t>
      </w:r>
      <w:r w:rsidRPr="00EF76EA">
        <w:t xml:space="preserve"> fonctionnelle</w:t>
      </w:r>
      <w:r w:rsidR="00C03824" w:rsidRPr="00EF76EA">
        <w:t>s</w:t>
      </w:r>
      <w:r w:rsidRPr="00EF76EA">
        <w:t>.</w:t>
      </w:r>
      <w:r w:rsidR="007621B9" w:rsidRPr="00EF76EA">
        <w:t xml:space="preserve"> Dans l’espace des commentaires, il </w:t>
      </w:r>
      <w:r w:rsidR="000C3714" w:rsidRPr="00EF76EA">
        <w:t>est écrit</w:t>
      </w:r>
      <w:r w:rsidR="007621B9" w:rsidRPr="00EF76EA">
        <w:t> : « </w:t>
      </w:r>
      <w:r w:rsidR="007621B9" w:rsidRPr="00EF76EA">
        <w:rPr>
          <w:rStyle w:val="Citationintgre"/>
        </w:rPr>
        <w:t>Atteinte à l’intégrité physique : acouphènes persistants Ne peut travailler dans un environnement de travail bruyant Processus de réorientation à compléter Patient actuellement au SEMO pour réorientation Retour dans son poste pré-lésionnel non envisageable</w:t>
      </w:r>
      <w:r w:rsidR="00C03824" w:rsidRPr="00EF76EA">
        <w:rPr>
          <w:rStyle w:val="Citationintgre"/>
        </w:rPr>
        <w:t xml:space="preserve"> </w:t>
      </w:r>
      <w:r w:rsidR="00C03824" w:rsidRPr="00EF76EA">
        <w:rPr>
          <w:rStyle w:val="Citationintgre"/>
          <w:rFonts w:cs="Arial"/>
          <w:i w:val="0"/>
          <w:iCs/>
          <w:sz w:val="24"/>
          <w:szCs w:val="24"/>
        </w:rPr>
        <w:t>[Transcription textuelle]</w:t>
      </w:r>
      <w:r w:rsidR="007621B9" w:rsidRPr="00EF76EA">
        <w:t> ».</w:t>
      </w:r>
      <w:r w:rsidR="000C3714" w:rsidRPr="00EF76EA">
        <w:t xml:space="preserve"> Le travailleur confirme qu’il n’est jamais retourné au travail chez l’employeur, qu’il a suivi un cours en charpenterie-menuiserie et qu’il travaille maintenant dans ce</w:t>
      </w:r>
      <w:r w:rsidR="000C3714">
        <w:t xml:space="preserve"> domaine. </w:t>
      </w:r>
    </w:p>
    <w:p w14:paraId="1882878A" w14:textId="123898D3" w:rsidR="00A6087E" w:rsidRDefault="000532B5" w:rsidP="00330B03">
      <w:pPr>
        <w:pStyle w:val="corpsdedcision"/>
      </w:pPr>
      <w:r>
        <w:t>À la lumière de la preuve médicale prépondérante qui a été présentée et du témoignage du travailleur, le</w:t>
      </w:r>
      <w:r w:rsidR="00C03824">
        <w:t> </w:t>
      </w:r>
      <w:r>
        <w:t>Tribunal est convaincu que les acouphènes qu</w:t>
      </w:r>
      <w:r w:rsidR="005312F8">
        <w:t>’il présente</w:t>
      </w:r>
      <w:r>
        <w:t xml:space="preserve"> découlent de </w:t>
      </w:r>
      <w:r w:rsidR="00A6087E">
        <w:t>s</w:t>
      </w:r>
      <w:r w:rsidR="008A2FA0">
        <w:t>a surdité professionnelle</w:t>
      </w:r>
      <w:r>
        <w:t xml:space="preserve">. </w:t>
      </w:r>
      <w:r w:rsidR="008A2FA0">
        <w:t xml:space="preserve">C’est </w:t>
      </w:r>
      <w:r w:rsidR="008923A9">
        <w:t xml:space="preserve">également </w:t>
      </w:r>
      <w:r w:rsidR="00A6087E">
        <w:t xml:space="preserve">ce qu’a conclu </w:t>
      </w:r>
      <w:r w:rsidR="008A2FA0">
        <w:t>la</w:t>
      </w:r>
      <w:r w:rsidR="00C03824">
        <w:t> </w:t>
      </w:r>
      <w:r w:rsidR="008A2FA0">
        <w:t>Commission</w:t>
      </w:r>
      <w:r w:rsidR="00A6087E">
        <w:t>,</w:t>
      </w:r>
      <w:r w:rsidR="008A2FA0">
        <w:t xml:space="preserve"> dans sa décision du 15</w:t>
      </w:r>
      <w:r w:rsidR="00C03824">
        <w:t> </w:t>
      </w:r>
      <w:r w:rsidR="008A2FA0">
        <w:t>mars</w:t>
      </w:r>
      <w:r w:rsidR="00C03824">
        <w:t> </w:t>
      </w:r>
      <w:r w:rsidR="008A2FA0">
        <w:t>2023 rendue à la suite d’une révision administrative</w:t>
      </w:r>
      <w:r w:rsidR="00A6087E">
        <w:t xml:space="preserve">, </w:t>
      </w:r>
      <w:r w:rsidR="008A2FA0">
        <w:t>alors qu’elle indique</w:t>
      </w:r>
      <w:r w:rsidR="00A6087E">
        <w:t xml:space="preserve"> que « </w:t>
      </w:r>
      <w:r w:rsidR="00C03824">
        <w:rPr>
          <w:rStyle w:val="Citationintgre"/>
        </w:rPr>
        <w:t>L</w:t>
      </w:r>
      <w:r w:rsidR="00A6087E" w:rsidRPr="008923A9">
        <w:rPr>
          <w:rStyle w:val="Citationintgre"/>
        </w:rPr>
        <w:t>’acouphène n’étant pas un diagnostic, mais plutôt un symptôme qui découle de la surdité professionnelle reconnue, il n’y avait pas lieu de se prononcer à ce sujet</w:t>
      </w:r>
      <w:r w:rsidR="008923A9" w:rsidRPr="008923A9">
        <w:rPr>
          <w:rStyle w:val="Citationintgre"/>
        </w:rPr>
        <w:t> </w:t>
      </w:r>
      <w:r w:rsidR="008923A9">
        <w:t>».</w:t>
      </w:r>
    </w:p>
    <w:p w14:paraId="77B53289" w14:textId="6444F2EA" w:rsidR="002812FE" w:rsidRDefault="002812FE" w:rsidP="00330B03">
      <w:pPr>
        <w:pStyle w:val="corpsdedcision"/>
      </w:pPr>
      <w:r>
        <w:t xml:space="preserve">Il y a lieu de souligner que la question dans le présent dossier n’est pas de savoir </w:t>
      </w:r>
      <w:r w:rsidRPr="00EF76EA">
        <w:t>si l’acouphène du travailleur est un diagnostic à part entière ou s’il s’agit d’un symptôme</w:t>
      </w:r>
      <w:r w:rsidR="00C03824" w:rsidRPr="00EF76EA">
        <w:t xml:space="preserve"> de</w:t>
      </w:r>
      <w:r w:rsidRPr="00EF76EA">
        <w:t xml:space="preserve"> la</w:t>
      </w:r>
      <w:r>
        <w:t xml:space="preserve"> surdité professionnelle reconnue. Il suffit de statuer sur le fait que l’acouphène découle de la lésion professionnelle</w:t>
      </w:r>
      <w:r w:rsidR="00963B9A">
        <w:t>, ce qui est le cas en l’espèce</w:t>
      </w:r>
      <w:r w:rsidR="00691507">
        <w:t>.</w:t>
      </w:r>
    </w:p>
    <w:p w14:paraId="29C0B471" w14:textId="003504BA" w:rsidR="00EF76EA" w:rsidRPr="006503B4" w:rsidRDefault="00346BA4" w:rsidP="002E10E6">
      <w:pPr>
        <w:pStyle w:val="corpsdedcision"/>
      </w:pPr>
      <w:r>
        <w:t>La représentante de l’employeur argue d’abord que les acouphènes du travailleur sont attribuables à une autre cause que sa surdité professionnelle reconnue, puisqu</w:t>
      </w:r>
      <w:r w:rsidR="002E10E6">
        <w:t>’ils sont apparus</w:t>
      </w:r>
      <w:r>
        <w:t xml:space="preserve"> </w:t>
      </w:r>
      <w:r w:rsidR="002E10E6">
        <w:t xml:space="preserve">bien </w:t>
      </w:r>
      <w:r>
        <w:t xml:space="preserve">avant que </w:t>
      </w:r>
      <w:r w:rsidR="001F0B31">
        <w:t>celle</w:t>
      </w:r>
      <w:r w:rsidR="00C03824">
        <w:noBreakHyphen/>
      </w:r>
      <w:r w:rsidR="001F0B31">
        <w:t xml:space="preserve">ci </w:t>
      </w:r>
      <w:r>
        <w:t xml:space="preserve">ne soit diagnostiquée </w:t>
      </w:r>
      <w:r w:rsidR="002E10E6">
        <w:t>en novembre</w:t>
      </w:r>
      <w:r w:rsidR="00C03824">
        <w:t> </w:t>
      </w:r>
      <w:r w:rsidR="002E10E6">
        <w:t>2022. Elle fait également référence au rapport du 19</w:t>
      </w:r>
      <w:r w:rsidR="00C03824">
        <w:t> </w:t>
      </w:r>
      <w:r w:rsidR="002E10E6">
        <w:t>février</w:t>
      </w:r>
      <w:r w:rsidR="00C03824">
        <w:t> </w:t>
      </w:r>
      <w:r w:rsidR="002E10E6">
        <w:t xml:space="preserve">2021 de </w:t>
      </w:r>
      <w:r w:rsidR="002E10E6" w:rsidRPr="001568FA">
        <w:t>l’audiolog</w:t>
      </w:r>
      <w:r w:rsidR="004C1544" w:rsidRPr="001568FA">
        <w:t>i</w:t>
      </w:r>
      <w:r w:rsidR="00764D21" w:rsidRPr="001568FA">
        <w:t>st</w:t>
      </w:r>
      <w:r w:rsidR="002E10E6" w:rsidRPr="001568FA">
        <w:t>e Sim</w:t>
      </w:r>
      <w:r w:rsidR="002E10E6">
        <w:t xml:space="preserve">on Millette, dans </w:t>
      </w:r>
      <w:r w:rsidR="002E10E6" w:rsidRPr="006503B4">
        <w:t xml:space="preserve">lequel il écrit que </w:t>
      </w:r>
      <w:r w:rsidR="00EF76EA" w:rsidRPr="006503B4">
        <w:t>ceci :</w:t>
      </w:r>
    </w:p>
    <w:p w14:paraId="2F4F12F4" w14:textId="3F75D706" w:rsidR="00EF76EA" w:rsidRPr="005E2820" w:rsidRDefault="00EF76EA" w:rsidP="007B6835">
      <w:pPr>
        <w:pStyle w:val="citation"/>
        <w:spacing w:after="240"/>
        <w:rPr>
          <w:rStyle w:val="Citationintgre"/>
          <w:rFonts w:cs="Arial"/>
          <w:i w:val="0"/>
          <w:iCs/>
          <w:sz w:val="20"/>
        </w:rPr>
      </w:pPr>
      <w:r w:rsidRPr="005E2820">
        <w:rPr>
          <w:rStyle w:val="Citationintgre"/>
          <w:rFonts w:cs="Arial"/>
          <w:i w:val="0"/>
          <w:iCs/>
          <w:sz w:val="20"/>
        </w:rPr>
        <w:t>[…]</w:t>
      </w:r>
    </w:p>
    <w:p w14:paraId="5A437A42" w14:textId="09A6BD7F" w:rsidR="00EF76EA" w:rsidRPr="005E2820" w:rsidRDefault="006503B4" w:rsidP="007B6835">
      <w:pPr>
        <w:pStyle w:val="citation"/>
        <w:spacing w:after="240"/>
        <w:rPr>
          <w:sz w:val="24"/>
        </w:rPr>
      </w:pPr>
      <w:r w:rsidRPr="005E2820">
        <w:rPr>
          <w:rStyle w:val="Citationintgre"/>
          <w:rFonts w:cs="Arial"/>
          <w:i w:val="0"/>
          <w:iCs/>
          <w:sz w:val="20"/>
        </w:rPr>
        <w:t xml:space="preserve">[…] </w:t>
      </w:r>
      <w:r w:rsidR="002E10E6" w:rsidRPr="005E2820">
        <w:rPr>
          <w:rStyle w:val="Citationintgre"/>
          <w:i w:val="0"/>
          <w:iCs/>
          <w:sz w:val="20"/>
        </w:rPr>
        <w:t>Selon les examens réalisés, il est actuellement impossible de définir avec certitude l’origine de l’acouphène. Il est possible qu’un dommage auditif plus subtil en lien avec l’exposition au bruit (ex : synaptopathie cochléaire) soit en lien avec l’acouphène. Il est également possible que cela soit en lien avec les difficultés d’écoute dans le bruit objectivées ce jour</w:t>
      </w:r>
      <w:r w:rsidR="00EF76EA" w:rsidRPr="005E2820">
        <w:rPr>
          <w:rStyle w:val="Citationintgre"/>
          <w:i w:val="0"/>
          <w:iCs/>
          <w:sz w:val="20"/>
        </w:rPr>
        <w:t>.</w:t>
      </w:r>
    </w:p>
    <w:p w14:paraId="646C16E4" w14:textId="29BAB85C" w:rsidR="00EF76EA" w:rsidRPr="006503B4" w:rsidRDefault="00EF76EA" w:rsidP="007B6835">
      <w:pPr>
        <w:pStyle w:val="citation"/>
        <w:spacing w:after="360"/>
        <w:rPr>
          <w:rStyle w:val="Citationintgre"/>
          <w:rFonts w:cs="Arial"/>
          <w:i w:val="0"/>
          <w:iCs/>
          <w:sz w:val="20"/>
        </w:rPr>
      </w:pPr>
      <w:r w:rsidRPr="005E2820">
        <w:rPr>
          <w:rStyle w:val="Citationintgre"/>
          <w:rFonts w:cs="Arial"/>
          <w:i w:val="0"/>
          <w:iCs/>
          <w:sz w:val="20"/>
        </w:rPr>
        <w:t>[…]</w:t>
      </w:r>
    </w:p>
    <w:p w14:paraId="6EE727E0" w14:textId="2D76DC2D" w:rsidR="002812FE" w:rsidRDefault="002E10E6" w:rsidP="007B6835">
      <w:pPr>
        <w:pStyle w:val="corpsdedcision"/>
      </w:pPr>
      <w:r>
        <w:t>À ce sujet, il y a lieu de</w:t>
      </w:r>
      <w:r w:rsidR="002812FE">
        <w:t xml:space="preserve"> </w:t>
      </w:r>
      <w:r>
        <w:t>souligner</w:t>
      </w:r>
      <w:r w:rsidR="002812FE">
        <w:t xml:space="preserve"> que ce n’est pas parce que les acouphènes du travailleur sont apparus quelques années avant que le diagnostic de surdité neurosensorielle secondaire au bruit ne soit officiellement posé, en novembre</w:t>
      </w:r>
      <w:r w:rsidR="008638F4">
        <w:t> </w:t>
      </w:r>
      <w:r w:rsidR="002812FE">
        <w:t xml:space="preserve">2022, qu’ils ne peuvent pas être reliés à </w:t>
      </w:r>
      <w:r w:rsidR="008638F4">
        <w:t>celui</w:t>
      </w:r>
      <w:r w:rsidR="008638F4">
        <w:noBreakHyphen/>
      </w:r>
      <w:r w:rsidR="002812FE">
        <w:t xml:space="preserve">ci. </w:t>
      </w:r>
    </w:p>
    <w:p w14:paraId="10523C94" w14:textId="261BF00C" w:rsidR="004467B0" w:rsidRPr="003B4A9D" w:rsidRDefault="004467B0" w:rsidP="004467B0">
      <w:pPr>
        <w:pStyle w:val="corpsdedcision"/>
      </w:pPr>
      <w:r>
        <w:t xml:space="preserve">Rappelons, comme le </w:t>
      </w:r>
      <w:r w:rsidR="002E10E6">
        <w:t>mentionne</w:t>
      </w:r>
      <w:r>
        <w:t xml:space="preserve"> la</w:t>
      </w:r>
      <w:r w:rsidR="00995430">
        <w:t> </w:t>
      </w:r>
      <w:r>
        <w:t>docteure</w:t>
      </w:r>
      <w:r w:rsidR="00995430">
        <w:t> </w:t>
      </w:r>
      <w:r>
        <w:t>Kim dans son rapport d’évaluation médicale du 10</w:t>
      </w:r>
      <w:r w:rsidR="00995430">
        <w:t> </w:t>
      </w:r>
      <w:r>
        <w:t>janvier</w:t>
      </w:r>
      <w:r w:rsidR="00995430">
        <w:t> </w:t>
      </w:r>
      <w:r>
        <w:t>2023, que la surdité du travailleur a été progressive depuis quelques années. C’est d’ailleurs ce qu</w:t>
      </w:r>
      <w:r w:rsidR="00963B9A">
        <w:t xml:space="preserve">’il </w:t>
      </w:r>
      <w:r>
        <w:t>confirme à l’audience et ce que rév</w:t>
      </w:r>
      <w:r w:rsidRPr="00EF76EA">
        <w:t>èle</w:t>
      </w:r>
      <w:r w:rsidR="004C1544" w:rsidRPr="00EF76EA">
        <w:t>nt</w:t>
      </w:r>
      <w:r>
        <w:t xml:space="preserve"> les rapports audiologiques contenus au dossier. Puisque les acouphènes du travailleur sont reliés à ses problèmes de surdité, on s’attend à ce q</w:t>
      </w:r>
      <w:r w:rsidR="004F0EF0">
        <w:t>u’il</w:t>
      </w:r>
      <w:r w:rsidR="00D12E56">
        <w:t>s</w:t>
      </w:r>
      <w:r w:rsidR="004F0EF0">
        <w:t xml:space="preserve"> </w:t>
      </w:r>
      <w:r>
        <w:t xml:space="preserve">suivent le même </w:t>
      </w:r>
      <w:r w:rsidR="00F76730">
        <w:t>patron</w:t>
      </w:r>
      <w:r>
        <w:t xml:space="preserve"> que celui de sa surdité, avec une apparition progressive, comme c’est le cas</w:t>
      </w:r>
      <w:r w:rsidR="00691507">
        <w:t xml:space="preserve"> en </w:t>
      </w:r>
      <w:r w:rsidR="00691507" w:rsidRPr="00D43628">
        <w:t>l’espèce.</w:t>
      </w:r>
      <w:r w:rsidR="00F76730" w:rsidRPr="00D43628">
        <w:t xml:space="preserve"> </w:t>
      </w:r>
      <w:r w:rsidR="00F76730" w:rsidRPr="00D43628">
        <w:rPr>
          <w:rStyle w:val="Citationintgre"/>
          <w:i w:val="0"/>
          <w:iCs/>
          <w:sz w:val="24"/>
          <w:szCs w:val="24"/>
        </w:rPr>
        <w:t>Le spectre de l’acouphène ressemble donc au miroir de la perte auditive</w:t>
      </w:r>
      <w:r w:rsidR="00F76730" w:rsidRPr="00D43628">
        <w:rPr>
          <w:rStyle w:val="Appelnotedebasdep"/>
        </w:rPr>
        <w:footnoteReference w:id="2"/>
      </w:r>
      <w:r w:rsidR="00F76730" w:rsidRPr="00D43628">
        <w:t xml:space="preserve">. Par ailleurs, il est important de souligner que </w:t>
      </w:r>
      <w:r w:rsidR="00930A27" w:rsidRPr="00D43628">
        <w:t>« </w:t>
      </w:r>
      <w:r w:rsidR="00077214">
        <w:rPr>
          <w:rStyle w:val="Citationintgre"/>
        </w:rPr>
        <w:t>P</w:t>
      </w:r>
      <w:r w:rsidR="003B4A9D" w:rsidRPr="00D43628">
        <w:rPr>
          <w:rStyle w:val="Citationintgre"/>
        </w:rPr>
        <w:t>arfois,</w:t>
      </w:r>
      <w:r w:rsidR="003B4A9D" w:rsidRPr="00D43628">
        <w:t xml:space="preserve"> </w:t>
      </w:r>
      <w:r w:rsidR="00F76730" w:rsidRPr="00D43628">
        <w:rPr>
          <w:rStyle w:val="Citationintgre"/>
        </w:rPr>
        <w:t xml:space="preserve">un acouphène </w:t>
      </w:r>
      <w:r w:rsidR="00930A27" w:rsidRPr="00D43628">
        <w:rPr>
          <w:rStyle w:val="Citationintgre"/>
        </w:rPr>
        <w:t xml:space="preserve">peut être présent sans que l’on ne décèle la moindre perte auditive avec une </w:t>
      </w:r>
      <w:r w:rsidR="00930A27" w:rsidRPr="00D43628">
        <w:rPr>
          <w:rStyle w:val="Citationintgre"/>
          <w:u w:val="single"/>
        </w:rPr>
        <w:t>audiométrie tonale classique</w:t>
      </w:r>
      <w:r w:rsidR="00930A27" w:rsidRPr="00D43628">
        <w:rPr>
          <w:rStyle w:val="Citationintgre"/>
        </w:rPr>
        <w:t>. Cela ne signifie pas qu’il n’existe pas de lésion périphérique. En effet, l’audiométrie tonale classique ne permet pas de déceler toutes les lésions de la cochlée</w:t>
      </w:r>
      <w:r w:rsidR="00930A27" w:rsidRPr="00D43628">
        <w:t xml:space="preserve"> </w:t>
      </w:r>
      <w:r w:rsidR="00930A27" w:rsidRPr="00D43628">
        <w:rPr>
          <w:rFonts w:cs="Arial"/>
        </w:rPr>
        <w:t>[…] </w:t>
      </w:r>
      <w:r w:rsidR="003B4A9D" w:rsidRPr="00D43628">
        <w:rPr>
          <w:rStyle w:val="Appelnotedebasdep"/>
          <w:rFonts w:cs="Arial"/>
        </w:rPr>
        <w:footnoteReference w:id="3"/>
      </w:r>
      <w:r w:rsidR="00930A27" w:rsidRPr="00D43628">
        <w:rPr>
          <w:rFonts w:cs="Arial"/>
        </w:rPr>
        <w:t>».</w:t>
      </w:r>
      <w:r w:rsidR="00DB1CA0" w:rsidRPr="00D43628">
        <w:rPr>
          <w:rFonts w:cs="Arial"/>
        </w:rPr>
        <w:t xml:space="preserve"> Par conséquent, le fait que la surdité du travailleur soit légère et infrabarème n’est pas un élément qui permet </w:t>
      </w:r>
      <w:r w:rsidR="009D06B1" w:rsidRPr="00D43628">
        <w:rPr>
          <w:rFonts w:cs="Arial"/>
        </w:rPr>
        <w:t>de tirer des conclusions sur</w:t>
      </w:r>
      <w:r w:rsidR="009D06B1">
        <w:rPr>
          <w:rFonts w:cs="Arial"/>
        </w:rPr>
        <w:t xml:space="preserve"> </w:t>
      </w:r>
      <w:r w:rsidR="009D06B1" w:rsidRPr="003B4A9D">
        <w:rPr>
          <w:rFonts w:cs="Arial"/>
        </w:rPr>
        <w:t xml:space="preserve">l’origine des acouphènes qui l’affectent et encore moins sur leur intensité. </w:t>
      </w:r>
    </w:p>
    <w:p w14:paraId="524B071A" w14:textId="0F434626" w:rsidR="00D12E56" w:rsidRPr="003B4A9D" w:rsidRDefault="002E10E6" w:rsidP="004467B0">
      <w:pPr>
        <w:pStyle w:val="corpsdedcision"/>
      </w:pPr>
      <w:r w:rsidRPr="003B4A9D">
        <w:t>Au surplus, s</w:t>
      </w:r>
      <w:r w:rsidR="000B2ED1" w:rsidRPr="003B4A9D">
        <w:t>elon la littérature médicale</w:t>
      </w:r>
      <w:r w:rsidR="000B2ED1" w:rsidRPr="003B4A9D">
        <w:rPr>
          <w:rStyle w:val="Appelnotedebasdep"/>
        </w:rPr>
        <w:footnoteReference w:id="4"/>
      </w:r>
      <w:r w:rsidR="000B2ED1" w:rsidRPr="003B4A9D">
        <w:t xml:space="preserve"> déposée en preuve, « </w:t>
      </w:r>
      <w:r w:rsidR="000B2ED1" w:rsidRPr="003B4A9D">
        <w:rPr>
          <w:rStyle w:val="Citationintgre"/>
        </w:rPr>
        <w:t>Il est très important de rappeler que dans presque 100% des cas, un acouphène est la conséquence d’une perte auditive</w:t>
      </w:r>
      <w:r w:rsidR="000B2ED1" w:rsidRPr="003B4A9D">
        <w:t> ».</w:t>
      </w:r>
    </w:p>
    <w:p w14:paraId="503C7227" w14:textId="7FDFBE67" w:rsidR="001F0B31" w:rsidRDefault="00F76730" w:rsidP="00F76730">
      <w:pPr>
        <w:pStyle w:val="corpsdedcision"/>
      </w:pPr>
      <w:r>
        <w:t>À ce sujet, tous les médecins consultés par le travailleur, soit les docteurs</w:t>
      </w:r>
      <w:r w:rsidR="002306BB">
        <w:t> </w:t>
      </w:r>
      <w:r>
        <w:t>Allard, Kim et Simard</w:t>
      </w:r>
      <w:r w:rsidR="002306BB">
        <w:t>,</w:t>
      </w:r>
      <w:r>
        <w:t xml:space="preserve"> relient les acouphènes qui l’affectent à son problème de surdité. Il en est de même pour l’audiologiste Héon. Ils en arrivent tous à cette conclusion, et ce, en connaissant l’historique personnel</w:t>
      </w:r>
      <w:r w:rsidR="00EF76EA">
        <w:t xml:space="preserve"> </w:t>
      </w:r>
      <w:r>
        <w:t>du travailleur et l’évolution de sa symptomatologie, incluant</w:t>
      </w:r>
      <w:r w:rsidR="001F0B31">
        <w:t xml:space="preserve"> celle de</w:t>
      </w:r>
      <w:r>
        <w:t xml:space="preserve"> ses acouphènes.</w:t>
      </w:r>
      <w:r w:rsidR="000D63D5">
        <w:t xml:space="preserve"> </w:t>
      </w:r>
    </w:p>
    <w:p w14:paraId="0FC02C32" w14:textId="111A5393" w:rsidR="00090589" w:rsidRDefault="00090589" w:rsidP="00090589">
      <w:pPr>
        <w:pStyle w:val="corpsdedcision"/>
      </w:pPr>
      <w:r w:rsidRPr="00077214">
        <w:t>Quant à l’audiologiste Millette, le Tribunal comprend des conclusions de son rapport qu’en février</w:t>
      </w:r>
      <w:r w:rsidR="00077214">
        <w:t> </w:t>
      </w:r>
      <w:r w:rsidRPr="00077214">
        <w:t>2021, donc plusieurs</w:t>
      </w:r>
      <w:r>
        <w:t xml:space="preserve"> mois avant que le diagnostic de surdité neurosensorielle secondaire au bruit ne soit posé en novembre</w:t>
      </w:r>
      <w:r w:rsidR="00077214">
        <w:t> </w:t>
      </w:r>
      <w:r>
        <w:t>2022, il ne peut définir avec certitude l’origine des acouphènes présentés par le travailleur. Il suggère toutefois des causes découlant soit d’un dommage auditif en lien avec l’exposition au bruit, soit de difficultés d’écoute dans le bruit. Il ne fait aucunement référence à d’autres causes secondaires, comme celles invoquées par la représentante de l’employeur, soit la prise de médicaments ototoxiques ou un antécédent de stress important vécu par le travailleur en 2018.</w:t>
      </w:r>
    </w:p>
    <w:p w14:paraId="40B513EF" w14:textId="65EBE50F" w:rsidR="00090589" w:rsidRDefault="00090589" w:rsidP="00090589">
      <w:pPr>
        <w:pStyle w:val="corpsdedcision"/>
      </w:pPr>
      <w:r>
        <w:t>En ce qui a trait à ces arguments, le Tribunal tient à souligner qu’aucun médecin, bien qu’au fait de la médication prise par le travailleur pour ses problèmes de maux de tête et de migraines, n’a retenu que la prise de médicaments ototoxiques pouvait être à l’origine de ses acouphènes. Le même constat s’applique à l’égard de la situation de stress que le travailleur a pu vivre en 2018. Il s’agit-là d’hypothèses non appuyées par la preuve médicale contenue au dossier.</w:t>
      </w:r>
    </w:p>
    <w:p w14:paraId="245515B5" w14:textId="5EF4076A" w:rsidR="00090589" w:rsidRDefault="00090589" w:rsidP="00090589">
      <w:pPr>
        <w:pStyle w:val="corpsdedcision"/>
      </w:pPr>
      <w:r>
        <w:t xml:space="preserve">En somme, à la lumière de la preuve médicale plus que prépondérante </w:t>
      </w:r>
      <w:r w:rsidR="00D37BAA">
        <w:t>qui a été présentée</w:t>
      </w:r>
      <w:r>
        <w:t>, le Tribunal conclut que les acouphènes qui affectent le travailleur découlent de sa surdité professionnelle reconnue.</w:t>
      </w:r>
    </w:p>
    <w:p w14:paraId="6F2E9964" w14:textId="390087D4" w:rsidR="00090589" w:rsidRPr="00747A4C" w:rsidRDefault="00090589" w:rsidP="00090589">
      <w:pPr>
        <w:pStyle w:val="corpsdedcision"/>
        <w:numPr>
          <w:ilvl w:val="0"/>
          <w:numId w:val="0"/>
        </w:numPr>
        <w:rPr>
          <w:b/>
          <w:bCs/>
        </w:rPr>
      </w:pPr>
      <w:r w:rsidRPr="00747A4C">
        <w:rPr>
          <w:b/>
          <w:bCs/>
        </w:rPr>
        <w:t xml:space="preserve">Le nouveau diagnostic de trouble de l’adaptation secondaire est-il en relation avec la surdité professionnelle diagnostiquée ou ses conséquences? </w:t>
      </w:r>
    </w:p>
    <w:p w14:paraId="69BF8CF5" w14:textId="7BE61BF4" w:rsidR="00090589" w:rsidRDefault="00090589" w:rsidP="00090589">
      <w:pPr>
        <w:pStyle w:val="corpsdedcision"/>
      </w:pPr>
      <w:r>
        <w:t xml:space="preserve">En lien avec cette question en litige, même la représentante de l’employeur reconnaît que ce sont les acouphènes qui affectent le travailleur qui sont à l’origine du diagnostic du trouble de l’adaptation </w:t>
      </w:r>
      <w:r w:rsidR="001D0805">
        <w:t xml:space="preserve">secondaire </w:t>
      </w:r>
      <w:r>
        <w:t>qui a été posé en janvier</w:t>
      </w:r>
      <w:r w:rsidR="00077214">
        <w:t> </w:t>
      </w:r>
      <w:r>
        <w:t>2023. Puisque le</w:t>
      </w:r>
      <w:r w:rsidR="00077214">
        <w:t> </w:t>
      </w:r>
      <w:r>
        <w:t xml:space="preserve">Tribunal a préalablement décidé que les acouphènes découlaient de la surdité professionnelle reconnue, il y a donc lieu de conclure </w:t>
      </w:r>
      <w:r w:rsidRPr="00D20309">
        <w:t>qu</w:t>
      </w:r>
      <w:r>
        <w:t xml:space="preserve">e le trouble de l’adaptation secondaire diagnostiqué </w:t>
      </w:r>
      <w:r w:rsidRPr="00D20309">
        <w:t xml:space="preserve">est en lien avec </w:t>
      </w:r>
      <w:r>
        <w:t>celle-ci.</w:t>
      </w:r>
    </w:p>
    <w:p w14:paraId="748F881D" w14:textId="744CFEFD" w:rsidR="00090589" w:rsidRPr="004A281E" w:rsidRDefault="00090589" w:rsidP="00090589">
      <w:pPr>
        <w:pStyle w:val="corpsdedcision"/>
      </w:pPr>
      <w:r w:rsidRPr="004A281E">
        <w:t xml:space="preserve">L’affaire </w:t>
      </w:r>
      <w:r w:rsidRPr="004A281E">
        <w:rPr>
          <w:i/>
        </w:rPr>
        <w:t xml:space="preserve">Beauséjour </w:t>
      </w:r>
      <w:r w:rsidRPr="004A281E">
        <w:t>et</w:t>
      </w:r>
      <w:r w:rsidRPr="004A281E">
        <w:rPr>
          <w:i/>
        </w:rPr>
        <w:t xml:space="preserve"> Benoît Dupuis Extincteurs</w:t>
      </w:r>
      <w:r w:rsidRPr="004A281E">
        <w:rPr>
          <w:rStyle w:val="Appelnotedebasdep"/>
        </w:rPr>
        <w:footnoteReference w:id="5"/>
      </w:r>
      <w:r w:rsidRPr="004A281E">
        <w:rPr>
          <w:i/>
        </w:rPr>
        <w:t xml:space="preserve"> </w:t>
      </w:r>
      <w:r w:rsidRPr="004A281E">
        <w:t>nous rappelle que pour statuer sur la relation causale entre un nouveau diagnostic et la lésion professionnelle déjà reconnue, le</w:t>
      </w:r>
      <w:r w:rsidR="00077214">
        <w:t> </w:t>
      </w:r>
      <w:r w:rsidRPr="004A281E">
        <w:t>Tribunal n’a pas à se prononcer de nouveau sur l’admissibilité de la réclamation, mais plutôt à apprécier la preuve afin de déterminer l’existence ou non d’un lien entre les deux. Certains critères ont été identifiés pour évaluer l’existence d’une telle relation, notamment, la concomitance entre l’événement d’origine et le nouveau diagnostic, l’existence d’antécédents et la présence d’un suivi médical.</w:t>
      </w:r>
    </w:p>
    <w:p w14:paraId="4165BD11" w14:textId="32575C1D" w:rsidR="00090589" w:rsidRPr="00B027AC" w:rsidRDefault="00090589" w:rsidP="00090589">
      <w:pPr>
        <w:pStyle w:val="corpsdedcision"/>
        <w:rPr>
          <w:rStyle w:val="Citationintgre"/>
          <w:i w:val="0"/>
        </w:rPr>
      </w:pPr>
      <w:r w:rsidRPr="00B027AC">
        <w:t>De façon plus spécifique, en présence d’un nouveau diagnostic de nature psychologique, d’autres paramètres peuvent être pris en considération par le</w:t>
      </w:r>
      <w:r w:rsidR="00077214">
        <w:t> </w:t>
      </w:r>
      <w:r w:rsidRPr="00B027AC">
        <w:t>Tribunal, soit ceux liés à</w:t>
      </w:r>
      <w:r w:rsidRPr="00B027AC">
        <w:rPr>
          <w:i/>
        </w:rPr>
        <w:t xml:space="preserve"> </w:t>
      </w:r>
      <w:r w:rsidRPr="00B027AC">
        <w:rPr>
          <w:rStyle w:val="Citationintgre"/>
          <w:i w:val="0"/>
        </w:rPr>
        <w:t>« </w:t>
      </w:r>
      <w:r w:rsidRPr="00B027AC">
        <w:rPr>
          <w:rStyle w:val="Citationintgre"/>
        </w:rPr>
        <w:t>[…] la gravité et aux conséquences de la lésion physique initiale, soit les effets de cette lésion sur la condition psychologique d’un travailleur, la présence d’une condition ou de problèmes personnels qui n’ont pas de lien avec la lésion professionnelle, de même que les opinions médicales</w:t>
      </w:r>
      <w:r>
        <w:rPr>
          <w:rStyle w:val="Citationintgre"/>
        </w:rPr>
        <w:t> </w:t>
      </w:r>
      <w:r w:rsidRPr="00B027AC">
        <w:rPr>
          <w:rStyle w:val="Citationintgre"/>
          <w:i w:val="0"/>
        </w:rPr>
        <w:t>»</w:t>
      </w:r>
      <w:r w:rsidRPr="00B027AC">
        <w:rPr>
          <w:rStyle w:val="Appelnotedebasdep"/>
          <w:sz w:val="22"/>
        </w:rPr>
        <w:footnoteReference w:id="6"/>
      </w:r>
      <w:r w:rsidRPr="00B027AC">
        <w:rPr>
          <w:rStyle w:val="Citationintgre"/>
          <w:i w:val="0"/>
        </w:rPr>
        <w:t>.</w:t>
      </w:r>
    </w:p>
    <w:p w14:paraId="77130AD1" w14:textId="77777777" w:rsidR="00090589" w:rsidRPr="00B027AC" w:rsidRDefault="00090589" w:rsidP="00090589">
      <w:pPr>
        <w:pStyle w:val="corpsdedcision"/>
      </w:pPr>
      <w:r w:rsidRPr="00B027AC">
        <w:t>Le fardeau de preuve repose sur les épaules du travailleur qui doit établir que l’événement initial ou ses conséquences ont contribué de façon significative et déterminante à l’apparition ou au développement de sa lésion psychologique</w:t>
      </w:r>
      <w:r w:rsidRPr="00B027AC">
        <w:rPr>
          <w:rStyle w:val="Appelnotedebasdep"/>
        </w:rPr>
        <w:footnoteReference w:id="7"/>
      </w:r>
      <w:r w:rsidRPr="00B027AC">
        <w:t>. En présence de plusieurs facteurs contributifs, le Tribunal rappelle :</w:t>
      </w:r>
      <w:r w:rsidRPr="00B027AC">
        <w:rPr>
          <w:rStyle w:val="Citationintgre"/>
        </w:rPr>
        <w:t> « </w:t>
      </w:r>
      <w:r w:rsidRPr="000F4FA4">
        <w:rPr>
          <w:rStyle w:val="Citationintgre"/>
        </w:rPr>
        <w:t>Il est donc pertinent</w:t>
      </w:r>
      <w:r w:rsidRPr="00B027AC">
        <w:rPr>
          <w:i/>
        </w:rPr>
        <w:t xml:space="preserve"> </w:t>
      </w:r>
      <w:r w:rsidRPr="00B027AC">
        <w:rPr>
          <w:i/>
          <w:sz w:val="22"/>
          <w:szCs w:val="22"/>
        </w:rPr>
        <w:t>d’analyser chacun des facteurs de stress subis par le travailleur afin d’évaluer si ceux-ci découlent plus probablement des répercussions de la lésion professionnelle ou d’une cause externe à celle</w:t>
      </w:r>
      <w:r w:rsidRPr="00B027AC">
        <w:rPr>
          <w:i/>
          <w:sz w:val="22"/>
          <w:szCs w:val="22"/>
        </w:rPr>
        <w:noBreakHyphen/>
        <w:t>ci </w:t>
      </w:r>
      <w:r w:rsidRPr="00B027AC">
        <w:rPr>
          <w:sz w:val="22"/>
          <w:szCs w:val="22"/>
        </w:rPr>
        <w:t>»</w:t>
      </w:r>
      <w:r w:rsidRPr="00B027AC">
        <w:rPr>
          <w:rStyle w:val="Appelnotedebasdep"/>
        </w:rPr>
        <w:footnoteReference w:id="8"/>
      </w:r>
      <w:r w:rsidRPr="00B027AC">
        <w:t>.</w:t>
      </w:r>
    </w:p>
    <w:p w14:paraId="3092E55E" w14:textId="77777777" w:rsidR="00090589" w:rsidRPr="00B930AD" w:rsidRDefault="00090589" w:rsidP="00090589">
      <w:pPr>
        <w:pStyle w:val="corpsdedcision"/>
      </w:pPr>
      <w:r w:rsidRPr="004A281E">
        <w:t>La relation entre la condition psychologique du travailleur et la lésion initiale doit être démontrée à l’aide d’une preuve méd</w:t>
      </w:r>
      <w:r>
        <w:t>icale prépondérante qui permet</w:t>
      </w:r>
      <w:r w:rsidRPr="004A281E">
        <w:t xml:space="preserve"> l’évaluation objective de la situation en prenant assise dans la preuve et les faits du dossier, et non </w:t>
      </w:r>
      <w:r w:rsidRPr="00B930AD">
        <w:t>seulement par le témoignage du travailleur</w:t>
      </w:r>
      <w:r w:rsidRPr="00B930AD">
        <w:rPr>
          <w:rStyle w:val="Appelnotedebasdep"/>
        </w:rPr>
        <w:footnoteReference w:id="9"/>
      </w:r>
      <w:r w:rsidRPr="00B930AD">
        <w:t>.</w:t>
      </w:r>
    </w:p>
    <w:p w14:paraId="0E76214A" w14:textId="77777777" w:rsidR="00090589" w:rsidRPr="00B930AD" w:rsidRDefault="00090589" w:rsidP="00090589">
      <w:pPr>
        <w:pStyle w:val="corpsdedcision"/>
      </w:pPr>
      <w:r w:rsidRPr="00B930AD">
        <w:t>Le Tribunal retient ce qui suit de la preuve médicale</w:t>
      </w:r>
      <w:r>
        <w:t xml:space="preserve"> prépondérante contenue au dossier et des témoignages</w:t>
      </w:r>
      <w:r w:rsidRPr="00B930AD">
        <w:t xml:space="preserve"> </w:t>
      </w:r>
      <w:r>
        <w:t xml:space="preserve">qui ont été présentés. </w:t>
      </w:r>
    </w:p>
    <w:p w14:paraId="64E7DB10" w14:textId="77777777" w:rsidR="00090589" w:rsidRDefault="00090589" w:rsidP="00090589">
      <w:pPr>
        <w:pStyle w:val="corpsdedcision"/>
      </w:pPr>
      <w:r>
        <w:t xml:space="preserve">Comme préalablement mentionné, à l’été 2022, le travailleur témoigne que ses problèmes de surdité se sont aggravés, de même que ses acouphènes, le tout s’accompagnant de migraines, de vertiges et de nausées. Sa femme, qui témoigne également à l’audience, corrobore ces faits. </w:t>
      </w:r>
    </w:p>
    <w:p w14:paraId="2DCBE415" w14:textId="6A930EEF" w:rsidR="00090589" w:rsidRDefault="00090589" w:rsidP="00090589">
      <w:pPr>
        <w:pStyle w:val="corpsdedcision"/>
      </w:pPr>
      <w:r>
        <w:t>C’est dans ce contexte qu’il consulte son médecin, le docteur</w:t>
      </w:r>
      <w:r w:rsidR="00077214">
        <w:t> </w:t>
      </w:r>
      <w:r>
        <w:t>Allard, le</w:t>
      </w:r>
      <w:r w:rsidR="00077214">
        <w:t> </w:t>
      </w:r>
      <w:r>
        <w:t>19</w:t>
      </w:r>
      <w:r w:rsidR="00077214">
        <w:t> </w:t>
      </w:r>
      <w:r>
        <w:t>octobre</w:t>
      </w:r>
      <w:r w:rsidR="00077214">
        <w:t> </w:t>
      </w:r>
      <w:r>
        <w:t>2022. La note de cette consultation médicale fait notamment état que le</w:t>
      </w:r>
      <w:r w:rsidR="00077214">
        <w:t> </w:t>
      </w:r>
      <w:r>
        <w:t>travailleur présente des acouphènes depuis deux à trois ans, mais qu’ils sont pires, avec une diminution de son audition. Le docteur</w:t>
      </w:r>
      <w:r w:rsidR="00077214">
        <w:t> </w:t>
      </w:r>
      <w:r>
        <w:t>Allard retient un diagnostic d’acouphènes secondaire à une exposition au bruit probable et s’interroge sur la présence d’un trouble de l’humeur. Il dirige le travailleur en audiologie et le met en arrêt de travail.</w:t>
      </w:r>
    </w:p>
    <w:p w14:paraId="01F9C95B" w14:textId="140F53C5" w:rsidR="00090589" w:rsidRDefault="00090589" w:rsidP="00090589">
      <w:pPr>
        <w:pStyle w:val="corpsdedcision"/>
      </w:pPr>
      <w:r>
        <w:t>En janvier</w:t>
      </w:r>
      <w:r w:rsidR="00F90A33">
        <w:t> </w:t>
      </w:r>
      <w:r>
        <w:t>2023, au retour des fêtes, le travailleur communique avec monsieur</w:t>
      </w:r>
      <w:r w:rsidR="00F90A33">
        <w:t> </w:t>
      </w:r>
      <w:r>
        <w:t>Serge</w:t>
      </w:r>
      <w:r w:rsidR="00F90A33">
        <w:t> </w:t>
      </w:r>
      <w:r>
        <w:t xml:space="preserve">Manseau, travailleur social qui l’avait suivi en 2018, en raison de ses symptômes dépressifs. Ce dernier lui suggère alors de se rendre aux urgences afin de </w:t>
      </w:r>
      <w:r w:rsidR="007B0318">
        <w:t>voir</w:t>
      </w:r>
      <w:r>
        <w:t xml:space="preserve"> un médecin, d’où la consultation médicale avec le docteur</w:t>
      </w:r>
      <w:r w:rsidR="00F90A33">
        <w:t> </w:t>
      </w:r>
      <w:r>
        <w:t>Simard du</w:t>
      </w:r>
      <w:r w:rsidR="00F90A33">
        <w:t> </w:t>
      </w:r>
      <w:r>
        <w:t>9</w:t>
      </w:r>
      <w:r w:rsidR="00F90A33">
        <w:t> </w:t>
      </w:r>
      <w:r>
        <w:t>janvier</w:t>
      </w:r>
      <w:r w:rsidR="00F90A33">
        <w:t> </w:t>
      </w:r>
      <w:r>
        <w:t>2023. La note clinique révèle que le travailleur présente des symptômes dépressifs depuis l’été 2022, en lien avec des acouphènes qui prenaient « </w:t>
      </w:r>
      <w:r w:rsidRPr="00FB1407">
        <w:rPr>
          <w:rStyle w:val="Citationintgre"/>
        </w:rPr>
        <w:t>le dessus sur tout</w:t>
      </w:r>
      <w:r>
        <w:t> ». Il est noté que le</w:t>
      </w:r>
      <w:r w:rsidR="00F90A33">
        <w:t> </w:t>
      </w:r>
      <w:r>
        <w:t>travailleur s’isole, consomme beaucoup d’alcool pour s’engourdir, qu’il pleure parfois le soir, etc. Il est également mentionné un « </w:t>
      </w:r>
      <w:r w:rsidRPr="002A097C">
        <w:rPr>
          <w:rStyle w:val="Citationintgre"/>
        </w:rPr>
        <w:t>lien direct entre acouphène e</w:t>
      </w:r>
      <w:r>
        <w:rPr>
          <w:rStyle w:val="Citationintgre"/>
        </w:rPr>
        <w:t>t</w:t>
      </w:r>
      <w:r w:rsidRPr="002A097C">
        <w:rPr>
          <w:rStyle w:val="Citationintgre"/>
        </w:rPr>
        <w:t xml:space="preserve"> diminution du moral </w:t>
      </w:r>
      <w:r>
        <w:t>». Des antidépresseurs sont alors prescrits au travailleur. Un rapport médical de la</w:t>
      </w:r>
      <w:r w:rsidR="00F90A33">
        <w:t> </w:t>
      </w:r>
      <w:r>
        <w:t>Commission est rempli par le docteur</w:t>
      </w:r>
      <w:r w:rsidR="00F90A33">
        <w:t> </w:t>
      </w:r>
      <w:r>
        <w:t xml:space="preserve">Simard ce même </w:t>
      </w:r>
      <w:r w:rsidRPr="007B0318">
        <w:t>jour, sur lequel il reprend le diagnostic préalablement retenu par le docteur</w:t>
      </w:r>
      <w:r w:rsidR="00F90A33">
        <w:t> </w:t>
      </w:r>
      <w:r w:rsidRPr="007B0318">
        <w:t>Allard en ce qui concerne les</w:t>
      </w:r>
      <w:r>
        <w:t xml:space="preserve"> acouphènes et pose également le diagnostic de trouble de l’adaptation secondaire. </w:t>
      </w:r>
    </w:p>
    <w:p w14:paraId="66AE65B9" w14:textId="38ED2B51" w:rsidR="00090589" w:rsidRPr="006C4602" w:rsidRDefault="00090589" w:rsidP="00090589">
      <w:pPr>
        <w:pStyle w:val="corpsdedcision"/>
      </w:pPr>
      <w:r>
        <w:t>Lors de la consultation médicale suivante avec le docteur</w:t>
      </w:r>
      <w:r w:rsidR="00F90A33">
        <w:t> </w:t>
      </w:r>
      <w:r>
        <w:t>Allard, ce dernier retient le diagnostic de « </w:t>
      </w:r>
      <w:r w:rsidRPr="00D6019F">
        <w:rPr>
          <w:rStyle w:val="Citationintgre"/>
        </w:rPr>
        <w:t>trouble d’adaptation anxio-dépressif</w:t>
      </w:r>
      <w:r w:rsidR="00F90A33">
        <w:rPr>
          <w:rStyle w:val="Citationintgre"/>
        </w:rPr>
        <w:t xml:space="preserve"> </w:t>
      </w:r>
      <w:r w:rsidR="00F90A33">
        <w:rPr>
          <w:rStyle w:val="Citationintgre"/>
          <w:rFonts w:cs="Arial"/>
          <w:i w:val="0"/>
          <w:iCs/>
          <w:sz w:val="24"/>
          <w:szCs w:val="24"/>
        </w:rPr>
        <w:t>[</w:t>
      </w:r>
      <w:r w:rsidR="00F90A33">
        <w:rPr>
          <w:rStyle w:val="Citationintgre"/>
          <w:rFonts w:cs="Arial"/>
          <w:sz w:val="24"/>
          <w:szCs w:val="24"/>
        </w:rPr>
        <w:t>sic</w:t>
      </w:r>
      <w:r w:rsidR="00F90A33">
        <w:rPr>
          <w:rStyle w:val="Citationintgre"/>
          <w:rFonts w:cs="Arial"/>
          <w:i w:val="0"/>
          <w:iCs/>
          <w:sz w:val="24"/>
          <w:szCs w:val="24"/>
        </w:rPr>
        <w:t>]</w:t>
      </w:r>
      <w:r w:rsidRPr="00D6019F">
        <w:rPr>
          <w:rStyle w:val="Citationintgre"/>
        </w:rPr>
        <w:t xml:space="preserve"> secondaire à acouphènes</w:t>
      </w:r>
      <w:r>
        <w:t> » dans sa note clinique.</w:t>
      </w:r>
      <w:r w:rsidRPr="0098374B">
        <w:t xml:space="preserve"> </w:t>
      </w:r>
      <w:r w:rsidR="007B0318">
        <w:t>Sur</w:t>
      </w:r>
      <w:r>
        <w:t xml:space="preserve"> les rapports médicaux de la Commission subséquents, le diagnostic de trouble de l’adaptation et anxiété secondaire est inscrit par le</w:t>
      </w:r>
      <w:r w:rsidR="00F90A33">
        <w:t> </w:t>
      </w:r>
      <w:r>
        <w:t>docteur</w:t>
      </w:r>
      <w:r w:rsidR="00F90A33">
        <w:t> </w:t>
      </w:r>
      <w:r>
        <w:t>Allard. Le</w:t>
      </w:r>
      <w:r w:rsidR="00F90A33">
        <w:t> </w:t>
      </w:r>
      <w:r>
        <w:t>travailleur a également un suivi psychologique avec monsieur</w:t>
      </w:r>
      <w:r w:rsidR="00F90A33">
        <w:t> </w:t>
      </w:r>
      <w:r>
        <w:t>Serge</w:t>
      </w:r>
      <w:r w:rsidR="00F90A33">
        <w:t> </w:t>
      </w:r>
      <w:r>
        <w:t xml:space="preserve">Manseau et </w:t>
      </w:r>
      <w:r w:rsidR="005E2820">
        <w:t>reçoit des</w:t>
      </w:r>
      <w:r>
        <w:t xml:space="preserve"> services </w:t>
      </w:r>
      <w:r w:rsidR="005E2820">
        <w:t>en</w:t>
      </w:r>
      <w:r>
        <w:t xml:space="preserve"> réadaptation </w:t>
      </w:r>
      <w:r w:rsidR="001D0805">
        <w:t>d’</w:t>
      </w:r>
      <w:r>
        <w:t xml:space="preserve">un audiologiste et </w:t>
      </w:r>
      <w:r w:rsidR="001D0805">
        <w:t>d’</w:t>
      </w:r>
      <w:r>
        <w:t xml:space="preserve">un psychoéducateur pour apprendre à gérer ses acouphènes. </w:t>
      </w:r>
    </w:p>
    <w:p w14:paraId="4B8156DB" w14:textId="74BDD62E" w:rsidR="00090589" w:rsidRDefault="00090589" w:rsidP="00090589">
      <w:pPr>
        <w:pStyle w:val="corpsdedcision"/>
      </w:pPr>
      <w:r>
        <w:t xml:space="preserve">À la lumière de la preuve prépondérante qui a été présentée, les acouphènes qui affectent le travailleur, qui se sont aggravés à compter de l’été 2022 et qui découlent de la surdité professionnelle reconnue, </w:t>
      </w:r>
      <w:r w:rsidRPr="004A281E">
        <w:t>ont contribué de façon significative et déterminante à l’apparition ou au développement de sa lésion psychologique</w:t>
      </w:r>
      <w:r>
        <w:t>.</w:t>
      </w:r>
    </w:p>
    <w:p w14:paraId="3BEDE893" w14:textId="621FF15B" w:rsidR="00090589" w:rsidRDefault="007B0318" w:rsidP="00090589">
      <w:pPr>
        <w:pStyle w:val="corpsdedcision"/>
      </w:pPr>
      <w:r>
        <w:t>Le Tribunal</w:t>
      </w:r>
      <w:r w:rsidR="00090589">
        <w:t xml:space="preserve"> ne retient donc pas l’opinion du docteur</w:t>
      </w:r>
      <w:r w:rsidR="00F90A33">
        <w:t> </w:t>
      </w:r>
      <w:r w:rsidR="00090589">
        <w:t>Jean</w:t>
      </w:r>
      <w:r w:rsidR="00F90A33">
        <w:t> </w:t>
      </w:r>
      <w:r w:rsidR="00090589">
        <w:t>Gauthier, professionnel de la santé qui conseille la</w:t>
      </w:r>
      <w:r w:rsidR="00F90A33">
        <w:t> </w:t>
      </w:r>
      <w:r w:rsidR="00090589">
        <w:t>Commission, qui s’est basé sur une prémisse inexacte et incomplète pour conclure à l’absence de relation entre le diagnostic de trouble de l’adaptation secondaire et celui de la surdité professionnelle reconnue.</w:t>
      </w:r>
    </w:p>
    <w:p w14:paraId="31002126" w14:textId="670AD819" w:rsidR="00090589" w:rsidRDefault="00090589" w:rsidP="00090589">
      <w:pPr>
        <w:pStyle w:val="corpsdedcision"/>
      </w:pPr>
      <w:r>
        <w:t>Plus particulièrement, le</w:t>
      </w:r>
      <w:r w:rsidR="00F90A33">
        <w:t> </w:t>
      </w:r>
      <w:r>
        <w:t>docteur</w:t>
      </w:r>
      <w:r w:rsidR="00F90A33">
        <w:t> </w:t>
      </w:r>
      <w:r>
        <w:t>Gauthier fait référence au rapport audiologique du 31</w:t>
      </w:r>
      <w:r w:rsidR="00F90A33">
        <w:t> </w:t>
      </w:r>
      <w:r>
        <w:t>octobre</w:t>
      </w:r>
      <w:r w:rsidR="00F90A33">
        <w:t> </w:t>
      </w:r>
      <w:r>
        <w:t>2022 en indiquant que le travailleur présente un « </w:t>
      </w:r>
      <w:r w:rsidR="00F90A33">
        <w:rPr>
          <w:rStyle w:val="Citationintgre"/>
        </w:rPr>
        <w:t>A</w:t>
      </w:r>
      <w:r w:rsidRPr="00BF79BA">
        <w:rPr>
          <w:rStyle w:val="Citationintgre"/>
        </w:rPr>
        <w:t xml:space="preserve">couphène de type sifflement continuel </w:t>
      </w:r>
      <w:r w:rsidRPr="005E2820">
        <w:rPr>
          <w:rStyle w:val="Citationintgre"/>
        </w:rPr>
        <w:t xml:space="preserve">bilatéral </w:t>
      </w:r>
      <w:r w:rsidRPr="005E2820">
        <w:rPr>
          <w:rStyle w:val="Citationintgre"/>
          <w:b/>
          <w:bCs/>
          <w:u w:val="single"/>
        </w:rPr>
        <w:t>depuis plusieurs années non dérangeant</w:t>
      </w:r>
      <w:r>
        <w:t> », que l’évaluation audiométrique du travailleur révèle une « </w:t>
      </w:r>
      <w:r w:rsidRPr="00BF79BA">
        <w:rPr>
          <w:rStyle w:val="Citationintgre"/>
        </w:rPr>
        <w:t>surdité légère</w:t>
      </w:r>
      <w:r>
        <w:t> » infrabarème, de même qu’il mentionne les « </w:t>
      </w:r>
      <w:r w:rsidRPr="00BF79BA">
        <w:rPr>
          <w:rStyle w:val="Citationintgre"/>
        </w:rPr>
        <w:t>antécédents psychiatriques personnels du travailleur</w:t>
      </w:r>
      <w:r>
        <w:t xml:space="preserve"> ». </w:t>
      </w:r>
    </w:p>
    <w:p w14:paraId="6D048F29" w14:textId="0BC2E4B1" w:rsidR="00090589" w:rsidRPr="005E2820" w:rsidRDefault="00090589" w:rsidP="00090589">
      <w:pPr>
        <w:pStyle w:val="corpsdedcision"/>
      </w:pPr>
      <w:r>
        <w:t>Or, en ce qui concerne le rapport audiologique du 31</w:t>
      </w:r>
      <w:r w:rsidR="00D903EE">
        <w:t> </w:t>
      </w:r>
      <w:r>
        <w:t>octobre</w:t>
      </w:r>
      <w:r w:rsidR="00D903EE">
        <w:t> </w:t>
      </w:r>
      <w:r>
        <w:t>2022, le</w:t>
      </w:r>
      <w:r w:rsidR="00D903EE">
        <w:t> </w:t>
      </w:r>
      <w:r>
        <w:t>Tribunal en déduit que le</w:t>
      </w:r>
      <w:r w:rsidR="00D903EE">
        <w:t> </w:t>
      </w:r>
      <w:r>
        <w:t>docteur</w:t>
      </w:r>
      <w:r w:rsidR="00D903EE">
        <w:t> </w:t>
      </w:r>
      <w:r>
        <w:t>Gauthier n’a pas lu toutes les phrases qui s’y trouvent, puisqu’il est fait état que cet acouphène, qui était non dérangeant depuis plusieurs années, s’est exacerbé. Il constate également que ce dernier n’avait probablement pas accès aux notes de consultations médicales contemporaines faisant état d’acouphènes empirés</w:t>
      </w:r>
      <w:r>
        <w:rPr>
          <w:rStyle w:val="Appelnotedebasdep"/>
        </w:rPr>
        <w:footnoteReference w:id="10"/>
      </w:r>
      <w:r>
        <w:t>, qui ne sont plus tolérables</w:t>
      </w:r>
      <w:r>
        <w:rPr>
          <w:rStyle w:val="Appelnotedebasdep"/>
        </w:rPr>
        <w:footnoteReference w:id="11"/>
      </w:r>
      <w:r>
        <w:t xml:space="preserve">, </w:t>
      </w:r>
      <w:r w:rsidRPr="005E2820">
        <w:t>etc</w:t>
      </w:r>
      <w:r w:rsidR="00D903EE" w:rsidRPr="005E2820">
        <w:t>.</w:t>
      </w:r>
    </w:p>
    <w:p w14:paraId="62F5085C" w14:textId="79F02A1E" w:rsidR="00090589" w:rsidRDefault="00090589" w:rsidP="00090589">
      <w:pPr>
        <w:pStyle w:val="corpsdedcision"/>
      </w:pPr>
      <w:r>
        <w:t>Pour ce qui est du fait que la surdité est légère et infrabarème, le</w:t>
      </w:r>
      <w:r w:rsidR="00D903EE">
        <w:t> </w:t>
      </w:r>
      <w:r>
        <w:t xml:space="preserve">Tribunal </w:t>
      </w:r>
      <w:r w:rsidR="005E2820">
        <w:t xml:space="preserve">réfère </w:t>
      </w:r>
      <w:r>
        <w:t>à ce qu’il a préalablement discuté à ce sujet, ainsi qu’à la littérature médicale citée, qui n’établit aucune corrélation entre le degré d’atteinte associé à la surdité et celui de l’intensité des acouphènes.</w:t>
      </w:r>
    </w:p>
    <w:p w14:paraId="6D4EA3FC" w14:textId="6D467F62" w:rsidR="00090589" w:rsidRDefault="00090589" w:rsidP="00090589">
      <w:pPr>
        <w:pStyle w:val="corpsdedcision"/>
      </w:pPr>
      <w:r>
        <w:t>Enfin, quant aux antécédents psychiatriques personnels du travailleur, de la preuve qui a été présentée, il aurait subi une dépression en 2018, qui semble avoir été reconnue à titre de lésion professionnelle par la</w:t>
      </w:r>
      <w:r w:rsidR="00D903EE">
        <w:t> </w:t>
      </w:r>
      <w:r>
        <w:t xml:space="preserve">Commission. </w:t>
      </w:r>
      <w:r w:rsidR="001D0805">
        <w:t>Au surplus</w:t>
      </w:r>
      <w:r>
        <w:t>, du témoignage du travailleur, le</w:t>
      </w:r>
      <w:r w:rsidR="00D903EE">
        <w:t> </w:t>
      </w:r>
      <w:r>
        <w:t>Tribunal retient qu’il était de retour à son travail régulier depuis plus de trois ans et qu’il ne prenait plus aucune médication pour cette condition.</w:t>
      </w:r>
    </w:p>
    <w:p w14:paraId="7CF5F055" w14:textId="17188B42" w:rsidR="00090589" w:rsidRDefault="00090589" w:rsidP="00090589">
      <w:pPr>
        <w:pStyle w:val="corpsdedcision"/>
      </w:pPr>
      <w:r>
        <w:t>Sur la base de cette opinion fondée sur une prémisse incomplète et inexacte du</w:t>
      </w:r>
      <w:r w:rsidR="00D903EE">
        <w:t> </w:t>
      </w:r>
      <w:r>
        <w:t>docteur</w:t>
      </w:r>
      <w:r w:rsidR="00D903EE">
        <w:t> </w:t>
      </w:r>
      <w:r>
        <w:t>Gauthier, la</w:t>
      </w:r>
      <w:r w:rsidR="00D903EE">
        <w:t> </w:t>
      </w:r>
      <w:r>
        <w:t>Commission refuse de reconnaître la relation entre le trouble de l’adaptation secondaire et la surdité professionnelle du travailleur</w:t>
      </w:r>
      <w:r>
        <w:rPr>
          <w:rStyle w:val="Appelnotedebasdep"/>
        </w:rPr>
        <w:footnoteReference w:id="12"/>
      </w:r>
      <w:r>
        <w:t>.</w:t>
      </w:r>
    </w:p>
    <w:p w14:paraId="0211DB67" w14:textId="415C606D" w:rsidR="00090589" w:rsidRDefault="00090589" w:rsidP="00090589">
      <w:pPr>
        <w:pStyle w:val="corpsdedcision"/>
      </w:pPr>
      <w:r>
        <w:t>En somme, en application des principes jurisprudentiels énoncés et à la suite de l’analyse de la preuve factuelle et médicale prépondérante, le</w:t>
      </w:r>
      <w:r w:rsidR="00D903EE">
        <w:t> </w:t>
      </w:r>
      <w:r>
        <w:t>Tribunal estime qu’il y a une relation entre le diagnostic de trouble de l’adaptation secondaire et la surdité professionnelle du travailleur. La cause déterminante du développement de la lésion psychologique du travailleur est l’aggravation de ses acouphènes en lien avec la surdité dont il est porteur, tel qu’en font foi les notes de consultations médicales contemporaines.</w:t>
      </w:r>
    </w:p>
    <w:p w14:paraId="021AAEE7" w14:textId="6189661E" w:rsidR="00090589" w:rsidRDefault="00090589" w:rsidP="00090589">
      <w:pPr>
        <w:pStyle w:val="corpsdedcision"/>
        <w:numPr>
          <w:ilvl w:val="0"/>
          <w:numId w:val="0"/>
        </w:numPr>
        <w:rPr>
          <w:b/>
          <w:bCs/>
        </w:rPr>
      </w:pPr>
      <w:r>
        <w:rPr>
          <w:b/>
          <w:bCs/>
        </w:rPr>
        <w:t>C</w:t>
      </w:r>
      <w:r w:rsidRPr="00EE3730">
        <w:rPr>
          <w:b/>
          <w:bCs/>
        </w:rPr>
        <w:t xml:space="preserve">e nouveau diagnostic </w:t>
      </w:r>
      <w:r>
        <w:rPr>
          <w:b/>
          <w:bCs/>
        </w:rPr>
        <w:t xml:space="preserve">de trouble de l’adaptation secondaire </w:t>
      </w:r>
      <w:r w:rsidRPr="00EE3730">
        <w:rPr>
          <w:b/>
          <w:bCs/>
        </w:rPr>
        <w:t>constitue</w:t>
      </w:r>
      <w:r w:rsidR="00D903EE">
        <w:rPr>
          <w:b/>
          <w:bCs/>
        </w:rPr>
        <w:noBreakHyphen/>
      </w:r>
      <w:r w:rsidRPr="00EE3730">
        <w:rPr>
          <w:b/>
          <w:bCs/>
        </w:rPr>
        <w:t>t</w:t>
      </w:r>
      <w:r w:rsidR="00D903EE">
        <w:rPr>
          <w:b/>
          <w:bCs/>
        </w:rPr>
        <w:noBreakHyphen/>
      </w:r>
      <w:r w:rsidRPr="00EE3730">
        <w:rPr>
          <w:b/>
          <w:bCs/>
        </w:rPr>
        <w:t>il une aggravation d’une condition personnelle préexistante?</w:t>
      </w:r>
    </w:p>
    <w:p w14:paraId="54B4750A" w14:textId="77777777" w:rsidR="00090589" w:rsidRDefault="00090589" w:rsidP="00090589">
      <w:pPr>
        <w:pStyle w:val="corpsdedcision"/>
        <w:tabs>
          <w:tab w:val="clear" w:pos="360"/>
          <w:tab w:val="num" w:pos="720"/>
        </w:tabs>
      </w:pPr>
      <w:r>
        <w:t>La représentante de l’employeur demande au Tribunal de déclarer que le diagnostic de trouble de l’adaptation secondaire retenu constitue une aggravation d’une condition personnelle préexistante du travailleur, et ce, considérant sa fragilité psychologique antérieure.</w:t>
      </w:r>
    </w:p>
    <w:p w14:paraId="29FAD60C" w14:textId="77777777" w:rsidR="00090589" w:rsidRDefault="00090589" w:rsidP="00090589">
      <w:pPr>
        <w:pStyle w:val="corpsdedcision"/>
        <w:tabs>
          <w:tab w:val="clear" w:pos="360"/>
          <w:tab w:val="num" w:pos="720"/>
        </w:tabs>
      </w:pPr>
      <w:r>
        <w:t>Le Tribunal ne peut faire droit à la prétention de l’employeur.</w:t>
      </w:r>
    </w:p>
    <w:p w14:paraId="16F25F42" w14:textId="77777777" w:rsidR="00090589" w:rsidRDefault="00090589" w:rsidP="00090589">
      <w:pPr>
        <w:pStyle w:val="corpsdedcision"/>
        <w:tabs>
          <w:tab w:val="clear" w:pos="360"/>
          <w:tab w:val="num" w:pos="720"/>
        </w:tabs>
      </w:pPr>
      <w:r>
        <w:t>En effet, de la preuve qui a été présentée, il appert que le seul antécédent psychologique du travailleur date de 2018 et a été reconnu à titre de lésion professionnelle. Il ne s’agit donc pas d’une condition personnelle préexistante.</w:t>
      </w:r>
    </w:p>
    <w:p w14:paraId="6B3D12BB" w14:textId="5EBDAC3B" w:rsidR="00090589" w:rsidRPr="005E2820" w:rsidRDefault="00090589" w:rsidP="00090589">
      <w:pPr>
        <w:pStyle w:val="corpsdedcision"/>
        <w:tabs>
          <w:tab w:val="clear" w:pos="360"/>
          <w:tab w:val="num" w:pos="720"/>
        </w:tabs>
      </w:pPr>
      <w:r>
        <w:t xml:space="preserve">De plus, même s’il s’agissait d’une condition personnelle préexistante, la preuve prépondérante qui a été présentée révèle que le travailleur était revenu au travail régulier, qu’il était tout à fait fonctionnel et qu’il ne prenait plus de </w:t>
      </w:r>
      <w:r w:rsidRPr="006B0A18">
        <w:t>médica</w:t>
      </w:r>
      <w:r w:rsidR="006B0A18" w:rsidRPr="006B0A18">
        <w:t>m</w:t>
      </w:r>
      <w:r w:rsidR="006B0A18">
        <w:t>ents</w:t>
      </w:r>
      <w:r>
        <w:t xml:space="preserve"> de type </w:t>
      </w:r>
      <w:r w:rsidRPr="005E2820">
        <w:t>antidépresseur</w:t>
      </w:r>
      <w:r w:rsidR="006B0A18">
        <w:t>s</w:t>
      </w:r>
      <w:r w:rsidRPr="005E2820">
        <w:t>.</w:t>
      </w:r>
    </w:p>
    <w:p w14:paraId="21049323" w14:textId="22E05065" w:rsidR="00090589" w:rsidRPr="00CD7634" w:rsidRDefault="00090589" w:rsidP="00090589">
      <w:pPr>
        <w:pStyle w:val="corpsdedcision"/>
        <w:tabs>
          <w:tab w:val="clear" w:pos="360"/>
          <w:tab w:val="num" w:pos="720"/>
        </w:tabs>
      </w:pPr>
      <w:r>
        <w:t>Dans ce contexte, et à la lumière de l’ensemble de la preuve qui a été présentée, le</w:t>
      </w:r>
      <w:r w:rsidR="00D903EE">
        <w:t> </w:t>
      </w:r>
      <w:r>
        <w:t xml:space="preserve">Tribunal ne peut conclure que le trouble de l’adaptation secondaire diagnostiqué constitue une aggravation d’une condition personnelle préexistante. </w:t>
      </w:r>
    </w:p>
    <w:p w14:paraId="478D5B4A" w14:textId="77777777" w:rsidR="00090589" w:rsidRDefault="00090589" w:rsidP="00090589">
      <w:pPr>
        <w:pStyle w:val="Dispositif"/>
        <w:spacing w:after="600"/>
      </w:pPr>
      <w:r>
        <w:rPr>
          <w:b/>
        </w:rPr>
        <w:t>PAR CES MOTIFS, LE TRIBUNAL ADMINISTRATIF DU TRAVAIL :</w:t>
      </w:r>
    </w:p>
    <w:p w14:paraId="14F3FADB" w14:textId="5FA119C6" w:rsidR="00090589" w:rsidRDefault="00090589" w:rsidP="00090589">
      <w:pPr>
        <w:pStyle w:val="Dispositif"/>
      </w:pPr>
      <w:r>
        <w:rPr>
          <w:b/>
        </w:rPr>
        <w:t>ACCUEILLE</w:t>
      </w:r>
      <w:r>
        <w:t xml:space="preserve"> la contestation du travailleur, monsieur</w:t>
      </w:r>
      <w:r w:rsidR="00D903EE">
        <w:t> </w:t>
      </w:r>
      <w:r>
        <w:t>Stéphane</w:t>
      </w:r>
      <w:r w:rsidR="00D903EE">
        <w:t> </w:t>
      </w:r>
      <w:r>
        <w:t>Pageau;</w:t>
      </w:r>
    </w:p>
    <w:p w14:paraId="6EEB5648" w14:textId="77777777" w:rsidR="00090589" w:rsidRDefault="00090589" w:rsidP="00090589">
      <w:pPr>
        <w:pStyle w:val="Dispositif"/>
      </w:pPr>
      <w:r>
        <w:rPr>
          <w:b/>
        </w:rPr>
        <w:t>INFIRME</w:t>
      </w:r>
      <w:r>
        <w:t xml:space="preserve"> la décision de la Commission des normes, de l’équité, de la santé et de la sécurité du travail rendue le 11 août 2023, à la suite d’une révision administrative;</w:t>
      </w:r>
    </w:p>
    <w:p w14:paraId="555A073C" w14:textId="07435F18" w:rsidR="00090589" w:rsidRPr="00935D4B" w:rsidRDefault="00090589" w:rsidP="00090589">
      <w:pPr>
        <w:pStyle w:val="Dispositif"/>
      </w:pPr>
      <w:r w:rsidRPr="00935D4B">
        <w:rPr>
          <w:b/>
        </w:rPr>
        <w:t>DÉCLARE</w:t>
      </w:r>
      <w:r w:rsidRPr="00935D4B">
        <w:t xml:space="preserve"> que le diagnostic de</w:t>
      </w:r>
      <w:r>
        <w:t xml:space="preserve"> trouble de l’adaptation secondaire</w:t>
      </w:r>
      <w:r w:rsidRPr="00935D4B">
        <w:t xml:space="preserve"> est en relation avec la</w:t>
      </w:r>
      <w:r>
        <w:t xml:space="preserve"> lésion </w:t>
      </w:r>
      <w:r w:rsidRPr="00935D4B">
        <w:t xml:space="preserve">professionnelle </w:t>
      </w:r>
      <w:r>
        <w:t>subie par le travailleur le 18</w:t>
      </w:r>
      <w:r w:rsidR="00D903EE">
        <w:t> </w:t>
      </w:r>
      <w:r>
        <w:t>octobre</w:t>
      </w:r>
      <w:r w:rsidR="00D903EE">
        <w:t> </w:t>
      </w:r>
      <w:r>
        <w:t>2022</w:t>
      </w:r>
      <w:r w:rsidRPr="00935D4B">
        <w:t>;</w:t>
      </w:r>
    </w:p>
    <w:p w14:paraId="79D46508" w14:textId="2DC09DCB" w:rsidR="00090589" w:rsidRPr="00935D4B" w:rsidRDefault="00090589" w:rsidP="00090589">
      <w:pPr>
        <w:pStyle w:val="Dispositif"/>
      </w:pPr>
      <w:r w:rsidRPr="00935D4B">
        <w:rPr>
          <w:b/>
        </w:rPr>
        <w:t>DÉCLARE</w:t>
      </w:r>
      <w:r w:rsidRPr="00935D4B">
        <w:t xml:space="preserve"> que le travailleur a droit aux prestations prévues </w:t>
      </w:r>
      <w:r>
        <w:t>par</w:t>
      </w:r>
      <w:r w:rsidRPr="00935D4B">
        <w:t xml:space="preserve"> la </w:t>
      </w:r>
      <w:r w:rsidRPr="00935D4B">
        <w:rPr>
          <w:i/>
          <w:iCs/>
        </w:rPr>
        <w:t>Loi sur les accidents du travail et les maladies professionnelles</w:t>
      </w:r>
      <w:r w:rsidRPr="00935D4B">
        <w:t xml:space="preserve"> </w:t>
      </w:r>
      <w:r>
        <w:t>à l’égard</w:t>
      </w:r>
      <w:r w:rsidRPr="00935D4B">
        <w:t xml:space="preserve"> de ce diagnostic</w:t>
      </w:r>
      <w:r w:rsidR="00D903EE">
        <w:t>.</w:t>
      </w:r>
    </w:p>
    <w:p w14:paraId="64D945C1" w14:textId="7BAEE353" w:rsidR="00C74B6F" w:rsidRDefault="00C74B6F">
      <w:pPr>
        <w:pStyle w:val="Dispositif"/>
      </w:pPr>
    </w:p>
    <w:p w14:paraId="0F54B91A" w14:textId="46FABE47" w:rsidR="00D903EE" w:rsidRDefault="00D903EE">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458D8C24" w14:textId="77777777">
        <w:tc>
          <w:tcPr>
            <w:tcW w:w="4795" w:type="dxa"/>
          </w:tcPr>
          <w:p w14:paraId="7E55EAFE" w14:textId="77777777" w:rsidR="00C74B6F" w:rsidRDefault="00C74B6F"/>
        </w:tc>
        <w:tc>
          <w:tcPr>
            <w:tcW w:w="4795" w:type="dxa"/>
          </w:tcPr>
          <w:p w14:paraId="41250DC1" w14:textId="5A549C38" w:rsidR="00C74B6F" w:rsidRDefault="00C74B6F">
            <w:bookmarkStart w:id="12" w:name="signature"/>
            <w:bookmarkEnd w:id="12"/>
            <w:r>
              <w:t>__________________________________</w:t>
            </w:r>
          </w:p>
        </w:tc>
      </w:tr>
      <w:tr w:rsidR="00C74B6F" w14:paraId="14B27A0E" w14:textId="77777777">
        <w:tc>
          <w:tcPr>
            <w:tcW w:w="4795" w:type="dxa"/>
          </w:tcPr>
          <w:p w14:paraId="6246118D" w14:textId="77777777" w:rsidR="00C74B6F" w:rsidRDefault="00C74B6F"/>
        </w:tc>
        <w:tc>
          <w:tcPr>
            <w:tcW w:w="4795" w:type="dxa"/>
          </w:tcPr>
          <w:p w14:paraId="351C2B36" w14:textId="5A70A72A" w:rsidR="00C74B6F" w:rsidRDefault="00D903EE">
            <w:r>
              <w:t>Isabelle Arseneault</w:t>
            </w:r>
          </w:p>
        </w:tc>
      </w:tr>
      <w:tr w:rsidR="00C74B6F" w14:paraId="2EBBAC6E" w14:textId="77777777">
        <w:trPr>
          <w:cantSplit/>
        </w:trPr>
        <w:tc>
          <w:tcPr>
            <w:tcW w:w="9590" w:type="dxa"/>
            <w:gridSpan w:val="2"/>
          </w:tcPr>
          <w:p w14:paraId="1E0130D9" w14:textId="77777777" w:rsidR="00C74B6F" w:rsidRDefault="00C74B6F"/>
        </w:tc>
      </w:tr>
      <w:tr w:rsidR="00C74B6F" w14:paraId="617FC5E3" w14:textId="77777777">
        <w:trPr>
          <w:cantSplit/>
        </w:trPr>
        <w:tc>
          <w:tcPr>
            <w:tcW w:w="9590" w:type="dxa"/>
            <w:gridSpan w:val="2"/>
          </w:tcPr>
          <w:p w14:paraId="70D2C941" w14:textId="77777777" w:rsidR="00C74B6F" w:rsidRPr="00C912F9" w:rsidRDefault="00C74B6F" w:rsidP="00EC5C8D">
            <w:pPr>
              <w:tabs>
                <w:tab w:val="left" w:pos="1592"/>
              </w:tabs>
            </w:pPr>
          </w:p>
        </w:tc>
      </w:tr>
      <w:tr w:rsidR="00C74B6F" w14:paraId="4E2EC57D" w14:textId="77777777">
        <w:trPr>
          <w:cantSplit/>
        </w:trPr>
        <w:tc>
          <w:tcPr>
            <w:tcW w:w="9590" w:type="dxa"/>
            <w:gridSpan w:val="2"/>
          </w:tcPr>
          <w:p w14:paraId="7DD7784B" w14:textId="77777777" w:rsidR="00C74B6F" w:rsidRDefault="00C74B6F"/>
        </w:tc>
      </w:tr>
      <w:tr w:rsidR="00C74B6F" w14:paraId="0F7A205D" w14:textId="77777777">
        <w:trPr>
          <w:cantSplit/>
        </w:trPr>
        <w:tc>
          <w:tcPr>
            <w:tcW w:w="9590" w:type="dxa"/>
            <w:gridSpan w:val="2"/>
          </w:tcPr>
          <w:p w14:paraId="6B895B22" w14:textId="797BFA16" w:rsidR="00C74B6F" w:rsidRDefault="00D903EE">
            <w:pPr>
              <w:pStyle w:val="zSoquijdatNomProcureurDem"/>
            </w:pPr>
            <w:r>
              <w:t>M</w:t>
            </w:r>
            <w:r>
              <w:rPr>
                <w:vertAlign w:val="superscript"/>
              </w:rPr>
              <w:t>me</w:t>
            </w:r>
            <w:r w:rsidR="00F30267">
              <w:t xml:space="preserve"> </w:t>
            </w:r>
            <w:r>
              <w:t>Nathalie Olivier</w:t>
            </w:r>
          </w:p>
        </w:tc>
      </w:tr>
      <w:tr w:rsidR="00C74B6F" w14:paraId="1A7E9BBC" w14:textId="77777777">
        <w:trPr>
          <w:cantSplit/>
        </w:trPr>
        <w:tc>
          <w:tcPr>
            <w:tcW w:w="9590" w:type="dxa"/>
            <w:gridSpan w:val="2"/>
          </w:tcPr>
          <w:p w14:paraId="5B3850BF" w14:textId="66B30990" w:rsidR="00C74B6F" w:rsidRDefault="00D903EE">
            <w:pPr>
              <w:pStyle w:val="zSoquijdatCabinetProcureurDem"/>
            </w:pPr>
            <w:r>
              <w:t xml:space="preserve">CONFÉDÉRATION DES SYNDICATS </w:t>
            </w:r>
          </w:p>
        </w:tc>
      </w:tr>
      <w:tr w:rsidR="00D903EE" w14:paraId="5D0FDE28" w14:textId="77777777">
        <w:trPr>
          <w:cantSplit/>
        </w:trPr>
        <w:tc>
          <w:tcPr>
            <w:tcW w:w="9590" w:type="dxa"/>
            <w:gridSpan w:val="2"/>
          </w:tcPr>
          <w:p w14:paraId="5B22B1E7" w14:textId="2F8A5C91" w:rsidR="00D903EE" w:rsidRDefault="00D903EE">
            <w:pPr>
              <w:pStyle w:val="zSoquijlblProcureurDem"/>
            </w:pPr>
            <w:r>
              <w:t>NATIONAUX</w:t>
            </w:r>
          </w:p>
        </w:tc>
      </w:tr>
      <w:tr w:rsidR="00C74B6F" w14:paraId="78B44867" w14:textId="77777777">
        <w:trPr>
          <w:cantSplit/>
        </w:trPr>
        <w:tc>
          <w:tcPr>
            <w:tcW w:w="9590" w:type="dxa"/>
            <w:gridSpan w:val="2"/>
          </w:tcPr>
          <w:p w14:paraId="062947CD" w14:textId="77777777" w:rsidR="00C74B6F" w:rsidRDefault="00CB05A7">
            <w:pPr>
              <w:pStyle w:val="zSoquijlblProcureurDem"/>
            </w:pPr>
            <w:r>
              <w:t>Pour la partie demanderesse</w:t>
            </w:r>
          </w:p>
        </w:tc>
      </w:tr>
      <w:tr w:rsidR="00C74B6F" w14:paraId="44487944" w14:textId="77777777">
        <w:trPr>
          <w:cantSplit/>
        </w:trPr>
        <w:tc>
          <w:tcPr>
            <w:tcW w:w="9590" w:type="dxa"/>
            <w:gridSpan w:val="2"/>
          </w:tcPr>
          <w:p w14:paraId="374A9BD1" w14:textId="77777777" w:rsidR="00C74B6F" w:rsidRDefault="00C74B6F"/>
        </w:tc>
      </w:tr>
      <w:tr w:rsidR="00C74B6F" w14:paraId="441B5EF4" w14:textId="77777777">
        <w:trPr>
          <w:cantSplit/>
        </w:trPr>
        <w:tc>
          <w:tcPr>
            <w:tcW w:w="9590" w:type="dxa"/>
            <w:gridSpan w:val="2"/>
          </w:tcPr>
          <w:p w14:paraId="2B610577" w14:textId="1866BE87" w:rsidR="00C74B6F" w:rsidRDefault="00D903EE">
            <w:pPr>
              <w:pStyle w:val="zSoquijdatNomProcureurDef"/>
            </w:pPr>
            <w:r>
              <w:t>M</w:t>
            </w:r>
            <w:r>
              <w:rPr>
                <w:vertAlign w:val="superscript"/>
              </w:rPr>
              <w:t>e</w:t>
            </w:r>
            <w:r w:rsidR="00F30267">
              <w:t xml:space="preserve"> </w:t>
            </w:r>
            <w:r>
              <w:t>Cynthia Moore</w:t>
            </w:r>
          </w:p>
        </w:tc>
      </w:tr>
      <w:tr w:rsidR="00C74B6F" w14:paraId="1ED49156" w14:textId="77777777">
        <w:trPr>
          <w:cantSplit/>
        </w:trPr>
        <w:tc>
          <w:tcPr>
            <w:tcW w:w="9590" w:type="dxa"/>
            <w:gridSpan w:val="2"/>
          </w:tcPr>
          <w:p w14:paraId="69167D5F" w14:textId="760D3F54" w:rsidR="00C74B6F" w:rsidRDefault="00D903EE">
            <w:pPr>
              <w:pStyle w:val="zSoquijdatCabinetProcureurDef"/>
            </w:pPr>
            <w:r>
              <w:t>GPI QUÉBEC INC .</w:t>
            </w:r>
          </w:p>
        </w:tc>
      </w:tr>
      <w:tr w:rsidR="00C74B6F" w14:paraId="14DB424D" w14:textId="77777777">
        <w:trPr>
          <w:cantSplit/>
        </w:trPr>
        <w:tc>
          <w:tcPr>
            <w:tcW w:w="9590" w:type="dxa"/>
            <w:gridSpan w:val="2"/>
          </w:tcPr>
          <w:p w14:paraId="5BD85254" w14:textId="70E93F9B" w:rsidR="00C74B6F" w:rsidRDefault="00CB05A7">
            <w:pPr>
              <w:pStyle w:val="zSoquijlblProcureurDef"/>
            </w:pPr>
            <w:r>
              <w:t xml:space="preserve">Pour la partie </w:t>
            </w:r>
            <w:r w:rsidR="00D903EE">
              <w:t>mise en cause</w:t>
            </w:r>
          </w:p>
        </w:tc>
      </w:tr>
      <w:tr w:rsidR="007569DE" w14:paraId="0A1765BD" w14:textId="77777777">
        <w:trPr>
          <w:cantSplit/>
        </w:trPr>
        <w:tc>
          <w:tcPr>
            <w:tcW w:w="9590" w:type="dxa"/>
            <w:gridSpan w:val="2"/>
          </w:tcPr>
          <w:p w14:paraId="3A8B3906" w14:textId="77777777" w:rsidR="007569DE" w:rsidRDefault="007569DE"/>
        </w:tc>
      </w:tr>
      <w:tr w:rsidR="00C15A3F" w14:paraId="15631BCA" w14:textId="77777777">
        <w:trPr>
          <w:cantSplit/>
        </w:trPr>
        <w:tc>
          <w:tcPr>
            <w:tcW w:w="9590" w:type="dxa"/>
            <w:gridSpan w:val="2"/>
          </w:tcPr>
          <w:p w14:paraId="5DDD7F22" w14:textId="38F77465" w:rsidR="00C15A3F" w:rsidRDefault="00C15A3F" w:rsidP="000E56A6">
            <w:pPr>
              <w:pStyle w:val="zSoquijdatDateAudience"/>
            </w:pPr>
            <w:bookmarkStart w:id="13" w:name="Date_derniere_audience"/>
            <w:bookmarkEnd w:id="13"/>
            <w:r>
              <w:t xml:space="preserve">Date de la </w:t>
            </w:r>
            <w:r w:rsidR="00CC6338">
              <w:t>mise en délibéré</w:t>
            </w:r>
            <w:r>
              <w:t> :</w:t>
            </w:r>
            <w:r w:rsidR="00597016">
              <w:tab/>
            </w:r>
            <w:r w:rsidR="00D903EE">
              <w:t>29 avril 2025</w:t>
            </w:r>
          </w:p>
        </w:tc>
      </w:tr>
    </w:tbl>
    <w:p w14:paraId="162DBF18" w14:textId="77777777" w:rsidR="00F76B4A" w:rsidRDefault="00F76B4A" w:rsidP="00F73D1C"/>
    <w:p w14:paraId="7408C3B9" w14:textId="77777777" w:rsidR="002542E0" w:rsidRDefault="002542E0" w:rsidP="002542E0">
      <w:pPr>
        <w:pStyle w:val="corpsdedcision"/>
        <w:numPr>
          <w:ilvl w:val="0"/>
          <w:numId w:val="0"/>
        </w:numPr>
        <w:tabs>
          <w:tab w:val="clear" w:pos="720"/>
        </w:tabs>
      </w:pPr>
    </w:p>
    <w:sectPr w:rsidR="002542E0">
      <w:headerReference w:type="default" r:id="rId7"/>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346E74" w14:textId="77777777" w:rsidR="00C972C2" w:rsidRDefault="00C972C2">
      <w:r>
        <w:separator/>
      </w:r>
    </w:p>
  </w:endnote>
  <w:endnote w:type="continuationSeparator" w:id="0">
    <w:p w14:paraId="4525F758" w14:textId="77777777" w:rsidR="00C972C2" w:rsidRDefault="00C972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A95B2D" w14:textId="77777777" w:rsidR="00C972C2" w:rsidRDefault="00C972C2">
      <w:r>
        <w:separator/>
      </w:r>
    </w:p>
  </w:footnote>
  <w:footnote w:type="continuationSeparator" w:id="0">
    <w:p w14:paraId="214EF7A0" w14:textId="77777777" w:rsidR="00C972C2" w:rsidRDefault="00C972C2">
      <w:r>
        <w:continuationSeparator/>
      </w:r>
    </w:p>
  </w:footnote>
  <w:footnote w:id="1">
    <w:p w14:paraId="50358D52" w14:textId="321609B8" w:rsidR="00D55091" w:rsidRPr="00D55091" w:rsidRDefault="00D55091" w:rsidP="00D5509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Décision du 11 août 2023 rendue à la suite d’une révision administrative.</w:t>
      </w:r>
    </w:p>
  </w:footnote>
  <w:footnote w:id="2">
    <w:p w14:paraId="5DBA6865" w14:textId="713C277D" w:rsidR="00F76730" w:rsidRPr="00A22EF9" w:rsidRDefault="00F76730" w:rsidP="00A22EF9">
      <w:pPr>
        <w:ind w:left="709" w:hanging="709"/>
        <w:rPr>
          <w:rFonts w:ascii="Aptos" w:hAnsi="Aptos"/>
          <w:sz w:val="20"/>
          <w:lang w:val="en-CA"/>
        </w:rPr>
      </w:pPr>
      <w:r>
        <w:rPr>
          <w:rStyle w:val="Appelnotedebasdep"/>
        </w:rPr>
        <w:footnoteRef/>
      </w:r>
      <w:r w:rsidRPr="00BA66B6">
        <w:rPr>
          <w:lang w:val="en-CA"/>
        </w:rPr>
        <w:t xml:space="preserve"> </w:t>
      </w:r>
      <w:r w:rsidRPr="00BA66B6">
        <w:rPr>
          <w:rFonts w:cs="Arial"/>
          <w:sz w:val="20"/>
          <w:lang w:val="en-CA"/>
        </w:rPr>
        <w:tab/>
      </w:r>
      <w:r w:rsidR="003B4A9D" w:rsidRPr="00A22EF9">
        <w:rPr>
          <w:sz w:val="20"/>
          <w:lang w:val="en-CA"/>
        </w:rPr>
        <w:t xml:space="preserve">Arnaud NORENA </w:t>
      </w:r>
      <w:r w:rsidR="003B4A9D" w:rsidRPr="00A22EF9">
        <w:rPr>
          <w:i/>
          <w:iCs/>
          <w:sz w:val="20"/>
          <w:lang w:val="en-CA"/>
        </w:rPr>
        <w:t>et al.</w:t>
      </w:r>
      <w:r w:rsidR="003B4A9D" w:rsidRPr="00A22EF9">
        <w:rPr>
          <w:sz w:val="20"/>
          <w:lang w:val="en-CA"/>
        </w:rPr>
        <w:t>,</w:t>
      </w:r>
      <w:r w:rsidR="00A22EF9">
        <w:rPr>
          <w:sz w:val="20"/>
          <w:lang w:val="en-CA"/>
        </w:rPr>
        <w:t xml:space="preserve"> </w:t>
      </w:r>
      <w:r w:rsidR="003B4A9D" w:rsidRPr="00A22EF9">
        <w:rPr>
          <w:sz w:val="20"/>
          <w:lang w:val="en-CA"/>
        </w:rPr>
        <w:t>«</w:t>
      </w:r>
      <w:r w:rsidR="00A22EF9" w:rsidRPr="00A22EF9">
        <w:rPr>
          <w:sz w:val="20"/>
          <w:lang w:val="en-CA"/>
        </w:rPr>
        <w:t> </w:t>
      </w:r>
      <w:r w:rsidR="003B4A9D" w:rsidRPr="00A22EF9">
        <w:rPr>
          <w:sz w:val="20"/>
          <w:lang w:val="en-CA"/>
        </w:rPr>
        <w:t>Psychoacoustic Characterization of the Tinnitus Spectrum: Implications for the Underlying Mechanisms of Tinnitus</w:t>
      </w:r>
      <w:r w:rsidR="00A22EF9" w:rsidRPr="00A22EF9">
        <w:rPr>
          <w:sz w:val="20"/>
          <w:lang w:val="en-CA"/>
        </w:rPr>
        <w:t> </w:t>
      </w:r>
      <w:r w:rsidR="003B4A9D" w:rsidRPr="00A22EF9">
        <w:rPr>
          <w:sz w:val="20"/>
          <w:lang w:val="en-CA"/>
        </w:rPr>
        <w:t xml:space="preserve">», (2002) 7 </w:t>
      </w:r>
      <w:r w:rsidR="003B4A9D" w:rsidRPr="00A22EF9">
        <w:rPr>
          <w:i/>
          <w:iCs/>
          <w:sz w:val="20"/>
          <w:lang w:val="en-CA"/>
        </w:rPr>
        <w:t>Audiology and Neurotology</w:t>
      </w:r>
      <w:r w:rsidR="003B4A9D" w:rsidRPr="00A22EF9">
        <w:rPr>
          <w:sz w:val="20"/>
          <w:lang w:val="en-CA"/>
        </w:rPr>
        <w:t>, pp. 358-369.</w:t>
      </w:r>
    </w:p>
  </w:footnote>
  <w:footnote w:id="3">
    <w:p w14:paraId="32A1A37A" w14:textId="0E1F350E" w:rsidR="003B4A9D" w:rsidRPr="003B4A9D" w:rsidRDefault="003B4A9D" w:rsidP="00A22EF9">
      <w:pPr>
        <w:ind w:left="709" w:hanging="709"/>
        <w:rPr>
          <w:rFonts w:ascii="Aptos" w:hAnsi="Aptos"/>
          <w:sz w:val="20"/>
        </w:rPr>
      </w:pPr>
      <w:r w:rsidRPr="00A22EF9">
        <w:rPr>
          <w:rStyle w:val="Appelnotedebasdep"/>
        </w:rPr>
        <w:footnoteRef/>
      </w:r>
      <w:r w:rsidRPr="00A22EF9">
        <w:t xml:space="preserve"> </w:t>
      </w:r>
      <w:r w:rsidRPr="00A22EF9">
        <w:rPr>
          <w:rFonts w:cs="Arial"/>
          <w:sz w:val="20"/>
        </w:rPr>
        <w:tab/>
      </w:r>
      <w:r w:rsidRPr="00A22EF9">
        <w:rPr>
          <w:sz w:val="20"/>
        </w:rPr>
        <w:t xml:space="preserve">COOPACOU, </w:t>
      </w:r>
      <w:r w:rsidRPr="00A22EF9">
        <w:rPr>
          <w:i/>
          <w:iCs/>
          <w:sz w:val="20"/>
        </w:rPr>
        <w:t>Acouphènes et surdité</w:t>
      </w:r>
      <w:r w:rsidRPr="00A22EF9">
        <w:rPr>
          <w:sz w:val="20"/>
        </w:rPr>
        <w:t>, [En ligne], &lt;</w:t>
      </w:r>
      <w:hyperlink r:id="rId1" w:history="1">
        <w:r w:rsidRPr="00A22EF9">
          <w:rPr>
            <w:rStyle w:val="Lienhypertexte"/>
            <w:sz w:val="20"/>
            <w:u w:val="none"/>
          </w:rPr>
          <w:t>https://www.coopacou.com/acouphene/definir-acouphene/acouphene-et-surdite</w:t>
        </w:r>
      </w:hyperlink>
      <w:r w:rsidRPr="00A22EF9">
        <w:rPr>
          <w:sz w:val="20"/>
        </w:rPr>
        <w:t>&gt; (Date de consultation inconnue).</w:t>
      </w:r>
    </w:p>
  </w:footnote>
  <w:footnote w:id="4">
    <w:p w14:paraId="3767220D" w14:textId="2A43FFF8" w:rsidR="000B2ED1" w:rsidRPr="00BA66B6" w:rsidRDefault="000B2ED1" w:rsidP="006E3273">
      <w:pPr>
        <w:ind w:left="709" w:hanging="709"/>
        <w:jc w:val="both"/>
        <w:rPr>
          <w:rFonts w:cs="Arial"/>
          <w:sz w:val="20"/>
          <w:lang w:val="en-CA"/>
        </w:rPr>
      </w:pPr>
      <w:r>
        <w:rPr>
          <w:rStyle w:val="Appelnotedebasdep"/>
        </w:rPr>
        <w:footnoteRef/>
      </w:r>
      <w:r w:rsidRPr="00BA66B6">
        <w:rPr>
          <w:lang w:val="en-CA"/>
        </w:rPr>
        <w:t xml:space="preserve"> </w:t>
      </w:r>
      <w:r w:rsidRPr="00BA66B6">
        <w:rPr>
          <w:rFonts w:cs="Arial"/>
          <w:sz w:val="20"/>
          <w:lang w:val="en-CA"/>
        </w:rPr>
        <w:tab/>
      </w:r>
      <w:r w:rsidR="00BA66B6" w:rsidRPr="00F2349A">
        <w:rPr>
          <w:sz w:val="20"/>
          <w:lang w:val="en-CA"/>
        </w:rPr>
        <w:t xml:space="preserve">T. SIRIMANNA </w:t>
      </w:r>
      <w:r w:rsidR="00BA66B6" w:rsidRPr="00F2349A">
        <w:rPr>
          <w:i/>
          <w:iCs/>
          <w:sz w:val="20"/>
          <w:lang w:val="en-CA"/>
        </w:rPr>
        <w:t xml:space="preserve">et al., </w:t>
      </w:r>
      <w:r w:rsidR="00BA66B6" w:rsidRPr="00F2349A">
        <w:rPr>
          <w:sz w:val="20"/>
          <w:lang w:val="en-CA"/>
        </w:rPr>
        <w:t>«</w:t>
      </w:r>
      <w:r w:rsidR="00DE5379" w:rsidRPr="00F2349A">
        <w:rPr>
          <w:sz w:val="20"/>
          <w:lang w:val="en-CA"/>
        </w:rPr>
        <w:t> </w:t>
      </w:r>
      <w:r w:rsidR="00BA66B6" w:rsidRPr="00F2349A">
        <w:rPr>
          <w:sz w:val="20"/>
          <w:lang w:val="en-CA"/>
        </w:rPr>
        <w:t>Tinnitus and Audioscan Notches</w:t>
      </w:r>
      <w:r w:rsidR="00DE5379" w:rsidRPr="00F2349A">
        <w:rPr>
          <w:sz w:val="20"/>
          <w:lang w:val="en-CA"/>
        </w:rPr>
        <w:t> </w:t>
      </w:r>
      <w:r w:rsidR="00BA66B6" w:rsidRPr="00F2349A">
        <w:rPr>
          <w:sz w:val="20"/>
          <w:lang w:val="en-CA"/>
        </w:rPr>
        <w:t xml:space="preserve">», (1996) 5 </w:t>
      </w:r>
      <w:r w:rsidR="00BA66B6" w:rsidRPr="00F2349A">
        <w:rPr>
          <w:i/>
          <w:iCs/>
          <w:sz w:val="20"/>
          <w:lang w:val="en-CA"/>
        </w:rPr>
        <w:t>Journal of Audiological Medicine</w:t>
      </w:r>
      <w:r w:rsidR="00BA66B6" w:rsidRPr="00F2349A">
        <w:rPr>
          <w:sz w:val="20"/>
          <w:lang w:val="en-CA"/>
        </w:rPr>
        <w:t>,</w:t>
      </w:r>
      <w:r w:rsidR="00BA66B6" w:rsidRPr="00F2349A">
        <w:rPr>
          <w:i/>
          <w:iCs/>
          <w:sz w:val="20"/>
          <w:lang w:val="en-CA"/>
        </w:rPr>
        <w:t xml:space="preserve"> </w:t>
      </w:r>
      <w:r w:rsidR="00BA66B6" w:rsidRPr="00F2349A">
        <w:rPr>
          <w:sz w:val="20"/>
          <w:lang w:val="en-CA"/>
        </w:rPr>
        <w:t>pp. 38-48.</w:t>
      </w:r>
    </w:p>
  </w:footnote>
  <w:footnote w:id="5">
    <w:p w14:paraId="59D29281" w14:textId="77777777" w:rsidR="00090589" w:rsidRPr="00F604ED" w:rsidRDefault="00090589" w:rsidP="0009058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sz w:val="20"/>
        </w:rPr>
        <w:t>2014 QCCLP 5754.</w:t>
      </w:r>
    </w:p>
  </w:footnote>
  <w:footnote w:id="6">
    <w:p w14:paraId="7E4B4703" w14:textId="77777777" w:rsidR="00090589" w:rsidRPr="0058312D" w:rsidRDefault="00090589" w:rsidP="0009058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D42943">
        <w:rPr>
          <w:i/>
          <w:sz w:val="20"/>
        </w:rPr>
        <w:t>Paquette</w:t>
      </w:r>
      <w:r>
        <w:rPr>
          <w:sz w:val="20"/>
        </w:rPr>
        <w:t xml:space="preserve"> et </w:t>
      </w:r>
      <w:r w:rsidRPr="00D42943">
        <w:rPr>
          <w:i/>
          <w:sz w:val="20"/>
        </w:rPr>
        <w:t>Transport Branchaud</w:t>
      </w:r>
      <w:r w:rsidRPr="00D42943">
        <w:rPr>
          <w:sz w:val="20"/>
        </w:rPr>
        <w:t>,</w:t>
      </w:r>
      <w:r>
        <w:rPr>
          <w:sz w:val="20"/>
        </w:rPr>
        <w:t xml:space="preserve"> 2018 QCTAT 738.</w:t>
      </w:r>
    </w:p>
  </w:footnote>
  <w:footnote w:id="7">
    <w:p w14:paraId="28F02A5D" w14:textId="76E9F592" w:rsidR="00090589" w:rsidRPr="00D42943" w:rsidRDefault="00090589" w:rsidP="00090589">
      <w:pPr>
        <w:pStyle w:val="Notedebasdepage"/>
        <w:ind w:left="709" w:hanging="709"/>
        <w:jc w:val="both"/>
        <w:rPr>
          <w:sz w:val="20"/>
        </w:rPr>
      </w:pPr>
      <w:r w:rsidRPr="008418B6">
        <w:rPr>
          <w:rStyle w:val="Appelnotedebasdep"/>
          <w:szCs w:val="24"/>
        </w:rPr>
        <w:footnoteRef/>
      </w:r>
      <w:r w:rsidRPr="00D42943">
        <w:rPr>
          <w:sz w:val="20"/>
        </w:rPr>
        <w:tab/>
      </w:r>
      <w:r w:rsidRPr="00D530D6">
        <w:rPr>
          <w:i/>
          <w:sz w:val="20"/>
        </w:rPr>
        <w:t>F. G.</w:t>
      </w:r>
      <w:r>
        <w:rPr>
          <w:sz w:val="20"/>
        </w:rPr>
        <w:t xml:space="preserve"> et </w:t>
      </w:r>
      <w:r w:rsidRPr="00D530D6">
        <w:rPr>
          <w:i/>
          <w:sz w:val="20"/>
        </w:rPr>
        <w:t xml:space="preserve">Cèdres </w:t>
      </w:r>
      <w:r w:rsidRPr="00E50AC7">
        <w:rPr>
          <w:i/>
          <w:sz w:val="20"/>
        </w:rPr>
        <w:t>Lachenaie</w:t>
      </w:r>
      <w:r w:rsidRPr="00E50AC7">
        <w:rPr>
          <w:sz w:val="20"/>
        </w:rPr>
        <w:t xml:space="preserve">, C.L.P. 231401-04B-0404, 11 août 2004, J.-F. Clément; </w:t>
      </w:r>
      <w:r w:rsidRPr="00E50AC7">
        <w:rPr>
          <w:i/>
          <w:sz w:val="20"/>
        </w:rPr>
        <w:t>Beauséjour</w:t>
      </w:r>
      <w:r w:rsidRPr="00E50AC7">
        <w:rPr>
          <w:sz w:val="20"/>
        </w:rPr>
        <w:t xml:space="preserve"> et </w:t>
      </w:r>
      <w:r w:rsidRPr="00E50AC7">
        <w:rPr>
          <w:i/>
          <w:sz w:val="20"/>
        </w:rPr>
        <w:t xml:space="preserve">Benoît Dupuis </w:t>
      </w:r>
      <w:r w:rsidR="002306BB">
        <w:rPr>
          <w:i/>
          <w:sz w:val="20"/>
        </w:rPr>
        <w:t>E</w:t>
      </w:r>
      <w:r w:rsidRPr="00E50AC7">
        <w:rPr>
          <w:i/>
          <w:sz w:val="20"/>
        </w:rPr>
        <w:t>xtincteurs</w:t>
      </w:r>
      <w:r w:rsidRPr="00E50AC7">
        <w:rPr>
          <w:sz w:val="20"/>
        </w:rPr>
        <w:t xml:space="preserve">, précitée, note </w:t>
      </w:r>
      <w:r w:rsidR="00077214">
        <w:rPr>
          <w:sz w:val="20"/>
        </w:rPr>
        <w:t>5</w:t>
      </w:r>
      <w:r w:rsidRPr="00E50AC7">
        <w:rPr>
          <w:sz w:val="20"/>
        </w:rPr>
        <w:t xml:space="preserve">; </w:t>
      </w:r>
      <w:r w:rsidRPr="00E50AC7">
        <w:rPr>
          <w:i/>
          <w:sz w:val="20"/>
        </w:rPr>
        <w:t>Paquette</w:t>
      </w:r>
      <w:r>
        <w:rPr>
          <w:sz w:val="20"/>
        </w:rPr>
        <w:t xml:space="preserve"> et </w:t>
      </w:r>
      <w:r w:rsidRPr="00D42943">
        <w:rPr>
          <w:i/>
          <w:sz w:val="20"/>
        </w:rPr>
        <w:t>Transport Branchaud</w:t>
      </w:r>
      <w:r w:rsidRPr="00D42943">
        <w:rPr>
          <w:sz w:val="20"/>
        </w:rPr>
        <w:t xml:space="preserve">, </w:t>
      </w:r>
      <w:r>
        <w:rPr>
          <w:sz w:val="20"/>
        </w:rPr>
        <w:t>précitée, note</w:t>
      </w:r>
      <w:r w:rsidR="00077214">
        <w:rPr>
          <w:sz w:val="20"/>
        </w:rPr>
        <w:t> </w:t>
      </w:r>
      <w:r w:rsidR="00D43628">
        <w:rPr>
          <w:sz w:val="20"/>
        </w:rPr>
        <w:t>6</w:t>
      </w:r>
      <w:r>
        <w:rPr>
          <w:sz w:val="20"/>
        </w:rPr>
        <w:t xml:space="preserve">. </w:t>
      </w:r>
    </w:p>
  </w:footnote>
  <w:footnote w:id="8">
    <w:p w14:paraId="2095F765" w14:textId="77777777" w:rsidR="00090589" w:rsidRPr="004268A0" w:rsidRDefault="00090589" w:rsidP="0009058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B41E18">
        <w:rPr>
          <w:rFonts w:cs="Arial"/>
          <w:i/>
          <w:sz w:val="20"/>
        </w:rPr>
        <w:t>Dubois</w:t>
      </w:r>
      <w:r>
        <w:rPr>
          <w:rFonts w:cs="Arial"/>
          <w:sz w:val="20"/>
        </w:rPr>
        <w:t xml:space="preserve"> et </w:t>
      </w:r>
      <w:r w:rsidRPr="00B41E18">
        <w:rPr>
          <w:rFonts w:cs="Arial"/>
          <w:i/>
          <w:sz w:val="20"/>
        </w:rPr>
        <w:t>Transport NAC inc</w:t>
      </w:r>
      <w:r>
        <w:rPr>
          <w:rFonts w:cs="Arial"/>
          <w:sz w:val="20"/>
        </w:rPr>
        <w:t>., 2018 QCTAT 6073.</w:t>
      </w:r>
    </w:p>
  </w:footnote>
  <w:footnote w:id="9">
    <w:p w14:paraId="3440ADB7" w14:textId="09064403" w:rsidR="00090589" w:rsidRPr="00B41E18" w:rsidRDefault="00090589" w:rsidP="0009058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B41E18">
        <w:rPr>
          <w:rFonts w:cs="Arial"/>
          <w:i/>
          <w:sz w:val="20"/>
        </w:rPr>
        <w:t>Desautels</w:t>
      </w:r>
      <w:r>
        <w:rPr>
          <w:rFonts w:cs="Arial"/>
          <w:sz w:val="20"/>
        </w:rPr>
        <w:t xml:space="preserve"> et </w:t>
      </w:r>
      <w:r w:rsidRPr="00B41E18">
        <w:rPr>
          <w:rFonts w:cs="Arial"/>
          <w:i/>
          <w:sz w:val="20"/>
        </w:rPr>
        <w:t>Olymel</w:t>
      </w:r>
      <w:r>
        <w:rPr>
          <w:rFonts w:cs="Arial"/>
          <w:sz w:val="20"/>
        </w:rPr>
        <w:t xml:space="preserve"> </w:t>
      </w:r>
      <w:r w:rsidRPr="009D6639">
        <w:rPr>
          <w:rFonts w:cs="Arial"/>
          <w:i/>
          <w:sz w:val="20"/>
        </w:rPr>
        <w:t>S.E.C.</w:t>
      </w:r>
      <w:r w:rsidRPr="00E45F60">
        <w:rPr>
          <w:rFonts w:cs="Arial"/>
          <w:sz w:val="20"/>
        </w:rPr>
        <w:t>,</w:t>
      </w:r>
      <w:r>
        <w:rPr>
          <w:rFonts w:cs="Arial"/>
          <w:sz w:val="20"/>
        </w:rPr>
        <w:t xml:space="preserve"> 2016 QCTAT 5013; </w:t>
      </w:r>
      <w:r w:rsidRPr="00D42943">
        <w:rPr>
          <w:i/>
          <w:sz w:val="20"/>
        </w:rPr>
        <w:t>Paquette</w:t>
      </w:r>
      <w:r>
        <w:rPr>
          <w:sz w:val="20"/>
        </w:rPr>
        <w:t xml:space="preserve"> et </w:t>
      </w:r>
      <w:r w:rsidRPr="00D42943">
        <w:rPr>
          <w:i/>
          <w:sz w:val="20"/>
        </w:rPr>
        <w:t>Transport Branchaud</w:t>
      </w:r>
      <w:r w:rsidRPr="00D42943">
        <w:rPr>
          <w:sz w:val="20"/>
        </w:rPr>
        <w:t xml:space="preserve">, </w:t>
      </w:r>
      <w:r>
        <w:rPr>
          <w:sz w:val="20"/>
        </w:rPr>
        <w:t>précitée, note</w:t>
      </w:r>
      <w:r w:rsidR="00077214">
        <w:rPr>
          <w:sz w:val="20"/>
        </w:rPr>
        <w:t> </w:t>
      </w:r>
      <w:r w:rsidR="00D43628">
        <w:rPr>
          <w:sz w:val="20"/>
        </w:rPr>
        <w:t>6</w:t>
      </w:r>
      <w:r>
        <w:rPr>
          <w:sz w:val="20"/>
        </w:rPr>
        <w:t xml:space="preserve">. </w:t>
      </w:r>
    </w:p>
  </w:footnote>
  <w:footnote w:id="10">
    <w:p w14:paraId="30551F05" w14:textId="77777777" w:rsidR="00090589" w:rsidRPr="00AC3DA3" w:rsidRDefault="00090589" w:rsidP="0009058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Voir note de consultation médicale du 19 octobre 2022.</w:t>
      </w:r>
    </w:p>
  </w:footnote>
  <w:footnote w:id="11">
    <w:p w14:paraId="4C93DEFA" w14:textId="77777777" w:rsidR="00090589" w:rsidRPr="00AC3DA3" w:rsidRDefault="00090589" w:rsidP="0009058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Voir note de consultation médicale du 7 novembre 2022.</w:t>
      </w:r>
    </w:p>
  </w:footnote>
  <w:footnote w:id="12">
    <w:p w14:paraId="5FDE06B1" w14:textId="77777777" w:rsidR="00090589" w:rsidRPr="0098374B" w:rsidRDefault="00090589" w:rsidP="0009058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Décision du 11 août 2023 rendue à la suite d’une révision administrative.</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4756F5E5" w14:textId="77777777" w:rsidTr="00393782">
      <w:tc>
        <w:tcPr>
          <w:tcW w:w="8730" w:type="dxa"/>
        </w:tcPr>
        <w:p w14:paraId="6E76EFF8" w14:textId="77777777" w:rsidR="00D330B6" w:rsidRDefault="00D330B6">
          <w:pPr>
            <w:pStyle w:val="En-tte"/>
            <w:ind w:left="-90"/>
          </w:pPr>
        </w:p>
      </w:tc>
      <w:tc>
        <w:tcPr>
          <w:tcW w:w="860" w:type="dxa"/>
        </w:tcPr>
        <w:p w14:paraId="63E0EFA8" w14:textId="77777777" w:rsidR="00D330B6" w:rsidRDefault="00D330B6">
          <w:pPr>
            <w:pStyle w:val="En-tte"/>
            <w:ind w:left="-90"/>
          </w:pPr>
        </w:p>
      </w:tc>
    </w:tr>
    <w:tr w:rsidR="00393782" w14:paraId="6D5FE0DD" w14:textId="77777777" w:rsidTr="00393782">
      <w:tc>
        <w:tcPr>
          <w:tcW w:w="8730" w:type="dxa"/>
        </w:tcPr>
        <w:p w14:paraId="6E242150" w14:textId="42B9544D" w:rsidR="00393782" w:rsidRDefault="00393782" w:rsidP="00393782">
          <w:r>
            <w:t>1338567-04B-2309</w:t>
          </w:r>
        </w:p>
      </w:tc>
      <w:tc>
        <w:tcPr>
          <w:tcW w:w="860" w:type="dxa"/>
        </w:tcPr>
        <w:p w14:paraId="7B1EF312" w14:textId="77777777" w:rsidR="00393782" w:rsidRDefault="00393782" w:rsidP="00393782">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043636">
            <w:rPr>
              <w:rStyle w:val="Numrodepage"/>
              <w:noProof/>
            </w:rPr>
            <w:t>2</w:t>
          </w:r>
          <w:r>
            <w:rPr>
              <w:rStyle w:val="Numrodepage"/>
            </w:rPr>
            <w:fldChar w:fldCharType="end"/>
          </w:r>
        </w:p>
      </w:tc>
    </w:tr>
    <w:tr w:rsidR="00393782" w14:paraId="5B14D2C1" w14:textId="77777777" w:rsidTr="00393782">
      <w:tc>
        <w:tcPr>
          <w:tcW w:w="8730" w:type="dxa"/>
        </w:tcPr>
        <w:p w14:paraId="12426AB6" w14:textId="77777777" w:rsidR="00393782" w:rsidRDefault="00393782" w:rsidP="00393782"/>
      </w:tc>
      <w:tc>
        <w:tcPr>
          <w:tcW w:w="860" w:type="dxa"/>
        </w:tcPr>
        <w:p w14:paraId="1904754D" w14:textId="77777777" w:rsidR="00393782" w:rsidRDefault="00393782" w:rsidP="00393782">
          <w:pPr>
            <w:pStyle w:val="En-tte"/>
            <w:ind w:left="-90"/>
            <w:jc w:val="right"/>
          </w:pPr>
        </w:p>
      </w:tc>
    </w:tr>
  </w:tbl>
  <w:p w14:paraId="48E61067"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313C1474"/>
    <w:multiLevelType w:val="hybridMultilevel"/>
    <w:tmpl w:val="A1B4FB50"/>
    <w:lvl w:ilvl="0" w:tplc="61989690">
      <w:numFmt w:val="bullet"/>
      <w:lvlText w:val="-"/>
      <w:lvlJc w:val="left"/>
      <w:pPr>
        <w:ind w:left="1065" w:hanging="360"/>
      </w:pPr>
      <w:rPr>
        <w:rFonts w:ascii="Arial" w:eastAsia="Times New Roman" w:hAnsi="Arial" w:cs="Arial" w:hint="default"/>
      </w:rPr>
    </w:lvl>
    <w:lvl w:ilvl="1" w:tplc="0C0C0003" w:tentative="1">
      <w:start w:val="1"/>
      <w:numFmt w:val="bullet"/>
      <w:lvlText w:val="o"/>
      <w:lvlJc w:val="left"/>
      <w:pPr>
        <w:ind w:left="1785" w:hanging="360"/>
      </w:pPr>
      <w:rPr>
        <w:rFonts w:ascii="Courier New" w:hAnsi="Courier New" w:cs="Courier New" w:hint="default"/>
      </w:rPr>
    </w:lvl>
    <w:lvl w:ilvl="2" w:tplc="0C0C0005" w:tentative="1">
      <w:start w:val="1"/>
      <w:numFmt w:val="bullet"/>
      <w:lvlText w:val=""/>
      <w:lvlJc w:val="left"/>
      <w:pPr>
        <w:ind w:left="2505" w:hanging="360"/>
      </w:pPr>
      <w:rPr>
        <w:rFonts w:ascii="Wingdings" w:hAnsi="Wingdings" w:hint="default"/>
      </w:rPr>
    </w:lvl>
    <w:lvl w:ilvl="3" w:tplc="0C0C0001" w:tentative="1">
      <w:start w:val="1"/>
      <w:numFmt w:val="bullet"/>
      <w:lvlText w:val=""/>
      <w:lvlJc w:val="left"/>
      <w:pPr>
        <w:ind w:left="3225" w:hanging="360"/>
      </w:pPr>
      <w:rPr>
        <w:rFonts w:ascii="Symbol" w:hAnsi="Symbol" w:hint="default"/>
      </w:rPr>
    </w:lvl>
    <w:lvl w:ilvl="4" w:tplc="0C0C0003" w:tentative="1">
      <w:start w:val="1"/>
      <w:numFmt w:val="bullet"/>
      <w:lvlText w:val="o"/>
      <w:lvlJc w:val="left"/>
      <w:pPr>
        <w:ind w:left="3945" w:hanging="360"/>
      </w:pPr>
      <w:rPr>
        <w:rFonts w:ascii="Courier New" w:hAnsi="Courier New" w:cs="Courier New" w:hint="default"/>
      </w:rPr>
    </w:lvl>
    <w:lvl w:ilvl="5" w:tplc="0C0C0005" w:tentative="1">
      <w:start w:val="1"/>
      <w:numFmt w:val="bullet"/>
      <w:lvlText w:val=""/>
      <w:lvlJc w:val="left"/>
      <w:pPr>
        <w:ind w:left="4665" w:hanging="360"/>
      </w:pPr>
      <w:rPr>
        <w:rFonts w:ascii="Wingdings" w:hAnsi="Wingdings" w:hint="default"/>
      </w:rPr>
    </w:lvl>
    <w:lvl w:ilvl="6" w:tplc="0C0C0001" w:tentative="1">
      <w:start w:val="1"/>
      <w:numFmt w:val="bullet"/>
      <w:lvlText w:val=""/>
      <w:lvlJc w:val="left"/>
      <w:pPr>
        <w:ind w:left="5385" w:hanging="360"/>
      </w:pPr>
      <w:rPr>
        <w:rFonts w:ascii="Symbol" w:hAnsi="Symbol" w:hint="default"/>
      </w:rPr>
    </w:lvl>
    <w:lvl w:ilvl="7" w:tplc="0C0C0003" w:tentative="1">
      <w:start w:val="1"/>
      <w:numFmt w:val="bullet"/>
      <w:lvlText w:val="o"/>
      <w:lvlJc w:val="left"/>
      <w:pPr>
        <w:ind w:left="6105" w:hanging="360"/>
      </w:pPr>
      <w:rPr>
        <w:rFonts w:ascii="Courier New" w:hAnsi="Courier New" w:cs="Courier New" w:hint="default"/>
      </w:rPr>
    </w:lvl>
    <w:lvl w:ilvl="8" w:tplc="0C0C0005" w:tentative="1">
      <w:start w:val="1"/>
      <w:numFmt w:val="bullet"/>
      <w:lvlText w:val=""/>
      <w:lvlJc w:val="left"/>
      <w:pPr>
        <w:ind w:left="6825" w:hanging="360"/>
      </w:pPr>
      <w:rPr>
        <w:rFonts w:ascii="Wingdings" w:hAnsi="Wingdings" w:hint="default"/>
      </w:rPr>
    </w:lvl>
  </w:abstractNum>
  <w:abstractNum w:abstractNumId="2"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3" w15:restartNumberingAfterBreak="0">
    <w:nsid w:val="6A545518"/>
    <w:multiLevelType w:val="hybridMultilevel"/>
    <w:tmpl w:val="7BEC9C58"/>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5"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7"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9"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0"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1"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9"/>
  </w:num>
  <w:num w:numId="2">
    <w:abstractNumId w:val="8"/>
  </w:num>
  <w:num w:numId="3">
    <w:abstractNumId w:val="7"/>
  </w:num>
  <w:num w:numId="4">
    <w:abstractNumId w:val="5"/>
  </w:num>
  <w:num w:numId="5">
    <w:abstractNumId w:val="11"/>
  </w:num>
  <w:num w:numId="6">
    <w:abstractNumId w:val="11"/>
  </w:num>
  <w:num w:numId="7">
    <w:abstractNumId w:val="0"/>
  </w:num>
  <w:num w:numId="8">
    <w:abstractNumId w:val="4"/>
  </w:num>
  <w:num w:numId="9">
    <w:abstractNumId w:val="2"/>
  </w:num>
  <w:num w:numId="10">
    <w:abstractNumId w:val="10"/>
  </w:num>
  <w:num w:numId="11">
    <w:abstractNumId w:val="6"/>
  </w:num>
  <w:num w:numId="12">
    <w:abstractNumId w:val="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72C2"/>
    <w:rsid w:val="000034B0"/>
    <w:rsid w:val="000041A1"/>
    <w:rsid w:val="00006DD2"/>
    <w:rsid w:val="0001305E"/>
    <w:rsid w:val="00016D99"/>
    <w:rsid w:val="00021B30"/>
    <w:rsid w:val="00021E4C"/>
    <w:rsid w:val="00022556"/>
    <w:rsid w:val="00023858"/>
    <w:rsid w:val="000352CA"/>
    <w:rsid w:val="000366EC"/>
    <w:rsid w:val="00036794"/>
    <w:rsid w:val="00043636"/>
    <w:rsid w:val="00043E4D"/>
    <w:rsid w:val="000447F3"/>
    <w:rsid w:val="00047D0B"/>
    <w:rsid w:val="000532B5"/>
    <w:rsid w:val="000536CC"/>
    <w:rsid w:val="000559A8"/>
    <w:rsid w:val="00055A3E"/>
    <w:rsid w:val="00056393"/>
    <w:rsid w:val="00057739"/>
    <w:rsid w:val="0007225E"/>
    <w:rsid w:val="00074ABE"/>
    <w:rsid w:val="00074EAE"/>
    <w:rsid w:val="000756D0"/>
    <w:rsid w:val="00076D81"/>
    <w:rsid w:val="00077214"/>
    <w:rsid w:val="00080885"/>
    <w:rsid w:val="00082018"/>
    <w:rsid w:val="00082A97"/>
    <w:rsid w:val="0008378A"/>
    <w:rsid w:val="0008784D"/>
    <w:rsid w:val="00090018"/>
    <w:rsid w:val="00090306"/>
    <w:rsid w:val="00090589"/>
    <w:rsid w:val="00090F69"/>
    <w:rsid w:val="00093ACD"/>
    <w:rsid w:val="00095814"/>
    <w:rsid w:val="00097D81"/>
    <w:rsid w:val="00097FCE"/>
    <w:rsid w:val="000A1DAC"/>
    <w:rsid w:val="000A4AD0"/>
    <w:rsid w:val="000A5AD1"/>
    <w:rsid w:val="000A63DF"/>
    <w:rsid w:val="000A77C5"/>
    <w:rsid w:val="000B2ED1"/>
    <w:rsid w:val="000B6275"/>
    <w:rsid w:val="000B7F1B"/>
    <w:rsid w:val="000C3714"/>
    <w:rsid w:val="000C710F"/>
    <w:rsid w:val="000D3948"/>
    <w:rsid w:val="000D63D5"/>
    <w:rsid w:val="000E0C28"/>
    <w:rsid w:val="000E0C3A"/>
    <w:rsid w:val="000E1320"/>
    <w:rsid w:val="000E3FF6"/>
    <w:rsid w:val="000E56A6"/>
    <w:rsid w:val="000F20A5"/>
    <w:rsid w:val="000F3423"/>
    <w:rsid w:val="000F5F81"/>
    <w:rsid w:val="00100AB8"/>
    <w:rsid w:val="0010281F"/>
    <w:rsid w:val="00104550"/>
    <w:rsid w:val="00104C3D"/>
    <w:rsid w:val="001050B4"/>
    <w:rsid w:val="001144AB"/>
    <w:rsid w:val="0012224D"/>
    <w:rsid w:val="001225BC"/>
    <w:rsid w:val="00122A9E"/>
    <w:rsid w:val="00122F94"/>
    <w:rsid w:val="0012326A"/>
    <w:rsid w:val="00126A8B"/>
    <w:rsid w:val="00132622"/>
    <w:rsid w:val="001358D1"/>
    <w:rsid w:val="00137E7E"/>
    <w:rsid w:val="001407FC"/>
    <w:rsid w:val="00143F57"/>
    <w:rsid w:val="00144572"/>
    <w:rsid w:val="00146116"/>
    <w:rsid w:val="00147A49"/>
    <w:rsid w:val="00147B8B"/>
    <w:rsid w:val="0015125A"/>
    <w:rsid w:val="00152464"/>
    <w:rsid w:val="00153F09"/>
    <w:rsid w:val="0015539F"/>
    <w:rsid w:val="001568FA"/>
    <w:rsid w:val="00160597"/>
    <w:rsid w:val="00162ECC"/>
    <w:rsid w:val="001664C8"/>
    <w:rsid w:val="00167AD0"/>
    <w:rsid w:val="00167DEF"/>
    <w:rsid w:val="00167E9D"/>
    <w:rsid w:val="00173184"/>
    <w:rsid w:val="00175079"/>
    <w:rsid w:val="001761B9"/>
    <w:rsid w:val="00183515"/>
    <w:rsid w:val="001846FC"/>
    <w:rsid w:val="001852F9"/>
    <w:rsid w:val="001924FE"/>
    <w:rsid w:val="001965E1"/>
    <w:rsid w:val="001A03BE"/>
    <w:rsid w:val="001A067E"/>
    <w:rsid w:val="001A2900"/>
    <w:rsid w:val="001A4081"/>
    <w:rsid w:val="001A65F1"/>
    <w:rsid w:val="001B2B40"/>
    <w:rsid w:val="001B3E9D"/>
    <w:rsid w:val="001B4A40"/>
    <w:rsid w:val="001B5524"/>
    <w:rsid w:val="001B6D8A"/>
    <w:rsid w:val="001C19D4"/>
    <w:rsid w:val="001C2B0B"/>
    <w:rsid w:val="001C436D"/>
    <w:rsid w:val="001D0805"/>
    <w:rsid w:val="001D63C8"/>
    <w:rsid w:val="001D65D8"/>
    <w:rsid w:val="001E3DFD"/>
    <w:rsid w:val="001E42F0"/>
    <w:rsid w:val="001E497A"/>
    <w:rsid w:val="001E5E3B"/>
    <w:rsid w:val="001F0B31"/>
    <w:rsid w:val="002233A7"/>
    <w:rsid w:val="00225C46"/>
    <w:rsid w:val="00226493"/>
    <w:rsid w:val="00227040"/>
    <w:rsid w:val="002306BB"/>
    <w:rsid w:val="00230CFC"/>
    <w:rsid w:val="0023162A"/>
    <w:rsid w:val="00231C1D"/>
    <w:rsid w:val="00233532"/>
    <w:rsid w:val="00234BC8"/>
    <w:rsid w:val="00241CED"/>
    <w:rsid w:val="00242FB4"/>
    <w:rsid w:val="00245605"/>
    <w:rsid w:val="002542E0"/>
    <w:rsid w:val="002563F0"/>
    <w:rsid w:val="00256DBB"/>
    <w:rsid w:val="00260119"/>
    <w:rsid w:val="0026527E"/>
    <w:rsid w:val="00266064"/>
    <w:rsid w:val="00267C8D"/>
    <w:rsid w:val="002700B0"/>
    <w:rsid w:val="002701DD"/>
    <w:rsid w:val="002710FD"/>
    <w:rsid w:val="00273F49"/>
    <w:rsid w:val="002762F7"/>
    <w:rsid w:val="002769B5"/>
    <w:rsid w:val="00276B25"/>
    <w:rsid w:val="00276B59"/>
    <w:rsid w:val="002812FE"/>
    <w:rsid w:val="00281319"/>
    <w:rsid w:val="00286149"/>
    <w:rsid w:val="0028668D"/>
    <w:rsid w:val="00290289"/>
    <w:rsid w:val="00290C3A"/>
    <w:rsid w:val="00292188"/>
    <w:rsid w:val="002923B2"/>
    <w:rsid w:val="002923D9"/>
    <w:rsid w:val="00296645"/>
    <w:rsid w:val="00296A4B"/>
    <w:rsid w:val="00297284"/>
    <w:rsid w:val="002A0077"/>
    <w:rsid w:val="002A07DC"/>
    <w:rsid w:val="002A3573"/>
    <w:rsid w:val="002A374B"/>
    <w:rsid w:val="002A73E9"/>
    <w:rsid w:val="002B132B"/>
    <w:rsid w:val="002B17D4"/>
    <w:rsid w:val="002B2FC3"/>
    <w:rsid w:val="002B35F0"/>
    <w:rsid w:val="002B58AF"/>
    <w:rsid w:val="002C3748"/>
    <w:rsid w:val="002C5BC0"/>
    <w:rsid w:val="002C5E89"/>
    <w:rsid w:val="002D42BC"/>
    <w:rsid w:val="002D71A9"/>
    <w:rsid w:val="002D7846"/>
    <w:rsid w:val="002D7FCB"/>
    <w:rsid w:val="002E05AE"/>
    <w:rsid w:val="002E10E6"/>
    <w:rsid w:val="002F19E7"/>
    <w:rsid w:val="002F7507"/>
    <w:rsid w:val="002F7843"/>
    <w:rsid w:val="0030059B"/>
    <w:rsid w:val="00302FB4"/>
    <w:rsid w:val="00305273"/>
    <w:rsid w:val="003057FC"/>
    <w:rsid w:val="00305AFB"/>
    <w:rsid w:val="00307C85"/>
    <w:rsid w:val="00312983"/>
    <w:rsid w:val="0032269D"/>
    <w:rsid w:val="00323DC5"/>
    <w:rsid w:val="003248CB"/>
    <w:rsid w:val="00330B03"/>
    <w:rsid w:val="00331EA7"/>
    <w:rsid w:val="003332B8"/>
    <w:rsid w:val="00337555"/>
    <w:rsid w:val="00343B46"/>
    <w:rsid w:val="00344465"/>
    <w:rsid w:val="003447BD"/>
    <w:rsid w:val="00346BA4"/>
    <w:rsid w:val="0034740A"/>
    <w:rsid w:val="0035375B"/>
    <w:rsid w:val="003549F3"/>
    <w:rsid w:val="00362D74"/>
    <w:rsid w:val="003664E9"/>
    <w:rsid w:val="00366D1E"/>
    <w:rsid w:val="003703A5"/>
    <w:rsid w:val="003708A2"/>
    <w:rsid w:val="0037112C"/>
    <w:rsid w:val="00373EE5"/>
    <w:rsid w:val="003817E7"/>
    <w:rsid w:val="00382E55"/>
    <w:rsid w:val="00390B55"/>
    <w:rsid w:val="00393782"/>
    <w:rsid w:val="003961B2"/>
    <w:rsid w:val="003A41AD"/>
    <w:rsid w:val="003B0C41"/>
    <w:rsid w:val="003B152B"/>
    <w:rsid w:val="003B1734"/>
    <w:rsid w:val="003B1735"/>
    <w:rsid w:val="003B2D2E"/>
    <w:rsid w:val="003B4A9D"/>
    <w:rsid w:val="003B6CBF"/>
    <w:rsid w:val="003B789A"/>
    <w:rsid w:val="003C47A7"/>
    <w:rsid w:val="003D0826"/>
    <w:rsid w:val="003D18FC"/>
    <w:rsid w:val="003D3C93"/>
    <w:rsid w:val="003D71BB"/>
    <w:rsid w:val="003D751B"/>
    <w:rsid w:val="003E00D5"/>
    <w:rsid w:val="003E02BA"/>
    <w:rsid w:val="003F0578"/>
    <w:rsid w:val="003F7F38"/>
    <w:rsid w:val="00401325"/>
    <w:rsid w:val="004019AA"/>
    <w:rsid w:val="0040399B"/>
    <w:rsid w:val="00406F0C"/>
    <w:rsid w:val="004106DB"/>
    <w:rsid w:val="00410A9A"/>
    <w:rsid w:val="00411251"/>
    <w:rsid w:val="00412585"/>
    <w:rsid w:val="0041363B"/>
    <w:rsid w:val="00414FA8"/>
    <w:rsid w:val="00415D5D"/>
    <w:rsid w:val="0041643A"/>
    <w:rsid w:val="004232E9"/>
    <w:rsid w:val="0042650F"/>
    <w:rsid w:val="0042684F"/>
    <w:rsid w:val="00427D5D"/>
    <w:rsid w:val="00431E0B"/>
    <w:rsid w:val="004337FE"/>
    <w:rsid w:val="00433E98"/>
    <w:rsid w:val="00435738"/>
    <w:rsid w:val="00437137"/>
    <w:rsid w:val="004403B8"/>
    <w:rsid w:val="00441ADA"/>
    <w:rsid w:val="004422CA"/>
    <w:rsid w:val="0044274C"/>
    <w:rsid w:val="0044371C"/>
    <w:rsid w:val="0044627E"/>
    <w:rsid w:val="004467B0"/>
    <w:rsid w:val="0045114F"/>
    <w:rsid w:val="004529D3"/>
    <w:rsid w:val="00453F31"/>
    <w:rsid w:val="00456B0C"/>
    <w:rsid w:val="00460101"/>
    <w:rsid w:val="0046538B"/>
    <w:rsid w:val="00471C92"/>
    <w:rsid w:val="004739AC"/>
    <w:rsid w:val="00474489"/>
    <w:rsid w:val="00475FEF"/>
    <w:rsid w:val="0047680F"/>
    <w:rsid w:val="00477536"/>
    <w:rsid w:val="0047776F"/>
    <w:rsid w:val="00482D5B"/>
    <w:rsid w:val="004832E2"/>
    <w:rsid w:val="004870EA"/>
    <w:rsid w:val="004873EC"/>
    <w:rsid w:val="00487F13"/>
    <w:rsid w:val="0049595F"/>
    <w:rsid w:val="00496193"/>
    <w:rsid w:val="004A02AF"/>
    <w:rsid w:val="004A2D66"/>
    <w:rsid w:val="004A4449"/>
    <w:rsid w:val="004A679B"/>
    <w:rsid w:val="004C0FB4"/>
    <w:rsid w:val="004C1544"/>
    <w:rsid w:val="004C1811"/>
    <w:rsid w:val="004C2944"/>
    <w:rsid w:val="004C4555"/>
    <w:rsid w:val="004D16D6"/>
    <w:rsid w:val="004D6CEA"/>
    <w:rsid w:val="004E0E02"/>
    <w:rsid w:val="004E3564"/>
    <w:rsid w:val="004E3D9F"/>
    <w:rsid w:val="004E51C0"/>
    <w:rsid w:val="004E64BE"/>
    <w:rsid w:val="004F0EF0"/>
    <w:rsid w:val="004F6293"/>
    <w:rsid w:val="005036F4"/>
    <w:rsid w:val="00503B8D"/>
    <w:rsid w:val="00503EE3"/>
    <w:rsid w:val="00505811"/>
    <w:rsid w:val="0051261C"/>
    <w:rsid w:val="00515DE7"/>
    <w:rsid w:val="00517EB0"/>
    <w:rsid w:val="005205CB"/>
    <w:rsid w:val="0052430C"/>
    <w:rsid w:val="005312F8"/>
    <w:rsid w:val="005348E4"/>
    <w:rsid w:val="00534D8F"/>
    <w:rsid w:val="005352F1"/>
    <w:rsid w:val="00540094"/>
    <w:rsid w:val="00545CFF"/>
    <w:rsid w:val="005462A3"/>
    <w:rsid w:val="00547A9C"/>
    <w:rsid w:val="00555800"/>
    <w:rsid w:val="00556DBB"/>
    <w:rsid w:val="00560781"/>
    <w:rsid w:val="0056268F"/>
    <w:rsid w:val="005662E9"/>
    <w:rsid w:val="005700F8"/>
    <w:rsid w:val="00572AAF"/>
    <w:rsid w:val="005801AE"/>
    <w:rsid w:val="00582868"/>
    <w:rsid w:val="00582ECC"/>
    <w:rsid w:val="0058399B"/>
    <w:rsid w:val="0058692F"/>
    <w:rsid w:val="00587045"/>
    <w:rsid w:val="00587C22"/>
    <w:rsid w:val="005907BE"/>
    <w:rsid w:val="0059436D"/>
    <w:rsid w:val="005945C0"/>
    <w:rsid w:val="00596AB2"/>
    <w:rsid w:val="00597016"/>
    <w:rsid w:val="005974B7"/>
    <w:rsid w:val="005A0D51"/>
    <w:rsid w:val="005A181B"/>
    <w:rsid w:val="005A1CB3"/>
    <w:rsid w:val="005A3073"/>
    <w:rsid w:val="005A33A5"/>
    <w:rsid w:val="005A37D7"/>
    <w:rsid w:val="005A5437"/>
    <w:rsid w:val="005A6969"/>
    <w:rsid w:val="005A70A0"/>
    <w:rsid w:val="005B0612"/>
    <w:rsid w:val="005B13F0"/>
    <w:rsid w:val="005B2E0C"/>
    <w:rsid w:val="005B30F6"/>
    <w:rsid w:val="005B45BA"/>
    <w:rsid w:val="005B5689"/>
    <w:rsid w:val="005B6680"/>
    <w:rsid w:val="005B6774"/>
    <w:rsid w:val="005C0A89"/>
    <w:rsid w:val="005C3BC4"/>
    <w:rsid w:val="005D115D"/>
    <w:rsid w:val="005D26CC"/>
    <w:rsid w:val="005D4711"/>
    <w:rsid w:val="005D59B1"/>
    <w:rsid w:val="005D764B"/>
    <w:rsid w:val="005E2367"/>
    <w:rsid w:val="005E2820"/>
    <w:rsid w:val="005E34D2"/>
    <w:rsid w:val="005E5E90"/>
    <w:rsid w:val="005E62C7"/>
    <w:rsid w:val="005E654C"/>
    <w:rsid w:val="005F05F6"/>
    <w:rsid w:val="005F0D07"/>
    <w:rsid w:val="005F1021"/>
    <w:rsid w:val="00605734"/>
    <w:rsid w:val="0061488E"/>
    <w:rsid w:val="0061574B"/>
    <w:rsid w:val="00616406"/>
    <w:rsid w:val="00622670"/>
    <w:rsid w:val="00623328"/>
    <w:rsid w:val="00623A1A"/>
    <w:rsid w:val="00626E8D"/>
    <w:rsid w:val="0063156B"/>
    <w:rsid w:val="00631C72"/>
    <w:rsid w:val="006326A9"/>
    <w:rsid w:val="00632DA8"/>
    <w:rsid w:val="00634C4B"/>
    <w:rsid w:val="00634E6E"/>
    <w:rsid w:val="0063651F"/>
    <w:rsid w:val="0064342A"/>
    <w:rsid w:val="00643A28"/>
    <w:rsid w:val="006443C5"/>
    <w:rsid w:val="006452FA"/>
    <w:rsid w:val="006473E1"/>
    <w:rsid w:val="006503B4"/>
    <w:rsid w:val="0065093D"/>
    <w:rsid w:val="00652A16"/>
    <w:rsid w:val="00655193"/>
    <w:rsid w:val="00655459"/>
    <w:rsid w:val="00656FB2"/>
    <w:rsid w:val="00657A70"/>
    <w:rsid w:val="00661454"/>
    <w:rsid w:val="006620AA"/>
    <w:rsid w:val="006626AF"/>
    <w:rsid w:val="0066642D"/>
    <w:rsid w:val="006714CA"/>
    <w:rsid w:val="006722E2"/>
    <w:rsid w:val="00675E85"/>
    <w:rsid w:val="0067750F"/>
    <w:rsid w:val="00681396"/>
    <w:rsid w:val="0068171F"/>
    <w:rsid w:val="0068401E"/>
    <w:rsid w:val="006841A4"/>
    <w:rsid w:val="0068643F"/>
    <w:rsid w:val="006877A1"/>
    <w:rsid w:val="00691507"/>
    <w:rsid w:val="00692150"/>
    <w:rsid w:val="00692F0C"/>
    <w:rsid w:val="006944B0"/>
    <w:rsid w:val="00696E7C"/>
    <w:rsid w:val="00696EF2"/>
    <w:rsid w:val="006A0C54"/>
    <w:rsid w:val="006A3012"/>
    <w:rsid w:val="006A3E54"/>
    <w:rsid w:val="006A7C53"/>
    <w:rsid w:val="006B0A18"/>
    <w:rsid w:val="006B140A"/>
    <w:rsid w:val="006B309C"/>
    <w:rsid w:val="006B4316"/>
    <w:rsid w:val="006B727F"/>
    <w:rsid w:val="006C1B57"/>
    <w:rsid w:val="006C6D3A"/>
    <w:rsid w:val="006C7B36"/>
    <w:rsid w:val="006C7B7F"/>
    <w:rsid w:val="006D19E8"/>
    <w:rsid w:val="006D7768"/>
    <w:rsid w:val="006E04B5"/>
    <w:rsid w:val="006E3273"/>
    <w:rsid w:val="006E330C"/>
    <w:rsid w:val="006E3DD8"/>
    <w:rsid w:val="006E793F"/>
    <w:rsid w:val="006F0154"/>
    <w:rsid w:val="006F608D"/>
    <w:rsid w:val="006F7273"/>
    <w:rsid w:val="006F7944"/>
    <w:rsid w:val="00704121"/>
    <w:rsid w:val="00705BB5"/>
    <w:rsid w:val="0071326F"/>
    <w:rsid w:val="007153D7"/>
    <w:rsid w:val="00720ED4"/>
    <w:rsid w:val="00722736"/>
    <w:rsid w:val="0074488F"/>
    <w:rsid w:val="00745AA8"/>
    <w:rsid w:val="00747BCB"/>
    <w:rsid w:val="007503E0"/>
    <w:rsid w:val="007510EC"/>
    <w:rsid w:val="0075233C"/>
    <w:rsid w:val="0075256A"/>
    <w:rsid w:val="00752DCD"/>
    <w:rsid w:val="007569DE"/>
    <w:rsid w:val="0075723C"/>
    <w:rsid w:val="0076146A"/>
    <w:rsid w:val="007621B9"/>
    <w:rsid w:val="0076350E"/>
    <w:rsid w:val="00763F36"/>
    <w:rsid w:val="00764D21"/>
    <w:rsid w:val="00775BDF"/>
    <w:rsid w:val="0077614D"/>
    <w:rsid w:val="00782C8F"/>
    <w:rsid w:val="00785F78"/>
    <w:rsid w:val="0078659D"/>
    <w:rsid w:val="007869EC"/>
    <w:rsid w:val="00791ED8"/>
    <w:rsid w:val="007A1E58"/>
    <w:rsid w:val="007A5C7E"/>
    <w:rsid w:val="007A63F9"/>
    <w:rsid w:val="007A69A9"/>
    <w:rsid w:val="007A6E2F"/>
    <w:rsid w:val="007B0318"/>
    <w:rsid w:val="007B0DF2"/>
    <w:rsid w:val="007B3BC5"/>
    <w:rsid w:val="007B6835"/>
    <w:rsid w:val="007B6F8D"/>
    <w:rsid w:val="007C1832"/>
    <w:rsid w:val="007D03DF"/>
    <w:rsid w:val="007D4953"/>
    <w:rsid w:val="007D50F4"/>
    <w:rsid w:val="007D7173"/>
    <w:rsid w:val="007E1216"/>
    <w:rsid w:val="007E4CD4"/>
    <w:rsid w:val="007E530C"/>
    <w:rsid w:val="007F0E8E"/>
    <w:rsid w:val="007F2149"/>
    <w:rsid w:val="007F4E00"/>
    <w:rsid w:val="007F7820"/>
    <w:rsid w:val="008048CF"/>
    <w:rsid w:val="00806C4A"/>
    <w:rsid w:val="008079DD"/>
    <w:rsid w:val="0081130F"/>
    <w:rsid w:val="00813095"/>
    <w:rsid w:val="008145AD"/>
    <w:rsid w:val="008146B2"/>
    <w:rsid w:val="00824430"/>
    <w:rsid w:val="00825B1F"/>
    <w:rsid w:val="00827D55"/>
    <w:rsid w:val="00832C84"/>
    <w:rsid w:val="00840EDD"/>
    <w:rsid w:val="0084255F"/>
    <w:rsid w:val="00846FB1"/>
    <w:rsid w:val="00854FB3"/>
    <w:rsid w:val="00857FCA"/>
    <w:rsid w:val="00860F13"/>
    <w:rsid w:val="0086199C"/>
    <w:rsid w:val="00861F8B"/>
    <w:rsid w:val="008638F4"/>
    <w:rsid w:val="0086561F"/>
    <w:rsid w:val="00865A7A"/>
    <w:rsid w:val="00865FE1"/>
    <w:rsid w:val="0087069B"/>
    <w:rsid w:val="00874542"/>
    <w:rsid w:val="008748C7"/>
    <w:rsid w:val="0087521A"/>
    <w:rsid w:val="008808C0"/>
    <w:rsid w:val="00882255"/>
    <w:rsid w:val="00890BDE"/>
    <w:rsid w:val="008923A9"/>
    <w:rsid w:val="00892AD3"/>
    <w:rsid w:val="00894155"/>
    <w:rsid w:val="008962E7"/>
    <w:rsid w:val="008A1118"/>
    <w:rsid w:val="008A281F"/>
    <w:rsid w:val="008A2FA0"/>
    <w:rsid w:val="008A48D2"/>
    <w:rsid w:val="008A4AF6"/>
    <w:rsid w:val="008A4FF8"/>
    <w:rsid w:val="008A5ED1"/>
    <w:rsid w:val="008A73CE"/>
    <w:rsid w:val="008A7FD1"/>
    <w:rsid w:val="008B042E"/>
    <w:rsid w:val="008B211E"/>
    <w:rsid w:val="008B6D48"/>
    <w:rsid w:val="008C7660"/>
    <w:rsid w:val="008C79A7"/>
    <w:rsid w:val="008D5521"/>
    <w:rsid w:val="008D555F"/>
    <w:rsid w:val="008D625D"/>
    <w:rsid w:val="008D650E"/>
    <w:rsid w:val="008D6F9F"/>
    <w:rsid w:val="008E673E"/>
    <w:rsid w:val="008E67D1"/>
    <w:rsid w:val="008E6A41"/>
    <w:rsid w:val="008E6FC1"/>
    <w:rsid w:val="008F15D5"/>
    <w:rsid w:val="008F1CEF"/>
    <w:rsid w:val="008F20EA"/>
    <w:rsid w:val="008F79C4"/>
    <w:rsid w:val="00903990"/>
    <w:rsid w:val="009042A8"/>
    <w:rsid w:val="00904950"/>
    <w:rsid w:val="0091442E"/>
    <w:rsid w:val="00915E5E"/>
    <w:rsid w:val="009166B8"/>
    <w:rsid w:val="00916FA5"/>
    <w:rsid w:val="00917915"/>
    <w:rsid w:val="00920684"/>
    <w:rsid w:val="009216E6"/>
    <w:rsid w:val="009224EC"/>
    <w:rsid w:val="00922DB7"/>
    <w:rsid w:val="0092684A"/>
    <w:rsid w:val="00927654"/>
    <w:rsid w:val="00930A27"/>
    <w:rsid w:val="0093531A"/>
    <w:rsid w:val="00937FAB"/>
    <w:rsid w:val="0094094D"/>
    <w:rsid w:val="00942AB8"/>
    <w:rsid w:val="0094548C"/>
    <w:rsid w:val="00945CAF"/>
    <w:rsid w:val="00946AC9"/>
    <w:rsid w:val="00947448"/>
    <w:rsid w:val="00952B38"/>
    <w:rsid w:val="00952C99"/>
    <w:rsid w:val="009619EB"/>
    <w:rsid w:val="00963B9A"/>
    <w:rsid w:val="00965333"/>
    <w:rsid w:val="00967E0A"/>
    <w:rsid w:val="009712EF"/>
    <w:rsid w:val="009727BF"/>
    <w:rsid w:val="00973321"/>
    <w:rsid w:val="00975C2E"/>
    <w:rsid w:val="009770EB"/>
    <w:rsid w:val="00977270"/>
    <w:rsid w:val="009824F2"/>
    <w:rsid w:val="00983080"/>
    <w:rsid w:val="00986AA3"/>
    <w:rsid w:val="00993B24"/>
    <w:rsid w:val="00995430"/>
    <w:rsid w:val="0099611F"/>
    <w:rsid w:val="009A083F"/>
    <w:rsid w:val="009A135C"/>
    <w:rsid w:val="009A1A3E"/>
    <w:rsid w:val="009A67E7"/>
    <w:rsid w:val="009C603A"/>
    <w:rsid w:val="009C74CD"/>
    <w:rsid w:val="009D048F"/>
    <w:rsid w:val="009D06B1"/>
    <w:rsid w:val="009D162F"/>
    <w:rsid w:val="009D23FF"/>
    <w:rsid w:val="009D401F"/>
    <w:rsid w:val="009D5B42"/>
    <w:rsid w:val="009D68FA"/>
    <w:rsid w:val="009E1E4F"/>
    <w:rsid w:val="009E32CF"/>
    <w:rsid w:val="009E4261"/>
    <w:rsid w:val="009E4FC2"/>
    <w:rsid w:val="009F44AE"/>
    <w:rsid w:val="009F59B9"/>
    <w:rsid w:val="00A02529"/>
    <w:rsid w:val="00A02EF2"/>
    <w:rsid w:val="00A04D5E"/>
    <w:rsid w:val="00A10DDF"/>
    <w:rsid w:val="00A11172"/>
    <w:rsid w:val="00A1219E"/>
    <w:rsid w:val="00A12CFC"/>
    <w:rsid w:val="00A12E55"/>
    <w:rsid w:val="00A168D7"/>
    <w:rsid w:val="00A20F81"/>
    <w:rsid w:val="00A22EF9"/>
    <w:rsid w:val="00A235D5"/>
    <w:rsid w:val="00A2411A"/>
    <w:rsid w:val="00A242E4"/>
    <w:rsid w:val="00A24437"/>
    <w:rsid w:val="00A24CA0"/>
    <w:rsid w:val="00A25788"/>
    <w:rsid w:val="00A25D4B"/>
    <w:rsid w:val="00A332ED"/>
    <w:rsid w:val="00A33601"/>
    <w:rsid w:val="00A3362A"/>
    <w:rsid w:val="00A34251"/>
    <w:rsid w:val="00A35278"/>
    <w:rsid w:val="00A36257"/>
    <w:rsid w:val="00A37045"/>
    <w:rsid w:val="00A37B70"/>
    <w:rsid w:val="00A40AC7"/>
    <w:rsid w:val="00A435C7"/>
    <w:rsid w:val="00A51022"/>
    <w:rsid w:val="00A55607"/>
    <w:rsid w:val="00A569B2"/>
    <w:rsid w:val="00A6087E"/>
    <w:rsid w:val="00A60CDA"/>
    <w:rsid w:val="00A611A4"/>
    <w:rsid w:val="00A61F09"/>
    <w:rsid w:val="00A637ED"/>
    <w:rsid w:val="00A63E1A"/>
    <w:rsid w:val="00A643DC"/>
    <w:rsid w:val="00A6695B"/>
    <w:rsid w:val="00A72703"/>
    <w:rsid w:val="00A727F6"/>
    <w:rsid w:val="00A72E71"/>
    <w:rsid w:val="00A76432"/>
    <w:rsid w:val="00A770C0"/>
    <w:rsid w:val="00A84FC6"/>
    <w:rsid w:val="00A8528E"/>
    <w:rsid w:val="00A90BD9"/>
    <w:rsid w:val="00A9101B"/>
    <w:rsid w:val="00A94A49"/>
    <w:rsid w:val="00A94CF0"/>
    <w:rsid w:val="00A95C5E"/>
    <w:rsid w:val="00AA1815"/>
    <w:rsid w:val="00AA1D3E"/>
    <w:rsid w:val="00AA20E7"/>
    <w:rsid w:val="00AA39F9"/>
    <w:rsid w:val="00AA79D3"/>
    <w:rsid w:val="00AB0931"/>
    <w:rsid w:val="00AB4DC4"/>
    <w:rsid w:val="00AB5C9B"/>
    <w:rsid w:val="00AC0159"/>
    <w:rsid w:val="00AC0276"/>
    <w:rsid w:val="00AC0312"/>
    <w:rsid w:val="00AC0449"/>
    <w:rsid w:val="00AC0DC3"/>
    <w:rsid w:val="00AD035F"/>
    <w:rsid w:val="00AD2497"/>
    <w:rsid w:val="00AD5C04"/>
    <w:rsid w:val="00AD5EB4"/>
    <w:rsid w:val="00AD667B"/>
    <w:rsid w:val="00AE63E2"/>
    <w:rsid w:val="00AE7976"/>
    <w:rsid w:val="00AF04C9"/>
    <w:rsid w:val="00AF19A2"/>
    <w:rsid w:val="00AF1DC4"/>
    <w:rsid w:val="00AF26B6"/>
    <w:rsid w:val="00AF2979"/>
    <w:rsid w:val="00AF3189"/>
    <w:rsid w:val="00AF5BF8"/>
    <w:rsid w:val="00B0375C"/>
    <w:rsid w:val="00B052CB"/>
    <w:rsid w:val="00B156C3"/>
    <w:rsid w:val="00B15F67"/>
    <w:rsid w:val="00B1624F"/>
    <w:rsid w:val="00B20F5D"/>
    <w:rsid w:val="00B21184"/>
    <w:rsid w:val="00B224C5"/>
    <w:rsid w:val="00B325CD"/>
    <w:rsid w:val="00B34EF5"/>
    <w:rsid w:val="00B36C0F"/>
    <w:rsid w:val="00B37793"/>
    <w:rsid w:val="00B41203"/>
    <w:rsid w:val="00B4561E"/>
    <w:rsid w:val="00B4768D"/>
    <w:rsid w:val="00B518E5"/>
    <w:rsid w:val="00B51E1F"/>
    <w:rsid w:val="00B52601"/>
    <w:rsid w:val="00B57032"/>
    <w:rsid w:val="00B60222"/>
    <w:rsid w:val="00B62CFB"/>
    <w:rsid w:val="00B662F5"/>
    <w:rsid w:val="00B6777D"/>
    <w:rsid w:val="00B7000C"/>
    <w:rsid w:val="00B760D5"/>
    <w:rsid w:val="00B77495"/>
    <w:rsid w:val="00B7761A"/>
    <w:rsid w:val="00B83B2C"/>
    <w:rsid w:val="00B92049"/>
    <w:rsid w:val="00B94740"/>
    <w:rsid w:val="00B95002"/>
    <w:rsid w:val="00B9795D"/>
    <w:rsid w:val="00B97F75"/>
    <w:rsid w:val="00BA0A4F"/>
    <w:rsid w:val="00BA1CAE"/>
    <w:rsid w:val="00BA33BB"/>
    <w:rsid w:val="00BA4830"/>
    <w:rsid w:val="00BA66B6"/>
    <w:rsid w:val="00BA6E22"/>
    <w:rsid w:val="00BB1460"/>
    <w:rsid w:val="00BB362C"/>
    <w:rsid w:val="00BB5942"/>
    <w:rsid w:val="00BC0A03"/>
    <w:rsid w:val="00BC4A42"/>
    <w:rsid w:val="00BC4F5B"/>
    <w:rsid w:val="00BC5BB4"/>
    <w:rsid w:val="00BD4139"/>
    <w:rsid w:val="00BE059A"/>
    <w:rsid w:val="00BE1981"/>
    <w:rsid w:val="00BE2DA6"/>
    <w:rsid w:val="00BE2E86"/>
    <w:rsid w:val="00BE320B"/>
    <w:rsid w:val="00BE56E9"/>
    <w:rsid w:val="00BE63CF"/>
    <w:rsid w:val="00BE7014"/>
    <w:rsid w:val="00BE7991"/>
    <w:rsid w:val="00BF25C7"/>
    <w:rsid w:val="00BF574B"/>
    <w:rsid w:val="00C009B7"/>
    <w:rsid w:val="00C02B8F"/>
    <w:rsid w:val="00C03824"/>
    <w:rsid w:val="00C04E32"/>
    <w:rsid w:val="00C116B1"/>
    <w:rsid w:val="00C15A3F"/>
    <w:rsid w:val="00C20630"/>
    <w:rsid w:val="00C224A4"/>
    <w:rsid w:val="00C22F7A"/>
    <w:rsid w:val="00C2666F"/>
    <w:rsid w:val="00C32020"/>
    <w:rsid w:val="00C32D02"/>
    <w:rsid w:val="00C3408C"/>
    <w:rsid w:val="00C3484D"/>
    <w:rsid w:val="00C351CC"/>
    <w:rsid w:val="00C35435"/>
    <w:rsid w:val="00C432FD"/>
    <w:rsid w:val="00C43CDF"/>
    <w:rsid w:val="00C4608E"/>
    <w:rsid w:val="00C512B2"/>
    <w:rsid w:val="00C53B5D"/>
    <w:rsid w:val="00C571FB"/>
    <w:rsid w:val="00C57381"/>
    <w:rsid w:val="00C61D56"/>
    <w:rsid w:val="00C62B69"/>
    <w:rsid w:val="00C644B7"/>
    <w:rsid w:val="00C64564"/>
    <w:rsid w:val="00C66D6F"/>
    <w:rsid w:val="00C71377"/>
    <w:rsid w:val="00C73C87"/>
    <w:rsid w:val="00C74B6F"/>
    <w:rsid w:val="00C872B2"/>
    <w:rsid w:val="00C87EF3"/>
    <w:rsid w:val="00C9015F"/>
    <w:rsid w:val="00C912F9"/>
    <w:rsid w:val="00C91B22"/>
    <w:rsid w:val="00C9241B"/>
    <w:rsid w:val="00C9370B"/>
    <w:rsid w:val="00C96DDF"/>
    <w:rsid w:val="00C972C2"/>
    <w:rsid w:val="00C97569"/>
    <w:rsid w:val="00CA165D"/>
    <w:rsid w:val="00CA199D"/>
    <w:rsid w:val="00CA4D9C"/>
    <w:rsid w:val="00CB05A7"/>
    <w:rsid w:val="00CB06A4"/>
    <w:rsid w:val="00CB325B"/>
    <w:rsid w:val="00CB3EFF"/>
    <w:rsid w:val="00CB64FF"/>
    <w:rsid w:val="00CB7078"/>
    <w:rsid w:val="00CB711D"/>
    <w:rsid w:val="00CB7902"/>
    <w:rsid w:val="00CC014B"/>
    <w:rsid w:val="00CC0E81"/>
    <w:rsid w:val="00CC21D8"/>
    <w:rsid w:val="00CC26DD"/>
    <w:rsid w:val="00CC3369"/>
    <w:rsid w:val="00CC5343"/>
    <w:rsid w:val="00CC59D7"/>
    <w:rsid w:val="00CC6338"/>
    <w:rsid w:val="00CC78DE"/>
    <w:rsid w:val="00CD04D9"/>
    <w:rsid w:val="00CD0F93"/>
    <w:rsid w:val="00CD171A"/>
    <w:rsid w:val="00CD6D6E"/>
    <w:rsid w:val="00CD6F23"/>
    <w:rsid w:val="00CF640B"/>
    <w:rsid w:val="00CF6B5A"/>
    <w:rsid w:val="00D027AF"/>
    <w:rsid w:val="00D0323E"/>
    <w:rsid w:val="00D06652"/>
    <w:rsid w:val="00D07FA6"/>
    <w:rsid w:val="00D12E56"/>
    <w:rsid w:val="00D16ADF"/>
    <w:rsid w:val="00D17C53"/>
    <w:rsid w:val="00D17D57"/>
    <w:rsid w:val="00D2341D"/>
    <w:rsid w:val="00D252DA"/>
    <w:rsid w:val="00D25E0E"/>
    <w:rsid w:val="00D302EB"/>
    <w:rsid w:val="00D31679"/>
    <w:rsid w:val="00D320C8"/>
    <w:rsid w:val="00D330B6"/>
    <w:rsid w:val="00D3672F"/>
    <w:rsid w:val="00D37BAA"/>
    <w:rsid w:val="00D40ABA"/>
    <w:rsid w:val="00D40FE2"/>
    <w:rsid w:val="00D43628"/>
    <w:rsid w:val="00D440FA"/>
    <w:rsid w:val="00D44BCF"/>
    <w:rsid w:val="00D46E73"/>
    <w:rsid w:val="00D55091"/>
    <w:rsid w:val="00D5548D"/>
    <w:rsid w:val="00D56572"/>
    <w:rsid w:val="00D60F81"/>
    <w:rsid w:val="00D63951"/>
    <w:rsid w:val="00D63BF2"/>
    <w:rsid w:val="00D67348"/>
    <w:rsid w:val="00D70A26"/>
    <w:rsid w:val="00D73BB4"/>
    <w:rsid w:val="00D75FEC"/>
    <w:rsid w:val="00D76B98"/>
    <w:rsid w:val="00D82E63"/>
    <w:rsid w:val="00D835A0"/>
    <w:rsid w:val="00D86905"/>
    <w:rsid w:val="00D86F2C"/>
    <w:rsid w:val="00D903EE"/>
    <w:rsid w:val="00D94301"/>
    <w:rsid w:val="00D96248"/>
    <w:rsid w:val="00DA0680"/>
    <w:rsid w:val="00DA36F6"/>
    <w:rsid w:val="00DA48F0"/>
    <w:rsid w:val="00DA7248"/>
    <w:rsid w:val="00DB0C8D"/>
    <w:rsid w:val="00DB1CA0"/>
    <w:rsid w:val="00DB6AF2"/>
    <w:rsid w:val="00DC1599"/>
    <w:rsid w:val="00DC1611"/>
    <w:rsid w:val="00DD3C53"/>
    <w:rsid w:val="00DD6B73"/>
    <w:rsid w:val="00DE5379"/>
    <w:rsid w:val="00DE745D"/>
    <w:rsid w:val="00DF0774"/>
    <w:rsid w:val="00DF1036"/>
    <w:rsid w:val="00DF4644"/>
    <w:rsid w:val="00DF68F6"/>
    <w:rsid w:val="00DF7A83"/>
    <w:rsid w:val="00E012B4"/>
    <w:rsid w:val="00E05451"/>
    <w:rsid w:val="00E05651"/>
    <w:rsid w:val="00E100F6"/>
    <w:rsid w:val="00E11BA5"/>
    <w:rsid w:val="00E17CBD"/>
    <w:rsid w:val="00E20425"/>
    <w:rsid w:val="00E21768"/>
    <w:rsid w:val="00E25DCB"/>
    <w:rsid w:val="00E2613B"/>
    <w:rsid w:val="00E313DF"/>
    <w:rsid w:val="00E330E0"/>
    <w:rsid w:val="00E36C70"/>
    <w:rsid w:val="00E4156E"/>
    <w:rsid w:val="00E44D61"/>
    <w:rsid w:val="00E453F2"/>
    <w:rsid w:val="00E460AD"/>
    <w:rsid w:val="00E61925"/>
    <w:rsid w:val="00E6363B"/>
    <w:rsid w:val="00E65C0E"/>
    <w:rsid w:val="00E65FB9"/>
    <w:rsid w:val="00E730FC"/>
    <w:rsid w:val="00E746F0"/>
    <w:rsid w:val="00E768F2"/>
    <w:rsid w:val="00E809B9"/>
    <w:rsid w:val="00E82A15"/>
    <w:rsid w:val="00E85445"/>
    <w:rsid w:val="00E87589"/>
    <w:rsid w:val="00E938FF"/>
    <w:rsid w:val="00E93DFE"/>
    <w:rsid w:val="00EA2124"/>
    <w:rsid w:val="00EA2B12"/>
    <w:rsid w:val="00EA34DC"/>
    <w:rsid w:val="00EA456C"/>
    <w:rsid w:val="00EA5017"/>
    <w:rsid w:val="00EA6BED"/>
    <w:rsid w:val="00EB14F0"/>
    <w:rsid w:val="00EB3844"/>
    <w:rsid w:val="00EB5A9F"/>
    <w:rsid w:val="00EC573F"/>
    <w:rsid w:val="00EC5C8D"/>
    <w:rsid w:val="00ED106C"/>
    <w:rsid w:val="00ED2D34"/>
    <w:rsid w:val="00ED4805"/>
    <w:rsid w:val="00ED57F6"/>
    <w:rsid w:val="00ED6C51"/>
    <w:rsid w:val="00ED6DA1"/>
    <w:rsid w:val="00EF0AF8"/>
    <w:rsid w:val="00EF207D"/>
    <w:rsid w:val="00EF4258"/>
    <w:rsid w:val="00EF6D31"/>
    <w:rsid w:val="00EF6D9C"/>
    <w:rsid w:val="00EF76EA"/>
    <w:rsid w:val="00F02237"/>
    <w:rsid w:val="00F046F1"/>
    <w:rsid w:val="00F072E2"/>
    <w:rsid w:val="00F079A6"/>
    <w:rsid w:val="00F10236"/>
    <w:rsid w:val="00F15811"/>
    <w:rsid w:val="00F22423"/>
    <w:rsid w:val="00F2349A"/>
    <w:rsid w:val="00F24C72"/>
    <w:rsid w:val="00F30267"/>
    <w:rsid w:val="00F31D22"/>
    <w:rsid w:val="00F348B2"/>
    <w:rsid w:val="00F34BF0"/>
    <w:rsid w:val="00F34ED8"/>
    <w:rsid w:val="00F4095A"/>
    <w:rsid w:val="00F452CC"/>
    <w:rsid w:val="00F45845"/>
    <w:rsid w:val="00F50189"/>
    <w:rsid w:val="00F508FC"/>
    <w:rsid w:val="00F510B7"/>
    <w:rsid w:val="00F53571"/>
    <w:rsid w:val="00F54044"/>
    <w:rsid w:val="00F576E7"/>
    <w:rsid w:val="00F73D1C"/>
    <w:rsid w:val="00F763FC"/>
    <w:rsid w:val="00F76730"/>
    <w:rsid w:val="00F76B4A"/>
    <w:rsid w:val="00F772C1"/>
    <w:rsid w:val="00F8026D"/>
    <w:rsid w:val="00F8245F"/>
    <w:rsid w:val="00F82E40"/>
    <w:rsid w:val="00F90A33"/>
    <w:rsid w:val="00F91629"/>
    <w:rsid w:val="00F91E2A"/>
    <w:rsid w:val="00F95280"/>
    <w:rsid w:val="00F96C39"/>
    <w:rsid w:val="00F96E41"/>
    <w:rsid w:val="00FA153F"/>
    <w:rsid w:val="00FA1D78"/>
    <w:rsid w:val="00FA1F7E"/>
    <w:rsid w:val="00FA280F"/>
    <w:rsid w:val="00FA5289"/>
    <w:rsid w:val="00FA6213"/>
    <w:rsid w:val="00FB2186"/>
    <w:rsid w:val="00FB7E03"/>
    <w:rsid w:val="00FD0133"/>
    <w:rsid w:val="00FD25FE"/>
    <w:rsid w:val="00FD6206"/>
    <w:rsid w:val="00FE1318"/>
    <w:rsid w:val="00FE208F"/>
    <w:rsid w:val="00FE54CD"/>
    <w:rsid w:val="00FE6DF6"/>
    <w:rsid w:val="00FE7F93"/>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4D78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 Car, Car Car Car Car Car, Car Car Car Car, Car Car Car, Car Car Car Car Car Car Car Car Car,Car Car,Car Car Car,Car,Car Car Car Car Car,Car Car Car Car Car Car Car 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 Car Car, Car Car Car Car Car Car, Car Car Car Car Car1, Car Car Car Car1, Car Car Car Car Car Car Car Car Car Car,Car Car Car1,Car Car Car Car,Car Car4"/>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uiPriority w:val="34"/>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corpsdedcisionCar">
    <w:name w:val="corps de décision Car"/>
    <w:link w:val="corpsdedcision"/>
    <w:rsid w:val="00C972C2"/>
    <w:rPr>
      <w:rFonts w:ascii="Arial" w:hAnsi="Arial"/>
      <w:sz w:val="24"/>
    </w:rPr>
  </w:style>
  <w:style w:type="paragraph" w:styleId="Textedebulles">
    <w:name w:val="Balloon Text"/>
    <w:basedOn w:val="Normal"/>
    <w:link w:val="TextedebullesCar"/>
    <w:rsid w:val="00C972C2"/>
    <w:rPr>
      <w:rFonts w:ascii="Segoe UI" w:hAnsi="Segoe UI" w:cs="Segoe UI"/>
      <w:sz w:val="18"/>
      <w:szCs w:val="18"/>
    </w:rPr>
  </w:style>
  <w:style w:type="character" w:customStyle="1" w:styleId="TextedebullesCar">
    <w:name w:val="Texte de bulles Car"/>
    <w:basedOn w:val="Policepardfaut"/>
    <w:link w:val="Textedebulles"/>
    <w:rsid w:val="00C972C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7275986">
      <w:bodyDiv w:val="1"/>
      <w:marLeft w:val="0"/>
      <w:marRight w:val="0"/>
      <w:marTop w:val="0"/>
      <w:marBottom w:val="0"/>
      <w:divBdr>
        <w:top w:val="none" w:sz="0" w:space="0" w:color="auto"/>
        <w:left w:val="none" w:sz="0" w:space="0" w:color="auto"/>
        <w:bottom w:val="none" w:sz="0" w:space="0" w:color="auto"/>
        <w:right w:val="none" w:sz="0" w:space="0" w:color="auto"/>
      </w:divBdr>
    </w:div>
    <w:div w:id="701440969">
      <w:bodyDiv w:val="1"/>
      <w:marLeft w:val="0"/>
      <w:marRight w:val="0"/>
      <w:marTop w:val="0"/>
      <w:marBottom w:val="0"/>
      <w:divBdr>
        <w:top w:val="none" w:sz="0" w:space="0" w:color="auto"/>
        <w:left w:val="none" w:sz="0" w:space="0" w:color="auto"/>
        <w:bottom w:val="none" w:sz="0" w:space="0" w:color="auto"/>
        <w:right w:val="none" w:sz="0" w:space="0" w:color="auto"/>
      </w:divBdr>
    </w:div>
    <w:div w:id="1456365532">
      <w:bodyDiv w:val="1"/>
      <w:marLeft w:val="0"/>
      <w:marRight w:val="0"/>
      <w:marTop w:val="0"/>
      <w:marBottom w:val="0"/>
      <w:divBdr>
        <w:top w:val="none" w:sz="0" w:space="0" w:color="auto"/>
        <w:left w:val="none" w:sz="0" w:space="0" w:color="auto"/>
        <w:bottom w:val="none" w:sz="0" w:space="0" w:color="auto"/>
        <w:right w:val="none" w:sz="0" w:space="0" w:color="auto"/>
      </w:divBdr>
    </w:div>
    <w:div w:id="2112124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coopacou.com/acouphene/definir-acouphene/acouphene-et-surdit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4374</Words>
  <Characters>24061</Characters>
  <Application>Microsoft Office Word</Application>
  <DocSecurity>0</DocSecurity>
  <Lines>200</Lines>
  <Paragraphs>56</Paragraphs>
  <ScaleCrop>false</ScaleCrop>
  <Company/>
  <LinksUpToDate>false</LinksUpToDate>
  <CharactersWithSpaces>28379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2025-08-04T17:12:00Z</dcterms:created>
  <dcterms:modified xsi:type="dcterms:W3CDTF">2025-08-04T17:12:00Z</dcterms:modified>
</cp:coreProperties>
</file>