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B2513" w14:paraId="22D4180C" w14:textId="77777777">
        <w:trPr>
          <w:cantSplit/>
        </w:trPr>
        <w:tc>
          <w:tcPr>
            <w:tcW w:w="4795" w:type="dxa"/>
          </w:tcPr>
          <w:p w14:paraId="0A71ABB7" w14:textId="6A62A177" w:rsidR="008A7FD1" w:rsidRPr="005A7262" w:rsidRDefault="005A7262" w:rsidP="005A7262">
            <w:pPr>
              <w:pStyle w:val="zSoquijdatRepertorie"/>
              <w:rPr>
                <w:rFonts w:cs="Arial"/>
              </w:rPr>
            </w:pPr>
            <w:bookmarkStart w:id="0" w:name="_GoBack"/>
            <w:bookmarkEnd w:id="0"/>
            <w:r>
              <w:rPr>
                <w:rFonts w:cs="Arial"/>
              </w:rPr>
              <w:t>Morrison et Manoir du Havre</w:t>
            </w:r>
          </w:p>
        </w:tc>
        <w:tc>
          <w:tcPr>
            <w:tcW w:w="2477" w:type="dxa"/>
          </w:tcPr>
          <w:p w14:paraId="45D54C12" w14:textId="109C39A7" w:rsidR="008A7FD1" w:rsidRPr="007B0D92" w:rsidRDefault="007B0D92" w:rsidP="007B0D92">
            <w:pPr>
              <w:pStyle w:val="zSoquijdatRefNeutre"/>
              <w:rPr>
                <w:rFonts w:cs="Arial"/>
              </w:rPr>
            </w:pPr>
            <w:r w:rsidRPr="007B0D92">
              <w:rPr>
                <w:rFonts w:cs="Arial"/>
              </w:rPr>
              <w:t>2025 QCTAT 3186</w:t>
            </w:r>
          </w:p>
        </w:tc>
      </w:tr>
    </w:tbl>
    <w:p w14:paraId="3DAB3F1B" w14:textId="77777777" w:rsidR="008A7FD1" w:rsidRPr="008B2513"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8B2513" w:rsidRPr="008B2513" w14:paraId="48D4814B" w14:textId="77777777" w:rsidTr="00036794">
        <w:trPr>
          <w:cantSplit/>
        </w:trPr>
        <w:tc>
          <w:tcPr>
            <w:tcW w:w="9568" w:type="dxa"/>
            <w:gridSpan w:val="4"/>
          </w:tcPr>
          <w:p w14:paraId="6DA0B1DE" w14:textId="77777777" w:rsidR="00C74B6F" w:rsidRPr="008B2513" w:rsidRDefault="00C74B6F">
            <w:pPr>
              <w:rPr>
                <w:szCs w:val="24"/>
              </w:rPr>
            </w:pPr>
          </w:p>
        </w:tc>
      </w:tr>
      <w:tr w:rsidR="008B2513" w:rsidRPr="008B2513" w14:paraId="554B58F1" w14:textId="77777777" w:rsidTr="00036794">
        <w:trPr>
          <w:cantSplit/>
        </w:trPr>
        <w:tc>
          <w:tcPr>
            <w:tcW w:w="9568" w:type="dxa"/>
            <w:gridSpan w:val="4"/>
            <w:vAlign w:val="center"/>
          </w:tcPr>
          <w:p w14:paraId="1B70E69A" w14:textId="77777777" w:rsidR="00C74B6F" w:rsidRPr="008B2513" w:rsidRDefault="000E1320">
            <w:pPr>
              <w:jc w:val="center"/>
              <w:rPr>
                <w:sz w:val="36"/>
                <w:szCs w:val="36"/>
              </w:rPr>
            </w:pPr>
            <w:r w:rsidRPr="008B2513">
              <w:rPr>
                <w:b/>
                <w:sz w:val="36"/>
                <w:szCs w:val="36"/>
              </w:rPr>
              <w:t>TRIBUNAL ADMINISTRATIF DU TRAVAIL</w:t>
            </w:r>
          </w:p>
        </w:tc>
      </w:tr>
      <w:tr w:rsidR="008B2513" w:rsidRPr="008B2513" w14:paraId="028CCB89" w14:textId="77777777" w:rsidTr="00036794">
        <w:trPr>
          <w:cantSplit/>
        </w:trPr>
        <w:tc>
          <w:tcPr>
            <w:tcW w:w="9568" w:type="dxa"/>
            <w:gridSpan w:val="4"/>
          </w:tcPr>
          <w:p w14:paraId="469FFBD4" w14:textId="045BE223" w:rsidR="00C74B6F" w:rsidRPr="008B2513" w:rsidRDefault="006F0154" w:rsidP="009A67E7">
            <w:pPr>
              <w:pStyle w:val="zSoquijdatDivision"/>
            </w:pPr>
            <w:r w:rsidRPr="008B2513">
              <w:t>(</w:t>
            </w:r>
            <w:r w:rsidR="00D4290E" w:rsidRPr="008B2513">
              <w:t>Division de la santé et de la sécurité du travail</w:t>
            </w:r>
            <w:r w:rsidRPr="008B2513">
              <w:t>)</w:t>
            </w:r>
          </w:p>
        </w:tc>
      </w:tr>
      <w:tr w:rsidR="008B2513" w:rsidRPr="008B2513" w14:paraId="4D3B0A37" w14:textId="77777777" w:rsidTr="00036794">
        <w:trPr>
          <w:cantSplit/>
        </w:trPr>
        <w:tc>
          <w:tcPr>
            <w:tcW w:w="9568" w:type="dxa"/>
            <w:gridSpan w:val="4"/>
          </w:tcPr>
          <w:p w14:paraId="6E69003D" w14:textId="77777777" w:rsidR="002B2FC3" w:rsidRPr="008B2513" w:rsidRDefault="002B2FC3" w:rsidP="002B2FC3"/>
        </w:tc>
      </w:tr>
      <w:tr w:rsidR="008B2513" w:rsidRPr="008B2513" w14:paraId="42F6BF38" w14:textId="77777777" w:rsidTr="00036794">
        <w:trPr>
          <w:cantSplit/>
        </w:trPr>
        <w:tc>
          <w:tcPr>
            <w:tcW w:w="9568" w:type="dxa"/>
            <w:gridSpan w:val="4"/>
          </w:tcPr>
          <w:p w14:paraId="6D03B9AB" w14:textId="77777777" w:rsidR="00A84FC6" w:rsidRPr="008B2513" w:rsidRDefault="00A84FC6" w:rsidP="002B2FC3"/>
        </w:tc>
      </w:tr>
      <w:tr w:rsidR="008B2513" w:rsidRPr="008B2513" w14:paraId="6620D267" w14:textId="77777777" w:rsidTr="00036794">
        <w:tc>
          <w:tcPr>
            <w:tcW w:w="3331" w:type="dxa"/>
          </w:tcPr>
          <w:p w14:paraId="0F12A8FB" w14:textId="77777777" w:rsidR="00C74B6F" w:rsidRPr="008B2513" w:rsidRDefault="0084255F">
            <w:bookmarkStart w:id="1" w:name="region" w:colFirst="1" w:colLast="1"/>
            <w:r w:rsidRPr="008B2513">
              <w:t>Région :</w:t>
            </w:r>
          </w:p>
        </w:tc>
        <w:tc>
          <w:tcPr>
            <w:tcW w:w="6237" w:type="dxa"/>
            <w:gridSpan w:val="3"/>
          </w:tcPr>
          <w:p w14:paraId="59E94C4B" w14:textId="79F0EC11" w:rsidR="00C74B6F" w:rsidRPr="008B2513" w:rsidRDefault="00D4290E" w:rsidP="00F4095A">
            <w:pPr>
              <w:pStyle w:val="zSoquijdatGreffe"/>
            </w:pPr>
            <w:r w:rsidRPr="008B2513">
              <w:t>Gaspésie–Îles-de-la-Madeleine, Bas-Saint-Laurent et Côte</w:t>
            </w:r>
            <w:r w:rsidRPr="008B2513">
              <w:noBreakHyphen/>
              <w:t>Nord</w:t>
            </w:r>
          </w:p>
        </w:tc>
      </w:tr>
      <w:bookmarkEnd w:id="1"/>
      <w:tr w:rsidR="008B2513" w:rsidRPr="008B2513" w14:paraId="441B4D72" w14:textId="77777777" w:rsidTr="00036794">
        <w:trPr>
          <w:cantSplit/>
        </w:trPr>
        <w:tc>
          <w:tcPr>
            <w:tcW w:w="9568" w:type="dxa"/>
            <w:gridSpan w:val="4"/>
          </w:tcPr>
          <w:p w14:paraId="1434AE9C" w14:textId="77777777" w:rsidR="00C74B6F" w:rsidRPr="008B2513" w:rsidRDefault="00C74B6F"/>
        </w:tc>
      </w:tr>
      <w:tr w:rsidR="008B2513" w:rsidRPr="008B2513" w14:paraId="73132743" w14:textId="77777777" w:rsidTr="00036794">
        <w:tc>
          <w:tcPr>
            <w:tcW w:w="3331" w:type="dxa"/>
          </w:tcPr>
          <w:p w14:paraId="6676DFC9" w14:textId="387399D2" w:rsidR="00C74B6F" w:rsidRPr="008B2513" w:rsidRDefault="0084255F">
            <w:bookmarkStart w:id="2" w:name="ref_dossier" w:colFirst="1" w:colLast="1"/>
            <w:r w:rsidRPr="008B2513">
              <w:t>Dossier</w:t>
            </w:r>
            <w:bookmarkStart w:id="3" w:name="dossiers"/>
            <w:bookmarkEnd w:id="3"/>
            <w:r w:rsidRPr="008B2513">
              <w:t> :</w:t>
            </w:r>
          </w:p>
        </w:tc>
        <w:tc>
          <w:tcPr>
            <w:tcW w:w="6237" w:type="dxa"/>
            <w:gridSpan w:val="3"/>
          </w:tcPr>
          <w:p w14:paraId="797405E5" w14:textId="425183A9" w:rsidR="00C74B6F" w:rsidRPr="008B2513" w:rsidRDefault="00D4290E" w:rsidP="00F4095A">
            <w:pPr>
              <w:pStyle w:val="zSoquijdatNoDossier"/>
            </w:pPr>
            <w:r w:rsidRPr="008B2513">
              <w:t>1258845-01B-2201</w:t>
            </w:r>
          </w:p>
        </w:tc>
      </w:tr>
      <w:bookmarkEnd w:id="2"/>
      <w:tr w:rsidR="008B2513" w:rsidRPr="008B2513" w14:paraId="727B0224" w14:textId="77777777" w:rsidTr="00036794">
        <w:trPr>
          <w:cantSplit/>
        </w:trPr>
        <w:tc>
          <w:tcPr>
            <w:tcW w:w="9568" w:type="dxa"/>
            <w:gridSpan w:val="4"/>
          </w:tcPr>
          <w:p w14:paraId="40D625F5" w14:textId="77777777" w:rsidR="00C74B6F" w:rsidRPr="008B2513" w:rsidRDefault="00D44BCF">
            <w:r w:rsidRPr="008B2513">
              <w:fldChar w:fldCharType="begin"/>
            </w:r>
            <w:r w:rsidRPr="008B2513">
              <w:instrText xml:space="preserve"> AUTOTEXTLIST  \* Upper  \* MERGEFORMAT </w:instrText>
            </w:r>
            <w:r w:rsidRPr="008B2513">
              <w:fldChar w:fldCharType="end"/>
            </w:r>
          </w:p>
        </w:tc>
      </w:tr>
      <w:tr w:rsidR="008B2513" w:rsidRPr="008B2513" w14:paraId="5E440572" w14:textId="77777777" w:rsidTr="00036794">
        <w:tc>
          <w:tcPr>
            <w:tcW w:w="3331" w:type="dxa"/>
          </w:tcPr>
          <w:p w14:paraId="740E0C9F" w14:textId="18AEABE8" w:rsidR="00C74B6F" w:rsidRPr="008B2513" w:rsidRDefault="008C79A7" w:rsidP="0045114F">
            <w:pPr>
              <w:ind w:right="46"/>
            </w:pPr>
            <w:r w:rsidRPr="008B2513">
              <w:t xml:space="preserve">Dossier </w:t>
            </w:r>
            <w:r w:rsidR="006D5E76" w:rsidRPr="008B2513">
              <w:rPr>
                <w:szCs w:val="24"/>
              </w:rPr>
              <w:t>CNESST</w:t>
            </w:r>
            <w:r w:rsidRPr="008B2513">
              <w:rPr>
                <w:szCs w:val="24"/>
              </w:rPr>
              <w:t xml:space="preserve"> :</w:t>
            </w:r>
          </w:p>
        </w:tc>
        <w:tc>
          <w:tcPr>
            <w:tcW w:w="6237" w:type="dxa"/>
            <w:gridSpan w:val="3"/>
          </w:tcPr>
          <w:p w14:paraId="5A071F2E" w14:textId="21387F41" w:rsidR="00C74B6F" w:rsidRPr="008B2513" w:rsidRDefault="00D4290E" w:rsidP="004D6CEA">
            <w:pPr>
              <w:pStyle w:val="zSoquijdatNCSST"/>
            </w:pPr>
            <w:r w:rsidRPr="008B2513">
              <w:t>510239593</w:t>
            </w:r>
          </w:p>
        </w:tc>
      </w:tr>
      <w:tr w:rsidR="008B2513" w:rsidRPr="008B2513" w14:paraId="5DDF5FE5" w14:textId="77777777" w:rsidTr="00036794">
        <w:trPr>
          <w:cantSplit/>
        </w:trPr>
        <w:tc>
          <w:tcPr>
            <w:tcW w:w="9568" w:type="dxa"/>
            <w:gridSpan w:val="4"/>
          </w:tcPr>
          <w:p w14:paraId="7291C92B" w14:textId="77777777" w:rsidR="00C74B6F" w:rsidRPr="008B2513" w:rsidRDefault="00C74B6F"/>
        </w:tc>
      </w:tr>
      <w:tr w:rsidR="008B2513" w:rsidRPr="008B2513" w14:paraId="7D146799" w14:textId="77777777" w:rsidTr="00036794">
        <w:trPr>
          <w:cantSplit/>
        </w:trPr>
        <w:tc>
          <w:tcPr>
            <w:tcW w:w="9568" w:type="dxa"/>
            <w:gridSpan w:val="4"/>
          </w:tcPr>
          <w:p w14:paraId="5EAF1062" w14:textId="77777777" w:rsidR="00C74B6F" w:rsidRPr="008B2513" w:rsidRDefault="00C74B6F">
            <w:bookmarkStart w:id="4" w:name="assesseur"/>
            <w:bookmarkEnd w:id="4"/>
          </w:p>
        </w:tc>
      </w:tr>
      <w:tr w:rsidR="008B2513" w:rsidRPr="008B2513" w14:paraId="20F05901" w14:textId="77777777" w:rsidTr="00036794">
        <w:trPr>
          <w:cantSplit/>
        </w:trPr>
        <w:tc>
          <w:tcPr>
            <w:tcW w:w="3331" w:type="dxa"/>
          </w:tcPr>
          <w:p w14:paraId="12D75D48" w14:textId="60911B8D" w:rsidR="006E3DD8" w:rsidRPr="008B2513" w:rsidRDefault="00D4290E" w:rsidP="0076350E">
            <w:pPr>
              <w:ind w:right="-70"/>
            </w:pPr>
            <w:r w:rsidRPr="008B2513">
              <w:t>Montréal</w:t>
            </w:r>
            <w:r w:rsidR="00C04E32" w:rsidRPr="008B2513">
              <w:t>,</w:t>
            </w:r>
          </w:p>
        </w:tc>
        <w:tc>
          <w:tcPr>
            <w:tcW w:w="6237" w:type="dxa"/>
            <w:gridSpan w:val="3"/>
          </w:tcPr>
          <w:p w14:paraId="6B226101" w14:textId="2DD510FF" w:rsidR="006E3DD8" w:rsidRPr="008B2513" w:rsidRDefault="00C04E32" w:rsidP="005B5689">
            <w:pPr>
              <w:pStyle w:val="zSoquijdatDateJugement"/>
            </w:pPr>
            <w:r w:rsidRPr="008B2513">
              <w:t xml:space="preserve">le </w:t>
            </w:r>
            <w:r w:rsidR="006D5E76" w:rsidRPr="008B2513">
              <w:t>30 juillet 2025</w:t>
            </w:r>
          </w:p>
        </w:tc>
      </w:tr>
      <w:tr w:rsidR="008B2513" w:rsidRPr="008B2513" w14:paraId="0D8133E2" w14:textId="77777777" w:rsidTr="00036794">
        <w:trPr>
          <w:cantSplit/>
        </w:trPr>
        <w:tc>
          <w:tcPr>
            <w:tcW w:w="9568" w:type="dxa"/>
            <w:gridSpan w:val="4"/>
          </w:tcPr>
          <w:p w14:paraId="3F9335BC" w14:textId="77777777" w:rsidR="00942AB8" w:rsidRPr="008B2513" w:rsidRDefault="00942AB8" w:rsidP="00FA153F">
            <w:r w:rsidRPr="008B2513">
              <w:t>______________________________________________________________________</w:t>
            </w:r>
          </w:p>
        </w:tc>
      </w:tr>
      <w:tr w:rsidR="008B2513" w:rsidRPr="008B2513" w14:paraId="6F46F074" w14:textId="77777777" w:rsidTr="00036794">
        <w:trPr>
          <w:cantSplit/>
          <w:trHeight w:val="148"/>
        </w:trPr>
        <w:tc>
          <w:tcPr>
            <w:tcW w:w="9568" w:type="dxa"/>
            <w:gridSpan w:val="4"/>
          </w:tcPr>
          <w:p w14:paraId="30B01CA0" w14:textId="77777777" w:rsidR="00942AB8" w:rsidRPr="008B2513" w:rsidRDefault="00942AB8" w:rsidP="00FA153F"/>
        </w:tc>
      </w:tr>
      <w:tr w:rsidR="008B2513" w:rsidRPr="008B2513" w14:paraId="5C6C3952" w14:textId="77777777" w:rsidTr="00036794">
        <w:trPr>
          <w:cantSplit/>
          <w:trHeight w:val="148"/>
        </w:trPr>
        <w:tc>
          <w:tcPr>
            <w:tcW w:w="5883" w:type="dxa"/>
            <w:gridSpan w:val="3"/>
          </w:tcPr>
          <w:p w14:paraId="0F83732D" w14:textId="5A944FFA" w:rsidR="0035375B" w:rsidRPr="008B2513" w:rsidRDefault="0035375B">
            <w:pPr>
              <w:rPr>
                <w:b/>
                <w:bCs/>
              </w:rPr>
            </w:pPr>
            <w:bookmarkStart w:id="5" w:name="ref_commissaire" w:colFirst="1" w:colLast="1"/>
            <w:r w:rsidRPr="008B2513">
              <w:rPr>
                <w:b/>
                <w:bCs/>
              </w:rPr>
              <w:t>DEVANT L</w:t>
            </w:r>
            <w:r w:rsidR="00D4290E" w:rsidRPr="008B2513">
              <w:rPr>
                <w:b/>
                <w:bCs/>
              </w:rPr>
              <w:t>E</w:t>
            </w:r>
            <w:r w:rsidRPr="008B2513">
              <w:rPr>
                <w:b/>
                <w:bCs/>
              </w:rPr>
              <w:t xml:space="preserve"> JUGE ADMINISTRATI</w:t>
            </w:r>
            <w:r w:rsidR="00D4290E" w:rsidRPr="008B2513">
              <w:rPr>
                <w:b/>
                <w:bCs/>
              </w:rPr>
              <w:t>F</w:t>
            </w:r>
            <w:r w:rsidRPr="008B2513">
              <w:rPr>
                <w:b/>
                <w:bCs/>
              </w:rPr>
              <w:t> :</w:t>
            </w:r>
          </w:p>
        </w:tc>
        <w:tc>
          <w:tcPr>
            <w:tcW w:w="3685" w:type="dxa"/>
          </w:tcPr>
          <w:p w14:paraId="40E64184" w14:textId="2D33D866" w:rsidR="0035375B" w:rsidRPr="008B2513" w:rsidRDefault="00D4290E" w:rsidP="005B5689">
            <w:pPr>
              <w:pStyle w:val="zSoquijdatJuge"/>
              <w:rPr>
                <w:bCs/>
              </w:rPr>
            </w:pPr>
            <w:r w:rsidRPr="008B2513">
              <w:t xml:space="preserve">Philippe Bouvier </w:t>
            </w:r>
          </w:p>
        </w:tc>
      </w:tr>
      <w:bookmarkEnd w:id="5"/>
      <w:tr w:rsidR="008B2513" w:rsidRPr="008B2513" w14:paraId="2F8E873E" w14:textId="77777777" w:rsidTr="00036794">
        <w:trPr>
          <w:cantSplit/>
          <w:trHeight w:val="148"/>
        </w:trPr>
        <w:tc>
          <w:tcPr>
            <w:tcW w:w="9568" w:type="dxa"/>
            <w:gridSpan w:val="4"/>
          </w:tcPr>
          <w:p w14:paraId="3EDFECDC" w14:textId="77777777" w:rsidR="00942AB8" w:rsidRPr="008B2513" w:rsidRDefault="00942AB8" w:rsidP="00FA153F">
            <w:r w:rsidRPr="008B2513">
              <w:t>______________________________________________________________________</w:t>
            </w:r>
          </w:p>
        </w:tc>
      </w:tr>
      <w:tr w:rsidR="008B2513" w:rsidRPr="008B2513" w14:paraId="04F9D57F" w14:textId="77777777" w:rsidTr="00036794">
        <w:tc>
          <w:tcPr>
            <w:tcW w:w="9568" w:type="dxa"/>
            <w:gridSpan w:val="4"/>
          </w:tcPr>
          <w:p w14:paraId="09E72EC4" w14:textId="77777777" w:rsidR="00942AB8" w:rsidRPr="008B2513" w:rsidRDefault="00942AB8"/>
        </w:tc>
      </w:tr>
      <w:tr w:rsidR="008B2513" w:rsidRPr="008B2513" w14:paraId="5739A9AC" w14:textId="77777777" w:rsidTr="00E21768">
        <w:tc>
          <w:tcPr>
            <w:tcW w:w="4890" w:type="dxa"/>
            <w:gridSpan w:val="2"/>
          </w:tcPr>
          <w:p w14:paraId="7F8016C4" w14:textId="77777777" w:rsidR="00942AB8" w:rsidRPr="008B2513" w:rsidRDefault="00942AB8">
            <w:bookmarkStart w:id="6" w:name="bloc_parties_gauche"/>
            <w:bookmarkEnd w:id="6"/>
          </w:p>
        </w:tc>
        <w:tc>
          <w:tcPr>
            <w:tcW w:w="4678" w:type="dxa"/>
            <w:gridSpan w:val="2"/>
          </w:tcPr>
          <w:p w14:paraId="6FF64ECB" w14:textId="77777777" w:rsidR="00942AB8" w:rsidRPr="008B2513" w:rsidRDefault="00942AB8"/>
        </w:tc>
      </w:tr>
      <w:tr w:rsidR="008B2513" w:rsidRPr="008B2513" w14:paraId="2ACDC58B" w14:textId="77777777" w:rsidTr="00E21768">
        <w:tc>
          <w:tcPr>
            <w:tcW w:w="4890" w:type="dxa"/>
            <w:gridSpan w:val="2"/>
          </w:tcPr>
          <w:p w14:paraId="5A2F02ED" w14:textId="4DFA5FE9" w:rsidR="00942AB8" w:rsidRPr="008B2513" w:rsidRDefault="00D4290E">
            <w:pPr>
              <w:pStyle w:val="zSoquijdatNomPartieDem"/>
              <w:rPr>
                <w:b/>
              </w:rPr>
            </w:pPr>
            <w:r w:rsidRPr="008B2513">
              <w:rPr>
                <w:b/>
              </w:rPr>
              <w:t>Monique Morrison</w:t>
            </w:r>
          </w:p>
        </w:tc>
        <w:tc>
          <w:tcPr>
            <w:tcW w:w="4678" w:type="dxa"/>
            <w:gridSpan w:val="2"/>
          </w:tcPr>
          <w:p w14:paraId="589016F6" w14:textId="77777777" w:rsidR="00942AB8" w:rsidRPr="008B2513" w:rsidRDefault="00942AB8"/>
        </w:tc>
      </w:tr>
      <w:tr w:rsidR="008B2513" w:rsidRPr="008B2513" w14:paraId="076E79D8" w14:textId="77777777" w:rsidTr="00E21768">
        <w:tc>
          <w:tcPr>
            <w:tcW w:w="4890" w:type="dxa"/>
            <w:gridSpan w:val="2"/>
          </w:tcPr>
          <w:p w14:paraId="332027BC" w14:textId="47CCB505" w:rsidR="00942AB8" w:rsidRPr="008B2513" w:rsidRDefault="006D5E76" w:rsidP="007B0DF2">
            <w:pPr>
              <w:pStyle w:val="zSoquijdatQtePartieDem"/>
              <w:tabs>
                <w:tab w:val="left" w:pos="3539"/>
              </w:tabs>
              <w:ind w:left="708"/>
            </w:pPr>
            <w:bookmarkStart w:id="7" w:name="partie_demanderesse"/>
            <w:bookmarkEnd w:id="7"/>
            <w:r w:rsidRPr="008B2513">
              <w:t>Partie demanderesse</w:t>
            </w:r>
          </w:p>
        </w:tc>
        <w:tc>
          <w:tcPr>
            <w:tcW w:w="4678" w:type="dxa"/>
            <w:gridSpan w:val="2"/>
          </w:tcPr>
          <w:p w14:paraId="73A120A6" w14:textId="77777777" w:rsidR="00942AB8" w:rsidRPr="008B2513" w:rsidRDefault="00942AB8"/>
        </w:tc>
      </w:tr>
      <w:tr w:rsidR="008B2513" w:rsidRPr="008B2513" w14:paraId="09E63FE1" w14:textId="77777777" w:rsidTr="00E21768">
        <w:tc>
          <w:tcPr>
            <w:tcW w:w="4890" w:type="dxa"/>
            <w:gridSpan w:val="2"/>
          </w:tcPr>
          <w:p w14:paraId="3444F88F" w14:textId="77777777" w:rsidR="00942AB8" w:rsidRPr="008B2513" w:rsidRDefault="00942AB8" w:rsidP="00E6363B"/>
        </w:tc>
        <w:tc>
          <w:tcPr>
            <w:tcW w:w="4678" w:type="dxa"/>
            <w:gridSpan w:val="2"/>
          </w:tcPr>
          <w:p w14:paraId="55005C6A" w14:textId="77777777" w:rsidR="00942AB8" w:rsidRPr="008B2513" w:rsidRDefault="00942AB8"/>
        </w:tc>
      </w:tr>
      <w:tr w:rsidR="008B2513" w:rsidRPr="008B2513" w14:paraId="5026ED02" w14:textId="77777777" w:rsidTr="00E21768">
        <w:tc>
          <w:tcPr>
            <w:tcW w:w="4890" w:type="dxa"/>
            <w:gridSpan w:val="2"/>
          </w:tcPr>
          <w:p w14:paraId="612D4765" w14:textId="42D64866" w:rsidR="00942AB8" w:rsidRPr="008B2513" w:rsidRDefault="00D4290E" w:rsidP="00D06652">
            <w:pPr>
              <w:pStyle w:val="zSoquijlblLienParties"/>
            </w:pPr>
            <w:r w:rsidRPr="008B2513">
              <w:t>et</w:t>
            </w:r>
          </w:p>
        </w:tc>
        <w:tc>
          <w:tcPr>
            <w:tcW w:w="4678" w:type="dxa"/>
            <w:gridSpan w:val="2"/>
          </w:tcPr>
          <w:p w14:paraId="2118D16C" w14:textId="77777777" w:rsidR="00942AB8" w:rsidRPr="008B2513" w:rsidRDefault="00942AB8"/>
        </w:tc>
      </w:tr>
      <w:tr w:rsidR="008B2513" w:rsidRPr="008B2513" w14:paraId="7DC5F96F" w14:textId="77777777" w:rsidTr="00E21768">
        <w:tc>
          <w:tcPr>
            <w:tcW w:w="4890" w:type="dxa"/>
            <w:gridSpan w:val="2"/>
          </w:tcPr>
          <w:p w14:paraId="005F383A" w14:textId="77777777" w:rsidR="00942AB8" w:rsidRPr="008B2513" w:rsidRDefault="00942AB8"/>
        </w:tc>
        <w:tc>
          <w:tcPr>
            <w:tcW w:w="4678" w:type="dxa"/>
            <w:gridSpan w:val="2"/>
          </w:tcPr>
          <w:p w14:paraId="5FFCBC05" w14:textId="77777777" w:rsidR="00942AB8" w:rsidRPr="008B2513" w:rsidRDefault="00942AB8"/>
        </w:tc>
      </w:tr>
      <w:tr w:rsidR="008B2513" w:rsidRPr="008B2513" w14:paraId="2B75D829" w14:textId="77777777" w:rsidTr="00E21768">
        <w:tc>
          <w:tcPr>
            <w:tcW w:w="4890" w:type="dxa"/>
            <w:gridSpan w:val="2"/>
          </w:tcPr>
          <w:p w14:paraId="2EFF1BF3" w14:textId="7B610C84" w:rsidR="00942AB8" w:rsidRPr="008B2513" w:rsidRDefault="00D4290E">
            <w:pPr>
              <w:pStyle w:val="zSoquijdatNomPartieDef"/>
              <w:rPr>
                <w:b/>
              </w:rPr>
            </w:pPr>
            <w:r w:rsidRPr="008B2513">
              <w:rPr>
                <w:b/>
              </w:rPr>
              <w:t>Manoir du Havre</w:t>
            </w:r>
          </w:p>
        </w:tc>
        <w:tc>
          <w:tcPr>
            <w:tcW w:w="4678" w:type="dxa"/>
            <w:gridSpan w:val="2"/>
          </w:tcPr>
          <w:p w14:paraId="0BE0003D" w14:textId="77777777" w:rsidR="00942AB8" w:rsidRPr="008B2513" w:rsidRDefault="00942AB8"/>
        </w:tc>
      </w:tr>
      <w:tr w:rsidR="008B2513" w:rsidRPr="008B2513" w14:paraId="3660FB34" w14:textId="77777777" w:rsidTr="00E21768">
        <w:tc>
          <w:tcPr>
            <w:tcW w:w="4890" w:type="dxa"/>
            <w:gridSpan w:val="2"/>
          </w:tcPr>
          <w:p w14:paraId="62F278FB" w14:textId="02AE739C" w:rsidR="00942AB8" w:rsidRPr="008B2513" w:rsidRDefault="006D5E76">
            <w:pPr>
              <w:pStyle w:val="zSoquijdatQtePartieDef"/>
              <w:ind w:left="708"/>
            </w:pPr>
            <w:r w:rsidRPr="008B2513">
              <w:t>Partie mise en cause</w:t>
            </w:r>
          </w:p>
        </w:tc>
        <w:tc>
          <w:tcPr>
            <w:tcW w:w="4678" w:type="dxa"/>
            <w:gridSpan w:val="2"/>
          </w:tcPr>
          <w:p w14:paraId="0B181818" w14:textId="77777777" w:rsidR="00942AB8" w:rsidRPr="008B2513" w:rsidRDefault="00942AB8"/>
        </w:tc>
      </w:tr>
      <w:tr w:rsidR="008B2513" w:rsidRPr="008B2513" w14:paraId="72C9C83E" w14:textId="77777777" w:rsidTr="00E21768">
        <w:tc>
          <w:tcPr>
            <w:tcW w:w="4890" w:type="dxa"/>
            <w:gridSpan w:val="2"/>
          </w:tcPr>
          <w:p w14:paraId="4191D35B" w14:textId="77777777" w:rsidR="0065093D" w:rsidRPr="008B2513" w:rsidRDefault="0065093D"/>
        </w:tc>
        <w:tc>
          <w:tcPr>
            <w:tcW w:w="4678" w:type="dxa"/>
            <w:gridSpan w:val="2"/>
          </w:tcPr>
          <w:p w14:paraId="12661F41" w14:textId="77777777" w:rsidR="0065093D" w:rsidRPr="008B2513" w:rsidRDefault="0065093D"/>
        </w:tc>
      </w:tr>
      <w:tr w:rsidR="008B2513" w:rsidRPr="008B2513" w14:paraId="3B3E39ED" w14:textId="77777777" w:rsidTr="00E21768">
        <w:tc>
          <w:tcPr>
            <w:tcW w:w="4890" w:type="dxa"/>
            <w:gridSpan w:val="2"/>
          </w:tcPr>
          <w:p w14:paraId="4C3E683C" w14:textId="23528071" w:rsidR="006D5E76" w:rsidRPr="008B2513" w:rsidRDefault="006D5E76">
            <w:r w:rsidRPr="008B2513">
              <w:t>et</w:t>
            </w:r>
          </w:p>
        </w:tc>
        <w:tc>
          <w:tcPr>
            <w:tcW w:w="4678" w:type="dxa"/>
            <w:gridSpan w:val="2"/>
          </w:tcPr>
          <w:p w14:paraId="1131B6CB" w14:textId="77777777" w:rsidR="006D5E76" w:rsidRPr="008B2513" w:rsidRDefault="006D5E76"/>
        </w:tc>
      </w:tr>
      <w:tr w:rsidR="008B2513" w:rsidRPr="008B2513" w14:paraId="0C9B41D7" w14:textId="77777777" w:rsidTr="00E21768">
        <w:tc>
          <w:tcPr>
            <w:tcW w:w="4890" w:type="dxa"/>
            <w:gridSpan w:val="2"/>
          </w:tcPr>
          <w:p w14:paraId="1F0E4AE2" w14:textId="77777777" w:rsidR="006D5E76" w:rsidRPr="008B2513" w:rsidRDefault="006D5E76"/>
        </w:tc>
        <w:tc>
          <w:tcPr>
            <w:tcW w:w="4678" w:type="dxa"/>
            <w:gridSpan w:val="2"/>
          </w:tcPr>
          <w:p w14:paraId="025B88C9" w14:textId="77777777" w:rsidR="006D5E76" w:rsidRPr="008B2513" w:rsidRDefault="006D5E76"/>
        </w:tc>
      </w:tr>
      <w:tr w:rsidR="008B2513" w:rsidRPr="008B2513" w14:paraId="22F7DE77" w14:textId="77777777" w:rsidTr="00E21768">
        <w:tc>
          <w:tcPr>
            <w:tcW w:w="4890" w:type="dxa"/>
            <w:gridSpan w:val="2"/>
          </w:tcPr>
          <w:p w14:paraId="4213E53D" w14:textId="212BC558" w:rsidR="00942AB8" w:rsidRPr="008B2513" w:rsidRDefault="00D4290E">
            <w:pPr>
              <w:pStyle w:val="zSoquijdatNomPartieInt"/>
              <w:rPr>
                <w:b/>
              </w:rPr>
            </w:pPr>
            <w:r w:rsidRPr="008B2513">
              <w:rPr>
                <w:b/>
              </w:rPr>
              <w:t xml:space="preserve">Commission des normes, de l’équité, de la santé et de la sécurité du travail </w:t>
            </w:r>
          </w:p>
        </w:tc>
        <w:tc>
          <w:tcPr>
            <w:tcW w:w="4678" w:type="dxa"/>
            <w:gridSpan w:val="2"/>
          </w:tcPr>
          <w:p w14:paraId="104E3299" w14:textId="2F162CCB" w:rsidR="00942AB8" w:rsidRPr="008B2513" w:rsidRDefault="00942AB8"/>
        </w:tc>
      </w:tr>
      <w:tr w:rsidR="008B2513" w:rsidRPr="008B2513" w14:paraId="033A0F6A" w14:textId="77777777" w:rsidTr="00E21768">
        <w:tc>
          <w:tcPr>
            <w:tcW w:w="4890" w:type="dxa"/>
            <w:gridSpan w:val="2"/>
          </w:tcPr>
          <w:p w14:paraId="1A1E4EA1" w14:textId="0F1AFEE5" w:rsidR="00942AB8" w:rsidRPr="008B2513" w:rsidRDefault="006D5E76">
            <w:pPr>
              <w:pStyle w:val="zSoquijdatQtePartieInt"/>
              <w:ind w:left="708"/>
            </w:pPr>
            <w:r w:rsidRPr="008B2513">
              <w:t>Partie intervenante</w:t>
            </w:r>
          </w:p>
        </w:tc>
        <w:tc>
          <w:tcPr>
            <w:tcW w:w="4678" w:type="dxa"/>
            <w:gridSpan w:val="2"/>
          </w:tcPr>
          <w:p w14:paraId="17BB3056" w14:textId="77777777" w:rsidR="00942AB8" w:rsidRPr="008B2513" w:rsidRDefault="00942AB8"/>
        </w:tc>
      </w:tr>
      <w:tr w:rsidR="008B2513" w:rsidRPr="008B2513" w14:paraId="63CB8BB7" w14:textId="77777777" w:rsidTr="00E21768">
        <w:tc>
          <w:tcPr>
            <w:tcW w:w="4890" w:type="dxa"/>
            <w:gridSpan w:val="2"/>
          </w:tcPr>
          <w:p w14:paraId="656E0383" w14:textId="77777777" w:rsidR="00942AB8" w:rsidRPr="008B2513" w:rsidRDefault="00942AB8"/>
        </w:tc>
        <w:tc>
          <w:tcPr>
            <w:tcW w:w="4678" w:type="dxa"/>
            <w:gridSpan w:val="2"/>
          </w:tcPr>
          <w:p w14:paraId="4889A6A9" w14:textId="77777777" w:rsidR="00942AB8" w:rsidRPr="008B2513" w:rsidRDefault="00942AB8"/>
        </w:tc>
      </w:tr>
    </w:tbl>
    <w:p w14:paraId="12BBE205" w14:textId="77777777" w:rsidR="00C74B6F" w:rsidRPr="008B2513" w:rsidRDefault="00C74B6F">
      <w:r w:rsidRPr="008B2513">
        <w:t>______________________________________________________________________</w:t>
      </w:r>
    </w:p>
    <w:p w14:paraId="4CDA9AEE" w14:textId="77777777" w:rsidR="00C74B6F" w:rsidRPr="008B2513" w:rsidRDefault="00C74B6F"/>
    <w:p w14:paraId="79767061" w14:textId="41BE1CF7" w:rsidR="00C74B6F" w:rsidRPr="008B2513" w:rsidRDefault="006D5E76" w:rsidP="006D5E76">
      <w:pPr>
        <w:jc w:val="center"/>
        <w:rPr>
          <w:b/>
          <w:bCs/>
        </w:rPr>
      </w:pPr>
      <w:bookmarkStart w:id="8" w:name="decision"/>
      <w:r w:rsidRPr="008B2513">
        <w:rPr>
          <w:b/>
          <w:bCs/>
        </w:rPr>
        <w:t>DÉCISION RELATIVE À UNE REQUÊTE EN RÉVISION OU EN RÉVOCATION</w:t>
      </w:r>
      <w:bookmarkEnd w:id="8"/>
    </w:p>
    <w:p w14:paraId="4FC223DC" w14:textId="77777777" w:rsidR="008F20EA" w:rsidRPr="008B2513" w:rsidRDefault="008F20EA" w:rsidP="008F20EA">
      <w:bookmarkStart w:id="9" w:name="separation"/>
      <w:bookmarkStart w:id="10" w:name="parag_1"/>
      <w:r w:rsidRPr="008B2513">
        <w:t>______________________________________________________________________</w:t>
      </w:r>
    </w:p>
    <w:p w14:paraId="65E69B0B" w14:textId="77777777" w:rsidR="008F20EA" w:rsidRPr="008B2513" w:rsidRDefault="008F20EA" w:rsidP="00117B60">
      <w:pPr>
        <w:pStyle w:val="Titre1"/>
      </w:pPr>
      <w:bookmarkStart w:id="11" w:name="supprimer_apercu"/>
      <w:bookmarkEnd w:id="9"/>
      <w:r w:rsidRPr="008B2513">
        <w:t>L’APERÇU</w:t>
      </w:r>
    </w:p>
    <w:bookmarkEnd w:id="11"/>
    <w:bookmarkEnd w:id="10"/>
    <w:p w14:paraId="5AD6D2F4" w14:textId="33BAC9D8" w:rsidR="00C74B6F" w:rsidRPr="008B2513" w:rsidRDefault="00C83199">
      <w:pPr>
        <w:pStyle w:val="corpsdedcision"/>
      </w:pPr>
      <w:r w:rsidRPr="008B2513">
        <w:t>Au début de l’année</w:t>
      </w:r>
      <w:r w:rsidR="00407DD4" w:rsidRPr="008B2513">
        <w:t xml:space="preserve"> 2020, madame Monique Morrison</w:t>
      </w:r>
      <w:r w:rsidR="00E470A9" w:rsidRPr="008B2513">
        <w:t>, la travailleuse,</w:t>
      </w:r>
      <w:r w:rsidR="00407DD4" w:rsidRPr="008B2513">
        <w:t xml:space="preserve"> occupe un poste au sein du Manoir du Havre, résidence pour aînés</w:t>
      </w:r>
      <w:r w:rsidR="00E470A9" w:rsidRPr="008B2513">
        <w:t>.</w:t>
      </w:r>
      <w:r w:rsidR="00407DD4" w:rsidRPr="008B2513">
        <w:t xml:space="preserve"> </w:t>
      </w:r>
      <w:r w:rsidR="00E470A9" w:rsidRPr="008B2513">
        <w:t xml:space="preserve">Elle quitte cet </w:t>
      </w:r>
      <w:r w:rsidR="00407DD4" w:rsidRPr="008B2513">
        <w:t>emploi</w:t>
      </w:r>
      <w:r w:rsidRPr="008B2513">
        <w:t xml:space="preserve"> </w:t>
      </w:r>
      <w:r w:rsidR="00407DD4" w:rsidRPr="008B2513">
        <w:t xml:space="preserve">en mai 2020. </w:t>
      </w:r>
      <w:r w:rsidR="00B73FF7" w:rsidRPr="008B2513">
        <w:t xml:space="preserve">En 2021, elle dépose une réclamation à la Commission des normes, de l’équité, de la santé et de la sécurité du travail en raison d’un syndrome </w:t>
      </w:r>
      <w:r w:rsidRPr="008B2513">
        <w:t xml:space="preserve">de stress </w:t>
      </w:r>
      <w:r w:rsidR="00B73FF7" w:rsidRPr="008B2513">
        <w:t>post-traumatique.</w:t>
      </w:r>
    </w:p>
    <w:p w14:paraId="75C1F749" w14:textId="6C158253" w:rsidR="00B73FF7" w:rsidRPr="008B2513" w:rsidRDefault="00B73FF7">
      <w:pPr>
        <w:pStyle w:val="corpsdedcision"/>
      </w:pPr>
      <w:r w:rsidRPr="008B2513">
        <w:t>En août 2024, le Tribunal (TAT</w:t>
      </w:r>
      <w:r w:rsidR="00EF07CF" w:rsidRPr="008B2513">
        <w:t>-</w:t>
      </w:r>
      <w:r w:rsidRPr="008B2513">
        <w:t>1</w:t>
      </w:r>
      <w:r w:rsidR="00D231B4" w:rsidRPr="008B2513">
        <w:t>)</w:t>
      </w:r>
      <w:r w:rsidRPr="008B2513">
        <w:t xml:space="preserve"> rend une décision dans laquelle il déclare que la travailleuse a subi une lésion professionnelle dont le diagnostic est un syndrome de stress</w:t>
      </w:r>
      <w:r w:rsidR="00EF07CF" w:rsidRPr="008B2513">
        <w:t xml:space="preserve"> </w:t>
      </w:r>
      <w:r w:rsidRPr="008B2513">
        <w:t>post</w:t>
      </w:r>
      <w:r w:rsidR="00EF07CF" w:rsidRPr="008B2513">
        <w:t>-</w:t>
      </w:r>
      <w:r w:rsidRPr="008B2513">
        <w:t>traumatique. TAT</w:t>
      </w:r>
      <w:r w:rsidR="00EF07CF" w:rsidRPr="008B2513">
        <w:t>-</w:t>
      </w:r>
      <w:r w:rsidRPr="008B2513">
        <w:t>1 juge que la travailleuse a fait la preuve d’un événement imprévu et soudain survenu à l’occasion du travail. Selon TAT</w:t>
      </w:r>
      <w:r w:rsidR="00EF07CF" w:rsidRPr="008B2513">
        <w:t>-</w:t>
      </w:r>
      <w:r w:rsidRPr="008B2513">
        <w:t>1</w:t>
      </w:r>
      <w:r w:rsidR="00EF07CF" w:rsidRPr="008B2513">
        <w:t>,</w:t>
      </w:r>
      <w:r w:rsidRPr="008B2513">
        <w:t xml:space="preserve"> les fausses allégations visant la travailleuse</w:t>
      </w:r>
      <w:r w:rsidR="003F29D1" w:rsidRPr="008B2513">
        <w:t>,</w:t>
      </w:r>
      <w:r w:rsidRPr="008B2513">
        <w:t xml:space="preserve"> selon lesquelles elle serait responsable d’une vague de décès causée par la COVID</w:t>
      </w:r>
      <w:r w:rsidR="00EF07CF" w:rsidRPr="008B2513">
        <w:t>-</w:t>
      </w:r>
      <w:r w:rsidRPr="008B2513">
        <w:t>19 de résidents du M</w:t>
      </w:r>
      <w:r w:rsidR="00D231B4" w:rsidRPr="008B2513">
        <w:t xml:space="preserve">anoir du Havre, constituent cet événement imprévu et soudain survenu à l’occasion du travail. </w:t>
      </w:r>
    </w:p>
    <w:p w14:paraId="3214A820" w14:textId="394EB732" w:rsidR="00B73FF7" w:rsidRPr="008B2513" w:rsidRDefault="00D231B4">
      <w:pPr>
        <w:pStyle w:val="corpsdedcision"/>
      </w:pPr>
      <w:r w:rsidRPr="008B2513">
        <w:t>L’employeur demande la révision ou la révocation de la décision rendue par TAT</w:t>
      </w:r>
      <w:r w:rsidR="003561F7" w:rsidRPr="008B2513">
        <w:t>-</w:t>
      </w:r>
      <w:r w:rsidRPr="008B2513">
        <w:t>1 parce qu’elle contient un vice de fond de nature à l’invalider. Selon l’employeur</w:t>
      </w:r>
      <w:r w:rsidR="003561F7" w:rsidRPr="008B2513">
        <w:t>,</w:t>
      </w:r>
      <w:r w:rsidRPr="008B2513">
        <w:t xml:space="preserve"> TAT</w:t>
      </w:r>
      <w:r w:rsidR="003561F7" w:rsidRPr="008B2513">
        <w:t>-</w:t>
      </w:r>
      <w:r w:rsidRPr="008B2513">
        <w:t xml:space="preserve">1 commet une erreur de droit dans son application de la notion </w:t>
      </w:r>
      <w:r w:rsidR="003561F7" w:rsidRPr="008B2513">
        <w:t>« </w:t>
      </w:r>
      <w:r w:rsidRPr="008B2513">
        <w:t>à l’occasion du travail</w:t>
      </w:r>
      <w:r w:rsidR="003561F7" w:rsidRPr="008B2513">
        <w:t> »</w:t>
      </w:r>
      <w:r w:rsidRPr="008B2513">
        <w:t>. Selon l’employeur, TAT-1 ne pouvait considérer que le syndrome de stress post</w:t>
      </w:r>
      <w:r w:rsidR="003561F7" w:rsidRPr="008B2513">
        <w:t>-</w:t>
      </w:r>
      <w:r w:rsidRPr="008B2513">
        <w:t xml:space="preserve">traumatique est survenu à l’occasion du travail puisqu’au moment où </w:t>
      </w:r>
      <w:r w:rsidR="003561F7" w:rsidRPr="008B2513">
        <w:t>c</w:t>
      </w:r>
      <w:r w:rsidRPr="008B2513">
        <w:t>e diagnostic est posé</w:t>
      </w:r>
      <w:r w:rsidR="003561F7" w:rsidRPr="008B2513">
        <w:t>,</w:t>
      </w:r>
      <w:r w:rsidRPr="008B2513">
        <w:t xml:space="preserve"> la travailleuse n’est plus à l’emploi de l’employeur. De plus, l’employeur prétend que la cause des allégations à l’endroit de la travailleuse repose</w:t>
      </w:r>
      <w:r w:rsidR="00A53DFB" w:rsidRPr="008B2513">
        <w:t xml:space="preserve"> sur le fait qu’elle a contracté la COVID-1</w:t>
      </w:r>
      <w:r w:rsidR="00D7594D" w:rsidRPr="008B2513">
        <w:t>9</w:t>
      </w:r>
      <w:r w:rsidR="00A53DFB" w:rsidRPr="008B2513">
        <w:t xml:space="preserve"> alors qu’elle n’était pas au travail.</w:t>
      </w:r>
    </w:p>
    <w:p w14:paraId="203A2C95" w14:textId="13F49978" w:rsidR="00A53DFB" w:rsidRPr="008B2513" w:rsidRDefault="00A53DFB">
      <w:pPr>
        <w:pStyle w:val="corpsdedcision"/>
      </w:pPr>
      <w:r w:rsidRPr="008B2513">
        <w:t xml:space="preserve">La travailleuse </w:t>
      </w:r>
      <w:r w:rsidR="00ED1B68" w:rsidRPr="008B2513">
        <w:t xml:space="preserve">allègue </w:t>
      </w:r>
      <w:r w:rsidRPr="008B2513">
        <w:t>que la décision rendue par TAT</w:t>
      </w:r>
      <w:r w:rsidR="00F46B8B" w:rsidRPr="008B2513">
        <w:t>-</w:t>
      </w:r>
      <w:r w:rsidRPr="008B2513">
        <w:t>1 ne contient aucune erreur de droit.</w:t>
      </w:r>
    </w:p>
    <w:p w14:paraId="46A874A4" w14:textId="2936633F" w:rsidR="00A53DFB" w:rsidRPr="008B2513" w:rsidRDefault="00A53DFB">
      <w:pPr>
        <w:pStyle w:val="corpsdedcision"/>
      </w:pPr>
      <w:r w:rsidRPr="008B2513">
        <w:t>Le Tribunal juge que la décision rendu</w:t>
      </w:r>
      <w:r w:rsidR="00DF0FD7" w:rsidRPr="008B2513">
        <w:t>e</w:t>
      </w:r>
      <w:r w:rsidRPr="008B2513">
        <w:t xml:space="preserve"> par TAT</w:t>
      </w:r>
      <w:r w:rsidR="00F46B8B" w:rsidRPr="008B2513">
        <w:t>-</w:t>
      </w:r>
      <w:r w:rsidRPr="008B2513">
        <w:t xml:space="preserve">1 ne contient aucun vice de fond de nature </w:t>
      </w:r>
      <w:r w:rsidR="002F7017">
        <w:t xml:space="preserve">à </w:t>
      </w:r>
      <w:r w:rsidRPr="008B2513">
        <w:t>l’invalider. TAT</w:t>
      </w:r>
      <w:r w:rsidR="00F46B8B" w:rsidRPr="008B2513">
        <w:t>-</w:t>
      </w:r>
      <w:r w:rsidRPr="008B2513">
        <w:t>1 ne commet aucune erreur de droit dans l’application de la notion d’accident</w:t>
      </w:r>
      <w:r w:rsidR="00F976B7" w:rsidRPr="008B2513">
        <w:t xml:space="preserve"> </w:t>
      </w:r>
      <w:r w:rsidR="00F46B8B" w:rsidRPr="008B2513">
        <w:t xml:space="preserve">du </w:t>
      </w:r>
      <w:r w:rsidRPr="008B2513">
        <w:t>travail</w:t>
      </w:r>
      <w:r w:rsidR="00ED1B68" w:rsidRPr="008B2513">
        <w:t>,</w:t>
      </w:r>
      <w:r w:rsidRPr="008B2513">
        <w:t xml:space="preserve"> et plus particulièrement dans le concept d’événement imprévu et soudain survenu à l’occasion du travail.</w:t>
      </w:r>
    </w:p>
    <w:p w14:paraId="2B87F860" w14:textId="15236364" w:rsidR="00A53DFB" w:rsidRPr="008B2513" w:rsidRDefault="00A53DFB" w:rsidP="00117B60">
      <w:pPr>
        <w:pStyle w:val="Titre1"/>
      </w:pPr>
      <w:r w:rsidRPr="008B2513">
        <w:t>LE CONTEXTE</w:t>
      </w:r>
    </w:p>
    <w:p w14:paraId="6E465557" w14:textId="57A541FF" w:rsidR="00A53DFB" w:rsidRPr="008B2513" w:rsidRDefault="0072689C" w:rsidP="00A53DFB">
      <w:pPr>
        <w:pStyle w:val="corpsdedcision"/>
      </w:pPr>
      <w:r w:rsidRPr="008B2513">
        <w:t>En mars 2020, la travailleuse prend congé pour aller voir un spectacle qui est annulé en raison de la COVID</w:t>
      </w:r>
      <w:r w:rsidR="00F46B8B" w:rsidRPr="008B2513">
        <w:t>-</w:t>
      </w:r>
      <w:r w:rsidRPr="008B2513">
        <w:t>19. Elle profite de l’occasion pour aller passer quelques jours dans la famille de sa fille. Elle revient au travail quelques jours et doit s’absenter par la suite puisqu’elle est hospitalisée une quinzaine de jours dont dix aux soins intensifs en raison de la COVID</w:t>
      </w:r>
      <w:r w:rsidR="00F46B8B" w:rsidRPr="008B2513">
        <w:t>-</w:t>
      </w:r>
      <w:r w:rsidRPr="008B2513">
        <w:t xml:space="preserve">19. </w:t>
      </w:r>
    </w:p>
    <w:p w14:paraId="3A1BE79A" w14:textId="64EED51B" w:rsidR="0072689C" w:rsidRPr="008B2513" w:rsidRDefault="0072689C" w:rsidP="0072689C">
      <w:pPr>
        <w:pStyle w:val="corpsdedcision"/>
      </w:pPr>
      <w:r w:rsidRPr="008B2513">
        <w:t>Après son hospitalisation à Québec, elle revient chez</w:t>
      </w:r>
      <w:r w:rsidR="00E83844" w:rsidRPr="008B2513">
        <w:t xml:space="preserve"> </w:t>
      </w:r>
      <w:r w:rsidRPr="008B2513">
        <w:t xml:space="preserve">elle, dans sa communauté </w:t>
      </w:r>
      <w:r w:rsidR="002410C4" w:rsidRPr="008B2513">
        <w:t xml:space="preserve">en </w:t>
      </w:r>
      <w:r w:rsidRPr="008B2513">
        <w:t>Gaspésie. À son retour, la population</w:t>
      </w:r>
      <w:r w:rsidR="00AD3481" w:rsidRPr="008B2513">
        <w:t xml:space="preserve"> et les médias sociaux reprochent à la travailleuse d’être revenue au travail, en mars, après un son déplacement à Québec pour voir un spectacle. Ce tribunal populaire l’accuse d’avoir infecté et tué des résidents du Manoir du Havre lors de son bref retour au travail les 18 et 19</w:t>
      </w:r>
      <w:r w:rsidR="00E83844" w:rsidRPr="008B2513">
        <w:t> </w:t>
      </w:r>
      <w:r w:rsidR="00AD3481" w:rsidRPr="008B2513">
        <w:t>mars</w:t>
      </w:r>
      <w:r w:rsidR="00E83844" w:rsidRPr="008B2513">
        <w:t> </w:t>
      </w:r>
      <w:r w:rsidR="00AD3481" w:rsidRPr="008B2513">
        <w:t>2020.</w:t>
      </w:r>
    </w:p>
    <w:p w14:paraId="146040CF" w14:textId="003B0A8B" w:rsidR="00AD3481" w:rsidRPr="008B2513" w:rsidRDefault="00AD3481" w:rsidP="0072689C">
      <w:pPr>
        <w:pStyle w:val="corpsdedcision"/>
      </w:pPr>
      <w:r w:rsidRPr="008B2513">
        <w:t xml:space="preserve">En mai 2020, la travailleuse essaie de communiquer avec son employeur pour reprendre son travail. Ses démarches s’avèrent vaines puisque l’employeur ne daigne pas lui répondre. Elle démissionne alors et se trouve un emploi dans une autre résidence pour aînés et par la suite dans un centre hospitalier de </w:t>
      </w:r>
      <w:r w:rsidR="0035103B" w:rsidRPr="008B2513">
        <w:t xml:space="preserve">soins de </w:t>
      </w:r>
      <w:r w:rsidRPr="008B2513">
        <w:t>longue durée.</w:t>
      </w:r>
    </w:p>
    <w:p w14:paraId="452208D6" w14:textId="69D8ABFA" w:rsidR="00AD3481" w:rsidRPr="008B2513" w:rsidRDefault="008A0592" w:rsidP="0072689C">
      <w:pPr>
        <w:pStyle w:val="corpsdedcision"/>
      </w:pPr>
      <w:r w:rsidRPr="008B2513">
        <w:t>En février 2021, l’employeur envoie une mise en demeure à la travailleuse lui réclamant la somme de 250</w:t>
      </w:r>
      <w:r w:rsidR="006468F3" w:rsidRPr="008B2513">
        <w:t> </w:t>
      </w:r>
      <w:r w:rsidRPr="008B2513">
        <w:t>000</w:t>
      </w:r>
      <w:r w:rsidR="00DD4EDB" w:rsidRPr="008B2513">
        <w:t> </w:t>
      </w:r>
      <w:r w:rsidRPr="008B2513">
        <w:t>$. Dans sa décision, TAT</w:t>
      </w:r>
      <w:r w:rsidR="006468F3" w:rsidRPr="008B2513">
        <w:t>-</w:t>
      </w:r>
      <w:r w:rsidRPr="008B2513">
        <w:t>1 évoque cette mise en demeure de la façon suivante :</w:t>
      </w:r>
    </w:p>
    <w:p w14:paraId="4C5BAA05" w14:textId="4D764987" w:rsidR="008A0592" w:rsidRPr="008B2513" w:rsidRDefault="008A0592" w:rsidP="008A0592">
      <w:pPr>
        <w:pStyle w:val="citation"/>
      </w:pPr>
      <w:r w:rsidRPr="008B2513">
        <w:t>[38]</w:t>
      </w:r>
      <w:r w:rsidRPr="008B2513">
        <w:tab/>
        <w:t>Aussi, elle reçoit une mise en demeure le 8 février 2021 de son ancien employeur qui confirme ce que la travailleuse croit en avril et mai 2020. Il l’accuse formellement d’avoir infecté tout le personnel et plusieurs résidents et ainsi causé le décès de six d’entre eux. Il lui réclame la somme de 250</w:t>
      </w:r>
      <w:r w:rsidR="006468F3" w:rsidRPr="008B2513">
        <w:t> </w:t>
      </w:r>
      <w:r w:rsidRPr="008B2513">
        <w:t>000</w:t>
      </w:r>
      <w:r w:rsidR="006468F3" w:rsidRPr="008B2513">
        <w:t> </w:t>
      </w:r>
      <w:r w:rsidRPr="008B2513">
        <w:t xml:space="preserve">$ en raison de sa grossière négligence et insouciance. Il est utile de reprendre un passage de cette mise en demeure de trois pages, signée par un avocat, lequel est écrit en lettres majuscules et en caractères gras. </w:t>
      </w:r>
    </w:p>
    <w:p w14:paraId="4CC5577F" w14:textId="77777777" w:rsidR="008A0592" w:rsidRPr="008B2513" w:rsidRDefault="008A0592" w:rsidP="008A0592">
      <w:pPr>
        <w:pStyle w:val="citation"/>
      </w:pPr>
    </w:p>
    <w:p w14:paraId="4FFF7FE6" w14:textId="73965A87" w:rsidR="008A0592" w:rsidRPr="008B2513" w:rsidRDefault="008A0592" w:rsidP="00C33C38">
      <w:pPr>
        <w:pStyle w:val="Citationendoubleretrait"/>
        <w:spacing w:after="360"/>
      </w:pPr>
      <w:r w:rsidRPr="008B2513">
        <w:t>FINALEMENT, VOTRE GROSSIÈRE NÉGLIGENCE ET INSOUCIANCE EN NÉGLIGEANT DE DÉCLARER À NOTRE CLIENTE QUE VOUS ÉTIEZ POTENTIELLEMENT ATTEINTE OU TOUT SIMPLEMENT ATTEINTE DU VIRUS DE LA COVID-19 ET EN VOUS PRÉSENTANT AU TRAVAIL, LUI ONT CAUSÉ D’IMPORTANTS DOMMAGES, QU’ELLE ESTIME À CE JOUR À 250 000,00 $.</w:t>
      </w:r>
    </w:p>
    <w:p w14:paraId="5E696E32" w14:textId="023076B8" w:rsidR="008A0592" w:rsidRPr="008B2513" w:rsidRDefault="009D73C6" w:rsidP="008A0592">
      <w:pPr>
        <w:pStyle w:val="corpsdedcision"/>
      </w:pPr>
      <w:r w:rsidRPr="008B2513">
        <w:t>La travailleuse développe un syndrome de stress</w:t>
      </w:r>
      <w:r w:rsidR="006468F3" w:rsidRPr="008B2513">
        <w:t xml:space="preserve"> post-</w:t>
      </w:r>
      <w:r w:rsidRPr="008B2513">
        <w:t>traumatique. TAT</w:t>
      </w:r>
      <w:r w:rsidR="006468F3" w:rsidRPr="008B2513">
        <w:t>-</w:t>
      </w:r>
      <w:r w:rsidRPr="008B2513">
        <w:t>1 reconnaît que cette condition</w:t>
      </w:r>
      <w:r w:rsidR="002410C4" w:rsidRPr="008B2513">
        <w:t xml:space="preserve"> est</w:t>
      </w:r>
      <w:r w:rsidRPr="008B2513">
        <w:t xml:space="preserve"> une lésion professionnelle.</w:t>
      </w:r>
    </w:p>
    <w:p w14:paraId="7E67D24C" w14:textId="77777777" w:rsidR="00082A97" w:rsidRPr="008B2513" w:rsidRDefault="00082A97" w:rsidP="00117B60">
      <w:pPr>
        <w:pStyle w:val="Titre1"/>
      </w:pPr>
      <w:bookmarkStart w:id="12" w:name="supprimer_analyse"/>
      <w:r w:rsidRPr="008B2513">
        <w:t>L’ANALYSE</w:t>
      </w:r>
    </w:p>
    <w:bookmarkEnd w:id="12"/>
    <w:p w14:paraId="03BD246B" w14:textId="1581F08B" w:rsidR="009D73C6" w:rsidRPr="008B2513" w:rsidRDefault="009D73C6" w:rsidP="009D73C6">
      <w:pPr>
        <w:pStyle w:val="corpsdedcision"/>
        <w:keepNext/>
        <w:keepLines/>
      </w:pPr>
      <w:r w:rsidRPr="008B2513">
        <w:t>Le Tribunal doit déterminer si la décision rendue par TAT</w:t>
      </w:r>
      <w:r w:rsidR="00414BC1" w:rsidRPr="008B2513">
        <w:t>-</w:t>
      </w:r>
      <w:r w:rsidRPr="008B2513">
        <w:t>1 doit être révisée ou révoquée.</w:t>
      </w:r>
    </w:p>
    <w:p w14:paraId="0A2ADFC0" w14:textId="54AD79F4" w:rsidR="009D73C6" w:rsidRPr="008B2513" w:rsidRDefault="009D73C6" w:rsidP="009D73C6">
      <w:pPr>
        <w:pStyle w:val="corpsdedcision"/>
      </w:pPr>
      <w:r w:rsidRPr="008B2513">
        <w:t xml:space="preserve">L’article 49 de la </w:t>
      </w:r>
      <w:r w:rsidRPr="008B2513">
        <w:rPr>
          <w:i/>
        </w:rPr>
        <w:t>Loi instituant le Tribunal administratif du travail</w:t>
      </w:r>
      <w:r w:rsidRPr="008B2513">
        <w:rPr>
          <w:rStyle w:val="Appelnotedebasdep"/>
        </w:rPr>
        <w:footnoteReference w:id="1"/>
      </w:r>
      <w:r w:rsidRPr="008B2513">
        <w:rPr>
          <w:rFonts w:cs="Arial"/>
          <w:szCs w:val="24"/>
        </w:rPr>
        <w:t>,</w:t>
      </w:r>
      <w:r w:rsidRPr="008B2513">
        <w:rPr>
          <w:rFonts w:cs="Arial"/>
          <w:iCs/>
          <w:szCs w:val="24"/>
        </w:rPr>
        <w:t xml:space="preserve"> la LITAT, </w:t>
      </w:r>
      <w:r w:rsidRPr="008B2513">
        <w:t>établit le cadre juridique donnant ouverture au pouvoir de révision ou de révocation du</w:t>
      </w:r>
      <w:r w:rsidR="00414BC1" w:rsidRPr="008B2513">
        <w:t xml:space="preserve"> </w:t>
      </w:r>
      <w:r w:rsidRPr="008B2513">
        <w:t>Tribunal. Cet article énonce ce qui suit :</w:t>
      </w:r>
    </w:p>
    <w:p w14:paraId="29D66D6E" w14:textId="77777777" w:rsidR="009D73C6" w:rsidRPr="008B2513" w:rsidRDefault="009D73C6" w:rsidP="009D73C6">
      <w:pPr>
        <w:pStyle w:val="articlesdelaLSST"/>
      </w:pPr>
      <w:r w:rsidRPr="008B2513">
        <w:rPr>
          <w:b/>
          <w:bCs/>
        </w:rPr>
        <w:t>49.</w:t>
      </w:r>
      <w:r w:rsidRPr="008B2513">
        <w:t xml:space="preserve"> Le Tribunal peut, sur demande, réviser ou révoquer une décision, un ordre ou une ordonnance qu’il a rendu :</w:t>
      </w:r>
    </w:p>
    <w:p w14:paraId="2230D849" w14:textId="77777777" w:rsidR="009D73C6" w:rsidRPr="008B2513" w:rsidRDefault="009D73C6" w:rsidP="009D73C6">
      <w:pPr>
        <w:pStyle w:val="articlesdelaLSST"/>
      </w:pPr>
    </w:p>
    <w:p w14:paraId="46E63702" w14:textId="77777777" w:rsidR="009D73C6" w:rsidRPr="008B2513" w:rsidRDefault="009D73C6" w:rsidP="009D73C6">
      <w:pPr>
        <w:pStyle w:val="articlesdelaLSST"/>
      </w:pPr>
      <w:r w:rsidRPr="008B2513">
        <w:t>1° lorsque est découvert un fait nouveau qui, s’il avait été connu en temps utile, aurait pu justifier une décision différente;</w:t>
      </w:r>
    </w:p>
    <w:p w14:paraId="08D918B1" w14:textId="77777777" w:rsidR="009D73C6" w:rsidRPr="008B2513" w:rsidRDefault="009D73C6" w:rsidP="009D73C6">
      <w:pPr>
        <w:pStyle w:val="articlesdelaLSST"/>
      </w:pPr>
    </w:p>
    <w:p w14:paraId="0B94E8B7" w14:textId="77777777" w:rsidR="009D73C6" w:rsidRPr="008B2513" w:rsidRDefault="009D73C6" w:rsidP="009D73C6">
      <w:pPr>
        <w:pStyle w:val="articlesdelaLSST"/>
      </w:pPr>
      <w:r w:rsidRPr="008B2513">
        <w:t>2° lorsqu’une partie intéressée n’a pu, pour des raisons jugées suffisantes, présenter ses observations ou se faire entendre;</w:t>
      </w:r>
    </w:p>
    <w:p w14:paraId="6AB0609C" w14:textId="77777777" w:rsidR="009D73C6" w:rsidRPr="008B2513" w:rsidRDefault="009D73C6" w:rsidP="009D73C6">
      <w:pPr>
        <w:pStyle w:val="articlesdelaLSST"/>
      </w:pPr>
    </w:p>
    <w:p w14:paraId="0B77405A" w14:textId="77777777" w:rsidR="009D73C6" w:rsidRPr="008B2513" w:rsidRDefault="009D73C6" w:rsidP="009D73C6">
      <w:pPr>
        <w:pStyle w:val="articlesdelaLSST"/>
      </w:pPr>
      <w:r w:rsidRPr="008B2513">
        <w:t>3° lorsqu’un vice de fond ou de procédure est de nature à l’invalider.</w:t>
      </w:r>
    </w:p>
    <w:p w14:paraId="78EC83F3" w14:textId="77777777" w:rsidR="009D73C6" w:rsidRPr="008B2513" w:rsidRDefault="009D73C6" w:rsidP="009D73C6">
      <w:pPr>
        <w:pStyle w:val="articlesdelaLSST"/>
      </w:pPr>
    </w:p>
    <w:p w14:paraId="248EF784" w14:textId="77777777" w:rsidR="009D73C6" w:rsidRPr="008B2513" w:rsidRDefault="009D73C6" w:rsidP="009D73C6">
      <w:pPr>
        <w:pStyle w:val="articlesdelaLSST"/>
        <w:spacing w:after="360"/>
      </w:pPr>
      <w:r w:rsidRPr="008B2513">
        <w:t>Dans le cas visé au paragraphe 3° du premier alinéa, la décision, l’ordre ou l’ordonnance ne peut être révisé ou révoqué par le membre qui l’a rendu.</w:t>
      </w:r>
    </w:p>
    <w:p w14:paraId="1BBA4EB5" w14:textId="2604929E" w:rsidR="009D73C6" w:rsidRPr="008B2513" w:rsidRDefault="009D73C6" w:rsidP="009D73C6">
      <w:pPr>
        <w:pStyle w:val="corpsdedcision"/>
      </w:pPr>
      <w:r w:rsidRPr="008B2513">
        <w:t>L’application de cette disposition de la LITAT et l’appréciation des situations soulevées pour évoquer celle</w:t>
      </w:r>
      <w:r w:rsidRPr="008B2513">
        <w:noBreakHyphen/>
        <w:t>ci doivent s’interpréter à travers le prisme du premier alinéa</w:t>
      </w:r>
      <w:r w:rsidR="00414BC1" w:rsidRPr="008B2513">
        <w:t xml:space="preserve"> </w:t>
      </w:r>
      <w:r w:rsidRPr="008B2513">
        <w:t>de l’article 51 de la LITAT :</w:t>
      </w:r>
    </w:p>
    <w:p w14:paraId="556A41BB" w14:textId="77777777" w:rsidR="009D73C6" w:rsidRPr="008B2513" w:rsidRDefault="009D73C6" w:rsidP="009D73C6">
      <w:pPr>
        <w:pStyle w:val="articlesdelaLSST"/>
        <w:spacing w:after="360"/>
      </w:pPr>
      <w:r w:rsidRPr="008B2513">
        <w:rPr>
          <w:b/>
          <w:bCs/>
        </w:rPr>
        <w:t>51.</w:t>
      </w:r>
      <w:r w:rsidRPr="008B2513">
        <w:t xml:space="preserve"> La décision du Tribunal est sans appel et toute personne visée doit s’y conformer sans délai. […]</w:t>
      </w:r>
    </w:p>
    <w:p w14:paraId="686883D0" w14:textId="6ACB4ED2" w:rsidR="009D73C6" w:rsidRPr="008B2513" w:rsidRDefault="009D73C6" w:rsidP="009D73C6">
      <w:pPr>
        <w:pStyle w:val="corpsdedcision"/>
      </w:pPr>
      <w:r w:rsidRPr="008B2513">
        <w:t xml:space="preserve">Cette disposition, qui édicte que la décision rendue par le Tribunal est sans appel, sert de rempart à la multiplicité des recours à l’égard d’un même litige en consacrant le principe de la stabilité de la décision initiale rendue par le Tribunal, comme le souligne la Cour d’appel du Québec dans l’affaire </w:t>
      </w:r>
      <w:r w:rsidRPr="008B2513">
        <w:rPr>
          <w:i/>
        </w:rPr>
        <w:t xml:space="preserve">Tribunal administratif du Québec </w:t>
      </w:r>
      <w:r w:rsidRPr="008B2513">
        <w:t>c.</w:t>
      </w:r>
      <w:r w:rsidRPr="008B2513">
        <w:rPr>
          <w:i/>
        </w:rPr>
        <w:t> Godin</w:t>
      </w:r>
      <w:r w:rsidRPr="008B2513">
        <w:rPr>
          <w:rStyle w:val="Appelnotedebasdep"/>
        </w:rPr>
        <w:footnoteReference w:id="2"/>
      </w:r>
      <w:r w:rsidRPr="008B2513">
        <w:t>. L’importance de ce principe de la finalité des décisions rendues par le</w:t>
      </w:r>
      <w:r w:rsidR="00414BC1" w:rsidRPr="008B2513">
        <w:t xml:space="preserve"> </w:t>
      </w:r>
      <w:r w:rsidRPr="008B2513">
        <w:t xml:space="preserve">Tribunal et de son respect est également reprise dans l’affaire </w:t>
      </w:r>
      <w:r w:rsidRPr="008B2513">
        <w:rPr>
          <w:i/>
        </w:rPr>
        <w:t xml:space="preserve">Commission de la santé et de la sécurité du travail </w:t>
      </w:r>
      <w:r w:rsidRPr="008B2513">
        <w:t>c.</w:t>
      </w:r>
      <w:r w:rsidRPr="008B2513">
        <w:rPr>
          <w:i/>
        </w:rPr>
        <w:t xml:space="preserve"> Fontaine</w:t>
      </w:r>
      <w:r w:rsidRPr="008B2513">
        <w:rPr>
          <w:rStyle w:val="Appelnotedebasdep"/>
        </w:rPr>
        <w:footnoteReference w:id="3"/>
      </w:r>
      <w:r w:rsidRPr="008B2513">
        <w:rPr>
          <w:i/>
        </w:rPr>
        <w:t xml:space="preserve"> </w:t>
      </w:r>
      <w:r w:rsidRPr="008B2513">
        <w:t>par le juge Morissette :</w:t>
      </w:r>
    </w:p>
    <w:p w14:paraId="0C95BD73" w14:textId="77777777" w:rsidR="009D73C6" w:rsidRPr="008B2513" w:rsidRDefault="009D73C6" w:rsidP="009D73C6">
      <w:pPr>
        <w:pStyle w:val="citation"/>
        <w:spacing w:after="360"/>
      </w:pPr>
      <w:r w:rsidRPr="008B2513">
        <w:t>[41]</w:t>
      </w:r>
      <w:r w:rsidRPr="008B2513">
        <w:tab/>
        <w:t>[…] Les finalités de qualité, de célérité et d’accessibilité qu’il y évoque revêtent en effet une égale importance, qu’un justiciable s’adresse au TAQ ou à la CLP. Le risque que ces finalités soient compromises, voire contrecarrées, par des contestations persistantes et sans justification sérieuse est le même dans les deux cas; l’exercice libéral du pouvoir d’autorévision ne peut qu’encourager de telles contestations en affaiblissant la stabilité de décisions qui (en principe et sous réserve de quelques cas d’exception) sont finales dès lors qu’elles ne sont pas manifestement déraisonnables. […]</w:t>
      </w:r>
    </w:p>
    <w:p w14:paraId="6791940E" w14:textId="379591CC" w:rsidR="009D73C6" w:rsidRPr="008B2513" w:rsidRDefault="009D73C6" w:rsidP="009D73C6">
      <w:pPr>
        <w:pStyle w:val="corpsdedcision"/>
      </w:pPr>
      <w:r w:rsidRPr="008B2513">
        <w:t>L’article 51 de la LITAT, établissant le principe de la finalité des décisions du</w:t>
      </w:r>
      <w:r w:rsidR="00414BC1" w:rsidRPr="008B2513">
        <w:t xml:space="preserve"> </w:t>
      </w:r>
      <w:r w:rsidRPr="008B2513">
        <w:t>Tribunal, fait en sorte que l’article 49 de la LITAT doit recevoir une interprétation restrictive</w:t>
      </w:r>
      <w:r w:rsidRPr="008B2513">
        <w:rPr>
          <w:rStyle w:val="Appelnotedebasdep"/>
        </w:rPr>
        <w:footnoteReference w:id="4"/>
      </w:r>
      <w:r w:rsidRPr="008B2513">
        <w:t>. C’est donc avec réserve que le Tribunal doit exercer son pouvoir de révision, et ce, d’autant plus que la portée du recours en révision est limitée aux seules situations énoncées à l’article 49 de la LITAT.</w:t>
      </w:r>
    </w:p>
    <w:p w14:paraId="56E9CE87" w14:textId="77777777" w:rsidR="009D73C6" w:rsidRPr="008B2513" w:rsidRDefault="009D73C6" w:rsidP="009D73C6">
      <w:pPr>
        <w:pStyle w:val="corpsdedcision"/>
      </w:pPr>
      <w:r w:rsidRPr="008B2513">
        <w:t>Par ailleurs, la notion de vice de fond de nature à invalider la décision signifie une erreur manifeste ayant un effet déterminant sur l’issue du litige</w:t>
      </w:r>
      <w:r w:rsidRPr="008B2513">
        <w:rPr>
          <w:rStyle w:val="Appelnotedebasdep"/>
        </w:rPr>
        <w:footnoteReference w:id="5"/>
      </w:r>
      <w:r w:rsidRPr="008B2513">
        <w:t>. Il s’agit donc d’une erreur sérieuse, d’une gravité telle qu’elle en est fondamentale et fatale, ne pouvant assurer ainsi le maintien de la décision rendue par le premier décideur</w:t>
      </w:r>
      <w:r w:rsidRPr="008B2513">
        <w:rPr>
          <w:rStyle w:val="Appelnotedebasdep"/>
        </w:rPr>
        <w:footnoteReference w:id="6"/>
      </w:r>
      <w:r w:rsidRPr="008B2513">
        <w:t xml:space="preserve">. Dans l’affaire </w:t>
      </w:r>
      <w:r w:rsidRPr="008B2513">
        <w:rPr>
          <w:i/>
        </w:rPr>
        <w:t>Moreau</w:t>
      </w:r>
      <w:r w:rsidRPr="008B2513">
        <w:t xml:space="preserve"> c. </w:t>
      </w:r>
      <w:r w:rsidRPr="008B2513">
        <w:rPr>
          <w:i/>
        </w:rPr>
        <w:t>Régie de l’assurance maladie du Québec</w:t>
      </w:r>
      <w:r w:rsidRPr="008B2513">
        <w:rPr>
          <w:rStyle w:val="Appelnotedebasdep"/>
        </w:rPr>
        <w:footnoteReference w:id="7"/>
      </w:r>
      <w:r w:rsidRPr="008B2513">
        <w:t xml:space="preserve">, la Cour d’appel du Québec rappelle que la requête en révision est un recours exceptionnel. De plus, la Cour réitère que le vice de fond de nature à invalider une décision représente </w:t>
      </w:r>
      <w:r w:rsidRPr="008B2513">
        <w:rPr>
          <w:rStyle w:val="Citationintgre"/>
          <w:i w:val="0"/>
          <w:sz w:val="24"/>
        </w:rPr>
        <w:t>« </w:t>
      </w:r>
      <w:r w:rsidRPr="008B2513">
        <w:rPr>
          <w:rStyle w:val="Citationintgre"/>
        </w:rPr>
        <w:t>une erreur fatale qui entache l’essence même de la décision</w:t>
      </w:r>
      <w:r w:rsidRPr="008B2513">
        <w:rPr>
          <w:rStyle w:val="Citationintgre"/>
          <w:i w:val="0"/>
        </w:rPr>
        <w:t>,</w:t>
      </w:r>
      <w:r w:rsidRPr="008B2513">
        <w:rPr>
          <w:rStyle w:val="Citationintgre"/>
        </w:rPr>
        <w:t xml:space="preserve"> sa validité même</w:t>
      </w:r>
      <w:r w:rsidRPr="008B2513">
        <w:rPr>
          <w:rStyle w:val="Citationintgre"/>
          <w:i w:val="0"/>
          <w:sz w:val="24"/>
        </w:rPr>
        <w:t> »</w:t>
      </w:r>
      <w:r w:rsidRPr="008B2513">
        <w:rPr>
          <w:rStyle w:val="Appelnotedebasdep"/>
        </w:rPr>
        <w:footnoteReference w:id="8"/>
      </w:r>
      <w:r w:rsidRPr="008B2513">
        <w:t>.</w:t>
      </w:r>
    </w:p>
    <w:p w14:paraId="62A4EB08" w14:textId="58FA7D72" w:rsidR="009D73C6" w:rsidRPr="008B2513" w:rsidRDefault="009D73C6" w:rsidP="009D73C6">
      <w:pPr>
        <w:pStyle w:val="corpsdedcision"/>
      </w:pPr>
      <w:r w:rsidRPr="008B2513">
        <w:t xml:space="preserve">La Cour d’appel du Québec, dans l’arrêt </w:t>
      </w:r>
      <w:r w:rsidRPr="008B2513">
        <w:rPr>
          <w:i/>
        </w:rPr>
        <w:t xml:space="preserve">Corbi </w:t>
      </w:r>
      <w:r w:rsidRPr="008B2513">
        <w:t>c.</w:t>
      </w:r>
      <w:r w:rsidRPr="008B2513">
        <w:rPr>
          <w:i/>
        </w:rPr>
        <w:t xml:space="preserve"> Ville de Montréal</w:t>
      </w:r>
      <w:r w:rsidRPr="008B2513">
        <w:rPr>
          <w:rStyle w:val="Appelnotedebasdep"/>
        </w:rPr>
        <w:footnoteReference w:id="9"/>
      </w:r>
      <w:r w:rsidRPr="008B2513">
        <w:t>,</w:t>
      </w:r>
      <w:r w:rsidRPr="008B2513">
        <w:rPr>
          <w:i/>
        </w:rPr>
        <w:t xml:space="preserve"> </w:t>
      </w:r>
      <w:r w:rsidRPr="008B2513">
        <w:t>vient rappeler le caractère d’exception du recours prévu au troisième paragraphe de l’article 49, de la LITAT :</w:t>
      </w:r>
    </w:p>
    <w:p w14:paraId="6BD97183" w14:textId="77777777" w:rsidR="009D73C6" w:rsidRPr="008B2513" w:rsidRDefault="009D73C6" w:rsidP="009D73C6">
      <w:pPr>
        <w:pStyle w:val="citation"/>
      </w:pPr>
      <w:r w:rsidRPr="008B2513">
        <w:t>[</w:t>
      </w:r>
      <w:bookmarkStart w:id="13" w:name="par13"/>
      <w:r w:rsidRPr="008B2513">
        <w:t>13</w:t>
      </w:r>
      <w:bookmarkEnd w:id="13"/>
      <w:r w:rsidRPr="008B2513">
        <w:t>]</w:t>
      </w:r>
      <w:r w:rsidRPr="008B2513">
        <w:tab/>
        <w:t xml:space="preserve">Rappelons en effet que le recours créé par cette disposition n’est </w:t>
      </w:r>
      <w:r w:rsidRPr="008B2513">
        <w:rPr>
          <w:i/>
          <w:iCs/>
        </w:rPr>
        <w:t>ni</w:t>
      </w:r>
      <w:r w:rsidRPr="008B2513">
        <w:t xml:space="preserve"> un appel (les décisions du TAT sont sans appel en vertu de l’art. 51 </w:t>
      </w:r>
      <w:r w:rsidRPr="008B2513">
        <w:rPr>
          <w:i/>
          <w:iCs/>
        </w:rPr>
        <w:t>L.i.t.a.t.</w:t>
      </w:r>
      <w:r w:rsidRPr="008B2513">
        <w:t xml:space="preserve">) </w:t>
      </w:r>
      <w:r w:rsidRPr="008B2513">
        <w:rPr>
          <w:i/>
          <w:iCs/>
        </w:rPr>
        <w:t>ni</w:t>
      </w:r>
      <w:r w:rsidRPr="008B2513">
        <w:t xml:space="preserve"> (pour d’évidentes raisons constitutionnelles) l’équivalent d’un contrôle judiciaire et qu’il implique donc une norme d’intervention plus sévère, la fonction de révision étant limitée à la seule correction des vices de fond ou de procédure (ce qui peut justifier la révocation ou la modification de la décision initiale)</w:t>
      </w:r>
      <w:bookmarkStart w:id="14" w:name="_Ref88766758"/>
      <w:bookmarkStart w:id="15" w:name="_ftnref14"/>
      <w:bookmarkEnd w:id="14"/>
      <w:r w:rsidRPr="008B2513">
        <w:rPr>
          <w:vertAlign w:val="superscript"/>
        </w:rPr>
        <w:t>14</w:t>
      </w:r>
      <w:bookmarkEnd w:id="15"/>
      <w:r w:rsidRPr="008B2513">
        <w:t>. Cela étant, et pour éviter que la révision ne devienne un appel ou ne mime le contrôle judiciaire, la jurisprudence définit strictement le « vice », et en particulier le « vice de fond » dont il est ainsi question (la notion de « vice » étant utilisée dans plusieurs lois québécoises prévoyant un recours comme celui de l’art. 49 al. 1(3) </w:t>
      </w:r>
      <w:r w:rsidRPr="008B2513">
        <w:rPr>
          <w:i/>
          <w:iCs/>
        </w:rPr>
        <w:t>L.i.t.a.t.</w:t>
      </w:r>
      <w:bookmarkStart w:id="16" w:name="_ftnref15"/>
      <w:r w:rsidRPr="008B2513">
        <w:rPr>
          <w:iCs/>
          <w:vertAlign w:val="superscript"/>
        </w:rPr>
        <w:t>15</w:t>
      </w:r>
      <w:bookmarkEnd w:id="16"/>
      <w:r w:rsidRPr="008B2513">
        <w:t>). Ainsi, comme l’écrit la Cour :</w:t>
      </w:r>
    </w:p>
    <w:p w14:paraId="0FE4A61B" w14:textId="77777777" w:rsidR="009D73C6" w:rsidRPr="008B2513" w:rsidRDefault="009D73C6" w:rsidP="009D73C6">
      <w:pPr>
        <w:pStyle w:val="citation"/>
      </w:pPr>
    </w:p>
    <w:p w14:paraId="51C5027E" w14:textId="77777777" w:rsidR="009D73C6" w:rsidRPr="008B2513" w:rsidRDefault="009D73C6" w:rsidP="009D73C6">
      <w:pPr>
        <w:pStyle w:val="Citationendoubleretrait"/>
      </w:pPr>
      <w:r w:rsidRPr="008B2513">
        <w:t>[65]</w:t>
      </w:r>
      <w:r w:rsidRPr="008B2513">
        <w:tab/>
        <w:t xml:space="preserve">Nous l’avons vu, </w:t>
      </w:r>
      <w:r w:rsidRPr="008B2513">
        <w:rPr>
          <w:u w:val="single"/>
        </w:rPr>
        <w:t>un vice de fond n’est pas une divergence d’opinions ni même une erreur de droit</w:t>
      </w:r>
      <w:r w:rsidRPr="008B2513">
        <w:t xml:space="preserve">. Un vice de fond de nature à invalider une décision est une </w:t>
      </w:r>
      <w:r w:rsidRPr="008B2513">
        <w:rPr>
          <w:u w:val="single"/>
        </w:rPr>
        <w:t>erreur fatale qui entache l’essence même de la décision, sa validité même</w:t>
      </w:r>
      <w:r w:rsidRPr="008B2513">
        <w:t>.</w:t>
      </w:r>
    </w:p>
    <w:p w14:paraId="0DFD8DD1" w14:textId="77777777" w:rsidR="009D73C6" w:rsidRPr="008B2513" w:rsidRDefault="009D73C6" w:rsidP="009D73C6">
      <w:pPr>
        <w:pStyle w:val="Citationendoubleretrait"/>
      </w:pPr>
    </w:p>
    <w:p w14:paraId="53364FEF" w14:textId="77777777" w:rsidR="009D73C6" w:rsidRPr="008B2513" w:rsidRDefault="009D73C6" w:rsidP="009D73C6">
      <w:pPr>
        <w:pStyle w:val="Citationendoubleretrait"/>
      </w:pPr>
      <w:r w:rsidRPr="008B2513">
        <w:t>[66]</w:t>
      </w:r>
      <w:r w:rsidRPr="008B2513">
        <w:tab/>
        <w:t>Les qualificatifs utilisés par la Cour ne manquent pas : « </w:t>
      </w:r>
      <w:r w:rsidRPr="008B2513">
        <w:rPr>
          <w:i/>
          <w:iCs/>
        </w:rPr>
        <w:t>serious and fundamental defect</w:t>
      </w:r>
      <w:r w:rsidRPr="008B2513">
        <w:rPr>
          <w:iCs/>
        </w:rPr>
        <w:t>,</w:t>
      </w:r>
      <w:r w:rsidRPr="008B2513">
        <w:rPr>
          <w:i/>
          <w:iCs/>
        </w:rPr>
        <w:t xml:space="preserve"> fatal error</w:t>
      </w:r>
      <w:r w:rsidRPr="008B2513">
        <w:rPr>
          <w:iCs/>
        </w:rPr>
        <w:t>,</w:t>
      </w:r>
      <w:r w:rsidRPr="008B2513">
        <w:rPr>
          <w:i/>
          <w:iCs/>
        </w:rPr>
        <w:t xml:space="preserve"> unsustainable finding of facts or law</w:t>
      </w:r>
      <w:r w:rsidRPr="008B2513">
        <w:t xml:space="preserve"> », décision </w:t>
      </w:r>
      <w:r w:rsidRPr="008B2513">
        <w:rPr>
          <w:i/>
          <w:iCs/>
        </w:rPr>
        <w:t>ultra vires</w:t>
      </w:r>
      <w:r w:rsidRPr="008B2513">
        <w:t xml:space="preserve"> ou légalement nulle.</w:t>
      </w:r>
      <w:bookmarkStart w:id="17" w:name="_Ref88765174"/>
      <w:bookmarkStart w:id="18" w:name="_ftnref16"/>
      <w:bookmarkEnd w:id="17"/>
      <w:r w:rsidRPr="008B2513">
        <w:rPr>
          <w:vertAlign w:val="superscript"/>
        </w:rPr>
        <w:t>16</w:t>
      </w:r>
      <w:bookmarkEnd w:id="18"/>
    </w:p>
    <w:p w14:paraId="65A568D3" w14:textId="77777777" w:rsidR="009D73C6" w:rsidRPr="008B2513" w:rsidRDefault="009D73C6" w:rsidP="009D73C6">
      <w:pPr>
        <w:pStyle w:val="Citationendoubleretrait"/>
      </w:pPr>
    </w:p>
    <w:p w14:paraId="15B3612A" w14:textId="77777777" w:rsidR="009D73C6" w:rsidRPr="008B2513" w:rsidRDefault="009D73C6" w:rsidP="009D73C6">
      <w:pPr>
        <w:pStyle w:val="Citationendoubleretrait"/>
      </w:pPr>
      <w:r w:rsidRPr="008B2513">
        <w:t>[Soulignements ajoutés]</w:t>
      </w:r>
    </w:p>
    <w:p w14:paraId="1DA33B10" w14:textId="77777777" w:rsidR="009D73C6" w:rsidRPr="008B2513" w:rsidRDefault="009D73C6" w:rsidP="009D73C6">
      <w:pPr>
        <w:pStyle w:val="citation"/>
      </w:pPr>
    </w:p>
    <w:p w14:paraId="1A1D8E23" w14:textId="77777777" w:rsidR="009D73C6" w:rsidRPr="008B2513" w:rsidRDefault="009D73C6" w:rsidP="009D73C6">
      <w:pPr>
        <w:pStyle w:val="citation"/>
        <w:spacing w:after="300"/>
      </w:pPr>
      <w:r w:rsidRPr="008B2513">
        <w:t>[</w:t>
      </w:r>
      <w:bookmarkStart w:id="19" w:name="par14"/>
      <w:r w:rsidRPr="008B2513">
        <w:t>14</w:t>
      </w:r>
      <w:bookmarkEnd w:id="19"/>
      <w:r w:rsidRPr="008B2513">
        <w:t>]</w:t>
      </w:r>
      <w:r w:rsidRPr="008B2513">
        <w:tab/>
        <w:t>On parle donc ici d’une erreur si grossière qu’elle invalide la décision ou en fait une décision qui, à sa lecture même, est indéfendable (un qualificatif fort), une erreur, en somme, dont « la gravité, l’évidence et le caractère déterminant »</w:t>
      </w:r>
      <w:bookmarkStart w:id="20" w:name="_ftnref17"/>
      <w:r w:rsidRPr="008B2513">
        <w:rPr>
          <w:vertAlign w:val="superscript"/>
        </w:rPr>
        <w:t>17</w:t>
      </w:r>
      <w:bookmarkEnd w:id="20"/>
      <w:r w:rsidRPr="008B2513">
        <w:t xml:space="preserve"> sautent aux yeux</w:t>
      </w:r>
      <w:bookmarkStart w:id="21" w:name="_ftnref18"/>
      <w:r w:rsidRPr="008B2513">
        <w:rPr>
          <w:vertAlign w:val="superscript"/>
        </w:rPr>
        <w:t>18</w:t>
      </w:r>
      <w:bookmarkEnd w:id="21"/>
      <w:r w:rsidRPr="008B2513">
        <w:t>. C’est à l’identification et à la correction de ce genre d’erreur qu’est limité le pouvoir de révision conféré au TAT par l’art. 49 al. 1(3°) </w:t>
      </w:r>
      <w:r w:rsidRPr="008B2513">
        <w:rPr>
          <w:i/>
          <w:iCs/>
        </w:rPr>
        <w:t>L.i.t.a.t.</w:t>
      </w:r>
    </w:p>
    <w:p w14:paraId="7AE28677" w14:textId="77777777" w:rsidR="009D73C6" w:rsidRPr="008B2513" w:rsidRDefault="009D73C6" w:rsidP="009D73C6">
      <w:pPr>
        <w:pStyle w:val="citation"/>
        <w:spacing w:after="360"/>
        <w:rPr>
          <w:sz w:val="24"/>
        </w:rPr>
      </w:pPr>
      <w:r w:rsidRPr="008B2513">
        <w:rPr>
          <w:sz w:val="24"/>
        </w:rPr>
        <w:t>[Notes omises]</w:t>
      </w:r>
    </w:p>
    <w:p w14:paraId="5F4D7472" w14:textId="77777777" w:rsidR="009D73C6" w:rsidRPr="008B2513" w:rsidRDefault="009D73C6" w:rsidP="009D73C6">
      <w:pPr>
        <w:pStyle w:val="corpsdedcision"/>
      </w:pPr>
      <w:r w:rsidRPr="008B2513">
        <w:t>En somme, la Cour d’appel du Québec énonce à nouveau que l’application de cette disposition est subrogée à l’existence d’une erreur telle qu’elle rend la décision indéfendable, que ce soit sur le plan juridique ou factuel.</w:t>
      </w:r>
    </w:p>
    <w:p w14:paraId="6FFBB0E2" w14:textId="5F34AFD8" w:rsidR="004C2944" w:rsidRPr="008B2513" w:rsidRDefault="00F31610" w:rsidP="004C2944">
      <w:pPr>
        <w:pStyle w:val="corpsdedcision"/>
      </w:pPr>
      <w:r w:rsidRPr="008B2513">
        <w:t>L’employeur prétend que TAT</w:t>
      </w:r>
      <w:r w:rsidR="00F439EE" w:rsidRPr="008B2513">
        <w:t>-</w:t>
      </w:r>
      <w:r w:rsidRPr="008B2513">
        <w:t>1 commet une erreur de droit dans l’application de la notion d’accident</w:t>
      </w:r>
      <w:r w:rsidR="00AB7A33" w:rsidRPr="008B2513">
        <w:t xml:space="preserve"> </w:t>
      </w:r>
      <w:r w:rsidR="00F439EE" w:rsidRPr="008B2513">
        <w:t xml:space="preserve">du </w:t>
      </w:r>
      <w:r w:rsidRPr="008B2513">
        <w:t>travail</w:t>
      </w:r>
      <w:r w:rsidR="00F439EE" w:rsidRPr="008B2513">
        <w:t>,</w:t>
      </w:r>
      <w:r w:rsidRPr="008B2513">
        <w:t xml:space="preserve"> et plus particulièrement</w:t>
      </w:r>
      <w:r w:rsidR="00AB7A33" w:rsidRPr="008B2513">
        <w:t xml:space="preserve"> </w:t>
      </w:r>
      <w:r w:rsidR="00F439EE" w:rsidRPr="008B2513">
        <w:t>quant au</w:t>
      </w:r>
      <w:r w:rsidRPr="008B2513">
        <w:t xml:space="preserve"> critère </w:t>
      </w:r>
      <w:r w:rsidR="00F439EE" w:rsidRPr="008B2513">
        <w:t>« </w:t>
      </w:r>
      <w:r w:rsidRPr="008B2513">
        <w:t>à l’occasion du travail</w:t>
      </w:r>
      <w:r w:rsidR="00F439EE" w:rsidRPr="008B2513">
        <w:t> »</w:t>
      </w:r>
      <w:r w:rsidRPr="008B2513">
        <w:t>. Tant dans sa requête écrite qu’en plaidoirie</w:t>
      </w:r>
      <w:r w:rsidR="00F439EE" w:rsidRPr="008B2513">
        <w:t>,</w:t>
      </w:r>
      <w:r w:rsidRPr="008B2513">
        <w:t xml:space="preserve"> il soutient que </w:t>
      </w:r>
      <w:r w:rsidR="00874703" w:rsidRPr="008B2513">
        <w:t>TAT</w:t>
      </w:r>
      <w:r w:rsidR="00F439EE" w:rsidRPr="008B2513">
        <w:t>-</w:t>
      </w:r>
      <w:r w:rsidR="00874703" w:rsidRPr="008B2513">
        <w:t xml:space="preserve">1 obvie </w:t>
      </w:r>
      <w:r w:rsidR="00F439EE" w:rsidRPr="008B2513">
        <w:t>au</w:t>
      </w:r>
      <w:r w:rsidR="00AB7A33" w:rsidRPr="008B2513">
        <w:t xml:space="preserve"> </w:t>
      </w:r>
      <w:r w:rsidR="00874703" w:rsidRPr="008B2513">
        <w:t>fait que la COVID</w:t>
      </w:r>
      <w:r w:rsidR="00F439EE" w:rsidRPr="008B2513">
        <w:t>-</w:t>
      </w:r>
      <w:r w:rsidR="00874703" w:rsidRPr="008B2513">
        <w:t>19</w:t>
      </w:r>
      <w:r w:rsidR="00AB7A33" w:rsidRPr="008B2513">
        <w:t xml:space="preserve"> </w:t>
      </w:r>
      <w:r w:rsidR="00874703" w:rsidRPr="008B2513">
        <w:t>dont est affligée la travailleuse n’est pas une lésion professionnelle, qu’elle n’était plus</w:t>
      </w:r>
      <w:r w:rsidR="00AB7A33" w:rsidRPr="008B2513">
        <w:t xml:space="preserve"> à</w:t>
      </w:r>
      <w:r w:rsidR="00874703" w:rsidRPr="008B2513">
        <w:t xml:space="preserve"> l’emploi de l’employeur lorsque </w:t>
      </w:r>
      <w:r w:rsidR="009B238D" w:rsidRPr="008B2513">
        <w:t>s</w:t>
      </w:r>
      <w:r w:rsidR="00874703" w:rsidRPr="008B2513">
        <w:t xml:space="preserve">e sont </w:t>
      </w:r>
      <w:r w:rsidR="009B238D" w:rsidRPr="008B2513">
        <w:t>manifestés</w:t>
      </w:r>
      <w:r w:rsidR="00874703" w:rsidRPr="008B2513">
        <w:t xml:space="preserve"> ses symptômes et que les allégations visant la travailleuse ne viennent ni de l’employeur</w:t>
      </w:r>
      <w:r w:rsidR="009B238D" w:rsidRPr="008B2513">
        <w:t xml:space="preserve"> </w:t>
      </w:r>
      <w:r w:rsidR="00874703" w:rsidRPr="008B2513">
        <w:t>ni de ses collègues.</w:t>
      </w:r>
    </w:p>
    <w:p w14:paraId="4C03758B" w14:textId="084CF391" w:rsidR="00874703" w:rsidRPr="008B2513" w:rsidRDefault="00874703" w:rsidP="00874703">
      <w:pPr>
        <w:pStyle w:val="corpsdedcision"/>
      </w:pPr>
      <w:r w:rsidRPr="008B2513">
        <w:t>Le Tribunal juge que la décision rendue par TAT</w:t>
      </w:r>
      <w:r w:rsidR="004652DC" w:rsidRPr="008B2513">
        <w:t>-</w:t>
      </w:r>
      <w:r w:rsidRPr="008B2513">
        <w:t>1 ne contient aucun vice de fond de nature à l’invalider. De fait, TAT</w:t>
      </w:r>
      <w:r w:rsidR="004652DC" w:rsidRPr="008B2513">
        <w:t>-</w:t>
      </w:r>
      <w:r w:rsidRPr="008B2513">
        <w:t xml:space="preserve">1 ne commet aucune erreur de droit dans l’application du critère </w:t>
      </w:r>
      <w:r w:rsidR="004652DC" w:rsidRPr="008B2513">
        <w:t>« </w:t>
      </w:r>
      <w:r w:rsidRPr="008B2513">
        <w:t>à l’occasion du travail</w:t>
      </w:r>
      <w:r w:rsidR="004652DC" w:rsidRPr="008B2513">
        <w:t> »</w:t>
      </w:r>
      <w:r w:rsidRPr="008B2513">
        <w:t xml:space="preserve"> </w:t>
      </w:r>
      <w:r w:rsidR="004652DC" w:rsidRPr="008B2513">
        <w:t>inclus</w:t>
      </w:r>
      <w:r w:rsidRPr="008B2513">
        <w:t xml:space="preserve"> dans la définition d’accident du travail. </w:t>
      </w:r>
    </w:p>
    <w:p w14:paraId="41C566CD" w14:textId="2D17ABDC" w:rsidR="00874703" w:rsidRPr="008B2513" w:rsidRDefault="00592867" w:rsidP="00874703">
      <w:pPr>
        <w:pStyle w:val="corpsdedcision"/>
      </w:pPr>
      <w:r w:rsidRPr="008B2513">
        <w:t>Le litige devant TAT</w:t>
      </w:r>
      <w:r w:rsidR="00523054" w:rsidRPr="008B2513">
        <w:t>-</w:t>
      </w:r>
      <w:r w:rsidRPr="008B2513">
        <w:t>1 n’est pas de déterminer si la COVID-19 représente une lésion professionnelle</w:t>
      </w:r>
      <w:r w:rsidR="00523054" w:rsidRPr="008B2513">
        <w:t>,</w:t>
      </w:r>
      <w:r w:rsidRPr="008B2513">
        <w:t xml:space="preserve"> mais plutôt si le syndrome de stress post-traumatique en est une. Dans ce contexte, le caractère professionnel ou non de la COVID-19 n’a aucune incidence sur l’analyse d</w:t>
      </w:r>
      <w:r w:rsidR="001B1D75" w:rsidRPr="008B2513">
        <w:t>e TAT</w:t>
      </w:r>
      <w:r w:rsidR="00523054" w:rsidRPr="008B2513">
        <w:t>-</w:t>
      </w:r>
      <w:r w:rsidR="001B1D75" w:rsidRPr="008B2513">
        <w:t>1</w:t>
      </w:r>
      <w:r w:rsidR="00D1729A" w:rsidRPr="008B2513">
        <w:t xml:space="preserve">. Il s’agit d’un fait pris </w:t>
      </w:r>
      <w:r w:rsidR="009F4F3E" w:rsidRPr="008B2513">
        <w:t xml:space="preserve">en </w:t>
      </w:r>
      <w:r w:rsidR="00D1729A" w:rsidRPr="008B2513">
        <w:t>compte par TAT</w:t>
      </w:r>
      <w:r w:rsidR="00523054" w:rsidRPr="008B2513">
        <w:t>-1</w:t>
      </w:r>
      <w:r w:rsidR="00D1729A" w:rsidRPr="008B2513">
        <w:t xml:space="preserve"> dans son analyse globale dont la pertinence n’est pas </w:t>
      </w:r>
      <w:r w:rsidR="001B1D75" w:rsidRPr="008B2513">
        <w:t>assujettie</w:t>
      </w:r>
      <w:r w:rsidR="00D1729A" w:rsidRPr="008B2513">
        <w:t xml:space="preserve"> à son caractère professionnel</w:t>
      </w:r>
      <w:r w:rsidR="002878F8" w:rsidRPr="008B2513">
        <w:t>.</w:t>
      </w:r>
      <w:r w:rsidR="00D1729A" w:rsidRPr="008B2513">
        <w:t xml:space="preserve"> </w:t>
      </w:r>
    </w:p>
    <w:p w14:paraId="0A6BB8CB" w14:textId="1501B760" w:rsidR="009466E0" w:rsidRPr="008B2513" w:rsidRDefault="009466E0" w:rsidP="009466E0">
      <w:pPr>
        <w:pStyle w:val="corpsdedcision"/>
      </w:pPr>
      <w:r w:rsidRPr="008B2513">
        <w:t>La clé de voûte pour déterminer si un événement imprévu et soudain survient à l’occasion du travail demeure le cadre d’analyse développé par la jurisprudence</w:t>
      </w:r>
      <w:r w:rsidRPr="008B2513">
        <w:rPr>
          <w:rStyle w:val="Appelnotedebasdep"/>
        </w:rPr>
        <w:footnoteReference w:id="10"/>
      </w:r>
      <w:r w:rsidRPr="008B2513">
        <w:t>, reposant sur les critères suivants :</w:t>
      </w:r>
    </w:p>
    <w:p w14:paraId="619D0395" w14:textId="77777777" w:rsidR="009466E0" w:rsidRPr="008B2513" w:rsidRDefault="009466E0" w:rsidP="00117B60">
      <w:pPr>
        <w:pStyle w:val="citation"/>
        <w:numPr>
          <w:ilvl w:val="0"/>
          <w:numId w:val="12"/>
        </w:numPr>
        <w:spacing w:after="120"/>
        <w:ind w:left="1418" w:right="6" w:hanging="709"/>
        <w:rPr>
          <w:sz w:val="24"/>
          <w:szCs w:val="24"/>
        </w:rPr>
      </w:pPr>
      <w:r w:rsidRPr="008B2513">
        <w:rPr>
          <w:sz w:val="24"/>
          <w:szCs w:val="24"/>
        </w:rPr>
        <w:t>le lieu de l’événement;</w:t>
      </w:r>
    </w:p>
    <w:p w14:paraId="5F9F620A" w14:textId="77777777" w:rsidR="009466E0" w:rsidRPr="008B2513" w:rsidRDefault="009466E0" w:rsidP="00117B60">
      <w:pPr>
        <w:pStyle w:val="citation"/>
        <w:numPr>
          <w:ilvl w:val="0"/>
          <w:numId w:val="12"/>
        </w:numPr>
        <w:spacing w:after="120"/>
        <w:ind w:left="1418" w:right="6" w:hanging="709"/>
        <w:rPr>
          <w:sz w:val="24"/>
          <w:szCs w:val="24"/>
        </w:rPr>
      </w:pPr>
      <w:r w:rsidRPr="008B2513">
        <w:rPr>
          <w:sz w:val="24"/>
          <w:szCs w:val="24"/>
        </w:rPr>
        <w:t>le moment de l’événement;</w:t>
      </w:r>
    </w:p>
    <w:p w14:paraId="0080FD97" w14:textId="77777777" w:rsidR="009466E0" w:rsidRPr="008B2513" w:rsidRDefault="009466E0" w:rsidP="00117B60">
      <w:pPr>
        <w:pStyle w:val="citation"/>
        <w:numPr>
          <w:ilvl w:val="0"/>
          <w:numId w:val="12"/>
        </w:numPr>
        <w:spacing w:after="120"/>
        <w:ind w:left="1418" w:right="6" w:hanging="709"/>
        <w:rPr>
          <w:sz w:val="24"/>
          <w:szCs w:val="24"/>
        </w:rPr>
      </w:pPr>
      <w:r w:rsidRPr="008B2513">
        <w:rPr>
          <w:sz w:val="24"/>
          <w:szCs w:val="24"/>
        </w:rPr>
        <w:t>la rémunération de l’activité exercée par le travailleur au moment de l’accident;</w:t>
      </w:r>
    </w:p>
    <w:p w14:paraId="6F8D492B" w14:textId="77777777" w:rsidR="009466E0" w:rsidRPr="008B2513" w:rsidRDefault="009466E0" w:rsidP="00117B60">
      <w:pPr>
        <w:pStyle w:val="citation"/>
        <w:numPr>
          <w:ilvl w:val="0"/>
          <w:numId w:val="12"/>
        </w:numPr>
        <w:spacing w:after="120"/>
        <w:ind w:left="1418" w:right="6" w:hanging="709"/>
        <w:rPr>
          <w:sz w:val="24"/>
          <w:szCs w:val="24"/>
        </w:rPr>
      </w:pPr>
      <w:r w:rsidRPr="008B2513">
        <w:rPr>
          <w:sz w:val="24"/>
          <w:szCs w:val="24"/>
        </w:rPr>
        <w:t>l’existence et le degré d’autorité de l’employeur ou le lien de subordination du travailleur;</w:t>
      </w:r>
    </w:p>
    <w:p w14:paraId="1A3CE31F" w14:textId="77777777" w:rsidR="009466E0" w:rsidRPr="008B2513" w:rsidRDefault="009466E0" w:rsidP="00117B60">
      <w:pPr>
        <w:pStyle w:val="citation"/>
        <w:numPr>
          <w:ilvl w:val="0"/>
          <w:numId w:val="12"/>
        </w:numPr>
        <w:spacing w:after="120"/>
        <w:ind w:left="1418" w:right="6" w:hanging="709"/>
        <w:rPr>
          <w:sz w:val="24"/>
          <w:szCs w:val="24"/>
        </w:rPr>
      </w:pPr>
      <w:r w:rsidRPr="008B2513">
        <w:rPr>
          <w:sz w:val="24"/>
          <w:szCs w:val="24"/>
        </w:rPr>
        <w:t>la finalité de l’activité exercée au moment de l’événement, qu’elle soit incidente, accessoire ou facultative aux conditions de travail;</w:t>
      </w:r>
    </w:p>
    <w:p w14:paraId="2CE1DBE1" w14:textId="77777777" w:rsidR="009466E0" w:rsidRPr="008B2513" w:rsidRDefault="009466E0" w:rsidP="00117B60">
      <w:pPr>
        <w:pStyle w:val="citation"/>
        <w:numPr>
          <w:ilvl w:val="0"/>
          <w:numId w:val="12"/>
        </w:numPr>
        <w:spacing w:after="360"/>
        <w:ind w:left="1418" w:right="6" w:hanging="709"/>
        <w:rPr>
          <w:sz w:val="24"/>
          <w:szCs w:val="24"/>
        </w:rPr>
      </w:pPr>
      <w:r w:rsidRPr="008B2513">
        <w:rPr>
          <w:sz w:val="24"/>
          <w:szCs w:val="24"/>
        </w:rPr>
        <w:t>le caractère de connexité ou d’utilité relative de l’activité du travailleur en regard de l’accomplissement du travail.</w:t>
      </w:r>
    </w:p>
    <w:p w14:paraId="4941A16A" w14:textId="39594C34" w:rsidR="00E31299" w:rsidRPr="008B2513" w:rsidRDefault="009466E0" w:rsidP="009466E0">
      <w:pPr>
        <w:pStyle w:val="corpsdedcision"/>
      </w:pPr>
      <w:r w:rsidRPr="008B2513">
        <w:t xml:space="preserve">Il n’est pas nécessaire que chacun de ces critères soit présent pour reconnaître un </w:t>
      </w:r>
      <w:r w:rsidR="004C7904" w:rsidRPr="008B2513">
        <w:t xml:space="preserve">événement imprévu et soudain survenu à l’occasion du travail. Dans son analyse, </w:t>
      </w:r>
      <w:r w:rsidR="0002047A" w:rsidRPr="008B2513">
        <w:t xml:space="preserve">étant donné les </w:t>
      </w:r>
      <w:r w:rsidR="004C7904" w:rsidRPr="008B2513">
        <w:t>circonstances propres au litige, TAT</w:t>
      </w:r>
      <w:r w:rsidR="00704842" w:rsidRPr="008B2513">
        <w:t>-</w:t>
      </w:r>
      <w:r w:rsidR="004C7904" w:rsidRPr="008B2513">
        <w:t>1 a tenu compte principalement du critère de la connexité. Dans sa décision</w:t>
      </w:r>
      <w:r w:rsidR="00704842" w:rsidRPr="008B2513">
        <w:t>,</w:t>
      </w:r>
      <w:r w:rsidR="004C7904" w:rsidRPr="008B2513">
        <w:t xml:space="preserve"> TAT</w:t>
      </w:r>
      <w:r w:rsidR="00704842" w:rsidRPr="008B2513">
        <w:t>-</w:t>
      </w:r>
      <w:r w:rsidR="004C7904" w:rsidRPr="008B2513">
        <w:t>1 retient que la sphère professionnelle de la travailleuse</w:t>
      </w:r>
      <w:r w:rsidR="009C7F3F" w:rsidRPr="008B2513">
        <w:t>,</w:t>
      </w:r>
      <w:r w:rsidR="004C7904" w:rsidRPr="008B2513">
        <w:t xml:space="preserve"> alors qu’elle était à l’emploi de l’employeur</w:t>
      </w:r>
      <w:r w:rsidR="009C7F3F" w:rsidRPr="008B2513">
        <w:t>,</w:t>
      </w:r>
      <w:r w:rsidR="004C7904" w:rsidRPr="008B2513">
        <w:t xml:space="preserve"> s’est invitée</w:t>
      </w:r>
      <w:r w:rsidR="00E31299" w:rsidRPr="008B2513">
        <w:t xml:space="preserve"> quelques mois plus tard </w:t>
      </w:r>
      <w:r w:rsidR="004C7904" w:rsidRPr="008B2513">
        <w:t>dans sa sphère personnelle. Pour TAT</w:t>
      </w:r>
      <w:r w:rsidR="00704842" w:rsidRPr="008B2513">
        <w:t>-</w:t>
      </w:r>
      <w:r w:rsidR="004C7904" w:rsidRPr="008B2513">
        <w:t>1</w:t>
      </w:r>
      <w:r w:rsidR="00704842" w:rsidRPr="008B2513">
        <w:t>,</w:t>
      </w:r>
      <w:r w:rsidR="004C7904" w:rsidRPr="008B2513">
        <w:t xml:space="preserve"> n’e</w:t>
      </w:r>
      <w:r w:rsidR="002F7017">
        <w:t>ût été</w:t>
      </w:r>
      <w:r w:rsidR="004C7904" w:rsidRPr="008B2513">
        <w:t xml:space="preserve"> son emploi au Manoir du Havre, il n’y aurait pas </w:t>
      </w:r>
      <w:r w:rsidR="00704842" w:rsidRPr="008B2513">
        <w:t xml:space="preserve">eu </w:t>
      </w:r>
      <w:r w:rsidR="004C7904" w:rsidRPr="008B2513">
        <w:t>d’accusations</w:t>
      </w:r>
      <w:r w:rsidR="00E31299" w:rsidRPr="008B2513">
        <w:t xml:space="preserve"> à son endroit. De fait, la connexité retenue par TAT</w:t>
      </w:r>
      <w:r w:rsidR="00704842" w:rsidRPr="008B2513">
        <w:t>-</w:t>
      </w:r>
      <w:r w:rsidR="00E31299" w:rsidRPr="008B2513">
        <w:t xml:space="preserve">1 est </w:t>
      </w:r>
      <w:r w:rsidR="00756B75" w:rsidRPr="008B2513">
        <w:t xml:space="preserve">le </w:t>
      </w:r>
      <w:r w:rsidR="00E31299" w:rsidRPr="008B2513">
        <w:t>lien entre l’emploi de la travailleuse au Manoir du Havre, la vague de décès et les accusations injustifiées à l’égard de la travailleuse.</w:t>
      </w:r>
      <w:r w:rsidR="00756B75" w:rsidRPr="008B2513">
        <w:t xml:space="preserve"> TAT</w:t>
      </w:r>
      <w:r w:rsidR="00704842" w:rsidRPr="008B2513">
        <w:t>-</w:t>
      </w:r>
      <w:r w:rsidR="00756B75" w:rsidRPr="008B2513">
        <w:t>1 reconnaît à titre d’événement imprévu et soudain l</w:t>
      </w:r>
      <w:r w:rsidR="00FA6954" w:rsidRPr="008B2513">
        <w:t xml:space="preserve">es </w:t>
      </w:r>
      <w:r w:rsidR="00756B75" w:rsidRPr="008B2513">
        <w:t xml:space="preserve">accusations </w:t>
      </w:r>
      <w:r w:rsidR="00FA6954" w:rsidRPr="008B2513">
        <w:t>portées à l’encontre de</w:t>
      </w:r>
      <w:r w:rsidR="00756B75" w:rsidRPr="008B2513">
        <w:t xml:space="preserve"> la travailleuse </w:t>
      </w:r>
      <w:r w:rsidR="00FA6954" w:rsidRPr="008B2513">
        <w:t>découlant de circonstances en lien avec son emploi au</w:t>
      </w:r>
      <w:r w:rsidR="00756B75" w:rsidRPr="008B2513">
        <w:t xml:space="preserve"> Manoir du Havre.</w:t>
      </w:r>
    </w:p>
    <w:p w14:paraId="4BF3B337" w14:textId="2C601357" w:rsidR="009466E0" w:rsidRPr="008B2513" w:rsidRDefault="00E31299" w:rsidP="009466E0">
      <w:pPr>
        <w:pStyle w:val="corpsdedcision"/>
      </w:pPr>
      <w:r w:rsidRPr="008B2513">
        <w:t xml:space="preserve">Dans ce contexte, l’indemnisation ne repose pas sur l’existence d’un lien d’emploi au moment où est posé le diagnostic de syndrome de stress post-traumatique comme le laisse entendre </w:t>
      </w:r>
      <w:r w:rsidR="00756B75" w:rsidRPr="008B2513">
        <w:t>l’employeur</w:t>
      </w:r>
      <w:r w:rsidRPr="008B2513">
        <w:t>.</w:t>
      </w:r>
      <w:r w:rsidR="00756B75" w:rsidRPr="008B2513">
        <w:t xml:space="preserve"> D’ailleurs, il n’y </w:t>
      </w:r>
      <w:r w:rsidR="0028606F" w:rsidRPr="008B2513">
        <w:t xml:space="preserve">a </w:t>
      </w:r>
      <w:r w:rsidR="00756B75" w:rsidRPr="008B2513">
        <w:t xml:space="preserve">pas toujours adéquation entre le lien d’emploi et la manifestation d’une lésion professionnelle. </w:t>
      </w:r>
      <w:r w:rsidR="004F2D94" w:rsidRPr="008B2513">
        <w:t>Cet argument de l’employeur signifierait qu’un retraité ne pourrait être indemnisé pour une surdité d’origine professionnelle ou encore qu’une maladie professionnelle comme l’amiantose ne pourrait être reconnue si le travailleur n’a plus de lien d’emploi avec l’employeur pour lequel il travaillait lorsqu’il a été exposé à l’amiante.</w:t>
      </w:r>
    </w:p>
    <w:p w14:paraId="6273355B" w14:textId="131A1C95" w:rsidR="00E31299" w:rsidRPr="008B2513" w:rsidRDefault="00365853" w:rsidP="009466E0">
      <w:pPr>
        <w:pStyle w:val="corpsdedcision"/>
      </w:pPr>
      <w:r w:rsidRPr="008B2513">
        <w:t>Quant à l’argument de l’employeur selon lequel TAT</w:t>
      </w:r>
      <w:r w:rsidR="0028606F" w:rsidRPr="008B2513">
        <w:t>-</w:t>
      </w:r>
      <w:r w:rsidRPr="008B2513">
        <w:t xml:space="preserve">1 ne tient pas compte que les accusations portées contre la travailleuse ne </w:t>
      </w:r>
      <w:r w:rsidR="008B2513" w:rsidRPr="008B2513">
        <w:t xml:space="preserve">viennent pas de lui ou des collègues de travail de celle-ci, il ne peut être retenu. </w:t>
      </w:r>
      <w:r w:rsidRPr="008B2513">
        <w:t xml:space="preserve">D’une part, l’existence d’un événement imprévu et soudain n’est pas tributaire de la seule existence d’un geste posé par l’employeur ou un collègue de travail. </w:t>
      </w:r>
      <w:r w:rsidR="000B0D96" w:rsidRPr="008B2513">
        <w:t xml:space="preserve">La </w:t>
      </w:r>
      <w:r w:rsidR="000B0D96" w:rsidRPr="008B2513">
        <w:rPr>
          <w:i/>
          <w:iCs/>
        </w:rPr>
        <w:t>Loi</w:t>
      </w:r>
      <w:r w:rsidR="002A5865" w:rsidRPr="008B2513">
        <w:rPr>
          <w:i/>
          <w:iCs/>
        </w:rPr>
        <w:t xml:space="preserve"> sur les accidents du travail et les maladies professionnelles</w:t>
      </w:r>
      <w:r w:rsidR="00093285" w:rsidRPr="008B2513">
        <w:rPr>
          <w:rStyle w:val="Appelnotedebasdep"/>
        </w:rPr>
        <w:footnoteReference w:id="11"/>
      </w:r>
      <w:r w:rsidR="000B0D96" w:rsidRPr="008B2513">
        <w:t xml:space="preserve"> ne prévoit aucune condition à cet égard. </w:t>
      </w:r>
      <w:r w:rsidR="00DF0FD7" w:rsidRPr="008B2513">
        <w:t xml:space="preserve">D’autre part, bien que la mise en demeure de l’employeur soit envoyée en février 2021, l’argument de son procureur sur le rôle de l’employeur dans les accusations </w:t>
      </w:r>
      <w:r w:rsidR="004F2D94" w:rsidRPr="008B2513">
        <w:t xml:space="preserve">portées à </w:t>
      </w:r>
      <w:r w:rsidR="00DF0FD7" w:rsidRPr="008B2513">
        <w:t>l’encontre de la travailleuse apparaît fallacieux.</w:t>
      </w:r>
      <w:r w:rsidR="000B0D96" w:rsidRPr="008B2513">
        <w:t xml:space="preserve"> </w:t>
      </w:r>
      <w:r w:rsidR="00477210" w:rsidRPr="008B2513">
        <w:t xml:space="preserve">Bien que </w:t>
      </w:r>
      <w:r w:rsidR="000B0D96" w:rsidRPr="008B2513">
        <w:t>TAT</w:t>
      </w:r>
      <w:r w:rsidR="00DF60AE" w:rsidRPr="008B2513">
        <w:t>-</w:t>
      </w:r>
      <w:r w:rsidR="000B0D96" w:rsidRPr="008B2513">
        <w:t>1 reconna</w:t>
      </w:r>
      <w:r w:rsidR="00477210" w:rsidRPr="008B2513">
        <w:t>isse</w:t>
      </w:r>
      <w:r w:rsidR="000B0D96" w:rsidRPr="008B2513">
        <w:t xml:space="preserve"> à titre d’événement imprévu et soudain les fausses accusations visant la travailleuse, le silence de l’employeur en mai 2020 alors que la travailleuse tente de le joindre </w:t>
      </w:r>
      <w:r w:rsidR="00477210" w:rsidRPr="008B2513">
        <w:t xml:space="preserve">s’avère </w:t>
      </w:r>
      <w:r w:rsidR="000B0D96" w:rsidRPr="008B2513">
        <w:t>troublant.</w:t>
      </w:r>
    </w:p>
    <w:p w14:paraId="0C567193" w14:textId="31CD39FD" w:rsidR="00DF0FD7" w:rsidRPr="008B2513" w:rsidRDefault="00DF0FD7" w:rsidP="009466E0">
      <w:pPr>
        <w:pStyle w:val="corpsdedcision"/>
      </w:pPr>
      <w:r w:rsidRPr="008B2513">
        <w:t>En conséquence, la décision rendue par TAT</w:t>
      </w:r>
      <w:r w:rsidR="00DF60AE" w:rsidRPr="008B2513">
        <w:t>-</w:t>
      </w:r>
      <w:r w:rsidRPr="008B2513">
        <w:t xml:space="preserve">1 ne contient aucun vice de fond de nature </w:t>
      </w:r>
      <w:r w:rsidR="002F7017">
        <w:t xml:space="preserve">à </w:t>
      </w:r>
      <w:r w:rsidRPr="008B2513">
        <w:t>l’invalider.</w:t>
      </w:r>
    </w:p>
    <w:p w14:paraId="25BDB0EF" w14:textId="77777777" w:rsidR="00C74B6F" w:rsidRPr="008B2513" w:rsidRDefault="00C74B6F">
      <w:pPr>
        <w:pStyle w:val="Dispositif"/>
      </w:pPr>
      <w:r w:rsidRPr="008B2513">
        <w:rPr>
          <w:b/>
        </w:rPr>
        <w:t>P</w:t>
      </w:r>
      <w:r w:rsidR="00401325" w:rsidRPr="008B2513">
        <w:rPr>
          <w:b/>
        </w:rPr>
        <w:t>AR</w:t>
      </w:r>
      <w:r w:rsidR="00D07FA6" w:rsidRPr="008B2513">
        <w:rPr>
          <w:b/>
        </w:rPr>
        <w:t xml:space="preserve"> CES MOTIFS, LE TRIBUNAL ADMINISTRATIF DU TRAVAIL</w:t>
      </w:r>
      <w:r w:rsidRPr="008B2513">
        <w:rPr>
          <w:b/>
        </w:rPr>
        <w:t> :</w:t>
      </w:r>
    </w:p>
    <w:p w14:paraId="79398AC6" w14:textId="1DAE15AA" w:rsidR="00C74B6F" w:rsidRPr="008B2513" w:rsidRDefault="00477210">
      <w:pPr>
        <w:pStyle w:val="Dispositif"/>
      </w:pPr>
      <w:r w:rsidRPr="008B2513">
        <w:rPr>
          <w:b/>
        </w:rPr>
        <w:t>REJETTE</w:t>
      </w:r>
      <w:r w:rsidRPr="008B2513">
        <w:t xml:space="preserve"> </w:t>
      </w:r>
      <w:r w:rsidR="00117B60" w:rsidRPr="008B2513">
        <w:t xml:space="preserve">la requête </w:t>
      </w:r>
      <w:r w:rsidRPr="008B2513">
        <w:t>en révision ou en révocation présentée par l’employeur, Manoir du Havre.</w:t>
      </w:r>
    </w:p>
    <w:p w14:paraId="2F8DD8D9" w14:textId="77777777" w:rsidR="00C74B6F" w:rsidRPr="008B2513"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8B2513" w:rsidRPr="008B2513" w14:paraId="3F307331" w14:textId="77777777">
        <w:tc>
          <w:tcPr>
            <w:tcW w:w="4795" w:type="dxa"/>
          </w:tcPr>
          <w:p w14:paraId="6FC4CDAD" w14:textId="77777777" w:rsidR="00C74B6F" w:rsidRPr="008B2513" w:rsidRDefault="00C74B6F"/>
        </w:tc>
        <w:tc>
          <w:tcPr>
            <w:tcW w:w="4795" w:type="dxa"/>
          </w:tcPr>
          <w:p w14:paraId="6C1365AC" w14:textId="77777777" w:rsidR="00C74B6F" w:rsidRPr="008B2513" w:rsidRDefault="00C74B6F">
            <w:bookmarkStart w:id="22" w:name="signature"/>
            <w:bookmarkEnd w:id="22"/>
            <w:r w:rsidRPr="008B2513">
              <w:t>__________________________________</w:t>
            </w:r>
          </w:p>
        </w:tc>
      </w:tr>
      <w:tr w:rsidR="008B2513" w:rsidRPr="008B2513" w14:paraId="7E14AFC2" w14:textId="77777777">
        <w:tc>
          <w:tcPr>
            <w:tcW w:w="4795" w:type="dxa"/>
          </w:tcPr>
          <w:p w14:paraId="40BFF472" w14:textId="77777777" w:rsidR="00C74B6F" w:rsidRPr="008B2513" w:rsidRDefault="00C74B6F"/>
        </w:tc>
        <w:tc>
          <w:tcPr>
            <w:tcW w:w="4795" w:type="dxa"/>
          </w:tcPr>
          <w:p w14:paraId="1F11847F" w14:textId="0FB3E09D" w:rsidR="00C74B6F" w:rsidRPr="008B2513" w:rsidRDefault="00477210">
            <w:r w:rsidRPr="008B2513">
              <w:t xml:space="preserve">Philippe Bouvier </w:t>
            </w:r>
          </w:p>
        </w:tc>
      </w:tr>
      <w:tr w:rsidR="008B2513" w:rsidRPr="008B2513" w14:paraId="0D692BEE" w14:textId="77777777">
        <w:trPr>
          <w:cantSplit/>
        </w:trPr>
        <w:tc>
          <w:tcPr>
            <w:tcW w:w="9590" w:type="dxa"/>
            <w:gridSpan w:val="2"/>
          </w:tcPr>
          <w:p w14:paraId="7AA7AB72" w14:textId="77777777" w:rsidR="00C74B6F" w:rsidRPr="008B2513" w:rsidRDefault="00C74B6F"/>
        </w:tc>
      </w:tr>
      <w:tr w:rsidR="008B2513" w:rsidRPr="008B2513" w14:paraId="6944677B" w14:textId="77777777">
        <w:trPr>
          <w:cantSplit/>
        </w:trPr>
        <w:tc>
          <w:tcPr>
            <w:tcW w:w="9590" w:type="dxa"/>
            <w:gridSpan w:val="2"/>
          </w:tcPr>
          <w:p w14:paraId="16C6F226" w14:textId="77777777" w:rsidR="00C74B6F" w:rsidRPr="008B2513" w:rsidRDefault="00C74B6F" w:rsidP="00EC5C8D">
            <w:pPr>
              <w:tabs>
                <w:tab w:val="left" w:pos="1592"/>
              </w:tabs>
            </w:pPr>
          </w:p>
        </w:tc>
      </w:tr>
      <w:tr w:rsidR="008B2513" w:rsidRPr="008B2513" w14:paraId="1C8E8F17" w14:textId="77777777">
        <w:trPr>
          <w:cantSplit/>
        </w:trPr>
        <w:tc>
          <w:tcPr>
            <w:tcW w:w="9590" w:type="dxa"/>
            <w:gridSpan w:val="2"/>
          </w:tcPr>
          <w:p w14:paraId="0042C50F" w14:textId="77777777" w:rsidR="00C74B6F" w:rsidRPr="008B2513" w:rsidRDefault="00C74B6F"/>
        </w:tc>
      </w:tr>
      <w:tr w:rsidR="008B2513" w:rsidRPr="008B2513" w14:paraId="36EECB0D" w14:textId="77777777">
        <w:trPr>
          <w:cantSplit/>
        </w:trPr>
        <w:tc>
          <w:tcPr>
            <w:tcW w:w="9590" w:type="dxa"/>
            <w:gridSpan w:val="2"/>
          </w:tcPr>
          <w:p w14:paraId="24143981" w14:textId="3BF24074" w:rsidR="00596AB2" w:rsidRPr="008B2513" w:rsidRDefault="00117B60" w:rsidP="001E15C0">
            <w:pPr>
              <w:keepNext/>
              <w:keepLines/>
            </w:pPr>
            <w:r w:rsidRPr="008B2513">
              <w:t>M</w:t>
            </w:r>
            <w:r w:rsidRPr="008B2513">
              <w:rPr>
                <w:vertAlign w:val="superscript"/>
              </w:rPr>
              <w:t>me</w:t>
            </w:r>
            <w:r w:rsidRPr="008B2513">
              <w:t xml:space="preserve"> Monique Morrison</w:t>
            </w:r>
          </w:p>
        </w:tc>
      </w:tr>
      <w:tr w:rsidR="008B2513" w:rsidRPr="008B2513" w14:paraId="044F232E" w14:textId="77777777">
        <w:trPr>
          <w:cantSplit/>
        </w:trPr>
        <w:tc>
          <w:tcPr>
            <w:tcW w:w="9590" w:type="dxa"/>
            <w:gridSpan w:val="2"/>
          </w:tcPr>
          <w:p w14:paraId="01F08C9D" w14:textId="7B7A97B5" w:rsidR="00861F8B" w:rsidRPr="008B2513" w:rsidRDefault="00E25DCB" w:rsidP="001E15C0">
            <w:pPr>
              <w:keepNext/>
              <w:keepLines/>
            </w:pPr>
            <w:r w:rsidRPr="008B2513">
              <w:fldChar w:fldCharType="begin"/>
            </w:r>
            <w:r w:rsidRPr="008B2513">
              <w:instrText xml:space="preserve"> MACROBUTTON  AbaisserNiveauListe </w:instrText>
            </w:r>
            <w:r w:rsidRPr="008B2513">
              <w:fldChar w:fldCharType="end"/>
            </w:r>
            <w:r w:rsidR="00117B60" w:rsidRPr="008B2513">
              <w:t>Pour elle-même</w:t>
            </w:r>
          </w:p>
        </w:tc>
      </w:tr>
      <w:tr w:rsidR="008B2513" w:rsidRPr="008B2513" w14:paraId="42C4EF3F" w14:textId="77777777">
        <w:trPr>
          <w:cantSplit/>
        </w:trPr>
        <w:tc>
          <w:tcPr>
            <w:tcW w:w="9590" w:type="dxa"/>
            <w:gridSpan w:val="2"/>
          </w:tcPr>
          <w:p w14:paraId="6B053B68" w14:textId="77777777" w:rsidR="00C74B6F" w:rsidRPr="008B2513" w:rsidRDefault="00C74B6F"/>
        </w:tc>
      </w:tr>
      <w:tr w:rsidR="008B2513" w:rsidRPr="008B2513" w14:paraId="61AC8D1F" w14:textId="77777777">
        <w:trPr>
          <w:cantSplit/>
        </w:trPr>
        <w:tc>
          <w:tcPr>
            <w:tcW w:w="9590" w:type="dxa"/>
            <w:gridSpan w:val="2"/>
          </w:tcPr>
          <w:p w14:paraId="181B12CA" w14:textId="29EC6D06" w:rsidR="00C74B6F" w:rsidRPr="008B2513" w:rsidRDefault="00117B60" w:rsidP="00117B60">
            <w:pPr>
              <w:pStyle w:val="zSoquijdatNomProcureurDem"/>
              <w:keepNext/>
              <w:keepLines/>
            </w:pPr>
            <w:r w:rsidRPr="008B2513">
              <w:t>M</w:t>
            </w:r>
            <w:r w:rsidRPr="008B2513">
              <w:rPr>
                <w:vertAlign w:val="superscript"/>
              </w:rPr>
              <w:t>e</w:t>
            </w:r>
            <w:r w:rsidRPr="008B2513">
              <w:t xml:space="preserve"> Jean-François Viens</w:t>
            </w:r>
          </w:p>
        </w:tc>
      </w:tr>
      <w:tr w:rsidR="008B2513" w:rsidRPr="008B2513" w14:paraId="54B662A1" w14:textId="77777777">
        <w:trPr>
          <w:cantSplit/>
        </w:trPr>
        <w:tc>
          <w:tcPr>
            <w:tcW w:w="9590" w:type="dxa"/>
            <w:gridSpan w:val="2"/>
          </w:tcPr>
          <w:p w14:paraId="33AED1E1" w14:textId="1A1B69B3" w:rsidR="00C74B6F" w:rsidRPr="008B2513" w:rsidRDefault="00117B60" w:rsidP="00117B60">
            <w:pPr>
              <w:pStyle w:val="zSoquijdatCabinetProcureurDem"/>
              <w:keepNext/>
              <w:keepLines/>
            </w:pPr>
            <w:r w:rsidRPr="008B2513">
              <w:t>TELUS SANTÉ (CANADA)</w:t>
            </w:r>
          </w:p>
        </w:tc>
      </w:tr>
      <w:tr w:rsidR="008B2513" w:rsidRPr="008B2513" w14:paraId="3C64E9DC" w14:textId="77777777">
        <w:trPr>
          <w:cantSplit/>
        </w:trPr>
        <w:tc>
          <w:tcPr>
            <w:tcW w:w="9590" w:type="dxa"/>
            <w:gridSpan w:val="2"/>
          </w:tcPr>
          <w:p w14:paraId="73F295AC" w14:textId="0692965A" w:rsidR="00C74B6F" w:rsidRPr="008B2513" w:rsidRDefault="00CB05A7" w:rsidP="00117B60">
            <w:pPr>
              <w:pStyle w:val="zSoquijlblProcureurDem"/>
              <w:keepNext/>
              <w:keepLines/>
            </w:pPr>
            <w:r w:rsidRPr="008B2513">
              <w:t xml:space="preserve">Pour la partie </w:t>
            </w:r>
            <w:r w:rsidR="00117B60" w:rsidRPr="008B2513">
              <w:t>mise en cause</w:t>
            </w:r>
          </w:p>
        </w:tc>
      </w:tr>
      <w:tr w:rsidR="008B2513" w:rsidRPr="008B2513" w14:paraId="0A6564E5" w14:textId="77777777">
        <w:trPr>
          <w:cantSplit/>
        </w:trPr>
        <w:tc>
          <w:tcPr>
            <w:tcW w:w="9590" w:type="dxa"/>
            <w:gridSpan w:val="2"/>
          </w:tcPr>
          <w:p w14:paraId="066C78DD" w14:textId="77777777" w:rsidR="00C74B6F" w:rsidRPr="008B2513" w:rsidRDefault="00C74B6F"/>
        </w:tc>
      </w:tr>
      <w:tr w:rsidR="008B2513" w:rsidRPr="008B2513" w14:paraId="205E2B6C" w14:textId="77777777">
        <w:trPr>
          <w:cantSplit/>
        </w:trPr>
        <w:tc>
          <w:tcPr>
            <w:tcW w:w="9590" w:type="dxa"/>
            <w:gridSpan w:val="2"/>
          </w:tcPr>
          <w:p w14:paraId="2640D5FE" w14:textId="03DA65A9" w:rsidR="00C74B6F" w:rsidRPr="008B2513" w:rsidRDefault="00117B60">
            <w:pPr>
              <w:pStyle w:val="zSoquijdatNomProcureurInt"/>
            </w:pPr>
            <w:r w:rsidRPr="008B2513">
              <w:t>M</w:t>
            </w:r>
            <w:r w:rsidRPr="008B2513">
              <w:rPr>
                <w:vertAlign w:val="superscript"/>
              </w:rPr>
              <w:t xml:space="preserve">e </w:t>
            </w:r>
            <w:r w:rsidRPr="008B2513">
              <w:t>Sarah-Ève Sénéchal</w:t>
            </w:r>
          </w:p>
        </w:tc>
      </w:tr>
      <w:tr w:rsidR="008B2513" w:rsidRPr="008B2513" w14:paraId="429BF7E5" w14:textId="77777777">
        <w:trPr>
          <w:cantSplit/>
        </w:trPr>
        <w:tc>
          <w:tcPr>
            <w:tcW w:w="9590" w:type="dxa"/>
            <w:gridSpan w:val="2"/>
          </w:tcPr>
          <w:p w14:paraId="57B47FE9" w14:textId="717FFDD5" w:rsidR="00C74B6F" w:rsidRPr="008B2513" w:rsidRDefault="00117B60">
            <w:pPr>
              <w:pStyle w:val="zSoquijdatCabinetProcureurInt"/>
            </w:pPr>
            <w:r w:rsidRPr="008B2513">
              <w:t>LAROCHE AVOCATS CNESST</w:t>
            </w:r>
          </w:p>
        </w:tc>
      </w:tr>
      <w:tr w:rsidR="008B2513" w:rsidRPr="008B2513" w14:paraId="33E46F4A" w14:textId="77777777">
        <w:trPr>
          <w:cantSplit/>
        </w:trPr>
        <w:tc>
          <w:tcPr>
            <w:tcW w:w="9590" w:type="dxa"/>
            <w:gridSpan w:val="2"/>
          </w:tcPr>
          <w:p w14:paraId="7481D565" w14:textId="3C0C74A7" w:rsidR="00C74B6F" w:rsidRPr="008B2513" w:rsidRDefault="007569DE">
            <w:pPr>
              <w:pStyle w:val="zSoquijlblProcureurInt"/>
            </w:pPr>
            <w:r w:rsidRPr="008B2513">
              <w:t xml:space="preserve">Pour la partie </w:t>
            </w:r>
            <w:r w:rsidR="00117B60" w:rsidRPr="008B2513">
              <w:t>intervenante</w:t>
            </w:r>
          </w:p>
        </w:tc>
      </w:tr>
      <w:tr w:rsidR="008B2513" w:rsidRPr="008B2513" w14:paraId="34D76CBE" w14:textId="77777777">
        <w:trPr>
          <w:cantSplit/>
        </w:trPr>
        <w:tc>
          <w:tcPr>
            <w:tcW w:w="9590" w:type="dxa"/>
            <w:gridSpan w:val="2"/>
          </w:tcPr>
          <w:p w14:paraId="5D8E3D6D" w14:textId="77777777" w:rsidR="00C15A3F" w:rsidRPr="008B2513" w:rsidRDefault="00C15A3F">
            <w:pPr>
              <w:pStyle w:val="zSoquijlblProcureurInt"/>
            </w:pPr>
          </w:p>
        </w:tc>
      </w:tr>
      <w:tr w:rsidR="00C15A3F" w:rsidRPr="008B2513" w14:paraId="374DC52F" w14:textId="77777777">
        <w:trPr>
          <w:cantSplit/>
        </w:trPr>
        <w:tc>
          <w:tcPr>
            <w:tcW w:w="9590" w:type="dxa"/>
            <w:gridSpan w:val="2"/>
          </w:tcPr>
          <w:p w14:paraId="47738F50" w14:textId="5A5B25D2" w:rsidR="00C15A3F" w:rsidRPr="008B2513" w:rsidRDefault="00C15A3F" w:rsidP="000E56A6">
            <w:pPr>
              <w:pStyle w:val="zSoquijdatDateAudience"/>
            </w:pPr>
            <w:bookmarkStart w:id="23" w:name="Date_derniere_audience"/>
            <w:bookmarkEnd w:id="23"/>
            <w:r w:rsidRPr="008B2513">
              <w:t xml:space="preserve">Date de la </w:t>
            </w:r>
            <w:r w:rsidR="00CC6338" w:rsidRPr="008B2513">
              <w:t>mise en délibéré</w:t>
            </w:r>
            <w:r w:rsidRPr="008B2513">
              <w:t> :</w:t>
            </w:r>
            <w:r w:rsidR="00597016" w:rsidRPr="008B2513">
              <w:tab/>
            </w:r>
            <w:r w:rsidR="00117B60" w:rsidRPr="008B2513">
              <w:t>8 mai 2025</w:t>
            </w:r>
          </w:p>
        </w:tc>
      </w:tr>
    </w:tbl>
    <w:p w14:paraId="3D925CBD" w14:textId="77777777" w:rsidR="00F76B4A" w:rsidRPr="008B2513" w:rsidRDefault="00F76B4A" w:rsidP="00F73D1C"/>
    <w:p w14:paraId="32FC8F22" w14:textId="77777777" w:rsidR="002542E0" w:rsidRPr="008B2513" w:rsidRDefault="002542E0" w:rsidP="002542E0">
      <w:pPr>
        <w:pStyle w:val="corpsdedcision"/>
        <w:numPr>
          <w:ilvl w:val="0"/>
          <w:numId w:val="0"/>
        </w:numPr>
        <w:tabs>
          <w:tab w:val="clear" w:pos="720"/>
        </w:tabs>
      </w:pPr>
    </w:p>
    <w:sectPr w:rsidR="002542E0" w:rsidRPr="008B2513">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C41984" w14:textId="77777777" w:rsidR="00D4290E" w:rsidRDefault="00D4290E">
      <w:r>
        <w:separator/>
      </w:r>
    </w:p>
  </w:endnote>
  <w:endnote w:type="continuationSeparator" w:id="0">
    <w:p w14:paraId="2CFCE216" w14:textId="77777777" w:rsidR="00D4290E" w:rsidRDefault="00D42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DD150A" w14:textId="77777777" w:rsidR="00D4290E" w:rsidRDefault="00D4290E">
      <w:r>
        <w:separator/>
      </w:r>
    </w:p>
  </w:footnote>
  <w:footnote w:type="continuationSeparator" w:id="0">
    <w:p w14:paraId="755F2612" w14:textId="77777777" w:rsidR="00D4290E" w:rsidRDefault="00D4290E">
      <w:r>
        <w:continuationSeparator/>
      </w:r>
    </w:p>
  </w:footnote>
  <w:footnote w:id="1">
    <w:p w14:paraId="397924F0" w14:textId="77777777" w:rsidR="009D73C6" w:rsidRPr="00116C56" w:rsidRDefault="009D73C6" w:rsidP="009D73C6">
      <w:pPr>
        <w:pStyle w:val="Notedebasdepage"/>
        <w:tabs>
          <w:tab w:val="left" w:pos="720"/>
        </w:tabs>
        <w:ind w:left="720" w:hanging="720"/>
        <w:jc w:val="both"/>
        <w:rPr>
          <w:sz w:val="20"/>
        </w:rPr>
      </w:pPr>
      <w:r w:rsidRPr="00116C56">
        <w:rPr>
          <w:rStyle w:val="Appelnotedebasdep"/>
        </w:rPr>
        <w:footnoteRef/>
      </w:r>
      <w:r w:rsidRPr="00116C56">
        <w:t xml:space="preserve"> </w:t>
      </w:r>
      <w:r w:rsidRPr="00116C56">
        <w:tab/>
      </w:r>
      <w:r w:rsidRPr="00116C56">
        <w:rPr>
          <w:sz w:val="20"/>
        </w:rPr>
        <w:t>RLRQ, c. T-15.1.</w:t>
      </w:r>
    </w:p>
  </w:footnote>
  <w:footnote w:id="2">
    <w:p w14:paraId="778AD7C3" w14:textId="77777777" w:rsidR="009D73C6" w:rsidRPr="009C4155" w:rsidRDefault="009D73C6" w:rsidP="009D73C6">
      <w:pPr>
        <w:pStyle w:val="Notedebasdepage"/>
        <w:tabs>
          <w:tab w:val="left" w:pos="720"/>
        </w:tabs>
        <w:ind w:left="720" w:hanging="720"/>
        <w:jc w:val="both"/>
        <w:rPr>
          <w:rFonts w:cs="Arial"/>
          <w:sz w:val="20"/>
        </w:rPr>
      </w:pPr>
      <w:r w:rsidRPr="009C4155">
        <w:rPr>
          <w:rStyle w:val="Appelnotedebasdep"/>
        </w:rPr>
        <w:footnoteRef/>
      </w:r>
      <w:r w:rsidRPr="009C4155">
        <w:t xml:space="preserve"> </w:t>
      </w:r>
      <w:r w:rsidRPr="009C4155">
        <w:rPr>
          <w:rFonts w:cs="Arial"/>
          <w:sz w:val="20"/>
        </w:rPr>
        <w:tab/>
        <w:t>[2003] R.J.Q. 2490 (C.A.).</w:t>
      </w:r>
    </w:p>
  </w:footnote>
  <w:footnote w:id="3">
    <w:p w14:paraId="2484461C" w14:textId="77777777" w:rsidR="009D73C6" w:rsidRPr="00414BC1" w:rsidRDefault="009D73C6" w:rsidP="009D73C6">
      <w:pPr>
        <w:pStyle w:val="Notedebasdepage"/>
        <w:tabs>
          <w:tab w:val="left" w:pos="720"/>
        </w:tabs>
        <w:ind w:left="720" w:hanging="720"/>
        <w:jc w:val="both"/>
        <w:rPr>
          <w:rFonts w:cs="Arial"/>
          <w:sz w:val="20"/>
          <w:highlight w:val="magenta"/>
        </w:rPr>
      </w:pPr>
      <w:r w:rsidRPr="009C4155">
        <w:rPr>
          <w:rStyle w:val="Appelnotedebasdep"/>
        </w:rPr>
        <w:footnoteRef/>
      </w:r>
      <w:r w:rsidRPr="009C4155">
        <w:t xml:space="preserve"> </w:t>
      </w:r>
      <w:r w:rsidRPr="009C4155">
        <w:rPr>
          <w:rFonts w:cs="Arial"/>
          <w:sz w:val="20"/>
        </w:rPr>
        <w:tab/>
        <w:t>[2005] R.J.Q. 2203 (C.A.).</w:t>
      </w:r>
    </w:p>
  </w:footnote>
  <w:footnote w:id="4">
    <w:p w14:paraId="018253CD" w14:textId="77777777" w:rsidR="009D73C6" w:rsidRPr="00414BC1" w:rsidRDefault="009D73C6" w:rsidP="009D73C6">
      <w:pPr>
        <w:pStyle w:val="Notedebasdepage"/>
        <w:tabs>
          <w:tab w:val="left" w:pos="720"/>
        </w:tabs>
        <w:ind w:left="720" w:hanging="720"/>
        <w:jc w:val="both"/>
        <w:rPr>
          <w:rFonts w:cs="Arial"/>
          <w:sz w:val="20"/>
          <w:highlight w:val="magenta"/>
        </w:rPr>
      </w:pPr>
      <w:r w:rsidRPr="009C4155">
        <w:rPr>
          <w:rStyle w:val="Appelnotedebasdep"/>
        </w:rPr>
        <w:footnoteRef/>
      </w:r>
      <w:r w:rsidRPr="009C4155">
        <w:t xml:space="preserve"> </w:t>
      </w:r>
      <w:r w:rsidRPr="009C4155">
        <w:rPr>
          <w:rFonts w:cs="Arial"/>
          <w:sz w:val="20"/>
        </w:rPr>
        <w:tab/>
      </w:r>
      <w:r w:rsidRPr="009C4155">
        <w:rPr>
          <w:i/>
          <w:sz w:val="20"/>
        </w:rPr>
        <w:t xml:space="preserve">Franchellini </w:t>
      </w:r>
      <w:r w:rsidRPr="009C4155">
        <w:rPr>
          <w:sz w:val="20"/>
        </w:rPr>
        <w:t>et</w:t>
      </w:r>
      <w:r w:rsidRPr="009C4155">
        <w:rPr>
          <w:i/>
          <w:sz w:val="20"/>
        </w:rPr>
        <w:t xml:space="preserve"> Sousa</w:t>
      </w:r>
      <w:r w:rsidRPr="009C4155">
        <w:rPr>
          <w:sz w:val="20"/>
        </w:rPr>
        <w:t>,</w:t>
      </w:r>
      <w:r w:rsidRPr="009C4155">
        <w:rPr>
          <w:rFonts w:cs="Arial"/>
          <w:sz w:val="20"/>
        </w:rPr>
        <w:t xml:space="preserve"> [1998] C.L.P. 783.</w:t>
      </w:r>
    </w:p>
  </w:footnote>
  <w:footnote w:id="5">
    <w:p w14:paraId="7FD598B7" w14:textId="1ABF93DB" w:rsidR="009D73C6" w:rsidRPr="00414BC1" w:rsidRDefault="009D73C6" w:rsidP="009D73C6">
      <w:pPr>
        <w:pStyle w:val="Notedebasdepage"/>
        <w:tabs>
          <w:tab w:val="left" w:pos="720"/>
        </w:tabs>
        <w:ind w:left="720" w:hanging="720"/>
        <w:jc w:val="both"/>
        <w:rPr>
          <w:rFonts w:cs="Arial"/>
          <w:sz w:val="20"/>
          <w:highlight w:val="magenta"/>
        </w:rPr>
      </w:pPr>
      <w:r w:rsidRPr="009C4155">
        <w:rPr>
          <w:rStyle w:val="Appelnotedebasdep"/>
        </w:rPr>
        <w:footnoteRef/>
      </w:r>
      <w:r w:rsidRPr="009C4155">
        <w:t xml:space="preserve"> </w:t>
      </w:r>
      <w:r w:rsidRPr="009C4155">
        <w:rPr>
          <w:rFonts w:cs="Arial"/>
          <w:sz w:val="20"/>
        </w:rPr>
        <w:tab/>
      </w:r>
      <w:r w:rsidRPr="009C4155">
        <w:rPr>
          <w:rFonts w:cs="Arial"/>
          <w:i/>
          <w:sz w:val="20"/>
        </w:rPr>
        <w:t xml:space="preserve">Produits forestiers Donohue inc. </w:t>
      </w:r>
      <w:r w:rsidRPr="009C4155">
        <w:rPr>
          <w:rFonts w:cs="Arial"/>
          <w:sz w:val="20"/>
        </w:rPr>
        <w:t>et</w:t>
      </w:r>
      <w:r w:rsidRPr="009C4155">
        <w:rPr>
          <w:rFonts w:cs="Arial"/>
          <w:i/>
          <w:sz w:val="20"/>
        </w:rPr>
        <w:t xml:space="preserve"> Villeneuve</w:t>
      </w:r>
      <w:r w:rsidRPr="009C4155">
        <w:rPr>
          <w:rFonts w:cs="Arial"/>
          <w:sz w:val="20"/>
        </w:rPr>
        <w:t>,</w:t>
      </w:r>
      <w:r w:rsidRPr="009C4155">
        <w:rPr>
          <w:rFonts w:cs="Arial"/>
          <w:i/>
          <w:sz w:val="20"/>
        </w:rPr>
        <w:t xml:space="preserve"> </w:t>
      </w:r>
      <w:r w:rsidRPr="009C4155">
        <w:rPr>
          <w:rFonts w:cs="Arial"/>
          <w:sz w:val="20"/>
        </w:rPr>
        <w:t xml:space="preserve">[1998] C.L.P. 733; </w:t>
      </w:r>
      <w:r w:rsidRPr="009C4155">
        <w:rPr>
          <w:rFonts w:cs="Arial"/>
          <w:i/>
          <w:sz w:val="20"/>
        </w:rPr>
        <w:t xml:space="preserve">Franchellini </w:t>
      </w:r>
      <w:r w:rsidRPr="009C4155">
        <w:rPr>
          <w:rFonts w:cs="Arial"/>
          <w:sz w:val="20"/>
        </w:rPr>
        <w:t xml:space="preserve">et </w:t>
      </w:r>
      <w:r w:rsidRPr="009C4155">
        <w:rPr>
          <w:rFonts w:cs="Arial"/>
          <w:i/>
          <w:sz w:val="20"/>
        </w:rPr>
        <w:t>Sousa</w:t>
      </w:r>
      <w:r w:rsidRPr="009C4155">
        <w:rPr>
          <w:rFonts w:cs="Arial"/>
          <w:sz w:val="20"/>
        </w:rPr>
        <w:t xml:space="preserve">, précitée, note </w:t>
      </w:r>
      <w:r w:rsidR="009C4155" w:rsidRPr="009C4155">
        <w:rPr>
          <w:rFonts w:cs="Arial"/>
          <w:sz w:val="20"/>
        </w:rPr>
        <w:t>4</w:t>
      </w:r>
      <w:r w:rsidRPr="009C4155">
        <w:rPr>
          <w:rFonts w:cs="Arial"/>
          <w:sz w:val="20"/>
        </w:rPr>
        <w:t xml:space="preserve">; </w:t>
      </w:r>
      <w:r w:rsidRPr="009C4155">
        <w:rPr>
          <w:rFonts w:cs="Arial"/>
          <w:i/>
          <w:sz w:val="20"/>
        </w:rPr>
        <w:t xml:space="preserve">Bourassa </w:t>
      </w:r>
      <w:r w:rsidRPr="009C4155">
        <w:rPr>
          <w:rFonts w:cs="Arial"/>
          <w:sz w:val="20"/>
        </w:rPr>
        <w:t>c.</w:t>
      </w:r>
      <w:r w:rsidRPr="009C4155">
        <w:rPr>
          <w:rFonts w:cs="Arial"/>
          <w:i/>
          <w:sz w:val="20"/>
        </w:rPr>
        <w:t xml:space="preserve"> Commission des lésions professionnelles, </w:t>
      </w:r>
      <w:r w:rsidRPr="009C4155">
        <w:rPr>
          <w:rFonts w:cs="Arial"/>
          <w:sz w:val="20"/>
        </w:rPr>
        <w:t>[2003] C.L.P. 601 (C.A.).</w:t>
      </w:r>
    </w:p>
  </w:footnote>
  <w:footnote w:id="6">
    <w:p w14:paraId="40509BFE" w14:textId="59DD8FA5" w:rsidR="009D73C6" w:rsidRPr="00116C56" w:rsidRDefault="009D73C6" w:rsidP="009D73C6">
      <w:pPr>
        <w:pStyle w:val="Notedebasdepage"/>
        <w:tabs>
          <w:tab w:val="left" w:pos="720"/>
        </w:tabs>
        <w:ind w:left="720" w:hanging="720"/>
        <w:jc w:val="both"/>
        <w:rPr>
          <w:rFonts w:cs="Arial"/>
          <w:sz w:val="20"/>
        </w:rPr>
      </w:pPr>
      <w:r w:rsidRPr="009C4155">
        <w:rPr>
          <w:rStyle w:val="Appelnotedebasdep"/>
        </w:rPr>
        <w:footnoteRef/>
      </w:r>
      <w:r w:rsidRPr="009C4155">
        <w:t xml:space="preserve"> </w:t>
      </w:r>
      <w:r w:rsidRPr="009C4155">
        <w:rPr>
          <w:rFonts w:cs="Arial"/>
          <w:sz w:val="20"/>
        </w:rPr>
        <w:tab/>
      </w:r>
      <w:r w:rsidRPr="009C4155">
        <w:rPr>
          <w:rFonts w:cs="Arial"/>
          <w:i/>
          <w:sz w:val="20"/>
        </w:rPr>
        <w:t xml:space="preserve">Tribunal administratif du Québec </w:t>
      </w:r>
      <w:r w:rsidRPr="009C4155">
        <w:rPr>
          <w:rFonts w:cs="Arial"/>
          <w:sz w:val="20"/>
        </w:rPr>
        <w:t>c.</w:t>
      </w:r>
      <w:r w:rsidRPr="009C4155">
        <w:rPr>
          <w:rFonts w:cs="Arial"/>
          <w:i/>
          <w:sz w:val="20"/>
        </w:rPr>
        <w:t xml:space="preserve"> Godin</w:t>
      </w:r>
      <w:r w:rsidRPr="009C4155">
        <w:rPr>
          <w:rFonts w:cs="Arial"/>
          <w:sz w:val="20"/>
        </w:rPr>
        <w:t xml:space="preserve">, précitée, note </w:t>
      </w:r>
      <w:r w:rsidR="009C4155" w:rsidRPr="009C4155">
        <w:rPr>
          <w:rFonts w:cs="Arial"/>
          <w:sz w:val="20"/>
        </w:rPr>
        <w:t>2</w:t>
      </w:r>
      <w:r w:rsidRPr="009C4155">
        <w:rPr>
          <w:rFonts w:cs="Arial"/>
          <w:sz w:val="20"/>
        </w:rPr>
        <w:t xml:space="preserve">; </w:t>
      </w:r>
      <w:r w:rsidRPr="009C4155">
        <w:rPr>
          <w:rFonts w:cs="Arial"/>
          <w:i/>
          <w:sz w:val="20"/>
        </w:rPr>
        <w:t xml:space="preserve">Commission de la santé et de la sécurité du travail </w:t>
      </w:r>
      <w:r w:rsidRPr="009C4155">
        <w:rPr>
          <w:rFonts w:cs="Arial"/>
          <w:sz w:val="20"/>
        </w:rPr>
        <w:t>c</w:t>
      </w:r>
      <w:r w:rsidRPr="009C4155">
        <w:rPr>
          <w:rFonts w:cs="Arial"/>
          <w:i/>
          <w:sz w:val="20"/>
        </w:rPr>
        <w:t>. Fontaine</w:t>
      </w:r>
      <w:r w:rsidRPr="009C4155">
        <w:rPr>
          <w:rFonts w:cs="Arial"/>
          <w:sz w:val="20"/>
        </w:rPr>
        <w:t xml:space="preserve">, précitée, note </w:t>
      </w:r>
      <w:r w:rsidR="009C4155" w:rsidRPr="009C4155">
        <w:rPr>
          <w:rFonts w:cs="Arial"/>
          <w:sz w:val="20"/>
        </w:rPr>
        <w:t>3</w:t>
      </w:r>
      <w:r w:rsidRPr="009C4155">
        <w:rPr>
          <w:rFonts w:cs="Arial"/>
          <w:sz w:val="20"/>
        </w:rPr>
        <w:t>.</w:t>
      </w:r>
    </w:p>
  </w:footnote>
  <w:footnote w:id="7">
    <w:p w14:paraId="6F7D39DC" w14:textId="77777777" w:rsidR="009D73C6" w:rsidRPr="009C4155" w:rsidRDefault="009D73C6" w:rsidP="009D73C6">
      <w:pPr>
        <w:pStyle w:val="Notedebasdepage"/>
        <w:tabs>
          <w:tab w:val="left" w:pos="720"/>
        </w:tabs>
        <w:ind w:left="720" w:hanging="720"/>
        <w:jc w:val="both"/>
        <w:rPr>
          <w:rFonts w:cs="Arial"/>
          <w:sz w:val="20"/>
        </w:rPr>
      </w:pPr>
      <w:r w:rsidRPr="009C4155">
        <w:rPr>
          <w:rStyle w:val="Appelnotedebasdep"/>
        </w:rPr>
        <w:footnoteRef/>
      </w:r>
      <w:r w:rsidRPr="009C4155">
        <w:t xml:space="preserve"> </w:t>
      </w:r>
      <w:r w:rsidRPr="009C4155">
        <w:rPr>
          <w:rFonts w:cs="Arial"/>
          <w:sz w:val="20"/>
        </w:rPr>
        <w:tab/>
        <w:t>2014 QCCA 1067.</w:t>
      </w:r>
    </w:p>
  </w:footnote>
  <w:footnote w:id="8">
    <w:p w14:paraId="32219DEA" w14:textId="77777777" w:rsidR="009D73C6" w:rsidRPr="009C4155" w:rsidRDefault="009D73C6" w:rsidP="009D73C6">
      <w:pPr>
        <w:pStyle w:val="Notedebasdepage"/>
        <w:tabs>
          <w:tab w:val="left" w:pos="720"/>
        </w:tabs>
        <w:ind w:left="720" w:hanging="720"/>
        <w:jc w:val="both"/>
        <w:rPr>
          <w:sz w:val="20"/>
          <w:highlight w:val="magenta"/>
        </w:rPr>
      </w:pPr>
      <w:r w:rsidRPr="009C4155">
        <w:rPr>
          <w:rStyle w:val="Appelnotedebasdep"/>
        </w:rPr>
        <w:footnoteRef/>
      </w:r>
      <w:r w:rsidRPr="009C4155">
        <w:t xml:space="preserve"> </w:t>
      </w:r>
      <w:r w:rsidRPr="009C4155">
        <w:rPr>
          <w:sz w:val="20"/>
        </w:rPr>
        <w:tab/>
      </w:r>
      <w:r w:rsidRPr="009C4155">
        <w:rPr>
          <w:i/>
          <w:sz w:val="20"/>
        </w:rPr>
        <w:t>Id.</w:t>
      </w:r>
      <w:r w:rsidRPr="009C4155">
        <w:rPr>
          <w:sz w:val="20"/>
        </w:rPr>
        <w:t>, par. 65.</w:t>
      </w:r>
    </w:p>
  </w:footnote>
  <w:footnote w:id="9">
    <w:p w14:paraId="4EB3F08D" w14:textId="77777777" w:rsidR="009D73C6" w:rsidRPr="00116C56" w:rsidRDefault="009D73C6" w:rsidP="009D73C6">
      <w:pPr>
        <w:pStyle w:val="Notedebasdepage"/>
        <w:tabs>
          <w:tab w:val="left" w:pos="720"/>
        </w:tabs>
        <w:ind w:left="720" w:hanging="720"/>
        <w:jc w:val="both"/>
        <w:rPr>
          <w:rFonts w:cs="Arial"/>
          <w:sz w:val="20"/>
        </w:rPr>
      </w:pPr>
      <w:r w:rsidRPr="009C4155">
        <w:rPr>
          <w:rStyle w:val="Appelnotedebasdep"/>
        </w:rPr>
        <w:footnoteRef/>
      </w:r>
      <w:r w:rsidRPr="009C4155">
        <w:t xml:space="preserve"> </w:t>
      </w:r>
      <w:r w:rsidRPr="009C4155">
        <w:rPr>
          <w:rFonts w:cs="Arial"/>
          <w:sz w:val="20"/>
        </w:rPr>
        <w:tab/>
        <w:t>2021 QCCA 1899.</w:t>
      </w:r>
    </w:p>
  </w:footnote>
  <w:footnote w:id="10">
    <w:p w14:paraId="5F2F1CA5" w14:textId="77777777" w:rsidR="009466E0" w:rsidRPr="00CF6512" w:rsidRDefault="009466E0" w:rsidP="009466E0">
      <w:pPr>
        <w:pStyle w:val="Notedebasdepage"/>
        <w:tabs>
          <w:tab w:val="left" w:pos="720"/>
        </w:tabs>
        <w:ind w:left="720" w:hanging="720"/>
        <w:jc w:val="both"/>
        <w:rPr>
          <w:rFonts w:cs="Arial"/>
          <w:sz w:val="20"/>
        </w:rPr>
      </w:pPr>
      <w:r w:rsidRPr="009C4155">
        <w:rPr>
          <w:rStyle w:val="Appelnotedebasdep"/>
        </w:rPr>
        <w:footnoteRef/>
      </w:r>
      <w:r w:rsidRPr="009C4155">
        <w:t xml:space="preserve"> </w:t>
      </w:r>
      <w:r w:rsidRPr="009C4155">
        <w:rPr>
          <w:rFonts w:cs="Arial"/>
          <w:sz w:val="20"/>
        </w:rPr>
        <w:tab/>
      </w:r>
      <w:r w:rsidRPr="009C4155">
        <w:rPr>
          <w:rFonts w:cs="Arial"/>
          <w:i/>
          <w:sz w:val="20"/>
        </w:rPr>
        <w:t>Plomberie &amp; Chauffage Plombec inc.</w:t>
      </w:r>
      <w:r w:rsidRPr="009C4155">
        <w:rPr>
          <w:rFonts w:cs="Arial"/>
          <w:sz w:val="20"/>
        </w:rPr>
        <w:t xml:space="preserve"> et </w:t>
      </w:r>
      <w:r w:rsidRPr="009C4155">
        <w:rPr>
          <w:rFonts w:cs="Arial"/>
          <w:i/>
          <w:sz w:val="20"/>
        </w:rPr>
        <w:t>Deslongchamps</w:t>
      </w:r>
      <w:r w:rsidRPr="009C4155">
        <w:rPr>
          <w:rFonts w:cs="Arial"/>
          <w:sz w:val="20"/>
        </w:rPr>
        <w:t>, C.A.L.P. 51232-64-9305, 17 janvier 1995, B. Lemay.</w:t>
      </w:r>
    </w:p>
  </w:footnote>
  <w:footnote w:id="11">
    <w:p w14:paraId="0E29B803" w14:textId="44BE7707" w:rsidR="00093285" w:rsidRPr="00093285" w:rsidRDefault="00093285" w:rsidP="00093285">
      <w:pPr>
        <w:pStyle w:val="Notedebasdepage"/>
        <w:tabs>
          <w:tab w:val="left" w:pos="720"/>
        </w:tabs>
        <w:ind w:left="720" w:hanging="720"/>
        <w:jc w:val="both"/>
        <w:rPr>
          <w:rFonts w:cs="Arial"/>
          <w:sz w:val="20"/>
        </w:rPr>
      </w:pPr>
      <w:r w:rsidRPr="001E15C0">
        <w:rPr>
          <w:rStyle w:val="Appelnotedebasdep"/>
        </w:rPr>
        <w:footnoteRef/>
      </w:r>
      <w:r w:rsidRPr="001E15C0">
        <w:t xml:space="preserve"> </w:t>
      </w:r>
      <w:r w:rsidRPr="001E15C0">
        <w:rPr>
          <w:rFonts w:cs="Arial"/>
          <w:sz w:val="20"/>
        </w:rPr>
        <w:tab/>
        <w:t>RLRQ, c. A-3.001.</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465FDDC" w14:textId="77777777" w:rsidTr="00407DD4">
      <w:tc>
        <w:tcPr>
          <w:tcW w:w="8730" w:type="dxa"/>
        </w:tcPr>
        <w:p w14:paraId="798DB8EF" w14:textId="77777777" w:rsidR="00D330B6" w:rsidRDefault="00D330B6">
          <w:pPr>
            <w:pStyle w:val="En-tte"/>
            <w:ind w:left="-90"/>
          </w:pPr>
        </w:p>
      </w:tc>
      <w:tc>
        <w:tcPr>
          <w:tcW w:w="860" w:type="dxa"/>
        </w:tcPr>
        <w:p w14:paraId="4CFCAC2C" w14:textId="77777777" w:rsidR="00D330B6" w:rsidRDefault="00D330B6">
          <w:pPr>
            <w:pStyle w:val="En-tte"/>
            <w:ind w:left="-90"/>
          </w:pPr>
        </w:p>
      </w:tc>
    </w:tr>
    <w:tr w:rsidR="006D5E76" w14:paraId="08ABC41E" w14:textId="77777777" w:rsidTr="00407DD4">
      <w:tc>
        <w:tcPr>
          <w:tcW w:w="8730" w:type="dxa"/>
        </w:tcPr>
        <w:p w14:paraId="27C8ADA6" w14:textId="048DA522" w:rsidR="006D5E76" w:rsidRDefault="006D5E76" w:rsidP="006D5E76">
          <w:r>
            <w:t>1258845-01B-2201</w:t>
          </w:r>
        </w:p>
      </w:tc>
      <w:tc>
        <w:tcPr>
          <w:tcW w:w="860" w:type="dxa"/>
        </w:tcPr>
        <w:p w14:paraId="58BA9324" w14:textId="77777777" w:rsidR="006D5E76" w:rsidRDefault="006D5E76" w:rsidP="006D5E76">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264DB">
            <w:rPr>
              <w:rStyle w:val="Numrodepage"/>
              <w:noProof/>
            </w:rPr>
            <w:t>2</w:t>
          </w:r>
          <w:r>
            <w:rPr>
              <w:rStyle w:val="Numrodepage"/>
            </w:rPr>
            <w:fldChar w:fldCharType="end"/>
          </w:r>
        </w:p>
      </w:tc>
    </w:tr>
    <w:tr w:rsidR="006D5E76" w14:paraId="10FA52E8" w14:textId="77777777" w:rsidTr="00407DD4">
      <w:tc>
        <w:tcPr>
          <w:tcW w:w="8730" w:type="dxa"/>
        </w:tcPr>
        <w:p w14:paraId="408F65ED" w14:textId="77777777" w:rsidR="006D5E76" w:rsidRDefault="006D5E76" w:rsidP="006D5E76"/>
      </w:tc>
      <w:tc>
        <w:tcPr>
          <w:tcW w:w="860" w:type="dxa"/>
        </w:tcPr>
        <w:p w14:paraId="58460352" w14:textId="77777777" w:rsidR="006D5E76" w:rsidRDefault="006D5E76" w:rsidP="006D5E76">
          <w:pPr>
            <w:pStyle w:val="En-tte"/>
            <w:ind w:left="-90"/>
            <w:jc w:val="right"/>
          </w:pPr>
        </w:p>
      </w:tc>
    </w:tr>
  </w:tbl>
  <w:p w14:paraId="6E4B5A42"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0321665"/>
    <w:multiLevelType w:val="hybridMultilevel"/>
    <w:tmpl w:val="A4C0E8CC"/>
    <w:lvl w:ilvl="0" w:tplc="0C0C0001">
      <w:start w:val="1"/>
      <w:numFmt w:val="bullet"/>
      <w:lvlText w:val=""/>
      <w:lvlJc w:val="left"/>
      <w:pPr>
        <w:tabs>
          <w:tab w:val="num" w:pos="1440"/>
        </w:tabs>
        <w:ind w:left="1440" w:hanging="360"/>
      </w:pPr>
      <w:rPr>
        <w:rFonts w:ascii="Symbol" w:hAnsi="Symbol" w:hint="default"/>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0"/>
  </w:num>
  <w:num w:numId="8">
    <w:abstractNumId w:val="3"/>
  </w:num>
  <w:num w:numId="9">
    <w:abstractNumId w:val="1"/>
  </w:num>
  <w:num w:numId="10">
    <w:abstractNumId w:val="9"/>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90E"/>
    <w:rsid w:val="000034B0"/>
    <w:rsid w:val="000041A1"/>
    <w:rsid w:val="00006DD2"/>
    <w:rsid w:val="0001305E"/>
    <w:rsid w:val="00016D99"/>
    <w:rsid w:val="0002047A"/>
    <w:rsid w:val="00021B30"/>
    <w:rsid w:val="00021E4C"/>
    <w:rsid w:val="00022556"/>
    <w:rsid w:val="00023858"/>
    <w:rsid w:val="000352CA"/>
    <w:rsid w:val="000366EC"/>
    <w:rsid w:val="00036794"/>
    <w:rsid w:val="00043E4D"/>
    <w:rsid w:val="000536CC"/>
    <w:rsid w:val="000559A8"/>
    <w:rsid w:val="00055A3E"/>
    <w:rsid w:val="00056393"/>
    <w:rsid w:val="00057739"/>
    <w:rsid w:val="0007225E"/>
    <w:rsid w:val="0007499F"/>
    <w:rsid w:val="00074ABE"/>
    <w:rsid w:val="00074EAE"/>
    <w:rsid w:val="000756D0"/>
    <w:rsid w:val="00076D81"/>
    <w:rsid w:val="00080885"/>
    <w:rsid w:val="00082A97"/>
    <w:rsid w:val="0008378A"/>
    <w:rsid w:val="0008784D"/>
    <w:rsid w:val="00090018"/>
    <w:rsid w:val="00090306"/>
    <w:rsid w:val="00090F69"/>
    <w:rsid w:val="00093285"/>
    <w:rsid w:val="00093ACD"/>
    <w:rsid w:val="00095814"/>
    <w:rsid w:val="00097D81"/>
    <w:rsid w:val="00097FCE"/>
    <w:rsid w:val="000A1DAC"/>
    <w:rsid w:val="000A4AD0"/>
    <w:rsid w:val="000A5AD1"/>
    <w:rsid w:val="000A63DF"/>
    <w:rsid w:val="000A77C5"/>
    <w:rsid w:val="000B0D96"/>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17B60"/>
    <w:rsid w:val="0012224D"/>
    <w:rsid w:val="001225BC"/>
    <w:rsid w:val="00122A9E"/>
    <w:rsid w:val="00122F94"/>
    <w:rsid w:val="0012326A"/>
    <w:rsid w:val="001264DB"/>
    <w:rsid w:val="00132622"/>
    <w:rsid w:val="00137E7E"/>
    <w:rsid w:val="001407FC"/>
    <w:rsid w:val="00144572"/>
    <w:rsid w:val="00145A9A"/>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1629"/>
    <w:rsid w:val="00183515"/>
    <w:rsid w:val="001846FC"/>
    <w:rsid w:val="001924FE"/>
    <w:rsid w:val="001965E1"/>
    <w:rsid w:val="001A03BE"/>
    <w:rsid w:val="001A067E"/>
    <w:rsid w:val="001A2900"/>
    <w:rsid w:val="001A4081"/>
    <w:rsid w:val="001A65F1"/>
    <w:rsid w:val="001B1D75"/>
    <w:rsid w:val="001B2B40"/>
    <w:rsid w:val="001B3E9D"/>
    <w:rsid w:val="001B4A40"/>
    <w:rsid w:val="001B5524"/>
    <w:rsid w:val="001B6D8A"/>
    <w:rsid w:val="001C19D4"/>
    <w:rsid w:val="001C2B0B"/>
    <w:rsid w:val="001C436D"/>
    <w:rsid w:val="001D63C8"/>
    <w:rsid w:val="001D65D8"/>
    <w:rsid w:val="001E15C0"/>
    <w:rsid w:val="001E3DFD"/>
    <w:rsid w:val="001E42F0"/>
    <w:rsid w:val="001E497A"/>
    <w:rsid w:val="001E5E3B"/>
    <w:rsid w:val="00225C46"/>
    <w:rsid w:val="00226493"/>
    <w:rsid w:val="00227040"/>
    <w:rsid w:val="00230CFC"/>
    <w:rsid w:val="0023162A"/>
    <w:rsid w:val="00231C1D"/>
    <w:rsid w:val="00233532"/>
    <w:rsid w:val="00234BC8"/>
    <w:rsid w:val="002410C4"/>
    <w:rsid w:val="00241CED"/>
    <w:rsid w:val="00242FB4"/>
    <w:rsid w:val="00245605"/>
    <w:rsid w:val="002542E0"/>
    <w:rsid w:val="002563F0"/>
    <w:rsid w:val="00256DBB"/>
    <w:rsid w:val="00260119"/>
    <w:rsid w:val="00266064"/>
    <w:rsid w:val="00267C8D"/>
    <w:rsid w:val="002701DD"/>
    <w:rsid w:val="002710FD"/>
    <w:rsid w:val="00273F49"/>
    <w:rsid w:val="002769B5"/>
    <w:rsid w:val="00276B25"/>
    <w:rsid w:val="00276B59"/>
    <w:rsid w:val="00281319"/>
    <w:rsid w:val="0028606F"/>
    <w:rsid w:val="00286149"/>
    <w:rsid w:val="0028668D"/>
    <w:rsid w:val="002878F8"/>
    <w:rsid w:val="00290289"/>
    <w:rsid w:val="00292188"/>
    <w:rsid w:val="002923D9"/>
    <w:rsid w:val="00296645"/>
    <w:rsid w:val="00296A4B"/>
    <w:rsid w:val="00297284"/>
    <w:rsid w:val="002A0077"/>
    <w:rsid w:val="002A07DC"/>
    <w:rsid w:val="002A3573"/>
    <w:rsid w:val="002A374B"/>
    <w:rsid w:val="002A5865"/>
    <w:rsid w:val="002A73E9"/>
    <w:rsid w:val="002B132B"/>
    <w:rsid w:val="002B1CE0"/>
    <w:rsid w:val="002B2FC3"/>
    <w:rsid w:val="002B35F0"/>
    <w:rsid w:val="002B58AF"/>
    <w:rsid w:val="002C3748"/>
    <w:rsid w:val="002C5E89"/>
    <w:rsid w:val="002D42BC"/>
    <w:rsid w:val="002D71A9"/>
    <w:rsid w:val="002D7846"/>
    <w:rsid w:val="002D7FCB"/>
    <w:rsid w:val="002E05AE"/>
    <w:rsid w:val="002E5F1C"/>
    <w:rsid w:val="002F3AB8"/>
    <w:rsid w:val="002F7017"/>
    <w:rsid w:val="002F7507"/>
    <w:rsid w:val="0030059B"/>
    <w:rsid w:val="00302FB4"/>
    <w:rsid w:val="00305273"/>
    <w:rsid w:val="003057FC"/>
    <w:rsid w:val="00305AFB"/>
    <w:rsid w:val="00307C85"/>
    <w:rsid w:val="00312983"/>
    <w:rsid w:val="00323DC5"/>
    <w:rsid w:val="003248CB"/>
    <w:rsid w:val="00331EA7"/>
    <w:rsid w:val="003332B8"/>
    <w:rsid w:val="00333C77"/>
    <w:rsid w:val="00337555"/>
    <w:rsid w:val="00343B46"/>
    <w:rsid w:val="00344465"/>
    <w:rsid w:val="0034740A"/>
    <w:rsid w:val="0035103B"/>
    <w:rsid w:val="0035375B"/>
    <w:rsid w:val="003561F7"/>
    <w:rsid w:val="00362D74"/>
    <w:rsid w:val="00365853"/>
    <w:rsid w:val="003664E9"/>
    <w:rsid w:val="00366D1E"/>
    <w:rsid w:val="003703A5"/>
    <w:rsid w:val="0037112C"/>
    <w:rsid w:val="00373EE5"/>
    <w:rsid w:val="003817E7"/>
    <w:rsid w:val="00382E55"/>
    <w:rsid w:val="00390B55"/>
    <w:rsid w:val="003961B2"/>
    <w:rsid w:val="003A0264"/>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29D1"/>
    <w:rsid w:val="003F7F38"/>
    <w:rsid w:val="00401325"/>
    <w:rsid w:val="004019AA"/>
    <w:rsid w:val="0040399B"/>
    <w:rsid w:val="00406F0C"/>
    <w:rsid w:val="00407DD4"/>
    <w:rsid w:val="004106DB"/>
    <w:rsid w:val="00410A9A"/>
    <w:rsid w:val="00411251"/>
    <w:rsid w:val="00412585"/>
    <w:rsid w:val="0041363B"/>
    <w:rsid w:val="00414BC1"/>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2DC"/>
    <w:rsid w:val="0046538B"/>
    <w:rsid w:val="00471C92"/>
    <w:rsid w:val="004735C1"/>
    <w:rsid w:val="004739AC"/>
    <w:rsid w:val="00474489"/>
    <w:rsid w:val="00475FEF"/>
    <w:rsid w:val="0047680F"/>
    <w:rsid w:val="00477210"/>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811"/>
    <w:rsid w:val="004C2944"/>
    <w:rsid w:val="004C4555"/>
    <w:rsid w:val="004C7904"/>
    <w:rsid w:val="004D16D6"/>
    <w:rsid w:val="004D6CEA"/>
    <w:rsid w:val="004E0E02"/>
    <w:rsid w:val="004E3564"/>
    <w:rsid w:val="004E3D9F"/>
    <w:rsid w:val="004E51C0"/>
    <w:rsid w:val="004E64BE"/>
    <w:rsid w:val="004F2D94"/>
    <w:rsid w:val="004F6293"/>
    <w:rsid w:val="00503B8D"/>
    <w:rsid w:val="00503EE3"/>
    <w:rsid w:val="00505811"/>
    <w:rsid w:val="0051261C"/>
    <w:rsid w:val="00515DE7"/>
    <w:rsid w:val="00517EB0"/>
    <w:rsid w:val="005205CB"/>
    <w:rsid w:val="00523054"/>
    <w:rsid w:val="0052430C"/>
    <w:rsid w:val="005348E4"/>
    <w:rsid w:val="00534D8F"/>
    <w:rsid w:val="005352F1"/>
    <w:rsid w:val="00540094"/>
    <w:rsid w:val="00545CFF"/>
    <w:rsid w:val="00547A9C"/>
    <w:rsid w:val="00555800"/>
    <w:rsid w:val="00556DBB"/>
    <w:rsid w:val="00560781"/>
    <w:rsid w:val="0056268F"/>
    <w:rsid w:val="005662E9"/>
    <w:rsid w:val="005700F8"/>
    <w:rsid w:val="00571ED4"/>
    <w:rsid w:val="00572AAF"/>
    <w:rsid w:val="00576E0C"/>
    <w:rsid w:val="005801AE"/>
    <w:rsid w:val="00582868"/>
    <w:rsid w:val="00582ECC"/>
    <w:rsid w:val="0058399B"/>
    <w:rsid w:val="0058692F"/>
    <w:rsid w:val="00587045"/>
    <w:rsid w:val="00587C22"/>
    <w:rsid w:val="005907BE"/>
    <w:rsid w:val="00592867"/>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A7262"/>
    <w:rsid w:val="005B0612"/>
    <w:rsid w:val="005B13F0"/>
    <w:rsid w:val="005B2E0C"/>
    <w:rsid w:val="005B30F6"/>
    <w:rsid w:val="005B45BA"/>
    <w:rsid w:val="005B5689"/>
    <w:rsid w:val="005B6680"/>
    <w:rsid w:val="005B6774"/>
    <w:rsid w:val="005C0A89"/>
    <w:rsid w:val="005C3BC4"/>
    <w:rsid w:val="005D26CC"/>
    <w:rsid w:val="005D4711"/>
    <w:rsid w:val="005D59B1"/>
    <w:rsid w:val="005D749C"/>
    <w:rsid w:val="005D764B"/>
    <w:rsid w:val="005E2367"/>
    <w:rsid w:val="005E34D2"/>
    <w:rsid w:val="005E5E90"/>
    <w:rsid w:val="005E62C7"/>
    <w:rsid w:val="005E654C"/>
    <w:rsid w:val="005F05F6"/>
    <w:rsid w:val="005F0D07"/>
    <w:rsid w:val="00605734"/>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468F3"/>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5E76"/>
    <w:rsid w:val="006D7768"/>
    <w:rsid w:val="006E04B5"/>
    <w:rsid w:val="006E330C"/>
    <w:rsid w:val="006E3DD8"/>
    <w:rsid w:val="006E793F"/>
    <w:rsid w:val="006F0154"/>
    <w:rsid w:val="006F608D"/>
    <w:rsid w:val="006F7944"/>
    <w:rsid w:val="00704121"/>
    <w:rsid w:val="00704842"/>
    <w:rsid w:val="00705BB5"/>
    <w:rsid w:val="0071326F"/>
    <w:rsid w:val="007153D7"/>
    <w:rsid w:val="00720ED4"/>
    <w:rsid w:val="00722736"/>
    <w:rsid w:val="0072689C"/>
    <w:rsid w:val="0074488F"/>
    <w:rsid w:val="00745AA8"/>
    <w:rsid w:val="007503E0"/>
    <w:rsid w:val="007510EC"/>
    <w:rsid w:val="0075233C"/>
    <w:rsid w:val="0075256A"/>
    <w:rsid w:val="00752DCD"/>
    <w:rsid w:val="00754516"/>
    <w:rsid w:val="007569DE"/>
    <w:rsid w:val="00756B75"/>
    <w:rsid w:val="0075723C"/>
    <w:rsid w:val="0076146A"/>
    <w:rsid w:val="00763245"/>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92"/>
    <w:rsid w:val="007B0DF2"/>
    <w:rsid w:val="007B3BC5"/>
    <w:rsid w:val="007B6F8D"/>
    <w:rsid w:val="007C1832"/>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703"/>
    <w:rsid w:val="008748C7"/>
    <w:rsid w:val="0087521A"/>
    <w:rsid w:val="008808C0"/>
    <w:rsid w:val="00882255"/>
    <w:rsid w:val="00890BDE"/>
    <w:rsid w:val="00892AD3"/>
    <w:rsid w:val="00894155"/>
    <w:rsid w:val="008962E7"/>
    <w:rsid w:val="008A0592"/>
    <w:rsid w:val="008A1118"/>
    <w:rsid w:val="008A281F"/>
    <w:rsid w:val="008A48D2"/>
    <w:rsid w:val="008A4AF6"/>
    <w:rsid w:val="008A4FF8"/>
    <w:rsid w:val="008A5ED1"/>
    <w:rsid w:val="008A73CE"/>
    <w:rsid w:val="008A7FD1"/>
    <w:rsid w:val="008B042E"/>
    <w:rsid w:val="008B211E"/>
    <w:rsid w:val="008B2513"/>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59B6"/>
    <w:rsid w:val="008F79C4"/>
    <w:rsid w:val="00903990"/>
    <w:rsid w:val="009042A8"/>
    <w:rsid w:val="00904950"/>
    <w:rsid w:val="009073F1"/>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6E0"/>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B238D"/>
    <w:rsid w:val="009C3106"/>
    <w:rsid w:val="009C4155"/>
    <w:rsid w:val="009C603A"/>
    <w:rsid w:val="009C74CD"/>
    <w:rsid w:val="009C7F3F"/>
    <w:rsid w:val="009D048F"/>
    <w:rsid w:val="009D162F"/>
    <w:rsid w:val="009D23FF"/>
    <w:rsid w:val="009D401F"/>
    <w:rsid w:val="009D5B42"/>
    <w:rsid w:val="009D68FA"/>
    <w:rsid w:val="009D73C6"/>
    <w:rsid w:val="009E1E4F"/>
    <w:rsid w:val="009E32CF"/>
    <w:rsid w:val="009E4261"/>
    <w:rsid w:val="009E4FC2"/>
    <w:rsid w:val="009F44AE"/>
    <w:rsid w:val="009F4F3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3DFB"/>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687E"/>
    <w:rsid w:val="00AA79D3"/>
    <w:rsid w:val="00AB0931"/>
    <w:rsid w:val="00AB4DC4"/>
    <w:rsid w:val="00AB5C9B"/>
    <w:rsid w:val="00AB7A33"/>
    <w:rsid w:val="00AC0159"/>
    <w:rsid w:val="00AC0276"/>
    <w:rsid w:val="00AC0312"/>
    <w:rsid w:val="00AC0449"/>
    <w:rsid w:val="00AC0DC3"/>
    <w:rsid w:val="00AD035F"/>
    <w:rsid w:val="00AD2497"/>
    <w:rsid w:val="00AD3481"/>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3FF7"/>
    <w:rsid w:val="00B760D5"/>
    <w:rsid w:val="00B77495"/>
    <w:rsid w:val="00B83B2C"/>
    <w:rsid w:val="00B92049"/>
    <w:rsid w:val="00B94740"/>
    <w:rsid w:val="00B95002"/>
    <w:rsid w:val="00B97F75"/>
    <w:rsid w:val="00BA0A4F"/>
    <w:rsid w:val="00BA1CAE"/>
    <w:rsid w:val="00BA33BB"/>
    <w:rsid w:val="00BA4830"/>
    <w:rsid w:val="00BA4871"/>
    <w:rsid w:val="00BA6E22"/>
    <w:rsid w:val="00BB1460"/>
    <w:rsid w:val="00BB362C"/>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25C7"/>
    <w:rsid w:val="00C009B7"/>
    <w:rsid w:val="00C02B8F"/>
    <w:rsid w:val="00C04E32"/>
    <w:rsid w:val="00C116B1"/>
    <w:rsid w:val="00C15A3F"/>
    <w:rsid w:val="00C20630"/>
    <w:rsid w:val="00C224A4"/>
    <w:rsid w:val="00C22F7A"/>
    <w:rsid w:val="00C2666F"/>
    <w:rsid w:val="00C32020"/>
    <w:rsid w:val="00C32D02"/>
    <w:rsid w:val="00C33C38"/>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3199"/>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729A"/>
    <w:rsid w:val="00D17C53"/>
    <w:rsid w:val="00D17D57"/>
    <w:rsid w:val="00D231B4"/>
    <w:rsid w:val="00D2341D"/>
    <w:rsid w:val="00D252DA"/>
    <w:rsid w:val="00D25E0E"/>
    <w:rsid w:val="00D302EB"/>
    <w:rsid w:val="00D31679"/>
    <w:rsid w:val="00D320C8"/>
    <w:rsid w:val="00D330B6"/>
    <w:rsid w:val="00D3672F"/>
    <w:rsid w:val="00D40ABA"/>
    <w:rsid w:val="00D40FE2"/>
    <w:rsid w:val="00D4290E"/>
    <w:rsid w:val="00D440FA"/>
    <w:rsid w:val="00D44BCF"/>
    <w:rsid w:val="00D46E73"/>
    <w:rsid w:val="00D50644"/>
    <w:rsid w:val="00D513A1"/>
    <w:rsid w:val="00D5548D"/>
    <w:rsid w:val="00D56572"/>
    <w:rsid w:val="00D60F81"/>
    <w:rsid w:val="00D63951"/>
    <w:rsid w:val="00D63BF2"/>
    <w:rsid w:val="00D67348"/>
    <w:rsid w:val="00D67FAD"/>
    <w:rsid w:val="00D70A26"/>
    <w:rsid w:val="00D73BB4"/>
    <w:rsid w:val="00D7594D"/>
    <w:rsid w:val="00D75FEC"/>
    <w:rsid w:val="00D76B98"/>
    <w:rsid w:val="00D82E63"/>
    <w:rsid w:val="00D835A0"/>
    <w:rsid w:val="00D86905"/>
    <w:rsid w:val="00D86F2C"/>
    <w:rsid w:val="00D94301"/>
    <w:rsid w:val="00D96248"/>
    <w:rsid w:val="00DA0680"/>
    <w:rsid w:val="00DA36F6"/>
    <w:rsid w:val="00DA48F0"/>
    <w:rsid w:val="00DB0C8D"/>
    <w:rsid w:val="00DB6AF2"/>
    <w:rsid w:val="00DC1599"/>
    <w:rsid w:val="00DC1611"/>
    <w:rsid w:val="00DD3C53"/>
    <w:rsid w:val="00DD4EDB"/>
    <w:rsid w:val="00DD6B73"/>
    <w:rsid w:val="00DE745D"/>
    <w:rsid w:val="00DF0774"/>
    <w:rsid w:val="00DF0FD7"/>
    <w:rsid w:val="00DF1036"/>
    <w:rsid w:val="00DF4644"/>
    <w:rsid w:val="00DF60AE"/>
    <w:rsid w:val="00DF68F6"/>
    <w:rsid w:val="00DF7A83"/>
    <w:rsid w:val="00E012B4"/>
    <w:rsid w:val="00E05451"/>
    <w:rsid w:val="00E05651"/>
    <w:rsid w:val="00E100F6"/>
    <w:rsid w:val="00E11BA5"/>
    <w:rsid w:val="00E17CBD"/>
    <w:rsid w:val="00E20425"/>
    <w:rsid w:val="00E21768"/>
    <w:rsid w:val="00E25DCB"/>
    <w:rsid w:val="00E2613B"/>
    <w:rsid w:val="00E31299"/>
    <w:rsid w:val="00E313DF"/>
    <w:rsid w:val="00E330E0"/>
    <w:rsid w:val="00E36C70"/>
    <w:rsid w:val="00E4156E"/>
    <w:rsid w:val="00E44D61"/>
    <w:rsid w:val="00E453F2"/>
    <w:rsid w:val="00E460AD"/>
    <w:rsid w:val="00E470A9"/>
    <w:rsid w:val="00E61925"/>
    <w:rsid w:val="00E6363B"/>
    <w:rsid w:val="00E65C0E"/>
    <w:rsid w:val="00E65FB9"/>
    <w:rsid w:val="00E730FC"/>
    <w:rsid w:val="00E746F0"/>
    <w:rsid w:val="00E809B9"/>
    <w:rsid w:val="00E82A15"/>
    <w:rsid w:val="00E83844"/>
    <w:rsid w:val="00E85445"/>
    <w:rsid w:val="00E87589"/>
    <w:rsid w:val="00E938FF"/>
    <w:rsid w:val="00E93DFE"/>
    <w:rsid w:val="00EA2124"/>
    <w:rsid w:val="00EA2B12"/>
    <w:rsid w:val="00EA34DC"/>
    <w:rsid w:val="00EA456C"/>
    <w:rsid w:val="00EA5017"/>
    <w:rsid w:val="00EA6BED"/>
    <w:rsid w:val="00EB14F0"/>
    <w:rsid w:val="00EB3844"/>
    <w:rsid w:val="00EB5A9F"/>
    <w:rsid w:val="00EC573F"/>
    <w:rsid w:val="00EC5C8D"/>
    <w:rsid w:val="00ED106C"/>
    <w:rsid w:val="00ED1B68"/>
    <w:rsid w:val="00ED2D34"/>
    <w:rsid w:val="00ED4805"/>
    <w:rsid w:val="00ED57F6"/>
    <w:rsid w:val="00ED6C51"/>
    <w:rsid w:val="00ED6DA1"/>
    <w:rsid w:val="00EF07CF"/>
    <w:rsid w:val="00EF0AF8"/>
    <w:rsid w:val="00EF207D"/>
    <w:rsid w:val="00EF4258"/>
    <w:rsid w:val="00EF6D31"/>
    <w:rsid w:val="00F02237"/>
    <w:rsid w:val="00F046F1"/>
    <w:rsid w:val="00F072E2"/>
    <w:rsid w:val="00F079A6"/>
    <w:rsid w:val="00F10236"/>
    <w:rsid w:val="00F15811"/>
    <w:rsid w:val="00F208C3"/>
    <w:rsid w:val="00F22423"/>
    <w:rsid w:val="00F24C72"/>
    <w:rsid w:val="00F30267"/>
    <w:rsid w:val="00F31610"/>
    <w:rsid w:val="00F31D22"/>
    <w:rsid w:val="00F348B2"/>
    <w:rsid w:val="00F34BF0"/>
    <w:rsid w:val="00F34ED8"/>
    <w:rsid w:val="00F4095A"/>
    <w:rsid w:val="00F439EE"/>
    <w:rsid w:val="00F452CC"/>
    <w:rsid w:val="00F45845"/>
    <w:rsid w:val="00F46B8B"/>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6C39"/>
    <w:rsid w:val="00F96E41"/>
    <w:rsid w:val="00F976B7"/>
    <w:rsid w:val="00FA153F"/>
    <w:rsid w:val="00FA1D78"/>
    <w:rsid w:val="00FA1F7E"/>
    <w:rsid w:val="00FA280F"/>
    <w:rsid w:val="00FA5289"/>
    <w:rsid w:val="00FA6213"/>
    <w:rsid w:val="00FA6954"/>
    <w:rsid w:val="00FB2186"/>
    <w:rsid w:val="00FB7E03"/>
    <w:rsid w:val="00FD0133"/>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338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locked/>
    <w:rsid w:val="009D73C6"/>
    <w:rPr>
      <w:rFonts w:ascii="Arial" w:hAnsi="Arial"/>
      <w:sz w:val="24"/>
    </w:rPr>
  </w:style>
  <w:style w:type="character" w:customStyle="1" w:styleId="citationCar">
    <w:name w:val="citation Car"/>
    <w:link w:val="citation"/>
    <w:rsid w:val="009D73C6"/>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2437</Words>
  <Characters>13409</Characters>
  <Application>Microsoft Office Word</Application>
  <DocSecurity>0</DocSecurity>
  <Lines>111</Lines>
  <Paragraphs>31</Paragraphs>
  <ScaleCrop>false</ScaleCrop>
  <Company/>
  <LinksUpToDate>false</LinksUpToDate>
  <CharactersWithSpaces>15815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2025-08-05T13:30:00Z</dcterms:created>
  <dcterms:modified xsi:type="dcterms:W3CDTF">2025-08-05T13:30:00Z</dcterms:modified>
</cp:coreProperties>
</file>