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269A8BE8" w14:textId="77777777">
        <w:trPr>
          <w:cantSplit/>
        </w:trPr>
        <w:tc>
          <w:tcPr>
            <w:tcW w:w="4795" w:type="dxa"/>
          </w:tcPr>
          <w:p w14:paraId="3BF262D1" w14:textId="75BA0299" w:rsidR="008A7FD1" w:rsidRPr="006D611A" w:rsidRDefault="006D611A" w:rsidP="006D611A">
            <w:pPr>
              <w:pStyle w:val="zSoquijdatRepertorie"/>
              <w:rPr>
                <w:rFonts w:cs="Arial"/>
              </w:rPr>
            </w:pPr>
            <w:bookmarkStart w:id="0" w:name="_GoBack"/>
            <w:bookmarkEnd w:id="0"/>
            <w:r>
              <w:rPr>
                <w:rFonts w:cs="Arial"/>
              </w:rPr>
              <w:t>Jean-Louis c. Syndicat des cols bleus regroupés de Montréal (SCFP, 301)</w:t>
            </w:r>
          </w:p>
        </w:tc>
        <w:tc>
          <w:tcPr>
            <w:tcW w:w="2477" w:type="dxa"/>
          </w:tcPr>
          <w:p w14:paraId="5CC5AD69" w14:textId="0AAFFE45" w:rsidR="008A7FD1" w:rsidRPr="00E31F2F" w:rsidRDefault="00E31F2F" w:rsidP="00E31F2F">
            <w:pPr>
              <w:pStyle w:val="zSoquijdatRefNeutre"/>
              <w:rPr>
                <w:rFonts w:cs="Arial"/>
              </w:rPr>
            </w:pPr>
            <w:r w:rsidRPr="00E31F2F">
              <w:rPr>
                <w:rFonts w:cs="Arial"/>
              </w:rPr>
              <w:t>2025 QCTAT 491</w:t>
            </w:r>
          </w:p>
        </w:tc>
      </w:tr>
    </w:tbl>
    <w:p w14:paraId="11F6194D"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00AB34CB" w14:textId="77777777" w:rsidTr="00036794">
        <w:trPr>
          <w:cantSplit/>
        </w:trPr>
        <w:tc>
          <w:tcPr>
            <w:tcW w:w="9568" w:type="dxa"/>
            <w:gridSpan w:val="4"/>
          </w:tcPr>
          <w:p w14:paraId="29356688" w14:textId="77777777" w:rsidR="00C74B6F" w:rsidRPr="00BE1981" w:rsidRDefault="00C74B6F">
            <w:pPr>
              <w:rPr>
                <w:szCs w:val="24"/>
              </w:rPr>
            </w:pPr>
          </w:p>
        </w:tc>
      </w:tr>
      <w:tr w:rsidR="00C74B6F" w14:paraId="194EA631" w14:textId="77777777" w:rsidTr="00036794">
        <w:trPr>
          <w:cantSplit/>
        </w:trPr>
        <w:tc>
          <w:tcPr>
            <w:tcW w:w="9568" w:type="dxa"/>
            <w:gridSpan w:val="4"/>
            <w:vAlign w:val="center"/>
          </w:tcPr>
          <w:p w14:paraId="43150ADD" w14:textId="77777777" w:rsidR="00C74B6F" w:rsidRPr="000E1320" w:rsidRDefault="000E1320">
            <w:pPr>
              <w:jc w:val="center"/>
              <w:rPr>
                <w:sz w:val="36"/>
                <w:szCs w:val="36"/>
              </w:rPr>
            </w:pPr>
            <w:r w:rsidRPr="000E1320">
              <w:rPr>
                <w:b/>
                <w:sz w:val="36"/>
                <w:szCs w:val="36"/>
              </w:rPr>
              <w:t>TRIBUNAL ADMINISTRATIF DU TRAVAIL</w:t>
            </w:r>
          </w:p>
        </w:tc>
      </w:tr>
      <w:tr w:rsidR="00C74B6F" w14:paraId="3635949C" w14:textId="77777777" w:rsidTr="00036794">
        <w:trPr>
          <w:cantSplit/>
        </w:trPr>
        <w:tc>
          <w:tcPr>
            <w:tcW w:w="9568" w:type="dxa"/>
            <w:gridSpan w:val="4"/>
          </w:tcPr>
          <w:p w14:paraId="794A65F0" w14:textId="73956DDC" w:rsidR="00C74B6F" w:rsidRPr="00BE7014" w:rsidRDefault="006F0154" w:rsidP="009A67E7">
            <w:pPr>
              <w:pStyle w:val="zSoquijdatDivision"/>
            </w:pPr>
            <w:r w:rsidRPr="00BE7014">
              <w:t>(</w:t>
            </w:r>
            <w:r w:rsidR="00DB2BCB" w:rsidRPr="00441ADA">
              <w:t>Division des relations du travail</w:t>
            </w:r>
            <w:r w:rsidRPr="00BE7014">
              <w:t>)</w:t>
            </w:r>
          </w:p>
        </w:tc>
      </w:tr>
      <w:tr w:rsidR="00C74B6F" w14:paraId="61494420" w14:textId="77777777" w:rsidTr="00036794">
        <w:trPr>
          <w:cantSplit/>
        </w:trPr>
        <w:tc>
          <w:tcPr>
            <w:tcW w:w="9568" w:type="dxa"/>
            <w:gridSpan w:val="4"/>
          </w:tcPr>
          <w:p w14:paraId="4092F838" w14:textId="77777777" w:rsidR="002B2FC3" w:rsidRDefault="002B2FC3" w:rsidP="002B2FC3"/>
        </w:tc>
      </w:tr>
      <w:tr w:rsidR="00A84FC6" w14:paraId="44D13B20" w14:textId="77777777" w:rsidTr="00036794">
        <w:trPr>
          <w:cantSplit/>
        </w:trPr>
        <w:tc>
          <w:tcPr>
            <w:tcW w:w="9568" w:type="dxa"/>
            <w:gridSpan w:val="4"/>
          </w:tcPr>
          <w:p w14:paraId="52C759EA" w14:textId="77777777" w:rsidR="00A84FC6" w:rsidRDefault="00A84FC6" w:rsidP="002B2FC3"/>
        </w:tc>
      </w:tr>
      <w:tr w:rsidR="00C74B6F" w14:paraId="24384611" w14:textId="77777777" w:rsidTr="00036794">
        <w:tc>
          <w:tcPr>
            <w:tcW w:w="3331" w:type="dxa"/>
          </w:tcPr>
          <w:p w14:paraId="29D621A7" w14:textId="77777777" w:rsidR="00C74B6F" w:rsidRDefault="0084255F">
            <w:bookmarkStart w:id="1" w:name="region" w:colFirst="1" w:colLast="1"/>
            <w:r>
              <w:t>Région :</w:t>
            </w:r>
          </w:p>
        </w:tc>
        <w:tc>
          <w:tcPr>
            <w:tcW w:w="6237" w:type="dxa"/>
            <w:gridSpan w:val="3"/>
          </w:tcPr>
          <w:p w14:paraId="16D5D425" w14:textId="3182F468" w:rsidR="00C74B6F" w:rsidRDefault="00DB2BCB" w:rsidP="00F4095A">
            <w:pPr>
              <w:pStyle w:val="zSoquijdatGreffe"/>
            </w:pPr>
            <w:r>
              <w:t>Montréal</w:t>
            </w:r>
          </w:p>
        </w:tc>
      </w:tr>
      <w:bookmarkEnd w:id="1"/>
      <w:tr w:rsidR="00C74B6F" w14:paraId="6B4AF5CB" w14:textId="77777777" w:rsidTr="00036794">
        <w:trPr>
          <w:cantSplit/>
        </w:trPr>
        <w:tc>
          <w:tcPr>
            <w:tcW w:w="9568" w:type="dxa"/>
            <w:gridSpan w:val="4"/>
          </w:tcPr>
          <w:p w14:paraId="1DE4BD9D" w14:textId="77777777" w:rsidR="00C74B6F" w:rsidRDefault="00C74B6F"/>
        </w:tc>
      </w:tr>
      <w:tr w:rsidR="00C74B6F" w14:paraId="3E1D3660" w14:textId="77777777" w:rsidTr="00036794">
        <w:tc>
          <w:tcPr>
            <w:tcW w:w="3331" w:type="dxa"/>
          </w:tcPr>
          <w:p w14:paraId="35C44AB5" w14:textId="07E7052A" w:rsidR="00C74B6F" w:rsidRDefault="0084255F">
            <w:bookmarkStart w:id="2" w:name="ref_dossier" w:colFirst="1" w:colLast="1"/>
            <w:r>
              <w:t>Dossier</w:t>
            </w:r>
            <w:bookmarkStart w:id="3" w:name="dossiers"/>
            <w:bookmarkEnd w:id="3"/>
            <w:r>
              <w:t> :</w:t>
            </w:r>
          </w:p>
        </w:tc>
        <w:tc>
          <w:tcPr>
            <w:tcW w:w="6237" w:type="dxa"/>
            <w:gridSpan w:val="3"/>
          </w:tcPr>
          <w:p w14:paraId="4672D333" w14:textId="1EF97467" w:rsidR="00C74B6F" w:rsidRDefault="00DB2BCB" w:rsidP="00F4095A">
            <w:pPr>
              <w:pStyle w:val="zSoquijdatNoDossier"/>
            </w:pPr>
            <w:r w:rsidRPr="00DB2BCB">
              <w:t>1333331-71-2308</w:t>
            </w:r>
          </w:p>
        </w:tc>
      </w:tr>
      <w:bookmarkEnd w:id="2"/>
      <w:tr w:rsidR="00C74B6F" w14:paraId="1EDF2EDD" w14:textId="77777777" w:rsidTr="00036794">
        <w:trPr>
          <w:cantSplit/>
        </w:trPr>
        <w:tc>
          <w:tcPr>
            <w:tcW w:w="9568" w:type="dxa"/>
            <w:gridSpan w:val="4"/>
          </w:tcPr>
          <w:p w14:paraId="01BBDB78" w14:textId="77777777" w:rsidR="00C74B6F" w:rsidRDefault="00D44BCF">
            <w:r>
              <w:fldChar w:fldCharType="begin"/>
            </w:r>
            <w:r>
              <w:instrText xml:space="preserve"> AUTOTEXTLIST  \* Upper  \* MERGEFORMAT </w:instrText>
            </w:r>
            <w:r>
              <w:fldChar w:fldCharType="end"/>
            </w:r>
          </w:p>
        </w:tc>
      </w:tr>
      <w:tr w:rsidR="00C74B6F" w14:paraId="3FCC612A" w14:textId="77777777" w:rsidTr="00036794">
        <w:tc>
          <w:tcPr>
            <w:tcW w:w="3331" w:type="dxa"/>
          </w:tcPr>
          <w:p w14:paraId="73158477" w14:textId="0266FC5F" w:rsidR="00C74B6F" w:rsidRDefault="008C79A7" w:rsidP="0045114F">
            <w:pPr>
              <w:ind w:right="46"/>
            </w:pPr>
            <w:r>
              <w:t xml:space="preserve">Dossier </w:t>
            </w:r>
            <w:r w:rsidR="00DB2BCB" w:rsidRPr="00DB2BCB">
              <w:rPr>
                <w:szCs w:val="24"/>
              </w:rPr>
              <w:t>accréditation</w:t>
            </w:r>
            <w:r w:rsidRPr="008C79A7">
              <w:rPr>
                <w:szCs w:val="24"/>
              </w:rPr>
              <w:t xml:space="preserve"> :</w:t>
            </w:r>
          </w:p>
        </w:tc>
        <w:tc>
          <w:tcPr>
            <w:tcW w:w="6237" w:type="dxa"/>
            <w:gridSpan w:val="3"/>
          </w:tcPr>
          <w:p w14:paraId="1B87B235" w14:textId="2E68A80B" w:rsidR="00C74B6F" w:rsidRDefault="00DB2BCB" w:rsidP="004D6CEA">
            <w:pPr>
              <w:pStyle w:val="zSoquijdatNCSST"/>
            </w:pPr>
            <w:r w:rsidRPr="00DB2BCB">
              <w:t>AM-1005-2091</w:t>
            </w:r>
          </w:p>
        </w:tc>
      </w:tr>
      <w:tr w:rsidR="00C74B6F" w14:paraId="138E82D5" w14:textId="77777777" w:rsidTr="00036794">
        <w:trPr>
          <w:cantSplit/>
        </w:trPr>
        <w:tc>
          <w:tcPr>
            <w:tcW w:w="9568" w:type="dxa"/>
            <w:gridSpan w:val="4"/>
          </w:tcPr>
          <w:p w14:paraId="17D64E82" w14:textId="77777777" w:rsidR="00C74B6F" w:rsidRDefault="00C74B6F"/>
        </w:tc>
      </w:tr>
      <w:tr w:rsidR="00C74B6F" w14:paraId="2A1F4AF0" w14:textId="77777777" w:rsidTr="00036794">
        <w:trPr>
          <w:cantSplit/>
        </w:trPr>
        <w:tc>
          <w:tcPr>
            <w:tcW w:w="9568" w:type="dxa"/>
            <w:gridSpan w:val="4"/>
          </w:tcPr>
          <w:p w14:paraId="5D3DE24B" w14:textId="77777777" w:rsidR="00C74B6F" w:rsidRDefault="00C74B6F"/>
        </w:tc>
      </w:tr>
      <w:tr w:rsidR="006E3DD8" w14:paraId="761C76FB" w14:textId="77777777" w:rsidTr="00036794">
        <w:trPr>
          <w:cantSplit/>
        </w:trPr>
        <w:tc>
          <w:tcPr>
            <w:tcW w:w="3331" w:type="dxa"/>
          </w:tcPr>
          <w:p w14:paraId="0D8A9E0D" w14:textId="637B6DB7" w:rsidR="006E3DD8" w:rsidRDefault="00DB2BCB" w:rsidP="0076350E">
            <w:pPr>
              <w:ind w:right="-70"/>
            </w:pPr>
            <w:r>
              <w:t>Montréal</w:t>
            </w:r>
            <w:r w:rsidR="00C04E32">
              <w:t>,</w:t>
            </w:r>
          </w:p>
        </w:tc>
        <w:tc>
          <w:tcPr>
            <w:tcW w:w="6237" w:type="dxa"/>
            <w:gridSpan w:val="3"/>
          </w:tcPr>
          <w:p w14:paraId="19DE096E" w14:textId="0A929802" w:rsidR="006E3DD8" w:rsidRDefault="00496D93" w:rsidP="005B5689">
            <w:pPr>
              <w:pStyle w:val="zSoquijdatDateJugement"/>
            </w:pPr>
            <w:r>
              <w:t>l</w:t>
            </w:r>
            <w:r w:rsidR="00C04E32">
              <w:t>e</w:t>
            </w:r>
            <w:r w:rsidR="002173A5">
              <w:t xml:space="preserve"> </w:t>
            </w:r>
            <w:r w:rsidR="00A0314F">
              <w:t>7</w:t>
            </w:r>
            <w:r w:rsidR="00A64050">
              <w:t xml:space="preserve"> février</w:t>
            </w:r>
            <w:r w:rsidR="002173A5">
              <w:t xml:space="preserve"> 2025</w:t>
            </w:r>
          </w:p>
        </w:tc>
      </w:tr>
      <w:tr w:rsidR="00942AB8" w14:paraId="490CB918" w14:textId="77777777" w:rsidTr="00036794">
        <w:trPr>
          <w:cantSplit/>
        </w:trPr>
        <w:tc>
          <w:tcPr>
            <w:tcW w:w="9568" w:type="dxa"/>
            <w:gridSpan w:val="4"/>
          </w:tcPr>
          <w:p w14:paraId="3D0D79F6" w14:textId="77777777" w:rsidR="00942AB8" w:rsidRDefault="00942AB8" w:rsidP="00FA153F">
            <w:r>
              <w:t>______________________________________________________________________</w:t>
            </w:r>
          </w:p>
        </w:tc>
      </w:tr>
      <w:tr w:rsidR="00942AB8" w14:paraId="27C508AF" w14:textId="77777777" w:rsidTr="00036794">
        <w:trPr>
          <w:cantSplit/>
          <w:trHeight w:val="148"/>
        </w:trPr>
        <w:tc>
          <w:tcPr>
            <w:tcW w:w="9568" w:type="dxa"/>
            <w:gridSpan w:val="4"/>
          </w:tcPr>
          <w:p w14:paraId="0825A8AF" w14:textId="77777777" w:rsidR="00942AB8" w:rsidRDefault="00942AB8" w:rsidP="00FA153F"/>
        </w:tc>
      </w:tr>
      <w:tr w:rsidR="0035375B" w14:paraId="724941FA" w14:textId="77777777" w:rsidTr="00036794">
        <w:trPr>
          <w:cantSplit/>
          <w:trHeight w:val="148"/>
        </w:trPr>
        <w:tc>
          <w:tcPr>
            <w:tcW w:w="5883" w:type="dxa"/>
            <w:gridSpan w:val="3"/>
          </w:tcPr>
          <w:p w14:paraId="4CEAE383" w14:textId="022871C8" w:rsidR="0035375B" w:rsidRPr="00942AB8" w:rsidRDefault="0035375B">
            <w:pPr>
              <w:rPr>
                <w:b/>
                <w:bCs/>
              </w:rPr>
            </w:pPr>
            <w:bookmarkStart w:id="4" w:name="ref_commissaire" w:colFirst="1" w:colLast="1"/>
            <w:r w:rsidRPr="00942AB8">
              <w:rPr>
                <w:b/>
                <w:bCs/>
              </w:rPr>
              <w:t>DEVANT L</w:t>
            </w:r>
            <w:r w:rsidR="00DB2BCB">
              <w:rPr>
                <w:b/>
                <w:bCs/>
              </w:rPr>
              <w:t>A</w:t>
            </w:r>
            <w:r w:rsidRPr="00942AB8">
              <w:rPr>
                <w:b/>
                <w:bCs/>
              </w:rPr>
              <w:t xml:space="preserve"> JUGE ADMINISTRATI</w:t>
            </w:r>
            <w:r w:rsidR="00DB2BCB">
              <w:rPr>
                <w:b/>
                <w:bCs/>
              </w:rPr>
              <w:t>VE</w:t>
            </w:r>
            <w:r w:rsidRPr="00942AB8">
              <w:rPr>
                <w:b/>
                <w:bCs/>
              </w:rPr>
              <w:t> :</w:t>
            </w:r>
          </w:p>
        </w:tc>
        <w:tc>
          <w:tcPr>
            <w:tcW w:w="3685" w:type="dxa"/>
          </w:tcPr>
          <w:p w14:paraId="6A26EC6F" w14:textId="3B9394DB" w:rsidR="0035375B" w:rsidRPr="00942AB8" w:rsidRDefault="00DB2BCB" w:rsidP="005B5689">
            <w:pPr>
              <w:pStyle w:val="zSoquijdatJuge"/>
              <w:rPr>
                <w:bCs/>
              </w:rPr>
            </w:pPr>
            <w:r>
              <w:t>Mylène Alder</w:t>
            </w:r>
          </w:p>
        </w:tc>
      </w:tr>
      <w:bookmarkEnd w:id="4"/>
      <w:tr w:rsidR="00942AB8" w14:paraId="4726D79A" w14:textId="77777777" w:rsidTr="00036794">
        <w:trPr>
          <w:cantSplit/>
          <w:trHeight w:val="148"/>
        </w:trPr>
        <w:tc>
          <w:tcPr>
            <w:tcW w:w="9568" w:type="dxa"/>
            <w:gridSpan w:val="4"/>
          </w:tcPr>
          <w:p w14:paraId="7F7503FC" w14:textId="77777777" w:rsidR="00942AB8" w:rsidRDefault="00942AB8" w:rsidP="00FA153F">
            <w:r>
              <w:t>______________________________________________________________________</w:t>
            </w:r>
          </w:p>
        </w:tc>
      </w:tr>
      <w:tr w:rsidR="00942AB8" w14:paraId="408B8E16" w14:textId="77777777" w:rsidTr="00036794">
        <w:tc>
          <w:tcPr>
            <w:tcW w:w="9568" w:type="dxa"/>
            <w:gridSpan w:val="4"/>
          </w:tcPr>
          <w:p w14:paraId="382A0EEE" w14:textId="77777777" w:rsidR="00942AB8" w:rsidRDefault="00942AB8"/>
        </w:tc>
      </w:tr>
      <w:tr w:rsidR="00942AB8" w14:paraId="5953560D" w14:textId="77777777" w:rsidTr="00E21768">
        <w:tc>
          <w:tcPr>
            <w:tcW w:w="4890" w:type="dxa"/>
            <w:gridSpan w:val="2"/>
          </w:tcPr>
          <w:p w14:paraId="44D6C2BA" w14:textId="77777777" w:rsidR="00942AB8" w:rsidRDefault="00942AB8">
            <w:bookmarkStart w:id="5" w:name="bloc_parties_gauche"/>
            <w:bookmarkEnd w:id="5"/>
          </w:p>
        </w:tc>
        <w:tc>
          <w:tcPr>
            <w:tcW w:w="4678" w:type="dxa"/>
            <w:gridSpan w:val="2"/>
          </w:tcPr>
          <w:p w14:paraId="7DF92026" w14:textId="77777777" w:rsidR="00942AB8" w:rsidRDefault="00942AB8"/>
        </w:tc>
      </w:tr>
      <w:tr w:rsidR="00942AB8" w14:paraId="7CE4BA7A" w14:textId="77777777" w:rsidTr="00E21768">
        <w:tc>
          <w:tcPr>
            <w:tcW w:w="4890" w:type="dxa"/>
            <w:gridSpan w:val="2"/>
          </w:tcPr>
          <w:p w14:paraId="6D19217D" w14:textId="48443554" w:rsidR="00942AB8" w:rsidRDefault="00DB2BCB">
            <w:pPr>
              <w:pStyle w:val="zSoquijdatNomPartieDem"/>
              <w:rPr>
                <w:b/>
              </w:rPr>
            </w:pPr>
            <w:r w:rsidRPr="00DB2BCB">
              <w:rPr>
                <w:b/>
              </w:rPr>
              <w:t>Erolph Jean-Louis</w:t>
            </w:r>
          </w:p>
        </w:tc>
        <w:tc>
          <w:tcPr>
            <w:tcW w:w="4678" w:type="dxa"/>
            <w:gridSpan w:val="2"/>
          </w:tcPr>
          <w:p w14:paraId="7826A068" w14:textId="77777777" w:rsidR="00942AB8" w:rsidRDefault="00942AB8"/>
        </w:tc>
      </w:tr>
      <w:tr w:rsidR="00942AB8" w14:paraId="77B1BF85" w14:textId="77777777" w:rsidTr="00E21768">
        <w:tc>
          <w:tcPr>
            <w:tcW w:w="4890" w:type="dxa"/>
            <w:gridSpan w:val="2"/>
          </w:tcPr>
          <w:p w14:paraId="6DD2CE88" w14:textId="5B87912D" w:rsidR="00942AB8" w:rsidRDefault="00DB2BCB" w:rsidP="007B0DF2">
            <w:pPr>
              <w:pStyle w:val="zSoquijdatQtePartieDem"/>
              <w:tabs>
                <w:tab w:val="left" w:pos="3539"/>
              </w:tabs>
              <w:ind w:left="708"/>
            </w:pPr>
            <w:bookmarkStart w:id="6" w:name="partie_demanderesse"/>
            <w:bookmarkEnd w:id="6"/>
            <w:r>
              <w:t>Partie demanderesse</w:t>
            </w:r>
          </w:p>
        </w:tc>
        <w:tc>
          <w:tcPr>
            <w:tcW w:w="4678" w:type="dxa"/>
            <w:gridSpan w:val="2"/>
          </w:tcPr>
          <w:p w14:paraId="4B4A2D1E" w14:textId="77777777" w:rsidR="00942AB8" w:rsidRDefault="00942AB8"/>
        </w:tc>
      </w:tr>
      <w:tr w:rsidR="00942AB8" w14:paraId="3927C16B" w14:textId="77777777" w:rsidTr="00E21768">
        <w:tc>
          <w:tcPr>
            <w:tcW w:w="4890" w:type="dxa"/>
            <w:gridSpan w:val="2"/>
          </w:tcPr>
          <w:p w14:paraId="790D5988" w14:textId="77777777" w:rsidR="00942AB8" w:rsidRDefault="00942AB8" w:rsidP="00E6363B"/>
        </w:tc>
        <w:tc>
          <w:tcPr>
            <w:tcW w:w="4678" w:type="dxa"/>
            <w:gridSpan w:val="2"/>
          </w:tcPr>
          <w:p w14:paraId="1030BF4E" w14:textId="77777777" w:rsidR="00942AB8" w:rsidRDefault="00942AB8"/>
        </w:tc>
      </w:tr>
      <w:tr w:rsidR="00942AB8" w14:paraId="37400F10" w14:textId="77777777" w:rsidTr="00E21768">
        <w:tc>
          <w:tcPr>
            <w:tcW w:w="4890" w:type="dxa"/>
            <w:gridSpan w:val="2"/>
          </w:tcPr>
          <w:p w14:paraId="4533F48C" w14:textId="5103E4A6" w:rsidR="00942AB8" w:rsidRDefault="00DB2BCB" w:rsidP="00D06652">
            <w:pPr>
              <w:pStyle w:val="zSoquijlblLienParties"/>
            </w:pPr>
            <w:r>
              <w:t>c.</w:t>
            </w:r>
          </w:p>
        </w:tc>
        <w:tc>
          <w:tcPr>
            <w:tcW w:w="4678" w:type="dxa"/>
            <w:gridSpan w:val="2"/>
          </w:tcPr>
          <w:p w14:paraId="75396E0E" w14:textId="77777777" w:rsidR="00942AB8" w:rsidRDefault="00942AB8"/>
        </w:tc>
      </w:tr>
      <w:tr w:rsidR="00942AB8" w14:paraId="7E78676F" w14:textId="77777777" w:rsidTr="00E21768">
        <w:tc>
          <w:tcPr>
            <w:tcW w:w="4890" w:type="dxa"/>
            <w:gridSpan w:val="2"/>
          </w:tcPr>
          <w:p w14:paraId="2F8EBBF2" w14:textId="77777777" w:rsidR="00942AB8" w:rsidRDefault="00942AB8"/>
        </w:tc>
        <w:tc>
          <w:tcPr>
            <w:tcW w:w="4678" w:type="dxa"/>
            <w:gridSpan w:val="2"/>
          </w:tcPr>
          <w:p w14:paraId="11CCF24E" w14:textId="77777777" w:rsidR="00942AB8" w:rsidRDefault="00942AB8"/>
        </w:tc>
      </w:tr>
      <w:tr w:rsidR="00942AB8" w14:paraId="15B46616" w14:textId="77777777" w:rsidTr="00E21768">
        <w:tc>
          <w:tcPr>
            <w:tcW w:w="4890" w:type="dxa"/>
            <w:gridSpan w:val="2"/>
          </w:tcPr>
          <w:p w14:paraId="6C250A01" w14:textId="4D8C8FD8" w:rsidR="00942AB8" w:rsidRDefault="00DB2BCB">
            <w:pPr>
              <w:pStyle w:val="zSoquijdatNomPartieDef"/>
              <w:rPr>
                <w:b/>
              </w:rPr>
            </w:pPr>
            <w:r w:rsidRPr="00DB2BCB">
              <w:rPr>
                <w:b/>
              </w:rPr>
              <w:t>Syndicat des cols bleus regroupés de Montréal (SCFP, 301)</w:t>
            </w:r>
          </w:p>
        </w:tc>
        <w:tc>
          <w:tcPr>
            <w:tcW w:w="4678" w:type="dxa"/>
            <w:gridSpan w:val="2"/>
          </w:tcPr>
          <w:p w14:paraId="63FDABCB" w14:textId="77777777" w:rsidR="00942AB8" w:rsidRDefault="00942AB8"/>
        </w:tc>
      </w:tr>
      <w:tr w:rsidR="00942AB8" w14:paraId="62E0A695" w14:textId="77777777" w:rsidTr="00E21768">
        <w:tc>
          <w:tcPr>
            <w:tcW w:w="4890" w:type="dxa"/>
            <w:gridSpan w:val="2"/>
          </w:tcPr>
          <w:p w14:paraId="44BD1D94" w14:textId="0C5D7503" w:rsidR="00942AB8" w:rsidRDefault="00DB2BCB">
            <w:pPr>
              <w:pStyle w:val="zSoquijdatQtePartieDef"/>
              <w:ind w:left="708"/>
            </w:pPr>
            <w:r>
              <w:t>Partie défenderesse</w:t>
            </w:r>
          </w:p>
        </w:tc>
        <w:tc>
          <w:tcPr>
            <w:tcW w:w="4678" w:type="dxa"/>
            <w:gridSpan w:val="2"/>
          </w:tcPr>
          <w:p w14:paraId="26248A76" w14:textId="77777777" w:rsidR="00942AB8" w:rsidRDefault="00942AB8"/>
        </w:tc>
      </w:tr>
      <w:tr w:rsidR="0065093D" w14:paraId="43B7BDFC" w14:textId="77777777" w:rsidTr="00E21768">
        <w:tc>
          <w:tcPr>
            <w:tcW w:w="4890" w:type="dxa"/>
            <w:gridSpan w:val="2"/>
          </w:tcPr>
          <w:p w14:paraId="5F639A89" w14:textId="77777777" w:rsidR="0065093D" w:rsidRDefault="0065093D"/>
        </w:tc>
        <w:tc>
          <w:tcPr>
            <w:tcW w:w="4678" w:type="dxa"/>
            <w:gridSpan w:val="2"/>
          </w:tcPr>
          <w:p w14:paraId="0B2C7601" w14:textId="77777777" w:rsidR="0065093D" w:rsidRDefault="0065093D"/>
        </w:tc>
      </w:tr>
      <w:tr w:rsidR="00DB2BCB" w14:paraId="24C0DCD4" w14:textId="77777777" w:rsidTr="00E21768">
        <w:tc>
          <w:tcPr>
            <w:tcW w:w="4890" w:type="dxa"/>
            <w:gridSpan w:val="2"/>
          </w:tcPr>
          <w:p w14:paraId="7EA2E9BD" w14:textId="52137E08" w:rsidR="00DB2BCB" w:rsidRDefault="00DB2BCB">
            <w:r>
              <w:t>et</w:t>
            </w:r>
          </w:p>
        </w:tc>
        <w:tc>
          <w:tcPr>
            <w:tcW w:w="4678" w:type="dxa"/>
            <w:gridSpan w:val="2"/>
          </w:tcPr>
          <w:p w14:paraId="4AEDED99" w14:textId="77777777" w:rsidR="00DB2BCB" w:rsidRDefault="00DB2BCB"/>
        </w:tc>
      </w:tr>
      <w:tr w:rsidR="00DB2BCB" w14:paraId="6AF67D7A" w14:textId="77777777" w:rsidTr="00E21768">
        <w:tc>
          <w:tcPr>
            <w:tcW w:w="4890" w:type="dxa"/>
            <w:gridSpan w:val="2"/>
          </w:tcPr>
          <w:p w14:paraId="27FAF3FB" w14:textId="77777777" w:rsidR="00DB2BCB" w:rsidRDefault="00DB2BCB"/>
        </w:tc>
        <w:tc>
          <w:tcPr>
            <w:tcW w:w="4678" w:type="dxa"/>
            <w:gridSpan w:val="2"/>
          </w:tcPr>
          <w:p w14:paraId="616E9928" w14:textId="77777777" w:rsidR="00DB2BCB" w:rsidRDefault="00DB2BCB"/>
        </w:tc>
      </w:tr>
      <w:tr w:rsidR="00942AB8" w14:paraId="590A7B80" w14:textId="77777777" w:rsidTr="00E21768">
        <w:tc>
          <w:tcPr>
            <w:tcW w:w="4890" w:type="dxa"/>
            <w:gridSpan w:val="2"/>
          </w:tcPr>
          <w:p w14:paraId="7B003A2B" w14:textId="08C17BCC" w:rsidR="00942AB8" w:rsidRDefault="00DB2BCB">
            <w:pPr>
              <w:pStyle w:val="zSoquijdatNomPartieInt"/>
              <w:rPr>
                <w:b/>
              </w:rPr>
            </w:pPr>
            <w:r w:rsidRPr="00DB2BCB">
              <w:rPr>
                <w:b/>
              </w:rPr>
              <w:t>Ville de Montréal</w:t>
            </w:r>
          </w:p>
        </w:tc>
        <w:tc>
          <w:tcPr>
            <w:tcW w:w="4678" w:type="dxa"/>
            <w:gridSpan w:val="2"/>
          </w:tcPr>
          <w:p w14:paraId="52C48AB7" w14:textId="01B6EFA5" w:rsidR="00942AB8" w:rsidRDefault="00942AB8"/>
        </w:tc>
      </w:tr>
      <w:tr w:rsidR="00942AB8" w14:paraId="54C7891C" w14:textId="77777777" w:rsidTr="00E21768">
        <w:tc>
          <w:tcPr>
            <w:tcW w:w="4890" w:type="dxa"/>
            <w:gridSpan w:val="2"/>
          </w:tcPr>
          <w:p w14:paraId="0230C25C" w14:textId="3CD007DE" w:rsidR="00942AB8" w:rsidRDefault="00DB2BCB">
            <w:pPr>
              <w:pStyle w:val="zSoquijdatQtePartieInt"/>
              <w:ind w:left="708"/>
            </w:pPr>
            <w:r>
              <w:t>Partie mise en cause</w:t>
            </w:r>
          </w:p>
        </w:tc>
        <w:tc>
          <w:tcPr>
            <w:tcW w:w="4678" w:type="dxa"/>
            <w:gridSpan w:val="2"/>
          </w:tcPr>
          <w:p w14:paraId="239CE345" w14:textId="77777777" w:rsidR="00942AB8" w:rsidRDefault="00942AB8"/>
        </w:tc>
      </w:tr>
      <w:tr w:rsidR="00942AB8" w14:paraId="3064FC3B" w14:textId="77777777" w:rsidTr="00E21768">
        <w:tc>
          <w:tcPr>
            <w:tcW w:w="4890" w:type="dxa"/>
            <w:gridSpan w:val="2"/>
          </w:tcPr>
          <w:p w14:paraId="05E3ED1D" w14:textId="77777777" w:rsidR="00942AB8" w:rsidRDefault="00942AB8"/>
        </w:tc>
        <w:tc>
          <w:tcPr>
            <w:tcW w:w="4678" w:type="dxa"/>
            <w:gridSpan w:val="2"/>
          </w:tcPr>
          <w:p w14:paraId="140C2144" w14:textId="77777777" w:rsidR="00942AB8" w:rsidRDefault="00942AB8"/>
        </w:tc>
      </w:tr>
    </w:tbl>
    <w:p w14:paraId="2D2D24B3" w14:textId="77777777" w:rsidR="00C74B6F" w:rsidRDefault="00C74B6F">
      <w:r>
        <w:t>______________________________________________________________________</w:t>
      </w:r>
    </w:p>
    <w:p w14:paraId="37E5A285" w14:textId="77777777" w:rsidR="00C74B6F" w:rsidRDefault="00C74B6F"/>
    <w:p w14:paraId="7F98AAB2" w14:textId="3291EB0A" w:rsidR="00C74B6F" w:rsidRPr="00DB2BCB" w:rsidRDefault="00DB2BCB" w:rsidP="00DB2BCB">
      <w:pPr>
        <w:jc w:val="center"/>
        <w:rPr>
          <w:b/>
          <w:bCs/>
        </w:rPr>
      </w:pPr>
      <w:bookmarkStart w:id="7" w:name="decision"/>
      <w:r>
        <w:rPr>
          <w:b/>
          <w:bCs/>
        </w:rPr>
        <w:t>DÉCISION</w:t>
      </w:r>
      <w:bookmarkEnd w:id="7"/>
    </w:p>
    <w:p w14:paraId="1ED95B76" w14:textId="77777777" w:rsidR="008F20EA" w:rsidRDefault="008F20EA" w:rsidP="008F20EA">
      <w:bookmarkStart w:id="8" w:name="separation"/>
      <w:bookmarkStart w:id="9" w:name="parag_1"/>
      <w:r>
        <w:t>______________________________________________________________________</w:t>
      </w:r>
    </w:p>
    <w:p w14:paraId="13968DD2"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10"/>
    <w:bookmarkEnd w:id="9"/>
    <w:p w14:paraId="532CB44F" w14:textId="261C9C05" w:rsidR="00C72B3A" w:rsidRDefault="00AA68B3" w:rsidP="00A21E18">
      <w:pPr>
        <w:pStyle w:val="corpsdedcision"/>
        <w:tabs>
          <w:tab w:val="clear" w:pos="360"/>
        </w:tabs>
      </w:pPr>
      <w:r>
        <w:t>Monsieur Erolph Jean-Louis, le plaignant</w:t>
      </w:r>
      <w:r w:rsidR="00C72B3A">
        <w:t>,</w:t>
      </w:r>
      <w:r>
        <w:t xml:space="preserve"> est </w:t>
      </w:r>
      <w:r w:rsidR="002C4A05">
        <w:t xml:space="preserve">un salarié col bleu </w:t>
      </w:r>
      <w:r>
        <w:t>à l’emploi de la</w:t>
      </w:r>
      <w:r w:rsidR="00162E27">
        <w:t> </w:t>
      </w:r>
      <w:r>
        <w:t>Ville de Montréal</w:t>
      </w:r>
      <w:r w:rsidR="00C72B3A">
        <w:t>. Il est</w:t>
      </w:r>
      <w:r w:rsidR="00C72B3A" w:rsidRPr="00C72B3A">
        <w:t xml:space="preserve"> </w:t>
      </w:r>
      <w:r w:rsidR="00C72B3A">
        <w:t>membre du Syndicat des cols bleus regroupés de Montréal (SCFP, 301).</w:t>
      </w:r>
    </w:p>
    <w:p w14:paraId="3D9DD39B" w14:textId="1EF1C1AD" w:rsidR="002C4A05" w:rsidRDefault="002173A5" w:rsidP="00D3703F">
      <w:pPr>
        <w:pStyle w:val="corpsdedcision"/>
        <w:tabs>
          <w:tab w:val="clear" w:pos="360"/>
        </w:tabs>
      </w:pPr>
      <w:r>
        <w:t xml:space="preserve">Le 17 août 2023, </w:t>
      </w:r>
      <w:r w:rsidR="00C72B3A">
        <w:t>il</w:t>
      </w:r>
      <w:r>
        <w:t xml:space="preserve"> dépose une plainte pour manquement au devoir de juste représentation selon l’article 47.2 du </w:t>
      </w:r>
      <w:r w:rsidRPr="00C72B3A">
        <w:rPr>
          <w:i/>
          <w:iCs/>
        </w:rPr>
        <w:t>Code du travail</w:t>
      </w:r>
      <w:r>
        <w:rPr>
          <w:rStyle w:val="Appelnotedebasdep"/>
        </w:rPr>
        <w:footnoteReference w:id="1"/>
      </w:r>
      <w:r w:rsidR="00A466C0">
        <w:rPr>
          <w:i/>
          <w:iCs/>
        </w:rPr>
        <w:t xml:space="preserve">, </w:t>
      </w:r>
      <w:r w:rsidR="00A466C0" w:rsidRPr="00A0314F">
        <w:t>le Code</w:t>
      </w:r>
      <w:r w:rsidR="00D3703F">
        <w:t xml:space="preserve">. </w:t>
      </w:r>
      <w:r w:rsidR="00F02DFF">
        <w:t>S</w:t>
      </w:r>
      <w:r w:rsidR="00C72B3A">
        <w:t>e</w:t>
      </w:r>
      <w:r w:rsidR="00AA68B3">
        <w:t>s reproches</w:t>
      </w:r>
      <w:r w:rsidR="00F02DFF">
        <w:t xml:space="preserve"> à l’endroit du syndicat</w:t>
      </w:r>
      <w:r w:rsidR="00AA68B3">
        <w:t xml:space="preserve"> peuvent se résumer ainsi :</w:t>
      </w:r>
      <w:r w:rsidR="005B5C0B">
        <w:t xml:space="preserve"> </w:t>
      </w:r>
      <w:r w:rsidR="00F02DFF">
        <w:t xml:space="preserve">une représentante mandatée par le syndicat pour le représenter dans son dossier d’invalidité et de réadaptation à la Commission des normes, de l’équité, de la santé et de la sécurité </w:t>
      </w:r>
      <w:r w:rsidR="004E1A3D">
        <w:t>d</w:t>
      </w:r>
      <w:r w:rsidR="00F02DFF">
        <w:t>u travail, la CNESST,</w:t>
      </w:r>
      <w:r w:rsidR="002C4A05">
        <w:t xml:space="preserve"> a</w:t>
      </w:r>
      <w:r w:rsidR="00F02DFF">
        <w:t>urait</w:t>
      </w:r>
      <w:r w:rsidR="002C4A05">
        <w:t xml:space="preserve"> agi de mauvaise foi, de manière arbitraire, discriminatoire ou a</w:t>
      </w:r>
      <w:r w:rsidR="00F02DFF">
        <w:t>urait</w:t>
      </w:r>
      <w:r w:rsidR="002C4A05">
        <w:t xml:space="preserve"> fait preuve de négligence</w:t>
      </w:r>
      <w:r w:rsidR="00F02DFF">
        <w:t xml:space="preserve">. Qui plus est, </w:t>
      </w:r>
      <w:r w:rsidR="002C4A05">
        <w:t xml:space="preserve">le </w:t>
      </w:r>
      <w:r w:rsidR="005B5C0B">
        <w:t>s</w:t>
      </w:r>
      <w:r w:rsidR="002C4A05">
        <w:t xml:space="preserve">yndicat n’a pas accédé à sa demande de remplacer </w:t>
      </w:r>
      <w:r w:rsidR="00F02DFF">
        <w:t>celle-ci lorsqu’il s’en est plaint.</w:t>
      </w:r>
    </w:p>
    <w:p w14:paraId="117B6409" w14:textId="50AC3F0A" w:rsidR="00AA68B3" w:rsidRDefault="00AA68B3" w:rsidP="00A21E18">
      <w:pPr>
        <w:pStyle w:val="corpsdedcision"/>
        <w:tabs>
          <w:tab w:val="clear" w:pos="360"/>
        </w:tabs>
      </w:pPr>
      <w:r>
        <w:t>Le 24 septembre 2024, prenant appui sur l’article 9 al.</w:t>
      </w:r>
      <w:r w:rsidR="00162E27">
        <w:t>2</w:t>
      </w:r>
      <w:r>
        <w:t xml:space="preserve"> </w:t>
      </w:r>
      <w:r w:rsidR="00162E27">
        <w:t>(</w:t>
      </w:r>
      <w:r>
        <w:t>1</w:t>
      </w:r>
      <w:r w:rsidR="00162E27">
        <w:t>)</w:t>
      </w:r>
      <w:r>
        <w:t xml:space="preserve"> de la </w:t>
      </w:r>
      <w:r w:rsidRPr="002C4A05">
        <w:rPr>
          <w:i/>
          <w:iCs/>
        </w:rPr>
        <w:t>Loi instituant le Tribunal administratif du travail</w:t>
      </w:r>
      <w:r>
        <w:rPr>
          <w:rStyle w:val="Appelnotedebasdep"/>
        </w:rPr>
        <w:footnoteReference w:id="2"/>
      </w:r>
      <w:r>
        <w:t>, la LITAT, le syndicat demande le rejet sommaire de la plainte</w:t>
      </w:r>
      <w:r w:rsidR="002C4A05">
        <w:t xml:space="preserve"> au motif qu</w:t>
      </w:r>
      <w:r w:rsidR="000536BE">
        <w:t xml:space="preserve">’elle n’est pas recevable, </w:t>
      </w:r>
      <w:r w:rsidR="002C4A05">
        <w:t>les dossiers d’accidents de travail ne constitu</w:t>
      </w:r>
      <w:r w:rsidR="00A0314F">
        <w:t>a</w:t>
      </w:r>
      <w:r w:rsidR="002C4A05">
        <w:t>nt pas une matière visée par le monopole de représentation qui lui incombe en sa qualité d’association accréditée.</w:t>
      </w:r>
    </w:p>
    <w:p w14:paraId="1CB05EBB" w14:textId="06EB91E9" w:rsidR="00F02DFF" w:rsidRDefault="009D76B6" w:rsidP="00A21E18">
      <w:pPr>
        <w:pStyle w:val="corpsdedcision"/>
        <w:tabs>
          <w:tab w:val="clear" w:pos="360"/>
        </w:tabs>
      </w:pPr>
      <w:r>
        <w:t>Le Tribunal doit donc répondre à la question suivante : la plainte pour manquement au devoir de représentation, qui ne concerne que le traitement d’un dossier de réclamation à la CNESST, est-elle recevable?</w:t>
      </w:r>
    </w:p>
    <w:p w14:paraId="12F0CBAA" w14:textId="33855A38" w:rsidR="009D76B6" w:rsidRDefault="009D76B6" w:rsidP="00A21E18">
      <w:pPr>
        <w:pStyle w:val="corpsdedcision"/>
        <w:tabs>
          <w:tab w:val="clear" w:pos="360"/>
        </w:tabs>
      </w:pPr>
      <w:r>
        <w:t xml:space="preserve">Pour les motifs expliqués dans l’analyse qui suit, le Tribunal répond par la négative à cette question. </w:t>
      </w:r>
      <w:r w:rsidR="005B53D7">
        <w:rPr>
          <w:lang w:eastAsia="fr-FR"/>
        </w:rPr>
        <w:t>La représentation d’un salarié dans le cadre d’une réclamation à la</w:t>
      </w:r>
      <w:r w:rsidR="004E1A3D">
        <w:rPr>
          <w:lang w:eastAsia="fr-FR"/>
        </w:rPr>
        <w:t> </w:t>
      </w:r>
      <w:r w:rsidR="005B53D7">
        <w:rPr>
          <w:lang w:eastAsia="fr-FR"/>
        </w:rPr>
        <w:t xml:space="preserve">CNESST fondée sur </w:t>
      </w:r>
      <w:r w:rsidR="005B53D7" w:rsidRPr="009D11C7">
        <w:rPr>
          <w:i/>
          <w:lang w:eastAsia="fr-FR"/>
        </w:rPr>
        <w:t>Loi sur les accidents de travail et les maladies professionnelles</w:t>
      </w:r>
      <w:r w:rsidR="005B53D7">
        <w:rPr>
          <w:rStyle w:val="Appelnotedebasdep"/>
          <w:lang w:eastAsia="fr-FR"/>
        </w:rPr>
        <w:footnoteReference w:id="3"/>
      </w:r>
      <w:r w:rsidR="005B53D7">
        <w:rPr>
          <w:i/>
          <w:lang w:eastAsia="fr-FR"/>
        </w:rPr>
        <w:t xml:space="preserve">, </w:t>
      </w:r>
      <w:r w:rsidR="005B53D7">
        <w:rPr>
          <w:lang w:eastAsia="fr-FR"/>
        </w:rPr>
        <w:t>la</w:t>
      </w:r>
      <w:r w:rsidR="004E1A3D">
        <w:rPr>
          <w:lang w:eastAsia="fr-FR"/>
        </w:rPr>
        <w:t> </w:t>
      </w:r>
      <w:r w:rsidR="005B53D7">
        <w:rPr>
          <w:lang w:eastAsia="fr-FR"/>
        </w:rPr>
        <w:t xml:space="preserve">LATMP, ne relève pas du monopole de représentation du syndicat, mais bien d’un mandat contractuel donné expressément ou implicitement par le salarié à ce dernier. La plainte </w:t>
      </w:r>
      <w:r w:rsidR="003D35C1">
        <w:rPr>
          <w:lang w:eastAsia="fr-FR"/>
        </w:rPr>
        <w:t xml:space="preserve">ne soulevant </w:t>
      </w:r>
      <w:r w:rsidR="005B53D7">
        <w:rPr>
          <w:lang w:eastAsia="fr-FR"/>
        </w:rPr>
        <w:t xml:space="preserve">que des </w:t>
      </w:r>
      <w:r w:rsidR="003D35C1">
        <w:rPr>
          <w:lang w:eastAsia="fr-FR"/>
        </w:rPr>
        <w:t xml:space="preserve">allégations de </w:t>
      </w:r>
      <w:r w:rsidR="005B53D7">
        <w:rPr>
          <w:lang w:eastAsia="fr-FR"/>
        </w:rPr>
        <w:t xml:space="preserve">manquements à ce sujet </w:t>
      </w:r>
      <w:r w:rsidR="003D35C1">
        <w:rPr>
          <w:lang w:eastAsia="fr-FR"/>
        </w:rPr>
        <w:t>est irrecevable.</w:t>
      </w:r>
    </w:p>
    <w:p w14:paraId="41CEB16B" w14:textId="77777777" w:rsidR="00082A97" w:rsidRDefault="00082A97" w:rsidP="00F10236">
      <w:pPr>
        <w:pStyle w:val="corpsdedcision"/>
        <w:numPr>
          <w:ilvl w:val="0"/>
          <w:numId w:val="0"/>
        </w:numPr>
        <w:rPr>
          <w:b/>
          <w:bCs/>
          <w:u w:val="single"/>
        </w:rPr>
      </w:pPr>
      <w:bookmarkStart w:id="11" w:name="supprimer_analyse"/>
      <w:r w:rsidRPr="00B51F99">
        <w:rPr>
          <w:b/>
          <w:bCs/>
          <w:u w:val="single"/>
        </w:rPr>
        <w:t>L</w:t>
      </w:r>
      <w:r>
        <w:rPr>
          <w:b/>
          <w:bCs/>
          <w:u w:val="single"/>
        </w:rPr>
        <w:t>’ANALYSE</w:t>
      </w:r>
    </w:p>
    <w:bookmarkEnd w:id="11"/>
    <w:p w14:paraId="3AE2458F" w14:textId="3E71ABD5" w:rsidR="00F17C69" w:rsidRDefault="00F17C69" w:rsidP="00F17C69">
      <w:pPr>
        <w:pStyle w:val="corpsdedcision"/>
        <w:tabs>
          <w:tab w:val="clear" w:pos="360"/>
        </w:tabs>
        <w:rPr>
          <w:lang w:eastAsia="fr-FR"/>
        </w:rPr>
      </w:pPr>
      <w:r>
        <w:t>La LITAT, confère au Tribunal le pouvoir de rejeter sommairement</w:t>
      </w:r>
      <w:r w:rsidRPr="00BC4ABF">
        <w:t>, d’office ou sur demande, toute affaire qu’il juge abusive ou dilatoire</w:t>
      </w:r>
      <w:r w:rsidRPr="00BC4ABF">
        <w:rPr>
          <w:vertAlign w:val="superscript"/>
        </w:rPr>
        <w:footnoteReference w:id="4"/>
      </w:r>
      <w:r w:rsidRPr="00BC4ABF">
        <w:t xml:space="preserve">. </w:t>
      </w:r>
    </w:p>
    <w:p w14:paraId="15935964" w14:textId="49190B1E" w:rsidR="00F17C69" w:rsidRPr="00BC4ABF" w:rsidRDefault="00F17C69" w:rsidP="00F17C69">
      <w:pPr>
        <w:pStyle w:val="corpsdedcision"/>
        <w:tabs>
          <w:tab w:val="clear" w:pos="360"/>
        </w:tabs>
        <w:rPr>
          <w:lang w:eastAsia="fr-FR"/>
        </w:rPr>
      </w:pPr>
      <w:r w:rsidRPr="00BC4ABF">
        <w:t xml:space="preserve">Ce pouvoir vise à </w:t>
      </w:r>
      <w:r w:rsidRPr="00BC4ABF">
        <w:rPr>
          <w:rFonts w:cs="Arial"/>
          <w:color w:val="000000"/>
          <w:shd w:val="clear" w:color="auto" w:fill="FFFFFF"/>
        </w:rPr>
        <w:t xml:space="preserve">empêcher, dans l’intérêt de la justice, de consacrer du temps et des ressources aux recours abusifs ou dilatoires qui, à leur lecture, ne présentent aucune </w:t>
      </w:r>
      <w:r w:rsidRPr="00BC4ABF">
        <w:rPr>
          <w:rFonts w:cs="Arial"/>
          <w:iCs/>
          <w:color w:val="000000"/>
          <w:szCs w:val="24"/>
          <w:shd w:val="clear" w:color="auto" w:fill="FFFFFF"/>
        </w:rPr>
        <w:t>chance de succès</w:t>
      </w:r>
      <w:r w:rsidRPr="00BC4ABF">
        <w:rPr>
          <w:rFonts w:cs="Arial"/>
          <w:i/>
          <w:iCs/>
          <w:color w:val="000000"/>
          <w:szCs w:val="22"/>
          <w:shd w:val="clear" w:color="auto" w:fill="FFFFFF"/>
        </w:rPr>
        <w:t>.</w:t>
      </w:r>
      <w:r>
        <w:rPr>
          <w:rFonts w:cs="Arial"/>
          <w:color w:val="000000"/>
          <w:szCs w:val="22"/>
          <w:shd w:val="clear" w:color="auto" w:fill="FFFFFF"/>
        </w:rPr>
        <w:t xml:space="preserve"> Comme le souligne la Cour d’appel dans</w:t>
      </w:r>
      <w:r w:rsidRPr="00B33C9D">
        <w:t xml:space="preserve"> </w:t>
      </w:r>
      <w:r>
        <w:t xml:space="preserve">l’arrêt </w:t>
      </w:r>
      <w:r w:rsidRPr="00885FEF">
        <w:rPr>
          <w:i/>
          <w:iCs/>
        </w:rPr>
        <w:t>Vigeant</w:t>
      </w:r>
      <w:r>
        <w:rPr>
          <w:i/>
          <w:iCs/>
        </w:rPr>
        <w:t xml:space="preserve"> </w:t>
      </w:r>
      <w:r w:rsidRPr="003656AF">
        <w:t>c.</w:t>
      </w:r>
      <w:r w:rsidRPr="00443D9B">
        <w:rPr>
          <w:i/>
          <w:iCs/>
        </w:rPr>
        <w:t xml:space="preserve"> Syndicat de professionnelles et professionnels du gouvernement du Québec (SPGQ</w:t>
      </w:r>
      <w:r>
        <w:rPr>
          <w:i/>
          <w:iCs/>
        </w:rPr>
        <w:t>)</w:t>
      </w:r>
      <w:r w:rsidRPr="003656AF">
        <w:rPr>
          <w:rStyle w:val="Appelnotedebasdep"/>
        </w:rPr>
        <w:footnoteReference w:id="5"/>
      </w:r>
      <w:r w:rsidRPr="00885FEF">
        <w:t>,</w:t>
      </w:r>
      <w:r>
        <w:t xml:space="preserve"> </w:t>
      </w:r>
      <w:r>
        <w:rPr>
          <w:rFonts w:cs="Arial"/>
          <w:color w:val="000000"/>
          <w:szCs w:val="22"/>
          <w:shd w:val="clear" w:color="auto" w:fill="FFFFFF"/>
        </w:rPr>
        <w:t>il assure au Tribunal « </w:t>
      </w:r>
      <w:r w:rsidRPr="003656AF">
        <w:rPr>
          <w:rFonts w:cs="Arial"/>
          <w:i/>
          <w:iCs/>
          <w:color w:val="000000"/>
          <w:sz w:val="22"/>
          <w:shd w:val="clear" w:color="auto" w:fill="FFFFFF"/>
        </w:rPr>
        <w:t>le</w:t>
      </w:r>
      <w:r>
        <w:rPr>
          <w:rFonts w:cs="Arial"/>
          <w:color w:val="000000"/>
          <w:szCs w:val="22"/>
          <w:shd w:val="clear" w:color="auto" w:fill="FFFFFF"/>
        </w:rPr>
        <w:t xml:space="preserve"> </w:t>
      </w:r>
      <w:r w:rsidRPr="00B33C9D">
        <w:rPr>
          <w:rStyle w:val="Citationintgre"/>
        </w:rPr>
        <w:t xml:space="preserve">pouvoir </w:t>
      </w:r>
      <w:r>
        <w:rPr>
          <w:rStyle w:val="Citationintgre"/>
        </w:rPr>
        <w:t xml:space="preserve">de </w:t>
      </w:r>
      <w:r w:rsidRPr="00B33C9D">
        <w:rPr>
          <w:rStyle w:val="Citationintgre"/>
        </w:rPr>
        <w:t>gérer efficacement ses ressources dans la réalisation de la mission que lui confère la loi</w:t>
      </w:r>
      <w:r>
        <w:rPr>
          <w:rFonts w:cs="Arial"/>
          <w:color w:val="000000"/>
          <w:szCs w:val="22"/>
          <w:shd w:val="clear" w:color="auto" w:fill="FFFFFF"/>
        </w:rPr>
        <w:t> ».</w:t>
      </w:r>
    </w:p>
    <w:p w14:paraId="50D90E05" w14:textId="2EA4DB60" w:rsidR="00F17C69" w:rsidRDefault="00F17C69" w:rsidP="005B53D7">
      <w:pPr>
        <w:pStyle w:val="corpsdedcision"/>
        <w:tabs>
          <w:tab w:val="clear" w:pos="360"/>
        </w:tabs>
        <w:spacing w:after="240"/>
      </w:pPr>
      <w:r>
        <w:t xml:space="preserve">Toujours dans </w:t>
      </w:r>
      <w:bookmarkStart w:id="12" w:name="_Hlk175838493"/>
      <w:r>
        <w:t xml:space="preserve">l’arrêt </w:t>
      </w:r>
      <w:r w:rsidRPr="00885FEF">
        <w:rPr>
          <w:i/>
          <w:iCs/>
        </w:rPr>
        <w:t>Vigeant</w:t>
      </w:r>
      <w:bookmarkEnd w:id="12"/>
      <w:r>
        <w:t xml:space="preserve">, la Cour d’appel rappelle </w:t>
      </w:r>
      <w:r w:rsidR="000536BE">
        <w:t xml:space="preserve">les </w:t>
      </w:r>
      <w:r w:rsidRPr="001055AD">
        <w:rPr>
          <w:lang w:val="fr-FR"/>
        </w:rPr>
        <w:t>critères à apprécier dans la considération d'un rejet sommaire</w:t>
      </w:r>
      <w:r w:rsidRPr="003656AF">
        <w:rPr>
          <w:rStyle w:val="Appelnotedebasdep"/>
        </w:rPr>
        <w:footnoteReference w:id="6"/>
      </w:r>
      <w:r w:rsidR="000536BE">
        <w:t xml:space="preserve">, </w:t>
      </w:r>
      <w:r>
        <w:t>que l’on peut résumer ainsi :</w:t>
      </w:r>
    </w:p>
    <w:p w14:paraId="31FBB49A" w14:textId="77777777" w:rsidR="00F17C69" w:rsidRDefault="00F17C69" w:rsidP="00F17C69">
      <w:pPr>
        <w:pStyle w:val="corpsdedcision"/>
        <w:numPr>
          <w:ilvl w:val="1"/>
          <w:numId w:val="12"/>
        </w:numPr>
        <w:spacing w:after="240"/>
        <w:ind w:left="1080"/>
      </w:pPr>
      <w:r>
        <w:t>Il faut apprécier avec beaucoup de prudence une requête en rejet sommaire;</w:t>
      </w:r>
    </w:p>
    <w:p w14:paraId="204C492B" w14:textId="77777777" w:rsidR="00F17C69" w:rsidRDefault="00F17C69" w:rsidP="00F17C69">
      <w:pPr>
        <w:pStyle w:val="corpsdedcision"/>
        <w:numPr>
          <w:ilvl w:val="1"/>
          <w:numId w:val="12"/>
        </w:numPr>
        <w:spacing w:after="240"/>
        <w:ind w:left="1080"/>
      </w:pPr>
      <w:r w:rsidRPr="00767911">
        <w:t xml:space="preserve">L’examen </w:t>
      </w:r>
      <w:r>
        <w:t xml:space="preserve">sommaire </w:t>
      </w:r>
      <w:r w:rsidRPr="00767911">
        <w:t xml:space="preserve">des </w:t>
      </w:r>
      <w:r>
        <w:t xml:space="preserve">arguments </w:t>
      </w:r>
      <w:r w:rsidRPr="00767911">
        <w:t xml:space="preserve">doit permettre d’apercevoir facilement l’absence de chance raisonnable de succès, soit par leur futilité, leur aspect dilatoire, leur incohérence ou leur absence </w:t>
      </w:r>
      <w:r>
        <w:t xml:space="preserve">manifeste </w:t>
      </w:r>
      <w:r w:rsidRPr="00767911">
        <w:t>de fondement juridique;</w:t>
      </w:r>
    </w:p>
    <w:p w14:paraId="299FCC91" w14:textId="77777777" w:rsidR="00F17C69" w:rsidRPr="00767911" w:rsidRDefault="00F17C69" w:rsidP="00F17C69">
      <w:pPr>
        <w:pStyle w:val="corpsdedcision"/>
        <w:numPr>
          <w:ilvl w:val="1"/>
          <w:numId w:val="12"/>
        </w:numPr>
        <w:spacing w:after="240"/>
        <w:ind w:left="1080"/>
      </w:pPr>
      <w:r w:rsidRPr="00767911">
        <w:t>Si des moyens sérieux sont présentés par une partie, son droit d’être entendu sera respecté;</w:t>
      </w:r>
    </w:p>
    <w:p w14:paraId="72779743" w14:textId="77777777" w:rsidR="00F17C69" w:rsidRPr="00767911" w:rsidRDefault="00F17C69" w:rsidP="00F17C69">
      <w:pPr>
        <w:pStyle w:val="corpsdedcision"/>
        <w:numPr>
          <w:ilvl w:val="1"/>
          <w:numId w:val="12"/>
        </w:numPr>
        <w:ind w:left="1080"/>
      </w:pPr>
      <w:r w:rsidRPr="00767911">
        <w:t xml:space="preserve">L’obligation de célérité qui </w:t>
      </w:r>
      <w:r>
        <w:t xml:space="preserve">existe </w:t>
      </w:r>
      <w:r w:rsidRPr="00767911">
        <w:t>dans le</w:t>
      </w:r>
      <w:r>
        <w:t xml:space="preserve"> Code (maintenant dans la LITAT)</w:t>
      </w:r>
      <w:r>
        <w:rPr>
          <w:rStyle w:val="Appelnotedebasdep"/>
        </w:rPr>
        <w:footnoteReference w:id="7"/>
      </w:r>
      <w:r>
        <w:t xml:space="preserve"> </w:t>
      </w:r>
      <w:r w:rsidRPr="00767911">
        <w:t>peut être prise en compte</w:t>
      </w:r>
      <w:r>
        <w:t>.</w:t>
      </w:r>
    </w:p>
    <w:p w14:paraId="18FD6729" w14:textId="77777777" w:rsidR="000536BE" w:rsidRDefault="00F17C69" w:rsidP="00A0314F">
      <w:pPr>
        <w:pStyle w:val="corpsdedcision"/>
        <w:tabs>
          <w:tab w:val="clear" w:pos="360"/>
        </w:tabs>
      </w:pPr>
      <w:r>
        <w:t>Ces critères sont repris de façon constante par la C</w:t>
      </w:r>
      <w:r w:rsidR="000536BE">
        <w:t>ommission des relations du travail, la C</w:t>
      </w:r>
      <w:r>
        <w:t>RT</w:t>
      </w:r>
      <w:r w:rsidR="000536BE">
        <w:t>,</w:t>
      </w:r>
      <w:r>
        <w:t xml:space="preserve"> et par le Tribunal qui lui a succédé en 2016. </w:t>
      </w:r>
    </w:p>
    <w:p w14:paraId="70F2D535" w14:textId="3A9248BE" w:rsidR="00F17C69" w:rsidRDefault="00F17C69" w:rsidP="00F17C69">
      <w:pPr>
        <w:pStyle w:val="corpsdedcision"/>
      </w:pPr>
      <w:r>
        <w:t>En les appliquant aux faits de la présente affaire, la conclusion selon laquelle la plainte du plaignant en l’espèce doit être rejetée sommairement s’impose. Voici pourquoi.</w:t>
      </w:r>
    </w:p>
    <w:p w14:paraId="7D928D81" w14:textId="4B343023" w:rsidR="00F02DFF" w:rsidRDefault="000536BE" w:rsidP="00F02DFF">
      <w:pPr>
        <w:pStyle w:val="corpsdedcision"/>
      </w:pPr>
      <w:r>
        <w:t>Tous les reproches allégués par le</w:t>
      </w:r>
      <w:r w:rsidR="00F02DFF">
        <w:t xml:space="preserve"> plaignant</w:t>
      </w:r>
      <w:r>
        <w:t xml:space="preserve"> dans sa plainte amendée concernent des faits et gestes posés par le syndicat dans </w:t>
      </w:r>
      <w:r w:rsidR="00F02DFF">
        <w:t xml:space="preserve">le traitement de son dossier d’invalidité et de réadaptation à la CNESST. </w:t>
      </w:r>
    </w:p>
    <w:p w14:paraId="0D745F46" w14:textId="6C5558EE" w:rsidR="00D3703F" w:rsidRDefault="00F02DFF" w:rsidP="00D3703F">
      <w:pPr>
        <w:pStyle w:val="corpsdedcision"/>
      </w:pPr>
      <w:r>
        <w:t>Plus précisément, le plaignant dénonce les comportements et agissements d</w:t>
      </w:r>
      <w:r w:rsidR="00D3703F">
        <w:t>e la représentante désignée par le syndicat pour défendre son dossier d’invalidité et de réadaptation à la CNESST</w:t>
      </w:r>
      <w:r>
        <w:t xml:space="preserve">. Il se plaint notamment de difficultés de communication avec celle-ci. </w:t>
      </w:r>
      <w:r w:rsidR="00D3703F">
        <w:t>Il ajoute que le syndicat n’a pas accédé à sa demande de</w:t>
      </w:r>
      <w:r w:rsidR="00A0314F">
        <w:t xml:space="preserve"> la</w:t>
      </w:r>
      <w:r w:rsidR="00D3703F">
        <w:t xml:space="preserve"> remplacer par un autre représentant.</w:t>
      </w:r>
    </w:p>
    <w:p w14:paraId="194BABD8" w14:textId="3768A9EB" w:rsidR="004D081B" w:rsidRDefault="00882534" w:rsidP="00210AD3">
      <w:pPr>
        <w:pStyle w:val="corpsdedcision"/>
        <w:rPr>
          <w:lang w:eastAsia="fr-FR"/>
        </w:rPr>
      </w:pPr>
      <w:r>
        <w:t>La jurisprudence du Tribunal et de la C</w:t>
      </w:r>
      <w:r w:rsidR="00C769A2">
        <w:t xml:space="preserve">RT ces dernières années </w:t>
      </w:r>
      <w:r>
        <w:t>est constante : les agissements d’une association accréditée qui sont assujettis au devoir de juste représentation sont ceux qui découlent du monopole de représentation syndical</w:t>
      </w:r>
      <w:r w:rsidR="00C769A2">
        <w:t xml:space="preserve"> et des rapports collectifs de travail</w:t>
      </w:r>
      <w:r>
        <w:t xml:space="preserve">, </w:t>
      </w:r>
      <w:r w:rsidR="00C769A2">
        <w:t>soit lorsque cette association</w:t>
      </w:r>
      <w:r>
        <w:t xml:space="preserve"> forme un écran entre le salarié et l’employeur.</w:t>
      </w:r>
      <w:r>
        <w:rPr>
          <w:rStyle w:val="Appelnotedebasdep"/>
          <w:lang w:eastAsia="fr-FR"/>
        </w:rPr>
        <w:footnoteReference w:id="8"/>
      </w:r>
      <w:r w:rsidR="00C769A2">
        <w:t xml:space="preserve"> </w:t>
      </w:r>
    </w:p>
    <w:p w14:paraId="6AA0ADE3" w14:textId="7EE517F8" w:rsidR="00FD4161" w:rsidRDefault="00C769A2" w:rsidP="00CA0639">
      <w:pPr>
        <w:pStyle w:val="corpsdedcision"/>
        <w:tabs>
          <w:tab w:val="clear" w:pos="360"/>
        </w:tabs>
        <w:rPr>
          <w:lang w:eastAsia="fr-FR"/>
        </w:rPr>
      </w:pPr>
      <w:r>
        <w:rPr>
          <w:lang w:eastAsia="fr-FR"/>
        </w:rPr>
        <w:t>Ainsi</w:t>
      </w:r>
      <w:r w:rsidR="00FD4161">
        <w:rPr>
          <w:lang w:eastAsia="fr-FR"/>
        </w:rPr>
        <w:t>, la représentation d’un salarié dans le cadre d’une réclamation à la CNESST fondée sur la LATMP</w:t>
      </w:r>
      <w:r w:rsidR="0034012A">
        <w:rPr>
          <w:lang w:eastAsia="fr-FR"/>
        </w:rPr>
        <w:t>,</w:t>
      </w:r>
      <w:r>
        <w:rPr>
          <w:lang w:eastAsia="fr-FR"/>
        </w:rPr>
        <w:t xml:space="preserve"> </w:t>
      </w:r>
      <w:r w:rsidR="00FD4161">
        <w:rPr>
          <w:lang w:eastAsia="fr-FR"/>
        </w:rPr>
        <w:t>ne relève pas du monopole de représentation du syndicat, mais bien d’un mandat contractuel donné expressément ou implicitement par le salarié à ce dernier</w:t>
      </w:r>
      <w:r w:rsidR="00FD4161">
        <w:rPr>
          <w:rStyle w:val="Appelnotedebasdep"/>
          <w:lang w:eastAsia="fr-FR"/>
        </w:rPr>
        <w:footnoteReference w:id="9"/>
      </w:r>
      <w:r w:rsidR="00FD4161">
        <w:rPr>
          <w:lang w:eastAsia="fr-FR"/>
        </w:rPr>
        <w:t>.</w:t>
      </w:r>
    </w:p>
    <w:p w14:paraId="11A22F2B" w14:textId="570B90B7" w:rsidR="00C769A2" w:rsidRDefault="005B53D7" w:rsidP="00CA0639">
      <w:pPr>
        <w:pStyle w:val="corpsdedcision"/>
        <w:tabs>
          <w:tab w:val="clear" w:pos="360"/>
        </w:tabs>
        <w:rPr>
          <w:lang w:eastAsia="fr-FR"/>
        </w:rPr>
      </w:pPr>
      <w:r>
        <w:rPr>
          <w:lang w:eastAsia="fr-FR"/>
        </w:rPr>
        <w:t xml:space="preserve">Même lorsqu’un syndicat offre aux salariés qu’il représente de les représenter dans un tel cas, </w:t>
      </w:r>
      <w:r w:rsidR="00C769A2">
        <w:rPr>
          <w:lang w:eastAsia="fr-FR"/>
        </w:rPr>
        <w:t xml:space="preserve">un manquement allégué à ce sujet </w:t>
      </w:r>
      <w:r>
        <w:rPr>
          <w:lang w:eastAsia="fr-FR"/>
        </w:rPr>
        <w:t xml:space="preserve">n’ouvre pas la porte à un recours selon l’article 47.2 du Code, comme le souligne la CRT dans la décision </w:t>
      </w:r>
      <w:r w:rsidRPr="00C769A2">
        <w:rPr>
          <w:i/>
          <w:iCs/>
          <w:lang w:eastAsia="fr-FR"/>
        </w:rPr>
        <w:t>Leblanc</w:t>
      </w:r>
      <w:r>
        <w:rPr>
          <w:lang w:eastAsia="fr-FR"/>
        </w:rPr>
        <w:t xml:space="preserve"> c. </w:t>
      </w:r>
      <w:r w:rsidRPr="00C769A2">
        <w:rPr>
          <w:i/>
          <w:iCs/>
          <w:lang w:eastAsia="fr-FR"/>
        </w:rPr>
        <w:t>Union des employées et employés de service, section locale 800</w:t>
      </w:r>
      <w:r w:rsidR="00992E22">
        <w:rPr>
          <w:i/>
          <w:iCs/>
          <w:lang w:eastAsia="fr-FR"/>
        </w:rPr>
        <w:t xml:space="preserve"> </w:t>
      </w:r>
      <w:r w:rsidRPr="00C769A2">
        <w:rPr>
          <w:i/>
          <w:iCs/>
          <w:lang w:eastAsia="fr-FR"/>
        </w:rPr>
        <w:t>- FTQ</w:t>
      </w:r>
      <w:r w:rsidRPr="00A0314F">
        <w:rPr>
          <w:rStyle w:val="Appelnotedebasdep"/>
          <w:lang w:eastAsia="fr-FR"/>
        </w:rPr>
        <w:footnoteReference w:id="10"/>
      </w:r>
      <w:r w:rsidR="00C769A2">
        <w:rPr>
          <w:lang w:eastAsia="fr-FR"/>
        </w:rPr>
        <w:t> :</w:t>
      </w:r>
    </w:p>
    <w:p w14:paraId="4D4DAA3C" w14:textId="77777777" w:rsidR="005B53D7" w:rsidRDefault="005B53D7" w:rsidP="005B53D7">
      <w:pPr>
        <w:pStyle w:val="citation"/>
      </w:pPr>
      <w:r>
        <w:t xml:space="preserve">[39] Si, à l’occasion des services que son association lui rend ou pas en matière de représentation devant la CLP, un salarié se déclare insatisfait, la base de son recours prend plutôt naissance dans la relation contractuelle qui le lie à elle puisqu’il doit lui verser une cotisation syndicale (il n’en a pas le choix, comme le prévoit le deuxième alinéa de l’article 47 du Code) en échange d’un « panier de services » : ceux qui sont obligatoires en vertu du Code et, le cas échéant, ceux qui ne le sont pas parce qu’ils n’y sont pas prévus. En effet, toujours selon l’arrêt Noël, au paragraphe 56 : « </w:t>
      </w:r>
      <w:r w:rsidRPr="00A0314F">
        <w:rPr>
          <w:i/>
          <w:iCs/>
        </w:rPr>
        <w:t>Au cas de violation du devoir de représentation, les sanctions principales se retrouvent dans le Code du travail, à l’égard de certains types de décisions. D’autres relèvent du droit de la responsabilité civile</w:t>
      </w:r>
      <w:r>
        <w:t xml:space="preserve"> ».</w:t>
      </w:r>
    </w:p>
    <w:p w14:paraId="17004682" w14:textId="77777777" w:rsidR="005B53D7" w:rsidRDefault="005B53D7" w:rsidP="005B53D7">
      <w:pPr>
        <w:pStyle w:val="citation"/>
        <w:rPr>
          <w:rFonts w:ascii="Times New Roman" w:hAnsi="Times New Roman"/>
        </w:rPr>
      </w:pPr>
    </w:p>
    <w:p w14:paraId="3788948B" w14:textId="77777777" w:rsidR="005B53D7" w:rsidRDefault="005B53D7" w:rsidP="005B53D7">
      <w:pPr>
        <w:pStyle w:val="citation"/>
      </w:pPr>
      <w:r>
        <w:t xml:space="preserve">[40] Ainsi en a décidé la Commission dans plusieurs affaires récentes bien que la jurisprudence antérieure ait été partagée. Citons à ce propos : Bergeron c. </w:t>
      </w:r>
      <w:r w:rsidRPr="00A0314F">
        <w:rPr>
          <w:i/>
          <w:iCs/>
        </w:rPr>
        <w:t>Syndicat des agents de la paix en services correctionnels du Québec</w:t>
      </w:r>
      <w:r>
        <w:t xml:space="preserve">, 2008 QCCRT 0186 ; </w:t>
      </w:r>
      <w:r w:rsidRPr="00A0314F">
        <w:rPr>
          <w:i/>
          <w:iCs/>
        </w:rPr>
        <w:t>Nouasri</w:t>
      </w:r>
      <w:r>
        <w:t xml:space="preserve"> c. </w:t>
      </w:r>
      <w:r w:rsidRPr="00A0314F">
        <w:rPr>
          <w:i/>
          <w:iCs/>
        </w:rPr>
        <w:t>Syndicat canadien des communications, de l’énergie et du papier (SCEP) (FTQ)</w:t>
      </w:r>
      <w:r>
        <w:t xml:space="preserve">, 2009 QCCRT 0475 ; </w:t>
      </w:r>
      <w:r w:rsidRPr="00A0314F">
        <w:rPr>
          <w:i/>
          <w:iCs/>
        </w:rPr>
        <w:t>Nolet</w:t>
      </w:r>
      <w:r>
        <w:t xml:space="preserve"> c. </w:t>
      </w:r>
      <w:r w:rsidRPr="00A0314F">
        <w:rPr>
          <w:i/>
          <w:iCs/>
        </w:rPr>
        <w:t>Syndicat canadien de la fonction publique, section locale 308</w:t>
      </w:r>
      <w:r>
        <w:t xml:space="preserve">, 2011 QCCRT 0286 et </w:t>
      </w:r>
      <w:r w:rsidRPr="00A0314F">
        <w:rPr>
          <w:i/>
          <w:iCs/>
        </w:rPr>
        <w:t>Fortin</w:t>
      </w:r>
      <w:r>
        <w:t xml:space="preserve"> c. </w:t>
      </w:r>
      <w:r w:rsidRPr="00A0314F">
        <w:rPr>
          <w:i/>
          <w:iCs/>
        </w:rPr>
        <w:t>Riverside Teachers’Union / Syndicat de l’enseignement de Riverside</w:t>
      </w:r>
      <w:r>
        <w:t>, 2011 QCCRT 0414.</w:t>
      </w:r>
    </w:p>
    <w:p w14:paraId="3B3DC3CB" w14:textId="77777777" w:rsidR="005B53D7" w:rsidRDefault="005B53D7" w:rsidP="005B53D7">
      <w:pPr>
        <w:pStyle w:val="citation"/>
      </w:pPr>
    </w:p>
    <w:p w14:paraId="0DB75CAF" w14:textId="77777777" w:rsidR="005B53D7" w:rsidRPr="005B53D7" w:rsidRDefault="005B53D7" w:rsidP="005B53D7">
      <w:pPr>
        <w:pStyle w:val="citation"/>
        <w:rPr>
          <w:b/>
          <w:bCs/>
        </w:rPr>
      </w:pPr>
      <w:r w:rsidRPr="005B53D7">
        <w:rPr>
          <w:b/>
          <w:bCs/>
        </w:rPr>
        <w:t>[41] En conclusion, même si le Syndicat offre aux salariés qu’il représente d’assumer leur défense devant la CLP lors d’un accident de travail ou d’une maladie professionnelle, la façon dont il s’en acquitte n’est pas assujettie à l’examen de la Commission.</w:t>
      </w:r>
    </w:p>
    <w:p w14:paraId="7F74A4CA" w14:textId="77777777" w:rsidR="005B53D7" w:rsidRDefault="005B53D7" w:rsidP="005B53D7">
      <w:pPr>
        <w:pStyle w:val="citation"/>
      </w:pPr>
    </w:p>
    <w:p w14:paraId="388376D5" w14:textId="7E3D3098" w:rsidR="00C769A2" w:rsidRPr="005B53D7" w:rsidRDefault="005B53D7" w:rsidP="005B53D7">
      <w:pPr>
        <w:pStyle w:val="citation"/>
        <w:spacing w:after="360"/>
        <w:rPr>
          <w:sz w:val="24"/>
          <w:szCs w:val="24"/>
        </w:rPr>
      </w:pPr>
      <w:r w:rsidRPr="005B53D7">
        <w:rPr>
          <w:sz w:val="24"/>
          <w:szCs w:val="24"/>
        </w:rPr>
        <w:t>[</w:t>
      </w:r>
      <w:r w:rsidR="00496D93">
        <w:rPr>
          <w:sz w:val="24"/>
          <w:szCs w:val="24"/>
        </w:rPr>
        <w:t>Emphase ajoutée</w:t>
      </w:r>
      <w:r w:rsidRPr="005B53D7">
        <w:rPr>
          <w:sz w:val="24"/>
          <w:szCs w:val="24"/>
        </w:rPr>
        <w:t>]</w:t>
      </w:r>
    </w:p>
    <w:p w14:paraId="419AF364" w14:textId="071CD481" w:rsidR="004D081B" w:rsidRDefault="00C769A2" w:rsidP="00210AD3">
      <w:pPr>
        <w:pStyle w:val="corpsdedcision"/>
        <w:rPr>
          <w:lang w:eastAsia="fr-FR"/>
        </w:rPr>
      </w:pPr>
      <w:r>
        <w:rPr>
          <w:lang w:eastAsia="fr-FR"/>
        </w:rPr>
        <w:t xml:space="preserve">C’est exactement le cas ici : </w:t>
      </w:r>
      <w:r w:rsidR="003D35C1">
        <w:rPr>
          <w:lang w:eastAsia="fr-FR"/>
        </w:rPr>
        <w:t xml:space="preserve">même dans ses réponses à la requête en rejet sommaire du syndicat, le plaignant réitère et précise ses doléances qui sont toutes liées à sa représentation dans </w:t>
      </w:r>
      <w:r w:rsidR="003D35C1">
        <w:t xml:space="preserve">son dossier d’invalidité et de réadaptation à la CNESST. D’ailleurs, il demande au Tribunal comme principale mesure de réparation de lui désigner un autre représentant syndical à cette fin. </w:t>
      </w:r>
    </w:p>
    <w:p w14:paraId="02007501" w14:textId="67321D48" w:rsidR="00882534" w:rsidRDefault="003D35C1" w:rsidP="009C755A">
      <w:pPr>
        <w:pStyle w:val="corpsdedcision"/>
      </w:pPr>
      <w:r>
        <w:t xml:space="preserve">Manifestement, sa plainte ne peut prendre appui sur l’article 47.2 du Code et elle est vouée à l’échec. Dans l’intérêt de la justice, il y a lieu de la rejeter sommairement. </w:t>
      </w:r>
    </w:p>
    <w:p w14:paraId="1380EFC3"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236E0BA1" w14:textId="3C99D121" w:rsidR="00A82D7A" w:rsidRDefault="00A82D7A" w:rsidP="00A82D7A">
      <w:pPr>
        <w:pStyle w:val="Dispositif"/>
      </w:pPr>
      <w:r w:rsidRPr="009919A3">
        <w:rPr>
          <w:b/>
        </w:rPr>
        <w:t>ACCUEILLE</w:t>
      </w:r>
      <w:r>
        <w:tab/>
      </w:r>
      <w:r>
        <w:tab/>
      </w:r>
      <w:r w:rsidR="009812B4">
        <w:tab/>
      </w:r>
      <w:r>
        <w:t>la demande de rejet sommaire;</w:t>
      </w:r>
    </w:p>
    <w:p w14:paraId="0720D489" w14:textId="3E189BA9" w:rsidR="00C74B6F" w:rsidRDefault="00A82D7A" w:rsidP="00A0314F">
      <w:pPr>
        <w:pStyle w:val="Dispositif"/>
        <w:spacing w:after="1800"/>
      </w:pPr>
      <w:r w:rsidRPr="009919A3">
        <w:rPr>
          <w:b/>
        </w:rPr>
        <w:t>REJETTE</w:t>
      </w:r>
      <w:r>
        <w:tab/>
      </w:r>
      <w:r>
        <w:tab/>
      </w:r>
      <w:r w:rsidR="009812B4">
        <w:tab/>
      </w:r>
      <w:r>
        <w:t>la plainte.</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44EB714D" w14:textId="77777777">
        <w:tc>
          <w:tcPr>
            <w:tcW w:w="4795" w:type="dxa"/>
          </w:tcPr>
          <w:p w14:paraId="11865068" w14:textId="77777777" w:rsidR="00C74B6F" w:rsidRDefault="00C74B6F"/>
        </w:tc>
        <w:tc>
          <w:tcPr>
            <w:tcW w:w="4795" w:type="dxa"/>
          </w:tcPr>
          <w:p w14:paraId="68C767F1" w14:textId="77777777" w:rsidR="00C74B6F" w:rsidRDefault="00C74B6F">
            <w:bookmarkStart w:id="13" w:name="signature"/>
            <w:bookmarkEnd w:id="13"/>
            <w:r>
              <w:t>__________________________________</w:t>
            </w:r>
          </w:p>
        </w:tc>
      </w:tr>
      <w:tr w:rsidR="00C74B6F" w14:paraId="6C629FE7" w14:textId="77777777">
        <w:tc>
          <w:tcPr>
            <w:tcW w:w="4795" w:type="dxa"/>
          </w:tcPr>
          <w:p w14:paraId="17666E44" w14:textId="77777777" w:rsidR="00C74B6F" w:rsidRDefault="00C74B6F"/>
        </w:tc>
        <w:tc>
          <w:tcPr>
            <w:tcW w:w="4795" w:type="dxa"/>
          </w:tcPr>
          <w:p w14:paraId="4FA0F1A1" w14:textId="179024FC" w:rsidR="00C74B6F" w:rsidRDefault="00DB2BCB">
            <w:r>
              <w:t>Mylène Alder</w:t>
            </w:r>
          </w:p>
        </w:tc>
      </w:tr>
      <w:tr w:rsidR="00C74B6F" w14:paraId="12FD7E1E" w14:textId="77777777">
        <w:trPr>
          <w:cantSplit/>
        </w:trPr>
        <w:tc>
          <w:tcPr>
            <w:tcW w:w="9590" w:type="dxa"/>
            <w:gridSpan w:val="2"/>
          </w:tcPr>
          <w:p w14:paraId="1E9D48C5" w14:textId="77777777" w:rsidR="00C74B6F" w:rsidRDefault="00C74B6F"/>
        </w:tc>
      </w:tr>
      <w:tr w:rsidR="00C74B6F" w14:paraId="10585B17" w14:textId="77777777">
        <w:trPr>
          <w:cantSplit/>
        </w:trPr>
        <w:tc>
          <w:tcPr>
            <w:tcW w:w="9590" w:type="dxa"/>
            <w:gridSpan w:val="2"/>
          </w:tcPr>
          <w:p w14:paraId="21DC027E" w14:textId="77777777" w:rsidR="00C74B6F" w:rsidRPr="00C912F9" w:rsidRDefault="00C74B6F" w:rsidP="00EC5C8D">
            <w:pPr>
              <w:tabs>
                <w:tab w:val="left" w:pos="1592"/>
              </w:tabs>
            </w:pPr>
          </w:p>
        </w:tc>
      </w:tr>
      <w:tr w:rsidR="00C74B6F" w14:paraId="4DE260D9" w14:textId="77777777">
        <w:trPr>
          <w:cantSplit/>
        </w:trPr>
        <w:tc>
          <w:tcPr>
            <w:tcW w:w="9590" w:type="dxa"/>
            <w:gridSpan w:val="2"/>
          </w:tcPr>
          <w:p w14:paraId="28AB477D" w14:textId="77777777" w:rsidR="00C74B6F" w:rsidRDefault="00C74B6F"/>
        </w:tc>
      </w:tr>
      <w:tr w:rsidR="00861F8B" w14:paraId="1F94AE40" w14:textId="77777777">
        <w:trPr>
          <w:cantSplit/>
        </w:trPr>
        <w:tc>
          <w:tcPr>
            <w:tcW w:w="9590" w:type="dxa"/>
            <w:gridSpan w:val="2"/>
          </w:tcPr>
          <w:p w14:paraId="00AA47E4" w14:textId="3D153554" w:rsidR="00596AB2" w:rsidRPr="00596AB2" w:rsidRDefault="00DB2BCB" w:rsidP="00596AB2">
            <w:r>
              <w:t>M.</w:t>
            </w:r>
            <w:r w:rsidR="00F30267">
              <w:t xml:space="preserve"> </w:t>
            </w:r>
            <w:r w:rsidRPr="00DB2BCB">
              <w:rPr>
                <w:lang w:val="en-CA"/>
              </w:rPr>
              <w:t>Erolph Jean-Louis</w:t>
            </w:r>
          </w:p>
        </w:tc>
      </w:tr>
      <w:tr w:rsidR="00861F8B" w14:paraId="27E56967" w14:textId="77777777">
        <w:trPr>
          <w:cantSplit/>
        </w:trPr>
        <w:tc>
          <w:tcPr>
            <w:tcW w:w="9590" w:type="dxa"/>
            <w:gridSpan w:val="2"/>
          </w:tcPr>
          <w:p w14:paraId="25ED9E7A" w14:textId="0D4EE0CB" w:rsidR="00861F8B" w:rsidRDefault="00E25DCB">
            <w:r>
              <w:fldChar w:fldCharType="begin"/>
            </w:r>
            <w:r>
              <w:instrText xml:space="preserve"> MACROBUTTON  AbaisserNiveauListe </w:instrText>
            </w:r>
            <w:r>
              <w:fldChar w:fldCharType="end"/>
            </w:r>
            <w:r w:rsidR="00DB2BCB">
              <w:t>Pour lui-même</w:t>
            </w:r>
          </w:p>
        </w:tc>
      </w:tr>
      <w:tr w:rsidR="00C74B6F" w14:paraId="623869F2" w14:textId="77777777">
        <w:trPr>
          <w:cantSplit/>
        </w:trPr>
        <w:tc>
          <w:tcPr>
            <w:tcW w:w="9590" w:type="dxa"/>
            <w:gridSpan w:val="2"/>
          </w:tcPr>
          <w:p w14:paraId="09F39F71" w14:textId="77777777" w:rsidR="00C74B6F" w:rsidRDefault="00C74B6F"/>
        </w:tc>
      </w:tr>
      <w:tr w:rsidR="00C74B6F" w14:paraId="6404566B" w14:textId="77777777">
        <w:trPr>
          <w:cantSplit/>
        </w:trPr>
        <w:tc>
          <w:tcPr>
            <w:tcW w:w="9590" w:type="dxa"/>
            <w:gridSpan w:val="2"/>
          </w:tcPr>
          <w:p w14:paraId="29455616" w14:textId="07DFC329" w:rsidR="00C74B6F" w:rsidRDefault="00DB2BCB">
            <w:pPr>
              <w:pStyle w:val="zSoquijdatNomProcureurDef"/>
            </w:pPr>
            <w:r w:rsidRPr="00DB2BCB">
              <w:t>M</w:t>
            </w:r>
            <w:r w:rsidRPr="00DB2BCB">
              <w:rPr>
                <w:vertAlign w:val="superscript"/>
              </w:rPr>
              <w:t>e</w:t>
            </w:r>
            <w:r w:rsidRPr="00DB2BCB">
              <w:t xml:space="preserve"> Sabrina Sawodny</w:t>
            </w:r>
          </w:p>
        </w:tc>
      </w:tr>
      <w:tr w:rsidR="00C74B6F" w14:paraId="46BDEB8B" w14:textId="77777777">
        <w:trPr>
          <w:cantSplit/>
        </w:trPr>
        <w:tc>
          <w:tcPr>
            <w:tcW w:w="9590" w:type="dxa"/>
            <w:gridSpan w:val="2"/>
          </w:tcPr>
          <w:p w14:paraId="2E748277" w14:textId="33F06648" w:rsidR="00C74B6F" w:rsidRDefault="00CB05A7">
            <w:pPr>
              <w:pStyle w:val="zSoquijlblProcureurDef"/>
            </w:pPr>
            <w:r>
              <w:t xml:space="preserve">Pour la partie </w:t>
            </w:r>
            <w:r w:rsidR="00DB2BCB">
              <w:t>défenderesse</w:t>
            </w:r>
          </w:p>
        </w:tc>
      </w:tr>
      <w:tr w:rsidR="007569DE" w14:paraId="0B847C67" w14:textId="77777777">
        <w:trPr>
          <w:cantSplit/>
        </w:trPr>
        <w:tc>
          <w:tcPr>
            <w:tcW w:w="9590" w:type="dxa"/>
            <w:gridSpan w:val="2"/>
          </w:tcPr>
          <w:p w14:paraId="7F0204F1" w14:textId="77777777" w:rsidR="007569DE" w:rsidRDefault="007569DE"/>
        </w:tc>
      </w:tr>
      <w:tr w:rsidR="00C74B6F" w14:paraId="00275751" w14:textId="77777777">
        <w:trPr>
          <w:cantSplit/>
        </w:trPr>
        <w:tc>
          <w:tcPr>
            <w:tcW w:w="9590" w:type="dxa"/>
            <w:gridSpan w:val="2"/>
          </w:tcPr>
          <w:p w14:paraId="74A52FCA" w14:textId="249B98CF" w:rsidR="00C74B6F" w:rsidRDefault="00DB2BCB">
            <w:pPr>
              <w:pStyle w:val="zSoquijdatNomProcureurInt"/>
            </w:pPr>
            <w:r w:rsidRPr="00DB2BCB">
              <w:t>M</w:t>
            </w:r>
            <w:r w:rsidRPr="00DB2BCB">
              <w:rPr>
                <w:vertAlign w:val="superscript"/>
              </w:rPr>
              <w:t>e</w:t>
            </w:r>
            <w:r w:rsidRPr="00DB2BCB">
              <w:t xml:space="preserve"> Charles Tétrault</w:t>
            </w:r>
          </w:p>
        </w:tc>
      </w:tr>
      <w:tr w:rsidR="00C74B6F" w14:paraId="34629040" w14:textId="77777777">
        <w:trPr>
          <w:cantSplit/>
        </w:trPr>
        <w:tc>
          <w:tcPr>
            <w:tcW w:w="9590" w:type="dxa"/>
            <w:gridSpan w:val="2"/>
          </w:tcPr>
          <w:p w14:paraId="004D6684" w14:textId="00EE9883" w:rsidR="00C74B6F" w:rsidRDefault="00DB2BCB">
            <w:pPr>
              <w:pStyle w:val="zSoquijdatCabinetProcureurInt"/>
            </w:pPr>
            <w:r w:rsidRPr="00DB2BCB">
              <w:t>GAGNIER GUAY BIRON</w:t>
            </w:r>
          </w:p>
        </w:tc>
      </w:tr>
      <w:tr w:rsidR="00C74B6F" w14:paraId="1AE9BCB7" w14:textId="77777777">
        <w:trPr>
          <w:cantSplit/>
        </w:trPr>
        <w:tc>
          <w:tcPr>
            <w:tcW w:w="9590" w:type="dxa"/>
            <w:gridSpan w:val="2"/>
          </w:tcPr>
          <w:p w14:paraId="4444B53D" w14:textId="4582E4C7" w:rsidR="00C74B6F" w:rsidRDefault="007569DE">
            <w:pPr>
              <w:pStyle w:val="zSoquijlblProcureurInt"/>
            </w:pPr>
            <w:r>
              <w:t xml:space="preserve">Pour la partie </w:t>
            </w:r>
            <w:r w:rsidR="00DB2BCB">
              <w:t>mise en cause</w:t>
            </w:r>
          </w:p>
        </w:tc>
      </w:tr>
      <w:tr w:rsidR="00C15A3F" w14:paraId="66FC5624" w14:textId="77777777">
        <w:trPr>
          <w:cantSplit/>
        </w:trPr>
        <w:tc>
          <w:tcPr>
            <w:tcW w:w="9590" w:type="dxa"/>
            <w:gridSpan w:val="2"/>
          </w:tcPr>
          <w:p w14:paraId="13F988A8" w14:textId="77777777" w:rsidR="00C15A3F" w:rsidRDefault="00C15A3F">
            <w:pPr>
              <w:pStyle w:val="zSoquijlblProcureurInt"/>
            </w:pPr>
          </w:p>
        </w:tc>
      </w:tr>
      <w:tr w:rsidR="00C15A3F" w14:paraId="7C7EBD0B" w14:textId="77777777">
        <w:trPr>
          <w:cantSplit/>
        </w:trPr>
        <w:tc>
          <w:tcPr>
            <w:tcW w:w="9590" w:type="dxa"/>
            <w:gridSpan w:val="2"/>
          </w:tcPr>
          <w:p w14:paraId="79819D5C" w14:textId="50AB5DE4"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A21E18" w:rsidRPr="00A0314F">
              <w:t>20 décembre</w:t>
            </w:r>
            <w:r w:rsidR="00DB2BCB" w:rsidRPr="00A0314F">
              <w:t xml:space="preserve"> 2024</w:t>
            </w:r>
          </w:p>
        </w:tc>
      </w:tr>
    </w:tbl>
    <w:p w14:paraId="25273B1F" w14:textId="77777777" w:rsidR="00F76B4A" w:rsidRDefault="00F76B4A" w:rsidP="00F73D1C"/>
    <w:p w14:paraId="6D13CBEE" w14:textId="672993A0" w:rsidR="002542E0" w:rsidRDefault="00A0314F" w:rsidP="002542E0">
      <w:pPr>
        <w:pStyle w:val="corpsdedcision"/>
        <w:numPr>
          <w:ilvl w:val="0"/>
          <w:numId w:val="0"/>
        </w:numPr>
        <w:tabs>
          <w:tab w:val="clear" w:pos="720"/>
        </w:tabs>
      </w:pPr>
      <w:r>
        <w:t>MA</w:t>
      </w:r>
      <w:r w:rsidR="00DB2BCB">
        <w:t>/mp</w:t>
      </w: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B7EA1A" w14:textId="77777777" w:rsidR="00353306" w:rsidRDefault="00353306">
      <w:r>
        <w:separator/>
      </w:r>
    </w:p>
  </w:endnote>
  <w:endnote w:type="continuationSeparator" w:id="0">
    <w:p w14:paraId="3E44AA6D" w14:textId="77777777" w:rsidR="00353306" w:rsidRDefault="00353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1DAD40" w14:textId="77777777" w:rsidR="00353306" w:rsidRDefault="00353306">
      <w:r>
        <w:separator/>
      </w:r>
    </w:p>
  </w:footnote>
  <w:footnote w:type="continuationSeparator" w:id="0">
    <w:p w14:paraId="3F3CA371" w14:textId="77777777" w:rsidR="00353306" w:rsidRDefault="00353306">
      <w:r>
        <w:continuationSeparator/>
      </w:r>
    </w:p>
  </w:footnote>
  <w:footnote w:id="1">
    <w:p w14:paraId="41B48424" w14:textId="795AAA6D" w:rsidR="002173A5" w:rsidRPr="002173A5" w:rsidRDefault="002173A5">
      <w:pPr>
        <w:pStyle w:val="Notedebasdepage"/>
        <w:rPr>
          <w:sz w:val="20"/>
        </w:rPr>
      </w:pPr>
      <w:r>
        <w:rPr>
          <w:rStyle w:val="Appelnotedebasdep"/>
        </w:rPr>
        <w:footnoteRef/>
      </w:r>
      <w:r>
        <w:t xml:space="preserve"> </w:t>
      </w:r>
      <w:r>
        <w:tab/>
      </w:r>
      <w:r w:rsidRPr="002173A5">
        <w:rPr>
          <w:sz w:val="20"/>
        </w:rPr>
        <w:t>RLRQ, c. C-27.</w:t>
      </w:r>
    </w:p>
  </w:footnote>
  <w:footnote w:id="2">
    <w:p w14:paraId="762D6A37" w14:textId="52B8DFDA" w:rsidR="00AA68B3" w:rsidRPr="00AA68B3" w:rsidRDefault="00AA68B3">
      <w:pPr>
        <w:pStyle w:val="Notedebasdepage"/>
        <w:rPr>
          <w:sz w:val="20"/>
        </w:rPr>
      </w:pPr>
      <w:r>
        <w:rPr>
          <w:rStyle w:val="Appelnotedebasdep"/>
        </w:rPr>
        <w:footnoteRef/>
      </w:r>
      <w:r>
        <w:t xml:space="preserve"> </w:t>
      </w:r>
      <w:r>
        <w:tab/>
      </w:r>
      <w:r w:rsidRPr="00AA68B3">
        <w:rPr>
          <w:sz w:val="20"/>
        </w:rPr>
        <w:t>RLRQ, c. N-1.1.</w:t>
      </w:r>
    </w:p>
  </w:footnote>
  <w:footnote w:id="3">
    <w:p w14:paraId="41857348" w14:textId="77777777" w:rsidR="005B53D7" w:rsidRPr="009D11C7" w:rsidRDefault="005B53D7" w:rsidP="005B53D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4">
    <w:p w14:paraId="231E4CE0" w14:textId="77777777" w:rsidR="00F17C69" w:rsidRPr="00C4644A" w:rsidRDefault="00F17C69" w:rsidP="00F17C69">
      <w:pPr>
        <w:pStyle w:val="Notedebasdepage"/>
        <w:rPr>
          <w:sz w:val="20"/>
        </w:rPr>
      </w:pPr>
      <w:r>
        <w:rPr>
          <w:rStyle w:val="Appelnotedebasdep"/>
        </w:rPr>
        <w:footnoteRef/>
      </w:r>
      <w:r w:rsidRPr="00C4644A">
        <w:t xml:space="preserve"> </w:t>
      </w:r>
      <w:r w:rsidRPr="00C4644A">
        <w:tab/>
      </w:r>
      <w:r w:rsidRPr="00C4644A">
        <w:rPr>
          <w:sz w:val="20"/>
        </w:rPr>
        <w:t xml:space="preserve">Art. 9 </w:t>
      </w:r>
      <w:r>
        <w:rPr>
          <w:sz w:val="20"/>
        </w:rPr>
        <w:t xml:space="preserve">al.2 </w:t>
      </w:r>
      <w:r w:rsidRPr="00C4644A">
        <w:rPr>
          <w:sz w:val="20"/>
        </w:rPr>
        <w:t>(1)</w:t>
      </w:r>
      <w:r>
        <w:rPr>
          <w:sz w:val="20"/>
        </w:rPr>
        <w:t xml:space="preserve"> de la LITAT</w:t>
      </w:r>
      <w:r w:rsidRPr="00C4644A">
        <w:rPr>
          <w:sz w:val="20"/>
        </w:rPr>
        <w:t>.</w:t>
      </w:r>
    </w:p>
  </w:footnote>
  <w:footnote w:id="5">
    <w:p w14:paraId="5C77F5D4" w14:textId="77777777" w:rsidR="00F17C69" w:rsidRDefault="00F17C69" w:rsidP="00F17C69">
      <w:pPr>
        <w:pStyle w:val="Notedebasdepage"/>
      </w:pPr>
      <w:r>
        <w:rPr>
          <w:rStyle w:val="Appelnotedebasdep"/>
        </w:rPr>
        <w:footnoteRef/>
      </w:r>
      <w:r>
        <w:t xml:space="preserve"> </w:t>
      </w:r>
      <w:r>
        <w:tab/>
      </w:r>
      <w:r w:rsidRPr="00885FEF">
        <w:rPr>
          <w:sz w:val="20"/>
        </w:rPr>
        <w:t>2008 QCCA 163</w:t>
      </w:r>
      <w:r>
        <w:rPr>
          <w:sz w:val="20"/>
        </w:rPr>
        <w:t>, par. 38.</w:t>
      </w:r>
    </w:p>
  </w:footnote>
  <w:footnote w:id="6">
    <w:p w14:paraId="011EB8A9" w14:textId="77777777" w:rsidR="00F17C69" w:rsidRDefault="00F17C69" w:rsidP="00F17C69">
      <w:pPr>
        <w:pStyle w:val="Notedebasdepage"/>
      </w:pPr>
      <w:r>
        <w:rPr>
          <w:rStyle w:val="Appelnotedebasdep"/>
        </w:rPr>
        <w:footnoteRef/>
      </w:r>
      <w:r>
        <w:t xml:space="preserve"> </w:t>
      </w:r>
      <w:r>
        <w:tab/>
      </w:r>
      <w:r w:rsidRPr="003656AF">
        <w:rPr>
          <w:i/>
          <w:iCs/>
          <w:sz w:val="20"/>
        </w:rPr>
        <w:t>Idem</w:t>
      </w:r>
      <w:r>
        <w:rPr>
          <w:sz w:val="20"/>
        </w:rPr>
        <w:t>, par. 50-51.</w:t>
      </w:r>
    </w:p>
  </w:footnote>
  <w:footnote w:id="7">
    <w:p w14:paraId="129EDB6D" w14:textId="38CD55D4" w:rsidR="00F17C69" w:rsidRDefault="00F17C69" w:rsidP="00F17C69">
      <w:pPr>
        <w:pStyle w:val="Notedebasdepage"/>
        <w:ind w:left="709" w:hanging="709"/>
        <w:jc w:val="both"/>
      </w:pPr>
      <w:r>
        <w:rPr>
          <w:rStyle w:val="Appelnotedebasdep"/>
        </w:rPr>
        <w:footnoteRef/>
      </w:r>
      <w:r>
        <w:t xml:space="preserve"> </w:t>
      </w:r>
      <w:r>
        <w:tab/>
      </w:r>
      <w:r w:rsidRPr="00B60A6A">
        <w:rPr>
          <w:sz w:val="20"/>
        </w:rPr>
        <w:t xml:space="preserve">À l’époque de l’arrêt </w:t>
      </w:r>
      <w:r w:rsidRPr="00B60A6A">
        <w:rPr>
          <w:i/>
          <w:iCs/>
          <w:sz w:val="20"/>
        </w:rPr>
        <w:t>Vigeant,</w:t>
      </w:r>
      <w:r w:rsidRPr="00B60A6A">
        <w:rPr>
          <w:sz w:val="20"/>
        </w:rPr>
        <w:t xml:space="preserve"> c’est à l’article 114 du Code que se trouvait l’obligation pour la CRT d’assurer une </w:t>
      </w:r>
      <w:r w:rsidR="004A0917" w:rsidRPr="00265F5A">
        <w:rPr>
          <w:sz w:val="20"/>
        </w:rPr>
        <w:t>application</w:t>
      </w:r>
      <w:r w:rsidR="004A0917">
        <w:rPr>
          <w:sz w:val="20"/>
        </w:rPr>
        <w:t xml:space="preserve"> </w:t>
      </w:r>
      <w:r w:rsidRPr="00B60A6A">
        <w:rPr>
          <w:sz w:val="20"/>
        </w:rPr>
        <w:t>diligente et efficace du Code. Aujourd’hui, cette obligation incombe au</w:t>
      </w:r>
      <w:r>
        <w:rPr>
          <w:sz w:val="20"/>
        </w:rPr>
        <w:t> </w:t>
      </w:r>
      <w:r w:rsidRPr="00B60A6A">
        <w:rPr>
          <w:sz w:val="20"/>
        </w:rPr>
        <w:t>Tribunal qui a succédé à la CRT et elle se trouve à l’article 1 de la LITAT.</w:t>
      </w:r>
    </w:p>
  </w:footnote>
  <w:footnote w:id="8">
    <w:p w14:paraId="349E5C5F" w14:textId="0DE8BEAF" w:rsidR="00882534" w:rsidRPr="004D081B" w:rsidRDefault="00882534" w:rsidP="0088253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D081B" w:rsidRPr="004D081B">
        <w:rPr>
          <w:rFonts w:cs="Arial"/>
          <w:i/>
          <w:iCs/>
          <w:sz w:val="20"/>
        </w:rPr>
        <w:t xml:space="preserve">Duchesne </w:t>
      </w:r>
      <w:r w:rsidR="004D081B" w:rsidRPr="004D081B">
        <w:rPr>
          <w:rFonts w:cs="Arial"/>
          <w:sz w:val="20"/>
        </w:rPr>
        <w:t xml:space="preserve">c. </w:t>
      </w:r>
      <w:r w:rsidR="004D081B" w:rsidRPr="004D081B">
        <w:rPr>
          <w:rFonts w:cs="Arial"/>
          <w:i/>
          <w:iCs/>
          <w:sz w:val="20"/>
        </w:rPr>
        <w:t>Association internationale des machinistes et des travailleurs en aérospatiale, section locale 712 (AIMTA)</w:t>
      </w:r>
      <w:r w:rsidR="004D081B" w:rsidRPr="004D081B">
        <w:rPr>
          <w:rFonts w:cs="Arial"/>
          <w:sz w:val="20"/>
        </w:rPr>
        <w:t>, 2017 QCTAT 2986;</w:t>
      </w:r>
      <w:r w:rsidR="004D081B">
        <w:rPr>
          <w:rFonts w:cs="Arial"/>
        </w:rPr>
        <w:t xml:space="preserve"> </w:t>
      </w:r>
      <w:r w:rsidR="004D081B" w:rsidRPr="004D081B">
        <w:rPr>
          <w:i/>
          <w:sz w:val="20"/>
          <w:lang w:eastAsia="fr-FR"/>
        </w:rPr>
        <w:t>Bergeron</w:t>
      </w:r>
      <w:r w:rsidR="004D081B" w:rsidRPr="004D081B">
        <w:rPr>
          <w:sz w:val="20"/>
          <w:lang w:eastAsia="fr-FR"/>
        </w:rPr>
        <w:t xml:space="preserve"> c. </w:t>
      </w:r>
      <w:r w:rsidR="004D081B" w:rsidRPr="004D081B">
        <w:rPr>
          <w:i/>
          <w:sz w:val="20"/>
          <w:lang w:eastAsia="fr-FR"/>
        </w:rPr>
        <w:t>Syndicat des agents de la paix en services correctionnels du Québec,</w:t>
      </w:r>
      <w:r w:rsidR="004D081B" w:rsidRPr="004D081B">
        <w:rPr>
          <w:rFonts w:cs="Arial"/>
          <w:sz w:val="20"/>
        </w:rPr>
        <w:t xml:space="preserve"> </w:t>
      </w:r>
      <w:r w:rsidRPr="004D081B">
        <w:rPr>
          <w:rFonts w:cs="Arial"/>
          <w:sz w:val="20"/>
        </w:rPr>
        <w:t>2008 QCCRT 0186.</w:t>
      </w:r>
    </w:p>
  </w:footnote>
  <w:footnote w:id="9">
    <w:p w14:paraId="5F703DEA" w14:textId="13AB3E96" w:rsidR="00FD4161" w:rsidRDefault="00FD4161">
      <w:pPr>
        <w:pStyle w:val="Notedebasdepage"/>
      </w:pPr>
      <w:r>
        <w:rPr>
          <w:rStyle w:val="Appelnotedebasdep"/>
        </w:rPr>
        <w:footnoteRef/>
      </w:r>
      <w:r>
        <w:t xml:space="preserve"> </w:t>
      </w:r>
      <w:r>
        <w:tab/>
      </w:r>
      <w:r w:rsidR="00992E22" w:rsidRPr="00A0314F">
        <w:rPr>
          <w:sz w:val="20"/>
          <w:szCs w:val="16"/>
        </w:rPr>
        <w:t>Précitée, note 3.</w:t>
      </w:r>
    </w:p>
  </w:footnote>
  <w:footnote w:id="10">
    <w:p w14:paraId="4E656F97" w14:textId="77777777" w:rsidR="005B53D7" w:rsidRDefault="005B53D7" w:rsidP="005B53D7">
      <w:pPr>
        <w:pStyle w:val="Notedebasdepage"/>
      </w:pPr>
      <w:r>
        <w:rPr>
          <w:rStyle w:val="Appelnotedebasdep"/>
        </w:rPr>
        <w:footnoteRef/>
      </w:r>
      <w:r>
        <w:t xml:space="preserve"> </w:t>
      </w:r>
      <w:r>
        <w:tab/>
      </w:r>
      <w:r w:rsidRPr="00C769A2">
        <w:rPr>
          <w:sz w:val="20"/>
        </w:rPr>
        <w:t>2011 QCCRT 0440.</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EC82B5D" w14:textId="77777777" w:rsidTr="00DB2BCB">
      <w:tc>
        <w:tcPr>
          <w:tcW w:w="8730" w:type="dxa"/>
        </w:tcPr>
        <w:p w14:paraId="4CE3F208" w14:textId="77777777" w:rsidR="00D330B6" w:rsidRDefault="00D330B6">
          <w:pPr>
            <w:pStyle w:val="En-tte"/>
            <w:ind w:left="-90"/>
          </w:pPr>
        </w:p>
      </w:tc>
      <w:tc>
        <w:tcPr>
          <w:tcW w:w="860" w:type="dxa"/>
        </w:tcPr>
        <w:p w14:paraId="5FC90B6D" w14:textId="77777777" w:rsidR="00D330B6" w:rsidRDefault="00D330B6">
          <w:pPr>
            <w:pStyle w:val="En-tte"/>
            <w:ind w:left="-90"/>
          </w:pPr>
        </w:p>
      </w:tc>
    </w:tr>
    <w:tr w:rsidR="00DB2BCB" w14:paraId="7374CB79" w14:textId="77777777" w:rsidTr="00DB2BCB">
      <w:tc>
        <w:tcPr>
          <w:tcW w:w="8730" w:type="dxa"/>
        </w:tcPr>
        <w:p w14:paraId="203475AA" w14:textId="7C43B63E" w:rsidR="00DB2BCB" w:rsidRDefault="00DB2BCB" w:rsidP="00DB2BCB">
          <w:r w:rsidRPr="00DB2BCB">
            <w:t>1333331-71-2308</w:t>
          </w:r>
        </w:p>
      </w:tc>
      <w:tc>
        <w:tcPr>
          <w:tcW w:w="860" w:type="dxa"/>
        </w:tcPr>
        <w:p w14:paraId="1792BD4C" w14:textId="77777777" w:rsidR="00DB2BCB" w:rsidRDefault="00DB2BCB" w:rsidP="00DB2BCB">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50099D">
            <w:rPr>
              <w:rStyle w:val="Numrodepage"/>
              <w:noProof/>
            </w:rPr>
            <w:t>2</w:t>
          </w:r>
          <w:r>
            <w:rPr>
              <w:rStyle w:val="Numrodepage"/>
            </w:rPr>
            <w:fldChar w:fldCharType="end"/>
          </w:r>
        </w:p>
      </w:tc>
    </w:tr>
    <w:tr w:rsidR="00DB2BCB" w14:paraId="1CFD8A98" w14:textId="77777777" w:rsidTr="00DB2BCB">
      <w:tc>
        <w:tcPr>
          <w:tcW w:w="8730" w:type="dxa"/>
        </w:tcPr>
        <w:p w14:paraId="62AECA01" w14:textId="77777777" w:rsidR="00DB2BCB" w:rsidRDefault="00DB2BCB" w:rsidP="00DB2BCB"/>
      </w:tc>
      <w:tc>
        <w:tcPr>
          <w:tcW w:w="860" w:type="dxa"/>
        </w:tcPr>
        <w:p w14:paraId="66887BAD" w14:textId="77777777" w:rsidR="00DB2BCB" w:rsidRDefault="00DB2BCB" w:rsidP="00DB2BCB">
          <w:pPr>
            <w:pStyle w:val="En-tte"/>
            <w:ind w:left="-90"/>
            <w:jc w:val="right"/>
          </w:pPr>
        </w:p>
      </w:tc>
    </w:tr>
  </w:tbl>
  <w:p w14:paraId="45BAAE87"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4C2C7DC0"/>
    <w:multiLevelType w:val="multilevel"/>
    <w:tmpl w:val="5C9EA40E"/>
    <w:lvl w:ilvl="0">
      <w:start w:val="1"/>
      <w:numFmt w:val="decimal"/>
      <w:lvlText w:val="[%1]"/>
      <w:lvlJc w:val="left"/>
      <w:pPr>
        <w:tabs>
          <w:tab w:val="num" w:pos="360"/>
        </w:tabs>
        <w:ind w:left="0" w:firstLine="0"/>
      </w:pPr>
    </w:lvl>
    <w:lvl w:ilvl="1">
      <w:start w:val="1"/>
      <w:numFmt w:val="decimal"/>
      <w:lvlText w:val="%2)"/>
      <w:lvlJc w:val="left"/>
      <w:pPr>
        <w:ind w:left="720" w:hanging="36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0"/>
  </w:num>
  <w:num w:numId="8">
    <w:abstractNumId w:val="3"/>
  </w:num>
  <w:num w:numId="9">
    <w:abstractNumId w:val="1"/>
  </w:num>
  <w:num w:numId="10">
    <w:abstractNumId w:val="9"/>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BCB"/>
    <w:rsid w:val="000034B0"/>
    <w:rsid w:val="000041A1"/>
    <w:rsid w:val="00006DD2"/>
    <w:rsid w:val="0001305E"/>
    <w:rsid w:val="00016D99"/>
    <w:rsid w:val="00021B30"/>
    <w:rsid w:val="00021E4C"/>
    <w:rsid w:val="00022556"/>
    <w:rsid w:val="00023858"/>
    <w:rsid w:val="000352CA"/>
    <w:rsid w:val="000366EC"/>
    <w:rsid w:val="00036794"/>
    <w:rsid w:val="00043E4D"/>
    <w:rsid w:val="000536BE"/>
    <w:rsid w:val="000536CC"/>
    <w:rsid w:val="000559A8"/>
    <w:rsid w:val="00055A3E"/>
    <w:rsid w:val="00056393"/>
    <w:rsid w:val="00057739"/>
    <w:rsid w:val="0007225E"/>
    <w:rsid w:val="000741CF"/>
    <w:rsid w:val="00074ABE"/>
    <w:rsid w:val="00074EAE"/>
    <w:rsid w:val="000756D0"/>
    <w:rsid w:val="00076D81"/>
    <w:rsid w:val="00080885"/>
    <w:rsid w:val="00082A97"/>
    <w:rsid w:val="0008378A"/>
    <w:rsid w:val="0008784D"/>
    <w:rsid w:val="00090018"/>
    <w:rsid w:val="00090306"/>
    <w:rsid w:val="00090F69"/>
    <w:rsid w:val="00093ACD"/>
    <w:rsid w:val="00094FAE"/>
    <w:rsid w:val="00095814"/>
    <w:rsid w:val="00097D81"/>
    <w:rsid w:val="00097FCE"/>
    <w:rsid w:val="000A1DAC"/>
    <w:rsid w:val="000A4AD0"/>
    <w:rsid w:val="000A5AD1"/>
    <w:rsid w:val="000A63DF"/>
    <w:rsid w:val="000A77C5"/>
    <w:rsid w:val="000B6275"/>
    <w:rsid w:val="000B7F1B"/>
    <w:rsid w:val="000C710F"/>
    <w:rsid w:val="000D3948"/>
    <w:rsid w:val="000D45EA"/>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27"/>
    <w:rsid w:val="00162ECC"/>
    <w:rsid w:val="001664C8"/>
    <w:rsid w:val="00167AD0"/>
    <w:rsid w:val="00167DEF"/>
    <w:rsid w:val="00167E9D"/>
    <w:rsid w:val="00173184"/>
    <w:rsid w:val="001743A8"/>
    <w:rsid w:val="00175079"/>
    <w:rsid w:val="001761B9"/>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63C8"/>
    <w:rsid w:val="001D65D8"/>
    <w:rsid w:val="001E3DFD"/>
    <w:rsid w:val="001E42F0"/>
    <w:rsid w:val="001E497A"/>
    <w:rsid w:val="001E5E3B"/>
    <w:rsid w:val="002173A5"/>
    <w:rsid w:val="00225C46"/>
    <w:rsid w:val="00226493"/>
    <w:rsid w:val="00227040"/>
    <w:rsid w:val="00230CFC"/>
    <w:rsid w:val="0023162A"/>
    <w:rsid w:val="00231C1D"/>
    <w:rsid w:val="00233532"/>
    <w:rsid w:val="00234BC8"/>
    <w:rsid w:val="00241CED"/>
    <w:rsid w:val="00242FB4"/>
    <w:rsid w:val="00245605"/>
    <w:rsid w:val="002542E0"/>
    <w:rsid w:val="002563F0"/>
    <w:rsid w:val="00256DBB"/>
    <w:rsid w:val="00260119"/>
    <w:rsid w:val="00265F5A"/>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3748"/>
    <w:rsid w:val="002C4A05"/>
    <w:rsid w:val="002C5E89"/>
    <w:rsid w:val="002D42BC"/>
    <w:rsid w:val="002D71A9"/>
    <w:rsid w:val="002D7846"/>
    <w:rsid w:val="002D7FCB"/>
    <w:rsid w:val="002E05AE"/>
    <w:rsid w:val="002F738E"/>
    <w:rsid w:val="002F7507"/>
    <w:rsid w:val="0030059B"/>
    <w:rsid w:val="00302FB4"/>
    <w:rsid w:val="00305273"/>
    <w:rsid w:val="003057FC"/>
    <w:rsid w:val="00305AFB"/>
    <w:rsid w:val="00307C85"/>
    <w:rsid w:val="00312983"/>
    <w:rsid w:val="00323DC5"/>
    <w:rsid w:val="003248CB"/>
    <w:rsid w:val="00331EA7"/>
    <w:rsid w:val="003332B8"/>
    <w:rsid w:val="00337555"/>
    <w:rsid w:val="0034012A"/>
    <w:rsid w:val="00343B46"/>
    <w:rsid w:val="00344465"/>
    <w:rsid w:val="0034740A"/>
    <w:rsid w:val="00353306"/>
    <w:rsid w:val="0035375B"/>
    <w:rsid w:val="0035536B"/>
    <w:rsid w:val="00362D74"/>
    <w:rsid w:val="003664E9"/>
    <w:rsid w:val="00366D1E"/>
    <w:rsid w:val="003703A5"/>
    <w:rsid w:val="0037112C"/>
    <w:rsid w:val="00373EE5"/>
    <w:rsid w:val="003817E7"/>
    <w:rsid w:val="00382E55"/>
    <w:rsid w:val="00390B55"/>
    <w:rsid w:val="003961B2"/>
    <w:rsid w:val="003A41AD"/>
    <w:rsid w:val="003B0C41"/>
    <w:rsid w:val="003B152B"/>
    <w:rsid w:val="003B1734"/>
    <w:rsid w:val="003B1735"/>
    <w:rsid w:val="003B2D2E"/>
    <w:rsid w:val="003B6CBF"/>
    <w:rsid w:val="003C47A7"/>
    <w:rsid w:val="003D0826"/>
    <w:rsid w:val="003D18FC"/>
    <w:rsid w:val="003D35C1"/>
    <w:rsid w:val="003D3C93"/>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96D93"/>
    <w:rsid w:val="004A02AF"/>
    <w:rsid w:val="004A0917"/>
    <w:rsid w:val="004A2D66"/>
    <w:rsid w:val="004A4449"/>
    <w:rsid w:val="004A679B"/>
    <w:rsid w:val="004C0FB4"/>
    <w:rsid w:val="004C1811"/>
    <w:rsid w:val="004C2944"/>
    <w:rsid w:val="004C4555"/>
    <w:rsid w:val="004D081B"/>
    <w:rsid w:val="004D16D6"/>
    <w:rsid w:val="004D6CEA"/>
    <w:rsid w:val="004E0E02"/>
    <w:rsid w:val="004E1A3D"/>
    <w:rsid w:val="004E3564"/>
    <w:rsid w:val="004E3D9F"/>
    <w:rsid w:val="004E51C0"/>
    <w:rsid w:val="004E64BE"/>
    <w:rsid w:val="004F6293"/>
    <w:rsid w:val="0050099D"/>
    <w:rsid w:val="00503B8D"/>
    <w:rsid w:val="00503EE3"/>
    <w:rsid w:val="00505811"/>
    <w:rsid w:val="0051261C"/>
    <w:rsid w:val="00515DE7"/>
    <w:rsid w:val="00517EB0"/>
    <w:rsid w:val="005205CB"/>
    <w:rsid w:val="0052430C"/>
    <w:rsid w:val="005348E4"/>
    <w:rsid w:val="00534D8F"/>
    <w:rsid w:val="005352F1"/>
    <w:rsid w:val="00540094"/>
    <w:rsid w:val="00545CFF"/>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3D7"/>
    <w:rsid w:val="005B5689"/>
    <w:rsid w:val="005B5C0B"/>
    <w:rsid w:val="005B6680"/>
    <w:rsid w:val="005B6774"/>
    <w:rsid w:val="005C0A89"/>
    <w:rsid w:val="005C3BC4"/>
    <w:rsid w:val="005D26CC"/>
    <w:rsid w:val="005D4711"/>
    <w:rsid w:val="005D59B1"/>
    <w:rsid w:val="005D764B"/>
    <w:rsid w:val="005E0F62"/>
    <w:rsid w:val="005E2367"/>
    <w:rsid w:val="005E34D2"/>
    <w:rsid w:val="005E5E90"/>
    <w:rsid w:val="005E62C7"/>
    <w:rsid w:val="005E654C"/>
    <w:rsid w:val="005F05F6"/>
    <w:rsid w:val="005F0D07"/>
    <w:rsid w:val="005F697F"/>
    <w:rsid w:val="00605734"/>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287"/>
    <w:rsid w:val="006B140A"/>
    <w:rsid w:val="006B309C"/>
    <w:rsid w:val="006B4316"/>
    <w:rsid w:val="006B727F"/>
    <w:rsid w:val="006C1B57"/>
    <w:rsid w:val="006C6D3A"/>
    <w:rsid w:val="006C7B36"/>
    <w:rsid w:val="006C7B7F"/>
    <w:rsid w:val="006D19E8"/>
    <w:rsid w:val="006D611A"/>
    <w:rsid w:val="006D7768"/>
    <w:rsid w:val="006E04B5"/>
    <w:rsid w:val="006E330C"/>
    <w:rsid w:val="006E3DD8"/>
    <w:rsid w:val="006E793F"/>
    <w:rsid w:val="006F0154"/>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69DE"/>
    <w:rsid w:val="0075723C"/>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F2"/>
    <w:rsid w:val="007B3BC5"/>
    <w:rsid w:val="007B6F8D"/>
    <w:rsid w:val="007C1832"/>
    <w:rsid w:val="007C434D"/>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82534"/>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6F5E"/>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0FA5"/>
    <w:rsid w:val="009812B4"/>
    <w:rsid w:val="009824F2"/>
    <w:rsid w:val="00983080"/>
    <w:rsid w:val="00986AA3"/>
    <w:rsid w:val="00992E22"/>
    <w:rsid w:val="00993B24"/>
    <w:rsid w:val="0099611F"/>
    <w:rsid w:val="009A083F"/>
    <w:rsid w:val="009A135C"/>
    <w:rsid w:val="009A2314"/>
    <w:rsid w:val="009A67E7"/>
    <w:rsid w:val="009C603A"/>
    <w:rsid w:val="009C74CD"/>
    <w:rsid w:val="009D048F"/>
    <w:rsid w:val="009D162F"/>
    <w:rsid w:val="009D23FF"/>
    <w:rsid w:val="009D401F"/>
    <w:rsid w:val="009D5B42"/>
    <w:rsid w:val="009D68FA"/>
    <w:rsid w:val="009D76B6"/>
    <w:rsid w:val="009E1E4F"/>
    <w:rsid w:val="009E32CF"/>
    <w:rsid w:val="009E4261"/>
    <w:rsid w:val="009E4FC2"/>
    <w:rsid w:val="009F44AE"/>
    <w:rsid w:val="009F59B9"/>
    <w:rsid w:val="00A02529"/>
    <w:rsid w:val="00A02EF2"/>
    <w:rsid w:val="00A0314F"/>
    <w:rsid w:val="00A04D5E"/>
    <w:rsid w:val="00A10DDF"/>
    <w:rsid w:val="00A11172"/>
    <w:rsid w:val="00A1219E"/>
    <w:rsid w:val="00A12E55"/>
    <w:rsid w:val="00A168D7"/>
    <w:rsid w:val="00A20F81"/>
    <w:rsid w:val="00A21E18"/>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466C0"/>
    <w:rsid w:val="00A55607"/>
    <w:rsid w:val="00A569B2"/>
    <w:rsid w:val="00A60CDA"/>
    <w:rsid w:val="00A611A4"/>
    <w:rsid w:val="00A61F09"/>
    <w:rsid w:val="00A637ED"/>
    <w:rsid w:val="00A63E1A"/>
    <w:rsid w:val="00A64050"/>
    <w:rsid w:val="00A643DC"/>
    <w:rsid w:val="00A6695B"/>
    <w:rsid w:val="00A72703"/>
    <w:rsid w:val="00A727F6"/>
    <w:rsid w:val="00A72E71"/>
    <w:rsid w:val="00A76432"/>
    <w:rsid w:val="00A770C0"/>
    <w:rsid w:val="00A82D7A"/>
    <w:rsid w:val="00A84FC6"/>
    <w:rsid w:val="00A8528E"/>
    <w:rsid w:val="00A90BD9"/>
    <w:rsid w:val="00A9101B"/>
    <w:rsid w:val="00A94A49"/>
    <w:rsid w:val="00A95C5E"/>
    <w:rsid w:val="00AA1815"/>
    <w:rsid w:val="00AA1D3E"/>
    <w:rsid w:val="00AA20E7"/>
    <w:rsid w:val="00AA39F9"/>
    <w:rsid w:val="00AA68B3"/>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6FF9"/>
    <w:rsid w:val="00B77495"/>
    <w:rsid w:val="00B81851"/>
    <w:rsid w:val="00B83B2C"/>
    <w:rsid w:val="00B92049"/>
    <w:rsid w:val="00B94740"/>
    <w:rsid w:val="00B95002"/>
    <w:rsid w:val="00B97F75"/>
    <w:rsid w:val="00BA0A4F"/>
    <w:rsid w:val="00BA1CAE"/>
    <w:rsid w:val="00BA33BB"/>
    <w:rsid w:val="00BA4830"/>
    <w:rsid w:val="00BA6E22"/>
    <w:rsid w:val="00BA77B2"/>
    <w:rsid w:val="00BB1460"/>
    <w:rsid w:val="00BB362C"/>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25C7"/>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2B3A"/>
    <w:rsid w:val="00C73C87"/>
    <w:rsid w:val="00C74B6F"/>
    <w:rsid w:val="00C769A2"/>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3703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97C2D"/>
    <w:rsid w:val="00DA0680"/>
    <w:rsid w:val="00DA36F6"/>
    <w:rsid w:val="00DA48F0"/>
    <w:rsid w:val="00DB0C8D"/>
    <w:rsid w:val="00DB2BCB"/>
    <w:rsid w:val="00DB6AF2"/>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1F2F"/>
    <w:rsid w:val="00E330E0"/>
    <w:rsid w:val="00E36C70"/>
    <w:rsid w:val="00E4156E"/>
    <w:rsid w:val="00E44D61"/>
    <w:rsid w:val="00E453F2"/>
    <w:rsid w:val="00E460AD"/>
    <w:rsid w:val="00E61925"/>
    <w:rsid w:val="00E6363B"/>
    <w:rsid w:val="00E65C0E"/>
    <w:rsid w:val="00E65FB9"/>
    <w:rsid w:val="00E665A7"/>
    <w:rsid w:val="00E730FC"/>
    <w:rsid w:val="00E746F0"/>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F02237"/>
    <w:rsid w:val="00F02DFF"/>
    <w:rsid w:val="00F046F1"/>
    <w:rsid w:val="00F072E2"/>
    <w:rsid w:val="00F079A6"/>
    <w:rsid w:val="00F10236"/>
    <w:rsid w:val="00F15811"/>
    <w:rsid w:val="00F17C69"/>
    <w:rsid w:val="00F20810"/>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B91"/>
    <w:rsid w:val="00F82E40"/>
    <w:rsid w:val="00F91629"/>
    <w:rsid w:val="00F91E2A"/>
    <w:rsid w:val="00F96C39"/>
    <w:rsid w:val="00F96E41"/>
    <w:rsid w:val="00FA153F"/>
    <w:rsid w:val="00FA1D78"/>
    <w:rsid w:val="00FA1F7E"/>
    <w:rsid w:val="00FA280F"/>
    <w:rsid w:val="00FA5289"/>
    <w:rsid w:val="00FA6213"/>
    <w:rsid w:val="00FB2186"/>
    <w:rsid w:val="00FB7E03"/>
    <w:rsid w:val="00FD0133"/>
    <w:rsid w:val="00FD25FE"/>
    <w:rsid w:val="00FD4161"/>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821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caption" w:semiHidden="1" w:unhideWhenUsed="1" w:qFormat="1"/>
    <w:lsdException w:name="footnote reference"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aliases w:val="fr,Ref,de nota al pie,Char Char6 Char Char Char Char Char Char Char Char Char Char Char Char,Char6 Char Char Char Char Char Char Char Char Char Char Char Char Char,Footnote"/>
    <w:qForma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qFormat/>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F17C69"/>
    <w:rPr>
      <w:rFonts w:ascii="Arial" w:hAnsi="Arial"/>
      <w:sz w:val="24"/>
    </w:rPr>
  </w:style>
  <w:style w:type="character" w:customStyle="1" w:styleId="alpha">
    <w:name w:val="alpha"/>
    <w:basedOn w:val="Policepardfaut"/>
    <w:rsid w:val="00882534"/>
    <w:rPr>
      <w:sz w:val="27"/>
      <w:szCs w:val="27"/>
    </w:rPr>
  </w:style>
  <w:style w:type="character" w:customStyle="1" w:styleId="texte-courant1">
    <w:name w:val="texte-courant1"/>
    <w:basedOn w:val="Policepardfaut"/>
    <w:rsid w:val="00FD4161"/>
  </w:style>
  <w:style w:type="paragraph" w:styleId="NormalWeb">
    <w:name w:val="Normal (Web)"/>
    <w:basedOn w:val="Normal"/>
    <w:uiPriority w:val="99"/>
    <w:unhideWhenUsed/>
    <w:rsid w:val="005B53D7"/>
    <w:pPr>
      <w:spacing w:before="100" w:beforeAutospacing="1" w:after="100" w:afterAutospacing="1"/>
    </w:pPr>
    <w:rPr>
      <w:rFonts w:ascii="Times New Roman" w:hAnsi="Times New Roman"/>
      <w:szCs w:val="24"/>
    </w:rPr>
  </w:style>
  <w:style w:type="paragraph" w:styleId="Rvision">
    <w:name w:val="Revision"/>
    <w:hidden/>
    <w:uiPriority w:val="99"/>
    <w:semiHidden/>
    <w:rsid w:val="00496D9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6187">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988629973">
      <w:bodyDiv w:val="1"/>
      <w:marLeft w:val="0"/>
      <w:marRight w:val="0"/>
      <w:marTop w:val="0"/>
      <w:marBottom w:val="0"/>
      <w:divBdr>
        <w:top w:val="none" w:sz="0" w:space="0" w:color="auto"/>
        <w:left w:val="none" w:sz="0" w:space="0" w:color="auto"/>
        <w:bottom w:val="none" w:sz="0" w:space="0" w:color="auto"/>
        <w:right w:val="none" w:sz="0" w:space="0" w:color="auto"/>
      </w:divBdr>
    </w:div>
    <w:div w:id="1297029200">
      <w:bodyDiv w:val="1"/>
      <w:marLeft w:val="0"/>
      <w:marRight w:val="0"/>
      <w:marTop w:val="0"/>
      <w:marBottom w:val="0"/>
      <w:divBdr>
        <w:top w:val="none" w:sz="0" w:space="0" w:color="auto"/>
        <w:left w:val="none" w:sz="0" w:space="0" w:color="auto"/>
        <w:bottom w:val="none" w:sz="0" w:space="0" w:color="auto"/>
        <w:right w:val="none" w:sz="0" w:space="0" w:color="auto"/>
      </w:divBdr>
    </w:div>
    <w:div w:id="15555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625DF6-CEBA-4CCF-8733-421D96907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1305</Words>
  <Characters>7178</Characters>
  <Application>Microsoft Office Word</Application>
  <DocSecurity>0</DocSecurity>
  <Lines>59</Lines>
  <Paragraphs>16</Paragraphs>
  <ScaleCrop>false</ScaleCrop>
  <Company/>
  <LinksUpToDate>false</LinksUpToDate>
  <CharactersWithSpaces>8467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2025-02-10T15:17:00Z</dcterms:created>
  <dcterms:modified xsi:type="dcterms:W3CDTF">2025-02-10T15:17:00Z</dcterms:modified>
</cp:coreProperties>
</file>