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75235C1B" w14:textId="77777777">
        <w:trPr>
          <w:cantSplit/>
        </w:trPr>
        <w:tc>
          <w:tcPr>
            <w:tcW w:w="4795" w:type="dxa"/>
          </w:tcPr>
          <w:p w14:paraId="1569E687" w14:textId="0CA8123B" w:rsidR="008A7FD1" w:rsidRPr="00C46AB9" w:rsidRDefault="00C46AB9" w:rsidP="00C46AB9">
            <w:pPr>
              <w:pStyle w:val="zSoquijdatRepertorie"/>
              <w:rPr>
                <w:rFonts w:cs="Arial"/>
              </w:rPr>
            </w:pPr>
            <w:bookmarkStart w:id="0" w:name="_GoBack"/>
            <w:bookmarkEnd w:id="0"/>
            <w:r>
              <w:rPr>
                <w:rFonts w:cs="Arial"/>
              </w:rPr>
              <w:t>Benkabbou et Centre de la petite enfance Ses amis</w:t>
            </w:r>
          </w:p>
        </w:tc>
        <w:tc>
          <w:tcPr>
            <w:tcW w:w="2477" w:type="dxa"/>
          </w:tcPr>
          <w:p w14:paraId="1ABD8EFE" w14:textId="079353CF" w:rsidR="008A7FD1" w:rsidRPr="007C59A5" w:rsidRDefault="007C59A5" w:rsidP="007C59A5">
            <w:pPr>
              <w:pStyle w:val="zSoquijdatRefNeutre"/>
              <w:rPr>
                <w:rFonts w:cs="Arial"/>
              </w:rPr>
            </w:pPr>
            <w:r w:rsidRPr="007C59A5">
              <w:rPr>
                <w:rFonts w:cs="Arial"/>
              </w:rPr>
              <w:t>2025 QCTAT 2566</w:t>
            </w:r>
          </w:p>
        </w:tc>
      </w:tr>
    </w:tbl>
    <w:p w14:paraId="68917859"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5F214AAC" w14:textId="77777777" w:rsidTr="00036794">
        <w:trPr>
          <w:cantSplit/>
        </w:trPr>
        <w:tc>
          <w:tcPr>
            <w:tcW w:w="9568" w:type="dxa"/>
            <w:gridSpan w:val="4"/>
          </w:tcPr>
          <w:p w14:paraId="2FC2CC38" w14:textId="77777777" w:rsidR="00C74B6F" w:rsidRPr="00BE1981" w:rsidRDefault="00C74B6F">
            <w:pPr>
              <w:rPr>
                <w:szCs w:val="24"/>
              </w:rPr>
            </w:pPr>
          </w:p>
        </w:tc>
      </w:tr>
      <w:tr w:rsidR="00C74B6F" w14:paraId="2FBA6F69" w14:textId="77777777" w:rsidTr="00036794">
        <w:trPr>
          <w:cantSplit/>
        </w:trPr>
        <w:tc>
          <w:tcPr>
            <w:tcW w:w="9568" w:type="dxa"/>
            <w:gridSpan w:val="4"/>
            <w:vAlign w:val="center"/>
          </w:tcPr>
          <w:p w14:paraId="1B3A8985" w14:textId="77777777" w:rsidR="00C74B6F" w:rsidRPr="000E1320" w:rsidRDefault="000E1320">
            <w:pPr>
              <w:jc w:val="center"/>
              <w:rPr>
                <w:sz w:val="36"/>
                <w:szCs w:val="36"/>
              </w:rPr>
            </w:pPr>
            <w:r w:rsidRPr="000E1320">
              <w:rPr>
                <w:b/>
                <w:sz w:val="36"/>
                <w:szCs w:val="36"/>
              </w:rPr>
              <w:t>TRIBUNAL ADMINISTRATIF DU TRAVAIL</w:t>
            </w:r>
          </w:p>
        </w:tc>
      </w:tr>
      <w:tr w:rsidR="00C74B6F" w14:paraId="1F29B2B0" w14:textId="77777777" w:rsidTr="00036794">
        <w:trPr>
          <w:cantSplit/>
        </w:trPr>
        <w:tc>
          <w:tcPr>
            <w:tcW w:w="9568" w:type="dxa"/>
            <w:gridSpan w:val="4"/>
          </w:tcPr>
          <w:p w14:paraId="1E50DC8C" w14:textId="16EBBC42" w:rsidR="00C74B6F" w:rsidRPr="00BE7014" w:rsidRDefault="006F0154" w:rsidP="009A67E7">
            <w:pPr>
              <w:pStyle w:val="zSoquijdatDivision"/>
            </w:pPr>
            <w:r w:rsidRPr="00BE7014">
              <w:t>(</w:t>
            </w:r>
            <w:r w:rsidR="00C72F70" w:rsidRPr="00441ADA">
              <w:t>Division de la santé et de la sécurité du travail</w:t>
            </w:r>
            <w:r w:rsidRPr="00BE7014">
              <w:t>)</w:t>
            </w:r>
          </w:p>
        </w:tc>
      </w:tr>
      <w:tr w:rsidR="00C74B6F" w14:paraId="57FEA6DD" w14:textId="77777777" w:rsidTr="00036794">
        <w:trPr>
          <w:cantSplit/>
        </w:trPr>
        <w:tc>
          <w:tcPr>
            <w:tcW w:w="9568" w:type="dxa"/>
            <w:gridSpan w:val="4"/>
          </w:tcPr>
          <w:p w14:paraId="1DB8DCE3" w14:textId="77777777" w:rsidR="002B2FC3" w:rsidRDefault="002B2FC3" w:rsidP="002B2FC3"/>
        </w:tc>
      </w:tr>
      <w:tr w:rsidR="00A84FC6" w14:paraId="3E5553D5" w14:textId="77777777" w:rsidTr="00036794">
        <w:trPr>
          <w:cantSplit/>
        </w:trPr>
        <w:tc>
          <w:tcPr>
            <w:tcW w:w="9568" w:type="dxa"/>
            <w:gridSpan w:val="4"/>
          </w:tcPr>
          <w:p w14:paraId="5F54412D" w14:textId="77777777" w:rsidR="00A84FC6" w:rsidRDefault="00A84FC6" w:rsidP="002B2FC3"/>
        </w:tc>
      </w:tr>
      <w:tr w:rsidR="00C74B6F" w14:paraId="7AE0E877" w14:textId="77777777" w:rsidTr="00036794">
        <w:tc>
          <w:tcPr>
            <w:tcW w:w="3331" w:type="dxa"/>
          </w:tcPr>
          <w:p w14:paraId="6A7DEF36" w14:textId="77777777" w:rsidR="00C74B6F" w:rsidRDefault="0084255F">
            <w:bookmarkStart w:id="1" w:name="region" w:colFirst="1" w:colLast="1"/>
            <w:r>
              <w:t>Région :</w:t>
            </w:r>
          </w:p>
        </w:tc>
        <w:tc>
          <w:tcPr>
            <w:tcW w:w="6237" w:type="dxa"/>
            <w:gridSpan w:val="3"/>
          </w:tcPr>
          <w:p w14:paraId="7C4EECD7" w14:textId="2931D209" w:rsidR="00C74B6F" w:rsidRDefault="00972627" w:rsidP="00F4095A">
            <w:pPr>
              <w:pStyle w:val="zSoquijdatGreffe"/>
            </w:pPr>
            <w:r>
              <w:t>Montérégie</w:t>
            </w:r>
          </w:p>
        </w:tc>
      </w:tr>
      <w:bookmarkEnd w:id="1"/>
      <w:tr w:rsidR="00C74B6F" w14:paraId="27513720" w14:textId="77777777" w:rsidTr="00036794">
        <w:trPr>
          <w:cantSplit/>
        </w:trPr>
        <w:tc>
          <w:tcPr>
            <w:tcW w:w="9568" w:type="dxa"/>
            <w:gridSpan w:val="4"/>
          </w:tcPr>
          <w:p w14:paraId="214320E2" w14:textId="77777777" w:rsidR="00C74B6F" w:rsidRDefault="00C74B6F"/>
        </w:tc>
      </w:tr>
      <w:tr w:rsidR="00C74B6F" w14:paraId="4A8A0292" w14:textId="77777777" w:rsidTr="00036794">
        <w:tc>
          <w:tcPr>
            <w:tcW w:w="3331" w:type="dxa"/>
          </w:tcPr>
          <w:p w14:paraId="71BC82DD" w14:textId="77537444" w:rsidR="00C74B6F" w:rsidRDefault="0084255F">
            <w:bookmarkStart w:id="2" w:name="ref_dossier" w:colFirst="1" w:colLast="1"/>
            <w:r>
              <w:t>Dossier</w:t>
            </w:r>
            <w:bookmarkStart w:id="3" w:name="dossiers"/>
            <w:bookmarkEnd w:id="3"/>
            <w:r>
              <w:t> :</w:t>
            </w:r>
          </w:p>
        </w:tc>
        <w:tc>
          <w:tcPr>
            <w:tcW w:w="6237" w:type="dxa"/>
            <w:gridSpan w:val="3"/>
          </w:tcPr>
          <w:p w14:paraId="67F559FC" w14:textId="57E7386C" w:rsidR="00C74B6F" w:rsidRDefault="00972627" w:rsidP="00F4095A">
            <w:pPr>
              <w:pStyle w:val="zSoquijdatNoDossier"/>
            </w:pPr>
            <w:r>
              <w:t>1372499-62-2406</w:t>
            </w:r>
          </w:p>
        </w:tc>
      </w:tr>
      <w:bookmarkEnd w:id="2"/>
      <w:tr w:rsidR="00C74B6F" w14:paraId="065D4BFE" w14:textId="77777777" w:rsidTr="00036794">
        <w:trPr>
          <w:cantSplit/>
        </w:trPr>
        <w:tc>
          <w:tcPr>
            <w:tcW w:w="9568" w:type="dxa"/>
            <w:gridSpan w:val="4"/>
          </w:tcPr>
          <w:p w14:paraId="2B9175B4" w14:textId="77777777" w:rsidR="00C74B6F" w:rsidRDefault="00D44BCF">
            <w:r>
              <w:fldChar w:fldCharType="begin"/>
            </w:r>
            <w:r>
              <w:instrText xml:space="preserve"> AUTOTEXTLIST  \* Upper  \* MERGEFORMAT </w:instrText>
            </w:r>
            <w:r>
              <w:fldChar w:fldCharType="end"/>
            </w:r>
          </w:p>
        </w:tc>
      </w:tr>
      <w:tr w:rsidR="00C74B6F" w14:paraId="25A48273" w14:textId="77777777" w:rsidTr="00036794">
        <w:tc>
          <w:tcPr>
            <w:tcW w:w="3331" w:type="dxa"/>
          </w:tcPr>
          <w:p w14:paraId="4438FB55" w14:textId="12DA1F03" w:rsidR="00C74B6F" w:rsidRDefault="008C79A7" w:rsidP="0045114F">
            <w:pPr>
              <w:ind w:right="46"/>
            </w:pPr>
            <w:r>
              <w:t xml:space="preserve">Dossier </w:t>
            </w:r>
            <w:r w:rsidR="00972627">
              <w:t>CNESST</w:t>
            </w:r>
            <w:r w:rsidRPr="008C79A7">
              <w:rPr>
                <w:szCs w:val="24"/>
              </w:rPr>
              <w:t xml:space="preserve"> :</w:t>
            </w:r>
          </w:p>
        </w:tc>
        <w:tc>
          <w:tcPr>
            <w:tcW w:w="6237" w:type="dxa"/>
            <w:gridSpan w:val="3"/>
          </w:tcPr>
          <w:p w14:paraId="590EBE39" w14:textId="444C6126" w:rsidR="00C74B6F" w:rsidRDefault="00972627" w:rsidP="004D6CEA">
            <w:pPr>
              <w:pStyle w:val="zSoquijdatNCSST"/>
            </w:pPr>
            <w:r>
              <w:t>512980665</w:t>
            </w:r>
          </w:p>
        </w:tc>
      </w:tr>
      <w:tr w:rsidR="00C74B6F" w14:paraId="6AC783EA" w14:textId="77777777" w:rsidTr="00036794">
        <w:trPr>
          <w:cantSplit/>
        </w:trPr>
        <w:tc>
          <w:tcPr>
            <w:tcW w:w="9568" w:type="dxa"/>
            <w:gridSpan w:val="4"/>
          </w:tcPr>
          <w:p w14:paraId="332D4547" w14:textId="77777777" w:rsidR="00C74B6F" w:rsidRDefault="00C74B6F"/>
        </w:tc>
      </w:tr>
      <w:tr w:rsidR="00C74B6F" w14:paraId="46C80820" w14:textId="77777777" w:rsidTr="00036794">
        <w:trPr>
          <w:cantSplit/>
        </w:trPr>
        <w:tc>
          <w:tcPr>
            <w:tcW w:w="9568" w:type="dxa"/>
            <w:gridSpan w:val="4"/>
          </w:tcPr>
          <w:p w14:paraId="621E7DAC" w14:textId="77777777" w:rsidR="00C74B6F" w:rsidRDefault="00C74B6F">
            <w:bookmarkStart w:id="4" w:name="assesseur"/>
            <w:bookmarkEnd w:id="4"/>
          </w:p>
        </w:tc>
      </w:tr>
      <w:tr w:rsidR="006E3DD8" w14:paraId="5E023EFA" w14:textId="77777777" w:rsidTr="00036794">
        <w:trPr>
          <w:cantSplit/>
        </w:trPr>
        <w:tc>
          <w:tcPr>
            <w:tcW w:w="3331" w:type="dxa"/>
          </w:tcPr>
          <w:p w14:paraId="02EC88E6" w14:textId="407305EB" w:rsidR="006E3DD8" w:rsidRDefault="00972627" w:rsidP="0076350E">
            <w:pPr>
              <w:ind w:right="-70"/>
            </w:pPr>
            <w:r>
              <w:t>Montréal</w:t>
            </w:r>
            <w:r w:rsidR="00C04E32">
              <w:t>,</w:t>
            </w:r>
          </w:p>
        </w:tc>
        <w:tc>
          <w:tcPr>
            <w:tcW w:w="6237" w:type="dxa"/>
            <w:gridSpan w:val="3"/>
          </w:tcPr>
          <w:p w14:paraId="474C87CB" w14:textId="5DDA4596" w:rsidR="006E3DD8" w:rsidRDefault="00C04E32" w:rsidP="005B5689">
            <w:pPr>
              <w:pStyle w:val="zSoquijdatDateJugement"/>
            </w:pPr>
            <w:r>
              <w:t xml:space="preserve">le </w:t>
            </w:r>
            <w:r w:rsidR="00214AD9">
              <w:t>17</w:t>
            </w:r>
            <w:r w:rsidR="003E4120">
              <w:t xml:space="preserve"> juin</w:t>
            </w:r>
            <w:r w:rsidR="00972627">
              <w:t xml:space="preserve"> 2025</w:t>
            </w:r>
          </w:p>
        </w:tc>
      </w:tr>
      <w:tr w:rsidR="00942AB8" w14:paraId="31DDD4A4" w14:textId="77777777" w:rsidTr="00036794">
        <w:trPr>
          <w:cantSplit/>
        </w:trPr>
        <w:tc>
          <w:tcPr>
            <w:tcW w:w="9568" w:type="dxa"/>
            <w:gridSpan w:val="4"/>
          </w:tcPr>
          <w:p w14:paraId="1736F190" w14:textId="77777777" w:rsidR="00942AB8" w:rsidRDefault="00942AB8" w:rsidP="00FA153F">
            <w:r>
              <w:t>______________________________________________________________________</w:t>
            </w:r>
          </w:p>
        </w:tc>
      </w:tr>
      <w:tr w:rsidR="00942AB8" w14:paraId="1B42EDB2" w14:textId="77777777" w:rsidTr="00036794">
        <w:trPr>
          <w:cantSplit/>
          <w:trHeight w:val="148"/>
        </w:trPr>
        <w:tc>
          <w:tcPr>
            <w:tcW w:w="9568" w:type="dxa"/>
            <w:gridSpan w:val="4"/>
          </w:tcPr>
          <w:p w14:paraId="26335B51" w14:textId="77777777" w:rsidR="00942AB8" w:rsidRDefault="00942AB8" w:rsidP="00FA153F"/>
        </w:tc>
      </w:tr>
      <w:tr w:rsidR="0035375B" w14:paraId="4A7DC646" w14:textId="77777777" w:rsidTr="00036794">
        <w:trPr>
          <w:cantSplit/>
          <w:trHeight w:val="148"/>
        </w:trPr>
        <w:tc>
          <w:tcPr>
            <w:tcW w:w="5883" w:type="dxa"/>
            <w:gridSpan w:val="3"/>
          </w:tcPr>
          <w:p w14:paraId="71A59323" w14:textId="071A20C5" w:rsidR="0035375B" w:rsidRPr="00942AB8" w:rsidRDefault="0035375B">
            <w:pPr>
              <w:rPr>
                <w:b/>
                <w:bCs/>
              </w:rPr>
            </w:pPr>
            <w:bookmarkStart w:id="5" w:name="ref_commissaire" w:colFirst="1" w:colLast="1"/>
            <w:r w:rsidRPr="00942AB8">
              <w:rPr>
                <w:b/>
                <w:bCs/>
              </w:rPr>
              <w:t>DEVANT L</w:t>
            </w:r>
            <w:r w:rsidR="00972627">
              <w:rPr>
                <w:b/>
                <w:bCs/>
              </w:rPr>
              <w:t>E</w:t>
            </w:r>
            <w:r w:rsidRPr="00942AB8">
              <w:rPr>
                <w:b/>
                <w:bCs/>
              </w:rPr>
              <w:t xml:space="preserve"> JUGE ADMINISTRATI</w:t>
            </w:r>
            <w:r w:rsidR="00972627">
              <w:rPr>
                <w:b/>
                <w:bCs/>
              </w:rPr>
              <w:t>F</w:t>
            </w:r>
            <w:r w:rsidRPr="00942AB8">
              <w:rPr>
                <w:b/>
                <w:bCs/>
              </w:rPr>
              <w:t> :</w:t>
            </w:r>
          </w:p>
        </w:tc>
        <w:tc>
          <w:tcPr>
            <w:tcW w:w="3685" w:type="dxa"/>
          </w:tcPr>
          <w:p w14:paraId="780A9EDF" w14:textId="700B83A3" w:rsidR="0035375B" w:rsidRPr="00942AB8" w:rsidRDefault="00972627" w:rsidP="005B5689">
            <w:pPr>
              <w:pStyle w:val="zSoquijdatJuge"/>
              <w:rPr>
                <w:bCs/>
              </w:rPr>
            </w:pPr>
            <w:r>
              <w:t>Michel Lalonde</w:t>
            </w:r>
          </w:p>
        </w:tc>
      </w:tr>
      <w:bookmarkEnd w:id="5"/>
      <w:tr w:rsidR="00942AB8" w14:paraId="7CF6E7E3" w14:textId="77777777" w:rsidTr="00036794">
        <w:trPr>
          <w:cantSplit/>
          <w:trHeight w:val="148"/>
        </w:trPr>
        <w:tc>
          <w:tcPr>
            <w:tcW w:w="9568" w:type="dxa"/>
            <w:gridSpan w:val="4"/>
          </w:tcPr>
          <w:p w14:paraId="562C4F9C" w14:textId="77777777" w:rsidR="00942AB8" w:rsidRDefault="00942AB8" w:rsidP="00FA153F">
            <w:r>
              <w:t>______________________________________________________________________</w:t>
            </w:r>
          </w:p>
        </w:tc>
      </w:tr>
      <w:tr w:rsidR="00942AB8" w14:paraId="362ABA01" w14:textId="77777777" w:rsidTr="00036794">
        <w:tc>
          <w:tcPr>
            <w:tcW w:w="9568" w:type="dxa"/>
            <w:gridSpan w:val="4"/>
          </w:tcPr>
          <w:p w14:paraId="272AF5F7" w14:textId="77777777" w:rsidR="00942AB8" w:rsidRDefault="00942AB8"/>
        </w:tc>
      </w:tr>
      <w:tr w:rsidR="00942AB8" w14:paraId="63C2C180" w14:textId="77777777" w:rsidTr="00E21768">
        <w:tc>
          <w:tcPr>
            <w:tcW w:w="4890" w:type="dxa"/>
            <w:gridSpan w:val="2"/>
          </w:tcPr>
          <w:p w14:paraId="202E97D3" w14:textId="77777777" w:rsidR="00942AB8" w:rsidRDefault="00942AB8">
            <w:bookmarkStart w:id="6" w:name="bloc_parties_gauche"/>
            <w:bookmarkEnd w:id="6"/>
          </w:p>
        </w:tc>
        <w:tc>
          <w:tcPr>
            <w:tcW w:w="4678" w:type="dxa"/>
            <w:gridSpan w:val="2"/>
          </w:tcPr>
          <w:p w14:paraId="36833CDD" w14:textId="77777777" w:rsidR="00942AB8" w:rsidRDefault="00942AB8"/>
        </w:tc>
      </w:tr>
      <w:tr w:rsidR="00942AB8" w14:paraId="25251921" w14:textId="77777777" w:rsidTr="00E21768">
        <w:tc>
          <w:tcPr>
            <w:tcW w:w="4890" w:type="dxa"/>
            <w:gridSpan w:val="2"/>
          </w:tcPr>
          <w:p w14:paraId="418635D3" w14:textId="5B02933B" w:rsidR="00942AB8" w:rsidRDefault="00972627">
            <w:pPr>
              <w:pStyle w:val="zSoquijdatNomPartieDem"/>
              <w:rPr>
                <w:b/>
              </w:rPr>
            </w:pPr>
            <w:r>
              <w:rPr>
                <w:b/>
              </w:rPr>
              <w:t>Adiba Benkabbou</w:t>
            </w:r>
          </w:p>
        </w:tc>
        <w:tc>
          <w:tcPr>
            <w:tcW w:w="4678" w:type="dxa"/>
            <w:gridSpan w:val="2"/>
          </w:tcPr>
          <w:p w14:paraId="54CBAFD3" w14:textId="77777777" w:rsidR="00942AB8" w:rsidRDefault="00942AB8"/>
        </w:tc>
      </w:tr>
      <w:tr w:rsidR="00942AB8" w14:paraId="39FBE9F7" w14:textId="77777777" w:rsidTr="00E21768">
        <w:tc>
          <w:tcPr>
            <w:tcW w:w="4890" w:type="dxa"/>
            <w:gridSpan w:val="2"/>
          </w:tcPr>
          <w:p w14:paraId="1B41DAE9" w14:textId="321E8EDD" w:rsidR="00942AB8" w:rsidRDefault="00972627" w:rsidP="007B0DF2">
            <w:pPr>
              <w:pStyle w:val="zSoquijdatQtePartieDem"/>
              <w:tabs>
                <w:tab w:val="left" w:pos="3539"/>
              </w:tabs>
              <w:ind w:left="708"/>
            </w:pPr>
            <w:bookmarkStart w:id="7" w:name="partie_demanderesse"/>
            <w:bookmarkEnd w:id="7"/>
            <w:r>
              <w:t>Partie demanderesse</w:t>
            </w:r>
          </w:p>
        </w:tc>
        <w:tc>
          <w:tcPr>
            <w:tcW w:w="4678" w:type="dxa"/>
            <w:gridSpan w:val="2"/>
          </w:tcPr>
          <w:p w14:paraId="4877E0E7" w14:textId="77777777" w:rsidR="00942AB8" w:rsidRDefault="00942AB8"/>
        </w:tc>
      </w:tr>
      <w:tr w:rsidR="00942AB8" w14:paraId="46FE23A9" w14:textId="77777777" w:rsidTr="00E21768">
        <w:tc>
          <w:tcPr>
            <w:tcW w:w="4890" w:type="dxa"/>
            <w:gridSpan w:val="2"/>
          </w:tcPr>
          <w:p w14:paraId="104B7FBA" w14:textId="77777777" w:rsidR="00942AB8" w:rsidRDefault="00942AB8" w:rsidP="00E6363B"/>
        </w:tc>
        <w:tc>
          <w:tcPr>
            <w:tcW w:w="4678" w:type="dxa"/>
            <w:gridSpan w:val="2"/>
          </w:tcPr>
          <w:p w14:paraId="3B6FB1A0" w14:textId="77777777" w:rsidR="00942AB8" w:rsidRDefault="00942AB8"/>
        </w:tc>
      </w:tr>
      <w:tr w:rsidR="00942AB8" w14:paraId="79351FB9" w14:textId="77777777" w:rsidTr="00E21768">
        <w:tc>
          <w:tcPr>
            <w:tcW w:w="4890" w:type="dxa"/>
            <w:gridSpan w:val="2"/>
          </w:tcPr>
          <w:p w14:paraId="1EAAF0C0" w14:textId="54C0CFB5" w:rsidR="00942AB8" w:rsidRDefault="00972627" w:rsidP="00D06652">
            <w:pPr>
              <w:pStyle w:val="zSoquijlblLienParties"/>
            </w:pPr>
            <w:r>
              <w:t>et</w:t>
            </w:r>
          </w:p>
        </w:tc>
        <w:tc>
          <w:tcPr>
            <w:tcW w:w="4678" w:type="dxa"/>
            <w:gridSpan w:val="2"/>
          </w:tcPr>
          <w:p w14:paraId="1EE2ADE0" w14:textId="77777777" w:rsidR="00942AB8" w:rsidRDefault="00942AB8"/>
        </w:tc>
      </w:tr>
      <w:tr w:rsidR="00942AB8" w14:paraId="58ADD5CC" w14:textId="77777777" w:rsidTr="00E21768">
        <w:tc>
          <w:tcPr>
            <w:tcW w:w="4890" w:type="dxa"/>
            <w:gridSpan w:val="2"/>
          </w:tcPr>
          <w:p w14:paraId="060EE2A3" w14:textId="77777777" w:rsidR="00942AB8" w:rsidRDefault="00942AB8"/>
        </w:tc>
        <w:tc>
          <w:tcPr>
            <w:tcW w:w="4678" w:type="dxa"/>
            <w:gridSpan w:val="2"/>
          </w:tcPr>
          <w:p w14:paraId="04194662" w14:textId="77777777" w:rsidR="00942AB8" w:rsidRDefault="00942AB8"/>
        </w:tc>
      </w:tr>
      <w:tr w:rsidR="00942AB8" w14:paraId="702DADC3" w14:textId="77777777" w:rsidTr="00E21768">
        <w:tc>
          <w:tcPr>
            <w:tcW w:w="4890" w:type="dxa"/>
            <w:gridSpan w:val="2"/>
          </w:tcPr>
          <w:p w14:paraId="1FEFD5CB" w14:textId="61B9DD1A" w:rsidR="00942AB8" w:rsidRDefault="00972627">
            <w:pPr>
              <w:pStyle w:val="zSoquijdatNomPartieDef"/>
              <w:rPr>
                <w:b/>
              </w:rPr>
            </w:pPr>
            <w:r>
              <w:rPr>
                <w:b/>
              </w:rPr>
              <w:t xml:space="preserve">Centre de la Petite Enfance Ses </w:t>
            </w:r>
            <w:r w:rsidR="00832021">
              <w:rPr>
                <w:b/>
              </w:rPr>
              <w:t>a</w:t>
            </w:r>
            <w:r>
              <w:rPr>
                <w:b/>
              </w:rPr>
              <w:t>mis</w:t>
            </w:r>
          </w:p>
        </w:tc>
        <w:tc>
          <w:tcPr>
            <w:tcW w:w="4678" w:type="dxa"/>
            <w:gridSpan w:val="2"/>
          </w:tcPr>
          <w:p w14:paraId="4EE988B0" w14:textId="77777777" w:rsidR="00942AB8" w:rsidRDefault="00942AB8"/>
        </w:tc>
      </w:tr>
      <w:tr w:rsidR="00942AB8" w14:paraId="6831BCAB" w14:textId="77777777" w:rsidTr="00E21768">
        <w:tc>
          <w:tcPr>
            <w:tcW w:w="4890" w:type="dxa"/>
            <w:gridSpan w:val="2"/>
          </w:tcPr>
          <w:p w14:paraId="23700C46" w14:textId="17A90739" w:rsidR="00942AB8" w:rsidRDefault="00972627">
            <w:pPr>
              <w:pStyle w:val="zSoquijdatQtePartieDef"/>
              <w:ind w:left="708"/>
            </w:pPr>
            <w:r>
              <w:t>Partie mise en cause</w:t>
            </w:r>
          </w:p>
        </w:tc>
        <w:tc>
          <w:tcPr>
            <w:tcW w:w="4678" w:type="dxa"/>
            <w:gridSpan w:val="2"/>
          </w:tcPr>
          <w:p w14:paraId="1C93ABC7" w14:textId="77777777" w:rsidR="00942AB8" w:rsidRDefault="00942AB8"/>
        </w:tc>
      </w:tr>
      <w:tr w:rsidR="0065093D" w14:paraId="4E564C21" w14:textId="77777777" w:rsidTr="00E21768">
        <w:tc>
          <w:tcPr>
            <w:tcW w:w="4890" w:type="dxa"/>
            <w:gridSpan w:val="2"/>
          </w:tcPr>
          <w:p w14:paraId="571FE1FB" w14:textId="77777777" w:rsidR="0065093D" w:rsidRDefault="0065093D"/>
        </w:tc>
        <w:tc>
          <w:tcPr>
            <w:tcW w:w="4678" w:type="dxa"/>
            <w:gridSpan w:val="2"/>
          </w:tcPr>
          <w:p w14:paraId="7D2D4FAB" w14:textId="77777777" w:rsidR="0065093D" w:rsidRDefault="0065093D"/>
        </w:tc>
      </w:tr>
    </w:tbl>
    <w:p w14:paraId="00AAC8EB" w14:textId="77777777" w:rsidR="00C74B6F" w:rsidRDefault="00C74B6F">
      <w:r>
        <w:t>______________________________________________________________________</w:t>
      </w:r>
    </w:p>
    <w:p w14:paraId="32EA8B35" w14:textId="77777777" w:rsidR="00C74B6F" w:rsidRDefault="00C74B6F"/>
    <w:p w14:paraId="6AEB2DB2" w14:textId="77777777" w:rsidR="00C74B6F" w:rsidRPr="005B0612" w:rsidRDefault="00C74B6F" w:rsidP="008B042E">
      <w:pPr>
        <w:jc w:val="center"/>
        <w:rPr>
          <w:b/>
          <w:bCs/>
        </w:rPr>
      </w:pPr>
      <w:bookmarkStart w:id="8" w:name="decision"/>
      <w:r w:rsidRPr="005B0612">
        <w:rPr>
          <w:b/>
          <w:bCs/>
        </w:rPr>
        <w:t>DÉCISION</w:t>
      </w:r>
      <w:bookmarkEnd w:id="8"/>
    </w:p>
    <w:p w14:paraId="5B44E8E8" w14:textId="77777777" w:rsidR="008F20EA" w:rsidRDefault="008F20EA" w:rsidP="008F20EA">
      <w:bookmarkStart w:id="9" w:name="separation"/>
      <w:bookmarkStart w:id="10" w:name="parag_1"/>
      <w:r>
        <w:t>______________________________________________________________________</w:t>
      </w:r>
    </w:p>
    <w:p w14:paraId="7DA7E96A" w14:textId="77777777" w:rsidR="008F20EA" w:rsidRDefault="008F20EA" w:rsidP="008F20EA">
      <w:pPr>
        <w:pStyle w:val="corpsdedcision"/>
        <w:numPr>
          <w:ilvl w:val="0"/>
          <w:numId w:val="0"/>
        </w:numPr>
        <w:spacing w:before="360"/>
      </w:pPr>
      <w:bookmarkStart w:id="11" w:name="supprimer_apercu"/>
      <w:bookmarkEnd w:id="9"/>
      <w:r>
        <w:rPr>
          <w:b/>
          <w:bCs/>
          <w:u w:val="single"/>
        </w:rPr>
        <w:t>L’APERÇU</w:t>
      </w:r>
    </w:p>
    <w:p w14:paraId="2DB27F3F" w14:textId="42C128A4" w:rsidR="00C74B6F" w:rsidRDefault="00613670" w:rsidP="004A710C">
      <w:pPr>
        <w:pStyle w:val="corpsdedcision"/>
        <w:tabs>
          <w:tab w:val="clear" w:pos="360"/>
          <w:tab w:val="num" w:pos="720"/>
        </w:tabs>
      </w:pPr>
      <w:bookmarkStart w:id="12" w:name="_Hlk201061161"/>
      <w:bookmarkEnd w:id="11"/>
      <w:bookmarkEnd w:id="10"/>
      <w:r>
        <w:t>Madame Adiba Benkabbou</w:t>
      </w:r>
      <w:bookmarkEnd w:id="12"/>
      <w:r>
        <w:t xml:space="preserve">, la travailleuse, est une éducatrice qui travaille pour l’employeur, </w:t>
      </w:r>
      <w:r w:rsidRPr="00613670">
        <w:t xml:space="preserve">Centre de la Petite Enfance Ses </w:t>
      </w:r>
      <w:r w:rsidR="00832021">
        <w:t>a</w:t>
      </w:r>
      <w:r w:rsidRPr="00613670">
        <w:t>mis</w:t>
      </w:r>
      <w:r>
        <w:t>.</w:t>
      </w:r>
    </w:p>
    <w:p w14:paraId="3C6749B0" w14:textId="0E4E01A7" w:rsidR="00613670" w:rsidRDefault="00613670" w:rsidP="004A710C">
      <w:pPr>
        <w:pStyle w:val="corpsdedcision"/>
        <w:tabs>
          <w:tab w:val="clear" w:pos="360"/>
          <w:tab w:val="num" w:pos="720"/>
        </w:tabs>
      </w:pPr>
      <w:r>
        <w:t xml:space="preserve">Elle subit un accident du travail le 6 septembre 2022 alors qu’elle manque une marche et se blesse à la jambe droite. Un médecin diagnostique rapidement une foulure musculaire à la jambe droite. </w:t>
      </w:r>
      <w:r w:rsidR="00620415">
        <w:t>Les</w:t>
      </w:r>
      <w:r>
        <w:t xml:space="preserve"> diagnostic</w:t>
      </w:r>
      <w:r w:rsidR="00620415">
        <w:t>s</w:t>
      </w:r>
      <w:r>
        <w:t xml:space="preserve"> d’entorse à la cheville droite </w:t>
      </w:r>
      <w:r w:rsidR="00620415">
        <w:t xml:space="preserve">ainsi que de déchirure du plantaire grêle droit sont </w:t>
      </w:r>
      <w:r>
        <w:t>ensuite accepté</w:t>
      </w:r>
      <w:r w:rsidR="00620415">
        <w:t>s</w:t>
      </w:r>
      <w:r>
        <w:t xml:space="preserve"> par la Commission des normes, de l’équité, de la santé et de la sécurité du travail.</w:t>
      </w:r>
    </w:p>
    <w:p w14:paraId="0E2AF14A" w14:textId="6677F91B" w:rsidR="00613670" w:rsidRDefault="00620415" w:rsidP="004A710C">
      <w:pPr>
        <w:pStyle w:val="corpsdedcision"/>
        <w:tabs>
          <w:tab w:val="clear" w:pos="360"/>
          <w:tab w:val="num" w:pos="720"/>
        </w:tabs>
      </w:pPr>
      <w:r>
        <w:t xml:space="preserve">Le 25 août 2023, la travailleuse dépose une plainte selon l’article 32 de la </w:t>
      </w:r>
      <w:r w:rsidRPr="00C57EEB">
        <w:rPr>
          <w:i/>
          <w:iCs/>
        </w:rPr>
        <w:t>Loi sur les accidents du travail et les maladies professionnelles</w:t>
      </w:r>
      <w:r>
        <w:rPr>
          <w:rStyle w:val="Appelnotedebasdep"/>
        </w:rPr>
        <w:footnoteReference w:id="1"/>
      </w:r>
      <w:r w:rsidRPr="00620415">
        <w:t xml:space="preserve">, </w:t>
      </w:r>
      <w:r>
        <w:t>la Loi, car elle considère que son indemnité de vacances a été réduite</w:t>
      </w:r>
      <w:r w:rsidR="00B918D1">
        <w:t xml:space="preserve"> à la suite de son retour au travail</w:t>
      </w:r>
      <w:r>
        <w:t xml:space="preserve">. </w:t>
      </w:r>
    </w:p>
    <w:p w14:paraId="58CC1EE1" w14:textId="38D0DBB1" w:rsidR="00620415" w:rsidRDefault="00620415" w:rsidP="004A710C">
      <w:pPr>
        <w:pStyle w:val="corpsdedcision"/>
        <w:tabs>
          <w:tab w:val="clear" w:pos="360"/>
          <w:tab w:val="num" w:pos="720"/>
        </w:tabs>
      </w:pPr>
      <w:r>
        <w:t>La Commission rend une décision le 15 mai 2024 et déclare irrecevable la plainte de</w:t>
      </w:r>
      <w:r w:rsidR="00771A54">
        <w:t xml:space="preserve"> m</w:t>
      </w:r>
      <w:r w:rsidR="00771A54" w:rsidRPr="00771A54">
        <w:t>adame Benkabbou</w:t>
      </w:r>
      <w:r w:rsidR="00771A54">
        <w:t>,</w:t>
      </w:r>
      <w:r>
        <w:t xml:space="preserve"> étant donné l’absence des parties lors de l’audience. La travailleuse conteste cette décision. </w:t>
      </w:r>
    </w:p>
    <w:p w14:paraId="2336B8FD" w14:textId="42B2547B" w:rsidR="00620415" w:rsidRDefault="00771A54" w:rsidP="004A710C">
      <w:pPr>
        <w:pStyle w:val="corpsdedcision"/>
        <w:tabs>
          <w:tab w:val="clear" w:pos="360"/>
          <w:tab w:val="num" w:pos="720"/>
        </w:tabs>
      </w:pPr>
      <w:r w:rsidRPr="00771A54">
        <w:t>Madame Adiba Benkabbou</w:t>
      </w:r>
      <w:r w:rsidRPr="00771A54" w:rsidDel="00771A54">
        <w:t xml:space="preserve"> </w:t>
      </w:r>
      <w:r w:rsidR="00024589">
        <w:t>considère qu’elle a été victime d’une mesure de représailles de son employeur</w:t>
      </w:r>
      <w:r>
        <w:t>,</w:t>
      </w:r>
      <w:r w:rsidR="00F2115D">
        <w:t xml:space="preserve"> </w:t>
      </w:r>
      <w:r w:rsidR="00024589">
        <w:t>étant donné qu’elle n’a pas reçu</w:t>
      </w:r>
      <w:r w:rsidR="002123B5">
        <w:t xml:space="preserve"> une indemnité pour congé annuel</w:t>
      </w:r>
      <w:r>
        <w:t>,</w:t>
      </w:r>
      <w:r w:rsidR="002123B5">
        <w:t xml:space="preserve"> comme si elle avait travaillé normalement </w:t>
      </w:r>
      <w:r w:rsidR="004A710C">
        <w:t xml:space="preserve">à compter </w:t>
      </w:r>
      <w:r w:rsidR="002123B5">
        <w:t>de l’évènement jusqu’au 31 mars 2023.</w:t>
      </w:r>
    </w:p>
    <w:p w14:paraId="0D9CB440" w14:textId="4F2D7CAA" w:rsidR="002123B5" w:rsidRDefault="002123B5" w:rsidP="004A710C">
      <w:pPr>
        <w:pStyle w:val="corpsdedcision"/>
        <w:tabs>
          <w:tab w:val="clear" w:pos="360"/>
          <w:tab w:val="num" w:pos="720"/>
        </w:tabs>
      </w:pPr>
      <w:r>
        <w:t xml:space="preserve">De son côté, l’employeur est d’avis que la travailleuse n’a pas été victime d’une sanction, car il a appliqué les dispositions de la convention collective en vigueur. </w:t>
      </w:r>
    </w:p>
    <w:p w14:paraId="6E112651" w14:textId="2976C34F" w:rsidR="002123B5" w:rsidRDefault="002123B5" w:rsidP="004A710C">
      <w:pPr>
        <w:pStyle w:val="corpsdedcision"/>
        <w:tabs>
          <w:tab w:val="clear" w:pos="360"/>
          <w:tab w:val="num" w:pos="720"/>
        </w:tabs>
      </w:pPr>
      <w:r>
        <w:t>Le Tribunal conclut que la travailleuse a été victime d’une mesure d</w:t>
      </w:r>
      <w:r w:rsidR="00B918D1">
        <w:t>iscriminatoire</w:t>
      </w:r>
      <w:r>
        <w:t xml:space="preserve"> puisque la convention collective comprend une clause défavorisant les accidentés du travail quant à l’établissement du congé annuel.</w:t>
      </w:r>
      <w:r w:rsidR="00ED6648">
        <w:t xml:space="preserve"> Sa plainte est ainsi</w:t>
      </w:r>
      <w:r w:rsidR="00ED6648" w:rsidRPr="009B7147">
        <w:t xml:space="preserve"> </w:t>
      </w:r>
      <w:r w:rsidR="00771A54" w:rsidRPr="009B7147">
        <w:t>accueillie</w:t>
      </w:r>
      <w:r w:rsidR="00ED6648">
        <w:t>.</w:t>
      </w:r>
    </w:p>
    <w:p w14:paraId="33C8518E" w14:textId="77777777" w:rsidR="00082A97" w:rsidRDefault="00082A97" w:rsidP="00F10236">
      <w:pPr>
        <w:pStyle w:val="corpsdedcision"/>
        <w:numPr>
          <w:ilvl w:val="0"/>
          <w:numId w:val="0"/>
        </w:numPr>
        <w:rPr>
          <w:b/>
          <w:bCs/>
          <w:u w:val="single"/>
        </w:rPr>
      </w:pPr>
      <w:bookmarkStart w:id="13" w:name="supprimer_analyse"/>
      <w:r w:rsidRPr="00B51F99">
        <w:rPr>
          <w:b/>
          <w:bCs/>
          <w:u w:val="single"/>
        </w:rPr>
        <w:t>L</w:t>
      </w:r>
      <w:r>
        <w:rPr>
          <w:b/>
          <w:bCs/>
          <w:u w:val="single"/>
        </w:rPr>
        <w:t>’ANALYSE</w:t>
      </w:r>
    </w:p>
    <w:bookmarkEnd w:id="13"/>
    <w:p w14:paraId="1DF2F626" w14:textId="7C46EB03" w:rsidR="002123B5" w:rsidRDefault="002123B5" w:rsidP="004A710C">
      <w:pPr>
        <w:pStyle w:val="corpsdedcision"/>
        <w:tabs>
          <w:tab w:val="clear" w:pos="360"/>
          <w:tab w:val="num" w:pos="720"/>
        </w:tabs>
      </w:pPr>
      <w:r>
        <w:t xml:space="preserve">Le Tribunal doit déterminer si </w:t>
      </w:r>
      <w:r w:rsidR="00771A54">
        <w:t>m</w:t>
      </w:r>
      <w:r w:rsidR="00771A54" w:rsidRPr="00771A54">
        <w:t>adame Benkabbou</w:t>
      </w:r>
      <w:r w:rsidR="00771A54" w:rsidRPr="00771A54" w:rsidDel="00771A54">
        <w:t xml:space="preserve"> </w:t>
      </w:r>
      <w:r>
        <w:t>a été victime d’une</w:t>
      </w:r>
      <w:r w:rsidR="00B918D1">
        <w:t xml:space="preserve"> mesure discriminatoire</w:t>
      </w:r>
      <w:r>
        <w:t xml:space="preserve"> en raison de sa lésion professionnelle.</w:t>
      </w:r>
    </w:p>
    <w:p w14:paraId="4BC92E30" w14:textId="4C91C358" w:rsidR="002123B5" w:rsidRDefault="002123B5" w:rsidP="004A710C">
      <w:pPr>
        <w:pStyle w:val="corpsdedcision"/>
        <w:tabs>
          <w:tab w:val="clear" w:pos="360"/>
          <w:tab w:val="num" w:pos="720"/>
        </w:tabs>
      </w:pPr>
      <w:r>
        <w:t xml:space="preserve">La travailleuse estime qu’elle a été victime d’une </w:t>
      </w:r>
      <w:r w:rsidR="00B918D1">
        <w:t>telle mesure</w:t>
      </w:r>
      <w:r>
        <w:t xml:space="preserve"> puisque son congé annuel après le 31 mars 2023 est incomplet. Elle dépose plusieurs décisions</w:t>
      </w:r>
      <w:r>
        <w:rPr>
          <w:rStyle w:val="Appelnotedebasdep"/>
        </w:rPr>
        <w:footnoteReference w:id="2"/>
      </w:r>
      <w:r>
        <w:t xml:space="preserve"> à l’appui de ses prétentions. </w:t>
      </w:r>
    </w:p>
    <w:p w14:paraId="2AA90287" w14:textId="5BD62942" w:rsidR="002123B5" w:rsidRDefault="002123B5" w:rsidP="00C23F3A">
      <w:pPr>
        <w:pStyle w:val="corpsdedcision"/>
      </w:pPr>
      <w:r>
        <w:t>L’employeur allègue qu’il n’y a pas eu de sanctions</w:t>
      </w:r>
      <w:r w:rsidR="003E4120">
        <w:t xml:space="preserve"> ou de mesures</w:t>
      </w:r>
      <w:r w:rsidR="00ED6648">
        <w:t xml:space="preserve"> de représailles</w:t>
      </w:r>
      <w:r>
        <w:t xml:space="preserve"> envers la travailleuse</w:t>
      </w:r>
      <w:r w:rsidR="00771A54">
        <w:t>,</w:t>
      </w:r>
      <w:r>
        <w:t xml:space="preserve"> et que celle-ci est traitée comme les autres accidentés du travail</w:t>
      </w:r>
      <w:r w:rsidR="00771A54">
        <w:t>,</w:t>
      </w:r>
      <w:r>
        <w:t xml:space="preserve"> conformément à la convention collective en vigueur. Il dépose plusieurs décisions</w:t>
      </w:r>
      <w:r>
        <w:rPr>
          <w:rStyle w:val="Appelnotedebasdep"/>
        </w:rPr>
        <w:footnoteReference w:id="3"/>
      </w:r>
      <w:r>
        <w:t xml:space="preserve"> à l’appui de ses prétentions.</w:t>
      </w:r>
    </w:p>
    <w:p w14:paraId="4DCE8B9A" w14:textId="73D971EE" w:rsidR="002123B5" w:rsidRDefault="002123B5" w:rsidP="00C23F3A">
      <w:pPr>
        <w:pStyle w:val="corpsdedcision"/>
      </w:pPr>
      <w:r>
        <w:t xml:space="preserve">Le Tribunal conclut qu’il y a une mesure </w:t>
      </w:r>
      <w:r w:rsidR="00B918D1">
        <w:t>discriminatoire</w:t>
      </w:r>
      <w:r>
        <w:t xml:space="preserve"> envers la travailleuse et qu’elle a droit à un congé annuel comme si elle avait travaillé à temps complet.</w:t>
      </w:r>
    </w:p>
    <w:p w14:paraId="7B0F092E" w14:textId="43856CF8" w:rsidR="00B83CD8" w:rsidRDefault="00C23F3A" w:rsidP="00F2115D">
      <w:pPr>
        <w:pStyle w:val="corpsdedcision"/>
        <w:spacing w:after="240"/>
      </w:pPr>
      <w:r>
        <w:t>L</w:t>
      </w:r>
      <w:r w:rsidR="00B83CD8">
        <w:t>’article 32 de la Loi permet à un travailleur, qui croit être l’objet d’une sanction,</w:t>
      </w:r>
      <w:r>
        <w:t xml:space="preserve"> </w:t>
      </w:r>
      <w:r w:rsidR="00B83CD8">
        <w:t xml:space="preserve">de déposer une plainte à la </w:t>
      </w:r>
      <w:r w:rsidR="003E4120">
        <w:t xml:space="preserve">Commission </w:t>
      </w:r>
      <w:r w:rsidR="00B83CD8">
        <w:t xml:space="preserve">conformément à l’article 253 de la Loi. </w:t>
      </w:r>
    </w:p>
    <w:p w14:paraId="7E45646F" w14:textId="5FA8CF92" w:rsidR="00B83CD8" w:rsidRDefault="00B83CD8" w:rsidP="00F2115D">
      <w:pPr>
        <w:pStyle w:val="articlesdelaLATMP"/>
        <w:spacing w:after="120"/>
      </w:pPr>
      <w:r w:rsidRPr="00977E47">
        <w:rPr>
          <w:b/>
        </w:rPr>
        <w:t>32.</w:t>
      </w:r>
      <w:r w:rsidR="009D7440">
        <w:rPr>
          <w:b/>
        </w:rPr>
        <w:tab/>
      </w:r>
      <w:r>
        <w:t>L’employeur ne peut congédier, suspendre ou déplacer un travailleur, exercer à son endroit des mesures discriminatoires ou de représailles ou lui imposer toute autre sanction ou refuser de le réintégrer dans un emploi contrairement à une décision de la Commission parce qu’il a été victime d’une lésion professionnelle ou à cause de l’exercice d’un droit que lui confère la présente loi.</w:t>
      </w:r>
    </w:p>
    <w:p w14:paraId="56DE83C0" w14:textId="77777777" w:rsidR="00B83CD8" w:rsidRDefault="00B83CD8" w:rsidP="00771A54">
      <w:pPr>
        <w:pStyle w:val="articlesdelaLATMP"/>
        <w:spacing w:after="120"/>
      </w:pPr>
      <w:r>
        <w:t>Le travailleur qui croit avoir été l’objet d’une sanction ou d’une mesure visée dans le premier alinéa peut, à son choix, recourir à la procédure de griefs prévue par la convention collective qui lui est applicable ou soumettre une plainte à la Commission conformément à l’article 253.</w:t>
      </w:r>
    </w:p>
    <w:p w14:paraId="0B6646A9" w14:textId="390AF980" w:rsidR="00771A54" w:rsidRPr="00F2115D" w:rsidRDefault="00771A54" w:rsidP="00F2115D">
      <w:pPr>
        <w:pStyle w:val="articlesdelaLATMP"/>
        <w:spacing w:after="120"/>
        <w:rPr>
          <w:sz w:val="24"/>
          <w:szCs w:val="24"/>
        </w:rPr>
      </w:pPr>
      <w:r w:rsidRPr="00F2115D">
        <w:rPr>
          <w:sz w:val="24"/>
          <w:szCs w:val="24"/>
        </w:rPr>
        <w:t>[…]</w:t>
      </w:r>
    </w:p>
    <w:p w14:paraId="64FA10C7" w14:textId="525C2509" w:rsidR="00B83CD8" w:rsidRDefault="00B83CD8" w:rsidP="00F2115D">
      <w:pPr>
        <w:pStyle w:val="articlesdelaLATMP"/>
        <w:spacing w:after="120"/>
      </w:pPr>
      <w:r w:rsidRPr="00155AC2">
        <w:rPr>
          <w:b/>
        </w:rPr>
        <w:t>253.</w:t>
      </w:r>
      <w:r w:rsidR="009D7440">
        <w:rPr>
          <w:b/>
        </w:rPr>
        <w:tab/>
      </w:r>
      <w:r>
        <w:t>Une plainte en vertu de l</w:t>
      </w:r>
      <w:r w:rsidR="00F2115D">
        <w:t>’</w:t>
      </w:r>
      <w:r>
        <w:t>article 32 doit être faite par écrit dans les 30</w:t>
      </w:r>
      <w:r>
        <w:rPr>
          <w:rFonts w:cs="Arial"/>
        </w:rPr>
        <w:t> </w:t>
      </w:r>
      <w:r>
        <w:t>jours de la connaissance de l</w:t>
      </w:r>
      <w:r w:rsidR="00F2115D">
        <w:t>’</w:t>
      </w:r>
      <w:r>
        <w:t>acte, de la sanction ou de la mesure dont le travailleur se plaint.</w:t>
      </w:r>
    </w:p>
    <w:p w14:paraId="2A291D82" w14:textId="4E4A191B" w:rsidR="00B83CD8" w:rsidRDefault="00B83CD8" w:rsidP="00F2115D">
      <w:pPr>
        <w:pStyle w:val="articlesdelaLATMP"/>
        <w:spacing w:after="360"/>
      </w:pPr>
      <w:r>
        <w:t>Le travailleur transmet copie de cette plainte à l</w:t>
      </w:r>
      <w:r w:rsidR="00F2115D">
        <w:t>’</w:t>
      </w:r>
      <w:r>
        <w:t>employeur.</w:t>
      </w:r>
    </w:p>
    <w:p w14:paraId="791533C5" w14:textId="77777777" w:rsidR="002A59EC" w:rsidRDefault="00B10581" w:rsidP="00F2115D">
      <w:pPr>
        <w:pStyle w:val="corpsdedcision"/>
        <w:tabs>
          <w:tab w:val="clear" w:pos="360"/>
          <w:tab w:val="num" w:pos="720"/>
        </w:tabs>
        <w:spacing w:after="240"/>
      </w:pPr>
      <w:r>
        <w:t>Le</w:t>
      </w:r>
      <w:r w:rsidR="002A59EC">
        <w:t xml:space="preserve"> travailleur doit démontrer, par une preuve prépondérante, qu’il satisfait aux critères suivants : </w:t>
      </w:r>
    </w:p>
    <w:p w14:paraId="558DFEBD" w14:textId="49C198BA" w:rsidR="00B10581" w:rsidRDefault="002B0A31" w:rsidP="00F2115D">
      <w:pPr>
        <w:pStyle w:val="citation"/>
        <w:numPr>
          <w:ilvl w:val="0"/>
          <w:numId w:val="12"/>
        </w:numPr>
        <w:spacing w:after="120"/>
        <w:rPr>
          <w:sz w:val="24"/>
          <w:szCs w:val="24"/>
        </w:rPr>
      </w:pPr>
      <w:r>
        <w:rPr>
          <w:sz w:val="24"/>
          <w:szCs w:val="24"/>
        </w:rPr>
        <w:t>Être une travailleuse au sens de l’article 2 de la Loi;</w:t>
      </w:r>
    </w:p>
    <w:p w14:paraId="1D3605D7" w14:textId="4267D12D" w:rsidR="002B0A31" w:rsidRDefault="002B0A31" w:rsidP="00F2115D">
      <w:pPr>
        <w:pStyle w:val="citation"/>
        <w:numPr>
          <w:ilvl w:val="0"/>
          <w:numId w:val="12"/>
        </w:numPr>
        <w:spacing w:after="120"/>
        <w:rPr>
          <w:sz w:val="24"/>
          <w:szCs w:val="24"/>
        </w:rPr>
      </w:pPr>
      <w:r>
        <w:rPr>
          <w:sz w:val="24"/>
          <w:szCs w:val="24"/>
        </w:rPr>
        <w:t>Déposer une plainte dans le délai de 30 jours de la connaissance selon l’article 253 de la Loi;</w:t>
      </w:r>
    </w:p>
    <w:p w14:paraId="2C295461" w14:textId="7BE3CEC8" w:rsidR="002B0A31" w:rsidRDefault="002B0A31" w:rsidP="00F2115D">
      <w:pPr>
        <w:pStyle w:val="citation"/>
        <w:numPr>
          <w:ilvl w:val="0"/>
          <w:numId w:val="12"/>
        </w:numPr>
        <w:spacing w:after="120"/>
        <w:rPr>
          <w:sz w:val="24"/>
          <w:szCs w:val="24"/>
        </w:rPr>
      </w:pPr>
      <w:r>
        <w:rPr>
          <w:sz w:val="24"/>
          <w:szCs w:val="24"/>
        </w:rPr>
        <w:t>Ne pas cumuler les recours (grief et plainte);</w:t>
      </w:r>
    </w:p>
    <w:p w14:paraId="70340950" w14:textId="1CAADAC7" w:rsidR="002B0A31" w:rsidRDefault="002B0A31" w:rsidP="00F2115D">
      <w:pPr>
        <w:pStyle w:val="citation"/>
        <w:keepNext/>
        <w:numPr>
          <w:ilvl w:val="0"/>
          <w:numId w:val="12"/>
        </w:numPr>
        <w:spacing w:after="120"/>
        <w:ind w:left="1077" w:hanging="357"/>
        <w:rPr>
          <w:sz w:val="24"/>
          <w:szCs w:val="24"/>
        </w:rPr>
      </w:pPr>
      <w:r>
        <w:rPr>
          <w:sz w:val="24"/>
          <w:szCs w:val="24"/>
        </w:rPr>
        <w:t>Exercer un droit prévu par la Loi;</w:t>
      </w:r>
    </w:p>
    <w:p w14:paraId="00A8C62A" w14:textId="534F3798" w:rsidR="002B0A31" w:rsidRPr="002B0A31" w:rsidRDefault="002B0A31" w:rsidP="00F2115D">
      <w:pPr>
        <w:pStyle w:val="citation"/>
        <w:numPr>
          <w:ilvl w:val="0"/>
          <w:numId w:val="12"/>
        </w:numPr>
        <w:spacing w:after="360"/>
        <w:rPr>
          <w:sz w:val="24"/>
          <w:szCs w:val="24"/>
        </w:rPr>
      </w:pPr>
      <w:r>
        <w:rPr>
          <w:sz w:val="24"/>
          <w:szCs w:val="24"/>
        </w:rPr>
        <w:t>Avoir subi une sanction ou une autre mesure prohibée.</w:t>
      </w:r>
    </w:p>
    <w:p w14:paraId="6ED509B0" w14:textId="61B9F6A6" w:rsidR="002B0A31" w:rsidRDefault="002B0A31" w:rsidP="002B0A31">
      <w:pPr>
        <w:pStyle w:val="Titre3"/>
      </w:pPr>
      <w:r>
        <w:t>Le délai pour la production de la plainte</w:t>
      </w:r>
    </w:p>
    <w:p w14:paraId="5122B0E1" w14:textId="19D5A929" w:rsidR="00B83CD8" w:rsidRDefault="00B83CD8" w:rsidP="00C23F3A">
      <w:pPr>
        <w:pStyle w:val="corpsdedcision"/>
      </w:pPr>
      <w:r>
        <w:t xml:space="preserve">Dans un premier temps, l’employeur allègue que la plainte de la travailleuse ne respecte pas le délai de 30 jours prévu à l’article 253 de la Loi. </w:t>
      </w:r>
      <w:r w:rsidR="002B0A31">
        <w:t xml:space="preserve">De son côté, la travailleuse </w:t>
      </w:r>
      <w:r w:rsidR="009B7147" w:rsidRPr="009B7147">
        <w:t>soutient</w:t>
      </w:r>
      <w:r w:rsidR="002B0A31">
        <w:t xml:space="preserve"> que le délai est respecté.</w:t>
      </w:r>
    </w:p>
    <w:p w14:paraId="512743C7" w14:textId="4BBFDE09" w:rsidR="00B83CD8" w:rsidRDefault="005C5E81" w:rsidP="00C23F3A">
      <w:pPr>
        <w:pStyle w:val="corpsdedcision"/>
      </w:pPr>
      <w:r w:rsidRPr="005C5E81">
        <w:t>Madame Benkabbou</w:t>
      </w:r>
      <w:r w:rsidRPr="005C5E81" w:rsidDel="005C5E81">
        <w:t xml:space="preserve"> </w:t>
      </w:r>
      <w:r w:rsidR="00070B67">
        <w:t>est en vacances à l’extérieur du pays de la fin juin jusqu’au 28 juillet 2023. Elle n’a pas accès à ses courriels durant cette période. À son retour, elle prend connaissance d’une fiche de paie versée le 20 juillet 2023</w:t>
      </w:r>
      <w:r w:rsidR="00136752">
        <w:t>,</w:t>
      </w:r>
      <w:r w:rsidR="00070B67">
        <w:t xml:space="preserve"> indiquant qu’elle reçoit un montant correspondant à 28,25 heures pour deux semaines</w:t>
      </w:r>
      <w:r w:rsidR="00B918D1">
        <w:t>,</w:t>
      </w:r>
      <w:r w:rsidR="00070B67">
        <w:t xml:space="preserve"> alors qu’elle considère </w:t>
      </w:r>
      <w:r w:rsidR="00B918D1">
        <w:t xml:space="preserve">avoir droit à </w:t>
      </w:r>
      <w:r w:rsidR="00070B67">
        <w:t xml:space="preserve">un montant correspondant à 36 heures pour la même période. </w:t>
      </w:r>
    </w:p>
    <w:p w14:paraId="126D6DDE" w14:textId="0B04A7AA" w:rsidR="00070B67" w:rsidRDefault="00070B67" w:rsidP="00C23F3A">
      <w:pPr>
        <w:pStyle w:val="corpsdedcision"/>
      </w:pPr>
      <w:r>
        <w:t>Elle communique avec son syndicat au début d’août 2023 et produit ensuite une plainte, selon l’article 32 de la Loi, le 25 août 2023.</w:t>
      </w:r>
    </w:p>
    <w:p w14:paraId="54126AC2" w14:textId="5A3860A6" w:rsidR="00070B67" w:rsidRDefault="00070B67" w:rsidP="00C23F3A">
      <w:pPr>
        <w:pStyle w:val="corpsdedcision"/>
      </w:pPr>
      <w:r>
        <w:t>Le Tribunal considère que la plainte de la travailleuse respecte le délai prévu à l’article 253 de la Loi puisqu’elle a pris connaissance de ce qu’elle considère comme étant une mesure ou une sanction</w:t>
      </w:r>
      <w:r w:rsidR="00B918D1">
        <w:t>,</w:t>
      </w:r>
      <w:r>
        <w:t xml:space="preserve"> le 28 juillet 2023. Le délai de 30 jours est donc respecté et la plainte de la travailleuse est recevable.</w:t>
      </w:r>
    </w:p>
    <w:p w14:paraId="675CF1ED" w14:textId="111BDE4A" w:rsidR="002B0A31" w:rsidRDefault="002B0A31" w:rsidP="002B0A31">
      <w:pPr>
        <w:pStyle w:val="Titre3"/>
      </w:pPr>
      <w:r>
        <w:t>La sanction ou la mesure discriminatoire ou de représailles</w:t>
      </w:r>
    </w:p>
    <w:p w14:paraId="10750265" w14:textId="0CB6EEE7" w:rsidR="00C23F3A" w:rsidRDefault="00070B67" w:rsidP="00C23F3A">
      <w:pPr>
        <w:pStyle w:val="corpsdedcision"/>
      </w:pPr>
      <w:r>
        <w:t>Il y a lieu maintenant d’analyser si la travailleuse a</w:t>
      </w:r>
      <w:r w:rsidR="00C23F3A">
        <w:t xml:space="preserve"> été l’objet d’une sanction ou d’une mesure visée à l’article 32 de la </w:t>
      </w:r>
      <w:r>
        <w:t>L</w:t>
      </w:r>
      <w:r w:rsidR="00C23F3A">
        <w:t>oi</w:t>
      </w:r>
      <w:r>
        <w:t>.</w:t>
      </w:r>
    </w:p>
    <w:p w14:paraId="5EA6BFD2" w14:textId="0DF337CE" w:rsidR="00C23F3A" w:rsidRDefault="00C23F3A" w:rsidP="00F2115D">
      <w:pPr>
        <w:pStyle w:val="corpsdedcision"/>
        <w:spacing w:after="240"/>
      </w:pPr>
      <w:r>
        <w:t xml:space="preserve">L’article 255 de la </w:t>
      </w:r>
      <w:r w:rsidR="006E7A6A">
        <w:t>Lo</w:t>
      </w:r>
      <w:r>
        <w:t>i établit une présomption en faveur d</w:t>
      </w:r>
      <w:r w:rsidR="00B918D1">
        <w:t>’un</w:t>
      </w:r>
      <w:r>
        <w:t xml:space="preserve"> travailleur qui a fait l’objet d’une sanction ou d’une mesure visée par l’article 32 dans les six mois de la date où il a été victime d’une lésion professionnelle.</w:t>
      </w:r>
    </w:p>
    <w:p w14:paraId="178DC928" w14:textId="4ECE85C5" w:rsidR="006E7A6A" w:rsidRDefault="006E7A6A" w:rsidP="00F2115D">
      <w:pPr>
        <w:pStyle w:val="articlesdelaLATMP"/>
        <w:spacing w:after="120"/>
      </w:pPr>
      <w:r w:rsidRPr="00155AC2">
        <w:rPr>
          <w:b/>
        </w:rPr>
        <w:t>255.</w:t>
      </w:r>
      <w:r w:rsidR="005C5E81">
        <w:tab/>
      </w:r>
      <w:r>
        <w:t>S</w:t>
      </w:r>
      <w:r w:rsidR="00F2115D">
        <w:t>’</w:t>
      </w:r>
      <w:r>
        <w:t>il est établi à la satisfaction de la Commission que le travailleur a été l</w:t>
      </w:r>
      <w:r w:rsidR="00F2115D">
        <w:t>’</w:t>
      </w:r>
      <w:r>
        <w:t>objet d</w:t>
      </w:r>
      <w:r w:rsidR="00F2115D">
        <w:t>’</w:t>
      </w:r>
      <w:r>
        <w:t>une sanction ou d</w:t>
      </w:r>
      <w:r w:rsidR="00F2115D">
        <w:t>’</w:t>
      </w:r>
      <w:r>
        <w:t>une mesure visée dans l</w:t>
      </w:r>
      <w:r w:rsidR="00F2115D">
        <w:t>’</w:t>
      </w:r>
      <w:r>
        <w:t>article 32 dans les six mois de la date où il a été victime d</w:t>
      </w:r>
      <w:r w:rsidR="00F2115D">
        <w:t>’</w:t>
      </w:r>
      <w:r>
        <w:t>une lésion professionnelle ou de la date où il a exercé un droit que lui confère la présente loi, il y a présomption en faveur du travailleur que la sanction lui a été imposée ou que la mesure a été prise contre lui parce qu</w:t>
      </w:r>
      <w:r w:rsidR="00F2115D">
        <w:t>’</w:t>
      </w:r>
      <w:r>
        <w:t>il a été victime d</w:t>
      </w:r>
      <w:r w:rsidR="00F2115D">
        <w:t>’</w:t>
      </w:r>
      <w:r>
        <w:t>une lésion professionnelle ou à cause de l</w:t>
      </w:r>
      <w:r w:rsidR="00F2115D">
        <w:t>’</w:t>
      </w:r>
      <w:r>
        <w:t>exercice de ce droit.</w:t>
      </w:r>
    </w:p>
    <w:p w14:paraId="5E769CCD" w14:textId="01F39D21" w:rsidR="006E7A6A" w:rsidRDefault="006E7A6A" w:rsidP="00F2115D">
      <w:pPr>
        <w:pStyle w:val="articlesdelaLATMP"/>
        <w:spacing w:after="360"/>
      </w:pPr>
      <w:r>
        <w:t>Dans ce cas, il incombe à l</w:t>
      </w:r>
      <w:r w:rsidR="00F2115D">
        <w:t>’</w:t>
      </w:r>
      <w:r>
        <w:t>employeur de prouver qu</w:t>
      </w:r>
      <w:r w:rsidR="00F2115D">
        <w:t>’</w:t>
      </w:r>
      <w:r>
        <w:t>il a pris cette sanction ou cette mesure à l</w:t>
      </w:r>
      <w:r w:rsidR="00F2115D">
        <w:t>’</w:t>
      </w:r>
      <w:r>
        <w:t>égard du travailleur pour une autre cause juste et suffisante.</w:t>
      </w:r>
    </w:p>
    <w:p w14:paraId="029D294D" w14:textId="50FE5D6F" w:rsidR="00C23F3A" w:rsidRDefault="00C23F3A" w:rsidP="00C23F3A">
      <w:pPr>
        <w:pStyle w:val="corpsdedcision"/>
      </w:pPr>
      <w:r>
        <w:t xml:space="preserve">Si le </w:t>
      </w:r>
      <w:r w:rsidR="00B918D1">
        <w:t>T</w:t>
      </w:r>
      <w:r>
        <w:t>ribunal retient que la présomption s’applique, l’employeur devra démontrer que la sanction ou la mesure envers l</w:t>
      </w:r>
      <w:r w:rsidR="00EE5299">
        <w:t>a</w:t>
      </w:r>
      <w:r>
        <w:t xml:space="preserve"> travailleu</w:t>
      </w:r>
      <w:r w:rsidR="00EE5299">
        <w:t>se</w:t>
      </w:r>
      <w:r>
        <w:t xml:space="preserve"> était justifiée par une </w:t>
      </w:r>
      <w:r w:rsidR="008C7E7E">
        <w:t xml:space="preserve">autre </w:t>
      </w:r>
      <w:r>
        <w:t>cause juste et suffisante.</w:t>
      </w:r>
    </w:p>
    <w:p w14:paraId="2BF07DC9" w14:textId="5E77552A" w:rsidR="00C23F3A" w:rsidRDefault="00C23F3A" w:rsidP="00EE5299">
      <w:pPr>
        <w:pStyle w:val="corpsdedcision"/>
      </w:pPr>
      <w:r>
        <w:t>L</w:t>
      </w:r>
      <w:r w:rsidR="00B918D1">
        <w:t>a</w:t>
      </w:r>
      <w:r>
        <w:t xml:space="preserve"> travailleu</w:t>
      </w:r>
      <w:r w:rsidR="00B918D1">
        <w:t>se</w:t>
      </w:r>
      <w:r>
        <w:t xml:space="preserve"> exerce le métier d</w:t>
      </w:r>
      <w:r w:rsidR="00EE5299">
        <w:t>’éducatrice</w:t>
      </w:r>
      <w:r>
        <w:t xml:space="preserve"> et </w:t>
      </w:r>
      <w:r w:rsidR="00EE5299">
        <w:t>elle</w:t>
      </w:r>
      <w:r>
        <w:t xml:space="preserve"> subit une lésion professionnelle le </w:t>
      </w:r>
      <w:r w:rsidR="00EE5299">
        <w:t>6</w:t>
      </w:r>
      <w:r>
        <w:t> septembre 20</w:t>
      </w:r>
      <w:r w:rsidR="00EE5299">
        <w:t>22.</w:t>
      </w:r>
      <w:r>
        <w:t xml:space="preserve"> </w:t>
      </w:r>
      <w:r w:rsidR="001E6239">
        <w:t>Selon madame Julie Beaudoin, directrice</w:t>
      </w:r>
      <w:r w:rsidR="003E4120">
        <w:t xml:space="preserve"> </w:t>
      </w:r>
      <w:r w:rsidR="001E6239">
        <w:t xml:space="preserve">générale chez l’employeur, la travailleuse travaille à temps plein du 17 septembre au 17 octobre 2022, puis elle est en arrêt de travail du 18 octobre au 14 novembre 2022. Par la suite, elle est </w:t>
      </w:r>
      <w:r w:rsidR="008C7E7E">
        <w:t xml:space="preserve">progressivement </w:t>
      </w:r>
      <w:r w:rsidR="001E6239">
        <w:t>de retour au travail du 15 novembre 2022 au 29 septembre 2023 à raison de deux puis de trois journées par semaine</w:t>
      </w:r>
      <w:r w:rsidR="00136752">
        <w:t>,</w:t>
      </w:r>
      <w:r w:rsidR="001E6239">
        <w:t xml:space="preserve"> selon la recommandation du professionnel de la santé qui a charge. </w:t>
      </w:r>
      <w:r w:rsidR="0050612F">
        <w:t>La Commission verse une indemnité de remplacement du revenu à la travailleuse pour les heures qui ne sont pas travaillées.</w:t>
      </w:r>
    </w:p>
    <w:p w14:paraId="3DDDDC1B" w14:textId="6669E620" w:rsidR="0050612F" w:rsidRDefault="0050612F" w:rsidP="00EE5299">
      <w:pPr>
        <w:pStyle w:val="corpsdedcision"/>
      </w:pPr>
      <w:r>
        <w:t>À compter du 30 septembre 2023, la travailleuse est toujours en retour au travail progressif à raison de trois jours par semaine, toutefois, l’employeur lui paie alors la totalité de son salaire et de ses avantages. Puis, à partir du 6 janvier 2024, elle exerce son travail à temps plein à raison de 36 heures par semaine.</w:t>
      </w:r>
    </w:p>
    <w:p w14:paraId="3CC187AE" w14:textId="2620534A" w:rsidR="00C23F3A" w:rsidRDefault="00C23F3A" w:rsidP="00C23F3A">
      <w:pPr>
        <w:pStyle w:val="corpsdedcision"/>
      </w:pPr>
      <w:r>
        <w:t>L</w:t>
      </w:r>
      <w:r w:rsidR="0050612F">
        <w:t>a</w:t>
      </w:r>
      <w:r>
        <w:t xml:space="preserve"> travailleu</w:t>
      </w:r>
      <w:r w:rsidR="0050612F">
        <w:t>se</w:t>
      </w:r>
      <w:r>
        <w:t xml:space="preserve"> dépose une plainte selon l’article 32 de la </w:t>
      </w:r>
      <w:r w:rsidR="008F2C01">
        <w:t>Loi</w:t>
      </w:r>
      <w:r>
        <w:t xml:space="preserve"> le 2</w:t>
      </w:r>
      <w:r w:rsidR="008F2C01">
        <w:t>5</w:t>
      </w:r>
      <w:r>
        <w:t> </w:t>
      </w:r>
      <w:r w:rsidR="008F2C01">
        <w:t>août</w:t>
      </w:r>
      <w:r>
        <w:t> 20</w:t>
      </w:r>
      <w:r w:rsidR="008F2C01">
        <w:t>23</w:t>
      </w:r>
      <w:r>
        <w:t xml:space="preserve">. </w:t>
      </w:r>
      <w:r w:rsidR="008F2C01">
        <w:t xml:space="preserve">Elle désire recevoir une pleine indemnité de </w:t>
      </w:r>
      <w:r w:rsidR="003E4120">
        <w:t>vacances</w:t>
      </w:r>
      <w:r w:rsidR="008F2C01">
        <w:t xml:space="preserve"> comme elle aurait eu droit si elle n’avait pas </w:t>
      </w:r>
      <w:r w:rsidR="003E4120">
        <w:t>subi</w:t>
      </w:r>
      <w:r w:rsidR="008F2C01">
        <w:t xml:space="preserve"> de lésion professionnelle. </w:t>
      </w:r>
    </w:p>
    <w:p w14:paraId="2591A3A7" w14:textId="69F822E2" w:rsidR="006B03A7" w:rsidRDefault="00136752" w:rsidP="00F2115D">
      <w:pPr>
        <w:pStyle w:val="corpsdedcision"/>
        <w:spacing w:after="240"/>
      </w:pPr>
      <w:r w:rsidRPr="00136752">
        <w:t>Madame Benkabbou</w:t>
      </w:r>
      <w:r w:rsidRPr="00136752" w:rsidDel="00136752">
        <w:t xml:space="preserve"> </w:t>
      </w:r>
      <w:r w:rsidR="006B03A7">
        <w:t xml:space="preserve">mentionne lors de l’audience qu’elle devrait recevoir le salaire et les avantages liés à son emploi puisqu’elle exerçait un travail en assignation temporaire. </w:t>
      </w:r>
      <w:r>
        <w:t xml:space="preserve">La travailleuse </w:t>
      </w:r>
      <w:r w:rsidR="006B03A7">
        <w:t>estime que l’article 180 de la Loi pourrait s’appliquer dans ce cas.</w:t>
      </w:r>
    </w:p>
    <w:p w14:paraId="2E569813" w14:textId="583AC7E2" w:rsidR="006B03A7" w:rsidRDefault="006B03A7" w:rsidP="00F2115D">
      <w:pPr>
        <w:pStyle w:val="articlesdelaLATMP"/>
        <w:spacing w:after="120"/>
      </w:pPr>
      <w:r w:rsidRPr="00980072">
        <w:rPr>
          <w:b/>
        </w:rPr>
        <w:t>180.</w:t>
      </w:r>
      <w:r w:rsidR="00136752">
        <w:tab/>
      </w:r>
      <w:r>
        <w:t>L’employeur verse au travailleur qui fait le travail qu’il lui assigne temporairement le salaire et les avantages liés à son emploi et dont il bénéficierait s’il avait continué à l’exercer.</w:t>
      </w:r>
    </w:p>
    <w:p w14:paraId="77D8423C" w14:textId="77777777" w:rsidR="006B03A7" w:rsidRDefault="006B03A7" w:rsidP="00F2115D">
      <w:pPr>
        <w:pStyle w:val="articlesdelaLATMP"/>
        <w:spacing w:after="120"/>
      </w:pPr>
      <w:r>
        <w:t>Lorsqu’il assigne au travailleur un travail comportant un nombre d’heures inférieur à celui habituellement fourni dans le cadre de son emploi, l’employeur indique sur le formulaire d’assignation temporaire l’option qu’il choisit pour le versement du salaire au travailleur, parmi les suivantes:</w:t>
      </w:r>
    </w:p>
    <w:p w14:paraId="322A8D71" w14:textId="57A87800" w:rsidR="006B03A7" w:rsidRDefault="006B03A7" w:rsidP="00F2115D">
      <w:pPr>
        <w:pStyle w:val="articlesdelaLATMP"/>
        <w:spacing w:after="120"/>
      </w:pPr>
      <w:r>
        <w:t>1°</w:t>
      </w:r>
      <w:r w:rsidR="00136752">
        <w:tab/>
      </w:r>
      <w:r>
        <w:t>le même salaire et les mêmes avantages que ceux prévus au premier alinéa;</w:t>
      </w:r>
    </w:p>
    <w:p w14:paraId="60270587" w14:textId="0D2ADAA1" w:rsidR="006B03A7" w:rsidRDefault="006B03A7" w:rsidP="00F2115D">
      <w:pPr>
        <w:pStyle w:val="articlesdelaLATMP"/>
        <w:spacing w:after="120"/>
      </w:pPr>
      <w:r>
        <w:t>2°</w:t>
      </w:r>
      <w:r w:rsidR="00136752">
        <w:tab/>
      </w:r>
      <w:r>
        <w:t>le salaire et les avantages prévus au premier alinéa, mais uniquement pour les heures de travail que comporte l’assignation temporaire.</w:t>
      </w:r>
    </w:p>
    <w:p w14:paraId="675F4232" w14:textId="77777777" w:rsidR="006B03A7" w:rsidRDefault="006B03A7" w:rsidP="00F2115D">
      <w:pPr>
        <w:pStyle w:val="articlesdelaLATMP"/>
        <w:spacing w:after="120"/>
      </w:pPr>
      <w:r>
        <w:t>L’employeur peut demander par écrit à la Commission de modifier l’option choisie en vertu du deuxième alinéa. Cependant, il ne peut se prévaloir de cette possibilité qu’une seule fois pour une même assignation temporaire. Une telle modification prend effet à compter de la date de la demande.</w:t>
      </w:r>
    </w:p>
    <w:p w14:paraId="32FFD6C9" w14:textId="1BAFAB81" w:rsidR="006B03A7" w:rsidRDefault="006B03A7" w:rsidP="00F2115D">
      <w:pPr>
        <w:pStyle w:val="articlesdelaLATMP"/>
        <w:spacing w:after="120"/>
      </w:pPr>
      <w:r>
        <w:t>Si l’employeur choisit l’option prévue au paragraphe 1° du deuxième alinéa, il peut, dans les 90 jours de la fin d’une période de paie, faire parvenir à la Commission la déclaration des heures travaillées par le travailleur afin d’obtenir un remboursement correspondant au salaire net versé pour les heures payées</w:t>
      </w:r>
      <w:r w:rsidR="00947EB9">
        <w:t>,</w:t>
      </w:r>
      <w:r>
        <w:t xml:space="preserve"> mais non travaillées, jusqu’à concurrence du montant de l’indemnité de remplacement du revenu auquel le travailleur aurait droit</w:t>
      </w:r>
      <w:r w:rsidR="00947EB9">
        <w:t>,</w:t>
      </w:r>
      <w:r>
        <w:t xml:space="preserve"> n’eût été de cette assignation. Ce montant constitue une indemnité de remplacement du revenu à laquelle le travailleur a droit ou une prestation de réadaptation lorsqu’il est versé en application de l’article 167.2.</w:t>
      </w:r>
    </w:p>
    <w:p w14:paraId="6E68DF42" w14:textId="10A6B2C1" w:rsidR="006B03A7" w:rsidRDefault="006B03A7" w:rsidP="00F2115D">
      <w:pPr>
        <w:pStyle w:val="articlesdelaLATMP"/>
        <w:spacing w:after="120"/>
      </w:pPr>
      <w:r>
        <w:t>Si l’employeur choisit l’option prévue au paragraphe 2° du deuxième alinéa, la Commission verse au travailleur une indemnité de remplacement du revenu pour combler la différence entre le montant de l’indemnité de remplacement du revenu auquel il aurait droit</w:t>
      </w:r>
      <w:r w:rsidR="00947EB9">
        <w:t>,</w:t>
      </w:r>
      <w:r>
        <w:t xml:space="preserve"> n’eût été de cette assignation</w:t>
      </w:r>
      <w:r w:rsidR="00947EB9">
        <w:t>,</w:t>
      </w:r>
      <w:r>
        <w:t xml:space="preserve"> et le salaire net qui lui est versé par l’employeur pour ce travail. Lorsque ce montant est versé en application de l’article 167.2, il constitue une prestation de réadaptation.</w:t>
      </w:r>
    </w:p>
    <w:p w14:paraId="542E58F1" w14:textId="77777777" w:rsidR="006B03A7" w:rsidRDefault="006B03A7" w:rsidP="00F2115D">
      <w:pPr>
        <w:pStyle w:val="articlesdelaLATMP"/>
        <w:spacing w:after="120"/>
      </w:pPr>
      <w:r>
        <w:t>Aux fins du présent article, le salaire net versé au travailleur est égal au salaire brut qui lui a été versé moins les retenues prévues aux paragraphes 1° à 4° du premier alinéa de l’article 62 et les autres retenues à caractère obligatoire, dont celles prévues par un contrat de travail ou une convention collective.</w:t>
      </w:r>
    </w:p>
    <w:p w14:paraId="36BCCE94" w14:textId="77777777" w:rsidR="006B03A7" w:rsidRDefault="006B03A7" w:rsidP="00F2115D">
      <w:pPr>
        <w:pStyle w:val="articlesdelaLATMP"/>
        <w:spacing w:after="360"/>
      </w:pPr>
      <w:r>
        <w:t>Le délai prévu au quatrième alinéa ne peut être prolongé que si l’employeur démontre qu’il était dans l’impossibilité d’agir.</w:t>
      </w:r>
    </w:p>
    <w:p w14:paraId="518420B6" w14:textId="6E6FAFDB" w:rsidR="006B03A7" w:rsidRDefault="008C7E7E" w:rsidP="00C23F3A">
      <w:pPr>
        <w:pStyle w:val="corpsdedcision"/>
      </w:pPr>
      <w:r>
        <w:t>Bien que certaines décisions</w:t>
      </w:r>
      <w:r>
        <w:rPr>
          <w:rStyle w:val="Appelnotedebasdep"/>
        </w:rPr>
        <w:footnoteReference w:id="4"/>
      </w:r>
      <w:r>
        <w:t xml:space="preserve"> adoptent une position contraire, l</w:t>
      </w:r>
      <w:r w:rsidR="006B03A7">
        <w:t>e Tribunal est d’avis que cet article ne s’applique</w:t>
      </w:r>
      <w:r w:rsidR="00AC5FE5">
        <w:t xml:space="preserve"> pas</w:t>
      </w:r>
      <w:r w:rsidR="006B03A7">
        <w:t xml:space="preserve"> dans le cas de la travailleuse puisqu</w:t>
      </w:r>
      <w:r w:rsidR="002F3228">
        <w:t>e la preuve prépondérante ne démontre pas qu</w:t>
      </w:r>
      <w:r w:rsidR="006B03A7">
        <w:t>’elle était en assignation temporaire. En effet, le médecin qui a charge de la travailleuse indique que celle-ci peut exercer son travail habituel et exercer un retour au travail progressif. De plus, aucun formulaire d’assignation temporaire n’est présent au dossier. Dans le cas d’une assignation temporaire, l’employeur doit faire une option et décider s’il verse la totalité du salaire et des avantages</w:t>
      </w:r>
      <w:r w:rsidR="001D1A77">
        <w:t>,</w:t>
      </w:r>
      <w:r w:rsidR="006B03A7">
        <w:t xml:space="preserve"> ou s’il ne verse que les montants correspondant aux heures travaillées. La preuve ne démontre pas qu’il s’agit d’une assignation temporaire, mais même s’il en s’agissait d’une, l’employeur a la possibilité de ne verser que le salaire et les avantages pour les heures travaillées. </w:t>
      </w:r>
    </w:p>
    <w:p w14:paraId="5E310D42" w14:textId="50DD7F72" w:rsidR="006B03A7" w:rsidRDefault="006B03A7" w:rsidP="00C23F3A">
      <w:pPr>
        <w:pStyle w:val="corpsdedcision"/>
      </w:pPr>
      <w:r>
        <w:t xml:space="preserve">Le Tribunal rappelle que dans notre dossier, la Commission a versé une indemnité de remplacement du revenu à la travailleuse pour les jours non travaillés du </w:t>
      </w:r>
      <w:r w:rsidR="001D1A77">
        <w:t>15 novembre </w:t>
      </w:r>
      <w:r>
        <w:t xml:space="preserve">2022 au 29 septembre 2023. </w:t>
      </w:r>
    </w:p>
    <w:p w14:paraId="1802E5C7" w14:textId="7FAC9FA7" w:rsidR="00C23F3A" w:rsidRDefault="00C23F3A" w:rsidP="00F2115D">
      <w:pPr>
        <w:pStyle w:val="corpsdedcision"/>
        <w:spacing w:after="240"/>
      </w:pPr>
      <w:r>
        <w:t xml:space="preserve">L’article 242 de la </w:t>
      </w:r>
      <w:r w:rsidR="00C565D8">
        <w:t>L</w:t>
      </w:r>
      <w:r>
        <w:t xml:space="preserve">oi prévoit les droits d’un travailleur qui réintègre son emploi. </w:t>
      </w:r>
    </w:p>
    <w:p w14:paraId="2DFC54BF" w14:textId="3F1EA838" w:rsidR="00C565D8" w:rsidRDefault="00C565D8" w:rsidP="00F2115D">
      <w:pPr>
        <w:pStyle w:val="articlesdelaLATMP"/>
        <w:spacing w:after="120"/>
      </w:pPr>
      <w:r w:rsidRPr="00155AC2">
        <w:rPr>
          <w:b/>
        </w:rPr>
        <w:t>242.</w:t>
      </w:r>
      <w:r>
        <w:t xml:space="preserve">  Le travailleur qui réintègre son emploi ou un emploi équivalent a droit de recevoir le salaire et les avantages aux mêmes taux et conditions que ceux dont il bénéficierait s</w:t>
      </w:r>
      <w:r w:rsidR="00F2115D">
        <w:t>’</w:t>
      </w:r>
      <w:r>
        <w:t>il avait continué à exercer son emploi pendant son absence.</w:t>
      </w:r>
    </w:p>
    <w:p w14:paraId="32F0A3BA" w14:textId="4D841EB4" w:rsidR="00C565D8" w:rsidRDefault="00C565D8" w:rsidP="00F2115D">
      <w:pPr>
        <w:pStyle w:val="articlesdelaLATMP"/>
        <w:spacing w:after="360"/>
      </w:pPr>
      <w:r>
        <w:t>Le travailleur qui occupe un emploi convenable a droit de recevoir le salaire et les avantages liés à cet emploi, en tenant compte de l</w:t>
      </w:r>
      <w:r w:rsidR="00F2115D">
        <w:t>’</w:t>
      </w:r>
      <w:r>
        <w:t>ancienneté et du service continu qu</w:t>
      </w:r>
      <w:r w:rsidR="00F2115D">
        <w:t>’</w:t>
      </w:r>
      <w:r>
        <w:t>il a accumulés.</w:t>
      </w:r>
    </w:p>
    <w:p w14:paraId="2736519A" w14:textId="07B125D1" w:rsidR="00C565D8" w:rsidRDefault="00C565D8" w:rsidP="00F2115D">
      <w:pPr>
        <w:pStyle w:val="corpsdedcision"/>
        <w:spacing w:after="240"/>
      </w:pPr>
      <w:r>
        <w:t>Tandis que l’article 235 prévoit ce qu’un travailleur peut accumuler lors de son absence du travail à la suite d’une lésion professionnelle.</w:t>
      </w:r>
    </w:p>
    <w:p w14:paraId="41E3C155" w14:textId="77777777" w:rsidR="00C565D8" w:rsidRDefault="00C565D8" w:rsidP="00F2115D">
      <w:pPr>
        <w:pStyle w:val="articlesdelaLATMP"/>
        <w:spacing w:after="120"/>
      </w:pPr>
      <w:r w:rsidRPr="00155AC2">
        <w:rPr>
          <w:b/>
        </w:rPr>
        <w:t>235.</w:t>
      </w:r>
      <w:r>
        <w:t xml:space="preserve">  Le travailleur qui s’absente de son travail en raison de sa lésion professionnelle:</w:t>
      </w:r>
    </w:p>
    <w:p w14:paraId="20D38256" w14:textId="41230D24" w:rsidR="00C565D8" w:rsidRDefault="00C565D8" w:rsidP="00F2115D">
      <w:pPr>
        <w:pStyle w:val="articlesdelaLATMP"/>
        <w:spacing w:after="120"/>
      </w:pPr>
      <w:r>
        <w:t>1°</w:t>
      </w:r>
      <w:r w:rsidR="001D1A77">
        <w:tab/>
      </w:r>
      <w:r>
        <w:t>continue d’accumuler de l’ancienneté au sens de la convention collective qui lui est applicable et du service continu au sens de cette convention et au sens de la Loi sur les normes du travail (chapitre N-1.1);</w:t>
      </w:r>
    </w:p>
    <w:p w14:paraId="2CD6BC98" w14:textId="4EF3F55F" w:rsidR="00C565D8" w:rsidRDefault="00C565D8" w:rsidP="00F2115D">
      <w:pPr>
        <w:pStyle w:val="articlesdelaLATMP"/>
        <w:spacing w:after="120"/>
      </w:pPr>
      <w:r>
        <w:t>2°</w:t>
      </w:r>
      <w:r w:rsidR="001D1A77">
        <w:tab/>
      </w:r>
      <w:r>
        <w:t>continue de participer aux régimes de retraite et d’assurances offerts dans l’établissement, pourvu qu’il paie sa part des cotisations exigibles, s’il y a lieu, auquel cas son employeur assume la sienne.</w:t>
      </w:r>
    </w:p>
    <w:p w14:paraId="3D38E494" w14:textId="77777777" w:rsidR="00C565D8" w:rsidRDefault="00C565D8" w:rsidP="00F2115D">
      <w:pPr>
        <w:pStyle w:val="articlesdelaLATMP"/>
        <w:spacing w:after="360"/>
      </w:pPr>
      <w:r>
        <w:t>Le présent article s’applique au travailleur jusqu’à ce qu’une décision de la Commission dispose de sa réintégration chez son employeur.</w:t>
      </w:r>
    </w:p>
    <w:p w14:paraId="6DB57C51" w14:textId="360C4425" w:rsidR="00C565D8" w:rsidRDefault="00072165" w:rsidP="00C23F3A">
      <w:pPr>
        <w:pStyle w:val="corpsdedcision"/>
      </w:pPr>
      <w:r>
        <w:t xml:space="preserve">Dans notre dossier, la travailleuse a exercé un emploi chez l’employeur durant environ un mois à la suite de l’évènement, puis elle a été en arrêt de travail pour finalement revenir exercer son emploi habituel avec un retour au travail progressif à raison de deux ou trois jours par semaine. Pour cette dernière période, la Commission versait une indemnité de remplacement du revenu à la travailleuse pour les jours non travaillés. </w:t>
      </w:r>
    </w:p>
    <w:p w14:paraId="2E585C68" w14:textId="2EF4E100" w:rsidR="00072165" w:rsidRDefault="00072165" w:rsidP="00F2115D">
      <w:pPr>
        <w:pStyle w:val="corpsdedcision"/>
        <w:spacing w:after="240"/>
      </w:pPr>
      <w:r>
        <w:t>Le Tribunal interprète l’article 242 de la Loi selon deux courants</w:t>
      </w:r>
      <w:r w:rsidR="003B19EE">
        <w:t xml:space="preserve"> jurisprudentiels</w:t>
      </w:r>
      <w:r>
        <w:t xml:space="preserve">, et ce, depuis de nombreuses années. La décision </w:t>
      </w:r>
      <w:r w:rsidRPr="00AB1159">
        <w:rPr>
          <w:i/>
        </w:rPr>
        <w:t>Centre hospitalier de l’Université de Montréal</w:t>
      </w:r>
      <w:r w:rsidR="004B3880" w:rsidRPr="004B3880">
        <w:rPr>
          <w:i/>
        </w:rPr>
        <w:t>(Pavillon Notre-Dame)</w:t>
      </w:r>
      <w:r>
        <w:t xml:space="preserve"> et </w:t>
      </w:r>
      <w:r w:rsidRPr="00AB1159">
        <w:rPr>
          <w:i/>
        </w:rPr>
        <w:t>Chicoine</w:t>
      </w:r>
      <w:r w:rsidRPr="00072165">
        <w:rPr>
          <w:rStyle w:val="Appelnotedebasdep"/>
          <w:iCs/>
        </w:rPr>
        <w:footnoteReference w:id="5"/>
      </w:r>
      <w:r w:rsidRPr="00072165">
        <w:rPr>
          <w:iCs/>
        </w:rPr>
        <w:t xml:space="preserve"> </w:t>
      </w:r>
      <w:r>
        <w:t>résume bien les deux positions :</w:t>
      </w:r>
    </w:p>
    <w:p w14:paraId="0EDDCC90" w14:textId="7F7A5CC6" w:rsidR="00072165" w:rsidRDefault="00072165" w:rsidP="00F2115D">
      <w:pPr>
        <w:pStyle w:val="citation"/>
        <w:spacing w:after="120"/>
      </w:pPr>
      <w:r>
        <w:t>[38]</w:t>
      </w:r>
      <w:r w:rsidR="001D1A77">
        <w:tab/>
      </w:r>
      <w:r w:rsidRPr="00E61756">
        <w:t>Selon un premier courant</w:t>
      </w:r>
      <w:r>
        <w:rPr>
          <w:vertAlign w:val="superscript"/>
        </w:rPr>
        <w:t>5</w:t>
      </w:r>
      <w:r w:rsidRPr="00E61756">
        <w:t>, l’article 242 crée une fiction selon laquelle il faut considérer la période d’absence d’un travailleur à la suite d’une lésion professionnelle comme s’il s’agissait de temps travaillé afin qu’à son retour au travail il ne soit pas pénalisé du fait qu’il a été victime d’une lésion professionnelle</w:t>
      </w:r>
      <w:r>
        <w:rPr>
          <w:vertAlign w:val="superscript"/>
        </w:rPr>
        <w:t>6</w:t>
      </w:r>
      <w:r w:rsidRPr="00E61756">
        <w:t>. Les tenants de ce courant sont divisés cependant quant à la portée rétr</w:t>
      </w:r>
      <w:r>
        <w:t>oactive de cette fiction.  Pour </w:t>
      </w:r>
      <w:r w:rsidRPr="00E61756">
        <w:t>certains, le salaire et les avantages sont payables s’ils ont été accumulés pendant l’absence. L’article 242 couvre la situation lors du retour et pour le futur. Quant au passé, c’est l’article 67 qui couvre cette situation puisque l’on tient compte du passé pour indemniser le travailleur.  Tous les avantages sont considérés de la même façon. Pour les autres, on ne reconnaît un avantage que pour le futur parce que les avantages sont pris en compte dans le calcul de l</w:t>
      </w:r>
      <w:r w:rsidR="00F2115D">
        <w:t>’</w:t>
      </w:r>
      <w:r w:rsidRPr="00E61756">
        <w:t>indemnité de remplacement du revenu par l’application de l’article 67. Les avantages ne sont pas tous égaux et on module l’interprétation de ces dispositions en fonction de l’avantage réclamé.</w:t>
      </w:r>
    </w:p>
    <w:p w14:paraId="2E823BB1" w14:textId="68DBB175" w:rsidR="00072165" w:rsidRDefault="00072165" w:rsidP="00F2115D">
      <w:pPr>
        <w:pStyle w:val="citation"/>
        <w:spacing w:after="120"/>
      </w:pPr>
      <w:r>
        <w:t>[39]</w:t>
      </w:r>
      <w:r>
        <w:tab/>
      </w:r>
      <w:r w:rsidRPr="00417A13">
        <w:t xml:space="preserve">Selon </w:t>
      </w:r>
      <w:r>
        <w:t>un deuxième courant</w:t>
      </w:r>
      <w:r>
        <w:rPr>
          <w:vertAlign w:val="superscript"/>
        </w:rPr>
        <w:t>7</w:t>
      </w:r>
      <w:r w:rsidRPr="00417A13">
        <w:t>, l’absence à la suite d’une lésion professionnelle n’équivaut pas à une période de travail</w:t>
      </w:r>
      <w:r>
        <w:rPr>
          <w:vertAlign w:val="superscript"/>
        </w:rPr>
        <w:t>8</w:t>
      </w:r>
      <w:r w:rsidRPr="00417A13">
        <w:t>. En effet, le travailleur doit se retrouver, lors de son retour au travail, dans la même situation que celle où il aurait été s’il ne s’était pas absenté en raison d’une lésion professionnelle</w:t>
      </w:r>
      <w:r>
        <w:rPr>
          <w:vertAlign w:val="superscript"/>
        </w:rPr>
        <w:t>9</w:t>
      </w:r>
      <w:r w:rsidRPr="00417A13">
        <w:t>.</w:t>
      </w:r>
      <w:r>
        <w:t xml:space="preserve"> </w:t>
      </w:r>
      <w:r w:rsidRPr="00417A13">
        <w:t>Il ne s’agit donc pas de compenser de façon rétroactive le salaire et les avantages dont il aurait bénéficié durant cette période, mais seulement de retrouver le salaire et les avantages reliés à son emploi, aux mêmes taux et conditions que s’il était resté au travail.</w:t>
      </w:r>
      <w:r>
        <w:t xml:space="preserve"> </w:t>
      </w:r>
      <w:r w:rsidRPr="00417A13">
        <w:t xml:space="preserve"> Il faut se garder d’accorder une portée rétroactive à l’article 242.</w:t>
      </w:r>
      <w:r>
        <w:t xml:space="preserve"> Ainsi, l’article 67 comble tous les avantages prévus pendant l’absence et l’article 235 dresse la liste de ceux-ci aux fins de l’application de l’article 242</w:t>
      </w:r>
      <w:r>
        <w:rPr>
          <w:vertAlign w:val="superscript"/>
        </w:rPr>
        <w:t>10</w:t>
      </w:r>
      <w:r>
        <w:t>. Puisqu’on ne prend en compte le salaire et les avantages que pour le futur, le type d’avantage réclamé n’a aucune importance puisqu’il n’y aura aucune reconnaissance pendant la période d’absence.</w:t>
      </w:r>
    </w:p>
    <w:p w14:paraId="68B3917B" w14:textId="4F33B928" w:rsidR="001D1A77" w:rsidRDefault="00072165" w:rsidP="00C711E4">
      <w:pPr>
        <w:pStyle w:val="citation"/>
        <w:spacing w:after="240"/>
        <w:rPr>
          <w:sz w:val="24"/>
          <w:szCs w:val="24"/>
        </w:rPr>
      </w:pPr>
      <w:r w:rsidRPr="00072165">
        <w:rPr>
          <w:sz w:val="24"/>
          <w:szCs w:val="24"/>
        </w:rPr>
        <w:t>[Notes omises]</w:t>
      </w:r>
    </w:p>
    <w:p w14:paraId="0A89F8D4" w14:textId="15435D02" w:rsidR="00D66C63" w:rsidRDefault="00D66C63" w:rsidP="00F2115D">
      <w:pPr>
        <w:pStyle w:val="corpsdedcision"/>
        <w:tabs>
          <w:tab w:val="clear" w:pos="360"/>
          <w:tab w:val="num" w:pos="720"/>
        </w:tabs>
        <w:spacing w:after="240"/>
      </w:pPr>
      <w:r>
        <w:t>La Cour supérieure</w:t>
      </w:r>
      <w:r w:rsidR="00D719B1">
        <w:rPr>
          <w:rStyle w:val="Appelnotedebasdep"/>
        </w:rPr>
        <w:footnoteReference w:id="6"/>
      </w:r>
      <w:r>
        <w:t xml:space="preserve"> a déjà considéré que le premier courant constitue une issue possible et raisonnable, toutefois, elle se dit en désaccord avec celui-ci et considère qu’il n’y a pas lieu de rechercher une fiction juridique afin d’interpréter un article.</w:t>
      </w:r>
    </w:p>
    <w:p w14:paraId="3DD0D3C2" w14:textId="6BAC898C" w:rsidR="00D719B1" w:rsidRDefault="00D719B1" w:rsidP="00F2115D">
      <w:pPr>
        <w:pStyle w:val="citation"/>
        <w:spacing w:after="120"/>
      </w:pPr>
      <w:r>
        <w:t>[105]</w:t>
      </w:r>
      <w:r w:rsidR="001D1A77">
        <w:tab/>
      </w:r>
      <w:r>
        <w:t>Avec grands égards pour l’opinion contraire, un décideur ne devrait pas devoir créer ou avoir recours à une «</w:t>
      </w:r>
      <w:r w:rsidR="00F2115D">
        <w:t> </w:t>
      </w:r>
      <w:r>
        <w:t>fiction juridique</w:t>
      </w:r>
      <w:r w:rsidR="00F2115D">
        <w:t> </w:t>
      </w:r>
      <w:r>
        <w:t xml:space="preserve">» pour faire dire à un article de loi ce que celui-ci ne dit pas expressément afin de lui donner un sens ou une interprétation qu’il n’aurait pas autrement. </w:t>
      </w:r>
    </w:p>
    <w:p w14:paraId="3D7B7ED7" w14:textId="4372EDFF" w:rsidR="00D66C63" w:rsidRDefault="00D719B1" w:rsidP="000D0E87">
      <w:pPr>
        <w:pStyle w:val="citation"/>
        <w:spacing w:after="360"/>
      </w:pPr>
      <w:r>
        <w:t>[106]</w:t>
      </w:r>
      <w:r w:rsidR="007778AA">
        <w:tab/>
      </w:r>
      <w:r>
        <w:t>La simple lecture de l’article [242 de la LATMP] permet de bien comprendre le but recherché par le législateur sans nécessité d’y assortir une «</w:t>
      </w:r>
      <w:r w:rsidR="00F2115D">
        <w:t> </w:t>
      </w:r>
      <w:r>
        <w:t>fiction juridique</w:t>
      </w:r>
      <w:r w:rsidR="00F2115D">
        <w:t> </w:t>
      </w:r>
      <w:r>
        <w:t>» pour lui faire dire ce qu’il ne dit pas expressément. Qui plus est, comme l’arbitre L’Heureux l’a si bien mentionné dans la Sentence arbitrale, tant la Loi sur la santé et la sécurité du travail que la LATMP contiennent des exemples où le législateur a précisé expressément la mention qu’on tente d’imputer à l’article 242 de la LATMP par voie de «</w:t>
      </w:r>
      <w:r w:rsidR="00F2115D">
        <w:t> </w:t>
      </w:r>
      <w:r>
        <w:t>fiction juridique</w:t>
      </w:r>
      <w:r w:rsidR="00F2115D">
        <w:t> </w:t>
      </w:r>
      <w:r>
        <w:t>». Incidemment, il faut souligner qu’aux termes de la Décision CSST, la CSST n’a pas cru opportun d’avoir recours à la «</w:t>
      </w:r>
      <w:r w:rsidR="00F2115D">
        <w:t> </w:t>
      </w:r>
      <w:r>
        <w:t>fiction juridique</w:t>
      </w:r>
      <w:r w:rsidR="00F2115D">
        <w:t> </w:t>
      </w:r>
      <w:r>
        <w:t>» pour lui permettre d’accueillir la Plainte.</w:t>
      </w:r>
    </w:p>
    <w:p w14:paraId="7B745285" w14:textId="4AA629F0" w:rsidR="00072165" w:rsidRDefault="00845073" w:rsidP="000D0E87">
      <w:pPr>
        <w:pStyle w:val="corpsdedcision"/>
        <w:spacing w:after="240"/>
      </w:pPr>
      <w:r>
        <w:t xml:space="preserve">La convention collective régissant les parties entre 2020 et 2023 prévoit </w:t>
      </w:r>
      <w:r w:rsidR="006D1686">
        <w:t>notamment la durée d</w:t>
      </w:r>
      <w:r>
        <w:t>es congés annuels</w:t>
      </w:r>
      <w:r w:rsidR="006D1686">
        <w:t xml:space="preserve"> et le calcul de l’indemnité annuel</w:t>
      </w:r>
      <w:r w:rsidR="00947EB9" w:rsidRPr="00790A1C">
        <w:rPr>
          <w:color w:val="000000" w:themeColor="text1"/>
        </w:rPr>
        <w:t>le</w:t>
      </w:r>
      <w:r w:rsidR="006D1686">
        <w:t xml:space="preserve">. </w:t>
      </w:r>
    </w:p>
    <w:p w14:paraId="60506013" w14:textId="77777777" w:rsidR="009D745E" w:rsidRDefault="009D745E" w:rsidP="00F2115D">
      <w:pPr>
        <w:pStyle w:val="citation"/>
        <w:spacing w:after="240"/>
      </w:pPr>
      <w:r>
        <w:t xml:space="preserve">ARTICLE 18 CONGÉS ANNUELS </w:t>
      </w:r>
    </w:p>
    <w:p w14:paraId="1EB82552" w14:textId="77777777" w:rsidR="009D745E" w:rsidRPr="009D745E" w:rsidRDefault="009D745E" w:rsidP="0071728F">
      <w:pPr>
        <w:pStyle w:val="citation"/>
        <w:spacing w:after="120"/>
        <w:rPr>
          <w:b/>
          <w:bCs/>
        </w:rPr>
      </w:pPr>
      <w:r w:rsidRPr="009D745E">
        <w:rPr>
          <w:b/>
          <w:bCs/>
        </w:rPr>
        <w:t xml:space="preserve">18.1 Durée du congé annuel </w:t>
      </w:r>
    </w:p>
    <w:p w14:paraId="6ABCEEBE" w14:textId="77777777" w:rsidR="009D745E" w:rsidRDefault="009D745E" w:rsidP="001C4DFD">
      <w:pPr>
        <w:pStyle w:val="citation"/>
        <w:spacing w:after="120"/>
      </w:pPr>
      <w:r>
        <w:t xml:space="preserve">L’échelle de congés annuels payés est la suivante : </w:t>
      </w:r>
    </w:p>
    <w:p w14:paraId="39631E0D" w14:textId="1E00304D" w:rsidR="009D745E" w:rsidRDefault="009D745E" w:rsidP="000D0E87">
      <w:pPr>
        <w:pStyle w:val="citation"/>
        <w:spacing w:after="60"/>
      </w:pPr>
      <w:r>
        <w:t>a) La travailleuse ayant moins d</w:t>
      </w:r>
      <w:r w:rsidR="00F2115D">
        <w:t>’</w:t>
      </w:r>
      <w:r>
        <w:t>un (1) an de service au 31 mars a droit à un (1) jour de congé annuel payé pour chaque mois de service, jusqu’à concurrence de deux (2) semaines. La travailleuse ayant droit à moins de deux (2) semaines de congé payé peut compléter son congé jusqu</w:t>
      </w:r>
      <w:r w:rsidR="00F2115D">
        <w:t>’</w:t>
      </w:r>
      <w:r>
        <w:t xml:space="preserve">à concurrence de trois (3) semaines consécutives, à ses frais; </w:t>
      </w:r>
    </w:p>
    <w:p w14:paraId="22780846" w14:textId="4FE84638" w:rsidR="009D745E" w:rsidRDefault="009D745E" w:rsidP="000D0E87">
      <w:pPr>
        <w:pStyle w:val="citation"/>
        <w:spacing w:after="60"/>
      </w:pPr>
      <w:r>
        <w:t>b) La travailleuse ayant un (1) an et plus de service au 31 mars a droit à deux (2) semaines de congé annuel payé. La travailleuse ayant droit à deux (2) semaines de congé payé peut compléter son congé jusqu</w:t>
      </w:r>
      <w:r w:rsidR="00F2115D">
        <w:t>’</w:t>
      </w:r>
      <w:r>
        <w:t xml:space="preserve">à concurrence de trois (3) semaines consécutives, à ses frais; </w:t>
      </w:r>
    </w:p>
    <w:p w14:paraId="69B4C87E" w14:textId="0105247C" w:rsidR="009D745E" w:rsidRDefault="009D745E" w:rsidP="000D0E87">
      <w:pPr>
        <w:pStyle w:val="citation"/>
        <w:spacing w:after="60"/>
      </w:pPr>
      <w:r>
        <w:t xml:space="preserve">c) La travailleuse ayant trois (3) ans et plus de service au 31 mars a droit à trois (3) semaines de congé annuel payé; </w:t>
      </w:r>
    </w:p>
    <w:p w14:paraId="5C6FD968" w14:textId="0DD13D9C" w:rsidR="009D745E" w:rsidRDefault="009D745E" w:rsidP="000D0E87">
      <w:pPr>
        <w:pStyle w:val="citation"/>
        <w:spacing w:after="60"/>
      </w:pPr>
      <w:r>
        <w:t xml:space="preserve">d) La travailleuse ayant cinq (5) ans et plus de service au 31 mars a droit à quatre (4) semaines de congé annuel payé; </w:t>
      </w:r>
    </w:p>
    <w:p w14:paraId="2623900C" w14:textId="265B44CB" w:rsidR="009D745E" w:rsidRDefault="009D745E" w:rsidP="001C4DFD">
      <w:pPr>
        <w:pStyle w:val="citation"/>
        <w:spacing w:after="120"/>
      </w:pPr>
      <w:r>
        <w:t xml:space="preserve">e) La travailleuse ayant quinze (15) ans et plus de service au 31 mars a droit à cinq (5) semaines de congé annuel payé. </w:t>
      </w:r>
    </w:p>
    <w:p w14:paraId="3D91E7DB" w14:textId="5B32DEF4" w:rsidR="009D745E" w:rsidRPr="00F2115D" w:rsidRDefault="009D745E" w:rsidP="0071728F">
      <w:pPr>
        <w:pStyle w:val="citation"/>
        <w:spacing w:after="120"/>
        <w:rPr>
          <w:sz w:val="24"/>
          <w:szCs w:val="24"/>
        </w:rPr>
      </w:pPr>
      <w:r w:rsidRPr="00F2115D">
        <w:rPr>
          <w:sz w:val="24"/>
          <w:szCs w:val="24"/>
        </w:rPr>
        <w:t>[…]</w:t>
      </w:r>
    </w:p>
    <w:p w14:paraId="4097D50E" w14:textId="77777777" w:rsidR="009D745E" w:rsidRPr="009D745E" w:rsidRDefault="009D745E" w:rsidP="0071728F">
      <w:pPr>
        <w:pStyle w:val="citation"/>
        <w:spacing w:after="120"/>
        <w:rPr>
          <w:b/>
          <w:bCs/>
        </w:rPr>
      </w:pPr>
      <w:r w:rsidRPr="009D745E">
        <w:rPr>
          <w:b/>
          <w:bCs/>
        </w:rPr>
        <w:t xml:space="preserve">18.5 Indemnité de congé annuel </w:t>
      </w:r>
    </w:p>
    <w:p w14:paraId="2332FCAB" w14:textId="77777777" w:rsidR="009D745E" w:rsidRDefault="009D745E" w:rsidP="001C4DFD">
      <w:pPr>
        <w:pStyle w:val="citation"/>
        <w:spacing w:after="120"/>
      </w:pPr>
      <w:r>
        <w:t xml:space="preserve">Le calcul de l’indemnité de congé annuel s’effectue de la manière suivante : </w:t>
      </w:r>
    </w:p>
    <w:p w14:paraId="1D6A3BA0" w14:textId="4497A333" w:rsidR="009D745E" w:rsidRDefault="009D745E" w:rsidP="000D0E87">
      <w:pPr>
        <w:pStyle w:val="citation"/>
        <w:spacing w:after="60"/>
      </w:pPr>
      <w:r>
        <w:t>a) La travailleuse ayant moins d’un (1) an de service au 31 mars reçoit quatre pour cent (4</w:t>
      </w:r>
      <w:r w:rsidR="00FC2F15">
        <w:t> </w:t>
      </w:r>
      <w:r>
        <w:t xml:space="preserve">%) du salaire brut gagné pendant la période de référence. </w:t>
      </w:r>
    </w:p>
    <w:p w14:paraId="346EC1CC" w14:textId="1F2DA0AA" w:rsidR="009D745E" w:rsidRDefault="009D745E" w:rsidP="000D0E87">
      <w:pPr>
        <w:pStyle w:val="citation"/>
        <w:spacing w:after="60"/>
      </w:pPr>
      <w:r>
        <w:t xml:space="preserve">b) La travailleuse ayant un an de service et plus au 31 mars reçoit deux pour cent (2 %) du salaire brut gagné pendant l’année de référence, pour chaque semaine de congé annuel à laquelle elle a droit en vertu de la clause 18.1. </w:t>
      </w:r>
    </w:p>
    <w:p w14:paraId="5D745814" w14:textId="48AC8ADF" w:rsidR="009D745E" w:rsidRDefault="009D745E" w:rsidP="000D0E87">
      <w:pPr>
        <w:pStyle w:val="citation"/>
        <w:spacing w:after="60"/>
      </w:pPr>
      <w:r>
        <w:t xml:space="preserve">c) L’indemnité de congé annuel ne peut être diminuée, si la travailleuse s’est prévalue de l’un des congés suivants et qu’elle a offert une prestation de travail durant l’année de référence : </w:t>
      </w:r>
    </w:p>
    <w:p w14:paraId="4A7BD4DE" w14:textId="77777777" w:rsidR="009D745E" w:rsidRDefault="009D745E" w:rsidP="000D0E87">
      <w:pPr>
        <w:pStyle w:val="citation"/>
        <w:spacing w:after="40"/>
      </w:pPr>
      <w:r>
        <w:t xml:space="preserve">- congé de maternité; </w:t>
      </w:r>
    </w:p>
    <w:p w14:paraId="0BA23812" w14:textId="77777777" w:rsidR="009D745E" w:rsidRDefault="009D745E" w:rsidP="000D0E87">
      <w:pPr>
        <w:pStyle w:val="citation"/>
        <w:spacing w:after="40"/>
      </w:pPr>
      <w:r>
        <w:t xml:space="preserve">- congé de paternité; </w:t>
      </w:r>
    </w:p>
    <w:p w14:paraId="694DC1D5" w14:textId="77777777" w:rsidR="009D745E" w:rsidRDefault="009D745E" w:rsidP="000D0E87">
      <w:pPr>
        <w:pStyle w:val="citation"/>
        <w:spacing w:after="40"/>
      </w:pPr>
      <w:r>
        <w:t xml:space="preserve">- retrait préventif; </w:t>
      </w:r>
    </w:p>
    <w:p w14:paraId="67120A87" w14:textId="77777777" w:rsidR="009D745E" w:rsidRDefault="009D745E" w:rsidP="000D0E87">
      <w:pPr>
        <w:pStyle w:val="citation"/>
        <w:spacing w:after="40"/>
      </w:pPr>
      <w:r>
        <w:t xml:space="preserve">- tout congé non rémunéré de quatre (4) semaines ou moins; </w:t>
      </w:r>
    </w:p>
    <w:p w14:paraId="6B22BBF5" w14:textId="159EB193" w:rsidR="00FC2F15" w:rsidRDefault="00FC2F15" w:rsidP="000D0E87">
      <w:pPr>
        <w:pStyle w:val="citation"/>
        <w:spacing w:after="60"/>
      </w:pPr>
      <w:r>
        <w:t xml:space="preserve">- absence de 26 semaines ou moins sur une période de 12 mois pour cause de maladie (autre que maladie professionnelle), don d’organes ou de tissus à des fins de greffe, d’accident (autre qu’accident du travail), de violence conjugale ou de violence à caractère sexuel dont elle a été victime. </w:t>
      </w:r>
    </w:p>
    <w:p w14:paraId="3A2ACA70" w14:textId="3331198C" w:rsidR="009D745E" w:rsidRDefault="00FC2F15" w:rsidP="000D0E87">
      <w:pPr>
        <w:pStyle w:val="citation"/>
        <w:spacing w:after="120"/>
      </w:pPr>
      <w:r>
        <w:t>Le cas échéant, la travailleuse reçoit une indemnité équivalente, selon le cas, à deux (2), trois (3), quatre (4) ou cinq (5) fois la moyenne hebdomadaire du salaire brut gagné pendant la période travaillée.</w:t>
      </w:r>
    </w:p>
    <w:p w14:paraId="6A68320C" w14:textId="77777777" w:rsidR="00FC2F15" w:rsidRPr="000C3E35" w:rsidRDefault="00FC2F15" w:rsidP="00F2115D">
      <w:pPr>
        <w:pStyle w:val="citation"/>
        <w:spacing w:after="360"/>
        <w:rPr>
          <w:sz w:val="24"/>
          <w:szCs w:val="24"/>
        </w:rPr>
      </w:pPr>
      <w:r w:rsidRPr="000C3E35">
        <w:rPr>
          <w:sz w:val="24"/>
          <w:szCs w:val="24"/>
        </w:rPr>
        <w:t>[Transcription textuelle]</w:t>
      </w:r>
    </w:p>
    <w:p w14:paraId="29377B34" w14:textId="53BD0651" w:rsidR="006D1686" w:rsidRDefault="006D1686" w:rsidP="00C23F3A">
      <w:pPr>
        <w:pStyle w:val="corpsdedcision"/>
      </w:pPr>
      <w:r>
        <w:t>Par ailleurs, l’article 18.2 de la convention collective prévoit que le nombre d’années de service donnant droit à la durée du congé annu</w:t>
      </w:r>
      <w:r w:rsidR="002E27A7">
        <w:t>el</w:t>
      </w:r>
      <w:r>
        <w:t xml:space="preserve"> s’établit au 31 mars de chaque année.</w:t>
      </w:r>
    </w:p>
    <w:p w14:paraId="143D3E7A" w14:textId="429FE502" w:rsidR="00C23F3A" w:rsidRDefault="00C23F3A" w:rsidP="00C23F3A">
      <w:pPr>
        <w:pStyle w:val="corpsdedcision"/>
      </w:pPr>
      <w:r>
        <w:t xml:space="preserve">Dans le présent dossier, </w:t>
      </w:r>
      <w:r w:rsidR="002E27A7">
        <w:t xml:space="preserve">la travailleuse considère qu’il lui manque des heures dans le calcul de son indemnité de congé annuel puisque l’employeur lui a soustrait des heures en raison de sa période en arrêt de travail avant le 31 mars 2023. </w:t>
      </w:r>
    </w:p>
    <w:p w14:paraId="07B3A842" w14:textId="4C6D6B5F" w:rsidR="00C23F3A" w:rsidRDefault="002E27A7" w:rsidP="00C23F3A">
      <w:pPr>
        <w:pStyle w:val="corpsdedcision"/>
      </w:pPr>
      <w:r>
        <w:t>Il n’est pas contesté que l</w:t>
      </w:r>
      <w:r w:rsidR="00C23F3A">
        <w:t xml:space="preserve">’employeur a suivi les dispositions de la convention collective en </w:t>
      </w:r>
      <w:r>
        <w:t>agissant ainsi. Toutefois, les positions des parties diffèrent selon leur position quant à l’interprétation de l’article 242 de la Loi.</w:t>
      </w:r>
    </w:p>
    <w:p w14:paraId="175C8685" w14:textId="7F367292" w:rsidR="002E27A7" w:rsidRDefault="00C23F3A" w:rsidP="00C23F3A">
      <w:pPr>
        <w:pStyle w:val="corpsdedcision"/>
      </w:pPr>
      <w:r>
        <w:t>Le</w:t>
      </w:r>
      <w:r w:rsidR="002E27A7">
        <w:t xml:space="preserve"> T</w:t>
      </w:r>
      <w:r>
        <w:t xml:space="preserve">ribunal est en accord avec </w:t>
      </w:r>
      <w:r w:rsidR="002E27A7">
        <w:t xml:space="preserve">le deuxième courant jurisprudentiel </w:t>
      </w:r>
      <w:r>
        <w:t xml:space="preserve">et considère que l’article 242 de la </w:t>
      </w:r>
      <w:r w:rsidR="00AC5FE5">
        <w:t>L</w:t>
      </w:r>
      <w:r>
        <w:t xml:space="preserve">oi ne s’applique pas à la période d’absence du travail à la suite d’une lésion professionnelle. </w:t>
      </w:r>
      <w:r w:rsidR="00B13A8B">
        <w:t>Toutefois, ceci ne fait pas en sorte que la travailleuse n’aurait pas droit à l’indemnité de congé</w:t>
      </w:r>
      <w:r w:rsidR="003B19EE">
        <w:t xml:space="preserve"> additionnelle</w:t>
      </w:r>
      <w:r w:rsidR="00B13A8B">
        <w:t xml:space="preserve"> demandé</w:t>
      </w:r>
      <w:r w:rsidR="003B19EE">
        <w:t>e</w:t>
      </w:r>
      <w:r w:rsidR="00B13A8B">
        <w:t>.</w:t>
      </w:r>
      <w:r w:rsidR="00A96B3E">
        <w:t xml:space="preserve"> En fait, peu importe le courant retenu dans le présent dossier, la travailleuse a démontré la présence d’une mesure discriminatoire envers elle.</w:t>
      </w:r>
    </w:p>
    <w:p w14:paraId="5A759F57" w14:textId="26E642F8" w:rsidR="00C23F3A" w:rsidRDefault="00C23F3A" w:rsidP="000D0E87">
      <w:pPr>
        <w:pStyle w:val="corpsdedcision"/>
      </w:pPr>
      <w:r>
        <w:t>La jurisprudence</w:t>
      </w:r>
      <w:r>
        <w:rPr>
          <w:rStyle w:val="Appelnotedebasdep"/>
        </w:rPr>
        <w:footnoteReference w:id="7"/>
      </w:r>
      <w:r>
        <w:t xml:space="preserve"> d</w:t>
      </w:r>
      <w:r w:rsidR="002E27A7">
        <w:t>u Tribunal</w:t>
      </w:r>
      <w:r w:rsidR="00300A5E">
        <w:t xml:space="preserve"> reconnait généralement </w:t>
      </w:r>
      <w:r>
        <w:t xml:space="preserve">que </w:t>
      </w:r>
      <w:r w:rsidR="003B19EE">
        <w:t>l’article 242 de la Loi</w:t>
      </w:r>
      <w:r>
        <w:t xml:space="preserve"> ne s’applique que pour le futur, et ce, au moment de la réintégration au travail</w:t>
      </w:r>
      <w:r w:rsidR="00A96B3E">
        <w:t>, et ce, dans le cas des deux courants jurisprudentiels</w:t>
      </w:r>
      <w:r>
        <w:t>.</w:t>
      </w:r>
    </w:p>
    <w:p w14:paraId="6B4508B5" w14:textId="103D2D2C" w:rsidR="00F340C5" w:rsidRDefault="00F340C5" w:rsidP="00F2115D">
      <w:pPr>
        <w:pStyle w:val="corpsdedcision"/>
        <w:spacing w:after="240"/>
      </w:pPr>
      <w:r>
        <w:t>L’article 67 de la Loi prévoit la façon de calculer la base salariale d’un travailleur</w:t>
      </w:r>
      <w:r w:rsidR="007778AA">
        <w:t>,</w:t>
      </w:r>
      <w:r>
        <w:t xml:space="preserve"> en incluant notamment les vacances. Un travailleur recevra une indemnité de remplacement du revenu en fonction de la base salariale déterminée durant sa période d’arrêt de travail</w:t>
      </w:r>
      <w:r w:rsidR="003B19EE">
        <w:t xml:space="preserve"> en raison de sa lésion professionnelle</w:t>
      </w:r>
      <w:r>
        <w:t xml:space="preserve">. Le Tribunal est en accord sur cette question avec la décision </w:t>
      </w:r>
      <w:r w:rsidR="00976FD6" w:rsidRPr="00976FD6">
        <w:rPr>
          <w:i/>
          <w:iCs/>
        </w:rPr>
        <w:t>Grégoire</w:t>
      </w:r>
      <w:r w:rsidR="00976FD6">
        <w:t xml:space="preserve"> et </w:t>
      </w:r>
      <w:r w:rsidR="00976FD6" w:rsidRPr="00976FD6">
        <w:rPr>
          <w:i/>
          <w:iCs/>
        </w:rPr>
        <w:t>CPE l’Apprenti-Sage</w:t>
      </w:r>
      <w:r w:rsidR="00976FD6">
        <w:rPr>
          <w:rStyle w:val="Appelnotedebasdep"/>
          <w:i/>
          <w:iCs/>
        </w:rPr>
        <w:footnoteReference w:id="8"/>
      </w:r>
      <w:r>
        <w:t>, car</w:t>
      </w:r>
      <w:r w:rsidR="00976FD6">
        <w:t xml:space="preserve"> l’article 67 de la Loi vise le versement </w:t>
      </w:r>
      <w:r>
        <w:t xml:space="preserve">d’une indemnité versée durant l’absence au travail et non lors d’un retour au travail. </w:t>
      </w:r>
    </w:p>
    <w:p w14:paraId="6ADDE413" w14:textId="4B608064" w:rsidR="00F340C5" w:rsidRDefault="00976FD6" w:rsidP="00F2115D">
      <w:pPr>
        <w:pStyle w:val="citation"/>
        <w:spacing w:after="360"/>
      </w:pPr>
      <w:r w:rsidRPr="00976FD6">
        <w:t>[32]</w:t>
      </w:r>
      <w:r w:rsidRPr="00976FD6">
        <w:tab/>
        <w:t>Le Tribunal considère plutôt que cet article n’est pas utile dans son analyse. En effet, la travailleuse ne réclame pas un avantage qui s’est «</w:t>
      </w:r>
      <w:r w:rsidR="00F2115D">
        <w:t> </w:t>
      </w:r>
      <w:r w:rsidRPr="00976FD6">
        <w:t>accumulé</w:t>
      </w:r>
      <w:r w:rsidR="00F2115D">
        <w:t> </w:t>
      </w:r>
      <w:r w:rsidRPr="00976FD6">
        <w:t xml:space="preserve">» pendant son absence en 2022. Sa demande vise plutôt le versement, après son retour au travail, de son indemnité de congé annuel pendant ses vacances qui sont prises entre le </w:t>
      </w:r>
      <w:r w:rsidR="007778AA" w:rsidRPr="00976FD6">
        <w:t>1</w:t>
      </w:r>
      <w:r w:rsidR="007778AA" w:rsidRPr="00F2115D">
        <w:rPr>
          <w:vertAlign w:val="superscript"/>
        </w:rPr>
        <w:t>er</w:t>
      </w:r>
      <w:r w:rsidR="007778AA">
        <w:t> </w:t>
      </w:r>
      <w:r w:rsidR="007778AA" w:rsidRPr="00976FD6">
        <w:t>avril</w:t>
      </w:r>
      <w:r w:rsidR="007778AA">
        <w:t> </w:t>
      </w:r>
      <w:r w:rsidRPr="00976FD6">
        <w:t>2023 et le 31 mars 2024.</w:t>
      </w:r>
    </w:p>
    <w:p w14:paraId="6D6EBB32" w14:textId="09460C83" w:rsidR="00C23F3A" w:rsidRDefault="00C23F3A" w:rsidP="00C23F3A">
      <w:pPr>
        <w:pStyle w:val="corpsdedcision"/>
      </w:pPr>
      <w:r>
        <w:t xml:space="preserve">L’article 235 de la </w:t>
      </w:r>
      <w:r w:rsidR="00300A5E">
        <w:t>L</w:t>
      </w:r>
      <w:r>
        <w:t xml:space="preserve">oi prévoit les avantages que le travailleur peut accumuler durant sa période d’absence. </w:t>
      </w:r>
      <w:r w:rsidR="00300A5E">
        <w:t>Il peut continuer à accumuler de l’ancienneté et continuer à participer aux régimes de retraite et d’assurances selon certaines conditions.</w:t>
      </w:r>
    </w:p>
    <w:p w14:paraId="35FFE9A5" w14:textId="25D74C7B" w:rsidR="00C23F3A" w:rsidRDefault="00C23F3A" w:rsidP="00C23F3A">
      <w:pPr>
        <w:pStyle w:val="corpsdedcision"/>
      </w:pPr>
      <w:r>
        <w:t xml:space="preserve">Le </w:t>
      </w:r>
      <w:r w:rsidR="00300A5E">
        <w:t>T</w:t>
      </w:r>
      <w:r>
        <w:t xml:space="preserve">ribunal constate qu’il s’agit du seul article de la </w:t>
      </w:r>
      <w:r w:rsidR="00300A5E">
        <w:t>L</w:t>
      </w:r>
      <w:r>
        <w:t xml:space="preserve">oi qui couvre la période d’absence et qu’il ne porte pas sur le cumul des jours </w:t>
      </w:r>
      <w:r w:rsidR="00300A5E">
        <w:t>de vacances</w:t>
      </w:r>
      <w:r>
        <w:t>.</w:t>
      </w:r>
    </w:p>
    <w:p w14:paraId="35B32E71" w14:textId="5AAD65DD" w:rsidR="00C23F3A" w:rsidRDefault="00C23F3A" w:rsidP="00F2115D">
      <w:pPr>
        <w:pStyle w:val="corpsdedcision"/>
        <w:spacing w:after="240"/>
      </w:pPr>
      <w:r>
        <w:t xml:space="preserve">L’article 242 de la </w:t>
      </w:r>
      <w:r w:rsidR="00300A5E">
        <w:t>L</w:t>
      </w:r>
      <w:r>
        <w:t xml:space="preserve">oi est complémentaire à l’article 235 puisqu’il couvre une période différente, soit celle de la réintégration au travail. Dans la décision </w:t>
      </w:r>
      <w:r w:rsidRPr="00641435">
        <w:rPr>
          <w:i/>
        </w:rPr>
        <w:t>R.T.C.</w:t>
      </w:r>
      <w:r>
        <w:t xml:space="preserve"> </w:t>
      </w:r>
      <w:r w:rsidRPr="00641435">
        <w:rPr>
          <w:i/>
        </w:rPr>
        <w:t>Garage</w:t>
      </w:r>
      <w:r>
        <w:t xml:space="preserve"> et </w:t>
      </w:r>
      <w:r w:rsidRPr="00641435">
        <w:rPr>
          <w:i/>
        </w:rPr>
        <w:t>Giroux</w:t>
      </w:r>
      <w:r w:rsidRPr="00300A5E">
        <w:rPr>
          <w:rStyle w:val="Appelnotedebasdep"/>
          <w:iCs/>
        </w:rPr>
        <w:footnoteReference w:id="9"/>
      </w:r>
      <w:r w:rsidRPr="00300A5E">
        <w:rPr>
          <w:iCs/>
        </w:rPr>
        <w:t>,</w:t>
      </w:r>
      <w:r>
        <w:t xml:space="preserve"> la Commission des lésions professionnelles reprend ce principe. </w:t>
      </w:r>
    </w:p>
    <w:p w14:paraId="3609742D" w14:textId="77777777" w:rsidR="00C23F3A" w:rsidRDefault="00C23F3A" w:rsidP="00F2115D">
      <w:pPr>
        <w:pStyle w:val="citation"/>
        <w:spacing w:after="120"/>
      </w:pPr>
      <w:r>
        <w:t>[33]</w:t>
      </w:r>
      <w:r>
        <w:tab/>
        <w:t>Deuxième constat : la seule disposition de la loi qui couvre indubitablement la période de l’absence est l’article 235 et cette disposition ne s’applique pas aux avantages réclamés en l’espèce.</w:t>
      </w:r>
    </w:p>
    <w:p w14:paraId="4CBE5B86" w14:textId="77777777" w:rsidR="00C23F3A" w:rsidRDefault="00C23F3A" w:rsidP="00F2115D">
      <w:pPr>
        <w:pStyle w:val="citation"/>
        <w:spacing w:after="120"/>
      </w:pPr>
      <w:r>
        <w:t>[34]</w:t>
      </w:r>
      <w:r>
        <w:tab/>
        <w:t>De l’avis de la soussignée, la solution au litige ne réside pas à l’article 242. En effet, tel que l’indique la jurisprudence bien établie du tribunal</w:t>
      </w:r>
      <w:r>
        <w:rPr>
          <w:vertAlign w:val="superscript"/>
        </w:rPr>
        <w:t>1</w:t>
      </w:r>
      <w:r>
        <w:t>, cette disposition ne s’applique qu’au moment du retour au travail et pour le futur, et non pas à la période de l’absence du travail pour cause de lésion professionnelle.</w:t>
      </w:r>
    </w:p>
    <w:p w14:paraId="0ACA5513" w14:textId="77777777" w:rsidR="00C23F3A" w:rsidRDefault="00C23F3A" w:rsidP="00F2115D">
      <w:pPr>
        <w:pStyle w:val="citation"/>
        <w:spacing w:after="120"/>
      </w:pPr>
      <w:r>
        <w:t>[35]</w:t>
      </w:r>
      <w:r>
        <w:tab/>
        <w:t>Tel que déjà indiqué, le texte de l’article 235 ne laisse aucun doute sur le fait qu’il s’applique à la période de l’absence. Dans le contexte, s’il fallait retenir l’interprétation proposée par le procureur du travailleur, soit que l’article 242 s’applique aussi bien à la période de l’absence qu’au moment du retour au travail, l’article 235 de la loi ferait double emploi et ne serait d’aucune utilité.</w:t>
      </w:r>
    </w:p>
    <w:p w14:paraId="05B6566D" w14:textId="77777777" w:rsidR="00C23F3A" w:rsidRDefault="00C23F3A" w:rsidP="00F2115D">
      <w:pPr>
        <w:pStyle w:val="citation"/>
        <w:spacing w:after="120"/>
      </w:pPr>
      <w:r>
        <w:t>[36]</w:t>
      </w:r>
      <w:r>
        <w:tab/>
        <w:t>Or, le législateur a clairement distingué les droits auxquels le travailleur peut prétendre pendant la période de l’absence du travail et ceux auxquels il peut prétendre à son retour au travail.</w:t>
      </w:r>
    </w:p>
    <w:p w14:paraId="0A7394BB" w14:textId="6F47625C" w:rsidR="00C23F3A" w:rsidRPr="00300A5E" w:rsidRDefault="00300A5E" w:rsidP="00F2115D">
      <w:pPr>
        <w:pStyle w:val="citation"/>
        <w:spacing w:after="240"/>
        <w:rPr>
          <w:sz w:val="24"/>
          <w:szCs w:val="24"/>
        </w:rPr>
      </w:pPr>
      <w:r w:rsidRPr="00300A5E">
        <w:rPr>
          <w:sz w:val="24"/>
          <w:szCs w:val="24"/>
        </w:rPr>
        <w:t>[Note omise]</w:t>
      </w:r>
    </w:p>
    <w:p w14:paraId="1E1AA9F0" w14:textId="421D55A4" w:rsidR="00C23F3A" w:rsidRDefault="00C23F3A" w:rsidP="00C23F3A">
      <w:pPr>
        <w:pStyle w:val="corpsdedcision"/>
      </w:pPr>
      <w:r>
        <w:t>L</w:t>
      </w:r>
      <w:r w:rsidR="00300A5E">
        <w:t>a</w:t>
      </w:r>
      <w:r>
        <w:t xml:space="preserve"> travailleu</w:t>
      </w:r>
      <w:r w:rsidR="00300A5E">
        <w:t>se</w:t>
      </w:r>
      <w:r>
        <w:t xml:space="preserve"> considère que l’article 242 de la </w:t>
      </w:r>
      <w:r w:rsidR="00300A5E">
        <w:t>L</w:t>
      </w:r>
      <w:r>
        <w:t>oi lui permet d’obtenir les avantages qu’</w:t>
      </w:r>
      <w:r w:rsidR="003B19EE">
        <w:t>elle</w:t>
      </w:r>
      <w:r>
        <w:t xml:space="preserve"> réclame comme s</w:t>
      </w:r>
      <w:r w:rsidR="00300A5E">
        <w:t>i elle</w:t>
      </w:r>
      <w:r>
        <w:t xml:space="preserve"> avait continué à travailler.</w:t>
      </w:r>
    </w:p>
    <w:p w14:paraId="7FF617E7" w14:textId="4BBF6BAC" w:rsidR="00C23F3A" w:rsidRDefault="00D66C63" w:rsidP="00C711E4">
      <w:pPr>
        <w:pStyle w:val="corpsdedcision"/>
      </w:pPr>
      <w:r>
        <w:t xml:space="preserve">Selon le deuxième courant jurisprudentiel, </w:t>
      </w:r>
      <w:r w:rsidR="00C23F3A">
        <w:t xml:space="preserve">l’article 242 </w:t>
      </w:r>
      <w:r w:rsidR="00AC5FE5">
        <w:t xml:space="preserve">de la Loi </w:t>
      </w:r>
      <w:r w:rsidR="00C23F3A">
        <w:t xml:space="preserve">n’a pas pour effet d’ajouter des avantages qui ne sont pas prévus à la convention collective. Dans l’affaire </w:t>
      </w:r>
      <w:r w:rsidR="00C23F3A" w:rsidRPr="00B26731">
        <w:rPr>
          <w:i/>
        </w:rPr>
        <w:t xml:space="preserve">CLSC-Notre-Dame-de-Grâce </w:t>
      </w:r>
      <w:r w:rsidR="00C23F3A">
        <w:t xml:space="preserve">et </w:t>
      </w:r>
      <w:r w:rsidR="00C23F3A" w:rsidRPr="00B26731">
        <w:rPr>
          <w:i/>
        </w:rPr>
        <w:t>Carrier</w:t>
      </w:r>
      <w:r w:rsidR="00C23F3A">
        <w:rPr>
          <w:rStyle w:val="Appelnotedebasdep"/>
        </w:rPr>
        <w:footnoteReference w:id="10"/>
      </w:r>
      <w:r w:rsidR="00C23F3A">
        <w:t xml:space="preserve">, </w:t>
      </w:r>
      <w:smartTag w:uri="urn:schemas-microsoft-com:office:smarttags" w:element="PersonName">
        <w:smartTagPr>
          <w:attr w:name="ProductID" w:val="la Commission"/>
        </w:smartTagPr>
        <w:r w:rsidR="00C23F3A">
          <w:t>la Commission</w:t>
        </w:r>
      </w:smartTag>
      <w:r w:rsidR="00C23F3A">
        <w:t xml:space="preserve"> des lésions professionnelles retient ce principe et mentionne notamment ceci :</w:t>
      </w:r>
    </w:p>
    <w:p w14:paraId="1EFFF035" w14:textId="77777777" w:rsidR="00C23F3A" w:rsidRDefault="00C23F3A" w:rsidP="00F2115D">
      <w:pPr>
        <w:pStyle w:val="citation"/>
        <w:spacing w:after="120"/>
      </w:pPr>
      <w:r>
        <w:t>[64]</w:t>
      </w:r>
      <w:r>
        <w:tab/>
        <w:t>L’article 242 de la loi, en lui-même, ne crée pas de droit, en termes de salaire et d’avantages. Il ne fait que référer aux droits qui prennent leur source dans le contrat de travail, en l’occurrence dans la convention collective. Or, il n’est pas contraire à l’ordre public, ni à une disposition spécifique de la loi de prévoir l’interruption du cumul de congés en cas d’absence ou d’invalidité prolongée.</w:t>
      </w:r>
    </w:p>
    <w:p w14:paraId="5E20D039" w14:textId="0394A847" w:rsidR="00C23F3A" w:rsidRDefault="00C23F3A" w:rsidP="00F2115D">
      <w:pPr>
        <w:pStyle w:val="citation"/>
        <w:spacing w:after="360"/>
      </w:pPr>
      <w:r>
        <w:t>[65]</w:t>
      </w:r>
      <w:r>
        <w:tab/>
        <w:t>En résumé, l’interruption du cumul des jours de congé annuel et des congés de maladie, durant l’absence ou l’invalidité de la travailleuse, pour toute cause, relève de l’application de la convention collective qui la régit. L’article 242 de la loi permet à la travailleuse de recevoir, lors de sa réintégration au travail et pour l’avenir</w:t>
      </w:r>
      <w:r w:rsidR="00947EB9">
        <w:t>,</w:t>
      </w:r>
      <w:r>
        <w:t xml:space="preserve"> les avantages prévus à sa convention collective</w:t>
      </w:r>
      <w:r w:rsidR="00947EB9">
        <w:t>,</w:t>
      </w:r>
      <w:r w:rsidRPr="00BF0ECD">
        <w:t xml:space="preserve"> </w:t>
      </w:r>
      <w:r>
        <w:t>mais ne permet pas de recevoir un paiement rétroactif couvrant sa période d’absence CSST. L’article 242 de la loi ne définit pas lui-même les avantages en cause</w:t>
      </w:r>
      <w:r w:rsidR="00947EB9">
        <w:t>,</w:t>
      </w:r>
      <w:r>
        <w:t xml:space="preserve"> mais réfère à ceux prévus au contrat de travail, en l’occurrence la convention collective qui, dans ce cas, est seule à définir et encadrer ces avantages. Les dispositions de la convention collective, n’étant pas contraires à l’ordre public et n’entrant pas en conflit avec une disposition plus avantageuse de la loi, ne peuvent donc être écartées.</w:t>
      </w:r>
    </w:p>
    <w:p w14:paraId="15D140D7" w14:textId="68C9D9E9" w:rsidR="00C23F3A" w:rsidRDefault="00C23F3A" w:rsidP="00C711E4">
      <w:pPr>
        <w:pStyle w:val="corpsdedcision"/>
      </w:pPr>
      <w:r>
        <w:t xml:space="preserve">Dans l’affaire </w:t>
      </w:r>
      <w:r w:rsidRPr="00F05A95">
        <w:rPr>
          <w:i/>
        </w:rPr>
        <w:t>Ferland</w:t>
      </w:r>
      <w:r>
        <w:t xml:space="preserve"> et </w:t>
      </w:r>
      <w:r w:rsidRPr="00F05A95">
        <w:rPr>
          <w:i/>
        </w:rPr>
        <w:t>R.T.C. Chauffeurs</w:t>
      </w:r>
      <w:r>
        <w:rPr>
          <w:rStyle w:val="Appelnotedebasdep"/>
          <w:i/>
        </w:rPr>
        <w:footnoteReference w:id="11"/>
      </w:r>
      <w:r>
        <w:t xml:space="preserve">, la Commission des lésions professionnelles considère également que l’article 242 de la </w:t>
      </w:r>
      <w:r w:rsidR="00FC4889">
        <w:t>L</w:t>
      </w:r>
      <w:r>
        <w:t>oi n’a pas pour effet d’ajouter à la convention collective.</w:t>
      </w:r>
      <w:r w:rsidR="00C02773">
        <w:t xml:space="preserve"> </w:t>
      </w:r>
    </w:p>
    <w:p w14:paraId="17B139F8" w14:textId="77777777" w:rsidR="00C23F3A" w:rsidRDefault="00C23F3A" w:rsidP="00F2115D">
      <w:pPr>
        <w:pStyle w:val="citation"/>
        <w:spacing w:after="120"/>
      </w:pPr>
      <w:r>
        <w:t>[40]</w:t>
      </w:r>
      <w:r>
        <w:tab/>
        <w:t>De l’avis de la commissaire soussignée, ce sont les éléments du contrat de travail particulier intervenu entre les parties qui sont protégés au moment du retour au travail par l’article 242 de la loi</w:t>
      </w:r>
      <w:r>
        <w:rPr>
          <w:vertAlign w:val="superscript"/>
        </w:rPr>
        <w:t>8</w:t>
      </w:r>
      <w:r>
        <w:t>.</w:t>
      </w:r>
    </w:p>
    <w:p w14:paraId="5F1730DE" w14:textId="77777777" w:rsidR="00C23F3A" w:rsidRDefault="00C23F3A" w:rsidP="00F2115D">
      <w:pPr>
        <w:pStyle w:val="citation"/>
        <w:spacing w:after="120"/>
      </w:pPr>
      <w:r>
        <w:t>[41]</w:t>
      </w:r>
      <w:r>
        <w:tab/>
        <w:t>L’article 242 de la loi n’a pas, sous réserve de la fiction qui y est énoncée, pour effet d’ajouter à la convention collective conclue entre les parties.</w:t>
      </w:r>
    </w:p>
    <w:p w14:paraId="6E435D30" w14:textId="77777777" w:rsidR="00C23F3A" w:rsidRDefault="00C23F3A" w:rsidP="00F2115D">
      <w:pPr>
        <w:pStyle w:val="citation"/>
        <w:spacing w:after="120"/>
      </w:pPr>
      <w:r>
        <w:t>[42]</w:t>
      </w:r>
      <w:r>
        <w:tab/>
        <w:t xml:space="preserve">Ainsi, si selon les termes de la convention collective il n’est pas possible pour un travailleur, </w:t>
      </w:r>
      <w:r w:rsidRPr="00B918D1">
        <w:rPr>
          <w:u w:val="single"/>
        </w:rPr>
        <w:t>peu importe la cause de son absence</w:t>
      </w:r>
      <w:r>
        <w:t xml:space="preserve">, de reporter un congé férié non utilisé ou de le monnayer, </w:t>
      </w:r>
      <w:r w:rsidRPr="00B918D1">
        <w:rPr>
          <w:u w:val="single"/>
        </w:rPr>
        <w:t>l’article 242 ne procurera pas cet avantage au travailleur victime d’une lésion professionnelle</w:t>
      </w:r>
      <w:r>
        <w:t>.</w:t>
      </w:r>
    </w:p>
    <w:p w14:paraId="1F82779B" w14:textId="59103F09" w:rsidR="00C23F3A" w:rsidRDefault="00C23F3A" w:rsidP="00F2115D">
      <w:pPr>
        <w:pStyle w:val="citation"/>
        <w:spacing w:after="120"/>
      </w:pPr>
      <w:r>
        <w:t>[43]</w:t>
      </w:r>
      <w:r>
        <w:tab/>
        <w:t>Cependant, si aux termes de la convention collective il est possible de reporter un congé férié non utilisé ou de le monnayer en considération du temps travaillé, vu les termes de l’article 242, cet avantage doit être conféré au travailleur victime d’une lésion professionnelle «</w:t>
      </w:r>
      <w:r w:rsidR="00F2115D">
        <w:t> </w:t>
      </w:r>
      <w:r>
        <w:rPr>
          <w:i/>
        </w:rPr>
        <w:t>aux mêmes (…) conditions que (celles) dont il bénéficierait s’il avait continué à exercer son emploi pendant son absence</w:t>
      </w:r>
      <w:r w:rsidR="00F2115D">
        <w:rPr>
          <w:i/>
        </w:rPr>
        <w:t> </w:t>
      </w:r>
      <w:r>
        <w:t xml:space="preserve">». </w:t>
      </w:r>
      <w:r w:rsidRPr="00B918D1">
        <w:rPr>
          <w:u w:val="single"/>
        </w:rPr>
        <w:t xml:space="preserve">En pareil cas, même si par hypothèse la convention collective restreint ce droit, l’article </w:t>
      </w:r>
      <w:smartTag w:uri="urn:schemas-microsoft-com:office:smarttags" w:element="metricconverter">
        <w:smartTagPr>
          <w:attr w:name="ProductID" w:val="242 a"/>
        </w:smartTagPr>
        <w:r w:rsidRPr="00B918D1">
          <w:rPr>
            <w:u w:val="single"/>
          </w:rPr>
          <w:t>242 a</w:t>
        </w:r>
      </w:smartTag>
      <w:r w:rsidRPr="00B918D1">
        <w:rPr>
          <w:u w:val="single"/>
        </w:rPr>
        <w:t xml:space="preserve"> préséance, puisqu’il est d’ordre public.</w:t>
      </w:r>
    </w:p>
    <w:p w14:paraId="25431219" w14:textId="4E7B2C44" w:rsidR="00C23F3A" w:rsidRDefault="00F340C5" w:rsidP="00F2115D">
      <w:pPr>
        <w:pStyle w:val="citation"/>
        <w:spacing w:after="360"/>
        <w:rPr>
          <w:sz w:val="24"/>
          <w:szCs w:val="24"/>
        </w:rPr>
      </w:pPr>
      <w:r>
        <w:rPr>
          <w:sz w:val="24"/>
          <w:szCs w:val="24"/>
        </w:rPr>
        <w:t>[Note omise</w:t>
      </w:r>
      <w:r w:rsidR="00B918D1">
        <w:rPr>
          <w:sz w:val="24"/>
          <w:szCs w:val="24"/>
        </w:rPr>
        <w:t xml:space="preserve"> et nos soulignements</w:t>
      </w:r>
      <w:r>
        <w:rPr>
          <w:sz w:val="24"/>
          <w:szCs w:val="24"/>
        </w:rPr>
        <w:t>]</w:t>
      </w:r>
    </w:p>
    <w:p w14:paraId="62B947E7" w14:textId="499DF83B" w:rsidR="00BD13C9" w:rsidRDefault="00BD13C9" w:rsidP="00F2115D">
      <w:pPr>
        <w:pStyle w:val="corpsdedcision"/>
        <w:tabs>
          <w:tab w:val="clear" w:pos="360"/>
          <w:tab w:val="num" w:pos="720"/>
        </w:tabs>
        <w:spacing w:after="240"/>
      </w:pPr>
      <w:r>
        <w:t xml:space="preserve">Dans l’affaire </w:t>
      </w:r>
      <w:r w:rsidRPr="00617B56">
        <w:rPr>
          <w:i/>
          <w:iCs/>
        </w:rPr>
        <w:t>ArcelorMittal Infrastructure Canada</w:t>
      </w:r>
      <w:r>
        <w:t xml:space="preserve"> et </w:t>
      </w:r>
      <w:r w:rsidRPr="00617B56">
        <w:rPr>
          <w:i/>
          <w:iCs/>
        </w:rPr>
        <w:t>Fouquet</w:t>
      </w:r>
      <w:r>
        <w:rPr>
          <w:rStyle w:val="Appelnotedebasdep"/>
        </w:rPr>
        <w:footnoteReference w:id="12"/>
      </w:r>
      <w:r>
        <w:t xml:space="preserve">, le travailleur désire obtenir une </w:t>
      </w:r>
      <w:r w:rsidR="003E4120">
        <w:t>indemnité</w:t>
      </w:r>
      <w:r>
        <w:t xml:space="preserve"> de vacances et un boni d’amélioration. Toutefois, la convention collective prévoit qu’un travailleur doit réellement travailler pour y avoir droit. Le Tribunal considère alors que l’article 242 de la Loi réfère aux droits prévus par la convention collective.</w:t>
      </w:r>
    </w:p>
    <w:p w14:paraId="7901D0CA" w14:textId="77777777" w:rsidR="00DB01E8" w:rsidRDefault="00DB01E8" w:rsidP="00F2115D">
      <w:pPr>
        <w:pStyle w:val="citation"/>
        <w:spacing w:after="120"/>
      </w:pPr>
      <w:r>
        <w:t>[27]</w:t>
      </w:r>
      <w:r>
        <w:tab/>
        <w:t>Les droits du travailleur ne font pas l’objet de discrimination, de représailles ou de sanctions. Pendant sa lésion professionnelle, il reçoit les indemnités de remplacement du revenu et autres avantages prévus à la Loi. Il s’agit, pendant cette période, du régime qui lui est applicable. La Loi lui assure toutefois de retrouver, à compter du moment de son retour au travail, les droits qui auraient pu accumuler selon sa convention collective s’il n’avait pas subi de lésion professionnelle.</w:t>
      </w:r>
    </w:p>
    <w:p w14:paraId="342C8FAC" w14:textId="55B3C0C1" w:rsidR="00BD13C9" w:rsidRDefault="00DB01E8" w:rsidP="00F2115D">
      <w:pPr>
        <w:pStyle w:val="citation"/>
        <w:spacing w:after="360"/>
      </w:pPr>
      <w:r>
        <w:t>[28]</w:t>
      </w:r>
      <w:r>
        <w:tab/>
        <w:t>De l’avis du Tribunal, l’application de la convention collective peut difficilement être interprétée comme une mesure de discrimination, de représailles ou une sanction.</w:t>
      </w:r>
    </w:p>
    <w:p w14:paraId="41DE15BD" w14:textId="70085A45" w:rsidR="002D56F3" w:rsidRDefault="00BD13C9" w:rsidP="00F2115D">
      <w:pPr>
        <w:pStyle w:val="corpsdedcision"/>
        <w:tabs>
          <w:tab w:val="clear" w:pos="360"/>
          <w:tab w:val="num" w:pos="720"/>
        </w:tabs>
        <w:spacing w:after="240"/>
      </w:pPr>
      <w:r>
        <w:t xml:space="preserve">Enfin, dans l’affaire </w:t>
      </w:r>
      <w:r w:rsidRPr="00617B56">
        <w:rPr>
          <w:i/>
          <w:iCs/>
        </w:rPr>
        <w:t>Gaboury</w:t>
      </w:r>
      <w:r>
        <w:t xml:space="preserve"> et </w:t>
      </w:r>
      <w:r w:rsidRPr="00617B56">
        <w:rPr>
          <w:i/>
          <w:iCs/>
        </w:rPr>
        <w:t>CH Université de Montréal</w:t>
      </w:r>
      <w:r w:rsidR="00CC4121">
        <w:rPr>
          <w:rStyle w:val="Appelnotedebasdep"/>
        </w:rPr>
        <w:footnoteReference w:id="13"/>
      </w:r>
      <w:r>
        <w:t xml:space="preserve">, </w:t>
      </w:r>
      <w:r w:rsidR="002D56F3">
        <w:t>il s’agit d’une plainte d’une travailleuse afin d’accumuler des congés de maladie malgré son arrêt de travail en raison de sa lésion professionnelle. Or, la convention collective indique que cette banque de congé est en fonction du temps réel travaillé.</w:t>
      </w:r>
      <w:r w:rsidR="00CC4121">
        <w:t xml:space="preserve"> Le Tribunal estime alors qu</w:t>
      </w:r>
      <w:r w:rsidR="00DB01E8">
        <w:t xml:space="preserve">e la travailleuse serait avantagée par rapport à un collègue de travail qui serait en absence pour un motif personnel. </w:t>
      </w:r>
    </w:p>
    <w:p w14:paraId="7A547608" w14:textId="667C44DE" w:rsidR="00DB01E8" w:rsidRDefault="00DB01E8" w:rsidP="00F2115D">
      <w:pPr>
        <w:pStyle w:val="citation"/>
        <w:spacing w:after="120"/>
      </w:pPr>
      <w:r>
        <w:t>[60]</w:t>
      </w:r>
      <w:r>
        <w:tab/>
        <w:t>L’objectif de la Loi, selon son article 1, est de réparer les lésions professionnelles et les conséquences qu</w:t>
      </w:r>
      <w:r w:rsidR="00F2115D">
        <w:t>’</w:t>
      </w:r>
      <w:r>
        <w:t>elles entraînent pour les bénéficiaires, incluant le paiement d</w:t>
      </w:r>
      <w:r w:rsidR="00F2115D">
        <w:t>’</w:t>
      </w:r>
      <w:r>
        <w:t>indemnités de remplacement du revenu. L’objectif de la Loi n’est pas de placer la victime d’une lésion professionnelle dans une position plus avantageuse que si elle était au travail. Elle ne peut être absente du travail pour plus de 30 jours et se voir créditer sa banque de maladie comme si elle était au travail. On ne peut avoir le beurre et l’argent du beurre. Il s’agirait en quelque sorte d’une double compensation.</w:t>
      </w:r>
    </w:p>
    <w:p w14:paraId="3DC41706" w14:textId="15411934" w:rsidR="00BD13C9" w:rsidRDefault="00DB01E8" w:rsidP="00F2115D">
      <w:pPr>
        <w:pStyle w:val="citation"/>
        <w:spacing w:after="360"/>
      </w:pPr>
      <w:r>
        <w:t>[61]</w:t>
      </w:r>
      <w:r>
        <w:tab/>
        <w:t>Retenir l’interprétation de la travailleuse revient à l’avantager parce qu’elle a subi un accident du travail alors qu’un collègue en absence d’invalidité autorisée pour plus de 30 jours serait privé du crédit à sa banque maladie.</w:t>
      </w:r>
    </w:p>
    <w:p w14:paraId="798E9C3E" w14:textId="509004D9" w:rsidR="006C5117" w:rsidRDefault="006C5117" w:rsidP="006C5117">
      <w:pPr>
        <w:pStyle w:val="corpsdedcision"/>
        <w:tabs>
          <w:tab w:val="clear" w:pos="360"/>
          <w:tab w:val="num" w:pos="720"/>
        </w:tabs>
      </w:pPr>
      <w:r>
        <w:t>Or, dans notre dossier, la convention collective prévoit</w:t>
      </w:r>
      <w:r w:rsidR="00C84116">
        <w:t xml:space="preserve"> que</w:t>
      </w:r>
      <w:r>
        <w:t>, dans le cas d’une absence au travail de 26 semaines ou moins,</w:t>
      </w:r>
      <w:r w:rsidR="00B918D1">
        <w:t xml:space="preserve"> autre que pour une lésion professionnelle,</w:t>
      </w:r>
      <w:r>
        <w:t xml:space="preserve"> sur une période de 12 mois, </w:t>
      </w:r>
      <w:r w:rsidR="00C84116">
        <w:t xml:space="preserve">à la condition </w:t>
      </w:r>
      <w:r>
        <w:t>qu’</w:t>
      </w:r>
      <w:r w:rsidR="00B918D1">
        <w:t>une</w:t>
      </w:r>
      <w:r>
        <w:t xml:space="preserve"> prestation de travail </w:t>
      </w:r>
      <w:r w:rsidR="00070254">
        <w:t>soi</w:t>
      </w:r>
      <w:r w:rsidR="00B918D1">
        <w:t xml:space="preserve">t offerte </w:t>
      </w:r>
      <w:r>
        <w:t xml:space="preserve">durant l’année de référence, l’indemnité de congé annuel ne peut être diminuée. </w:t>
      </w:r>
    </w:p>
    <w:p w14:paraId="413F3921" w14:textId="74EACA43" w:rsidR="006C5117" w:rsidRDefault="006C5117" w:rsidP="006C5117">
      <w:pPr>
        <w:pStyle w:val="corpsdedcision"/>
        <w:tabs>
          <w:tab w:val="clear" w:pos="360"/>
          <w:tab w:val="num" w:pos="720"/>
        </w:tabs>
      </w:pPr>
      <w:r>
        <w:t xml:space="preserve">Dans le cas de </w:t>
      </w:r>
      <w:r w:rsidR="00E76402">
        <w:t>m</w:t>
      </w:r>
      <w:r w:rsidR="00E76402" w:rsidRPr="00E76402">
        <w:t>adame Benkabbou</w:t>
      </w:r>
      <w:r>
        <w:t>, son absence a été d’environ un mois</w:t>
      </w:r>
      <w:r w:rsidR="00B918D1">
        <w:t xml:space="preserve">, soit </w:t>
      </w:r>
      <w:r>
        <w:t xml:space="preserve">du </w:t>
      </w:r>
      <w:r w:rsidR="00E76402">
        <w:t>18 </w:t>
      </w:r>
      <w:r>
        <w:t xml:space="preserve">octobre 2022 au 14 novembre 2022. Puis, elle fut de retour au travail progressif à raison de deux ou trois jours par semaine. Si son absence avait été pour une absence du travail en raison d’une condition personnelle, elle aurait pu bénéficier de cette clause de la convention collective puisque son absence du travail est de moins de 26 semaines et qu’elle a offert une prestation de travail durant la période de référence. </w:t>
      </w:r>
    </w:p>
    <w:p w14:paraId="3FC3B5E4" w14:textId="7FE002DF" w:rsidR="006C5117" w:rsidRDefault="006C5117" w:rsidP="006C5117">
      <w:pPr>
        <w:pStyle w:val="corpsdedcision"/>
        <w:tabs>
          <w:tab w:val="clear" w:pos="360"/>
          <w:tab w:val="num" w:pos="720"/>
        </w:tabs>
      </w:pPr>
      <w:r>
        <w:t xml:space="preserve">Le Tribunal considère qu’une convention collective peut restreindre les congés annuels, mais elle doit alors les restreindre de la même façon </w:t>
      </w:r>
      <w:r w:rsidR="00AC5FE5">
        <w:t xml:space="preserve">que ce soit une absence pour une </w:t>
      </w:r>
      <w:r w:rsidR="00B918D1">
        <w:t>condition</w:t>
      </w:r>
      <w:r w:rsidR="00AC5FE5">
        <w:t xml:space="preserve"> personnelle</w:t>
      </w:r>
      <w:r w:rsidR="00E76402">
        <w:t>,</w:t>
      </w:r>
      <w:r w:rsidR="00AC5FE5">
        <w:t xml:space="preserve"> ou pour une lésion professionnelle</w:t>
      </w:r>
      <w:r>
        <w:t>.</w:t>
      </w:r>
      <w:r w:rsidR="00CC2CA3">
        <w:t xml:space="preserve"> Ainsi, </w:t>
      </w:r>
      <w:r w:rsidR="003E4120">
        <w:t>bien</w:t>
      </w:r>
      <w:r w:rsidR="00CC2CA3">
        <w:t xml:space="preserve"> que l’employeur a</w:t>
      </w:r>
      <w:r w:rsidR="00070254">
        <w:t>it</w:t>
      </w:r>
      <w:r w:rsidR="00CC2CA3">
        <w:t xml:space="preserve"> suivi les dispositions de la convention collective, cette dernière crée une situation défavorable à la travailleuse en restreignant son indemnité de congé annuel par rapport à un autre travailleur qui serait absent pour un motif personnel. </w:t>
      </w:r>
      <w:r w:rsidR="00070254">
        <w:t>Il s’agit donc d’une mesure discriminatoire au sens de l’article 32 de la Loi.</w:t>
      </w:r>
    </w:p>
    <w:p w14:paraId="1229D7EB" w14:textId="7A1C2C39" w:rsidR="00976FD6" w:rsidRDefault="00976FD6" w:rsidP="00F2115D">
      <w:pPr>
        <w:pStyle w:val="corpsdedcision"/>
        <w:tabs>
          <w:tab w:val="clear" w:pos="360"/>
          <w:tab w:val="num" w:pos="720"/>
        </w:tabs>
        <w:spacing w:after="240"/>
      </w:pPr>
      <w:r>
        <w:t xml:space="preserve">C’est également la position exprimée par le Tribunal dans l’affaire </w:t>
      </w:r>
      <w:r w:rsidR="00D719B1" w:rsidRPr="00976FD6">
        <w:rPr>
          <w:i/>
          <w:iCs/>
        </w:rPr>
        <w:t>Grégoire</w:t>
      </w:r>
      <w:r w:rsidR="00D719B1">
        <w:t xml:space="preserve"> et </w:t>
      </w:r>
      <w:r w:rsidR="00D719B1" w:rsidRPr="00976FD6">
        <w:rPr>
          <w:i/>
          <w:iCs/>
        </w:rPr>
        <w:t>CPE l’Apprenti-Sage</w:t>
      </w:r>
      <w:r w:rsidR="00D719B1" w:rsidRPr="00D719B1">
        <w:rPr>
          <w:rStyle w:val="Appelnotedebasdep"/>
        </w:rPr>
        <w:footnoteReference w:id="14"/>
      </w:r>
      <w:r w:rsidR="00D719B1">
        <w:t xml:space="preserve"> </w:t>
      </w:r>
      <w:r>
        <w:t>qui conclut</w:t>
      </w:r>
      <w:r w:rsidR="00070254">
        <w:t xml:space="preserve">, en suivant toutefois le premier courant jurisprudentiel concernant l’article 242 de la Loi, </w:t>
      </w:r>
      <w:r>
        <w:t>en la présence d’une mesure de représailles envers une éducatrice ayant une convention collective similaire.</w:t>
      </w:r>
    </w:p>
    <w:p w14:paraId="75AA82E4" w14:textId="24A04214" w:rsidR="00976FD6" w:rsidRDefault="00976FD6" w:rsidP="00F2115D">
      <w:pPr>
        <w:pStyle w:val="citation"/>
        <w:spacing w:after="360"/>
      </w:pPr>
      <w:r w:rsidRPr="00976FD6">
        <w:t>[51]</w:t>
      </w:r>
      <w:r w:rsidRPr="00976FD6">
        <w:tab/>
        <w:t xml:space="preserve">Il est d’ailleurs intéressant de noter qu’une disposition semblable à celle de la </w:t>
      </w:r>
      <w:r w:rsidRPr="00976FD6">
        <w:rPr>
          <w:i/>
          <w:iCs/>
        </w:rPr>
        <w:t>Loi sur les normes du travail</w:t>
      </w:r>
      <w:r w:rsidRPr="00976FD6">
        <w:t xml:space="preserve"> se retrouve dans la convention collective en vigueur chez l’employeur. Cet élément renforce la position du Tribunal selon laquelle une mesure de représailles est exercée à l’endroit de la travailleuse puisqu’une éducatrice qui s’absente 26 semaines ou moins en raison d’une condition personnelle ne verra pas son indemnité pour congé annuel être affectée en raison de la diminution du salaire brut gagné au cours de l’année de référence.</w:t>
      </w:r>
    </w:p>
    <w:p w14:paraId="1D257320" w14:textId="0966EFC8" w:rsidR="00C23F3A" w:rsidRDefault="005B78FB" w:rsidP="00C23F3A">
      <w:pPr>
        <w:pStyle w:val="corpsdedcision"/>
      </w:pPr>
      <w:r>
        <w:t xml:space="preserve">En conséquence, </w:t>
      </w:r>
      <w:r w:rsidR="00070254">
        <w:t xml:space="preserve">étant donné que l’application de la convention collective en vigueur crée une mesure </w:t>
      </w:r>
      <w:r w:rsidR="00310CD5">
        <w:t>discriminatoire envers la travailleuse</w:t>
      </w:r>
      <w:r w:rsidR="00E76402">
        <w:t>,</w:t>
      </w:r>
      <w:r w:rsidR="00310CD5">
        <w:t xml:space="preserve"> par rapport à un autre travailleur qui serait absent pour un motif personnel, il y a lieu d’appliquer </w:t>
      </w:r>
      <w:r>
        <w:t>l</w:t>
      </w:r>
      <w:r w:rsidR="00C23F3A">
        <w:t xml:space="preserve">’article </w:t>
      </w:r>
      <w:r w:rsidR="00310CD5">
        <w:t>3</w:t>
      </w:r>
      <w:r w:rsidR="00C23F3A">
        <w:t>2 de</w:t>
      </w:r>
      <w:r w:rsidR="005F23AE">
        <w:t xml:space="preserve"> </w:t>
      </w:r>
      <w:r w:rsidR="00C23F3A">
        <w:t xml:space="preserve">la </w:t>
      </w:r>
      <w:r>
        <w:t>L</w:t>
      </w:r>
      <w:r w:rsidR="00C23F3A">
        <w:t>oi</w:t>
      </w:r>
      <w:r w:rsidR="00310CD5">
        <w:t xml:space="preserve">. </w:t>
      </w:r>
      <w:r>
        <w:t>Il y a lieu de constater</w:t>
      </w:r>
      <w:r w:rsidR="00C23F3A">
        <w:t xml:space="preserve"> que </w:t>
      </w:r>
      <w:r w:rsidR="00CC2CA3">
        <w:t>la présomption de l’article 255 de la Loi s’applique</w:t>
      </w:r>
      <w:r w:rsidR="00E76402">
        <w:t>,</w:t>
      </w:r>
      <w:r w:rsidR="00CC2CA3">
        <w:t xml:space="preserve"> et qu’elle n’a pas été renversée par </w:t>
      </w:r>
      <w:r w:rsidR="00C23F3A">
        <w:t>l’employeur</w:t>
      </w:r>
      <w:r w:rsidR="00CC2CA3">
        <w:t xml:space="preserve">. </w:t>
      </w:r>
      <w:r w:rsidR="00070254">
        <w:t xml:space="preserve">Ce dernier n’a pas démontré que la mesure discriminatoire envers la travailleuse a été prise pour une autre cause juste et suffisante. </w:t>
      </w:r>
      <w:r w:rsidR="00CC2CA3">
        <w:t xml:space="preserve">Il y a donc eu </w:t>
      </w:r>
      <w:r>
        <w:t>une</w:t>
      </w:r>
      <w:r w:rsidR="00C23F3A">
        <w:t xml:space="preserve"> mesure</w:t>
      </w:r>
      <w:r w:rsidR="00617B56">
        <w:t xml:space="preserve"> discriminatoire</w:t>
      </w:r>
      <w:r w:rsidR="00C23F3A">
        <w:t xml:space="preserve"> envers l</w:t>
      </w:r>
      <w:r>
        <w:t>a</w:t>
      </w:r>
      <w:r w:rsidR="00C23F3A">
        <w:t xml:space="preserve"> travailleu</w:t>
      </w:r>
      <w:r>
        <w:t>se</w:t>
      </w:r>
      <w:r w:rsidR="00C23F3A">
        <w:t>.</w:t>
      </w:r>
    </w:p>
    <w:p w14:paraId="16D49275" w14:textId="62968153" w:rsidR="00310CD5" w:rsidRDefault="00AD35C8" w:rsidP="00C23F3A">
      <w:pPr>
        <w:pStyle w:val="corpsdedcision"/>
      </w:pPr>
      <w:r w:rsidRPr="00AD35C8">
        <w:t>Madame Benkabbou</w:t>
      </w:r>
      <w:r w:rsidRPr="00AD35C8" w:rsidDel="00AD35C8">
        <w:t xml:space="preserve"> </w:t>
      </w:r>
      <w:r w:rsidR="00310CD5">
        <w:t>a donc droit à l’indemnité de congé annuel à laquelle elle a droit pour la période se terminant le 31 mars 2023, malgré une période d’absence à la suite de sa lésion professionnelle du 6 septembre 2022.</w:t>
      </w:r>
      <w:r w:rsidR="005F23AE">
        <w:t xml:space="preserve"> </w:t>
      </w:r>
    </w:p>
    <w:p w14:paraId="40BE42E1" w14:textId="7F8BCF34" w:rsidR="00C23F3A" w:rsidRDefault="00C23F3A" w:rsidP="00C711E4">
      <w:pPr>
        <w:pStyle w:val="corpsdedcision"/>
        <w:tabs>
          <w:tab w:val="clear" w:pos="360"/>
          <w:tab w:val="num" w:pos="720"/>
        </w:tabs>
      </w:pPr>
      <w:r>
        <w:t>Il y a lieu de conclure que</w:t>
      </w:r>
      <w:r w:rsidR="00DA030A">
        <w:t xml:space="preserve"> la plainte de la travailleuse selon l’article 32 de la Loi est fondée</w:t>
      </w:r>
      <w:r w:rsidR="00B918D1">
        <w:t>.</w:t>
      </w:r>
    </w:p>
    <w:p w14:paraId="7F8F7F05" w14:textId="370DED04" w:rsidR="00C74B6F" w:rsidRDefault="00C74B6F">
      <w:pPr>
        <w:pStyle w:val="Dispositif"/>
      </w:pPr>
      <w:r>
        <w:rPr>
          <w:b/>
        </w:rPr>
        <w:t>P</w:t>
      </w:r>
      <w:r w:rsidR="00972627">
        <w:rPr>
          <w:b/>
        </w:rPr>
        <w:t>OU</w:t>
      </w:r>
      <w:r w:rsidR="00401325">
        <w:rPr>
          <w:b/>
        </w:rPr>
        <w:t>R</w:t>
      </w:r>
      <w:r w:rsidR="00D07FA6">
        <w:rPr>
          <w:b/>
        </w:rPr>
        <w:t xml:space="preserve"> CES MOTIFS, LE TRIBUNAL ADMINISTRATIF DU TRAVAIL</w:t>
      </w:r>
      <w:r>
        <w:rPr>
          <w:b/>
        </w:rPr>
        <w:t> :</w:t>
      </w:r>
    </w:p>
    <w:p w14:paraId="3F08E3FE" w14:textId="742A77B7" w:rsidR="00C74B6F" w:rsidRDefault="00DA030A">
      <w:pPr>
        <w:pStyle w:val="Dispositif"/>
      </w:pPr>
      <w:r>
        <w:rPr>
          <w:b/>
        </w:rPr>
        <w:t>ACCUEILLE</w:t>
      </w:r>
      <w:r>
        <w:t xml:space="preserve"> la contestation de la travailleuse, madame Adiba Benkabbou;</w:t>
      </w:r>
    </w:p>
    <w:p w14:paraId="4EC93080" w14:textId="6E75E7DF" w:rsidR="00DA030A" w:rsidRDefault="00DA030A">
      <w:pPr>
        <w:pStyle w:val="Dispositif"/>
      </w:pPr>
      <w:r>
        <w:rPr>
          <w:b/>
        </w:rPr>
        <w:t>INFIRME</w:t>
      </w:r>
      <w:r>
        <w:t xml:space="preserve"> la décision de la Commission des normes, de l’équité, de la santé et de la sécurité du travail rendue le 15 mai 2024;</w:t>
      </w:r>
    </w:p>
    <w:p w14:paraId="795C827D" w14:textId="24A4557C" w:rsidR="00DA030A" w:rsidRDefault="00DA030A">
      <w:pPr>
        <w:pStyle w:val="Dispositif"/>
      </w:pPr>
      <w:r>
        <w:rPr>
          <w:b/>
        </w:rPr>
        <w:t>DÉCLARE</w:t>
      </w:r>
      <w:r>
        <w:t xml:space="preserve"> que la travailleuse a été victime d’une mesure discriminatoire;</w:t>
      </w:r>
    </w:p>
    <w:p w14:paraId="1E883940" w14:textId="5B9DA239" w:rsidR="00DA030A" w:rsidRDefault="00DA030A">
      <w:pPr>
        <w:pStyle w:val="Dispositif"/>
      </w:pPr>
      <w:r>
        <w:rPr>
          <w:b/>
        </w:rPr>
        <w:t>ORDONNE</w:t>
      </w:r>
      <w:r>
        <w:t xml:space="preserve"> à l’employeur, Centre de la Petite Enfance Ses </w:t>
      </w:r>
      <w:r w:rsidR="00832021">
        <w:t>a</w:t>
      </w:r>
      <w:r>
        <w:t>mis, de verser à la travailleuse l’indemnité de congé annuel à laquelle elle a droit pour la période se terminant le 31 mars 2023, malgré une période d’absence à la suite de sa lésion professionnelle du 6 septembre 2022;</w:t>
      </w:r>
    </w:p>
    <w:p w14:paraId="0BFAC64C" w14:textId="4292E96B" w:rsidR="00DA030A" w:rsidRDefault="00DA030A">
      <w:pPr>
        <w:pStyle w:val="Dispositif"/>
      </w:pPr>
      <w:r>
        <w:rPr>
          <w:b/>
          <w:bCs/>
        </w:rPr>
        <w:t>RÉSERVE</w:t>
      </w:r>
      <w:r>
        <w:t xml:space="preserve"> ses pouvoirs pour déterminer l</w:t>
      </w:r>
      <w:r w:rsidR="003E4120">
        <w:t>e</w:t>
      </w:r>
      <w:r>
        <w:t xml:space="preserve"> </w:t>
      </w:r>
      <w:r w:rsidR="00617B56">
        <w:t xml:space="preserve">montant </w:t>
      </w:r>
      <w:r>
        <w:t>de l’indemnité de congé</w:t>
      </w:r>
      <w:r w:rsidR="002404DF">
        <w:t xml:space="preserve"> annuel dont la travailleuse a été privée.</w:t>
      </w:r>
    </w:p>
    <w:p w14:paraId="531F66CE" w14:textId="77777777" w:rsidR="00C74B6F"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5B3798A6" w14:textId="77777777">
        <w:tc>
          <w:tcPr>
            <w:tcW w:w="4795" w:type="dxa"/>
          </w:tcPr>
          <w:p w14:paraId="76B7DD60" w14:textId="77777777" w:rsidR="00C74B6F" w:rsidRDefault="00C74B6F"/>
        </w:tc>
        <w:tc>
          <w:tcPr>
            <w:tcW w:w="4795" w:type="dxa"/>
          </w:tcPr>
          <w:p w14:paraId="06B4A556" w14:textId="77777777" w:rsidR="00C74B6F" w:rsidRDefault="00C74B6F">
            <w:bookmarkStart w:id="16" w:name="signature"/>
            <w:bookmarkEnd w:id="16"/>
            <w:r>
              <w:t>__________________________________</w:t>
            </w:r>
          </w:p>
        </w:tc>
      </w:tr>
      <w:tr w:rsidR="00C74B6F" w14:paraId="66517018" w14:textId="77777777">
        <w:tc>
          <w:tcPr>
            <w:tcW w:w="4795" w:type="dxa"/>
          </w:tcPr>
          <w:p w14:paraId="7EE81249" w14:textId="77777777" w:rsidR="00C74B6F" w:rsidRDefault="00C74B6F"/>
        </w:tc>
        <w:tc>
          <w:tcPr>
            <w:tcW w:w="4795" w:type="dxa"/>
          </w:tcPr>
          <w:p w14:paraId="28126FA2" w14:textId="59B3F0DD" w:rsidR="00C74B6F" w:rsidRDefault="00972627">
            <w:r>
              <w:t>Michel Lalonde</w:t>
            </w:r>
          </w:p>
        </w:tc>
      </w:tr>
      <w:tr w:rsidR="00C74B6F" w14:paraId="670D3518" w14:textId="77777777">
        <w:trPr>
          <w:cantSplit/>
        </w:trPr>
        <w:tc>
          <w:tcPr>
            <w:tcW w:w="9590" w:type="dxa"/>
            <w:gridSpan w:val="2"/>
          </w:tcPr>
          <w:p w14:paraId="5D46252E" w14:textId="77777777" w:rsidR="00C74B6F" w:rsidRDefault="00C74B6F"/>
        </w:tc>
      </w:tr>
      <w:tr w:rsidR="00C74B6F" w14:paraId="16D7977E" w14:textId="77777777">
        <w:trPr>
          <w:cantSplit/>
        </w:trPr>
        <w:tc>
          <w:tcPr>
            <w:tcW w:w="9590" w:type="dxa"/>
            <w:gridSpan w:val="2"/>
          </w:tcPr>
          <w:p w14:paraId="00BABC54" w14:textId="77777777" w:rsidR="00C74B6F" w:rsidRPr="00C912F9" w:rsidRDefault="00C74B6F" w:rsidP="00EC5C8D">
            <w:pPr>
              <w:tabs>
                <w:tab w:val="left" w:pos="1592"/>
              </w:tabs>
            </w:pPr>
          </w:p>
        </w:tc>
      </w:tr>
      <w:tr w:rsidR="00C74B6F" w14:paraId="59F7FF8E" w14:textId="77777777">
        <w:trPr>
          <w:cantSplit/>
        </w:trPr>
        <w:tc>
          <w:tcPr>
            <w:tcW w:w="9590" w:type="dxa"/>
            <w:gridSpan w:val="2"/>
          </w:tcPr>
          <w:p w14:paraId="397BB5BE" w14:textId="77777777" w:rsidR="00C74B6F" w:rsidRDefault="00C74B6F"/>
        </w:tc>
      </w:tr>
      <w:tr w:rsidR="00C74B6F" w14:paraId="069F3607" w14:textId="77777777">
        <w:trPr>
          <w:cantSplit/>
        </w:trPr>
        <w:tc>
          <w:tcPr>
            <w:tcW w:w="9590" w:type="dxa"/>
            <w:gridSpan w:val="2"/>
          </w:tcPr>
          <w:p w14:paraId="1A13DA02" w14:textId="2AEE39D8" w:rsidR="00C74B6F" w:rsidRDefault="00972627">
            <w:pPr>
              <w:pStyle w:val="zSoquijdatNomProcureurDem"/>
            </w:pPr>
            <w:r>
              <w:t>M</w:t>
            </w:r>
            <w:r>
              <w:rPr>
                <w:vertAlign w:val="superscript"/>
              </w:rPr>
              <w:t>e</w:t>
            </w:r>
            <w:r w:rsidR="00F30267">
              <w:t xml:space="preserve"> </w:t>
            </w:r>
            <w:r>
              <w:t>Patrick Saint-Onge</w:t>
            </w:r>
          </w:p>
        </w:tc>
      </w:tr>
      <w:tr w:rsidR="00C74B6F" w14:paraId="01B67421" w14:textId="77777777">
        <w:trPr>
          <w:cantSplit/>
        </w:trPr>
        <w:tc>
          <w:tcPr>
            <w:tcW w:w="9590" w:type="dxa"/>
            <w:gridSpan w:val="2"/>
          </w:tcPr>
          <w:p w14:paraId="24E85FF8" w14:textId="7C74789E" w:rsidR="00C74B6F" w:rsidRDefault="00972627">
            <w:pPr>
              <w:pStyle w:val="zSoquijdatCabinetProcureurDem"/>
            </w:pPr>
            <w:r>
              <w:t>LAROCHE MARTIN</w:t>
            </w:r>
          </w:p>
        </w:tc>
      </w:tr>
      <w:tr w:rsidR="00C74B6F" w14:paraId="280A1EF9" w14:textId="77777777">
        <w:trPr>
          <w:cantSplit/>
        </w:trPr>
        <w:tc>
          <w:tcPr>
            <w:tcW w:w="9590" w:type="dxa"/>
            <w:gridSpan w:val="2"/>
          </w:tcPr>
          <w:p w14:paraId="4F91D0F5" w14:textId="77777777" w:rsidR="00C74B6F" w:rsidRDefault="00CB05A7">
            <w:pPr>
              <w:pStyle w:val="zSoquijlblProcureurDem"/>
            </w:pPr>
            <w:r>
              <w:t>Pour la partie demanderesse</w:t>
            </w:r>
          </w:p>
        </w:tc>
      </w:tr>
      <w:tr w:rsidR="00C74B6F" w14:paraId="37C1EF80" w14:textId="77777777">
        <w:trPr>
          <w:cantSplit/>
        </w:trPr>
        <w:tc>
          <w:tcPr>
            <w:tcW w:w="9590" w:type="dxa"/>
            <w:gridSpan w:val="2"/>
          </w:tcPr>
          <w:p w14:paraId="27530A61" w14:textId="77777777" w:rsidR="00C74B6F" w:rsidRDefault="00C74B6F"/>
        </w:tc>
      </w:tr>
      <w:tr w:rsidR="00C74B6F" w14:paraId="799F2D10" w14:textId="77777777">
        <w:trPr>
          <w:cantSplit/>
        </w:trPr>
        <w:tc>
          <w:tcPr>
            <w:tcW w:w="9590" w:type="dxa"/>
            <w:gridSpan w:val="2"/>
          </w:tcPr>
          <w:p w14:paraId="260DC72F" w14:textId="2DC40C3B" w:rsidR="00C74B6F" w:rsidRDefault="00972627">
            <w:pPr>
              <w:pStyle w:val="zSoquijdatNomProcureurDef"/>
            </w:pPr>
            <w:r w:rsidRPr="00671CDF">
              <w:t>M</w:t>
            </w:r>
            <w:r w:rsidRPr="00671CDF">
              <w:rPr>
                <w:vertAlign w:val="superscript"/>
              </w:rPr>
              <w:t>e</w:t>
            </w:r>
            <w:r>
              <w:t xml:space="preserve"> Janie-Pier Joyal</w:t>
            </w:r>
          </w:p>
        </w:tc>
      </w:tr>
      <w:tr w:rsidR="00C74B6F" w:rsidRPr="00832021" w14:paraId="4D5335C1" w14:textId="77777777">
        <w:trPr>
          <w:cantSplit/>
        </w:trPr>
        <w:tc>
          <w:tcPr>
            <w:tcW w:w="9590" w:type="dxa"/>
            <w:gridSpan w:val="2"/>
          </w:tcPr>
          <w:p w14:paraId="6A90BA97" w14:textId="492B984B" w:rsidR="00C74B6F" w:rsidRPr="00972627" w:rsidRDefault="00972627">
            <w:pPr>
              <w:pStyle w:val="zSoquijdatCabinetProcureurDef"/>
              <w:rPr>
                <w:lang w:val="en-CA"/>
              </w:rPr>
            </w:pPr>
            <w:r w:rsidRPr="00972627">
              <w:rPr>
                <w:lang w:val="en-CA"/>
              </w:rPr>
              <w:t>MONETTE BARAKETT, S.E.N.C.</w:t>
            </w:r>
          </w:p>
        </w:tc>
      </w:tr>
      <w:tr w:rsidR="00C74B6F" w14:paraId="5DF19AB7" w14:textId="77777777">
        <w:trPr>
          <w:cantSplit/>
        </w:trPr>
        <w:tc>
          <w:tcPr>
            <w:tcW w:w="9590" w:type="dxa"/>
            <w:gridSpan w:val="2"/>
          </w:tcPr>
          <w:p w14:paraId="0C421378" w14:textId="35199DD8" w:rsidR="00C74B6F" w:rsidRDefault="00CB05A7">
            <w:pPr>
              <w:pStyle w:val="zSoquijlblProcureurDef"/>
            </w:pPr>
            <w:r>
              <w:t xml:space="preserve">Pour la partie </w:t>
            </w:r>
            <w:r w:rsidR="00972627">
              <w:t>mise en cause</w:t>
            </w:r>
          </w:p>
        </w:tc>
      </w:tr>
      <w:tr w:rsidR="007569DE" w14:paraId="7ACA5039" w14:textId="77777777">
        <w:trPr>
          <w:cantSplit/>
        </w:trPr>
        <w:tc>
          <w:tcPr>
            <w:tcW w:w="9590" w:type="dxa"/>
            <w:gridSpan w:val="2"/>
          </w:tcPr>
          <w:p w14:paraId="18C93A32" w14:textId="77777777" w:rsidR="007569DE" w:rsidRDefault="007569DE"/>
        </w:tc>
      </w:tr>
      <w:tr w:rsidR="00C15A3F" w14:paraId="0799E9BC" w14:textId="77777777">
        <w:trPr>
          <w:cantSplit/>
        </w:trPr>
        <w:tc>
          <w:tcPr>
            <w:tcW w:w="9590" w:type="dxa"/>
            <w:gridSpan w:val="2"/>
          </w:tcPr>
          <w:p w14:paraId="00744579" w14:textId="3AA425AB" w:rsidR="00C15A3F" w:rsidRDefault="00C15A3F" w:rsidP="000E56A6">
            <w:pPr>
              <w:pStyle w:val="zSoquijdatDateAudience"/>
            </w:pPr>
            <w:bookmarkStart w:id="17" w:name="Date_derniere_audience"/>
            <w:bookmarkEnd w:id="17"/>
            <w:r>
              <w:t xml:space="preserve">Date de la </w:t>
            </w:r>
            <w:r w:rsidR="00CC6338">
              <w:t>mise en délibéré</w:t>
            </w:r>
            <w:r>
              <w:t> :</w:t>
            </w:r>
            <w:r w:rsidR="00597016">
              <w:tab/>
            </w:r>
            <w:r w:rsidR="00C23F3A">
              <w:t>10 avril 2025</w:t>
            </w:r>
          </w:p>
        </w:tc>
      </w:tr>
    </w:tbl>
    <w:p w14:paraId="78B5ABB7" w14:textId="77777777" w:rsidR="002542E0" w:rsidRDefault="002542E0" w:rsidP="002542E0">
      <w:pPr>
        <w:pStyle w:val="corpsdedcision"/>
        <w:numPr>
          <w:ilvl w:val="0"/>
          <w:numId w:val="0"/>
        </w:numPr>
        <w:tabs>
          <w:tab w:val="clear" w:pos="720"/>
        </w:tabs>
      </w:pPr>
    </w:p>
    <w:sectPr w:rsidR="002542E0" w:rsidSect="000D0E87">
      <w:headerReference w:type="default" r:id="rId7"/>
      <w:pgSz w:w="12240" w:h="15840" w:code="1"/>
      <w:pgMar w:top="1151" w:right="1440" w:bottom="1440" w:left="1440" w:header="709" w:footer="68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87EA98" w14:textId="77777777" w:rsidR="000618B9" w:rsidRDefault="000618B9">
      <w:r>
        <w:separator/>
      </w:r>
    </w:p>
  </w:endnote>
  <w:endnote w:type="continuationSeparator" w:id="0">
    <w:p w14:paraId="487C3256" w14:textId="77777777" w:rsidR="000618B9" w:rsidRDefault="000618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EF0AB4" w14:textId="77777777" w:rsidR="000618B9" w:rsidRDefault="000618B9">
      <w:r>
        <w:separator/>
      </w:r>
    </w:p>
  </w:footnote>
  <w:footnote w:type="continuationSeparator" w:id="0">
    <w:p w14:paraId="036AEB13" w14:textId="77777777" w:rsidR="000618B9" w:rsidRDefault="000618B9">
      <w:r>
        <w:continuationSeparator/>
      </w:r>
    </w:p>
  </w:footnote>
  <w:footnote w:id="1">
    <w:p w14:paraId="6199F16E" w14:textId="77777777" w:rsidR="00620415" w:rsidRDefault="00620415" w:rsidP="0007644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2">
    <w:p w14:paraId="1D431279" w14:textId="6E808C97" w:rsidR="002123B5" w:rsidRPr="002123B5" w:rsidRDefault="002123B5" w:rsidP="002123B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bookmarkStart w:id="14" w:name="_Hlk201066321"/>
      <w:r w:rsidR="009A4A4E" w:rsidRPr="004670FF">
        <w:rPr>
          <w:rFonts w:cs="Arial"/>
          <w:i/>
          <w:iCs/>
          <w:sz w:val="20"/>
        </w:rPr>
        <w:t>Abitibi-Price inc</w:t>
      </w:r>
      <w:r w:rsidR="009A4A4E">
        <w:rPr>
          <w:rFonts w:cs="Arial"/>
          <w:sz w:val="20"/>
        </w:rPr>
        <w:t xml:space="preserve">. et </w:t>
      </w:r>
      <w:r w:rsidR="009A4A4E" w:rsidRPr="004670FF">
        <w:rPr>
          <w:rFonts w:cs="Arial"/>
          <w:i/>
          <w:iCs/>
          <w:sz w:val="20"/>
        </w:rPr>
        <w:t>Bergeron</w:t>
      </w:r>
      <w:r w:rsidR="009A4A4E">
        <w:rPr>
          <w:rFonts w:cs="Arial"/>
          <w:sz w:val="20"/>
        </w:rPr>
        <w:t>, C.A.L.P. 19853-02-9006, 14 février 1992, J.-G. Roy</w:t>
      </w:r>
      <w:bookmarkEnd w:id="14"/>
      <w:r w:rsidR="009A4A4E">
        <w:rPr>
          <w:rFonts w:cs="Arial"/>
          <w:sz w:val="20"/>
        </w:rPr>
        <w:t xml:space="preserve">; </w:t>
      </w:r>
      <w:r w:rsidR="007635D5" w:rsidRPr="004670FF">
        <w:rPr>
          <w:rFonts w:cs="Arial"/>
          <w:i/>
          <w:iCs/>
          <w:sz w:val="20"/>
        </w:rPr>
        <w:t>Bombardier Aéronautique</w:t>
      </w:r>
      <w:r w:rsidR="007635D5">
        <w:rPr>
          <w:rFonts w:cs="Arial"/>
          <w:sz w:val="20"/>
        </w:rPr>
        <w:t xml:space="preserve"> et </w:t>
      </w:r>
      <w:r w:rsidR="007635D5" w:rsidRPr="004670FF">
        <w:rPr>
          <w:rFonts w:cs="Arial"/>
          <w:i/>
          <w:iCs/>
          <w:sz w:val="20"/>
        </w:rPr>
        <w:t>Frégeau-Corriveau</w:t>
      </w:r>
      <w:r w:rsidR="007635D5">
        <w:rPr>
          <w:rFonts w:cs="Arial"/>
          <w:sz w:val="20"/>
        </w:rPr>
        <w:t xml:space="preserve">, C.L.P. 154450-61-0101, 19 avril 2002, Anne Vaillancourt; </w:t>
      </w:r>
      <w:r w:rsidR="007635D5" w:rsidRPr="004670FF">
        <w:rPr>
          <w:rFonts w:cs="Arial"/>
          <w:i/>
          <w:iCs/>
          <w:sz w:val="20"/>
        </w:rPr>
        <w:t>Goodyear Canada inc</w:t>
      </w:r>
      <w:r w:rsidR="007635D5">
        <w:rPr>
          <w:rFonts w:cs="Arial"/>
          <w:sz w:val="20"/>
        </w:rPr>
        <w:t xml:space="preserve">. et </w:t>
      </w:r>
      <w:r w:rsidR="007635D5" w:rsidRPr="004670FF">
        <w:rPr>
          <w:rFonts w:cs="Arial"/>
          <w:i/>
          <w:iCs/>
          <w:sz w:val="20"/>
        </w:rPr>
        <w:t>Pucacco</w:t>
      </w:r>
      <w:r w:rsidR="007635D5">
        <w:rPr>
          <w:rFonts w:cs="Arial"/>
          <w:sz w:val="20"/>
        </w:rPr>
        <w:t xml:space="preserve">, C.L.P. 188675-62C-0208, </w:t>
      </w:r>
      <w:r w:rsidR="007110AF" w:rsidRPr="007057F4">
        <w:rPr>
          <w:rFonts w:cs="Arial"/>
          <w:color w:val="000000" w:themeColor="text1"/>
          <w:sz w:val="20"/>
        </w:rPr>
        <w:t>26 mars 2003</w:t>
      </w:r>
      <w:r w:rsidR="007110AF">
        <w:rPr>
          <w:rFonts w:cs="Arial"/>
          <w:sz w:val="20"/>
        </w:rPr>
        <w:t xml:space="preserve">, </w:t>
      </w:r>
      <w:r w:rsidR="007635D5">
        <w:rPr>
          <w:rFonts w:cs="Arial"/>
          <w:sz w:val="20"/>
        </w:rPr>
        <w:t xml:space="preserve">M. Sauvé; </w:t>
      </w:r>
      <w:r w:rsidR="007635D5" w:rsidRPr="004670FF">
        <w:rPr>
          <w:rFonts w:cs="Arial"/>
          <w:i/>
          <w:iCs/>
          <w:sz w:val="20"/>
        </w:rPr>
        <w:t>Lemelin</w:t>
      </w:r>
      <w:r w:rsidR="007635D5">
        <w:rPr>
          <w:rFonts w:cs="Arial"/>
          <w:sz w:val="20"/>
        </w:rPr>
        <w:t xml:space="preserve"> et </w:t>
      </w:r>
      <w:r w:rsidR="007635D5" w:rsidRPr="004670FF">
        <w:rPr>
          <w:rFonts w:cs="Arial"/>
          <w:i/>
          <w:iCs/>
          <w:sz w:val="20"/>
        </w:rPr>
        <w:t>R</w:t>
      </w:r>
      <w:r w:rsidR="007110AF">
        <w:rPr>
          <w:rFonts w:cs="Arial"/>
          <w:i/>
          <w:iCs/>
          <w:sz w:val="20"/>
        </w:rPr>
        <w:t>.</w:t>
      </w:r>
      <w:r w:rsidR="007635D5" w:rsidRPr="004670FF">
        <w:rPr>
          <w:rFonts w:cs="Arial"/>
          <w:i/>
          <w:iCs/>
          <w:sz w:val="20"/>
        </w:rPr>
        <w:t>T</w:t>
      </w:r>
      <w:r w:rsidR="007110AF">
        <w:rPr>
          <w:rFonts w:cs="Arial"/>
          <w:i/>
          <w:iCs/>
          <w:sz w:val="20"/>
        </w:rPr>
        <w:t>.</w:t>
      </w:r>
      <w:r w:rsidR="007635D5" w:rsidRPr="004670FF">
        <w:rPr>
          <w:rFonts w:cs="Arial"/>
          <w:i/>
          <w:iCs/>
          <w:sz w:val="20"/>
        </w:rPr>
        <w:t>C</w:t>
      </w:r>
      <w:r w:rsidR="007110AF">
        <w:rPr>
          <w:rFonts w:cs="Arial"/>
          <w:i/>
          <w:iCs/>
          <w:sz w:val="20"/>
        </w:rPr>
        <w:t>.</w:t>
      </w:r>
      <w:r w:rsidR="007635D5" w:rsidRPr="004670FF">
        <w:rPr>
          <w:rFonts w:cs="Arial"/>
          <w:i/>
          <w:iCs/>
          <w:sz w:val="20"/>
        </w:rPr>
        <w:t xml:space="preserve"> Garage</w:t>
      </w:r>
      <w:r w:rsidR="007635D5">
        <w:rPr>
          <w:rFonts w:cs="Arial"/>
          <w:sz w:val="20"/>
        </w:rPr>
        <w:t xml:space="preserve">, C.L.P. 404197-31-1003, 21 décembre 2010, G. Tardif; </w:t>
      </w:r>
      <w:r w:rsidR="007110AF" w:rsidRPr="004670FF">
        <w:rPr>
          <w:rFonts w:cs="Arial"/>
          <w:i/>
          <w:iCs/>
          <w:sz w:val="20"/>
        </w:rPr>
        <w:t xml:space="preserve">Municipalité de </w:t>
      </w:r>
      <w:r w:rsidR="007635D5" w:rsidRPr="004670FF">
        <w:rPr>
          <w:rFonts w:cs="Arial"/>
          <w:i/>
          <w:iCs/>
          <w:sz w:val="20"/>
        </w:rPr>
        <w:t xml:space="preserve">Cantley </w:t>
      </w:r>
      <w:r w:rsidR="007635D5">
        <w:rPr>
          <w:rFonts w:cs="Arial"/>
          <w:sz w:val="20"/>
        </w:rPr>
        <w:t xml:space="preserve">et </w:t>
      </w:r>
      <w:r w:rsidR="007635D5" w:rsidRPr="004670FF">
        <w:rPr>
          <w:rFonts w:cs="Arial"/>
          <w:i/>
          <w:iCs/>
          <w:sz w:val="20"/>
        </w:rPr>
        <w:t>Barbeau</w:t>
      </w:r>
      <w:r w:rsidR="007635D5">
        <w:rPr>
          <w:rFonts w:cs="Arial"/>
          <w:sz w:val="20"/>
        </w:rPr>
        <w:t xml:space="preserve">, 2011 QCCLP 7050; </w:t>
      </w:r>
      <w:r w:rsidR="007635D5" w:rsidRPr="004670FF">
        <w:rPr>
          <w:rFonts w:cs="Arial"/>
          <w:i/>
          <w:iCs/>
          <w:sz w:val="20"/>
        </w:rPr>
        <w:t>De Varennes</w:t>
      </w:r>
      <w:r w:rsidR="007635D5">
        <w:rPr>
          <w:rFonts w:cs="Arial"/>
          <w:sz w:val="20"/>
        </w:rPr>
        <w:t xml:space="preserve"> et </w:t>
      </w:r>
      <w:r w:rsidR="007635D5" w:rsidRPr="004670FF">
        <w:rPr>
          <w:rFonts w:cs="Arial"/>
          <w:i/>
          <w:iCs/>
          <w:sz w:val="20"/>
        </w:rPr>
        <w:t>Centre de santé Haute-Saint-</w:t>
      </w:r>
      <w:r w:rsidR="004670FF" w:rsidRPr="004670FF">
        <w:rPr>
          <w:rFonts w:cs="Arial"/>
          <w:i/>
          <w:iCs/>
          <w:sz w:val="20"/>
        </w:rPr>
        <w:t>Charles</w:t>
      </w:r>
      <w:r w:rsidR="004670FF">
        <w:rPr>
          <w:rFonts w:cs="Arial"/>
          <w:sz w:val="20"/>
        </w:rPr>
        <w:t>, 2015</w:t>
      </w:r>
      <w:r w:rsidR="007110AF">
        <w:rPr>
          <w:rFonts w:cs="Arial"/>
          <w:sz w:val="20"/>
        </w:rPr>
        <w:t> </w:t>
      </w:r>
      <w:r w:rsidR="004670FF">
        <w:rPr>
          <w:rFonts w:cs="Arial"/>
          <w:sz w:val="20"/>
        </w:rPr>
        <w:t>QCCLP</w:t>
      </w:r>
      <w:r w:rsidR="007110AF">
        <w:rPr>
          <w:rFonts w:cs="Arial"/>
          <w:sz w:val="20"/>
        </w:rPr>
        <w:t> </w:t>
      </w:r>
      <w:r w:rsidR="004670FF">
        <w:rPr>
          <w:rFonts w:cs="Arial"/>
          <w:sz w:val="20"/>
        </w:rPr>
        <w:t xml:space="preserve">4352; </w:t>
      </w:r>
      <w:r w:rsidR="004670FF" w:rsidRPr="004670FF">
        <w:rPr>
          <w:rFonts w:cs="Arial"/>
          <w:i/>
          <w:iCs/>
          <w:sz w:val="20"/>
        </w:rPr>
        <w:t>Dugas</w:t>
      </w:r>
      <w:r w:rsidR="004670FF">
        <w:rPr>
          <w:rFonts w:cs="Arial"/>
          <w:sz w:val="20"/>
        </w:rPr>
        <w:t xml:space="preserve"> et </w:t>
      </w:r>
      <w:r w:rsidR="004670FF" w:rsidRPr="004670FF">
        <w:rPr>
          <w:rFonts w:cs="Arial"/>
          <w:i/>
          <w:iCs/>
          <w:sz w:val="20"/>
        </w:rPr>
        <w:t>CLSC La Source</w:t>
      </w:r>
      <w:r w:rsidR="004670FF">
        <w:rPr>
          <w:rFonts w:cs="Arial"/>
          <w:sz w:val="20"/>
        </w:rPr>
        <w:t xml:space="preserve">, 2016 QCTAT 2082; </w:t>
      </w:r>
      <w:r w:rsidR="004670FF" w:rsidRPr="004670FF">
        <w:rPr>
          <w:rFonts w:cs="Arial"/>
          <w:i/>
          <w:iCs/>
          <w:sz w:val="20"/>
        </w:rPr>
        <w:t>Campeau</w:t>
      </w:r>
      <w:r w:rsidR="004670FF">
        <w:rPr>
          <w:rFonts w:cs="Arial"/>
          <w:sz w:val="20"/>
        </w:rPr>
        <w:t xml:space="preserve"> et </w:t>
      </w:r>
      <w:r w:rsidR="004670FF" w:rsidRPr="004670FF">
        <w:rPr>
          <w:rFonts w:cs="Arial"/>
          <w:i/>
          <w:iCs/>
          <w:sz w:val="20"/>
        </w:rPr>
        <w:t>Bois Kennebec</w:t>
      </w:r>
      <w:r w:rsidR="004670FF">
        <w:rPr>
          <w:rFonts w:cs="Arial"/>
          <w:sz w:val="20"/>
        </w:rPr>
        <w:t xml:space="preserve"> </w:t>
      </w:r>
      <w:r w:rsidR="004670FF" w:rsidRPr="004670FF">
        <w:rPr>
          <w:rFonts w:cs="Arial"/>
          <w:i/>
          <w:iCs/>
          <w:sz w:val="20"/>
        </w:rPr>
        <w:t>ltée</w:t>
      </w:r>
      <w:r w:rsidR="004670FF" w:rsidRPr="004670FF">
        <w:rPr>
          <w:rFonts w:cs="Arial"/>
          <w:sz w:val="20"/>
        </w:rPr>
        <w:t>,</w:t>
      </w:r>
      <w:r w:rsidR="004670FF">
        <w:rPr>
          <w:rFonts w:cs="Arial"/>
          <w:sz w:val="20"/>
        </w:rPr>
        <w:t xml:space="preserve"> 2017 QCTAT 1070; </w:t>
      </w:r>
      <w:r w:rsidR="004670FF" w:rsidRPr="004670FF">
        <w:rPr>
          <w:rFonts w:cs="Arial"/>
          <w:i/>
          <w:iCs/>
          <w:sz w:val="20"/>
        </w:rPr>
        <w:t>Grégoire</w:t>
      </w:r>
      <w:r w:rsidR="004670FF">
        <w:rPr>
          <w:rFonts w:cs="Arial"/>
          <w:sz w:val="20"/>
        </w:rPr>
        <w:t xml:space="preserve"> et </w:t>
      </w:r>
      <w:r w:rsidR="004670FF" w:rsidRPr="004670FF">
        <w:rPr>
          <w:rFonts w:cs="Arial"/>
          <w:i/>
          <w:iCs/>
          <w:sz w:val="20"/>
        </w:rPr>
        <w:t>CPE l’Apprenti-Sage</w:t>
      </w:r>
      <w:r w:rsidR="004670FF">
        <w:rPr>
          <w:rFonts w:cs="Arial"/>
          <w:sz w:val="20"/>
        </w:rPr>
        <w:t>, 2025 QCTAT 773.</w:t>
      </w:r>
    </w:p>
  </w:footnote>
  <w:footnote w:id="3">
    <w:p w14:paraId="350F1E51" w14:textId="4C0A1038" w:rsidR="002123B5" w:rsidRPr="002123B5" w:rsidRDefault="002123B5" w:rsidP="002123B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9B1231" w:rsidRPr="004E4A2C">
        <w:rPr>
          <w:rFonts w:cs="Arial"/>
          <w:i/>
          <w:iCs/>
          <w:sz w:val="20"/>
        </w:rPr>
        <w:t>Syndicat des employées et employés professionnels-les et de bureau</w:t>
      </w:r>
      <w:r w:rsidR="009B1231" w:rsidRPr="004E4A2C">
        <w:rPr>
          <w:rFonts w:cs="Arial"/>
          <w:sz w:val="20"/>
        </w:rPr>
        <w:t xml:space="preserve"> et </w:t>
      </w:r>
      <w:r w:rsidR="009B1231" w:rsidRPr="004E4A2C">
        <w:rPr>
          <w:rFonts w:cs="Arial"/>
          <w:i/>
          <w:iCs/>
          <w:sz w:val="20"/>
        </w:rPr>
        <w:t>Les Aliments Dare ltée (Usine de Sainte-Martine)</w:t>
      </w:r>
      <w:r w:rsidR="009B1231" w:rsidRPr="004E4A2C">
        <w:rPr>
          <w:rFonts w:cs="Arial"/>
          <w:sz w:val="20"/>
        </w:rPr>
        <w:t>, D.T.E. 2014T-44</w:t>
      </w:r>
      <w:r w:rsidR="00491CEF" w:rsidRPr="004E4A2C">
        <w:rPr>
          <w:rFonts w:cs="Arial"/>
          <w:sz w:val="20"/>
        </w:rPr>
        <w:t>, 28 octobre 2013</w:t>
      </w:r>
      <w:r w:rsidR="007579A7" w:rsidRPr="004E4A2C">
        <w:rPr>
          <w:rFonts w:cs="Arial"/>
          <w:sz w:val="20"/>
        </w:rPr>
        <w:t xml:space="preserve"> (CanLII : 4 novembre 2015)</w:t>
      </w:r>
      <w:r w:rsidR="00491CEF" w:rsidRPr="004E4A2C">
        <w:rPr>
          <w:rFonts w:cs="Arial"/>
          <w:sz w:val="20"/>
        </w:rPr>
        <w:t>,</w:t>
      </w:r>
      <w:r w:rsidR="00491CEF" w:rsidRPr="00491CEF">
        <w:rPr>
          <w:rFonts w:cs="Arial"/>
          <w:sz w:val="20"/>
        </w:rPr>
        <w:t xml:space="preserve"> J. L’</w:t>
      </w:r>
      <w:r w:rsidR="00491CEF">
        <w:rPr>
          <w:rFonts w:cs="Arial"/>
          <w:sz w:val="20"/>
        </w:rPr>
        <w:t>H</w:t>
      </w:r>
      <w:r w:rsidR="00491CEF" w:rsidRPr="00491CEF">
        <w:rPr>
          <w:rFonts w:cs="Arial"/>
          <w:sz w:val="20"/>
        </w:rPr>
        <w:t>eureux</w:t>
      </w:r>
      <w:r w:rsidR="009B1231">
        <w:rPr>
          <w:rFonts w:cs="Arial"/>
          <w:sz w:val="20"/>
        </w:rPr>
        <w:t xml:space="preserve">; </w:t>
      </w:r>
      <w:r w:rsidR="009B1231" w:rsidRPr="00B918D1">
        <w:rPr>
          <w:rFonts w:cs="Arial"/>
          <w:i/>
          <w:iCs/>
          <w:sz w:val="20"/>
        </w:rPr>
        <w:t>Barbeau</w:t>
      </w:r>
      <w:r w:rsidR="009B1231">
        <w:rPr>
          <w:rFonts w:cs="Arial"/>
          <w:sz w:val="20"/>
        </w:rPr>
        <w:t xml:space="preserve"> et </w:t>
      </w:r>
      <w:r w:rsidR="009B1231" w:rsidRPr="00B918D1">
        <w:rPr>
          <w:rFonts w:cs="Arial"/>
          <w:i/>
          <w:iCs/>
          <w:sz w:val="20"/>
        </w:rPr>
        <w:t>Orthoconcept (2008) inc</w:t>
      </w:r>
      <w:r w:rsidR="009B1231">
        <w:rPr>
          <w:rFonts w:cs="Arial"/>
          <w:sz w:val="20"/>
        </w:rPr>
        <w:t xml:space="preserve">., 2014 QCCLP 47; </w:t>
      </w:r>
      <w:r w:rsidR="009B1231" w:rsidRPr="00B918D1">
        <w:rPr>
          <w:rFonts w:cs="Arial"/>
          <w:i/>
          <w:iCs/>
          <w:sz w:val="20"/>
        </w:rPr>
        <w:t>Magny</w:t>
      </w:r>
      <w:r w:rsidR="009B1231">
        <w:rPr>
          <w:rFonts w:cs="Arial"/>
          <w:sz w:val="20"/>
        </w:rPr>
        <w:t xml:space="preserve"> et </w:t>
      </w:r>
      <w:r w:rsidR="009B1231" w:rsidRPr="00B918D1">
        <w:rPr>
          <w:rFonts w:cs="Arial"/>
          <w:i/>
          <w:iCs/>
          <w:sz w:val="20"/>
        </w:rPr>
        <w:t>Commission de la santé et de la sécurité du travail-employeur</w:t>
      </w:r>
      <w:r w:rsidR="009B1231">
        <w:rPr>
          <w:rFonts w:cs="Arial"/>
          <w:sz w:val="20"/>
        </w:rPr>
        <w:t xml:space="preserve">, 2014 QCCLP 3000; </w:t>
      </w:r>
      <w:r w:rsidR="009B1231" w:rsidRPr="00766D91">
        <w:rPr>
          <w:rFonts w:cs="Arial"/>
          <w:i/>
          <w:iCs/>
          <w:sz w:val="20"/>
        </w:rPr>
        <w:t>Syndicat des travailleurs (euses) des épiciers unis Métro-Richelieu (CSN)</w:t>
      </w:r>
      <w:r w:rsidR="009B1231">
        <w:rPr>
          <w:rFonts w:cs="Arial"/>
          <w:sz w:val="20"/>
        </w:rPr>
        <w:t xml:space="preserve"> et </w:t>
      </w:r>
      <w:r w:rsidR="009B1231" w:rsidRPr="00766D91">
        <w:rPr>
          <w:rFonts w:cs="Arial"/>
          <w:i/>
          <w:iCs/>
          <w:sz w:val="20"/>
        </w:rPr>
        <w:t>Métro-Richelieu</w:t>
      </w:r>
      <w:r w:rsidR="009B1231">
        <w:rPr>
          <w:rFonts w:cs="Arial"/>
          <w:sz w:val="20"/>
        </w:rPr>
        <w:t>, 2015 CanLll 78271</w:t>
      </w:r>
      <w:r w:rsidR="00491CEF">
        <w:rPr>
          <w:rFonts w:cs="Arial"/>
          <w:sz w:val="20"/>
        </w:rPr>
        <w:t xml:space="preserve"> (QC SAT)</w:t>
      </w:r>
      <w:r w:rsidR="009B1231">
        <w:rPr>
          <w:rFonts w:cs="Arial"/>
          <w:sz w:val="20"/>
        </w:rPr>
        <w:t xml:space="preserve">; </w:t>
      </w:r>
      <w:r w:rsidR="00766D91" w:rsidRPr="00766D91">
        <w:rPr>
          <w:rFonts w:cs="Arial"/>
          <w:i/>
          <w:iCs/>
          <w:sz w:val="20"/>
        </w:rPr>
        <w:t>St</w:t>
      </w:r>
      <w:r w:rsidR="00766D91" w:rsidRPr="004E4A2C">
        <w:rPr>
          <w:rFonts w:cs="Arial"/>
          <w:i/>
          <w:iCs/>
          <w:sz w:val="20"/>
        </w:rPr>
        <w:t>-</w:t>
      </w:r>
      <w:r w:rsidR="00766D91" w:rsidRPr="00766D91">
        <w:rPr>
          <w:rFonts w:cs="Arial"/>
          <w:i/>
          <w:iCs/>
          <w:sz w:val="20"/>
        </w:rPr>
        <w:t>Amour</w:t>
      </w:r>
      <w:r w:rsidR="00766D91">
        <w:rPr>
          <w:rFonts w:cs="Arial"/>
          <w:sz w:val="20"/>
        </w:rPr>
        <w:t xml:space="preserve"> et </w:t>
      </w:r>
      <w:r w:rsidR="00766D91" w:rsidRPr="00766D91">
        <w:rPr>
          <w:rFonts w:cs="Arial"/>
          <w:i/>
          <w:iCs/>
          <w:sz w:val="20"/>
        </w:rPr>
        <w:t>Corporation d’Urgences-santé</w:t>
      </w:r>
      <w:r w:rsidR="00766D91">
        <w:rPr>
          <w:rFonts w:cs="Arial"/>
          <w:sz w:val="20"/>
        </w:rPr>
        <w:t xml:space="preserve">, 2016 QCTAT 3645; </w:t>
      </w:r>
      <w:r w:rsidR="00766D91" w:rsidRPr="00766D91">
        <w:rPr>
          <w:rFonts w:cs="Arial"/>
          <w:i/>
          <w:iCs/>
          <w:sz w:val="20"/>
        </w:rPr>
        <w:t>Ville de Québec</w:t>
      </w:r>
      <w:r w:rsidR="00766D91">
        <w:rPr>
          <w:rFonts w:cs="Arial"/>
          <w:sz w:val="20"/>
        </w:rPr>
        <w:t xml:space="preserve"> et </w:t>
      </w:r>
      <w:r w:rsidR="00766D91" w:rsidRPr="00766D91">
        <w:rPr>
          <w:rFonts w:cs="Arial"/>
          <w:i/>
          <w:iCs/>
          <w:sz w:val="20"/>
        </w:rPr>
        <w:t>Joannette</w:t>
      </w:r>
      <w:r w:rsidR="00766D91">
        <w:rPr>
          <w:rFonts w:cs="Arial"/>
          <w:sz w:val="20"/>
        </w:rPr>
        <w:t>, 2018</w:t>
      </w:r>
      <w:r w:rsidR="004E4A2C">
        <w:rPr>
          <w:rFonts w:cs="Arial"/>
          <w:sz w:val="20"/>
        </w:rPr>
        <w:t> </w:t>
      </w:r>
      <w:r w:rsidR="00766D91">
        <w:rPr>
          <w:rFonts w:cs="Arial"/>
          <w:sz w:val="20"/>
        </w:rPr>
        <w:t xml:space="preserve">QCTAT 917; </w:t>
      </w:r>
      <w:r w:rsidR="00766D91" w:rsidRPr="00766D91">
        <w:rPr>
          <w:rFonts w:cs="Arial"/>
          <w:i/>
          <w:iCs/>
          <w:sz w:val="20"/>
        </w:rPr>
        <w:t>Syndicat des cols bleus regroupés de Montréal</w:t>
      </w:r>
      <w:r w:rsidR="00766D91">
        <w:rPr>
          <w:rFonts w:cs="Arial"/>
          <w:sz w:val="20"/>
        </w:rPr>
        <w:t xml:space="preserve">, </w:t>
      </w:r>
      <w:r w:rsidR="00766D91" w:rsidRPr="00BC41B4">
        <w:rPr>
          <w:rFonts w:cs="Arial"/>
          <w:i/>
          <w:iCs/>
          <w:sz w:val="20"/>
        </w:rPr>
        <w:t>section locale 301</w:t>
      </w:r>
      <w:r w:rsidR="00766D91">
        <w:rPr>
          <w:rFonts w:cs="Arial"/>
          <w:sz w:val="20"/>
        </w:rPr>
        <w:t xml:space="preserve"> </w:t>
      </w:r>
      <w:r w:rsidR="007112BD">
        <w:rPr>
          <w:rFonts w:cs="Arial"/>
          <w:sz w:val="20"/>
        </w:rPr>
        <w:t>c.</w:t>
      </w:r>
      <w:r w:rsidR="00766D91">
        <w:rPr>
          <w:rFonts w:cs="Arial"/>
          <w:sz w:val="20"/>
        </w:rPr>
        <w:t xml:space="preserve"> </w:t>
      </w:r>
      <w:r w:rsidR="00766D91" w:rsidRPr="00766D91">
        <w:rPr>
          <w:rFonts w:cs="Arial"/>
          <w:i/>
          <w:iCs/>
          <w:sz w:val="20"/>
        </w:rPr>
        <w:t>Ville de Montréal</w:t>
      </w:r>
      <w:r w:rsidR="007112BD">
        <w:rPr>
          <w:rFonts w:cs="Arial"/>
          <w:i/>
          <w:iCs/>
          <w:sz w:val="20"/>
        </w:rPr>
        <w:t>,</w:t>
      </w:r>
      <w:r w:rsidR="00766D91" w:rsidRPr="007112BD">
        <w:rPr>
          <w:rFonts w:cs="Arial"/>
          <w:sz w:val="20"/>
        </w:rPr>
        <w:t xml:space="preserve"> </w:t>
      </w:r>
      <w:r w:rsidR="007112BD" w:rsidRPr="007112BD">
        <w:rPr>
          <w:rFonts w:cs="Arial"/>
          <w:sz w:val="20"/>
        </w:rPr>
        <w:t>2018 CanLII 109181 (QC SAT)</w:t>
      </w:r>
      <w:r w:rsidR="00766D91">
        <w:rPr>
          <w:rFonts w:cs="Arial"/>
          <w:sz w:val="20"/>
        </w:rPr>
        <w:t xml:space="preserve">; </w:t>
      </w:r>
      <w:r w:rsidR="00766D91" w:rsidRPr="00766D91">
        <w:rPr>
          <w:rFonts w:cs="Arial"/>
          <w:i/>
          <w:iCs/>
          <w:sz w:val="20"/>
        </w:rPr>
        <w:t>Camire</w:t>
      </w:r>
      <w:r w:rsidR="00766D91">
        <w:rPr>
          <w:rFonts w:cs="Arial"/>
          <w:sz w:val="20"/>
        </w:rPr>
        <w:t xml:space="preserve"> et </w:t>
      </w:r>
      <w:r w:rsidR="00766D91" w:rsidRPr="00766D91">
        <w:rPr>
          <w:rFonts w:cs="Arial"/>
          <w:i/>
          <w:iCs/>
          <w:sz w:val="20"/>
        </w:rPr>
        <w:t>Ville de Montréal</w:t>
      </w:r>
      <w:r w:rsidR="00766D91">
        <w:rPr>
          <w:rFonts w:cs="Arial"/>
          <w:sz w:val="20"/>
        </w:rPr>
        <w:t>, 2020 QCCNESST 140</w:t>
      </w:r>
      <w:r w:rsidR="00BC41B4">
        <w:rPr>
          <w:rFonts w:cs="Arial"/>
          <w:sz w:val="20"/>
        </w:rPr>
        <w:t xml:space="preserve"> </w:t>
      </w:r>
      <w:r w:rsidR="00BC41B4" w:rsidRPr="00BC41B4">
        <w:rPr>
          <w:rFonts w:cs="Arial"/>
          <w:sz w:val="20"/>
        </w:rPr>
        <w:t>(CanLII)</w:t>
      </w:r>
      <w:r w:rsidR="00766D91">
        <w:rPr>
          <w:rFonts w:cs="Arial"/>
          <w:sz w:val="20"/>
        </w:rPr>
        <w:t xml:space="preserve">; </w:t>
      </w:r>
      <w:r w:rsidR="00766D91" w:rsidRPr="00766D91">
        <w:rPr>
          <w:rFonts w:cs="Arial"/>
          <w:i/>
          <w:iCs/>
          <w:sz w:val="20"/>
        </w:rPr>
        <w:t>Lefebvre</w:t>
      </w:r>
      <w:r w:rsidR="00766D91">
        <w:rPr>
          <w:rFonts w:cs="Arial"/>
          <w:sz w:val="20"/>
        </w:rPr>
        <w:t xml:space="preserve"> et </w:t>
      </w:r>
      <w:r w:rsidR="00766D91" w:rsidRPr="00766D91">
        <w:rPr>
          <w:rFonts w:cs="Arial"/>
          <w:i/>
          <w:iCs/>
          <w:sz w:val="20"/>
        </w:rPr>
        <w:t>Ville de Laval</w:t>
      </w:r>
      <w:r w:rsidR="00766D91">
        <w:rPr>
          <w:rFonts w:cs="Arial"/>
          <w:sz w:val="20"/>
        </w:rPr>
        <w:t xml:space="preserve">, 2020 QCTAT 2003; </w:t>
      </w:r>
      <w:r w:rsidR="00766D91" w:rsidRPr="00766D91">
        <w:rPr>
          <w:rFonts w:cs="Arial"/>
          <w:i/>
          <w:iCs/>
          <w:sz w:val="20"/>
        </w:rPr>
        <w:t>Gaboury</w:t>
      </w:r>
      <w:r w:rsidR="00766D91">
        <w:rPr>
          <w:rFonts w:cs="Arial"/>
          <w:sz w:val="20"/>
        </w:rPr>
        <w:t xml:space="preserve"> et </w:t>
      </w:r>
      <w:r w:rsidR="00766D91" w:rsidRPr="00766D91">
        <w:rPr>
          <w:rFonts w:cs="Arial"/>
          <w:i/>
          <w:iCs/>
          <w:sz w:val="20"/>
        </w:rPr>
        <w:t>CH Université de Montréal</w:t>
      </w:r>
      <w:r w:rsidR="00766D91">
        <w:rPr>
          <w:rFonts w:cs="Arial"/>
          <w:sz w:val="20"/>
        </w:rPr>
        <w:t xml:space="preserve">, 2021 QCTAT 1575; </w:t>
      </w:r>
      <w:r w:rsidR="00766D91" w:rsidRPr="00766D91">
        <w:rPr>
          <w:rFonts w:cs="Arial"/>
          <w:i/>
          <w:iCs/>
          <w:sz w:val="20"/>
        </w:rPr>
        <w:t>Ouellette</w:t>
      </w:r>
      <w:r w:rsidR="00766D91">
        <w:rPr>
          <w:rFonts w:cs="Arial"/>
          <w:sz w:val="20"/>
        </w:rPr>
        <w:t xml:space="preserve"> et </w:t>
      </w:r>
      <w:r w:rsidR="00766D91" w:rsidRPr="00766D91">
        <w:rPr>
          <w:rFonts w:cs="Arial"/>
          <w:i/>
          <w:iCs/>
          <w:sz w:val="20"/>
        </w:rPr>
        <w:t>Société d’habitation et de développement de Montréal</w:t>
      </w:r>
      <w:r w:rsidR="00766D91">
        <w:rPr>
          <w:rFonts w:cs="Arial"/>
          <w:sz w:val="20"/>
        </w:rPr>
        <w:t>, 2021</w:t>
      </w:r>
      <w:r w:rsidR="00BC41B4">
        <w:rPr>
          <w:rFonts w:cs="Arial"/>
          <w:sz w:val="20"/>
        </w:rPr>
        <w:t> </w:t>
      </w:r>
      <w:r w:rsidR="00766D91">
        <w:rPr>
          <w:rFonts w:cs="Arial"/>
          <w:sz w:val="20"/>
        </w:rPr>
        <w:t xml:space="preserve">QCCNESST 82; </w:t>
      </w:r>
      <w:r w:rsidR="00766D91" w:rsidRPr="00766D91">
        <w:rPr>
          <w:rFonts w:cs="Arial"/>
          <w:i/>
          <w:iCs/>
          <w:sz w:val="20"/>
        </w:rPr>
        <w:t>ArcelorMittal Infrastructure Canada</w:t>
      </w:r>
      <w:r w:rsidR="00766D91">
        <w:rPr>
          <w:rFonts w:cs="Arial"/>
          <w:sz w:val="20"/>
        </w:rPr>
        <w:t xml:space="preserve"> et </w:t>
      </w:r>
      <w:r w:rsidR="00766D91" w:rsidRPr="00766D91">
        <w:rPr>
          <w:rFonts w:cs="Arial"/>
          <w:i/>
          <w:iCs/>
          <w:sz w:val="20"/>
        </w:rPr>
        <w:t>Fouquet</w:t>
      </w:r>
      <w:r w:rsidR="00766D91">
        <w:rPr>
          <w:rFonts w:cs="Arial"/>
          <w:sz w:val="20"/>
        </w:rPr>
        <w:t>, 2021</w:t>
      </w:r>
      <w:r w:rsidR="008C3AE8">
        <w:rPr>
          <w:rFonts w:cs="Arial"/>
          <w:sz w:val="20"/>
        </w:rPr>
        <w:t> </w:t>
      </w:r>
      <w:r w:rsidR="00766D91">
        <w:rPr>
          <w:rFonts w:cs="Arial"/>
          <w:sz w:val="20"/>
        </w:rPr>
        <w:t>QCTAT</w:t>
      </w:r>
      <w:r w:rsidR="008C3AE8">
        <w:rPr>
          <w:rFonts w:cs="Arial"/>
          <w:sz w:val="20"/>
        </w:rPr>
        <w:t> </w:t>
      </w:r>
      <w:r w:rsidR="00766D91">
        <w:rPr>
          <w:rFonts w:cs="Arial"/>
          <w:sz w:val="20"/>
        </w:rPr>
        <w:t xml:space="preserve">5002; </w:t>
      </w:r>
      <w:r w:rsidR="00766D91" w:rsidRPr="00766D91">
        <w:rPr>
          <w:rFonts w:cs="Arial"/>
          <w:i/>
          <w:iCs/>
          <w:sz w:val="20"/>
        </w:rPr>
        <w:t>Teamsters Québec Local 931</w:t>
      </w:r>
      <w:r w:rsidR="00766D91">
        <w:rPr>
          <w:rFonts w:cs="Arial"/>
          <w:sz w:val="20"/>
        </w:rPr>
        <w:t xml:space="preserve"> c. </w:t>
      </w:r>
      <w:r w:rsidR="00766D91" w:rsidRPr="00766D91">
        <w:rPr>
          <w:rFonts w:cs="Arial"/>
          <w:i/>
          <w:iCs/>
          <w:sz w:val="20"/>
        </w:rPr>
        <w:t>Béton Hi-Tech</w:t>
      </w:r>
      <w:r w:rsidR="00766D91">
        <w:rPr>
          <w:rFonts w:cs="Arial"/>
          <w:sz w:val="20"/>
        </w:rPr>
        <w:t xml:space="preserve">, 2022 CanLll 15817 (QC SAT); </w:t>
      </w:r>
      <w:r w:rsidR="00766D91" w:rsidRPr="00766D91">
        <w:rPr>
          <w:rFonts w:cs="Arial"/>
          <w:i/>
          <w:iCs/>
          <w:sz w:val="20"/>
        </w:rPr>
        <w:t>Synnott</w:t>
      </w:r>
      <w:r w:rsidR="00766D91">
        <w:rPr>
          <w:rFonts w:cs="Arial"/>
          <w:sz w:val="20"/>
        </w:rPr>
        <w:t xml:space="preserve"> et </w:t>
      </w:r>
      <w:r w:rsidR="00766D91" w:rsidRPr="00766D91">
        <w:rPr>
          <w:rFonts w:cs="Arial"/>
          <w:i/>
          <w:iCs/>
          <w:sz w:val="20"/>
        </w:rPr>
        <w:t>CISSS des Laurentides</w:t>
      </w:r>
      <w:r w:rsidR="00766D91">
        <w:rPr>
          <w:rFonts w:cs="Arial"/>
          <w:sz w:val="20"/>
        </w:rPr>
        <w:t xml:space="preserve">, 2022 QCCNESST 44; </w:t>
      </w:r>
      <w:r w:rsidR="00766D91" w:rsidRPr="00766D91">
        <w:rPr>
          <w:rFonts w:cs="Arial"/>
          <w:i/>
          <w:iCs/>
          <w:sz w:val="20"/>
        </w:rPr>
        <w:t>Fabrizio</w:t>
      </w:r>
      <w:r w:rsidR="00766D91">
        <w:rPr>
          <w:rFonts w:cs="Arial"/>
          <w:sz w:val="20"/>
        </w:rPr>
        <w:t xml:space="preserve"> et </w:t>
      </w:r>
      <w:r w:rsidR="00766D91" w:rsidRPr="00766D91">
        <w:rPr>
          <w:rFonts w:cs="Arial"/>
          <w:i/>
          <w:iCs/>
          <w:sz w:val="20"/>
        </w:rPr>
        <w:t>Ville de Montréal</w:t>
      </w:r>
      <w:r w:rsidR="00766D91">
        <w:rPr>
          <w:rFonts w:cs="Arial"/>
          <w:sz w:val="20"/>
        </w:rPr>
        <w:t>, 2024</w:t>
      </w:r>
      <w:r w:rsidR="009B2ED1">
        <w:rPr>
          <w:rFonts w:cs="Arial"/>
          <w:sz w:val="20"/>
        </w:rPr>
        <w:t> </w:t>
      </w:r>
      <w:r w:rsidR="00766D91">
        <w:rPr>
          <w:rFonts w:cs="Arial"/>
          <w:sz w:val="20"/>
        </w:rPr>
        <w:t xml:space="preserve">QCCNESST 169; </w:t>
      </w:r>
      <w:r w:rsidR="00766D91" w:rsidRPr="00766D91">
        <w:rPr>
          <w:rFonts w:cs="Arial"/>
          <w:i/>
          <w:iCs/>
          <w:sz w:val="20"/>
        </w:rPr>
        <w:t>Syndicat des travailleuses et travailleurs en petite enfance de la Montérégie-CSN</w:t>
      </w:r>
      <w:r w:rsidR="00766D91">
        <w:rPr>
          <w:rFonts w:cs="Arial"/>
          <w:sz w:val="20"/>
        </w:rPr>
        <w:t xml:space="preserve"> et </w:t>
      </w:r>
      <w:r w:rsidR="00766D91" w:rsidRPr="00766D91">
        <w:rPr>
          <w:rFonts w:cs="Arial"/>
          <w:i/>
          <w:iCs/>
          <w:sz w:val="20"/>
        </w:rPr>
        <w:t>Centre de la petite enfance Les Poussineaux</w:t>
      </w:r>
      <w:r w:rsidR="00766D91">
        <w:rPr>
          <w:rFonts w:cs="Arial"/>
          <w:sz w:val="20"/>
        </w:rPr>
        <w:t xml:space="preserve">, </w:t>
      </w:r>
      <w:r w:rsidR="00491CEF">
        <w:rPr>
          <w:rFonts w:cs="Arial"/>
          <w:sz w:val="20"/>
        </w:rPr>
        <w:t>2024 CanLll 60436 (QC SAT)</w:t>
      </w:r>
      <w:r w:rsidR="00766D91">
        <w:rPr>
          <w:rFonts w:cs="Arial"/>
          <w:sz w:val="20"/>
        </w:rPr>
        <w:t>.</w:t>
      </w:r>
    </w:p>
  </w:footnote>
  <w:footnote w:id="4">
    <w:p w14:paraId="03F0E8A8" w14:textId="492E90D0" w:rsidR="008C7E7E" w:rsidRPr="008C7E7E" w:rsidRDefault="008C7E7E" w:rsidP="008C7E7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8C7E7E">
        <w:rPr>
          <w:rFonts w:cs="Arial"/>
          <w:i/>
          <w:iCs/>
          <w:sz w:val="20"/>
        </w:rPr>
        <w:t xml:space="preserve">Girard </w:t>
      </w:r>
      <w:r>
        <w:rPr>
          <w:rFonts w:cs="Arial"/>
          <w:sz w:val="20"/>
        </w:rPr>
        <w:t xml:space="preserve">et </w:t>
      </w:r>
      <w:r w:rsidRPr="008C7E7E">
        <w:rPr>
          <w:rFonts w:cs="Arial"/>
          <w:i/>
          <w:iCs/>
          <w:sz w:val="20"/>
        </w:rPr>
        <w:t>CIF Métal ltée</w:t>
      </w:r>
      <w:r>
        <w:rPr>
          <w:rFonts w:cs="Arial"/>
          <w:sz w:val="20"/>
        </w:rPr>
        <w:t xml:space="preserve">, 2018 QCTAT 820; </w:t>
      </w:r>
      <w:r w:rsidRPr="008C7E7E">
        <w:rPr>
          <w:rFonts w:cs="Arial"/>
          <w:i/>
          <w:iCs/>
          <w:sz w:val="20"/>
        </w:rPr>
        <w:t>Shedrick</w:t>
      </w:r>
      <w:r>
        <w:rPr>
          <w:rFonts w:cs="Arial"/>
          <w:sz w:val="20"/>
        </w:rPr>
        <w:t xml:space="preserve"> et </w:t>
      </w:r>
      <w:r w:rsidRPr="008C7E7E">
        <w:rPr>
          <w:rFonts w:cs="Arial"/>
          <w:i/>
          <w:iCs/>
          <w:sz w:val="20"/>
        </w:rPr>
        <w:t>Équipement Max-Atlas International inc</w:t>
      </w:r>
      <w:r>
        <w:rPr>
          <w:rFonts w:cs="Arial"/>
          <w:sz w:val="20"/>
        </w:rPr>
        <w:t>., 2022 QCTAT 4248.</w:t>
      </w:r>
    </w:p>
  </w:footnote>
  <w:footnote w:id="5">
    <w:p w14:paraId="0C3ECBCE" w14:textId="036889CE" w:rsidR="00072165" w:rsidRPr="00AB1159" w:rsidRDefault="00072165" w:rsidP="0007216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163BDE">
        <w:rPr>
          <w:rFonts w:cs="Arial"/>
          <w:sz w:val="20"/>
        </w:rPr>
        <w:t>C.L.P. 356964-64-0808, 14 décembre 2009, M. Montplaisir.</w:t>
      </w:r>
    </w:p>
  </w:footnote>
  <w:footnote w:id="6">
    <w:p w14:paraId="5453C874" w14:textId="24B06CC8" w:rsidR="00D719B1" w:rsidRPr="00D719B1" w:rsidRDefault="00D719B1" w:rsidP="00D719B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02339">
        <w:rPr>
          <w:rFonts w:cs="Arial"/>
          <w:i/>
          <w:sz w:val="20"/>
        </w:rPr>
        <w:t>Aliments Dare ltée</w:t>
      </w:r>
      <w:r>
        <w:rPr>
          <w:rFonts w:cs="Arial"/>
          <w:sz w:val="20"/>
        </w:rPr>
        <w:t xml:space="preserve"> c. </w:t>
      </w:r>
      <w:r w:rsidRPr="00202339">
        <w:rPr>
          <w:rFonts w:cs="Arial"/>
          <w:i/>
          <w:sz w:val="20"/>
        </w:rPr>
        <w:t>Commission des lé</w:t>
      </w:r>
      <w:r>
        <w:rPr>
          <w:rFonts w:cs="Arial"/>
          <w:i/>
          <w:sz w:val="20"/>
        </w:rPr>
        <w:t>s</w:t>
      </w:r>
      <w:r w:rsidRPr="00202339">
        <w:rPr>
          <w:rFonts w:cs="Arial"/>
          <w:i/>
          <w:sz w:val="20"/>
        </w:rPr>
        <w:t>ions professionnelles</w:t>
      </w:r>
      <w:r>
        <w:rPr>
          <w:rFonts w:cs="Arial"/>
          <w:sz w:val="20"/>
        </w:rPr>
        <w:t>, 2016 QCCS 387.</w:t>
      </w:r>
    </w:p>
  </w:footnote>
  <w:footnote w:id="7">
    <w:p w14:paraId="7FD8380B" w14:textId="024566CD" w:rsidR="00C23F3A" w:rsidRPr="00AB02DA" w:rsidRDefault="00C23F3A" w:rsidP="00FC4889">
      <w:pPr>
        <w:pStyle w:val="Notedebasdepage"/>
        <w:ind w:left="708" w:hanging="708"/>
        <w:jc w:val="both"/>
        <w:rPr>
          <w:rFonts w:cs="Arial"/>
          <w:sz w:val="20"/>
        </w:rPr>
      </w:pPr>
      <w:r>
        <w:rPr>
          <w:rStyle w:val="Appelnotedebasdep"/>
        </w:rPr>
        <w:footnoteRef/>
      </w:r>
      <w:r>
        <w:t xml:space="preserve"> </w:t>
      </w:r>
      <w:r>
        <w:rPr>
          <w:rFonts w:cs="Arial"/>
          <w:sz w:val="20"/>
        </w:rPr>
        <w:tab/>
      </w:r>
      <w:r>
        <w:rPr>
          <w:sz w:val="20"/>
        </w:rPr>
        <w:t xml:space="preserve">Voir notamment </w:t>
      </w:r>
      <w:bookmarkStart w:id="15" w:name="_Hlk201133929"/>
      <w:r w:rsidRPr="00544AE7">
        <w:rPr>
          <w:i/>
          <w:sz w:val="20"/>
        </w:rPr>
        <w:t>Noël-Fontaine</w:t>
      </w:r>
      <w:r>
        <w:rPr>
          <w:sz w:val="20"/>
        </w:rPr>
        <w:t xml:space="preserve"> et </w:t>
      </w:r>
      <w:r w:rsidRPr="00544AE7">
        <w:rPr>
          <w:i/>
          <w:sz w:val="20"/>
        </w:rPr>
        <w:t>Société d’aluminium Reynolds (Canada) ltée</w:t>
      </w:r>
      <w:r>
        <w:rPr>
          <w:sz w:val="20"/>
        </w:rPr>
        <w:t>, [1991]</w:t>
      </w:r>
      <w:r w:rsidR="00582C3B">
        <w:rPr>
          <w:sz w:val="20"/>
        </w:rPr>
        <w:t> </w:t>
      </w:r>
      <w:r>
        <w:rPr>
          <w:sz w:val="20"/>
        </w:rPr>
        <w:t>C.A.L.P.</w:t>
      </w:r>
      <w:r w:rsidR="00582C3B">
        <w:rPr>
          <w:sz w:val="20"/>
        </w:rPr>
        <w:t> </w:t>
      </w:r>
      <w:r>
        <w:rPr>
          <w:sz w:val="20"/>
        </w:rPr>
        <w:t>615</w:t>
      </w:r>
      <w:bookmarkEnd w:id="15"/>
      <w:r>
        <w:rPr>
          <w:sz w:val="20"/>
        </w:rPr>
        <w:t xml:space="preserve">; </w:t>
      </w:r>
      <w:r w:rsidRPr="00510DE4">
        <w:rPr>
          <w:i/>
          <w:sz w:val="20"/>
        </w:rPr>
        <w:t>C.H. Affilié Universitaire de Québec</w:t>
      </w:r>
      <w:r>
        <w:rPr>
          <w:sz w:val="20"/>
        </w:rPr>
        <w:t xml:space="preserve"> et </w:t>
      </w:r>
      <w:r w:rsidRPr="00510DE4">
        <w:rPr>
          <w:i/>
          <w:sz w:val="20"/>
        </w:rPr>
        <w:t>Harvey</w:t>
      </w:r>
      <w:r>
        <w:rPr>
          <w:sz w:val="20"/>
        </w:rPr>
        <w:t>, 198472-32-0301-R, 27</w:t>
      </w:r>
      <w:r w:rsidR="00582C3B">
        <w:rPr>
          <w:sz w:val="20"/>
        </w:rPr>
        <w:t> </w:t>
      </w:r>
      <w:r>
        <w:rPr>
          <w:sz w:val="20"/>
        </w:rPr>
        <w:t>juin</w:t>
      </w:r>
      <w:r w:rsidR="00582C3B">
        <w:rPr>
          <w:sz w:val="20"/>
        </w:rPr>
        <w:t> </w:t>
      </w:r>
      <w:r>
        <w:rPr>
          <w:sz w:val="20"/>
        </w:rPr>
        <w:t xml:space="preserve">2005, H. Thériault (décision rejetant la requête en révision); </w:t>
      </w:r>
      <w:r w:rsidRPr="00510DE4">
        <w:rPr>
          <w:i/>
          <w:sz w:val="20"/>
        </w:rPr>
        <w:t xml:space="preserve">Métra </w:t>
      </w:r>
      <w:r w:rsidR="00582C3B" w:rsidRPr="00510DE4">
        <w:rPr>
          <w:i/>
          <w:sz w:val="20"/>
        </w:rPr>
        <w:t>Aluminium</w:t>
      </w:r>
      <w:r>
        <w:rPr>
          <w:sz w:val="20"/>
        </w:rPr>
        <w:t xml:space="preserve"> </w:t>
      </w:r>
      <w:r w:rsidR="00582C3B" w:rsidRPr="00582C3B">
        <w:rPr>
          <w:i/>
          <w:iCs/>
          <w:sz w:val="20"/>
        </w:rPr>
        <w:t>inc.</w:t>
      </w:r>
      <w:r w:rsidR="00582C3B">
        <w:rPr>
          <w:sz w:val="20"/>
        </w:rPr>
        <w:t xml:space="preserve"> </w:t>
      </w:r>
      <w:r>
        <w:rPr>
          <w:sz w:val="20"/>
        </w:rPr>
        <w:t xml:space="preserve">et </w:t>
      </w:r>
      <w:r w:rsidRPr="00510DE4">
        <w:rPr>
          <w:i/>
          <w:sz w:val="20"/>
        </w:rPr>
        <w:t>Goyer</w:t>
      </w:r>
      <w:r>
        <w:rPr>
          <w:sz w:val="20"/>
        </w:rPr>
        <w:t xml:space="preserve">, 311848-61-0703, 18 février </w:t>
      </w:r>
      <w:smartTag w:uri="urn:schemas-microsoft-com:office:smarttags" w:element="metricconverter">
        <w:smartTagPr>
          <w:attr w:name="ProductID" w:val="2008, G"/>
        </w:smartTagPr>
        <w:r>
          <w:rPr>
            <w:sz w:val="20"/>
          </w:rPr>
          <w:t>2008, G</w:t>
        </w:r>
      </w:smartTag>
      <w:r>
        <w:rPr>
          <w:sz w:val="20"/>
        </w:rPr>
        <w:t>.</w:t>
      </w:r>
      <w:r w:rsidR="00582C3B">
        <w:rPr>
          <w:sz w:val="20"/>
        </w:rPr>
        <w:t xml:space="preserve"> </w:t>
      </w:r>
      <w:r>
        <w:rPr>
          <w:sz w:val="20"/>
        </w:rPr>
        <w:t>Morin.</w:t>
      </w:r>
    </w:p>
  </w:footnote>
  <w:footnote w:id="8">
    <w:p w14:paraId="20359117" w14:textId="317301C1" w:rsidR="00976FD6" w:rsidRPr="00976FD6" w:rsidRDefault="00976FD6" w:rsidP="00976FD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Précitée note </w:t>
      </w:r>
      <w:r w:rsidR="00163BDE">
        <w:rPr>
          <w:rFonts w:cs="Arial"/>
          <w:sz w:val="20"/>
        </w:rPr>
        <w:t>2.</w:t>
      </w:r>
    </w:p>
  </w:footnote>
  <w:footnote w:id="9">
    <w:p w14:paraId="24EB08FD" w14:textId="290FAEE4" w:rsidR="00C23F3A" w:rsidRPr="00641435" w:rsidRDefault="00C23F3A" w:rsidP="00C23F3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163BDE">
        <w:rPr>
          <w:sz w:val="20"/>
        </w:rPr>
        <w:t>[2009] C.L.P. 237.</w:t>
      </w:r>
    </w:p>
  </w:footnote>
  <w:footnote w:id="10">
    <w:p w14:paraId="67C4A9A6" w14:textId="7F84A0C6" w:rsidR="00C23F3A" w:rsidRPr="009F3276" w:rsidRDefault="00C23F3A" w:rsidP="00C23F3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163BDE">
        <w:rPr>
          <w:rFonts w:cs="Arial"/>
          <w:sz w:val="20"/>
        </w:rPr>
        <w:t>[2009] C.L.P. 304.</w:t>
      </w:r>
    </w:p>
  </w:footnote>
  <w:footnote w:id="11">
    <w:p w14:paraId="7EAD3A0A" w14:textId="75F56A46" w:rsidR="00C23F3A" w:rsidRPr="00F05A95" w:rsidRDefault="00C23F3A" w:rsidP="00C23F3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C.L.P. 214801-32-0308, 12 janvier 2004, G.</w:t>
      </w:r>
      <w:r w:rsidR="00F638D1">
        <w:rPr>
          <w:rFonts w:cs="Arial"/>
          <w:sz w:val="20"/>
        </w:rPr>
        <w:t xml:space="preserve"> </w:t>
      </w:r>
      <w:r>
        <w:rPr>
          <w:rFonts w:cs="Arial"/>
          <w:sz w:val="20"/>
        </w:rPr>
        <w:t>Tardif.</w:t>
      </w:r>
    </w:p>
  </w:footnote>
  <w:footnote w:id="12">
    <w:p w14:paraId="3F1CA901" w14:textId="5B2B6C8D" w:rsidR="00BD13C9" w:rsidRPr="00BD13C9" w:rsidRDefault="00BD13C9" w:rsidP="00BD13C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1234F9">
        <w:rPr>
          <w:rFonts w:cs="Arial"/>
          <w:sz w:val="20"/>
        </w:rPr>
        <w:t>Précitée, note 3</w:t>
      </w:r>
      <w:r>
        <w:rPr>
          <w:rFonts w:cs="Arial"/>
          <w:sz w:val="20"/>
        </w:rPr>
        <w:t>.</w:t>
      </w:r>
    </w:p>
  </w:footnote>
  <w:footnote w:id="13">
    <w:p w14:paraId="2FE749ED" w14:textId="2A190A73" w:rsidR="00CC4121" w:rsidRPr="00CC4121" w:rsidRDefault="00CC4121" w:rsidP="00CC412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1234F9">
        <w:rPr>
          <w:rFonts w:cs="Arial"/>
          <w:sz w:val="20"/>
        </w:rPr>
        <w:t>Précitée, note 3</w:t>
      </w:r>
      <w:r>
        <w:rPr>
          <w:rFonts w:cs="Arial"/>
          <w:sz w:val="20"/>
        </w:rPr>
        <w:t>.</w:t>
      </w:r>
    </w:p>
  </w:footnote>
  <w:footnote w:id="14">
    <w:p w14:paraId="6876EB37" w14:textId="36EC16A7" w:rsidR="00D719B1" w:rsidRPr="00D719B1" w:rsidRDefault="00D719B1" w:rsidP="00D719B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Précitée note </w:t>
      </w:r>
      <w:r w:rsidR="00163BDE">
        <w:rPr>
          <w:rFonts w:cs="Arial"/>
          <w:sz w:val="20"/>
        </w:rPr>
        <w:t>2.</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54A84848" w14:textId="77777777" w:rsidTr="00972627">
      <w:tc>
        <w:tcPr>
          <w:tcW w:w="8730" w:type="dxa"/>
        </w:tcPr>
        <w:p w14:paraId="309F62E0" w14:textId="77777777" w:rsidR="00D330B6" w:rsidRDefault="00D330B6">
          <w:pPr>
            <w:pStyle w:val="En-tte"/>
            <w:ind w:left="-90"/>
          </w:pPr>
        </w:p>
      </w:tc>
      <w:tc>
        <w:tcPr>
          <w:tcW w:w="860" w:type="dxa"/>
        </w:tcPr>
        <w:p w14:paraId="6DA100CA" w14:textId="77777777" w:rsidR="00D330B6" w:rsidRDefault="00D330B6">
          <w:pPr>
            <w:pStyle w:val="En-tte"/>
            <w:ind w:left="-90"/>
          </w:pPr>
        </w:p>
      </w:tc>
    </w:tr>
    <w:tr w:rsidR="00972627" w14:paraId="3B7778B8" w14:textId="77777777" w:rsidTr="00972627">
      <w:tc>
        <w:tcPr>
          <w:tcW w:w="8730" w:type="dxa"/>
        </w:tcPr>
        <w:p w14:paraId="56E9D895" w14:textId="1B52FA5B" w:rsidR="00972627" w:rsidRDefault="00972627" w:rsidP="00972627">
          <w:r>
            <w:t>1372499-62-2406</w:t>
          </w:r>
        </w:p>
      </w:tc>
      <w:tc>
        <w:tcPr>
          <w:tcW w:w="860" w:type="dxa"/>
        </w:tcPr>
        <w:p w14:paraId="6426B194" w14:textId="77777777" w:rsidR="00972627" w:rsidRDefault="00972627" w:rsidP="00972627">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254A5B">
            <w:rPr>
              <w:rStyle w:val="Numrodepage"/>
              <w:noProof/>
            </w:rPr>
            <w:t>2</w:t>
          </w:r>
          <w:r>
            <w:rPr>
              <w:rStyle w:val="Numrodepage"/>
            </w:rPr>
            <w:fldChar w:fldCharType="end"/>
          </w:r>
        </w:p>
      </w:tc>
    </w:tr>
    <w:tr w:rsidR="00972627" w14:paraId="6F0AFC6F" w14:textId="77777777" w:rsidTr="00972627">
      <w:tc>
        <w:tcPr>
          <w:tcW w:w="8730" w:type="dxa"/>
        </w:tcPr>
        <w:p w14:paraId="715F11A5" w14:textId="77777777" w:rsidR="00972627" w:rsidRDefault="00972627" w:rsidP="00972627"/>
      </w:tc>
      <w:tc>
        <w:tcPr>
          <w:tcW w:w="860" w:type="dxa"/>
        </w:tcPr>
        <w:p w14:paraId="6734C8DF" w14:textId="77777777" w:rsidR="00972627" w:rsidRDefault="00972627" w:rsidP="00972627">
          <w:pPr>
            <w:pStyle w:val="En-tte"/>
            <w:ind w:left="-90"/>
            <w:jc w:val="right"/>
          </w:pPr>
        </w:p>
      </w:tc>
    </w:tr>
  </w:tbl>
  <w:p w14:paraId="13831DF8"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3" w15:restartNumberingAfterBreak="0">
    <w:nsid w:val="6E5F75FC"/>
    <w:multiLevelType w:val="hybridMultilevel"/>
    <w:tmpl w:val="32A2C552"/>
    <w:lvl w:ilvl="0" w:tplc="74789B08">
      <w:start w:val="1"/>
      <w:numFmt w:val="decimal"/>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4"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6"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8" w15:restartNumberingAfterBreak="0">
    <w:nsid w:val="76556088"/>
    <w:multiLevelType w:val="multilevel"/>
    <w:tmpl w:val="CB7C0B04"/>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9"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0"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8"/>
  </w:num>
  <w:num w:numId="2">
    <w:abstractNumId w:val="7"/>
  </w:num>
  <w:num w:numId="3">
    <w:abstractNumId w:val="6"/>
  </w:num>
  <w:num w:numId="4">
    <w:abstractNumId w:val="4"/>
  </w:num>
  <w:num w:numId="5">
    <w:abstractNumId w:val="10"/>
  </w:num>
  <w:num w:numId="6">
    <w:abstractNumId w:val="10"/>
  </w:num>
  <w:num w:numId="7">
    <w:abstractNumId w:val="0"/>
  </w:num>
  <w:num w:numId="8">
    <w:abstractNumId w:val="2"/>
  </w:num>
  <w:num w:numId="9">
    <w:abstractNumId w:val="1"/>
  </w:num>
  <w:num w:numId="10">
    <w:abstractNumId w:val="9"/>
  </w:num>
  <w:num w:numId="11">
    <w:abstractNumId w:val="5"/>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37"/>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8B9"/>
    <w:rsid w:val="000034B0"/>
    <w:rsid w:val="000041A1"/>
    <w:rsid w:val="00006DD2"/>
    <w:rsid w:val="0001305E"/>
    <w:rsid w:val="00016D99"/>
    <w:rsid w:val="00021B30"/>
    <w:rsid w:val="00021E4C"/>
    <w:rsid w:val="00022556"/>
    <w:rsid w:val="00023858"/>
    <w:rsid w:val="00024589"/>
    <w:rsid w:val="000352CA"/>
    <w:rsid w:val="000366EC"/>
    <w:rsid w:val="00036794"/>
    <w:rsid w:val="00043E4D"/>
    <w:rsid w:val="000536CC"/>
    <w:rsid w:val="000559A8"/>
    <w:rsid w:val="00055A3E"/>
    <w:rsid w:val="00056393"/>
    <w:rsid w:val="00057739"/>
    <w:rsid w:val="000618B9"/>
    <w:rsid w:val="00070254"/>
    <w:rsid w:val="00070B67"/>
    <w:rsid w:val="00072165"/>
    <w:rsid w:val="0007225E"/>
    <w:rsid w:val="00074ABE"/>
    <w:rsid w:val="00074EAE"/>
    <w:rsid w:val="000756D0"/>
    <w:rsid w:val="00076D81"/>
    <w:rsid w:val="00080885"/>
    <w:rsid w:val="00082A97"/>
    <w:rsid w:val="0008378A"/>
    <w:rsid w:val="0008784D"/>
    <w:rsid w:val="00090018"/>
    <w:rsid w:val="00090306"/>
    <w:rsid w:val="00090F69"/>
    <w:rsid w:val="00093ACD"/>
    <w:rsid w:val="00095814"/>
    <w:rsid w:val="00097D81"/>
    <w:rsid w:val="00097FCE"/>
    <w:rsid w:val="000A1DAC"/>
    <w:rsid w:val="000A4AD0"/>
    <w:rsid w:val="000A5AD1"/>
    <w:rsid w:val="000A63DF"/>
    <w:rsid w:val="000A77C5"/>
    <w:rsid w:val="000B6275"/>
    <w:rsid w:val="000B7F1B"/>
    <w:rsid w:val="000C710F"/>
    <w:rsid w:val="000D0E87"/>
    <w:rsid w:val="000D3948"/>
    <w:rsid w:val="000E0C28"/>
    <w:rsid w:val="000E0C3A"/>
    <w:rsid w:val="000E1320"/>
    <w:rsid w:val="000E3FF6"/>
    <w:rsid w:val="000E56A6"/>
    <w:rsid w:val="000F20A5"/>
    <w:rsid w:val="000F3423"/>
    <w:rsid w:val="000F5F81"/>
    <w:rsid w:val="00100AB8"/>
    <w:rsid w:val="00104550"/>
    <w:rsid w:val="00104C3D"/>
    <w:rsid w:val="00104F60"/>
    <w:rsid w:val="001050B4"/>
    <w:rsid w:val="001144AB"/>
    <w:rsid w:val="0012224D"/>
    <w:rsid w:val="001225BC"/>
    <w:rsid w:val="00122A9E"/>
    <w:rsid w:val="00122F94"/>
    <w:rsid w:val="0012326A"/>
    <w:rsid w:val="001234F9"/>
    <w:rsid w:val="00132622"/>
    <w:rsid w:val="00136752"/>
    <w:rsid w:val="00137E7E"/>
    <w:rsid w:val="001407FC"/>
    <w:rsid w:val="00144572"/>
    <w:rsid w:val="00146116"/>
    <w:rsid w:val="00147A49"/>
    <w:rsid w:val="00147B8B"/>
    <w:rsid w:val="0015125A"/>
    <w:rsid w:val="00152464"/>
    <w:rsid w:val="0015539F"/>
    <w:rsid w:val="00160597"/>
    <w:rsid w:val="00162ECC"/>
    <w:rsid w:val="00163BDE"/>
    <w:rsid w:val="001664C8"/>
    <w:rsid w:val="00167AD0"/>
    <w:rsid w:val="00167DEF"/>
    <w:rsid w:val="00167E9D"/>
    <w:rsid w:val="00173184"/>
    <w:rsid w:val="00175079"/>
    <w:rsid w:val="001761B9"/>
    <w:rsid w:val="00183515"/>
    <w:rsid w:val="001846FC"/>
    <w:rsid w:val="00185615"/>
    <w:rsid w:val="001924FE"/>
    <w:rsid w:val="001965E1"/>
    <w:rsid w:val="00197DA2"/>
    <w:rsid w:val="001A03BE"/>
    <w:rsid w:val="001A067E"/>
    <w:rsid w:val="001A2900"/>
    <w:rsid w:val="001A4081"/>
    <w:rsid w:val="001A65F1"/>
    <w:rsid w:val="001B2B40"/>
    <w:rsid w:val="001B3E9D"/>
    <w:rsid w:val="001B4A40"/>
    <w:rsid w:val="001B5524"/>
    <w:rsid w:val="001B6D8A"/>
    <w:rsid w:val="001C0B97"/>
    <w:rsid w:val="001C19D4"/>
    <w:rsid w:val="001C2B0B"/>
    <w:rsid w:val="001C436D"/>
    <w:rsid w:val="001C4DFD"/>
    <w:rsid w:val="001D1A77"/>
    <w:rsid w:val="001D63C8"/>
    <w:rsid w:val="001D65D8"/>
    <w:rsid w:val="001E3DFD"/>
    <w:rsid w:val="001E42F0"/>
    <w:rsid w:val="001E497A"/>
    <w:rsid w:val="001E5E3B"/>
    <w:rsid w:val="001E6239"/>
    <w:rsid w:val="002123B5"/>
    <w:rsid w:val="00214AD9"/>
    <w:rsid w:val="00225C46"/>
    <w:rsid w:val="00226493"/>
    <w:rsid w:val="00227040"/>
    <w:rsid w:val="00230CFC"/>
    <w:rsid w:val="0023162A"/>
    <w:rsid w:val="00231C1D"/>
    <w:rsid w:val="00233532"/>
    <w:rsid w:val="00234BC8"/>
    <w:rsid w:val="002404DF"/>
    <w:rsid w:val="00241CED"/>
    <w:rsid w:val="00242FB4"/>
    <w:rsid w:val="00245605"/>
    <w:rsid w:val="002542E0"/>
    <w:rsid w:val="00254A5B"/>
    <w:rsid w:val="002563F0"/>
    <w:rsid w:val="00256DBB"/>
    <w:rsid w:val="00260119"/>
    <w:rsid w:val="00266064"/>
    <w:rsid w:val="00267C8D"/>
    <w:rsid w:val="002701DD"/>
    <w:rsid w:val="002710FD"/>
    <w:rsid w:val="00273F49"/>
    <w:rsid w:val="002769B5"/>
    <w:rsid w:val="00276B25"/>
    <w:rsid w:val="00276B59"/>
    <w:rsid w:val="00281319"/>
    <w:rsid w:val="00281C1E"/>
    <w:rsid w:val="00286149"/>
    <w:rsid w:val="0028668D"/>
    <w:rsid w:val="00287923"/>
    <w:rsid w:val="00290289"/>
    <w:rsid w:val="00292188"/>
    <w:rsid w:val="002923D9"/>
    <w:rsid w:val="00296645"/>
    <w:rsid w:val="00296A4B"/>
    <w:rsid w:val="00297284"/>
    <w:rsid w:val="002A0077"/>
    <w:rsid w:val="002A07DC"/>
    <w:rsid w:val="002A3573"/>
    <w:rsid w:val="002A374B"/>
    <w:rsid w:val="002A59EC"/>
    <w:rsid w:val="002A73E9"/>
    <w:rsid w:val="002B0A31"/>
    <w:rsid w:val="002B132B"/>
    <w:rsid w:val="002B2FC3"/>
    <w:rsid w:val="002B35F0"/>
    <w:rsid w:val="002B58AF"/>
    <w:rsid w:val="002C3748"/>
    <w:rsid w:val="002C5E89"/>
    <w:rsid w:val="002D42BC"/>
    <w:rsid w:val="002D56F3"/>
    <w:rsid w:val="002D71A9"/>
    <w:rsid w:val="002D7846"/>
    <w:rsid w:val="002D7FCB"/>
    <w:rsid w:val="002E05AE"/>
    <w:rsid w:val="002E27A7"/>
    <w:rsid w:val="002F3228"/>
    <w:rsid w:val="002F7507"/>
    <w:rsid w:val="0030059B"/>
    <w:rsid w:val="00300A5E"/>
    <w:rsid w:val="00302FB4"/>
    <w:rsid w:val="00305273"/>
    <w:rsid w:val="003057FC"/>
    <w:rsid w:val="00305AFB"/>
    <w:rsid w:val="00307C85"/>
    <w:rsid w:val="00310CD5"/>
    <w:rsid w:val="00312983"/>
    <w:rsid w:val="00323DC5"/>
    <w:rsid w:val="003248CB"/>
    <w:rsid w:val="00331EA7"/>
    <w:rsid w:val="003332B8"/>
    <w:rsid w:val="00337555"/>
    <w:rsid w:val="00343B46"/>
    <w:rsid w:val="00344465"/>
    <w:rsid w:val="0034740A"/>
    <w:rsid w:val="0035375B"/>
    <w:rsid w:val="00362D74"/>
    <w:rsid w:val="003664E9"/>
    <w:rsid w:val="00366A10"/>
    <w:rsid w:val="00366D1E"/>
    <w:rsid w:val="003703A5"/>
    <w:rsid w:val="0037112C"/>
    <w:rsid w:val="00373EE5"/>
    <w:rsid w:val="00374139"/>
    <w:rsid w:val="003817E7"/>
    <w:rsid w:val="00382E55"/>
    <w:rsid w:val="00390B55"/>
    <w:rsid w:val="003961B2"/>
    <w:rsid w:val="003A41AD"/>
    <w:rsid w:val="003B0C41"/>
    <w:rsid w:val="003B152B"/>
    <w:rsid w:val="003B1734"/>
    <w:rsid w:val="003B1735"/>
    <w:rsid w:val="003B19EE"/>
    <w:rsid w:val="003B2D2E"/>
    <w:rsid w:val="003B6CBF"/>
    <w:rsid w:val="003C47A7"/>
    <w:rsid w:val="003D0826"/>
    <w:rsid w:val="003D18FC"/>
    <w:rsid w:val="003D3B08"/>
    <w:rsid w:val="003D3C93"/>
    <w:rsid w:val="003D71BB"/>
    <w:rsid w:val="003E00D5"/>
    <w:rsid w:val="003E02BA"/>
    <w:rsid w:val="003E4120"/>
    <w:rsid w:val="003F0578"/>
    <w:rsid w:val="003F7F38"/>
    <w:rsid w:val="00401325"/>
    <w:rsid w:val="004019AA"/>
    <w:rsid w:val="0040399B"/>
    <w:rsid w:val="00406F0C"/>
    <w:rsid w:val="004106DB"/>
    <w:rsid w:val="00410A9A"/>
    <w:rsid w:val="00411251"/>
    <w:rsid w:val="00412585"/>
    <w:rsid w:val="0041363B"/>
    <w:rsid w:val="00414FA8"/>
    <w:rsid w:val="00415D5D"/>
    <w:rsid w:val="0041643A"/>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627E"/>
    <w:rsid w:val="0045114F"/>
    <w:rsid w:val="004529D3"/>
    <w:rsid w:val="00453F31"/>
    <w:rsid w:val="00456B0C"/>
    <w:rsid w:val="00460101"/>
    <w:rsid w:val="0046538B"/>
    <w:rsid w:val="004670FF"/>
    <w:rsid w:val="00471C92"/>
    <w:rsid w:val="004739AC"/>
    <w:rsid w:val="00474489"/>
    <w:rsid w:val="00475FEF"/>
    <w:rsid w:val="0047680F"/>
    <w:rsid w:val="00477536"/>
    <w:rsid w:val="0047776F"/>
    <w:rsid w:val="00482D5B"/>
    <w:rsid w:val="004832E2"/>
    <w:rsid w:val="00483D1B"/>
    <w:rsid w:val="004870EA"/>
    <w:rsid w:val="004873EC"/>
    <w:rsid w:val="00487F13"/>
    <w:rsid w:val="00491CEF"/>
    <w:rsid w:val="0049595F"/>
    <w:rsid w:val="00496193"/>
    <w:rsid w:val="004A02AF"/>
    <w:rsid w:val="004A2D66"/>
    <w:rsid w:val="004A4449"/>
    <w:rsid w:val="004A679B"/>
    <w:rsid w:val="004A710C"/>
    <w:rsid w:val="004B3880"/>
    <w:rsid w:val="004C0FB4"/>
    <w:rsid w:val="004C1811"/>
    <w:rsid w:val="004C2944"/>
    <w:rsid w:val="004C4555"/>
    <w:rsid w:val="004C58E7"/>
    <w:rsid w:val="004D16D6"/>
    <w:rsid w:val="004D6CEA"/>
    <w:rsid w:val="004E0E02"/>
    <w:rsid w:val="004E3564"/>
    <w:rsid w:val="004E3D9F"/>
    <w:rsid w:val="004E4A2C"/>
    <w:rsid w:val="004E51C0"/>
    <w:rsid w:val="004E64BE"/>
    <w:rsid w:val="004F6293"/>
    <w:rsid w:val="00503B8D"/>
    <w:rsid w:val="00503EE3"/>
    <w:rsid w:val="00505811"/>
    <w:rsid w:val="0050612F"/>
    <w:rsid w:val="0051261C"/>
    <w:rsid w:val="00515DE7"/>
    <w:rsid w:val="00517EB0"/>
    <w:rsid w:val="005205CB"/>
    <w:rsid w:val="0052430C"/>
    <w:rsid w:val="005348E4"/>
    <w:rsid w:val="00534D8F"/>
    <w:rsid w:val="005352F1"/>
    <w:rsid w:val="00540094"/>
    <w:rsid w:val="005422D8"/>
    <w:rsid w:val="00545CFF"/>
    <w:rsid w:val="00547A9C"/>
    <w:rsid w:val="00555800"/>
    <w:rsid w:val="00556DBB"/>
    <w:rsid w:val="00560781"/>
    <w:rsid w:val="0056268F"/>
    <w:rsid w:val="005662E9"/>
    <w:rsid w:val="005700F8"/>
    <w:rsid w:val="00572AAF"/>
    <w:rsid w:val="005801AE"/>
    <w:rsid w:val="00582868"/>
    <w:rsid w:val="00582C3B"/>
    <w:rsid w:val="00582ECC"/>
    <w:rsid w:val="0058399B"/>
    <w:rsid w:val="0058692F"/>
    <w:rsid w:val="00587045"/>
    <w:rsid w:val="00587C22"/>
    <w:rsid w:val="005907BE"/>
    <w:rsid w:val="0059436D"/>
    <w:rsid w:val="005945C0"/>
    <w:rsid w:val="00596AB2"/>
    <w:rsid w:val="00597016"/>
    <w:rsid w:val="005974B7"/>
    <w:rsid w:val="005A0D51"/>
    <w:rsid w:val="005A181B"/>
    <w:rsid w:val="005A1CB3"/>
    <w:rsid w:val="005A3073"/>
    <w:rsid w:val="005A33A5"/>
    <w:rsid w:val="005A37D7"/>
    <w:rsid w:val="005A5437"/>
    <w:rsid w:val="005A6969"/>
    <w:rsid w:val="005A70A0"/>
    <w:rsid w:val="005B0612"/>
    <w:rsid w:val="005B13F0"/>
    <w:rsid w:val="005B2E0C"/>
    <w:rsid w:val="005B30F6"/>
    <w:rsid w:val="005B4054"/>
    <w:rsid w:val="005B45BA"/>
    <w:rsid w:val="005B5689"/>
    <w:rsid w:val="005B6680"/>
    <w:rsid w:val="005B6774"/>
    <w:rsid w:val="005B78FB"/>
    <w:rsid w:val="005C0A89"/>
    <w:rsid w:val="005C3BC4"/>
    <w:rsid w:val="005C5E81"/>
    <w:rsid w:val="005D26CC"/>
    <w:rsid w:val="005D4711"/>
    <w:rsid w:val="005D59B1"/>
    <w:rsid w:val="005D764B"/>
    <w:rsid w:val="005E2367"/>
    <w:rsid w:val="005E34D2"/>
    <w:rsid w:val="005E5E90"/>
    <w:rsid w:val="005E62C7"/>
    <w:rsid w:val="005E654C"/>
    <w:rsid w:val="005F05F6"/>
    <w:rsid w:val="005F0D07"/>
    <w:rsid w:val="005F23AE"/>
    <w:rsid w:val="00605734"/>
    <w:rsid w:val="00613670"/>
    <w:rsid w:val="0061488E"/>
    <w:rsid w:val="0061574B"/>
    <w:rsid w:val="00616406"/>
    <w:rsid w:val="00617B56"/>
    <w:rsid w:val="00620415"/>
    <w:rsid w:val="00622670"/>
    <w:rsid w:val="00623328"/>
    <w:rsid w:val="00623A1A"/>
    <w:rsid w:val="00626E8D"/>
    <w:rsid w:val="0063156B"/>
    <w:rsid w:val="006326A9"/>
    <w:rsid w:val="00632DA8"/>
    <w:rsid w:val="00634C4B"/>
    <w:rsid w:val="00634E6E"/>
    <w:rsid w:val="0063651F"/>
    <w:rsid w:val="0064342A"/>
    <w:rsid w:val="00643A28"/>
    <w:rsid w:val="006452FA"/>
    <w:rsid w:val="0065093D"/>
    <w:rsid w:val="00652A16"/>
    <w:rsid w:val="00655193"/>
    <w:rsid w:val="00655459"/>
    <w:rsid w:val="00656FB2"/>
    <w:rsid w:val="00657A70"/>
    <w:rsid w:val="00661454"/>
    <w:rsid w:val="006620AA"/>
    <w:rsid w:val="006626AF"/>
    <w:rsid w:val="0066642D"/>
    <w:rsid w:val="006722E2"/>
    <w:rsid w:val="00675E85"/>
    <w:rsid w:val="0067750F"/>
    <w:rsid w:val="00681396"/>
    <w:rsid w:val="0068171F"/>
    <w:rsid w:val="0068401E"/>
    <w:rsid w:val="006841A4"/>
    <w:rsid w:val="0068643F"/>
    <w:rsid w:val="006877A1"/>
    <w:rsid w:val="00692150"/>
    <w:rsid w:val="00692F0C"/>
    <w:rsid w:val="006944B0"/>
    <w:rsid w:val="00696E7C"/>
    <w:rsid w:val="00696EF2"/>
    <w:rsid w:val="006A0C54"/>
    <w:rsid w:val="006A3E54"/>
    <w:rsid w:val="006A7C53"/>
    <w:rsid w:val="006B03A7"/>
    <w:rsid w:val="006B140A"/>
    <w:rsid w:val="006B309C"/>
    <w:rsid w:val="006B4316"/>
    <w:rsid w:val="006B727F"/>
    <w:rsid w:val="006C1B57"/>
    <w:rsid w:val="006C5117"/>
    <w:rsid w:val="006C6D3A"/>
    <w:rsid w:val="006C7B36"/>
    <w:rsid w:val="006C7B7F"/>
    <w:rsid w:val="006D1686"/>
    <w:rsid w:val="006D19E8"/>
    <w:rsid w:val="006D7768"/>
    <w:rsid w:val="006E04B5"/>
    <w:rsid w:val="006E330C"/>
    <w:rsid w:val="006E3DD8"/>
    <w:rsid w:val="006E793F"/>
    <w:rsid w:val="006E7A6A"/>
    <w:rsid w:val="006F0154"/>
    <w:rsid w:val="006F608D"/>
    <w:rsid w:val="006F7944"/>
    <w:rsid w:val="007009D1"/>
    <w:rsid w:val="00704121"/>
    <w:rsid w:val="007057F4"/>
    <w:rsid w:val="00705BB5"/>
    <w:rsid w:val="007110AF"/>
    <w:rsid w:val="007112BD"/>
    <w:rsid w:val="0071326F"/>
    <w:rsid w:val="007153D7"/>
    <w:rsid w:val="0071728F"/>
    <w:rsid w:val="00720ED4"/>
    <w:rsid w:val="00722736"/>
    <w:rsid w:val="0074488F"/>
    <w:rsid w:val="00745AA8"/>
    <w:rsid w:val="007503E0"/>
    <w:rsid w:val="007510EC"/>
    <w:rsid w:val="0075233C"/>
    <w:rsid w:val="0075256A"/>
    <w:rsid w:val="00752DCD"/>
    <w:rsid w:val="007569DE"/>
    <w:rsid w:val="0075723C"/>
    <w:rsid w:val="007579A7"/>
    <w:rsid w:val="0076146A"/>
    <w:rsid w:val="0076350E"/>
    <w:rsid w:val="007635D5"/>
    <w:rsid w:val="00763F36"/>
    <w:rsid w:val="00766D91"/>
    <w:rsid w:val="00771A54"/>
    <w:rsid w:val="00775BDF"/>
    <w:rsid w:val="0077614D"/>
    <w:rsid w:val="007778AA"/>
    <w:rsid w:val="00782C8F"/>
    <w:rsid w:val="00785BAC"/>
    <w:rsid w:val="00785F78"/>
    <w:rsid w:val="0078659D"/>
    <w:rsid w:val="007869EC"/>
    <w:rsid w:val="00790A1C"/>
    <w:rsid w:val="00791ED8"/>
    <w:rsid w:val="007A1E58"/>
    <w:rsid w:val="007A5C7E"/>
    <w:rsid w:val="007A63F9"/>
    <w:rsid w:val="007A69A9"/>
    <w:rsid w:val="007A6E2F"/>
    <w:rsid w:val="007B0DF2"/>
    <w:rsid w:val="007B3BC5"/>
    <w:rsid w:val="007B6F8D"/>
    <w:rsid w:val="007C1832"/>
    <w:rsid w:val="007C59A5"/>
    <w:rsid w:val="007D03DF"/>
    <w:rsid w:val="007D4953"/>
    <w:rsid w:val="007D50F4"/>
    <w:rsid w:val="007D7173"/>
    <w:rsid w:val="007E1216"/>
    <w:rsid w:val="007E4CD4"/>
    <w:rsid w:val="007E530C"/>
    <w:rsid w:val="007F0E8E"/>
    <w:rsid w:val="007F2149"/>
    <w:rsid w:val="007F4E00"/>
    <w:rsid w:val="008048CF"/>
    <w:rsid w:val="008079DD"/>
    <w:rsid w:val="0081130F"/>
    <w:rsid w:val="00813095"/>
    <w:rsid w:val="008145AD"/>
    <w:rsid w:val="008146B2"/>
    <w:rsid w:val="00824430"/>
    <w:rsid w:val="008257F6"/>
    <w:rsid w:val="00825B1F"/>
    <w:rsid w:val="00827D55"/>
    <w:rsid w:val="00832021"/>
    <w:rsid w:val="00832C84"/>
    <w:rsid w:val="00840EDD"/>
    <w:rsid w:val="0084255F"/>
    <w:rsid w:val="00845073"/>
    <w:rsid w:val="00846FB1"/>
    <w:rsid w:val="00854FB3"/>
    <w:rsid w:val="00857FCA"/>
    <w:rsid w:val="00860F13"/>
    <w:rsid w:val="0086199C"/>
    <w:rsid w:val="00861F8B"/>
    <w:rsid w:val="0086561F"/>
    <w:rsid w:val="00865A7A"/>
    <w:rsid w:val="00865FE1"/>
    <w:rsid w:val="0087069B"/>
    <w:rsid w:val="00874542"/>
    <w:rsid w:val="008748C7"/>
    <w:rsid w:val="0087521A"/>
    <w:rsid w:val="008808C0"/>
    <w:rsid w:val="00882255"/>
    <w:rsid w:val="00890BDE"/>
    <w:rsid w:val="00892AD3"/>
    <w:rsid w:val="00894155"/>
    <w:rsid w:val="008962E7"/>
    <w:rsid w:val="008A1118"/>
    <w:rsid w:val="008A281F"/>
    <w:rsid w:val="008A48D2"/>
    <w:rsid w:val="008A4AF6"/>
    <w:rsid w:val="008A4FF8"/>
    <w:rsid w:val="008A5ED1"/>
    <w:rsid w:val="008A73CE"/>
    <w:rsid w:val="008A7FD1"/>
    <w:rsid w:val="008B042E"/>
    <w:rsid w:val="008B211E"/>
    <w:rsid w:val="008B6D48"/>
    <w:rsid w:val="008C2A27"/>
    <w:rsid w:val="008C3AE8"/>
    <w:rsid w:val="008C7660"/>
    <w:rsid w:val="008C79A7"/>
    <w:rsid w:val="008C7E7E"/>
    <w:rsid w:val="008D5521"/>
    <w:rsid w:val="008D555F"/>
    <w:rsid w:val="008D625D"/>
    <w:rsid w:val="008D650E"/>
    <w:rsid w:val="008D6F9F"/>
    <w:rsid w:val="008E673E"/>
    <w:rsid w:val="008E67D1"/>
    <w:rsid w:val="008E6A41"/>
    <w:rsid w:val="008E6FC1"/>
    <w:rsid w:val="008F15D5"/>
    <w:rsid w:val="008F20EA"/>
    <w:rsid w:val="008F2C01"/>
    <w:rsid w:val="008F79C4"/>
    <w:rsid w:val="00903990"/>
    <w:rsid w:val="009042A8"/>
    <w:rsid w:val="00904950"/>
    <w:rsid w:val="0091442E"/>
    <w:rsid w:val="00915E5E"/>
    <w:rsid w:val="009166B8"/>
    <w:rsid w:val="00916FA5"/>
    <w:rsid w:val="00917915"/>
    <w:rsid w:val="00920684"/>
    <w:rsid w:val="009216E6"/>
    <w:rsid w:val="009224EC"/>
    <w:rsid w:val="00922DB7"/>
    <w:rsid w:val="0092684A"/>
    <w:rsid w:val="00927654"/>
    <w:rsid w:val="00937FAB"/>
    <w:rsid w:val="0094094D"/>
    <w:rsid w:val="00942AB8"/>
    <w:rsid w:val="0094548C"/>
    <w:rsid w:val="00945CAF"/>
    <w:rsid w:val="00946AC9"/>
    <w:rsid w:val="00947448"/>
    <w:rsid w:val="00947EB9"/>
    <w:rsid w:val="00952B38"/>
    <w:rsid w:val="00952C99"/>
    <w:rsid w:val="009619EB"/>
    <w:rsid w:val="00965333"/>
    <w:rsid w:val="009712EF"/>
    <w:rsid w:val="00972627"/>
    <w:rsid w:val="009727BF"/>
    <w:rsid w:val="00973321"/>
    <w:rsid w:val="00975C2E"/>
    <w:rsid w:val="00976FD6"/>
    <w:rsid w:val="009770EB"/>
    <w:rsid w:val="00977270"/>
    <w:rsid w:val="009824F2"/>
    <w:rsid w:val="00983080"/>
    <w:rsid w:val="00986AA3"/>
    <w:rsid w:val="00993B24"/>
    <w:rsid w:val="0099611F"/>
    <w:rsid w:val="009A083F"/>
    <w:rsid w:val="009A135C"/>
    <w:rsid w:val="009A4A4E"/>
    <w:rsid w:val="009A67E7"/>
    <w:rsid w:val="009B1231"/>
    <w:rsid w:val="009B2ED1"/>
    <w:rsid w:val="009B7147"/>
    <w:rsid w:val="009C603A"/>
    <w:rsid w:val="009C74CD"/>
    <w:rsid w:val="009D048F"/>
    <w:rsid w:val="009D162F"/>
    <w:rsid w:val="009D23FF"/>
    <w:rsid w:val="009D401F"/>
    <w:rsid w:val="009D5B42"/>
    <w:rsid w:val="009D68FA"/>
    <w:rsid w:val="009D7440"/>
    <w:rsid w:val="009D745E"/>
    <w:rsid w:val="009E1E4F"/>
    <w:rsid w:val="009E32CF"/>
    <w:rsid w:val="009E4261"/>
    <w:rsid w:val="009E4FC2"/>
    <w:rsid w:val="009F44AE"/>
    <w:rsid w:val="009F59B9"/>
    <w:rsid w:val="00A02529"/>
    <w:rsid w:val="00A02EF2"/>
    <w:rsid w:val="00A04D5E"/>
    <w:rsid w:val="00A10DDF"/>
    <w:rsid w:val="00A11172"/>
    <w:rsid w:val="00A1219E"/>
    <w:rsid w:val="00A12E55"/>
    <w:rsid w:val="00A168D7"/>
    <w:rsid w:val="00A20F81"/>
    <w:rsid w:val="00A2411A"/>
    <w:rsid w:val="00A242E4"/>
    <w:rsid w:val="00A24437"/>
    <w:rsid w:val="00A24CA0"/>
    <w:rsid w:val="00A25D4B"/>
    <w:rsid w:val="00A266B0"/>
    <w:rsid w:val="00A33601"/>
    <w:rsid w:val="00A3362A"/>
    <w:rsid w:val="00A34251"/>
    <w:rsid w:val="00A35278"/>
    <w:rsid w:val="00A36257"/>
    <w:rsid w:val="00A37045"/>
    <w:rsid w:val="00A37B70"/>
    <w:rsid w:val="00A40AC7"/>
    <w:rsid w:val="00A435C7"/>
    <w:rsid w:val="00A55607"/>
    <w:rsid w:val="00A569B2"/>
    <w:rsid w:val="00A60CDA"/>
    <w:rsid w:val="00A611A4"/>
    <w:rsid w:val="00A61F09"/>
    <w:rsid w:val="00A637ED"/>
    <w:rsid w:val="00A63E1A"/>
    <w:rsid w:val="00A643DC"/>
    <w:rsid w:val="00A6695B"/>
    <w:rsid w:val="00A72703"/>
    <w:rsid w:val="00A727F6"/>
    <w:rsid w:val="00A72E71"/>
    <w:rsid w:val="00A76432"/>
    <w:rsid w:val="00A770C0"/>
    <w:rsid w:val="00A84FC6"/>
    <w:rsid w:val="00A8528E"/>
    <w:rsid w:val="00A90BD9"/>
    <w:rsid w:val="00A9101B"/>
    <w:rsid w:val="00A94A49"/>
    <w:rsid w:val="00A95C5E"/>
    <w:rsid w:val="00A96B3E"/>
    <w:rsid w:val="00AA1815"/>
    <w:rsid w:val="00AA1D3E"/>
    <w:rsid w:val="00AA20E7"/>
    <w:rsid w:val="00AA39F9"/>
    <w:rsid w:val="00AA79D3"/>
    <w:rsid w:val="00AB0931"/>
    <w:rsid w:val="00AB4DC4"/>
    <w:rsid w:val="00AB5C9B"/>
    <w:rsid w:val="00AC0159"/>
    <w:rsid w:val="00AC0276"/>
    <w:rsid w:val="00AC0312"/>
    <w:rsid w:val="00AC0449"/>
    <w:rsid w:val="00AC0DC3"/>
    <w:rsid w:val="00AC5FE5"/>
    <w:rsid w:val="00AD035F"/>
    <w:rsid w:val="00AD2497"/>
    <w:rsid w:val="00AD35C8"/>
    <w:rsid w:val="00AD5C04"/>
    <w:rsid w:val="00AD5EB4"/>
    <w:rsid w:val="00AD667B"/>
    <w:rsid w:val="00AE63E2"/>
    <w:rsid w:val="00AE7976"/>
    <w:rsid w:val="00AF04C9"/>
    <w:rsid w:val="00AF19A2"/>
    <w:rsid w:val="00AF1DC4"/>
    <w:rsid w:val="00AF26B6"/>
    <w:rsid w:val="00AF2979"/>
    <w:rsid w:val="00AF3189"/>
    <w:rsid w:val="00AF5BF8"/>
    <w:rsid w:val="00B0375C"/>
    <w:rsid w:val="00B052CB"/>
    <w:rsid w:val="00B10581"/>
    <w:rsid w:val="00B13A8B"/>
    <w:rsid w:val="00B156C3"/>
    <w:rsid w:val="00B15F67"/>
    <w:rsid w:val="00B1624F"/>
    <w:rsid w:val="00B20F5D"/>
    <w:rsid w:val="00B21184"/>
    <w:rsid w:val="00B224C5"/>
    <w:rsid w:val="00B325CD"/>
    <w:rsid w:val="00B36C0F"/>
    <w:rsid w:val="00B37793"/>
    <w:rsid w:val="00B41203"/>
    <w:rsid w:val="00B4561E"/>
    <w:rsid w:val="00B4768D"/>
    <w:rsid w:val="00B518E5"/>
    <w:rsid w:val="00B51E1F"/>
    <w:rsid w:val="00B52601"/>
    <w:rsid w:val="00B57032"/>
    <w:rsid w:val="00B60222"/>
    <w:rsid w:val="00B62CFB"/>
    <w:rsid w:val="00B662F5"/>
    <w:rsid w:val="00B7000C"/>
    <w:rsid w:val="00B760D5"/>
    <w:rsid w:val="00B77495"/>
    <w:rsid w:val="00B83B2C"/>
    <w:rsid w:val="00B83CD8"/>
    <w:rsid w:val="00B918D1"/>
    <w:rsid w:val="00B92049"/>
    <w:rsid w:val="00B94740"/>
    <w:rsid w:val="00B95002"/>
    <w:rsid w:val="00B97F75"/>
    <w:rsid w:val="00BA0A4F"/>
    <w:rsid w:val="00BA1CAE"/>
    <w:rsid w:val="00BA33BB"/>
    <w:rsid w:val="00BA4830"/>
    <w:rsid w:val="00BA6E22"/>
    <w:rsid w:val="00BB1460"/>
    <w:rsid w:val="00BB362C"/>
    <w:rsid w:val="00BB5942"/>
    <w:rsid w:val="00BC0A03"/>
    <w:rsid w:val="00BC41B4"/>
    <w:rsid w:val="00BC4A42"/>
    <w:rsid w:val="00BC5BB4"/>
    <w:rsid w:val="00BD13C9"/>
    <w:rsid w:val="00BD4139"/>
    <w:rsid w:val="00BE059A"/>
    <w:rsid w:val="00BE1981"/>
    <w:rsid w:val="00BE2DA6"/>
    <w:rsid w:val="00BE2E86"/>
    <w:rsid w:val="00BE320B"/>
    <w:rsid w:val="00BE56E9"/>
    <w:rsid w:val="00BE63CF"/>
    <w:rsid w:val="00BE7014"/>
    <w:rsid w:val="00BE7991"/>
    <w:rsid w:val="00BF25C7"/>
    <w:rsid w:val="00C009B7"/>
    <w:rsid w:val="00C02773"/>
    <w:rsid w:val="00C02B8F"/>
    <w:rsid w:val="00C04E32"/>
    <w:rsid w:val="00C116B1"/>
    <w:rsid w:val="00C15A3F"/>
    <w:rsid w:val="00C20630"/>
    <w:rsid w:val="00C224A4"/>
    <w:rsid w:val="00C22C9A"/>
    <w:rsid w:val="00C22F7A"/>
    <w:rsid w:val="00C23F3A"/>
    <w:rsid w:val="00C2666F"/>
    <w:rsid w:val="00C32020"/>
    <w:rsid w:val="00C32D02"/>
    <w:rsid w:val="00C3408C"/>
    <w:rsid w:val="00C3484D"/>
    <w:rsid w:val="00C351CC"/>
    <w:rsid w:val="00C35435"/>
    <w:rsid w:val="00C432FD"/>
    <w:rsid w:val="00C43CDF"/>
    <w:rsid w:val="00C4608E"/>
    <w:rsid w:val="00C46AB9"/>
    <w:rsid w:val="00C512B2"/>
    <w:rsid w:val="00C53B5D"/>
    <w:rsid w:val="00C565D8"/>
    <w:rsid w:val="00C571FB"/>
    <w:rsid w:val="00C57381"/>
    <w:rsid w:val="00C61D56"/>
    <w:rsid w:val="00C62B69"/>
    <w:rsid w:val="00C644B7"/>
    <w:rsid w:val="00C64564"/>
    <w:rsid w:val="00C646A9"/>
    <w:rsid w:val="00C66D6F"/>
    <w:rsid w:val="00C711E4"/>
    <w:rsid w:val="00C71377"/>
    <w:rsid w:val="00C72F70"/>
    <w:rsid w:val="00C73C87"/>
    <w:rsid w:val="00C74B6F"/>
    <w:rsid w:val="00C84116"/>
    <w:rsid w:val="00C87EF3"/>
    <w:rsid w:val="00C9015F"/>
    <w:rsid w:val="00C912F9"/>
    <w:rsid w:val="00C91B22"/>
    <w:rsid w:val="00C9241B"/>
    <w:rsid w:val="00C9370B"/>
    <w:rsid w:val="00C96DDF"/>
    <w:rsid w:val="00C97569"/>
    <w:rsid w:val="00CA199D"/>
    <w:rsid w:val="00CA4D9C"/>
    <w:rsid w:val="00CB05A7"/>
    <w:rsid w:val="00CB06A4"/>
    <w:rsid w:val="00CB325B"/>
    <w:rsid w:val="00CB3EFF"/>
    <w:rsid w:val="00CB64FF"/>
    <w:rsid w:val="00CB7078"/>
    <w:rsid w:val="00CB711D"/>
    <w:rsid w:val="00CB7902"/>
    <w:rsid w:val="00CC014B"/>
    <w:rsid w:val="00CC0E81"/>
    <w:rsid w:val="00CC21D8"/>
    <w:rsid w:val="00CC2CA3"/>
    <w:rsid w:val="00CC3369"/>
    <w:rsid w:val="00CC4121"/>
    <w:rsid w:val="00CC5343"/>
    <w:rsid w:val="00CC59D7"/>
    <w:rsid w:val="00CC6338"/>
    <w:rsid w:val="00CC78DE"/>
    <w:rsid w:val="00CD04D9"/>
    <w:rsid w:val="00CD0F93"/>
    <w:rsid w:val="00CD6D6E"/>
    <w:rsid w:val="00CD6F23"/>
    <w:rsid w:val="00CF640B"/>
    <w:rsid w:val="00CF6B5A"/>
    <w:rsid w:val="00D027AF"/>
    <w:rsid w:val="00D0323E"/>
    <w:rsid w:val="00D06652"/>
    <w:rsid w:val="00D07FA6"/>
    <w:rsid w:val="00D16ADF"/>
    <w:rsid w:val="00D17C53"/>
    <w:rsid w:val="00D17D57"/>
    <w:rsid w:val="00D218A9"/>
    <w:rsid w:val="00D2341D"/>
    <w:rsid w:val="00D252DA"/>
    <w:rsid w:val="00D25E0E"/>
    <w:rsid w:val="00D302EB"/>
    <w:rsid w:val="00D31679"/>
    <w:rsid w:val="00D320C8"/>
    <w:rsid w:val="00D32FFD"/>
    <w:rsid w:val="00D330B6"/>
    <w:rsid w:val="00D3672F"/>
    <w:rsid w:val="00D40ABA"/>
    <w:rsid w:val="00D40FE2"/>
    <w:rsid w:val="00D440FA"/>
    <w:rsid w:val="00D44BCF"/>
    <w:rsid w:val="00D46E73"/>
    <w:rsid w:val="00D525CA"/>
    <w:rsid w:val="00D5548D"/>
    <w:rsid w:val="00D56572"/>
    <w:rsid w:val="00D60F81"/>
    <w:rsid w:val="00D63951"/>
    <w:rsid w:val="00D63BF2"/>
    <w:rsid w:val="00D66C63"/>
    <w:rsid w:val="00D67348"/>
    <w:rsid w:val="00D70A26"/>
    <w:rsid w:val="00D719B1"/>
    <w:rsid w:val="00D73BB4"/>
    <w:rsid w:val="00D75FEC"/>
    <w:rsid w:val="00D76B98"/>
    <w:rsid w:val="00D82E63"/>
    <w:rsid w:val="00D835A0"/>
    <w:rsid w:val="00D86905"/>
    <w:rsid w:val="00D86F2C"/>
    <w:rsid w:val="00D94301"/>
    <w:rsid w:val="00D96248"/>
    <w:rsid w:val="00DA030A"/>
    <w:rsid w:val="00DA0680"/>
    <w:rsid w:val="00DA36F6"/>
    <w:rsid w:val="00DA44C1"/>
    <w:rsid w:val="00DA48F0"/>
    <w:rsid w:val="00DB01E8"/>
    <w:rsid w:val="00DB0C8D"/>
    <w:rsid w:val="00DB6AF2"/>
    <w:rsid w:val="00DC1599"/>
    <w:rsid w:val="00DC1611"/>
    <w:rsid w:val="00DD3C53"/>
    <w:rsid w:val="00DD6B73"/>
    <w:rsid w:val="00DE745D"/>
    <w:rsid w:val="00DF0774"/>
    <w:rsid w:val="00DF1036"/>
    <w:rsid w:val="00DF4644"/>
    <w:rsid w:val="00DF68F6"/>
    <w:rsid w:val="00DF7A83"/>
    <w:rsid w:val="00E012B4"/>
    <w:rsid w:val="00E05451"/>
    <w:rsid w:val="00E05651"/>
    <w:rsid w:val="00E100F6"/>
    <w:rsid w:val="00E11BA5"/>
    <w:rsid w:val="00E17CBD"/>
    <w:rsid w:val="00E20425"/>
    <w:rsid w:val="00E21768"/>
    <w:rsid w:val="00E25DCB"/>
    <w:rsid w:val="00E2613B"/>
    <w:rsid w:val="00E313DF"/>
    <w:rsid w:val="00E330E0"/>
    <w:rsid w:val="00E36C70"/>
    <w:rsid w:val="00E4156E"/>
    <w:rsid w:val="00E43BFE"/>
    <w:rsid w:val="00E44D61"/>
    <w:rsid w:val="00E453F2"/>
    <w:rsid w:val="00E460AD"/>
    <w:rsid w:val="00E61925"/>
    <w:rsid w:val="00E6363B"/>
    <w:rsid w:val="00E65C0E"/>
    <w:rsid w:val="00E65FB9"/>
    <w:rsid w:val="00E70A35"/>
    <w:rsid w:val="00E730FC"/>
    <w:rsid w:val="00E746F0"/>
    <w:rsid w:val="00E76402"/>
    <w:rsid w:val="00E809B9"/>
    <w:rsid w:val="00E82A15"/>
    <w:rsid w:val="00E85445"/>
    <w:rsid w:val="00E87589"/>
    <w:rsid w:val="00E938FF"/>
    <w:rsid w:val="00E93DFE"/>
    <w:rsid w:val="00EA2124"/>
    <w:rsid w:val="00EA2B12"/>
    <w:rsid w:val="00EA34DC"/>
    <w:rsid w:val="00EA456C"/>
    <w:rsid w:val="00EA4D6B"/>
    <w:rsid w:val="00EA5017"/>
    <w:rsid w:val="00EA6BED"/>
    <w:rsid w:val="00EB14F0"/>
    <w:rsid w:val="00EB30EE"/>
    <w:rsid w:val="00EB3844"/>
    <w:rsid w:val="00EB5A9F"/>
    <w:rsid w:val="00EC573F"/>
    <w:rsid w:val="00EC5C8D"/>
    <w:rsid w:val="00ED106C"/>
    <w:rsid w:val="00ED2D34"/>
    <w:rsid w:val="00ED4805"/>
    <w:rsid w:val="00ED57F6"/>
    <w:rsid w:val="00ED6648"/>
    <w:rsid w:val="00ED6C51"/>
    <w:rsid w:val="00ED6DA1"/>
    <w:rsid w:val="00EE5299"/>
    <w:rsid w:val="00EF0AF8"/>
    <w:rsid w:val="00EF207D"/>
    <w:rsid w:val="00EF4258"/>
    <w:rsid w:val="00EF6D31"/>
    <w:rsid w:val="00F02237"/>
    <w:rsid w:val="00F046F1"/>
    <w:rsid w:val="00F072E2"/>
    <w:rsid w:val="00F079A6"/>
    <w:rsid w:val="00F10236"/>
    <w:rsid w:val="00F15811"/>
    <w:rsid w:val="00F2115D"/>
    <w:rsid w:val="00F22423"/>
    <w:rsid w:val="00F24C72"/>
    <w:rsid w:val="00F30267"/>
    <w:rsid w:val="00F31D22"/>
    <w:rsid w:val="00F340C5"/>
    <w:rsid w:val="00F348B2"/>
    <w:rsid w:val="00F34BF0"/>
    <w:rsid w:val="00F34ED8"/>
    <w:rsid w:val="00F4095A"/>
    <w:rsid w:val="00F452CC"/>
    <w:rsid w:val="00F45845"/>
    <w:rsid w:val="00F50189"/>
    <w:rsid w:val="00F508FC"/>
    <w:rsid w:val="00F510B7"/>
    <w:rsid w:val="00F53571"/>
    <w:rsid w:val="00F54044"/>
    <w:rsid w:val="00F576E7"/>
    <w:rsid w:val="00F638D1"/>
    <w:rsid w:val="00F73D1C"/>
    <w:rsid w:val="00F763FC"/>
    <w:rsid w:val="00F76B4A"/>
    <w:rsid w:val="00F772C1"/>
    <w:rsid w:val="00F8026D"/>
    <w:rsid w:val="00F8245F"/>
    <w:rsid w:val="00F82E40"/>
    <w:rsid w:val="00F91629"/>
    <w:rsid w:val="00F91E2A"/>
    <w:rsid w:val="00F96C39"/>
    <w:rsid w:val="00F96E41"/>
    <w:rsid w:val="00FA153F"/>
    <w:rsid w:val="00FA1D78"/>
    <w:rsid w:val="00FA1F7E"/>
    <w:rsid w:val="00FA280F"/>
    <w:rsid w:val="00FA5289"/>
    <w:rsid w:val="00FA6213"/>
    <w:rsid w:val="00FB2186"/>
    <w:rsid w:val="00FB7E03"/>
    <w:rsid w:val="00FC2F15"/>
    <w:rsid w:val="00FC4889"/>
    <w:rsid w:val="00FD0133"/>
    <w:rsid w:val="00FD25FE"/>
    <w:rsid w:val="00FD6206"/>
    <w:rsid w:val="00FE1318"/>
    <w:rsid w:val="00FE208F"/>
    <w:rsid w:val="00FE54CD"/>
    <w:rsid w:val="00FE6DF6"/>
    <w:rsid w:val="00FF32C3"/>
    <w:rsid w:val="00FF3F8B"/>
    <w:rsid w:val="00FF6168"/>
    <w:rsid w:val="00FF7A07"/>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4:docId w14:val="60444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link w:val="Notedebasdepage"/>
    <w:semiHidden/>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paragraph" w:styleId="Rvision">
    <w:name w:val="Revision"/>
    <w:hidden/>
    <w:uiPriority w:val="99"/>
    <w:semiHidden/>
    <w:rsid w:val="00197DA2"/>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5226</Words>
  <Characters>28747</Characters>
  <Application>Microsoft Office Word</Application>
  <DocSecurity>0</DocSecurity>
  <Lines>239</Lines>
  <Paragraphs>67</Paragraphs>
  <ScaleCrop>false</ScaleCrop>
  <Company/>
  <LinksUpToDate>false</LinksUpToDate>
  <CharactersWithSpaces>33906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2025-06-25T15:32:00Z</dcterms:created>
  <dcterms:modified xsi:type="dcterms:W3CDTF">2025-06-25T15:32:00Z</dcterms:modified>
</cp:coreProperties>
</file>