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36EB9E95" w14:textId="77777777">
        <w:trPr>
          <w:cantSplit/>
        </w:trPr>
        <w:tc>
          <w:tcPr>
            <w:tcW w:w="4795" w:type="dxa"/>
          </w:tcPr>
          <w:p w14:paraId="0DB93CCD" w14:textId="0F516713" w:rsidR="008A7FD1" w:rsidRPr="00546ACD" w:rsidRDefault="00546ACD" w:rsidP="00546ACD">
            <w:pPr>
              <w:pStyle w:val="zSoquijdatRepertorie"/>
              <w:rPr>
                <w:rFonts w:cs="Arial"/>
              </w:rPr>
            </w:pPr>
            <w:bookmarkStart w:id="0" w:name="_GoBack"/>
            <w:bookmarkEnd w:id="0"/>
            <w:r>
              <w:rPr>
                <w:rFonts w:cs="Arial"/>
              </w:rPr>
              <w:t>Banville et Dépanneur Super Soir</w:t>
            </w:r>
          </w:p>
        </w:tc>
        <w:tc>
          <w:tcPr>
            <w:tcW w:w="2477" w:type="dxa"/>
          </w:tcPr>
          <w:p w14:paraId="165E3388" w14:textId="6D0082C7" w:rsidR="008A7FD1" w:rsidRPr="005A4084" w:rsidRDefault="005A4084" w:rsidP="005A4084">
            <w:pPr>
              <w:pStyle w:val="zSoquijdatRefNeutre"/>
              <w:rPr>
                <w:rFonts w:cs="Arial"/>
              </w:rPr>
            </w:pPr>
            <w:r w:rsidRPr="005A4084">
              <w:rPr>
                <w:rFonts w:cs="Arial"/>
              </w:rPr>
              <w:t>2025 QCTAT 4334</w:t>
            </w:r>
          </w:p>
        </w:tc>
      </w:tr>
    </w:tbl>
    <w:p w14:paraId="082F7A1F"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04911E51" w14:textId="77777777" w:rsidTr="00036794">
        <w:trPr>
          <w:cantSplit/>
        </w:trPr>
        <w:tc>
          <w:tcPr>
            <w:tcW w:w="9568" w:type="dxa"/>
            <w:gridSpan w:val="4"/>
          </w:tcPr>
          <w:p w14:paraId="206CAF63" w14:textId="77777777" w:rsidR="00C74B6F" w:rsidRPr="00BE1981" w:rsidRDefault="00C74B6F">
            <w:pPr>
              <w:rPr>
                <w:szCs w:val="24"/>
              </w:rPr>
            </w:pPr>
          </w:p>
        </w:tc>
      </w:tr>
      <w:tr w:rsidR="00C74B6F" w14:paraId="3FF2A5DD" w14:textId="77777777" w:rsidTr="00036794">
        <w:trPr>
          <w:cantSplit/>
        </w:trPr>
        <w:tc>
          <w:tcPr>
            <w:tcW w:w="9568" w:type="dxa"/>
            <w:gridSpan w:val="4"/>
            <w:vAlign w:val="center"/>
          </w:tcPr>
          <w:p w14:paraId="4E44C97D" w14:textId="77777777" w:rsidR="00C74B6F" w:rsidRPr="000E1320" w:rsidRDefault="000E1320">
            <w:pPr>
              <w:jc w:val="center"/>
              <w:rPr>
                <w:sz w:val="36"/>
                <w:szCs w:val="36"/>
              </w:rPr>
            </w:pPr>
            <w:r w:rsidRPr="000E1320">
              <w:rPr>
                <w:b/>
                <w:sz w:val="36"/>
                <w:szCs w:val="36"/>
              </w:rPr>
              <w:t>TRIBUNAL ADMINISTRATIF DU TRAVAIL</w:t>
            </w:r>
          </w:p>
        </w:tc>
      </w:tr>
      <w:tr w:rsidR="00C74B6F" w14:paraId="4193062D" w14:textId="77777777" w:rsidTr="00036794">
        <w:trPr>
          <w:cantSplit/>
        </w:trPr>
        <w:tc>
          <w:tcPr>
            <w:tcW w:w="9568" w:type="dxa"/>
            <w:gridSpan w:val="4"/>
          </w:tcPr>
          <w:p w14:paraId="5AD1E6E0" w14:textId="3F75300D" w:rsidR="00C74B6F" w:rsidRPr="00BE7014" w:rsidRDefault="006F0154" w:rsidP="009A67E7">
            <w:pPr>
              <w:pStyle w:val="zSoquijdatDivision"/>
            </w:pPr>
            <w:r w:rsidRPr="00BE7014">
              <w:t>(</w:t>
            </w:r>
            <w:r w:rsidR="00602B9B" w:rsidRPr="00441ADA">
              <w:t>Division de la santé et de la sécurité du travail</w:t>
            </w:r>
            <w:r w:rsidRPr="00BE7014">
              <w:t>)</w:t>
            </w:r>
          </w:p>
        </w:tc>
      </w:tr>
      <w:tr w:rsidR="00C74B6F" w14:paraId="5CD66324" w14:textId="77777777" w:rsidTr="00036794">
        <w:trPr>
          <w:cantSplit/>
        </w:trPr>
        <w:tc>
          <w:tcPr>
            <w:tcW w:w="9568" w:type="dxa"/>
            <w:gridSpan w:val="4"/>
          </w:tcPr>
          <w:p w14:paraId="4060CE47" w14:textId="77777777" w:rsidR="002B2FC3" w:rsidRDefault="002B2FC3" w:rsidP="002B2FC3"/>
        </w:tc>
      </w:tr>
      <w:tr w:rsidR="00A84FC6" w14:paraId="30A87070" w14:textId="77777777" w:rsidTr="00036794">
        <w:trPr>
          <w:cantSplit/>
        </w:trPr>
        <w:tc>
          <w:tcPr>
            <w:tcW w:w="9568" w:type="dxa"/>
            <w:gridSpan w:val="4"/>
          </w:tcPr>
          <w:p w14:paraId="27A644C1" w14:textId="77777777" w:rsidR="00A84FC6" w:rsidRDefault="00A84FC6" w:rsidP="002B2FC3"/>
        </w:tc>
      </w:tr>
      <w:tr w:rsidR="00C74B6F" w14:paraId="39FE739D" w14:textId="77777777" w:rsidTr="00036794">
        <w:tc>
          <w:tcPr>
            <w:tcW w:w="3331" w:type="dxa"/>
          </w:tcPr>
          <w:p w14:paraId="48EE47BD" w14:textId="77777777" w:rsidR="00C74B6F" w:rsidRDefault="0084255F">
            <w:bookmarkStart w:id="1" w:name="region" w:colFirst="1" w:colLast="1"/>
            <w:r>
              <w:t>Région :</w:t>
            </w:r>
          </w:p>
        </w:tc>
        <w:tc>
          <w:tcPr>
            <w:tcW w:w="6237" w:type="dxa"/>
            <w:gridSpan w:val="3"/>
          </w:tcPr>
          <w:p w14:paraId="7842E956" w14:textId="48010036" w:rsidR="00C74B6F" w:rsidRDefault="00602B9B" w:rsidP="00F4095A">
            <w:pPr>
              <w:pStyle w:val="zSoquijdatGreffe"/>
            </w:pPr>
            <w:r>
              <w:t>Gaspésie–Îles-de-la-Madeleine, Bas-Saint-Laurent et Côte</w:t>
            </w:r>
            <w:r>
              <w:noBreakHyphen/>
              <w:t>Nord</w:t>
            </w:r>
          </w:p>
        </w:tc>
      </w:tr>
      <w:bookmarkEnd w:id="1"/>
      <w:tr w:rsidR="00C74B6F" w14:paraId="1003BAA7" w14:textId="77777777" w:rsidTr="00036794">
        <w:trPr>
          <w:cantSplit/>
        </w:trPr>
        <w:tc>
          <w:tcPr>
            <w:tcW w:w="9568" w:type="dxa"/>
            <w:gridSpan w:val="4"/>
          </w:tcPr>
          <w:p w14:paraId="71A6331C" w14:textId="77777777" w:rsidR="00C74B6F" w:rsidRDefault="00C74B6F"/>
        </w:tc>
      </w:tr>
      <w:tr w:rsidR="00C74B6F" w14:paraId="11442E13" w14:textId="77777777" w:rsidTr="00036794">
        <w:tc>
          <w:tcPr>
            <w:tcW w:w="3331" w:type="dxa"/>
          </w:tcPr>
          <w:p w14:paraId="7A1C4758" w14:textId="7FAAE96A" w:rsidR="00C74B6F" w:rsidRDefault="0084255F">
            <w:bookmarkStart w:id="2" w:name="ref_dossier" w:colFirst="1" w:colLast="1"/>
            <w:r>
              <w:t>Dossier</w:t>
            </w:r>
            <w:bookmarkStart w:id="3" w:name="dossiers"/>
            <w:bookmarkEnd w:id="3"/>
            <w:r>
              <w:t>:</w:t>
            </w:r>
          </w:p>
        </w:tc>
        <w:tc>
          <w:tcPr>
            <w:tcW w:w="6237" w:type="dxa"/>
            <w:gridSpan w:val="3"/>
          </w:tcPr>
          <w:p w14:paraId="29EA0164" w14:textId="37DC4CCB" w:rsidR="00C74B6F" w:rsidRDefault="00B9525B" w:rsidP="00F4095A">
            <w:pPr>
              <w:pStyle w:val="zSoquijdatNoDossier"/>
            </w:pPr>
            <w:r>
              <w:t>1339472</w:t>
            </w:r>
            <w:r w:rsidR="0003486B">
              <w:t>-01A-2310</w:t>
            </w:r>
          </w:p>
        </w:tc>
      </w:tr>
      <w:bookmarkEnd w:id="2"/>
      <w:tr w:rsidR="00C74B6F" w14:paraId="77885811" w14:textId="77777777" w:rsidTr="00036794">
        <w:trPr>
          <w:cantSplit/>
        </w:trPr>
        <w:tc>
          <w:tcPr>
            <w:tcW w:w="9568" w:type="dxa"/>
            <w:gridSpan w:val="4"/>
          </w:tcPr>
          <w:p w14:paraId="7FA85315" w14:textId="77777777" w:rsidR="00C74B6F" w:rsidRDefault="00D44BCF">
            <w:r>
              <w:fldChar w:fldCharType="begin"/>
            </w:r>
            <w:r>
              <w:instrText xml:space="preserve"> AUTOTEXTLIST  \* Upper  \* MERGEFORMAT </w:instrText>
            </w:r>
            <w:r>
              <w:fldChar w:fldCharType="end"/>
            </w:r>
          </w:p>
        </w:tc>
      </w:tr>
      <w:tr w:rsidR="00C74B6F" w14:paraId="546C6BF0" w14:textId="77777777" w:rsidTr="00036794">
        <w:tc>
          <w:tcPr>
            <w:tcW w:w="3331" w:type="dxa"/>
          </w:tcPr>
          <w:p w14:paraId="44A785BA" w14:textId="19A30F60" w:rsidR="00C74B6F" w:rsidRDefault="008C79A7" w:rsidP="0045114F">
            <w:pPr>
              <w:ind w:right="46"/>
            </w:pPr>
            <w:r>
              <w:t xml:space="preserve">Dossier </w:t>
            </w:r>
            <w:r w:rsidR="00B9525B">
              <w:rPr>
                <w:szCs w:val="24"/>
              </w:rPr>
              <w:t>CNESST</w:t>
            </w:r>
            <w:r w:rsidR="0003486B">
              <w:rPr>
                <w:szCs w:val="24"/>
              </w:rPr>
              <w:t> </w:t>
            </w:r>
            <w:r w:rsidRPr="008C79A7">
              <w:rPr>
                <w:szCs w:val="24"/>
              </w:rPr>
              <w:t>:</w:t>
            </w:r>
          </w:p>
        </w:tc>
        <w:tc>
          <w:tcPr>
            <w:tcW w:w="6237" w:type="dxa"/>
            <w:gridSpan w:val="3"/>
          </w:tcPr>
          <w:p w14:paraId="69C20CA8" w14:textId="1D247472" w:rsidR="00C74B6F" w:rsidRDefault="00B9525B" w:rsidP="004D6CEA">
            <w:pPr>
              <w:pStyle w:val="zSoquijdatNCSST"/>
            </w:pPr>
            <w:r>
              <w:t>514023290</w:t>
            </w:r>
          </w:p>
        </w:tc>
      </w:tr>
      <w:tr w:rsidR="00C74B6F" w14:paraId="6295DDBB" w14:textId="77777777" w:rsidTr="00036794">
        <w:trPr>
          <w:cantSplit/>
        </w:trPr>
        <w:tc>
          <w:tcPr>
            <w:tcW w:w="9568" w:type="dxa"/>
            <w:gridSpan w:val="4"/>
          </w:tcPr>
          <w:p w14:paraId="5E75A709" w14:textId="77777777" w:rsidR="00C74B6F" w:rsidRDefault="00C74B6F"/>
        </w:tc>
      </w:tr>
      <w:tr w:rsidR="00C74B6F" w14:paraId="45C3F94A" w14:textId="77777777" w:rsidTr="00036794">
        <w:trPr>
          <w:cantSplit/>
        </w:trPr>
        <w:tc>
          <w:tcPr>
            <w:tcW w:w="9568" w:type="dxa"/>
            <w:gridSpan w:val="4"/>
          </w:tcPr>
          <w:p w14:paraId="4C572219" w14:textId="77777777" w:rsidR="00C74B6F" w:rsidRDefault="00C74B6F"/>
        </w:tc>
      </w:tr>
      <w:tr w:rsidR="006E3DD8" w14:paraId="29A3FB72" w14:textId="77777777" w:rsidTr="00036794">
        <w:trPr>
          <w:cantSplit/>
        </w:trPr>
        <w:tc>
          <w:tcPr>
            <w:tcW w:w="3331" w:type="dxa"/>
          </w:tcPr>
          <w:p w14:paraId="0A3F6E6B" w14:textId="696C8190" w:rsidR="006E3DD8" w:rsidRDefault="00B9525B" w:rsidP="0076350E">
            <w:pPr>
              <w:ind w:right="-70"/>
            </w:pPr>
            <w:r>
              <w:t>Lévis</w:t>
            </w:r>
            <w:r w:rsidR="00C04E32">
              <w:t>,</w:t>
            </w:r>
          </w:p>
        </w:tc>
        <w:tc>
          <w:tcPr>
            <w:tcW w:w="6237" w:type="dxa"/>
            <w:gridSpan w:val="3"/>
          </w:tcPr>
          <w:p w14:paraId="3E7BACE1" w14:textId="28532E62" w:rsidR="006E3DD8" w:rsidRDefault="00C04E32" w:rsidP="005B5689">
            <w:pPr>
              <w:pStyle w:val="zSoquijdatDateJugement"/>
            </w:pPr>
            <w:r>
              <w:t xml:space="preserve">le </w:t>
            </w:r>
            <w:r w:rsidR="00B656EF">
              <w:t>21</w:t>
            </w:r>
            <w:r w:rsidR="00B9525B">
              <w:t xml:space="preserve"> octobre 2025</w:t>
            </w:r>
          </w:p>
        </w:tc>
      </w:tr>
      <w:tr w:rsidR="00942AB8" w14:paraId="6C856089" w14:textId="77777777" w:rsidTr="00036794">
        <w:trPr>
          <w:cantSplit/>
        </w:trPr>
        <w:tc>
          <w:tcPr>
            <w:tcW w:w="9568" w:type="dxa"/>
            <w:gridSpan w:val="4"/>
          </w:tcPr>
          <w:p w14:paraId="12F217BD" w14:textId="77777777" w:rsidR="00942AB8" w:rsidRDefault="00942AB8" w:rsidP="00FA153F">
            <w:r>
              <w:t>______________________________________________________________________</w:t>
            </w:r>
          </w:p>
        </w:tc>
      </w:tr>
      <w:tr w:rsidR="00942AB8" w14:paraId="392E5961" w14:textId="77777777" w:rsidTr="00036794">
        <w:trPr>
          <w:cantSplit/>
          <w:trHeight w:val="148"/>
        </w:trPr>
        <w:tc>
          <w:tcPr>
            <w:tcW w:w="9568" w:type="dxa"/>
            <w:gridSpan w:val="4"/>
          </w:tcPr>
          <w:p w14:paraId="53D54E6C" w14:textId="77777777" w:rsidR="00942AB8" w:rsidRDefault="00942AB8" w:rsidP="00FA153F"/>
        </w:tc>
      </w:tr>
      <w:tr w:rsidR="0035375B" w14:paraId="745D1F8F" w14:textId="77777777" w:rsidTr="00036794">
        <w:trPr>
          <w:cantSplit/>
          <w:trHeight w:val="148"/>
        </w:trPr>
        <w:tc>
          <w:tcPr>
            <w:tcW w:w="5883" w:type="dxa"/>
            <w:gridSpan w:val="3"/>
          </w:tcPr>
          <w:p w14:paraId="4227B767" w14:textId="41E63085" w:rsidR="0035375B" w:rsidRPr="00942AB8" w:rsidRDefault="0035375B">
            <w:pPr>
              <w:rPr>
                <w:b/>
                <w:bCs/>
              </w:rPr>
            </w:pPr>
            <w:bookmarkStart w:id="4" w:name="ref_commissaire" w:colFirst="1" w:colLast="1"/>
            <w:r w:rsidRPr="00942AB8">
              <w:rPr>
                <w:b/>
                <w:bCs/>
              </w:rPr>
              <w:t>DEVANT L</w:t>
            </w:r>
            <w:r w:rsidR="00B9525B">
              <w:rPr>
                <w:b/>
                <w:bCs/>
              </w:rPr>
              <w:t>E</w:t>
            </w:r>
            <w:r w:rsidRPr="00942AB8">
              <w:rPr>
                <w:b/>
                <w:bCs/>
              </w:rPr>
              <w:t xml:space="preserve"> JUGE ADMINISTRATI</w:t>
            </w:r>
            <w:r w:rsidR="00B9525B">
              <w:rPr>
                <w:b/>
                <w:bCs/>
              </w:rPr>
              <w:t>F</w:t>
            </w:r>
            <w:r w:rsidRPr="00942AB8">
              <w:rPr>
                <w:b/>
                <w:bCs/>
              </w:rPr>
              <w:t> :</w:t>
            </w:r>
          </w:p>
        </w:tc>
        <w:tc>
          <w:tcPr>
            <w:tcW w:w="3685" w:type="dxa"/>
          </w:tcPr>
          <w:p w14:paraId="08B3CA1B" w14:textId="7AA39C6F" w:rsidR="0035375B" w:rsidRPr="00942AB8" w:rsidRDefault="00B9525B" w:rsidP="005B5689">
            <w:pPr>
              <w:pStyle w:val="zSoquijdatJuge"/>
              <w:rPr>
                <w:bCs/>
              </w:rPr>
            </w:pPr>
            <w:r>
              <w:t>Guillaume Saindon</w:t>
            </w:r>
          </w:p>
        </w:tc>
      </w:tr>
      <w:bookmarkEnd w:id="4"/>
      <w:tr w:rsidR="00942AB8" w14:paraId="4EAA10C8" w14:textId="77777777" w:rsidTr="00036794">
        <w:trPr>
          <w:cantSplit/>
          <w:trHeight w:val="148"/>
        </w:trPr>
        <w:tc>
          <w:tcPr>
            <w:tcW w:w="9568" w:type="dxa"/>
            <w:gridSpan w:val="4"/>
          </w:tcPr>
          <w:p w14:paraId="3390A22B" w14:textId="77777777" w:rsidR="00942AB8" w:rsidRDefault="00942AB8" w:rsidP="00FA153F">
            <w:r>
              <w:t>______________________________________________________________________</w:t>
            </w:r>
          </w:p>
        </w:tc>
      </w:tr>
      <w:tr w:rsidR="00942AB8" w14:paraId="1433EAB4" w14:textId="77777777" w:rsidTr="00036794">
        <w:tc>
          <w:tcPr>
            <w:tcW w:w="9568" w:type="dxa"/>
            <w:gridSpan w:val="4"/>
          </w:tcPr>
          <w:p w14:paraId="6D52953B" w14:textId="77777777" w:rsidR="00942AB8" w:rsidRDefault="00942AB8"/>
        </w:tc>
      </w:tr>
      <w:tr w:rsidR="00942AB8" w14:paraId="709D92F5" w14:textId="77777777" w:rsidTr="00E21768">
        <w:tc>
          <w:tcPr>
            <w:tcW w:w="4890" w:type="dxa"/>
            <w:gridSpan w:val="2"/>
          </w:tcPr>
          <w:p w14:paraId="26BFAF05" w14:textId="77777777" w:rsidR="00942AB8" w:rsidRDefault="00942AB8">
            <w:bookmarkStart w:id="5" w:name="bloc_parties_gauche"/>
            <w:bookmarkEnd w:id="5"/>
          </w:p>
        </w:tc>
        <w:tc>
          <w:tcPr>
            <w:tcW w:w="4678" w:type="dxa"/>
            <w:gridSpan w:val="2"/>
          </w:tcPr>
          <w:p w14:paraId="22AA0C10" w14:textId="77777777" w:rsidR="00942AB8" w:rsidRDefault="00942AB8"/>
        </w:tc>
      </w:tr>
      <w:tr w:rsidR="00942AB8" w14:paraId="4AF22615" w14:textId="77777777" w:rsidTr="00E21768">
        <w:tc>
          <w:tcPr>
            <w:tcW w:w="4890" w:type="dxa"/>
            <w:gridSpan w:val="2"/>
          </w:tcPr>
          <w:p w14:paraId="681BB657" w14:textId="79E7844E" w:rsidR="00942AB8" w:rsidRDefault="00B9525B">
            <w:pPr>
              <w:pStyle w:val="zSoquijdatNomPartieDem"/>
              <w:rPr>
                <w:b/>
              </w:rPr>
            </w:pPr>
            <w:r>
              <w:rPr>
                <w:b/>
              </w:rPr>
              <w:t>Rosie Banville</w:t>
            </w:r>
          </w:p>
        </w:tc>
        <w:tc>
          <w:tcPr>
            <w:tcW w:w="4678" w:type="dxa"/>
            <w:gridSpan w:val="2"/>
          </w:tcPr>
          <w:p w14:paraId="0A2F12D5" w14:textId="77777777" w:rsidR="00942AB8" w:rsidRDefault="00942AB8"/>
        </w:tc>
      </w:tr>
      <w:tr w:rsidR="00942AB8" w14:paraId="734C885F" w14:textId="77777777" w:rsidTr="00E21768">
        <w:tc>
          <w:tcPr>
            <w:tcW w:w="4890" w:type="dxa"/>
            <w:gridSpan w:val="2"/>
          </w:tcPr>
          <w:p w14:paraId="46ABD004" w14:textId="3E00C208" w:rsidR="00942AB8" w:rsidRDefault="00B9525B" w:rsidP="007B0DF2">
            <w:pPr>
              <w:pStyle w:val="zSoquijdatQtePartieDem"/>
              <w:tabs>
                <w:tab w:val="left" w:pos="3539"/>
              </w:tabs>
              <w:ind w:left="708"/>
            </w:pPr>
            <w:bookmarkStart w:id="6" w:name="partie_demanderesse"/>
            <w:bookmarkEnd w:id="6"/>
            <w:r>
              <w:t>Partie demanderesse</w:t>
            </w:r>
          </w:p>
        </w:tc>
        <w:tc>
          <w:tcPr>
            <w:tcW w:w="4678" w:type="dxa"/>
            <w:gridSpan w:val="2"/>
          </w:tcPr>
          <w:p w14:paraId="485801DE" w14:textId="77777777" w:rsidR="00942AB8" w:rsidRDefault="00942AB8"/>
        </w:tc>
      </w:tr>
      <w:tr w:rsidR="00942AB8" w14:paraId="3277EFA9" w14:textId="77777777" w:rsidTr="00E21768">
        <w:tc>
          <w:tcPr>
            <w:tcW w:w="4890" w:type="dxa"/>
            <w:gridSpan w:val="2"/>
          </w:tcPr>
          <w:p w14:paraId="5A18A5D6" w14:textId="77777777" w:rsidR="00942AB8" w:rsidRDefault="00942AB8" w:rsidP="00E6363B"/>
        </w:tc>
        <w:tc>
          <w:tcPr>
            <w:tcW w:w="4678" w:type="dxa"/>
            <w:gridSpan w:val="2"/>
          </w:tcPr>
          <w:p w14:paraId="7E9EF05C" w14:textId="77777777" w:rsidR="00942AB8" w:rsidRDefault="00942AB8"/>
        </w:tc>
      </w:tr>
      <w:tr w:rsidR="00942AB8" w14:paraId="72514489" w14:textId="77777777" w:rsidTr="00E21768">
        <w:tc>
          <w:tcPr>
            <w:tcW w:w="4890" w:type="dxa"/>
            <w:gridSpan w:val="2"/>
          </w:tcPr>
          <w:p w14:paraId="3E31F226" w14:textId="2309927D" w:rsidR="00942AB8" w:rsidRDefault="00B9525B" w:rsidP="00D06652">
            <w:pPr>
              <w:pStyle w:val="zSoquijlblLienParties"/>
            </w:pPr>
            <w:r>
              <w:t>et</w:t>
            </w:r>
          </w:p>
        </w:tc>
        <w:tc>
          <w:tcPr>
            <w:tcW w:w="4678" w:type="dxa"/>
            <w:gridSpan w:val="2"/>
          </w:tcPr>
          <w:p w14:paraId="1D2367C9" w14:textId="77777777" w:rsidR="00942AB8" w:rsidRDefault="00942AB8"/>
        </w:tc>
      </w:tr>
      <w:tr w:rsidR="00942AB8" w14:paraId="63811A24" w14:textId="77777777" w:rsidTr="00E21768">
        <w:tc>
          <w:tcPr>
            <w:tcW w:w="4890" w:type="dxa"/>
            <w:gridSpan w:val="2"/>
          </w:tcPr>
          <w:p w14:paraId="32BF36A7" w14:textId="77777777" w:rsidR="00942AB8" w:rsidRDefault="00942AB8"/>
        </w:tc>
        <w:tc>
          <w:tcPr>
            <w:tcW w:w="4678" w:type="dxa"/>
            <w:gridSpan w:val="2"/>
          </w:tcPr>
          <w:p w14:paraId="6CA07A4F" w14:textId="77777777" w:rsidR="00942AB8" w:rsidRDefault="00942AB8"/>
        </w:tc>
      </w:tr>
      <w:tr w:rsidR="00942AB8" w14:paraId="0CDF9C1A" w14:textId="77777777" w:rsidTr="00E21768">
        <w:tc>
          <w:tcPr>
            <w:tcW w:w="4890" w:type="dxa"/>
            <w:gridSpan w:val="2"/>
          </w:tcPr>
          <w:p w14:paraId="6AD4B137" w14:textId="56FE7A15" w:rsidR="00942AB8" w:rsidRDefault="00B9525B">
            <w:pPr>
              <w:pStyle w:val="zSoquijdatNomPartieDef"/>
              <w:rPr>
                <w:b/>
              </w:rPr>
            </w:pPr>
            <w:r>
              <w:rPr>
                <w:b/>
              </w:rPr>
              <w:t>Dépanneur Super Soir</w:t>
            </w:r>
          </w:p>
        </w:tc>
        <w:tc>
          <w:tcPr>
            <w:tcW w:w="4678" w:type="dxa"/>
            <w:gridSpan w:val="2"/>
          </w:tcPr>
          <w:p w14:paraId="7C9F7886" w14:textId="77777777" w:rsidR="00942AB8" w:rsidRDefault="00942AB8"/>
        </w:tc>
      </w:tr>
      <w:tr w:rsidR="00942AB8" w14:paraId="776268A2" w14:textId="77777777" w:rsidTr="00E21768">
        <w:tc>
          <w:tcPr>
            <w:tcW w:w="4890" w:type="dxa"/>
            <w:gridSpan w:val="2"/>
          </w:tcPr>
          <w:p w14:paraId="797448D0" w14:textId="03325F92" w:rsidR="00942AB8" w:rsidRDefault="00B9525B">
            <w:pPr>
              <w:pStyle w:val="zSoquijdatQtePartieDef"/>
              <w:ind w:left="708"/>
            </w:pPr>
            <w:r>
              <w:t>Partie mise en cause</w:t>
            </w:r>
          </w:p>
        </w:tc>
        <w:tc>
          <w:tcPr>
            <w:tcW w:w="4678" w:type="dxa"/>
            <w:gridSpan w:val="2"/>
          </w:tcPr>
          <w:p w14:paraId="7D1A5CAE" w14:textId="77777777" w:rsidR="00942AB8" w:rsidRDefault="00942AB8"/>
        </w:tc>
      </w:tr>
      <w:tr w:rsidR="0065093D" w14:paraId="1EAC94CB" w14:textId="77777777" w:rsidTr="00E21768">
        <w:tc>
          <w:tcPr>
            <w:tcW w:w="4890" w:type="dxa"/>
            <w:gridSpan w:val="2"/>
          </w:tcPr>
          <w:p w14:paraId="1554FE93" w14:textId="77777777" w:rsidR="0065093D" w:rsidRDefault="0065093D"/>
        </w:tc>
        <w:tc>
          <w:tcPr>
            <w:tcW w:w="4678" w:type="dxa"/>
            <w:gridSpan w:val="2"/>
          </w:tcPr>
          <w:p w14:paraId="78B6FA48" w14:textId="77777777" w:rsidR="0065093D" w:rsidRDefault="0065093D"/>
        </w:tc>
      </w:tr>
    </w:tbl>
    <w:p w14:paraId="2336A5CB" w14:textId="77777777" w:rsidR="00C74B6F" w:rsidRDefault="00C74B6F">
      <w:r>
        <w:t>______________________________________________________________________</w:t>
      </w:r>
    </w:p>
    <w:p w14:paraId="02832DD3" w14:textId="77777777" w:rsidR="00C74B6F" w:rsidRDefault="00C74B6F"/>
    <w:p w14:paraId="7D81994B" w14:textId="6E284DB9" w:rsidR="00C74B6F" w:rsidRPr="005B0612" w:rsidRDefault="00C74B6F" w:rsidP="008B042E">
      <w:pPr>
        <w:jc w:val="center"/>
        <w:rPr>
          <w:b/>
          <w:bCs/>
        </w:rPr>
      </w:pPr>
      <w:bookmarkStart w:id="7" w:name="decision"/>
      <w:r w:rsidRPr="005B0612">
        <w:rPr>
          <w:b/>
          <w:bCs/>
        </w:rPr>
        <w:t>DÉCISION</w:t>
      </w:r>
      <w:bookmarkEnd w:id="7"/>
      <w:r w:rsidR="00402A1C">
        <w:rPr>
          <w:b/>
          <w:bCs/>
        </w:rPr>
        <w:t xml:space="preserve"> </w:t>
      </w:r>
      <w:r w:rsidR="001C224F">
        <w:rPr>
          <w:b/>
          <w:bCs/>
        </w:rPr>
        <w:t>RELATIVE À</w:t>
      </w:r>
      <w:r w:rsidR="00402A1C">
        <w:rPr>
          <w:b/>
          <w:bCs/>
        </w:rPr>
        <w:t xml:space="preserve"> UNE QUESTION PRÉLIMINAIRE</w:t>
      </w:r>
    </w:p>
    <w:p w14:paraId="6FE2C170" w14:textId="77777777" w:rsidR="008F20EA" w:rsidRDefault="008F20EA" w:rsidP="008F20EA">
      <w:bookmarkStart w:id="8" w:name="separation"/>
      <w:bookmarkStart w:id="9" w:name="parag_1"/>
      <w:r>
        <w:t>______________________________________________________________________</w:t>
      </w:r>
    </w:p>
    <w:p w14:paraId="6923EBE2" w14:textId="77777777" w:rsidR="008F20EA" w:rsidRDefault="008F20EA" w:rsidP="0003486B">
      <w:pPr>
        <w:pStyle w:val="corpsdedcision"/>
        <w:numPr>
          <w:ilvl w:val="0"/>
          <w:numId w:val="0"/>
        </w:numPr>
        <w:tabs>
          <w:tab w:val="clear" w:pos="720"/>
        </w:tabs>
        <w:spacing w:before="360"/>
      </w:pPr>
      <w:bookmarkStart w:id="10" w:name="supprimer_apercu"/>
      <w:bookmarkEnd w:id="8"/>
      <w:r>
        <w:rPr>
          <w:b/>
          <w:bCs/>
          <w:u w:val="single"/>
        </w:rPr>
        <w:t>L’APERÇU</w:t>
      </w:r>
    </w:p>
    <w:bookmarkEnd w:id="10"/>
    <w:bookmarkEnd w:id="9"/>
    <w:p w14:paraId="221D233B" w14:textId="7B7D6988" w:rsidR="00C74B6F" w:rsidRDefault="00182AF3">
      <w:pPr>
        <w:pStyle w:val="corpsdedcision"/>
      </w:pPr>
      <w:r>
        <w:t>Le 9</w:t>
      </w:r>
      <w:r w:rsidR="00E32C22">
        <w:t> </w:t>
      </w:r>
      <w:r>
        <w:t>juillet</w:t>
      </w:r>
      <w:r w:rsidR="00E32C22">
        <w:t> </w:t>
      </w:r>
      <w:r>
        <w:t xml:space="preserve">2023, </w:t>
      </w:r>
      <w:r w:rsidR="00E32C22">
        <w:t>m</w:t>
      </w:r>
      <w:r w:rsidR="00B9525B">
        <w:t>adame</w:t>
      </w:r>
      <w:r w:rsidR="00E32C22">
        <w:t> </w:t>
      </w:r>
      <w:r w:rsidR="00B9525B">
        <w:t>Rosie</w:t>
      </w:r>
      <w:r w:rsidR="00E32C22">
        <w:t> </w:t>
      </w:r>
      <w:r w:rsidR="00B9525B">
        <w:t xml:space="preserve">Banville </w:t>
      </w:r>
      <w:r>
        <w:t xml:space="preserve">demande la révision administrative d’une décision de la Commission des normes, de l’équité, de la santé et de la sécurité du travail </w:t>
      </w:r>
      <w:r w:rsidR="00E32C22">
        <w:t xml:space="preserve">datée </w:t>
      </w:r>
      <w:r>
        <w:t>du 16</w:t>
      </w:r>
      <w:r w:rsidR="00E32C22">
        <w:t> </w:t>
      </w:r>
      <w:r>
        <w:t>mars</w:t>
      </w:r>
      <w:r w:rsidR="00E32C22">
        <w:t> </w:t>
      </w:r>
      <w:r>
        <w:t>2023. Cette décision refuse sa réclamation pour un événement survenu le 13</w:t>
      </w:r>
      <w:r w:rsidR="00E32C22">
        <w:t> </w:t>
      </w:r>
      <w:r>
        <w:t>janvier</w:t>
      </w:r>
      <w:r w:rsidR="00E32C22">
        <w:t> </w:t>
      </w:r>
      <w:r>
        <w:t>2023 dans le cadre de ses fonctions chez Dépanneur Super Soir.</w:t>
      </w:r>
    </w:p>
    <w:p w14:paraId="1F9A841B" w14:textId="3AFCD0AC" w:rsidR="00182AF3" w:rsidRDefault="00182AF3" w:rsidP="00402A1C">
      <w:pPr>
        <w:pStyle w:val="corpsdedcision"/>
      </w:pPr>
      <w:r>
        <w:lastRenderedPageBreak/>
        <w:t xml:space="preserve">La Commission </w:t>
      </w:r>
      <w:r w:rsidR="00E42FE2">
        <w:t>est d’avis</w:t>
      </w:r>
      <w:r>
        <w:t xml:space="preserve"> qu’elle ne peut pas procéder à la révision de sa décision</w:t>
      </w:r>
      <w:r w:rsidR="00E32C22">
        <w:rPr>
          <w:rStyle w:val="Appelnotedebasdep"/>
        </w:rPr>
        <w:footnoteReference w:id="1"/>
      </w:r>
      <w:r>
        <w:t xml:space="preserve"> parce que la demande de révision est déposée à l’extérieur du délai de 30</w:t>
      </w:r>
      <w:r w:rsidR="00E32C22">
        <w:t> </w:t>
      </w:r>
      <w:r>
        <w:t xml:space="preserve">jours prévu à la </w:t>
      </w:r>
      <w:r w:rsidRPr="00C57EEB">
        <w:rPr>
          <w:i/>
          <w:iCs/>
        </w:rPr>
        <w:t>Loi sur les accidents du travail et les maladies professionnelles</w:t>
      </w:r>
      <w:r>
        <w:rPr>
          <w:rStyle w:val="Appelnotedebasdep"/>
        </w:rPr>
        <w:footnoteReference w:id="2"/>
      </w:r>
      <w:r w:rsidR="00E42FE2">
        <w:t>, la Loi</w:t>
      </w:r>
      <w:r w:rsidRPr="00FD389A">
        <w:t xml:space="preserve">. </w:t>
      </w:r>
      <w:r>
        <w:t>La Commission ajoute que les motifs soumis par la travailleuse ne permettent pas de prolonger ce délai.</w:t>
      </w:r>
      <w:r w:rsidR="00402A1C">
        <w:t xml:space="preserve"> </w:t>
      </w:r>
      <w:r>
        <w:t>La travailleuse conteste cette décision au Tribunal.</w:t>
      </w:r>
    </w:p>
    <w:p w14:paraId="0BC8F1EC" w14:textId="736B2763" w:rsidR="00402A1C" w:rsidRDefault="00402A1C">
      <w:pPr>
        <w:pStyle w:val="corpsdedcision"/>
      </w:pPr>
      <w:r>
        <w:t>L’audience a lieu spécifiquement sur la question du hors délai.</w:t>
      </w:r>
    </w:p>
    <w:p w14:paraId="6404500C" w14:textId="4E3D4FF1" w:rsidR="006A056B" w:rsidRDefault="00182AF3">
      <w:pPr>
        <w:pStyle w:val="corpsdedcision"/>
      </w:pPr>
      <w:r>
        <w:t>À l’audience, la travailleuse témoigne, tout comme sa mère</w:t>
      </w:r>
      <w:r w:rsidR="00E32C22">
        <w:t>,</w:t>
      </w:r>
      <w:r>
        <w:t xml:space="preserve"> pour expliquer qu’elle </w:t>
      </w:r>
      <w:r w:rsidR="006A056B">
        <w:t>n’</w:t>
      </w:r>
      <w:r>
        <w:t xml:space="preserve">a </w:t>
      </w:r>
      <w:r w:rsidR="006A056B">
        <w:t xml:space="preserve">pas </w:t>
      </w:r>
      <w:r>
        <w:t xml:space="preserve">reçu la décision </w:t>
      </w:r>
      <w:r w:rsidR="006A056B">
        <w:t xml:space="preserve">de refus lors de son envoi du </w:t>
      </w:r>
      <w:r>
        <w:t>16</w:t>
      </w:r>
      <w:r w:rsidR="00E32C22">
        <w:t> </w:t>
      </w:r>
      <w:r>
        <w:t>mars</w:t>
      </w:r>
      <w:r w:rsidR="00E32C22">
        <w:t> </w:t>
      </w:r>
      <w:r>
        <w:t>2023</w:t>
      </w:r>
      <w:r w:rsidR="006A056B">
        <w:t>.</w:t>
      </w:r>
      <w:r w:rsidR="00402A1C">
        <w:t xml:space="preserve"> Sa représentante plaide qu’il s’agit d’un motif raisonnable pour relever la travailleuse de son hors</w:t>
      </w:r>
      <w:r w:rsidR="00E32C22">
        <w:t xml:space="preserve"> </w:t>
      </w:r>
      <w:r w:rsidR="00402A1C">
        <w:t>délai.</w:t>
      </w:r>
    </w:p>
    <w:p w14:paraId="6FA490C3" w14:textId="5DCD612E" w:rsidR="00182AF3" w:rsidRDefault="00402A1C">
      <w:pPr>
        <w:pStyle w:val="corpsdedcision"/>
      </w:pPr>
      <w:r>
        <w:t>L’employeur est absent à l’audience. Sa représentante a déposé une argumentation écrite sur la question du hors délai. Elle plaide que la travailleuse n’a pas de motif raisonnable pour être relevée de son défaut.</w:t>
      </w:r>
    </w:p>
    <w:p w14:paraId="690BE9F0" w14:textId="3DD22CA0" w:rsidR="00402A1C" w:rsidRDefault="00402A1C">
      <w:pPr>
        <w:pStyle w:val="corpsdedcision"/>
      </w:pPr>
      <w:r>
        <w:t>Le Tribunal conclut que la travailleuse a présenté un motif raisonnable pour expliquer son retard et déclare la demande de révision recevable. Les parties seront convoquées pour l’audience sur l’admissibilité de la lésion professionnelle.</w:t>
      </w:r>
    </w:p>
    <w:p w14:paraId="52DD5803" w14:textId="77777777" w:rsidR="00082A97" w:rsidRDefault="00082A97" w:rsidP="0003486B">
      <w:pPr>
        <w:pStyle w:val="corpsdedcision"/>
        <w:numPr>
          <w:ilvl w:val="0"/>
          <w:numId w:val="0"/>
        </w:numPr>
        <w:tabs>
          <w:tab w:val="clear" w:pos="720"/>
        </w:tabs>
        <w:rPr>
          <w:b/>
          <w:bCs/>
          <w:u w:val="single"/>
        </w:rPr>
      </w:pPr>
      <w:bookmarkStart w:id="11" w:name="supprimer_analyse"/>
      <w:r w:rsidRPr="00B51F99">
        <w:rPr>
          <w:b/>
          <w:bCs/>
          <w:u w:val="single"/>
        </w:rPr>
        <w:t>L</w:t>
      </w:r>
      <w:r>
        <w:rPr>
          <w:b/>
          <w:bCs/>
          <w:u w:val="single"/>
        </w:rPr>
        <w:t>’ANALYSE</w:t>
      </w:r>
    </w:p>
    <w:bookmarkEnd w:id="11"/>
    <w:p w14:paraId="28022FA9" w14:textId="5CA1A1A7" w:rsidR="00804072" w:rsidRDefault="00804072" w:rsidP="00804072">
      <w:pPr>
        <w:pStyle w:val="corpsdedcision"/>
      </w:pPr>
      <w:r>
        <w:t>La travailleuse demande la révision administrative de la décision du 16</w:t>
      </w:r>
      <w:r w:rsidR="00E32C22">
        <w:t> </w:t>
      </w:r>
      <w:r>
        <w:t>mars</w:t>
      </w:r>
      <w:r w:rsidR="00E32C22">
        <w:t> </w:t>
      </w:r>
      <w:r>
        <w:t>2023 en date du 9</w:t>
      </w:r>
      <w:r w:rsidR="00E32C22">
        <w:t> </w:t>
      </w:r>
      <w:r>
        <w:t>juillet</w:t>
      </w:r>
      <w:r w:rsidR="00E32C22">
        <w:t> </w:t>
      </w:r>
      <w:r>
        <w:t>2023. Il s’agit d’un délai de près de quatre mois qui ne respecte pas le délai de 30 jours prévu à la Loi</w:t>
      </w:r>
      <w:r w:rsidR="00E32C22">
        <w:t xml:space="preserve"> </w:t>
      </w:r>
      <w:r>
        <w:t xml:space="preserve">si l’on </w:t>
      </w:r>
      <w:r w:rsidR="00EA229A">
        <w:t>tient</w:t>
      </w:r>
      <w:r>
        <w:t xml:space="preserve"> pour acquis que la notification a lieu le 16</w:t>
      </w:r>
      <w:r w:rsidR="001D4001">
        <w:t> </w:t>
      </w:r>
      <w:r>
        <w:t>mars</w:t>
      </w:r>
      <w:r w:rsidR="001D4001">
        <w:t> </w:t>
      </w:r>
      <w:r>
        <w:t>2023 ou lors des jours qui suivent</w:t>
      </w:r>
      <w:r w:rsidR="001D4001">
        <w:t> </w:t>
      </w:r>
      <w:r>
        <w:t>:</w:t>
      </w:r>
    </w:p>
    <w:p w14:paraId="76EB33DE" w14:textId="77777777" w:rsidR="00804072" w:rsidRPr="0088717B" w:rsidRDefault="00804072" w:rsidP="00804072">
      <w:pPr>
        <w:pStyle w:val="articlesdelaLATMP"/>
        <w:tabs>
          <w:tab w:val="left" w:pos="1276"/>
        </w:tabs>
        <w:spacing w:after="360"/>
      </w:pPr>
      <w:r w:rsidRPr="00216E8F">
        <w:rPr>
          <w:b/>
        </w:rPr>
        <w:t>358.</w:t>
      </w:r>
      <w:r>
        <w:tab/>
      </w:r>
      <w:r w:rsidRPr="0088717B">
        <w:t>Une personne qui se croit lésée par une décision rendue par la Commission en vertu de la présente loi peut, dans les 30 jours de sa notification, en demander la révision.</w:t>
      </w:r>
    </w:p>
    <w:p w14:paraId="37F4AA95" w14:textId="5F0B6742" w:rsidR="00804072" w:rsidRDefault="00804072" w:rsidP="00804072">
      <w:pPr>
        <w:pStyle w:val="corpsdedcision"/>
      </w:pPr>
      <w:r>
        <w:t xml:space="preserve">La </w:t>
      </w:r>
      <w:r w:rsidR="00F83F4E">
        <w:t xml:space="preserve">représentante de la </w:t>
      </w:r>
      <w:r>
        <w:t xml:space="preserve">travailleuse propose que </w:t>
      </w:r>
      <w:r w:rsidR="00F83F4E">
        <w:t xml:space="preserve">la </w:t>
      </w:r>
      <w:r>
        <w:t>demande</w:t>
      </w:r>
      <w:r w:rsidR="00F83F4E">
        <w:t xml:space="preserve"> de révision</w:t>
      </w:r>
      <w:r>
        <w:t xml:space="preserve"> respecte le délai de 30</w:t>
      </w:r>
      <w:r w:rsidR="001D4001">
        <w:t> </w:t>
      </w:r>
      <w:r>
        <w:t>jours</w:t>
      </w:r>
      <w:r w:rsidR="00F83F4E">
        <w:t>.</w:t>
      </w:r>
      <w:r w:rsidR="001C0414">
        <w:t xml:space="preserve"> </w:t>
      </w:r>
      <w:r w:rsidR="00F83F4E">
        <w:t>E</w:t>
      </w:r>
      <w:r>
        <w:t xml:space="preserve">lle explique </w:t>
      </w:r>
      <w:r w:rsidR="00F83F4E">
        <w:t xml:space="preserve">que la travailleuse n’a </w:t>
      </w:r>
      <w:r>
        <w:t>pas reçu la décision en mars</w:t>
      </w:r>
      <w:r w:rsidR="001D4001">
        <w:t> </w:t>
      </w:r>
      <w:r>
        <w:t>2023</w:t>
      </w:r>
      <w:r w:rsidR="001D4001">
        <w:t>,</w:t>
      </w:r>
      <w:r>
        <w:t xml:space="preserve"> mais seulement après un appel avec une agente de la Commission le 5</w:t>
      </w:r>
      <w:r w:rsidR="001D4001">
        <w:t> </w:t>
      </w:r>
      <w:r>
        <w:t>juin</w:t>
      </w:r>
      <w:r w:rsidR="001D4001">
        <w:t> </w:t>
      </w:r>
      <w:r>
        <w:t>2023. Cet argument est intéressant, mais lorsqu’un travailleur invoque ne pas avoir reçu une décision, la justification de son retard est plus fréquemment effectuée par la recherche d’un motif raisonnable que par le report du point de départ du délai de 30</w:t>
      </w:r>
      <w:r w:rsidR="001D4001">
        <w:t> </w:t>
      </w:r>
      <w:r>
        <w:t>jours. Il en sera de même dans la présente analyse. Au surplus, la travailleuse n’a pas un souvenir précis de la date de réception de la décision après le 5</w:t>
      </w:r>
      <w:r w:rsidR="001D4001">
        <w:t> </w:t>
      </w:r>
      <w:r>
        <w:t>juin</w:t>
      </w:r>
      <w:r w:rsidR="001D4001">
        <w:t> </w:t>
      </w:r>
      <w:r>
        <w:t>2023</w:t>
      </w:r>
      <w:r w:rsidR="001D4001">
        <w:t>,</w:t>
      </w:r>
      <w:r>
        <w:t xml:space="preserve"> ce </w:t>
      </w:r>
      <w:r>
        <w:lastRenderedPageBreak/>
        <w:t>qui rend incertain son respect du délai de 30</w:t>
      </w:r>
      <w:r w:rsidR="001D4001">
        <w:t> </w:t>
      </w:r>
      <w:r>
        <w:t>jours en tenant compte d’une date de notification différente.</w:t>
      </w:r>
    </w:p>
    <w:p w14:paraId="71EABDCA" w14:textId="0B635F28" w:rsidR="00804072" w:rsidRDefault="00804072" w:rsidP="00476F71">
      <w:pPr>
        <w:pStyle w:val="Titre3"/>
        <w:keepLines/>
        <w:spacing w:before="0" w:after="360"/>
        <w:jc w:val="both"/>
      </w:pPr>
      <w:r>
        <w:t xml:space="preserve">Est-ce que la travailleuse a un motif raisonnable </w:t>
      </w:r>
      <w:r w:rsidRPr="00E35886">
        <w:t>pour être relevé</w:t>
      </w:r>
      <w:r w:rsidR="001D4001">
        <w:t>e</w:t>
      </w:r>
      <w:r w:rsidRPr="00E35886">
        <w:t xml:space="preserve"> du défaut d’avoir demandé la révision administrative dans le délai prévu à la Loi</w:t>
      </w:r>
      <w:r>
        <w:t>?</w:t>
      </w:r>
    </w:p>
    <w:p w14:paraId="3CDABC67" w14:textId="77777777" w:rsidR="00804072" w:rsidRPr="00D76658" w:rsidRDefault="00804072" w:rsidP="00476F71">
      <w:pPr>
        <w:pStyle w:val="corpsdedcision"/>
        <w:keepNext/>
        <w:keepLines/>
      </w:pPr>
      <w:r w:rsidRPr="00D76658">
        <w:t>Le Tribunal peut relever une partie des conséquences de son défaut, conformémen</w:t>
      </w:r>
      <w:r>
        <w:t>t à l’article 358.2 de la Loi :</w:t>
      </w:r>
    </w:p>
    <w:p w14:paraId="2E7A8A9E" w14:textId="77777777" w:rsidR="00804072" w:rsidRPr="0003486B" w:rsidRDefault="00804072" w:rsidP="00804072">
      <w:pPr>
        <w:shd w:val="clear" w:color="auto" w:fill="FFFFFF"/>
        <w:tabs>
          <w:tab w:val="left" w:pos="1276"/>
        </w:tabs>
        <w:spacing w:after="360"/>
        <w:ind w:left="720" w:right="720"/>
        <w:jc w:val="both"/>
        <w:rPr>
          <w:rFonts w:cs="Arial"/>
          <w:color w:val="000000"/>
          <w:szCs w:val="24"/>
        </w:rPr>
      </w:pPr>
      <w:r w:rsidRPr="00D76658">
        <w:rPr>
          <w:rFonts w:cs="Arial"/>
          <w:b/>
          <w:bCs/>
          <w:color w:val="000000"/>
          <w:sz w:val="20"/>
        </w:rPr>
        <w:t>358.2.</w:t>
      </w:r>
      <w:r>
        <w:rPr>
          <w:rFonts w:cs="Arial"/>
          <w:color w:val="000000"/>
          <w:sz w:val="20"/>
        </w:rPr>
        <w:tab/>
      </w:r>
      <w:r w:rsidRPr="00D76658">
        <w:rPr>
          <w:rFonts w:cs="Arial"/>
          <w:color w:val="000000"/>
          <w:sz w:val="20"/>
        </w:rPr>
        <w:t>La Commission peut prolonger le délai prévu à l’article 358 ou relever une personne des conséquences de son défaut de le respecter, s'il est démontré que la demande de révision n'a pu être faite dans le délai prescrit pour un motif raisonnable.</w:t>
      </w:r>
    </w:p>
    <w:p w14:paraId="2E24A904" w14:textId="77777777" w:rsidR="00804072" w:rsidRDefault="00804072" w:rsidP="00804072">
      <w:pPr>
        <w:pStyle w:val="corpsdedcision"/>
        <w:rPr>
          <w:lang w:eastAsia="fr-FR"/>
        </w:rPr>
      </w:pPr>
      <w:r w:rsidRPr="00D76658">
        <w:rPr>
          <w:lang w:eastAsia="fr-FR"/>
        </w:rPr>
        <w:t>Cette possibilité est prévue pour la Commission</w:t>
      </w:r>
      <w:r>
        <w:rPr>
          <w:lang w:eastAsia="fr-FR"/>
        </w:rPr>
        <w:t>,</w:t>
      </w:r>
      <w:r w:rsidRPr="00D76658">
        <w:rPr>
          <w:lang w:eastAsia="fr-FR"/>
        </w:rPr>
        <w:t xml:space="preserve"> mais, puisque le Tribunal siège </w:t>
      </w:r>
      <w:r w:rsidRPr="00D76658">
        <w:rPr>
          <w:i/>
          <w:lang w:eastAsia="fr-FR"/>
        </w:rPr>
        <w:t>de novo</w:t>
      </w:r>
      <w:r w:rsidRPr="00D76658">
        <w:rPr>
          <w:rStyle w:val="Appelnotedebasdep"/>
          <w:lang w:eastAsia="fr-FR"/>
        </w:rPr>
        <w:footnoteReference w:id="3"/>
      </w:r>
      <w:r w:rsidRPr="00D76658">
        <w:rPr>
          <w:lang w:eastAsia="fr-FR"/>
        </w:rPr>
        <w:t xml:space="preserve"> et doit rendre la décision qui aurait dû être rendue par la Commission, </w:t>
      </w:r>
      <w:r>
        <w:rPr>
          <w:lang w:eastAsia="fr-FR"/>
        </w:rPr>
        <w:t>il</w:t>
      </w:r>
      <w:r w:rsidRPr="00D76658">
        <w:rPr>
          <w:lang w:eastAsia="fr-FR"/>
        </w:rPr>
        <w:t xml:space="preserve"> peut donc prolonger ce délai s’il est d’avis qu’un motif </w:t>
      </w:r>
      <w:r>
        <w:rPr>
          <w:lang w:eastAsia="fr-FR"/>
        </w:rPr>
        <w:t>raisonnable explique ce retard.</w:t>
      </w:r>
    </w:p>
    <w:p w14:paraId="7359F29E" w14:textId="77777777" w:rsidR="00804072" w:rsidRPr="00D76658" w:rsidRDefault="00804072" w:rsidP="00804072">
      <w:pPr>
        <w:pStyle w:val="corpsdedcision"/>
        <w:rPr>
          <w:lang w:eastAsia="fr-FR"/>
        </w:rPr>
      </w:pPr>
      <w:r w:rsidRPr="00D76658">
        <w:rPr>
          <w:lang w:eastAsia="fr-FR"/>
        </w:rPr>
        <w:t>La notion de « motif raisonnable » n’est pas définie à la Loi. Le Tribunal s’en remet donc à la définition retenue par la jurisprudence selon laquelle il s’agit d’une notion large permettant de considérer un ensemble de facteurs susceptibles d’indiquer à partir des faits, des démarches, des comportements, de la conjoncture, des circonstances</w:t>
      </w:r>
      <w:r>
        <w:rPr>
          <w:lang w:eastAsia="fr-FR"/>
        </w:rPr>
        <w:t>,</w:t>
      </w:r>
      <w:r w:rsidRPr="00D76658">
        <w:rPr>
          <w:lang w:eastAsia="fr-FR"/>
        </w:rPr>
        <w:t xml:space="preserve"> etc., si une personne a un motif non farfelu, crédible et qui fait preuve de bon sens, de mesure et de réflexion</w:t>
      </w:r>
      <w:r w:rsidRPr="00D76658">
        <w:rPr>
          <w:rStyle w:val="Appelnotedebasdep"/>
          <w:lang w:eastAsia="fr-FR"/>
        </w:rPr>
        <w:footnoteReference w:id="4"/>
      </w:r>
      <w:r w:rsidRPr="00D76658">
        <w:rPr>
          <w:lang w:eastAsia="fr-FR"/>
        </w:rPr>
        <w:t>. Il s’agit d’une notion souvent assimilée à celle du bon père de famille et de l’homme prudent et diligent</w:t>
      </w:r>
      <w:r w:rsidRPr="00D76658">
        <w:rPr>
          <w:rStyle w:val="Appelnotedebasdep"/>
          <w:lang w:eastAsia="fr-FR"/>
        </w:rPr>
        <w:footnoteReference w:id="5"/>
      </w:r>
      <w:r w:rsidRPr="00D76658">
        <w:rPr>
          <w:lang w:eastAsia="fr-FR"/>
        </w:rPr>
        <w:t>.</w:t>
      </w:r>
    </w:p>
    <w:p w14:paraId="5CBD94E7" w14:textId="4F717561" w:rsidR="00804072" w:rsidRPr="00D76658" w:rsidRDefault="00804072" w:rsidP="00804072">
      <w:pPr>
        <w:pStyle w:val="corpsdedcision"/>
        <w:rPr>
          <w:lang w:eastAsia="fr-FR"/>
        </w:rPr>
      </w:pPr>
      <w:r w:rsidRPr="00D76658">
        <w:rPr>
          <w:lang w:eastAsia="fr-FR"/>
        </w:rPr>
        <w:t xml:space="preserve">Pour </w:t>
      </w:r>
      <w:r w:rsidRPr="003362EA">
        <w:rPr>
          <w:lang w:eastAsia="fr-FR"/>
        </w:rPr>
        <w:t>démontrer</w:t>
      </w:r>
      <w:r w:rsidRPr="00D76658">
        <w:rPr>
          <w:lang w:eastAsia="fr-FR"/>
        </w:rPr>
        <w:t xml:space="preserve"> un motif raisonnable, </w:t>
      </w:r>
      <w:r w:rsidR="00613A27">
        <w:rPr>
          <w:lang w:eastAsia="fr-FR"/>
        </w:rPr>
        <w:t>la travailleuse</w:t>
      </w:r>
      <w:r w:rsidRPr="00D76658">
        <w:rPr>
          <w:lang w:eastAsia="fr-FR"/>
        </w:rPr>
        <w:t xml:space="preserve"> doit </w:t>
      </w:r>
      <w:r>
        <w:rPr>
          <w:rFonts w:cs="Arial"/>
          <w:color w:val="000000"/>
          <w:shd w:val="clear" w:color="auto" w:fill="FFFFFF"/>
        </w:rPr>
        <w:t>prouver</w:t>
      </w:r>
      <w:r w:rsidRPr="00D76658">
        <w:rPr>
          <w:rFonts w:cs="Arial"/>
          <w:color w:val="000000"/>
          <w:shd w:val="clear" w:color="auto" w:fill="FFFFFF"/>
        </w:rPr>
        <w:t xml:space="preserve"> qu’</w:t>
      </w:r>
      <w:r w:rsidR="00613A27">
        <w:rPr>
          <w:rFonts w:cs="Arial"/>
          <w:color w:val="000000"/>
          <w:shd w:val="clear" w:color="auto" w:fill="FFFFFF"/>
        </w:rPr>
        <w:t>elle</w:t>
      </w:r>
      <w:r w:rsidRPr="00D76658">
        <w:rPr>
          <w:rFonts w:cs="Arial"/>
          <w:color w:val="000000"/>
          <w:shd w:val="clear" w:color="auto" w:fill="FFFFFF"/>
        </w:rPr>
        <w:t xml:space="preserve"> a agi avec prudence et diligence dans l’exercice de son droit. Le Tribunal ne peut pas cautionner le manque de diligence ou de prudence ou l’insouciance d’une partie</w:t>
      </w:r>
      <w:r w:rsidRPr="00D76658">
        <w:rPr>
          <w:rStyle w:val="Appelnotedebasdep"/>
          <w:rFonts w:cs="Arial"/>
          <w:color w:val="000000"/>
          <w:shd w:val="clear" w:color="auto" w:fill="FFFFFF"/>
        </w:rPr>
        <w:footnoteReference w:id="6"/>
      </w:r>
      <w:r w:rsidRPr="00D76658">
        <w:rPr>
          <w:rFonts w:cs="Arial"/>
          <w:color w:val="000000"/>
          <w:shd w:val="clear" w:color="auto" w:fill="FFFFFF"/>
        </w:rPr>
        <w:t>.</w:t>
      </w:r>
    </w:p>
    <w:p w14:paraId="70064558" w14:textId="4EB0F490" w:rsidR="00804072" w:rsidRPr="00BA4A27" w:rsidRDefault="00804072" w:rsidP="00804072">
      <w:pPr>
        <w:pStyle w:val="corpsdedcision"/>
        <w:rPr>
          <w:lang w:eastAsia="fr-FR"/>
        </w:rPr>
      </w:pPr>
      <w:r w:rsidRPr="00D76658">
        <w:rPr>
          <w:rFonts w:cs="Arial"/>
          <w:color w:val="000000"/>
          <w:shd w:val="clear" w:color="auto" w:fill="FFFFFF"/>
        </w:rPr>
        <w:t xml:space="preserve">En outre, le Tribunal rappelle que le pouvoir de relever une partie des conséquences de son défaut n’est pas purement discrétionnaire, c’est-à-dire qu’il ne peut </w:t>
      </w:r>
      <w:r>
        <w:rPr>
          <w:rFonts w:cs="Arial"/>
          <w:color w:val="000000"/>
          <w:shd w:val="clear" w:color="auto" w:fill="FFFFFF"/>
        </w:rPr>
        <w:t xml:space="preserve">pas </w:t>
      </w:r>
      <w:r w:rsidRPr="00D76658">
        <w:rPr>
          <w:rFonts w:cs="Arial"/>
          <w:color w:val="000000"/>
          <w:shd w:val="clear" w:color="auto" w:fill="FFFFFF"/>
        </w:rPr>
        <w:t>s’exercer uniquement en considération de la sympathie que peut inspirer un cas précis. Les délais prévus à la Loi sont sérieux et doivent être respectés, sauf si une justification explique le retard</w:t>
      </w:r>
      <w:r w:rsidRPr="00D76658">
        <w:rPr>
          <w:rStyle w:val="Appelnotedebasdep"/>
          <w:rFonts w:cs="Arial"/>
          <w:color w:val="000000"/>
          <w:shd w:val="clear" w:color="auto" w:fill="FFFFFF"/>
        </w:rPr>
        <w:footnoteReference w:id="7"/>
      </w:r>
      <w:r w:rsidRPr="00D76658">
        <w:rPr>
          <w:rFonts w:cs="Arial"/>
          <w:color w:val="000000"/>
          <w:shd w:val="clear" w:color="auto" w:fill="FFFFFF"/>
        </w:rPr>
        <w:t>.</w:t>
      </w:r>
    </w:p>
    <w:p w14:paraId="3B9F4298" w14:textId="77777777" w:rsidR="00804072" w:rsidRPr="00BA4A27" w:rsidRDefault="00804072" w:rsidP="00804072">
      <w:pPr>
        <w:pStyle w:val="corpsdedcision"/>
        <w:rPr>
          <w:lang w:eastAsia="fr-FR"/>
        </w:rPr>
      </w:pPr>
      <w:r>
        <w:rPr>
          <w:rFonts w:cs="Arial"/>
          <w:color w:val="000000"/>
          <w:shd w:val="clear" w:color="auto" w:fill="FFFFFF"/>
        </w:rPr>
        <w:t xml:space="preserve">Les tribunaux supérieurs rappellent qu’il est préférable </w:t>
      </w:r>
      <w:r>
        <w:rPr>
          <w:rFonts w:cs="Arial"/>
          <w:color w:val="000000"/>
        </w:rPr>
        <w:t xml:space="preserve">de s’attarder au mérite d’un dossier plutôt que de mettre fin à un recours sur une base purement procédurale. Ce passage de la Cour d’appel du Québec, dans l’affaire </w:t>
      </w:r>
      <w:r>
        <w:rPr>
          <w:rFonts w:cs="Arial"/>
          <w:i/>
          <w:iCs/>
          <w:color w:val="000000"/>
        </w:rPr>
        <w:t>Boissonneault</w:t>
      </w:r>
      <w:r>
        <w:rPr>
          <w:rFonts w:cs="Arial"/>
          <w:color w:val="000000"/>
        </w:rPr>
        <w:t xml:space="preserve"> c. </w:t>
      </w:r>
      <w:r>
        <w:rPr>
          <w:rFonts w:cs="Arial"/>
          <w:i/>
          <w:iCs/>
          <w:color w:val="000000"/>
        </w:rPr>
        <w:t>Constructions Marquis Laflamme inc.</w:t>
      </w:r>
      <w:r w:rsidRPr="00D47D55">
        <w:rPr>
          <w:rStyle w:val="Appelnotedebasdep"/>
          <w:rFonts w:cs="Arial"/>
          <w:color w:val="000000"/>
        </w:rPr>
        <w:footnoteReference w:id="8"/>
      </w:r>
      <w:r>
        <w:rPr>
          <w:rFonts w:cs="Arial"/>
          <w:color w:val="000000"/>
          <w:shd w:val="clear" w:color="auto" w:fill="FFFFFF"/>
        </w:rPr>
        <w:t xml:space="preserve"> en est un bon exemple :</w:t>
      </w:r>
    </w:p>
    <w:p w14:paraId="67CAA459" w14:textId="77777777" w:rsidR="00804072" w:rsidRDefault="00804072" w:rsidP="00804072">
      <w:pPr>
        <w:pStyle w:val="citation"/>
        <w:tabs>
          <w:tab w:val="left" w:pos="1276"/>
        </w:tabs>
        <w:spacing w:after="360"/>
      </w:pPr>
      <w:r w:rsidRPr="00BA4A27">
        <w:t>[28]</w:t>
      </w:r>
      <w:r>
        <w:tab/>
      </w:r>
      <w:r w:rsidRPr="00BA4A27">
        <w:t>La</w:t>
      </w:r>
      <w:r>
        <w:t xml:space="preserve"> </w:t>
      </w:r>
      <w:r w:rsidRPr="00BA4A27">
        <w:rPr>
          <w:i/>
          <w:iCs/>
        </w:rPr>
        <w:t>L.a.t.m.p.</w:t>
      </w:r>
      <w:r w:rsidRPr="00BA4A27">
        <w:t>, législation d’ordre public à vocation hautement sociale</w:t>
      </w:r>
      <w:r w:rsidRPr="00BA4A27">
        <w:rPr>
          <w:vertAlign w:val="superscript"/>
        </w:rPr>
        <w:t>7</w:t>
      </w:r>
      <w:r w:rsidRPr="00BA4A27">
        <w:t>, doit recevoir « une interprétation large et libérale, qui assure l’accomplissement de son objet et l’exécution de ses prescriptions suivant leurs véritables sens, esprit et fin »</w:t>
      </w:r>
      <w:r w:rsidRPr="00BA4A27">
        <w:rPr>
          <w:vertAlign w:val="superscript"/>
        </w:rPr>
        <w:t>8</w:t>
      </w:r>
      <w:r w:rsidRPr="00BA4A27">
        <w:t xml:space="preserve">. Par ailleurs, en matière de déchéance de droit, il </w:t>
      </w:r>
      <w:r w:rsidRPr="006D18F4">
        <w:t>paraît</w:t>
      </w:r>
      <w:r>
        <w:t xml:space="preserve"> </w:t>
      </w:r>
      <w:r w:rsidRPr="006D18F4">
        <w:t>raisonnable</w:t>
      </w:r>
      <w:r>
        <w:t xml:space="preserve"> </w:t>
      </w:r>
      <w:r w:rsidRPr="00BA4A27">
        <w:t>d'interpréter les dispositions de la loi de manière à protéger les droits du justiciable</w:t>
      </w:r>
      <w:r w:rsidRPr="00BA4A27">
        <w:rPr>
          <w:vertAlign w:val="superscript"/>
        </w:rPr>
        <w:t>9</w:t>
      </w:r>
      <w:r w:rsidRPr="00BA4A27">
        <w:t>. C’est certes le cas lorsque la législation dont il s’agit en est une, comme en l’espèce, à vocation sociale.</w:t>
      </w:r>
    </w:p>
    <w:p w14:paraId="640FD015" w14:textId="77777777" w:rsidR="00804072" w:rsidRPr="004A10A7" w:rsidRDefault="00804072" w:rsidP="00804072">
      <w:pPr>
        <w:pStyle w:val="citation"/>
        <w:spacing w:after="360"/>
        <w:rPr>
          <w:sz w:val="24"/>
          <w:szCs w:val="24"/>
        </w:rPr>
      </w:pPr>
      <w:r w:rsidRPr="004A10A7">
        <w:rPr>
          <w:sz w:val="24"/>
          <w:szCs w:val="24"/>
        </w:rPr>
        <w:t>[Notes omises]</w:t>
      </w:r>
    </w:p>
    <w:p w14:paraId="4DAEA918" w14:textId="5E5DB4D4" w:rsidR="00804072" w:rsidRPr="009A5A99" w:rsidRDefault="00613A27" w:rsidP="00804072">
      <w:pPr>
        <w:pStyle w:val="corpsdedcision"/>
        <w:rPr>
          <w:lang w:eastAsia="fr-FR"/>
        </w:rPr>
      </w:pPr>
      <w:r>
        <w:rPr>
          <w:rFonts w:cs="Arial"/>
          <w:color w:val="000000"/>
        </w:rPr>
        <w:t>Plus</w:t>
      </w:r>
      <w:r w:rsidR="00804072">
        <w:rPr>
          <w:rFonts w:cs="Arial"/>
          <w:color w:val="000000"/>
        </w:rPr>
        <w:t xml:space="preserve"> récemment, la Cour d’appel du Québec réitère ces principes dans </w:t>
      </w:r>
      <w:bookmarkStart w:id="12" w:name="_Hlk211524590"/>
      <w:r w:rsidR="00804072" w:rsidRPr="009A5A99">
        <w:rPr>
          <w:rFonts w:cs="Arial"/>
          <w:i/>
          <w:iCs/>
          <w:color w:val="000000"/>
        </w:rPr>
        <w:t>Perron</w:t>
      </w:r>
      <w:r w:rsidR="00804072">
        <w:rPr>
          <w:rFonts w:cs="Arial"/>
          <w:color w:val="000000"/>
        </w:rPr>
        <w:t xml:space="preserve"> c. </w:t>
      </w:r>
      <w:r w:rsidR="00804072">
        <w:rPr>
          <w:rFonts w:cs="Arial"/>
          <w:i/>
          <w:iCs/>
          <w:color w:val="000000"/>
        </w:rPr>
        <w:t xml:space="preserve">Gilles </w:t>
      </w:r>
      <w:r w:rsidR="00804072" w:rsidRPr="009A5A99">
        <w:rPr>
          <w:rFonts w:cs="Arial"/>
          <w:i/>
          <w:iCs/>
          <w:color w:val="000000"/>
        </w:rPr>
        <w:t>Veilleux</w:t>
      </w:r>
      <w:r w:rsidR="00804072">
        <w:rPr>
          <w:rFonts w:cs="Arial"/>
          <w:i/>
          <w:iCs/>
          <w:color w:val="000000"/>
        </w:rPr>
        <w:t xml:space="preserve"> ltée</w:t>
      </w:r>
      <w:bookmarkEnd w:id="12"/>
      <w:r w:rsidR="00804072" w:rsidRPr="00D51DB7">
        <w:rPr>
          <w:rStyle w:val="Appelnotedebasdep"/>
          <w:rFonts w:cs="Arial"/>
          <w:color w:val="000000"/>
        </w:rPr>
        <w:footnoteReference w:id="9"/>
      </w:r>
      <w:r w:rsidR="00804072">
        <w:rPr>
          <w:rFonts w:cs="Arial"/>
          <w:color w:val="000000"/>
        </w:rPr>
        <w:t>, ce qui doit mener le Tribunal à une grande prudence avant de faire perdre un droit de contestation à une partie sur une question de procédure.</w:t>
      </w:r>
    </w:p>
    <w:p w14:paraId="4099D409" w14:textId="7EFDF0B9" w:rsidR="00804072" w:rsidRPr="005C57DD" w:rsidRDefault="00804072" w:rsidP="00804072">
      <w:pPr>
        <w:pStyle w:val="corpsdedcision"/>
        <w:rPr>
          <w:lang w:eastAsia="fr-FR"/>
        </w:rPr>
      </w:pPr>
      <w:r>
        <w:rPr>
          <w:rFonts w:cs="Arial"/>
          <w:color w:val="000000"/>
        </w:rPr>
        <w:t xml:space="preserve">En appliquant ces principes, le Tribunal estime que les explications avancées par </w:t>
      </w:r>
      <w:r w:rsidR="00613A27">
        <w:rPr>
          <w:rFonts w:cs="Arial"/>
          <w:color w:val="000000"/>
        </w:rPr>
        <w:t>la travailleuse</w:t>
      </w:r>
      <w:r>
        <w:rPr>
          <w:rFonts w:cs="Arial"/>
          <w:color w:val="000000"/>
        </w:rPr>
        <w:t xml:space="preserve"> pour justifier son retard à déposer sa demande de révision constituent un motif raisonnable.</w:t>
      </w:r>
    </w:p>
    <w:p w14:paraId="18D9ADBC" w14:textId="508BA3FA" w:rsidR="00804072" w:rsidRDefault="00BF6349" w:rsidP="00804072">
      <w:pPr>
        <w:pStyle w:val="corpsdedcision"/>
      </w:pPr>
      <w:r>
        <w:t>Premièrement, il importe de tenir compte de l’âge de la travailleuse. El</w:t>
      </w:r>
      <w:r w:rsidR="006B0C2C">
        <w:t>l</w:t>
      </w:r>
      <w:r>
        <w:t>e vient d’avoir 17</w:t>
      </w:r>
      <w:r w:rsidR="006B0C2C">
        <w:t> </w:t>
      </w:r>
      <w:r>
        <w:t>ans lorsque survient l’événement menant à sa réclamation à la Commission.</w:t>
      </w:r>
    </w:p>
    <w:p w14:paraId="20D10E80" w14:textId="4BF34FF1" w:rsidR="00402A1C" w:rsidRDefault="00BF6349" w:rsidP="004C2944">
      <w:pPr>
        <w:pStyle w:val="corpsdedcision"/>
      </w:pPr>
      <w:r>
        <w:t>Lors de sa première consultation médicale avec la professionnelle de la santé qui assurera son suivi, cette dernière avise la travailleuse qu’elle s’occupe de transmettre les informations à la Commission pour ouvrir son dossier. Elle avise la travailleuse que si sa réclamation est acceptée par la Commission elle sera indemnisée, alors que dans le cas contraire, elle ne recevra rien.</w:t>
      </w:r>
    </w:p>
    <w:p w14:paraId="198DAD76" w14:textId="08D73B5A" w:rsidR="00BF6349" w:rsidRDefault="00BF6349" w:rsidP="004C2944">
      <w:pPr>
        <w:pStyle w:val="corpsdedcision"/>
      </w:pPr>
      <w:r>
        <w:t xml:space="preserve">La travailleuse ne </w:t>
      </w:r>
      <w:r w:rsidR="006B0C2C">
        <w:t>remplit</w:t>
      </w:r>
      <w:r>
        <w:t xml:space="preserve"> aucun formulaire </w:t>
      </w:r>
      <w:r w:rsidR="006B0C2C" w:rsidRPr="00F83F4E">
        <w:rPr>
          <w:i/>
          <w:iCs/>
        </w:rPr>
        <w:t>R</w:t>
      </w:r>
      <w:r w:rsidRPr="00F83F4E">
        <w:rPr>
          <w:i/>
          <w:iCs/>
        </w:rPr>
        <w:t>éclamation du travailleur</w:t>
      </w:r>
      <w:r>
        <w:t xml:space="preserve">. La Commission reçoit uniquement le formulaire d’attestation médicale </w:t>
      </w:r>
      <w:r w:rsidR="001C0414">
        <w:t>rempli</w:t>
      </w:r>
      <w:r w:rsidR="00F83F4E">
        <w:t xml:space="preserve"> par</w:t>
      </w:r>
      <w:r>
        <w:t xml:space="preserve"> la professionnelle de la santé.</w:t>
      </w:r>
    </w:p>
    <w:p w14:paraId="3217B317" w14:textId="21406FE3" w:rsidR="00BF6349" w:rsidRDefault="00BF6349" w:rsidP="004C2944">
      <w:pPr>
        <w:pStyle w:val="corpsdedcision"/>
      </w:pPr>
      <w:r>
        <w:t>Par la suite, même si elle n’est plus à l’emploi, la travailleuse reçoit des sommes de son employeur. Elle pense qu’il s’agit de montants d’argent en lien avec sa réclamation à la Commission. Pour la travailleuse, ces sommes versées signifient que sa réclamation à la Commission est acceptée</w:t>
      </w:r>
      <w:r w:rsidR="003A3C45">
        <w:t xml:space="preserve"> et qu’elle n’a pas besoin de faire de démarches supplémentaires.</w:t>
      </w:r>
    </w:p>
    <w:p w14:paraId="40FF838A" w14:textId="08256E95" w:rsidR="00BF6349" w:rsidRDefault="00CF24E5" w:rsidP="004C2944">
      <w:pPr>
        <w:pStyle w:val="corpsdedcision"/>
      </w:pPr>
      <w:r>
        <w:t>Le 31</w:t>
      </w:r>
      <w:r w:rsidR="006B0C2C">
        <w:t> </w:t>
      </w:r>
      <w:r>
        <w:t>mai</w:t>
      </w:r>
      <w:r w:rsidR="006B0C2C">
        <w:t> </w:t>
      </w:r>
      <w:r w:rsidR="00BF6349">
        <w:t>2023, la travailleuse reçoit une lettre de la Commission datée du 15</w:t>
      </w:r>
      <w:r w:rsidR="006B0C2C">
        <w:t> </w:t>
      </w:r>
      <w:r w:rsidR="00BF6349">
        <w:t>mai</w:t>
      </w:r>
      <w:r w:rsidR="006B0C2C">
        <w:t> </w:t>
      </w:r>
      <w:r w:rsidR="00BF6349">
        <w:t xml:space="preserve">2023. Cette lettre </w:t>
      </w:r>
      <w:r w:rsidR="006B0C2C">
        <w:t>fait référence</w:t>
      </w:r>
      <w:r w:rsidR="00BF6349">
        <w:t xml:space="preserve"> à une lettre antérieure du 16</w:t>
      </w:r>
      <w:r w:rsidR="006B0C2C">
        <w:t> </w:t>
      </w:r>
      <w:r w:rsidR="00BF6349">
        <w:t>mars</w:t>
      </w:r>
      <w:r w:rsidR="006B0C2C">
        <w:t> </w:t>
      </w:r>
      <w:r w:rsidR="00BF6349">
        <w:t xml:space="preserve">2023 et lui réclame </w:t>
      </w:r>
      <w:r w:rsidR="006B0C2C">
        <w:t xml:space="preserve">la somme de </w:t>
      </w:r>
      <w:r w:rsidR="00BF6349">
        <w:t>427,39</w:t>
      </w:r>
      <w:r w:rsidR="006B0C2C">
        <w:t> </w:t>
      </w:r>
      <w:r w:rsidR="00BF6349">
        <w:t xml:space="preserve">$. Pourtant, </w:t>
      </w:r>
      <w:r w:rsidR="003A3C45">
        <w:t>il s’agit de</w:t>
      </w:r>
      <w:r w:rsidR="00BF6349">
        <w:t xml:space="preserve"> la première lettre qu’elle reçoit</w:t>
      </w:r>
      <w:r w:rsidR="003A3C45">
        <w:t xml:space="preserve"> de la Commission depuis son événement</w:t>
      </w:r>
      <w:r w:rsidR="00BF6349">
        <w:t>.</w:t>
      </w:r>
    </w:p>
    <w:p w14:paraId="3A603C10" w14:textId="7841D9CE" w:rsidR="00BF6349" w:rsidRDefault="00BF6349" w:rsidP="004C2944">
      <w:pPr>
        <w:pStyle w:val="corpsdedcision"/>
      </w:pPr>
      <w:r>
        <w:t>L</w:t>
      </w:r>
      <w:r w:rsidR="00CF24E5">
        <w:t>a travailleuse agit rapidement puisque l</w:t>
      </w:r>
      <w:r>
        <w:t>e 2</w:t>
      </w:r>
      <w:r w:rsidR="006B0C2C">
        <w:t> </w:t>
      </w:r>
      <w:r>
        <w:t>juin</w:t>
      </w:r>
      <w:r w:rsidR="006B0C2C">
        <w:t> </w:t>
      </w:r>
      <w:r>
        <w:t>2023, elle communique avec la Commission pour comprendre la situation. L’agente la rappelle le 5</w:t>
      </w:r>
      <w:r w:rsidR="006B0C2C">
        <w:t> </w:t>
      </w:r>
      <w:r>
        <w:t>juin</w:t>
      </w:r>
      <w:r w:rsidR="006B0C2C">
        <w:t> </w:t>
      </w:r>
      <w:r>
        <w:t>2023. Il s’agit de son premier échange avec la Commission.</w:t>
      </w:r>
      <w:r w:rsidR="00CF24E5">
        <w:t xml:space="preserve"> </w:t>
      </w:r>
      <w:r w:rsidR="00D5051F">
        <w:t>Cette dernière</w:t>
      </w:r>
      <w:r w:rsidR="00CF24E5">
        <w:t xml:space="preserve"> lui explique que </w:t>
      </w:r>
      <w:r w:rsidR="003A3C45">
        <w:t>la</w:t>
      </w:r>
      <w:r w:rsidR="00CF24E5">
        <w:t xml:space="preserve"> lettre du 16</w:t>
      </w:r>
      <w:r w:rsidR="006B0C2C">
        <w:t> </w:t>
      </w:r>
      <w:r w:rsidR="00CF24E5">
        <w:t>mars</w:t>
      </w:r>
      <w:r w:rsidR="006B0C2C">
        <w:t> </w:t>
      </w:r>
      <w:r w:rsidR="00CF24E5">
        <w:t>2023 refusait sa réclamation.</w:t>
      </w:r>
    </w:p>
    <w:p w14:paraId="4DAC2ED9" w14:textId="38D1B196" w:rsidR="00BF6349" w:rsidRDefault="00CF24E5" w:rsidP="004C2944">
      <w:pPr>
        <w:pStyle w:val="corpsdedcision"/>
      </w:pPr>
      <w:r>
        <w:t>Dès le départ, la travailleuse indique ne pas avoir reçu la lettre du 16</w:t>
      </w:r>
      <w:r w:rsidR="006B0C2C">
        <w:t> </w:t>
      </w:r>
      <w:r>
        <w:t>mars</w:t>
      </w:r>
      <w:r w:rsidR="006B0C2C">
        <w:t> </w:t>
      </w:r>
      <w:r>
        <w:t>2023. Elle signifie également sa volonté de contester cette décision qu’elle n’a encore jamais vue. Elle suggère même de le faire par téléphone.</w:t>
      </w:r>
    </w:p>
    <w:p w14:paraId="62727B80" w14:textId="4D917E18" w:rsidR="00CF24E5" w:rsidRDefault="008E5E0B" w:rsidP="004C2944">
      <w:pPr>
        <w:pStyle w:val="corpsdedcision"/>
      </w:pPr>
      <w:r>
        <w:t>La travailleuse reçoit la copie de la décision du 16</w:t>
      </w:r>
      <w:r w:rsidR="006B0C2C">
        <w:t> </w:t>
      </w:r>
      <w:r>
        <w:t>mars</w:t>
      </w:r>
      <w:r w:rsidR="006B0C2C">
        <w:t> </w:t>
      </w:r>
      <w:r>
        <w:t xml:space="preserve">2023 par la suite et complète sa demande de révision par le biais du portail en ligne </w:t>
      </w:r>
      <w:r w:rsidR="006B0C2C">
        <w:t>« </w:t>
      </w:r>
      <w:r>
        <w:t>MonEspace</w:t>
      </w:r>
      <w:r w:rsidR="006B0C2C">
        <w:t xml:space="preserve"> CNESST »</w:t>
      </w:r>
      <w:r>
        <w:t xml:space="preserve"> de la Commission. </w:t>
      </w:r>
      <w:r w:rsidR="003A3C45">
        <w:t xml:space="preserve">Pour </w:t>
      </w:r>
      <w:r w:rsidR="00EA229A">
        <w:t>c</w:t>
      </w:r>
      <w:r w:rsidR="003A3C45">
        <w:t xml:space="preserve">e faire, elle crée son compte sur cette plateforme. </w:t>
      </w:r>
      <w:r>
        <w:t xml:space="preserve">À sa première tentative, elle </w:t>
      </w:r>
      <w:r w:rsidR="006B0C2C">
        <w:t>remplit</w:t>
      </w:r>
      <w:r>
        <w:t xml:space="preserve"> le formulaire et pense qu’il est envoyé. Lorsqu’elle effectue son suivi dans le portail, elle constate que le formulaire n’a pas été envoyé</w:t>
      </w:r>
      <w:r w:rsidR="006B0C2C">
        <w:t>,</w:t>
      </w:r>
      <w:r>
        <w:t xml:space="preserve"> mais qu’il est plutôt encore sous forme de brouillon. C’est à ce moment, soit le 9</w:t>
      </w:r>
      <w:r w:rsidR="006B0C2C">
        <w:t> </w:t>
      </w:r>
      <w:r>
        <w:t>juillet</w:t>
      </w:r>
      <w:r w:rsidR="006B0C2C">
        <w:t> </w:t>
      </w:r>
      <w:r>
        <w:t>2023</w:t>
      </w:r>
      <w:r w:rsidR="006B0C2C">
        <w:t>,</w:t>
      </w:r>
      <w:r>
        <w:t xml:space="preserve"> qu’elle envoie finalement son formulaire de demande de révision à la Commission.</w:t>
      </w:r>
    </w:p>
    <w:p w14:paraId="4BDA24AC" w14:textId="30A80420" w:rsidR="00BF6349" w:rsidRDefault="008E5E0B" w:rsidP="004C2944">
      <w:pPr>
        <w:pStyle w:val="corpsdedcision"/>
      </w:pPr>
      <w:r>
        <w:t>Cette version des événements de la travailleuse est cohérente avec les notes de l’agente de la Commission et de la réviseure. Elle met aussi en lumière l’absence de démarche proactive de la Commission auprès de la travailleuse d’âge mineure. La Commission n’a pas de formulaire de réclamation</w:t>
      </w:r>
      <w:r w:rsidR="006B0C2C">
        <w:t>,</w:t>
      </w:r>
      <w:r>
        <w:t xml:space="preserve"> mais ne contacte même pas la travailleuse pour obtenir sa version de l’événement accidentel. La Commission se contente de la version écrite détaillée de l’employeur pour refuser la réclamation. Elle n’avise pas la travailleuse qu’une décision de refus sera rendue.</w:t>
      </w:r>
      <w:r w:rsidR="007D456E">
        <w:t xml:space="preserve"> Elle ne communique pas non plus avec ses parents.</w:t>
      </w:r>
    </w:p>
    <w:p w14:paraId="5F2DD678" w14:textId="5F0AD8FE" w:rsidR="008E5E0B" w:rsidRDefault="007D456E" w:rsidP="004C2944">
      <w:pPr>
        <w:pStyle w:val="corpsdedcision"/>
      </w:pPr>
      <w:r>
        <w:t>Cette absence d’assistance par la Commission ne serait pas problématique chez un adulte habitué à interagir avec l’organisation gouvernementale, mais il faut tenir compte qu’il s’agit d’une étudiante</w:t>
      </w:r>
      <w:r w:rsidR="006B0C2C">
        <w:t xml:space="preserve"> âgée</w:t>
      </w:r>
      <w:r>
        <w:t xml:space="preserve"> de 17</w:t>
      </w:r>
      <w:r w:rsidR="006B0C2C">
        <w:t> </w:t>
      </w:r>
      <w:r>
        <w:t>ans qui n’a pas encore complété son secondaire</w:t>
      </w:r>
      <w:r w:rsidR="006B0C2C">
        <w:t> </w:t>
      </w:r>
      <w:r>
        <w:t>5 lorsque ces événements surviennent.</w:t>
      </w:r>
    </w:p>
    <w:p w14:paraId="7F349D88" w14:textId="2477BD71" w:rsidR="007D456E" w:rsidRDefault="007D456E" w:rsidP="004C2944">
      <w:pPr>
        <w:pStyle w:val="corpsdedcision"/>
      </w:pPr>
      <w:r>
        <w:t xml:space="preserve">Par ailleurs, la travailleuse et sa mère expliquent très bien </w:t>
      </w:r>
      <w:r w:rsidR="003A3C45">
        <w:t>par</w:t>
      </w:r>
      <w:r>
        <w:t xml:space="preserve"> leur témoignage respectif que le milieu familial a pu jouer un rôle dans le fait que la travailleuse n’a jamais reçu la lettre du 16</w:t>
      </w:r>
      <w:r w:rsidR="006B0C2C">
        <w:t> </w:t>
      </w:r>
      <w:r>
        <w:t>mars</w:t>
      </w:r>
      <w:r w:rsidR="006B0C2C">
        <w:t> </w:t>
      </w:r>
      <w:r>
        <w:t>2023.</w:t>
      </w:r>
    </w:p>
    <w:p w14:paraId="603524A6" w14:textId="1B3AC5D5" w:rsidR="007D456E" w:rsidRDefault="007D456E" w:rsidP="004C2944">
      <w:pPr>
        <w:pStyle w:val="corpsdedcision"/>
      </w:pPr>
      <w:r>
        <w:t>Le Tribunal retient que la travailleuse ne bénéficiait pas du support parental attendu dans la gestion d’une telle situation. Plusieurs situations personnelles de la vie familiale de la travailleuse, impliquant ses parents et ses sœurs</w:t>
      </w:r>
      <w:r w:rsidR="006B0C2C">
        <w:t>,</w:t>
      </w:r>
      <w:r>
        <w:t xml:space="preserve"> ont certainement affecté la travailleuse ainsi que l’aide familiale attendue pour une </w:t>
      </w:r>
      <w:r w:rsidR="003A3C45">
        <w:t>adolescente</w:t>
      </w:r>
      <w:r>
        <w:t xml:space="preserve"> de 17</w:t>
      </w:r>
      <w:r w:rsidR="006B0C2C">
        <w:t> </w:t>
      </w:r>
      <w:r>
        <w:t xml:space="preserve">ans. Ses éléments ont même encouragé la travailleuse </w:t>
      </w:r>
      <w:r w:rsidR="003A3C45">
        <w:t>à</w:t>
      </w:r>
      <w:r>
        <w:t xml:space="preserve"> quitter la maison familiale à l’été</w:t>
      </w:r>
      <w:r w:rsidR="006B0C2C">
        <w:t> </w:t>
      </w:r>
      <w:r>
        <w:t>2023, alors qu’elle est toujours mineure.</w:t>
      </w:r>
    </w:p>
    <w:p w14:paraId="2047CB8D" w14:textId="15217C4A" w:rsidR="007D456E" w:rsidRDefault="00E92ABC" w:rsidP="004C2944">
      <w:pPr>
        <w:pStyle w:val="corpsdedcision"/>
      </w:pPr>
      <w:r>
        <w:t xml:space="preserve">Même la gestion du courrier est touchée par les </w:t>
      </w:r>
      <w:r w:rsidR="003A3C45">
        <w:t>perturbations</w:t>
      </w:r>
      <w:r>
        <w:t xml:space="preserve"> familia</w:t>
      </w:r>
      <w:r w:rsidR="003A3C45">
        <w:t>les</w:t>
      </w:r>
      <w:r>
        <w:t>. Selon la travailleuse et sa mère, celui qui récupérait le courrier ne le remettait pas rapidement aux autres membres de la famille</w:t>
      </w:r>
      <w:r w:rsidR="006B0C2C">
        <w:t>,</w:t>
      </w:r>
      <w:r>
        <w:t xml:space="preserve"> ce qui pouvait entra</w:t>
      </w:r>
      <w:r w:rsidR="006B0C2C">
        <w:t>î</w:t>
      </w:r>
      <w:r>
        <w:t>ner la perte de lettres</w:t>
      </w:r>
      <w:r w:rsidR="003A3C45">
        <w:t xml:space="preserve"> et expliquerait que la travailleuse n’ait pas reçu la lettre du 16</w:t>
      </w:r>
      <w:r w:rsidR="006B0C2C">
        <w:t> </w:t>
      </w:r>
      <w:r w:rsidR="003A3C45">
        <w:t>mars</w:t>
      </w:r>
      <w:r w:rsidR="006B0C2C">
        <w:t> </w:t>
      </w:r>
      <w:r w:rsidR="003A3C45">
        <w:t>2023</w:t>
      </w:r>
      <w:r>
        <w:t>.</w:t>
      </w:r>
    </w:p>
    <w:p w14:paraId="21ABC1DE" w14:textId="1CF5E7C7" w:rsidR="00E92ABC" w:rsidRDefault="00E92ABC" w:rsidP="004C2944">
      <w:pPr>
        <w:pStyle w:val="corpsdedcision"/>
      </w:pPr>
      <w:r>
        <w:t>Pour le Tribunal, cette situation prise dans son ensemble constitue un motif tout à fait raisonnable pour relever la travailleuse de son défaut de demander la révision administrative dans le délai prévu à la Loi.</w:t>
      </w:r>
    </w:p>
    <w:p w14:paraId="73D4CCFE" w14:textId="7B0C1DBE" w:rsidR="00E92ABC" w:rsidRDefault="00E92ABC" w:rsidP="004C2944">
      <w:pPr>
        <w:pStyle w:val="corpsdedcision"/>
      </w:pPr>
      <w:r>
        <w:t>Le manque de communication et de soutien de la Commission, l</w:t>
      </w:r>
      <w:r w:rsidR="00FD389A">
        <w:t>e</w:t>
      </w:r>
      <w:r>
        <w:t xml:space="preserve"> manque de soutien familial et la mauvaise gestion du courrier doivent être considérés.</w:t>
      </w:r>
    </w:p>
    <w:p w14:paraId="6ED1FAE0" w14:textId="53727D56" w:rsidR="00E92ABC" w:rsidRDefault="00E92ABC" w:rsidP="004C2944">
      <w:pPr>
        <w:pStyle w:val="corpsdedcision"/>
      </w:pPr>
      <w:r>
        <w:t>Au surplus, la travailleuse a toujours démontré son intention de contester et ne peut assurément pas être considérée négligente.</w:t>
      </w:r>
    </w:p>
    <w:p w14:paraId="5E62C5AD" w14:textId="569DCE4F" w:rsidR="00E92ABC" w:rsidRDefault="00E92ABC" w:rsidP="004C2944">
      <w:pPr>
        <w:pStyle w:val="corpsdedcision"/>
      </w:pPr>
      <w:r>
        <w:t xml:space="preserve">Le Tribunal peut même ajouter que la Commission </w:t>
      </w:r>
      <w:r w:rsidR="003A3C45">
        <w:t>a</w:t>
      </w:r>
      <w:r>
        <w:t xml:space="preserve"> manqué à ses obligations procédurales. En effet,</w:t>
      </w:r>
      <w:r w:rsidR="004A3DC4">
        <w:t xml:space="preserve"> les articles</w:t>
      </w:r>
      <w:r w:rsidR="006B0C2C">
        <w:t> </w:t>
      </w:r>
      <w:r w:rsidR="004A3DC4">
        <w:t xml:space="preserve">2, </w:t>
      </w:r>
      <w:r>
        <w:t>4</w:t>
      </w:r>
      <w:r w:rsidR="004A3DC4">
        <w:t xml:space="preserve"> et 6 de la </w:t>
      </w:r>
      <w:r w:rsidR="004A3DC4" w:rsidRPr="00FD389A">
        <w:rPr>
          <w:i/>
          <w:iCs/>
        </w:rPr>
        <w:t>Loi sur la justice administrative</w:t>
      </w:r>
      <w:r w:rsidR="004A3DC4">
        <w:t xml:space="preserve"> montrent que la Commission </w:t>
      </w:r>
      <w:r w:rsidR="006B0C2C">
        <w:t>a</w:t>
      </w:r>
      <w:r w:rsidR="004A3DC4">
        <w:t xml:space="preserve"> rendu sa décision sans respecter les règles procédurales applicables :</w:t>
      </w:r>
    </w:p>
    <w:p w14:paraId="7044CAC2" w14:textId="502EDF4A" w:rsidR="004A3DC4" w:rsidRDefault="004A3DC4" w:rsidP="00EA229A">
      <w:pPr>
        <w:pStyle w:val="citation"/>
        <w:tabs>
          <w:tab w:val="left" w:pos="1276"/>
        </w:tabs>
        <w:spacing w:after="240"/>
      </w:pPr>
      <w:r w:rsidRPr="004A3DC4">
        <w:t>2.</w:t>
      </w:r>
      <w:r w:rsidR="00EA229A">
        <w:tab/>
      </w:r>
      <w:r w:rsidRPr="004A3DC4">
        <w:t>Les procédures menant à une décision individuelle prise à l’égard d’un administré par l’Administration gouvernementale, en application des normes prescrites par la loi, sont conduites dans le respect du devoir d’agir équitablement.</w:t>
      </w:r>
    </w:p>
    <w:p w14:paraId="6CE127E1" w14:textId="6F9945EC" w:rsidR="004A3DC4" w:rsidRDefault="004A3DC4" w:rsidP="0003486B">
      <w:pPr>
        <w:pStyle w:val="citation"/>
        <w:spacing w:after="240"/>
      </w:pPr>
      <w:r>
        <w:t>[…]</w:t>
      </w:r>
    </w:p>
    <w:p w14:paraId="1359890C" w14:textId="7FA3E44C" w:rsidR="004A3DC4" w:rsidRPr="004A3DC4" w:rsidRDefault="009F7426" w:rsidP="00EA229A">
      <w:pPr>
        <w:pStyle w:val="citation"/>
        <w:tabs>
          <w:tab w:val="left" w:pos="1276"/>
        </w:tabs>
        <w:spacing w:after="240"/>
        <w:rPr>
          <w:u w:val="single"/>
        </w:rPr>
      </w:pPr>
      <w:r>
        <w:rPr>
          <w:u w:val="single"/>
        </w:rPr>
        <w:t>4.</w:t>
      </w:r>
      <w:r w:rsidR="00EA229A">
        <w:rPr>
          <w:u w:val="single"/>
        </w:rPr>
        <w:tab/>
      </w:r>
      <w:r w:rsidR="004A3DC4" w:rsidRPr="004A3DC4">
        <w:rPr>
          <w:u w:val="single"/>
        </w:rPr>
        <w:t>L’Administration gouvernementale prend les mesures appropriées pour s’assurer:</w:t>
      </w:r>
    </w:p>
    <w:p w14:paraId="6CEB565E" w14:textId="1EF898F5" w:rsidR="004A3DC4" w:rsidRPr="004A3DC4" w:rsidRDefault="004A3DC4" w:rsidP="00EA229A">
      <w:pPr>
        <w:pStyle w:val="citation"/>
        <w:tabs>
          <w:tab w:val="left" w:pos="1276"/>
        </w:tabs>
        <w:spacing w:after="120"/>
      </w:pPr>
      <w:r w:rsidRPr="004A3DC4">
        <w:t>1</w:t>
      </w:r>
      <w:r w:rsidR="00EA229A">
        <w:rPr>
          <w:rFonts w:cs="Arial"/>
        </w:rPr>
        <w:t>°</w:t>
      </w:r>
      <w:r w:rsidR="00EA229A">
        <w:tab/>
      </w:r>
      <w:r w:rsidRPr="004A3DC4">
        <w:t>que les procédures sont conduites dans le respect des normes législatives et administratives, ainsi que des autres règles de droit applicables, suivant des règles simples, souples et sans formalisme et avec respect, prudence et célérité, conformément aux normes d’éthique et de discipline qui régissent ses agents, et selon les exigences de la bonne foi;</w:t>
      </w:r>
    </w:p>
    <w:p w14:paraId="1B5D3928" w14:textId="2D507C37" w:rsidR="004A3DC4" w:rsidRPr="004A3DC4" w:rsidRDefault="004A3DC4" w:rsidP="00EA229A">
      <w:pPr>
        <w:pStyle w:val="citation"/>
        <w:tabs>
          <w:tab w:val="left" w:pos="1276"/>
        </w:tabs>
        <w:spacing w:after="120"/>
        <w:rPr>
          <w:u w:val="single"/>
        </w:rPr>
      </w:pPr>
      <w:r w:rsidRPr="004A3DC4">
        <w:rPr>
          <w:u w:val="single"/>
        </w:rPr>
        <w:t>2</w:t>
      </w:r>
      <w:r w:rsidR="00EA229A">
        <w:rPr>
          <w:rFonts w:cs="Arial"/>
          <w:u w:val="single"/>
        </w:rPr>
        <w:t>°</w:t>
      </w:r>
      <w:r w:rsidR="00EA229A">
        <w:rPr>
          <w:u w:val="single"/>
        </w:rPr>
        <w:tab/>
      </w:r>
      <w:r w:rsidRPr="004A3DC4">
        <w:rPr>
          <w:u w:val="single"/>
        </w:rPr>
        <w:t>que l’administré a eu l’occasion de fournir les renseignements utiles à la prise de la décision et, le cas échéant, de compléter son dossier;</w:t>
      </w:r>
    </w:p>
    <w:p w14:paraId="62666150" w14:textId="6FC7BD40" w:rsidR="004A3DC4" w:rsidRPr="004A3DC4" w:rsidRDefault="004A3DC4" w:rsidP="00EA229A">
      <w:pPr>
        <w:pStyle w:val="citation"/>
        <w:tabs>
          <w:tab w:val="left" w:pos="1276"/>
        </w:tabs>
        <w:spacing w:after="120"/>
      </w:pPr>
      <w:r w:rsidRPr="004A3DC4">
        <w:t>3</w:t>
      </w:r>
      <w:r w:rsidR="00EA229A">
        <w:rPr>
          <w:rFonts w:cs="Arial"/>
        </w:rPr>
        <w:t>°</w:t>
      </w:r>
      <w:r w:rsidR="00EA229A">
        <w:tab/>
      </w:r>
      <w:r w:rsidRPr="004A3DC4">
        <w:t>que les décisions sont prises avec diligence, qu’elles sont communiquées à l’administré concerné en termes clairs et concis et que les renseignements pour communiquer avec elle lui sont fournis;</w:t>
      </w:r>
    </w:p>
    <w:p w14:paraId="0CB0133B" w14:textId="72529C1B" w:rsidR="004A3DC4" w:rsidRDefault="004A3DC4" w:rsidP="00EA229A">
      <w:pPr>
        <w:pStyle w:val="citation"/>
        <w:tabs>
          <w:tab w:val="left" w:pos="1276"/>
        </w:tabs>
        <w:spacing w:after="240"/>
      </w:pPr>
      <w:r w:rsidRPr="004A3DC4">
        <w:t>4</w:t>
      </w:r>
      <w:r w:rsidR="00EA229A">
        <w:rPr>
          <w:rFonts w:cs="Arial"/>
        </w:rPr>
        <w:t>°</w:t>
      </w:r>
      <w:r w:rsidR="00EA229A">
        <w:tab/>
      </w:r>
      <w:r w:rsidRPr="004A3DC4">
        <w:t>que les directives à l’endroit des agents chargés de prendre la décision sont conformes aux principes et obligations prévus au présent chapitre et qu’elles peuvent être consultées par l’administré.</w:t>
      </w:r>
    </w:p>
    <w:p w14:paraId="261D04D3" w14:textId="4B6AE33F" w:rsidR="004A3DC4" w:rsidRDefault="004A3DC4" w:rsidP="0003486B">
      <w:pPr>
        <w:pStyle w:val="citation"/>
        <w:spacing w:after="240"/>
      </w:pPr>
      <w:r>
        <w:t>[…]</w:t>
      </w:r>
    </w:p>
    <w:p w14:paraId="471D8A85" w14:textId="0619FB23" w:rsidR="004A3DC4" w:rsidRDefault="004A3DC4" w:rsidP="00EA229A">
      <w:pPr>
        <w:pStyle w:val="citation"/>
        <w:tabs>
          <w:tab w:val="left" w:pos="1276"/>
        </w:tabs>
        <w:spacing w:after="240"/>
      </w:pPr>
      <w:r>
        <w:t>6.</w:t>
      </w:r>
      <w:r w:rsidR="00EA229A">
        <w:tab/>
      </w:r>
      <w:r>
        <w:t>L’autorité administrative qui, en matière d’indemnité ou de prestation, s’apprête à prendre une décision défavorable à l’administré, est tenue de s’assurer que celui-ci a eu l’information appropriée pour communiquer avec elle et que son dossier contient les renseignements utiles à la prise de décision. Si elle constate que tel n’est pas le cas ou que le dossier est incomplet, elle retarde sa décision le temps nécessaire pour communiquer avec l’administré et lui donner l’occasion de fournir les renseignements ou les documents pertinents pour compléter son dossier.</w:t>
      </w:r>
    </w:p>
    <w:p w14:paraId="61E43164" w14:textId="7F067CEC" w:rsidR="004A3DC4" w:rsidRDefault="004A3DC4" w:rsidP="0003486B">
      <w:pPr>
        <w:pStyle w:val="citation"/>
        <w:spacing w:after="360"/>
      </w:pPr>
      <w:r>
        <w:t>Elle doit aussi, lorsqu’elle communique la décision, informer, le cas échéant, l’administré de son droit d’obtenir, dans le délai indiqué, que la décision soit révisée par l’autorité administrative.</w:t>
      </w:r>
    </w:p>
    <w:p w14:paraId="71A3E6EC" w14:textId="2B3C6EFC" w:rsidR="004A3DC4" w:rsidRDefault="0003486B" w:rsidP="0003486B">
      <w:pPr>
        <w:pStyle w:val="corpsdedcision"/>
        <w:numPr>
          <w:ilvl w:val="0"/>
          <w:numId w:val="0"/>
        </w:numPr>
        <w:tabs>
          <w:tab w:val="clear" w:pos="720"/>
        </w:tabs>
        <w:ind w:left="709"/>
      </w:pPr>
      <w:r>
        <w:rPr>
          <w:rFonts w:cs="Arial"/>
        </w:rPr>
        <w:t>[</w:t>
      </w:r>
      <w:r w:rsidR="004A3DC4">
        <w:t>Nos soulignements</w:t>
      </w:r>
      <w:r>
        <w:rPr>
          <w:rFonts w:cs="Arial"/>
        </w:rPr>
        <w:t>]</w:t>
      </w:r>
    </w:p>
    <w:p w14:paraId="3C74E8B2" w14:textId="17756673" w:rsidR="004A3DC4" w:rsidRDefault="004A3DC4" w:rsidP="004C2944">
      <w:pPr>
        <w:pStyle w:val="corpsdedcision"/>
      </w:pPr>
      <w:r>
        <w:t>En aucun temps, la travailleuse n’a pu présenter sa version des faits accidentels avant que la décision de refus ne soit rendue.</w:t>
      </w:r>
    </w:p>
    <w:p w14:paraId="40339D8F" w14:textId="4C7D4A28" w:rsidR="004A3DC4" w:rsidRDefault="004A3DC4" w:rsidP="004C2944">
      <w:pPr>
        <w:pStyle w:val="corpsdedcision"/>
      </w:pPr>
      <w:r>
        <w:t>La jurisprudence a déjà considéré qu’un tel manquement peut expliquer un retar</w:t>
      </w:r>
      <w:r w:rsidR="003A3C45">
        <w:t>d</w:t>
      </w:r>
      <w:r>
        <w:t xml:space="preserve"> de contestation. C’est par exemple le cas dans </w:t>
      </w:r>
      <w:r w:rsidRPr="00796F8B">
        <w:rPr>
          <w:i/>
          <w:iCs/>
        </w:rPr>
        <w:t>Audet</w:t>
      </w:r>
      <w:r>
        <w:t xml:space="preserve"> et </w:t>
      </w:r>
      <w:r w:rsidRPr="00796F8B">
        <w:rPr>
          <w:i/>
          <w:iCs/>
        </w:rPr>
        <w:t>CSSS Haute-Yamaska</w:t>
      </w:r>
      <w:r>
        <w:rPr>
          <w:rStyle w:val="Appelnotedebasdep"/>
        </w:rPr>
        <w:footnoteReference w:id="10"/>
      </w:r>
      <w:r>
        <w:t> :</w:t>
      </w:r>
    </w:p>
    <w:p w14:paraId="1CBB0CF2" w14:textId="4B2E4A3E" w:rsidR="004A3DC4" w:rsidRDefault="004A3DC4" w:rsidP="00E32C22">
      <w:pPr>
        <w:pStyle w:val="citation"/>
        <w:tabs>
          <w:tab w:val="left" w:pos="1276"/>
        </w:tabs>
        <w:spacing w:after="360"/>
      </w:pPr>
      <w:r w:rsidRPr="004A3DC4">
        <w:t>[</w:t>
      </w:r>
      <w:bookmarkStart w:id="13" w:name="par15"/>
      <w:r w:rsidRPr="004A3DC4">
        <w:t>15</w:t>
      </w:r>
      <w:bookmarkEnd w:id="13"/>
      <w:r w:rsidRPr="004A3DC4">
        <w:t>]</w:t>
      </w:r>
      <w:r w:rsidR="00E32C22">
        <w:tab/>
      </w:r>
      <w:r w:rsidR="00F83F4E">
        <w:t>[…]</w:t>
      </w:r>
      <w:r w:rsidRPr="004A3DC4">
        <w:t xml:space="preserve"> Tel que déterminé dans la jurisprudence déjà citée, la CSST a manqué à une obligation imposée par le législateur à laquelle elle ne pouvait se soustraire sans affecter la qualité de sa décision et constituer un accroc au respect des droits fondamentaux de l’administré. L’irrégularité procédurale n’invalide pas la décision mais a pour effet de donner à la travailleuse un motif raisonnable pour expliquer son retard d’environ 14 jours.</w:t>
      </w:r>
    </w:p>
    <w:p w14:paraId="67870918" w14:textId="57D92C72" w:rsidR="00796F8B" w:rsidRDefault="00796F8B" w:rsidP="00EF020F">
      <w:pPr>
        <w:pStyle w:val="corpsdedcision"/>
      </w:pPr>
      <w:r>
        <w:t xml:space="preserve">Les arguments de l’employeur qui s’articulent autour </w:t>
      </w:r>
      <w:r w:rsidR="00070A4A">
        <w:t xml:space="preserve">de l’insouciance et </w:t>
      </w:r>
      <w:r>
        <w:t>du manque de diligence de la travailleuse ne peuvent pas être retenus.</w:t>
      </w:r>
      <w:r w:rsidR="00070A4A">
        <w:t xml:space="preserve"> Ce n’est pas ce que le Tribunal retient de la preuve testimoniale et documentaire.</w:t>
      </w:r>
    </w:p>
    <w:p w14:paraId="08AF56F4" w14:textId="2EAB7A21" w:rsidR="00070A4A" w:rsidRDefault="00070A4A" w:rsidP="00EF020F">
      <w:pPr>
        <w:pStyle w:val="corpsdedcision"/>
      </w:pPr>
      <w:r>
        <w:t>L’employeur propose également un exemple jurisprudentiel</w:t>
      </w:r>
      <w:r>
        <w:rPr>
          <w:rStyle w:val="Appelnotedebasdep"/>
        </w:rPr>
        <w:footnoteReference w:id="11"/>
      </w:r>
      <w:r>
        <w:t xml:space="preserve"> pour illustrer que la travailleuse a tardé à produire sa demande de révision après avoir obtenu une seconde chance par l’agente de la Commission. Ce raisonnement ne convainc pas le Tribunal. Il fait abstraction de la situation personnelle et familiale de la travailleuse qui peut très bien expliquer le délai entre la réception de la copie de la décision en juin</w:t>
      </w:r>
      <w:r w:rsidR="00EA229A">
        <w:t> </w:t>
      </w:r>
      <w:r>
        <w:t>2023 et la demande de révision le 9</w:t>
      </w:r>
      <w:r w:rsidR="00EA229A">
        <w:t> </w:t>
      </w:r>
      <w:r>
        <w:t>juillet</w:t>
      </w:r>
      <w:r w:rsidR="00EA229A">
        <w:t> </w:t>
      </w:r>
      <w:r>
        <w:t>2023.</w:t>
      </w:r>
    </w:p>
    <w:p w14:paraId="75681E49" w14:textId="45D2A95A" w:rsidR="00070A4A" w:rsidRDefault="00070A4A" w:rsidP="00EF020F">
      <w:pPr>
        <w:pStyle w:val="corpsdedcision"/>
      </w:pPr>
      <w:r>
        <w:t xml:space="preserve">Dans ce contexte, comme le </w:t>
      </w:r>
      <w:r w:rsidR="001C224F">
        <w:t>rappelle</w:t>
      </w:r>
      <w:r>
        <w:t xml:space="preserve"> la </w:t>
      </w:r>
      <w:r w:rsidR="001C224F">
        <w:t>C</w:t>
      </w:r>
      <w:r>
        <w:t>our d’appel</w:t>
      </w:r>
      <w:r w:rsidR="001C224F">
        <w:t xml:space="preserve"> du Québec</w:t>
      </w:r>
      <w:r w:rsidR="001C224F">
        <w:rPr>
          <w:rStyle w:val="Appelnotedebasdep"/>
        </w:rPr>
        <w:footnoteReference w:id="12"/>
      </w:r>
      <w:r>
        <w:t>, il serait hasardeux de faire perdre des droits à la travailleuse sur une question de procédure.</w:t>
      </w:r>
    </w:p>
    <w:p w14:paraId="14BB98C2" w14:textId="559F377C" w:rsidR="00E92ABC" w:rsidRPr="001C224F" w:rsidRDefault="001C224F" w:rsidP="00074E6C">
      <w:pPr>
        <w:pStyle w:val="corpsdedcision"/>
      </w:pPr>
      <w:r w:rsidRPr="001C224F">
        <w:t>La travailleuse a présenté un motif raisonnable pour expliquer son retard à demander la révision administrative de la décision du 22</w:t>
      </w:r>
      <w:r w:rsidR="00EA229A">
        <w:t> </w:t>
      </w:r>
      <w:r w:rsidRPr="001C224F">
        <w:t>août</w:t>
      </w:r>
      <w:r w:rsidR="00EA229A">
        <w:t> </w:t>
      </w:r>
      <w:r w:rsidRPr="001C224F">
        <w:t>2023. Elle est relevée de son défaut et pourra présenter au Tribunal sa preuve et ses arguments sur le fond du litige.</w:t>
      </w:r>
    </w:p>
    <w:p w14:paraId="0C315790" w14:textId="6A3F2D59"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4294CAF2" w14:textId="5FD92921" w:rsidR="001C224F" w:rsidRPr="003140E8" w:rsidRDefault="001C224F" w:rsidP="001C224F">
      <w:pPr>
        <w:pStyle w:val="Dispositif"/>
        <w:rPr>
          <w:bCs/>
        </w:rPr>
      </w:pPr>
      <w:bookmarkStart w:id="14" w:name="dispositif"/>
      <w:r>
        <w:rPr>
          <w:b/>
        </w:rPr>
        <w:t>DÉCLARE</w:t>
      </w:r>
      <w:bookmarkEnd w:id="14"/>
      <w:r w:rsidRPr="00AF6E57">
        <w:rPr>
          <w:bCs/>
        </w:rPr>
        <w:t xml:space="preserve"> </w:t>
      </w:r>
      <w:r w:rsidRPr="003140E8">
        <w:rPr>
          <w:bCs/>
        </w:rPr>
        <w:t>recevable la demande de révision de</w:t>
      </w:r>
      <w:r w:rsidR="00EA229A">
        <w:rPr>
          <w:bCs/>
        </w:rPr>
        <w:t xml:space="preserve"> la travailleuse,</w:t>
      </w:r>
      <w:r w:rsidRPr="003140E8">
        <w:rPr>
          <w:bCs/>
        </w:rPr>
        <w:t xml:space="preserve"> </w:t>
      </w:r>
      <w:r>
        <w:rPr>
          <w:bCs/>
        </w:rPr>
        <w:t>madame</w:t>
      </w:r>
      <w:r w:rsidR="00EA229A">
        <w:rPr>
          <w:bCs/>
        </w:rPr>
        <w:t> </w:t>
      </w:r>
      <w:r>
        <w:rPr>
          <w:bCs/>
        </w:rPr>
        <w:t>Rosie</w:t>
      </w:r>
      <w:r w:rsidR="00EA229A">
        <w:rPr>
          <w:bCs/>
        </w:rPr>
        <w:t> </w:t>
      </w:r>
      <w:r>
        <w:rPr>
          <w:bCs/>
        </w:rPr>
        <w:t>Banville</w:t>
      </w:r>
      <w:r w:rsidRPr="003140E8">
        <w:rPr>
          <w:bCs/>
        </w:rPr>
        <w:t>;</w:t>
      </w:r>
    </w:p>
    <w:p w14:paraId="613A77CF" w14:textId="77777777" w:rsidR="001C224F" w:rsidRDefault="001C224F" w:rsidP="001C224F">
      <w:pPr>
        <w:pStyle w:val="Dispositif"/>
        <w:spacing w:after="720"/>
      </w:pPr>
      <w:r>
        <w:rPr>
          <w:b/>
        </w:rPr>
        <w:t>CONVOQUERA</w:t>
      </w:r>
      <w:r>
        <w:t xml:space="preserve"> les parties à une audience portant sur le fond de la contestation.</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3200A0C8" w14:textId="77777777">
        <w:tc>
          <w:tcPr>
            <w:tcW w:w="4795" w:type="dxa"/>
          </w:tcPr>
          <w:p w14:paraId="73CE2F1C" w14:textId="77777777" w:rsidR="00C74B6F" w:rsidRDefault="00C74B6F"/>
        </w:tc>
        <w:tc>
          <w:tcPr>
            <w:tcW w:w="4795" w:type="dxa"/>
          </w:tcPr>
          <w:p w14:paraId="47F235A4" w14:textId="77777777" w:rsidR="00C74B6F" w:rsidRDefault="00C74B6F">
            <w:bookmarkStart w:id="15" w:name="signature"/>
            <w:bookmarkEnd w:id="15"/>
            <w:r>
              <w:t>__________________________________</w:t>
            </w:r>
          </w:p>
        </w:tc>
      </w:tr>
      <w:tr w:rsidR="00C74B6F" w14:paraId="466436C9" w14:textId="77777777">
        <w:tc>
          <w:tcPr>
            <w:tcW w:w="4795" w:type="dxa"/>
          </w:tcPr>
          <w:p w14:paraId="5D24E814" w14:textId="77777777" w:rsidR="00C74B6F" w:rsidRDefault="00C74B6F"/>
        </w:tc>
        <w:tc>
          <w:tcPr>
            <w:tcW w:w="4795" w:type="dxa"/>
          </w:tcPr>
          <w:p w14:paraId="6BE835C8" w14:textId="5E464628" w:rsidR="00C74B6F" w:rsidRDefault="001C224F">
            <w:r>
              <w:t>Guillaume Saindon</w:t>
            </w:r>
          </w:p>
        </w:tc>
      </w:tr>
      <w:tr w:rsidR="00C74B6F" w14:paraId="672030D5" w14:textId="77777777">
        <w:trPr>
          <w:cantSplit/>
        </w:trPr>
        <w:tc>
          <w:tcPr>
            <w:tcW w:w="9590" w:type="dxa"/>
            <w:gridSpan w:val="2"/>
          </w:tcPr>
          <w:p w14:paraId="0D96A40D" w14:textId="77777777" w:rsidR="00C74B6F" w:rsidRDefault="00C74B6F"/>
        </w:tc>
      </w:tr>
      <w:tr w:rsidR="00C74B6F" w14:paraId="2BC53196" w14:textId="77777777">
        <w:trPr>
          <w:cantSplit/>
        </w:trPr>
        <w:tc>
          <w:tcPr>
            <w:tcW w:w="9590" w:type="dxa"/>
            <w:gridSpan w:val="2"/>
          </w:tcPr>
          <w:p w14:paraId="58FE385D" w14:textId="77777777" w:rsidR="00C74B6F" w:rsidRPr="00C912F9" w:rsidRDefault="00C74B6F" w:rsidP="00EC5C8D">
            <w:pPr>
              <w:tabs>
                <w:tab w:val="left" w:pos="1592"/>
              </w:tabs>
            </w:pPr>
          </w:p>
        </w:tc>
      </w:tr>
      <w:tr w:rsidR="00C74B6F" w14:paraId="34652E36" w14:textId="77777777">
        <w:trPr>
          <w:cantSplit/>
        </w:trPr>
        <w:tc>
          <w:tcPr>
            <w:tcW w:w="9590" w:type="dxa"/>
            <w:gridSpan w:val="2"/>
          </w:tcPr>
          <w:p w14:paraId="470C0D40" w14:textId="77777777" w:rsidR="00C74B6F" w:rsidRDefault="00C74B6F"/>
        </w:tc>
      </w:tr>
      <w:tr w:rsidR="00C74B6F" w14:paraId="52686DA9" w14:textId="77777777">
        <w:trPr>
          <w:cantSplit/>
        </w:trPr>
        <w:tc>
          <w:tcPr>
            <w:tcW w:w="9590" w:type="dxa"/>
            <w:gridSpan w:val="2"/>
          </w:tcPr>
          <w:p w14:paraId="391AC0EF" w14:textId="5A01BF6B" w:rsidR="00C74B6F" w:rsidRDefault="001C224F">
            <w:pPr>
              <w:pStyle w:val="zSoquijdatNomProcureurDem"/>
            </w:pPr>
            <w:r>
              <w:t>M</w:t>
            </w:r>
            <w:r w:rsidRPr="00E32C22">
              <w:rPr>
                <w:vertAlign w:val="superscript"/>
              </w:rPr>
              <w:t>e</w:t>
            </w:r>
            <w:r>
              <w:t xml:space="preserve"> Jeanne Ollivier-Gobeil</w:t>
            </w:r>
          </w:p>
        </w:tc>
      </w:tr>
      <w:tr w:rsidR="00C74B6F" w14:paraId="426659FA" w14:textId="77777777">
        <w:trPr>
          <w:cantSplit/>
        </w:trPr>
        <w:tc>
          <w:tcPr>
            <w:tcW w:w="9590" w:type="dxa"/>
            <w:gridSpan w:val="2"/>
          </w:tcPr>
          <w:p w14:paraId="0B43C843" w14:textId="57AD5CDA" w:rsidR="00C74B6F" w:rsidRDefault="001C224F">
            <w:pPr>
              <w:pStyle w:val="zSoquijdatCabinetProcureurDem"/>
            </w:pPr>
            <w:r>
              <w:t>FORTIN, DELAUNAIS, LESTAGE &amp; DESJARDINS</w:t>
            </w:r>
          </w:p>
        </w:tc>
      </w:tr>
      <w:tr w:rsidR="00C74B6F" w14:paraId="0DDF7040" w14:textId="77777777">
        <w:trPr>
          <w:cantSplit/>
        </w:trPr>
        <w:tc>
          <w:tcPr>
            <w:tcW w:w="9590" w:type="dxa"/>
            <w:gridSpan w:val="2"/>
          </w:tcPr>
          <w:p w14:paraId="6B96A907" w14:textId="77777777" w:rsidR="00C74B6F" w:rsidRDefault="00CB05A7">
            <w:pPr>
              <w:pStyle w:val="zSoquijlblProcureurDem"/>
            </w:pPr>
            <w:r>
              <w:t>Pour la partie demanderesse</w:t>
            </w:r>
          </w:p>
        </w:tc>
      </w:tr>
      <w:tr w:rsidR="00C74B6F" w14:paraId="2C4278E6" w14:textId="77777777">
        <w:trPr>
          <w:cantSplit/>
        </w:trPr>
        <w:tc>
          <w:tcPr>
            <w:tcW w:w="9590" w:type="dxa"/>
            <w:gridSpan w:val="2"/>
          </w:tcPr>
          <w:p w14:paraId="4FE200B8" w14:textId="77777777" w:rsidR="00C74B6F" w:rsidRDefault="00C74B6F"/>
        </w:tc>
      </w:tr>
      <w:tr w:rsidR="00C74B6F" w14:paraId="589F8174" w14:textId="77777777">
        <w:trPr>
          <w:cantSplit/>
        </w:trPr>
        <w:tc>
          <w:tcPr>
            <w:tcW w:w="9590" w:type="dxa"/>
            <w:gridSpan w:val="2"/>
          </w:tcPr>
          <w:p w14:paraId="0D24D22B" w14:textId="5815BE45" w:rsidR="00C74B6F" w:rsidRDefault="001C224F">
            <w:pPr>
              <w:pStyle w:val="zSoquijdatNomProcureurDef"/>
            </w:pPr>
            <w:r>
              <w:t>M</w:t>
            </w:r>
            <w:r w:rsidRPr="00E32C22">
              <w:rPr>
                <w:vertAlign w:val="superscript"/>
              </w:rPr>
              <w:t>e</w:t>
            </w:r>
            <w:r>
              <w:t xml:space="preserve"> Mégane Jacques</w:t>
            </w:r>
          </w:p>
        </w:tc>
      </w:tr>
      <w:tr w:rsidR="00C74B6F" w14:paraId="0A1293B8" w14:textId="77777777">
        <w:trPr>
          <w:cantSplit/>
        </w:trPr>
        <w:tc>
          <w:tcPr>
            <w:tcW w:w="9590" w:type="dxa"/>
            <w:gridSpan w:val="2"/>
          </w:tcPr>
          <w:p w14:paraId="7A362411" w14:textId="0C570192" w:rsidR="00C74B6F" w:rsidRDefault="001C224F">
            <w:pPr>
              <w:pStyle w:val="zSoquijdatCabinetProcureurDef"/>
            </w:pPr>
            <w:r>
              <w:t>LUSSIER SERVICES JURIDIQUES</w:t>
            </w:r>
          </w:p>
        </w:tc>
      </w:tr>
      <w:tr w:rsidR="00C74B6F" w14:paraId="3FC4EE41" w14:textId="77777777">
        <w:trPr>
          <w:cantSplit/>
        </w:trPr>
        <w:tc>
          <w:tcPr>
            <w:tcW w:w="9590" w:type="dxa"/>
            <w:gridSpan w:val="2"/>
          </w:tcPr>
          <w:p w14:paraId="05B9B0EC" w14:textId="6D804EB4" w:rsidR="00C74B6F" w:rsidRDefault="00CB05A7">
            <w:pPr>
              <w:pStyle w:val="zSoquijlblProcureurDef"/>
            </w:pPr>
            <w:r>
              <w:t xml:space="preserve">Pour la partie </w:t>
            </w:r>
            <w:r w:rsidR="001C224F">
              <w:t>mise en cause</w:t>
            </w:r>
          </w:p>
        </w:tc>
      </w:tr>
      <w:tr w:rsidR="00C15A3F" w14:paraId="2851CCEF" w14:textId="77777777">
        <w:trPr>
          <w:cantSplit/>
        </w:trPr>
        <w:tc>
          <w:tcPr>
            <w:tcW w:w="9590" w:type="dxa"/>
            <w:gridSpan w:val="2"/>
          </w:tcPr>
          <w:p w14:paraId="1ABEE487" w14:textId="77777777" w:rsidR="00C15A3F" w:rsidRDefault="00C15A3F">
            <w:pPr>
              <w:pStyle w:val="zSoquijlblProcureurInt"/>
            </w:pPr>
          </w:p>
        </w:tc>
      </w:tr>
      <w:tr w:rsidR="00C15A3F" w14:paraId="7518F719" w14:textId="77777777">
        <w:trPr>
          <w:cantSplit/>
        </w:trPr>
        <w:tc>
          <w:tcPr>
            <w:tcW w:w="9590" w:type="dxa"/>
            <w:gridSpan w:val="2"/>
          </w:tcPr>
          <w:p w14:paraId="652FC803" w14:textId="39454AC2" w:rsidR="00C15A3F" w:rsidRDefault="00C15A3F" w:rsidP="000E56A6">
            <w:pPr>
              <w:pStyle w:val="zSoquijdatDateAudience"/>
            </w:pPr>
            <w:bookmarkStart w:id="16" w:name="Date_derniere_audience"/>
            <w:bookmarkEnd w:id="16"/>
            <w:r>
              <w:t xml:space="preserve">Date de la </w:t>
            </w:r>
            <w:r w:rsidR="00CC6338">
              <w:t>mise en délibéré</w:t>
            </w:r>
            <w:r>
              <w:t> :</w:t>
            </w:r>
            <w:r w:rsidR="00597016">
              <w:tab/>
            </w:r>
            <w:r w:rsidR="00E32C22">
              <w:t>14 octobre 2025</w:t>
            </w:r>
          </w:p>
        </w:tc>
      </w:tr>
    </w:tbl>
    <w:p w14:paraId="14CC90A6"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6B1399" w14:textId="77777777" w:rsidR="00602B9B" w:rsidRDefault="00602B9B">
      <w:r>
        <w:separator/>
      </w:r>
    </w:p>
  </w:endnote>
  <w:endnote w:type="continuationSeparator" w:id="0">
    <w:p w14:paraId="0166466E" w14:textId="77777777" w:rsidR="00602B9B" w:rsidRDefault="00602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FB61D5" w14:textId="77777777" w:rsidR="00602B9B" w:rsidRDefault="00602B9B">
      <w:r>
        <w:separator/>
      </w:r>
    </w:p>
  </w:footnote>
  <w:footnote w:type="continuationSeparator" w:id="0">
    <w:p w14:paraId="06BE909C" w14:textId="77777777" w:rsidR="00602B9B" w:rsidRDefault="00602B9B">
      <w:r>
        <w:continuationSeparator/>
      </w:r>
    </w:p>
  </w:footnote>
  <w:footnote w:id="1">
    <w:p w14:paraId="368AB009" w14:textId="08F66834" w:rsidR="00E32C22" w:rsidRPr="00F83F4E" w:rsidRDefault="00E32C22" w:rsidP="00F83F4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du 22 août 2023.</w:t>
      </w:r>
    </w:p>
  </w:footnote>
  <w:footnote w:id="2">
    <w:p w14:paraId="7C94B2CF" w14:textId="77777777" w:rsidR="00182AF3" w:rsidRDefault="00182AF3"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14:paraId="4F74BB38" w14:textId="77777777" w:rsidR="00804072" w:rsidRPr="005D27F8" w:rsidRDefault="00804072" w:rsidP="00804072">
      <w:pPr>
        <w:pStyle w:val="Notedebasdepage"/>
        <w:tabs>
          <w:tab w:val="left" w:pos="720"/>
        </w:tabs>
        <w:ind w:left="720" w:hanging="720"/>
        <w:jc w:val="both"/>
        <w:rPr>
          <w:rFonts w:cs="Arial"/>
          <w:sz w:val="20"/>
        </w:rPr>
      </w:pPr>
      <w:r w:rsidRPr="005D27F8">
        <w:rPr>
          <w:rStyle w:val="Appelnotedebasdep"/>
        </w:rPr>
        <w:footnoteRef/>
      </w:r>
      <w:r w:rsidRPr="005D27F8">
        <w:t xml:space="preserve"> </w:t>
      </w:r>
      <w:r w:rsidRPr="005D27F8">
        <w:rPr>
          <w:rFonts w:cs="Arial"/>
          <w:sz w:val="20"/>
        </w:rPr>
        <w:tab/>
        <w:t>Article</w:t>
      </w:r>
      <w:r>
        <w:rPr>
          <w:rFonts w:cs="Arial"/>
          <w:sz w:val="20"/>
        </w:rPr>
        <w:t> </w:t>
      </w:r>
      <w:r w:rsidRPr="005D27F8">
        <w:rPr>
          <w:rFonts w:cs="Arial"/>
          <w:sz w:val="20"/>
        </w:rPr>
        <w:t xml:space="preserve">9 de la </w:t>
      </w:r>
      <w:r w:rsidRPr="005D27F8">
        <w:rPr>
          <w:rFonts w:cs="Arial"/>
          <w:i/>
          <w:sz w:val="20"/>
        </w:rPr>
        <w:t xml:space="preserve">Loi instituant le </w:t>
      </w:r>
      <w:r>
        <w:rPr>
          <w:rFonts w:cs="Arial"/>
          <w:i/>
          <w:sz w:val="20"/>
        </w:rPr>
        <w:t>T</w:t>
      </w:r>
      <w:r w:rsidRPr="005D27F8">
        <w:rPr>
          <w:rFonts w:cs="Arial"/>
          <w:i/>
          <w:sz w:val="20"/>
        </w:rPr>
        <w:t>ribunal administratif du travail</w:t>
      </w:r>
      <w:r w:rsidRPr="005D27F8">
        <w:rPr>
          <w:rFonts w:cs="Arial"/>
          <w:sz w:val="20"/>
        </w:rPr>
        <w:t>,</w:t>
      </w:r>
      <w:r>
        <w:rPr>
          <w:rFonts w:cs="Arial"/>
          <w:sz w:val="20"/>
        </w:rPr>
        <w:t xml:space="preserve"> la LITAT,</w:t>
      </w:r>
      <w:r w:rsidRPr="005D27F8">
        <w:rPr>
          <w:rFonts w:cs="Arial"/>
          <w:sz w:val="20"/>
        </w:rPr>
        <w:t xml:space="preserve"> </w:t>
      </w:r>
      <w:r w:rsidRPr="005D27F8">
        <w:rPr>
          <w:sz w:val="20"/>
        </w:rPr>
        <w:t>RLRQ, c. T-15.1.</w:t>
      </w:r>
    </w:p>
  </w:footnote>
  <w:footnote w:id="4">
    <w:p w14:paraId="686840B2" w14:textId="77777777" w:rsidR="00804072" w:rsidRPr="005D27F8" w:rsidRDefault="00804072" w:rsidP="00804072">
      <w:pPr>
        <w:pStyle w:val="Notedebasdepage"/>
        <w:tabs>
          <w:tab w:val="left" w:pos="720"/>
        </w:tabs>
        <w:ind w:left="720" w:hanging="720"/>
        <w:jc w:val="both"/>
        <w:rPr>
          <w:rFonts w:cs="Arial"/>
          <w:sz w:val="20"/>
        </w:rPr>
      </w:pPr>
      <w:r w:rsidRPr="005D27F8">
        <w:rPr>
          <w:rStyle w:val="Appelnotedebasdep"/>
        </w:rPr>
        <w:footnoteRef/>
      </w:r>
      <w:r w:rsidRPr="005D27F8">
        <w:t xml:space="preserve"> </w:t>
      </w:r>
      <w:r w:rsidRPr="005D27F8">
        <w:rPr>
          <w:rFonts w:cs="Arial"/>
          <w:sz w:val="20"/>
        </w:rPr>
        <w:tab/>
      </w:r>
      <w:r w:rsidRPr="005D27F8">
        <w:rPr>
          <w:rFonts w:cs="Arial"/>
          <w:i/>
          <w:sz w:val="20"/>
        </w:rPr>
        <w:t>Richard</w:t>
      </w:r>
      <w:r w:rsidRPr="00D51DB7">
        <w:rPr>
          <w:rFonts w:cs="Arial"/>
          <w:iCs/>
          <w:sz w:val="20"/>
        </w:rPr>
        <w:t xml:space="preserve"> </w:t>
      </w:r>
      <w:r w:rsidRPr="005D27F8">
        <w:rPr>
          <w:rFonts w:cs="Arial"/>
          <w:sz w:val="20"/>
        </w:rPr>
        <w:t xml:space="preserve">et </w:t>
      </w:r>
      <w:r w:rsidRPr="005D27F8">
        <w:rPr>
          <w:rFonts w:cs="Arial"/>
          <w:i/>
          <w:sz w:val="20"/>
        </w:rPr>
        <w:t>Bar Monthélie</w:t>
      </w:r>
      <w:r w:rsidRPr="005D27F8">
        <w:rPr>
          <w:rFonts w:cs="Arial"/>
          <w:sz w:val="20"/>
        </w:rPr>
        <w:t>, 2015</w:t>
      </w:r>
      <w:r>
        <w:rPr>
          <w:rFonts w:cs="Arial"/>
          <w:sz w:val="20"/>
        </w:rPr>
        <w:t> </w:t>
      </w:r>
      <w:r w:rsidRPr="005D27F8">
        <w:rPr>
          <w:rFonts w:cs="Arial"/>
          <w:sz w:val="20"/>
        </w:rPr>
        <w:t>QCCLP</w:t>
      </w:r>
      <w:r>
        <w:rPr>
          <w:rFonts w:cs="Arial"/>
          <w:sz w:val="20"/>
        </w:rPr>
        <w:t> </w:t>
      </w:r>
      <w:r w:rsidRPr="005D27F8">
        <w:rPr>
          <w:rFonts w:cs="Arial"/>
          <w:sz w:val="20"/>
        </w:rPr>
        <w:t>6651.</w:t>
      </w:r>
    </w:p>
  </w:footnote>
  <w:footnote w:id="5">
    <w:p w14:paraId="0286EE4B" w14:textId="77777777" w:rsidR="00804072" w:rsidRPr="00A851B2" w:rsidRDefault="00804072" w:rsidP="00804072">
      <w:pPr>
        <w:pStyle w:val="Notedebasdepage"/>
        <w:tabs>
          <w:tab w:val="left" w:pos="720"/>
        </w:tabs>
        <w:ind w:left="720" w:hanging="720"/>
        <w:jc w:val="both"/>
        <w:rPr>
          <w:rFonts w:cs="Arial"/>
          <w:sz w:val="20"/>
        </w:rPr>
      </w:pPr>
      <w:r w:rsidRPr="005D27F8">
        <w:rPr>
          <w:rStyle w:val="Appelnotedebasdep"/>
        </w:rPr>
        <w:footnoteRef/>
      </w:r>
      <w:r w:rsidRPr="005D27F8">
        <w:t xml:space="preserve"> </w:t>
      </w:r>
      <w:r w:rsidRPr="005D27F8">
        <w:rPr>
          <w:rFonts w:cs="Arial"/>
          <w:sz w:val="20"/>
        </w:rPr>
        <w:tab/>
      </w:r>
      <w:r w:rsidRPr="005D27F8">
        <w:rPr>
          <w:rFonts w:cs="Arial"/>
          <w:i/>
          <w:sz w:val="20"/>
        </w:rPr>
        <w:t>Marin</w:t>
      </w:r>
      <w:r w:rsidRPr="005D27F8">
        <w:rPr>
          <w:rFonts w:cs="Arial"/>
          <w:sz w:val="20"/>
        </w:rPr>
        <w:t xml:space="preserve"> et </w:t>
      </w:r>
      <w:r w:rsidRPr="005D27F8">
        <w:rPr>
          <w:rFonts w:cs="Arial"/>
          <w:i/>
          <w:sz w:val="20"/>
        </w:rPr>
        <w:t>Terminaux portuaires du Québec inc</w:t>
      </w:r>
      <w:r w:rsidRPr="005D27F8">
        <w:rPr>
          <w:rFonts w:cs="Arial"/>
          <w:sz w:val="20"/>
        </w:rPr>
        <w:t>., 2020</w:t>
      </w:r>
      <w:r>
        <w:rPr>
          <w:rFonts w:cs="Arial"/>
          <w:sz w:val="20"/>
        </w:rPr>
        <w:t> </w:t>
      </w:r>
      <w:r w:rsidRPr="005D27F8">
        <w:rPr>
          <w:rFonts w:cs="Arial"/>
          <w:sz w:val="20"/>
        </w:rPr>
        <w:t>QCTAT</w:t>
      </w:r>
      <w:r>
        <w:rPr>
          <w:rFonts w:cs="Arial"/>
          <w:sz w:val="20"/>
        </w:rPr>
        <w:t> </w:t>
      </w:r>
      <w:r w:rsidRPr="005D27F8">
        <w:rPr>
          <w:rFonts w:cs="Arial"/>
          <w:sz w:val="20"/>
        </w:rPr>
        <w:t>2598.</w:t>
      </w:r>
    </w:p>
  </w:footnote>
  <w:footnote w:id="6">
    <w:p w14:paraId="0D706FDE" w14:textId="77777777" w:rsidR="00804072" w:rsidRPr="007E0CA4" w:rsidRDefault="00804072" w:rsidP="00804072">
      <w:pPr>
        <w:pStyle w:val="Notedebasdepage"/>
        <w:tabs>
          <w:tab w:val="left" w:pos="720"/>
        </w:tabs>
        <w:ind w:left="720" w:hanging="720"/>
        <w:jc w:val="both"/>
        <w:rPr>
          <w:rFonts w:cs="Arial"/>
          <w:sz w:val="20"/>
        </w:rPr>
      </w:pPr>
      <w:r w:rsidRPr="005D27F8">
        <w:rPr>
          <w:rStyle w:val="Appelnotedebasdep"/>
        </w:rPr>
        <w:footnoteRef/>
      </w:r>
      <w:r w:rsidRPr="005D27F8">
        <w:t xml:space="preserve"> </w:t>
      </w:r>
      <w:r w:rsidRPr="005D27F8">
        <w:rPr>
          <w:rFonts w:cs="Arial"/>
          <w:sz w:val="20"/>
        </w:rPr>
        <w:tab/>
      </w:r>
      <w:r w:rsidRPr="005D27F8">
        <w:rPr>
          <w:rFonts w:cs="Arial"/>
          <w:i/>
          <w:sz w:val="20"/>
        </w:rPr>
        <w:t>Escaliers Gilles Grenier inc</w:t>
      </w:r>
      <w:r w:rsidRPr="005D27F8">
        <w:rPr>
          <w:rFonts w:cs="Arial"/>
          <w:sz w:val="20"/>
        </w:rPr>
        <w:t xml:space="preserve">. et </w:t>
      </w:r>
      <w:r w:rsidRPr="005D27F8">
        <w:rPr>
          <w:rFonts w:cs="Arial"/>
          <w:i/>
          <w:sz w:val="20"/>
        </w:rPr>
        <w:t>Nolet</w:t>
      </w:r>
      <w:r w:rsidRPr="005D27F8">
        <w:rPr>
          <w:rFonts w:cs="Arial"/>
          <w:sz w:val="20"/>
        </w:rPr>
        <w:t>, 2020</w:t>
      </w:r>
      <w:r>
        <w:rPr>
          <w:rFonts w:cs="Arial"/>
          <w:sz w:val="20"/>
        </w:rPr>
        <w:t> </w:t>
      </w:r>
      <w:r w:rsidRPr="005D27F8">
        <w:rPr>
          <w:rFonts w:cs="Arial"/>
          <w:sz w:val="20"/>
        </w:rPr>
        <w:t>QCTAT</w:t>
      </w:r>
      <w:r>
        <w:rPr>
          <w:rFonts w:cs="Arial"/>
          <w:sz w:val="20"/>
        </w:rPr>
        <w:t> </w:t>
      </w:r>
      <w:r w:rsidRPr="005D27F8">
        <w:rPr>
          <w:rFonts w:cs="Arial"/>
          <w:sz w:val="20"/>
        </w:rPr>
        <w:t>1794.</w:t>
      </w:r>
    </w:p>
  </w:footnote>
  <w:footnote w:id="7">
    <w:p w14:paraId="2D80491B" w14:textId="77777777" w:rsidR="00804072" w:rsidRPr="00862612" w:rsidRDefault="00804072" w:rsidP="0080407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color w:val="000000"/>
          <w:sz w:val="20"/>
          <w:shd w:val="clear" w:color="auto" w:fill="FFFFFF"/>
        </w:rPr>
        <w:t>Institut Armand Frappier</w:t>
      </w:r>
      <w:r w:rsidRPr="00D51DB7">
        <w:rPr>
          <w:rFonts w:cs="Arial"/>
          <w:color w:val="000000"/>
          <w:sz w:val="20"/>
          <w:shd w:val="clear" w:color="auto" w:fill="FFFFFF"/>
        </w:rPr>
        <w:t xml:space="preserve"> </w:t>
      </w:r>
      <w:r>
        <w:rPr>
          <w:rFonts w:cs="Arial"/>
          <w:color w:val="000000"/>
          <w:sz w:val="20"/>
          <w:shd w:val="clear" w:color="auto" w:fill="FFFFFF"/>
        </w:rPr>
        <w:t xml:space="preserve">et </w:t>
      </w:r>
      <w:r>
        <w:rPr>
          <w:rFonts w:cs="Arial"/>
          <w:i/>
          <w:iCs/>
          <w:color w:val="000000"/>
          <w:sz w:val="20"/>
          <w:shd w:val="clear" w:color="auto" w:fill="FFFFFF"/>
        </w:rPr>
        <w:t>Succession Yves Pontbriand</w:t>
      </w:r>
      <w:r>
        <w:rPr>
          <w:rFonts w:cs="Arial"/>
          <w:color w:val="000000"/>
          <w:sz w:val="20"/>
          <w:shd w:val="clear" w:color="auto" w:fill="FFFFFF"/>
        </w:rPr>
        <w:t xml:space="preserve">, </w:t>
      </w:r>
      <w:r>
        <w:rPr>
          <w:rStyle w:val="reflex3-alt"/>
          <w:color w:val="000000"/>
          <w:sz w:val="20"/>
          <w:shd w:val="clear" w:color="auto" w:fill="FFFFFF"/>
        </w:rPr>
        <w:t>[1998] C.L.P. 318.</w:t>
      </w:r>
    </w:p>
  </w:footnote>
  <w:footnote w:id="8">
    <w:p w14:paraId="2D8156CB" w14:textId="77777777" w:rsidR="00804072" w:rsidRPr="0003486B" w:rsidRDefault="00804072" w:rsidP="00804072">
      <w:pPr>
        <w:pStyle w:val="Notedebasdepage"/>
        <w:tabs>
          <w:tab w:val="left" w:pos="720"/>
        </w:tabs>
        <w:ind w:left="720" w:hanging="720"/>
        <w:jc w:val="both"/>
        <w:rPr>
          <w:rFonts w:cs="Arial"/>
          <w:sz w:val="20"/>
        </w:rPr>
      </w:pPr>
      <w:r>
        <w:rPr>
          <w:rStyle w:val="Appelnotedebasdep"/>
        </w:rPr>
        <w:footnoteRef/>
      </w:r>
      <w:r w:rsidRPr="0003486B">
        <w:t xml:space="preserve"> </w:t>
      </w:r>
      <w:r w:rsidRPr="0003486B">
        <w:rPr>
          <w:rFonts w:cs="Arial"/>
          <w:sz w:val="20"/>
        </w:rPr>
        <w:tab/>
        <w:t>2017 QCCA 826.</w:t>
      </w:r>
    </w:p>
  </w:footnote>
  <w:footnote w:id="9">
    <w:p w14:paraId="55EB763F" w14:textId="77777777" w:rsidR="00804072" w:rsidRPr="0003486B" w:rsidRDefault="00804072" w:rsidP="00804072">
      <w:pPr>
        <w:pStyle w:val="Notedebasdepage"/>
        <w:tabs>
          <w:tab w:val="left" w:pos="720"/>
        </w:tabs>
        <w:ind w:left="720" w:hanging="720"/>
        <w:jc w:val="both"/>
        <w:rPr>
          <w:sz w:val="20"/>
        </w:rPr>
      </w:pPr>
      <w:r>
        <w:rPr>
          <w:rStyle w:val="Appelnotedebasdep"/>
        </w:rPr>
        <w:footnoteRef/>
      </w:r>
      <w:r w:rsidRPr="0003486B">
        <w:t xml:space="preserve"> </w:t>
      </w:r>
      <w:r w:rsidRPr="0003486B">
        <w:rPr>
          <w:rFonts w:cs="Arial"/>
          <w:sz w:val="20"/>
        </w:rPr>
        <w:tab/>
      </w:r>
      <w:r w:rsidRPr="0003486B">
        <w:rPr>
          <w:sz w:val="20"/>
        </w:rPr>
        <w:t>2024 QCCA 824.</w:t>
      </w:r>
    </w:p>
  </w:footnote>
  <w:footnote w:id="10">
    <w:p w14:paraId="506AC923" w14:textId="5D1B6B3E" w:rsidR="004A3DC4" w:rsidRPr="004A3DC4" w:rsidRDefault="004A3DC4" w:rsidP="004A3DC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2011</w:t>
      </w:r>
      <w:r w:rsidR="00EA229A">
        <w:rPr>
          <w:rFonts w:cs="Arial"/>
          <w:sz w:val="20"/>
        </w:rPr>
        <w:t> </w:t>
      </w:r>
      <w:r>
        <w:rPr>
          <w:rFonts w:cs="Arial"/>
          <w:sz w:val="20"/>
        </w:rPr>
        <w:t>QCCLP</w:t>
      </w:r>
      <w:r w:rsidR="00EA229A">
        <w:rPr>
          <w:rFonts w:cs="Arial"/>
          <w:sz w:val="20"/>
        </w:rPr>
        <w:t> </w:t>
      </w:r>
      <w:r>
        <w:rPr>
          <w:rFonts w:cs="Arial"/>
          <w:sz w:val="20"/>
        </w:rPr>
        <w:t>518.</w:t>
      </w:r>
    </w:p>
  </w:footnote>
  <w:footnote w:id="11">
    <w:p w14:paraId="6ED64F29" w14:textId="43ABAFF2" w:rsidR="00070A4A" w:rsidRPr="00070A4A" w:rsidRDefault="00070A4A" w:rsidP="00070A4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70A4A">
        <w:rPr>
          <w:rFonts w:cs="Arial"/>
          <w:i/>
          <w:iCs/>
          <w:sz w:val="20"/>
        </w:rPr>
        <w:t>Leblond</w:t>
      </w:r>
      <w:r w:rsidRPr="00FD389A">
        <w:rPr>
          <w:rFonts w:cs="Arial"/>
          <w:sz w:val="20"/>
        </w:rPr>
        <w:t xml:space="preserve"> </w:t>
      </w:r>
      <w:r>
        <w:rPr>
          <w:rFonts w:cs="Arial"/>
          <w:sz w:val="20"/>
        </w:rPr>
        <w:t xml:space="preserve">et </w:t>
      </w:r>
      <w:r w:rsidRPr="00070A4A">
        <w:rPr>
          <w:rFonts w:cs="Arial"/>
          <w:i/>
          <w:iCs/>
          <w:sz w:val="20"/>
        </w:rPr>
        <w:t>Arvida Décoration inc</w:t>
      </w:r>
      <w:r>
        <w:rPr>
          <w:rFonts w:cs="Arial"/>
          <w:sz w:val="20"/>
        </w:rPr>
        <w:t>., 2025</w:t>
      </w:r>
      <w:r w:rsidR="00EA229A">
        <w:rPr>
          <w:rFonts w:cs="Arial"/>
          <w:sz w:val="20"/>
        </w:rPr>
        <w:t> </w:t>
      </w:r>
      <w:r>
        <w:rPr>
          <w:rFonts w:cs="Arial"/>
          <w:sz w:val="20"/>
        </w:rPr>
        <w:t>QCTAT</w:t>
      </w:r>
      <w:r w:rsidR="00EA229A">
        <w:rPr>
          <w:rFonts w:cs="Arial"/>
          <w:sz w:val="20"/>
        </w:rPr>
        <w:t> </w:t>
      </w:r>
      <w:r>
        <w:rPr>
          <w:rFonts w:cs="Arial"/>
          <w:sz w:val="20"/>
        </w:rPr>
        <w:t>2270.</w:t>
      </w:r>
    </w:p>
  </w:footnote>
  <w:footnote w:id="12">
    <w:p w14:paraId="5ED1BB81" w14:textId="513AB7B7" w:rsidR="001C224F" w:rsidRPr="001C224F" w:rsidRDefault="001C224F" w:rsidP="001C224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C224F">
        <w:rPr>
          <w:rFonts w:cs="Arial"/>
          <w:i/>
          <w:iCs/>
          <w:sz w:val="20"/>
        </w:rPr>
        <w:t>Boissonneault</w:t>
      </w:r>
      <w:r w:rsidRPr="001C224F">
        <w:rPr>
          <w:rFonts w:cs="Arial"/>
          <w:sz w:val="20"/>
        </w:rPr>
        <w:t xml:space="preserve"> c. </w:t>
      </w:r>
      <w:r w:rsidRPr="001C224F">
        <w:rPr>
          <w:rFonts w:cs="Arial"/>
          <w:i/>
          <w:iCs/>
          <w:sz w:val="20"/>
        </w:rPr>
        <w:t>Constructions Marquis Laflamme inc</w:t>
      </w:r>
      <w:r>
        <w:rPr>
          <w:rFonts w:cs="Arial"/>
          <w:i/>
          <w:iCs/>
          <w:sz w:val="20"/>
        </w:rPr>
        <w:t>.</w:t>
      </w:r>
      <w:r w:rsidRPr="00387988">
        <w:rPr>
          <w:rFonts w:cs="Arial"/>
          <w:sz w:val="20"/>
        </w:rPr>
        <w:t xml:space="preserve">, </w:t>
      </w:r>
      <w:r>
        <w:rPr>
          <w:rFonts w:cs="Arial"/>
          <w:sz w:val="20"/>
        </w:rPr>
        <w:t>précitée note</w:t>
      </w:r>
      <w:r w:rsidR="00387988">
        <w:rPr>
          <w:rFonts w:cs="Arial"/>
          <w:sz w:val="20"/>
        </w:rPr>
        <w:t> </w:t>
      </w:r>
      <w:r>
        <w:rPr>
          <w:rFonts w:cs="Arial"/>
          <w:sz w:val="20"/>
        </w:rPr>
        <w:t>8</w:t>
      </w:r>
      <w:r w:rsidR="00387988">
        <w:rPr>
          <w:rFonts w:cs="Arial"/>
          <w:sz w:val="20"/>
        </w:rPr>
        <w:t>;</w:t>
      </w:r>
      <w:r>
        <w:rPr>
          <w:rFonts w:cs="Arial"/>
          <w:sz w:val="20"/>
        </w:rPr>
        <w:t xml:space="preserve"> </w:t>
      </w:r>
      <w:r w:rsidRPr="001C224F">
        <w:rPr>
          <w:rFonts w:cs="Arial"/>
          <w:i/>
          <w:iCs/>
          <w:sz w:val="20"/>
        </w:rPr>
        <w:t>Perron</w:t>
      </w:r>
      <w:r w:rsidRPr="001C224F">
        <w:rPr>
          <w:rFonts w:cs="Arial"/>
          <w:sz w:val="20"/>
        </w:rPr>
        <w:t xml:space="preserve"> c. </w:t>
      </w:r>
      <w:r w:rsidRPr="001C224F">
        <w:rPr>
          <w:rFonts w:cs="Arial"/>
          <w:i/>
          <w:iCs/>
          <w:sz w:val="20"/>
        </w:rPr>
        <w:t>Gilles Veilleux ltée</w:t>
      </w:r>
      <w:r>
        <w:rPr>
          <w:rFonts w:cs="Arial"/>
          <w:sz w:val="20"/>
        </w:rPr>
        <w:t>, précitée</w:t>
      </w:r>
      <w:r w:rsidR="00387988">
        <w:rPr>
          <w:rFonts w:cs="Arial"/>
          <w:sz w:val="20"/>
        </w:rPr>
        <w:t>,</w:t>
      </w:r>
      <w:r>
        <w:rPr>
          <w:rFonts w:cs="Arial"/>
          <w:sz w:val="20"/>
        </w:rPr>
        <w:t xml:space="preserve"> note</w:t>
      </w:r>
      <w:r w:rsidR="00387988">
        <w:rPr>
          <w:rFonts w:cs="Arial"/>
          <w:sz w:val="20"/>
        </w:rPr>
        <w:t> </w:t>
      </w:r>
      <w:r>
        <w:rPr>
          <w:rFonts w:cs="Arial"/>
          <w:sz w:val="20"/>
        </w:rPr>
        <w:t>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44042E6E" w14:textId="77777777" w:rsidTr="0003486B">
      <w:tc>
        <w:tcPr>
          <w:tcW w:w="8730" w:type="dxa"/>
        </w:tcPr>
        <w:p w14:paraId="1DFA6B62" w14:textId="77777777" w:rsidR="00D330B6" w:rsidRDefault="00D330B6">
          <w:pPr>
            <w:pStyle w:val="En-tte"/>
            <w:ind w:left="-90"/>
          </w:pPr>
        </w:p>
      </w:tc>
      <w:tc>
        <w:tcPr>
          <w:tcW w:w="860" w:type="dxa"/>
        </w:tcPr>
        <w:p w14:paraId="2AF6400E" w14:textId="77777777" w:rsidR="00D330B6" w:rsidRDefault="00D330B6">
          <w:pPr>
            <w:pStyle w:val="En-tte"/>
            <w:ind w:left="-90"/>
          </w:pPr>
        </w:p>
      </w:tc>
    </w:tr>
    <w:tr w:rsidR="0003486B" w14:paraId="417F9623" w14:textId="77777777" w:rsidTr="0003486B">
      <w:tc>
        <w:tcPr>
          <w:tcW w:w="8730" w:type="dxa"/>
        </w:tcPr>
        <w:p w14:paraId="6F760787" w14:textId="21FAA762" w:rsidR="0003486B" w:rsidRDefault="0003486B" w:rsidP="0003486B">
          <w:r>
            <w:t>1339472-01A-2310</w:t>
          </w:r>
        </w:p>
      </w:tc>
      <w:tc>
        <w:tcPr>
          <w:tcW w:w="860" w:type="dxa"/>
        </w:tcPr>
        <w:p w14:paraId="1E0BB085" w14:textId="60D4B9A5" w:rsidR="0003486B" w:rsidRDefault="0003486B" w:rsidP="0003486B">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28220A">
            <w:rPr>
              <w:rStyle w:val="Numrodepage"/>
              <w:noProof/>
            </w:rPr>
            <w:t>2</w:t>
          </w:r>
          <w:r>
            <w:rPr>
              <w:rStyle w:val="Numrodepage"/>
            </w:rPr>
            <w:fldChar w:fldCharType="end"/>
          </w:r>
        </w:p>
      </w:tc>
    </w:tr>
    <w:tr w:rsidR="0003486B" w14:paraId="352CD854" w14:textId="77777777" w:rsidTr="0003486B">
      <w:tc>
        <w:tcPr>
          <w:tcW w:w="8730" w:type="dxa"/>
        </w:tcPr>
        <w:p w14:paraId="56AFA2EA" w14:textId="77777777" w:rsidR="0003486B" w:rsidRDefault="0003486B" w:rsidP="0003486B"/>
      </w:tc>
      <w:tc>
        <w:tcPr>
          <w:tcW w:w="860" w:type="dxa"/>
        </w:tcPr>
        <w:p w14:paraId="2B09E1EC" w14:textId="77777777" w:rsidR="0003486B" w:rsidRDefault="0003486B" w:rsidP="0003486B">
          <w:pPr>
            <w:pStyle w:val="En-tte"/>
            <w:ind w:left="-90"/>
            <w:jc w:val="right"/>
          </w:pPr>
        </w:p>
      </w:tc>
    </w:tr>
  </w:tbl>
  <w:p w14:paraId="1473CDD5"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7"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8"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9"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7"/>
  </w:num>
  <w:num w:numId="2">
    <w:abstractNumId w:val="6"/>
  </w:num>
  <w:num w:numId="3">
    <w:abstractNumId w:val="5"/>
  </w:num>
  <w:num w:numId="4">
    <w:abstractNumId w:val="3"/>
  </w:num>
  <w:num w:numId="5">
    <w:abstractNumId w:val="9"/>
  </w:num>
  <w:num w:numId="6">
    <w:abstractNumId w:val="9"/>
  </w:num>
  <w:num w:numId="7">
    <w:abstractNumId w:val="0"/>
  </w:num>
  <w:num w:numId="8">
    <w:abstractNumId w:val="2"/>
  </w:num>
  <w:num w:numId="9">
    <w:abstractNumId w:val="1"/>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88529B52-5988-4462-8CA3-EEFB5B1FE72A}"/>
    <w:docVar w:name="dgnword-eventsink" w:val="2153092855968"/>
  </w:docVars>
  <w:rsids>
    <w:rsidRoot w:val="00602B9B"/>
    <w:rsid w:val="000034B0"/>
    <w:rsid w:val="000041A1"/>
    <w:rsid w:val="00006DD2"/>
    <w:rsid w:val="0001305E"/>
    <w:rsid w:val="00016D99"/>
    <w:rsid w:val="00021B30"/>
    <w:rsid w:val="00021E4C"/>
    <w:rsid w:val="00022556"/>
    <w:rsid w:val="00023858"/>
    <w:rsid w:val="0003486B"/>
    <w:rsid w:val="000352CA"/>
    <w:rsid w:val="000366EC"/>
    <w:rsid w:val="00036794"/>
    <w:rsid w:val="00040BC2"/>
    <w:rsid w:val="00043E4D"/>
    <w:rsid w:val="000536CC"/>
    <w:rsid w:val="000559A8"/>
    <w:rsid w:val="00055A3E"/>
    <w:rsid w:val="00056393"/>
    <w:rsid w:val="00057739"/>
    <w:rsid w:val="00070A4A"/>
    <w:rsid w:val="0007225E"/>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2AF3"/>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0414"/>
    <w:rsid w:val="001C19D4"/>
    <w:rsid w:val="001C224F"/>
    <w:rsid w:val="001C2B0B"/>
    <w:rsid w:val="001C436D"/>
    <w:rsid w:val="001D4001"/>
    <w:rsid w:val="001D63C8"/>
    <w:rsid w:val="001D65D8"/>
    <w:rsid w:val="001E3DFD"/>
    <w:rsid w:val="001E42F0"/>
    <w:rsid w:val="001E497A"/>
    <w:rsid w:val="001E5E3B"/>
    <w:rsid w:val="00225C46"/>
    <w:rsid w:val="00226493"/>
    <w:rsid w:val="00227040"/>
    <w:rsid w:val="00230CFC"/>
    <w:rsid w:val="0023162A"/>
    <w:rsid w:val="00231C1D"/>
    <w:rsid w:val="00233532"/>
    <w:rsid w:val="00234BC8"/>
    <w:rsid w:val="00241CED"/>
    <w:rsid w:val="00242FB4"/>
    <w:rsid w:val="00245605"/>
    <w:rsid w:val="002542E0"/>
    <w:rsid w:val="002563F0"/>
    <w:rsid w:val="00256DBB"/>
    <w:rsid w:val="00260119"/>
    <w:rsid w:val="00266064"/>
    <w:rsid w:val="00267C8D"/>
    <w:rsid w:val="002701DD"/>
    <w:rsid w:val="002710FD"/>
    <w:rsid w:val="00273F49"/>
    <w:rsid w:val="002769B5"/>
    <w:rsid w:val="00276B25"/>
    <w:rsid w:val="00276B59"/>
    <w:rsid w:val="00281319"/>
    <w:rsid w:val="0028220A"/>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D42BC"/>
    <w:rsid w:val="002D71A9"/>
    <w:rsid w:val="002D7846"/>
    <w:rsid w:val="002D7FCB"/>
    <w:rsid w:val="002E05AE"/>
    <w:rsid w:val="002F7507"/>
    <w:rsid w:val="0030059B"/>
    <w:rsid w:val="00302FB4"/>
    <w:rsid w:val="00305273"/>
    <w:rsid w:val="003057FC"/>
    <w:rsid w:val="00305AFB"/>
    <w:rsid w:val="00307C85"/>
    <w:rsid w:val="00312983"/>
    <w:rsid w:val="00323DC5"/>
    <w:rsid w:val="003248CB"/>
    <w:rsid w:val="00331EA7"/>
    <w:rsid w:val="003332B8"/>
    <w:rsid w:val="00337555"/>
    <w:rsid w:val="00343B46"/>
    <w:rsid w:val="00344465"/>
    <w:rsid w:val="0034740A"/>
    <w:rsid w:val="0035375B"/>
    <w:rsid w:val="00362D74"/>
    <w:rsid w:val="003664E9"/>
    <w:rsid w:val="00366D1E"/>
    <w:rsid w:val="003703A5"/>
    <w:rsid w:val="0037112C"/>
    <w:rsid w:val="00373EE5"/>
    <w:rsid w:val="003817E7"/>
    <w:rsid w:val="00382E55"/>
    <w:rsid w:val="00387988"/>
    <w:rsid w:val="00390B55"/>
    <w:rsid w:val="003961B2"/>
    <w:rsid w:val="003A3C45"/>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7F38"/>
    <w:rsid w:val="00401325"/>
    <w:rsid w:val="004019AA"/>
    <w:rsid w:val="00402A1C"/>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71C92"/>
    <w:rsid w:val="004739AC"/>
    <w:rsid w:val="00474489"/>
    <w:rsid w:val="00475FEF"/>
    <w:rsid w:val="0047680F"/>
    <w:rsid w:val="00476F71"/>
    <w:rsid w:val="00477536"/>
    <w:rsid w:val="0047776F"/>
    <w:rsid w:val="00482D5B"/>
    <w:rsid w:val="004832E2"/>
    <w:rsid w:val="004870EA"/>
    <w:rsid w:val="004873EC"/>
    <w:rsid w:val="00487F13"/>
    <w:rsid w:val="0049595F"/>
    <w:rsid w:val="00496193"/>
    <w:rsid w:val="004A02AF"/>
    <w:rsid w:val="004A2D66"/>
    <w:rsid w:val="004A3DC4"/>
    <w:rsid w:val="004A4449"/>
    <w:rsid w:val="004A679B"/>
    <w:rsid w:val="004C06DF"/>
    <w:rsid w:val="004C0FB4"/>
    <w:rsid w:val="004C1811"/>
    <w:rsid w:val="004C2944"/>
    <w:rsid w:val="004C4555"/>
    <w:rsid w:val="004D16D6"/>
    <w:rsid w:val="004D6CEA"/>
    <w:rsid w:val="004E0E02"/>
    <w:rsid w:val="004E3564"/>
    <w:rsid w:val="004E3D9F"/>
    <w:rsid w:val="004E51C0"/>
    <w:rsid w:val="004E64BE"/>
    <w:rsid w:val="004F6293"/>
    <w:rsid w:val="00503B8D"/>
    <w:rsid w:val="00503EE3"/>
    <w:rsid w:val="00505811"/>
    <w:rsid w:val="0051261C"/>
    <w:rsid w:val="00515DE7"/>
    <w:rsid w:val="00517EB0"/>
    <w:rsid w:val="005205CB"/>
    <w:rsid w:val="0052430C"/>
    <w:rsid w:val="005348E4"/>
    <w:rsid w:val="00534D8F"/>
    <w:rsid w:val="005352F1"/>
    <w:rsid w:val="00540094"/>
    <w:rsid w:val="00545CFF"/>
    <w:rsid w:val="00546ACD"/>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4084"/>
    <w:rsid w:val="005A5437"/>
    <w:rsid w:val="005A6969"/>
    <w:rsid w:val="005A70A0"/>
    <w:rsid w:val="005B0612"/>
    <w:rsid w:val="005B13F0"/>
    <w:rsid w:val="005B2E0C"/>
    <w:rsid w:val="005B30F6"/>
    <w:rsid w:val="005B45BA"/>
    <w:rsid w:val="005B5689"/>
    <w:rsid w:val="005B6680"/>
    <w:rsid w:val="005B6774"/>
    <w:rsid w:val="005C0A89"/>
    <w:rsid w:val="005C3BC4"/>
    <w:rsid w:val="005D26CC"/>
    <w:rsid w:val="005D4711"/>
    <w:rsid w:val="005D59B1"/>
    <w:rsid w:val="005D764B"/>
    <w:rsid w:val="005E2367"/>
    <w:rsid w:val="005E34D2"/>
    <w:rsid w:val="005E5E90"/>
    <w:rsid w:val="005E62C7"/>
    <w:rsid w:val="005E654C"/>
    <w:rsid w:val="005F05F6"/>
    <w:rsid w:val="005F0D07"/>
    <w:rsid w:val="00602B9B"/>
    <w:rsid w:val="00605734"/>
    <w:rsid w:val="00613A27"/>
    <w:rsid w:val="0061488E"/>
    <w:rsid w:val="0061574B"/>
    <w:rsid w:val="00616406"/>
    <w:rsid w:val="0062203C"/>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56B"/>
    <w:rsid w:val="006A0C54"/>
    <w:rsid w:val="006A3E54"/>
    <w:rsid w:val="006A7C53"/>
    <w:rsid w:val="006B0C2C"/>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69DE"/>
    <w:rsid w:val="0075723C"/>
    <w:rsid w:val="0076146A"/>
    <w:rsid w:val="0076350E"/>
    <w:rsid w:val="00763F36"/>
    <w:rsid w:val="00775BDF"/>
    <w:rsid w:val="0077614D"/>
    <w:rsid w:val="00782C8F"/>
    <w:rsid w:val="00785F78"/>
    <w:rsid w:val="0078659D"/>
    <w:rsid w:val="007869EC"/>
    <w:rsid w:val="00791ED8"/>
    <w:rsid w:val="00796F8B"/>
    <w:rsid w:val="007A1E58"/>
    <w:rsid w:val="007A5C7E"/>
    <w:rsid w:val="007A63F9"/>
    <w:rsid w:val="007A69A9"/>
    <w:rsid w:val="007A6E2F"/>
    <w:rsid w:val="007B0DF2"/>
    <w:rsid w:val="007B3BC5"/>
    <w:rsid w:val="007B6F8D"/>
    <w:rsid w:val="007C1832"/>
    <w:rsid w:val="007D03DF"/>
    <w:rsid w:val="007D190E"/>
    <w:rsid w:val="007D456E"/>
    <w:rsid w:val="007D4953"/>
    <w:rsid w:val="007D50F4"/>
    <w:rsid w:val="007D7173"/>
    <w:rsid w:val="007E1216"/>
    <w:rsid w:val="007E4CD4"/>
    <w:rsid w:val="007E530C"/>
    <w:rsid w:val="007F0E8E"/>
    <w:rsid w:val="007F2149"/>
    <w:rsid w:val="007F4E00"/>
    <w:rsid w:val="00804072"/>
    <w:rsid w:val="008048CF"/>
    <w:rsid w:val="008079DD"/>
    <w:rsid w:val="0081130F"/>
    <w:rsid w:val="00813095"/>
    <w:rsid w:val="008145AD"/>
    <w:rsid w:val="008146B2"/>
    <w:rsid w:val="00822816"/>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5E0B"/>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6006"/>
    <w:rsid w:val="009770EB"/>
    <w:rsid w:val="00977270"/>
    <w:rsid w:val="009824F2"/>
    <w:rsid w:val="00983080"/>
    <w:rsid w:val="00986AA3"/>
    <w:rsid w:val="00993B24"/>
    <w:rsid w:val="0099611F"/>
    <w:rsid w:val="009A083F"/>
    <w:rsid w:val="009A135C"/>
    <w:rsid w:val="009A67E7"/>
    <w:rsid w:val="009C603A"/>
    <w:rsid w:val="009C74CD"/>
    <w:rsid w:val="009D048F"/>
    <w:rsid w:val="009D162F"/>
    <w:rsid w:val="009D23FF"/>
    <w:rsid w:val="009D401F"/>
    <w:rsid w:val="009D5B42"/>
    <w:rsid w:val="009D68FA"/>
    <w:rsid w:val="009E1E4F"/>
    <w:rsid w:val="009E32CF"/>
    <w:rsid w:val="009E4261"/>
    <w:rsid w:val="009E4FC2"/>
    <w:rsid w:val="009F44AE"/>
    <w:rsid w:val="009F59B9"/>
    <w:rsid w:val="009F7426"/>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30C8"/>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56EF"/>
    <w:rsid w:val="00B662F5"/>
    <w:rsid w:val="00B7000C"/>
    <w:rsid w:val="00B760D5"/>
    <w:rsid w:val="00B77495"/>
    <w:rsid w:val="00B83B2C"/>
    <w:rsid w:val="00B92049"/>
    <w:rsid w:val="00B94740"/>
    <w:rsid w:val="00B95002"/>
    <w:rsid w:val="00B9525B"/>
    <w:rsid w:val="00B97F75"/>
    <w:rsid w:val="00BA0A4F"/>
    <w:rsid w:val="00BA1CAE"/>
    <w:rsid w:val="00BA33BB"/>
    <w:rsid w:val="00BA4830"/>
    <w:rsid w:val="00BA6E22"/>
    <w:rsid w:val="00BB1460"/>
    <w:rsid w:val="00BB362C"/>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25C7"/>
    <w:rsid w:val="00BF6349"/>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25C3"/>
    <w:rsid w:val="00CD6D6E"/>
    <w:rsid w:val="00CD6F23"/>
    <w:rsid w:val="00CF24E5"/>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46DE"/>
    <w:rsid w:val="00D3672F"/>
    <w:rsid w:val="00D40ABA"/>
    <w:rsid w:val="00D40FE2"/>
    <w:rsid w:val="00D440FA"/>
    <w:rsid w:val="00D44BCF"/>
    <w:rsid w:val="00D46E73"/>
    <w:rsid w:val="00D5051F"/>
    <w:rsid w:val="00D5548D"/>
    <w:rsid w:val="00D56572"/>
    <w:rsid w:val="00D60F81"/>
    <w:rsid w:val="00D63951"/>
    <w:rsid w:val="00D63BF2"/>
    <w:rsid w:val="00D67348"/>
    <w:rsid w:val="00D70A26"/>
    <w:rsid w:val="00D73BB4"/>
    <w:rsid w:val="00D752F4"/>
    <w:rsid w:val="00D75FEC"/>
    <w:rsid w:val="00D76B98"/>
    <w:rsid w:val="00D82E63"/>
    <w:rsid w:val="00D835A0"/>
    <w:rsid w:val="00D86905"/>
    <w:rsid w:val="00D86F2C"/>
    <w:rsid w:val="00D94301"/>
    <w:rsid w:val="00D96248"/>
    <w:rsid w:val="00DA0680"/>
    <w:rsid w:val="00DA36F6"/>
    <w:rsid w:val="00DA48F0"/>
    <w:rsid w:val="00DB0C8D"/>
    <w:rsid w:val="00DB6AF2"/>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2C22"/>
    <w:rsid w:val="00E330E0"/>
    <w:rsid w:val="00E36C70"/>
    <w:rsid w:val="00E4156E"/>
    <w:rsid w:val="00E42FE2"/>
    <w:rsid w:val="00E44D61"/>
    <w:rsid w:val="00E453F2"/>
    <w:rsid w:val="00E460AD"/>
    <w:rsid w:val="00E61925"/>
    <w:rsid w:val="00E6363B"/>
    <w:rsid w:val="00E65C0E"/>
    <w:rsid w:val="00E65FB9"/>
    <w:rsid w:val="00E730FC"/>
    <w:rsid w:val="00E746F0"/>
    <w:rsid w:val="00E809B9"/>
    <w:rsid w:val="00E82A15"/>
    <w:rsid w:val="00E85445"/>
    <w:rsid w:val="00E87589"/>
    <w:rsid w:val="00E92ABC"/>
    <w:rsid w:val="00E938FF"/>
    <w:rsid w:val="00E93DFE"/>
    <w:rsid w:val="00EA2124"/>
    <w:rsid w:val="00EA229A"/>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236"/>
    <w:rsid w:val="00F15811"/>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E40"/>
    <w:rsid w:val="00F83F4E"/>
    <w:rsid w:val="00F91629"/>
    <w:rsid w:val="00F91E2A"/>
    <w:rsid w:val="00F96C39"/>
    <w:rsid w:val="00F96E41"/>
    <w:rsid w:val="00FA153F"/>
    <w:rsid w:val="00FA1D78"/>
    <w:rsid w:val="00FA1F7E"/>
    <w:rsid w:val="00FA280F"/>
    <w:rsid w:val="00FA5289"/>
    <w:rsid w:val="00FA6213"/>
    <w:rsid w:val="00FB2186"/>
    <w:rsid w:val="00FB7E03"/>
    <w:rsid w:val="00FD0133"/>
    <w:rsid w:val="00FD25FE"/>
    <w:rsid w:val="00FD389A"/>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83F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Car, Car Car Car Car Car, Car Car Car Car, Car Car Car, Car Car Car Car Car Car Car Car Car,Car Car,Car Car Car,Car,Car Car Car Car Car,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Car Car, Car Car Car Car Car Car, Car Car Car Car Car1, Car Car Car Car1, Car Car Car Car Car Car Car Car Car Car,Car Car Car1,Car Car Car Car,Car Car4"/>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804072"/>
    <w:rPr>
      <w:rFonts w:ascii="Arial" w:hAnsi="Arial"/>
      <w:sz w:val="24"/>
    </w:rPr>
  </w:style>
  <w:style w:type="character" w:customStyle="1" w:styleId="reflex3-alt">
    <w:name w:val="reflex3-alt"/>
    <w:basedOn w:val="Policepardfaut"/>
    <w:rsid w:val="00804072"/>
  </w:style>
  <w:style w:type="character" w:customStyle="1" w:styleId="label-section">
    <w:name w:val="label-section"/>
    <w:basedOn w:val="Policepardfaut"/>
    <w:rsid w:val="004A3DC4"/>
  </w:style>
  <w:style w:type="character" w:customStyle="1" w:styleId="subsection">
    <w:name w:val="subsection"/>
    <w:basedOn w:val="Policepardfaut"/>
    <w:rsid w:val="004A3DC4"/>
  </w:style>
  <w:style w:type="character" w:customStyle="1" w:styleId="label-z">
    <w:name w:val="label-z"/>
    <w:basedOn w:val="Policepardfaut"/>
    <w:rsid w:val="004A3DC4"/>
  </w:style>
  <w:style w:type="character" w:customStyle="1" w:styleId="widthfixforlabel">
    <w:name w:val="widthfixforlabel"/>
    <w:basedOn w:val="Policepardfaut"/>
    <w:rsid w:val="004A3DC4"/>
  </w:style>
  <w:style w:type="character" w:customStyle="1" w:styleId="paragraph">
    <w:name w:val="paragraph"/>
    <w:basedOn w:val="Policepardfaut"/>
    <w:rsid w:val="004A3DC4"/>
  </w:style>
  <w:style w:type="paragraph" w:styleId="Rvision">
    <w:name w:val="Revision"/>
    <w:hidden/>
    <w:uiPriority w:val="99"/>
    <w:semiHidden/>
    <w:rsid w:val="00E32C2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178228012">
      <w:bodyDiv w:val="1"/>
      <w:marLeft w:val="0"/>
      <w:marRight w:val="0"/>
      <w:marTop w:val="0"/>
      <w:marBottom w:val="0"/>
      <w:divBdr>
        <w:top w:val="none" w:sz="0" w:space="0" w:color="auto"/>
        <w:left w:val="none" w:sz="0" w:space="0" w:color="auto"/>
        <w:bottom w:val="none" w:sz="0" w:space="0" w:color="auto"/>
        <w:right w:val="none" w:sz="0" w:space="0" w:color="auto"/>
      </w:divBdr>
      <w:divsChild>
        <w:div w:id="1355379814">
          <w:marLeft w:val="0"/>
          <w:marRight w:val="0"/>
          <w:marTop w:val="219"/>
          <w:marBottom w:val="240"/>
          <w:divBdr>
            <w:top w:val="none" w:sz="0" w:space="0" w:color="auto"/>
            <w:left w:val="none" w:sz="0" w:space="0" w:color="auto"/>
            <w:bottom w:val="none" w:sz="0" w:space="0" w:color="auto"/>
            <w:right w:val="none" w:sz="0" w:space="0" w:color="auto"/>
          </w:divBdr>
        </w:div>
        <w:div w:id="698286746">
          <w:marLeft w:val="0"/>
          <w:marRight w:val="0"/>
          <w:marTop w:val="260"/>
          <w:marBottom w:val="240"/>
          <w:divBdr>
            <w:top w:val="none" w:sz="0" w:space="0" w:color="auto"/>
            <w:left w:val="none" w:sz="0" w:space="0" w:color="auto"/>
            <w:bottom w:val="none" w:sz="0" w:space="0" w:color="auto"/>
            <w:right w:val="none" w:sz="0" w:space="0" w:color="auto"/>
          </w:divBdr>
        </w:div>
      </w:divsChild>
    </w:div>
    <w:div w:id="1193033152">
      <w:bodyDiv w:val="1"/>
      <w:marLeft w:val="0"/>
      <w:marRight w:val="0"/>
      <w:marTop w:val="0"/>
      <w:marBottom w:val="0"/>
      <w:divBdr>
        <w:top w:val="none" w:sz="0" w:space="0" w:color="auto"/>
        <w:left w:val="none" w:sz="0" w:space="0" w:color="auto"/>
        <w:bottom w:val="none" w:sz="0" w:space="0" w:color="auto"/>
        <w:right w:val="none" w:sz="0" w:space="0" w:color="auto"/>
      </w:divBdr>
      <w:divsChild>
        <w:div w:id="1590233693">
          <w:marLeft w:val="0"/>
          <w:marRight w:val="0"/>
          <w:marTop w:val="219"/>
          <w:marBottom w:val="240"/>
          <w:divBdr>
            <w:top w:val="none" w:sz="0" w:space="0" w:color="auto"/>
            <w:left w:val="none" w:sz="0" w:space="0" w:color="auto"/>
            <w:bottom w:val="none" w:sz="0" w:space="0" w:color="auto"/>
            <w:right w:val="none" w:sz="0" w:space="0" w:color="auto"/>
          </w:divBdr>
        </w:div>
        <w:div w:id="586764846">
          <w:marLeft w:val="0"/>
          <w:marRight w:val="0"/>
          <w:marTop w:val="260"/>
          <w:marBottom w:val="240"/>
          <w:divBdr>
            <w:top w:val="none" w:sz="0" w:space="0" w:color="auto"/>
            <w:left w:val="none" w:sz="0" w:space="0" w:color="auto"/>
            <w:bottom w:val="none" w:sz="0" w:space="0" w:color="auto"/>
            <w:right w:val="none" w:sz="0" w:space="0" w:color="auto"/>
          </w:divBdr>
        </w:div>
      </w:divsChild>
    </w:div>
    <w:div w:id="1874265406">
      <w:bodyDiv w:val="1"/>
      <w:marLeft w:val="0"/>
      <w:marRight w:val="0"/>
      <w:marTop w:val="0"/>
      <w:marBottom w:val="0"/>
      <w:divBdr>
        <w:top w:val="none" w:sz="0" w:space="0" w:color="auto"/>
        <w:left w:val="none" w:sz="0" w:space="0" w:color="auto"/>
        <w:bottom w:val="none" w:sz="0" w:space="0" w:color="auto"/>
        <w:right w:val="none" w:sz="0" w:space="0" w:color="auto"/>
      </w:divBdr>
      <w:divsChild>
        <w:div w:id="107164557">
          <w:marLeft w:val="0"/>
          <w:marRight w:val="0"/>
          <w:marTop w:val="219"/>
          <w:marBottom w:val="0"/>
          <w:divBdr>
            <w:top w:val="none" w:sz="0" w:space="0" w:color="auto"/>
            <w:left w:val="none" w:sz="0" w:space="0" w:color="auto"/>
            <w:bottom w:val="none" w:sz="0" w:space="0" w:color="auto"/>
            <w:right w:val="none" w:sz="0" w:space="0" w:color="auto"/>
          </w:divBdr>
        </w:div>
        <w:div w:id="1086151314">
          <w:marLeft w:val="0"/>
          <w:marRight w:val="0"/>
          <w:marTop w:val="219"/>
          <w:marBottom w:val="0"/>
          <w:divBdr>
            <w:top w:val="none" w:sz="0" w:space="0" w:color="auto"/>
            <w:left w:val="none" w:sz="0" w:space="0" w:color="auto"/>
            <w:bottom w:val="none" w:sz="0" w:space="0" w:color="auto"/>
            <w:right w:val="none" w:sz="0" w:space="0" w:color="auto"/>
          </w:divBdr>
        </w:div>
        <w:div w:id="1024525402">
          <w:marLeft w:val="0"/>
          <w:marRight w:val="0"/>
          <w:marTop w:val="219"/>
          <w:marBottom w:val="0"/>
          <w:divBdr>
            <w:top w:val="none" w:sz="0" w:space="0" w:color="auto"/>
            <w:left w:val="none" w:sz="0" w:space="0" w:color="auto"/>
            <w:bottom w:val="none" w:sz="0" w:space="0" w:color="auto"/>
            <w:right w:val="none" w:sz="0" w:space="0" w:color="auto"/>
          </w:divBdr>
        </w:div>
        <w:div w:id="1814708992">
          <w:marLeft w:val="0"/>
          <w:marRight w:val="0"/>
          <w:marTop w:val="219"/>
          <w:marBottom w:val="0"/>
          <w:divBdr>
            <w:top w:val="none" w:sz="0" w:space="0" w:color="auto"/>
            <w:left w:val="none" w:sz="0" w:space="0" w:color="auto"/>
            <w:bottom w:val="none" w:sz="0" w:space="0" w:color="auto"/>
            <w:right w:val="none" w:sz="0" w:space="0" w:color="auto"/>
          </w:divBdr>
        </w:div>
      </w:divsChild>
    </w:div>
    <w:div w:id="2043440100">
      <w:bodyDiv w:val="1"/>
      <w:marLeft w:val="0"/>
      <w:marRight w:val="0"/>
      <w:marTop w:val="0"/>
      <w:marBottom w:val="0"/>
      <w:divBdr>
        <w:top w:val="none" w:sz="0" w:space="0" w:color="auto"/>
        <w:left w:val="none" w:sz="0" w:space="0" w:color="auto"/>
        <w:bottom w:val="none" w:sz="0" w:space="0" w:color="auto"/>
        <w:right w:val="none" w:sz="0" w:space="0" w:color="auto"/>
      </w:divBdr>
      <w:divsChild>
        <w:div w:id="495149143">
          <w:marLeft w:val="0"/>
          <w:marRight w:val="0"/>
          <w:marTop w:val="219"/>
          <w:marBottom w:val="0"/>
          <w:divBdr>
            <w:top w:val="none" w:sz="0" w:space="0" w:color="auto"/>
            <w:left w:val="none" w:sz="0" w:space="0" w:color="auto"/>
            <w:bottom w:val="none" w:sz="0" w:space="0" w:color="auto"/>
            <w:right w:val="none" w:sz="0" w:space="0" w:color="auto"/>
          </w:divBdr>
        </w:div>
        <w:div w:id="37633539">
          <w:marLeft w:val="0"/>
          <w:marRight w:val="0"/>
          <w:marTop w:val="219"/>
          <w:marBottom w:val="0"/>
          <w:divBdr>
            <w:top w:val="none" w:sz="0" w:space="0" w:color="auto"/>
            <w:left w:val="none" w:sz="0" w:space="0" w:color="auto"/>
            <w:bottom w:val="none" w:sz="0" w:space="0" w:color="auto"/>
            <w:right w:val="none" w:sz="0" w:space="0" w:color="auto"/>
          </w:divBdr>
        </w:div>
        <w:div w:id="198595415">
          <w:marLeft w:val="0"/>
          <w:marRight w:val="0"/>
          <w:marTop w:val="219"/>
          <w:marBottom w:val="0"/>
          <w:divBdr>
            <w:top w:val="none" w:sz="0" w:space="0" w:color="auto"/>
            <w:left w:val="none" w:sz="0" w:space="0" w:color="auto"/>
            <w:bottom w:val="none" w:sz="0" w:space="0" w:color="auto"/>
            <w:right w:val="none" w:sz="0" w:space="0" w:color="auto"/>
          </w:divBdr>
        </w:div>
        <w:div w:id="1278637184">
          <w:marLeft w:val="0"/>
          <w:marRight w:val="0"/>
          <w:marTop w:val="219"/>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2525</Words>
  <Characters>13892</Characters>
  <Application>Microsoft Office Word</Application>
  <DocSecurity>0</DocSecurity>
  <Lines>115</Lines>
  <Paragraphs>32</Paragraphs>
  <ScaleCrop>false</ScaleCrop>
  <Company/>
  <LinksUpToDate>false</LinksUpToDate>
  <CharactersWithSpaces>16385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2025-10-27T12:34:00Z</dcterms:created>
  <dcterms:modified xsi:type="dcterms:W3CDTF">2025-10-27T12:34:00Z</dcterms:modified>
</cp:coreProperties>
</file>