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1EEA0898" w14:textId="77777777">
        <w:trPr>
          <w:cantSplit/>
        </w:trPr>
        <w:tc>
          <w:tcPr>
            <w:tcW w:w="4795" w:type="dxa"/>
          </w:tcPr>
          <w:p w14:paraId="47817122" w14:textId="2205E690" w:rsidR="008A7FD1" w:rsidRPr="006F66BD" w:rsidRDefault="006F66BD" w:rsidP="006F66BD">
            <w:pPr>
              <w:pStyle w:val="zSoquijdatRepertorie"/>
              <w:rPr>
                <w:rFonts w:cs="Arial"/>
              </w:rPr>
            </w:pPr>
            <w:bookmarkStart w:id="0" w:name="_GoBack"/>
            <w:bookmarkEnd w:id="0"/>
            <w:r>
              <w:rPr>
                <w:rFonts w:cs="Arial"/>
              </w:rPr>
              <w:t>Marchands de bonbonnes et Bertrand</w:t>
            </w:r>
          </w:p>
        </w:tc>
        <w:tc>
          <w:tcPr>
            <w:tcW w:w="2477" w:type="dxa"/>
          </w:tcPr>
          <w:p w14:paraId="4BDE0170" w14:textId="40319841" w:rsidR="008A7FD1" w:rsidRPr="007E1093" w:rsidRDefault="007E1093" w:rsidP="007E1093">
            <w:pPr>
              <w:pStyle w:val="zSoquijdatRefNeutre"/>
              <w:rPr>
                <w:rFonts w:cs="Arial"/>
              </w:rPr>
            </w:pPr>
            <w:r w:rsidRPr="007E1093">
              <w:rPr>
                <w:rFonts w:cs="Arial"/>
              </w:rPr>
              <w:t>2025 QCTAT 1768</w:t>
            </w:r>
          </w:p>
        </w:tc>
      </w:tr>
    </w:tbl>
    <w:p w14:paraId="13588012"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3FB799C6" w14:textId="77777777" w:rsidTr="00036794">
        <w:trPr>
          <w:cantSplit/>
        </w:trPr>
        <w:tc>
          <w:tcPr>
            <w:tcW w:w="9568" w:type="dxa"/>
            <w:gridSpan w:val="4"/>
          </w:tcPr>
          <w:p w14:paraId="4535E5A4" w14:textId="77777777" w:rsidR="00C74B6F" w:rsidRPr="00BE1981" w:rsidRDefault="00C74B6F">
            <w:pPr>
              <w:rPr>
                <w:szCs w:val="24"/>
              </w:rPr>
            </w:pPr>
          </w:p>
        </w:tc>
      </w:tr>
      <w:tr w:rsidR="00C74B6F" w14:paraId="00BC48AB" w14:textId="77777777" w:rsidTr="00036794">
        <w:trPr>
          <w:cantSplit/>
        </w:trPr>
        <w:tc>
          <w:tcPr>
            <w:tcW w:w="9568" w:type="dxa"/>
            <w:gridSpan w:val="4"/>
            <w:vAlign w:val="center"/>
          </w:tcPr>
          <w:p w14:paraId="01930891" w14:textId="77777777" w:rsidR="00C74B6F" w:rsidRPr="000E1320" w:rsidRDefault="000E1320">
            <w:pPr>
              <w:jc w:val="center"/>
              <w:rPr>
                <w:sz w:val="36"/>
                <w:szCs w:val="36"/>
              </w:rPr>
            </w:pPr>
            <w:r w:rsidRPr="000E1320">
              <w:rPr>
                <w:b/>
                <w:sz w:val="36"/>
                <w:szCs w:val="36"/>
              </w:rPr>
              <w:t>TRIBUNAL ADMINISTRATIF DU TRAVAIL</w:t>
            </w:r>
          </w:p>
        </w:tc>
      </w:tr>
      <w:tr w:rsidR="00C74B6F" w14:paraId="75E593AC" w14:textId="77777777" w:rsidTr="00036794">
        <w:trPr>
          <w:cantSplit/>
        </w:trPr>
        <w:tc>
          <w:tcPr>
            <w:tcW w:w="9568" w:type="dxa"/>
            <w:gridSpan w:val="4"/>
          </w:tcPr>
          <w:p w14:paraId="523C7F1E" w14:textId="253625A2" w:rsidR="00C74B6F" w:rsidRPr="00BE7014" w:rsidRDefault="006F0154" w:rsidP="009A67E7">
            <w:pPr>
              <w:pStyle w:val="zSoquijdatDivision"/>
            </w:pPr>
            <w:r w:rsidRPr="00BE7014">
              <w:t>(</w:t>
            </w:r>
            <w:r w:rsidR="00F0149A" w:rsidRPr="00441ADA">
              <w:t>Division de la santé et de la sécurité du travail</w:t>
            </w:r>
            <w:r w:rsidRPr="00BE7014">
              <w:t>)</w:t>
            </w:r>
          </w:p>
        </w:tc>
      </w:tr>
      <w:tr w:rsidR="00C74B6F" w14:paraId="73D05D0C" w14:textId="77777777" w:rsidTr="00036794">
        <w:trPr>
          <w:cantSplit/>
        </w:trPr>
        <w:tc>
          <w:tcPr>
            <w:tcW w:w="9568" w:type="dxa"/>
            <w:gridSpan w:val="4"/>
          </w:tcPr>
          <w:p w14:paraId="035F230D" w14:textId="77777777" w:rsidR="002B2FC3" w:rsidRDefault="002B2FC3" w:rsidP="002B2FC3"/>
        </w:tc>
      </w:tr>
      <w:tr w:rsidR="00A84FC6" w14:paraId="44BC8D23" w14:textId="77777777" w:rsidTr="00036794">
        <w:trPr>
          <w:cantSplit/>
        </w:trPr>
        <w:tc>
          <w:tcPr>
            <w:tcW w:w="9568" w:type="dxa"/>
            <w:gridSpan w:val="4"/>
          </w:tcPr>
          <w:p w14:paraId="1B8E7F76" w14:textId="77777777" w:rsidR="00A84FC6" w:rsidRDefault="00A84FC6" w:rsidP="002B2FC3"/>
        </w:tc>
      </w:tr>
      <w:tr w:rsidR="00C74B6F" w14:paraId="54912B68" w14:textId="77777777" w:rsidTr="00036794">
        <w:tc>
          <w:tcPr>
            <w:tcW w:w="3331" w:type="dxa"/>
          </w:tcPr>
          <w:p w14:paraId="107F4532" w14:textId="77777777" w:rsidR="00C74B6F" w:rsidRDefault="0084255F">
            <w:bookmarkStart w:id="1" w:name="region" w:colFirst="1" w:colLast="1"/>
            <w:r>
              <w:t>Région :</w:t>
            </w:r>
          </w:p>
        </w:tc>
        <w:tc>
          <w:tcPr>
            <w:tcW w:w="6237" w:type="dxa"/>
            <w:gridSpan w:val="3"/>
          </w:tcPr>
          <w:p w14:paraId="7D8E3B98" w14:textId="25D784AA" w:rsidR="00C74B6F" w:rsidRDefault="00F0149A" w:rsidP="00F4095A">
            <w:pPr>
              <w:pStyle w:val="zSoquijdatGreffe"/>
            </w:pPr>
            <w:r>
              <w:t>Lanaudière</w:t>
            </w:r>
          </w:p>
        </w:tc>
      </w:tr>
      <w:bookmarkEnd w:id="1"/>
      <w:tr w:rsidR="00C74B6F" w14:paraId="552B35BE" w14:textId="77777777" w:rsidTr="00036794">
        <w:trPr>
          <w:cantSplit/>
        </w:trPr>
        <w:tc>
          <w:tcPr>
            <w:tcW w:w="9568" w:type="dxa"/>
            <w:gridSpan w:val="4"/>
          </w:tcPr>
          <w:p w14:paraId="603B11EA" w14:textId="77777777" w:rsidR="00C74B6F" w:rsidRDefault="00C74B6F"/>
        </w:tc>
      </w:tr>
      <w:tr w:rsidR="00C74B6F" w14:paraId="22723BBF" w14:textId="77777777" w:rsidTr="00036794">
        <w:tc>
          <w:tcPr>
            <w:tcW w:w="3331" w:type="dxa"/>
          </w:tcPr>
          <w:p w14:paraId="75B99DE6" w14:textId="51CFF08A" w:rsidR="00C74B6F" w:rsidRDefault="0084255F">
            <w:bookmarkStart w:id="2" w:name="ref_dossier" w:colFirst="1" w:colLast="1"/>
            <w:r>
              <w:t>Dossier</w:t>
            </w:r>
            <w:bookmarkStart w:id="3" w:name="dossiers"/>
            <w:bookmarkEnd w:id="3"/>
            <w:r w:rsidR="00DF04D3">
              <w:t>s</w:t>
            </w:r>
            <w:r>
              <w:t> :</w:t>
            </w:r>
          </w:p>
        </w:tc>
        <w:tc>
          <w:tcPr>
            <w:tcW w:w="6237" w:type="dxa"/>
            <w:gridSpan w:val="3"/>
          </w:tcPr>
          <w:p w14:paraId="6CEB85A0" w14:textId="3A5A32F4" w:rsidR="00C74B6F" w:rsidRDefault="00DF04D3" w:rsidP="00F4095A">
            <w:pPr>
              <w:pStyle w:val="zSoquijdatNoDossier"/>
            </w:pPr>
            <w:r>
              <w:t>1214980-63-2102</w:t>
            </w:r>
            <w:r w:rsidR="00103235">
              <w:t xml:space="preserve">   </w:t>
            </w:r>
            <w:r>
              <w:t>1215012-63-2102</w:t>
            </w:r>
          </w:p>
        </w:tc>
      </w:tr>
      <w:bookmarkEnd w:id="2"/>
      <w:tr w:rsidR="00C74B6F" w14:paraId="01A78C72" w14:textId="77777777" w:rsidTr="00036794">
        <w:trPr>
          <w:cantSplit/>
        </w:trPr>
        <w:tc>
          <w:tcPr>
            <w:tcW w:w="9568" w:type="dxa"/>
            <w:gridSpan w:val="4"/>
          </w:tcPr>
          <w:p w14:paraId="136AC22A" w14:textId="77777777" w:rsidR="00C74B6F" w:rsidRDefault="00D44BCF">
            <w:r>
              <w:fldChar w:fldCharType="begin"/>
            </w:r>
            <w:r>
              <w:instrText xml:space="preserve"> AUTOTEXTLIST  \* Upper  \* MERGEFORMAT </w:instrText>
            </w:r>
            <w:r>
              <w:fldChar w:fldCharType="end"/>
            </w:r>
          </w:p>
        </w:tc>
      </w:tr>
      <w:tr w:rsidR="00C74B6F" w14:paraId="6B1FE819" w14:textId="77777777" w:rsidTr="00036794">
        <w:tc>
          <w:tcPr>
            <w:tcW w:w="3331" w:type="dxa"/>
          </w:tcPr>
          <w:p w14:paraId="13C393F6" w14:textId="314BB01B" w:rsidR="00C74B6F" w:rsidRDefault="008C79A7" w:rsidP="0045114F">
            <w:pPr>
              <w:ind w:right="46"/>
            </w:pPr>
            <w:r>
              <w:t xml:space="preserve">Dossier </w:t>
            </w:r>
            <w:r w:rsidR="00F0149A" w:rsidRPr="00F0149A">
              <w:rPr>
                <w:szCs w:val="24"/>
              </w:rPr>
              <w:t>CNESST</w:t>
            </w:r>
            <w:r w:rsidRPr="008C79A7">
              <w:rPr>
                <w:szCs w:val="24"/>
              </w:rPr>
              <w:t xml:space="preserve"> :</w:t>
            </w:r>
          </w:p>
        </w:tc>
        <w:tc>
          <w:tcPr>
            <w:tcW w:w="6237" w:type="dxa"/>
            <w:gridSpan w:val="3"/>
          </w:tcPr>
          <w:p w14:paraId="510FEDBA" w14:textId="0CB5492B" w:rsidR="00C74B6F" w:rsidRDefault="00D12DDC" w:rsidP="004D6CEA">
            <w:pPr>
              <w:pStyle w:val="zSoquijdatNCSST"/>
            </w:pPr>
            <w:r>
              <w:t>508226834</w:t>
            </w:r>
          </w:p>
        </w:tc>
      </w:tr>
      <w:tr w:rsidR="00C74B6F" w14:paraId="2E2175C0" w14:textId="77777777" w:rsidTr="00036794">
        <w:trPr>
          <w:cantSplit/>
        </w:trPr>
        <w:tc>
          <w:tcPr>
            <w:tcW w:w="9568" w:type="dxa"/>
            <w:gridSpan w:val="4"/>
          </w:tcPr>
          <w:p w14:paraId="4218026A" w14:textId="77777777" w:rsidR="00C74B6F" w:rsidRDefault="00C74B6F"/>
        </w:tc>
      </w:tr>
      <w:tr w:rsidR="00C74B6F" w14:paraId="7E4291B6" w14:textId="77777777" w:rsidTr="00036794">
        <w:tc>
          <w:tcPr>
            <w:tcW w:w="3331" w:type="dxa"/>
          </w:tcPr>
          <w:p w14:paraId="54AF070A" w14:textId="0759F2F6" w:rsidR="00C74B6F" w:rsidRDefault="00D12DDC">
            <w:bookmarkStart w:id="4" w:name="assesseur"/>
            <w:bookmarkEnd w:id="4"/>
            <w:r>
              <w:t>Assesseure :</w:t>
            </w:r>
          </w:p>
        </w:tc>
        <w:tc>
          <w:tcPr>
            <w:tcW w:w="6237" w:type="dxa"/>
            <w:gridSpan w:val="3"/>
          </w:tcPr>
          <w:p w14:paraId="59ADDEA0" w14:textId="1D2A1BE1" w:rsidR="00C74B6F" w:rsidRDefault="00D12DDC" w:rsidP="00F4095A">
            <w:pPr>
              <w:pStyle w:val="zSoquijdatAssesseurs"/>
            </w:pPr>
            <w:r>
              <w:t>Martine Martin</w:t>
            </w:r>
            <w:r w:rsidR="00A25D4B">
              <w:t>, médecin</w:t>
            </w:r>
          </w:p>
        </w:tc>
      </w:tr>
      <w:tr w:rsidR="00C74B6F" w14:paraId="6B8BCA38" w14:textId="77777777" w:rsidTr="00036794">
        <w:trPr>
          <w:cantSplit/>
        </w:trPr>
        <w:tc>
          <w:tcPr>
            <w:tcW w:w="9568" w:type="dxa"/>
            <w:gridSpan w:val="4"/>
          </w:tcPr>
          <w:p w14:paraId="5ADD0168" w14:textId="77777777" w:rsidR="00C74B6F" w:rsidRDefault="00C74B6F"/>
        </w:tc>
      </w:tr>
      <w:tr w:rsidR="00C74B6F" w14:paraId="797D5C5C" w14:textId="77777777" w:rsidTr="00036794">
        <w:trPr>
          <w:cantSplit/>
        </w:trPr>
        <w:tc>
          <w:tcPr>
            <w:tcW w:w="9568" w:type="dxa"/>
            <w:gridSpan w:val="4"/>
          </w:tcPr>
          <w:p w14:paraId="6CD9C592" w14:textId="77777777" w:rsidR="00C74B6F" w:rsidRDefault="00C74B6F"/>
        </w:tc>
      </w:tr>
      <w:tr w:rsidR="006E3DD8" w14:paraId="7338B55D" w14:textId="77777777" w:rsidTr="00036794">
        <w:trPr>
          <w:cantSplit/>
        </w:trPr>
        <w:tc>
          <w:tcPr>
            <w:tcW w:w="3331" w:type="dxa"/>
          </w:tcPr>
          <w:p w14:paraId="594D2C08" w14:textId="1DEC4C86" w:rsidR="006E3DD8" w:rsidRDefault="00F0149A" w:rsidP="0076350E">
            <w:pPr>
              <w:ind w:right="-70"/>
            </w:pPr>
            <w:r>
              <w:t>Joliette</w:t>
            </w:r>
            <w:r w:rsidR="00C04E32">
              <w:t>,</w:t>
            </w:r>
          </w:p>
        </w:tc>
        <w:tc>
          <w:tcPr>
            <w:tcW w:w="6237" w:type="dxa"/>
            <w:gridSpan w:val="3"/>
          </w:tcPr>
          <w:p w14:paraId="009F1D6E" w14:textId="704A43D8" w:rsidR="006E3DD8" w:rsidRDefault="00C04E32" w:rsidP="005B5689">
            <w:pPr>
              <w:pStyle w:val="zSoquijdatDateJugement"/>
            </w:pPr>
            <w:r>
              <w:t xml:space="preserve">le </w:t>
            </w:r>
            <w:r w:rsidR="00E83EB1">
              <w:t>28 avril 2025</w:t>
            </w:r>
          </w:p>
        </w:tc>
      </w:tr>
      <w:tr w:rsidR="00942AB8" w14:paraId="4FD122E8" w14:textId="77777777" w:rsidTr="00036794">
        <w:trPr>
          <w:cantSplit/>
        </w:trPr>
        <w:tc>
          <w:tcPr>
            <w:tcW w:w="9568" w:type="dxa"/>
            <w:gridSpan w:val="4"/>
          </w:tcPr>
          <w:p w14:paraId="619297A9" w14:textId="77777777" w:rsidR="00942AB8" w:rsidRDefault="00942AB8" w:rsidP="00FA153F">
            <w:r>
              <w:t>______________________________________________________________________</w:t>
            </w:r>
          </w:p>
        </w:tc>
      </w:tr>
      <w:tr w:rsidR="00942AB8" w14:paraId="7EB7910E" w14:textId="77777777" w:rsidTr="00036794">
        <w:trPr>
          <w:cantSplit/>
          <w:trHeight w:val="148"/>
        </w:trPr>
        <w:tc>
          <w:tcPr>
            <w:tcW w:w="9568" w:type="dxa"/>
            <w:gridSpan w:val="4"/>
          </w:tcPr>
          <w:p w14:paraId="2535096E" w14:textId="77777777" w:rsidR="00942AB8" w:rsidRDefault="00942AB8" w:rsidP="00FA153F"/>
        </w:tc>
      </w:tr>
      <w:tr w:rsidR="0035375B" w14:paraId="46E9AF3F" w14:textId="77777777" w:rsidTr="00036794">
        <w:trPr>
          <w:cantSplit/>
          <w:trHeight w:val="148"/>
        </w:trPr>
        <w:tc>
          <w:tcPr>
            <w:tcW w:w="5883" w:type="dxa"/>
            <w:gridSpan w:val="3"/>
          </w:tcPr>
          <w:p w14:paraId="6344CCF4" w14:textId="635B3C8B" w:rsidR="0035375B" w:rsidRPr="00942AB8" w:rsidRDefault="0035375B">
            <w:pPr>
              <w:rPr>
                <w:b/>
                <w:bCs/>
              </w:rPr>
            </w:pPr>
            <w:bookmarkStart w:id="5" w:name="ref_commissaire" w:colFirst="1" w:colLast="1"/>
            <w:r w:rsidRPr="00942AB8">
              <w:rPr>
                <w:b/>
                <w:bCs/>
              </w:rPr>
              <w:t>DEVANT L</w:t>
            </w:r>
            <w:r w:rsidR="00F0149A">
              <w:rPr>
                <w:b/>
                <w:bCs/>
              </w:rPr>
              <w:t>A</w:t>
            </w:r>
            <w:r w:rsidRPr="00942AB8">
              <w:rPr>
                <w:b/>
                <w:bCs/>
              </w:rPr>
              <w:t xml:space="preserve"> JUGE ADMINISTRATI</w:t>
            </w:r>
            <w:r w:rsidR="00F0149A">
              <w:rPr>
                <w:b/>
                <w:bCs/>
              </w:rPr>
              <w:t>VE</w:t>
            </w:r>
            <w:r w:rsidRPr="00942AB8">
              <w:rPr>
                <w:b/>
                <w:bCs/>
              </w:rPr>
              <w:t> :</w:t>
            </w:r>
          </w:p>
        </w:tc>
        <w:tc>
          <w:tcPr>
            <w:tcW w:w="3685" w:type="dxa"/>
          </w:tcPr>
          <w:p w14:paraId="6177AB0B" w14:textId="19E69878" w:rsidR="0035375B" w:rsidRPr="00942AB8" w:rsidRDefault="00F0149A" w:rsidP="005B5689">
            <w:pPr>
              <w:pStyle w:val="zSoquijdatJuge"/>
              <w:rPr>
                <w:bCs/>
              </w:rPr>
            </w:pPr>
            <w:r>
              <w:t>Marie-Pierre Dubé-Iza</w:t>
            </w:r>
          </w:p>
        </w:tc>
      </w:tr>
      <w:bookmarkEnd w:id="5"/>
      <w:tr w:rsidR="00942AB8" w14:paraId="036CD6F5" w14:textId="77777777" w:rsidTr="00036794">
        <w:trPr>
          <w:cantSplit/>
          <w:trHeight w:val="148"/>
        </w:trPr>
        <w:tc>
          <w:tcPr>
            <w:tcW w:w="9568" w:type="dxa"/>
            <w:gridSpan w:val="4"/>
          </w:tcPr>
          <w:p w14:paraId="0DF4CD18" w14:textId="77777777" w:rsidR="00942AB8" w:rsidRDefault="00942AB8" w:rsidP="00FA153F">
            <w:r>
              <w:t>______________________________________________________________________</w:t>
            </w:r>
          </w:p>
        </w:tc>
      </w:tr>
      <w:tr w:rsidR="00942AB8" w14:paraId="054F5339" w14:textId="77777777" w:rsidTr="00036794">
        <w:tc>
          <w:tcPr>
            <w:tcW w:w="9568" w:type="dxa"/>
            <w:gridSpan w:val="4"/>
          </w:tcPr>
          <w:p w14:paraId="017F2231" w14:textId="77777777" w:rsidR="00942AB8" w:rsidRDefault="00942AB8"/>
        </w:tc>
      </w:tr>
      <w:tr w:rsidR="00942AB8" w14:paraId="2C403B4D" w14:textId="77777777" w:rsidTr="00E21768">
        <w:tc>
          <w:tcPr>
            <w:tcW w:w="4890" w:type="dxa"/>
            <w:gridSpan w:val="2"/>
          </w:tcPr>
          <w:p w14:paraId="4F3865A2" w14:textId="77777777" w:rsidR="00942AB8" w:rsidRDefault="00942AB8">
            <w:bookmarkStart w:id="6" w:name="bloc_parties_gauche"/>
            <w:bookmarkEnd w:id="6"/>
          </w:p>
        </w:tc>
        <w:tc>
          <w:tcPr>
            <w:tcW w:w="4678" w:type="dxa"/>
            <w:gridSpan w:val="2"/>
          </w:tcPr>
          <w:p w14:paraId="419FD878" w14:textId="77777777" w:rsidR="00942AB8" w:rsidRDefault="00942AB8"/>
        </w:tc>
      </w:tr>
      <w:tr w:rsidR="00942AB8" w14:paraId="5846A5B3" w14:textId="77777777" w:rsidTr="00E21768">
        <w:tc>
          <w:tcPr>
            <w:tcW w:w="4890" w:type="dxa"/>
            <w:gridSpan w:val="2"/>
          </w:tcPr>
          <w:p w14:paraId="372FCC4B" w14:textId="29F4562B" w:rsidR="00942AB8" w:rsidRPr="00BB3049" w:rsidRDefault="00D12DDC">
            <w:pPr>
              <w:pStyle w:val="zSoquijdatNomPartieDem"/>
              <w:rPr>
                <w:b/>
              </w:rPr>
            </w:pPr>
            <w:r w:rsidRPr="00BB3049">
              <w:rPr>
                <w:b/>
              </w:rPr>
              <w:t>Les marchands de bonbonnes</w:t>
            </w:r>
          </w:p>
        </w:tc>
        <w:tc>
          <w:tcPr>
            <w:tcW w:w="4678" w:type="dxa"/>
            <w:gridSpan w:val="2"/>
          </w:tcPr>
          <w:p w14:paraId="3FBD327C" w14:textId="77777777" w:rsidR="00942AB8" w:rsidRDefault="00942AB8"/>
        </w:tc>
      </w:tr>
      <w:tr w:rsidR="00942AB8" w14:paraId="121222B6" w14:textId="77777777" w:rsidTr="00E21768">
        <w:tc>
          <w:tcPr>
            <w:tcW w:w="4890" w:type="dxa"/>
            <w:gridSpan w:val="2"/>
          </w:tcPr>
          <w:p w14:paraId="294F9806" w14:textId="058F90DC" w:rsidR="00942AB8" w:rsidRDefault="00D12DDC" w:rsidP="007B0DF2">
            <w:pPr>
              <w:pStyle w:val="zSoquijdatQtePartieDem"/>
              <w:tabs>
                <w:tab w:val="left" w:pos="3539"/>
              </w:tabs>
              <w:ind w:left="708"/>
            </w:pPr>
            <w:r>
              <w:t>Partie demanderesse</w:t>
            </w:r>
          </w:p>
        </w:tc>
        <w:tc>
          <w:tcPr>
            <w:tcW w:w="4678" w:type="dxa"/>
            <w:gridSpan w:val="2"/>
          </w:tcPr>
          <w:p w14:paraId="6D87E968" w14:textId="77777777" w:rsidR="00942AB8" w:rsidRDefault="00942AB8"/>
        </w:tc>
      </w:tr>
      <w:tr w:rsidR="00942AB8" w14:paraId="1E022AB8" w14:textId="77777777" w:rsidTr="00E21768">
        <w:tc>
          <w:tcPr>
            <w:tcW w:w="4890" w:type="dxa"/>
            <w:gridSpan w:val="2"/>
          </w:tcPr>
          <w:p w14:paraId="5CCA5132" w14:textId="77777777" w:rsidR="00942AB8" w:rsidRDefault="00942AB8" w:rsidP="00E6363B"/>
        </w:tc>
        <w:tc>
          <w:tcPr>
            <w:tcW w:w="4678" w:type="dxa"/>
            <w:gridSpan w:val="2"/>
          </w:tcPr>
          <w:p w14:paraId="5899C407" w14:textId="77777777" w:rsidR="00942AB8" w:rsidRDefault="00942AB8"/>
        </w:tc>
      </w:tr>
      <w:tr w:rsidR="00942AB8" w14:paraId="36969BB8" w14:textId="77777777" w:rsidTr="00E21768">
        <w:tc>
          <w:tcPr>
            <w:tcW w:w="4890" w:type="dxa"/>
            <w:gridSpan w:val="2"/>
          </w:tcPr>
          <w:p w14:paraId="542D9714" w14:textId="71A07B75" w:rsidR="00942AB8" w:rsidRDefault="00F0149A" w:rsidP="00D06652">
            <w:pPr>
              <w:pStyle w:val="zSoquijlblLienParties"/>
            </w:pPr>
            <w:r>
              <w:t>et</w:t>
            </w:r>
          </w:p>
        </w:tc>
        <w:tc>
          <w:tcPr>
            <w:tcW w:w="4678" w:type="dxa"/>
            <w:gridSpan w:val="2"/>
          </w:tcPr>
          <w:p w14:paraId="7409C9FB" w14:textId="77777777" w:rsidR="00942AB8" w:rsidRDefault="00942AB8"/>
        </w:tc>
      </w:tr>
      <w:tr w:rsidR="00942AB8" w14:paraId="4899B145" w14:textId="77777777" w:rsidTr="00E21768">
        <w:tc>
          <w:tcPr>
            <w:tcW w:w="4890" w:type="dxa"/>
            <w:gridSpan w:val="2"/>
          </w:tcPr>
          <w:p w14:paraId="4AE0AD4C" w14:textId="77777777" w:rsidR="00942AB8" w:rsidRDefault="00942AB8"/>
        </w:tc>
        <w:tc>
          <w:tcPr>
            <w:tcW w:w="4678" w:type="dxa"/>
            <w:gridSpan w:val="2"/>
          </w:tcPr>
          <w:p w14:paraId="28651314" w14:textId="77777777" w:rsidR="00942AB8" w:rsidRDefault="00942AB8"/>
        </w:tc>
      </w:tr>
      <w:tr w:rsidR="00942AB8" w14:paraId="6C7E0BFA" w14:textId="77777777" w:rsidTr="00E21768">
        <w:tc>
          <w:tcPr>
            <w:tcW w:w="4890" w:type="dxa"/>
            <w:gridSpan w:val="2"/>
          </w:tcPr>
          <w:p w14:paraId="4B327716" w14:textId="3FE4D9E6" w:rsidR="00942AB8" w:rsidRDefault="00D12DDC">
            <w:pPr>
              <w:pStyle w:val="zSoquijdatNomPartieDef"/>
              <w:rPr>
                <w:b/>
              </w:rPr>
            </w:pPr>
            <w:r>
              <w:rPr>
                <w:b/>
              </w:rPr>
              <w:t>Mathew Bertrand</w:t>
            </w:r>
          </w:p>
        </w:tc>
        <w:tc>
          <w:tcPr>
            <w:tcW w:w="4678" w:type="dxa"/>
            <w:gridSpan w:val="2"/>
          </w:tcPr>
          <w:p w14:paraId="6A0F6AB8" w14:textId="77777777" w:rsidR="00942AB8" w:rsidRDefault="00942AB8"/>
        </w:tc>
      </w:tr>
      <w:tr w:rsidR="00942AB8" w14:paraId="4EE9FC2B" w14:textId="77777777" w:rsidTr="00E21768">
        <w:tc>
          <w:tcPr>
            <w:tcW w:w="4890" w:type="dxa"/>
            <w:gridSpan w:val="2"/>
          </w:tcPr>
          <w:p w14:paraId="3A9E6EAE" w14:textId="1BB515C0" w:rsidR="00942AB8" w:rsidRDefault="00D12DDC">
            <w:pPr>
              <w:pStyle w:val="zSoquijdatQtePartieDef"/>
              <w:ind w:left="708"/>
            </w:pPr>
            <w:r>
              <w:t>Partie mise en cause</w:t>
            </w:r>
          </w:p>
        </w:tc>
        <w:tc>
          <w:tcPr>
            <w:tcW w:w="4678" w:type="dxa"/>
            <w:gridSpan w:val="2"/>
          </w:tcPr>
          <w:p w14:paraId="6B08E299" w14:textId="77777777" w:rsidR="00942AB8" w:rsidRDefault="00942AB8"/>
        </w:tc>
      </w:tr>
      <w:tr w:rsidR="0065093D" w14:paraId="0E4ADB1A" w14:textId="77777777" w:rsidTr="00E21768">
        <w:tc>
          <w:tcPr>
            <w:tcW w:w="4890" w:type="dxa"/>
            <w:gridSpan w:val="2"/>
          </w:tcPr>
          <w:p w14:paraId="017BEFBE" w14:textId="77777777" w:rsidR="0065093D" w:rsidRDefault="0065093D"/>
        </w:tc>
        <w:tc>
          <w:tcPr>
            <w:tcW w:w="4678" w:type="dxa"/>
            <w:gridSpan w:val="2"/>
          </w:tcPr>
          <w:p w14:paraId="0AA8F1A4" w14:textId="77777777" w:rsidR="0065093D" w:rsidRDefault="0065093D"/>
        </w:tc>
      </w:tr>
    </w:tbl>
    <w:p w14:paraId="664249D6" w14:textId="77777777" w:rsidR="00C74B6F" w:rsidRDefault="00C74B6F">
      <w:r>
        <w:t>______________________________________________________________________</w:t>
      </w:r>
    </w:p>
    <w:p w14:paraId="18178D0F" w14:textId="77777777" w:rsidR="00C74B6F" w:rsidRDefault="00C74B6F"/>
    <w:p w14:paraId="5A8B24A8" w14:textId="77777777" w:rsidR="00C74B6F" w:rsidRPr="005B0612" w:rsidRDefault="00C74B6F" w:rsidP="008B042E">
      <w:pPr>
        <w:jc w:val="center"/>
        <w:rPr>
          <w:b/>
          <w:bCs/>
        </w:rPr>
      </w:pPr>
      <w:bookmarkStart w:id="7" w:name="decision"/>
      <w:r w:rsidRPr="005B0612">
        <w:rPr>
          <w:b/>
          <w:bCs/>
        </w:rPr>
        <w:t>DÉCISION</w:t>
      </w:r>
      <w:bookmarkEnd w:id="7"/>
    </w:p>
    <w:p w14:paraId="270A2151" w14:textId="77777777" w:rsidR="008F20EA" w:rsidRDefault="008F20EA" w:rsidP="00842C02">
      <w:pPr>
        <w:spacing w:after="400"/>
      </w:pPr>
      <w:bookmarkStart w:id="8" w:name="separation"/>
      <w:bookmarkStart w:id="9" w:name="parag_1"/>
      <w:r>
        <w:t>______________________________________________________________________</w:t>
      </w:r>
    </w:p>
    <w:p w14:paraId="4AACE390" w14:textId="77777777" w:rsidR="008F20EA" w:rsidRDefault="008F20EA" w:rsidP="00842C02">
      <w:pPr>
        <w:pStyle w:val="corpsdedcision"/>
        <w:numPr>
          <w:ilvl w:val="0"/>
          <w:numId w:val="0"/>
        </w:numPr>
        <w:spacing w:before="360" w:after="400"/>
      </w:pPr>
      <w:bookmarkStart w:id="10" w:name="supprimer_apercu"/>
      <w:bookmarkEnd w:id="8"/>
      <w:r>
        <w:rPr>
          <w:b/>
          <w:bCs/>
          <w:u w:val="single"/>
        </w:rPr>
        <w:t>L’APERÇU</w:t>
      </w:r>
    </w:p>
    <w:bookmarkEnd w:id="9"/>
    <w:bookmarkEnd w:id="10"/>
    <w:p w14:paraId="180C67A3" w14:textId="5E3740CB" w:rsidR="00D12DDC" w:rsidRDefault="00D12DDC" w:rsidP="00842C02">
      <w:pPr>
        <w:pStyle w:val="corpsdedcision"/>
        <w:spacing w:after="400"/>
      </w:pPr>
      <w:r>
        <w:t>Monsieur Mathew Bertrand, le travailleur, occupe un emploi</w:t>
      </w:r>
      <w:r w:rsidR="00FE6DEB">
        <w:t xml:space="preserve"> depuis six ans</w:t>
      </w:r>
      <w:r>
        <w:t xml:space="preserve"> pour l’entreprise Les marchands de bonbonnes, l’employeur, lorsqu’il allègue </w:t>
      </w:r>
      <w:r w:rsidR="0083172C">
        <w:t>la survenance d’une</w:t>
      </w:r>
      <w:r>
        <w:t xml:space="preserve"> maladie professionnelle le 25 février 2020.</w:t>
      </w:r>
      <w:r w:rsidR="0083172C">
        <w:t xml:space="preserve"> En effet, à cette date est posé le diagnostic </w:t>
      </w:r>
      <w:r w:rsidR="001D16B7">
        <w:t>d’«</w:t>
      </w:r>
      <w:r w:rsidR="00FE6DEB">
        <w:t> </w:t>
      </w:r>
      <w:r w:rsidR="0083172C" w:rsidRPr="00FE6DEB">
        <w:rPr>
          <w:rStyle w:val="Citationintgre"/>
        </w:rPr>
        <w:t>intoxication</w:t>
      </w:r>
      <w:r w:rsidR="00FE6DEB" w:rsidRPr="00FE6DEB">
        <w:rPr>
          <w:rStyle w:val="Citationintgre"/>
        </w:rPr>
        <w:t>s</w:t>
      </w:r>
      <w:r w:rsidR="0083172C" w:rsidRPr="00FE6DEB">
        <w:rPr>
          <w:rStyle w:val="Citationintgre"/>
        </w:rPr>
        <w:t xml:space="preserve"> </w:t>
      </w:r>
      <w:bookmarkStart w:id="11" w:name="_Hlk195514984"/>
      <w:r w:rsidR="0083172C" w:rsidRPr="00FE6DEB">
        <w:rPr>
          <w:rStyle w:val="Citationintgre"/>
        </w:rPr>
        <w:t>aigu</w:t>
      </w:r>
      <w:r w:rsidR="00FE6DEB">
        <w:rPr>
          <w:rStyle w:val="Citationintgre"/>
        </w:rPr>
        <w:t>ë</w:t>
      </w:r>
      <w:r w:rsidR="00FE6DEB" w:rsidRPr="00FE6DEB">
        <w:rPr>
          <w:rStyle w:val="Citationintgre"/>
        </w:rPr>
        <w:t>s</w:t>
      </w:r>
      <w:bookmarkEnd w:id="11"/>
      <w:r w:rsidR="0083172C" w:rsidRPr="00FE6DEB">
        <w:rPr>
          <w:rStyle w:val="Citationintgre"/>
        </w:rPr>
        <w:t xml:space="preserve"> à répétition à des solvants</w:t>
      </w:r>
      <w:r w:rsidR="00FE6DEB">
        <w:t> »</w:t>
      </w:r>
      <w:r w:rsidR="0083172C">
        <w:t>.</w:t>
      </w:r>
      <w:r w:rsidR="001E1A13">
        <w:t xml:space="preserve"> Le 14 mai suivant, le diagnostic de « </w:t>
      </w:r>
      <w:r w:rsidR="001E1A13" w:rsidRPr="001E1A13">
        <w:rPr>
          <w:rStyle w:val="Citationintgre"/>
        </w:rPr>
        <w:t xml:space="preserve">leucémie myéloïde </w:t>
      </w:r>
      <w:bookmarkStart w:id="12" w:name="_Hlk195602330"/>
      <w:r w:rsidR="001E1A13" w:rsidRPr="001E1A13">
        <w:rPr>
          <w:rStyle w:val="Citationintgre"/>
        </w:rPr>
        <w:t>chronique en phase blastique en relation avec exposition importante à des solvants</w:t>
      </w:r>
      <w:bookmarkEnd w:id="12"/>
      <w:r w:rsidR="001E1A13">
        <w:t> » est également posé. Le travailleur est alors âgé de 26 ans.</w:t>
      </w:r>
    </w:p>
    <w:p w14:paraId="65A2DB8F" w14:textId="68F2A847" w:rsidR="00C74B6F" w:rsidRPr="00933365" w:rsidRDefault="0083172C" w:rsidP="00842C02">
      <w:pPr>
        <w:pStyle w:val="corpsdedcision"/>
        <w:spacing w:after="400"/>
      </w:pPr>
      <w:r>
        <w:t>La Commission des normes, de l’équité, de la santé et de la sécurité du travail, la</w:t>
      </w:r>
      <w:r w:rsidR="005604B6">
        <w:t> </w:t>
      </w:r>
      <w:r>
        <w:t>Commission, accepte la Réclamation du travailleur</w:t>
      </w:r>
      <w:r>
        <w:rPr>
          <w:rStyle w:val="Appelnotedebasdep"/>
        </w:rPr>
        <w:footnoteReference w:id="1"/>
      </w:r>
      <w:r>
        <w:t xml:space="preserve"> et elle précise dans la décision rendue que le travailleur a contracté une maladie professionnelle dont les diagnostics sont « </w:t>
      </w:r>
      <w:r w:rsidRPr="0083172C">
        <w:rPr>
          <w:rStyle w:val="Citationintgre"/>
        </w:rPr>
        <w:t>intoxications aigu</w:t>
      </w:r>
      <w:r w:rsidR="00FE6DEB">
        <w:rPr>
          <w:rStyle w:val="Citationintgre"/>
        </w:rPr>
        <w:t>ë</w:t>
      </w:r>
      <w:r w:rsidRPr="0083172C">
        <w:rPr>
          <w:rStyle w:val="Citationintgre"/>
        </w:rPr>
        <w:t>s</w:t>
      </w:r>
      <w:r>
        <w:t> » et « </w:t>
      </w:r>
      <w:r w:rsidRPr="0083172C">
        <w:rPr>
          <w:rStyle w:val="Citationintgre"/>
        </w:rPr>
        <w:t xml:space="preserve">leucémie </w:t>
      </w:r>
      <w:r w:rsidRPr="00933365">
        <w:rPr>
          <w:rStyle w:val="Citationintgre"/>
        </w:rPr>
        <w:t>myéloïde chronique phase blastique</w:t>
      </w:r>
      <w:r w:rsidRPr="00933365">
        <w:t> </w:t>
      </w:r>
      <w:r w:rsidR="00C2429A" w:rsidRPr="00933365">
        <w:t>[</w:t>
      </w:r>
      <w:r w:rsidR="00C2429A" w:rsidRPr="00933365">
        <w:rPr>
          <w:i/>
          <w:iCs/>
        </w:rPr>
        <w:t>sic</w:t>
      </w:r>
      <w:r w:rsidR="00C2429A" w:rsidRPr="00933365">
        <w:t xml:space="preserve">] </w:t>
      </w:r>
      <w:r w:rsidRPr="00933365">
        <w:t>».</w:t>
      </w:r>
    </w:p>
    <w:p w14:paraId="274FA468" w14:textId="5445C8F9" w:rsidR="0083172C" w:rsidRDefault="0083172C" w:rsidP="00842C02">
      <w:pPr>
        <w:pStyle w:val="corpsdedcision"/>
        <w:spacing w:after="400"/>
      </w:pPr>
      <w:r>
        <w:t xml:space="preserve">L’employeur </w:t>
      </w:r>
      <w:r w:rsidR="001D16B7">
        <w:t>demande la révision de</w:t>
      </w:r>
      <w:r>
        <w:t xml:space="preserve"> cette décision</w:t>
      </w:r>
      <w:r w:rsidR="00FE6DEB">
        <w:t>,</w:t>
      </w:r>
      <w:r>
        <w:t xml:space="preserve"> qui </w:t>
      </w:r>
      <w:r w:rsidR="00EE4127">
        <w:t>est</w:t>
      </w:r>
      <w:r>
        <w:t xml:space="preserve"> confirmée par la Direction de la révision administrative de la Commission</w:t>
      </w:r>
      <w:r>
        <w:rPr>
          <w:rStyle w:val="Appelnotedebasdep"/>
        </w:rPr>
        <w:footnoteReference w:id="2"/>
      </w:r>
      <w:r>
        <w:t>, d’où l’objet du premier litige devant le Tribunal</w:t>
      </w:r>
      <w:r w:rsidR="00CF0D2D">
        <w:rPr>
          <w:rStyle w:val="Appelnotedebasdep"/>
        </w:rPr>
        <w:footnoteReference w:id="3"/>
      </w:r>
      <w:r>
        <w:t>.</w:t>
      </w:r>
    </w:p>
    <w:p w14:paraId="505C365E" w14:textId="141E861D" w:rsidR="00CF0D2D" w:rsidRDefault="00CF0D2D" w:rsidP="00842C02">
      <w:pPr>
        <w:pStyle w:val="corpsdedcision"/>
        <w:spacing w:after="400"/>
      </w:pPr>
      <w:r>
        <w:t>Le 12 juin 2020, l’employeur est avisé par la Commission de l’imputation du coût des prestations de cette maladie professionnelle à son dossier financier et il conteste également cette décision devant le Tribunal</w:t>
      </w:r>
      <w:r>
        <w:rPr>
          <w:rStyle w:val="Appelnotedebasdep"/>
        </w:rPr>
        <w:footnoteReference w:id="4"/>
      </w:r>
      <w:r>
        <w:t>.</w:t>
      </w:r>
    </w:p>
    <w:p w14:paraId="181EB4E8" w14:textId="10520EF2" w:rsidR="00E22D8D" w:rsidRDefault="00925D19" w:rsidP="00842C02">
      <w:pPr>
        <w:pStyle w:val="corpsdedcision"/>
        <w:spacing w:after="400"/>
      </w:pPr>
      <w:r>
        <w:t xml:space="preserve">Dans cette affaire, l’employeur dépose une opinion médicale </w:t>
      </w:r>
      <w:r w:rsidR="00033D23">
        <w:t xml:space="preserve">effectuée </w:t>
      </w:r>
      <w:r>
        <w:t>« </w:t>
      </w:r>
      <w:r w:rsidRPr="00925D19">
        <w:rPr>
          <w:rStyle w:val="Citationintgre"/>
        </w:rPr>
        <w:t>sur dossier</w:t>
      </w:r>
      <w:r>
        <w:t xml:space="preserve"> » </w:t>
      </w:r>
      <w:r w:rsidR="00033D23">
        <w:t xml:space="preserve">par </w:t>
      </w:r>
      <w:r w:rsidR="00FF03AB" w:rsidRPr="00FF03AB">
        <w:t xml:space="preserve">le </w:t>
      </w:r>
      <w:r w:rsidRPr="00FF03AB">
        <w:t>docteur</w:t>
      </w:r>
      <w:r w:rsidR="005604B6">
        <w:t xml:space="preserve"> </w:t>
      </w:r>
      <w:r>
        <w:t>John</w:t>
      </w:r>
      <w:r w:rsidR="005604B6">
        <w:t xml:space="preserve"> </w:t>
      </w:r>
      <w:r>
        <w:t>W.</w:t>
      </w:r>
      <w:r w:rsidR="005604B6">
        <w:t xml:space="preserve"> </w:t>
      </w:r>
      <w:r>
        <w:t xml:space="preserve">Osterman, </w:t>
      </w:r>
      <w:r w:rsidR="00E22D8D">
        <w:t xml:space="preserve">laquelle est </w:t>
      </w:r>
      <w:r>
        <w:t>appuyée par de la littérature médicale</w:t>
      </w:r>
      <w:r w:rsidR="00033D23">
        <w:rPr>
          <w:rStyle w:val="Appelnotedebasdep"/>
        </w:rPr>
        <w:footnoteReference w:id="5"/>
      </w:r>
      <w:r w:rsidR="00033D23">
        <w:t xml:space="preserve">. </w:t>
      </w:r>
      <w:r w:rsidR="00441697">
        <w:t>Le docteur Osterman a également témoigné devant le Tribunal.</w:t>
      </w:r>
    </w:p>
    <w:p w14:paraId="139DE2F0" w14:textId="0705BC45" w:rsidR="00033D23" w:rsidRDefault="00033D23" w:rsidP="00842C02">
      <w:pPr>
        <w:pStyle w:val="corpsdedcision"/>
        <w:spacing w:after="400"/>
      </w:pPr>
      <w:r>
        <w:t xml:space="preserve">Le </w:t>
      </w:r>
      <w:r w:rsidR="00540F19" w:rsidRPr="00463F85">
        <w:t>professionnel de la santé désigné</w:t>
      </w:r>
      <w:r w:rsidR="00540F19">
        <w:t xml:space="preserve"> </w:t>
      </w:r>
      <w:r w:rsidR="00E22D8D">
        <w:t xml:space="preserve">de l’employeur estime que la </w:t>
      </w:r>
      <w:r>
        <w:t xml:space="preserve">preuve </w:t>
      </w:r>
      <w:r w:rsidR="00E22D8D">
        <w:t xml:space="preserve">ne permet pas de conclure que </w:t>
      </w:r>
      <w:r>
        <w:t>le travailleur a souffert d’intoxications aigu</w:t>
      </w:r>
      <w:r w:rsidR="00FE6DEB">
        <w:t>ë</w:t>
      </w:r>
      <w:r>
        <w:t>s à répétition au cours de son emploi. Le</w:t>
      </w:r>
      <w:r w:rsidR="005604B6">
        <w:t> </w:t>
      </w:r>
      <w:r>
        <w:t>docteur Osterman conclut également à l’absence de relation entre une exposition aux solvants et le diagnostic de leucémie myéloïde chronique.</w:t>
      </w:r>
      <w:r w:rsidR="00925D19">
        <w:t xml:space="preserve"> </w:t>
      </w:r>
    </w:p>
    <w:p w14:paraId="691181A5" w14:textId="77777777" w:rsidR="00646869" w:rsidRDefault="00FE6DEB" w:rsidP="00842C02">
      <w:pPr>
        <w:pStyle w:val="corpsdedcision"/>
        <w:spacing w:after="400"/>
      </w:pPr>
      <w:r>
        <w:t>L’employeur plaide donc essentielle</w:t>
      </w:r>
      <w:r w:rsidRPr="00646869">
        <w:t>ment que</w:t>
      </w:r>
      <w:r w:rsidR="00646869">
        <w:t> :</w:t>
      </w:r>
    </w:p>
    <w:p w14:paraId="5593A7A9" w14:textId="6848C61F" w:rsidR="00950F4E" w:rsidRDefault="00646869" w:rsidP="00040663">
      <w:pPr>
        <w:pStyle w:val="citation"/>
        <w:spacing w:after="400"/>
      </w:pPr>
      <w:r>
        <w:t>[</w:t>
      </w:r>
      <w:r w:rsidRPr="00646869">
        <w:t>…</w:t>
      </w:r>
      <w:r>
        <w:t>]</w:t>
      </w:r>
      <w:r w:rsidRPr="00646869">
        <w:t xml:space="preserve"> </w:t>
      </w:r>
      <w:r w:rsidR="00FE6DEB" w:rsidRPr="00040663">
        <w:rPr>
          <w:rStyle w:val="Citationintgre"/>
          <w:i w:val="0"/>
          <w:iCs/>
          <w:szCs w:val="22"/>
        </w:rPr>
        <w:t>la pathologie oncologique diagnostiquée comme une leucémie myéloïde chronique (LMC) ne constitue pas une maladie professionnelle et que le diagnostic d’intoxication aiguë ne peut être retenu pour les fins de l’analyse de l’admissibilité de la réclamation, puisqu’il n’est pas en lien avec une exposition alléguée à des solvants</w:t>
      </w:r>
      <w:r w:rsidR="00FE6DEB" w:rsidRPr="00646869">
        <w:t xml:space="preserve">. </w:t>
      </w:r>
    </w:p>
    <w:p w14:paraId="503D5348" w14:textId="45BA2C65" w:rsidR="00646869" w:rsidRPr="00646869" w:rsidRDefault="00646869" w:rsidP="00040663">
      <w:pPr>
        <w:pStyle w:val="citation"/>
        <w:spacing w:after="400"/>
        <w:rPr>
          <w:sz w:val="24"/>
          <w:szCs w:val="24"/>
        </w:rPr>
      </w:pPr>
      <w:r w:rsidRPr="00646869">
        <w:rPr>
          <w:sz w:val="24"/>
          <w:szCs w:val="24"/>
        </w:rPr>
        <w:t>[Transcription textuelle]</w:t>
      </w:r>
    </w:p>
    <w:p w14:paraId="642FF05A" w14:textId="1AA7EF52" w:rsidR="00B07A5C" w:rsidRDefault="00FE6DEB" w:rsidP="00842C02">
      <w:pPr>
        <w:pStyle w:val="corpsdedcision"/>
        <w:spacing w:after="400"/>
      </w:pPr>
      <w:r>
        <w:t>Aux fins d’interpréter les dispositions législatives applicables, l’employeur soutient qu’il y a lieu d’appliquer</w:t>
      </w:r>
      <w:r w:rsidR="00950F4E">
        <w:t xml:space="preserve"> </w:t>
      </w:r>
      <w:r w:rsidR="00950F4E" w:rsidRPr="005C3BF6">
        <w:t xml:space="preserve">celles </w:t>
      </w:r>
      <w:r w:rsidR="00463F85" w:rsidRPr="005C3BF6">
        <w:t>applicables</w:t>
      </w:r>
      <w:r w:rsidR="00950F4E" w:rsidRPr="005C3BF6">
        <w:t xml:space="preserve"> avant l’entrée en vigueur de la </w:t>
      </w:r>
      <w:r w:rsidR="00950F4E" w:rsidRPr="005C3BF6">
        <w:rPr>
          <w:i/>
        </w:rPr>
        <w:t>Loi modernisant le régime de santé et de sécurité du travail</w:t>
      </w:r>
      <w:r w:rsidR="00950F4E" w:rsidRPr="005C3BF6">
        <w:rPr>
          <w:rStyle w:val="Appelnotedebasdep"/>
        </w:rPr>
        <w:footnoteReference w:id="6"/>
      </w:r>
      <w:r w:rsidR="00950F4E" w:rsidRPr="005C3BF6">
        <w:rPr>
          <w:i/>
        </w:rPr>
        <w:t>.</w:t>
      </w:r>
      <w:r w:rsidR="00950F4E">
        <w:rPr>
          <w:i/>
        </w:rPr>
        <w:t xml:space="preserve"> </w:t>
      </w:r>
      <w:r w:rsidR="00950F4E">
        <w:rPr>
          <w:iCs/>
        </w:rPr>
        <w:t xml:space="preserve">À son avis, la présomption de l’article 29 de la </w:t>
      </w:r>
      <w:r w:rsidR="00950F4E" w:rsidRPr="00475297">
        <w:rPr>
          <w:i/>
        </w:rPr>
        <w:t>Loi sur les accidents du travail et les maladies professionnelles</w:t>
      </w:r>
      <w:r w:rsidR="00950F4E" w:rsidRPr="00475297">
        <w:rPr>
          <w:rStyle w:val="Appelnotedebasdep"/>
        </w:rPr>
        <w:footnoteReference w:id="7"/>
      </w:r>
      <w:r w:rsidR="00950F4E" w:rsidRPr="00475297">
        <w:t>, la Loi</w:t>
      </w:r>
      <w:r w:rsidR="00950F4E">
        <w:t xml:space="preserve">, ne s’applique pas. </w:t>
      </w:r>
      <w:r w:rsidR="00EE4127">
        <w:t>De plus, il estime que</w:t>
      </w:r>
      <w:r w:rsidR="001D16B7">
        <w:t xml:space="preserve"> </w:t>
      </w:r>
      <w:r w:rsidR="00950F4E">
        <w:t xml:space="preserve">le travailleur échoue à démontrer que les critères prévus à l’article 30 de la Loi sont </w:t>
      </w:r>
      <w:r w:rsidR="00EE4127">
        <w:t>satisfaits</w:t>
      </w:r>
      <w:r w:rsidR="00950F4E">
        <w:t xml:space="preserve"> et, notamment, que la maladie dont il est affecté découle des risques particuliers de son travail. </w:t>
      </w:r>
    </w:p>
    <w:p w14:paraId="589B8301" w14:textId="5D834858" w:rsidR="001D16B7" w:rsidRPr="00BF6C9B" w:rsidRDefault="00950F4E" w:rsidP="00842C02">
      <w:pPr>
        <w:pStyle w:val="corpsdedcision"/>
        <w:spacing w:after="400"/>
      </w:pPr>
      <w:r w:rsidRPr="00C2429A">
        <w:t>Plus précisément,</w:t>
      </w:r>
      <w:r w:rsidRPr="00F84306">
        <w:t xml:space="preserve"> </w:t>
      </w:r>
      <w:r w:rsidR="00B07A5C" w:rsidRPr="00F84306">
        <w:t>l’employeur</w:t>
      </w:r>
      <w:r w:rsidRPr="00F84306">
        <w:t xml:space="preserve"> plaide que les rapports d’intervention du</w:t>
      </w:r>
      <w:r w:rsidR="00FE5DF9" w:rsidRPr="00F84306">
        <w:t xml:space="preserve"> Centre intégré de santé et de services sociaux de Lanaudière</w:t>
      </w:r>
      <w:r w:rsidR="002B661D" w:rsidRPr="005C3BF6">
        <w:t xml:space="preserve">, </w:t>
      </w:r>
      <w:r w:rsidR="00F84306" w:rsidRPr="005C3BF6">
        <w:t>notamment</w:t>
      </w:r>
      <w:r w:rsidR="002B661D" w:rsidRPr="005C3BF6">
        <w:t xml:space="preserve"> de</w:t>
      </w:r>
      <w:r w:rsidR="002B661D" w:rsidRPr="00F84306">
        <w:t xml:space="preserve"> </w:t>
      </w:r>
      <w:r w:rsidR="002B661D" w:rsidRPr="00BF6C9B">
        <w:t>la Direction de</w:t>
      </w:r>
      <w:r w:rsidR="00463F85" w:rsidRPr="00BF6C9B">
        <w:t xml:space="preserve"> </w:t>
      </w:r>
      <w:r w:rsidR="002B661D" w:rsidRPr="00BF6C9B">
        <w:t xml:space="preserve">santé publique, </w:t>
      </w:r>
      <w:r w:rsidR="00B07A5C" w:rsidRPr="00BF6C9B">
        <w:t xml:space="preserve">ne permettent pas de conclure à une exposition aux solvants dans l’usine qui excède les limites réglementaires. </w:t>
      </w:r>
    </w:p>
    <w:p w14:paraId="3C5CC9FF" w14:textId="4156D0CA" w:rsidR="001D16B7" w:rsidRDefault="001D16B7" w:rsidP="00842C02">
      <w:pPr>
        <w:pStyle w:val="corpsdedcision"/>
        <w:spacing w:after="400"/>
      </w:pPr>
      <w:r>
        <w:t>L’employeur</w:t>
      </w:r>
      <w:r w:rsidR="00B07A5C">
        <w:t xml:space="preserve"> prétend aussi que le travailleur a livré un témoignage empreint d’incohérences concernant l’évolution de ses symptômes et il remet en question la validité du diagnostic d’intoxication qui a été posé sur la foi de</w:t>
      </w:r>
      <w:r>
        <w:t xml:space="preserve"> ces mêmes</w:t>
      </w:r>
      <w:r w:rsidR="00B07A5C">
        <w:t xml:space="preserve"> symptômes rapportés par le travailleur </w:t>
      </w:r>
      <w:r w:rsidR="00947293">
        <w:t>à</w:t>
      </w:r>
      <w:r w:rsidR="0042216D">
        <w:t xml:space="preserve"> </w:t>
      </w:r>
      <w:r w:rsidR="0042216D" w:rsidRPr="00463F85">
        <w:t>la</w:t>
      </w:r>
      <w:r w:rsidR="00947293">
        <w:t xml:space="preserve"> docteure </w:t>
      </w:r>
      <w:r w:rsidR="002B6A9E">
        <w:t>M</w:t>
      </w:r>
      <w:r w:rsidR="00947293">
        <w:t>artine Baillargeon, qui a rédigé les premières attestations médicales à l’intention de la Commission</w:t>
      </w:r>
      <w:r w:rsidR="00B07A5C">
        <w:t xml:space="preserve">. </w:t>
      </w:r>
    </w:p>
    <w:p w14:paraId="1D2E78E9" w14:textId="654BC595" w:rsidR="00950F4E" w:rsidRPr="00475297" w:rsidRDefault="00B07A5C" w:rsidP="00842C02">
      <w:pPr>
        <w:pStyle w:val="corpsdedcision"/>
        <w:spacing w:after="400"/>
      </w:pPr>
      <w:r>
        <w:t xml:space="preserve">Enfin, il </w:t>
      </w:r>
      <w:r w:rsidR="00EE4127">
        <w:t>allègue</w:t>
      </w:r>
      <w:r>
        <w:t xml:space="preserve"> que le diagnostic qui lie le Tribunal est celui de leucémie myéloïde chronique et non le diagnostic de </w:t>
      </w:r>
      <w:r w:rsidR="00FE5DF9">
        <w:t xml:space="preserve">leucémie myéloïde aiguë </w:t>
      </w:r>
      <w:r>
        <w:t>posé ultérieurement en oncologie</w:t>
      </w:r>
      <w:r w:rsidR="00FE5DF9">
        <w:t>. Il réitère que la preuve ne permet pas de conclure à un lien entre le développement de cette leucémie et une exposition à des solvants.</w:t>
      </w:r>
    </w:p>
    <w:p w14:paraId="4C03DC07" w14:textId="5A342F9F" w:rsidR="00C433E4" w:rsidRDefault="00FE5DF9" w:rsidP="00842C02">
      <w:pPr>
        <w:pStyle w:val="corpsdedcision"/>
        <w:spacing w:after="400"/>
      </w:pPr>
      <w:r w:rsidRPr="00C433E4">
        <w:t>Le travailleur a</w:t>
      </w:r>
      <w:r w:rsidR="001D16B7">
        <w:t>, de son côté,</w:t>
      </w:r>
      <w:r w:rsidRPr="00C433E4">
        <w:t xml:space="preserve"> déposé une expertise en épidémiologie réalisée par monsieur Normand King, biochimiste, qui confirme que les</w:t>
      </w:r>
      <w:r w:rsidR="00947293">
        <w:t xml:space="preserve"> agents chimiques auxquels le travailleur a été exposé, </w:t>
      </w:r>
      <w:r w:rsidR="00C433E4" w:rsidRPr="00C433E4">
        <w:t>« </w:t>
      </w:r>
      <w:r w:rsidR="00947293">
        <w:rPr>
          <w:rStyle w:val="Citationintgre"/>
        </w:rPr>
        <w:t>font partie de</w:t>
      </w:r>
      <w:r w:rsidR="00C433E4" w:rsidRPr="00C433E4">
        <w:rPr>
          <w:rStyle w:val="Citationintgre"/>
        </w:rPr>
        <w:t xml:space="preserve"> la catégorie des hydrocarbures </w:t>
      </w:r>
      <w:r w:rsidR="00947293" w:rsidRPr="00C433E4">
        <w:rPr>
          <w:rStyle w:val="Citationintgre"/>
        </w:rPr>
        <w:t xml:space="preserve">aromatiques </w:t>
      </w:r>
      <w:r w:rsidR="00C433E4" w:rsidRPr="00C433E4">
        <w:rPr>
          <w:rStyle w:val="Citationintgre"/>
        </w:rPr>
        <w:t>aliphatiques</w:t>
      </w:r>
      <w:r w:rsidR="00947293">
        <w:rPr>
          <w:rStyle w:val="Citationintgre"/>
        </w:rPr>
        <w:t xml:space="preserve"> et</w:t>
      </w:r>
      <w:r w:rsidR="00C433E4" w:rsidRPr="00C433E4">
        <w:rPr>
          <w:rStyle w:val="Citationintgre"/>
        </w:rPr>
        <w:t xml:space="preserve"> alicycliques</w:t>
      </w:r>
      <w:r w:rsidR="00C433E4">
        <w:t xml:space="preserve"> » qui peuvent être à l’origine de l’intoxication </w:t>
      </w:r>
      <w:r w:rsidR="00C433E4" w:rsidRPr="005C3BF6">
        <w:t>diagnostiquée</w:t>
      </w:r>
      <w:r w:rsidR="009C509E" w:rsidRPr="005C3BF6">
        <w:t>. Il mentionne aussi que</w:t>
      </w:r>
      <w:r w:rsidR="00947293" w:rsidRPr="005C3BF6">
        <w:t xml:space="preserve"> certains produits </w:t>
      </w:r>
      <w:r w:rsidR="009C509E" w:rsidRPr="005C3BF6">
        <w:t>auxquels le travailleur a été exposé</w:t>
      </w:r>
      <w:r w:rsidR="00947293" w:rsidRPr="005C3BF6">
        <w:t xml:space="preserve"> « </w:t>
      </w:r>
      <w:r w:rsidR="00947293" w:rsidRPr="005C3BF6">
        <w:rPr>
          <w:rStyle w:val="Citationintgre"/>
        </w:rPr>
        <w:t>sont également des composés toxiques de l’oxygène</w:t>
      </w:r>
      <w:r w:rsidR="00947293" w:rsidRPr="005C3BF6">
        <w:t> »</w:t>
      </w:r>
      <w:r w:rsidR="00C433E4" w:rsidRPr="005C3BF6">
        <w:t>. Il souligne également qu’une certaine</w:t>
      </w:r>
      <w:r w:rsidR="00C433E4">
        <w:t xml:space="preserve"> littérature</w:t>
      </w:r>
      <w:r w:rsidR="00C433E4">
        <w:rPr>
          <w:rStyle w:val="Appelnotedebasdep"/>
          <w:iCs/>
        </w:rPr>
        <w:footnoteReference w:id="8"/>
      </w:r>
      <w:r w:rsidR="00C433E4">
        <w:t xml:space="preserve"> conclut à des associations positives entre une exposition au benzène et la leucémie myéloïde chronique</w:t>
      </w:r>
      <w:bookmarkStart w:id="13" w:name="supprimer_analyse"/>
      <w:r w:rsidR="00C433E4">
        <w:t>.</w:t>
      </w:r>
    </w:p>
    <w:p w14:paraId="1E36C1D7" w14:textId="13558658" w:rsidR="00C433E4" w:rsidRDefault="00C433E4" w:rsidP="00842C02">
      <w:pPr>
        <w:pStyle w:val="corpsdedcision"/>
        <w:spacing w:after="400"/>
      </w:pPr>
      <w:r>
        <w:t>Le travailleur estime que les nouvelles dispositions concernant les maladies professionnelles s’appliquent et qu’il peut bénéficier de la présomption prévue par la Loi</w:t>
      </w:r>
      <w:r w:rsidR="0044000A" w:rsidRPr="009C509E">
        <w:t>,</w:t>
      </w:r>
      <w:r>
        <w:t xml:space="preserve"> </w:t>
      </w:r>
      <w:r w:rsidR="00C10703">
        <w:t xml:space="preserve">puisque l’intoxication par des produits ou substances toxiques est prévue au </w:t>
      </w:r>
      <w:bookmarkStart w:id="14" w:name="_Hlk195111867"/>
      <w:r w:rsidR="00C10703" w:rsidRPr="00B556A7">
        <w:rPr>
          <w:i/>
        </w:rPr>
        <w:t>Règlement sur les maladies professionnelles</w:t>
      </w:r>
      <w:bookmarkEnd w:id="14"/>
      <w:r w:rsidR="00C10703" w:rsidRPr="00B556A7">
        <w:rPr>
          <w:rStyle w:val="Appelnotedebasdep"/>
        </w:rPr>
        <w:footnoteReference w:id="9"/>
      </w:r>
      <w:r w:rsidR="00C10703" w:rsidRPr="00B556A7">
        <w:t xml:space="preserve"> </w:t>
      </w:r>
      <w:r w:rsidR="00C10703">
        <w:t xml:space="preserve">entré en vigueur le 6 octobre </w:t>
      </w:r>
      <w:r w:rsidR="00C10703" w:rsidRPr="00B556A7">
        <w:t>2021</w:t>
      </w:r>
      <w:r w:rsidR="00C10703" w:rsidRPr="00B556A7">
        <w:rPr>
          <w:rStyle w:val="Appelnotedebasdep"/>
        </w:rPr>
        <w:footnoteReference w:id="10"/>
      </w:r>
      <w:r w:rsidR="00C10703" w:rsidRPr="00B556A7">
        <w:t>.</w:t>
      </w:r>
      <w:r w:rsidR="00E153E3">
        <w:t xml:space="preserve"> Le travailleur ajoute que la preuve permet de conclure que les produits utilisés dans le cadre de son travail ont des propriétés cancérigènes et que, par conséquent, la leucémie myéloïde chronique en phase blastique, si elle n’est pas considérée comme une forme d’intoxication par le Tribunal, est par ailleurs reliée aux risques particuliers de son travail sous l’angle de l’article 30 de la Loi.</w:t>
      </w:r>
    </w:p>
    <w:p w14:paraId="1B2870E2" w14:textId="77777777" w:rsidR="00E153E3" w:rsidRDefault="00E153E3" w:rsidP="00842C02">
      <w:pPr>
        <w:pStyle w:val="corpsdedcision"/>
        <w:spacing w:after="400"/>
      </w:pPr>
      <w:r>
        <w:t>Le Tribunal doit donc répondre aux questions en litige suivantes pour décider de la survenance ou non d’une lésion professionnelle :</w:t>
      </w:r>
    </w:p>
    <w:p w14:paraId="469F54EF" w14:textId="3AD6A9EA" w:rsidR="00826B35" w:rsidRPr="00826B35" w:rsidRDefault="00826B35" w:rsidP="00E83EB1">
      <w:pPr>
        <w:pStyle w:val="Paragraphedeliste"/>
        <w:numPr>
          <w:ilvl w:val="0"/>
          <w:numId w:val="24"/>
        </w:numPr>
        <w:spacing w:after="240"/>
        <w:ind w:left="714" w:hanging="357"/>
        <w:contextualSpacing w:val="0"/>
        <w:jc w:val="both"/>
      </w:pPr>
      <w:bookmarkStart w:id="15" w:name="_Hlk191975515"/>
      <w:r w:rsidRPr="00826B35">
        <w:t xml:space="preserve">Les dispositions découlant de la </w:t>
      </w:r>
      <w:r w:rsidRPr="0044000A">
        <w:rPr>
          <w:i/>
          <w:iCs/>
        </w:rPr>
        <w:t>Loi modernisant</w:t>
      </w:r>
      <w:r w:rsidRPr="00826B35">
        <w:rPr>
          <w:i/>
          <w:iCs/>
        </w:rPr>
        <w:t xml:space="preserve"> le régime de santé et de sécurité du travail</w:t>
      </w:r>
      <w:r w:rsidRPr="00826B35">
        <w:t xml:space="preserve"> s’appliquent-elles ou</w:t>
      </w:r>
      <w:r w:rsidR="00702947">
        <w:t xml:space="preserve"> </w:t>
      </w:r>
      <w:r w:rsidR="00702947" w:rsidRPr="009C509E">
        <w:t>y</w:t>
      </w:r>
      <w:r w:rsidR="009C509E" w:rsidRPr="009C509E">
        <w:t xml:space="preserve"> </w:t>
      </w:r>
      <w:r w:rsidR="00702947" w:rsidRPr="009C509E">
        <w:t>a-t-il lieu</w:t>
      </w:r>
      <w:r w:rsidR="00EE4127">
        <w:t xml:space="preserve">, pour le Tribunal, </w:t>
      </w:r>
      <w:r w:rsidRPr="00826B35">
        <w:t xml:space="preserve">de se référer à </w:t>
      </w:r>
      <w:r w:rsidRPr="00E23377">
        <w:t>celles en vigueur</w:t>
      </w:r>
      <w:r>
        <w:t xml:space="preserve"> </w:t>
      </w:r>
      <w:r w:rsidRPr="00826B35">
        <w:t>avant le 6 octobre 2021</w:t>
      </w:r>
      <w:r w:rsidR="0044000A">
        <w:t> </w:t>
      </w:r>
      <w:r w:rsidRPr="00826B35">
        <w:t>?</w:t>
      </w:r>
      <w:bookmarkEnd w:id="15"/>
    </w:p>
    <w:p w14:paraId="23B92B61" w14:textId="719DC9B2" w:rsidR="00826B35" w:rsidRPr="005C3BF6" w:rsidRDefault="006B1B45" w:rsidP="00E83EB1">
      <w:pPr>
        <w:pStyle w:val="corpsdedcision"/>
        <w:numPr>
          <w:ilvl w:val="0"/>
          <w:numId w:val="24"/>
        </w:numPr>
        <w:spacing w:after="240"/>
        <w:ind w:left="714" w:hanging="357"/>
      </w:pPr>
      <w:bookmarkStart w:id="16" w:name="_Hlk191975845"/>
      <w:r w:rsidRPr="0044000A">
        <w:t>Quel(s) diagnostic(s) lie</w:t>
      </w:r>
      <w:r w:rsidR="0044000A" w:rsidRPr="009C509E">
        <w:t>(</w:t>
      </w:r>
      <w:r w:rsidRPr="009C509E">
        <w:t>nt</w:t>
      </w:r>
      <w:r w:rsidR="0044000A" w:rsidRPr="009C509E">
        <w:t>)</w:t>
      </w:r>
      <w:r>
        <w:t xml:space="preserve"> le Tribunal aux fins d’analyser la Réclamation du travailleur</w:t>
      </w:r>
      <w:r w:rsidR="0044000A">
        <w:t> </w:t>
      </w:r>
      <w:r>
        <w:t>?</w:t>
      </w:r>
      <w:r w:rsidR="00CD51EC">
        <w:t xml:space="preserve"> Pour ce faire, le </w:t>
      </w:r>
      <w:r w:rsidR="00902218">
        <w:t xml:space="preserve">Tribunal </w:t>
      </w:r>
      <w:r w:rsidR="00CD51EC">
        <w:t xml:space="preserve">doit plus </w:t>
      </w:r>
      <w:r w:rsidR="00CD51EC" w:rsidRPr="005C3BF6">
        <w:t xml:space="preserve">précisément </w:t>
      </w:r>
      <w:r w:rsidR="009C509E" w:rsidRPr="005C3BF6">
        <w:t>vérifier les points suivants</w:t>
      </w:r>
      <w:r w:rsidR="00CD51EC" w:rsidRPr="005C3BF6">
        <w:t> :</w:t>
      </w:r>
    </w:p>
    <w:p w14:paraId="7176331D" w14:textId="3EA04BBD" w:rsidR="00E42BDA" w:rsidRPr="00F84306" w:rsidRDefault="00CD51EC" w:rsidP="00E83EB1">
      <w:pPr>
        <w:pStyle w:val="corpsdedcision"/>
        <w:numPr>
          <w:ilvl w:val="0"/>
          <w:numId w:val="30"/>
        </w:numPr>
        <w:spacing w:after="160"/>
        <w:ind w:left="2132" w:hanging="357"/>
      </w:pPr>
      <w:r w:rsidRPr="00F84306">
        <w:t>L’i</w:t>
      </w:r>
      <w:r w:rsidR="00E42BDA" w:rsidRPr="00F84306">
        <w:t>dentification du professionnel de la santé qui a charge</w:t>
      </w:r>
      <w:r w:rsidRPr="00F84306">
        <w:t>;</w:t>
      </w:r>
    </w:p>
    <w:p w14:paraId="4AAC89AE" w14:textId="26866548" w:rsidR="00E42BDA" w:rsidRPr="00F84306" w:rsidRDefault="00CD51EC" w:rsidP="00E83EB1">
      <w:pPr>
        <w:pStyle w:val="corpsdedcision"/>
        <w:numPr>
          <w:ilvl w:val="0"/>
          <w:numId w:val="30"/>
        </w:numPr>
        <w:spacing w:after="160"/>
        <w:ind w:left="2132" w:hanging="357"/>
      </w:pPr>
      <w:r w:rsidRPr="00F84306">
        <w:t>La validité du diagnostic d’intoxications aiguës à des solvants;</w:t>
      </w:r>
    </w:p>
    <w:p w14:paraId="6BD186B7" w14:textId="03C28786" w:rsidR="00CD51EC" w:rsidRPr="00F84306" w:rsidRDefault="00CD51EC" w:rsidP="00E83EB1">
      <w:pPr>
        <w:pStyle w:val="corpsdedcision"/>
        <w:numPr>
          <w:ilvl w:val="0"/>
          <w:numId w:val="30"/>
        </w:numPr>
        <w:spacing w:after="240"/>
      </w:pPr>
      <w:r w:rsidRPr="00F84306">
        <w:t>L’actualisation du diagnostic de cancer.</w:t>
      </w:r>
    </w:p>
    <w:bookmarkEnd w:id="16"/>
    <w:p w14:paraId="261DACFC" w14:textId="77777777" w:rsidR="00826B35" w:rsidRPr="00F84306" w:rsidRDefault="00E153E3" w:rsidP="00E83EB1">
      <w:pPr>
        <w:pStyle w:val="corpsdedcision"/>
        <w:numPr>
          <w:ilvl w:val="0"/>
          <w:numId w:val="24"/>
        </w:numPr>
        <w:spacing w:after="240"/>
        <w:ind w:left="714" w:hanging="357"/>
      </w:pPr>
      <w:r w:rsidRPr="00F84306">
        <w:t xml:space="preserve">Est-ce que la présomption de maladie professionnelle </w:t>
      </w:r>
      <w:r w:rsidR="006B1B45" w:rsidRPr="00F84306">
        <w:t xml:space="preserve">de l’article 29 de la Loi </w:t>
      </w:r>
      <w:r w:rsidRPr="00F84306">
        <w:t>s’applique et, dans l’affirmative, a-t-elle été renversée ?</w:t>
      </w:r>
    </w:p>
    <w:p w14:paraId="22AB230D" w14:textId="35CD9EFE" w:rsidR="00E153E3" w:rsidRDefault="00E153E3" w:rsidP="00E83EB1">
      <w:pPr>
        <w:pStyle w:val="corpsdedcision"/>
        <w:numPr>
          <w:ilvl w:val="0"/>
          <w:numId w:val="24"/>
        </w:numPr>
        <w:spacing w:after="240"/>
        <w:ind w:left="714" w:hanging="357"/>
      </w:pPr>
      <w:bookmarkStart w:id="17" w:name="_Hlk193890481"/>
      <w:r>
        <w:t xml:space="preserve">Si non, </w:t>
      </w:r>
      <w:r w:rsidR="006B1B45">
        <w:t>le diagnostic retenu est-il</w:t>
      </w:r>
      <w:r>
        <w:t xml:space="preserve"> relié aux risques particuliers </w:t>
      </w:r>
      <w:r w:rsidR="00EE4127">
        <w:t>du</w:t>
      </w:r>
      <w:r>
        <w:t xml:space="preserve"> travail</w:t>
      </w:r>
      <w:r w:rsidR="00EE4127">
        <w:t xml:space="preserve"> exercé par le travailleur</w:t>
      </w:r>
      <w:r>
        <w:t xml:space="preserve"> au sens de l’article 30 de la Loi ?</w:t>
      </w:r>
    </w:p>
    <w:p w14:paraId="103D8D2F" w14:textId="4C7712A9" w:rsidR="00B955A7" w:rsidRPr="00540F19" w:rsidRDefault="00B955A7" w:rsidP="00842C02">
      <w:pPr>
        <w:pStyle w:val="corpsdedcision"/>
        <w:numPr>
          <w:ilvl w:val="0"/>
          <w:numId w:val="24"/>
        </w:numPr>
        <w:spacing w:after="400"/>
        <w:ind w:left="714" w:hanging="357"/>
      </w:pPr>
      <w:bookmarkStart w:id="18" w:name="_Hlk193890581"/>
      <w:r>
        <w:t xml:space="preserve">Est-ce que la décision de la Commission d’imputer le coût des prestations au dossier financier </w:t>
      </w:r>
      <w:r w:rsidRPr="00540F19">
        <w:t>de l’employeur est bien fondée</w:t>
      </w:r>
      <w:r w:rsidR="00884C22" w:rsidRPr="00540F19">
        <w:t> </w:t>
      </w:r>
      <w:r w:rsidRPr="00540F19">
        <w:t>?</w:t>
      </w:r>
    </w:p>
    <w:bookmarkEnd w:id="17"/>
    <w:bookmarkEnd w:id="18"/>
    <w:p w14:paraId="27BA76CF" w14:textId="3B4E8AB8" w:rsidR="005E269D" w:rsidRPr="00540F19" w:rsidRDefault="005E269D" w:rsidP="00842C02">
      <w:pPr>
        <w:pStyle w:val="corpsdedcision"/>
        <w:spacing w:after="400"/>
      </w:pPr>
      <w:r w:rsidRPr="00540F19">
        <w:t>Pour les motifs énoncés à la présente décision</w:t>
      </w:r>
      <w:r w:rsidR="00CD51EC" w:rsidRPr="00540F19">
        <w:t xml:space="preserve"> en réponse à chacune des questions en litige, </w:t>
      </w:r>
      <w:r w:rsidRPr="00540F19">
        <w:t>le Tribunal conclut que le travailleur a subi une maladie professionnelle le 25 février 2020</w:t>
      </w:r>
      <w:r w:rsidR="00255B07" w:rsidRPr="00540F19">
        <w:t xml:space="preserve">. Dans ce contexte, </w:t>
      </w:r>
      <w:r w:rsidR="00826B35" w:rsidRPr="00540F19">
        <w:t>l’employeur demeure imputé du coût des prestations à son dossier financier</w:t>
      </w:r>
      <w:r w:rsidR="002B661D" w:rsidRPr="00540F19">
        <w:t>.</w:t>
      </w:r>
    </w:p>
    <w:p w14:paraId="085B1EFF" w14:textId="77777777" w:rsidR="00CD51EC" w:rsidRDefault="00CD51EC" w:rsidP="00A97E82">
      <w:pPr>
        <w:pStyle w:val="Titre1"/>
        <w:keepNext w:val="0"/>
        <w:spacing w:after="440"/>
      </w:pPr>
      <w:r w:rsidRPr="0076027D">
        <w:t>L</w:t>
      </w:r>
      <w:r>
        <w:t xml:space="preserve">E CONTEXTE </w:t>
      </w:r>
    </w:p>
    <w:p w14:paraId="2AC0E4CB" w14:textId="5A9CF729" w:rsidR="00CD51EC" w:rsidRPr="005D3EB2" w:rsidRDefault="00CD51EC" w:rsidP="00A97E82">
      <w:pPr>
        <w:pStyle w:val="corpsdedcision"/>
        <w:spacing w:after="440"/>
        <w:rPr>
          <w:lang w:eastAsia="fr-FR"/>
        </w:rPr>
      </w:pPr>
      <w:r>
        <w:rPr>
          <w:lang w:eastAsia="fr-FR"/>
        </w:rPr>
        <w:t xml:space="preserve">Le travailleur, âgé de 26 ans, travaille chez l’employeur </w:t>
      </w:r>
      <w:r w:rsidRPr="005D3EB2">
        <w:rPr>
          <w:lang w:eastAsia="fr-FR"/>
        </w:rPr>
        <w:t>depuis six ans et occupe un poste de superviseur depuis trois ans lorsque survient la maladie professionnelle alléguée. Il travaille quarante heures par semaine.</w:t>
      </w:r>
    </w:p>
    <w:p w14:paraId="45161683" w14:textId="52C2BB88" w:rsidR="00CD51EC" w:rsidRDefault="00CD51EC" w:rsidP="00A97E82">
      <w:pPr>
        <w:pStyle w:val="corpsdedcision"/>
        <w:spacing w:after="440"/>
        <w:rPr>
          <w:lang w:eastAsia="fr-FR"/>
        </w:rPr>
      </w:pPr>
      <w:r>
        <w:rPr>
          <w:lang w:eastAsia="fr-FR"/>
        </w:rPr>
        <w:t>L’employeur exploite une entreprise de nettoyage de bonbonnes de propane, d’application de peinture et de remplissage de celles-ci.</w:t>
      </w:r>
    </w:p>
    <w:p w14:paraId="7B6A8677" w14:textId="54C391E7" w:rsidR="00CD51EC" w:rsidRPr="005C3BF6" w:rsidRDefault="00CD51EC" w:rsidP="00A97E82">
      <w:pPr>
        <w:pStyle w:val="corpsdedcision"/>
        <w:spacing w:after="440"/>
        <w:rPr>
          <w:lang w:eastAsia="fr-FR"/>
        </w:rPr>
      </w:pPr>
      <w:r w:rsidRPr="005C3BF6">
        <w:rPr>
          <w:lang w:eastAsia="fr-FR"/>
        </w:rPr>
        <w:t>L’usine fonctionne tout au long de l’année, mais l’été en est la haute saison. En basse saison, environ 4 000 bonbonnes de propane sont traitées par semaine, alors que</w:t>
      </w:r>
      <w:r w:rsidR="009C509E" w:rsidRPr="005C3BF6">
        <w:rPr>
          <w:lang w:eastAsia="fr-FR"/>
        </w:rPr>
        <w:t xml:space="preserve"> durant la haute saison,</w:t>
      </w:r>
      <w:r w:rsidRPr="005C3BF6">
        <w:rPr>
          <w:lang w:eastAsia="fr-FR"/>
        </w:rPr>
        <w:t xml:space="preserve"> l’été, ce chiffre passe de 2 000 à 3 000 bonbonnes traitées quotidiennement.</w:t>
      </w:r>
    </w:p>
    <w:p w14:paraId="40B56C21" w14:textId="460583F9" w:rsidR="00CD51EC" w:rsidRDefault="00CD51EC" w:rsidP="00A97E82">
      <w:pPr>
        <w:pStyle w:val="corpsdedcision"/>
        <w:spacing w:after="440"/>
        <w:rPr>
          <w:lang w:eastAsia="fr-FR"/>
        </w:rPr>
      </w:pPr>
      <w:r>
        <w:rPr>
          <w:lang w:eastAsia="fr-FR"/>
        </w:rPr>
        <w:t>Les bonbonnes vides sont entreposées à l’extérieur et sont apportées au poste de nettoyage sur des palettes afin que soit réalisé un tri pour déterminer celles qui sont récupérables de celles qui doivent être jetées. Ensuite, celles qui sont récupérables sont acheminées à l’étape du nettoyage où elles seront en quelque sorte « </w:t>
      </w:r>
      <w:r w:rsidRPr="00383ECE">
        <w:rPr>
          <w:rStyle w:val="Citationintgre"/>
        </w:rPr>
        <w:t>remises à neuf</w:t>
      </w:r>
      <w:r w:rsidR="000B7915">
        <w:rPr>
          <w:lang w:eastAsia="fr-FR"/>
        </w:rPr>
        <w:t> </w:t>
      </w:r>
      <w:r>
        <w:rPr>
          <w:lang w:eastAsia="fr-FR"/>
        </w:rPr>
        <w:t>», étiquetées, puis remplies de propane.</w:t>
      </w:r>
    </w:p>
    <w:p w14:paraId="0B021338" w14:textId="3F7F4ACD" w:rsidR="00CD51EC" w:rsidRDefault="00CD51EC" w:rsidP="00A97E82">
      <w:pPr>
        <w:pStyle w:val="corpsdedcision"/>
        <w:spacing w:after="440"/>
        <w:rPr>
          <w:lang w:eastAsia="fr-FR"/>
        </w:rPr>
      </w:pPr>
      <w:r>
        <w:rPr>
          <w:lang w:eastAsia="fr-FR"/>
        </w:rPr>
        <w:t>Après le triage, les bonbonnes sont acheminées au poste de nettoyage. À cette étape, un journalier effectue un pré</w:t>
      </w:r>
      <w:r w:rsidR="00243B60">
        <w:rPr>
          <w:lang w:eastAsia="fr-FR"/>
        </w:rPr>
        <w:t>-</w:t>
      </w:r>
      <w:r>
        <w:rPr>
          <w:lang w:eastAsia="fr-FR"/>
        </w:rPr>
        <w:t>nettoyage avant que les bonbonnes passent dans une laveuse automatique. Le journalier gratte les étiquettes avec une lame. Il utilise, au besoin, un dégraisseur ou un diluant qu’il imbibe sur un linge pour enlever toutes les impuretés qui pourraient résister au nettoyage à pression. Le diluant renferme du toluène et du méthanol.</w:t>
      </w:r>
    </w:p>
    <w:p w14:paraId="69A80E07" w14:textId="62B29A07" w:rsidR="00CD51EC" w:rsidRDefault="00CD51EC" w:rsidP="00A97E82">
      <w:pPr>
        <w:pStyle w:val="corpsdedcision"/>
        <w:spacing w:after="440"/>
        <w:rPr>
          <w:lang w:eastAsia="fr-FR"/>
        </w:rPr>
      </w:pPr>
      <w:r>
        <w:rPr>
          <w:lang w:eastAsia="fr-FR"/>
        </w:rPr>
        <w:t xml:space="preserve">Ensuite, le nettoyage est effectué dans une machine à laver à </w:t>
      </w:r>
      <w:r w:rsidRPr="009C509E">
        <w:rPr>
          <w:lang w:eastAsia="fr-FR"/>
        </w:rPr>
        <w:t xml:space="preserve">pression </w:t>
      </w:r>
      <w:r w:rsidR="000B7915" w:rsidRPr="009C509E">
        <w:rPr>
          <w:lang w:eastAsia="fr-FR"/>
        </w:rPr>
        <w:t>pendant</w:t>
      </w:r>
      <w:r>
        <w:rPr>
          <w:lang w:eastAsia="fr-FR"/>
        </w:rPr>
        <w:t xml:space="preserve"> environ cinq minutes.</w:t>
      </w:r>
    </w:p>
    <w:p w14:paraId="6F2F15B5" w14:textId="77777777" w:rsidR="00CD51EC" w:rsidRDefault="00CD51EC" w:rsidP="00A97E82">
      <w:pPr>
        <w:pStyle w:val="corpsdedcision"/>
        <w:spacing w:after="440"/>
        <w:rPr>
          <w:lang w:eastAsia="fr-FR"/>
        </w:rPr>
      </w:pPr>
      <w:r>
        <w:rPr>
          <w:lang w:eastAsia="fr-FR"/>
        </w:rPr>
        <w:t xml:space="preserve">Par la suite, les bonbonnes passent au poste de peinture par pulvérisation où elles seront accrochées, puis peintes. À son argumentation, l’employeur indique que </w:t>
      </w:r>
      <w:r w:rsidRPr="0004256C">
        <w:rPr>
          <w:rStyle w:val="Citationintgre"/>
          <w:lang w:eastAsia="fr-FR"/>
        </w:rPr>
        <w:t>« ce processus implique la préparation des bonbonnes qui sont ensuite introduites dans une chambre isolée. Elles en ressortent une minute plus tard pour commencer un trajet aérien où elles sécheront pendant vingt-cinq à trente minutes</w:t>
      </w:r>
      <w:r w:rsidRPr="0004256C">
        <w:rPr>
          <w:rStyle w:val="Citationintgre"/>
        </w:rPr>
        <w:t> </w:t>
      </w:r>
      <w:r>
        <w:rPr>
          <w:lang w:eastAsia="fr-FR"/>
        </w:rPr>
        <w:t xml:space="preserve">». </w:t>
      </w:r>
    </w:p>
    <w:p w14:paraId="7C60A18F" w14:textId="77777777" w:rsidR="00CD51EC" w:rsidRDefault="00CD51EC" w:rsidP="00A97E82">
      <w:pPr>
        <w:pStyle w:val="corpsdedcision"/>
        <w:spacing w:after="440"/>
        <w:rPr>
          <w:lang w:eastAsia="fr-FR"/>
        </w:rPr>
      </w:pPr>
      <w:r>
        <w:rPr>
          <w:lang w:eastAsia="fr-FR"/>
        </w:rPr>
        <w:t>La peinture pulvérisée renferme du xylène, du solvant Stoddard, de l’éthylbenzène, du diisobutyle cétone et de l’éthanol.</w:t>
      </w:r>
    </w:p>
    <w:p w14:paraId="2222DEDE" w14:textId="00229294" w:rsidR="00CD51EC" w:rsidRDefault="00CD51EC" w:rsidP="00A97E82">
      <w:pPr>
        <w:pStyle w:val="corpsdedcision"/>
        <w:spacing w:after="440"/>
        <w:rPr>
          <w:lang w:eastAsia="fr-FR"/>
        </w:rPr>
      </w:pPr>
      <w:r>
        <w:rPr>
          <w:lang w:eastAsia="fr-FR"/>
        </w:rPr>
        <w:t>Le travailleur indique dans son témoignage avoir été souvent attitré à ce poste qui se trouve à quelques mètres de la chambre de peinture. Le journalier qui y est affecté doit y entrer occasionnellement pour nettoyer les fusils à peinture et les filtreurs. Le</w:t>
      </w:r>
      <w:r w:rsidR="000B7915">
        <w:rPr>
          <w:lang w:eastAsia="fr-FR"/>
        </w:rPr>
        <w:t> </w:t>
      </w:r>
      <w:r>
        <w:rPr>
          <w:lang w:eastAsia="fr-FR"/>
        </w:rPr>
        <w:t>travailleur précise qu’il aimait cette étape de la production et qu’il était bon pour « </w:t>
      </w:r>
      <w:r w:rsidRPr="00716202">
        <w:rPr>
          <w:rStyle w:val="Citationintgre"/>
        </w:rPr>
        <w:t>suivre la cha</w:t>
      </w:r>
      <w:r w:rsidR="00DA2B88" w:rsidRPr="009C509E">
        <w:rPr>
          <w:rStyle w:val="Citationintgre"/>
        </w:rPr>
        <w:t>î</w:t>
      </w:r>
      <w:r w:rsidRPr="009C509E">
        <w:rPr>
          <w:rStyle w:val="Citationintgre"/>
        </w:rPr>
        <w:t>n</w:t>
      </w:r>
      <w:r w:rsidRPr="00716202">
        <w:rPr>
          <w:rStyle w:val="Citationintgre"/>
        </w:rPr>
        <w:t>e de travail </w:t>
      </w:r>
      <w:r>
        <w:rPr>
          <w:lang w:eastAsia="fr-FR"/>
        </w:rPr>
        <w:t xml:space="preserve">». </w:t>
      </w:r>
    </w:p>
    <w:p w14:paraId="2ECC9E20" w14:textId="77777777" w:rsidR="00CD51EC" w:rsidRDefault="00CD51EC" w:rsidP="00A97E82">
      <w:pPr>
        <w:pStyle w:val="corpsdedcision"/>
        <w:spacing w:after="440"/>
        <w:rPr>
          <w:lang w:eastAsia="fr-FR"/>
        </w:rPr>
      </w:pPr>
      <w:r>
        <w:rPr>
          <w:lang w:eastAsia="fr-FR"/>
        </w:rPr>
        <w:t>Après le poste de peinture, les bonbonnes sont acheminées à l’étiquetage où une machine appose les étiquettes automatiquement. Le journalier affecté à ce poste s’occupe de la finition avec de la peinture en aérosol. Cette peinture contient de l’acétone, de l’acétate d’éthyle, du xylène, du méthyl isobutyle cétone, de l’acétate de butyle normal et de l’éthylbenzène. Une bonbonne sur dix requiert des retouches.</w:t>
      </w:r>
    </w:p>
    <w:p w14:paraId="7ADB034B" w14:textId="5F0DF6EE" w:rsidR="00CD51EC" w:rsidRDefault="00CD51EC" w:rsidP="00A97E82">
      <w:pPr>
        <w:pStyle w:val="corpsdedcision"/>
        <w:spacing w:after="440"/>
        <w:rPr>
          <w:lang w:eastAsia="fr-FR"/>
        </w:rPr>
      </w:pPr>
      <w:r>
        <w:rPr>
          <w:lang w:eastAsia="fr-FR"/>
        </w:rPr>
        <w:t>Enfin, la bonbonne est remplie et placée sur une palette pour l’expédition.</w:t>
      </w:r>
    </w:p>
    <w:p w14:paraId="3F1A5400" w14:textId="344A53DB" w:rsidR="00CD51EC" w:rsidRDefault="00CD51EC" w:rsidP="00A97E82">
      <w:pPr>
        <w:pStyle w:val="corpsdedcision"/>
        <w:spacing w:after="440"/>
        <w:rPr>
          <w:lang w:eastAsia="fr-FR"/>
        </w:rPr>
      </w:pPr>
      <w:r>
        <w:rPr>
          <w:lang w:eastAsia="fr-FR"/>
        </w:rPr>
        <w:t>L’employeur confirme que la description des tâches effectuée</w:t>
      </w:r>
      <w:r w:rsidR="00243B60">
        <w:rPr>
          <w:lang w:eastAsia="fr-FR"/>
        </w:rPr>
        <w:t>s</w:t>
      </w:r>
      <w:r>
        <w:rPr>
          <w:lang w:eastAsia="fr-FR"/>
        </w:rPr>
        <w:t xml:space="preserve"> par le travailleur et le gérant de production, qui ont témoigné, convergent.</w:t>
      </w:r>
    </w:p>
    <w:p w14:paraId="7015524C" w14:textId="77777777" w:rsidR="00CD51EC" w:rsidRDefault="00CD51EC" w:rsidP="00A97E82">
      <w:pPr>
        <w:pStyle w:val="corpsdedcision"/>
        <w:spacing w:after="440"/>
        <w:rPr>
          <w:lang w:eastAsia="fr-FR"/>
        </w:rPr>
      </w:pPr>
      <w:r>
        <w:rPr>
          <w:lang w:eastAsia="fr-FR"/>
        </w:rPr>
        <w:t xml:space="preserve"> À titre de superviseur, le travailleur témoigne qu’il est appelé à se déplacer à tous les postes dans l’usine. </w:t>
      </w:r>
    </w:p>
    <w:p w14:paraId="234A053D" w14:textId="77777777" w:rsidR="002D1522" w:rsidRDefault="00CD51EC" w:rsidP="00A97E82">
      <w:pPr>
        <w:pStyle w:val="corpsdedcision"/>
        <w:spacing w:after="440"/>
        <w:rPr>
          <w:lang w:eastAsia="fr-FR"/>
        </w:rPr>
      </w:pPr>
      <w:r>
        <w:rPr>
          <w:lang w:eastAsia="fr-FR"/>
        </w:rPr>
        <w:t>Le travailleur explique qu’il ressentait</w:t>
      </w:r>
      <w:r w:rsidR="002D1522">
        <w:rPr>
          <w:lang w:eastAsia="fr-FR"/>
        </w:rPr>
        <w:t>, depuis quelques années,</w:t>
      </w:r>
      <w:r>
        <w:rPr>
          <w:lang w:eastAsia="fr-FR"/>
        </w:rPr>
        <w:t xml:space="preserve"> des étourdissements, qu’il avait mal au cœur, présentait une fatigue inhabituelle et était irritable. Au début, il ne remarque pas qu’il est fatigué, travaillant 40 heures par semaine et ayant deux jeunes enfants. </w:t>
      </w:r>
    </w:p>
    <w:p w14:paraId="7D0326B1" w14:textId="2C5A4B33" w:rsidR="00CD51EC" w:rsidRDefault="00CD51EC" w:rsidP="00A97E82">
      <w:pPr>
        <w:pStyle w:val="corpsdedcision"/>
        <w:spacing w:after="440"/>
        <w:rPr>
          <w:lang w:eastAsia="fr-FR"/>
        </w:rPr>
      </w:pPr>
      <w:r>
        <w:rPr>
          <w:lang w:eastAsia="fr-FR"/>
        </w:rPr>
        <w:t>Les symptômes surviennent un an ou deux après son entrée en fonction et coïncident avec l’augmentation de la production où l’entreprise est passée de 1</w:t>
      </w:r>
      <w:r w:rsidR="002D1522">
        <w:rPr>
          <w:lang w:eastAsia="fr-FR"/>
        </w:rPr>
        <w:t> </w:t>
      </w:r>
      <w:r>
        <w:rPr>
          <w:lang w:eastAsia="fr-FR"/>
        </w:rPr>
        <w:t xml:space="preserve">000 bonbonnes par jour à </w:t>
      </w:r>
      <w:r w:rsidR="002D1522">
        <w:rPr>
          <w:lang w:eastAsia="fr-FR"/>
        </w:rPr>
        <w:t xml:space="preserve">environ </w:t>
      </w:r>
      <w:r>
        <w:rPr>
          <w:lang w:eastAsia="fr-FR"/>
        </w:rPr>
        <w:t>3</w:t>
      </w:r>
      <w:r w:rsidR="002D1522">
        <w:rPr>
          <w:lang w:eastAsia="fr-FR"/>
        </w:rPr>
        <w:t> </w:t>
      </w:r>
      <w:r>
        <w:rPr>
          <w:lang w:eastAsia="fr-FR"/>
        </w:rPr>
        <w:t>000. Il se sentait parfois comme « </w:t>
      </w:r>
      <w:r w:rsidRPr="000101C1">
        <w:rPr>
          <w:rStyle w:val="Citationintgre"/>
        </w:rPr>
        <w:t>gelé</w:t>
      </w:r>
      <w:r>
        <w:rPr>
          <w:lang w:eastAsia="fr-FR"/>
        </w:rPr>
        <w:t xml:space="preserve"> ». Les symptômes pouvaient débuter environ une à deux heures après le début de son quart de travail. S’il ressentait des symptômes, ceux-ci ne disparaissaient pas au courant de la journée. C’était moins pire le soir et la fin de semaine. </w:t>
      </w:r>
    </w:p>
    <w:p w14:paraId="7CF04284" w14:textId="51F9BF7D" w:rsidR="00CD51EC" w:rsidRPr="00F26C26" w:rsidRDefault="00CD51EC" w:rsidP="00A97E82">
      <w:pPr>
        <w:pStyle w:val="corpsdedcision"/>
        <w:spacing w:after="440"/>
        <w:rPr>
          <w:lang w:eastAsia="fr-FR"/>
        </w:rPr>
      </w:pPr>
      <w:r w:rsidRPr="00F26C26">
        <w:rPr>
          <w:lang w:eastAsia="fr-FR"/>
        </w:rPr>
        <w:t>Il indique que bien que des masques et des lunettes</w:t>
      </w:r>
      <w:r w:rsidR="00DA2B88">
        <w:rPr>
          <w:lang w:eastAsia="fr-FR"/>
        </w:rPr>
        <w:t xml:space="preserve"> </w:t>
      </w:r>
      <w:r w:rsidR="00DA2B88" w:rsidRPr="00CB783F">
        <w:rPr>
          <w:lang w:eastAsia="fr-FR"/>
        </w:rPr>
        <w:t>soient fournis</w:t>
      </w:r>
      <w:r w:rsidRPr="00F26C26">
        <w:rPr>
          <w:lang w:eastAsia="fr-FR"/>
        </w:rPr>
        <w:t>, il ne les portait pas</w:t>
      </w:r>
      <w:r w:rsidR="002E0A75">
        <w:rPr>
          <w:lang w:eastAsia="fr-FR"/>
        </w:rPr>
        <w:t>,</w:t>
      </w:r>
      <w:r w:rsidRPr="00F26C26">
        <w:rPr>
          <w:lang w:eastAsia="fr-FR"/>
        </w:rPr>
        <w:t xml:space="preserve"> estima</w:t>
      </w:r>
      <w:r w:rsidR="002E0A75">
        <w:rPr>
          <w:lang w:eastAsia="fr-FR"/>
        </w:rPr>
        <w:t>nt</w:t>
      </w:r>
      <w:r w:rsidRPr="00F26C26">
        <w:rPr>
          <w:lang w:eastAsia="fr-FR"/>
        </w:rPr>
        <w:t xml:space="preserve"> que « </w:t>
      </w:r>
      <w:r w:rsidRPr="00F26C26">
        <w:rPr>
          <w:rStyle w:val="Citationintgre"/>
        </w:rPr>
        <w:t>cela ne le protégeait de rien</w:t>
      </w:r>
      <w:r w:rsidRPr="00F26C26">
        <w:rPr>
          <w:lang w:eastAsia="fr-FR"/>
        </w:rPr>
        <w:t xml:space="preserve"> ». </w:t>
      </w:r>
    </w:p>
    <w:p w14:paraId="2834C9A6" w14:textId="2DBE1BE1" w:rsidR="00CD51EC" w:rsidRDefault="00CD51EC" w:rsidP="00A97E82">
      <w:pPr>
        <w:pStyle w:val="corpsdedcision"/>
        <w:spacing w:after="440"/>
        <w:rPr>
          <w:lang w:eastAsia="fr-FR"/>
        </w:rPr>
      </w:pPr>
      <w:r>
        <w:rPr>
          <w:lang w:eastAsia="fr-FR"/>
        </w:rPr>
        <w:t>La preuve révèle qu’un système de ventilation existe dans l’atelier, mais le travailleur dit que ce système d’échangeur d’air a été installé un a</w:t>
      </w:r>
      <w:r w:rsidR="002B6A9E">
        <w:rPr>
          <w:lang w:eastAsia="fr-FR"/>
        </w:rPr>
        <w:t>n</w:t>
      </w:r>
      <w:r>
        <w:rPr>
          <w:lang w:eastAsia="fr-FR"/>
        </w:rPr>
        <w:t xml:space="preserve"> après qu’il fut nommé superviseur. </w:t>
      </w:r>
    </w:p>
    <w:p w14:paraId="55F5E500" w14:textId="65B081F4" w:rsidR="005C034B" w:rsidRPr="005C034B" w:rsidRDefault="00CD51EC" w:rsidP="00A97E82">
      <w:pPr>
        <w:pStyle w:val="corpsdedcision"/>
        <w:spacing w:after="440"/>
        <w:rPr>
          <w:lang w:eastAsia="fr-FR"/>
        </w:rPr>
      </w:pPr>
      <w:r>
        <w:rPr>
          <w:lang w:eastAsia="fr-FR"/>
        </w:rPr>
        <w:t xml:space="preserve">Il raconte qu’en février 2020, de l’enflure à un œil inquiète sa conjointe. Des taches </w:t>
      </w:r>
      <w:r w:rsidR="005C034B" w:rsidRPr="005C034B">
        <w:rPr>
          <w:lang w:eastAsia="fr-FR"/>
        </w:rPr>
        <w:t xml:space="preserve">blanches sont remarquées dans son fond d’œil par l’optométriste lorsqu’il consulte à cet égard et l’hypothèse de diabète de type 1 est envisagée. Des prises de sang </w:t>
      </w:r>
      <w:r w:rsidR="00DB0B80" w:rsidRPr="00CB783F">
        <w:rPr>
          <w:lang w:eastAsia="fr-FR"/>
        </w:rPr>
        <w:t>effectuées</w:t>
      </w:r>
      <w:r w:rsidR="00DB0B80">
        <w:rPr>
          <w:lang w:eastAsia="fr-FR"/>
        </w:rPr>
        <w:t xml:space="preserve"> </w:t>
      </w:r>
      <w:r w:rsidR="005C034B" w:rsidRPr="005C034B">
        <w:rPr>
          <w:lang w:eastAsia="fr-FR"/>
        </w:rPr>
        <w:t xml:space="preserve">deux </w:t>
      </w:r>
      <w:r w:rsidR="005C034B" w:rsidRPr="00FF03AB">
        <w:rPr>
          <w:lang w:eastAsia="fr-FR"/>
        </w:rPr>
        <w:t xml:space="preserve">semaines plus tard révèlent finalement une leucémie et le travailleur sera </w:t>
      </w:r>
      <w:r w:rsidR="00243B60" w:rsidRPr="00FF03AB">
        <w:rPr>
          <w:lang w:eastAsia="fr-FR"/>
        </w:rPr>
        <w:t>dirigé</w:t>
      </w:r>
      <w:r w:rsidR="005C034B" w:rsidRPr="00FF03AB">
        <w:rPr>
          <w:lang w:eastAsia="fr-FR"/>
        </w:rPr>
        <w:t xml:space="preserve"> au Centre hospitalier de l’</w:t>
      </w:r>
      <w:r w:rsidR="00243B60" w:rsidRPr="00FF03AB">
        <w:rPr>
          <w:lang w:eastAsia="fr-FR"/>
        </w:rPr>
        <w:t>U</w:t>
      </w:r>
      <w:r w:rsidR="005C034B" w:rsidRPr="00FF03AB">
        <w:rPr>
          <w:lang w:eastAsia="fr-FR"/>
        </w:rPr>
        <w:t xml:space="preserve">niversité de </w:t>
      </w:r>
      <w:r w:rsidR="005C034B" w:rsidRPr="00CB783F">
        <w:rPr>
          <w:lang w:eastAsia="fr-FR"/>
        </w:rPr>
        <w:t>Montréal</w:t>
      </w:r>
      <w:r w:rsidR="00DB0B80" w:rsidRPr="00CB783F">
        <w:rPr>
          <w:lang w:eastAsia="fr-FR"/>
        </w:rPr>
        <w:t>,</w:t>
      </w:r>
      <w:r w:rsidR="00020312" w:rsidRPr="00CB783F">
        <w:rPr>
          <w:lang w:eastAsia="fr-FR"/>
        </w:rPr>
        <w:t xml:space="preserve"> </w:t>
      </w:r>
      <w:r w:rsidR="005C034B" w:rsidRPr="00CB783F">
        <w:rPr>
          <w:lang w:eastAsia="fr-FR"/>
        </w:rPr>
        <w:t>où</w:t>
      </w:r>
      <w:r w:rsidR="005C034B" w:rsidRPr="00FF03AB">
        <w:rPr>
          <w:lang w:eastAsia="fr-FR"/>
        </w:rPr>
        <w:t xml:space="preserve"> il sera hospitalisé à compter du 14</w:t>
      </w:r>
      <w:r w:rsidR="00DB0B80">
        <w:rPr>
          <w:lang w:eastAsia="fr-FR"/>
        </w:rPr>
        <w:t> </w:t>
      </w:r>
      <w:r w:rsidR="005C034B" w:rsidRPr="00FF03AB">
        <w:rPr>
          <w:lang w:eastAsia="fr-FR"/>
        </w:rPr>
        <w:t>février 2020 jusqu’au 17 mars 2020. Il sera vu immédiatement</w:t>
      </w:r>
      <w:r w:rsidR="005C034B" w:rsidRPr="005C034B">
        <w:rPr>
          <w:lang w:eastAsia="fr-FR"/>
        </w:rPr>
        <w:t xml:space="preserve"> en hématologie. Lors de la rencontre du 14 février 2020, l’hématologue note à l’histoire que le travailleur présente un érythème et œdème à l’œil, accompagné</w:t>
      </w:r>
      <w:r w:rsidR="00DA2B88" w:rsidRPr="00CB783F">
        <w:rPr>
          <w:lang w:eastAsia="fr-FR"/>
        </w:rPr>
        <w:t>s</w:t>
      </w:r>
      <w:r w:rsidR="005C034B" w:rsidRPr="005C034B">
        <w:rPr>
          <w:lang w:eastAsia="fr-FR"/>
        </w:rPr>
        <w:t xml:space="preserve"> d’une hypoacousie qui évolue depuis, de la fatigue depuis environ 2-3 semaines, des étourdissements, des sueurs froides, frissons et fièvre, des maux de gorge depuis </w:t>
      </w:r>
      <w:r w:rsidR="00DA2B88" w:rsidRPr="00CB783F">
        <w:rPr>
          <w:lang w:eastAsia="fr-FR"/>
        </w:rPr>
        <w:t>un</w:t>
      </w:r>
      <w:r w:rsidR="005C034B" w:rsidRPr="005C034B">
        <w:rPr>
          <w:lang w:eastAsia="fr-FR"/>
        </w:rPr>
        <w:t xml:space="preserve"> mois et demi ainsi que des adénopathies sous le menton.</w:t>
      </w:r>
    </w:p>
    <w:p w14:paraId="1325CE91" w14:textId="4E081CF8" w:rsidR="005C034B" w:rsidRPr="005A6FDE" w:rsidRDefault="005C034B" w:rsidP="00A97E82">
      <w:pPr>
        <w:pStyle w:val="corpsdedcision"/>
        <w:spacing w:after="440"/>
        <w:rPr>
          <w:lang w:eastAsia="fr-FR"/>
        </w:rPr>
      </w:pPr>
      <w:r>
        <w:rPr>
          <w:lang w:eastAsia="fr-FR"/>
        </w:rPr>
        <w:t>En plus des hématologues, le travailleur sera rencontré aussi par plusieurs spécialistes durant son séjour à l’hôpital</w:t>
      </w:r>
      <w:r w:rsidR="00DA2B88" w:rsidRPr="00CB783F">
        <w:rPr>
          <w:lang w:eastAsia="fr-FR"/>
        </w:rPr>
        <w:t>,</w:t>
      </w:r>
      <w:r>
        <w:rPr>
          <w:lang w:eastAsia="fr-FR"/>
        </w:rPr>
        <w:t xml:space="preserve"> comme un ophtalmologiste et un </w:t>
      </w:r>
      <w:r w:rsidRPr="00CB783F">
        <w:rPr>
          <w:lang w:eastAsia="fr-FR"/>
        </w:rPr>
        <w:t>otorhinolaryngologiste.</w:t>
      </w:r>
      <w:r>
        <w:rPr>
          <w:lang w:eastAsia="fr-FR"/>
        </w:rPr>
        <w:t xml:space="preserve"> Des prises de sang sont </w:t>
      </w:r>
      <w:r w:rsidRPr="005C3BF6">
        <w:rPr>
          <w:lang w:eastAsia="fr-FR"/>
        </w:rPr>
        <w:t>effectuées</w:t>
      </w:r>
      <w:r w:rsidR="00CB783F" w:rsidRPr="005C3BF6">
        <w:rPr>
          <w:lang w:eastAsia="fr-FR"/>
        </w:rPr>
        <w:t xml:space="preserve"> et </w:t>
      </w:r>
      <w:r w:rsidRPr="005C3BF6">
        <w:rPr>
          <w:lang w:eastAsia="fr-FR"/>
        </w:rPr>
        <w:t>des biopsies, plusieurs tomodensitométries sont réalisées ainsi qu’un examen d’imagerie</w:t>
      </w:r>
      <w:r>
        <w:rPr>
          <w:lang w:eastAsia="fr-FR"/>
        </w:rPr>
        <w:t xml:space="preserve"> par résonance magnétique cérébral. Une leucémie aiguë </w:t>
      </w:r>
      <w:r w:rsidRPr="00CB783F">
        <w:rPr>
          <w:i/>
          <w:iCs/>
          <w:lang w:eastAsia="fr-FR"/>
        </w:rPr>
        <w:t>de novo</w:t>
      </w:r>
      <w:r>
        <w:rPr>
          <w:lang w:eastAsia="fr-FR"/>
        </w:rPr>
        <w:t xml:space="preserve"> est rapidement l’hypothèse diagnostique. Une ponction lombaire est pratiquée le 19 février 2020 et des traitements de </w:t>
      </w:r>
      <w:r w:rsidRPr="005C034B">
        <w:rPr>
          <w:lang w:eastAsia="fr-FR"/>
        </w:rPr>
        <w:t>chimiothérapie sont débutés lors de</w:t>
      </w:r>
      <w:r>
        <w:rPr>
          <w:lang w:eastAsia="fr-FR"/>
        </w:rPr>
        <w:t xml:space="preserve"> cette première hospitalisation. Lors du départ, le</w:t>
      </w:r>
      <w:r w:rsidR="00DA2B88">
        <w:rPr>
          <w:lang w:eastAsia="fr-FR"/>
        </w:rPr>
        <w:t> </w:t>
      </w:r>
      <w:r>
        <w:rPr>
          <w:lang w:eastAsia="fr-FR"/>
        </w:rPr>
        <w:t xml:space="preserve">17 mars 2020, la feuille sommaire d’hospitalisation indique un </w:t>
      </w:r>
      <w:r w:rsidRPr="005A6FDE">
        <w:rPr>
          <w:lang w:eastAsia="fr-FR"/>
        </w:rPr>
        <w:t xml:space="preserve">diagnostic de leucémie myéloïde chronique </w:t>
      </w:r>
      <w:r w:rsidR="00CB783F" w:rsidRPr="005A6FDE">
        <w:rPr>
          <w:lang w:eastAsia="fr-FR"/>
        </w:rPr>
        <w:t xml:space="preserve">en </w:t>
      </w:r>
      <w:r w:rsidRPr="005A6FDE">
        <w:rPr>
          <w:lang w:eastAsia="fr-FR"/>
        </w:rPr>
        <w:t xml:space="preserve">phase blastique ou </w:t>
      </w:r>
      <w:r w:rsidR="00243B60" w:rsidRPr="005A6FDE">
        <w:rPr>
          <w:lang w:eastAsia="fr-FR"/>
        </w:rPr>
        <w:t>de leucémie myéloïde aig</w:t>
      </w:r>
      <w:r w:rsidR="00540F19" w:rsidRPr="005A6FDE">
        <w:rPr>
          <w:lang w:eastAsia="fr-FR"/>
        </w:rPr>
        <w:t>uë</w:t>
      </w:r>
      <w:r w:rsidRPr="005A6FDE">
        <w:rPr>
          <w:lang w:eastAsia="fr-FR"/>
        </w:rPr>
        <w:t xml:space="preserve"> avec chromosome Philadelphie</w:t>
      </w:r>
      <w:r w:rsidR="005C3BF6" w:rsidRPr="005A6FDE">
        <w:rPr>
          <w:lang w:eastAsia="fr-FR"/>
        </w:rPr>
        <w:t xml:space="preserve">. </w:t>
      </w:r>
      <w:r w:rsidRPr="005A6FDE">
        <w:rPr>
          <w:lang w:eastAsia="fr-FR"/>
        </w:rPr>
        <w:t>Le travailleur sera suivi ensuite par docteur Harold Olney, hématologue.</w:t>
      </w:r>
    </w:p>
    <w:p w14:paraId="75F2048C" w14:textId="48533AB0" w:rsidR="00CD51EC" w:rsidRDefault="00CD51EC" w:rsidP="00A97E82">
      <w:pPr>
        <w:pStyle w:val="corpsdedcision"/>
        <w:spacing w:after="440"/>
        <w:rPr>
          <w:lang w:eastAsia="fr-FR"/>
        </w:rPr>
      </w:pPr>
      <w:r>
        <w:rPr>
          <w:lang w:eastAsia="fr-FR"/>
        </w:rPr>
        <w:t>Le 25 février 2020</w:t>
      </w:r>
      <w:r w:rsidRPr="007B57B1">
        <w:rPr>
          <w:lang w:eastAsia="fr-FR"/>
        </w:rPr>
        <w:t xml:space="preserve">, </w:t>
      </w:r>
      <w:r w:rsidR="00116521" w:rsidRPr="007B57B1">
        <w:rPr>
          <w:lang w:eastAsia="fr-FR"/>
        </w:rPr>
        <w:t xml:space="preserve">la </w:t>
      </w:r>
      <w:r w:rsidRPr="007B57B1">
        <w:rPr>
          <w:lang w:eastAsia="fr-FR"/>
        </w:rPr>
        <w:t>docteure Baillargeon</w:t>
      </w:r>
      <w:r w:rsidR="002E0A75" w:rsidRPr="007B57B1">
        <w:rPr>
          <w:lang w:eastAsia="fr-FR"/>
        </w:rPr>
        <w:t>,</w:t>
      </w:r>
      <w:r w:rsidRPr="007B57B1">
        <w:rPr>
          <w:lang w:eastAsia="fr-FR"/>
        </w:rPr>
        <w:t xml:space="preserve"> de</w:t>
      </w:r>
      <w:r w:rsidRPr="00983673">
        <w:rPr>
          <w:lang w:eastAsia="fr-FR"/>
        </w:rPr>
        <w:t xml:space="preserve"> la </w:t>
      </w:r>
      <w:r w:rsidR="00DA2B88" w:rsidRPr="00DE7869">
        <w:rPr>
          <w:lang w:eastAsia="fr-FR"/>
        </w:rPr>
        <w:t>C</w:t>
      </w:r>
      <w:r w:rsidRPr="00DE7869">
        <w:rPr>
          <w:lang w:eastAsia="fr-FR"/>
        </w:rPr>
        <w:t>li</w:t>
      </w:r>
      <w:r w:rsidRPr="00983673">
        <w:rPr>
          <w:lang w:eastAsia="fr-FR"/>
        </w:rPr>
        <w:t>nique de médecine du travail et de l’environnement</w:t>
      </w:r>
      <w:r>
        <w:rPr>
          <w:lang w:eastAsia="fr-FR"/>
        </w:rPr>
        <w:t xml:space="preserve">, est consultée à la demande </w:t>
      </w:r>
      <w:r w:rsidRPr="00DE7869">
        <w:rPr>
          <w:lang w:eastAsia="fr-FR"/>
        </w:rPr>
        <w:t>d</w:t>
      </w:r>
      <w:r w:rsidR="00116521" w:rsidRPr="00DE7869">
        <w:rPr>
          <w:lang w:eastAsia="fr-FR"/>
        </w:rPr>
        <w:t>u</w:t>
      </w:r>
      <w:r>
        <w:rPr>
          <w:lang w:eastAsia="fr-FR"/>
        </w:rPr>
        <w:t xml:space="preserve"> </w:t>
      </w:r>
      <w:r w:rsidR="005C034B" w:rsidRPr="009A5DBA">
        <w:rPr>
          <w:lang w:eastAsia="fr-FR"/>
        </w:rPr>
        <w:t>docteur</w:t>
      </w:r>
      <w:r w:rsidRPr="009A5DBA">
        <w:rPr>
          <w:lang w:eastAsia="fr-FR"/>
        </w:rPr>
        <w:t xml:space="preserve"> Olney</w:t>
      </w:r>
      <w:r w:rsidRPr="00BC36D2">
        <w:rPr>
          <w:lang w:eastAsia="fr-FR"/>
        </w:rPr>
        <w:t xml:space="preserve"> </w:t>
      </w:r>
      <w:r>
        <w:rPr>
          <w:lang w:eastAsia="fr-FR"/>
        </w:rPr>
        <w:t xml:space="preserve">pour évaluer la relation entre la leucémie </w:t>
      </w:r>
      <w:r w:rsidR="002E0A75">
        <w:rPr>
          <w:lang w:eastAsia="fr-FR"/>
        </w:rPr>
        <w:t xml:space="preserve">diagnostiquée </w:t>
      </w:r>
      <w:r>
        <w:rPr>
          <w:lang w:eastAsia="fr-FR"/>
        </w:rPr>
        <w:t xml:space="preserve">et des expositions chimiques au travail. </w:t>
      </w:r>
      <w:r w:rsidR="00116521" w:rsidRPr="00DE7869">
        <w:rPr>
          <w:lang w:eastAsia="fr-FR"/>
        </w:rPr>
        <w:t>La</w:t>
      </w:r>
      <w:r w:rsidR="00116521">
        <w:rPr>
          <w:lang w:eastAsia="fr-FR"/>
        </w:rPr>
        <w:t> </w:t>
      </w:r>
      <w:r w:rsidR="00116521" w:rsidRPr="00116521">
        <w:rPr>
          <w:lang w:eastAsia="fr-FR"/>
        </w:rPr>
        <w:t>d</w:t>
      </w:r>
      <w:r w:rsidRPr="00116521">
        <w:rPr>
          <w:lang w:eastAsia="fr-FR"/>
        </w:rPr>
        <w:t>octeure Baillargeon mentionne qu’une évaluation préliminaire par une infirmière</w:t>
      </w:r>
      <w:r>
        <w:rPr>
          <w:lang w:eastAsia="fr-FR"/>
        </w:rPr>
        <w:t xml:space="preserve"> en médecine du travail a été réalisée le 21 février précédent.</w:t>
      </w:r>
    </w:p>
    <w:p w14:paraId="60A55A74" w14:textId="5AF9AB50" w:rsidR="00CD51EC" w:rsidRPr="005C3BF6" w:rsidRDefault="00CD51EC" w:rsidP="00A97E82">
      <w:pPr>
        <w:pStyle w:val="corpsdedcision"/>
        <w:spacing w:after="440"/>
        <w:rPr>
          <w:lang w:eastAsia="fr-FR"/>
        </w:rPr>
      </w:pPr>
      <w:r>
        <w:rPr>
          <w:lang w:eastAsia="fr-FR"/>
        </w:rPr>
        <w:t xml:space="preserve">L’opinion </w:t>
      </w:r>
      <w:r w:rsidRPr="00DE7869">
        <w:rPr>
          <w:lang w:eastAsia="fr-FR"/>
        </w:rPr>
        <w:t xml:space="preserve">de </w:t>
      </w:r>
      <w:r w:rsidR="00116521" w:rsidRPr="00DE7869">
        <w:rPr>
          <w:lang w:eastAsia="fr-FR"/>
        </w:rPr>
        <w:t xml:space="preserve">la </w:t>
      </w:r>
      <w:r w:rsidRPr="00DE7869">
        <w:rPr>
          <w:lang w:eastAsia="fr-FR"/>
        </w:rPr>
        <w:t>docteure</w:t>
      </w:r>
      <w:r>
        <w:rPr>
          <w:lang w:eastAsia="fr-FR"/>
        </w:rPr>
        <w:t xml:space="preserve"> Baillargeon comporte une revue des tâches exercées par le travailleur</w:t>
      </w:r>
      <w:r w:rsidR="002E0A75">
        <w:rPr>
          <w:lang w:eastAsia="fr-FR"/>
        </w:rPr>
        <w:t xml:space="preserve">, </w:t>
      </w:r>
      <w:r>
        <w:rPr>
          <w:lang w:eastAsia="fr-FR"/>
        </w:rPr>
        <w:t>des produits utilisés</w:t>
      </w:r>
      <w:r w:rsidR="002E0A75">
        <w:rPr>
          <w:lang w:eastAsia="fr-FR"/>
        </w:rPr>
        <w:t xml:space="preserve"> </w:t>
      </w:r>
      <w:r w:rsidR="002E0A75" w:rsidRPr="005C3BF6">
        <w:rPr>
          <w:lang w:eastAsia="fr-FR"/>
        </w:rPr>
        <w:t xml:space="preserve">et </w:t>
      </w:r>
      <w:r w:rsidR="00DE7869" w:rsidRPr="005C3BF6">
        <w:rPr>
          <w:lang w:eastAsia="fr-FR"/>
        </w:rPr>
        <w:t>un</w:t>
      </w:r>
      <w:r w:rsidR="002E0A75" w:rsidRPr="005C3BF6">
        <w:rPr>
          <w:lang w:eastAsia="fr-FR"/>
        </w:rPr>
        <w:t xml:space="preserve"> compte rendu des examens physique, neurologique et mental réalisés</w:t>
      </w:r>
      <w:r w:rsidRPr="005C3BF6">
        <w:rPr>
          <w:lang w:eastAsia="fr-FR"/>
        </w:rPr>
        <w:t xml:space="preserve">. </w:t>
      </w:r>
    </w:p>
    <w:p w14:paraId="428C0E0D" w14:textId="77777777" w:rsidR="00CD51EC" w:rsidRDefault="00CD51EC" w:rsidP="00A97E82">
      <w:pPr>
        <w:pStyle w:val="corpsdedcision"/>
        <w:spacing w:after="440"/>
        <w:rPr>
          <w:lang w:eastAsia="fr-FR"/>
        </w:rPr>
      </w:pPr>
      <w:r>
        <w:rPr>
          <w:lang w:eastAsia="fr-FR"/>
        </w:rPr>
        <w:t>Elle note que bien que le travailleur porte des gants, ceux-ci fondent au contact des solvants et que la peau se fissure. Des masques de type coquille blanche sont à la disposition des travailleurs, mais le travailleur n’en porte pas, les jugeant inefficaces. Il y a présence d’odeurs dans l’usine. Elle note aussi que l’employeur ne fournit aucun survêtement de travail et que les vêtements du travailleur ne sont pas entretenus par l’employeur.</w:t>
      </w:r>
    </w:p>
    <w:p w14:paraId="1203D082" w14:textId="1ABE6C9C" w:rsidR="00CD51EC" w:rsidRDefault="00CD51EC" w:rsidP="00842C02">
      <w:pPr>
        <w:pStyle w:val="corpsdedcision"/>
        <w:spacing w:after="400"/>
        <w:rPr>
          <w:lang w:eastAsia="fr-FR"/>
        </w:rPr>
      </w:pPr>
      <w:r>
        <w:rPr>
          <w:lang w:eastAsia="fr-FR"/>
        </w:rPr>
        <w:t xml:space="preserve">Le questionnaire Euroquest est </w:t>
      </w:r>
      <w:r w:rsidR="002E0A75">
        <w:rPr>
          <w:lang w:eastAsia="fr-FR"/>
        </w:rPr>
        <w:t xml:space="preserve">également </w:t>
      </w:r>
      <w:r>
        <w:rPr>
          <w:lang w:eastAsia="fr-FR"/>
        </w:rPr>
        <w:t>administré au travailleur</w:t>
      </w:r>
      <w:r w:rsidRPr="00116521">
        <w:rPr>
          <w:lang w:eastAsia="fr-FR"/>
        </w:rPr>
        <w:t xml:space="preserve">. </w:t>
      </w:r>
      <w:r w:rsidR="00116521" w:rsidRPr="00DE7869">
        <w:rPr>
          <w:lang w:eastAsia="fr-FR"/>
        </w:rPr>
        <w:t>La</w:t>
      </w:r>
      <w:r w:rsidR="00116521" w:rsidRPr="00116521">
        <w:rPr>
          <w:lang w:eastAsia="fr-FR"/>
        </w:rPr>
        <w:t xml:space="preserve"> d</w:t>
      </w:r>
      <w:r w:rsidRPr="00116521">
        <w:rPr>
          <w:lang w:eastAsia="fr-FR"/>
        </w:rPr>
        <w:t>octeure</w:t>
      </w:r>
      <w:r>
        <w:rPr>
          <w:lang w:eastAsia="fr-FR"/>
        </w:rPr>
        <w:t xml:space="preserve"> Baillargeon explique à sa note qu’il s’agit d’un questionnaire qui vise « </w:t>
      </w:r>
      <w:r w:rsidRPr="00AD5EEC">
        <w:rPr>
          <w:rStyle w:val="Citationintgre"/>
        </w:rPr>
        <w:t>à mesurer l’état ou l’évolution de symptômes dans le cas d’une exposition professionnelle à des neurotoxiques</w:t>
      </w:r>
      <w:r>
        <w:rPr>
          <w:lang w:eastAsia="fr-FR"/>
        </w:rPr>
        <w:t xml:space="preserve"> ». </w:t>
      </w:r>
      <w:r w:rsidR="00116521" w:rsidRPr="00DE7869">
        <w:rPr>
          <w:lang w:eastAsia="fr-FR"/>
        </w:rPr>
        <w:t>La</w:t>
      </w:r>
      <w:r w:rsidR="00116521" w:rsidRPr="00116521">
        <w:rPr>
          <w:lang w:eastAsia="fr-FR"/>
        </w:rPr>
        <w:t xml:space="preserve"> d</w:t>
      </w:r>
      <w:r w:rsidRPr="00116521">
        <w:rPr>
          <w:lang w:eastAsia="fr-FR"/>
        </w:rPr>
        <w:t xml:space="preserve">octeure </w:t>
      </w:r>
      <w:r w:rsidRPr="005C3BF6">
        <w:rPr>
          <w:lang w:eastAsia="fr-FR"/>
        </w:rPr>
        <w:t xml:space="preserve">Baillargeon </w:t>
      </w:r>
      <w:r w:rsidR="00DE7869" w:rsidRPr="005C3BF6">
        <w:rPr>
          <w:lang w:eastAsia="fr-FR"/>
        </w:rPr>
        <w:t xml:space="preserve">souligne </w:t>
      </w:r>
      <w:r w:rsidRPr="005C3BF6">
        <w:rPr>
          <w:lang w:eastAsia="fr-FR"/>
        </w:rPr>
        <w:t>que le travailleur présente des symptômes particulièrement dans les sphères suivantes</w:t>
      </w:r>
      <w:r>
        <w:rPr>
          <w:lang w:eastAsia="fr-FR"/>
        </w:rPr>
        <w:t xml:space="preserve"> du questionnaire : symptômes </w:t>
      </w:r>
      <w:r w:rsidRPr="005C034B">
        <w:rPr>
          <w:lang w:eastAsia="fr-FR"/>
        </w:rPr>
        <w:t>aigus,</w:t>
      </w:r>
      <w:r>
        <w:rPr>
          <w:lang w:eastAsia="fr-FR"/>
        </w:rPr>
        <w:t xml:space="preserve"> troubles de la concentration, trouble de l’humeur et anxiété. Elle précise que les symptômes s’améliorent lorsque le travailleur est absent du travail et durant les fins de semaine</w:t>
      </w:r>
      <w:r w:rsidR="00DA2B88" w:rsidRPr="00DE7869">
        <w:rPr>
          <w:lang w:eastAsia="fr-FR"/>
        </w:rPr>
        <w:t>,</w:t>
      </w:r>
      <w:r>
        <w:rPr>
          <w:lang w:eastAsia="fr-FR"/>
        </w:rPr>
        <w:t xml:space="preserve"> où une amélioration notable des symptômes est rapportée, sauf la fatigue. Cependant, </w:t>
      </w:r>
      <w:r w:rsidR="002E0A75">
        <w:rPr>
          <w:lang w:eastAsia="fr-FR"/>
        </w:rPr>
        <w:t xml:space="preserve">le travailleur rapporte que </w:t>
      </w:r>
      <w:r>
        <w:rPr>
          <w:lang w:eastAsia="fr-FR"/>
        </w:rPr>
        <w:t>durant des vacances de deux semaines, la fatigue s’estompe.</w:t>
      </w:r>
    </w:p>
    <w:p w14:paraId="3762BF27" w14:textId="5547A8FC" w:rsidR="00CD51EC" w:rsidRDefault="00116521" w:rsidP="00842C02">
      <w:pPr>
        <w:pStyle w:val="corpsdedcision"/>
        <w:spacing w:after="400"/>
        <w:rPr>
          <w:lang w:eastAsia="fr-FR"/>
        </w:rPr>
      </w:pPr>
      <w:r w:rsidRPr="00DE7869">
        <w:rPr>
          <w:lang w:eastAsia="fr-FR"/>
        </w:rPr>
        <w:t>La d</w:t>
      </w:r>
      <w:r w:rsidR="00CD51EC" w:rsidRPr="00DE7869">
        <w:rPr>
          <w:lang w:eastAsia="fr-FR"/>
        </w:rPr>
        <w:t>o</w:t>
      </w:r>
      <w:r w:rsidR="00CD51EC" w:rsidRPr="00116521">
        <w:rPr>
          <w:lang w:eastAsia="fr-FR"/>
        </w:rPr>
        <w:t>cteure</w:t>
      </w:r>
      <w:r w:rsidR="00CD51EC">
        <w:rPr>
          <w:lang w:eastAsia="fr-FR"/>
        </w:rPr>
        <w:t xml:space="preserve"> Baillargeon effectue ensuite une revue des fiches signalétiques de</w:t>
      </w:r>
      <w:r w:rsidR="002E0A75">
        <w:rPr>
          <w:lang w:eastAsia="fr-FR"/>
        </w:rPr>
        <w:t>s</w:t>
      </w:r>
      <w:r w:rsidR="00CD51EC">
        <w:rPr>
          <w:lang w:eastAsia="fr-FR"/>
        </w:rPr>
        <w:t xml:space="preserve"> principaux produits utilisés. </w:t>
      </w:r>
      <w:r w:rsidR="002E0A75">
        <w:rPr>
          <w:lang w:eastAsia="fr-FR"/>
        </w:rPr>
        <w:t>E</w:t>
      </w:r>
      <w:r w:rsidR="00CD51EC">
        <w:rPr>
          <w:lang w:eastAsia="fr-FR"/>
        </w:rPr>
        <w:t xml:space="preserve">lle conclut son analyse en posant le diagnostic d’intoxications aiguës à répétition à des solvants. Elle </w:t>
      </w:r>
      <w:r w:rsidR="002E0A75">
        <w:rPr>
          <w:lang w:eastAsia="fr-FR"/>
        </w:rPr>
        <w:t>demande une évaluation</w:t>
      </w:r>
      <w:r w:rsidR="00CD51EC">
        <w:rPr>
          <w:lang w:eastAsia="fr-FR"/>
        </w:rPr>
        <w:t xml:space="preserve"> urgente du milieu de travail par la Direction de santé publique</w:t>
      </w:r>
      <w:r w:rsidR="00CE51BF" w:rsidRPr="00CE51BF">
        <w:t xml:space="preserve"> </w:t>
      </w:r>
      <w:r w:rsidR="00CE51BF" w:rsidRPr="00DE7869">
        <w:rPr>
          <w:lang w:eastAsia="fr-FR"/>
        </w:rPr>
        <w:t>de Lanaudière</w:t>
      </w:r>
      <w:r w:rsidR="00CD51EC" w:rsidRPr="00DE7869">
        <w:rPr>
          <w:lang w:eastAsia="fr-FR"/>
        </w:rPr>
        <w:t>.</w:t>
      </w:r>
      <w:r w:rsidR="00CD51EC">
        <w:rPr>
          <w:lang w:eastAsia="fr-FR"/>
        </w:rPr>
        <w:t xml:space="preserve"> Elle rédige une Attestation médicale à l’intention de la Commission</w:t>
      </w:r>
      <w:r w:rsidR="002E0A75">
        <w:rPr>
          <w:lang w:eastAsia="fr-FR"/>
        </w:rPr>
        <w:t xml:space="preserve"> où le diagnostic d’intoxications répétées à des solvants est mentionné</w:t>
      </w:r>
      <w:r w:rsidR="00CD51EC">
        <w:rPr>
          <w:lang w:eastAsia="fr-FR"/>
        </w:rPr>
        <w:t xml:space="preserve">. </w:t>
      </w:r>
    </w:p>
    <w:p w14:paraId="624C1049" w14:textId="6AF0754D" w:rsidR="00CD51EC" w:rsidRDefault="00CD51EC" w:rsidP="00842C02">
      <w:pPr>
        <w:pStyle w:val="corpsdedcision"/>
        <w:spacing w:after="400"/>
        <w:rPr>
          <w:lang w:eastAsia="fr-FR"/>
        </w:rPr>
      </w:pPr>
      <w:r>
        <w:rPr>
          <w:lang w:eastAsia="fr-FR"/>
        </w:rPr>
        <w:t>Le 14 mai 2020</w:t>
      </w:r>
      <w:r w:rsidRPr="00116521">
        <w:rPr>
          <w:lang w:eastAsia="fr-FR"/>
        </w:rPr>
        <w:t xml:space="preserve">, </w:t>
      </w:r>
      <w:r w:rsidR="006A09BA" w:rsidRPr="00116521">
        <w:rPr>
          <w:lang w:eastAsia="fr-FR"/>
        </w:rPr>
        <w:t xml:space="preserve">la </w:t>
      </w:r>
      <w:r w:rsidRPr="00116521">
        <w:rPr>
          <w:lang w:eastAsia="fr-FR"/>
        </w:rPr>
        <w:t xml:space="preserve">docteure Baillargeon rédige un deuxième avis </w:t>
      </w:r>
      <w:r w:rsidR="002E0A75" w:rsidRPr="00116521">
        <w:rPr>
          <w:lang w:eastAsia="fr-FR"/>
        </w:rPr>
        <w:t>analysant</w:t>
      </w:r>
      <w:r w:rsidRPr="00116521">
        <w:rPr>
          <w:lang w:eastAsia="fr-FR"/>
        </w:rPr>
        <w:t xml:space="preserve"> la relation entre la leucémie myéloïde chronique</w:t>
      </w:r>
      <w:r>
        <w:rPr>
          <w:lang w:eastAsia="fr-FR"/>
        </w:rPr>
        <w:t xml:space="preserve"> en phase blastique et le travail, toujours à la suite de la demande du docteur Olne</w:t>
      </w:r>
      <w:r w:rsidR="002B10E8">
        <w:rPr>
          <w:lang w:eastAsia="fr-FR"/>
        </w:rPr>
        <w:t>y</w:t>
      </w:r>
      <w:r>
        <w:rPr>
          <w:lang w:eastAsia="fr-FR"/>
        </w:rPr>
        <w:t>. Elle rédige à cet égard une deuxième Attestation médicale à l’intention de la Commission</w:t>
      </w:r>
      <w:r w:rsidR="002E0A75">
        <w:rPr>
          <w:lang w:eastAsia="fr-FR"/>
        </w:rPr>
        <w:t xml:space="preserve"> qui renferme le diagnostic de </w:t>
      </w:r>
      <w:r w:rsidR="002E0A75" w:rsidRPr="002E0A75">
        <w:rPr>
          <w:rStyle w:val="Citationintgre"/>
          <w:i w:val="0"/>
          <w:iCs/>
          <w:sz w:val="24"/>
          <w:szCs w:val="24"/>
        </w:rPr>
        <w:t xml:space="preserve">leucémie myéloïde chronique en phase blastique en relation avec </w:t>
      </w:r>
      <w:r w:rsidR="000654AC">
        <w:rPr>
          <w:rStyle w:val="Citationintgre"/>
          <w:i w:val="0"/>
          <w:iCs/>
          <w:sz w:val="24"/>
          <w:szCs w:val="24"/>
        </w:rPr>
        <w:t xml:space="preserve">une </w:t>
      </w:r>
      <w:r w:rsidR="002E0A75" w:rsidRPr="002E0A75">
        <w:rPr>
          <w:rStyle w:val="Citationintgre"/>
          <w:i w:val="0"/>
          <w:iCs/>
          <w:sz w:val="24"/>
          <w:szCs w:val="24"/>
        </w:rPr>
        <w:t>exposition importante à des solvants</w:t>
      </w:r>
      <w:r>
        <w:rPr>
          <w:lang w:eastAsia="fr-FR"/>
        </w:rPr>
        <w:t>.</w:t>
      </w:r>
    </w:p>
    <w:p w14:paraId="1B19A78C" w14:textId="4F95A040" w:rsidR="00CD51EC" w:rsidRPr="00DE7869" w:rsidRDefault="00CD51EC" w:rsidP="00842C02">
      <w:pPr>
        <w:pStyle w:val="corpsdedcision"/>
        <w:spacing w:after="400"/>
        <w:rPr>
          <w:lang w:eastAsia="fr-FR"/>
        </w:rPr>
      </w:pPr>
      <w:r>
        <w:rPr>
          <w:lang w:eastAsia="fr-FR"/>
        </w:rPr>
        <w:t xml:space="preserve">Le travailleur est hospitalisé à trois reprises pour des traitements de chimiothérapie. Il est ensuite dirigé à </w:t>
      </w:r>
      <w:r w:rsidRPr="00DE7869">
        <w:rPr>
          <w:lang w:eastAsia="fr-FR"/>
        </w:rPr>
        <w:t>l’</w:t>
      </w:r>
      <w:r w:rsidR="00CE51BF" w:rsidRPr="00DE7869">
        <w:rPr>
          <w:lang w:eastAsia="fr-FR"/>
        </w:rPr>
        <w:t>H</w:t>
      </w:r>
      <w:r w:rsidRPr="00DE7869">
        <w:rPr>
          <w:lang w:eastAsia="fr-FR"/>
        </w:rPr>
        <w:t>ôpital Maisonneuve-Rosemont pour une greffe de mo</w:t>
      </w:r>
      <w:r w:rsidR="00CE51BF" w:rsidRPr="00DE7869">
        <w:rPr>
          <w:lang w:eastAsia="fr-FR"/>
        </w:rPr>
        <w:t>ë</w:t>
      </w:r>
      <w:r w:rsidRPr="00DE7869">
        <w:rPr>
          <w:lang w:eastAsia="fr-FR"/>
        </w:rPr>
        <w:t>lle osseuse</w:t>
      </w:r>
      <w:r w:rsidR="000654AC" w:rsidRPr="00DE7869">
        <w:rPr>
          <w:lang w:eastAsia="fr-FR"/>
        </w:rPr>
        <w:t xml:space="preserve"> </w:t>
      </w:r>
      <w:r w:rsidR="0019336A" w:rsidRPr="00DE7869">
        <w:rPr>
          <w:lang w:eastAsia="fr-FR"/>
        </w:rPr>
        <w:t>le 22 avril 2020</w:t>
      </w:r>
      <w:r w:rsidRPr="00DE7869">
        <w:rPr>
          <w:lang w:eastAsia="fr-FR"/>
        </w:rPr>
        <w:t>.</w:t>
      </w:r>
    </w:p>
    <w:p w14:paraId="423D7655" w14:textId="0B9E8BF5" w:rsidR="00CD51EC" w:rsidRPr="007B57B1" w:rsidRDefault="00CD51EC" w:rsidP="00842C02">
      <w:pPr>
        <w:pStyle w:val="corpsdedcision"/>
        <w:spacing w:after="400"/>
        <w:rPr>
          <w:lang w:eastAsia="fr-FR"/>
        </w:rPr>
      </w:pPr>
      <w:r>
        <w:rPr>
          <w:lang w:eastAsia="fr-FR"/>
        </w:rPr>
        <w:t xml:space="preserve">C’est dans </w:t>
      </w:r>
      <w:r w:rsidR="000654AC">
        <w:rPr>
          <w:lang w:eastAsia="fr-FR"/>
        </w:rPr>
        <w:t>l</w:t>
      </w:r>
      <w:r>
        <w:rPr>
          <w:lang w:eastAsia="fr-FR"/>
        </w:rPr>
        <w:t xml:space="preserve">e contexte </w:t>
      </w:r>
      <w:r w:rsidR="000654AC">
        <w:rPr>
          <w:lang w:eastAsia="fr-FR"/>
        </w:rPr>
        <w:t xml:space="preserve">de la greffe de </w:t>
      </w:r>
      <w:r w:rsidR="000654AC" w:rsidRPr="00DE7869">
        <w:rPr>
          <w:lang w:eastAsia="fr-FR"/>
        </w:rPr>
        <w:t>mo</w:t>
      </w:r>
      <w:r w:rsidR="00CE51BF" w:rsidRPr="00DE7869">
        <w:rPr>
          <w:lang w:eastAsia="fr-FR"/>
        </w:rPr>
        <w:t>ë</w:t>
      </w:r>
      <w:r w:rsidR="000654AC" w:rsidRPr="00DE7869">
        <w:rPr>
          <w:lang w:eastAsia="fr-FR"/>
        </w:rPr>
        <w:t xml:space="preserve">lle osseuse </w:t>
      </w:r>
      <w:r w:rsidRPr="00DE7869">
        <w:rPr>
          <w:lang w:eastAsia="fr-FR"/>
        </w:rPr>
        <w:t xml:space="preserve">que </w:t>
      </w:r>
      <w:r w:rsidR="006A09BA" w:rsidRPr="00DE7869">
        <w:rPr>
          <w:lang w:eastAsia="fr-FR"/>
        </w:rPr>
        <w:t xml:space="preserve">la </w:t>
      </w:r>
      <w:r w:rsidRPr="00DE7869">
        <w:rPr>
          <w:lang w:eastAsia="fr-FR"/>
        </w:rPr>
        <w:t>docteure Léa Bernard, hématologue, prend en charge le travailleur</w:t>
      </w:r>
      <w:r w:rsidR="0019336A" w:rsidRPr="00DE7869">
        <w:rPr>
          <w:lang w:eastAsia="fr-FR"/>
        </w:rPr>
        <w:t xml:space="preserve"> </w:t>
      </w:r>
      <w:r w:rsidRPr="00DE7869">
        <w:rPr>
          <w:lang w:eastAsia="fr-FR"/>
        </w:rPr>
        <w:t>et assure le suivi des traitements pour le diagnostic de leucémie myéloïde aig</w:t>
      </w:r>
      <w:r w:rsidR="00540F19" w:rsidRPr="00DE7869">
        <w:rPr>
          <w:lang w:eastAsia="fr-FR"/>
        </w:rPr>
        <w:t>uë</w:t>
      </w:r>
      <w:r w:rsidRPr="00DE7869">
        <w:rPr>
          <w:lang w:eastAsia="fr-FR"/>
        </w:rPr>
        <w:t xml:space="preserve"> avec chromosome </w:t>
      </w:r>
      <w:r w:rsidR="00CB783F" w:rsidRPr="00DE7869">
        <w:rPr>
          <w:lang w:eastAsia="fr-FR"/>
        </w:rPr>
        <w:t>Philadelphie</w:t>
      </w:r>
      <w:r w:rsidRPr="00DE7869">
        <w:rPr>
          <w:lang w:eastAsia="fr-FR"/>
        </w:rPr>
        <w:t>.</w:t>
      </w:r>
    </w:p>
    <w:p w14:paraId="4AF177DD" w14:textId="6CBDA3D0" w:rsidR="00CD51EC" w:rsidRPr="007B57B1" w:rsidRDefault="00CD51EC" w:rsidP="00842C02">
      <w:pPr>
        <w:pStyle w:val="corpsdedcision"/>
        <w:spacing w:after="400"/>
        <w:rPr>
          <w:lang w:eastAsia="fr-FR"/>
        </w:rPr>
      </w:pPr>
      <w:r w:rsidRPr="007B57B1">
        <w:rPr>
          <w:lang w:eastAsia="fr-FR"/>
        </w:rPr>
        <w:t xml:space="preserve">Dans cette affaire, deux rapports d’hygiène industrielle sont réalisés par la Direction de santé publique de Lanaudière. </w:t>
      </w:r>
    </w:p>
    <w:p w14:paraId="2C904316" w14:textId="57697174" w:rsidR="00CD51EC" w:rsidRDefault="00CD51EC" w:rsidP="00842C02">
      <w:pPr>
        <w:pStyle w:val="corpsdedcision"/>
        <w:spacing w:after="400"/>
        <w:rPr>
          <w:lang w:eastAsia="fr-FR"/>
        </w:rPr>
      </w:pPr>
      <w:r>
        <w:rPr>
          <w:lang w:eastAsia="fr-FR"/>
        </w:rPr>
        <w:t xml:space="preserve">Au premier rapport </w:t>
      </w:r>
      <w:r w:rsidR="007B57B1" w:rsidRPr="00DE7869">
        <w:rPr>
          <w:lang w:eastAsia="fr-FR"/>
        </w:rPr>
        <w:t xml:space="preserve">du mois </w:t>
      </w:r>
      <w:r w:rsidRPr="00DE7869">
        <w:rPr>
          <w:lang w:eastAsia="fr-FR"/>
        </w:rPr>
        <w:t>de</w:t>
      </w:r>
      <w:r>
        <w:rPr>
          <w:lang w:eastAsia="fr-FR"/>
        </w:rPr>
        <w:t xml:space="preserve"> mars 2020, les recommandations suivantes sont émises :</w:t>
      </w:r>
    </w:p>
    <w:p w14:paraId="356A68C0" w14:textId="77777777" w:rsidR="00CD51EC" w:rsidRDefault="00CD51EC" w:rsidP="00EF573B">
      <w:pPr>
        <w:pStyle w:val="citation"/>
        <w:rPr>
          <w:lang w:eastAsia="fr-FR"/>
        </w:rPr>
      </w:pPr>
      <w:r>
        <w:rPr>
          <w:lang w:eastAsia="fr-FR"/>
        </w:rPr>
        <w:t>Suite aux observations et aux mesures de COV (produits chimiques) colligées lors de la visite du 11 mars 2020, des recommandations sont émises.</w:t>
      </w:r>
    </w:p>
    <w:p w14:paraId="4E416BB6" w14:textId="77777777" w:rsidR="00CD51EC" w:rsidRDefault="00CD51EC" w:rsidP="00EF573B">
      <w:pPr>
        <w:pStyle w:val="citation"/>
        <w:rPr>
          <w:lang w:eastAsia="fr-FR"/>
        </w:rPr>
      </w:pPr>
    </w:p>
    <w:p w14:paraId="3ECDF66A" w14:textId="45886F9A" w:rsidR="00CD51EC" w:rsidRDefault="00CD51EC" w:rsidP="00EF573B">
      <w:pPr>
        <w:pStyle w:val="citation"/>
        <w:tabs>
          <w:tab w:val="left" w:pos="993"/>
        </w:tabs>
        <w:ind w:left="993" w:hanging="273"/>
        <w:rPr>
          <w:lang w:eastAsia="fr-FR"/>
        </w:rPr>
      </w:pPr>
      <w:r>
        <w:rPr>
          <w:lang w:eastAsia="fr-FR"/>
        </w:rPr>
        <w:t>•</w:t>
      </w:r>
      <w:r w:rsidR="00CE51BF">
        <w:rPr>
          <w:lang w:eastAsia="fr-FR"/>
        </w:rPr>
        <w:tab/>
      </w:r>
      <w:r>
        <w:rPr>
          <w:lang w:eastAsia="fr-FR"/>
        </w:rPr>
        <w:t>Vérifier la possibilité d'ajouter une ventilation locale au poste où il y a utilisation de solvants.</w:t>
      </w:r>
    </w:p>
    <w:p w14:paraId="7E731D6A" w14:textId="77777777" w:rsidR="00CD51EC" w:rsidRDefault="00CD51EC" w:rsidP="00EF573B">
      <w:pPr>
        <w:pStyle w:val="citation"/>
        <w:rPr>
          <w:lang w:eastAsia="fr-FR"/>
        </w:rPr>
      </w:pPr>
    </w:p>
    <w:p w14:paraId="213C74B4" w14:textId="6F3333CB" w:rsidR="00CD51EC" w:rsidRDefault="00CD51EC" w:rsidP="00EF573B">
      <w:pPr>
        <w:pStyle w:val="citation"/>
        <w:tabs>
          <w:tab w:val="left" w:pos="993"/>
        </w:tabs>
        <w:ind w:left="993" w:hanging="273"/>
        <w:rPr>
          <w:lang w:eastAsia="fr-FR"/>
        </w:rPr>
      </w:pPr>
      <w:r>
        <w:rPr>
          <w:lang w:eastAsia="fr-FR"/>
        </w:rPr>
        <w:t>•</w:t>
      </w:r>
      <w:r w:rsidR="00CE51BF">
        <w:rPr>
          <w:lang w:eastAsia="fr-FR"/>
        </w:rPr>
        <w:tab/>
      </w:r>
      <w:r>
        <w:rPr>
          <w:lang w:eastAsia="fr-FR"/>
        </w:rPr>
        <w:t>Vérifier l'efficacité de la ventilation générale (nombre de changements d'air à l’heure respectant la réglementation) dans la zone de production.</w:t>
      </w:r>
    </w:p>
    <w:p w14:paraId="2755E759" w14:textId="77777777" w:rsidR="00CD51EC" w:rsidRDefault="00CD51EC" w:rsidP="00EF573B">
      <w:pPr>
        <w:pStyle w:val="citation"/>
        <w:rPr>
          <w:lang w:eastAsia="fr-FR"/>
        </w:rPr>
      </w:pPr>
    </w:p>
    <w:p w14:paraId="2598FF86" w14:textId="123502BD" w:rsidR="00CD51EC" w:rsidRDefault="00CD51EC" w:rsidP="00EF573B">
      <w:pPr>
        <w:pStyle w:val="citation"/>
        <w:tabs>
          <w:tab w:val="left" w:pos="993"/>
        </w:tabs>
        <w:ind w:left="993" w:hanging="273"/>
        <w:rPr>
          <w:lang w:eastAsia="fr-FR"/>
        </w:rPr>
      </w:pPr>
      <w:r>
        <w:rPr>
          <w:lang w:eastAsia="fr-FR"/>
        </w:rPr>
        <w:t>•</w:t>
      </w:r>
      <w:r w:rsidR="00CE51BF">
        <w:rPr>
          <w:lang w:eastAsia="fr-FR"/>
        </w:rPr>
        <w:tab/>
      </w:r>
      <w:r>
        <w:rPr>
          <w:lang w:eastAsia="fr-FR"/>
        </w:rPr>
        <w:t xml:space="preserve">Revoir les méthodes de travail afin d'éviter la présence de solvants dans l'air aux postes de travail. Par exemple, lors du lavage des crochets, mettre un couvercle sur les contenants de produits ou prendre un distributeur fermé composé de solvants tels que tes récipients de diluant </w:t>
      </w:r>
      <w:r w:rsidRPr="00A7782E">
        <w:rPr>
          <w:lang w:eastAsia="fr-FR"/>
        </w:rPr>
        <w:t>(th</w:t>
      </w:r>
      <w:r w:rsidR="005C034B" w:rsidRPr="00A7782E">
        <w:rPr>
          <w:lang w:eastAsia="fr-FR"/>
        </w:rPr>
        <w:t>i</w:t>
      </w:r>
      <w:r w:rsidRPr="00A7782E">
        <w:rPr>
          <w:lang w:eastAsia="fr-FR"/>
        </w:rPr>
        <w:t xml:space="preserve">nner) </w:t>
      </w:r>
      <w:r>
        <w:rPr>
          <w:lang w:eastAsia="fr-FR"/>
        </w:rPr>
        <w:t>afin d'éviter l'évaporation du produit, etc.</w:t>
      </w:r>
    </w:p>
    <w:p w14:paraId="798F8860" w14:textId="77777777" w:rsidR="00CD51EC" w:rsidRDefault="00CD51EC" w:rsidP="00EF573B">
      <w:pPr>
        <w:pStyle w:val="citation"/>
        <w:rPr>
          <w:lang w:eastAsia="fr-FR"/>
        </w:rPr>
      </w:pPr>
    </w:p>
    <w:p w14:paraId="126FBCC5" w14:textId="7203D9A4" w:rsidR="00CD51EC" w:rsidRDefault="00CD51EC" w:rsidP="00EF573B">
      <w:pPr>
        <w:pStyle w:val="citation"/>
        <w:tabs>
          <w:tab w:val="left" w:pos="993"/>
        </w:tabs>
        <w:ind w:left="993" w:hanging="273"/>
        <w:rPr>
          <w:lang w:eastAsia="fr-FR"/>
        </w:rPr>
      </w:pPr>
      <w:r>
        <w:rPr>
          <w:lang w:eastAsia="fr-FR"/>
        </w:rPr>
        <w:t>•</w:t>
      </w:r>
      <w:r w:rsidR="00CE51BF">
        <w:rPr>
          <w:lang w:eastAsia="fr-FR"/>
        </w:rPr>
        <w:tab/>
      </w:r>
      <w:r>
        <w:rPr>
          <w:lang w:eastAsia="fr-FR"/>
        </w:rPr>
        <w:t>Appliquer les mesures d'hygiène telles que le lavage des mains et l'interdiction de manger dans la zone de production afin de limiter l’absorption digestive des produits chimiques.</w:t>
      </w:r>
    </w:p>
    <w:p w14:paraId="63A988A3" w14:textId="77777777" w:rsidR="00CD51EC" w:rsidRDefault="00CD51EC" w:rsidP="00EF573B">
      <w:pPr>
        <w:pStyle w:val="citation"/>
        <w:rPr>
          <w:lang w:eastAsia="fr-FR"/>
        </w:rPr>
      </w:pPr>
    </w:p>
    <w:p w14:paraId="79EBC275" w14:textId="2C622643" w:rsidR="00CD51EC" w:rsidRDefault="00CD51EC" w:rsidP="00EF573B">
      <w:pPr>
        <w:pStyle w:val="citation"/>
        <w:tabs>
          <w:tab w:val="left" w:pos="993"/>
        </w:tabs>
        <w:ind w:left="993" w:hanging="273"/>
        <w:rPr>
          <w:lang w:eastAsia="fr-FR"/>
        </w:rPr>
      </w:pPr>
      <w:r>
        <w:rPr>
          <w:lang w:eastAsia="fr-FR"/>
        </w:rPr>
        <w:t>•</w:t>
      </w:r>
      <w:r w:rsidR="00CE51BF">
        <w:rPr>
          <w:lang w:eastAsia="fr-FR"/>
        </w:rPr>
        <w:tab/>
      </w:r>
      <w:r>
        <w:rPr>
          <w:lang w:eastAsia="fr-FR"/>
        </w:rPr>
        <w:t>En attente de la mise en place de moyens de contrôle efficaces, les travailleurs doivent porter adéquatement un demi-masque à cartouches chimiques contre les solvants organiques volatiles (COV) aux postes où II y a utilisation de solvants et ceux à proximité.</w:t>
      </w:r>
    </w:p>
    <w:p w14:paraId="648FFC43" w14:textId="77777777" w:rsidR="00CD51EC" w:rsidRDefault="00CD51EC" w:rsidP="00EF573B">
      <w:pPr>
        <w:pStyle w:val="citation"/>
        <w:rPr>
          <w:lang w:eastAsia="fr-FR"/>
        </w:rPr>
      </w:pPr>
    </w:p>
    <w:p w14:paraId="02CD76A0" w14:textId="1196C0CF" w:rsidR="00CD51EC" w:rsidRDefault="00CD51EC" w:rsidP="00EF573B">
      <w:pPr>
        <w:pStyle w:val="citation"/>
        <w:tabs>
          <w:tab w:val="left" w:pos="993"/>
        </w:tabs>
        <w:ind w:left="993" w:hanging="273"/>
        <w:rPr>
          <w:lang w:eastAsia="fr-FR"/>
        </w:rPr>
      </w:pPr>
      <w:r>
        <w:rPr>
          <w:lang w:eastAsia="fr-FR"/>
        </w:rPr>
        <w:t>•</w:t>
      </w:r>
      <w:r w:rsidR="00CE51BF">
        <w:rPr>
          <w:lang w:eastAsia="fr-FR"/>
        </w:rPr>
        <w:tab/>
      </w:r>
      <w:r>
        <w:rPr>
          <w:lang w:eastAsia="fr-FR"/>
        </w:rPr>
        <w:t>Rédiger et mettre en place un programme de protection respiratoire qui inclut les tests d'ajustement (fît test) des appareils de protection respiratoire pour les travailleurs, la durée pour le changement des cartouches, la procédure d'entretien et d'entreposage des masques.</w:t>
      </w:r>
    </w:p>
    <w:p w14:paraId="1F4C9B43" w14:textId="77777777" w:rsidR="00CD51EC" w:rsidRDefault="00CD51EC" w:rsidP="00EF573B">
      <w:pPr>
        <w:pStyle w:val="citation"/>
        <w:rPr>
          <w:lang w:eastAsia="fr-FR"/>
        </w:rPr>
      </w:pPr>
    </w:p>
    <w:p w14:paraId="58ED2997" w14:textId="56498A6B" w:rsidR="00CD51EC" w:rsidRDefault="00CD51EC" w:rsidP="00EF573B">
      <w:pPr>
        <w:pStyle w:val="citation"/>
        <w:tabs>
          <w:tab w:val="left" w:pos="993"/>
        </w:tabs>
        <w:ind w:left="993" w:hanging="273"/>
        <w:rPr>
          <w:lang w:eastAsia="fr-FR"/>
        </w:rPr>
      </w:pPr>
      <w:r>
        <w:rPr>
          <w:lang w:eastAsia="fr-FR"/>
        </w:rPr>
        <w:t>•</w:t>
      </w:r>
      <w:r w:rsidR="00CE51BF">
        <w:rPr>
          <w:lang w:eastAsia="fr-FR"/>
        </w:rPr>
        <w:tab/>
      </w:r>
      <w:r>
        <w:rPr>
          <w:lang w:eastAsia="fr-FR"/>
        </w:rPr>
        <w:t>Utiliser des gants de protection adaptés lors de l'utilisation des solvants, la pénétration cutanée étant une source importante de contamination. Le port de lunettes de protection est aussi recommandé.</w:t>
      </w:r>
    </w:p>
    <w:p w14:paraId="1D6164F1" w14:textId="77777777" w:rsidR="00CD51EC" w:rsidRDefault="00CD51EC" w:rsidP="00EF573B">
      <w:pPr>
        <w:pStyle w:val="citation"/>
        <w:rPr>
          <w:lang w:eastAsia="fr-FR"/>
        </w:rPr>
      </w:pPr>
    </w:p>
    <w:p w14:paraId="3C6A3849" w14:textId="40DF941F" w:rsidR="00CD51EC" w:rsidRDefault="00CD51EC" w:rsidP="00EF573B">
      <w:pPr>
        <w:pStyle w:val="citation"/>
        <w:tabs>
          <w:tab w:val="left" w:pos="993"/>
        </w:tabs>
        <w:rPr>
          <w:lang w:eastAsia="fr-FR"/>
        </w:rPr>
      </w:pPr>
      <w:r>
        <w:rPr>
          <w:lang w:eastAsia="fr-FR"/>
        </w:rPr>
        <w:t>•</w:t>
      </w:r>
      <w:r w:rsidR="00CE51BF">
        <w:rPr>
          <w:lang w:eastAsia="fr-FR"/>
        </w:rPr>
        <w:tab/>
      </w:r>
      <w:r>
        <w:rPr>
          <w:lang w:eastAsia="fr-FR"/>
        </w:rPr>
        <w:t>Offrir la formation SIMDUT aux journaliers.</w:t>
      </w:r>
    </w:p>
    <w:p w14:paraId="51FE0DFA" w14:textId="77777777" w:rsidR="00CD51EC" w:rsidRDefault="00CD51EC" w:rsidP="00EF573B">
      <w:pPr>
        <w:pStyle w:val="citation"/>
        <w:rPr>
          <w:lang w:eastAsia="fr-FR"/>
        </w:rPr>
      </w:pPr>
    </w:p>
    <w:p w14:paraId="198EF0DA" w14:textId="76FAD842" w:rsidR="00CD51EC" w:rsidRDefault="00CD51EC" w:rsidP="00E83EB1">
      <w:pPr>
        <w:pStyle w:val="citation"/>
        <w:tabs>
          <w:tab w:val="left" w:pos="993"/>
        </w:tabs>
        <w:spacing w:after="400"/>
        <w:ind w:left="993" w:hanging="284"/>
        <w:rPr>
          <w:lang w:eastAsia="fr-FR"/>
        </w:rPr>
      </w:pPr>
      <w:r>
        <w:rPr>
          <w:lang w:eastAsia="fr-FR"/>
        </w:rPr>
        <w:t>•</w:t>
      </w:r>
      <w:r w:rsidR="00CE51BF">
        <w:rPr>
          <w:lang w:eastAsia="fr-FR"/>
        </w:rPr>
        <w:tab/>
      </w:r>
      <w:r>
        <w:rPr>
          <w:lang w:eastAsia="fr-FR"/>
        </w:rPr>
        <w:t>Informer les travailleurs sur les risques à la santé liés à l'exposition aux solvants et sur les moyens de s'en protéger adéquatement.</w:t>
      </w:r>
    </w:p>
    <w:p w14:paraId="3A5C924E" w14:textId="4C0DED0C" w:rsidR="00CE51BF" w:rsidRPr="00CE51BF" w:rsidRDefault="00CE51BF" w:rsidP="00E83EB1">
      <w:pPr>
        <w:pStyle w:val="citation"/>
        <w:tabs>
          <w:tab w:val="left" w:pos="993"/>
        </w:tabs>
        <w:spacing w:after="400"/>
        <w:ind w:left="993" w:hanging="284"/>
        <w:rPr>
          <w:sz w:val="24"/>
          <w:szCs w:val="24"/>
          <w:lang w:eastAsia="fr-FR"/>
        </w:rPr>
      </w:pPr>
      <w:r w:rsidRPr="00DE7869">
        <w:rPr>
          <w:sz w:val="24"/>
          <w:szCs w:val="24"/>
          <w:lang w:eastAsia="fr-FR"/>
        </w:rPr>
        <w:t>[Transcription textuelle]</w:t>
      </w:r>
    </w:p>
    <w:p w14:paraId="1BBA903F" w14:textId="55F0DBC9" w:rsidR="00CD51EC" w:rsidRDefault="00CD51EC" w:rsidP="00E83EB1">
      <w:pPr>
        <w:pStyle w:val="corpsdedcision"/>
        <w:spacing w:after="400"/>
        <w:rPr>
          <w:lang w:eastAsia="fr-FR"/>
        </w:rPr>
      </w:pPr>
      <w:r>
        <w:rPr>
          <w:lang w:eastAsia="fr-FR"/>
        </w:rPr>
        <w:t>Un second rapport</w:t>
      </w:r>
      <w:r w:rsidR="0019336A">
        <w:rPr>
          <w:lang w:eastAsia="fr-FR"/>
        </w:rPr>
        <w:t>,</w:t>
      </w:r>
      <w:r>
        <w:rPr>
          <w:lang w:eastAsia="fr-FR"/>
        </w:rPr>
        <w:t xml:space="preserve"> </w:t>
      </w:r>
      <w:r w:rsidRPr="007B57B1">
        <w:rPr>
          <w:lang w:eastAsia="fr-FR"/>
        </w:rPr>
        <w:t>rédigé en juillet</w:t>
      </w:r>
      <w:r>
        <w:rPr>
          <w:lang w:eastAsia="fr-FR"/>
        </w:rPr>
        <w:t xml:space="preserve"> 2021</w:t>
      </w:r>
      <w:r w:rsidR="0019336A">
        <w:rPr>
          <w:lang w:eastAsia="fr-FR"/>
        </w:rPr>
        <w:t>,</w:t>
      </w:r>
      <w:r>
        <w:rPr>
          <w:lang w:eastAsia="fr-FR"/>
        </w:rPr>
        <w:t xml:space="preserve"> revoit les correctifs apportés par l’employeur et conclut :</w:t>
      </w:r>
    </w:p>
    <w:p w14:paraId="5F3C8B70" w14:textId="624FBE25" w:rsidR="00CD51EC" w:rsidRDefault="00CD51EC" w:rsidP="00EF573B">
      <w:pPr>
        <w:pStyle w:val="citation"/>
        <w:rPr>
          <w:lang w:eastAsia="fr-FR"/>
        </w:rPr>
      </w:pPr>
      <w:r>
        <w:rPr>
          <w:lang w:eastAsia="fr-FR"/>
        </w:rPr>
        <w:t>Les corrections apportées par l'employeur suite aux recommandations émises dans le rapport de mars 2020 ont induit une amélioration au niveau des postes suivants</w:t>
      </w:r>
      <w:r w:rsidR="005C034B">
        <w:rPr>
          <w:lang w:eastAsia="fr-FR"/>
        </w:rPr>
        <w:t> </w:t>
      </w:r>
      <w:r>
        <w:rPr>
          <w:lang w:eastAsia="fr-FR"/>
        </w:rPr>
        <w:t>: prénettoyage et accrochage/décrochage des bonbonnes. Les deux travailleurs à ces deux postes ne sont plus exposés au toluène comme ils l'étaient auparavant. Cette amélioration s'explique par la substitution du diluant (thinner) et du nettoyage des crochets, avec ce produit, à l'extérieur.</w:t>
      </w:r>
    </w:p>
    <w:p w14:paraId="30BE3DA0" w14:textId="77777777" w:rsidR="00CD51EC" w:rsidRDefault="00CD51EC" w:rsidP="00EF573B">
      <w:pPr>
        <w:pStyle w:val="citation"/>
        <w:rPr>
          <w:lang w:eastAsia="fr-FR"/>
        </w:rPr>
      </w:pPr>
    </w:p>
    <w:p w14:paraId="0D4EF939" w14:textId="77777777" w:rsidR="00CD51EC" w:rsidRDefault="00CD51EC" w:rsidP="00EF573B">
      <w:pPr>
        <w:pStyle w:val="citation"/>
        <w:rPr>
          <w:lang w:eastAsia="fr-FR"/>
        </w:rPr>
      </w:pPr>
      <w:r>
        <w:rPr>
          <w:lang w:eastAsia="fr-FR"/>
        </w:rPr>
        <w:t>L'évaluation effectuée est une estimation des concentrations de COV sous deux conditions de travail : portes ouvertes et portes fermées. Les postes d'étiquetage et de prénettoyage observent une augmentation des concentrations de COV mesurées après fermeture des portes de l'atelier de production.</w:t>
      </w:r>
    </w:p>
    <w:p w14:paraId="29BBA7DF" w14:textId="77777777" w:rsidR="00CD51EC" w:rsidRDefault="00CD51EC" w:rsidP="00EF573B">
      <w:pPr>
        <w:pStyle w:val="citation"/>
        <w:rPr>
          <w:lang w:eastAsia="fr-FR"/>
        </w:rPr>
      </w:pPr>
    </w:p>
    <w:p w14:paraId="3D067A49" w14:textId="254F9284" w:rsidR="00CD51EC" w:rsidRDefault="00CD51EC" w:rsidP="00A97E82">
      <w:pPr>
        <w:pStyle w:val="citation"/>
        <w:spacing w:after="440"/>
        <w:rPr>
          <w:lang w:eastAsia="fr-FR"/>
        </w:rPr>
      </w:pPr>
      <w:r>
        <w:rPr>
          <w:lang w:eastAsia="fr-FR"/>
        </w:rPr>
        <w:t>Les concentrations mesurées de certaines substances pourraient augmenter significativement au fur et è mesure du déroulement d'une journée de production avec les portes fermées, dépendamment de l'efficacité de la ventilation générale et de présence ou absence de ventilation locale.</w:t>
      </w:r>
    </w:p>
    <w:p w14:paraId="1FDB8651" w14:textId="38C0ABEC" w:rsidR="006B5828" w:rsidRPr="006B5828" w:rsidRDefault="006B5828" w:rsidP="00A97E82">
      <w:pPr>
        <w:pStyle w:val="citation"/>
        <w:spacing w:after="440"/>
        <w:rPr>
          <w:sz w:val="24"/>
          <w:szCs w:val="24"/>
          <w:lang w:eastAsia="fr-FR"/>
        </w:rPr>
      </w:pPr>
      <w:r w:rsidRPr="006B5828">
        <w:rPr>
          <w:sz w:val="24"/>
          <w:szCs w:val="24"/>
          <w:lang w:eastAsia="fr-FR"/>
        </w:rPr>
        <w:t>[Transcription textuelle]</w:t>
      </w:r>
    </w:p>
    <w:p w14:paraId="605A4F07" w14:textId="2884EFAA" w:rsidR="00CD51EC" w:rsidRPr="00CD51EC" w:rsidRDefault="00CD51EC" w:rsidP="00A97E82">
      <w:pPr>
        <w:pStyle w:val="corpsdedcision"/>
        <w:spacing w:after="440"/>
        <w:rPr>
          <w:lang w:eastAsia="fr-FR"/>
        </w:rPr>
      </w:pPr>
      <w:r>
        <w:rPr>
          <w:lang w:eastAsia="fr-FR"/>
        </w:rPr>
        <w:t>Le Tribunal dispose dans cette affaire d’une importante preuve documentaire. Les</w:t>
      </w:r>
      <w:r w:rsidR="00B97FAD">
        <w:rPr>
          <w:lang w:eastAsia="fr-FR"/>
        </w:rPr>
        <w:t> </w:t>
      </w:r>
      <w:r>
        <w:rPr>
          <w:lang w:eastAsia="fr-FR"/>
        </w:rPr>
        <w:t>parties ont</w:t>
      </w:r>
      <w:r w:rsidR="0019336A">
        <w:rPr>
          <w:lang w:eastAsia="fr-FR"/>
        </w:rPr>
        <w:t xml:space="preserve"> également</w:t>
      </w:r>
      <w:r>
        <w:rPr>
          <w:lang w:eastAsia="fr-FR"/>
        </w:rPr>
        <w:t xml:space="preserve"> eu l’occasion de commenter des articles de littérature consultés par le Tribunal et ont plaidé par écrit.</w:t>
      </w:r>
    </w:p>
    <w:p w14:paraId="33CDEB65" w14:textId="7EDEFFAF" w:rsidR="00082A97" w:rsidRPr="00C433E4" w:rsidRDefault="00082A97" w:rsidP="00A97E82">
      <w:pPr>
        <w:pStyle w:val="corpsdedcision"/>
        <w:numPr>
          <w:ilvl w:val="0"/>
          <w:numId w:val="0"/>
        </w:numPr>
        <w:spacing w:after="440"/>
        <w:rPr>
          <w:b/>
          <w:bCs/>
          <w:u w:val="single"/>
        </w:rPr>
      </w:pPr>
      <w:bookmarkStart w:id="19" w:name="_Hlk195529112"/>
      <w:r w:rsidRPr="00C433E4">
        <w:rPr>
          <w:b/>
          <w:bCs/>
          <w:u w:val="single"/>
        </w:rPr>
        <w:t>L’ANALYSE</w:t>
      </w:r>
    </w:p>
    <w:bookmarkEnd w:id="13"/>
    <w:bookmarkEnd w:id="19"/>
    <w:p w14:paraId="4BDBCB96" w14:textId="0ABC59E8" w:rsidR="009A4884" w:rsidRPr="00B40928" w:rsidRDefault="009A4884" w:rsidP="00A97E82">
      <w:pPr>
        <w:pStyle w:val="corpsdedcision"/>
        <w:spacing w:after="440"/>
      </w:pPr>
      <w:r>
        <w:t xml:space="preserve">Le </w:t>
      </w:r>
      <w:r w:rsidRPr="00B556A7">
        <w:t xml:space="preserve">Tribunal doit </w:t>
      </w:r>
      <w:r>
        <w:t>d’abord</w:t>
      </w:r>
      <w:r w:rsidRPr="00B556A7">
        <w:t xml:space="preserve"> </w:t>
      </w:r>
      <w:r>
        <w:t>préciser</w:t>
      </w:r>
      <w:r w:rsidRPr="00B556A7">
        <w:t xml:space="preserve"> quelles sont les dispositions législatives applicables dans le pr</w:t>
      </w:r>
      <w:r w:rsidRPr="00B40928">
        <w:t>ésent dossier.</w:t>
      </w:r>
    </w:p>
    <w:p w14:paraId="50C18120" w14:textId="67B69B05" w:rsidR="00F0753A" w:rsidRPr="00B40928" w:rsidRDefault="00F0753A" w:rsidP="00A97E82">
      <w:pPr>
        <w:pStyle w:val="Titre3"/>
        <w:keepNext w:val="0"/>
        <w:spacing w:after="440"/>
        <w:jc w:val="both"/>
      </w:pPr>
      <w:r w:rsidRPr="00B40928">
        <w:t>1.</w:t>
      </w:r>
      <w:r w:rsidRPr="00B40928">
        <w:tab/>
        <w:t xml:space="preserve">Les dispositions découlant de la </w:t>
      </w:r>
      <w:r w:rsidRPr="00B40928">
        <w:rPr>
          <w:i/>
          <w:iCs/>
        </w:rPr>
        <w:t>Loi modernisant le régime de santé et de sécurité du travail</w:t>
      </w:r>
      <w:r w:rsidRPr="00B40928">
        <w:t xml:space="preserve"> s’appliquent-elles </w:t>
      </w:r>
      <w:r w:rsidRPr="005C3BF6">
        <w:t>ou</w:t>
      </w:r>
      <w:r w:rsidR="00B94BFA" w:rsidRPr="005C3BF6">
        <w:t xml:space="preserve"> y</w:t>
      </w:r>
      <w:r w:rsidR="009C509E" w:rsidRPr="009C509E">
        <w:t xml:space="preserve"> </w:t>
      </w:r>
      <w:r w:rsidR="00B94BFA" w:rsidRPr="009C509E">
        <w:t>a-t-il lieu</w:t>
      </w:r>
      <w:r w:rsidR="00EE4127" w:rsidRPr="00B40928">
        <w:t>, pour le Tribunal,</w:t>
      </w:r>
      <w:r w:rsidRPr="00B40928">
        <w:t xml:space="preserve"> de se référer à celles en vigueur avant le 6 octobre 2021</w:t>
      </w:r>
      <w:r w:rsidR="00B97FAD" w:rsidRPr="00B40928">
        <w:t> </w:t>
      </w:r>
      <w:r w:rsidRPr="00B40928">
        <w:t>?</w:t>
      </w:r>
    </w:p>
    <w:p w14:paraId="4A1E150E" w14:textId="229C28BB" w:rsidR="009A4884" w:rsidRDefault="00F0753A" w:rsidP="00A97E82">
      <w:pPr>
        <w:pStyle w:val="corpsdedcision"/>
        <w:spacing w:after="440"/>
      </w:pPr>
      <w:r w:rsidRPr="00B40928">
        <w:t xml:space="preserve">Dans le contexte de l’adoption de la </w:t>
      </w:r>
      <w:r w:rsidRPr="00B40928">
        <w:rPr>
          <w:i/>
        </w:rPr>
        <w:t>Loi modernisant le régime de santé et de sécurité du travail</w:t>
      </w:r>
      <w:r w:rsidR="003B3E98" w:rsidRPr="00B40928">
        <w:rPr>
          <w:i/>
        </w:rPr>
        <w:t>,</w:t>
      </w:r>
      <w:r w:rsidR="003B3E98">
        <w:rPr>
          <w:i/>
        </w:rPr>
        <w:t xml:space="preserve"> </w:t>
      </w:r>
      <w:r>
        <w:t xml:space="preserve">entrée en vigueur le 6 octobre </w:t>
      </w:r>
      <w:r w:rsidRPr="00B556A7">
        <w:t>2021</w:t>
      </w:r>
      <w:r>
        <w:t>, des</w:t>
      </w:r>
      <w:r w:rsidR="009A4884">
        <w:t xml:space="preserve"> modifications </w:t>
      </w:r>
      <w:r>
        <w:t>v</w:t>
      </w:r>
      <w:r w:rsidR="009A4884" w:rsidRPr="00B556A7">
        <w:t>isent les dispositions concernant les maladies professionnelles</w:t>
      </w:r>
      <w:r w:rsidR="00CA6B62">
        <w:t xml:space="preserve"> qui se lisent maintenant en concertation avec </w:t>
      </w:r>
      <w:r>
        <w:t xml:space="preserve">le </w:t>
      </w:r>
      <w:r w:rsidR="00D334CA" w:rsidRPr="00DE7869">
        <w:rPr>
          <w:iCs/>
        </w:rPr>
        <w:t>Règlement</w:t>
      </w:r>
      <w:r w:rsidR="00DE7869">
        <w:rPr>
          <w:iCs/>
        </w:rPr>
        <w:t>.</w:t>
      </w:r>
      <w:r w:rsidR="00D334CA" w:rsidRPr="00B556A7">
        <w:rPr>
          <w:i/>
        </w:rPr>
        <w:t xml:space="preserve"> </w:t>
      </w:r>
    </w:p>
    <w:p w14:paraId="7AC5E63B" w14:textId="3DAC874E" w:rsidR="00BC7C73" w:rsidRDefault="00962D8A" w:rsidP="00A97E82">
      <w:pPr>
        <w:pStyle w:val="corpsdedcision"/>
        <w:spacing w:after="440"/>
      </w:pPr>
      <w:r>
        <w:t>Il est généralement admis que</w:t>
      </w:r>
      <w:r w:rsidR="00DE762E">
        <w:t xml:space="preserve"> le Tribunal rend une décision en fonction du droit applicable au moment de la survenance des faits</w:t>
      </w:r>
      <w:r w:rsidR="00D334CA">
        <w:t xml:space="preserve"> allégués</w:t>
      </w:r>
      <w:r w:rsidR="00DE762E">
        <w:t xml:space="preserve">. Une loi n’a </w:t>
      </w:r>
      <w:r w:rsidR="003B3E98">
        <w:t xml:space="preserve">habituellement </w:t>
      </w:r>
      <w:r w:rsidR="00DE762E">
        <w:t>pas d’effet rétroactif, sauf si le législateur l’a expressément prévu</w:t>
      </w:r>
      <w:r w:rsidR="006332EE">
        <w:t xml:space="preserve"> ou s’il est possible de conclure qu’il l’a fait implicitement</w:t>
      </w:r>
      <w:r w:rsidR="006332EE">
        <w:rPr>
          <w:rStyle w:val="Appelnotedebasdep"/>
        </w:rPr>
        <w:footnoteReference w:id="11"/>
      </w:r>
      <w:r w:rsidR="006332EE">
        <w:t xml:space="preserve">, ce qui n’est pas le cas </w:t>
      </w:r>
      <w:r w:rsidR="007166A2">
        <w:t>concernant les dispositions en cause</w:t>
      </w:r>
      <w:r w:rsidR="006332EE">
        <w:t>.</w:t>
      </w:r>
      <w:r w:rsidR="00BC7C73">
        <w:t xml:space="preserve"> </w:t>
      </w:r>
    </w:p>
    <w:p w14:paraId="5264B886" w14:textId="23171656" w:rsidR="00DE762E" w:rsidRDefault="00BC7C73" w:rsidP="00A97E82">
      <w:pPr>
        <w:pStyle w:val="corpsdedcision"/>
        <w:spacing w:after="440"/>
      </w:pPr>
      <w:r>
        <w:t xml:space="preserve">En effet, comme le rappelle avec justesse le Tribunal dans l’affaire </w:t>
      </w:r>
      <w:bookmarkStart w:id="20" w:name="_Hlk191990909"/>
      <w:r w:rsidRPr="00BC7C73">
        <w:rPr>
          <w:i/>
          <w:iCs/>
        </w:rPr>
        <w:t>Desjardins</w:t>
      </w:r>
      <w:r w:rsidRPr="0099556D">
        <w:t xml:space="preserve"> et </w:t>
      </w:r>
      <w:r w:rsidRPr="00BC7C73">
        <w:rPr>
          <w:i/>
          <w:iCs/>
        </w:rPr>
        <w:t>J.A. Fortier Construction inc</w:t>
      </w:r>
      <w:r w:rsidRPr="0099556D">
        <w:t>.</w:t>
      </w:r>
      <w:bookmarkEnd w:id="20"/>
      <w:r>
        <w:rPr>
          <w:rStyle w:val="Appelnotedebasdep"/>
        </w:rPr>
        <w:footnoteReference w:id="12"/>
      </w:r>
      <w:r w:rsidR="00962D8A">
        <w:t xml:space="preserve">, </w:t>
      </w:r>
      <w:r w:rsidR="007166A2">
        <w:t xml:space="preserve">le principe de non-rétroactivité des lois demeure applicable concernant l’article 29 de la Loi et </w:t>
      </w:r>
      <w:r w:rsidR="00962D8A">
        <w:t>du</w:t>
      </w:r>
      <w:r w:rsidR="007166A2">
        <w:t xml:space="preserve"> </w:t>
      </w:r>
      <w:r w:rsidR="00074CBD" w:rsidRPr="003209D2">
        <w:t>R</w:t>
      </w:r>
      <w:r w:rsidR="007166A2" w:rsidRPr="003209D2">
        <w:t>è</w:t>
      </w:r>
      <w:r w:rsidR="007166A2">
        <w:t>glement, dans la mesure où</w:t>
      </w:r>
      <w:r w:rsidR="00962D8A">
        <w:t xml:space="preserve"> </w:t>
      </w:r>
      <w:r>
        <w:t>« </w:t>
      </w:r>
      <w:r w:rsidRPr="00BC7C73">
        <w:rPr>
          <w:rStyle w:val="Citationintgre"/>
        </w:rPr>
        <w:t>aucune</w:t>
      </w:r>
      <w:r w:rsidR="00962D8A">
        <w:rPr>
          <w:rStyle w:val="Citationintgre"/>
        </w:rPr>
        <w:t xml:space="preserve"> </w:t>
      </w:r>
      <w:r w:rsidRPr="00BC7C73">
        <w:rPr>
          <w:rStyle w:val="Citationintgre"/>
        </w:rPr>
        <w:t>circonstance particulière ni indice implicite découlant du libellé de ces dispositions ne permet de passer outre à ce principe</w:t>
      </w:r>
      <w:r>
        <w:t> ».</w:t>
      </w:r>
    </w:p>
    <w:p w14:paraId="34472B21" w14:textId="23950227" w:rsidR="006332EE" w:rsidRDefault="00BC7C73" w:rsidP="00E83EB1">
      <w:pPr>
        <w:pStyle w:val="corpsdedcision"/>
      </w:pPr>
      <w:r>
        <w:t xml:space="preserve">Dans le présent contexte où le législateur n’a pas prévu de dispositions transitoires, le Tribunal doit situer dans le temps les faits qui sont générateurs de droit, lesquels seront déterminants pour </w:t>
      </w:r>
      <w:r w:rsidR="00EE4127">
        <w:t>déterminer quelles sont</w:t>
      </w:r>
      <w:r>
        <w:t xml:space="preserve"> les dispositions applicables.</w:t>
      </w:r>
    </w:p>
    <w:p w14:paraId="6BAF2C5A" w14:textId="726FDE1B" w:rsidR="00BC7C73" w:rsidRDefault="00BC7C73" w:rsidP="00E83EB1">
      <w:pPr>
        <w:pStyle w:val="corpsdedcision"/>
      </w:pPr>
      <w:r>
        <w:t>Le Tribunal se rallie à la jurisprudence qui conclut q</w:t>
      </w:r>
      <w:r w:rsidR="007166A2">
        <w:t xml:space="preserve">u’en matière de maladie professionnelle, le fait générateur de droit pour le travailleur correspond </w:t>
      </w:r>
      <w:r w:rsidR="00962D8A">
        <w:t xml:space="preserve">habituellement </w:t>
      </w:r>
      <w:r w:rsidR="007166A2">
        <w:t>au moment où est posé le diagnostic à l’origine de sa réclamation</w:t>
      </w:r>
      <w:r w:rsidR="00BA53F2">
        <w:t>. Il</w:t>
      </w:r>
      <w:r w:rsidR="00962D8A">
        <w:t xml:space="preserve"> s’agit d’un fait momentané</w:t>
      </w:r>
      <w:r w:rsidR="00BA53F2">
        <w:t>, par opposition à un fait durable ou successif</w:t>
      </w:r>
      <w:r w:rsidR="00BA53F2">
        <w:rPr>
          <w:rStyle w:val="Appelnotedebasdep"/>
        </w:rPr>
        <w:footnoteReference w:id="13"/>
      </w:r>
      <w:r w:rsidR="00BA53F2">
        <w:t>. Ce fait momentané découle</w:t>
      </w:r>
      <w:r w:rsidR="00EE4127">
        <w:t>, en l’espèce,</w:t>
      </w:r>
      <w:r w:rsidR="00BA53F2">
        <w:t xml:space="preserve"> d’</w:t>
      </w:r>
      <w:r w:rsidR="00962D8A">
        <w:t>une exposition alléguée à des solvants antérieure à la réclamation en cause</w:t>
      </w:r>
      <w:r w:rsidR="00B10E9B">
        <w:t>.</w:t>
      </w:r>
    </w:p>
    <w:p w14:paraId="011F2158" w14:textId="338C1E14" w:rsidR="00BA53F2" w:rsidRDefault="00BA53F2" w:rsidP="00E83EB1">
      <w:pPr>
        <w:pStyle w:val="corpsdedcision"/>
      </w:pPr>
      <w:r>
        <w:t>C’est la conclusion à laquelle en arrive le Tribunal dans la décision</w:t>
      </w:r>
      <w:r w:rsidR="00B10E9B">
        <w:t xml:space="preserve"> </w:t>
      </w:r>
      <w:r w:rsidR="00B10E9B" w:rsidRPr="00B10E9B">
        <w:rPr>
          <w:rFonts w:cs="Arial"/>
          <w:i/>
          <w:iCs/>
        </w:rPr>
        <w:t>Addison</w:t>
      </w:r>
      <w:r w:rsidR="00F71094">
        <w:rPr>
          <w:rFonts w:cs="Arial"/>
          <w:i/>
          <w:iCs/>
        </w:rPr>
        <w:noBreakHyphen/>
      </w:r>
      <w:r w:rsidR="00B10E9B" w:rsidRPr="00B10E9B">
        <w:rPr>
          <w:rFonts w:cs="Arial"/>
          <w:i/>
          <w:iCs/>
        </w:rPr>
        <w:t>Thibault</w:t>
      </w:r>
      <w:r w:rsidR="00B10E9B">
        <w:rPr>
          <w:rFonts w:cs="Arial"/>
        </w:rPr>
        <w:t xml:space="preserve"> et </w:t>
      </w:r>
      <w:r w:rsidR="00B10E9B" w:rsidRPr="00B10E9B">
        <w:rPr>
          <w:rFonts w:cs="Arial"/>
          <w:i/>
          <w:iCs/>
        </w:rPr>
        <w:t>Centre intégré universitaire de santé et de services sociaux du Centre-Sud de l'Île-de-Montréal - Centre jeunesse de Montréal</w:t>
      </w:r>
      <w:r w:rsidR="00B10E9B" w:rsidRPr="00B10E9B">
        <w:rPr>
          <w:rStyle w:val="Appelnotedebasdep"/>
          <w:rFonts w:cs="Arial"/>
        </w:rPr>
        <w:footnoteReference w:id="14"/>
      </w:r>
      <w:r>
        <w:t>:</w:t>
      </w:r>
    </w:p>
    <w:p w14:paraId="7BE07F36" w14:textId="32DE2210" w:rsidR="00B10E9B" w:rsidRPr="00621064" w:rsidRDefault="00BA53F2" w:rsidP="00E83EB1">
      <w:pPr>
        <w:pStyle w:val="citation"/>
        <w:spacing w:after="360"/>
        <w:rPr>
          <w:u w:val="single"/>
        </w:rPr>
      </w:pPr>
      <w:r w:rsidRPr="00BA53F2">
        <w:t>[13]</w:t>
      </w:r>
      <w:r w:rsidRPr="00BA53F2">
        <w:tab/>
        <w:t xml:space="preserve">En effet, il appert du texte même du nouvel article 29, que </w:t>
      </w:r>
      <w:r w:rsidRPr="00D7273F">
        <w:rPr>
          <w:u w:val="single"/>
        </w:rPr>
        <w:t>la date à laquelle le travailleur « </w:t>
      </w:r>
      <w:r w:rsidRPr="00D7273F">
        <w:rPr>
          <w:i/>
          <w:iCs/>
          <w:u w:val="single"/>
        </w:rPr>
        <w:t>reçoit le diagnostic de [la] maladie [en cause]</w:t>
      </w:r>
      <w:r w:rsidRPr="00D7273F">
        <w:rPr>
          <w:u w:val="single"/>
        </w:rPr>
        <w:t> » est désormais déterminante</w:t>
      </w:r>
      <w:r w:rsidRPr="00BA53F2">
        <w:t xml:space="preserve"> - ce qui ne l’était pas avant les changements législatifs apportés. Il en résulte qu’à défaut d’une disposition claire illustrant la volonté du législateur de lui conférer un effet rétroactif, pareille disposition ne saurait être appliquée à une situation – la manifestation de la maladie ainsi que la réception du diagnostic de celle-ci par le travailleur – qui s’est entièrement déroulée avant son entrée en vigueur. </w:t>
      </w:r>
      <w:r w:rsidRPr="00D7273F">
        <w:rPr>
          <w:u w:val="single"/>
        </w:rPr>
        <w:t>De fait, l’insertion de ce nouvel élément temporel dans le libellé de l’article 29 démontre l’intention législative d’une application prospective.</w:t>
      </w:r>
    </w:p>
    <w:p w14:paraId="1AC9EF92" w14:textId="660CA83A" w:rsidR="00D7273F" w:rsidRPr="005C1FCF" w:rsidRDefault="00D7273F" w:rsidP="00E83EB1">
      <w:pPr>
        <w:pStyle w:val="citation"/>
        <w:spacing w:after="360"/>
        <w:rPr>
          <w:sz w:val="24"/>
          <w:szCs w:val="24"/>
        </w:rPr>
      </w:pPr>
      <w:r w:rsidRPr="005D4163">
        <w:rPr>
          <w:sz w:val="24"/>
          <w:szCs w:val="24"/>
        </w:rPr>
        <w:t>[No</w:t>
      </w:r>
      <w:r>
        <w:rPr>
          <w:sz w:val="24"/>
          <w:szCs w:val="24"/>
        </w:rPr>
        <w:t>s</w:t>
      </w:r>
      <w:r w:rsidRPr="005D4163">
        <w:rPr>
          <w:sz w:val="24"/>
          <w:szCs w:val="24"/>
        </w:rPr>
        <w:t xml:space="preserve"> soulignement</w:t>
      </w:r>
      <w:r>
        <w:rPr>
          <w:sz w:val="24"/>
          <w:szCs w:val="24"/>
        </w:rPr>
        <w:t>s</w:t>
      </w:r>
      <w:r w:rsidRPr="005D4163">
        <w:rPr>
          <w:sz w:val="24"/>
          <w:szCs w:val="24"/>
        </w:rPr>
        <w:t>]</w:t>
      </w:r>
    </w:p>
    <w:p w14:paraId="3975FF19" w14:textId="3D6546C4" w:rsidR="009A4884" w:rsidRDefault="00F0753A" w:rsidP="00E83EB1">
      <w:pPr>
        <w:pStyle w:val="corpsdedcision"/>
      </w:pPr>
      <w:r>
        <w:t>Dans</w:t>
      </w:r>
      <w:r w:rsidR="009A4884" w:rsidRPr="00317B92">
        <w:t xml:space="preserve"> l’affaire </w:t>
      </w:r>
      <w:bookmarkStart w:id="21" w:name="_Hlk191989335"/>
      <w:r w:rsidR="009A4884" w:rsidRPr="00D334CA">
        <w:rPr>
          <w:i/>
          <w:iCs/>
        </w:rPr>
        <w:t>Chouinard</w:t>
      </w:r>
      <w:r w:rsidR="009A4884" w:rsidRPr="00317B92">
        <w:t xml:space="preserve"> et </w:t>
      </w:r>
      <w:r w:rsidR="006332EE">
        <w:rPr>
          <w:i/>
          <w:iCs/>
        </w:rPr>
        <w:t>M</w:t>
      </w:r>
      <w:r w:rsidR="001B01C5" w:rsidRPr="00D334CA">
        <w:rPr>
          <w:i/>
          <w:iCs/>
        </w:rPr>
        <w:t>inistère de l’Agriculture</w:t>
      </w:r>
      <w:r w:rsidR="009A4884" w:rsidRPr="00D334CA">
        <w:rPr>
          <w:i/>
          <w:iCs/>
        </w:rPr>
        <w:t>, des Pêcheries et de l'Alimentation du Québec</w:t>
      </w:r>
      <w:bookmarkEnd w:id="21"/>
      <w:r w:rsidR="009A4884" w:rsidRPr="00317B92">
        <w:rPr>
          <w:rStyle w:val="Appelnotedebasdep"/>
        </w:rPr>
        <w:footnoteReference w:id="15"/>
      </w:r>
      <w:r w:rsidR="009A4884">
        <w:t xml:space="preserve">, le Tribunal </w:t>
      </w:r>
      <w:r w:rsidR="00B10E9B">
        <w:t>conclut également à une application prospective des nouvelles dispositions en rappelant la place centrale qu’occupe le diagnostic et le moment où le travailleur le reçoit :</w:t>
      </w:r>
    </w:p>
    <w:p w14:paraId="623CA394" w14:textId="35A07AC3" w:rsidR="009A4884" w:rsidRDefault="009A4884" w:rsidP="00E83EB1">
      <w:pPr>
        <w:pStyle w:val="citation"/>
        <w:spacing w:after="360"/>
      </w:pPr>
      <w:r w:rsidRPr="007E3F63">
        <w:t>[50]</w:t>
      </w:r>
      <w:r w:rsidRPr="007E3F63">
        <w:tab/>
        <w:t xml:space="preserve">À la lumière de l’ensemble des principes applicables, un constat s’impose : </w:t>
      </w:r>
      <w:r w:rsidRPr="003B3E98">
        <w:rPr>
          <w:u w:val="single"/>
        </w:rPr>
        <w:t>le nouvel article 29 de la Loi et le Règlement qui en découle s’appliquent uniquement aux maladies diagnostiquées à partir du 6 octobre 2021.</w:t>
      </w:r>
      <w:r w:rsidRPr="007E3F63">
        <w:t xml:space="preserve"> Cette interprétation est compatible avec le texte de loi, </w:t>
      </w:r>
      <w:r w:rsidRPr="00B10E9B">
        <w:rPr>
          <w:u w:val="single"/>
        </w:rPr>
        <w:t>qui insiste sur la date où le travailleur reçoit le diagnostic</w:t>
      </w:r>
      <w:r w:rsidRPr="007E3F63">
        <w:t>. Par ailleurs, le législateur n’a manifesté aucune intention, que ce soit de façon explicite ou implicite, de permettre une application rétroactive des nouvelles dispositions.</w:t>
      </w:r>
    </w:p>
    <w:p w14:paraId="0A3FE394" w14:textId="59B9FB5D" w:rsidR="00621064" w:rsidRPr="005D4163" w:rsidRDefault="003B3E98" w:rsidP="00E83EB1">
      <w:pPr>
        <w:pStyle w:val="citation"/>
        <w:spacing w:after="360"/>
        <w:rPr>
          <w:sz w:val="24"/>
          <w:szCs w:val="24"/>
        </w:rPr>
      </w:pPr>
      <w:r w:rsidRPr="005D4163">
        <w:rPr>
          <w:sz w:val="24"/>
          <w:szCs w:val="24"/>
        </w:rPr>
        <w:t>[No</w:t>
      </w:r>
      <w:r w:rsidR="00B10E9B">
        <w:rPr>
          <w:sz w:val="24"/>
          <w:szCs w:val="24"/>
        </w:rPr>
        <w:t>s</w:t>
      </w:r>
      <w:r w:rsidRPr="005D4163">
        <w:rPr>
          <w:sz w:val="24"/>
          <w:szCs w:val="24"/>
        </w:rPr>
        <w:t xml:space="preserve"> soulignement</w:t>
      </w:r>
      <w:r w:rsidR="00B10E9B">
        <w:rPr>
          <w:sz w:val="24"/>
          <w:szCs w:val="24"/>
        </w:rPr>
        <w:t>s</w:t>
      </w:r>
      <w:r w:rsidRPr="005D4163">
        <w:rPr>
          <w:sz w:val="24"/>
          <w:szCs w:val="24"/>
        </w:rPr>
        <w:t>]</w:t>
      </w:r>
    </w:p>
    <w:p w14:paraId="532FB91C" w14:textId="7476077C" w:rsidR="00D334CA" w:rsidRPr="00475297" w:rsidRDefault="00D334CA" w:rsidP="00E83EB1">
      <w:pPr>
        <w:pStyle w:val="corpsdedcision"/>
        <w:spacing w:after="400"/>
      </w:pPr>
      <w:r>
        <w:t>Dans le présent dossier, les diagnostics posés à l’appui de la réclamation du travailleur l’ont été le 25 février 2020</w:t>
      </w:r>
      <w:r>
        <w:rPr>
          <w:rStyle w:val="Appelnotedebasdep"/>
        </w:rPr>
        <w:footnoteReference w:id="16"/>
      </w:r>
      <w:r w:rsidR="0019336A">
        <w:t xml:space="preserve"> et le 14 mai 2020</w:t>
      </w:r>
      <w:r w:rsidR="005F1321">
        <w:rPr>
          <w:rStyle w:val="Appelnotedebasdep"/>
        </w:rPr>
        <w:footnoteReference w:id="17"/>
      </w:r>
      <w:r w:rsidR="0019336A">
        <w:t xml:space="preserve"> </w:t>
      </w:r>
      <w:r w:rsidR="0019336A" w:rsidRPr="005C3BF6">
        <w:t xml:space="preserve">par </w:t>
      </w:r>
      <w:r w:rsidR="003209D2" w:rsidRPr="005C3BF6">
        <w:t xml:space="preserve">la </w:t>
      </w:r>
      <w:r w:rsidR="0019336A" w:rsidRPr="005C3BF6">
        <w:t xml:space="preserve">docteure </w:t>
      </w:r>
      <w:r w:rsidR="005F1321" w:rsidRPr="005C3BF6">
        <w:t>B</w:t>
      </w:r>
      <w:r w:rsidR="0019336A" w:rsidRPr="005C3BF6">
        <w:t>aillargeon</w:t>
      </w:r>
      <w:r w:rsidRPr="005C3BF6">
        <w:t xml:space="preserve">, soit antérieurement à l’entrée en vigueur de la </w:t>
      </w:r>
      <w:r w:rsidRPr="005C3BF6">
        <w:rPr>
          <w:i/>
        </w:rPr>
        <w:t>Loi modernisant le régime</w:t>
      </w:r>
      <w:r w:rsidRPr="007E3F63">
        <w:rPr>
          <w:i/>
        </w:rPr>
        <w:t xml:space="preserve"> de santé et de sécurité du travail</w:t>
      </w:r>
      <w:r w:rsidRPr="005F1321">
        <w:rPr>
          <w:iCs/>
        </w:rPr>
        <w:t>.</w:t>
      </w:r>
      <w:r>
        <w:t xml:space="preserve"> C</w:t>
      </w:r>
      <w:r w:rsidR="003B3E98">
        <w:t xml:space="preserve">e sont </w:t>
      </w:r>
      <w:r>
        <w:t xml:space="preserve">donc </w:t>
      </w:r>
      <w:r w:rsidR="003B3E98">
        <w:t xml:space="preserve">les anciennes </w:t>
      </w:r>
      <w:r>
        <w:t>versions des articles 29 et 30 de la</w:t>
      </w:r>
      <w:r w:rsidR="00EE4127">
        <w:t xml:space="preserve"> Loi</w:t>
      </w:r>
      <w:r>
        <w:t xml:space="preserve"> qui s’appliquent.</w:t>
      </w:r>
    </w:p>
    <w:p w14:paraId="7DCC517D" w14:textId="1F0BE418" w:rsidR="004C2944" w:rsidRDefault="001B01C5" w:rsidP="00E83EB1">
      <w:pPr>
        <w:pStyle w:val="Titre3"/>
        <w:keepNext w:val="0"/>
        <w:spacing w:after="400"/>
        <w:jc w:val="both"/>
      </w:pPr>
      <w:r w:rsidRPr="001B01C5">
        <w:t>2.</w:t>
      </w:r>
      <w:r w:rsidRPr="001B01C5">
        <w:tab/>
        <w:t>Quel(s) diagnostic(s) lie</w:t>
      </w:r>
      <w:r w:rsidR="005C1FCF" w:rsidRPr="009C509E">
        <w:t>(</w:t>
      </w:r>
      <w:r w:rsidRPr="009C509E">
        <w:t>nt</w:t>
      </w:r>
      <w:r w:rsidR="005C1FCF" w:rsidRPr="009C509E">
        <w:t>)</w:t>
      </w:r>
      <w:r w:rsidRPr="009C509E">
        <w:t xml:space="preserve"> le</w:t>
      </w:r>
      <w:r w:rsidRPr="001B01C5">
        <w:t xml:space="preserve"> Tribunal aux fins d’analyser la Réclamation du travailleur</w:t>
      </w:r>
      <w:r w:rsidR="005C1FCF">
        <w:t> </w:t>
      </w:r>
      <w:r w:rsidRPr="001B01C5">
        <w:t>?</w:t>
      </w:r>
    </w:p>
    <w:p w14:paraId="219464E6" w14:textId="2C1A2B6F" w:rsidR="006E62DC" w:rsidRDefault="006E62DC" w:rsidP="00E83EB1">
      <w:pPr>
        <w:pStyle w:val="corpsdedcision"/>
        <w:spacing w:after="400"/>
        <w:rPr>
          <w:lang w:eastAsia="fr-FR"/>
        </w:rPr>
      </w:pPr>
      <w:r>
        <w:rPr>
          <w:lang w:eastAsia="fr-FR"/>
        </w:rPr>
        <w:t>La Commission accepte</w:t>
      </w:r>
      <w:r w:rsidR="00013470">
        <w:rPr>
          <w:lang w:eastAsia="fr-FR"/>
        </w:rPr>
        <w:t xml:space="preserve"> </w:t>
      </w:r>
      <w:r>
        <w:rPr>
          <w:lang w:eastAsia="fr-FR"/>
        </w:rPr>
        <w:t xml:space="preserve">la réclamation du travailleur </w:t>
      </w:r>
      <w:r w:rsidR="00C85F82">
        <w:rPr>
          <w:lang w:eastAsia="fr-FR"/>
        </w:rPr>
        <w:t xml:space="preserve">en s’appuyant sur </w:t>
      </w:r>
      <w:r>
        <w:rPr>
          <w:lang w:eastAsia="fr-FR"/>
        </w:rPr>
        <w:t>le diagnostic d’intoxications aig</w:t>
      </w:r>
      <w:r w:rsidR="00540F19">
        <w:rPr>
          <w:lang w:eastAsia="fr-FR"/>
        </w:rPr>
        <w:t>uë</w:t>
      </w:r>
      <w:r>
        <w:rPr>
          <w:lang w:eastAsia="fr-FR"/>
        </w:rPr>
        <w:t>s</w:t>
      </w:r>
      <w:r w:rsidR="00823307">
        <w:rPr>
          <w:lang w:eastAsia="fr-FR"/>
        </w:rPr>
        <w:t xml:space="preserve"> à des solvants, mais aussi </w:t>
      </w:r>
      <w:r w:rsidR="00C85F82">
        <w:rPr>
          <w:lang w:eastAsia="fr-FR"/>
        </w:rPr>
        <w:t xml:space="preserve">sur le </w:t>
      </w:r>
      <w:r w:rsidR="00823307">
        <w:rPr>
          <w:lang w:eastAsia="fr-FR"/>
        </w:rPr>
        <w:t>diagnostic de cancer</w:t>
      </w:r>
      <w:r w:rsidR="00C85F82">
        <w:rPr>
          <w:lang w:eastAsia="fr-FR"/>
        </w:rPr>
        <w:t xml:space="preserve"> correspondant à </w:t>
      </w:r>
      <w:r w:rsidR="00823307">
        <w:rPr>
          <w:lang w:eastAsia="fr-FR"/>
        </w:rPr>
        <w:t>une</w:t>
      </w:r>
      <w:r>
        <w:rPr>
          <w:lang w:eastAsia="fr-FR"/>
        </w:rPr>
        <w:t xml:space="preserve"> leucémie myéloïde chronique en phase blastique. </w:t>
      </w:r>
    </w:p>
    <w:p w14:paraId="7D88269C" w14:textId="30A71F5A" w:rsidR="006E62DC" w:rsidRDefault="006E62DC" w:rsidP="00E83EB1">
      <w:pPr>
        <w:pStyle w:val="corpsdedcision"/>
        <w:spacing w:after="400"/>
        <w:rPr>
          <w:lang w:eastAsia="fr-FR"/>
        </w:rPr>
      </w:pPr>
      <w:r>
        <w:rPr>
          <w:lang w:eastAsia="fr-FR"/>
        </w:rPr>
        <w:t xml:space="preserve">Cependant, outre le diagnostic de leucémie myéloïde chronique (LMC) sont aussi mentionnés les diagnostics de </w:t>
      </w:r>
      <w:r w:rsidRPr="006E62DC">
        <w:rPr>
          <w:lang w:eastAsia="fr-FR"/>
        </w:rPr>
        <w:t>leucémie myéloïde aig</w:t>
      </w:r>
      <w:r w:rsidR="00540F19">
        <w:rPr>
          <w:lang w:eastAsia="fr-FR"/>
        </w:rPr>
        <w:t>uë</w:t>
      </w:r>
      <w:r>
        <w:rPr>
          <w:lang w:eastAsia="fr-FR"/>
        </w:rPr>
        <w:t xml:space="preserve"> (LMA) et de </w:t>
      </w:r>
      <w:r w:rsidRPr="006E62DC">
        <w:rPr>
          <w:lang w:eastAsia="fr-FR"/>
        </w:rPr>
        <w:t>leucémie myéloïde aig</w:t>
      </w:r>
      <w:r w:rsidR="00540F19">
        <w:rPr>
          <w:lang w:eastAsia="fr-FR"/>
        </w:rPr>
        <w:t>uë</w:t>
      </w:r>
      <w:r>
        <w:rPr>
          <w:lang w:eastAsia="fr-FR"/>
        </w:rPr>
        <w:t xml:space="preserve"> </w:t>
      </w:r>
      <w:r w:rsidRPr="006E62DC">
        <w:rPr>
          <w:lang w:eastAsia="fr-FR"/>
        </w:rPr>
        <w:t>avec chromosome</w:t>
      </w:r>
      <w:r w:rsidR="006C3B87">
        <w:rPr>
          <w:lang w:eastAsia="fr-FR"/>
        </w:rPr>
        <w:t xml:space="preserve"> </w:t>
      </w:r>
      <w:r w:rsidR="00CB783F" w:rsidRPr="003209D2">
        <w:rPr>
          <w:lang w:eastAsia="fr-FR"/>
        </w:rPr>
        <w:t>Philadelphie</w:t>
      </w:r>
      <w:r>
        <w:rPr>
          <w:lang w:eastAsia="fr-FR"/>
        </w:rPr>
        <w:t xml:space="preserve"> (LMA</w:t>
      </w:r>
      <w:r w:rsidR="00013470">
        <w:rPr>
          <w:lang w:eastAsia="fr-FR"/>
        </w:rPr>
        <w:t>-Ph+).</w:t>
      </w:r>
    </w:p>
    <w:p w14:paraId="53FFCC14" w14:textId="56D409D9" w:rsidR="00823307" w:rsidRDefault="00823307" w:rsidP="00E83EB1">
      <w:pPr>
        <w:pStyle w:val="corpsdedcision"/>
        <w:spacing w:after="400"/>
        <w:rPr>
          <w:lang w:eastAsia="fr-FR"/>
        </w:rPr>
      </w:pPr>
      <w:r>
        <w:rPr>
          <w:lang w:eastAsia="fr-FR"/>
        </w:rPr>
        <w:t>Le Tribunal entend donc identifier correctement le diagnostic de cancer dans la présente affaire avant de poursuivre son analyse.</w:t>
      </w:r>
    </w:p>
    <w:p w14:paraId="6BB4D5C6" w14:textId="146705DD" w:rsidR="008065F4" w:rsidRDefault="008065F4" w:rsidP="00E83EB1">
      <w:pPr>
        <w:pStyle w:val="corpsdedcision"/>
        <w:spacing w:after="400"/>
        <w:rPr>
          <w:lang w:eastAsia="fr-FR"/>
        </w:rPr>
      </w:pPr>
      <w:r>
        <w:rPr>
          <w:lang w:eastAsia="fr-FR"/>
        </w:rPr>
        <w:t>De plus, le Tribunal devra également se prononcer sur la validité du diagnostic d’intoxications à des solvants</w:t>
      </w:r>
      <w:r w:rsidR="00511F13" w:rsidRPr="003209D2">
        <w:rPr>
          <w:lang w:eastAsia="fr-FR"/>
        </w:rPr>
        <w:t>,</w:t>
      </w:r>
      <w:r>
        <w:rPr>
          <w:lang w:eastAsia="fr-FR"/>
        </w:rPr>
        <w:t xml:space="preserve"> puisque l’employeur l</w:t>
      </w:r>
      <w:r w:rsidR="00E94C2F">
        <w:rPr>
          <w:lang w:eastAsia="fr-FR"/>
        </w:rPr>
        <w:t>a</w:t>
      </w:r>
      <w:r>
        <w:rPr>
          <w:lang w:eastAsia="fr-FR"/>
        </w:rPr>
        <w:t xml:space="preserve"> remet en cause.</w:t>
      </w:r>
    </w:p>
    <w:p w14:paraId="7C7B93C7" w14:textId="23FAF04E" w:rsidR="00E94C2F" w:rsidRDefault="00E94C2F" w:rsidP="00E83EB1">
      <w:pPr>
        <w:pStyle w:val="corpsdedcision"/>
        <w:spacing w:after="400"/>
        <w:rPr>
          <w:lang w:eastAsia="fr-FR"/>
        </w:rPr>
      </w:pPr>
      <w:r>
        <w:rPr>
          <w:lang w:eastAsia="fr-FR"/>
        </w:rPr>
        <w:t xml:space="preserve">Avant de procéder à la revue des diagnostics liants dans le présent dossier, le Tribunal doit d’abord déterminer </w:t>
      </w:r>
      <w:r w:rsidRPr="00C42BDF">
        <w:rPr>
          <w:lang w:eastAsia="fr-FR"/>
        </w:rPr>
        <w:t>quel médecin agit à titre de professionnel de la santé qui prend en charge le travailleur au sens de l’article 199</w:t>
      </w:r>
      <w:r>
        <w:rPr>
          <w:lang w:eastAsia="fr-FR"/>
        </w:rPr>
        <w:t xml:space="preserve"> de la Loi.</w:t>
      </w:r>
      <w:r w:rsidR="005F1321">
        <w:rPr>
          <w:lang w:eastAsia="fr-FR"/>
        </w:rPr>
        <w:t xml:space="preserve"> </w:t>
      </w:r>
    </w:p>
    <w:p w14:paraId="284EBD70" w14:textId="0B8AFBA0" w:rsidR="005F1321" w:rsidRDefault="005F1321" w:rsidP="00E83EB1">
      <w:pPr>
        <w:pStyle w:val="corpsdedcision"/>
        <w:spacing w:after="400"/>
        <w:rPr>
          <w:lang w:eastAsia="fr-FR"/>
        </w:rPr>
      </w:pPr>
      <w:r>
        <w:rPr>
          <w:lang w:eastAsia="fr-FR"/>
        </w:rPr>
        <w:t xml:space="preserve">En effet, </w:t>
      </w:r>
      <w:r>
        <w:t>le Tribunal est lié par le diagnostic posé par le professionnel de la santé qui a charge du travailleur</w:t>
      </w:r>
      <w:r w:rsidR="00511F13" w:rsidRPr="003209D2">
        <w:t>,</w:t>
      </w:r>
      <w:r w:rsidRPr="003209D2">
        <w:t xml:space="preserve"> p</w:t>
      </w:r>
      <w:r>
        <w:t xml:space="preserve">uisque dans cette affaire, la question du diagnostic n’a pas été contestée par le biais de la procédure d’évaluation médicale prévue par </w:t>
      </w:r>
      <w:r w:rsidRPr="00362958">
        <w:t>la Loi</w:t>
      </w:r>
      <w:r>
        <w:t>.</w:t>
      </w:r>
    </w:p>
    <w:p w14:paraId="10003882" w14:textId="330094C5" w:rsidR="00E94C2F" w:rsidRDefault="00E42BDA" w:rsidP="00E83EB1">
      <w:pPr>
        <w:pStyle w:val="Titre4"/>
        <w:keepNext w:val="0"/>
        <w:spacing w:after="400"/>
      </w:pPr>
      <w:r>
        <w:t>L’i</w:t>
      </w:r>
      <w:r w:rsidR="00E94C2F">
        <w:t>dentification du professionnel de la santé qui a charge</w:t>
      </w:r>
    </w:p>
    <w:p w14:paraId="499E5125" w14:textId="5FA0CF5A" w:rsidR="00DB7E97" w:rsidRDefault="009804D3" w:rsidP="00E83EB1">
      <w:pPr>
        <w:pStyle w:val="corpsdedcision"/>
        <w:spacing w:after="400"/>
        <w:rPr>
          <w:lang w:eastAsia="fr-FR"/>
        </w:rPr>
      </w:pPr>
      <w:r>
        <w:rPr>
          <w:lang w:eastAsia="fr-FR"/>
        </w:rPr>
        <w:t>La notion d</w:t>
      </w:r>
      <w:r w:rsidR="005F1321">
        <w:rPr>
          <w:lang w:eastAsia="fr-FR"/>
        </w:rPr>
        <w:t>u</w:t>
      </w:r>
      <w:r>
        <w:rPr>
          <w:lang w:eastAsia="fr-FR"/>
        </w:rPr>
        <w:t xml:space="preserve"> professionnel de la santé qui a charge n’est pas définie dans la Loi, si bien que le Tribunal a largement interprété cette notion au fil des années. </w:t>
      </w:r>
    </w:p>
    <w:p w14:paraId="6D4497D5" w14:textId="6F04B28B" w:rsidR="009804D3" w:rsidRDefault="009804D3" w:rsidP="00E83EB1">
      <w:pPr>
        <w:pStyle w:val="corpsdedcision"/>
        <w:spacing w:after="440"/>
        <w:rPr>
          <w:lang w:eastAsia="fr-FR"/>
        </w:rPr>
      </w:pPr>
      <w:r>
        <w:rPr>
          <w:lang w:eastAsia="fr-FR"/>
        </w:rPr>
        <w:t>Dans l</w:t>
      </w:r>
      <w:r w:rsidR="005F1321">
        <w:rPr>
          <w:lang w:eastAsia="fr-FR"/>
        </w:rPr>
        <w:t>a décision</w:t>
      </w:r>
      <w:r>
        <w:rPr>
          <w:lang w:eastAsia="fr-FR"/>
        </w:rPr>
        <w:t xml:space="preserve"> </w:t>
      </w:r>
      <w:bookmarkStart w:id="22" w:name="_Hlk195259073"/>
      <w:r w:rsidRPr="009804D3">
        <w:rPr>
          <w:i/>
          <w:iCs/>
          <w:lang w:eastAsia="fr-FR"/>
        </w:rPr>
        <w:t>Marceau</w:t>
      </w:r>
      <w:r w:rsidRPr="009804D3">
        <w:rPr>
          <w:lang w:eastAsia="fr-FR"/>
        </w:rPr>
        <w:t xml:space="preserve"> et </w:t>
      </w:r>
      <w:r w:rsidRPr="009804D3">
        <w:rPr>
          <w:i/>
          <w:iCs/>
          <w:lang w:eastAsia="fr-FR"/>
        </w:rPr>
        <w:t>Gouttière Rive-Sud Fabrication inc</w:t>
      </w:r>
      <w:r w:rsidRPr="009804D3">
        <w:rPr>
          <w:lang w:eastAsia="fr-FR"/>
        </w:rPr>
        <w:t>.</w:t>
      </w:r>
      <w:bookmarkEnd w:id="22"/>
      <w:r>
        <w:rPr>
          <w:rStyle w:val="Appelnotedebasdep"/>
          <w:lang w:eastAsia="fr-FR"/>
        </w:rPr>
        <w:footnoteReference w:id="18"/>
      </w:r>
      <w:r>
        <w:rPr>
          <w:lang w:eastAsia="fr-FR"/>
        </w:rPr>
        <w:t>, quatre critères sont énoncés pour identifier le professionnel de la santé qui a charge :</w:t>
      </w:r>
    </w:p>
    <w:p w14:paraId="36DC6CDA" w14:textId="38F9D16D" w:rsidR="009804D3" w:rsidRPr="009804D3" w:rsidRDefault="00511F13" w:rsidP="00E83EB1">
      <w:pPr>
        <w:pStyle w:val="corpsdedcision"/>
        <w:numPr>
          <w:ilvl w:val="0"/>
          <w:numId w:val="26"/>
        </w:numPr>
        <w:spacing w:after="280"/>
        <w:ind w:hanging="357"/>
        <w:rPr>
          <w:lang w:eastAsia="fr-FR"/>
        </w:rPr>
      </w:pPr>
      <w:r>
        <w:rPr>
          <w:lang w:eastAsia="fr-FR"/>
        </w:rPr>
        <w:t>i</w:t>
      </w:r>
      <w:r w:rsidR="009804D3" w:rsidRPr="009804D3">
        <w:rPr>
          <w:lang w:eastAsia="fr-FR"/>
        </w:rPr>
        <w:t>l s’agit du médecin qui examine le travailleur;</w:t>
      </w:r>
    </w:p>
    <w:p w14:paraId="4148C874" w14:textId="00216779" w:rsidR="009804D3" w:rsidRPr="009804D3" w:rsidRDefault="009804D3" w:rsidP="00E83EB1">
      <w:pPr>
        <w:pStyle w:val="corpsdedcision"/>
        <w:numPr>
          <w:ilvl w:val="0"/>
          <w:numId w:val="26"/>
        </w:numPr>
        <w:spacing w:after="280"/>
        <w:ind w:hanging="357"/>
        <w:rPr>
          <w:lang w:eastAsia="fr-FR"/>
        </w:rPr>
      </w:pPr>
      <w:r w:rsidRPr="009804D3">
        <w:rPr>
          <w:lang w:eastAsia="fr-FR"/>
        </w:rPr>
        <w:t xml:space="preserve">qui est choisi par ce dernier, par opposition à celui qui lui est imposé ou qui n’agit qu’à titre de consultant ou d’expert; </w:t>
      </w:r>
    </w:p>
    <w:p w14:paraId="236702F8" w14:textId="00AB8C3D" w:rsidR="009804D3" w:rsidRDefault="009804D3" w:rsidP="00E83EB1">
      <w:pPr>
        <w:pStyle w:val="corpsdedcision"/>
        <w:numPr>
          <w:ilvl w:val="0"/>
          <w:numId w:val="26"/>
        </w:numPr>
        <w:tabs>
          <w:tab w:val="clear" w:pos="720"/>
        </w:tabs>
        <w:spacing w:after="280"/>
        <w:ind w:hanging="357"/>
        <w:rPr>
          <w:lang w:eastAsia="fr-FR"/>
        </w:rPr>
      </w:pPr>
      <w:r w:rsidRPr="009804D3">
        <w:rPr>
          <w:lang w:eastAsia="fr-FR"/>
        </w:rPr>
        <w:t>qui établit un plan de traitement;</w:t>
      </w:r>
    </w:p>
    <w:p w14:paraId="0A8AF3C8" w14:textId="28888158" w:rsidR="004120FE" w:rsidRDefault="009804D3" w:rsidP="00E83EB1">
      <w:pPr>
        <w:pStyle w:val="corpsdedcision"/>
        <w:numPr>
          <w:ilvl w:val="0"/>
          <w:numId w:val="26"/>
        </w:numPr>
        <w:spacing w:after="440"/>
        <w:rPr>
          <w:lang w:eastAsia="fr-FR"/>
        </w:rPr>
      </w:pPr>
      <w:r w:rsidRPr="009804D3">
        <w:rPr>
          <w:lang w:eastAsia="fr-FR"/>
        </w:rPr>
        <w:t>qui assure le suivi du dossier en vue de la consolidation de la lésion.</w:t>
      </w:r>
    </w:p>
    <w:p w14:paraId="576B1FFD" w14:textId="08108B31" w:rsidR="009804D3" w:rsidRDefault="004120FE" w:rsidP="00E83EB1">
      <w:pPr>
        <w:pStyle w:val="corpsdedcision"/>
        <w:spacing w:after="440"/>
        <w:rPr>
          <w:lang w:eastAsia="fr-FR"/>
        </w:rPr>
      </w:pPr>
      <w:r>
        <w:rPr>
          <w:lang w:eastAsia="fr-FR"/>
        </w:rPr>
        <w:t>Ce sont toujours des critères d’actualité</w:t>
      </w:r>
      <w:r w:rsidR="00065270">
        <w:rPr>
          <w:lang w:eastAsia="fr-FR"/>
        </w:rPr>
        <w:t xml:space="preserve"> dans la jurisprudence</w:t>
      </w:r>
      <w:r w:rsidR="00422A97">
        <w:rPr>
          <w:rStyle w:val="Appelnotedebasdep"/>
          <w:lang w:eastAsia="fr-FR"/>
        </w:rPr>
        <w:footnoteReference w:id="19"/>
      </w:r>
      <w:r>
        <w:rPr>
          <w:lang w:eastAsia="fr-FR"/>
        </w:rPr>
        <w:t>.</w:t>
      </w:r>
    </w:p>
    <w:p w14:paraId="1330EFDB" w14:textId="442E3B5C" w:rsidR="00A513BB" w:rsidRPr="00983673" w:rsidRDefault="00A513BB" w:rsidP="00E83EB1">
      <w:pPr>
        <w:pStyle w:val="corpsdedcision"/>
        <w:spacing w:after="440"/>
        <w:rPr>
          <w:lang w:eastAsia="fr-FR"/>
        </w:rPr>
      </w:pPr>
      <w:r w:rsidRPr="00983673">
        <w:rPr>
          <w:lang w:eastAsia="fr-FR"/>
        </w:rPr>
        <w:t xml:space="preserve">Le travailleur consulte </w:t>
      </w:r>
      <w:r w:rsidR="006A09BA">
        <w:rPr>
          <w:lang w:eastAsia="fr-FR"/>
        </w:rPr>
        <w:t xml:space="preserve">la </w:t>
      </w:r>
      <w:r w:rsidRPr="00983673">
        <w:rPr>
          <w:lang w:eastAsia="fr-FR"/>
        </w:rPr>
        <w:t>docteure</w:t>
      </w:r>
      <w:r w:rsidR="00983673">
        <w:rPr>
          <w:lang w:eastAsia="fr-FR"/>
        </w:rPr>
        <w:t xml:space="preserve"> </w:t>
      </w:r>
      <w:r w:rsidRPr="00983673">
        <w:rPr>
          <w:lang w:eastAsia="fr-FR"/>
        </w:rPr>
        <w:t xml:space="preserve">Baillargeon à la </w:t>
      </w:r>
      <w:r w:rsidR="00C42BDF" w:rsidRPr="00F434CA">
        <w:rPr>
          <w:lang w:eastAsia="fr-FR"/>
        </w:rPr>
        <w:t>C</w:t>
      </w:r>
      <w:r w:rsidRPr="00F434CA">
        <w:rPr>
          <w:lang w:eastAsia="fr-FR"/>
        </w:rPr>
        <w:t>li</w:t>
      </w:r>
      <w:r w:rsidRPr="00983673">
        <w:rPr>
          <w:lang w:eastAsia="fr-FR"/>
        </w:rPr>
        <w:t xml:space="preserve">nique de médecine du travail et de l’environnement le 25 février 2020. Il est initialement dirigé à cette clinique par le docteur Olney, afin que soit évaluée la relation entre la leucémie myéloïde chronique en phase blastique et des expositions chimiques au travail. À ce moment, le travailleur est hospitalisé au </w:t>
      </w:r>
      <w:r w:rsidRPr="00C42BDF">
        <w:rPr>
          <w:lang w:eastAsia="fr-FR"/>
        </w:rPr>
        <w:t>Centre hospitalier de</w:t>
      </w:r>
      <w:r w:rsidRPr="00983673">
        <w:rPr>
          <w:lang w:eastAsia="fr-FR"/>
        </w:rPr>
        <w:t xml:space="preserve"> l’</w:t>
      </w:r>
      <w:r w:rsidR="006A09BA">
        <w:rPr>
          <w:lang w:eastAsia="fr-FR"/>
        </w:rPr>
        <w:t>U</w:t>
      </w:r>
      <w:r w:rsidRPr="00983673">
        <w:rPr>
          <w:lang w:eastAsia="fr-FR"/>
        </w:rPr>
        <w:t>niversité de Montréal pour le traitement de son cancer.</w:t>
      </w:r>
    </w:p>
    <w:p w14:paraId="468CA361" w14:textId="64627E83" w:rsidR="00E73DD6" w:rsidRDefault="00A513BB" w:rsidP="00E83EB1">
      <w:pPr>
        <w:pStyle w:val="corpsdedcision"/>
        <w:spacing w:after="440"/>
        <w:rPr>
          <w:lang w:eastAsia="fr-FR"/>
        </w:rPr>
      </w:pPr>
      <w:r w:rsidRPr="00983673">
        <w:rPr>
          <w:lang w:eastAsia="fr-FR"/>
        </w:rPr>
        <w:t xml:space="preserve">C’est donc dans ce contexte que </w:t>
      </w:r>
      <w:r w:rsidR="006A09BA">
        <w:rPr>
          <w:lang w:eastAsia="fr-FR"/>
        </w:rPr>
        <w:t xml:space="preserve">la </w:t>
      </w:r>
      <w:r w:rsidRPr="00983673">
        <w:rPr>
          <w:lang w:eastAsia="fr-FR"/>
        </w:rPr>
        <w:t xml:space="preserve">docteure Baillargeon rencontre le travailleur. Elle effectue une analyse du milieu de travail, de l’emploi du travailleur, de ses tâches, de l’apparition de ses symptômes et une analyse préliminaire des fiches signalétiques des principaux produits utilisés dans l’usine. </w:t>
      </w:r>
      <w:r w:rsidR="00E73DD6">
        <w:rPr>
          <w:lang w:eastAsia="fr-FR"/>
        </w:rPr>
        <w:t xml:space="preserve">Elle </w:t>
      </w:r>
      <w:r w:rsidR="002E0947">
        <w:rPr>
          <w:lang w:eastAsia="fr-FR"/>
        </w:rPr>
        <w:t>examine</w:t>
      </w:r>
      <w:r w:rsidR="00E73DD6">
        <w:rPr>
          <w:lang w:eastAsia="fr-FR"/>
        </w:rPr>
        <w:t xml:space="preserve"> également </w:t>
      </w:r>
      <w:r w:rsidR="002E0947">
        <w:rPr>
          <w:lang w:eastAsia="fr-FR"/>
        </w:rPr>
        <w:t xml:space="preserve">le </w:t>
      </w:r>
      <w:r w:rsidR="00E73DD6">
        <w:rPr>
          <w:lang w:eastAsia="fr-FR"/>
        </w:rPr>
        <w:t>travailleur</w:t>
      </w:r>
      <w:r w:rsidR="002E0947">
        <w:rPr>
          <w:lang w:eastAsia="fr-FR"/>
        </w:rPr>
        <w:t xml:space="preserve"> et évalue les sphères cognitive, neurocognitive, neuromotrice et psychique. Elle effectue un examen neurologique et mental, administre le test MOCA </w:t>
      </w:r>
      <w:r w:rsidR="002E0947" w:rsidRPr="005C3BF6">
        <w:rPr>
          <w:lang w:eastAsia="fr-FR"/>
        </w:rPr>
        <w:t xml:space="preserve">et </w:t>
      </w:r>
      <w:r w:rsidR="00F434CA" w:rsidRPr="005C3BF6">
        <w:rPr>
          <w:lang w:eastAsia="fr-FR"/>
        </w:rPr>
        <w:t xml:space="preserve">analyse </w:t>
      </w:r>
      <w:r w:rsidR="002E0947" w:rsidRPr="005C3BF6">
        <w:rPr>
          <w:lang w:eastAsia="fr-FR"/>
        </w:rPr>
        <w:t>les résultats</w:t>
      </w:r>
      <w:r w:rsidR="002E0947">
        <w:rPr>
          <w:lang w:eastAsia="fr-FR"/>
        </w:rPr>
        <w:t xml:space="preserve"> du questionnaire Euroquest </w:t>
      </w:r>
      <w:r w:rsidR="005F1321">
        <w:rPr>
          <w:lang w:eastAsia="fr-FR"/>
        </w:rPr>
        <w:t>administré</w:t>
      </w:r>
      <w:r w:rsidR="002E0947">
        <w:rPr>
          <w:lang w:eastAsia="fr-FR"/>
        </w:rPr>
        <w:t xml:space="preserve"> par l’infirmière de la clinique.</w:t>
      </w:r>
    </w:p>
    <w:p w14:paraId="576E53C3" w14:textId="550A75D2" w:rsidR="00A513BB" w:rsidRPr="00F434CA" w:rsidRDefault="00A513BB" w:rsidP="00E83EB1">
      <w:pPr>
        <w:pStyle w:val="corpsdedcision"/>
        <w:spacing w:after="440"/>
        <w:rPr>
          <w:lang w:eastAsia="fr-FR"/>
        </w:rPr>
      </w:pPr>
      <w:r w:rsidRPr="00983673">
        <w:rPr>
          <w:lang w:eastAsia="fr-FR"/>
        </w:rPr>
        <w:t xml:space="preserve">Au terme de sa première analyse, elle recommande au travailleur </w:t>
      </w:r>
      <w:r w:rsidR="005F1321">
        <w:rPr>
          <w:lang w:eastAsia="fr-FR"/>
        </w:rPr>
        <w:t>de déposer</w:t>
      </w:r>
      <w:r w:rsidRPr="00983673">
        <w:rPr>
          <w:lang w:eastAsia="fr-FR"/>
        </w:rPr>
        <w:t xml:space="preserve"> une réclamation à la Commission et demande une évaluation urgente du milieu de travail par </w:t>
      </w:r>
      <w:r w:rsidRPr="00C42BDF">
        <w:rPr>
          <w:lang w:eastAsia="fr-FR"/>
        </w:rPr>
        <w:t>la Direction de santé publique</w:t>
      </w:r>
      <w:r w:rsidR="00C42BDF">
        <w:rPr>
          <w:lang w:eastAsia="fr-FR"/>
        </w:rPr>
        <w:t xml:space="preserve"> </w:t>
      </w:r>
      <w:r w:rsidR="00C42BDF" w:rsidRPr="00F434CA">
        <w:rPr>
          <w:lang w:eastAsia="fr-FR"/>
        </w:rPr>
        <w:t>de Lanaudière</w:t>
      </w:r>
      <w:r w:rsidRPr="00F434CA">
        <w:rPr>
          <w:lang w:eastAsia="fr-FR"/>
        </w:rPr>
        <w:t>.</w:t>
      </w:r>
    </w:p>
    <w:p w14:paraId="3E904A50" w14:textId="7627CE7E" w:rsidR="00A513BB" w:rsidRPr="00983673" w:rsidRDefault="00A513BB" w:rsidP="00D3203D">
      <w:pPr>
        <w:pStyle w:val="corpsdedcision"/>
        <w:spacing w:after="320"/>
        <w:rPr>
          <w:lang w:eastAsia="fr-FR"/>
        </w:rPr>
      </w:pPr>
      <w:r w:rsidRPr="00983673">
        <w:rPr>
          <w:lang w:eastAsia="fr-FR"/>
        </w:rPr>
        <w:t xml:space="preserve">Ainsi, le 25 février 2020, </w:t>
      </w:r>
      <w:r w:rsidR="006A09BA">
        <w:rPr>
          <w:lang w:eastAsia="fr-FR"/>
        </w:rPr>
        <w:t xml:space="preserve">la </w:t>
      </w:r>
      <w:r w:rsidRPr="00983673">
        <w:rPr>
          <w:lang w:eastAsia="fr-FR"/>
        </w:rPr>
        <w:t>docteure Baillargeon pose, à l’Attestation médicale initiale, le diagnostic d’intoxications aigu</w:t>
      </w:r>
      <w:r w:rsidR="006A09BA">
        <w:rPr>
          <w:lang w:eastAsia="fr-FR"/>
        </w:rPr>
        <w:t>ë</w:t>
      </w:r>
      <w:r w:rsidRPr="00983673">
        <w:rPr>
          <w:lang w:eastAsia="fr-FR"/>
        </w:rPr>
        <w:t>s à répétition à des solvants. Elle conclut sa note en indiquant que l’analyse de la relation entre la leucémie et l’exposition aux solvants est à venir.</w:t>
      </w:r>
    </w:p>
    <w:p w14:paraId="6FF95DBE" w14:textId="1409B582" w:rsidR="00983673" w:rsidRDefault="00983673" w:rsidP="00D3203D">
      <w:pPr>
        <w:pStyle w:val="corpsdedcision"/>
        <w:spacing w:after="320"/>
        <w:rPr>
          <w:lang w:eastAsia="fr-FR"/>
        </w:rPr>
      </w:pPr>
      <w:r>
        <w:rPr>
          <w:lang w:eastAsia="fr-FR"/>
        </w:rPr>
        <w:t>C’est dans ce contexte que, le 14 mai 2020, elle</w:t>
      </w:r>
      <w:r w:rsidR="002E0947">
        <w:rPr>
          <w:lang w:eastAsia="fr-FR"/>
        </w:rPr>
        <w:t xml:space="preserve"> </w:t>
      </w:r>
      <w:r>
        <w:rPr>
          <w:lang w:eastAsia="fr-FR"/>
        </w:rPr>
        <w:t>rédige</w:t>
      </w:r>
      <w:r w:rsidR="002E0947">
        <w:rPr>
          <w:lang w:eastAsia="fr-FR"/>
        </w:rPr>
        <w:t xml:space="preserve"> un avis médical concernant la relation entre la leucémie myéloïde chronique en phase blastique et l’exposition </w:t>
      </w:r>
      <w:r w:rsidR="001F1567">
        <w:rPr>
          <w:lang w:eastAsia="fr-FR"/>
        </w:rPr>
        <w:t xml:space="preserve">du travailleur </w:t>
      </w:r>
      <w:r w:rsidR="005F1321">
        <w:rPr>
          <w:lang w:eastAsia="fr-FR"/>
        </w:rPr>
        <w:t xml:space="preserve">à des produits chimiques </w:t>
      </w:r>
      <w:r w:rsidR="002E0947">
        <w:rPr>
          <w:lang w:eastAsia="fr-FR"/>
        </w:rPr>
        <w:t>dans le milieu de travail</w:t>
      </w:r>
      <w:r w:rsidR="001F1567">
        <w:rPr>
          <w:lang w:eastAsia="fr-FR"/>
        </w:rPr>
        <w:t>, et ce</w:t>
      </w:r>
      <w:r w:rsidR="002E0947">
        <w:rPr>
          <w:lang w:eastAsia="fr-FR"/>
        </w:rPr>
        <w:t>, toujours à la demande d</w:t>
      </w:r>
      <w:r w:rsidR="00511F13">
        <w:rPr>
          <w:lang w:eastAsia="fr-FR"/>
        </w:rPr>
        <w:t>u</w:t>
      </w:r>
      <w:r w:rsidR="002E0947">
        <w:rPr>
          <w:lang w:eastAsia="fr-FR"/>
        </w:rPr>
        <w:t xml:space="preserve"> docteur Olne</w:t>
      </w:r>
      <w:r w:rsidR="00D0227F">
        <w:rPr>
          <w:lang w:eastAsia="fr-FR"/>
        </w:rPr>
        <w:t>y</w:t>
      </w:r>
      <w:r w:rsidR="001F1567">
        <w:rPr>
          <w:lang w:eastAsia="fr-FR"/>
        </w:rPr>
        <w:t xml:space="preserve">. Elle rédige ensuite, </w:t>
      </w:r>
      <w:r>
        <w:rPr>
          <w:lang w:eastAsia="fr-FR"/>
        </w:rPr>
        <w:t>à l’intention de la Commission</w:t>
      </w:r>
      <w:r w:rsidR="001F1567">
        <w:rPr>
          <w:lang w:eastAsia="fr-FR"/>
        </w:rPr>
        <w:t>,</w:t>
      </w:r>
      <w:r>
        <w:rPr>
          <w:lang w:eastAsia="fr-FR"/>
        </w:rPr>
        <w:t xml:space="preserve"> une deuxième Attestation médicale mentionnant « </w:t>
      </w:r>
      <w:r w:rsidRPr="00E62DFD">
        <w:rPr>
          <w:rStyle w:val="Citationintgre"/>
        </w:rPr>
        <w:t>leucémie myéloïde chronique en phase blastique en relation avec l’exposition importante à des solvants</w:t>
      </w:r>
      <w:r>
        <w:rPr>
          <w:lang w:eastAsia="fr-FR"/>
        </w:rPr>
        <w:t> »</w:t>
      </w:r>
      <w:r w:rsidR="002E0947">
        <w:rPr>
          <w:lang w:eastAsia="fr-FR"/>
        </w:rPr>
        <w:t xml:space="preserve">. </w:t>
      </w:r>
    </w:p>
    <w:p w14:paraId="00A4D6BB" w14:textId="77E7B1A4" w:rsidR="00D8078E" w:rsidRPr="005C034B" w:rsidRDefault="00065270" w:rsidP="00D3203D">
      <w:pPr>
        <w:pStyle w:val="corpsdedcision"/>
        <w:spacing w:after="320"/>
        <w:rPr>
          <w:lang w:eastAsia="fr-FR"/>
        </w:rPr>
      </w:pPr>
      <w:r w:rsidRPr="005C034B">
        <w:rPr>
          <w:lang w:eastAsia="fr-FR"/>
        </w:rPr>
        <w:t>Le Tribunal estime que</w:t>
      </w:r>
      <w:r w:rsidR="001F1567" w:rsidRPr="005C034B">
        <w:rPr>
          <w:lang w:eastAsia="fr-FR"/>
        </w:rPr>
        <w:t>,</w:t>
      </w:r>
      <w:r w:rsidRPr="005C034B">
        <w:rPr>
          <w:lang w:eastAsia="fr-FR"/>
        </w:rPr>
        <w:t xml:space="preserve"> dans le présent dossier, </w:t>
      </w:r>
      <w:r w:rsidR="006A09BA" w:rsidRPr="00F434CA">
        <w:rPr>
          <w:lang w:eastAsia="fr-FR"/>
        </w:rPr>
        <w:t>l</w:t>
      </w:r>
      <w:r w:rsidR="005C2501" w:rsidRPr="00F434CA">
        <w:rPr>
          <w:lang w:eastAsia="fr-FR"/>
        </w:rPr>
        <w:t>a</w:t>
      </w:r>
      <w:r w:rsidR="006A09BA" w:rsidRPr="00F434CA">
        <w:rPr>
          <w:lang w:eastAsia="fr-FR"/>
        </w:rPr>
        <w:t xml:space="preserve"> docteur</w:t>
      </w:r>
      <w:r w:rsidR="005C2501" w:rsidRPr="00F434CA">
        <w:rPr>
          <w:lang w:eastAsia="fr-FR"/>
        </w:rPr>
        <w:t>e</w:t>
      </w:r>
      <w:r w:rsidR="00A513BB" w:rsidRPr="00F434CA">
        <w:rPr>
          <w:lang w:eastAsia="fr-FR"/>
        </w:rPr>
        <w:t xml:space="preserve"> </w:t>
      </w:r>
      <w:r w:rsidRPr="00F434CA">
        <w:rPr>
          <w:lang w:eastAsia="fr-FR"/>
        </w:rPr>
        <w:t>Baillargeon</w:t>
      </w:r>
      <w:r w:rsidRPr="005C034B">
        <w:rPr>
          <w:lang w:eastAsia="fr-FR"/>
        </w:rPr>
        <w:t xml:space="preserve"> agit </w:t>
      </w:r>
      <w:r w:rsidR="007F0062" w:rsidRPr="005C034B">
        <w:rPr>
          <w:lang w:eastAsia="fr-FR"/>
        </w:rPr>
        <w:t xml:space="preserve">la première </w:t>
      </w:r>
      <w:r w:rsidRPr="005C034B">
        <w:rPr>
          <w:lang w:eastAsia="fr-FR"/>
        </w:rPr>
        <w:t xml:space="preserve">à titre de professionnelle de la santé qui a charge au sens de la </w:t>
      </w:r>
      <w:r w:rsidRPr="00F434CA">
        <w:rPr>
          <w:lang w:eastAsia="fr-FR"/>
        </w:rPr>
        <w:t>Loi</w:t>
      </w:r>
      <w:r w:rsidR="00511F13" w:rsidRPr="00F434CA">
        <w:rPr>
          <w:lang w:eastAsia="fr-FR"/>
        </w:rPr>
        <w:t>,</w:t>
      </w:r>
      <w:r w:rsidRPr="00F434CA">
        <w:rPr>
          <w:lang w:eastAsia="fr-FR"/>
        </w:rPr>
        <w:t xml:space="preserve"> étant</w:t>
      </w:r>
      <w:r w:rsidRPr="005C034B">
        <w:rPr>
          <w:lang w:eastAsia="fr-FR"/>
        </w:rPr>
        <w:t xml:space="preserve"> donné que c’est elle </w:t>
      </w:r>
      <w:r w:rsidR="007F0062" w:rsidRPr="005C034B">
        <w:rPr>
          <w:lang w:eastAsia="fr-FR"/>
        </w:rPr>
        <w:t>qui a initié le</w:t>
      </w:r>
      <w:r w:rsidRPr="005C034B">
        <w:rPr>
          <w:lang w:eastAsia="fr-FR"/>
        </w:rPr>
        <w:t xml:space="preserve"> </w:t>
      </w:r>
      <w:r w:rsidR="007F0062" w:rsidRPr="005C034B">
        <w:rPr>
          <w:lang w:eastAsia="fr-FR"/>
        </w:rPr>
        <w:t>volet</w:t>
      </w:r>
      <w:r w:rsidR="00B93F92" w:rsidRPr="005C034B">
        <w:rPr>
          <w:lang w:eastAsia="fr-FR"/>
        </w:rPr>
        <w:t xml:space="preserve"> médico-légal</w:t>
      </w:r>
      <w:r w:rsidR="00B93F92" w:rsidRPr="005C034B">
        <w:rPr>
          <w:rStyle w:val="Appelnotedebasdep"/>
          <w:lang w:eastAsia="fr-FR"/>
        </w:rPr>
        <w:footnoteReference w:id="20"/>
      </w:r>
      <w:r w:rsidR="00B93F92" w:rsidRPr="005C034B">
        <w:rPr>
          <w:lang w:eastAsia="fr-FR"/>
        </w:rPr>
        <w:t xml:space="preserve"> </w:t>
      </w:r>
      <w:r w:rsidR="007F0062" w:rsidRPr="005C034B">
        <w:rPr>
          <w:lang w:eastAsia="fr-FR"/>
        </w:rPr>
        <w:t xml:space="preserve">du dossier </w:t>
      </w:r>
      <w:r w:rsidRPr="005C034B">
        <w:rPr>
          <w:lang w:eastAsia="fr-FR"/>
        </w:rPr>
        <w:t>et qui</w:t>
      </w:r>
      <w:r w:rsidR="007F0062" w:rsidRPr="005C034B">
        <w:rPr>
          <w:lang w:eastAsia="fr-FR"/>
        </w:rPr>
        <w:t xml:space="preserve">, dans le contexte de l’analyse de la réclamation du travailleur par la Commission, </w:t>
      </w:r>
      <w:r w:rsidRPr="005C034B">
        <w:rPr>
          <w:lang w:eastAsia="fr-FR"/>
        </w:rPr>
        <w:t xml:space="preserve">était </w:t>
      </w:r>
      <w:r w:rsidR="00D21999" w:rsidRPr="00F434CA">
        <w:rPr>
          <w:lang w:eastAsia="fr-FR"/>
        </w:rPr>
        <w:t>la</w:t>
      </w:r>
      <w:r w:rsidRPr="005C034B">
        <w:rPr>
          <w:lang w:eastAsia="fr-FR"/>
        </w:rPr>
        <w:t xml:space="preserve"> plus en mesure de répondre aux demandes d’informations de </w:t>
      </w:r>
      <w:r w:rsidR="007F0062" w:rsidRPr="005C034B">
        <w:rPr>
          <w:lang w:eastAsia="fr-FR"/>
        </w:rPr>
        <w:t>l’organisme</w:t>
      </w:r>
      <w:r w:rsidRPr="005C034B">
        <w:rPr>
          <w:rStyle w:val="Appelnotedebasdep"/>
          <w:lang w:eastAsia="fr-FR"/>
        </w:rPr>
        <w:footnoteReference w:id="21"/>
      </w:r>
      <w:r w:rsidR="00AA36F8" w:rsidRPr="005C034B">
        <w:rPr>
          <w:lang w:eastAsia="fr-FR"/>
        </w:rPr>
        <w:t xml:space="preserve">, notamment </w:t>
      </w:r>
      <w:r w:rsidR="00B93F92" w:rsidRPr="005C034B">
        <w:rPr>
          <w:lang w:eastAsia="fr-FR"/>
        </w:rPr>
        <w:t xml:space="preserve">quant au diagnostic </w:t>
      </w:r>
      <w:r w:rsidR="00B93F92" w:rsidRPr="00F434CA">
        <w:rPr>
          <w:lang w:eastAsia="fr-FR"/>
        </w:rPr>
        <w:t>d’intoxication</w:t>
      </w:r>
      <w:r w:rsidR="00511F13" w:rsidRPr="00F434CA">
        <w:rPr>
          <w:lang w:eastAsia="fr-FR"/>
        </w:rPr>
        <w:t>s</w:t>
      </w:r>
      <w:r w:rsidR="00B93F92" w:rsidRPr="00F434CA">
        <w:rPr>
          <w:lang w:eastAsia="fr-FR"/>
        </w:rPr>
        <w:t xml:space="preserve"> qui</w:t>
      </w:r>
      <w:r w:rsidR="00B93F92" w:rsidRPr="005C034B">
        <w:rPr>
          <w:lang w:eastAsia="fr-FR"/>
        </w:rPr>
        <w:t xml:space="preserve"> est au centre de la réclamation du travailleur.</w:t>
      </w:r>
    </w:p>
    <w:p w14:paraId="7A9CB9DF" w14:textId="3CADE798" w:rsidR="004120FE" w:rsidRPr="005C034B" w:rsidRDefault="00B93F92" w:rsidP="00D3203D">
      <w:pPr>
        <w:pStyle w:val="corpsdedcision"/>
        <w:spacing w:after="320"/>
        <w:rPr>
          <w:lang w:eastAsia="fr-FR"/>
        </w:rPr>
      </w:pPr>
      <w:r w:rsidRPr="005C034B">
        <w:rPr>
          <w:lang w:eastAsia="fr-FR"/>
        </w:rPr>
        <w:t xml:space="preserve">Elle a par ailleurs suivi régulièrement </w:t>
      </w:r>
      <w:r w:rsidR="00D8078E" w:rsidRPr="005C034B">
        <w:rPr>
          <w:lang w:eastAsia="fr-FR"/>
        </w:rPr>
        <w:t>l’évolution du dossier</w:t>
      </w:r>
      <w:r w:rsidRPr="005C034B">
        <w:rPr>
          <w:lang w:eastAsia="fr-FR"/>
        </w:rPr>
        <w:t>, en plus d’être la personne</w:t>
      </w:r>
      <w:r w:rsidR="006A09BA">
        <w:rPr>
          <w:lang w:eastAsia="fr-FR"/>
        </w:rPr>
        <w:t>-</w:t>
      </w:r>
      <w:r w:rsidRPr="005C034B">
        <w:rPr>
          <w:lang w:eastAsia="fr-FR"/>
        </w:rPr>
        <w:t xml:space="preserve">ressource entre le travailleur, la </w:t>
      </w:r>
      <w:r w:rsidR="00AA36F8" w:rsidRPr="005C034B">
        <w:rPr>
          <w:lang w:eastAsia="fr-FR"/>
        </w:rPr>
        <w:t>Commission</w:t>
      </w:r>
      <w:r w:rsidR="00511F13">
        <w:rPr>
          <w:lang w:eastAsia="fr-FR"/>
        </w:rPr>
        <w:t xml:space="preserve"> </w:t>
      </w:r>
      <w:r w:rsidR="00511F13" w:rsidRPr="00F434CA">
        <w:rPr>
          <w:lang w:eastAsia="fr-FR"/>
        </w:rPr>
        <w:t>et</w:t>
      </w:r>
      <w:r w:rsidRPr="00F434CA">
        <w:rPr>
          <w:lang w:eastAsia="fr-FR"/>
        </w:rPr>
        <w:t xml:space="preserve"> l</w:t>
      </w:r>
      <w:r w:rsidRPr="005C034B">
        <w:rPr>
          <w:lang w:eastAsia="fr-FR"/>
        </w:rPr>
        <w:t xml:space="preserve">a </w:t>
      </w:r>
      <w:r w:rsidR="00511F13" w:rsidRPr="00C42BDF">
        <w:rPr>
          <w:lang w:eastAsia="fr-FR"/>
        </w:rPr>
        <w:t>D</w:t>
      </w:r>
      <w:r w:rsidRPr="00C42BDF">
        <w:rPr>
          <w:lang w:eastAsia="fr-FR"/>
        </w:rPr>
        <w:t>irection de santé publique</w:t>
      </w:r>
      <w:r w:rsidR="00C2429A">
        <w:rPr>
          <w:lang w:eastAsia="fr-FR"/>
        </w:rPr>
        <w:t xml:space="preserve"> de Lanaudière</w:t>
      </w:r>
      <w:r w:rsidR="007F0062" w:rsidRPr="00C42BDF">
        <w:rPr>
          <w:lang w:eastAsia="fr-FR"/>
        </w:rPr>
        <w:t>.</w:t>
      </w:r>
      <w:r w:rsidR="007F0062" w:rsidRPr="005C034B">
        <w:rPr>
          <w:lang w:eastAsia="fr-FR"/>
        </w:rPr>
        <w:t xml:space="preserve"> Elle agira aussi en collaboration étroite avec l’équipe traitante </w:t>
      </w:r>
      <w:r w:rsidR="007F0062" w:rsidRPr="00F434CA">
        <w:rPr>
          <w:lang w:eastAsia="fr-FR"/>
        </w:rPr>
        <w:t>d’hémato</w:t>
      </w:r>
      <w:r w:rsidR="00D21999" w:rsidRPr="00F434CA">
        <w:rPr>
          <w:lang w:eastAsia="fr-FR"/>
        </w:rPr>
        <w:t>-</w:t>
      </w:r>
      <w:r w:rsidR="007F0062" w:rsidRPr="00F434CA">
        <w:rPr>
          <w:lang w:eastAsia="fr-FR"/>
        </w:rPr>
        <w:t>oncologie,</w:t>
      </w:r>
      <w:r w:rsidR="007F0062" w:rsidRPr="005C034B">
        <w:rPr>
          <w:lang w:eastAsia="fr-FR"/>
        </w:rPr>
        <w:t xml:space="preserve"> notamment </w:t>
      </w:r>
      <w:r w:rsidR="005C034B">
        <w:rPr>
          <w:lang w:eastAsia="fr-FR"/>
        </w:rPr>
        <w:t>pour établir</w:t>
      </w:r>
      <w:r w:rsidR="007F0062" w:rsidRPr="005C034B">
        <w:rPr>
          <w:lang w:eastAsia="fr-FR"/>
        </w:rPr>
        <w:t xml:space="preserve"> la relation </w:t>
      </w:r>
      <w:r w:rsidR="005C034B">
        <w:rPr>
          <w:lang w:eastAsia="fr-FR"/>
        </w:rPr>
        <w:t>entre</w:t>
      </w:r>
      <w:r w:rsidR="007F0062" w:rsidRPr="005C034B">
        <w:rPr>
          <w:lang w:eastAsia="fr-FR"/>
        </w:rPr>
        <w:t xml:space="preserve"> l’exposition aux solvants et la leucémie.</w:t>
      </w:r>
      <w:r w:rsidRPr="005C034B">
        <w:rPr>
          <w:lang w:eastAsia="fr-FR"/>
        </w:rPr>
        <w:t xml:space="preserve"> </w:t>
      </w:r>
    </w:p>
    <w:p w14:paraId="5E68210B" w14:textId="4A8683A6" w:rsidR="00B93F92" w:rsidRPr="00586A91" w:rsidRDefault="00910893" w:rsidP="00D3203D">
      <w:pPr>
        <w:pStyle w:val="corpsdedcision"/>
        <w:spacing w:after="320"/>
        <w:rPr>
          <w:lang w:eastAsia="fr-FR"/>
        </w:rPr>
      </w:pPr>
      <w:r w:rsidRPr="00586A91">
        <w:rPr>
          <w:lang w:eastAsia="fr-FR"/>
        </w:rPr>
        <w:t xml:space="preserve">Il est vrai que le travailleur a été dirigé vers </w:t>
      </w:r>
      <w:r w:rsidRPr="00F434CA">
        <w:rPr>
          <w:lang w:eastAsia="fr-FR"/>
        </w:rPr>
        <w:t xml:space="preserve">la </w:t>
      </w:r>
      <w:r w:rsidR="00C42BDF" w:rsidRPr="00F434CA">
        <w:rPr>
          <w:lang w:eastAsia="fr-FR"/>
        </w:rPr>
        <w:t>C</w:t>
      </w:r>
      <w:r w:rsidRPr="00F434CA">
        <w:rPr>
          <w:lang w:eastAsia="fr-FR"/>
        </w:rPr>
        <w:t>linique</w:t>
      </w:r>
      <w:r w:rsidRPr="00586A91">
        <w:rPr>
          <w:lang w:eastAsia="fr-FR"/>
        </w:rPr>
        <w:t xml:space="preserve"> de médecine du travail et de l’environnement</w:t>
      </w:r>
      <w:r w:rsidR="00C32220" w:rsidRPr="00A6298C">
        <w:rPr>
          <w:lang w:eastAsia="fr-FR"/>
        </w:rPr>
        <w:t>,</w:t>
      </w:r>
      <w:r w:rsidRPr="00A6298C">
        <w:rPr>
          <w:lang w:eastAsia="fr-FR"/>
        </w:rPr>
        <w:t xml:space="preserve"> où œuvre </w:t>
      </w:r>
      <w:r w:rsidR="00511F13" w:rsidRPr="00A6298C">
        <w:rPr>
          <w:lang w:eastAsia="fr-FR"/>
        </w:rPr>
        <w:t xml:space="preserve">la </w:t>
      </w:r>
      <w:r w:rsidRPr="00A6298C">
        <w:rPr>
          <w:lang w:eastAsia="fr-FR"/>
        </w:rPr>
        <w:t>docteure Baillargeon</w:t>
      </w:r>
      <w:r w:rsidR="00C32220" w:rsidRPr="00A6298C">
        <w:rPr>
          <w:lang w:eastAsia="fr-FR"/>
        </w:rPr>
        <w:t>,</w:t>
      </w:r>
      <w:r w:rsidRPr="00A6298C">
        <w:rPr>
          <w:lang w:eastAsia="fr-FR"/>
        </w:rPr>
        <w:t xml:space="preserve"> par l’hématologue qui traitait le travailleur. </w:t>
      </w:r>
      <w:r w:rsidR="00187BE5" w:rsidRPr="00A6298C">
        <w:rPr>
          <w:lang w:eastAsia="fr-FR"/>
        </w:rPr>
        <w:t>Le travailleur</w:t>
      </w:r>
      <w:r w:rsidRPr="00A6298C">
        <w:rPr>
          <w:lang w:eastAsia="fr-FR"/>
        </w:rPr>
        <w:t xml:space="preserve"> a par ailleurs avalisé ce choix en acceptant ce </w:t>
      </w:r>
      <w:r w:rsidRPr="005C3BF6">
        <w:rPr>
          <w:lang w:eastAsia="fr-FR"/>
        </w:rPr>
        <w:t>suivi</w:t>
      </w:r>
      <w:r w:rsidR="00A6298C" w:rsidRPr="005C3BF6">
        <w:rPr>
          <w:lang w:eastAsia="fr-FR"/>
        </w:rPr>
        <w:t xml:space="preserve"> et</w:t>
      </w:r>
      <w:r w:rsidRPr="005C3BF6">
        <w:rPr>
          <w:lang w:eastAsia="fr-FR"/>
        </w:rPr>
        <w:t xml:space="preserve"> en</w:t>
      </w:r>
      <w:r w:rsidRPr="00A6298C">
        <w:rPr>
          <w:lang w:eastAsia="fr-FR"/>
        </w:rPr>
        <w:t xml:space="preserve"> se conformant aux recommandations de</w:t>
      </w:r>
      <w:r w:rsidR="00511F13" w:rsidRPr="00A6298C">
        <w:rPr>
          <w:lang w:eastAsia="fr-FR"/>
        </w:rPr>
        <w:t xml:space="preserve"> la</w:t>
      </w:r>
      <w:r w:rsidRPr="00A6298C">
        <w:rPr>
          <w:lang w:eastAsia="fr-FR"/>
        </w:rPr>
        <w:t xml:space="preserve"> docteure Baillargeon</w:t>
      </w:r>
      <w:r w:rsidR="00586A91" w:rsidRPr="00A6298C">
        <w:rPr>
          <w:lang w:eastAsia="fr-FR"/>
        </w:rPr>
        <w:t>.</w:t>
      </w:r>
    </w:p>
    <w:p w14:paraId="2C500177" w14:textId="42C02177" w:rsidR="00B93F92" w:rsidRDefault="00511F13" w:rsidP="00D3203D">
      <w:pPr>
        <w:pStyle w:val="corpsdedcision"/>
        <w:spacing w:after="320"/>
        <w:rPr>
          <w:lang w:eastAsia="fr-FR"/>
        </w:rPr>
      </w:pPr>
      <w:r w:rsidRPr="00A6298C">
        <w:rPr>
          <w:lang w:eastAsia="fr-FR"/>
        </w:rPr>
        <w:t>La d</w:t>
      </w:r>
      <w:r w:rsidR="00B93F92" w:rsidRPr="00A6298C">
        <w:rPr>
          <w:lang w:eastAsia="fr-FR"/>
        </w:rPr>
        <w:t>octeure Baillargeon a</w:t>
      </w:r>
      <w:r w:rsidR="008B48D2" w:rsidRPr="00A6298C">
        <w:rPr>
          <w:lang w:eastAsia="fr-FR"/>
        </w:rPr>
        <w:t xml:space="preserve"> aussi examiné le travailleur. Elle a ensuite</w:t>
      </w:r>
      <w:r w:rsidR="008B48D2" w:rsidRPr="00A6298C">
        <w:t xml:space="preserve"> rédigé différents rapports médicaux à l’intention de la Commission</w:t>
      </w:r>
      <w:r w:rsidRPr="00A6298C">
        <w:t>,</w:t>
      </w:r>
      <w:r w:rsidR="008B48D2" w:rsidRPr="00A6298C">
        <w:t xml:space="preserve"> tel que le prescrit la Loi, comme les attestations médicales initiales,</w:t>
      </w:r>
      <w:r w:rsidR="00C32220" w:rsidRPr="00A6298C">
        <w:t xml:space="preserve"> et</w:t>
      </w:r>
      <w:r w:rsidR="008B48D2" w:rsidRPr="00A6298C">
        <w:t xml:space="preserve"> elle a répondu</w:t>
      </w:r>
      <w:r w:rsidR="008B48D2">
        <w:t xml:space="preserve"> à </w:t>
      </w:r>
      <w:r w:rsidR="00187BE5">
        <w:t>certaines</w:t>
      </w:r>
      <w:r w:rsidR="008B48D2">
        <w:t xml:space="preserve"> demandes d’informations de la Commission</w:t>
      </w:r>
      <w:r w:rsidR="00586A91">
        <w:t>.</w:t>
      </w:r>
      <w:r w:rsidR="008B48D2">
        <w:rPr>
          <w:lang w:eastAsia="fr-FR"/>
        </w:rPr>
        <w:t xml:space="preserve"> </w:t>
      </w:r>
    </w:p>
    <w:p w14:paraId="5D98456D" w14:textId="76909B8D" w:rsidR="00983673" w:rsidRPr="00983673" w:rsidRDefault="00983673" w:rsidP="00D3203D">
      <w:pPr>
        <w:pStyle w:val="corpsdedcision"/>
        <w:spacing w:after="320"/>
        <w:rPr>
          <w:lang w:eastAsia="fr-FR"/>
        </w:rPr>
      </w:pPr>
      <w:r w:rsidRPr="00983673">
        <w:rPr>
          <w:lang w:eastAsia="fr-FR"/>
        </w:rPr>
        <w:t xml:space="preserve">La Commission s’est appuyée sur les notes d’analyse rédigées à l’appui des </w:t>
      </w:r>
      <w:r w:rsidRPr="005C3BF6">
        <w:rPr>
          <w:lang w:eastAsia="fr-FR"/>
        </w:rPr>
        <w:t xml:space="preserve">attestations médicales signées par </w:t>
      </w:r>
      <w:r w:rsidR="00511F13" w:rsidRPr="005C3BF6">
        <w:rPr>
          <w:lang w:eastAsia="fr-FR"/>
        </w:rPr>
        <w:t xml:space="preserve">la </w:t>
      </w:r>
      <w:r w:rsidRPr="005C3BF6">
        <w:rPr>
          <w:lang w:eastAsia="fr-FR"/>
        </w:rPr>
        <w:t>docteure Baillargeon pour rendre la décision d’admissibilité de la réclamation. C’est d’ailleurs ce qui ressort de la note évolutive du médecin-conseil</w:t>
      </w:r>
      <w:r w:rsidR="00C32220" w:rsidRPr="005C3BF6">
        <w:rPr>
          <w:lang w:eastAsia="fr-FR"/>
        </w:rPr>
        <w:t xml:space="preserve"> </w:t>
      </w:r>
      <w:r w:rsidRPr="005C3BF6">
        <w:rPr>
          <w:lang w:eastAsia="fr-FR"/>
        </w:rPr>
        <w:t>de</w:t>
      </w:r>
      <w:r w:rsidRPr="00A6298C">
        <w:rPr>
          <w:lang w:eastAsia="fr-FR"/>
        </w:rPr>
        <w:t xml:space="preserve"> la</w:t>
      </w:r>
      <w:r w:rsidRPr="00983673">
        <w:rPr>
          <w:lang w:eastAsia="fr-FR"/>
        </w:rPr>
        <w:t xml:space="preserve"> Commission consulté le 29</w:t>
      </w:r>
      <w:r w:rsidR="00C32220">
        <w:rPr>
          <w:lang w:eastAsia="fr-FR"/>
        </w:rPr>
        <w:t> </w:t>
      </w:r>
      <w:r w:rsidRPr="00983673">
        <w:rPr>
          <w:lang w:eastAsia="fr-FR"/>
        </w:rPr>
        <w:t>mai</w:t>
      </w:r>
      <w:r w:rsidR="00C32220">
        <w:rPr>
          <w:lang w:eastAsia="fr-FR"/>
        </w:rPr>
        <w:t> </w:t>
      </w:r>
      <w:r w:rsidRPr="00983673">
        <w:rPr>
          <w:lang w:eastAsia="fr-FR"/>
        </w:rPr>
        <w:t>2020.</w:t>
      </w:r>
    </w:p>
    <w:p w14:paraId="2CEEE390" w14:textId="1A4DDBAD" w:rsidR="003E27F1" w:rsidRDefault="008B48D2" w:rsidP="00D3203D">
      <w:pPr>
        <w:pStyle w:val="corpsdedcision"/>
        <w:rPr>
          <w:lang w:eastAsia="fr-FR"/>
        </w:rPr>
      </w:pPr>
      <w:r>
        <w:rPr>
          <w:lang w:eastAsia="fr-FR"/>
        </w:rPr>
        <w:t xml:space="preserve">Cette conclusion du Tribunal au regard du professionnel de la santé qui a charge ne vise pas à écarter </w:t>
      </w:r>
      <w:r w:rsidRPr="00C32220">
        <w:rPr>
          <w:lang w:eastAsia="fr-FR"/>
        </w:rPr>
        <w:t>l’équipe d’hémato</w:t>
      </w:r>
      <w:r w:rsidR="008825BC" w:rsidRPr="00C32220">
        <w:rPr>
          <w:lang w:eastAsia="fr-FR"/>
        </w:rPr>
        <w:t>-</w:t>
      </w:r>
      <w:r w:rsidRPr="00C32220">
        <w:rPr>
          <w:lang w:eastAsia="fr-FR"/>
        </w:rPr>
        <w:t>oncologie qui</w:t>
      </w:r>
      <w:r>
        <w:rPr>
          <w:lang w:eastAsia="fr-FR"/>
        </w:rPr>
        <w:t xml:space="preserve"> traitait le travailleur. Il s’agit aussi d’une nuance apportée dans l’affaire </w:t>
      </w:r>
      <w:r w:rsidRPr="008B48D2">
        <w:rPr>
          <w:i/>
          <w:iCs/>
          <w:lang w:eastAsia="fr-FR"/>
        </w:rPr>
        <w:t>Marceau</w:t>
      </w:r>
      <w:r>
        <w:rPr>
          <w:lang w:eastAsia="fr-FR"/>
        </w:rPr>
        <w:t xml:space="preserve"> précitée</w:t>
      </w:r>
      <w:r w:rsidRPr="00A6298C">
        <w:rPr>
          <w:rStyle w:val="Appelnotedebasdep"/>
          <w:lang w:eastAsia="fr-FR"/>
        </w:rPr>
        <w:footnoteReference w:id="22"/>
      </w:r>
      <w:r w:rsidR="00511F13" w:rsidRPr="00A6298C">
        <w:rPr>
          <w:lang w:eastAsia="fr-FR"/>
        </w:rPr>
        <w:t>,</w:t>
      </w:r>
      <w:r>
        <w:rPr>
          <w:lang w:eastAsia="fr-FR"/>
        </w:rPr>
        <w:t xml:space="preserve"> où le Tribunal fait cette distinction entre la notion de professionnel de la santé qui a charge au sens de la Loi </w:t>
      </w:r>
      <w:r w:rsidR="00A513BB">
        <w:rPr>
          <w:lang w:eastAsia="fr-FR"/>
        </w:rPr>
        <w:t xml:space="preserve">et </w:t>
      </w:r>
      <w:r>
        <w:rPr>
          <w:lang w:eastAsia="fr-FR"/>
        </w:rPr>
        <w:t>celle de médecin traitant au sens propre.</w:t>
      </w:r>
    </w:p>
    <w:p w14:paraId="35BFF003" w14:textId="06D98632" w:rsidR="00187BE5" w:rsidRPr="005C034B" w:rsidRDefault="00922CD0" w:rsidP="00D3203D">
      <w:pPr>
        <w:pStyle w:val="corpsdedcision"/>
        <w:rPr>
          <w:lang w:eastAsia="fr-FR"/>
        </w:rPr>
      </w:pPr>
      <w:r w:rsidRPr="005C034B">
        <w:rPr>
          <w:lang w:eastAsia="fr-FR"/>
        </w:rPr>
        <w:t>C’est donc dire que</w:t>
      </w:r>
      <w:r w:rsidR="00CE46D4" w:rsidRPr="005C034B">
        <w:rPr>
          <w:lang w:eastAsia="fr-FR"/>
        </w:rPr>
        <w:t xml:space="preserve"> </w:t>
      </w:r>
      <w:r w:rsidR="003E27F1" w:rsidRPr="005C034B">
        <w:rPr>
          <w:lang w:eastAsia="fr-FR"/>
        </w:rPr>
        <w:t>la conclusion à laquelle en arrive le</w:t>
      </w:r>
      <w:r w:rsidR="00CE46D4" w:rsidRPr="005C034B">
        <w:rPr>
          <w:lang w:eastAsia="fr-FR"/>
        </w:rPr>
        <w:t xml:space="preserve"> Tribunal ne signifie pas que </w:t>
      </w:r>
      <w:r w:rsidR="00CE46D4" w:rsidRPr="00C32220">
        <w:rPr>
          <w:lang w:eastAsia="fr-FR"/>
        </w:rPr>
        <w:t>l’hématologue traitant</w:t>
      </w:r>
      <w:r w:rsidR="00CE46D4" w:rsidRPr="005C034B">
        <w:rPr>
          <w:lang w:eastAsia="fr-FR"/>
        </w:rPr>
        <w:t xml:space="preserve"> ne puisse agir</w:t>
      </w:r>
      <w:r w:rsidR="005F11FA" w:rsidRPr="005C034B">
        <w:rPr>
          <w:lang w:eastAsia="fr-FR"/>
        </w:rPr>
        <w:t>,</w:t>
      </w:r>
      <w:r w:rsidR="00CE46D4" w:rsidRPr="005C034B">
        <w:rPr>
          <w:lang w:eastAsia="fr-FR"/>
        </w:rPr>
        <w:t xml:space="preserve"> à son tou</w:t>
      </w:r>
      <w:r w:rsidR="00A513BB" w:rsidRPr="005C034B">
        <w:rPr>
          <w:lang w:eastAsia="fr-FR"/>
        </w:rPr>
        <w:t>r</w:t>
      </w:r>
      <w:r w:rsidR="005F11FA" w:rsidRPr="005C034B">
        <w:rPr>
          <w:lang w:eastAsia="fr-FR"/>
        </w:rPr>
        <w:t xml:space="preserve">, </w:t>
      </w:r>
      <w:r w:rsidR="00CE46D4" w:rsidRPr="005C034B">
        <w:rPr>
          <w:lang w:eastAsia="fr-FR"/>
        </w:rPr>
        <w:t>à titre de professionnel de la santé qui a charge à un autre moment dans le suivi médical du dossier</w:t>
      </w:r>
      <w:r w:rsidR="003E27F1" w:rsidRPr="005C034B">
        <w:rPr>
          <w:lang w:eastAsia="fr-FR"/>
        </w:rPr>
        <w:t>.</w:t>
      </w:r>
      <w:r w:rsidR="005F11FA" w:rsidRPr="005C034B">
        <w:rPr>
          <w:lang w:eastAsia="fr-FR"/>
        </w:rPr>
        <w:t xml:space="preserve"> C’est le cas de la</w:t>
      </w:r>
      <w:r w:rsidR="00361886">
        <w:rPr>
          <w:lang w:eastAsia="fr-FR"/>
        </w:rPr>
        <w:t> </w:t>
      </w:r>
      <w:r w:rsidR="005F11FA" w:rsidRPr="005C034B">
        <w:rPr>
          <w:lang w:eastAsia="fr-FR"/>
        </w:rPr>
        <w:t>docteure Bernard.</w:t>
      </w:r>
    </w:p>
    <w:p w14:paraId="140BA10C" w14:textId="290DF59F" w:rsidR="00586A91" w:rsidRPr="005C034B" w:rsidRDefault="00B24231" w:rsidP="00D3203D">
      <w:pPr>
        <w:pStyle w:val="corpsdedcision"/>
        <w:rPr>
          <w:lang w:eastAsia="fr-FR"/>
        </w:rPr>
      </w:pPr>
      <w:r w:rsidRPr="005C034B">
        <w:rPr>
          <w:lang w:eastAsia="fr-FR"/>
        </w:rPr>
        <w:t>L</w:t>
      </w:r>
      <w:r w:rsidR="00586A91" w:rsidRPr="005C034B">
        <w:rPr>
          <w:lang w:eastAsia="fr-FR"/>
        </w:rPr>
        <w:t>a jurisprudence du Tribunal</w:t>
      </w:r>
      <w:r w:rsidRPr="005C034B">
        <w:rPr>
          <w:lang w:eastAsia="fr-FR"/>
        </w:rPr>
        <w:t xml:space="preserve"> reconnaît, lorsqu’un travailleur bénéficie d’un suivi médical par plusieurs médecins, qu’il est possible que soit identifié un professionnel de la santé qui a charge à un moment précis dans le suivi du dossier</w:t>
      </w:r>
      <w:r w:rsidRPr="005C034B">
        <w:rPr>
          <w:rStyle w:val="Appelnotedebasdep"/>
          <w:lang w:eastAsia="fr-FR"/>
        </w:rPr>
        <w:footnoteReference w:id="23"/>
      </w:r>
      <w:r w:rsidR="008825BC" w:rsidRPr="00A6298C">
        <w:rPr>
          <w:lang w:eastAsia="fr-FR"/>
        </w:rPr>
        <w:t>,</w:t>
      </w:r>
      <w:r w:rsidRPr="005C034B">
        <w:rPr>
          <w:lang w:eastAsia="fr-FR"/>
        </w:rPr>
        <w:t xml:space="preserve"> selon aussi celui qui est le plus impliqué dans ce suivi</w:t>
      </w:r>
      <w:r w:rsidRPr="005C034B">
        <w:rPr>
          <w:rStyle w:val="Appelnotedebasdep"/>
          <w:lang w:eastAsia="fr-FR"/>
        </w:rPr>
        <w:footnoteReference w:id="24"/>
      </w:r>
      <w:r w:rsidRPr="005C034B">
        <w:rPr>
          <w:lang w:eastAsia="fr-FR"/>
        </w:rPr>
        <w:t>. Voici un exemple tiré de l</w:t>
      </w:r>
      <w:r w:rsidR="00586A91" w:rsidRPr="005C034B">
        <w:rPr>
          <w:lang w:eastAsia="fr-FR"/>
        </w:rPr>
        <w:t xml:space="preserve">’affaire </w:t>
      </w:r>
      <w:r w:rsidRPr="005C034B">
        <w:rPr>
          <w:i/>
          <w:iCs/>
          <w:lang w:eastAsia="fr-FR"/>
        </w:rPr>
        <w:t>Nelson</w:t>
      </w:r>
      <w:r w:rsidRPr="005C034B">
        <w:rPr>
          <w:lang w:eastAsia="fr-FR"/>
        </w:rPr>
        <w:t xml:space="preserve"> et </w:t>
      </w:r>
      <w:r w:rsidRPr="005C034B">
        <w:rPr>
          <w:i/>
          <w:iCs/>
          <w:lang w:eastAsia="fr-FR"/>
        </w:rPr>
        <w:t>Manoir St</w:t>
      </w:r>
      <w:r w:rsidR="008825BC">
        <w:rPr>
          <w:i/>
          <w:iCs/>
          <w:lang w:eastAsia="fr-FR"/>
        </w:rPr>
        <w:noBreakHyphen/>
      </w:r>
      <w:r w:rsidRPr="005C034B">
        <w:rPr>
          <w:i/>
          <w:iCs/>
          <w:lang w:eastAsia="fr-FR"/>
        </w:rPr>
        <w:t>Patrice inc.</w:t>
      </w:r>
      <w:r w:rsidRPr="005C034B">
        <w:rPr>
          <w:rStyle w:val="Appelnotedebasdep"/>
          <w:lang w:eastAsia="fr-FR"/>
        </w:rPr>
        <w:footnoteReference w:id="25"/>
      </w:r>
      <w:r w:rsidR="008825BC" w:rsidRPr="00A6298C">
        <w:rPr>
          <w:lang w:eastAsia="fr-FR"/>
        </w:rPr>
        <w:t>,</w:t>
      </w:r>
      <w:r w:rsidRPr="005C034B">
        <w:rPr>
          <w:lang w:eastAsia="fr-FR"/>
        </w:rPr>
        <w:t xml:space="preserve"> où le Tribunal s’exprime comme suit :</w:t>
      </w:r>
    </w:p>
    <w:p w14:paraId="02435609" w14:textId="137A98F6" w:rsidR="00586A91" w:rsidRPr="005C034B" w:rsidRDefault="00586A91" w:rsidP="00D3203D">
      <w:pPr>
        <w:pStyle w:val="citation"/>
        <w:spacing w:after="360"/>
        <w:rPr>
          <w:lang w:eastAsia="fr-FR"/>
        </w:rPr>
      </w:pPr>
      <w:r w:rsidRPr="005C034B">
        <w:rPr>
          <w:lang w:eastAsia="fr-FR"/>
        </w:rPr>
        <w:t>[40]</w:t>
      </w:r>
      <w:r w:rsidRPr="005C034B">
        <w:rPr>
          <w:lang w:eastAsia="fr-FR"/>
        </w:rPr>
        <w:tab/>
        <w:t xml:space="preserve">Le Tribunal constate de la preuve que la travailleuse est suivie principalement par deux médecins, soit le docteur Lau et le docteur Lévesque. Il doit donc déterminer </w:t>
      </w:r>
      <w:r w:rsidRPr="005C034B">
        <w:rPr>
          <w:u w:val="single"/>
          <w:lang w:eastAsia="fr-FR"/>
        </w:rPr>
        <w:t>celui qui est le plus impliqué dans le suivi de l’évolution de la lésion</w:t>
      </w:r>
      <w:r w:rsidRPr="005C034B">
        <w:rPr>
          <w:lang w:eastAsia="fr-FR"/>
        </w:rPr>
        <w:t xml:space="preserve"> afin d’identifier le médecin qui a charge au moment où l’employeur fait sa demande d’évaluation médicale</w:t>
      </w:r>
      <w:r w:rsidRPr="005C034B">
        <w:rPr>
          <w:vertAlign w:val="superscript"/>
          <w:lang w:eastAsia="fr-FR"/>
        </w:rPr>
        <w:t>12</w:t>
      </w:r>
      <w:r w:rsidRPr="005C034B">
        <w:rPr>
          <w:lang w:eastAsia="fr-FR"/>
        </w:rPr>
        <w:t>.</w:t>
      </w:r>
    </w:p>
    <w:p w14:paraId="2CFDCC56" w14:textId="69DA55BD" w:rsidR="00586A91" w:rsidRPr="005C1FCF" w:rsidRDefault="00586A91" w:rsidP="00D3203D">
      <w:pPr>
        <w:pStyle w:val="citation"/>
        <w:spacing w:after="360"/>
        <w:rPr>
          <w:sz w:val="24"/>
          <w:szCs w:val="24"/>
        </w:rPr>
      </w:pPr>
      <w:r w:rsidRPr="005C034B">
        <w:rPr>
          <w:sz w:val="24"/>
          <w:szCs w:val="24"/>
        </w:rPr>
        <w:t>[Notre soulignement et note omise]</w:t>
      </w:r>
    </w:p>
    <w:p w14:paraId="682BEE47" w14:textId="335CE810" w:rsidR="00E44AE6" w:rsidRPr="005C034B" w:rsidRDefault="00922CD0" w:rsidP="00D3203D">
      <w:pPr>
        <w:pStyle w:val="corpsdedcision"/>
        <w:rPr>
          <w:lang w:eastAsia="fr-FR"/>
        </w:rPr>
      </w:pPr>
      <w:r w:rsidRPr="005C034B">
        <w:rPr>
          <w:lang w:eastAsia="fr-FR"/>
        </w:rPr>
        <w:t>À cet égard, l</w:t>
      </w:r>
      <w:r w:rsidR="00E44AE6" w:rsidRPr="005C034B">
        <w:rPr>
          <w:lang w:eastAsia="fr-FR"/>
        </w:rPr>
        <w:t>e Tribunal c</w:t>
      </w:r>
      <w:r w:rsidRPr="005C034B">
        <w:rPr>
          <w:lang w:eastAsia="fr-FR"/>
        </w:rPr>
        <w:t xml:space="preserve">onclut </w:t>
      </w:r>
      <w:r w:rsidR="00E44AE6" w:rsidRPr="005C034B">
        <w:rPr>
          <w:lang w:eastAsia="fr-FR"/>
        </w:rPr>
        <w:t>que lorsque le travailleur a été dirigé, en avril 2020, à l’Hôpital Maisonneuve-Rosemont pour une greffe de m</w:t>
      </w:r>
      <w:r w:rsidR="00E44AE6" w:rsidRPr="00A6298C">
        <w:rPr>
          <w:lang w:eastAsia="fr-FR"/>
        </w:rPr>
        <w:t>o</w:t>
      </w:r>
      <w:r w:rsidR="008825BC" w:rsidRPr="00A6298C">
        <w:rPr>
          <w:lang w:eastAsia="fr-FR"/>
        </w:rPr>
        <w:t>ë</w:t>
      </w:r>
      <w:r w:rsidR="00E44AE6" w:rsidRPr="00A6298C">
        <w:rPr>
          <w:lang w:eastAsia="fr-FR"/>
        </w:rPr>
        <w:t>lle</w:t>
      </w:r>
      <w:r w:rsidR="00E44AE6" w:rsidRPr="005C034B">
        <w:rPr>
          <w:lang w:eastAsia="fr-FR"/>
        </w:rPr>
        <w:t xml:space="preserve"> osseuse, </w:t>
      </w:r>
      <w:r w:rsidR="006A09BA">
        <w:rPr>
          <w:lang w:eastAsia="fr-FR"/>
        </w:rPr>
        <w:t xml:space="preserve">la </w:t>
      </w:r>
      <w:r w:rsidR="00E44AE6" w:rsidRPr="005C034B">
        <w:rPr>
          <w:lang w:eastAsia="fr-FR"/>
        </w:rPr>
        <w:t>docteure</w:t>
      </w:r>
      <w:r w:rsidR="00361886">
        <w:rPr>
          <w:lang w:eastAsia="fr-FR"/>
        </w:rPr>
        <w:t> </w:t>
      </w:r>
      <w:r w:rsidR="00E44AE6" w:rsidRPr="005C034B">
        <w:rPr>
          <w:lang w:eastAsia="fr-FR"/>
        </w:rPr>
        <w:t>Bernard devient à ce moment la professionnelle de la santé qui a charge du travailleur pour la suite des choses. Le travailleur la consulte pour la première fois le 22</w:t>
      </w:r>
      <w:r w:rsidR="00361886">
        <w:rPr>
          <w:lang w:eastAsia="fr-FR"/>
        </w:rPr>
        <w:t> </w:t>
      </w:r>
      <w:r w:rsidR="00E44AE6" w:rsidRPr="005C034B">
        <w:rPr>
          <w:lang w:eastAsia="fr-FR"/>
        </w:rPr>
        <w:t>avril 2020</w:t>
      </w:r>
      <w:r w:rsidR="008825BC" w:rsidRPr="00A6298C">
        <w:rPr>
          <w:lang w:eastAsia="fr-FR"/>
        </w:rPr>
        <w:t>,</w:t>
      </w:r>
      <w:r w:rsidR="00E44AE6" w:rsidRPr="00A6298C">
        <w:rPr>
          <w:lang w:eastAsia="fr-FR"/>
        </w:rPr>
        <w:t xml:space="preserve"> à la demande du docteur Olney</w:t>
      </w:r>
      <w:r w:rsidR="00361886" w:rsidRPr="00A6298C">
        <w:rPr>
          <w:lang w:eastAsia="fr-FR"/>
        </w:rPr>
        <w:t>,</w:t>
      </w:r>
      <w:r w:rsidR="00E44AE6" w:rsidRPr="00A6298C">
        <w:rPr>
          <w:lang w:eastAsia="fr-FR"/>
        </w:rPr>
        <w:t xml:space="preserve"> pour u</w:t>
      </w:r>
      <w:r w:rsidR="00E44AE6" w:rsidRPr="005C034B">
        <w:rPr>
          <w:lang w:eastAsia="fr-FR"/>
        </w:rPr>
        <w:t>ne « </w:t>
      </w:r>
      <w:r w:rsidR="00E44AE6" w:rsidRPr="005C034B">
        <w:rPr>
          <w:rStyle w:val="Citationintgre"/>
        </w:rPr>
        <w:t>greffe-nouveau cas</w:t>
      </w:r>
      <w:r w:rsidR="00E44AE6" w:rsidRPr="005C034B">
        <w:rPr>
          <w:lang w:eastAsia="fr-FR"/>
        </w:rPr>
        <w:t> ».</w:t>
      </w:r>
    </w:p>
    <w:p w14:paraId="327C8BB9" w14:textId="32A92CDB" w:rsidR="00E44AE6" w:rsidRPr="005C034B" w:rsidRDefault="008825BC" w:rsidP="00D3203D">
      <w:pPr>
        <w:pStyle w:val="corpsdedcision"/>
        <w:rPr>
          <w:lang w:eastAsia="fr-FR"/>
        </w:rPr>
      </w:pPr>
      <w:r w:rsidRPr="00A6298C">
        <w:rPr>
          <w:lang w:eastAsia="fr-FR"/>
        </w:rPr>
        <w:t>La d</w:t>
      </w:r>
      <w:r w:rsidR="00E44AE6" w:rsidRPr="00A6298C">
        <w:rPr>
          <w:lang w:eastAsia="fr-FR"/>
        </w:rPr>
        <w:t>octeure</w:t>
      </w:r>
      <w:r w:rsidR="00E44AE6" w:rsidRPr="005C034B">
        <w:rPr>
          <w:lang w:eastAsia="fr-FR"/>
        </w:rPr>
        <w:t xml:space="preserve"> Bernard est ensuite la médecin requérant</w:t>
      </w:r>
      <w:r w:rsidR="006A09BA">
        <w:rPr>
          <w:lang w:eastAsia="fr-FR"/>
        </w:rPr>
        <w:t>e</w:t>
      </w:r>
      <w:r w:rsidR="00E44AE6" w:rsidRPr="005C034B">
        <w:rPr>
          <w:lang w:eastAsia="fr-FR"/>
        </w:rPr>
        <w:t xml:space="preserve"> dans un rapport de pathologie du 25 juin 2020. Bien que </w:t>
      </w:r>
      <w:r w:rsidR="006A09BA">
        <w:rPr>
          <w:lang w:eastAsia="fr-FR"/>
        </w:rPr>
        <w:t xml:space="preserve">le </w:t>
      </w:r>
      <w:r w:rsidR="00E44AE6" w:rsidRPr="005C034B">
        <w:rPr>
          <w:lang w:eastAsia="fr-FR"/>
        </w:rPr>
        <w:t xml:space="preserve">docteur Olney, du </w:t>
      </w:r>
      <w:r w:rsidR="00E44AE6" w:rsidRPr="00C32220">
        <w:rPr>
          <w:lang w:eastAsia="fr-FR"/>
        </w:rPr>
        <w:t xml:space="preserve">Centre </w:t>
      </w:r>
      <w:r w:rsidR="005C034B" w:rsidRPr="00C32220">
        <w:rPr>
          <w:lang w:eastAsia="fr-FR"/>
        </w:rPr>
        <w:t>h</w:t>
      </w:r>
      <w:r w:rsidR="00E44AE6" w:rsidRPr="00C32220">
        <w:rPr>
          <w:lang w:eastAsia="fr-FR"/>
        </w:rPr>
        <w:t>ospitalier</w:t>
      </w:r>
      <w:r w:rsidR="00E44AE6" w:rsidRPr="005C034B">
        <w:rPr>
          <w:lang w:eastAsia="fr-FR"/>
        </w:rPr>
        <w:t xml:space="preserve"> de l’</w:t>
      </w:r>
      <w:r w:rsidR="006A09BA">
        <w:rPr>
          <w:lang w:eastAsia="fr-FR"/>
        </w:rPr>
        <w:t>U</w:t>
      </w:r>
      <w:r w:rsidR="00E44AE6" w:rsidRPr="005C034B">
        <w:rPr>
          <w:lang w:eastAsia="fr-FR"/>
        </w:rPr>
        <w:t>niversité de Montréal</w:t>
      </w:r>
      <w:r w:rsidR="000B2C66" w:rsidRPr="005C034B">
        <w:rPr>
          <w:lang w:eastAsia="fr-FR"/>
        </w:rPr>
        <w:t>,</w:t>
      </w:r>
      <w:r w:rsidR="00E44AE6" w:rsidRPr="005C034B">
        <w:rPr>
          <w:lang w:eastAsia="fr-FR"/>
        </w:rPr>
        <w:t xml:space="preserve"> ait continué un certain suivi jusqu’en août 2020, le travailleur est véritablement pris en charge par l’équipe </w:t>
      </w:r>
      <w:r w:rsidR="00E44AE6" w:rsidRPr="00A6298C">
        <w:rPr>
          <w:lang w:eastAsia="fr-FR"/>
        </w:rPr>
        <w:t>d’hémato</w:t>
      </w:r>
      <w:r w:rsidR="00C32220" w:rsidRPr="00A6298C">
        <w:rPr>
          <w:lang w:eastAsia="fr-FR"/>
        </w:rPr>
        <w:t>-</w:t>
      </w:r>
      <w:r w:rsidR="00E44AE6" w:rsidRPr="00A6298C">
        <w:rPr>
          <w:lang w:eastAsia="fr-FR"/>
        </w:rPr>
        <w:t>oncologie</w:t>
      </w:r>
      <w:r w:rsidR="00E44AE6" w:rsidRPr="005C034B">
        <w:rPr>
          <w:lang w:eastAsia="fr-FR"/>
        </w:rPr>
        <w:t xml:space="preserve"> de l’</w:t>
      </w:r>
      <w:r w:rsidR="00361886">
        <w:rPr>
          <w:lang w:eastAsia="fr-FR"/>
        </w:rPr>
        <w:t>H</w:t>
      </w:r>
      <w:r w:rsidR="00E44AE6" w:rsidRPr="005C034B">
        <w:rPr>
          <w:lang w:eastAsia="fr-FR"/>
        </w:rPr>
        <w:t>ôpital Maisonneuve</w:t>
      </w:r>
      <w:r>
        <w:rPr>
          <w:lang w:eastAsia="fr-FR"/>
        </w:rPr>
        <w:noBreakHyphen/>
      </w:r>
      <w:r w:rsidR="00E44AE6" w:rsidRPr="005C034B">
        <w:rPr>
          <w:lang w:eastAsia="fr-FR"/>
        </w:rPr>
        <w:t xml:space="preserve">Rosemont à partir </w:t>
      </w:r>
      <w:r w:rsidR="000B2C66" w:rsidRPr="005C034B">
        <w:rPr>
          <w:lang w:eastAsia="fr-FR"/>
        </w:rPr>
        <w:t xml:space="preserve">du mois </w:t>
      </w:r>
      <w:r w:rsidR="00E44AE6" w:rsidRPr="005C034B">
        <w:rPr>
          <w:lang w:eastAsia="fr-FR"/>
        </w:rPr>
        <w:t>d’août 2020.</w:t>
      </w:r>
      <w:r w:rsidR="000B2C66" w:rsidRPr="005C034B">
        <w:rPr>
          <w:lang w:eastAsia="fr-FR"/>
        </w:rPr>
        <w:t xml:space="preserve"> </w:t>
      </w:r>
      <w:r w:rsidR="00E44AE6" w:rsidRPr="005C034B">
        <w:rPr>
          <w:lang w:eastAsia="fr-FR"/>
        </w:rPr>
        <w:t>D’ailleurs, le travailleur est hospitalisé du 26</w:t>
      </w:r>
      <w:r>
        <w:rPr>
          <w:lang w:eastAsia="fr-FR"/>
        </w:rPr>
        <w:t xml:space="preserve"> </w:t>
      </w:r>
      <w:r w:rsidR="00E44AE6" w:rsidRPr="005C034B">
        <w:rPr>
          <w:lang w:eastAsia="fr-FR"/>
        </w:rPr>
        <w:t>août</w:t>
      </w:r>
      <w:r>
        <w:rPr>
          <w:lang w:eastAsia="fr-FR"/>
        </w:rPr>
        <w:t xml:space="preserve"> </w:t>
      </w:r>
      <w:r w:rsidR="00E44AE6" w:rsidRPr="005C034B">
        <w:rPr>
          <w:lang w:eastAsia="fr-FR"/>
        </w:rPr>
        <w:t>2020</w:t>
      </w:r>
      <w:r w:rsidR="000B2C66" w:rsidRPr="005C034B">
        <w:rPr>
          <w:lang w:eastAsia="fr-FR"/>
        </w:rPr>
        <w:t xml:space="preserve"> jusqu’au 2 octobre 2020 pour sa greffe qui a lieu le 8</w:t>
      </w:r>
      <w:r>
        <w:rPr>
          <w:lang w:eastAsia="fr-FR"/>
        </w:rPr>
        <w:t> </w:t>
      </w:r>
      <w:r w:rsidR="000B2C66" w:rsidRPr="005C034B">
        <w:rPr>
          <w:lang w:eastAsia="fr-FR"/>
        </w:rPr>
        <w:t>septembre 2020.</w:t>
      </w:r>
    </w:p>
    <w:p w14:paraId="51B49513" w14:textId="18FB9D65" w:rsidR="000B2C66" w:rsidRPr="005C034B" w:rsidRDefault="008825BC" w:rsidP="00D3203D">
      <w:pPr>
        <w:pStyle w:val="corpsdedcision"/>
        <w:spacing w:after="400"/>
        <w:rPr>
          <w:lang w:eastAsia="fr-FR"/>
        </w:rPr>
      </w:pPr>
      <w:r w:rsidRPr="00A6298C">
        <w:rPr>
          <w:lang w:eastAsia="fr-FR"/>
        </w:rPr>
        <w:t>La d</w:t>
      </w:r>
      <w:r w:rsidR="000B2C66" w:rsidRPr="00A6298C">
        <w:rPr>
          <w:lang w:eastAsia="fr-FR"/>
        </w:rPr>
        <w:t>octeure</w:t>
      </w:r>
      <w:r w:rsidR="000B2C66" w:rsidRPr="005C034B">
        <w:rPr>
          <w:lang w:eastAsia="fr-FR"/>
        </w:rPr>
        <w:t xml:space="preserve"> Bernard complétera le rapport d’invalidité requis par l’assurance collective le 8 janvier 2021.</w:t>
      </w:r>
    </w:p>
    <w:p w14:paraId="5DEFBAA2" w14:textId="535F37EC" w:rsidR="000B2C66" w:rsidRPr="00403802" w:rsidRDefault="000B2C66" w:rsidP="00D3203D">
      <w:pPr>
        <w:pStyle w:val="corpsdedcision"/>
        <w:spacing w:after="400"/>
        <w:rPr>
          <w:lang w:eastAsia="fr-FR"/>
        </w:rPr>
      </w:pPr>
      <w:r w:rsidRPr="005C034B">
        <w:rPr>
          <w:lang w:eastAsia="fr-FR"/>
        </w:rPr>
        <w:t xml:space="preserve">La </w:t>
      </w:r>
      <w:r w:rsidRPr="005C3BF6">
        <w:rPr>
          <w:lang w:eastAsia="fr-FR"/>
        </w:rPr>
        <w:t xml:space="preserve">Commission effectue aussi avec </w:t>
      </w:r>
      <w:r w:rsidR="008825BC" w:rsidRPr="005C3BF6">
        <w:rPr>
          <w:lang w:eastAsia="fr-FR"/>
        </w:rPr>
        <w:t xml:space="preserve">la </w:t>
      </w:r>
      <w:r w:rsidRPr="005C3BF6">
        <w:rPr>
          <w:lang w:eastAsia="fr-FR"/>
        </w:rPr>
        <w:t xml:space="preserve">docteure Bernard un bilan médical en lui </w:t>
      </w:r>
      <w:r w:rsidR="00361886" w:rsidRPr="005C3BF6">
        <w:rPr>
          <w:lang w:eastAsia="fr-FR"/>
        </w:rPr>
        <w:t xml:space="preserve">soumettant </w:t>
      </w:r>
      <w:r w:rsidRPr="005C3BF6">
        <w:rPr>
          <w:lang w:eastAsia="fr-FR"/>
        </w:rPr>
        <w:t>un formulaire d’Information médicale complémentaire le 28</w:t>
      </w:r>
      <w:r w:rsidR="00361886" w:rsidRPr="005C3BF6">
        <w:rPr>
          <w:lang w:eastAsia="fr-FR"/>
        </w:rPr>
        <w:t> </w:t>
      </w:r>
      <w:r w:rsidRPr="005C3BF6">
        <w:rPr>
          <w:lang w:eastAsia="fr-FR"/>
        </w:rPr>
        <w:t>septembre 2021</w:t>
      </w:r>
      <w:r w:rsidR="008825BC" w:rsidRPr="005C3BF6">
        <w:rPr>
          <w:lang w:eastAsia="fr-FR"/>
        </w:rPr>
        <w:t>,</w:t>
      </w:r>
      <w:r w:rsidRPr="005C3BF6">
        <w:rPr>
          <w:lang w:eastAsia="fr-FR"/>
        </w:rPr>
        <w:t xml:space="preserve"> où elle précise que</w:t>
      </w:r>
      <w:r w:rsidRPr="005C034B">
        <w:rPr>
          <w:lang w:eastAsia="fr-FR"/>
        </w:rPr>
        <w:t xml:space="preserve"> « </w:t>
      </w:r>
      <w:r w:rsidRPr="005C034B">
        <w:rPr>
          <w:rStyle w:val="Citationintgre"/>
          <w:lang w:eastAsia="fr-FR"/>
        </w:rPr>
        <w:t>le travailleur a développé une leucémie suite à l’exposition à des solvants à son lieu de travail</w:t>
      </w:r>
      <w:r w:rsidRPr="005C034B">
        <w:rPr>
          <w:lang w:eastAsia="fr-FR"/>
        </w:rPr>
        <w:t> », ajoutant qu’il « </w:t>
      </w:r>
      <w:r w:rsidRPr="005C034B">
        <w:rPr>
          <w:rStyle w:val="Citationintgre"/>
          <w:lang w:eastAsia="fr-FR"/>
        </w:rPr>
        <w:t xml:space="preserve">a mal répondu aux traitements standards et a eu besoin </w:t>
      </w:r>
      <w:r w:rsidRPr="005C034B">
        <w:rPr>
          <w:rStyle w:val="Citationintgre"/>
        </w:rPr>
        <w:t>d’une</w:t>
      </w:r>
      <w:r w:rsidRPr="005C034B">
        <w:rPr>
          <w:rStyle w:val="Citationintgre"/>
          <w:lang w:eastAsia="fr-FR"/>
        </w:rPr>
        <w:t xml:space="preserve"> </w:t>
      </w:r>
      <w:r w:rsidRPr="00C32220">
        <w:rPr>
          <w:rStyle w:val="Citationintgre"/>
          <w:lang w:eastAsia="fr-FR"/>
        </w:rPr>
        <w:t>greffe de m</w:t>
      </w:r>
      <w:r w:rsidRPr="00C94C4F">
        <w:rPr>
          <w:rStyle w:val="Citationintgre"/>
          <w:lang w:eastAsia="fr-FR"/>
        </w:rPr>
        <w:t>o</w:t>
      </w:r>
      <w:r w:rsidR="00C32220" w:rsidRPr="00C94C4F">
        <w:rPr>
          <w:rStyle w:val="Citationintgre"/>
          <w:lang w:eastAsia="fr-FR"/>
        </w:rPr>
        <w:t>ë</w:t>
      </w:r>
      <w:r w:rsidRPr="00C94C4F">
        <w:rPr>
          <w:rStyle w:val="Citationintgre"/>
          <w:lang w:eastAsia="fr-FR"/>
        </w:rPr>
        <w:t>ll</w:t>
      </w:r>
      <w:r w:rsidRPr="00C32220">
        <w:rPr>
          <w:rStyle w:val="Citationintgre"/>
          <w:lang w:eastAsia="fr-FR"/>
        </w:rPr>
        <w:t>e</w:t>
      </w:r>
      <w:r w:rsidRPr="005C034B">
        <w:rPr>
          <w:lang w:eastAsia="fr-FR"/>
        </w:rPr>
        <w:t> ». Elle précise aussi que le travailleur a développé un diabète à titre de complication à des médicaments post-greffe et</w:t>
      </w:r>
      <w:r w:rsidR="008825BC" w:rsidRPr="00C94C4F">
        <w:rPr>
          <w:lang w:eastAsia="fr-FR"/>
        </w:rPr>
        <w:t>,</w:t>
      </w:r>
      <w:r w:rsidRPr="00C94C4F">
        <w:rPr>
          <w:lang w:eastAsia="fr-FR"/>
        </w:rPr>
        <w:t xml:space="preserve"> e</w:t>
      </w:r>
      <w:r w:rsidRPr="005C034B">
        <w:rPr>
          <w:lang w:eastAsia="fr-FR"/>
        </w:rPr>
        <w:t>nfin, elle aimerait que le travailleur soit évalué en neuropsychologie</w:t>
      </w:r>
      <w:r w:rsidR="00922CD0" w:rsidRPr="005C034B">
        <w:rPr>
          <w:lang w:eastAsia="fr-FR"/>
        </w:rPr>
        <w:t xml:space="preserve"> pour « </w:t>
      </w:r>
      <w:r w:rsidR="00922CD0" w:rsidRPr="005C034B">
        <w:rPr>
          <w:rStyle w:val="Citationintgre"/>
        </w:rPr>
        <w:t>un TDAH sous-jacent, qui s’est exacerbé avec la prise de stéroïdes</w:t>
      </w:r>
      <w:r w:rsidR="00922CD0" w:rsidRPr="005C034B">
        <w:rPr>
          <w:lang w:eastAsia="fr-FR"/>
        </w:rPr>
        <w:t xml:space="preserve"> », recommandation à laquelle la Commission se </w:t>
      </w:r>
      <w:r w:rsidR="00922CD0" w:rsidRPr="00403802">
        <w:rPr>
          <w:lang w:eastAsia="fr-FR"/>
        </w:rPr>
        <w:t>conforme</w:t>
      </w:r>
      <w:r w:rsidR="00922CD0" w:rsidRPr="00403802">
        <w:rPr>
          <w:rStyle w:val="Appelnotedebasdep"/>
          <w:lang w:eastAsia="fr-FR"/>
        </w:rPr>
        <w:footnoteReference w:id="26"/>
      </w:r>
      <w:r w:rsidR="00922CD0" w:rsidRPr="00403802">
        <w:rPr>
          <w:lang w:eastAsia="fr-FR"/>
        </w:rPr>
        <w:t>.</w:t>
      </w:r>
    </w:p>
    <w:p w14:paraId="1E4007E0" w14:textId="55F57186" w:rsidR="00922CD0" w:rsidRPr="005C034B" w:rsidRDefault="00922CD0" w:rsidP="00D3203D">
      <w:pPr>
        <w:pStyle w:val="corpsdedcision"/>
        <w:spacing w:after="400"/>
        <w:rPr>
          <w:lang w:eastAsia="fr-FR"/>
        </w:rPr>
      </w:pPr>
      <w:r w:rsidRPr="00273CF4">
        <w:rPr>
          <w:lang w:eastAsia="fr-FR"/>
        </w:rPr>
        <w:t>Tout au long de l’année 2022 et 2023,</w:t>
      </w:r>
      <w:r w:rsidRPr="00403802">
        <w:rPr>
          <w:lang w:eastAsia="fr-FR"/>
        </w:rPr>
        <w:t xml:space="preserve"> c’est </w:t>
      </w:r>
      <w:r w:rsidR="00403802" w:rsidRPr="00273CF4">
        <w:rPr>
          <w:lang w:eastAsia="fr-FR"/>
        </w:rPr>
        <w:t>la</w:t>
      </w:r>
      <w:r w:rsidR="00403802">
        <w:rPr>
          <w:lang w:eastAsia="fr-FR"/>
        </w:rPr>
        <w:t xml:space="preserve"> </w:t>
      </w:r>
      <w:r w:rsidRPr="00403802">
        <w:rPr>
          <w:lang w:eastAsia="fr-FR"/>
        </w:rPr>
        <w:t>docteure Bernard qui rédige les rapports de suivi post-greffe.</w:t>
      </w:r>
      <w:r w:rsidRPr="005C034B">
        <w:rPr>
          <w:lang w:eastAsia="fr-FR"/>
        </w:rPr>
        <w:t xml:space="preserve"> D’ailleurs, </w:t>
      </w:r>
      <w:r w:rsidR="006A09BA">
        <w:rPr>
          <w:lang w:eastAsia="fr-FR"/>
        </w:rPr>
        <w:t xml:space="preserve">la </w:t>
      </w:r>
      <w:r w:rsidRPr="005C034B">
        <w:rPr>
          <w:lang w:eastAsia="fr-FR"/>
        </w:rPr>
        <w:t xml:space="preserve">docteure Baillargeon </w:t>
      </w:r>
      <w:r w:rsidR="006A3E8B" w:rsidRPr="005C034B">
        <w:rPr>
          <w:lang w:eastAsia="fr-FR"/>
        </w:rPr>
        <w:t>indique dans sa note de consultation du</w:t>
      </w:r>
      <w:r w:rsidRPr="005C034B">
        <w:rPr>
          <w:lang w:eastAsia="fr-FR"/>
        </w:rPr>
        <w:t xml:space="preserve"> 11 janvier 2022</w:t>
      </w:r>
      <w:r w:rsidR="006A3E8B" w:rsidRPr="005C034B">
        <w:rPr>
          <w:lang w:eastAsia="fr-FR"/>
        </w:rPr>
        <w:t xml:space="preserve"> un passage révélateur du suivi maintenant réalisé </w:t>
      </w:r>
      <w:r w:rsidR="006A3E8B" w:rsidRPr="00273CF4">
        <w:rPr>
          <w:lang w:eastAsia="fr-FR"/>
        </w:rPr>
        <w:t>par</w:t>
      </w:r>
      <w:r w:rsidR="00FB032F" w:rsidRPr="00273CF4">
        <w:rPr>
          <w:lang w:eastAsia="fr-FR"/>
        </w:rPr>
        <w:t xml:space="preserve"> la</w:t>
      </w:r>
      <w:r w:rsidR="006A3E8B" w:rsidRPr="005C034B">
        <w:rPr>
          <w:lang w:eastAsia="fr-FR"/>
        </w:rPr>
        <w:t xml:space="preserve"> docteure Bernard</w:t>
      </w:r>
      <w:r w:rsidR="00403802">
        <w:rPr>
          <w:lang w:eastAsia="fr-FR"/>
        </w:rPr>
        <w:t xml:space="preserve"> </w:t>
      </w:r>
      <w:r w:rsidRPr="005C034B">
        <w:rPr>
          <w:lang w:eastAsia="fr-FR"/>
        </w:rPr>
        <w:t>:</w:t>
      </w:r>
    </w:p>
    <w:p w14:paraId="197AD7CC" w14:textId="77777777" w:rsidR="00922CD0" w:rsidRDefault="00922CD0" w:rsidP="00EF573B">
      <w:pPr>
        <w:pStyle w:val="citation"/>
        <w:rPr>
          <w:lang w:eastAsia="fr-FR"/>
        </w:rPr>
      </w:pPr>
      <w:r w:rsidRPr="005C034B">
        <w:rPr>
          <w:lang w:eastAsia="fr-FR"/>
        </w:rPr>
        <w:t>-ce serait au MD traitant, soit la Dre Bernard, à déterminer si le travailleur peut être considéré comme consolidé (guéri ou stabilisé) et si une démarche de retour au travail peut être entamée</w:t>
      </w:r>
    </w:p>
    <w:p w14:paraId="1BF80DEE" w14:textId="77777777" w:rsidR="006B5828" w:rsidRPr="005C034B" w:rsidRDefault="006B5828" w:rsidP="00EF573B">
      <w:pPr>
        <w:pStyle w:val="citation"/>
        <w:rPr>
          <w:lang w:eastAsia="fr-FR"/>
        </w:rPr>
      </w:pPr>
    </w:p>
    <w:p w14:paraId="01838974" w14:textId="1CADD15A" w:rsidR="00922CD0" w:rsidRPr="005C034B" w:rsidRDefault="00922CD0" w:rsidP="00D3203D">
      <w:pPr>
        <w:pStyle w:val="citation"/>
        <w:spacing w:after="400"/>
        <w:rPr>
          <w:lang w:eastAsia="fr-FR"/>
        </w:rPr>
      </w:pPr>
      <w:r w:rsidRPr="005C034B">
        <w:rPr>
          <w:lang w:eastAsia="fr-FR"/>
        </w:rPr>
        <w:t>-s’il est considéré comme consolidé, je pourrais faire le Rapport final et le Rapport d’évaluation médical</w:t>
      </w:r>
      <w:r w:rsidR="00D60267">
        <w:rPr>
          <w:lang w:eastAsia="fr-FR"/>
        </w:rPr>
        <w:t>,</w:t>
      </w:r>
      <w:r w:rsidRPr="005C034B">
        <w:rPr>
          <w:lang w:eastAsia="fr-FR"/>
        </w:rPr>
        <w:t xml:space="preserve"> mais j’aurais besoin d’avoir un résumé de dossier du Dre Bernard, ainsi que son évaluation de l’état actuel du travailleur (état fonctionnel et restrictions en raison de sa maladie ou du traitement)</w:t>
      </w:r>
    </w:p>
    <w:p w14:paraId="7DA07548" w14:textId="122E5442" w:rsidR="006A3E8B" w:rsidRPr="005C034B" w:rsidRDefault="00922CD0" w:rsidP="00D3203D">
      <w:pPr>
        <w:pStyle w:val="citation"/>
        <w:spacing w:after="400"/>
        <w:rPr>
          <w:sz w:val="24"/>
          <w:szCs w:val="24"/>
          <w:lang w:eastAsia="fr-FR"/>
        </w:rPr>
      </w:pPr>
      <w:r w:rsidRPr="005C034B">
        <w:rPr>
          <w:sz w:val="24"/>
          <w:szCs w:val="24"/>
          <w:lang w:eastAsia="fr-FR"/>
        </w:rPr>
        <w:t>[Transcription textuelle]</w:t>
      </w:r>
    </w:p>
    <w:p w14:paraId="10472E4E" w14:textId="21954FBA" w:rsidR="006A3E8B" w:rsidRPr="00273CF4" w:rsidRDefault="006A3E8B" w:rsidP="00D3203D">
      <w:pPr>
        <w:pStyle w:val="corpsdedcision"/>
        <w:spacing w:after="400"/>
        <w:rPr>
          <w:lang w:eastAsia="fr-FR"/>
        </w:rPr>
      </w:pPr>
      <w:r w:rsidRPr="005C034B">
        <w:rPr>
          <w:lang w:eastAsia="fr-FR"/>
        </w:rPr>
        <w:t>Le 14 août 2023,</w:t>
      </w:r>
      <w:r w:rsidR="006A09BA">
        <w:rPr>
          <w:lang w:eastAsia="fr-FR"/>
        </w:rPr>
        <w:t xml:space="preserve"> la</w:t>
      </w:r>
      <w:r w:rsidRPr="005C034B">
        <w:rPr>
          <w:lang w:eastAsia="fr-FR"/>
        </w:rPr>
        <w:t xml:space="preserve"> </w:t>
      </w:r>
      <w:r w:rsidR="006A09BA">
        <w:rPr>
          <w:lang w:eastAsia="fr-FR"/>
        </w:rPr>
        <w:t>docteure</w:t>
      </w:r>
      <w:r w:rsidRPr="005C034B">
        <w:rPr>
          <w:lang w:eastAsia="fr-FR"/>
        </w:rPr>
        <w:t xml:space="preserve"> Bernard écrit une lettre à la Commission confirmant le diagnostic de leucémie myéloïde aig</w:t>
      </w:r>
      <w:r w:rsidR="00540F19">
        <w:rPr>
          <w:lang w:eastAsia="fr-FR"/>
        </w:rPr>
        <w:t>uë</w:t>
      </w:r>
      <w:r w:rsidRPr="005C034B">
        <w:rPr>
          <w:lang w:eastAsia="fr-FR"/>
        </w:rPr>
        <w:t xml:space="preserve"> avec chromosome</w:t>
      </w:r>
      <w:r w:rsidR="00403802">
        <w:rPr>
          <w:lang w:eastAsia="fr-FR"/>
        </w:rPr>
        <w:t xml:space="preserve"> </w:t>
      </w:r>
      <w:r w:rsidR="00CB783F" w:rsidRPr="00273CF4">
        <w:rPr>
          <w:lang w:eastAsia="fr-FR"/>
        </w:rPr>
        <w:t>Philadelphie</w:t>
      </w:r>
      <w:r w:rsidRPr="00273CF4">
        <w:rPr>
          <w:lang w:eastAsia="fr-FR"/>
        </w:rPr>
        <w:t xml:space="preserve"> et répond à différentes interrogations de l’organisme. Elle conclut ainsi sa missive : « </w:t>
      </w:r>
      <w:r w:rsidRPr="00273CF4">
        <w:rPr>
          <w:rStyle w:val="Citationintgre"/>
          <w:lang w:eastAsia="fr-FR"/>
        </w:rPr>
        <w:t xml:space="preserve">Je crois saisir une certaine </w:t>
      </w:r>
      <w:r w:rsidRPr="00273CF4">
        <w:rPr>
          <w:rStyle w:val="Citationintgre"/>
        </w:rPr>
        <w:t>i</w:t>
      </w:r>
      <w:r w:rsidRPr="00273CF4">
        <w:rPr>
          <w:rStyle w:val="Citationintgre"/>
          <w:lang w:eastAsia="fr-FR"/>
        </w:rPr>
        <w:t>rritation de votre part au fait que aucun</w:t>
      </w:r>
      <w:r w:rsidR="00403802" w:rsidRPr="00273CF4">
        <w:rPr>
          <w:rStyle w:val="Citationintgre"/>
          <w:i w:val="0"/>
          <w:iCs/>
          <w:lang w:eastAsia="fr-FR"/>
        </w:rPr>
        <w:t xml:space="preserve"> </w:t>
      </w:r>
      <w:r w:rsidRPr="00273CF4">
        <w:rPr>
          <w:rStyle w:val="Citationintgre"/>
          <w:lang w:eastAsia="fr-FR"/>
        </w:rPr>
        <w:t>rapport médical n'est suivi, ma</w:t>
      </w:r>
      <w:r w:rsidRPr="00273CF4">
        <w:rPr>
          <w:rStyle w:val="Citationintgre"/>
        </w:rPr>
        <w:t>i</w:t>
      </w:r>
      <w:r w:rsidRPr="00273CF4">
        <w:rPr>
          <w:rStyle w:val="Citationintgre"/>
          <w:lang w:eastAsia="fr-FR"/>
        </w:rPr>
        <w:t>s jusqu'à cette missive en</w:t>
      </w:r>
      <w:r w:rsidRPr="00273CF4">
        <w:rPr>
          <w:rStyle w:val="Citationintgre"/>
        </w:rPr>
        <w:t>voyée</w:t>
      </w:r>
      <w:r w:rsidRPr="00273CF4">
        <w:rPr>
          <w:rStyle w:val="Citationintgre"/>
          <w:lang w:eastAsia="fr-FR"/>
        </w:rPr>
        <w:t xml:space="preserve"> à la fin juillet, </w:t>
      </w:r>
      <w:r w:rsidRPr="00273CF4">
        <w:rPr>
          <w:rStyle w:val="Citationintgre"/>
        </w:rPr>
        <w:t>j</w:t>
      </w:r>
      <w:r w:rsidRPr="00273CF4">
        <w:rPr>
          <w:rStyle w:val="Citationintgre"/>
          <w:lang w:eastAsia="fr-FR"/>
        </w:rPr>
        <w:t xml:space="preserve">e n'en ai jamais eu la </w:t>
      </w:r>
      <w:r w:rsidRPr="00933365">
        <w:rPr>
          <w:rStyle w:val="Citationintgre"/>
          <w:lang w:eastAsia="fr-FR"/>
        </w:rPr>
        <w:t>demande</w:t>
      </w:r>
      <w:r w:rsidR="00CF603A" w:rsidRPr="00933365">
        <w:rPr>
          <w:rStyle w:val="Citationintgre"/>
          <w:lang w:eastAsia="fr-FR"/>
        </w:rPr>
        <w:t xml:space="preserve"> </w:t>
      </w:r>
      <w:r w:rsidR="00403802" w:rsidRPr="00933365">
        <w:rPr>
          <w:szCs w:val="24"/>
          <w:lang w:eastAsia="fr-FR"/>
        </w:rPr>
        <w:t>[transcription textuelle]</w:t>
      </w:r>
      <w:r w:rsidR="00403802" w:rsidRPr="00933365">
        <w:rPr>
          <w:sz w:val="22"/>
          <w:szCs w:val="22"/>
          <w:lang w:eastAsia="fr-FR"/>
        </w:rPr>
        <w:t> </w:t>
      </w:r>
      <w:r w:rsidRPr="00933365">
        <w:rPr>
          <w:lang w:eastAsia="fr-FR"/>
        </w:rPr>
        <w:t>».</w:t>
      </w:r>
      <w:r w:rsidRPr="00273CF4">
        <w:rPr>
          <w:lang w:eastAsia="fr-FR"/>
        </w:rPr>
        <w:t xml:space="preserve"> </w:t>
      </w:r>
    </w:p>
    <w:p w14:paraId="6F593B0A" w14:textId="27602DCE" w:rsidR="00922CD0" w:rsidRPr="005C034B" w:rsidRDefault="006A3E8B" w:rsidP="00D3203D">
      <w:pPr>
        <w:pStyle w:val="corpsdedcision"/>
        <w:spacing w:after="400"/>
        <w:rPr>
          <w:lang w:eastAsia="fr-FR"/>
        </w:rPr>
      </w:pPr>
      <w:r w:rsidRPr="005C034B">
        <w:rPr>
          <w:lang w:eastAsia="fr-FR"/>
        </w:rPr>
        <w:t>Le 20 octobre 2023, dans une autre correspondance adressée à la Commission, elle confirme le diagnostic d’intoxication</w:t>
      </w:r>
      <w:r w:rsidR="0001494E" w:rsidRPr="00273CF4">
        <w:rPr>
          <w:lang w:eastAsia="fr-FR"/>
        </w:rPr>
        <w:t>s</w:t>
      </w:r>
      <w:r w:rsidRPr="005C034B">
        <w:rPr>
          <w:lang w:eastAsia="fr-FR"/>
        </w:rPr>
        <w:t xml:space="preserve"> posé par </w:t>
      </w:r>
      <w:r w:rsidR="0001494E" w:rsidRPr="00273CF4">
        <w:rPr>
          <w:lang w:eastAsia="fr-FR"/>
        </w:rPr>
        <w:t>la</w:t>
      </w:r>
      <w:r w:rsidR="0001494E">
        <w:rPr>
          <w:lang w:eastAsia="fr-FR"/>
        </w:rPr>
        <w:t xml:space="preserve"> </w:t>
      </w:r>
      <w:r w:rsidRPr="005C034B">
        <w:rPr>
          <w:lang w:eastAsia="fr-FR"/>
        </w:rPr>
        <w:t>docteure Baillargeon en spécifiant que « </w:t>
      </w:r>
      <w:r w:rsidRPr="005C034B">
        <w:rPr>
          <w:rStyle w:val="Citationintgre"/>
          <w:lang w:eastAsia="fr-FR"/>
        </w:rPr>
        <w:t>des phénomènes d’intoxication ont été clairement rapportés par le patient (céphalées, nausées, étourdissements, sensation d’ébriété, etc.</w:t>
      </w:r>
      <w:r w:rsidRPr="005C034B">
        <w:rPr>
          <w:rStyle w:val="Citationintgre"/>
        </w:rPr>
        <w:t>)</w:t>
      </w:r>
      <w:r w:rsidRPr="005C034B">
        <w:rPr>
          <w:lang w:eastAsia="fr-FR"/>
        </w:rPr>
        <w:t xml:space="preserve"> ». Elle y discute aussi de plan de réadaptation, de réorientation de carrière et de limitations fonctionnelles.</w:t>
      </w:r>
    </w:p>
    <w:p w14:paraId="149EED60" w14:textId="6C0E3653" w:rsidR="00E44AE6" w:rsidRDefault="006A3E8B" w:rsidP="00137E80">
      <w:pPr>
        <w:pStyle w:val="corpsdedcision"/>
        <w:spacing w:after="320"/>
        <w:rPr>
          <w:lang w:eastAsia="fr-FR"/>
        </w:rPr>
      </w:pPr>
      <w:r>
        <w:t>L</w:t>
      </w:r>
      <w:r w:rsidR="00E44AE6">
        <w:t xml:space="preserve">’employeur n’a pas remis en question le fait que </w:t>
      </w:r>
      <w:r w:rsidR="006A09BA">
        <w:t xml:space="preserve">la </w:t>
      </w:r>
      <w:r w:rsidR="00E44AE6">
        <w:t>docteure</w:t>
      </w:r>
      <w:r w:rsidR="0001494E">
        <w:t xml:space="preserve"> </w:t>
      </w:r>
      <w:r w:rsidR="00E44AE6">
        <w:t xml:space="preserve">Baillargeon agisse à titre de </w:t>
      </w:r>
      <w:r w:rsidR="00E44AE6" w:rsidRPr="00273CF4">
        <w:t>professionnel</w:t>
      </w:r>
      <w:r w:rsidR="0001494E" w:rsidRPr="00273CF4">
        <w:t>le</w:t>
      </w:r>
      <w:r w:rsidR="00E44AE6" w:rsidRPr="00273CF4">
        <w:t xml:space="preserve"> d</w:t>
      </w:r>
      <w:r w:rsidR="00E44AE6">
        <w:t xml:space="preserve">e la santé qui a charge à un moment précis du dossier. </w:t>
      </w:r>
      <w:r w:rsidR="00E44AE6">
        <w:rPr>
          <w:lang w:eastAsia="fr-FR"/>
        </w:rPr>
        <w:t xml:space="preserve">Cependant, il remet en cause la validité et le bien-fondé du diagnostic </w:t>
      </w:r>
      <w:r w:rsidR="00E44AE6" w:rsidRPr="00273CF4">
        <w:rPr>
          <w:lang w:eastAsia="fr-FR"/>
        </w:rPr>
        <w:t>d’intoxication</w:t>
      </w:r>
      <w:r w:rsidR="0001494E" w:rsidRPr="00273CF4">
        <w:rPr>
          <w:lang w:eastAsia="fr-FR"/>
        </w:rPr>
        <w:t>s</w:t>
      </w:r>
      <w:r w:rsidR="00E44AE6" w:rsidRPr="00273CF4">
        <w:rPr>
          <w:lang w:eastAsia="fr-FR"/>
        </w:rPr>
        <w:t xml:space="preserve"> a</w:t>
      </w:r>
      <w:r w:rsidR="00E44AE6">
        <w:rPr>
          <w:lang w:eastAsia="fr-FR"/>
        </w:rPr>
        <w:t>ux solvants qu’elle a posé.</w:t>
      </w:r>
    </w:p>
    <w:p w14:paraId="0007CA37" w14:textId="23FD027F" w:rsidR="00B76A51" w:rsidRDefault="00B76A51" w:rsidP="00137E80">
      <w:pPr>
        <w:pStyle w:val="Titre4"/>
        <w:keepNext w:val="0"/>
        <w:spacing w:after="320"/>
      </w:pPr>
      <w:bookmarkStart w:id="23" w:name="_Hlk195599780"/>
      <w:r>
        <w:t>La validité du diagnostic d’intoxication</w:t>
      </w:r>
      <w:r w:rsidRPr="0004721E">
        <w:t>s</w:t>
      </w:r>
      <w:r>
        <w:t xml:space="preserve"> </w:t>
      </w:r>
      <w:r w:rsidR="0004721E" w:rsidRPr="0004721E">
        <w:t xml:space="preserve">aiguës </w:t>
      </w:r>
      <w:r>
        <w:t>à des solvants</w:t>
      </w:r>
    </w:p>
    <w:bookmarkEnd w:id="23"/>
    <w:p w14:paraId="45E55CAC" w14:textId="7846FD91" w:rsidR="00B76A51" w:rsidRDefault="00B76A51" w:rsidP="00137E80">
      <w:pPr>
        <w:pStyle w:val="corpsdedcision"/>
        <w:spacing w:after="320"/>
        <w:rPr>
          <w:lang w:eastAsia="fr-FR"/>
        </w:rPr>
      </w:pPr>
      <w:r>
        <w:rPr>
          <w:lang w:eastAsia="fr-FR"/>
        </w:rPr>
        <w:t xml:space="preserve">L’employeur </w:t>
      </w:r>
      <w:r w:rsidR="006A09BA">
        <w:rPr>
          <w:lang w:eastAsia="fr-FR"/>
        </w:rPr>
        <w:t>affirme</w:t>
      </w:r>
      <w:r>
        <w:rPr>
          <w:lang w:eastAsia="fr-FR"/>
        </w:rPr>
        <w:t xml:space="preserve"> que le diagnostic </w:t>
      </w:r>
      <w:r w:rsidRPr="00273CF4">
        <w:rPr>
          <w:lang w:eastAsia="fr-FR"/>
        </w:rPr>
        <w:t>d’intoxication</w:t>
      </w:r>
      <w:r w:rsidR="0001494E" w:rsidRPr="00273CF4">
        <w:rPr>
          <w:lang w:eastAsia="fr-FR"/>
        </w:rPr>
        <w:t>s</w:t>
      </w:r>
      <w:r w:rsidRPr="00273CF4">
        <w:rPr>
          <w:lang w:eastAsia="fr-FR"/>
        </w:rPr>
        <w:t xml:space="preserve"> d</w:t>
      </w:r>
      <w:r>
        <w:rPr>
          <w:lang w:eastAsia="fr-FR"/>
        </w:rPr>
        <w:t>oit être écarté.</w:t>
      </w:r>
    </w:p>
    <w:p w14:paraId="0B211146" w14:textId="567AA7C6" w:rsidR="00B76A51" w:rsidRDefault="00B76A51" w:rsidP="00137E80">
      <w:pPr>
        <w:pStyle w:val="corpsdedcision"/>
        <w:spacing w:after="320"/>
        <w:rPr>
          <w:lang w:eastAsia="fr-FR"/>
        </w:rPr>
      </w:pPr>
      <w:r>
        <w:rPr>
          <w:lang w:eastAsia="fr-FR"/>
        </w:rPr>
        <w:t xml:space="preserve">Il estime que le témoignage du travailleur concernant ses symptômes et ayant mené </w:t>
      </w:r>
      <w:r w:rsidR="006A09BA">
        <w:rPr>
          <w:lang w:eastAsia="fr-FR"/>
        </w:rPr>
        <w:t xml:space="preserve">la </w:t>
      </w:r>
      <w:r w:rsidR="005F11FA">
        <w:rPr>
          <w:lang w:eastAsia="fr-FR"/>
        </w:rPr>
        <w:t xml:space="preserve">docteure Baillargeon </w:t>
      </w:r>
      <w:r>
        <w:rPr>
          <w:lang w:eastAsia="fr-FR"/>
        </w:rPr>
        <w:t>à poser ce diagnostic comporte des incohérences notables qui entachent sa crédibilité. Il prétend aussi que certains symptômes « </w:t>
      </w:r>
      <w:r w:rsidRPr="009A30FC">
        <w:rPr>
          <w:rStyle w:val="Citationintgre"/>
        </w:rPr>
        <w:t>lui avaient été suggérés par Dre Baillargeon</w:t>
      </w:r>
      <w:r>
        <w:rPr>
          <w:lang w:eastAsia="fr-FR"/>
        </w:rPr>
        <w:t> [</w:t>
      </w:r>
      <w:r w:rsidRPr="002F7DB3">
        <w:rPr>
          <w:i/>
          <w:iCs/>
          <w:lang w:eastAsia="fr-FR"/>
        </w:rPr>
        <w:t>sic</w:t>
      </w:r>
      <w:r>
        <w:rPr>
          <w:lang w:eastAsia="fr-FR"/>
        </w:rPr>
        <w:t>] » et qu’elle a posé un diagnostic d’intoxication</w:t>
      </w:r>
      <w:r w:rsidR="0001494E" w:rsidRPr="00C42D43">
        <w:rPr>
          <w:lang w:eastAsia="fr-FR"/>
        </w:rPr>
        <w:t>s</w:t>
      </w:r>
      <w:r>
        <w:rPr>
          <w:lang w:eastAsia="fr-FR"/>
        </w:rPr>
        <w:t xml:space="preserve"> « </w:t>
      </w:r>
      <w:r w:rsidRPr="0012528C">
        <w:rPr>
          <w:rStyle w:val="Citationintgre"/>
        </w:rPr>
        <w:t>basé sur des symptômes rapportés par le Travailleur, sans corroboration objective</w:t>
      </w:r>
      <w:r>
        <w:rPr>
          <w:lang w:eastAsia="fr-FR"/>
        </w:rPr>
        <w:t xml:space="preserve"> [</w:t>
      </w:r>
      <w:r w:rsidRPr="002F7DB3">
        <w:rPr>
          <w:i/>
          <w:iCs/>
          <w:lang w:eastAsia="fr-FR"/>
        </w:rPr>
        <w:t>sic</w:t>
      </w:r>
      <w:r>
        <w:rPr>
          <w:lang w:eastAsia="fr-FR"/>
        </w:rPr>
        <w:t xml:space="preserve">] ». </w:t>
      </w:r>
    </w:p>
    <w:p w14:paraId="0EA062EE" w14:textId="782D2776" w:rsidR="00B76A51" w:rsidRDefault="00B76A51" w:rsidP="00137E80">
      <w:pPr>
        <w:pStyle w:val="corpsdedcision"/>
        <w:spacing w:after="320"/>
        <w:rPr>
          <w:lang w:eastAsia="fr-FR"/>
        </w:rPr>
      </w:pPr>
      <w:r>
        <w:rPr>
          <w:lang w:eastAsia="fr-FR"/>
        </w:rPr>
        <w:t xml:space="preserve">Il remet également en question la validité du diagnostic posé par </w:t>
      </w:r>
      <w:r w:rsidR="00DC2AAA" w:rsidRPr="00C42D43">
        <w:rPr>
          <w:lang w:eastAsia="fr-FR"/>
        </w:rPr>
        <w:t>la</w:t>
      </w:r>
      <w:r w:rsidR="00DC2AAA">
        <w:rPr>
          <w:lang w:eastAsia="fr-FR"/>
        </w:rPr>
        <w:t xml:space="preserve"> </w:t>
      </w:r>
      <w:r>
        <w:rPr>
          <w:lang w:eastAsia="fr-FR"/>
        </w:rPr>
        <w:t>docteure</w:t>
      </w:r>
      <w:r w:rsidR="00DC2AAA">
        <w:rPr>
          <w:lang w:eastAsia="fr-FR"/>
        </w:rPr>
        <w:t xml:space="preserve"> </w:t>
      </w:r>
      <w:r>
        <w:rPr>
          <w:lang w:eastAsia="fr-FR"/>
        </w:rPr>
        <w:t>Baillargeon en s’appuyant sur l’opinion du docteur</w:t>
      </w:r>
      <w:r w:rsidR="00DC2AAA">
        <w:rPr>
          <w:lang w:eastAsia="fr-FR"/>
        </w:rPr>
        <w:t xml:space="preserve"> </w:t>
      </w:r>
      <w:r>
        <w:rPr>
          <w:lang w:eastAsia="fr-FR"/>
        </w:rPr>
        <w:t xml:space="preserve">Osterman. </w:t>
      </w:r>
    </w:p>
    <w:p w14:paraId="39FFF64A" w14:textId="1CFC9E80" w:rsidR="00B76A51" w:rsidRDefault="00B76A51" w:rsidP="00137E80">
      <w:pPr>
        <w:pStyle w:val="corpsdedcision"/>
        <w:spacing w:after="320"/>
        <w:rPr>
          <w:lang w:eastAsia="fr-FR"/>
        </w:rPr>
      </w:pPr>
      <w:r>
        <w:rPr>
          <w:lang w:eastAsia="fr-FR"/>
        </w:rPr>
        <w:t xml:space="preserve">Le Tribunal estime que la demande de l’employeur visant à écarter ce diagnostic revient à contester indirectement une question d’ordre médical qui </w:t>
      </w:r>
      <w:r w:rsidRPr="00573B52">
        <w:rPr>
          <w:lang w:eastAsia="fr-FR"/>
        </w:rPr>
        <w:t>lie</w:t>
      </w:r>
      <w:r>
        <w:rPr>
          <w:lang w:eastAsia="fr-FR"/>
        </w:rPr>
        <w:t xml:space="preserve"> le Tribunal en raison de l’effet conjugué des articles 224 et 358 de la Loi.</w:t>
      </w:r>
    </w:p>
    <w:p w14:paraId="2B9846B5" w14:textId="3C558A71" w:rsidR="00B76A51" w:rsidRPr="00446998" w:rsidRDefault="00B76A51" w:rsidP="00137E80">
      <w:pPr>
        <w:pStyle w:val="corpsdedcision"/>
        <w:spacing w:after="320"/>
      </w:pPr>
      <w:r w:rsidRPr="00446998">
        <w:t>L’article 224 de la Loi énonce qu’en l’absence d’un avis du Bureau d’évaluation médicale, la Commission est liée par les conclusions du professionnel de la santé qui a charge sur les questions d’ordre médical. Le diagnostic fait partie des sujets qui lient la Commission et qui sont énoncés à l’article 212 de la Loi.</w:t>
      </w:r>
    </w:p>
    <w:p w14:paraId="0BDD4EB8" w14:textId="1EF4CF1A" w:rsidR="00B76A51" w:rsidRDefault="00B76A51" w:rsidP="00137E80">
      <w:pPr>
        <w:pStyle w:val="corpsdedcision"/>
        <w:spacing w:after="320"/>
      </w:pPr>
      <w:r w:rsidRPr="00446998">
        <w:t xml:space="preserve">En conséquence, l’article 358 stipule qu’il n’est pas possible de demander la révision d’une question d’ordre médical sur laquelle la Commission est liée. C’est donc dire que ni l’employeur </w:t>
      </w:r>
      <w:r w:rsidR="00FA3C92" w:rsidRPr="00647A6F">
        <w:t>ni</w:t>
      </w:r>
      <w:r w:rsidRPr="00446998">
        <w:t xml:space="preserve"> le travailleur ne peuvent remettre en question les conclusions du professionnel de la santé qui a charge.</w:t>
      </w:r>
    </w:p>
    <w:p w14:paraId="5B3CC784" w14:textId="6DFF30F4" w:rsidR="00B76A51" w:rsidRPr="00446998" w:rsidRDefault="00B76A51" w:rsidP="00137E80">
      <w:pPr>
        <w:pStyle w:val="corpsdedcision"/>
        <w:spacing w:after="320"/>
        <w:rPr>
          <w:lang w:eastAsia="fr-FR"/>
        </w:rPr>
      </w:pPr>
      <w:r w:rsidRPr="00227F9A">
        <w:rPr>
          <w:lang w:eastAsia="fr-FR"/>
        </w:rPr>
        <w:t>Ainsi, le Tribunal ne peut écarter le diagnostic d’intoxication</w:t>
      </w:r>
      <w:r w:rsidR="00647A6F" w:rsidRPr="00227F9A">
        <w:rPr>
          <w:lang w:eastAsia="fr-FR"/>
        </w:rPr>
        <w:t>s</w:t>
      </w:r>
      <w:r w:rsidRPr="00227F9A">
        <w:rPr>
          <w:lang w:eastAsia="fr-FR"/>
        </w:rPr>
        <w:t xml:space="preserve"> et remettre en cause le bien</w:t>
      </w:r>
      <w:r w:rsidR="00647A6F" w:rsidRPr="00227F9A">
        <w:rPr>
          <w:lang w:eastAsia="fr-FR"/>
        </w:rPr>
        <w:t>-</w:t>
      </w:r>
      <w:r w:rsidRPr="00227F9A">
        <w:rPr>
          <w:lang w:eastAsia="fr-FR"/>
        </w:rPr>
        <w:t>fondé</w:t>
      </w:r>
      <w:r w:rsidR="00647A6F" w:rsidRPr="00227F9A">
        <w:rPr>
          <w:lang w:eastAsia="fr-FR"/>
        </w:rPr>
        <w:t xml:space="preserve"> </w:t>
      </w:r>
      <w:r w:rsidRPr="00227F9A">
        <w:rPr>
          <w:lang w:eastAsia="fr-FR"/>
        </w:rPr>
        <w:t>de celui-ci en l’absence d’un litige découlant d’un avis soumis au Bureau d’évaluation médicale</w:t>
      </w:r>
      <w:r>
        <w:rPr>
          <w:lang w:eastAsia="fr-FR"/>
        </w:rPr>
        <w:t>.</w:t>
      </w:r>
    </w:p>
    <w:p w14:paraId="45BEFE40" w14:textId="2F4247CA" w:rsidR="00B76A51" w:rsidRPr="001E1A13" w:rsidRDefault="00B76A51" w:rsidP="00137E80">
      <w:pPr>
        <w:pStyle w:val="corpsdedcision"/>
        <w:spacing w:after="320"/>
        <w:rPr>
          <w:iCs/>
        </w:rPr>
      </w:pPr>
      <w:r w:rsidRPr="001E1A13">
        <w:t xml:space="preserve">Cependant, dans certaines circonstances exceptionnelles, le Tribunal peut déroger au caractère liant d’un rapport médical, comme lorsqu’il n’est pas conforme au </w:t>
      </w:r>
      <w:r w:rsidRPr="00FA3C92">
        <w:rPr>
          <w:i/>
        </w:rPr>
        <w:t>Règlement sur le barème des dommages corporels</w:t>
      </w:r>
      <w:r w:rsidR="00FA3C92" w:rsidRPr="00FA3C92">
        <w:rPr>
          <w:rStyle w:val="Appelnotedebasdep"/>
          <w:iCs/>
        </w:rPr>
        <w:footnoteReference w:id="27"/>
      </w:r>
      <w:r w:rsidRPr="00FA3C92">
        <w:rPr>
          <w:i/>
        </w:rPr>
        <w:t xml:space="preserve"> </w:t>
      </w:r>
      <w:r w:rsidRPr="001E1A13">
        <w:rPr>
          <w:iCs/>
        </w:rPr>
        <w:t>ou si le rapport émis comporte des faiblesses importantes ou des incohérences</w:t>
      </w:r>
      <w:r w:rsidRPr="001E1A13">
        <w:rPr>
          <w:rStyle w:val="Appelnotedebasdep"/>
          <w:iCs/>
        </w:rPr>
        <w:footnoteReference w:id="28"/>
      </w:r>
      <w:r w:rsidRPr="001E1A13">
        <w:rPr>
          <w:iCs/>
        </w:rPr>
        <w:t>.</w:t>
      </w:r>
    </w:p>
    <w:p w14:paraId="4B2CBB49" w14:textId="7D7F0DEE" w:rsidR="00B76A51" w:rsidRPr="001E1A13" w:rsidRDefault="00B76A51" w:rsidP="00A97E82">
      <w:pPr>
        <w:pStyle w:val="corpsdedcision"/>
        <w:spacing w:after="440"/>
        <w:rPr>
          <w:bCs/>
        </w:rPr>
      </w:pPr>
      <w:r w:rsidRPr="001E1A13">
        <w:t>Plus récemment</w:t>
      </w:r>
      <w:r w:rsidR="00A513BB">
        <w:t>,</w:t>
      </w:r>
      <w:r w:rsidRPr="001E1A13">
        <w:t xml:space="preserve"> dans l’affaire </w:t>
      </w:r>
      <w:r w:rsidRPr="001E1A13">
        <w:rPr>
          <w:i/>
          <w:iCs/>
        </w:rPr>
        <w:t>Vachon</w:t>
      </w:r>
      <w:r w:rsidRPr="001E1A13">
        <w:t xml:space="preserve"> et </w:t>
      </w:r>
      <w:r w:rsidRPr="001E1A13">
        <w:rPr>
          <w:bCs/>
          <w:i/>
          <w:iCs/>
        </w:rPr>
        <w:t>Construction Cappa inc</w:t>
      </w:r>
      <w:r w:rsidRPr="001E1A13">
        <w:rPr>
          <w:bCs/>
        </w:rPr>
        <w:t>.</w:t>
      </w:r>
      <w:r w:rsidRPr="001E1A13">
        <w:rPr>
          <w:rStyle w:val="Appelnotedebasdep"/>
          <w:bCs/>
        </w:rPr>
        <w:footnoteReference w:id="29"/>
      </w:r>
      <w:r w:rsidR="005C1FCF">
        <w:rPr>
          <w:bCs/>
        </w:rPr>
        <w:t>,</w:t>
      </w:r>
      <w:r w:rsidRPr="001E1A13">
        <w:rPr>
          <w:bCs/>
        </w:rPr>
        <w:t xml:space="preserve"> le Tribunal cite plusieurs exemples de circonstances, tirées de la jurisprudence, où le caractère liant d’un rapport médical a été mis de côté :</w:t>
      </w:r>
    </w:p>
    <w:p w14:paraId="0BAC72D0" w14:textId="2C149554" w:rsidR="00B76A51" w:rsidRPr="001E1A13" w:rsidRDefault="00B76A51" w:rsidP="00A97E82">
      <w:pPr>
        <w:pStyle w:val="citation"/>
        <w:spacing w:after="440"/>
      </w:pPr>
      <w:r w:rsidRPr="001E1A13">
        <w:t>[21]</w:t>
      </w:r>
      <w:r w:rsidRPr="001E1A13">
        <w:tab/>
        <w:t xml:space="preserve">Le Tribunal peut toutefois, dans certaines situations très exceptionnelles et devant des faits très particuliers, passer outre cette règle et mettre de côté les conclusions du professionnel de la santé ayant charge du travailleur sur des questions médicales. Cela est le cas par exemple, </w:t>
      </w:r>
      <w:r w:rsidRPr="001E1A13">
        <w:rPr>
          <w:u w:val="single"/>
        </w:rPr>
        <w:t>lorsque le professionnel de la santé qui a charge émet un rapport médical de complaisance</w:t>
      </w:r>
      <w:r w:rsidRPr="001E1A13">
        <w:rPr>
          <w:u w:val="single"/>
          <w:vertAlign w:val="superscript"/>
        </w:rPr>
        <w:t>10</w:t>
      </w:r>
      <w:r w:rsidRPr="001E1A13">
        <w:rPr>
          <w:u w:val="single"/>
        </w:rPr>
        <w:t>, lorsqu’un diagnostic est manifestement faux</w:t>
      </w:r>
      <w:r w:rsidRPr="001E1A13">
        <w:rPr>
          <w:u w:val="single"/>
          <w:vertAlign w:val="superscript"/>
        </w:rPr>
        <w:t>11</w:t>
      </w:r>
      <w:r w:rsidRPr="001E1A13">
        <w:t xml:space="preserve"> ou encore lorsque le professionnel de la santé n’a pas une connaissance suffisante de la condition du travailleur notamment lorsqu’il se prononce avant d’avoir obtenu les résultats d’autres examens</w:t>
      </w:r>
      <w:r w:rsidRPr="001E1A13">
        <w:rPr>
          <w:vertAlign w:val="superscript"/>
        </w:rPr>
        <w:t>12</w:t>
      </w:r>
      <w:r w:rsidRPr="001E1A13">
        <w:t>. Enfin, les situations où les conclusions du professionnel de la santé qui a charge sont contradictoires c’est à dire, lorsque le travailleur a encore besoin de soins quand le professionnel de la santé consolide la lésion</w:t>
      </w:r>
      <w:r w:rsidRPr="001E1A13">
        <w:rPr>
          <w:vertAlign w:val="superscript"/>
        </w:rPr>
        <w:t>13</w:t>
      </w:r>
      <w:r w:rsidRPr="001E1A13">
        <w:t>, lorsqu’il consolide la lésion dans le futur tout en prescrivant des soins et des traitements</w:t>
      </w:r>
      <w:r w:rsidRPr="001E1A13">
        <w:rPr>
          <w:vertAlign w:val="superscript"/>
        </w:rPr>
        <w:t>14</w:t>
      </w:r>
      <w:r w:rsidRPr="001E1A13">
        <w:t xml:space="preserve"> ou encore lorsque la date de consolidation porte à confusion</w:t>
      </w:r>
      <w:r w:rsidRPr="001E1A13">
        <w:rPr>
          <w:vertAlign w:val="superscript"/>
        </w:rPr>
        <w:t>15</w:t>
      </w:r>
      <w:r w:rsidRPr="001E1A13">
        <w:t>, sont également reconnues comme étant des situations exceptionnelles permettant de déroger au caractère liant d’un rapport.</w:t>
      </w:r>
    </w:p>
    <w:p w14:paraId="070F2625" w14:textId="022B798C" w:rsidR="00B76A51" w:rsidRPr="001E1A13" w:rsidRDefault="00B76A51" w:rsidP="00A97E82">
      <w:pPr>
        <w:pStyle w:val="citation"/>
        <w:spacing w:after="440"/>
        <w:rPr>
          <w:sz w:val="24"/>
          <w:szCs w:val="24"/>
        </w:rPr>
      </w:pPr>
      <w:r w:rsidRPr="001E1A13">
        <w:rPr>
          <w:sz w:val="24"/>
          <w:szCs w:val="24"/>
        </w:rPr>
        <w:t>[N</w:t>
      </w:r>
      <w:r>
        <w:rPr>
          <w:sz w:val="24"/>
          <w:szCs w:val="24"/>
        </w:rPr>
        <w:t>o</w:t>
      </w:r>
      <w:r w:rsidR="0004721E">
        <w:rPr>
          <w:sz w:val="24"/>
          <w:szCs w:val="24"/>
        </w:rPr>
        <w:t>tre</w:t>
      </w:r>
      <w:r>
        <w:rPr>
          <w:sz w:val="24"/>
          <w:szCs w:val="24"/>
        </w:rPr>
        <w:t xml:space="preserve"> soulignement et n</w:t>
      </w:r>
      <w:r w:rsidRPr="001E1A13">
        <w:rPr>
          <w:sz w:val="24"/>
          <w:szCs w:val="24"/>
        </w:rPr>
        <w:t>otes omises]</w:t>
      </w:r>
    </w:p>
    <w:p w14:paraId="6B36FC22" w14:textId="580AE3C7" w:rsidR="00B76A51" w:rsidRDefault="0004721E" w:rsidP="00A97E82">
      <w:pPr>
        <w:pStyle w:val="corpsdedcision"/>
        <w:spacing w:after="440"/>
        <w:rPr>
          <w:lang w:eastAsia="fr-FR"/>
        </w:rPr>
      </w:pPr>
      <w:r>
        <w:rPr>
          <w:lang w:eastAsia="fr-FR"/>
        </w:rPr>
        <w:t xml:space="preserve">Les arguments de l’employeur reviennent à dire que, d’une part, </w:t>
      </w:r>
      <w:r w:rsidR="00DC2AAA" w:rsidRPr="00647A6F">
        <w:rPr>
          <w:lang w:eastAsia="fr-FR"/>
        </w:rPr>
        <w:t>la</w:t>
      </w:r>
      <w:r>
        <w:rPr>
          <w:lang w:eastAsia="fr-FR"/>
        </w:rPr>
        <w:t xml:space="preserve"> docteure Baillargeon aurait émis un rapport de complaisance parce que basé sur les symptômes rapportés par le travailleur</w:t>
      </w:r>
      <w:r w:rsidR="006A66C8">
        <w:rPr>
          <w:lang w:eastAsia="fr-FR"/>
        </w:rPr>
        <w:t xml:space="preserve">, qui est non crédible, ou parce qu’elle lui aurait suggéré les symptômes à rapporter. D’autre part, ce </w:t>
      </w:r>
      <w:r w:rsidR="006A66C8" w:rsidRPr="005C3BF6">
        <w:rPr>
          <w:lang w:eastAsia="fr-FR"/>
        </w:rPr>
        <w:t xml:space="preserve">diagnostic </w:t>
      </w:r>
      <w:r w:rsidR="00647A6F" w:rsidRPr="005C3BF6">
        <w:rPr>
          <w:lang w:eastAsia="fr-FR"/>
        </w:rPr>
        <w:t xml:space="preserve">serait </w:t>
      </w:r>
      <w:r w:rsidR="006A66C8" w:rsidRPr="005C3BF6">
        <w:rPr>
          <w:lang w:eastAsia="fr-FR"/>
        </w:rPr>
        <w:t>faux,</w:t>
      </w:r>
      <w:r w:rsidR="006A66C8">
        <w:rPr>
          <w:lang w:eastAsia="fr-FR"/>
        </w:rPr>
        <w:t xml:space="preserve"> essentiellement pour les mêmes motifs, mais aussi en raison de l’opinion </w:t>
      </w:r>
      <w:r w:rsidR="006A66C8" w:rsidRPr="00647A6F">
        <w:rPr>
          <w:lang w:eastAsia="fr-FR"/>
        </w:rPr>
        <w:t>d</w:t>
      </w:r>
      <w:r w:rsidR="00116521" w:rsidRPr="00647A6F">
        <w:rPr>
          <w:lang w:eastAsia="fr-FR"/>
        </w:rPr>
        <w:t>u</w:t>
      </w:r>
      <w:r w:rsidR="006A66C8">
        <w:rPr>
          <w:lang w:eastAsia="fr-FR"/>
        </w:rPr>
        <w:t xml:space="preserve"> docteur Osterman.</w:t>
      </w:r>
    </w:p>
    <w:p w14:paraId="2B3E0E48" w14:textId="077456B2" w:rsidR="006A66C8" w:rsidRPr="000748BB" w:rsidRDefault="006A66C8" w:rsidP="00A97E82">
      <w:pPr>
        <w:pStyle w:val="corpsdedcision"/>
        <w:spacing w:after="440"/>
        <w:rPr>
          <w:lang w:eastAsia="fr-FR"/>
        </w:rPr>
      </w:pPr>
      <w:r>
        <w:rPr>
          <w:lang w:eastAsia="fr-FR"/>
        </w:rPr>
        <w:t xml:space="preserve">L’employeur soumet l’affaire </w:t>
      </w:r>
      <w:r w:rsidRPr="006A66C8">
        <w:rPr>
          <w:i/>
          <w:iCs/>
          <w:lang w:eastAsia="fr-FR"/>
        </w:rPr>
        <w:t>A.C</w:t>
      </w:r>
      <w:r>
        <w:rPr>
          <w:lang w:eastAsia="fr-FR"/>
        </w:rPr>
        <w:t xml:space="preserve">. </w:t>
      </w:r>
      <w:r w:rsidRPr="00647A6F">
        <w:rPr>
          <w:lang w:eastAsia="fr-FR"/>
        </w:rPr>
        <w:t>c</w:t>
      </w:r>
      <w:r w:rsidR="005C3BF6">
        <w:rPr>
          <w:lang w:eastAsia="fr-FR"/>
        </w:rPr>
        <w:t>.</w:t>
      </w:r>
      <w:r w:rsidR="00647A6F" w:rsidRPr="005C3BF6">
        <w:rPr>
          <w:lang w:eastAsia="fr-FR"/>
        </w:rPr>
        <w:t xml:space="preserve"> </w:t>
      </w:r>
      <w:r w:rsidRPr="006A66C8">
        <w:rPr>
          <w:i/>
          <w:iCs/>
          <w:lang w:eastAsia="fr-FR"/>
        </w:rPr>
        <w:t>Compagnie A</w:t>
      </w:r>
      <w:r w:rsidRPr="00647A6F">
        <w:rPr>
          <w:rStyle w:val="Appelnotedebasdep"/>
          <w:lang w:eastAsia="fr-FR"/>
        </w:rPr>
        <w:footnoteReference w:id="30"/>
      </w:r>
      <w:r w:rsidR="00B94BFA" w:rsidRPr="00647A6F">
        <w:rPr>
          <w:lang w:eastAsia="fr-FR"/>
        </w:rPr>
        <w:t>,</w:t>
      </w:r>
      <w:r>
        <w:rPr>
          <w:i/>
          <w:iCs/>
          <w:lang w:eastAsia="fr-FR"/>
        </w:rPr>
        <w:t xml:space="preserve"> </w:t>
      </w:r>
      <w:r>
        <w:rPr>
          <w:lang w:eastAsia="fr-FR"/>
        </w:rPr>
        <w:t>qui énonce une liste de critères permettant d’établir la crédibilité d’un témoin</w:t>
      </w:r>
      <w:r w:rsidR="00512E60">
        <w:rPr>
          <w:lang w:eastAsia="fr-FR"/>
        </w:rPr>
        <w:t xml:space="preserve">. Les critères énumérés </w:t>
      </w:r>
      <w:r w:rsidR="005F11FA">
        <w:rPr>
          <w:lang w:eastAsia="fr-FR"/>
        </w:rPr>
        <w:t xml:space="preserve">dans cette décision </w:t>
      </w:r>
      <w:r w:rsidR="00512E60">
        <w:rPr>
          <w:lang w:eastAsia="fr-FR"/>
        </w:rPr>
        <w:t>se rés</w:t>
      </w:r>
      <w:r w:rsidR="00512E60" w:rsidRPr="000748BB">
        <w:rPr>
          <w:lang w:eastAsia="fr-FR"/>
        </w:rPr>
        <w:t>ument ainsi :</w:t>
      </w:r>
    </w:p>
    <w:p w14:paraId="2C8E5BC0" w14:textId="4F643105" w:rsidR="00512E60" w:rsidRPr="00227F9A" w:rsidRDefault="00512E60" w:rsidP="00137E80">
      <w:pPr>
        <w:pStyle w:val="corpsdedcision"/>
        <w:numPr>
          <w:ilvl w:val="0"/>
          <w:numId w:val="27"/>
        </w:numPr>
        <w:tabs>
          <w:tab w:val="clear" w:pos="720"/>
        </w:tabs>
        <w:spacing w:after="240"/>
        <w:ind w:left="1417" w:hanging="357"/>
        <w:rPr>
          <w:lang w:eastAsia="fr-FR"/>
        </w:rPr>
      </w:pPr>
      <w:r w:rsidRPr="00227F9A">
        <w:rPr>
          <w:lang w:eastAsia="fr-FR"/>
        </w:rPr>
        <w:t>Il vaut mieux favoriser un témoignage affirmatif que de pure négation</w:t>
      </w:r>
    </w:p>
    <w:p w14:paraId="7E04CE1F" w14:textId="51B9683A" w:rsidR="00512E60" w:rsidRPr="00227F9A" w:rsidRDefault="00512E60" w:rsidP="00137E80">
      <w:pPr>
        <w:pStyle w:val="corpsdedcision"/>
        <w:numPr>
          <w:ilvl w:val="0"/>
          <w:numId w:val="27"/>
        </w:numPr>
        <w:tabs>
          <w:tab w:val="clear" w:pos="720"/>
        </w:tabs>
        <w:spacing w:after="240"/>
        <w:ind w:left="1417" w:hanging="357"/>
        <w:rPr>
          <w:lang w:eastAsia="fr-FR"/>
        </w:rPr>
      </w:pPr>
      <w:r w:rsidRPr="00227F9A">
        <w:rPr>
          <w:lang w:eastAsia="fr-FR"/>
        </w:rPr>
        <w:t>La vraisemblance, cohérence</w:t>
      </w:r>
    </w:p>
    <w:p w14:paraId="3A2085FA" w14:textId="50E069FD" w:rsidR="00512E60" w:rsidRPr="00227F9A" w:rsidRDefault="00512E60" w:rsidP="00137E80">
      <w:pPr>
        <w:pStyle w:val="corpsdedcision"/>
        <w:numPr>
          <w:ilvl w:val="0"/>
          <w:numId w:val="27"/>
        </w:numPr>
        <w:tabs>
          <w:tab w:val="clear" w:pos="720"/>
        </w:tabs>
        <w:spacing w:after="240"/>
        <w:ind w:left="1417" w:hanging="357"/>
        <w:rPr>
          <w:lang w:eastAsia="fr-FR"/>
        </w:rPr>
      </w:pPr>
      <w:r w:rsidRPr="00227F9A">
        <w:rPr>
          <w:lang w:eastAsia="fr-FR"/>
        </w:rPr>
        <w:t>Constance dans les déclarations</w:t>
      </w:r>
    </w:p>
    <w:p w14:paraId="6716AC02" w14:textId="4C4EDE7C" w:rsidR="00512E60" w:rsidRPr="00227F9A" w:rsidRDefault="00512E60" w:rsidP="00137E80">
      <w:pPr>
        <w:pStyle w:val="corpsdedcision"/>
        <w:numPr>
          <w:ilvl w:val="0"/>
          <w:numId w:val="27"/>
        </w:numPr>
        <w:tabs>
          <w:tab w:val="clear" w:pos="720"/>
        </w:tabs>
        <w:spacing w:after="240"/>
        <w:ind w:left="1417" w:hanging="357"/>
        <w:rPr>
          <w:lang w:eastAsia="fr-FR"/>
        </w:rPr>
      </w:pPr>
      <w:r w:rsidRPr="00227F9A">
        <w:rPr>
          <w:lang w:eastAsia="fr-FR"/>
        </w:rPr>
        <w:t>Intérêt</w:t>
      </w:r>
    </w:p>
    <w:p w14:paraId="1C3EC504" w14:textId="08BA1125" w:rsidR="00512E60" w:rsidRPr="00227F9A" w:rsidRDefault="00512E60" w:rsidP="00137E80">
      <w:pPr>
        <w:pStyle w:val="corpsdedcision"/>
        <w:numPr>
          <w:ilvl w:val="0"/>
          <w:numId w:val="27"/>
        </w:numPr>
        <w:tabs>
          <w:tab w:val="clear" w:pos="720"/>
        </w:tabs>
        <w:spacing w:after="240"/>
        <w:ind w:left="1417" w:hanging="357"/>
        <w:rPr>
          <w:lang w:eastAsia="fr-FR"/>
        </w:rPr>
      </w:pPr>
      <w:r w:rsidRPr="00227F9A">
        <w:rPr>
          <w:lang w:eastAsia="fr-FR"/>
        </w:rPr>
        <w:t>La manière de témoigner</w:t>
      </w:r>
    </w:p>
    <w:p w14:paraId="4E613019" w14:textId="6530609A" w:rsidR="00512E60" w:rsidRPr="00227F9A" w:rsidRDefault="00512E60" w:rsidP="00137E80">
      <w:pPr>
        <w:pStyle w:val="corpsdedcision"/>
        <w:numPr>
          <w:ilvl w:val="0"/>
          <w:numId w:val="27"/>
        </w:numPr>
        <w:tabs>
          <w:tab w:val="clear" w:pos="720"/>
        </w:tabs>
        <w:spacing w:after="240"/>
        <w:ind w:left="1417" w:hanging="357"/>
        <w:rPr>
          <w:u w:val="single"/>
          <w:lang w:eastAsia="fr-FR"/>
        </w:rPr>
      </w:pPr>
      <w:r w:rsidRPr="00227F9A">
        <w:rPr>
          <w:u w:val="single"/>
          <w:lang w:eastAsia="fr-FR"/>
        </w:rPr>
        <w:t>Réputation</w:t>
      </w:r>
    </w:p>
    <w:p w14:paraId="17A6FCC9" w14:textId="0BF6DB93" w:rsidR="00512E60" w:rsidRPr="00227F9A" w:rsidRDefault="00512E60" w:rsidP="00137E80">
      <w:pPr>
        <w:pStyle w:val="corpsdedcision"/>
        <w:numPr>
          <w:ilvl w:val="0"/>
          <w:numId w:val="27"/>
        </w:numPr>
        <w:tabs>
          <w:tab w:val="clear" w:pos="720"/>
        </w:tabs>
        <w:spacing w:after="240"/>
        <w:ind w:left="1417" w:hanging="357"/>
        <w:rPr>
          <w:lang w:eastAsia="fr-FR"/>
        </w:rPr>
      </w:pPr>
      <w:r w:rsidRPr="00227F9A">
        <w:rPr>
          <w:lang w:eastAsia="fr-FR"/>
        </w:rPr>
        <w:t>Mobile, animosité, coup monté</w:t>
      </w:r>
    </w:p>
    <w:p w14:paraId="77E3886A" w14:textId="185251E6" w:rsidR="00512E60" w:rsidRPr="00227F9A" w:rsidRDefault="00512E60" w:rsidP="00A97E82">
      <w:pPr>
        <w:pStyle w:val="corpsdedcision"/>
        <w:numPr>
          <w:ilvl w:val="0"/>
          <w:numId w:val="27"/>
        </w:numPr>
        <w:tabs>
          <w:tab w:val="clear" w:pos="720"/>
        </w:tabs>
        <w:spacing w:after="440"/>
        <w:ind w:left="1418" w:hanging="357"/>
        <w:rPr>
          <w:lang w:eastAsia="fr-FR"/>
        </w:rPr>
      </w:pPr>
      <w:r w:rsidRPr="00227F9A">
        <w:rPr>
          <w:lang w:eastAsia="fr-FR"/>
        </w:rPr>
        <w:t>Probabilité</w:t>
      </w:r>
    </w:p>
    <w:p w14:paraId="1391729C" w14:textId="1536A6FB" w:rsidR="00512E60" w:rsidRPr="00B55A4A" w:rsidRDefault="00676420" w:rsidP="00A97E82">
      <w:pPr>
        <w:pStyle w:val="citation"/>
        <w:spacing w:after="440"/>
        <w:rPr>
          <w:sz w:val="24"/>
          <w:szCs w:val="24"/>
        </w:rPr>
      </w:pPr>
      <w:r w:rsidRPr="00227F9A">
        <w:rPr>
          <w:sz w:val="24"/>
          <w:szCs w:val="24"/>
        </w:rPr>
        <w:t>[Notre soulignement]</w:t>
      </w:r>
    </w:p>
    <w:p w14:paraId="1C3BDD4B" w14:textId="68F5CB98" w:rsidR="00512E60" w:rsidRDefault="00512E60" w:rsidP="00A97E82">
      <w:pPr>
        <w:pStyle w:val="corpsdedcision"/>
        <w:spacing w:after="440"/>
        <w:rPr>
          <w:lang w:eastAsia="fr-FR"/>
        </w:rPr>
      </w:pPr>
      <w:r w:rsidRPr="00227F9A">
        <w:rPr>
          <w:lang w:eastAsia="fr-FR"/>
        </w:rPr>
        <w:t>Plus précisément</w:t>
      </w:r>
      <w:r>
        <w:rPr>
          <w:lang w:eastAsia="fr-FR"/>
        </w:rPr>
        <w:t xml:space="preserve">, </w:t>
      </w:r>
      <w:r w:rsidR="000B54C2">
        <w:rPr>
          <w:lang w:eastAsia="fr-FR"/>
        </w:rPr>
        <w:t xml:space="preserve">l’employeur allègue le critère de la réputation du travailleur, qui </w:t>
      </w:r>
      <w:r w:rsidR="000B54C2" w:rsidRPr="00647A6F">
        <w:rPr>
          <w:lang w:eastAsia="fr-FR"/>
        </w:rPr>
        <w:t xml:space="preserve">est </w:t>
      </w:r>
      <w:r w:rsidR="00DC1DEB" w:rsidRPr="00647A6F">
        <w:rPr>
          <w:lang w:eastAsia="fr-FR"/>
        </w:rPr>
        <w:t>spécifiquement</w:t>
      </w:r>
      <w:r w:rsidR="00DC1DEB">
        <w:rPr>
          <w:lang w:eastAsia="fr-FR"/>
        </w:rPr>
        <w:t xml:space="preserve"> </w:t>
      </w:r>
      <w:r w:rsidR="000B54C2">
        <w:rPr>
          <w:lang w:eastAsia="fr-FR"/>
        </w:rPr>
        <w:t xml:space="preserve">décrit comme suit dans la </w:t>
      </w:r>
      <w:r w:rsidR="00A84A37">
        <w:rPr>
          <w:lang w:eastAsia="fr-FR"/>
        </w:rPr>
        <w:t>décision précitée</w:t>
      </w:r>
      <w:r w:rsidR="00A84A37">
        <w:rPr>
          <w:rStyle w:val="Appelnotedebasdep"/>
          <w:lang w:eastAsia="fr-FR"/>
        </w:rPr>
        <w:footnoteReference w:id="31"/>
      </w:r>
      <w:r w:rsidR="000B54C2">
        <w:rPr>
          <w:lang w:eastAsia="fr-FR"/>
        </w:rPr>
        <w:t>: « </w:t>
      </w:r>
      <w:r w:rsidR="000B54C2" w:rsidRPr="000B54C2">
        <w:rPr>
          <w:rStyle w:val="Citationintgre"/>
        </w:rPr>
        <w:t>le dossier d’un salarié peut, parfois, mais exceptionnellement, servir à comprendre le témoin. Si le dossier révèle que le salarié est enclin à la fraude, au vol, au mensonge, sa réputation affectera sa crédibilité</w:t>
      </w:r>
      <w:r w:rsidR="000B54C2">
        <w:rPr>
          <w:lang w:eastAsia="fr-FR"/>
        </w:rPr>
        <w:t> ».</w:t>
      </w:r>
    </w:p>
    <w:p w14:paraId="512C90ED" w14:textId="2987006D" w:rsidR="00481A7F" w:rsidRDefault="00481A7F" w:rsidP="00A97E82">
      <w:pPr>
        <w:pStyle w:val="corpsdedcision"/>
        <w:spacing w:after="440"/>
        <w:rPr>
          <w:lang w:eastAsia="fr-FR"/>
        </w:rPr>
      </w:pPr>
      <w:r>
        <w:rPr>
          <w:lang w:eastAsia="fr-FR"/>
        </w:rPr>
        <w:t>L’employeur cite également une décision</w:t>
      </w:r>
      <w:r>
        <w:rPr>
          <w:rStyle w:val="Appelnotedebasdep"/>
          <w:lang w:eastAsia="fr-FR"/>
        </w:rPr>
        <w:footnoteReference w:id="32"/>
      </w:r>
      <w:r>
        <w:rPr>
          <w:lang w:eastAsia="fr-FR"/>
        </w:rPr>
        <w:t xml:space="preserve"> qui énonce les facteurs pour apprécier la crédibilité d’un témoin ainsi que la différence entre crédibilité et fiabilité : « </w:t>
      </w:r>
      <w:r w:rsidRPr="00481A7F">
        <w:rPr>
          <w:rStyle w:val="Citationintgre"/>
        </w:rPr>
        <w:t>alors que la crédibilité a trait à l’honnêteté, à la bonne foi du témoin à dire la vérité, la fiabilité évoque la fidélité à la réalité. La fiabilité constitue donc la valeur du récit relaté par un témoin</w:t>
      </w:r>
      <w:r>
        <w:rPr>
          <w:lang w:eastAsia="fr-FR"/>
        </w:rPr>
        <w:t> ».</w:t>
      </w:r>
    </w:p>
    <w:p w14:paraId="455B8990" w14:textId="7DB08BE9" w:rsidR="00512E60" w:rsidRDefault="000B54C2" w:rsidP="00A97E82">
      <w:pPr>
        <w:pStyle w:val="corpsdedcision"/>
        <w:spacing w:after="440"/>
        <w:rPr>
          <w:lang w:eastAsia="fr-FR"/>
        </w:rPr>
      </w:pPr>
      <w:r>
        <w:rPr>
          <w:lang w:eastAsia="fr-FR"/>
        </w:rPr>
        <w:t>L’employeur rappelle au Tribunal le fait que le travailleur a reçu, en parallèle avec les indemnités de la Commission, des prestations d’assurance</w:t>
      </w:r>
      <w:r w:rsidR="006A09BA">
        <w:rPr>
          <w:lang w:eastAsia="fr-FR"/>
        </w:rPr>
        <w:t xml:space="preserve"> </w:t>
      </w:r>
      <w:r>
        <w:rPr>
          <w:lang w:eastAsia="fr-FR"/>
        </w:rPr>
        <w:t>salaire. Appelé à rembourser l’assurance</w:t>
      </w:r>
      <w:r w:rsidR="006A09BA">
        <w:rPr>
          <w:lang w:eastAsia="fr-FR"/>
        </w:rPr>
        <w:t xml:space="preserve"> </w:t>
      </w:r>
      <w:r>
        <w:rPr>
          <w:lang w:eastAsia="fr-FR"/>
        </w:rPr>
        <w:t>collective, le travailleur a déclaré faillite. L’employeur argue « </w:t>
      </w:r>
      <w:r w:rsidRPr="000B54C2">
        <w:rPr>
          <w:rStyle w:val="Citationintgre"/>
        </w:rPr>
        <w:t>que le travailleur a déclaré faillite dans le seul but d’éviter de rembourser une somme reçue frauduleusement, une somme dont il connaissait le caractère illégitime et dont il a sciemment profité</w:t>
      </w:r>
      <w:r>
        <w:rPr>
          <w:lang w:eastAsia="fr-FR"/>
        </w:rPr>
        <w:t xml:space="preserve"> ». L’employeur ne mâche pas ses mots, énonçant à plusieurs reprises </w:t>
      </w:r>
      <w:r w:rsidR="00CB40B4" w:rsidRPr="00647A6F">
        <w:rPr>
          <w:lang w:eastAsia="fr-FR"/>
        </w:rPr>
        <w:t>que le travailleur</w:t>
      </w:r>
      <w:r w:rsidRPr="00647A6F">
        <w:rPr>
          <w:lang w:eastAsia="fr-FR"/>
        </w:rPr>
        <w:t xml:space="preserve"> a fraudé Desjardins</w:t>
      </w:r>
      <w:r w:rsidR="00962442" w:rsidRPr="00647A6F">
        <w:rPr>
          <w:lang w:eastAsia="fr-FR"/>
        </w:rPr>
        <w:t xml:space="preserve"> Assurances,</w:t>
      </w:r>
      <w:r w:rsidRPr="00647A6F">
        <w:rPr>
          <w:lang w:eastAsia="fr-FR"/>
        </w:rPr>
        <w:t xml:space="preserve"> et son employeur. Il conclut cet ar</w:t>
      </w:r>
      <w:r>
        <w:rPr>
          <w:lang w:eastAsia="fr-FR"/>
        </w:rPr>
        <w:t>gument ainsi : </w:t>
      </w:r>
      <w:r w:rsidR="009B3CC2">
        <w:rPr>
          <w:lang w:eastAsia="fr-FR"/>
        </w:rPr>
        <w:t>« </w:t>
      </w:r>
      <w:r w:rsidRPr="009B3CC2">
        <w:rPr>
          <w:rStyle w:val="Citationintgre"/>
        </w:rPr>
        <w:t xml:space="preserve">la juxtaposition de ces incohérences avec les preuves de fraudes financières et les déclarations mensongères tenues par le Travailleur lors de son témoignage </w:t>
      </w:r>
      <w:r w:rsidR="009B3CC2" w:rsidRPr="009B3CC2">
        <w:rPr>
          <w:rStyle w:val="Citationintgre"/>
        </w:rPr>
        <w:t>devant le</w:t>
      </w:r>
      <w:r w:rsidRPr="009B3CC2">
        <w:rPr>
          <w:rStyle w:val="Citationintgre"/>
        </w:rPr>
        <w:t xml:space="preserve"> Tribunal renforce l’impression d’un manque d’honnêteté de la part du Travailleur</w:t>
      </w:r>
      <w:r>
        <w:rPr>
          <w:lang w:eastAsia="fr-FR"/>
        </w:rPr>
        <w:t> </w:t>
      </w:r>
      <w:r w:rsidR="009B3CC2">
        <w:rPr>
          <w:lang w:eastAsia="fr-FR"/>
        </w:rPr>
        <w:t>[</w:t>
      </w:r>
      <w:r w:rsidR="009B3CC2" w:rsidRPr="00B55A4A">
        <w:rPr>
          <w:i/>
          <w:iCs/>
          <w:lang w:eastAsia="fr-FR"/>
        </w:rPr>
        <w:t>sic</w:t>
      </w:r>
      <w:r w:rsidR="009B3CC2">
        <w:rPr>
          <w:lang w:eastAsia="fr-FR"/>
        </w:rPr>
        <w:t>] </w:t>
      </w:r>
      <w:r>
        <w:rPr>
          <w:lang w:eastAsia="fr-FR"/>
        </w:rPr>
        <w:t>».</w:t>
      </w:r>
    </w:p>
    <w:p w14:paraId="63CDEE04" w14:textId="62EADE33" w:rsidR="000B54C2" w:rsidRDefault="00676420" w:rsidP="00A97E82">
      <w:pPr>
        <w:pStyle w:val="corpsdedcision"/>
        <w:spacing w:after="440"/>
        <w:rPr>
          <w:lang w:eastAsia="fr-FR"/>
        </w:rPr>
      </w:pPr>
      <w:r>
        <w:rPr>
          <w:lang w:eastAsia="fr-FR"/>
        </w:rPr>
        <w:t xml:space="preserve">Le Tribunal ne fait pas la même lecture des faits rapportés par l’employeur. Que l’employeur se sente floué est une chose. Qu’il conclue que le travailleur l’a sciemment fraudé en est une autre. </w:t>
      </w:r>
    </w:p>
    <w:p w14:paraId="5B95F862" w14:textId="79D9689F" w:rsidR="00676420" w:rsidRDefault="00676420" w:rsidP="00A97E82">
      <w:pPr>
        <w:pStyle w:val="corpsdedcision"/>
        <w:spacing w:after="440"/>
        <w:rPr>
          <w:lang w:eastAsia="fr-FR"/>
        </w:rPr>
      </w:pPr>
      <w:r>
        <w:rPr>
          <w:lang w:eastAsia="fr-FR"/>
        </w:rPr>
        <w:t xml:space="preserve">D’abord, le témoignage du travailleur était </w:t>
      </w:r>
      <w:r w:rsidR="005F11FA">
        <w:rPr>
          <w:lang w:eastAsia="fr-FR"/>
        </w:rPr>
        <w:t xml:space="preserve">plutôt </w:t>
      </w:r>
      <w:r>
        <w:rPr>
          <w:lang w:eastAsia="fr-FR"/>
        </w:rPr>
        <w:t>confus au regard de l’encaissement, de manière concurrente, des prestations de la Commission et de l’assurance</w:t>
      </w:r>
      <w:r w:rsidR="006A09BA">
        <w:rPr>
          <w:lang w:eastAsia="fr-FR"/>
        </w:rPr>
        <w:t xml:space="preserve"> </w:t>
      </w:r>
      <w:r>
        <w:rPr>
          <w:lang w:eastAsia="fr-FR"/>
        </w:rPr>
        <w:t>collective. Il est apparu clair au Tribunal qu’il ne se souvenait pas précisément de la trame factuelle</w:t>
      </w:r>
      <w:r w:rsidR="005F11FA">
        <w:rPr>
          <w:lang w:eastAsia="fr-FR"/>
        </w:rPr>
        <w:t>, ce qui ne fait pas nécessairement de lui un menteur. Il a</w:t>
      </w:r>
      <w:r>
        <w:rPr>
          <w:lang w:eastAsia="fr-FR"/>
        </w:rPr>
        <w:t xml:space="preserve"> d’abord affirmé dans son témoignage qu’il avait remboursé au complet l’assurance. Il semblait ne pas bien saisir les </w:t>
      </w:r>
      <w:r w:rsidR="005F11FA">
        <w:rPr>
          <w:lang w:eastAsia="fr-FR"/>
        </w:rPr>
        <w:t>questions</w:t>
      </w:r>
      <w:r>
        <w:rPr>
          <w:lang w:eastAsia="fr-FR"/>
        </w:rPr>
        <w:t xml:space="preserve"> et il a requis le témoignage de sa conjointe à cet égard. </w:t>
      </w:r>
    </w:p>
    <w:p w14:paraId="6C9EE3E1" w14:textId="6EB4DFCD" w:rsidR="00676420" w:rsidRDefault="00676420" w:rsidP="00137E80">
      <w:pPr>
        <w:pStyle w:val="corpsdedcision"/>
        <w:spacing w:after="480"/>
        <w:rPr>
          <w:lang w:eastAsia="fr-FR"/>
        </w:rPr>
      </w:pPr>
      <w:r>
        <w:rPr>
          <w:lang w:eastAsia="fr-FR"/>
        </w:rPr>
        <w:t>Le témoignage de sa conjointe permet de comprendre</w:t>
      </w:r>
      <w:r w:rsidR="008C16F6">
        <w:rPr>
          <w:lang w:eastAsia="fr-FR"/>
        </w:rPr>
        <w:t xml:space="preserve"> qu’ils étaient, elle et </w:t>
      </w:r>
      <w:r w:rsidR="00CB40B4" w:rsidRPr="00D14067">
        <w:rPr>
          <w:lang w:eastAsia="fr-FR"/>
        </w:rPr>
        <w:t>lui</w:t>
      </w:r>
      <w:r w:rsidR="008C16F6" w:rsidRPr="00D14067">
        <w:rPr>
          <w:lang w:eastAsia="fr-FR"/>
        </w:rPr>
        <w:t>,</w:t>
      </w:r>
      <w:r w:rsidR="008C16F6">
        <w:rPr>
          <w:lang w:eastAsia="fr-FR"/>
        </w:rPr>
        <w:t xml:space="preserve"> « </w:t>
      </w:r>
      <w:r w:rsidR="008C16F6" w:rsidRPr="008C16F6">
        <w:rPr>
          <w:rStyle w:val="Citationintgre"/>
        </w:rPr>
        <w:t>sous le choc</w:t>
      </w:r>
      <w:r w:rsidR="008C16F6">
        <w:rPr>
          <w:lang w:eastAsia="fr-FR"/>
        </w:rPr>
        <w:t xml:space="preserve"> » de la nouvelle du cancer dont le travailleur était atteint. Il avait des troubles de mémoire, différents problèmes cognitifs (d’ailleurs rapportés par </w:t>
      </w:r>
      <w:r w:rsidR="00CB40B4" w:rsidRPr="00D14067">
        <w:rPr>
          <w:lang w:eastAsia="fr-FR"/>
        </w:rPr>
        <w:t xml:space="preserve">la </w:t>
      </w:r>
      <w:r w:rsidR="008C16F6" w:rsidRPr="00D14067">
        <w:rPr>
          <w:lang w:eastAsia="fr-FR"/>
        </w:rPr>
        <w:t>d</w:t>
      </w:r>
      <w:r w:rsidR="008C16F6">
        <w:rPr>
          <w:lang w:eastAsia="fr-FR"/>
        </w:rPr>
        <w:t>octeure Baillargeon</w:t>
      </w:r>
      <w:r w:rsidR="00436718">
        <w:rPr>
          <w:lang w:eastAsia="fr-FR"/>
        </w:rPr>
        <w:t xml:space="preserve">, </w:t>
      </w:r>
      <w:r w:rsidR="005F11FA">
        <w:rPr>
          <w:lang w:eastAsia="fr-FR"/>
        </w:rPr>
        <w:t>qui s’appuie sur</w:t>
      </w:r>
      <w:r w:rsidR="00436718">
        <w:rPr>
          <w:lang w:eastAsia="fr-FR"/>
        </w:rPr>
        <w:t xml:space="preserve"> différents tests</w:t>
      </w:r>
      <w:r w:rsidR="008C16F6">
        <w:rPr>
          <w:lang w:eastAsia="fr-FR"/>
        </w:rPr>
        <w:t>) et de la difficulté à gérer ses affaires. À travers cette épreuve</w:t>
      </w:r>
      <w:r w:rsidR="00962442" w:rsidRPr="00D14067">
        <w:rPr>
          <w:lang w:eastAsia="fr-FR"/>
        </w:rPr>
        <w:t>,</w:t>
      </w:r>
      <w:r w:rsidR="008C16F6" w:rsidRPr="00D14067">
        <w:rPr>
          <w:lang w:eastAsia="fr-FR"/>
        </w:rPr>
        <w:t xml:space="preserve"> e</w:t>
      </w:r>
      <w:r w:rsidR="008C16F6">
        <w:rPr>
          <w:lang w:eastAsia="fr-FR"/>
        </w:rPr>
        <w:t>t notamment les nombreuses hospitalisations du travailleur, sa conjointe devait également prendre soin de leurs deux jeunes enfants. Cette dernière explique que le travailleur avait une assurance personnelle en plus de son assurance collective. Elle explique qu’elle avait compris d’un agent de Desjardins que le travailleur avait droit aux deux régimes, soit l’assurance privée et l’indemnisation de la</w:t>
      </w:r>
      <w:r w:rsidR="00962442">
        <w:rPr>
          <w:lang w:eastAsia="fr-FR"/>
        </w:rPr>
        <w:t> </w:t>
      </w:r>
      <w:r w:rsidR="008C16F6">
        <w:rPr>
          <w:lang w:eastAsia="fr-FR"/>
        </w:rPr>
        <w:t>Commission. En recevant les montants, ils n’ont pas vérifié davantage, étant d’abord complètement dépassés par la situation de santé du travailleur et étant convaincus qu’un agent de Desjardins leur avait mentionné avoir droit aux deux régimes.</w:t>
      </w:r>
    </w:p>
    <w:p w14:paraId="228AB5B0" w14:textId="4F1CD959" w:rsidR="001C4308" w:rsidRDefault="001C4308" w:rsidP="00137E80">
      <w:pPr>
        <w:pStyle w:val="corpsdedcision"/>
        <w:spacing w:after="480"/>
        <w:rPr>
          <w:lang w:eastAsia="fr-FR"/>
        </w:rPr>
      </w:pPr>
      <w:r>
        <w:rPr>
          <w:lang w:eastAsia="fr-FR"/>
        </w:rPr>
        <w:t xml:space="preserve">La trame factuelle révèle que la décision d’admissibilité de la Commission a été </w:t>
      </w:r>
      <w:r w:rsidR="00D60267">
        <w:rPr>
          <w:lang w:eastAsia="fr-FR"/>
        </w:rPr>
        <w:t>rendue</w:t>
      </w:r>
      <w:r>
        <w:rPr>
          <w:lang w:eastAsia="fr-FR"/>
        </w:rPr>
        <w:t xml:space="preserve"> le 12 juin 2</w:t>
      </w:r>
      <w:r w:rsidR="005F11FA">
        <w:rPr>
          <w:lang w:eastAsia="fr-FR"/>
        </w:rPr>
        <w:t>0</w:t>
      </w:r>
      <w:r>
        <w:rPr>
          <w:lang w:eastAsia="fr-FR"/>
        </w:rPr>
        <w:t xml:space="preserve">20. Quant à l’assurance collective longue </w:t>
      </w:r>
      <w:r w:rsidRPr="00962442">
        <w:rPr>
          <w:lang w:eastAsia="fr-FR"/>
        </w:rPr>
        <w:t xml:space="preserve">durée, </w:t>
      </w:r>
      <w:r w:rsidRPr="00D77E66">
        <w:rPr>
          <w:lang w:eastAsia="fr-FR"/>
        </w:rPr>
        <w:t>une</w:t>
      </w:r>
      <w:r w:rsidR="00962442">
        <w:rPr>
          <w:lang w:eastAsia="fr-FR"/>
        </w:rPr>
        <w:t xml:space="preserve"> </w:t>
      </w:r>
      <w:r w:rsidRPr="00962442">
        <w:rPr>
          <w:lang w:eastAsia="fr-FR"/>
        </w:rPr>
        <w:t xml:space="preserve">lettre de Desjardins du </w:t>
      </w:r>
      <w:r w:rsidR="00436718" w:rsidRPr="00962442">
        <w:rPr>
          <w:lang w:eastAsia="fr-FR"/>
        </w:rPr>
        <w:t xml:space="preserve">27 mai 2020 et du </w:t>
      </w:r>
      <w:r w:rsidRPr="00962442">
        <w:rPr>
          <w:lang w:eastAsia="fr-FR"/>
        </w:rPr>
        <w:t>8 juin 2</w:t>
      </w:r>
      <w:r w:rsidR="005F11FA" w:rsidRPr="00962442">
        <w:rPr>
          <w:lang w:eastAsia="fr-FR"/>
        </w:rPr>
        <w:t>0</w:t>
      </w:r>
      <w:r w:rsidRPr="00962442">
        <w:rPr>
          <w:lang w:eastAsia="fr-FR"/>
        </w:rPr>
        <w:t>20 approuve la réclamation. Cette lettre</w:t>
      </w:r>
      <w:r>
        <w:rPr>
          <w:lang w:eastAsia="fr-FR"/>
        </w:rPr>
        <w:t xml:space="preserve"> mentionne d’aviser l’assureur s’ils reçoivent d’autres sources de revenus. La conjointe du travailleur répète qu’ils pensaient avoir droit aux deux régimes et</w:t>
      </w:r>
      <w:r w:rsidR="00962442" w:rsidRPr="00480514">
        <w:rPr>
          <w:lang w:eastAsia="fr-FR"/>
        </w:rPr>
        <w:t>,</w:t>
      </w:r>
      <w:r>
        <w:rPr>
          <w:lang w:eastAsia="fr-FR"/>
        </w:rPr>
        <w:t xml:space="preserve"> qu’étant préoccupés davantage par la situation de santé précaire du travailleur, ils ne prenaient même pas le temps de </w:t>
      </w:r>
      <w:r w:rsidRPr="001C4308">
        <w:rPr>
          <w:rStyle w:val="Citationintgre"/>
        </w:rPr>
        <w:t>« lire les papiers</w:t>
      </w:r>
      <w:r>
        <w:rPr>
          <w:lang w:eastAsia="fr-FR"/>
        </w:rPr>
        <w:t> ».</w:t>
      </w:r>
    </w:p>
    <w:p w14:paraId="6793028A" w14:textId="140B8A17" w:rsidR="001C4308" w:rsidRPr="002B661D" w:rsidRDefault="001C4308" w:rsidP="00137E80">
      <w:pPr>
        <w:pStyle w:val="corpsdedcision"/>
        <w:spacing w:after="480"/>
        <w:rPr>
          <w:lang w:eastAsia="fr-FR"/>
        </w:rPr>
      </w:pPr>
      <w:r>
        <w:rPr>
          <w:lang w:eastAsia="fr-FR"/>
        </w:rPr>
        <w:t>Peu de temps après, une note évolutive du 8 juillet 2020 rédigée par un agent de la Commission indique que l’employeur a avisé la Commission que le travailleur reçoit des assurances collectives depuis le début de sa condition, soit le 14 février 2020. L’agente indique également que le travailleur « </w:t>
      </w:r>
      <w:r w:rsidRPr="001C4308">
        <w:rPr>
          <w:rStyle w:val="Citationintgre"/>
        </w:rPr>
        <w:t>a déjà cessé d’être indemnisé par l</w:t>
      </w:r>
      <w:r w:rsidR="002D0BAF">
        <w:rPr>
          <w:rStyle w:val="Citationintgre"/>
        </w:rPr>
        <w:t>e</w:t>
      </w:r>
      <w:r w:rsidRPr="001C4308">
        <w:rPr>
          <w:rStyle w:val="Citationintgre"/>
        </w:rPr>
        <w:t>s assurances collectives et les remboursera </w:t>
      </w:r>
      <w:r>
        <w:rPr>
          <w:lang w:eastAsia="fr-FR"/>
        </w:rPr>
        <w:t xml:space="preserve">». </w:t>
      </w:r>
      <w:r w:rsidRPr="002B661D">
        <w:rPr>
          <w:lang w:eastAsia="fr-FR"/>
        </w:rPr>
        <w:t xml:space="preserve">La preuve révèle donc que la Commission a payé directement le travailleur et n’a pas procédé au remboursement des </w:t>
      </w:r>
      <w:r w:rsidR="00436718" w:rsidRPr="002B661D">
        <w:rPr>
          <w:lang w:eastAsia="fr-FR"/>
        </w:rPr>
        <w:t>indemnités</w:t>
      </w:r>
      <w:r w:rsidRPr="002B661D">
        <w:rPr>
          <w:lang w:eastAsia="fr-FR"/>
        </w:rPr>
        <w:t xml:space="preserve"> rétroactives directement à Desjardins</w:t>
      </w:r>
      <w:r w:rsidR="002B661D" w:rsidRPr="002B661D">
        <w:rPr>
          <w:lang w:eastAsia="fr-FR"/>
        </w:rPr>
        <w:t>.</w:t>
      </w:r>
    </w:p>
    <w:p w14:paraId="2BBEC0C4" w14:textId="22781AD2" w:rsidR="00436718" w:rsidRPr="002B661D" w:rsidRDefault="00436718" w:rsidP="00137E80">
      <w:pPr>
        <w:pStyle w:val="corpsdedcision"/>
        <w:spacing w:after="480"/>
      </w:pPr>
      <w:r w:rsidRPr="002B661D">
        <w:t>Rappelons que la bonne foi se présume toujours en droit, selon l’article 2805 du Code civil du Québec</w:t>
      </w:r>
      <w:r w:rsidRPr="002B661D">
        <w:rPr>
          <w:rStyle w:val="Appelnotedebasdep"/>
        </w:rPr>
        <w:footnoteReference w:id="33"/>
      </w:r>
      <w:r w:rsidRPr="002B661D">
        <w:t xml:space="preserve">. Le Tribunal conclut que le travailleur et sa conjointe ont commis des erreurs de bonne foi, étant complètement dépassés par la situation. </w:t>
      </w:r>
    </w:p>
    <w:p w14:paraId="1702ECAA" w14:textId="3F0D7231" w:rsidR="00481A7F" w:rsidRDefault="00481A7F" w:rsidP="00137E80">
      <w:pPr>
        <w:pStyle w:val="corpsdedcision"/>
        <w:spacing w:after="480"/>
        <w:rPr>
          <w:lang w:eastAsia="fr-FR"/>
        </w:rPr>
      </w:pPr>
      <w:r>
        <w:rPr>
          <w:lang w:eastAsia="fr-FR"/>
        </w:rPr>
        <w:t xml:space="preserve">Enfin, le Tribunal croit le travailleur et ne voit pas dans son témoignage les mensonges allégués par l’employeur. Le travailleur et sa conjointe ont admis leur erreur devant le Tribunal et tenté d’expliquer, au meilleur de </w:t>
      </w:r>
      <w:r w:rsidRPr="00480514">
        <w:rPr>
          <w:lang w:eastAsia="fr-FR"/>
        </w:rPr>
        <w:t>leur</w:t>
      </w:r>
      <w:r w:rsidR="00CB40B4" w:rsidRPr="00480514">
        <w:rPr>
          <w:lang w:eastAsia="fr-FR"/>
        </w:rPr>
        <w:t>s</w:t>
      </w:r>
      <w:r w:rsidRPr="00480514">
        <w:rPr>
          <w:lang w:eastAsia="fr-FR"/>
        </w:rPr>
        <w:t xml:space="preserve"> connaissance</w:t>
      </w:r>
      <w:r w:rsidR="00CB40B4" w:rsidRPr="00480514">
        <w:rPr>
          <w:lang w:eastAsia="fr-FR"/>
        </w:rPr>
        <w:t>s</w:t>
      </w:r>
      <w:r w:rsidRPr="00480514">
        <w:rPr>
          <w:lang w:eastAsia="fr-FR"/>
        </w:rPr>
        <w:t>,</w:t>
      </w:r>
      <w:r>
        <w:rPr>
          <w:lang w:eastAsia="fr-FR"/>
        </w:rPr>
        <w:t xml:space="preserve"> ce qu’ils avaient compris de la situation au moment de la survenance des faits.</w:t>
      </w:r>
      <w:r w:rsidR="00F56323">
        <w:rPr>
          <w:lang w:eastAsia="fr-FR"/>
        </w:rPr>
        <w:t xml:space="preserve"> </w:t>
      </w:r>
    </w:p>
    <w:p w14:paraId="4F65831B" w14:textId="6A102C82" w:rsidR="00EC2F2D" w:rsidRDefault="00EC2F2D" w:rsidP="00137E80">
      <w:pPr>
        <w:pStyle w:val="corpsdedcision"/>
        <w:spacing w:after="440"/>
        <w:rPr>
          <w:lang w:eastAsia="fr-FR"/>
        </w:rPr>
      </w:pPr>
      <w:r>
        <w:rPr>
          <w:lang w:eastAsia="fr-FR"/>
        </w:rPr>
        <w:t xml:space="preserve">De plus, le </w:t>
      </w:r>
      <w:r w:rsidR="00512E60">
        <w:rPr>
          <w:lang w:eastAsia="fr-FR"/>
        </w:rPr>
        <w:t>Tribunal</w:t>
      </w:r>
      <w:r>
        <w:rPr>
          <w:lang w:eastAsia="fr-FR"/>
        </w:rPr>
        <w:t xml:space="preserve"> estime </w:t>
      </w:r>
      <w:r w:rsidR="003E1AE0">
        <w:rPr>
          <w:lang w:eastAsia="fr-FR"/>
        </w:rPr>
        <w:t xml:space="preserve">que le bien-fondé du diagnostic </w:t>
      </w:r>
      <w:r w:rsidR="003E1AE0" w:rsidRPr="00D77E66">
        <w:rPr>
          <w:lang w:eastAsia="fr-FR"/>
        </w:rPr>
        <w:t>d’intoxications aigu</w:t>
      </w:r>
      <w:r w:rsidR="006A09BA" w:rsidRPr="00D77E66">
        <w:rPr>
          <w:lang w:eastAsia="fr-FR"/>
        </w:rPr>
        <w:t>ë</w:t>
      </w:r>
      <w:r w:rsidR="003E1AE0" w:rsidRPr="00D77E66">
        <w:rPr>
          <w:lang w:eastAsia="fr-FR"/>
        </w:rPr>
        <w:t>s</w:t>
      </w:r>
      <w:r w:rsidR="003E1AE0">
        <w:rPr>
          <w:lang w:eastAsia="fr-FR"/>
        </w:rPr>
        <w:t xml:space="preserve"> ne repose </w:t>
      </w:r>
      <w:r>
        <w:rPr>
          <w:lang w:eastAsia="fr-FR"/>
        </w:rPr>
        <w:t>pa</w:t>
      </w:r>
      <w:r w:rsidR="003E1AE0">
        <w:rPr>
          <w:lang w:eastAsia="fr-FR"/>
        </w:rPr>
        <w:t xml:space="preserve">s sur </w:t>
      </w:r>
      <w:r>
        <w:rPr>
          <w:lang w:eastAsia="fr-FR"/>
        </w:rPr>
        <w:t>une question de crédibilité et que soutenir une telle affirmation revient à attaquer la crédibilité et l’intégrité même</w:t>
      </w:r>
      <w:r w:rsidR="00480514">
        <w:rPr>
          <w:lang w:eastAsia="fr-FR"/>
        </w:rPr>
        <w:t xml:space="preserve"> </w:t>
      </w:r>
      <w:r w:rsidR="00CB40B4" w:rsidRPr="00480514">
        <w:rPr>
          <w:lang w:eastAsia="fr-FR"/>
        </w:rPr>
        <w:t>de la</w:t>
      </w:r>
      <w:r w:rsidRPr="00480514">
        <w:rPr>
          <w:lang w:eastAsia="fr-FR"/>
        </w:rPr>
        <w:t xml:space="preserve"> professionnel</w:t>
      </w:r>
      <w:r w:rsidR="00CB40B4" w:rsidRPr="00480514">
        <w:rPr>
          <w:lang w:eastAsia="fr-FR"/>
        </w:rPr>
        <w:t>le</w:t>
      </w:r>
      <w:r>
        <w:rPr>
          <w:lang w:eastAsia="fr-FR"/>
        </w:rPr>
        <w:t xml:space="preserve"> de la santé qui a charge</w:t>
      </w:r>
      <w:r w:rsidR="00866765">
        <w:rPr>
          <w:lang w:eastAsia="fr-FR"/>
        </w:rPr>
        <w:t xml:space="preserve"> qui l’a posé</w:t>
      </w:r>
      <w:r w:rsidR="002D0BAF">
        <w:rPr>
          <w:lang w:eastAsia="fr-FR"/>
        </w:rPr>
        <w:t>, en insinuant qu’elle aurait soufflé au travailleur les symptômes à rapporter.</w:t>
      </w:r>
    </w:p>
    <w:p w14:paraId="30823272" w14:textId="76BD465A" w:rsidR="00F56323" w:rsidRDefault="00F56323" w:rsidP="00137E80">
      <w:pPr>
        <w:pStyle w:val="corpsdedcision"/>
        <w:spacing w:after="440"/>
        <w:rPr>
          <w:lang w:eastAsia="fr-FR"/>
        </w:rPr>
      </w:pPr>
      <w:r>
        <w:rPr>
          <w:lang w:eastAsia="fr-FR"/>
        </w:rPr>
        <w:t xml:space="preserve">D’une part, absolument rien dans la preuve ne suggère que le travailleur a menti à propos de ses symptômes </w:t>
      </w:r>
      <w:r w:rsidRPr="00D77E66">
        <w:rPr>
          <w:lang w:eastAsia="fr-FR"/>
        </w:rPr>
        <w:t>aux médecins qui</w:t>
      </w:r>
      <w:r>
        <w:rPr>
          <w:lang w:eastAsia="fr-FR"/>
        </w:rPr>
        <w:t xml:space="preserve"> l’on soigné, ni à </w:t>
      </w:r>
      <w:r w:rsidR="00CB40B4" w:rsidRPr="00DA3953">
        <w:rPr>
          <w:lang w:eastAsia="fr-FR"/>
        </w:rPr>
        <w:t xml:space="preserve">la </w:t>
      </w:r>
      <w:r w:rsidRPr="00DA3953">
        <w:rPr>
          <w:lang w:eastAsia="fr-FR"/>
        </w:rPr>
        <w:t>do</w:t>
      </w:r>
      <w:r>
        <w:rPr>
          <w:lang w:eastAsia="fr-FR"/>
        </w:rPr>
        <w:t xml:space="preserve">cteure Baillargeon. </w:t>
      </w:r>
    </w:p>
    <w:p w14:paraId="72EABA31" w14:textId="5C13273F" w:rsidR="00F56323" w:rsidRPr="005C034B" w:rsidRDefault="00F56323" w:rsidP="00137E80">
      <w:pPr>
        <w:pStyle w:val="corpsdedcision"/>
        <w:spacing w:after="440"/>
        <w:rPr>
          <w:lang w:eastAsia="fr-FR"/>
        </w:rPr>
      </w:pPr>
      <w:r w:rsidRPr="005C034B">
        <w:rPr>
          <w:lang w:eastAsia="fr-FR"/>
        </w:rPr>
        <w:t xml:space="preserve">D’autre part, affirmer que </w:t>
      </w:r>
      <w:r w:rsidR="00D60267">
        <w:rPr>
          <w:lang w:eastAsia="fr-FR"/>
        </w:rPr>
        <w:t xml:space="preserve">la </w:t>
      </w:r>
      <w:r w:rsidRPr="005C034B">
        <w:rPr>
          <w:lang w:eastAsia="fr-FR"/>
        </w:rPr>
        <w:t xml:space="preserve">docteure Baillargeon fonde exclusivement son diagnostic </w:t>
      </w:r>
      <w:r w:rsidRPr="005C034B">
        <w:rPr>
          <w:rStyle w:val="Citationintgre"/>
        </w:rPr>
        <w:t>« sur les déclarations subjectives du travailleur</w:t>
      </w:r>
      <w:r w:rsidRPr="005C034B">
        <w:rPr>
          <w:lang w:eastAsia="fr-FR"/>
        </w:rPr>
        <w:t> »</w:t>
      </w:r>
      <w:r w:rsidR="003E1AE0" w:rsidRPr="005C034B">
        <w:rPr>
          <w:lang w:eastAsia="fr-FR"/>
        </w:rPr>
        <w:t>, « </w:t>
      </w:r>
      <w:r w:rsidR="003E1AE0" w:rsidRPr="005C034B">
        <w:rPr>
          <w:rStyle w:val="Citationintgre"/>
        </w:rPr>
        <w:t>sur des informations potentiellement biaisées et subjectives</w:t>
      </w:r>
      <w:r w:rsidR="003E1AE0" w:rsidRPr="005C034B">
        <w:rPr>
          <w:lang w:eastAsia="fr-FR"/>
        </w:rPr>
        <w:t> » et « </w:t>
      </w:r>
      <w:r w:rsidR="003E1AE0" w:rsidRPr="005C034B">
        <w:rPr>
          <w:rStyle w:val="Citationintgre"/>
        </w:rPr>
        <w:t>sans corroboration objective</w:t>
      </w:r>
      <w:r w:rsidR="003E1AE0" w:rsidRPr="005C034B">
        <w:rPr>
          <w:lang w:eastAsia="fr-FR"/>
        </w:rPr>
        <w:t> » jette un regard sur le travail d’analyse de</w:t>
      </w:r>
      <w:r w:rsidR="007E7C80">
        <w:rPr>
          <w:lang w:eastAsia="fr-FR"/>
        </w:rPr>
        <w:t xml:space="preserve"> </w:t>
      </w:r>
      <w:r w:rsidR="007E7C80" w:rsidRPr="00DA3953">
        <w:rPr>
          <w:lang w:eastAsia="fr-FR"/>
        </w:rPr>
        <w:t>la</w:t>
      </w:r>
      <w:r w:rsidR="003E1AE0" w:rsidRPr="00DA3953">
        <w:rPr>
          <w:lang w:eastAsia="fr-FR"/>
        </w:rPr>
        <w:t xml:space="preserve"> docteure</w:t>
      </w:r>
      <w:r w:rsidR="003E1AE0" w:rsidRPr="005C034B">
        <w:rPr>
          <w:lang w:eastAsia="fr-FR"/>
        </w:rPr>
        <w:t xml:space="preserve"> Baillargeon qui ne repose pas sur la preuve. Nous reviendrons plus loin sur la fiabilité de son analyse</w:t>
      </w:r>
      <w:r w:rsidR="007E7C80">
        <w:rPr>
          <w:lang w:eastAsia="fr-FR"/>
        </w:rPr>
        <w:t>,</w:t>
      </w:r>
      <w:r w:rsidR="00866765" w:rsidRPr="005C034B">
        <w:rPr>
          <w:lang w:eastAsia="fr-FR"/>
        </w:rPr>
        <w:t xml:space="preserve"> </w:t>
      </w:r>
      <w:r w:rsidR="007E7C80" w:rsidRPr="00DA3953">
        <w:rPr>
          <w:lang w:eastAsia="fr-FR"/>
        </w:rPr>
        <w:t>au moment</w:t>
      </w:r>
      <w:r w:rsidR="00866765" w:rsidRPr="005C034B">
        <w:rPr>
          <w:lang w:eastAsia="fr-FR"/>
        </w:rPr>
        <w:t xml:space="preserve"> de soupeser la preuve </w:t>
      </w:r>
      <w:r w:rsidR="00CE2EBF" w:rsidRPr="005C034B">
        <w:rPr>
          <w:lang w:eastAsia="fr-FR"/>
        </w:rPr>
        <w:t xml:space="preserve">prépondérante </w:t>
      </w:r>
      <w:r w:rsidR="00866765" w:rsidRPr="005C034B">
        <w:rPr>
          <w:lang w:eastAsia="fr-FR"/>
        </w:rPr>
        <w:t>concernant l’exposition du travailleur à des solvants.</w:t>
      </w:r>
    </w:p>
    <w:p w14:paraId="73AC972C" w14:textId="2629D770" w:rsidR="00EC2F2D" w:rsidRPr="0004721E" w:rsidRDefault="003E1AE0" w:rsidP="00137E80">
      <w:pPr>
        <w:pStyle w:val="corpsdedcision"/>
        <w:spacing w:after="440"/>
        <w:rPr>
          <w:lang w:eastAsia="fr-FR"/>
        </w:rPr>
      </w:pPr>
      <w:r>
        <w:rPr>
          <w:lang w:eastAsia="fr-FR"/>
        </w:rPr>
        <w:t xml:space="preserve">L’employeur invite le Tribunal à s’appuyer sur l’affaire </w:t>
      </w:r>
      <w:bookmarkStart w:id="24" w:name="_Hlk195522986"/>
      <w:bookmarkStart w:id="25" w:name="_Hlk196468409"/>
      <w:r w:rsidRPr="003E1AE0">
        <w:rPr>
          <w:i/>
          <w:iCs/>
          <w:lang w:eastAsia="fr-FR"/>
        </w:rPr>
        <w:t>Tremblay</w:t>
      </w:r>
      <w:r w:rsidRPr="003E1AE0">
        <w:rPr>
          <w:lang w:eastAsia="fr-FR"/>
        </w:rPr>
        <w:t xml:space="preserve"> et </w:t>
      </w:r>
      <w:r w:rsidRPr="003E1AE0">
        <w:rPr>
          <w:i/>
          <w:iCs/>
          <w:lang w:eastAsia="fr-FR"/>
        </w:rPr>
        <w:t>EBC Neilson, s.e.n.c</w:t>
      </w:r>
      <w:bookmarkEnd w:id="24"/>
      <w:r w:rsidR="00B55A4A">
        <w:rPr>
          <w:i/>
          <w:iCs/>
          <w:lang w:eastAsia="fr-FR"/>
        </w:rPr>
        <w:t>.</w:t>
      </w:r>
      <w:bookmarkEnd w:id="25"/>
      <w:r>
        <w:rPr>
          <w:rStyle w:val="Appelnotedebasdep"/>
          <w:lang w:eastAsia="fr-FR"/>
        </w:rPr>
        <w:footnoteReference w:id="34"/>
      </w:r>
      <w:r>
        <w:rPr>
          <w:lang w:eastAsia="fr-FR"/>
        </w:rPr>
        <w:t xml:space="preserve"> où le Tribunal a mis de côté un diagnostic d’entorse cervicale posé par le professionnel de la santé qui a charge pour les motifs suivants :</w:t>
      </w:r>
    </w:p>
    <w:p w14:paraId="63141FA8" w14:textId="77777777" w:rsidR="003E1AE0" w:rsidRDefault="003E1AE0" w:rsidP="00EF573B">
      <w:pPr>
        <w:pStyle w:val="citation"/>
        <w:rPr>
          <w:lang w:eastAsia="fr-FR"/>
        </w:rPr>
      </w:pPr>
      <w:r>
        <w:rPr>
          <w:lang w:eastAsia="fr-FR"/>
        </w:rPr>
        <w:t>[44]</w:t>
      </w:r>
      <w:r>
        <w:rPr>
          <w:lang w:eastAsia="fr-FR"/>
        </w:rPr>
        <w:tab/>
        <w:t xml:space="preserve">Cependant, pour les motifs qui seront exposés plus loin, </w:t>
      </w:r>
      <w:r w:rsidRPr="002F309C">
        <w:rPr>
          <w:u w:val="single"/>
          <w:lang w:eastAsia="fr-FR"/>
        </w:rPr>
        <w:t>le tribunal ne peut retenir le témoignage du travailleur qui n’est pas fiable</w:t>
      </w:r>
      <w:r>
        <w:rPr>
          <w:lang w:eastAsia="fr-FR"/>
        </w:rPr>
        <w:t>, cette version apparaissant d’ailleurs pour la première fois à l’audience et ne se retrouvant aucunement ailleurs au dossier, notamment dans les documents contemporains à la lésion elle-même.</w:t>
      </w:r>
    </w:p>
    <w:p w14:paraId="2B157A15" w14:textId="77777777" w:rsidR="003E1AE0" w:rsidRDefault="003E1AE0" w:rsidP="00EF573B">
      <w:pPr>
        <w:pStyle w:val="citation"/>
        <w:rPr>
          <w:lang w:eastAsia="fr-FR"/>
        </w:rPr>
      </w:pPr>
    </w:p>
    <w:p w14:paraId="160F5064" w14:textId="77777777" w:rsidR="003E1AE0" w:rsidRDefault="003E1AE0" w:rsidP="00EF573B">
      <w:pPr>
        <w:pStyle w:val="citation"/>
        <w:rPr>
          <w:lang w:eastAsia="fr-FR"/>
        </w:rPr>
      </w:pPr>
      <w:r>
        <w:rPr>
          <w:lang w:eastAsia="fr-FR"/>
        </w:rPr>
        <w:t>[45]</w:t>
      </w:r>
      <w:r>
        <w:rPr>
          <w:lang w:eastAsia="fr-FR"/>
        </w:rPr>
        <w:tab/>
        <w:t>Le diagnostic d’entorse cervicale a été posé pour la première fois longtemps après le 17 mai 2011, soit trois mois plus tard, au mois d’août, sur une attestation CSST. Or, si ce diagnostic avait existé dès le départ, il aurait été diagnostiqué beaucoup plus tôt.</w:t>
      </w:r>
    </w:p>
    <w:p w14:paraId="03E283D7" w14:textId="77777777" w:rsidR="003E1AE0" w:rsidRDefault="003E1AE0" w:rsidP="00EF573B">
      <w:pPr>
        <w:pStyle w:val="citation"/>
        <w:rPr>
          <w:lang w:eastAsia="fr-FR"/>
        </w:rPr>
      </w:pPr>
    </w:p>
    <w:p w14:paraId="648BD66E" w14:textId="77777777" w:rsidR="003E1AE0" w:rsidRDefault="003E1AE0" w:rsidP="00EF573B">
      <w:pPr>
        <w:pStyle w:val="citation"/>
        <w:rPr>
          <w:lang w:eastAsia="fr-FR"/>
        </w:rPr>
      </w:pPr>
      <w:r>
        <w:rPr>
          <w:lang w:eastAsia="fr-FR"/>
        </w:rPr>
        <w:t>[46]</w:t>
      </w:r>
      <w:r>
        <w:rPr>
          <w:lang w:eastAsia="fr-FR"/>
        </w:rPr>
        <w:tab/>
        <w:t>Le témoignage de l’orthopédiste Michel Blanchet va d’ailleurs dans le même sens et n’est pas contredit.</w:t>
      </w:r>
    </w:p>
    <w:p w14:paraId="298A63F1" w14:textId="77777777" w:rsidR="003E1AE0" w:rsidRDefault="003E1AE0" w:rsidP="00EF573B">
      <w:pPr>
        <w:pStyle w:val="citation"/>
        <w:rPr>
          <w:lang w:eastAsia="fr-FR"/>
        </w:rPr>
      </w:pPr>
    </w:p>
    <w:p w14:paraId="63AE2C73" w14:textId="77777777" w:rsidR="003E1AE0" w:rsidRDefault="003E1AE0" w:rsidP="00EF573B">
      <w:pPr>
        <w:pStyle w:val="citation"/>
        <w:rPr>
          <w:lang w:eastAsia="fr-FR"/>
        </w:rPr>
      </w:pPr>
      <w:r>
        <w:rPr>
          <w:lang w:eastAsia="fr-FR"/>
        </w:rPr>
        <w:t>[47]</w:t>
      </w:r>
      <w:r>
        <w:rPr>
          <w:lang w:eastAsia="fr-FR"/>
        </w:rPr>
        <w:tab/>
        <w:t>Il explique que le test de Spurling qui est positif lors de sa première expertise nous dirige vers une irritation radiculaire dans le membre supérieur droit découlant de la dégénérescence discale.</w:t>
      </w:r>
    </w:p>
    <w:p w14:paraId="63012A05" w14:textId="77777777" w:rsidR="003E1AE0" w:rsidRDefault="003E1AE0" w:rsidP="00EF573B">
      <w:pPr>
        <w:pStyle w:val="citation"/>
        <w:rPr>
          <w:lang w:eastAsia="fr-FR"/>
        </w:rPr>
      </w:pPr>
    </w:p>
    <w:p w14:paraId="2BEC2699" w14:textId="77777777" w:rsidR="003E1AE0" w:rsidRDefault="003E1AE0" w:rsidP="00EF573B">
      <w:pPr>
        <w:pStyle w:val="citation"/>
        <w:rPr>
          <w:lang w:eastAsia="fr-FR"/>
        </w:rPr>
      </w:pPr>
      <w:r>
        <w:rPr>
          <w:lang w:eastAsia="fr-FR"/>
        </w:rPr>
        <w:t>[48]</w:t>
      </w:r>
      <w:r>
        <w:rPr>
          <w:lang w:eastAsia="fr-FR"/>
        </w:rPr>
        <w:tab/>
        <w:t>Selon le docteur Blanchet, l’évolution observée au dossier n’est pas celle d’une entorse et les signes cliniques sont rares. De plus, il est complètement atypique qu’on ne retrouve pas ou peu de douleurs cervicales au début et que celles-ci augmentent avec le temps pour finalement occuper tout le tableau.</w:t>
      </w:r>
    </w:p>
    <w:p w14:paraId="64FFE7F0" w14:textId="77777777" w:rsidR="003E1AE0" w:rsidRDefault="003E1AE0" w:rsidP="00EF573B">
      <w:pPr>
        <w:pStyle w:val="citation"/>
        <w:rPr>
          <w:lang w:eastAsia="fr-FR"/>
        </w:rPr>
      </w:pPr>
    </w:p>
    <w:p w14:paraId="1D9187DD" w14:textId="77777777" w:rsidR="003E1AE0" w:rsidRDefault="003E1AE0" w:rsidP="00EF573B">
      <w:pPr>
        <w:pStyle w:val="citation"/>
        <w:rPr>
          <w:u w:val="single"/>
          <w:lang w:eastAsia="fr-FR"/>
        </w:rPr>
      </w:pPr>
      <w:r>
        <w:rPr>
          <w:lang w:eastAsia="fr-FR"/>
        </w:rPr>
        <w:t>[49]</w:t>
      </w:r>
      <w:r>
        <w:rPr>
          <w:lang w:eastAsia="fr-FR"/>
        </w:rPr>
        <w:tab/>
      </w:r>
      <w:r w:rsidRPr="002F309C">
        <w:rPr>
          <w:u w:val="single"/>
          <w:lang w:eastAsia="fr-FR"/>
        </w:rPr>
        <w:t>Les différents examens au dossier ne démontrent pas de signes cliniques probants d’une entorse cervicale de façon contemporaine à la survenance de la lésion alléguée. Il n’y a pas de mécanisme typique de production d’une entorse.</w:t>
      </w:r>
    </w:p>
    <w:p w14:paraId="41F65F7E" w14:textId="77777777" w:rsidR="007E7C80" w:rsidRDefault="007E7C80" w:rsidP="00EF573B">
      <w:pPr>
        <w:pStyle w:val="citation"/>
        <w:rPr>
          <w:lang w:eastAsia="fr-FR"/>
        </w:rPr>
      </w:pPr>
    </w:p>
    <w:p w14:paraId="7315D950" w14:textId="77777777" w:rsidR="003E1AE0" w:rsidRDefault="003E1AE0" w:rsidP="00EF573B">
      <w:pPr>
        <w:pStyle w:val="citation"/>
        <w:rPr>
          <w:lang w:eastAsia="fr-FR"/>
        </w:rPr>
      </w:pPr>
      <w:r>
        <w:rPr>
          <w:lang w:eastAsia="fr-FR"/>
        </w:rPr>
        <w:t>[50]</w:t>
      </w:r>
      <w:r>
        <w:rPr>
          <w:lang w:eastAsia="fr-FR"/>
        </w:rPr>
        <w:tab/>
      </w:r>
      <w:r w:rsidRPr="002F309C">
        <w:rPr>
          <w:u w:val="single"/>
          <w:lang w:eastAsia="fr-FR"/>
        </w:rPr>
        <w:t>En conséquence, s’il y avait eu entorse cervicale lors de l’événement du 17 mai 2011, les examens au dossier auraient révélé des signes objectifs plus concluants</w:t>
      </w:r>
      <w:r>
        <w:rPr>
          <w:lang w:eastAsia="fr-FR"/>
        </w:rPr>
        <w:t xml:space="preserve"> et le travailleur se serait plaint de douleurs significatives et persistantes au cou, ce qui n’est pas le cas.</w:t>
      </w:r>
    </w:p>
    <w:p w14:paraId="51D94117" w14:textId="77777777" w:rsidR="003E1AE0" w:rsidRDefault="003E1AE0" w:rsidP="00EF573B">
      <w:pPr>
        <w:pStyle w:val="citation"/>
        <w:rPr>
          <w:lang w:eastAsia="fr-FR"/>
        </w:rPr>
      </w:pPr>
    </w:p>
    <w:p w14:paraId="083E9776" w14:textId="125D34DF" w:rsidR="002F309C" w:rsidRDefault="003E1AE0" w:rsidP="00137E80">
      <w:pPr>
        <w:pStyle w:val="citation"/>
        <w:spacing w:after="320"/>
        <w:rPr>
          <w:lang w:eastAsia="fr-FR"/>
        </w:rPr>
      </w:pPr>
      <w:r>
        <w:rPr>
          <w:lang w:eastAsia="fr-FR"/>
        </w:rPr>
        <w:t>[51]</w:t>
      </w:r>
      <w:r>
        <w:rPr>
          <w:lang w:eastAsia="fr-FR"/>
        </w:rPr>
        <w:tab/>
        <w:t>La preuve au dossier ne favorise donc pas de conclure à la présence d’un diagnostic d’entorse qui, de toute façon, même s’il avait existé, n’aurait pas été relié à la lésion du 17 mai 2011 pour les mêmes motifs que ceux plus bas exprimés.</w:t>
      </w:r>
    </w:p>
    <w:p w14:paraId="50E0EECE" w14:textId="11777A1B" w:rsidR="00B81BC6" w:rsidRPr="00B55A4A" w:rsidRDefault="002F309C" w:rsidP="00137E80">
      <w:pPr>
        <w:pStyle w:val="citation"/>
        <w:spacing w:after="320"/>
        <w:rPr>
          <w:sz w:val="24"/>
          <w:szCs w:val="24"/>
        </w:rPr>
      </w:pPr>
      <w:r w:rsidRPr="005D4163">
        <w:rPr>
          <w:sz w:val="24"/>
          <w:szCs w:val="24"/>
        </w:rPr>
        <w:t>[</w:t>
      </w:r>
      <w:r w:rsidR="005C2501">
        <w:rPr>
          <w:sz w:val="24"/>
          <w:szCs w:val="24"/>
        </w:rPr>
        <w:t>E</w:t>
      </w:r>
      <w:r>
        <w:rPr>
          <w:sz w:val="24"/>
          <w:szCs w:val="24"/>
        </w:rPr>
        <w:t>mphases de l’employeur dans le texte</w:t>
      </w:r>
      <w:r w:rsidRPr="005D4163">
        <w:rPr>
          <w:sz w:val="24"/>
          <w:szCs w:val="24"/>
        </w:rPr>
        <w:t>]</w:t>
      </w:r>
    </w:p>
    <w:p w14:paraId="342B667E" w14:textId="66097648" w:rsidR="00B76A51" w:rsidRDefault="00B81BC6" w:rsidP="00137E80">
      <w:pPr>
        <w:pStyle w:val="corpsdedcision"/>
        <w:spacing w:after="320"/>
        <w:rPr>
          <w:lang w:eastAsia="fr-FR"/>
        </w:rPr>
      </w:pPr>
      <w:r>
        <w:rPr>
          <w:lang w:eastAsia="fr-FR"/>
        </w:rPr>
        <w:t>Le Tribunal a déjà conclu que le travailleur est crédible. Par ailleurs, son témoignage sur ses symptômes et sur le milieu de travail est fiable. Ces éléments sont fiables notamment parce que corroborés respectivement par la preuve médicale prépondérante et par deux rapports d’intervention en milieu de travail émis par la Direction de santé publique de Lanaudière.</w:t>
      </w:r>
    </w:p>
    <w:p w14:paraId="23CD1F9D" w14:textId="3D1A6686" w:rsidR="00B81BC6" w:rsidRDefault="002F309C" w:rsidP="00137E80">
      <w:pPr>
        <w:pStyle w:val="corpsdedcision"/>
        <w:spacing w:after="320"/>
        <w:rPr>
          <w:lang w:eastAsia="fr-FR"/>
        </w:rPr>
      </w:pPr>
      <w:r>
        <w:rPr>
          <w:lang w:eastAsia="fr-FR"/>
        </w:rPr>
        <w:t>Le diagnostic d’intoxications aiguës aux solvants repose sur des signes cliniques remarqués de façon contemporaine à la survenance de la lésion professionnelle, puisque le travailleur, hospitalisé depuis le 14 février 2020, est dirigé vers</w:t>
      </w:r>
      <w:r w:rsidR="00D60267">
        <w:rPr>
          <w:lang w:eastAsia="fr-FR"/>
        </w:rPr>
        <w:t xml:space="preserve"> la</w:t>
      </w:r>
      <w:r>
        <w:rPr>
          <w:lang w:eastAsia="fr-FR"/>
        </w:rPr>
        <w:t xml:space="preserve"> docteure Baillargeon pour un </w:t>
      </w:r>
      <w:r w:rsidRPr="005E6462">
        <w:rPr>
          <w:lang w:eastAsia="fr-FR"/>
        </w:rPr>
        <w:t>avis</w:t>
      </w:r>
      <w:r w:rsidR="007E7C80" w:rsidRPr="005E6462">
        <w:rPr>
          <w:lang w:eastAsia="fr-FR"/>
        </w:rPr>
        <w:t>,</w:t>
      </w:r>
      <w:r w:rsidRPr="005E6462">
        <w:rPr>
          <w:lang w:eastAsia="fr-FR"/>
        </w:rPr>
        <w:t xml:space="preserve"> dès le 25 février 2020</w:t>
      </w:r>
      <w:r w:rsidR="007E7C80" w:rsidRPr="005E6462">
        <w:rPr>
          <w:lang w:eastAsia="fr-FR"/>
        </w:rPr>
        <w:t>,</w:t>
      </w:r>
      <w:r w:rsidR="00CE2EBF" w:rsidRPr="005E6462">
        <w:rPr>
          <w:lang w:eastAsia="fr-FR"/>
        </w:rPr>
        <w:t xml:space="preserve"> par l’équipe</w:t>
      </w:r>
      <w:r w:rsidR="00CE2EBF">
        <w:rPr>
          <w:lang w:eastAsia="fr-FR"/>
        </w:rPr>
        <w:t xml:space="preserve"> d’hématologues traitante</w:t>
      </w:r>
      <w:r w:rsidR="002D0BAF">
        <w:rPr>
          <w:lang w:eastAsia="fr-FR"/>
        </w:rPr>
        <w:t>,</w:t>
      </w:r>
      <w:r w:rsidR="00CE2EBF">
        <w:rPr>
          <w:lang w:eastAsia="fr-FR"/>
        </w:rPr>
        <w:t xml:space="preserve"> qui a donc aussi jugé bon de pousser plus loin l’analyse</w:t>
      </w:r>
      <w:r w:rsidR="002D0BAF">
        <w:rPr>
          <w:lang w:eastAsia="fr-FR"/>
        </w:rPr>
        <w:t xml:space="preserve"> concernant l’implication du milieu de travail dans la pathologie du travailleur</w:t>
      </w:r>
      <w:r w:rsidR="00CE2EBF">
        <w:rPr>
          <w:lang w:eastAsia="fr-FR"/>
        </w:rPr>
        <w:t>.</w:t>
      </w:r>
      <w:r>
        <w:rPr>
          <w:lang w:eastAsia="fr-FR"/>
        </w:rPr>
        <w:t xml:space="preserve"> </w:t>
      </w:r>
    </w:p>
    <w:p w14:paraId="29B6D225" w14:textId="6C2FE9E0" w:rsidR="00920778" w:rsidRDefault="00920778" w:rsidP="00137E80">
      <w:pPr>
        <w:pStyle w:val="corpsdedcision"/>
        <w:spacing w:after="320"/>
      </w:pPr>
      <w:r>
        <w:t>Qui plus est, la décision</w:t>
      </w:r>
      <w:r>
        <w:rPr>
          <w:rStyle w:val="Appelnotedebasdep"/>
        </w:rPr>
        <w:footnoteReference w:id="35"/>
      </w:r>
      <w:r>
        <w:t xml:space="preserve"> citée par l’employeur</w:t>
      </w:r>
      <w:r w:rsidRPr="00920778">
        <w:t xml:space="preserve"> </w:t>
      </w:r>
      <w:r>
        <w:t xml:space="preserve">se distingue du présent dossier. Il </w:t>
      </w:r>
      <w:r w:rsidR="002D0BAF">
        <w:t xml:space="preserve">y </w:t>
      </w:r>
      <w:r>
        <w:t xml:space="preserve">est question d’un dossier d’accident du travail avec la mise en cause d’un </w:t>
      </w:r>
      <w:r w:rsidRPr="005E6462">
        <w:t xml:space="preserve">diagnostic </w:t>
      </w:r>
      <w:r w:rsidR="007E7C80" w:rsidRPr="005E6462">
        <w:t>de</w:t>
      </w:r>
      <w:r w:rsidR="007E7C80">
        <w:t xml:space="preserve"> </w:t>
      </w:r>
      <w:r>
        <w:t xml:space="preserve">blessure, soit une entorse, et le Tribunal retient notamment l’absence de mécanisme typique de production de cette lésion </w:t>
      </w:r>
      <w:r w:rsidR="002D0BAF">
        <w:t>et</w:t>
      </w:r>
      <w:r>
        <w:t xml:space="preserve"> de signes cliniques de manière contemporaine. Or, en matière de maladie professionnelle, les signes cliniques se développent souvent sur une période prolongée et l’enquête pour arriver à poser le bon diagnostic commande une investigation plus poussée. </w:t>
      </w:r>
    </w:p>
    <w:p w14:paraId="5417F1F1" w14:textId="17C1D1A8" w:rsidR="00920778" w:rsidRDefault="00920778" w:rsidP="00137E80">
      <w:pPr>
        <w:pStyle w:val="corpsdedcision"/>
        <w:spacing w:after="320"/>
        <w:rPr>
          <w:lang w:eastAsia="fr-FR"/>
        </w:rPr>
      </w:pPr>
      <w:r>
        <w:t xml:space="preserve">Enfin, </w:t>
      </w:r>
      <w:r w:rsidR="000671FE">
        <w:t xml:space="preserve">dans l’affaire </w:t>
      </w:r>
      <w:r w:rsidR="000671FE" w:rsidRPr="00137E80">
        <w:rPr>
          <w:i/>
          <w:iCs/>
        </w:rPr>
        <w:t>Montréal (Communauté urbaine de)</w:t>
      </w:r>
      <w:r w:rsidR="000671FE" w:rsidRPr="00137E80">
        <w:t xml:space="preserve"> </w:t>
      </w:r>
      <w:r w:rsidR="005E6462" w:rsidRPr="00137E80">
        <w:t xml:space="preserve">c. </w:t>
      </w:r>
      <w:r w:rsidR="000671FE" w:rsidRPr="00137E80">
        <w:rPr>
          <w:i/>
          <w:iCs/>
        </w:rPr>
        <w:t>Blouin</w:t>
      </w:r>
      <w:r w:rsidR="000671FE" w:rsidRPr="00137E80">
        <w:rPr>
          <w:rStyle w:val="Appelnotedebasdep"/>
        </w:rPr>
        <w:footnoteReference w:id="36"/>
      </w:r>
      <w:r w:rsidR="000671FE" w:rsidRPr="00137E80">
        <w:t>, le T</w:t>
      </w:r>
      <w:r w:rsidR="000671FE">
        <w:t>ribunal rappelle que les conclusions du professionnel de la santé qui a charge n’ont aucun effet liant lorsqu’elles concernent l’établissement d’une relation entre un événement et un diagnostic, puisque la relation est une question juridique.</w:t>
      </w:r>
    </w:p>
    <w:p w14:paraId="63F420AA" w14:textId="22A8C1E7" w:rsidR="002F309C" w:rsidRDefault="000671FE" w:rsidP="00137E80">
      <w:pPr>
        <w:pStyle w:val="corpsdedcision"/>
        <w:rPr>
          <w:lang w:eastAsia="fr-FR"/>
        </w:rPr>
      </w:pPr>
      <w:r>
        <w:rPr>
          <w:lang w:eastAsia="fr-FR"/>
        </w:rPr>
        <w:t>Il</w:t>
      </w:r>
      <w:r w:rsidR="002F309C">
        <w:rPr>
          <w:lang w:eastAsia="fr-FR"/>
        </w:rPr>
        <w:t xml:space="preserve"> y a</w:t>
      </w:r>
      <w:r>
        <w:rPr>
          <w:lang w:eastAsia="fr-FR"/>
        </w:rPr>
        <w:t xml:space="preserve"> donc</w:t>
      </w:r>
      <w:r w:rsidR="002F309C">
        <w:rPr>
          <w:lang w:eastAsia="fr-FR"/>
        </w:rPr>
        <w:t xml:space="preserve"> lieu de répéter que l’employeur ne peut faire indirectement ce qui n’est pas permis par la Loi de faire directement, soit contester un diagnostic posé par le professionnel de la santé qui a charge en l’absence d’un avis du Bureau d’évaluation médicale.</w:t>
      </w:r>
    </w:p>
    <w:p w14:paraId="20F61114" w14:textId="6727E3EA" w:rsidR="00EA53D4" w:rsidRDefault="00EA53D4" w:rsidP="00137E80">
      <w:pPr>
        <w:pStyle w:val="corpsdedcision"/>
        <w:spacing w:after="400"/>
        <w:rPr>
          <w:lang w:eastAsia="fr-FR"/>
        </w:rPr>
      </w:pPr>
      <w:r>
        <w:rPr>
          <w:lang w:eastAsia="fr-FR"/>
        </w:rPr>
        <w:t>Les arguments de l’employeur</w:t>
      </w:r>
      <w:r w:rsidR="002D0BAF">
        <w:rPr>
          <w:lang w:eastAsia="fr-FR"/>
        </w:rPr>
        <w:t>,</w:t>
      </w:r>
      <w:r>
        <w:rPr>
          <w:lang w:eastAsia="fr-FR"/>
        </w:rPr>
        <w:t xml:space="preserve"> puisés dans l’expertise d</w:t>
      </w:r>
      <w:r w:rsidR="002D0BAF">
        <w:rPr>
          <w:lang w:eastAsia="fr-FR"/>
        </w:rPr>
        <w:t>u</w:t>
      </w:r>
      <w:r>
        <w:rPr>
          <w:lang w:eastAsia="fr-FR"/>
        </w:rPr>
        <w:t xml:space="preserve"> docteur Osterman</w:t>
      </w:r>
      <w:r w:rsidR="002D0BAF">
        <w:rPr>
          <w:lang w:eastAsia="fr-FR"/>
        </w:rPr>
        <w:t>,</w:t>
      </w:r>
      <w:r>
        <w:rPr>
          <w:lang w:eastAsia="fr-FR"/>
        </w:rPr>
        <w:t xml:space="preserve"> ne peuvent permettre de remettre en cause le bien-fondé du diagnostic et pourront être pris en compte lors de l’analyse </w:t>
      </w:r>
      <w:r w:rsidR="00CE2EBF">
        <w:rPr>
          <w:lang w:eastAsia="fr-FR"/>
        </w:rPr>
        <w:t xml:space="preserve">de la question juridique portant </w:t>
      </w:r>
      <w:r>
        <w:rPr>
          <w:lang w:eastAsia="fr-FR"/>
        </w:rPr>
        <w:t>sur la relation causale.</w:t>
      </w:r>
    </w:p>
    <w:p w14:paraId="004D3FAD" w14:textId="6E0617DE" w:rsidR="00C25789" w:rsidRPr="00E94C2F" w:rsidRDefault="00C25789" w:rsidP="00137E80">
      <w:pPr>
        <w:pStyle w:val="corpsdedcision"/>
        <w:spacing w:after="400"/>
        <w:rPr>
          <w:lang w:eastAsia="fr-FR"/>
        </w:rPr>
      </w:pPr>
      <w:r>
        <w:rPr>
          <w:lang w:eastAsia="fr-FR"/>
        </w:rPr>
        <w:t xml:space="preserve">Le diagnostic d’intoxications aiguës aux solvants </w:t>
      </w:r>
      <w:r w:rsidRPr="00683F5B">
        <w:rPr>
          <w:lang w:eastAsia="fr-FR"/>
        </w:rPr>
        <w:t xml:space="preserve">posé par </w:t>
      </w:r>
      <w:r w:rsidR="00D77E66" w:rsidRPr="00683F5B">
        <w:rPr>
          <w:lang w:eastAsia="fr-FR"/>
        </w:rPr>
        <w:t xml:space="preserve">la </w:t>
      </w:r>
      <w:r w:rsidRPr="00683F5B">
        <w:rPr>
          <w:lang w:eastAsia="fr-FR"/>
        </w:rPr>
        <w:t>docteure Baillargeon lie donc le Tribunal</w:t>
      </w:r>
      <w:r w:rsidR="00D77E66" w:rsidRPr="00683F5B">
        <w:rPr>
          <w:lang w:eastAsia="fr-FR"/>
        </w:rPr>
        <w:t>,</w:t>
      </w:r>
      <w:r w:rsidRPr="00683F5B">
        <w:rPr>
          <w:lang w:eastAsia="fr-FR"/>
        </w:rPr>
        <w:t xml:space="preserve"> qui en confirme la validité</w:t>
      </w:r>
      <w:r>
        <w:rPr>
          <w:lang w:eastAsia="fr-FR"/>
        </w:rPr>
        <w:t xml:space="preserve">. </w:t>
      </w:r>
    </w:p>
    <w:p w14:paraId="401A7244" w14:textId="18113AEE" w:rsidR="00F5746D" w:rsidRDefault="00CD51EC" w:rsidP="00137E80">
      <w:pPr>
        <w:pStyle w:val="Titre4"/>
        <w:keepNext w:val="0"/>
        <w:spacing w:after="400"/>
      </w:pPr>
      <w:bookmarkStart w:id="26" w:name="_Hlk195599856"/>
      <w:r>
        <w:t>L’a</w:t>
      </w:r>
      <w:r w:rsidR="00823307">
        <w:t>ctualisation du diagnostic de cancer</w:t>
      </w:r>
    </w:p>
    <w:bookmarkEnd w:id="26"/>
    <w:p w14:paraId="11BD7D6B" w14:textId="5F75C369" w:rsidR="00A513BB" w:rsidRDefault="00A513BB" w:rsidP="00137E80">
      <w:pPr>
        <w:pStyle w:val="corpsdedcision"/>
        <w:spacing w:after="400"/>
        <w:rPr>
          <w:lang w:eastAsia="fr-FR"/>
        </w:rPr>
      </w:pPr>
      <w:r>
        <w:rPr>
          <w:lang w:eastAsia="fr-FR"/>
        </w:rPr>
        <w:t xml:space="preserve">Une lecture attentive de la preuve médicale permet de constater que le libellé du diagnostic de cancer est modulé au cours des consultations médicales du travailleur. Avant de traiter de l’admissibilité d’une maladie professionnelle, il est important de bien cerner la </w:t>
      </w:r>
      <w:r w:rsidR="00D8078E">
        <w:rPr>
          <w:lang w:eastAsia="fr-FR"/>
        </w:rPr>
        <w:t>pathologie cancéreuse</w:t>
      </w:r>
      <w:r>
        <w:rPr>
          <w:lang w:eastAsia="fr-FR"/>
        </w:rPr>
        <w:t xml:space="preserve"> qui est en cause.</w:t>
      </w:r>
    </w:p>
    <w:p w14:paraId="2603A17D" w14:textId="23711566" w:rsidR="00F5746D" w:rsidRDefault="00F5746D" w:rsidP="00137E80">
      <w:pPr>
        <w:pStyle w:val="corpsdedcision"/>
        <w:spacing w:after="400"/>
        <w:rPr>
          <w:lang w:eastAsia="fr-FR"/>
        </w:rPr>
      </w:pPr>
      <w:r>
        <w:t>Malgré l’absence d’</w:t>
      </w:r>
      <w:r w:rsidR="002D0BAF">
        <w:t xml:space="preserve">un </w:t>
      </w:r>
      <w:r>
        <w:t xml:space="preserve">avis du Bureau d’évaluation médicale, le Tribunal peut être appelé à déterminer le diagnostic ayant une valeur liante </w:t>
      </w:r>
      <w:r w:rsidR="00A513BB">
        <w:t>afin de</w:t>
      </w:r>
      <w:r>
        <w:t xml:space="preserve"> considérer un diagnostic qui s’est précisé, a été modifié ou a évolué entre le moment où il a été soumis à la Commission pour analyse et celui où le Tribunal rend sa décision</w:t>
      </w:r>
      <w:r>
        <w:rPr>
          <w:rStyle w:val="Appelnotedebasdep"/>
        </w:rPr>
        <w:footnoteReference w:id="37"/>
      </w:r>
      <w:r>
        <w:t>.</w:t>
      </w:r>
    </w:p>
    <w:p w14:paraId="38FD221F" w14:textId="42EC3B89" w:rsidR="003B3E98" w:rsidRDefault="00B734C4" w:rsidP="00137E80">
      <w:pPr>
        <w:pStyle w:val="corpsdedcision"/>
        <w:spacing w:after="400"/>
        <w:rPr>
          <w:lang w:eastAsia="fr-FR"/>
        </w:rPr>
      </w:pPr>
      <w:r>
        <w:t>C</w:t>
      </w:r>
      <w:r w:rsidR="0081581C">
        <w:t xml:space="preserve">et exercice découle du pouvoir </w:t>
      </w:r>
      <w:r w:rsidR="0081581C" w:rsidRPr="000A57A3">
        <w:rPr>
          <w:i/>
          <w:iCs/>
        </w:rPr>
        <w:t>de novo</w:t>
      </w:r>
      <w:r w:rsidR="0081581C">
        <w:t xml:space="preserve"> dévolu au Tribunal lui permettant d’actualiser le dossier et de recevoir toute preuve pertinente à la solution complète du litige.</w:t>
      </w:r>
      <w:r w:rsidR="000A57A3">
        <w:t xml:space="preserve"> </w:t>
      </w:r>
      <w:r w:rsidR="00F5746D">
        <w:rPr>
          <w:lang w:eastAsia="fr-FR"/>
        </w:rPr>
        <w:t>Ce principe</w:t>
      </w:r>
      <w:r w:rsidR="000A57A3">
        <w:rPr>
          <w:lang w:eastAsia="fr-FR"/>
        </w:rPr>
        <w:t xml:space="preserve"> est consacré à l’article 9 de la </w:t>
      </w:r>
      <w:r w:rsidR="000A57A3" w:rsidRPr="000A57A3">
        <w:rPr>
          <w:i/>
          <w:iCs/>
        </w:rPr>
        <w:t>Loi instituant le</w:t>
      </w:r>
      <w:r w:rsidR="007E7C80">
        <w:rPr>
          <w:i/>
          <w:iCs/>
        </w:rPr>
        <w:t xml:space="preserve"> </w:t>
      </w:r>
      <w:r w:rsidR="000A57A3" w:rsidRPr="000A57A3">
        <w:rPr>
          <w:i/>
          <w:iCs/>
        </w:rPr>
        <w:t>Tribunal administratif du</w:t>
      </w:r>
      <w:r w:rsidR="007E7C80">
        <w:rPr>
          <w:i/>
          <w:iCs/>
        </w:rPr>
        <w:t xml:space="preserve"> </w:t>
      </w:r>
      <w:r w:rsidR="000A57A3" w:rsidRPr="000A57A3">
        <w:rPr>
          <w:i/>
          <w:iCs/>
        </w:rPr>
        <w:t>travail</w:t>
      </w:r>
      <w:r w:rsidR="000A57A3" w:rsidRPr="000A57A3">
        <w:rPr>
          <w:rStyle w:val="Appelnotedebasdep"/>
        </w:rPr>
        <w:footnoteReference w:id="38"/>
      </w:r>
      <w:r w:rsidR="00BA68FC">
        <w:t xml:space="preserve"> </w:t>
      </w:r>
      <w:r w:rsidR="000A57A3" w:rsidRPr="000A57A3">
        <w:t>qui énonce que</w:t>
      </w:r>
      <w:r w:rsidR="000A57A3">
        <w:rPr>
          <w:i/>
          <w:iCs/>
        </w:rPr>
        <w:t xml:space="preserve"> « </w:t>
      </w:r>
      <w:r w:rsidR="000A57A3" w:rsidRPr="000A57A3">
        <w:rPr>
          <w:rStyle w:val="Citationintgre"/>
        </w:rPr>
        <w:t>le Tribunal a le pouvoir de décider de toute question de droit ou de fait nécessaire à l’exercice de sa compétence</w:t>
      </w:r>
      <w:r w:rsidR="000A57A3">
        <w:rPr>
          <w:i/>
          <w:iCs/>
        </w:rPr>
        <w:t xml:space="preserve"> » </w:t>
      </w:r>
      <w:r w:rsidR="000A57A3" w:rsidRPr="000A57A3">
        <w:t>et, plus précisément au paragraphe 4</w:t>
      </w:r>
      <w:r>
        <w:t>,</w:t>
      </w:r>
      <w:r w:rsidR="000A57A3" w:rsidRPr="000A57A3">
        <w:t xml:space="preserve"> qui édicte que le Tribunal peut </w:t>
      </w:r>
      <w:r w:rsidR="000A57A3">
        <w:rPr>
          <w:i/>
          <w:iCs/>
        </w:rPr>
        <w:t>« </w:t>
      </w:r>
      <w:r w:rsidR="000A57A3" w:rsidRPr="000A57A3">
        <w:rPr>
          <w:rStyle w:val="Citationintgre"/>
        </w:rPr>
        <w:t>confirmer, modifier ou informer la décision, l’ordre ou l’ordonnance contesté et, s’il y a lieu, rendre la décision, l’ordre ou l’ordonnance qui, à son avis, aurait dû être rendu en premier lieu</w:t>
      </w:r>
      <w:r w:rsidR="000A57A3">
        <w:rPr>
          <w:i/>
          <w:iCs/>
        </w:rPr>
        <w:t> ».</w:t>
      </w:r>
    </w:p>
    <w:p w14:paraId="313A9979" w14:textId="6382B908" w:rsidR="00A721A2" w:rsidRDefault="00B734C4" w:rsidP="00137E80">
      <w:pPr>
        <w:pStyle w:val="corpsdedcision"/>
        <w:spacing w:after="400"/>
        <w:rPr>
          <w:lang w:eastAsia="fr-FR"/>
        </w:rPr>
      </w:pPr>
      <w:r>
        <w:t>Cette approche s’harmonise également avec les pouvoirs de commissaire</w:t>
      </w:r>
      <w:r w:rsidR="007E7C80">
        <w:noBreakHyphen/>
      </w:r>
      <w:r>
        <w:t>enquêteur du Tribunal</w:t>
      </w:r>
      <w:r w:rsidR="00BA68FC">
        <w:rPr>
          <w:rStyle w:val="Appelnotedebasdep"/>
        </w:rPr>
        <w:footnoteReference w:id="39"/>
      </w:r>
      <w:r w:rsidR="00BA68FC">
        <w:t xml:space="preserve"> et sa mission de rechercher la vérité. Ainsi, le Tribunal</w:t>
      </w:r>
      <w:r w:rsidR="00A721A2">
        <w:t xml:space="preserve"> a</w:t>
      </w:r>
      <w:r w:rsidR="00BA68FC">
        <w:t xml:space="preserve"> non seulement le pouvoir, mais également</w:t>
      </w:r>
      <w:r w:rsidR="00A721A2">
        <w:t xml:space="preserve"> le devoir de prendre en considération toute la preuve pertinente disponible et </w:t>
      </w:r>
      <w:r w:rsidR="00BA68FC">
        <w:t>il n’a pas à considérer</w:t>
      </w:r>
      <w:r w:rsidR="00A721A2">
        <w:t xml:space="preserve"> uniquement celle appréciée initialement par la Commission</w:t>
      </w:r>
      <w:r w:rsidR="00A721A2">
        <w:rPr>
          <w:rStyle w:val="Appelnotedebasdep"/>
        </w:rPr>
        <w:footnoteReference w:id="40"/>
      </w:r>
      <w:r w:rsidR="00A721A2">
        <w:t>.</w:t>
      </w:r>
    </w:p>
    <w:p w14:paraId="03BEE8A0" w14:textId="77777777" w:rsidR="000B4EEF" w:rsidRPr="000B4EEF" w:rsidRDefault="00DE4017" w:rsidP="00A97E82">
      <w:pPr>
        <w:pStyle w:val="corpsdedcision"/>
        <w:spacing w:after="440"/>
        <w:rPr>
          <w:szCs w:val="24"/>
          <w:lang w:eastAsia="fr-FR"/>
        </w:rPr>
      </w:pPr>
      <w:r>
        <w:rPr>
          <w:lang w:eastAsia="fr-FR"/>
        </w:rPr>
        <w:t xml:space="preserve">Comme cet exercice ne peut s’effectuer au détriment des droits de la Commission ou de l’employeur de contester un diagnostic en vertu de la procédure d’évaluation médicale, le Tribunal a circonscrit les situations où il peut se saisir d’un diagnostic sans qu’une décision n’ait été rendue à cet égard initialement. </w:t>
      </w:r>
    </w:p>
    <w:p w14:paraId="0CDDBA23" w14:textId="1D814849" w:rsidR="00A721A2" w:rsidRPr="00DE4017" w:rsidRDefault="00DE4017" w:rsidP="00A97E82">
      <w:pPr>
        <w:pStyle w:val="corpsdedcision"/>
        <w:spacing w:after="440"/>
        <w:rPr>
          <w:szCs w:val="24"/>
          <w:lang w:eastAsia="fr-FR"/>
        </w:rPr>
      </w:pPr>
      <w:r>
        <w:rPr>
          <w:lang w:eastAsia="fr-FR"/>
        </w:rPr>
        <w:t xml:space="preserve">Dans l’affaire </w:t>
      </w:r>
      <w:r w:rsidR="000B4EEF" w:rsidRPr="000B4EEF">
        <w:rPr>
          <w:rFonts w:cs="Arial"/>
          <w:i/>
          <w:iCs/>
        </w:rPr>
        <w:t>Larcher</w:t>
      </w:r>
      <w:r w:rsidR="000B4EEF">
        <w:rPr>
          <w:rFonts w:cs="Arial"/>
        </w:rPr>
        <w:t xml:space="preserve"> et </w:t>
      </w:r>
      <w:r w:rsidR="000B4EEF" w:rsidRPr="000B4EEF">
        <w:rPr>
          <w:rFonts w:cs="Arial"/>
          <w:i/>
          <w:iCs/>
        </w:rPr>
        <w:t>Acoustique S. Mayer</w:t>
      </w:r>
      <w:r w:rsidR="000B4EEF" w:rsidRPr="00DE4017">
        <w:rPr>
          <w:rStyle w:val="Appelnotedebasdep"/>
          <w:rFonts w:cs="Arial"/>
          <w:szCs w:val="24"/>
        </w:rPr>
        <w:t xml:space="preserve"> </w:t>
      </w:r>
      <w:r w:rsidRPr="00DE4017">
        <w:rPr>
          <w:rStyle w:val="Appelnotedebasdep"/>
          <w:rFonts w:cs="Arial"/>
          <w:szCs w:val="24"/>
        </w:rPr>
        <w:footnoteReference w:id="41"/>
      </w:r>
      <w:r>
        <w:rPr>
          <w:rFonts w:cs="Arial"/>
          <w:i/>
          <w:iCs/>
          <w:szCs w:val="24"/>
        </w:rPr>
        <w:t xml:space="preserve">, </w:t>
      </w:r>
      <w:r w:rsidRPr="00DE4017">
        <w:rPr>
          <w:rFonts w:cs="Arial"/>
          <w:szCs w:val="24"/>
        </w:rPr>
        <w:t>le Tribunal expose deux situations permettant l’actualisation du diagnostic:</w:t>
      </w:r>
    </w:p>
    <w:p w14:paraId="6C767937" w14:textId="77777777" w:rsidR="00DE4017" w:rsidRDefault="00DE4017" w:rsidP="00EF573B">
      <w:pPr>
        <w:pStyle w:val="citation"/>
        <w:rPr>
          <w:lang w:eastAsia="fr-FR"/>
        </w:rPr>
      </w:pPr>
      <w:r>
        <w:rPr>
          <w:lang w:eastAsia="fr-FR"/>
        </w:rPr>
        <w:t>[14]</w:t>
      </w:r>
      <w:r>
        <w:rPr>
          <w:lang w:eastAsia="fr-FR"/>
        </w:rPr>
        <w:tab/>
        <w:t>Toutefois, le Tribunal administratif du travail estime que ce pouvoir d’actualiser le dossier dont il est saisi, au chapitre du diagnostic notamment, ne peut s’exercer au détriment des droits de la Commission ou de l’employeur de contester toute question d’ordre médical prévue à l’article 212 de la loi dans le cadre du processus d’évaluation médicale. Ainsi, le Tribunal estime qu’il pourra se saisir d’un diagnostic n’ayant pas fait l’objet d’une décision de la Commission dans les cas suivants :</w:t>
      </w:r>
    </w:p>
    <w:p w14:paraId="22B8895A" w14:textId="77777777" w:rsidR="00DE4017" w:rsidRDefault="00DE4017" w:rsidP="00EF573B">
      <w:pPr>
        <w:pStyle w:val="citation"/>
        <w:rPr>
          <w:lang w:eastAsia="fr-FR"/>
        </w:rPr>
      </w:pPr>
    </w:p>
    <w:p w14:paraId="181532F6" w14:textId="7809FA9D" w:rsidR="00DE4017" w:rsidRDefault="00DE4017" w:rsidP="00EF573B">
      <w:pPr>
        <w:pStyle w:val="Citationendoubleretrait"/>
        <w:tabs>
          <w:tab w:val="left" w:pos="1843"/>
        </w:tabs>
        <w:ind w:left="1701" w:hanging="261"/>
      </w:pPr>
      <w:r>
        <w:t>•</w:t>
      </w:r>
      <w:r>
        <w:tab/>
        <w:t>lorsque ce nouveau diagnostic a été posé par le médecin traitant et soumis à la Commission</w:t>
      </w:r>
      <w:r w:rsidR="00D60267">
        <w:t>,</w:t>
      </w:r>
      <w:r>
        <w:t xml:space="preserve"> mais que celle-ci aurait omis ou refusé de s’en saisir d’où l’absence de décision;</w:t>
      </w:r>
    </w:p>
    <w:p w14:paraId="0050C423" w14:textId="77777777" w:rsidR="00DE4017" w:rsidRDefault="00DE4017" w:rsidP="00EF573B">
      <w:pPr>
        <w:pStyle w:val="Citationendoubleretrait"/>
      </w:pPr>
    </w:p>
    <w:p w14:paraId="399B809B" w14:textId="181BB5EC" w:rsidR="00DE4017" w:rsidRPr="00DE4017" w:rsidRDefault="00DE4017" w:rsidP="00A97E82">
      <w:pPr>
        <w:pStyle w:val="Citationendoubleretrait"/>
        <w:tabs>
          <w:tab w:val="left" w:pos="1843"/>
        </w:tabs>
        <w:spacing w:after="440"/>
        <w:ind w:left="1701" w:hanging="261"/>
      </w:pPr>
      <w:r>
        <w:t>•</w:t>
      </w:r>
      <w:r>
        <w:tab/>
        <w:t>lorsque le diagnostic retenu par un expert n’est en soi qu’une précision du diagnostic faisant l’objet de la décision de la Commission ou encore que le diagnostic retenu par l’expert ne représente qu’une évolution du diagnostic au cœur du litige dont le Tribunal est saisi.</w:t>
      </w:r>
    </w:p>
    <w:p w14:paraId="7AA37289" w14:textId="42902A67" w:rsidR="00621064" w:rsidRDefault="000B4EEF" w:rsidP="00A97E82">
      <w:pPr>
        <w:pStyle w:val="corpsdedcision"/>
        <w:spacing w:after="440"/>
        <w:rPr>
          <w:lang w:eastAsia="fr-FR"/>
        </w:rPr>
      </w:pPr>
      <w:r>
        <w:rPr>
          <w:lang w:eastAsia="fr-FR"/>
        </w:rPr>
        <w:t>Qu’en est-il dans le présent dossier</w:t>
      </w:r>
      <w:r w:rsidR="00B55A4A">
        <w:rPr>
          <w:lang w:eastAsia="fr-FR"/>
        </w:rPr>
        <w:t> </w:t>
      </w:r>
      <w:r>
        <w:rPr>
          <w:lang w:eastAsia="fr-FR"/>
        </w:rPr>
        <w:t>?</w:t>
      </w:r>
    </w:p>
    <w:p w14:paraId="0BD48A75" w14:textId="22CCC3FE" w:rsidR="0005449C" w:rsidRPr="00D77E66" w:rsidRDefault="00100952" w:rsidP="00A97E82">
      <w:pPr>
        <w:pStyle w:val="corpsdedcision"/>
        <w:spacing w:after="440"/>
        <w:rPr>
          <w:lang w:eastAsia="fr-FR"/>
        </w:rPr>
      </w:pPr>
      <w:r>
        <w:rPr>
          <w:lang w:eastAsia="fr-FR"/>
        </w:rPr>
        <w:t>Les notes médicales rédigées par l’équipe traitante</w:t>
      </w:r>
      <w:r w:rsidR="006264F3">
        <w:rPr>
          <w:lang w:eastAsia="fr-FR"/>
        </w:rPr>
        <w:t xml:space="preserve"> en hématologie,</w:t>
      </w:r>
      <w:r>
        <w:rPr>
          <w:lang w:eastAsia="fr-FR"/>
        </w:rPr>
        <w:t xml:space="preserve"> à l’occasion de</w:t>
      </w:r>
      <w:r w:rsidR="0005449C">
        <w:rPr>
          <w:lang w:eastAsia="fr-FR"/>
        </w:rPr>
        <w:t xml:space="preserve"> la première hospitalisation</w:t>
      </w:r>
      <w:r w:rsidR="006264F3" w:rsidRPr="006264F3">
        <w:rPr>
          <w:lang w:eastAsia="fr-FR"/>
        </w:rPr>
        <w:t xml:space="preserve"> </w:t>
      </w:r>
      <w:r w:rsidR="006264F3">
        <w:rPr>
          <w:lang w:eastAsia="fr-FR"/>
        </w:rPr>
        <w:t xml:space="preserve">du </w:t>
      </w:r>
      <w:r w:rsidR="006264F3" w:rsidRPr="00D77E66">
        <w:rPr>
          <w:lang w:eastAsia="fr-FR"/>
        </w:rPr>
        <w:t>travailleur</w:t>
      </w:r>
      <w:r w:rsidR="0005449C" w:rsidRPr="00D77E66">
        <w:rPr>
          <w:lang w:eastAsia="fr-FR"/>
        </w:rPr>
        <w:t xml:space="preserve"> en février 2020</w:t>
      </w:r>
      <w:r w:rsidR="006264F3" w:rsidRPr="00D77E66">
        <w:rPr>
          <w:lang w:eastAsia="fr-FR"/>
        </w:rPr>
        <w:t>,</w:t>
      </w:r>
      <w:r w:rsidRPr="00D77E66">
        <w:rPr>
          <w:lang w:eastAsia="fr-FR"/>
        </w:rPr>
        <w:t xml:space="preserve"> démontrent </w:t>
      </w:r>
      <w:r w:rsidR="005D27C4" w:rsidRPr="00D77E66">
        <w:rPr>
          <w:lang w:eastAsia="fr-FR"/>
        </w:rPr>
        <w:t xml:space="preserve">aussi </w:t>
      </w:r>
      <w:r w:rsidRPr="00D77E66">
        <w:rPr>
          <w:lang w:eastAsia="fr-FR"/>
        </w:rPr>
        <w:t xml:space="preserve">que </w:t>
      </w:r>
      <w:r w:rsidR="007D0A37" w:rsidRPr="00D77E66">
        <w:rPr>
          <w:lang w:eastAsia="fr-FR"/>
        </w:rPr>
        <w:t xml:space="preserve">cette </w:t>
      </w:r>
      <w:r w:rsidRPr="00D77E66">
        <w:rPr>
          <w:lang w:eastAsia="fr-FR"/>
        </w:rPr>
        <w:t>équipe</w:t>
      </w:r>
      <w:r w:rsidR="00507259" w:rsidRPr="00D77E66">
        <w:rPr>
          <w:lang w:eastAsia="fr-FR"/>
        </w:rPr>
        <w:t xml:space="preserve"> s’interroge sur le diagnostic</w:t>
      </w:r>
      <w:r w:rsidR="0005449C" w:rsidRPr="00D77E66">
        <w:rPr>
          <w:lang w:eastAsia="fr-FR"/>
        </w:rPr>
        <w:t xml:space="preserve"> </w:t>
      </w:r>
      <w:r w:rsidR="006264F3" w:rsidRPr="00D77E66">
        <w:rPr>
          <w:lang w:eastAsia="fr-FR"/>
        </w:rPr>
        <w:t xml:space="preserve">de cancer </w:t>
      </w:r>
      <w:r w:rsidR="0005449C" w:rsidRPr="00D77E66">
        <w:rPr>
          <w:lang w:eastAsia="fr-FR"/>
        </w:rPr>
        <w:t>à retenir</w:t>
      </w:r>
      <w:r w:rsidR="00507259" w:rsidRPr="00D77E66">
        <w:rPr>
          <w:lang w:eastAsia="fr-FR"/>
        </w:rPr>
        <w:t xml:space="preserve">. </w:t>
      </w:r>
    </w:p>
    <w:p w14:paraId="522C98C1" w14:textId="74EEB6F4" w:rsidR="00507259" w:rsidRPr="00933365" w:rsidRDefault="00507259" w:rsidP="00A97E82">
      <w:pPr>
        <w:pStyle w:val="corpsdedcision"/>
        <w:spacing w:after="440"/>
        <w:rPr>
          <w:lang w:eastAsia="fr-FR"/>
        </w:rPr>
      </w:pPr>
      <w:r>
        <w:rPr>
          <w:lang w:eastAsia="fr-FR"/>
        </w:rPr>
        <w:t xml:space="preserve">À la note médicale d’hospitalisation du 15 février 2020, l’hématologue indique </w:t>
      </w:r>
      <w:r w:rsidR="0005449C">
        <w:rPr>
          <w:lang w:eastAsia="fr-FR"/>
        </w:rPr>
        <w:t xml:space="preserve">initialement </w:t>
      </w:r>
      <w:r>
        <w:rPr>
          <w:lang w:eastAsia="fr-FR"/>
        </w:rPr>
        <w:t>une « </w:t>
      </w:r>
      <w:r w:rsidRPr="00933365">
        <w:rPr>
          <w:rStyle w:val="Citationintgre"/>
        </w:rPr>
        <w:t>leucémie aigüe</w:t>
      </w:r>
      <w:r w:rsidR="00540F19" w:rsidRPr="00933365">
        <w:rPr>
          <w:rStyle w:val="Citationintgre"/>
        </w:rPr>
        <w:t xml:space="preserve"> </w:t>
      </w:r>
      <w:r w:rsidR="00540F19" w:rsidRPr="00933365">
        <w:rPr>
          <w:rStyle w:val="Citationintgre"/>
          <w:i w:val="0"/>
          <w:iCs/>
          <w:sz w:val="24"/>
          <w:szCs w:val="24"/>
        </w:rPr>
        <w:t>[</w:t>
      </w:r>
      <w:r w:rsidR="00540F19" w:rsidRPr="00933365">
        <w:rPr>
          <w:rStyle w:val="Citationintgre"/>
          <w:sz w:val="24"/>
          <w:szCs w:val="24"/>
        </w:rPr>
        <w:t>sic</w:t>
      </w:r>
      <w:r w:rsidR="00540F19" w:rsidRPr="00933365">
        <w:rPr>
          <w:rStyle w:val="Citationintgre"/>
          <w:i w:val="0"/>
          <w:iCs/>
          <w:sz w:val="24"/>
          <w:szCs w:val="24"/>
        </w:rPr>
        <w:t>]</w:t>
      </w:r>
      <w:r w:rsidRPr="00933365">
        <w:rPr>
          <w:rStyle w:val="Citationintgre"/>
        </w:rPr>
        <w:t xml:space="preserve"> de novo, myéloïde le + probable</w:t>
      </w:r>
      <w:r w:rsidRPr="00933365">
        <w:rPr>
          <w:lang w:eastAsia="fr-FR"/>
        </w:rPr>
        <w:t xml:space="preserve"> ». </w:t>
      </w:r>
    </w:p>
    <w:p w14:paraId="5A83ECA4" w14:textId="1A7EC67E" w:rsidR="00507259" w:rsidRPr="007C4AC5" w:rsidRDefault="00507259" w:rsidP="00A97E82">
      <w:pPr>
        <w:pStyle w:val="corpsdedcision"/>
        <w:spacing w:after="440"/>
        <w:rPr>
          <w:lang w:eastAsia="fr-FR"/>
        </w:rPr>
      </w:pPr>
      <w:r w:rsidRPr="00933365">
        <w:rPr>
          <w:lang w:eastAsia="fr-FR"/>
        </w:rPr>
        <w:t xml:space="preserve">Le 16 février 2020, à la revue des différents examens de tomodensitométrie disponibles, le diagnostic penche </w:t>
      </w:r>
      <w:r w:rsidR="0005449C" w:rsidRPr="00933365">
        <w:rPr>
          <w:lang w:eastAsia="fr-FR"/>
        </w:rPr>
        <w:t xml:space="preserve">plutôt </w:t>
      </w:r>
      <w:r w:rsidRPr="00933365">
        <w:rPr>
          <w:lang w:eastAsia="fr-FR"/>
        </w:rPr>
        <w:t>vers une « </w:t>
      </w:r>
      <w:r w:rsidRPr="00933365">
        <w:rPr>
          <w:rStyle w:val="Citationintgre"/>
        </w:rPr>
        <w:t>leucémie aigüe</w:t>
      </w:r>
      <w:r w:rsidR="00862A5F" w:rsidRPr="00933365">
        <w:rPr>
          <w:rStyle w:val="Citationintgre"/>
        </w:rPr>
        <w:t xml:space="preserve"> </w:t>
      </w:r>
      <w:r w:rsidR="00862A5F" w:rsidRPr="00933365">
        <w:rPr>
          <w:rStyle w:val="Citationintgre"/>
          <w:i w:val="0"/>
          <w:iCs/>
          <w:sz w:val="24"/>
          <w:szCs w:val="24"/>
        </w:rPr>
        <w:t>[</w:t>
      </w:r>
      <w:r w:rsidR="00862A5F" w:rsidRPr="00933365">
        <w:rPr>
          <w:rStyle w:val="Citationintgre"/>
          <w:sz w:val="24"/>
          <w:szCs w:val="24"/>
        </w:rPr>
        <w:t>sic</w:t>
      </w:r>
      <w:r w:rsidR="00862A5F" w:rsidRPr="00933365">
        <w:rPr>
          <w:rStyle w:val="Citationintgre"/>
          <w:i w:val="0"/>
          <w:iCs/>
          <w:sz w:val="24"/>
          <w:szCs w:val="24"/>
        </w:rPr>
        <w:t>]</w:t>
      </w:r>
      <w:r w:rsidRPr="00933365">
        <w:rPr>
          <w:rStyle w:val="Citationintgre"/>
        </w:rPr>
        <w:t>, myéloïde en morpho</w:t>
      </w:r>
      <w:r w:rsidRPr="00933365">
        <w:rPr>
          <w:lang w:eastAsia="fr-FR"/>
        </w:rPr>
        <w:t xml:space="preserve"> » et certains éléments méritent d’éliminer </w:t>
      </w:r>
      <w:r w:rsidR="007C4AC5" w:rsidRPr="00933365">
        <w:rPr>
          <w:lang w:eastAsia="fr-FR"/>
        </w:rPr>
        <w:t>une leucémie lymphoïde</w:t>
      </w:r>
      <w:r w:rsidR="007C4AC5" w:rsidRPr="007C4AC5">
        <w:rPr>
          <w:lang w:eastAsia="fr-FR"/>
        </w:rPr>
        <w:t xml:space="preserve"> </w:t>
      </w:r>
      <w:r w:rsidR="007C4AC5" w:rsidRPr="007C4AC5">
        <w:t>aiguë.</w:t>
      </w:r>
    </w:p>
    <w:p w14:paraId="191E92FF" w14:textId="24805B6E" w:rsidR="00507259" w:rsidRDefault="00507259" w:rsidP="00A97E82">
      <w:pPr>
        <w:pStyle w:val="corpsdedcision"/>
        <w:spacing w:after="440"/>
        <w:rPr>
          <w:lang w:eastAsia="fr-FR"/>
        </w:rPr>
      </w:pPr>
      <w:r>
        <w:rPr>
          <w:lang w:eastAsia="fr-FR"/>
        </w:rPr>
        <w:t xml:space="preserve">Le 19 février 2020, le dossier du travailleur est discuté au </w:t>
      </w:r>
      <w:r w:rsidRPr="001C690A">
        <w:rPr>
          <w:rStyle w:val="Citationintgre"/>
          <w:sz w:val="24"/>
          <w:szCs w:val="24"/>
        </w:rPr>
        <w:t>Tumor Board</w:t>
      </w:r>
      <w:r w:rsidR="00952407" w:rsidRPr="005E7ECB">
        <w:rPr>
          <w:rStyle w:val="Citationintgre"/>
          <w:i w:val="0"/>
          <w:iCs/>
          <w:sz w:val="24"/>
          <w:szCs w:val="24"/>
        </w:rPr>
        <w:t>,</w:t>
      </w:r>
      <w:r w:rsidRPr="005E7ECB">
        <w:rPr>
          <w:lang w:eastAsia="fr-FR"/>
        </w:rPr>
        <w:t xml:space="preserve"> e</w:t>
      </w:r>
      <w:r>
        <w:rPr>
          <w:lang w:eastAsia="fr-FR"/>
        </w:rPr>
        <w:t xml:space="preserve">n raison de la présentation atypique. </w:t>
      </w:r>
    </w:p>
    <w:p w14:paraId="0FC10418" w14:textId="2A1576C9" w:rsidR="00507259" w:rsidRDefault="00507259" w:rsidP="00A97E82">
      <w:pPr>
        <w:pStyle w:val="corpsdedcision"/>
        <w:spacing w:after="440"/>
        <w:rPr>
          <w:lang w:eastAsia="fr-FR"/>
        </w:rPr>
      </w:pPr>
      <w:r>
        <w:rPr>
          <w:lang w:eastAsia="fr-FR"/>
        </w:rPr>
        <w:t>L</w:t>
      </w:r>
      <w:r w:rsidR="00D75C4A">
        <w:rPr>
          <w:lang w:eastAsia="fr-FR"/>
        </w:rPr>
        <w:t>es</w:t>
      </w:r>
      <w:r>
        <w:rPr>
          <w:lang w:eastAsia="fr-FR"/>
        </w:rPr>
        <w:t xml:space="preserve"> note</w:t>
      </w:r>
      <w:r w:rsidR="00D75C4A">
        <w:rPr>
          <w:lang w:eastAsia="fr-FR"/>
        </w:rPr>
        <w:t>s</w:t>
      </w:r>
      <w:r>
        <w:rPr>
          <w:lang w:eastAsia="fr-FR"/>
        </w:rPr>
        <w:t xml:space="preserve"> médicale</w:t>
      </w:r>
      <w:r w:rsidR="00D75C4A">
        <w:rPr>
          <w:lang w:eastAsia="fr-FR"/>
        </w:rPr>
        <w:t>s</w:t>
      </w:r>
      <w:r>
        <w:rPr>
          <w:lang w:eastAsia="fr-FR"/>
        </w:rPr>
        <w:t xml:space="preserve"> d</w:t>
      </w:r>
      <w:r w:rsidR="00D75C4A">
        <w:rPr>
          <w:lang w:eastAsia="fr-FR"/>
        </w:rPr>
        <w:t>es</w:t>
      </w:r>
      <w:r>
        <w:rPr>
          <w:lang w:eastAsia="fr-FR"/>
        </w:rPr>
        <w:t xml:space="preserve"> 7 </w:t>
      </w:r>
      <w:r w:rsidR="00D75C4A">
        <w:rPr>
          <w:lang w:eastAsia="fr-FR"/>
        </w:rPr>
        <w:t xml:space="preserve">et 8 </w:t>
      </w:r>
      <w:r>
        <w:rPr>
          <w:lang w:eastAsia="fr-FR"/>
        </w:rPr>
        <w:t>mars 2020 f</w:t>
      </w:r>
      <w:r w:rsidR="00D75C4A">
        <w:rPr>
          <w:lang w:eastAsia="fr-FR"/>
        </w:rPr>
        <w:t>ont</w:t>
      </w:r>
      <w:r>
        <w:rPr>
          <w:lang w:eastAsia="fr-FR"/>
        </w:rPr>
        <w:t xml:space="preserve"> ensuite référence au diagnostic de </w:t>
      </w:r>
      <w:r w:rsidR="000C3F1F">
        <w:rPr>
          <w:lang w:eastAsia="fr-FR"/>
        </w:rPr>
        <w:t>« </w:t>
      </w:r>
      <w:r w:rsidR="000C3F1F" w:rsidRPr="000C3F1F">
        <w:rPr>
          <w:rStyle w:val="Citationintgre"/>
        </w:rPr>
        <w:t>LMC</w:t>
      </w:r>
      <w:r w:rsidRPr="000C3F1F">
        <w:rPr>
          <w:rStyle w:val="Citationintgre"/>
        </w:rPr>
        <w:t xml:space="preserve"> phase blastique</w:t>
      </w:r>
      <w:r w:rsidR="000C3F1F" w:rsidRPr="000C3F1F">
        <w:rPr>
          <w:rStyle w:val="Citationintgre"/>
        </w:rPr>
        <w:t xml:space="preserve"> d’emblée </w:t>
      </w:r>
      <w:r w:rsidR="000C3F1F">
        <w:rPr>
          <w:lang w:eastAsia="fr-FR"/>
        </w:rPr>
        <w:t xml:space="preserve">». </w:t>
      </w:r>
    </w:p>
    <w:p w14:paraId="526A3AD3" w14:textId="2692474C" w:rsidR="004F2C5B" w:rsidRDefault="004F2C5B" w:rsidP="00A97E82">
      <w:pPr>
        <w:pStyle w:val="corpsdedcision"/>
        <w:spacing w:after="440"/>
        <w:rPr>
          <w:lang w:eastAsia="fr-FR"/>
        </w:rPr>
      </w:pPr>
      <w:r>
        <w:rPr>
          <w:lang w:eastAsia="fr-FR"/>
        </w:rPr>
        <w:t xml:space="preserve">Le 24 mars 2020, </w:t>
      </w:r>
      <w:r w:rsidR="00B274B4">
        <w:rPr>
          <w:lang w:eastAsia="fr-FR"/>
        </w:rPr>
        <w:t>la note médicale parle de « </w:t>
      </w:r>
      <w:r w:rsidR="00B274B4" w:rsidRPr="0005449C">
        <w:rPr>
          <w:rStyle w:val="Citationintgre"/>
        </w:rPr>
        <w:t>LMC PB caryotype complexe</w:t>
      </w:r>
      <w:r w:rsidR="00B274B4">
        <w:rPr>
          <w:lang w:eastAsia="fr-FR"/>
        </w:rPr>
        <w:t> ».</w:t>
      </w:r>
    </w:p>
    <w:p w14:paraId="470EF133" w14:textId="1C166D88" w:rsidR="00B274B4" w:rsidRDefault="00B274B4" w:rsidP="00A97E82">
      <w:pPr>
        <w:pStyle w:val="corpsdedcision"/>
        <w:spacing w:after="440"/>
        <w:rPr>
          <w:lang w:eastAsia="fr-FR"/>
        </w:rPr>
      </w:pPr>
      <w:r>
        <w:rPr>
          <w:lang w:eastAsia="fr-FR"/>
        </w:rPr>
        <w:t>Entre le 27 mars et le 12 avril 2020, le travailleur est hospitalisé afin de subir des traitements de chimiothérapie.</w:t>
      </w:r>
    </w:p>
    <w:p w14:paraId="4DC83A90" w14:textId="1C866564" w:rsidR="000C3F1F" w:rsidRDefault="000C3F1F" w:rsidP="00A97E82">
      <w:pPr>
        <w:pStyle w:val="corpsdedcision"/>
        <w:spacing w:after="440"/>
        <w:rPr>
          <w:lang w:eastAsia="fr-FR"/>
        </w:rPr>
      </w:pPr>
      <w:r>
        <w:rPr>
          <w:lang w:eastAsia="fr-FR"/>
        </w:rPr>
        <w:t xml:space="preserve">La note du 28 mars 2020 va aussi dans le sens d’une leucémie myéloïde chronique en phase blastique, </w:t>
      </w:r>
      <w:r w:rsidR="00B274B4">
        <w:rPr>
          <w:lang w:eastAsia="fr-FR"/>
        </w:rPr>
        <w:t>mais elle</w:t>
      </w:r>
      <w:r>
        <w:rPr>
          <w:lang w:eastAsia="fr-FR"/>
        </w:rPr>
        <w:t xml:space="preserve"> précise que le travailleur présente un caryotype complexe.</w:t>
      </w:r>
    </w:p>
    <w:p w14:paraId="3ABC6596" w14:textId="4108E7AE" w:rsidR="000C3F1F" w:rsidRDefault="003070F9" w:rsidP="00A97E82">
      <w:pPr>
        <w:pStyle w:val="corpsdedcision"/>
        <w:spacing w:after="440"/>
        <w:rPr>
          <w:lang w:eastAsia="fr-FR"/>
        </w:rPr>
      </w:pPr>
      <w:r>
        <w:rPr>
          <w:lang w:eastAsia="fr-FR"/>
        </w:rPr>
        <w:t>Le 5 avril 2020 apparaît pour la première fois aux notes de suivi le diagnostic de leucémie myéloïde aig</w:t>
      </w:r>
      <w:r w:rsidR="00862A5F">
        <w:rPr>
          <w:lang w:eastAsia="fr-FR"/>
        </w:rPr>
        <w:t>uë</w:t>
      </w:r>
      <w:r>
        <w:rPr>
          <w:lang w:eastAsia="fr-FR"/>
        </w:rPr>
        <w:t xml:space="preserve"> avec </w:t>
      </w:r>
      <w:r w:rsidR="005E7C9C">
        <w:rPr>
          <w:lang w:eastAsia="fr-FR"/>
        </w:rPr>
        <w:t>chromosome</w:t>
      </w:r>
      <w:r w:rsidR="00952407">
        <w:rPr>
          <w:lang w:eastAsia="fr-FR"/>
        </w:rPr>
        <w:t xml:space="preserve"> </w:t>
      </w:r>
      <w:r w:rsidR="00CB783F" w:rsidRPr="0098546D">
        <w:rPr>
          <w:lang w:eastAsia="fr-FR"/>
        </w:rPr>
        <w:t>Philadelphie</w:t>
      </w:r>
      <w:r w:rsidR="00B274B4" w:rsidRPr="0098546D">
        <w:rPr>
          <w:lang w:eastAsia="fr-FR"/>
        </w:rPr>
        <w:t>,</w:t>
      </w:r>
      <w:r w:rsidRPr="0098546D">
        <w:rPr>
          <w:lang w:eastAsia="fr-FR"/>
        </w:rPr>
        <w:t xml:space="preserve"> alors que le médecin se questionne sur la leucémie myéloïde chronique </w:t>
      </w:r>
      <w:r w:rsidR="004F2C5B" w:rsidRPr="0098546D">
        <w:rPr>
          <w:lang w:eastAsia="fr-FR"/>
        </w:rPr>
        <w:t>en écrivant</w:t>
      </w:r>
      <w:r w:rsidRPr="0098546D">
        <w:rPr>
          <w:lang w:eastAsia="fr-FR"/>
        </w:rPr>
        <w:t xml:space="preserve"> «</w:t>
      </w:r>
      <w:r>
        <w:rPr>
          <w:lang w:eastAsia="fr-FR"/>
        </w:rPr>
        <w:t> </w:t>
      </w:r>
      <w:r w:rsidRPr="008311CC">
        <w:rPr>
          <w:rStyle w:val="Citationintgre"/>
        </w:rPr>
        <w:t>LMC</w:t>
      </w:r>
      <w:r w:rsidR="00B55A4A">
        <w:rPr>
          <w:rStyle w:val="Citationintgre"/>
        </w:rPr>
        <w:t> </w:t>
      </w:r>
      <w:r w:rsidRPr="008311CC">
        <w:rPr>
          <w:rStyle w:val="Citationintgre"/>
        </w:rPr>
        <w:t>?</w:t>
      </w:r>
      <w:r>
        <w:rPr>
          <w:lang w:eastAsia="fr-FR"/>
        </w:rPr>
        <w:t> ».</w:t>
      </w:r>
      <w:r w:rsidR="002D4046">
        <w:rPr>
          <w:lang w:eastAsia="fr-FR"/>
        </w:rPr>
        <w:t xml:space="preserve"> </w:t>
      </w:r>
    </w:p>
    <w:p w14:paraId="021A1EB0" w14:textId="3D0883F4" w:rsidR="002D4046" w:rsidRPr="0098546D" w:rsidRDefault="002D4046" w:rsidP="00A97E82">
      <w:pPr>
        <w:pStyle w:val="corpsdedcision"/>
        <w:spacing w:after="440"/>
        <w:rPr>
          <w:lang w:eastAsia="fr-FR"/>
        </w:rPr>
      </w:pPr>
      <w:r>
        <w:rPr>
          <w:lang w:eastAsia="fr-FR"/>
        </w:rPr>
        <w:t>La note de prise en charge en hématologie du 6 avril 2020 mentionne le diagnostic de leucémie myéloïde aig</w:t>
      </w:r>
      <w:r w:rsidR="00862A5F">
        <w:rPr>
          <w:lang w:eastAsia="fr-FR"/>
        </w:rPr>
        <w:t>uë</w:t>
      </w:r>
      <w:r>
        <w:rPr>
          <w:lang w:eastAsia="fr-FR"/>
        </w:rPr>
        <w:t xml:space="preserve">, </w:t>
      </w:r>
      <w:r w:rsidR="005E7C9C">
        <w:rPr>
          <w:lang w:eastAsia="fr-FR"/>
        </w:rPr>
        <w:t>chromosome</w:t>
      </w:r>
      <w:r w:rsidR="00952407">
        <w:rPr>
          <w:lang w:eastAsia="fr-FR"/>
        </w:rPr>
        <w:t xml:space="preserve"> </w:t>
      </w:r>
      <w:r w:rsidR="00CB783F" w:rsidRPr="0098546D">
        <w:rPr>
          <w:lang w:eastAsia="fr-FR"/>
        </w:rPr>
        <w:t>Philadelphie</w:t>
      </w:r>
      <w:r w:rsidRPr="0098546D">
        <w:rPr>
          <w:lang w:eastAsia="fr-FR"/>
        </w:rPr>
        <w:t xml:space="preserve"> positif (LMA Ph +). Ce diagnostic sera ensuite maintenu tout au long du dossier en hématologie</w:t>
      </w:r>
      <w:r w:rsidR="002D0BAF" w:rsidRPr="0098546D">
        <w:rPr>
          <w:lang w:eastAsia="fr-FR"/>
        </w:rPr>
        <w:t xml:space="preserve"> par la professionnelle de la santé qui a charge, </w:t>
      </w:r>
      <w:r w:rsidR="00952407" w:rsidRPr="0098546D">
        <w:rPr>
          <w:lang w:eastAsia="fr-FR"/>
        </w:rPr>
        <w:t xml:space="preserve">la </w:t>
      </w:r>
      <w:r w:rsidR="002D0BAF" w:rsidRPr="0098546D">
        <w:rPr>
          <w:lang w:eastAsia="fr-FR"/>
        </w:rPr>
        <w:t>docteure Bernard</w:t>
      </w:r>
      <w:r w:rsidRPr="0098546D">
        <w:rPr>
          <w:lang w:eastAsia="fr-FR"/>
        </w:rPr>
        <w:t>.</w:t>
      </w:r>
    </w:p>
    <w:p w14:paraId="59935ED2" w14:textId="5A27030D" w:rsidR="006264F3" w:rsidRDefault="006264F3" w:rsidP="00A97E82">
      <w:pPr>
        <w:pStyle w:val="corpsdedcision"/>
        <w:spacing w:after="440"/>
        <w:rPr>
          <w:lang w:eastAsia="fr-FR"/>
        </w:rPr>
      </w:pPr>
      <w:r>
        <w:rPr>
          <w:lang w:eastAsia="fr-FR"/>
        </w:rPr>
        <w:t xml:space="preserve">De cette preuve factuelle et médicale, il ressort que le diagnostic de cancer s’est précisé au fil du temps, et après que la documentation </w:t>
      </w:r>
      <w:r w:rsidR="009D5C22">
        <w:rPr>
          <w:lang w:eastAsia="fr-FR"/>
        </w:rPr>
        <w:t>fut</w:t>
      </w:r>
      <w:r>
        <w:rPr>
          <w:lang w:eastAsia="fr-FR"/>
        </w:rPr>
        <w:t xml:space="preserve"> soumise à la Commission pour traiter la réclamation du travailleur.</w:t>
      </w:r>
    </w:p>
    <w:p w14:paraId="6E6AB080" w14:textId="2AC3C3F9" w:rsidR="00995F69" w:rsidRPr="0098546D" w:rsidRDefault="004F23F0" w:rsidP="00A97E82">
      <w:pPr>
        <w:pStyle w:val="corpsdedcision"/>
        <w:spacing w:after="440"/>
        <w:rPr>
          <w:lang w:eastAsia="fr-FR"/>
        </w:rPr>
      </w:pPr>
      <w:r>
        <w:rPr>
          <w:lang w:eastAsia="fr-FR"/>
        </w:rPr>
        <w:t xml:space="preserve">Il appert de la revue des notes médicales de </w:t>
      </w:r>
      <w:r w:rsidR="006264F3">
        <w:rPr>
          <w:lang w:eastAsia="fr-FR"/>
        </w:rPr>
        <w:t>l’</w:t>
      </w:r>
      <w:r>
        <w:rPr>
          <w:lang w:eastAsia="fr-FR"/>
        </w:rPr>
        <w:t xml:space="preserve">équipe </w:t>
      </w:r>
      <w:r w:rsidR="006264F3">
        <w:rPr>
          <w:lang w:eastAsia="fr-FR"/>
        </w:rPr>
        <w:t xml:space="preserve">d’hématologie </w:t>
      </w:r>
      <w:r>
        <w:rPr>
          <w:lang w:eastAsia="fr-FR"/>
        </w:rPr>
        <w:t>qu’</w:t>
      </w:r>
      <w:r w:rsidR="00995F69">
        <w:rPr>
          <w:lang w:eastAsia="fr-FR"/>
        </w:rPr>
        <w:t>après investigation, le diagnostic qui est apparu prépondérant est celui de leucémie myéloïde aig</w:t>
      </w:r>
      <w:r w:rsidR="00862A5F">
        <w:rPr>
          <w:lang w:eastAsia="fr-FR"/>
        </w:rPr>
        <w:t>uë</w:t>
      </w:r>
      <w:r w:rsidR="00995F69">
        <w:rPr>
          <w:lang w:eastAsia="fr-FR"/>
        </w:rPr>
        <w:t xml:space="preserve"> avec </w:t>
      </w:r>
      <w:r w:rsidR="005E7C9C">
        <w:rPr>
          <w:lang w:eastAsia="fr-FR"/>
        </w:rPr>
        <w:t>chromosome</w:t>
      </w:r>
      <w:r w:rsidR="00DE7869">
        <w:rPr>
          <w:lang w:eastAsia="fr-FR"/>
        </w:rPr>
        <w:t xml:space="preserve"> </w:t>
      </w:r>
      <w:r w:rsidR="005E7C9C">
        <w:rPr>
          <w:lang w:eastAsia="fr-FR"/>
        </w:rPr>
        <w:t>Philadelphie</w:t>
      </w:r>
      <w:r w:rsidR="00995F69">
        <w:rPr>
          <w:lang w:eastAsia="fr-FR"/>
        </w:rPr>
        <w:t xml:space="preserve">. </w:t>
      </w:r>
      <w:r w:rsidR="005442CC">
        <w:rPr>
          <w:lang w:eastAsia="fr-FR"/>
        </w:rPr>
        <w:t xml:space="preserve">Ce diagnostic a d’ailleurs été confirmé par </w:t>
      </w:r>
      <w:r w:rsidR="00323C09">
        <w:rPr>
          <w:lang w:eastAsia="fr-FR"/>
        </w:rPr>
        <w:t>la biopsie</w:t>
      </w:r>
      <w:r w:rsidR="005442CC">
        <w:rPr>
          <w:lang w:eastAsia="fr-FR"/>
        </w:rPr>
        <w:t xml:space="preserve"> de </w:t>
      </w:r>
      <w:r w:rsidR="005442CC" w:rsidRPr="0098546D">
        <w:rPr>
          <w:lang w:eastAsia="fr-FR"/>
        </w:rPr>
        <w:t>mo</w:t>
      </w:r>
      <w:r w:rsidR="00952407" w:rsidRPr="0098546D">
        <w:rPr>
          <w:lang w:eastAsia="fr-FR"/>
        </w:rPr>
        <w:t>ë</w:t>
      </w:r>
      <w:r w:rsidR="005442CC" w:rsidRPr="0098546D">
        <w:rPr>
          <w:lang w:eastAsia="fr-FR"/>
        </w:rPr>
        <w:t>lle osseuse du 18 février 2020 et la biopsie ganglionnaire réalisée le 19 février 2020.</w:t>
      </w:r>
    </w:p>
    <w:p w14:paraId="2FB9305D" w14:textId="00AE01B5" w:rsidR="00B64AE9" w:rsidRPr="003E27F1" w:rsidRDefault="00995F69" w:rsidP="00A97E82">
      <w:pPr>
        <w:pStyle w:val="corpsdedcision"/>
        <w:spacing w:after="440"/>
        <w:rPr>
          <w:lang w:eastAsia="fr-FR"/>
        </w:rPr>
      </w:pPr>
      <w:r w:rsidRPr="003E27F1">
        <w:rPr>
          <w:lang w:eastAsia="fr-FR"/>
        </w:rPr>
        <w:t xml:space="preserve">Au surplus, </w:t>
      </w:r>
      <w:r w:rsidR="002D4046" w:rsidRPr="003E27F1">
        <w:rPr>
          <w:lang w:eastAsia="fr-FR"/>
        </w:rPr>
        <w:t xml:space="preserve">le 14 août 2023, </w:t>
      </w:r>
      <w:r w:rsidR="00952407" w:rsidRPr="0098546D">
        <w:rPr>
          <w:lang w:eastAsia="fr-FR"/>
        </w:rPr>
        <w:t>la</w:t>
      </w:r>
      <w:r w:rsidR="00952407">
        <w:rPr>
          <w:lang w:eastAsia="fr-FR"/>
        </w:rPr>
        <w:t xml:space="preserve"> </w:t>
      </w:r>
      <w:r w:rsidR="002D4046" w:rsidRPr="003E27F1">
        <w:rPr>
          <w:lang w:eastAsia="fr-FR"/>
        </w:rPr>
        <w:t>docteur</w:t>
      </w:r>
      <w:r w:rsidR="00D8078E">
        <w:rPr>
          <w:lang w:eastAsia="fr-FR"/>
        </w:rPr>
        <w:t>e</w:t>
      </w:r>
      <w:r w:rsidR="002D4046" w:rsidRPr="003E27F1">
        <w:rPr>
          <w:lang w:eastAsia="fr-FR"/>
        </w:rPr>
        <w:t xml:space="preserve"> Bernard, hémato</w:t>
      </w:r>
      <w:r w:rsidR="00B64AE9" w:rsidRPr="003E27F1">
        <w:rPr>
          <w:lang w:eastAsia="fr-FR"/>
        </w:rPr>
        <w:t>log</w:t>
      </w:r>
      <w:r w:rsidR="002D4046" w:rsidRPr="003E27F1">
        <w:rPr>
          <w:lang w:eastAsia="fr-FR"/>
        </w:rPr>
        <w:t>ue, écrit à la</w:t>
      </w:r>
      <w:r w:rsidR="005727BC">
        <w:rPr>
          <w:lang w:eastAsia="fr-FR"/>
        </w:rPr>
        <w:t> </w:t>
      </w:r>
      <w:r w:rsidR="002D4046" w:rsidRPr="003E27F1">
        <w:rPr>
          <w:lang w:eastAsia="fr-FR"/>
        </w:rPr>
        <w:t xml:space="preserve">Commission une lettre où elle confirme </w:t>
      </w:r>
      <w:r w:rsidR="004F23F0" w:rsidRPr="003E27F1">
        <w:rPr>
          <w:lang w:eastAsia="fr-FR"/>
        </w:rPr>
        <w:t>c</w:t>
      </w:r>
      <w:r w:rsidR="002D4046" w:rsidRPr="003E27F1">
        <w:rPr>
          <w:lang w:eastAsia="fr-FR"/>
        </w:rPr>
        <w:t>e diagnostic. Elle écrit :</w:t>
      </w:r>
    </w:p>
    <w:p w14:paraId="0BEF6931" w14:textId="4D5E2D80" w:rsidR="0005449C" w:rsidRPr="003E27F1" w:rsidRDefault="00B64AE9" w:rsidP="00A97E82">
      <w:pPr>
        <w:pStyle w:val="citation"/>
        <w:spacing w:after="440"/>
        <w:rPr>
          <w:rStyle w:val="Citationintgre"/>
          <w:rFonts w:cs="Arial"/>
          <w:i w:val="0"/>
          <w:iCs/>
          <w:szCs w:val="22"/>
        </w:rPr>
      </w:pPr>
      <w:r w:rsidRPr="003E27F1">
        <w:rPr>
          <w:rFonts w:cs="Arial"/>
          <w:sz w:val="22"/>
          <w:szCs w:val="22"/>
          <w:lang w:eastAsia="fr-FR"/>
        </w:rPr>
        <w:t xml:space="preserve">Je tiens d’abord à corriger que, bien que la leucémie </w:t>
      </w:r>
      <w:r w:rsidRPr="003E27F1">
        <w:rPr>
          <w:rStyle w:val="Citationintgre"/>
          <w:rFonts w:cs="Arial"/>
          <w:i w:val="0"/>
          <w:iCs/>
          <w:szCs w:val="22"/>
        </w:rPr>
        <w:t>aiguë frappant Monsieur Bertrand puisse être fulminante, il s’agit si non pas d’une leucémie en phase balistique</w:t>
      </w:r>
      <w:r w:rsidRPr="002D35AB">
        <w:rPr>
          <w:rStyle w:val="Citationintgre"/>
          <w:rFonts w:cs="Arial"/>
          <w:i w:val="0"/>
          <w:iCs/>
          <w:szCs w:val="22"/>
        </w:rPr>
        <w:t xml:space="preserve"> </w:t>
      </w:r>
      <w:r w:rsidRPr="003E27F1">
        <w:rPr>
          <w:rStyle w:val="Citationintgre"/>
          <w:rFonts w:cs="Arial"/>
          <w:i w:val="0"/>
          <w:iCs/>
          <w:szCs w:val="22"/>
          <w:u w:val="single"/>
        </w:rPr>
        <w:t>mais bel et bien d’une leucémie myéloïde aiguë à chromosome de Philadelphie</w:t>
      </w:r>
      <w:r w:rsidRPr="003E27F1">
        <w:rPr>
          <w:rStyle w:val="Citationintgre"/>
          <w:rFonts w:cs="Arial"/>
          <w:i w:val="0"/>
          <w:iCs/>
          <w:szCs w:val="22"/>
        </w:rPr>
        <w:t>.</w:t>
      </w:r>
    </w:p>
    <w:p w14:paraId="0A1DE020" w14:textId="0B38ED86" w:rsidR="00B64AE9" w:rsidRPr="00B55A4A" w:rsidRDefault="0005449C" w:rsidP="00A97E82">
      <w:pPr>
        <w:pStyle w:val="citation"/>
        <w:spacing w:after="440"/>
        <w:rPr>
          <w:sz w:val="24"/>
          <w:szCs w:val="24"/>
        </w:rPr>
      </w:pPr>
      <w:r w:rsidRPr="003E27F1">
        <w:rPr>
          <w:sz w:val="24"/>
          <w:szCs w:val="24"/>
        </w:rPr>
        <w:t>[</w:t>
      </w:r>
      <w:r w:rsidR="00952407">
        <w:rPr>
          <w:sz w:val="24"/>
          <w:szCs w:val="24"/>
        </w:rPr>
        <w:t>T</w:t>
      </w:r>
      <w:r w:rsidR="00952407" w:rsidRPr="00952407">
        <w:rPr>
          <w:sz w:val="24"/>
          <w:szCs w:val="24"/>
        </w:rPr>
        <w:t>ranscription textuelle</w:t>
      </w:r>
      <w:r w:rsidR="00952407">
        <w:rPr>
          <w:sz w:val="24"/>
          <w:szCs w:val="24"/>
        </w:rPr>
        <w:t xml:space="preserve"> et n</w:t>
      </w:r>
      <w:r w:rsidRPr="003E27F1">
        <w:rPr>
          <w:sz w:val="24"/>
          <w:szCs w:val="24"/>
        </w:rPr>
        <w:t>otre soulignement]</w:t>
      </w:r>
    </w:p>
    <w:p w14:paraId="6F75BECA" w14:textId="5057EB43" w:rsidR="0064324C" w:rsidRDefault="0064324C" w:rsidP="00A97E82">
      <w:pPr>
        <w:pStyle w:val="corpsdedcision"/>
        <w:spacing w:after="440"/>
        <w:rPr>
          <w:lang w:eastAsia="fr-FR"/>
        </w:rPr>
      </w:pPr>
      <w:r>
        <w:rPr>
          <w:lang w:eastAsia="fr-FR"/>
        </w:rPr>
        <w:t>Il s’ensuit que le diagnostic de leucémie myéloïde aig</w:t>
      </w:r>
      <w:r w:rsidR="00862A5F">
        <w:rPr>
          <w:lang w:eastAsia="fr-FR"/>
        </w:rPr>
        <w:t>uë</w:t>
      </w:r>
      <w:r>
        <w:rPr>
          <w:lang w:eastAsia="fr-FR"/>
        </w:rPr>
        <w:t xml:space="preserve"> avec </w:t>
      </w:r>
      <w:r w:rsidR="005E7C9C">
        <w:rPr>
          <w:lang w:eastAsia="fr-FR"/>
        </w:rPr>
        <w:t>chromosome</w:t>
      </w:r>
      <w:r w:rsidR="00952407">
        <w:rPr>
          <w:lang w:eastAsia="fr-FR"/>
        </w:rPr>
        <w:t xml:space="preserve"> </w:t>
      </w:r>
      <w:r w:rsidR="005E7C9C">
        <w:rPr>
          <w:lang w:eastAsia="fr-FR"/>
        </w:rPr>
        <w:t>Philadelphie</w:t>
      </w:r>
      <w:r>
        <w:rPr>
          <w:lang w:eastAsia="fr-FR"/>
        </w:rPr>
        <w:t xml:space="preserve"> a été soumis à la Commission</w:t>
      </w:r>
      <w:r w:rsidR="00952407" w:rsidRPr="002D35AB">
        <w:rPr>
          <w:lang w:eastAsia="fr-FR"/>
        </w:rPr>
        <w:t>,</w:t>
      </w:r>
      <w:r w:rsidRPr="002D35AB">
        <w:rPr>
          <w:lang w:eastAsia="fr-FR"/>
        </w:rPr>
        <w:t xml:space="preserve"> qui n’a pas jugé </w:t>
      </w:r>
      <w:r w:rsidR="003F6098" w:rsidRPr="002D35AB">
        <w:rPr>
          <w:lang w:eastAsia="fr-FR"/>
        </w:rPr>
        <w:t>nécessaire</w:t>
      </w:r>
      <w:r w:rsidRPr="002D35AB">
        <w:rPr>
          <w:lang w:eastAsia="fr-FR"/>
        </w:rPr>
        <w:t xml:space="preserve"> de rendre une décision pour actualiser le dossier du travailleur</w:t>
      </w:r>
      <w:r>
        <w:rPr>
          <w:lang w:eastAsia="fr-FR"/>
        </w:rPr>
        <w:t>.</w:t>
      </w:r>
      <w:r w:rsidR="003F6098">
        <w:rPr>
          <w:lang w:eastAsia="fr-FR"/>
        </w:rPr>
        <w:t xml:space="preserve"> Conformément à l’affaire </w:t>
      </w:r>
      <w:r w:rsidR="003F6098" w:rsidRPr="003F6098">
        <w:rPr>
          <w:rFonts w:cs="Arial"/>
          <w:i/>
          <w:iCs/>
        </w:rPr>
        <w:t>Larcher</w:t>
      </w:r>
      <w:r w:rsidR="003F6098" w:rsidRPr="003F6098">
        <w:rPr>
          <w:rFonts w:cs="Arial"/>
        </w:rPr>
        <w:t xml:space="preserve"> et </w:t>
      </w:r>
      <w:r w:rsidR="003F6098" w:rsidRPr="003F6098">
        <w:rPr>
          <w:rFonts w:cs="Arial"/>
          <w:i/>
          <w:iCs/>
        </w:rPr>
        <w:t>Acoustique S. Mayer</w:t>
      </w:r>
      <w:r w:rsidR="003F6098" w:rsidRPr="003F6098">
        <w:rPr>
          <w:rStyle w:val="Appelnotedebasdep"/>
          <w:rFonts w:cs="Arial"/>
        </w:rPr>
        <w:footnoteReference w:id="42"/>
      </w:r>
      <w:r w:rsidR="003F6098">
        <w:rPr>
          <w:lang w:eastAsia="fr-FR"/>
        </w:rPr>
        <w:t>, le Tribunal estime qu’il peut donc se saisir de ce diagnostic.</w:t>
      </w:r>
    </w:p>
    <w:p w14:paraId="7A28EC17" w14:textId="189D77B1" w:rsidR="006E62DC" w:rsidRPr="009D5C22" w:rsidRDefault="003F6098" w:rsidP="00A97E82">
      <w:pPr>
        <w:pStyle w:val="corpsdedcision"/>
        <w:spacing w:after="440"/>
        <w:rPr>
          <w:szCs w:val="24"/>
          <w:lang w:eastAsia="fr-FR"/>
        </w:rPr>
      </w:pPr>
      <w:r w:rsidRPr="003F6098">
        <w:rPr>
          <w:rFonts w:cs="Arial"/>
          <w:szCs w:val="24"/>
        </w:rPr>
        <w:t>Rappelons que l’identification de la lésion est une étape essentielle de l’analyse de l’admissibilité d’une lésion professionnelle</w:t>
      </w:r>
      <w:r>
        <w:rPr>
          <w:rStyle w:val="Appelnotedebasdep"/>
          <w:rFonts w:cs="Arial"/>
          <w:szCs w:val="24"/>
        </w:rPr>
        <w:footnoteReference w:id="43"/>
      </w:r>
      <w:r w:rsidRPr="003F6098">
        <w:rPr>
          <w:rFonts w:cs="Arial"/>
          <w:szCs w:val="24"/>
        </w:rPr>
        <w:t xml:space="preserve"> et que dans le cadre de cette analyse, il faut notamment </w:t>
      </w:r>
      <w:r w:rsidR="00B9307B" w:rsidRPr="003F6098">
        <w:rPr>
          <w:rFonts w:cs="Arial"/>
          <w:szCs w:val="24"/>
        </w:rPr>
        <w:t xml:space="preserve">écarter </w:t>
      </w:r>
      <w:r w:rsidRPr="003F6098">
        <w:rPr>
          <w:rFonts w:cs="Arial"/>
          <w:szCs w:val="24"/>
        </w:rPr>
        <w:t>les diagnostics</w:t>
      </w:r>
      <w:r w:rsidR="00B9307B" w:rsidRPr="003F6098">
        <w:rPr>
          <w:rFonts w:cs="Arial"/>
          <w:szCs w:val="24"/>
        </w:rPr>
        <w:t xml:space="preserve"> qui se sont avérés de simples hypothèses diagnostiques posées en début d’investigation et subséquemment éliminées lors du suivi médical</w:t>
      </w:r>
      <w:r w:rsidR="00045525">
        <w:rPr>
          <w:rStyle w:val="Appelnotedebasdep"/>
          <w:rFonts w:cs="Arial"/>
          <w:szCs w:val="24"/>
        </w:rPr>
        <w:footnoteReference w:id="44"/>
      </w:r>
      <w:r w:rsidRPr="003F6098">
        <w:rPr>
          <w:rFonts w:cs="Arial"/>
          <w:szCs w:val="24"/>
        </w:rPr>
        <w:t xml:space="preserve">, comme </w:t>
      </w:r>
      <w:r w:rsidR="00087532">
        <w:rPr>
          <w:rFonts w:cs="Arial"/>
          <w:szCs w:val="24"/>
        </w:rPr>
        <w:t>ce fut</w:t>
      </w:r>
      <w:r w:rsidRPr="003F6098">
        <w:rPr>
          <w:rFonts w:cs="Arial"/>
          <w:szCs w:val="24"/>
        </w:rPr>
        <w:t xml:space="preserve"> le cas en l’espèce avec le diagnostic de leucémie myéloïde chronique en phase blastique.</w:t>
      </w:r>
    </w:p>
    <w:p w14:paraId="4F8CF0BF" w14:textId="2AE86BB4" w:rsidR="00C53A9E" w:rsidRPr="00C53A9E" w:rsidRDefault="000014ED" w:rsidP="00A97E82">
      <w:pPr>
        <w:pStyle w:val="corpsdedcision"/>
        <w:spacing w:after="440"/>
        <w:rPr>
          <w:szCs w:val="24"/>
          <w:lang w:eastAsia="fr-FR"/>
        </w:rPr>
      </w:pPr>
      <w:r>
        <w:rPr>
          <w:rFonts w:cs="Arial"/>
          <w:szCs w:val="24"/>
        </w:rPr>
        <w:t>Le bien-fondé du diagnostic de leucémie myéloïde aig</w:t>
      </w:r>
      <w:r w:rsidR="00862A5F">
        <w:rPr>
          <w:rFonts w:cs="Arial"/>
          <w:szCs w:val="24"/>
        </w:rPr>
        <w:t>uë</w:t>
      </w:r>
      <w:r>
        <w:rPr>
          <w:rFonts w:cs="Arial"/>
          <w:szCs w:val="24"/>
        </w:rPr>
        <w:t xml:space="preserve"> avec chromosome</w:t>
      </w:r>
      <w:r w:rsidR="005727BC">
        <w:rPr>
          <w:rFonts w:cs="Arial"/>
          <w:szCs w:val="24"/>
        </w:rPr>
        <w:t xml:space="preserve"> </w:t>
      </w:r>
      <w:r w:rsidR="00DE7869" w:rsidRPr="002D35AB">
        <w:rPr>
          <w:rFonts w:cs="Arial"/>
          <w:szCs w:val="24"/>
        </w:rPr>
        <w:t>Philadelphie</w:t>
      </w:r>
      <w:r w:rsidRPr="002D35AB">
        <w:rPr>
          <w:rFonts w:cs="Arial"/>
          <w:szCs w:val="24"/>
        </w:rPr>
        <w:t xml:space="preserve"> est aussi</w:t>
      </w:r>
      <w:r>
        <w:rPr>
          <w:rFonts w:cs="Arial"/>
          <w:szCs w:val="24"/>
        </w:rPr>
        <w:t xml:space="preserve"> appuyé par la preuve médicale et scientifique administrée dans le dossier. </w:t>
      </w:r>
    </w:p>
    <w:p w14:paraId="08370D35" w14:textId="74E27626" w:rsidR="00C43FEE" w:rsidRPr="00C43FEE" w:rsidRDefault="000014ED" w:rsidP="00A97E82">
      <w:pPr>
        <w:pStyle w:val="corpsdedcision"/>
        <w:spacing w:after="440"/>
        <w:rPr>
          <w:szCs w:val="24"/>
          <w:lang w:eastAsia="fr-FR"/>
        </w:rPr>
      </w:pPr>
      <w:r>
        <w:rPr>
          <w:rFonts w:cs="Arial"/>
          <w:szCs w:val="24"/>
        </w:rPr>
        <w:t>Voici pourquoi les autres diagnostics de leucémie, dont celui de leucémie myéloïde chronique, sont mis de côté</w:t>
      </w:r>
      <w:r w:rsidR="00C53A9E">
        <w:rPr>
          <w:rFonts w:cs="Arial"/>
          <w:szCs w:val="24"/>
        </w:rPr>
        <w:t xml:space="preserve">, outre le fait qu’ils ont été abandonnés par </w:t>
      </w:r>
      <w:r w:rsidR="003E27F1">
        <w:rPr>
          <w:rFonts w:cs="Arial"/>
          <w:szCs w:val="24"/>
        </w:rPr>
        <w:t>l’équipe traitante en hémato-oncologie.</w:t>
      </w:r>
    </w:p>
    <w:p w14:paraId="011E462A" w14:textId="447E9709" w:rsidR="000014ED" w:rsidRPr="000014ED" w:rsidRDefault="00C43FEE" w:rsidP="00A97E82">
      <w:pPr>
        <w:pStyle w:val="corpsdedcision"/>
        <w:spacing w:after="440"/>
        <w:rPr>
          <w:szCs w:val="24"/>
          <w:lang w:eastAsia="fr-FR"/>
        </w:rPr>
      </w:pPr>
      <w:r>
        <w:rPr>
          <w:rFonts w:cs="Arial"/>
          <w:szCs w:val="24"/>
        </w:rPr>
        <w:t>Par ailleurs, le</w:t>
      </w:r>
      <w:r w:rsidR="00C53A9E">
        <w:rPr>
          <w:rFonts w:cs="Arial"/>
          <w:szCs w:val="24"/>
        </w:rPr>
        <w:t xml:space="preserve"> Tribunal a donné l’occasion aux parties d’être entendues à cet égard. L’employeur a donc obtenu une opinion complémentaire du docteur Osteman le 20 septembre 2024.</w:t>
      </w:r>
    </w:p>
    <w:p w14:paraId="60E5A007" w14:textId="55B4DC62" w:rsidR="00F73D28" w:rsidRPr="00F73D28" w:rsidRDefault="00C53A9E" w:rsidP="00A97E82">
      <w:pPr>
        <w:pStyle w:val="corpsdedcision"/>
        <w:spacing w:after="440"/>
        <w:rPr>
          <w:szCs w:val="24"/>
          <w:lang w:eastAsia="fr-FR"/>
        </w:rPr>
      </w:pPr>
      <w:r>
        <w:rPr>
          <w:rFonts w:cs="Arial"/>
          <w:szCs w:val="24"/>
        </w:rPr>
        <w:t>Le docteur Osterman s’appuie essentiellement sur le diagnostic de leucémie myéloïde chronique, dans son expertise :</w:t>
      </w:r>
    </w:p>
    <w:p w14:paraId="24E59C42" w14:textId="6A4056E5" w:rsidR="00F73D28" w:rsidRDefault="00F73D28" w:rsidP="00A97E82">
      <w:pPr>
        <w:pStyle w:val="citation"/>
        <w:spacing w:after="440"/>
        <w:rPr>
          <w:lang w:eastAsia="fr-FR"/>
        </w:rPr>
      </w:pPr>
      <w:r>
        <w:rPr>
          <w:lang w:eastAsia="fr-FR"/>
        </w:rPr>
        <w:t>Tel que j’ai déjà indiqué ailleurs, la leucémie myéloïde chronique consiste en une condition</w:t>
      </w:r>
      <w:r w:rsidR="00B12CD3">
        <w:rPr>
          <w:lang w:eastAsia="fr-FR"/>
        </w:rPr>
        <w:t> </w:t>
      </w:r>
      <w:r>
        <w:rPr>
          <w:lang w:eastAsia="fr-FR"/>
        </w:rPr>
        <w:t>myéloproliférative</w:t>
      </w:r>
      <w:r w:rsidR="00B12CD3">
        <w:rPr>
          <w:lang w:eastAsia="fr-FR"/>
        </w:rPr>
        <w:t xml:space="preserve"> </w:t>
      </w:r>
      <w:r>
        <w:rPr>
          <w:lang w:eastAsia="fr-FR"/>
        </w:rPr>
        <w:t>causée par une erreur génétique dans les cellules souches hématopoïétiques. Cette erreur génétique consiste en une translocation entre le 9e et 22e chromosome en forme de [t(9;22) (q34;ql 1)], ce qui cause la fusion du gène ABL sur le 9e chromosome avec région BCR sur le 22e chromosome et produise le gène de fusion BCR</w:t>
      </w:r>
      <w:r w:rsidR="00270D4C">
        <w:rPr>
          <w:lang w:eastAsia="fr-FR"/>
        </w:rPr>
        <w:noBreakHyphen/>
      </w:r>
      <w:r>
        <w:rPr>
          <w:lang w:eastAsia="fr-FR"/>
        </w:rPr>
        <w:t>ABL1, autrement appelé le chromosome de Philadelphie.</w:t>
      </w:r>
      <w:r w:rsidRPr="00F73D28">
        <w:rPr>
          <w:vertAlign w:val="superscript"/>
          <w:lang w:eastAsia="fr-FR"/>
        </w:rPr>
        <w:t xml:space="preserve">1 </w:t>
      </w:r>
      <w:r>
        <w:rPr>
          <w:lang w:eastAsia="fr-FR"/>
        </w:rPr>
        <w:t>Cette translocation est présente au-delà de 95 % des cas de leucémie myéloïde chronique.</w:t>
      </w:r>
      <w:r w:rsidRPr="00F73D28">
        <w:rPr>
          <w:vertAlign w:val="superscript"/>
          <w:lang w:eastAsia="fr-FR"/>
        </w:rPr>
        <w:t>2</w:t>
      </w:r>
    </w:p>
    <w:p w14:paraId="099561CB" w14:textId="49A44A03" w:rsidR="00F73D28" w:rsidRPr="00F73D28" w:rsidRDefault="00F73D28" w:rsidP="00A97E82">
      <w:pPr>
        <w:pStyle w:val="citation"/>
        <w:spacing w:after="440"/>
        <w:rPr>
          <w:sz w:val="24"/>
          <w:szCs w:val="24"/>
          <w:lang w:eastAsia="fr-FR"/>
        </w:rPr>
      </w:pPr>
      <w:r w:rsidRPr="00F73D28">
        <w:rPr>
          <w:sz w:val="24"/>
          <w:szCs w:val="24"/>
          <w:lang w:eastAsia="fr-FR"/>
        </w:rPr>
        <w:t>[</w:t>
      </w:r>
      <w:r w:rsidR="00637696">
        <w:rPr>
          <w:sz w:val="24"/>
          <w:szCs w:val="24"/>
          <w:lang w:eastAsia="fr-FR"/>
        </w:rPr>
        <w:t>Transcription textuelle et n</w:t>
      </w:r>
      <w:r>
        <w:rPr>
          <w:sz w:val="24"/>
          <w:szCs w:val="24"/>
          <w:lang w:eastAsia="fr-FR"/>
        </w:rPr>
        <w:t>otes omises</w:t>
      </w:r>
      <w:r w:rsidRPr="00F73D28">
        <w:rPr>
          <w:sz w:val="24"/>
          <w:szCs w:val="24"/>
          <w:lang w:eastAsia="fr-FR"/>
        </w:rPr>
        <w:t>]</w:t>
      </w:r>
    </w:p>
    <w:p w14:paraId="2BB5D6E0" w14:textId="7374C971" w:rsidR="00F73D28" w:rsidRPr="006C47C2" w:rsidRDefault="00F73D28" w:rsidP="00A97E82">
      <w:pPr>
        <w:pStyle w:val="corpsdedcision"/>
        <w:spacing w:after="440"/>
        <w:rPr>
          <w:szCs w:val="24"/>
          <w:lang w:eastAsia="fr-FR"/>
        </w:rPr>
      </w:pPr>
      <w:r w:rsidRPr="00B12CD3">
        <w:rPr>
          <w:szCs w:val="24"/>
          <w:lang w:eastAsia="fr-FR"/>
        </w:rPr>
        <w:t xml:space="preserve">Il </w:t>
      </w:r>
      <w:r w:rsidR="00056EFD" w:rsidRPr="00B12CD3">
        <w:rPr>
          <w:szCs w:val="24"/>
          <w:lang w:eastAsia="fr-FR"/>
        </w:rPr>
        <w:t>ajoute</w:t>
      </w:r>
      <w:r w:rsidRPr="00B12CD3">
        <w:rPr>
          <w:szCs w:val="24"/>
          <w:lang w:eastAsia="fr-FR"/>
        </w:rPr>
        <w:t xml:space="preserve"> que cette leucémie est la cause d’environ 10 à 15</w:t>
      </w:r>
      <w:r w:rsidR="00B55A4A">
        <w:rPr>
          <w:szCs w:val="24"/>
          <w:lang w:eastAsia="fr-FR"/>
        </w:rPr>
        <w:t> </w:t>
      </w:r>
      <w:r w:rsidRPr="00B12CD3">
        <w:rPr>
          <w:szCs w:val="24"/>
          <w:lang w:eastAsia="fr-FR"/>
        </w:rPr>
        <w:t xml:space="preserve">% de toutes les leucémies, </w:t>
      </w:r>
      <w:r w:rsidR="0070753F" w:rsidRPr="00B12CD3">
        <w:rPr>
          <w:szCs w:val="24"/>
          <w:lang w:eastAsia="fr-FR"/>
        </w:rPr>
        <w:t>s’appuyant</w:t>
      </w:r>
      <w:r w:rsidRPr="00B12CD3">
        <w:rPr>
          <w:szCs w:val="24"/>
          <w:lang w:eastAsia="fr-FR"/>
        </w:rPr>
        <w:t xml:space="preserve"> sur un article récent</w:t>
      </w:r>
      <w:r w:rsidRPr="00B12CD3">
        <w:rPr>
          <w:rStyle w:val="Appelnotedebasdep"/>
          <w:szCs w:val="24"/>
          <w:lang w:eastAsia="fr-FR"/>
        </w:rPr>
        <w:footnoteReference w:id="45"/>
      </w:r>
      <w:r w:rsidRPr="00B12CD3">
        <w:rPr>
          <w:szCs w:val="24"/>
          <w:lang w:eastAsia="fr-FR"/>
        </w:rPr>
        <w:t xml:space="preserve">. </w:t>
      </w:r>
      <w:r w:rsidR="0013574C" w:rsidRPr="00B12CD3">
        <w:rPr>
          <w:szCs w:val="24"/>
          <w:lang w:eastAsia="fr-FR"/>
        </w:rPr>
        <w:t xml:space="preserve">Dans cette </w:t>
      </w:r>
      <w:r w:rsidR="00B12CD3">
        <w:rPr>
          <w:szCs w:val="24"/>
          <w:lang w:eastAsia="fr-FR"/>
        </w:rPr>
        <w:t>littérature</w:t>
      </w:r>
      <w:r w:rsidR="0013574C" w:rsidRPr="00B12CD3">
        <w:rPr>
          <w:szCs w:val="24"/>
          <w:lang w:eastAsia="fr-FR"/>
        </w:rPr>
        <w:t xml:space="preserve">, est discutée la mise à jour des critères diagnostiques des néoplasies myéloprolifératives selon le </w:t>
      </w:r>
      <w:r w:rsidR="0013574C" w:rsidRPr="00B12CD3">
        <w:rPr>
          <w:i/>
          <w:iCs/>
          <w:szCs w:val="24"/>
          <w:lang w:eastAsia="fr-FR"/>
        </w:rPr>
        <w:t>International Consensus Classification</w:t>
      </w:r>
      <w:r w:rsidR="0013574C" w:rsidRPr="00B12CD3">
        <w:rPr>
          <w:szCs w:val="24"/>
          <w:lang w:eastAsia="fr-FR"/>
        </w:rPr>
        <w:t xml:space="preserve"> des néoplasies myéloïde et lymphoïde.</w:t>
      </w:r>
      <w:r w:rsidR="005809B4" w:rsidRPr="00B12CD3">
        <w:rPr>
          <w:szCs w:val="24"/>
          <w:lang w:eastAsia="fr-FR"/>
        </w:rPr>
        <w:t xml:space="preserve"> L’article met donc en lumière le fait que plusieurs modifications ont été mises en œuvre dans la classification, dont la simplification de la définition de la phase accélérée et de la phase blastique dans la leucémie myéloïde </w:t>
      </w:r>
      <w:r w:rsidR="005809B4" w:rsidRPr="006C47C2">
        <w:rPr>
          <w:szCs w:val="24"/>
          <w:lang w:eastAsia="fr-FR"/>
        </w:rPr>
        <w:t>chronique BCR : ABL1 positive.</w:t>
      </w:r>
    </w:p>
    <w:p w14:paraId="0E2EB5ED" w14:textId="0F591685" w:rsidR="0070753F" w:rsidRDefault="005809B4" w:rsidP="00A97E82">
      <w:pPr>
        <w:pStyle w:val="corpsdedcision"/>
        <w:spacing w:after="440"/>
        <w:rPr>
          <w:szCs w:val="24"/>
          <w:lang w:eastAsia="fr-FR"/>
        </w:rPr>
      </w:pPr>
      <w:r>
        <w:rPr>
          <w:szCs w:val="24"/>
          <w:lang w:eastAsia="fr-FR"/>
        </w:rPr>
        <w:t xml:space="preserve">Le docteur Osterman </w:t>
      </w:r>
      <w:r w:rsidR="0070753F">
        <w:rPr>
          <w:szCs w:val="24"/>
          <w:lang w:eastAsia="fr-FR"/>
        </w:rPr>
        <w:t xml:space="preserve">explique ensuite les trois phases de </w:t>
      </w:r>
      <w:r>
        <w:rPr>
          <w:szCs w:val="24"/>
          <w:lang w:eastAsia="fr-FR"/>
        </w:rPr>
        <w:t>la leucémie myéloïde chronique</w:t>
      </w:r>
      <w:r w:rsidR="0070753F">
        <w:rPr>
          <w:szCs w:val="24"/>
          <w:lang w:eastAsia="fr-FR"/>
        </w:rPr>
        <w:t> :</w:t>
      </w:r>
    </w:p>
    <w:p w14:paraId="00C1753E" w14:textId="2E85901C" w:rsidR="0070753F" w:rsidRDefault="0070753F" w:rsidP="00A97E82">
      <w:pPr>
        <w:pStyle w:val="citation"/>
        <w:spacing w:after="440"/>
        <w:rPr>
          <w:lang w:eastAsia="fr-FR"/>
        </w:rPr>
      </w:pPr>
      <w:r>
        <w:rPr>
          <w:lang w:eastAsia="fr-FR"/>
        </w:rPr>
        <w:t xml:space="preserve">La leucémie myéloïde chronique peut se présenter en trois phases, soit la phase chronique, suivie par la phase accélérée, suivie par la phase blastique. </w:t>
      </w:r>
      <w:r w:rsidRPr="00B10751">
        <w:rPr>
          <w:u w:val="single"/>
          <w:lang w:eastAsia="fr-FR"/>
        </w:rPr>
        <w:t>Dans la phase blastique, a leucémie myéloïde chronique peut ressembler à une leucémie myéloïde aiguë</w:t>
      </w:r>
      <w:r>
        <w:rPr>
          <w:lang w:eastAsia="fr-FR"/>
        </w:rPr>
        <w:t xml:space="preserve">, mais elle reste toutefois une leucémie myéloïde chronique à cause de la présence du chromosome de Philadelphie. </w:t>
      </w:r>
      <w:r w:rsidRPr="00B10751">
        <w:rPr>
          <w:u w:val="single"/>
          <w:lang w:eastAsia="fr-FR"/>
        </w:rPr>
        <w:t>Cette maladie ne peut pas changer ses couleurs et devenir par magie une leucémie myéloïde aiguë</w:t>
      </w:r>
      <w:r>
        <w:rPr>
          <w:lang w:eastAsia="fr-FR"/>
        </w:rPr>
        <w:t>. Sa profile génétique ne change pas.</w:t>
      </w:r>
      <w:r w:rsidRPr="0070753F">
        <w:rPr>
          <w:vertAlign w:val="superscript"/>
          <w:lang w:eastAsia="fr-FR"/>
        </w:rPr>
        <w:t>1,2</w:t>
      </w:r>
    </w:p>
    <w:p w14:paraId="0098CDBD" w14:textId="297F648E" w:rsidR="0070753F" w:rsidRPr="00B55A4A" w:rsidRDefault="0070753F" w:rsidP="00A97E82">
      <w:pPr>
        <w:pStyle w:val="citation"/>
        <w:spacing w:after="440"/>
        <w:rPr>
          <w:sz w:val="24"/>
          <w:szCs w:val="24"/>
          <w:lang w:eastAsia="fr-FR"/>
        </w:rPr>
      </w:pPr>
      <w:r w:rsidRPr="0070753F">
        <w:rPr>
          <w:sz w:val="24"/>
          <w:szCs w:val="24"/>
          <w:lang w:eastAsia="fr-FR"/>
        </w:rPr>
        <w:t>[Transcription textuelle</w:t>
      </w:r>
      <w:r w:rsidR="00B10751">
        <w:rPr>
          <w:sz w:val="24"/>
          <w:szCs w:val="24"/>
          <w:lang w:eastAsia="fr-FR"/>
        </w:rPr>
        <w:t xml:space="preserve">, nos soulignements </w:t>
      </w:r>
      <w:r>
        <w:rPr>
          <w:sz w:val="24"/>
          <w:szCs w:val="24"/>
          <w:lang w:eastAsia="fr-FR"/>
        </w:rPr>
        <w:t>et notes omises</w:t>
      </w:r>
      <w:r w:rsidRPr="0070753F">
        <w:rPr>
          <w:sz w:val="24"/>
          <w:szCs w:val="24"/>
          <w:lang w:eastAsia="fr-FR"/>
        </w:rPr>
        <w:t>]</w:t>
      </w:r>
    </w:p>
    <w:p w14:paraId="1895894E" w14:textId="7C018E22" w:rsidR="00B10751" w:rsidRPr="00E44785" w:rsidRDefault="00B10751" w:rsidP="00A97E82">
      <w:pPr>
        <w:pStyle w:val="corpsdedcision"/>
        <w:spacing w:after="440"/>
        <w:rPr>
          <w:szCs w:val="24"/>
          <w:lang w:eastAsia="fr-FR"/>
        </w:rPr>
      </w:pPr>
      <w:r w:rsidRPr="00E44785">
        <w:rPr>
          <w:szCs w:val="24"/>
          <w:lang w:eastAsia="fr-FR"/>
        </w:rPr>
        <w:t>Or, ce n’est pas la présentation clinique chez le travailleur. En effet, le travailleur est arrivé d’emblée avec une leucémie myéloïde aig</w:t>
      </w:r>
      <w:r w:rsidR="00862A5F">
        <w:rPr>
          <w:szCs w:val="24"/>
          <w:lang w:eastAsia="fr-FR"/>
        </w:rPr>
        <w:t>uë</w:t>
      </w:r>
      <w:r w:rsidR="00F079ED" w:rsidRPr="00E44785">
        <w:rPr>
          <w:rStyle w:val="Appelnotedebasdep"/>
          <w:szCs w:val="24"/>
          <w:lang w:eastAsia="fr-FR"/>
        </w:rPr>
        <w:footnoteReference w:id="46"/>
      </w:r>
      <w:r w:rsidR="00E6629F">
        <w:rPr>
          <w:szCs w:val="24"/>
          <w:lang w:eastAsia="fr-FR"/>
        </w:rPr>
        <w:t>. A</w:t>
      </w:r>
      <w:r w:rsidR="00F079ED" w:rsidRPr="00E44785">
        <w:rPr>
          <w:szCs w:val="24"/>
          <w:lang w:eastAsia="fr-FR"/>
        </w:rPr>
        <w:t xml:space="preserve">près une présentation </w:t>
      </w:r>
      <w:r w:rsidR="00E6629F">
        <w:rPr>
          <w:szCs w:val="24"/>
          <w:lang w:eastAsia="fr-FR"/>
        </w:rPr>
        <w:t>du cas du travailleur</w:t>
      </w:r>
      <w:r w:rsidR="00E44785">
        <w:rPr>
          <w:szCs w:val="24"/>
          <w:lang w:eastAsia="fr-FR"/>
        </w:rPr>
        <w:t xml:space="preserve"> </w:t>
      </w:r>
      <w:r w:rsidR="00F079ED" w:rsidRPr="00E44785">
        <w:rPr>
          <w:szCs w:val="24"/>
          <w:lang w:eastAsia="fr-FR"/>
        </w:rPr>
        <w:t xml:space="preserve">au </w:t>
      </w:r>
      <w:r w:rsidR="00F079ED" w:rsidRPr="00E44785">
        <w:rPr>
          <w:i/>
          <w:iCs/>
          <w:szCs w:val="24"/>
          <w:lang w:eastAsia="fr-FR"/>
        </w:rPr>
        <w:t>Tumor Board</w:t>
      </w:r>
      <w:r w:rsidR="00F079ED" w:rsidRPr="00E44785">
        <w:rPr>
          <w:szCs w:val="24"/>
          <w:lang w:eastAsia="fr-FR"/>
        </w:rPr>
        <w:t xml:space="preserve"> (vu la présentation </w:t>
      </w:r>
      <w:r w:rsidR="00E6629F" w:rsidRPr="00E44785">
        <w:rPr>
          <w:szCs w:val="24"/>
          <w:lang w:eastAsia="fr-FR"/>
        </w:rPr>
        <w:t>atypique</w:t>
      </w:r>
      <w:r w:rsidR="00F079ED" w:rsidRPr="00E44785">
        <w:rPr>
          <w:szCs w:val="24"/>
          <w:lang w:eastAsia="fr-FR"/>
        </w:rPr>
        <w:t>), une leucémie myéloïde chronique en</w:t>
      </w:r>
      <w:r w:rsidRPr="00E44785">
        <w:rPr>
          <w:szCs w:val="24"/>
          <w:lang w:eastAsia="fr-FR"/>
        </w:rPr>
        <w:t xml:space="preserve"> phase blastique</w:t>
      </w:r>
      <w:r w:rsidR="00F079ED" w:rsidRPr="00E44785">
        <w:rPr>
          <w:szCs w:val="24"/>
          <w:lang w:eastAsia="fr-FR"/>
        </w:rPr>
        <w:t xml:space="preserve"> est soupçonnée</w:t>
      </w:r>
      <w:r w:rsidR="00211B7F">
        <w:rPr>
          <w:szCs w:val="24"/>
          <w:lang w:eastAsia="fr-FR"/>
        </w:rPr>
        <w:t xml:space="preserve"> en raison de la présence du </w:t>
      </w:r>
      <w:r w:rsidR="005E7C9C">
        <w:rPr>
          <w:szCs w:val="24"/>
          <w:lang w:eastAsia="fr-FR"/>
        </w:rPr>
        <w:t>chromosome</w:t>
      </w:r>
      <w:r w:rsidR="00456811">
        <w:rPr>
          <w:szCs w:val="24"/>
          <w:lang w:eastAsia="fr-FR"/>
        </w:rPr>
        <w:t xml:space="preserve"> </w:t>
      </w:r>
      <w:r w:rsidR="00DE7869" w:rsidRPr="002A0FE4">
        <w:rPr>
          <w:szCs w:val="24"/>
          <w:lang w:eastAsia="fr-FR"/>
        </w:rPr>
        <w:t>Philadelphie</w:t>
      </w:r>
      <w:r w:rsidR="00F079ED" w:rsidRPr="002A0FE4">
        <w:rPr>
          <w:rStyle w:val="Appelnotedebasdep"/>
          <w:szCs w:val="24"/>
          <w:lang w:eastAsia="fr-FR"/>
        </w:rPr>
        <w:footnoteReference w:id="47"/>
      </w:r>
      <w:r w:rsidRPr="00E44785">
        <w:rPr>
          <w:szCs w:val="24"/>
          <w:lang w:eastAsia="fr-FR"/>
        </w:rPr>
        <w:t xml:space="preserve">, </w:t>
      </w:r>
      <w:r w:rsidRPr="00997CC6">
        <w:rPr>
          <w:szCs w:val="24"/>
          <w:lang w:eastAsia="fr-FR"/>
        </w:rPr>
        <w:t>ce qui n’est pas courant puisque seulement 20</w:t>
      </w:r>
      <w:r w:rsidR="00B55A4A">
        <w:rPr>
          <w:szCs w:val="24"/>
          <w:lang w:eastAsia="fr-FR"/>
        </w:rPr>
        <w:t> </w:t>
      </w:r>
      <w:r w:rsidRPr="00997CC6">
        <w:rPr>
          <w:szCs w:val="24"/>
          <w:lang w:eastAsia="fr-FR"/>
        </w:rPr>
        <w:t xml:space="preserve">% des individus vont progresser directement de la phase chronique à la </w:t>
      </w:r>
      <w:r w:rsidR="00997CC6">
        <w:rPr>
          <w:szCs w:val="24"/>
          <w:lang w:eastAsia="fr-FR"/>
        </w:rPr>
        <w:t>crise</w:t>
      </w:r>
      <w:r w:rsidRPr="00997CC6">
        <w:rPr>
          <w:szCs w:val="24"/>
          <w:lang w:eastAsia="fr-FR"/>
        </w:rPr>
        <w:t xml:space="preserve"> blastique</w:t>
      </w:r>
      <w:r w:rsidRPr="00E44785">
        <w:rPr>
          <w:rStyle w:val="Appelnotedebasdep"/>
          <w:szCs w:val="24"/>
          <w:lang w:eastAsia="fr-FR"/>
        </w:rPr>
        <w:footnoteReference w:id="48"/>
      </w:r>
      <w:r w:rsidRPr="00E44785">
        <w:rPr>
          <w:szCs w:val="24"/>
          <w:lang w:eastAsia="fr-FR"/>
        </w:rPr>
        <w:t xml:space="preserve">. </w:t>
      </w:r>
    </w:p>
    <w:p w14:paraId="137F8FC9" w14:textId="6926B119" w:rsidR="00DB5B92" w:rsidRPr="00E44785" w:rsidRDefault="00E44785" w:rsidP="00A97E82">
      <w:pPr>
        <w:pStyle w:val="corpsdedcision"/>
        <w:spacing w:after="440"/>
        <w:rPr>
          <w:szCs w:val="24"/>
          <w:lang w:eastAsia="fr-FR"/>
        </w:rPr>
      </w:pPr>
      <w:r w:rsidRPr="006C47C2">
        <w:rPr>
          <w:szCs w:val="24"/>
          <w:lang w:eastAsia="fr-FR"/>
        </w:rPr>
        <w:t>Quant à la leucémie myéloïde aig</w:t>
      </w:r>
      <w:r w:rsidR="00456811">
        <w:rPr>
          <w:szCs w:val="24"/>
          <w:lang w:eastAsia="fr-FR"/>
        </w:rPr>
        <w:t>uë</w:t>
      </w:r>
      <w:r w:rsidR="00DB5B92" w:rsidRPr="006C47C2">
        <w:rPr>
          <w:szCs w:val="24"/>
          <w:lang w:eastAsia="fr-FR"/>
        </w:rPr>
        <w:t>,</w:t>
      </w:r>
      <w:r w:rsidR="00DB5B92" w:rsidRPr="00E44785">
        <w:rPr>
          <w:szCs w:val="24"/>
          <w:lang w:eastAsia="fr-FR"/>
        </w:rPr>
        <w:t xml:space="preserve"> le docteur Osterman affirme dans son opinion :</w:t>
      </w:r>
    </w:p>
    <w:p w14:paraId="1E953F59" w14:textId="68DBF150" w:rsidR="00DB5B92" w:rsidRDefault="00DB5B92" w:rsidP="00EF573B">
      <w:pPr>
        <w:pStyle w:val="citation"/>
        <w:rPr>
          <w:lang w:eastAsia="fr-FR"/>
        </w:rPr>
      </w:pPr>
      <w:r>
        <w:rPr>
          <w:lang w:eastAsia="fr-FR"/>
        </w:rPr>
        <w:t xml:space="preserve">La leucémie myéloïde aiguë consiste en un regroupement des leucémies causées par de multiples anomalies génétiques qui produisent une prolifération des cellules blastiques et </w:t>
      </w:r>
      <w:r w:rsidRPr="002106E6">
        <w:rPr>
          <w:u w:val="single"/>
          <w:lang w:eastAsia="fr-FR"/>
        </w:rPr>
        <w:t>n’ont pas de phase chronique ou de phase accélérée</w:t>
      </w:r>
      <w:r>
        <w:rPr>
          <w:lang w:eastAsia="fr-FR"/>
        </w:rPr>
        <w:t>.</w:t>
      </w:r>
      <w:r w:rsidRPr="00DB5B92">
        <w:rPr>
          <w:vertAlign w:val="superscript"/>
          <w:lang w:eastAsia="fr-FR"/>
        </w:rPr>
        <w:t>3</w:t>
      </w:r>
    </w:p>
    <w:p w14:paraId="293CF395" w14:textId="77777777" w:rsidR="00A556E4" w:rsidRDefault="00A556E4" w:rsidP="00EF573B">
      <w:pPr>
        <w:pStyle w:val="citation"/>
        <w:rPr>
          <w:lang w:eastAsia="fr-FR"/>
        </w:rPr>
      </w:pPr>
    </w:p>
    <w:p w14:paraId="7F1AA9FF" w14:textId="48282E4B" w:rsidR="00DB5B92" w:rsidRDefault="00A556E4" w:rsidP="00A97E82">
      <w:pPr>
        <w:pStyle w:val="citation"/>
        <w:spacing w:after="440"/>
        <w:rPr>
          <w:lang w:eastAsia="fr-FR"/>
        </w:rPr>
      </w:pPr>
      <w:r>
        <w:rPr>
          <w:lang w:eastAsia="fr-FR"/>
        </w:rPr>
        <w:t>Une liste de certaines anomalies génétiques associées avec la leucémie myéloïde aiguë et accepté par l’OMS est indiquée sur la page 2 de De Kouchkovsky et Abdul-Hai</w:t>
      </w:r>
      <w:r w:rsidRPr="00A556E4">
        <w:rPr>
          <w:vertAlign w:val="superscript"/>
          <w:lang w:eastAsia="fr-FR"/>
        </w:rPr>
        <w:t>3</w:t>
      </w:r>
      <w:r>
        <w:rPr>
          <w:lang w:eastAsia="fr-FR"/>
        </w:rPr>
        <w:t>. Il est a noté que le chromosome de Philadelphie n’est pas inclus sur cette liste</w:t>
      </w:r>
      <w:r w:rsidRPr="00E44785">
        <w:rPr>
          <w:lang w:eastAsia="fr-FR"/>
        </w:rPr>
        <w:t xml:space="preserve">, </w:t>
      </w:r>
      <w:r w:rsidRPr="00C27CEB">
        <w:rPr>
          <w:u w:val="single"/>
          <w:lang w:eastAsia="fr-FR"/>
        </w:rPr>
        <w:t>car le chromosome de Philadelphie est associé à une autre maladie avec une autre profile génétique, soit la leucémie myéloïde chronique</w:t>
      </w:r>
      <w:r>
        <w:rPr>
          <w:lang w:eastAsia="fr-FR"/>
        </w:rPr>
        <w:t>. Ces informations sont bien connues dans la littérature médicale et bien connues dans la littérature épidémiologique que j’ai déjà déposée.</w:t>
      </w:r>
    </w:p>
    <w:p w14:paraId="5EABFEF0" w14:textId="66E03C46" w:rsidR="00DB5B92" w:rsidRPr="00B55A4A" w:rsidRDefault="00DB5B92" w:rsidP="00A97E82">
      <w:pPr>
        <w:pStyle w:val="citation"/>
        <w:spacing w:after="440"/>
        <w:rPr>
          <w:sz w:val="24"/>
          <w:szCs w:val="24"/>
          <w:lang w:eastAsia="fr-FR"/>
        </w:rPr>
      </w:pPr>
      <w:r w:rsidRPr="0070753F">
        <w:rPr>
          <w:sz w:val="24"/>
          <w:szCs w:val="24"/>
          <w:lang w:eastAsia="fr-FR"/>
        </w:rPr>
        <w:t>[</w:t>
      </w:r>
      <w:r w:rsidR="00A556E4">
        <w:rPr>
          <w:sz w:val="24"/>
          <w:szCs w:val="24"/>
          <w:lang w:eastAsia="fr-FR"/>
        </w:rPr>
        <w:t>Transcription textuelle, n</w:t>
      </w:r>
      <w:r w:rsidR="002106E6">
        <w:rPr>
          <w:sz w:val="24"/>
          <w:szCs w:val="24"/>
          <w:lang w:eastAsia="fr-FR"/>
        </w:rPr>
        <w:t>o</w:t>
      </w:r>
      <w:r w:rsidR="00C27CEB">
        <w:rPr>
          <w:sz w:val="24"/>
          <w:szCs w:val="24"/>
          <w:lang w:eastAsia="fr-FR"/>
        </w:rPr>
        <w:t>s</w:t>
      </w:r>
      <w:r w:rsidR="002106E6">
        <w:rPr>
          <w:sz w:val="24"/>
          <w:szCs w:val="24"/>
          <w:lang w:eastAsia="fr-FR"/>
        </w:rPr>
        <w:t xml:space="preserve"> soulignement</w:t>
      </w:r>
      <w:r w:rsidR="00C27CEB">
        <w:rPr>
          <w:sz w:val="24"/>
          <w:szCs w:val="24"/>
          <w:lang w:eastAsia="fr-FR"/>
        </w:rPr>
        <w:t>s</w:t>
      </w:r>
      <w:r w:rsidR="002106E6">
        <w:rPr>
          <w:sz w:val="24"/>
          <w:szCs w:val="24"/>
          <w:lang w:eastAsia="fr-FR"/>
        </w:rPr>
        <w:t xml:space="preserve"> et n</w:t>
      </w:r>
      <w:r>
        <w:rPr>
          <w:sz w:val="24"/>
          <w:szCs w:val="24"/>
          <w:lang w:eastAsia="fr-FR"/>
        </w:rPr>
        <w:t>otes omises</w:t>
      </w:r>
      <w:r w:rsidRPr="0070753F">
        <w:rPr>
          <w:sz w:val="24"/>
          <w:szCs w:val="24"/>
          <w:lang w:eastAsia="fr-FR"/>
        </w:rPr>
        <w:t>]</w:t>
      </w:r>
    </w:p>
    <w:p w14:paraId="5B3BB324" w14:textId="5099AA2E" w:rsidR="00B12CD3" w:rsidRPr="00334536" w:rsidRDefault="00325972" w:rsidP="00A97E82">
      <w:pPr>
        <w:pStyle w:val="corpsdedcision"/>
        <w:spacing w:after="440"/>
        <w:rPr>
          <w:szCs w:val="24"/>
          <w:lang w:eastAsia="fr-FR"/>
        </w:rPr>
      </w:pPr>
      <w:r>
        <w:rPr>
          <w:szCs w:val="24"/>
          <w:lang w:eastAsia="fr-FR"/>
        </w:rPr>
        <w:t xml:space="preserve">Le docteur Osterman fonde son opinion seulement sur la présence du </w:t>
      </w:r>
      <w:r w:rsidRPr="002A0FE4">
        <w:rPr>
          <w:szCs w:val="24"/>
          <w:lang w:eastAsia="fr-FR"/>
        </w:rPr>
        <w:t xml:space="preserve">chromosome </w:t>
      </w:r>
      <w:r w:rsidR="00DE7869" w:rsidRPr="002A0FE4">
        <w:rPr>
          <w:szCs w:val="24"/>
          <w:lang w:eastAsia="fr-FR"/>
        </w:rPr>
        <w:t>Philadelphie</w:t>
      </w:r>
      <w:r>
        <w:rPr>
          <w:szCs w:val="24"/>
          <w:lang w:eastAsia="fr-FR"/>
        </w:rPr>
        <w:t xml:space="preserve"> qui est majoritairement associé à la leucémie myéloïde chronique, mais il ne tient pas compte de la présentation clinique atypique en phase aig</w:t>
      </w:r>
      <w:r w:rsidR="00862A5F">
        <w:rPr>
          <w:szCs w:val="24"/>
          <w:lang w:eastAsia="fr-FR"/>
        </w:rPr>
        <w:t>uë</w:t>
      </w:r>
      <w:r>
        <w:rPr>
          <w:szCs w:val="24"/>
          <w:lang w:eastAsia="fr-FR"/>
        </w:rPr>
        <w:t xml:space="preserve"> et des autres mutations génétiques retrouvées. En effet, le travailleur</w:t>
      </w:r>
      <w:r w:rsidR="00B12CD3">
        <w:rPr>
          <w:szCs w:val="24"/>
          <w:lang w:eastAsia="fr-FR"/>
        </w:rPr>
        <w:t xml:space="preserve"> se présente d’emblée en phase </w:t>
      </w:r>
      <w:r w:rsidR="00B12CD3" w:rsidRPr="005E7C9C">
        <w:rPr>
          <w:szCs w:val="24"/>
          <w:lang w:eastAsia="fr-FR"/>
        </w:rPr>
        <w:t>aig</w:t>
      </w:r>
      <w:r w:rsidR="00456811">
        <w:rPr>
          <w:szCs w:val="24"/>
          <w:lang w:eastAsia="fr-FR"/>
        </w:rPr>
        <w:t>uë</w:t>
      </w:r>
      <w:r w:rsidR="00B12CD3" w:rsidRPr="005E7C9C">
        <w:rPr>
          <w:szCs w:val="24"/>
          <w:lang w:eastAsia="fr-FR"/>
        </w:rPr>
        <w:t xml:space="preserve"> et le tableau clinique révèle également d’autres mutations génétiques en plus du chromosome</w:t>
      </w:r>
      <w:r w:rsidR="00456811">
        <w:rPr>
          <w:szCs w:val="24"/>
          <w:lang w:eastAsia="fr-FR"/>
        </w:rPr>
        <w:t xml:space="preserve"> </w:t>
      </w:r>
      <w:r w:rsidR="00DE7869" w:rsidRPr="002A0FE4">
        <w:rPr>
          <w:szCs w:val="24"/>
          <w:lang w:eastAsia="fr-FR"/>
        </w:rPr>
        <w:t>Philadelphie</w:t>
      </w:r>
      <w:r w:rsidR="00B12CD3" w:rsidRPr="002A0FE4">
        <w:rPr>
          <w:szCs w:val="24"/>
          <w:lang w:eastAsia="fr-FR"/>
        </w:rPr>
        <w:t>. Ce qui amène l’équipe traitante à se questionner sur le diagnostic devant ce tableau</w:t>
      </w:r>
      <w:r w:rsidR="00B12CD3" w:rsidRPr="005E7C9C">
        <w:rPr>
          <w:szCs w:val="24"/>
          <w:lang w:eastAsia="fr-FR"/>
        </w:rPr>
        <w:t xml:space="preserve"> clinique</w:t>
      </w:r>
      <w:r w:rsidR="00B12CD3">
        <w:rPr>
          <w:szCs w:val="24"/>
          <w:lang w:eastAsia="fr-FR"/>
        </w:rPr>
        <w:t xml:space="preserve"> inhabituel et le caryotype </w:t>
      </w:r>
      <w:r w:rsidR="00B12CD3" w:rsidRPr="00325972">
        <w:rPr>
          <w:szCs w:val="24"/>
          <w:lang w:eastAsia="fr-FR"/>
        </w:rPr>
        <w:t>complexe retrouvé chez le travailleur</w:t>
      </w:r>
      <w:r w:rsidR="00B12CD3">
        <w:rPr>
          <w:szCs w:val="24"/>
          <w:lang w:eastAsia="fr-FR"/>
        </w:rPr>
        <w:t>.</w:t>
      </w:r>
    </w:p>
    <w:p w14:paraId="4EE54F12" w14:textId="5AFEEC2F" w:rsidR="006A13BE" w:rsidRPr="00334536" w:rsidRDefault="006A13BE" w:rsidP="00A97E82">
      <w:pPr>
        <w:pStyle w:val="corpsdedcision"/>
        <w:spacing w:after="440"/>
        <w:rPr>
          <w:szCs w:val="24"/>
          <w:lang w:eastAsia="fr-FR"/>
        </w:rPr>
      </w:pPr>
      <w:r w:rsidRPr="00334536">
        <w:rPr>
          <w:szCs w:val="24"/>
          <w:lang w:eastAsia="fr-FR"/>
        </w:rPr>
        <w:t>Ensuite, le docteur Osterman s’appuie sur de la littérature moins récente et antérieure à la nouvelle classification de</w:t>
      </w:r>
      <w:r w:rsidR="00334536">
        <w:rPr>
          <w:szCs w:val="24"/>
          <w:lang w:eastAsia="fr-FR"/>
        </w:rPr>
        <w:t xml:space="preserve"> </w:t>
      </w:r>
      <w:r w:rsidR="00334536">
        <w:rPr>
          <w:rFonts w:cs="Arial"/>
          <w:szCs w:val="24"/>
        </w:rPr>
        <w:t xml:space="preserve">l’Organisation mondiale de la santé </w:t>
      </w:r>
      <w:r w:rsidRPr="00334536">
        <w:rPr>
          <w:szCs w:val="24"/>
          <w:lang w:eastAsia="fr-FR"/>
        </w:rPr>
        <w:t xml:space="preserve">lorsqu’il affirme que le </w:t>
      </w:r>
      <w:r w:rsidR="005E7C9C">
        <w:rPr>
          <w:szCs w:val="24"/>
          <w:lang w:eastAsia="fr-FR"/>
        </w:rPr>
        <w:t>chromosome</w:t>
      </w:r>
      <w:r w:rsidR="00456811">
        <w:rPr>
          <w:szCs w:val="24"/>
          <w:lang w:eastAsia="fr-FR"/>
        </w:rPr>
        <w:t xml:space="preserve"> </w:t>
      </w:r>
      <w:r w:rsidR="00DE7869" w:rsidRPr="002A0FE4">
        <w:rPr>
          <w:szCs w:val="24"/>
          <w:lang w:eastAsia="fr-FR"/>
        </w:rPr>
        <w:t>Philadelphie</w:t>
      </w:r>
      <w:r w:rsidRPr="002A0FE4">
        <w:rPr>
          <w:szCs w:val="24"/>
          <w:lang w:eastAsia="fr-FR"/>
        </w:rPr>
        <w:t xml:space="preserve"> est</w:t>
      </w:r>
      <w:r w:rsidRPr="00334536">
        <w:rPr>
          <w:szCs w:val="24"/>
          <w:lang w:eastAsia="fr-FR"/>
        </w:rPr>
        <w:t xml:space="preserve"> associé </w:t>
      </w:r>
      <w:r w:rsidR="00B12CD3">
        <w:rPr>
          <w:szCs w:val="24"/>
          <w:lang w:eastAsia="fr-FR"/>
        </w:rPr>
        <w:t xml:space="preserve">uniquement </w:t>
      </w:r>
      <w:r w:rsidRPr="00334536">
        <w:rPr>
          <w:szCs w:val="24"/>
          <w:lang w:eastAsia="fr-FR"/>
        </w:rPr>
        <w:t>à la leucémie myéloïde chronique</w:t>
      </w:r>
      <w:r w:rsidR="00334536" w:rsidRPr="00334536">
        <w:rPr>
          <w:szCs w:val="24"/>
          <w:lang w:eastAsia="fr-FR"/>
        </w:rPr>
        <w:t xml:space="preserve"> (et non aig</w:t>
      </w:r>
      <w:r w:rsidR="00456811">
        <w:rPr>
          <w:szCs w:val="24"/>
          <w:lang w:eastAsia="fr-FR"/>
        </w:rPr>
        <w:t>uë</w:t>
      </w:r>
      <w:r w:rsidR="00334536" w:rsidRPr="00334536">
        <w:rPr>
          <w:szCs w:val="24"/>
          <w:lang w:eastAsia="fr-FR"/>
        </w:rPr>
        <w:t>)</w:t>
      </w:r>
      <w:r w:rsidR="00056EFD">
        <w:rPr>
          <w:szCs w:val="24"/>
          <w:lang w:eastAsia="fr-FR"/>
        </w:rPr>
        <w:t>,</w:t>
      </w:r>
      <w:r w:rsidRPr="00334536">
        <w:rPr>
          <w:szCs w:val="24"/>
          <w:lang w:eastAsia="fr-FR"/>
        </w:rPr>
        <w:t xml:space="preserve"> qui a son profil génétique propre.</w:t>
      </w:r>
    </w:p>
    <w:p w14:paraId="552202C2" w14:textId="31377446" w:rsidR="006A13BE" w:rsidRDefault="006A13BE" w:rsidP="00A97E82">
      <w:pPr>
        <w:pStyle w:val="corpsdedcision"/>
        <w:spacing w:after="440"/>
        <w:rPr>
          <w:szCs w:val="24"/>
          <w:lang w:eastAsia="fr-FR"/>
        </w:rPr>
      </w:pPr>
      <w:r>
        <w:rPr>
          <w:szCs w:val="24"/>
          <w:lang w:eastAsia="fr-FR"/>
        </w:rPr>
        <w:t>Selon la définition du dictionnaire des termes relatifs au cancer du National Cancer Institute des États-Unis</w:t>
      </w:r>
      <w:r>
        <w:rPr>
          <w:rStyle w:val="Appelnotedebasdep"/>
          <w:szCs w:val="24"/>
          <w:lang w:eastAsia="fr-FR"/>
        </w:rPr>
        <w:footnoteReference w:id="49"/>
      </w:r>
      <w:r>
        <w:rPr>
          <w:szCs w:val="24"/>
          <w:lang w:eastAsia="fr-FR"/>
        </w:rPr>
        <w:t>, le chromosome</w:t>
      </w:r>
      <w:r w:rsidR="00456811">
        <w:rPr>
          <w:szCs w:val="24"/>
          <w:lang w:eastAsia="fr-FR"/>
        </w:rPr>
        <w:t xml:space="preserve"> </w:t>
      </w:r>
      <w:r w:rsidR="00DE7869" w:rsidRPr="006F1D09">
        <w:rPr>
          <w:szCs w:val="24"/>
          <w:lang w:eastAsia="fr-FR"/>
        </w:rPr>
        <w:t>Philadelphie</w:t>
      </w:r>
      <w:r w:rsidRPr="006F1D09">
        <w:rPr>
          <w:szCs w:val="24"/>
          <w:lang w:eastAsia="fr-FR"/>
        </w:rPr>
        <w:t xml:space="preserve"> e</w:t>
      </w:r>
      <w:r>
        <w:rPr>
          <w:szCs w:val="24"/>
          <w:lang w:eastAsia="fr-FR"/>
        </w:rPr>
        <w:t>st :</w:t>
      </w:r>
    </w:p>
    <w:p w14:paraId="6450590E" w14:textId="37A1FF03" w:rsidR="005E7C9C" w:rsidRPr="00B55A4A" w:rsidRDefault="005E7C9C" w:rsidP="00A97E82">
      <w:pPr>
        <w:pStyle w:val="citation"/>
        <w:spacing w:after="440"/>
        <w:rPr>
          <w:u w:val="single"/>
          <w:lang w:val="en-CA" w:eastAsia="fr-FR"/>
        </w:rPr>
      </w:pPr>
      <w:r w:rsidRPr="005E7C9C">
        <w:rPr>
          <w:lang w:val="en-CA" w:eastAsia="fr-FR"/>
        </w:rPr>
        <w:t>An abnormal version of chromosome 22 that contains a fusion of two genes, the </w:t>
      </w:r>
      <w:r w:rsidRPr="005E7C9C">
        <w:rPr>
          <w:i/>
          <w:iCs/>
          <w:lang w:val="en-CA" w:eastAsia="fr-FR"/>
        </w:rPr>
        <w:t>ABL1</w:t>
      </w:r>
      <w:r w:rsidRPr="005E7C9C">
        <w:rPr>
          <w:lang w:val="en-CA" w:eastAsia="fr-FR"/>
        </w:rPr>
        <w:t> gene and the </w:t>
      </w:r>
      <w:r w:rsidRPr="005E7C9C">
        <w:rPr>
          <w:i/>
          <w:iCs/>
          <w:lang w:val="en-CA" w:eastAsia="fr-FR"/>
        </w:rPr>
        <w:t>BCR</w:t>
      </w:r>
      <w:r w:rsidRPr="005E7C9C">
        <w:rPr>
          <w:lang w:val="en-CA" w:eastAsia="fr-FR"/>
        </w:rPr>
        <w:t> gene. This fusion gene is made when part of the </w:t>
      </w:r>
      <w:r w:rsidRPr="005E7C9C">
        <w:rPr>
          <w:i/>
          <w:iCs/>
          <w:lang w:val="en-CA" w:eastAsia="fr-FR"/>
        </w:rPr>
        <w:t>ABL1</w:t>
      </w:r>
      <w:r w:rsidRPr="005E7C9C">
        <w:rPr>
          <w:lang w:val="en-CA" w:eastAsia="fr-FR"/>
        </w:rPr>
        <w:t> gene on chromosome 9 breaks off and attaches to the </w:t>
      </w:r>
      <w:r w:rsidRPr="005E7C9C">
        <w:rPr>
          <w:i/>
          <w:iCs/>
          <w:lang w:val="en-CA" w:eastAsia="fr-FR"/>
        </w:rPr>
        <w:t>BCR</w:t>
      </w:r>
      <w:r w:rsidRPr="005E7C9C">
        <w:rPr>
          <w:lang w:val="en-CA" w:eastAsia="fr-FR"/>
        </w:rPr>
        <w:t xml:space="preserve"> gene on chromosome 22. The protein made by </w:t>
      </w:r>
      <w:r w:rsidRPr="005F059E">
        <w:rPr>
          <w:lang w:val="en-CA" w:eastAsia="fr-FR"/>
        </w:rPr>
        <w:t>the </w:t>
      </w:r>
      <w:r w:rsidRPr="005F059E">
        <w:rPr>
          <w:i/>
          <w:iCs/>
          <w:lang w:val="en-CA" w:eastAsia="fr-FR"/>
        </w:rPr>
        <w:t>BCR</w:t>
      </w:r>
      <w:r w:rsidR="00B55A4A" w:rsidRPr="005F059E">
        <w:rPr>
          <w:i/>
          <w:iCs/>
          <w:lang w:val="en-CA" w:eastAsia="fr-FR"/>
        </w:rPr>
        <w:t xml:space="preserve"> </w:t>
      </w:r>
      <w:r w:rsidR="00B55A4A" w:rsidRPr="005F059E">
        <w:rPr>
          <w:lang w:val="en-CA" w:eastAsia="fr-FR"/>
        </w:rPr>
        <w:t xml:space="preserve">: </w:t>
      </w:r>
      <w:r w:rsidRPr="005F059E">
        <w:rPr>
          <w:i/>
          <w:iCs/>
          <w:lang w:val="en-CA" w:eastAsia="fr-FR"/>
        </w:rPr>
        <w:t>ABL1</w:t>
      </w:r>
      <w:r w:rsidRPr="005F059E">
        <w:rPr>
          <w:lang w:val="en-CA" w:eastAsia="fr-FR"/>
        </w:rPr>
        <w:t> fusion gene can cause immature white blood cells to grow uncontrollably and build up in the</w:t>
      </w:r>
      <w:r w:rsidRPr="005E7C9C">
        <w:rPr>
          <w:lang w:val="en-CA" w:eastAsia="fr-FR"/>
        </w:rPr>
        <w:t xml:space="preserve"> bone marrow and blood. </w:t>
      </w:r>
      <w:r w:rsidRPr="005E7C9C">
        <w:rPr>
          <w:u w:val="single"/>
          <w:lang w:val="en-CA" w:eastAsia="fr-FR"/>
        </w:rPr>
        <w:t>The Philadelphia chromosome is found in the bone marrow cells of almost all people with chronic myelogenous leukemia and some people with acute lymphocytic leukemia or acute myelogenous leukemia.</w:t>
      </w:r>
    </w:p>
    <w:p w14:paraId="01885AED" w14:textId="36F51288" w:rsidR="00177128" w:rsidRPr="00B55A4A" w:rsidRDefault="006A13BE" w:rsidP="00A97E82">
      <w:pPr>
        <w:pStyle w:val="citation"/>
        <w:spacing w:after="440"/>
        <w:rPr>
          <w:sz w:val="24"/>
          <w:szCs w:val="24"/>
        </w:rPr>
      </w:pPr>
      <w:r w:rsidRPr="005D4163">
        <w:rPr>
          <w:sz w:val="24"/>
          <w:szCs w:val="24"/>
        </w:rPr>
        <w:t>[Notre soulignement]</w:t>
      </w:r>
    </w:p>
    <w:p w14:paraId="1ECE8D2C" w14:textId="66EADAA7" w:rsidR="008D0BC7" w:rsidRPr="005E7C9C" w:rsidRDefault="00033950" w:rsidP="00A97E82">
      <w:pPr>
        <w:pStyle w:val="corpsdedcision"/>
        <w:spacing w:after="440"/>
        <w:rPr>
          <w:szCs w:val="24"/>
          <w:lang w:eastAsia="fr-FR"/>
        </w:rPr>
      </w:pPr>
      <w:r w:rsidRPr="005E7C9C">
        <w:rPr>
          <w:szCs w:val="24"/>
          <w:lang w:eastAsia="fr-FR"/>
        </w:rPr>
        <w:t xml:space="preserve">Dans </w:t>
      </w:r>
      <w:r w:rsidR="00EE1E09" w:rsidRPr="005E7C9C">
        <w:rPr>
          <w:szCs w:val="24"/>
          <w:lang w:eastAsia="fr-FR"/>
        </w:rPr>
        <w:t>l’article</w:t>
      </w:r>
      <w:r w:rsidR="008D0BC7" w:rsidRPr="005E7C9C">
        <w:rPr>
          <w:szCs w:val="24"/>
          <w:lang w:eastAsia="fr-FR"/>
        </w:rPr>
        <w:t xml:space="preserve"> récen</w:t>
      </w:r>
      <w:r w:rsidR="00334536" w:rsidRPr="005E7C9C">
        <w:rPr>
          <w:szCs w:val="24"/>
          <w:lang w:eastAsia="fr-FR"/>
        </w:rPr>
        <w:t>t</w:t>
      </w:r>
      <w:r w:rsidR="00EE1E09" w:rsidRPr="005E7C9C">
        <w:rPr>
          <w:szCs w:val="24"/>
          <w:lang w:eastAsia="fr-FR"/>
        </w:rPr>
        <w:t xml:space="preserve"> </w:t>
      </w:r>
      <w:r w:rsidR="00EE1E09" w:rsidRPr="005E7C9C">
        <w:rPr>
          <w:rFonts w:cs="Arial"/>
          <w:i/>
          <w:iCs/>
          <w:szCs w:val="24"/>
        </w:rPr>
        <w:t>Philadelphia Chromosome-Positive de Novo AML or Blast Phase CML? Case Report and Short Literature Review</w:t>
      </w:r>
      <w:r w:rsidR="00EE1E09" w:rsidRPr="005E7C9C">
        <w:rPr>
          <w:rStyle w:val="Appelnotedebasdep"/>
          <w:rFonts w:cs="Arial"/>
          <w:szCs w:val="24"/>
          <w:lang w:val="en-CA"/>
        </w:rPr>
        <w:footnoteReference w:id="50"/>
      </w:r>
      <w:r w:rsidR="00EE1E09" w:rsidRPr="005E7C9C">
        <w:rPr>
          <w:rFonts w:cs="Arial"/>
          <w:szCs w:val="24"/>
        </w:rPr>
        <w:t>,</w:t>
      </w:r>
      <w:r w:rsidR="00EE1E09" w:rsidRPr="005E7C9C">
        <w:rPr>
          <w:rFonts w:cs="Arial"/>
          <w:i/>
          <w:iCs/>
          <w:szCs w:val="24"/>
        </w:rPr>
        <w:t xml:space="preserve"> </w:t>
      </w:r>
      <w:r w:rsidR="00EE1E09" w:rsidRPr="005E7C9C">
        <w:rPr>
          <w:rFonts w:cs="Arial"/>
          <w:szCs w:val="24"/>
        </w:rPr>
        <w:t>les auteurs notent que la révision de 2016 de la 4</w:t>
      </w:r>
      <w:r w:rsidR="00EE1E09" w:rsidRPr="005E7C9C">
        <w:rPr>
          <w:rFonts w:cs="Arial"/>
          <w:szCs w:val="24"/>
          <w:vertAlign w:val="superscript"/>
        </w:rPr>
        <w:t>e</w:t>
      </w:r>
      <w:r w:rsidR="00EE1E09" w:rsidRPr="005E7C9C">
        <w:rPr>
          <w:rFonts w:cs="Arial"/>
          <w:szCs w:val="24"/>
        </w:rPr>
        <w:t xml:space="preserve"> édition de la classification des néoplasies myéloïdes de </w:t>
      </w:r>
      <w:r w:rsidR="005F059E" w:rsidRPr="005F059E">
        <w:rPr>
          <w:rFonts w:cs="Arial"/>
          <w:szCs w:val="24"/>
        </w:rPr>
        <w:t>l’Organisation mondiale de la santé</w:t>
      </w:r>
      <w:r w:rsidR="00EE1E09" w:rsidRPr="005E7C9C">
        <w:rPr>
          <w:rFonts w:cs="Arial"/>
          <w:szCs w:val="24"/>
        </w:rPr>
        <w:t xml:space="preserve"> introduit une entité provisoire : la leucémie myéloïde aig</w:t>
      </w:r>
      <w:r w:rsidR="005F059E">
        <w:rPr>
          <w:rFonts w:cs="Arial"/>
          <w:szCs w:val="24"/>
        </w:rPr>
        <w:t>uë</w:t>
      </w:r>
      <w:r w:rsidR="00EE1E09" w:rsidRPr="005E7C9C">
        <w:rPr>
          <w:rFonts w:cs="Arial"/>
          <w:szCs w:val="24"/>
        </w:rPr>
        <w:t xml:space="preserve"> avec la translocation BCR :</w:t>
      </w:r>
      <w:r w:rsidR="00B55A4A">
        <w:rPr>
          <w:rFonts w:cs="Arial"/>
          <w:szCs w:val="24"/>
        </w:rPr>
        <w:t> </w:t>
      </w:r>
      <w:r w:rsidR="00EE1E09" w:rsidRPr="005E7C9C">
        <w:rPr>
          <w:rFonts w:cs="Arial"/>
          <w:szCs w:val="24"/>
        </w:rPr>
        <w:t>ABL1</w:t>
      </w:r>
      <w:r w:rsidR="008D0BC7" w:rsidRPr="005E7C9C">
        <w:rPr>
          <w:rFonts w:cs="Arial"/>
          <w:szCs w:val="24"/>
        </w:rPr>
        <w:t xml:space="preserve">. </w:t>
      </w:r>
      <w:r w:rsidR="00FC2C5D" w:rsidRPr="005E7C9C">
        <w:rPr>
          <w:rFonts w:cs="Arial"/>
          <w:szCs w:val="24"/>
        </w:rPr>
        <w:t>L</w:t>
      </w:r>
      <w:r w:rsidR="008D0BC7" w:rsidRPr="005E7C9C">
        <w:rPr>
          <w:rFonts w:cs="Arial"/>
          <w:szCs w:val="24"/>
        </w:rPr>
        <w:t>a leucémie myéloïde aig</w:t>
      </w:r>
      <w:r w:rsidR="005F059E">
        <w:rPr>
          <w:rFonts w:cs="Arial"/>
          <w:szCs w:val="24"/>
        </w:rPr>
        <w:t>uë</w:t>
      </w:r>
      <w:r w:rsidR="008D0BC7" w:rsidRPr="005E7C9C">
        <w:rPr>
          <w:rFonts w:cs="Arial"/>
          <w:szCs w:val="24"/>
        </w:rPr>
        <w:t xml:space="preserve"> avec BCR : ABL1 est une entité rare, représentant environ 1</w:t>
      </w:r>
      <w:r w:rsidR="00B55A4A">
        <w:rPr>
          <w:rFonts w:cs="Arial"/>
          <w:szCs w:val="24"/>
        </w:rPr>
        <w:t> </w:t>
      </w:r>
      <w:r w:rsidR="008D0BC7" w:rsidRPr="005E7C9C">
        <w:rPr>
          <w:rFonts w:cs="Arial"/>
          <w:szCs w:val="24"/>
        </w:rPr>
        <w:t>% des leucémies myéloïdes aig</w:t>
      </w:r>
      <w:r w:rsidR="005F059E">
        <w:rPr>
          <w:rFonts w:cs="Arial"/>
          <w:szCs w:val="24"/>
        </w:rPr>
        <w:t>uë</w:t>
      </w:r>
      <w:r w:rsidR="008D0BC7" w:rsidRPr="005E7C9C">
        <w:rPr>
          <w:rFonts w:cs="Arial"/>
          <w:szCs w:val="24"/>
        </w:rPr>
        <w:t>s.</w:t>
      </w:r>
    </w:p>
    <w:p w14:paraId="7E7C2EC9" w14:textId="43A05DE9" w:rsidR="006A13BE" w:rsidRPr="00323C09" w:rsidRDefault="006A13BE" w:rsidP="00A97E82">
      <w:pPr>
        <w:pStyle w:val="corpsdedcision"/>
        <w:spacing w:after="440"/>
        <w:rPr>
          <w:szCs w:val="24"/>
          <w:lang w:eastAsia="fr-FR"/>
        </w:rPr>
      </w:pPr>
      <w:r w:rsidRPr="00323C09">
        <w:rPr>
          <w:rFonts w:cs="Arial"/>
          <w:szCs w:val="24"/>
        </w:rPr>
        <w:t>Toujours dans cet article</w:t>
      </w:r>
      <w:r w:rsidRPr="00323C09">
        <w:rPr>
          <w:rStyle w:val="Appelnotedebasdep"/>
          <w:rFonts w:cs="Arial"/>
          <w:szCs w:val="24"/>
        </w:rPr>
        <w:footnoteReference w:id="51"/>
      </w:r>
      <w:r w:rsidRPr="00323C09">
        <w:rPr>
          <w:rFonts w:cs="Arial"/>
          <w:szCs w:val="24"/>
        </w:rPr>
        <w:t>, il est mentionné</w:t>
      </w:r>
      <w:r w:rsidR="00334536" w:rsidRPr="00323C09">
        <w:rPr>
          <w:rFonts w:cs="Arial"/>
          <w:szCs w:val="24"/>
        </w:rPr>
        <w:t xml:space="preserve"> que</w:t>
      </w:r>
      <w:r w:rsidRPr="00323C09">
        <w:rPr>
          <w:rFonts w:cs="Arial"/>
          <w:szCs w:val="24"/>
        </w:rPr>
        <w:t>, dans la 5</w:t>
      </w:r>
      <w:r w:rsidRPr="00323C09">
        <w:rPr>
          <w:rFonts w:cs="Arial"/>
          <w:szCs w:val="24"/>
          <w:vertAlign w:val="superscript"/>
        </w:rPr>
        <w:t>e</w:t>
      </w:r>
      <w:r w:rsidRPr="00323C09">
        <w:rPr>
          <w:rFonts w:cs="Arial"/>
          <w:szCs w:val="24"/>
        </w:rPr>
        <w:t xml:space="preserve"> édition de la classification de </w:t>
      </w:r>
      <w:r w:rsidR="005F059E" w:rsidRPr="005F059E">
        <w:rPr>
          <w:rFonts w:cs="Arial"/>
          <w:szCs w:val="24"/>
        </w:rPr>
        <w:t>l’Organisation mondiale de la santé</w:t>
      </w:r>
      <w:r w:rsidRPr="00323C09">
        <w:rPr>
          <w:rFonts w:cs="Arial"/>
          <w:szCs w:val="24"/>
        </w:rPr>
        <w:t xml:space="preserve"> en 2022, la leucémie myéloïde aig</w:t>
      </w:r>
      <w:r w:rsidR="00F4199D">
        <w:rPr>
          <w:rFonts w:cs="Arial"/>
          <w:szCs w:val="24"/>
        </w:rPr>
        <w:t>uë</w:t>
      </w:r>
      <w:r w:rsidRPr="00323C09">
        <w:rPr>
          <w:rFonts w:cs="Arial"/>
          <w:szCs w:val="24"/>
        </w:rPr>
        <w:t xml:space="preserve"> avec BCR : A</w:t>
      </w:r>
      <w:r w:rsidR="005E7C9C" w:rsidRPr="00323C09">
        <w:rPr>
          <w:rFonts w:cs="Arial"/>
          <w:szCs w:val="24"/>
        </w:rPr>
        <w:t>B</w:t>
      </w:r>
      <w:r w:rsidRPr="00323C09">
        <w:rPr>
          <w:rFonts w:cs="Arial"/>
          <w:szCs w:val="24"/>
        </w:rPr>
        <w:t>L1 est incluse comme catégorie définitive de leucémie myéloïde aig</w:t>
      </w:r>
      <w:r w:rsidR="005F059E">
        <w:rPr>
          <w:rFonts w:cs="Arial"/>
          <w:szCs w:val="24"/>
        </w:rPr>
        <w:t xml:space="preserve">uë </w:t>
      </w:r>
      <w:r w:rsidRPr="00323C09">
        <w:rPr>
          <w:rFonts w:cs="Arial"/>
          <w:i/>
          <w:iCs/>
          <w:szCs w:val="24"/>
        </w:rPr>
        <w:t>de</w:t>
      </w:r>
      <w:r w:rsidR="005F059E">
        <w:rPr>
          <w:rFonts w:cs="Arial"/>
          <w:i/>
          <w:iCs/>
          <w:szCs w:val="24"/>
        </w:rPr>
        <w:t> </w:t>
      </w:r>
      <w:r w:rsidRPr="00323C09">
        <w:rPr>
          <w:rFonts w:cs="Arial"/>
          <w:i/>
          <w:iCs/>
          <w:szCs w:val="24"/>
        </w:rPr>
        <w:t>novo</w:t>
      </w:r>
      <w:r w:rsidR="00F13AAC" w:rsidRPr="00323C09">
        <w:rPr>
          <w:rFonts w:cs="Arial"/>
          <w:i/>
          <w:iCs/>
          <w:szCs w:val="24"/>
        </w:rPr>
        <w:t>.</w:t>
      </w:r>
      <w:r w:rsidR="00B12CD3" w:rsidRPr="00323C09">
        <w:rPr>
          <w:rFonts w:cs="Arial"/>
          <w:i/>
          <w:iCs/>
          <w:szCs w:val="24"/>
        </w:rPr>
        <w:t xml:space="preserve"> </w:t>
      </w:r>
      <w:r w:rsidRPr="00323C09">
        <w:rPr>
          <w:rFonts w:cs="Arial"/>
          <w:szCs w:val="24"/>
        </w:rPr>
        <w:t>Cependant, des critères clairs pour aider à différencier la leucémie myéloïde aig</w:t>
      </w:r>
      <w:r w:rsidR="005F059E">
        <w:rPr>
          <w:rFonts w:cs="Arial"/>
          <w:szCs w:val="24"/>
        </w:rPr>
        <w:t>uë</w:t>
      </w:r>
      <w:r w:rsidRPr="00323C09">
        <w:rPr>
          <w:rFonts w:cs="Arial"/>
          <w:szCs w:val="24"/>
        </w:rPr>
        <w:t xml:space="preserve"> </w:t>
      </w:r>
      <w:r w:rsidRPr="00323C09">
        <w:rPr>
          <w:rFonts w:cs="Arial"/>
          <w:i/>
          <w:iCs/>
          <w:szCs w:val="24"/>
        </w:rPr>
        <w:t>de novo</w:t>
      </w:r>
      <w:r w:rsidRPr="00323C09">
        <w:rPr>
          <w:rFonts w:cs="Arial"/>
          <w:szCs w:val="24"/>
        </w:rPr>
        <w:t xml:space="preserve"> avec la phase blastique de la leucémie myéloïde chronique n’ont pas encore été formellement acceptés par </w:t>
      </w:r>
      <w:r w:rsidR="005F059E" w:rsidRPr="005F059E">
        <w:rPr>
          <w:rFonts w:cs="Arial"/>
          <w:szCs w:val="24"/>
        </w:rPr>
        <w:t>l’Organisation mondiale de la santé</w:t>
      </w:r>
      <w:r w:rsidRPr="00323C09">
        <w:rPr>
          <w:rFonts w:cs="Arial"/>
          <w:szCs w:val="24"/>
        </w:rPr>
        <w:t>.</w:t>
      </w:r>
    </w:p>
    <w:p w14:paraId="3007A59C" w14:textId="4E28CDAA" w:rsidR="00E6629F" w:rsidRPr="00420029" w:rsidRDefault="00AF553A" w:rsidP="00A97E82">
      <w:pPr>
        <w:pStyle w:val="corpsdedcision"/>
        <w:spacing w:after="440"/>
        <w:rPr>
          <w:szCs w:val="24"/>
          <w:lang w:eastAsia="fr-FR"/>
        </w:rPr>
      </w:pPr>
      <w:r w:rsidRPr="00420029">
        <w:rPr>
          <w:rFonts w:cs="Arial"/>
          <w:szCs w:val="24"/>
        </w:rPr>
        <w:t>Or, l’employeur s’appuie notamment sur la revue de littérature des</w:t>
      </w:r>
      <w:r w:rsidR="00FC2C5D" w:rsidRPr="00420029">
        <w:rPr>
          <w:rFonts w:cs="Arial"/>
          <w:szCs w:val="24"/>
        </w:rPr>
        <w:t xml:space="preserve"> auteurs </w:t>
      </w:r>
      <w:r w:rsidR="00FC2C5D" w:rsidRPr="00637696">
        <w:rPr>
          <w:rFonts w:cs="Arial"/>
          <w:i/>
          <w:iCs/>
          <w:szCs w:val="24"/>
        </w:rPr>
        <w:t>De</w:t>
      </w:r>
      <w:r w:rsidR="005F059E">
        <w:rPr>
          <w:rFonts w:cs="Arial"/>
          <w:i/>
          <w:iCs/>
          <w:szCs w:val="24"/>
        </w:rPr>
        <w:t> </w:t>
      </w:r>
      <w:r w:rsidR="00FC2C5D" w:rsidRPr="00637696">
        <w:rPr>
          <w:rFonts w:cs="Arial"/>
          <w:i/>
          <w:iCs/>
          <w:szCs w:val="24"/>
        </w:rPr>
        <w:t>Kouchkovsky et al.</w:t>
      </w:r>
      <w:r w:rsidR="00FC2C5D" w:rsidRPr="00420029">
        <w:rPr>
          <w:rStyle w:val="Appelnotedebasdep"/>
          <w:rFonts w:cs="Arial"/>
          <w:szCs w:val="24"/>
        </w:rPr>
        <w:footnoteReference w:id="52"/>
      </w:r>
      <w:r w:rsidRPr="00420029">
        <w:rPr>
          <w:rFonts w:cs="Arial"/>
          <w:szCs w:val="24"/>
        </w:rPr>
        <w:t>, effectuée en 2016, article qui revoit la pathog</w:t>
      </w:r>
      <w:r w:rsidR="00F5080E">
        <w:rPr>
          <w:rFonts w:cs="Arial"/>
          <w:szCs w:val="24"/>
        </w:rPr>
        <w:t>e</w:t>
      </w:r>
      <w:r w:rsidRPr="00420029">
        <w:rPr>
          <w:rFonts w:cs="Arial"/>
          <w:szCs w:val="24"/>
        </w:rPr>
        <w:t>nèse de la leucémie myéloïde aig</w:t>
      </w:r>
      <w:r w:rsidR="005F059E">
        <w:rPr>
          <w:rFonts w:cs="Arial"/>
          <w:szCs w:val="24"/>
        </w:rPr>
        <w:t>uë</w:t>
      </w:r>
      <w:r w:rsidRPr="00420029">
        <w:rPr>
          <w:rFonts w:cs="Arial"/>
          <w:szCs w:val="24"/>
        </w:rPr>
        <w:t>, sa classification, les facteurs pronostics et les avancées majeures dans le traitement de cette maladie. Il y est noté que cette leucémie aiguë est la plus commune dans la population adulte, que l’incidence augmente avec l’âge et que dans la majorité des cas, la leucémie myéloïde aig</w:t>
      </w:r>
      <w:r w:rsidR="005F059E">
        <w:rPr>
          <w:rFonts w:cs="Arial"/>
          <w:szCs w:val="24"/>
        </w:rPr>
        <w:t>uë</w:t>
      </w:r>
      <w:r w:rsidRPr="00420029">
        <w:rPr>
          <w:rFonts w:cs="Arial"/>
          <w:szCs w:val="24"/>
        </w:rPr>
        <w:t xml:space="preserve"> apparaît </w:t>
      </w:r>
      <w:r w:rsidRPr="00420029">
        <w:rPr>
          <w:rFonts w:cs="Arial"/>
          <w:i/>
          <w:iCs/>
          <w:szCs w:val="24"/>
        </w:rPr>
        <w:t>de novo</w:t>
      </w:r>
      <w:r w:rsidRPr="00420029">
        <w:rPr>
          <w:rFonts w:cs="Arial"/>
          <w:szCs w:val="24"/>
        </w:rPr>
        <w:t xml:space="preserve"> chez des individus </w:t>
      </w:r>
      <w:r w:rsidR="00750C71" w:rsidRPr="00420029">
        <w:rPr>
          <w:rFonts w:cs="Arial"/>
          <w:szCs w:val="24"/>
        </w:rPr>
        <w:t xml:space="preserve">préalablement </w:t>
      </w:r>
      <w:r w:rsidRPr="00420029">
        <w:rPr>
          <w:rFonts w:cs="Arial"/>
          <w:szCs w:val="24"/>
        </w:rPr>
        <w:t xml:space="preserve">en santé. </w:t>
      </w:r>
    </w:p>
    <w:p w14:paraId="797A7391" w14:textId="0AB2775B" w:rsidR="00FC2C5D" w:rsidRPr="00420029" w:rsidRDefault="00750C71" w:rsidP="00A97E82">
      <w:pPr>
        <w:pStyle w:val="corpsdedcision"/>
        <w:spacing w:after="440"/>
        <w:rPr>
          <w:szCs w:val="24"/>
          <w:lang w:eastAsia="fr-FR"/>
        </w:rPr>
      </w:pPr>
      <w:r w:rsidRPr="00420029">
        <w:rPr>
          <w:rFonts w:cs="Arial"/>
          <w:szCs w:val="24"/>
        </w:rPr>
        <w:t xml:space="preserve">Cependant, le docteur Osterman ajoute </w:t>
      </w:r>
      <w:r w:rsidR="00E6629F" w:rsidRPr="00420029">
        <w:rPr>
          <w:rFonts w:cs="Arial"/>
          <w:szCs w:val="24"/>
        </w:rPr>
        <w:t xml:space="preserve">dans son opinion </w:t>
      </w:r>
      <w:r w:rsidRPr="00420029">
        <w:rPr>
          <w:rFonts w:cs="Arial"/>
          <w:szCs w:val="24"/>
        </w:rPr>
        <w:t xml:space="preserve">que </w:t>
      </w:r>
      <w:r w:rsidR="00E6629F" w:rsidRPr="00420029">
        <w:rPr>
          <w:rFonts w:cs="Arial"/>
          <w:szCs w:val="24"/>
        </w:rPr>
        <w:t>c</w:t>
      </w:r>
      <w:r w:rsidRPr="00420029">
        <w:rPr>
          <w:rFonts w:cs="Arial"/>
          <w:szCs w:val="24"/>
        </w:rPr>
        <w:t>es auteurs</w:t>
      </w:r>
      <w:r w:rsidR="00E6629F" w:rsidRPr="00420029">
        <w:rPr>
          <w:rStyle w:val="Appelnotedebasdep"/>
          <w:rFonts w:cs="Arial"/>
          <w:szCs w:val="24"/>
        </w:rPr>
        <w:footnoteReference w:id="53"/>
      </w:r>
      <w:r w:rsidRPr="00420029">
        <w:rPr>
          <w:rFonts w:cs="Arial"/>
          <w:szCs w:val="24"/>
        </w:rPr>
        <w:t xml:space="preserve"> citent une liste de certaines anomalies</w:t>
      </w:r>
      <w:r w:rsidR="00E6629F" w:rsidRPr="00420029">
        <w:rPr>
          <w:rFonts w:cs="Arial"/>
          <w:szCs w:val="24"/>
        </w:rPr>
        <w:t xml:space="preserve"> génétiques associées avec la leucémie myéloïde aig</w:t>
      </w:r>
      <w:r w:rsidR="005F059E">
        <w:rPr>
          <w:rFonts w:cs="Arial"/>
          <w:szCs w:val="24"/>
        </w:rPr>
        <w:t>uë</w:t>
      </w:r>
      <w:r w:rsidR="00E6629F" w:rsidRPr="00420029">
        <w:rPr>
          <w:rFonts w:cs="Arial"/>
          <w:szCs w:val="24"/>
        </w:rPr>
        <w:t xml:space="preserve"> et acceptée</w:t>
      </w:r>
      <w:r w:rsidR="00420029" w:rsidRPr="00420029">
        <w:rPr>
          <w:rFonts w:cs="Arial"/>
          <w:szCs w:val="24"/>
        </w:rPr>
        <w:t>s</w:t>
      </w:r>
      <w:r w:rsidR="00E6629F" w:rsidRPr="00420029">
        <w:rPr>
          <w:rFonts w:cs="Arial"/>
          <w:szCs w:val="24"/>
        </w:rPr>
        <w:t xml:space="preserve"> par </w:t>
      </w:r>
      <w:r w:rsidR="005F059E" w:rsidRPr="005F059E">
        <w:rPr>
          <w:rFonts w:cs="Arial"/>
          <w:szCs w:val="24"/>
        </w:rPr>
        <w:t>l’Organisation mondiale de la santé</w:t>
      </w:r>
      <w:r w:rsidR="00420029" w:rsidRPr="00420029">
        <w:rPr>
          <w:rFonts w:cs="Arial"/>
          <w:szCs w:val="24"/>
        </w:rPr>
        <w:t xml:space="preserve"> tout en affirmant</w:t>
      </w:r>
      <w:r w:rsidRPr="00420029">
        <w:rPr>
          <w:rFonts w:cs="Arial"/>
          <w:szCs w:val="24"/>
        </w:rPr>
        <w:t xml:space="preserve"> ensuite que le chromosome </w:t>
      </w:r>
      <w:r w:rsidR="00DE7869">
        <w:rPr>
          <w:rFonts w:cs="Arial"/>
          <w:szCs w:val="24"/>
        </w:rPr>
        <w:t>Philadelphie</w:t>
      </w:r>
      <w:r w:rsidRPr="00420029">
        <w:rPr>
          <w:rFonts w:cs="Arial"/>
          <w:szCs w:val="24"/>
        </w:rPr>
        <w:t xml:space="preserve"> n</w:t>
      </w:r>
      <w:r w:rsidR="00420029" w:rsidRPr="00420029">
        <w:rPr>
          <w:rFonts w:cs="Arial"/>
          <w:szCs w:val="24"/>
        </w:rPr>
        <w:t>’</w:t>
      </w:r>
      <w:r w:rsidRPr="00420029">
        <w:rPr>
          <w:rFonts w:cs="Arial"/>
          <w:szCs w:val="24"/>
        </w:rPr>
        <w:t xml:space="preserve">est pas </w:t>
      </w:r>
      <w:r w:rsidR="00420029" w:rsidRPr="00420029">
        <w:rPr>
          <w:rFonts w:cs="Arial"/>
          <w:szCs w:val="24"/>
        </w:rPr>
        <w:t>inclus</w:t>
      </w:r>
      <w:r w:rsidRPr="00420029">
        <w:rPr>
          <w:rFonts w:cs="Arial"/>
          <w:szCs w:val="24"/>
        </w:rPr>
        <w:t xml:space="preserve"> dans cette liste, ce qui est inexact</w:t>
      </w:r>
      <w:r w:rsidR="00420029" w:rsidRPr="00420029">
        <w:rPr>
          <w:rFonts w:cs="Arial"/>
          <w:szCs w:val="24"/>
        </w:rPr>
        <w:t>.</w:t>
      </w:r>
    </w:p>
    <w:p w14:paraId="42D5A70C" w14:textId="5880AA30" w:rsidR="008311CC" w:rsidRDefault="008D0BC7" w:rsidP="00A97E82">
      <w:pPr>
        <w:pStyle w:val="corpsdedcision"/>
        <w:spacing w:after="440"/>
        <w:rPr>
          <w:szCs w:val="24"/>
          <w:lang w:eastAsia="fr-FR"/>
        </w:rPr>
      </w:pPr>
      <w:r w:rsidRPr="006A13BE">
        <w:rPr>
          <w:szCs w:val="24"/>
          <w:lang w:eastAsia="fr-FR"/>
        </w:rPr>
        <w:t>Rappelons que le travailleur a présenté les premiers signes de sa maladie en 2020</w:t>
      </w:r>
      <w:r w:rsidR="00FC2C5D" w:rsidRPr="006A13BE">
        <w:rPr>
          <w:szCs w:val="24"/>
          <w:lang w:eastAsia="fr-FR"/>
        </w:rPr>
        <w:t xml:space="preserve">, avant </w:t>
      </w:r>
      <w:r w:rsidR="00334536">
        <w:rPr>
          <w:szCs w:val="24"/>
          <w:lang w:eastAsia="fr-FR"/>
        </w:rPr>
        <w:t>la</w:t>
      </w:r>
      <w:r w:rsidR="00FC2C5D" w:rsidRPr="006A13BE">
        <w:rPr>
          <w:szCs w:val="24"/>
          <w:lang w:eastAsia="fr-FR"/>
        </w:rPr>
        <w:t xml:space="preserve"> nouvelle </w:t>
      </w:r>
      <w:r w:rsidR="00334536" w:rsidRPr="006A13BE">
        <w:rPr>
          <w:szCs w:val="24"/>
          <w:lang w:eastAsia="fr-FR"/>
        </w:rPr>
        <w:t>classification</w:t>
      </w:r>
      <w:r w:rsidR="00334536">
        <w:rPr>
          <w:szCs w:val="24"/>
          <w:lang w:eastAsia="fr-FR"/>
        </w:rPr>
        <w:t xml:space="preserve"> de </w:t>
      </w:r>
      <w:r w:rsidR="005F059E" w:rsidRPr="005F059E">
        <w:rPr>
          <w:szCs w:val="24"/>
          <w:lang w:eastAsia="fr-FR"/>
        </w:rPr>
        <w:t>l’Organisation mondiale de la santé</w:t>
      </w:r>
      <w:r w:rsidR="00334536">
        <w:rPr>
          <w:szCs w:val="24"/>
          <w:lang w:eastAsia="fr-FR"/>
        </w:rPr>
        <w:t xml:space="preserve"> de 2022</w:t>
      </w:r>
      <w:r w:rsidR="00FC2C5D" w:rsidRPr="006A13BE">
        <w:rPr>
          <w:szCs w:val="24"/>
          <w:lang w:eastAsia="fr-FR"/>
        </w:rPr>
        <w:t xml:space="preserve">. En effet, </w:t>
      </w:r>
      <w:r w:rsidRPr="006A13BE">
        <w:rPr>
          <w:szCs w:val="24"/>
          <w:lang w:eastAsia="fr-FR"/>
        </w:rPr>
        <w:t xml:space="preserve">la note initiale d’hospitalisation de l’hématologue, le 15 février 2020, fait état d’une </w:t>
      </w:r>
      <w:r>
        <w:rPr>
          <w:lang w:eastAsia="fr-FR"/>
        </w:rPr>
        <w:t>« </w:t>
      </w:r>
      <w:r w:rsidRPr="00507259">
        <w:rPr>
          <w:rStyle w:val="Citationintgre"/>
        </w:rPr>
        <w:t>leucémie aig</w:t>
      </w:r>
      <w:r w:rsidR="005F059E">
        <w:rPr>
          <w:rStyle w:val="Citationintgre"/>
        </w:rPr>
        <w:t>uë</w:t>
      </w:r>
      <w:r w:rsidRPr="00507259">
        <w:rPr>
          <w:rStyle w:val="Citationintgre"/>
        </w:rPr>
        <w:t xml:space="preserve"> de novo, myéloïde le +</w:t>
      </w:r>
      <w:r>
        <w:rPr>
          <w:rStyle w:val="Citationintgre"/>
        </w:rPr>
        <w:t xml:space="preserve"> </w:t>
      </w:r>
      <w:r w:rsidRPr="00507259">
        <w:rPr>
          <w:rStyle w:val="Citationintgre"/>
        </w:rPr>
        <w:t>probable</w:t>
      </w:r>
      <w:r>
        <w:rPr>
          <w:lang w:eastAsia="fr-FR"/>
        </w:rPr>
        <w:t> ».</w:t>
      </w:r>
      <w:r w:rsidRPr="006A13BE">
        <w:rPr>
          <w:szCs w:val="24"/>
          <w:lang w:eastAsia="fr-FR"/>
        </w:rPr>
        <w:t xml:space="preserve"> </w:t>
      </w:r>
    </w:p>
    <w:p w14:paraId="2866E9C4" w14:textId="4B857C8E" w:rsidR="001C690A" w:rsidRPr="001C690A" w:rsidRDefault="001C690A" w:rsidP="00A97E82">
      <w:pPr>
        <w:pStyle w:val="corpsdedcision"/>
        <w:spacing w:after="440"/>
        <w:rPr>
          <w:szCs w:val="24"/>
          <w:lang w:eastAsia="fr-FR"/>
        </w:rPr>
      </w:pPr>
      <w:r w:rsidRPr="001C690A">
        <w:rPr>
          <w:szCs w:val="24"/>
          <w:lang w:eastAsia="fr-FR"/>
        </w:rPr>
        <w:t>Les hématologues traitants se sont questionnés dans le dossier du travailleur</w:t>
      </w:r>
      <w:r w:rsidR="005F059E">
        <w:rPr>
          <w:szCs w:val="24"/>
          <w:lang w:eastAsia="fr-FR"/>
        </w:rPr>
        <w:t>,</w:t>
      </w:r>
      <w:r w:rsidRPr="001C690A">
        <w:rPr>
          <w:szCs w:val="24"/>
          <w:lang w:eastAsia="fr-FR"/>
        </w:rPr>
        <w:t xml:space="preserve"> vu la présentation atypique, le caryotype complexe et le </w:t>
      </w:r>
      <w:r w:rsidRPr="006F1D09">
        <w:rPr>
          <w:szCs w:val="24"/>
          <w:lang w:eastAsia="fr-FR"/>
        </w:rPr>
        <w:t>chromosome</w:t>
      </w:r>
      <w:r w:rsidR="005F059E" w:rsidRPr="006F1D09">
        <w:rPr>
          <w:szCs w:val="24"/>
          <w:lang w:eastAsia="fr-FR"/>
        </w:rPr>
        <w:t xml:space="preserve"> </w:t>
      </w:r>
      <w:r w:rsidR="00DE7869" w:rsidRPr="006F1D09">
        <w:rPr>
          <w:szCs w:val="24"/>
          <w:lang w:eastAsia="fr-FR"/>
        </w:rPr>
        <w:t>Philadelphie</w:t>
      </w:r>
      <w:r w:rsidRPr="001C690A">
        <w:rPr>
          <w:szCs w:val="24"/>
          <w:lang w:eastAsia="fr-FR"/>
        </w:rPr>
        <w:t xml:space="preserve"> effectivement présent dans la leucémie myéloïde chronique, comme l’affirmait le docteur Osterman. Selon </w:t>
      </w:r>
      <w:r w:rsidR="005F059E" w:rsidRPr="006F1D09">
        <w:rPr>
          <w:i/>
          <w:iCs/>
          <w:szCs w:val="24"/>
          <w:lang w:eastAsia="fr-FR"/>
        </w:rPr>
        <w:t>De</w:t>
      </w:r>
      <w:r w:rsidR="005F059E">
        <w:rPr>
          <w:szCs w:val="24"/>
          <w:lang w:eastAsia="fr-FR"/>
        </w:rPr>
        <w:t xml:space="preserve"> </w:t>
      </w:r>
      <w:r w:rsidRPr="001C690A">
        <w:rPr>
          <w:rFonts w:cs="Arial"/>
          <w:i/>
          <w:iCs/>
          <w:szCs w:val="24"/>
        </w:rPr>
        <w:t>Kouchkovsky et al</w:t>
      </w:r>
      <w:r w:rsidRPr="001C690A">
        <w:rPr>
          <w:rStyle w:val="Appelnotedebasdep"/>
          <w:rFonts w:cs="Arial"/>
          <w:szCs w:val="24"/>
        </w:rPr>
        <w:footnoteReference w:id="54"/>
      </w:r>
      <w:r w:rsidRPr="001C690A">
        <w:t xml:space="preserve">, </w:t>
      </w:r>
      <w:r w:rsidRPr="001C690A">
        <w:rPr>
          <w:szCs w:val="24"/>
          <w:lang w:eastAsia="fr-FR"/>
        </w:rPr>
        <w:t xml:space="preserve">un caryotype complexe est défini par la présence de trois anomalies génétiques ou plus, absentes des anomalies génétiques récurrentes identifiées dans la classification de 2008 de </w:t>
      </w:r>
      <w:r w:rsidR="005F059E" w:rsidRPr="005F059E">
        <w:rPr>
          <w:szCs w:val="24"/>
          <w:lang w:eastAsia="fr-FR"/>
        </w:rPr>
        <w:t>l’Organisation mondiale de la santé</w:t>
      </w:r>
      <w:r w:rsidRPr="001C690A">
        <w:rPr>
          <w:szCs w:val="24"/>
          <w:lang w:eastAsia="fr-FR"/>
        </w:rPr>
        <w:t>. Selon la preuve médicale, le travailleur présente</w:t>
      </w:r>
      <w:r w:rsidR="00BE6577">
        <w:rPr>
          <w:szCs w:val="24"/>
          <w:lang w:eastAsia="fr-FR"/>
        </w:rPr>
        <w:t xml:space="preserve"> un caryotype complexe comportant</w:t>
      </w:r>
      <w:r w:rsidRPr="001C690A">
        <w:rPr>
          <w:szCs w:val="24"/>
          <w:lang w:eastAsia="fr-FR"/>
        </w:rPr>
        <w:t xml:space="preserve"> plus de trois mutations génétiques</w:t>
      </w:r>
      <w:r w:rsidR="00F5080E">
        <w:rPr>
          <w:szCs w:val="24"/>
          <w:lang w:eastAsia="fr-FR"/>
        </w:rPr>
        <w:t>,</w:t>
      </w:r>
      <w:r w:rsidRPr="001C690A">
        <w:rPr>
          <w:szCs w:val="24"/>
          <w:lang w:eastAsia="fr-FR"/>
        </w:rPr>
        <w:t xml:space="preserve"> soit 47 XY, t (3;11) (q12; p15), (9;22) (q43;</w:t>
      </w:r>
      <w:r w:rsidR="005F059E">
        <w:rPr>
          <w:szCs w:val="24"/>
          <w:lang w:eastAsia="fr-FR"/>
        </w:rPr>
        <w:t> </w:t>
      </w:r>
      <w:r w:rsidRPr="001C690A">
        <w:rPr>
          <w:szCs w:val="24"/>
          <w:lang w:eastAsia="fr-FR"/>
        </w:rPr>
        <w:t>q11.2), +19[16].</w:t>
      </w:r>
    </w:p>
    <w:p w14:paraId="60689E2D" w14:textId="0F62647C" w:rsidR="0013574C" w:rsidRDefault="0013574C" w:rsidP="00A97E82">
      <w:pPr>
        <w:pStyle w:val="corpsdedcision"/>
        <w:spacing w:after="440"/>
        <w:rPr>
          <w:szCs w:val="24"/>
          <w:lang w:eastAsia="fr-FR"/>
        </w:rPr>
      </w:pPr>
      <w:r>
        <w:rPr>
          <w:szCs w:val="24"/>
          <w:lang w:eastAsia="fr-FR"/>
        </w:rPr>
        <w:t xml:space="preserve">Ainsi, le diagnostic de leucémie myéloïde chronique en phase blastique a été posé quelques fois, mais le Tribunal constate que c’est bien le </w:t>
      </w:r>
      <w:r w:rsidR="00784B45">
        <w:rPr>
          <w:szCs w:val="24"/>
          <w:lang w:eastAsia="fr-FR"/>
        </w:rPr>
        <w:t>diagnostic</w:t>
      </w:r>
      <w:r>
        <w:rPr>
          <w:szCs w:val="24"/>
          <w:lang w:eastAsia="fr-FR"/>
        </w:rPr>
        <w:t xml:space="preserve"> de leucémie myéloïde aig</w:t>
      </w:r>
      <w:r w:rsidR="005F059E">
        <w:rPr>
          <w:szCs w:val="24"/>
          <w:lang w:eastAsia="fr-FR"/>
        </w:rPr>
        <w:t xml:space="preserve">uë </w:t>
      </w:r>
      <w:r>
        <w:rPr>
          <w:szCs w:val="24"/>
          <w:lang w:eastAsia="fr-FR"/>
        </w:rPr>
        <w:t xml:space="preserve">qui est repris dans le dossier de suivi oncologique dès </w:t>
      </w:r>
      <w:r w:rsidR="005F059E" w:rsidRPr="006F1D09">
        <w:rPr>
          <w:szCs w:val="24"/>
          <w:lang w:eastAsia="fr-FR"/>
        </w:rPr>
        <w:t>le mois de</w:t>
      </w:r>
      <w:r w:rsidR="005F059E">
        <w:rPr>
          <w:szCs w:val="24"/>
          <w:lang w:eastAsia="fr-FR"/>
        </w:rPr>
        <w:t xml:space="preserve"> </w:t>
      </w:r>
      <w:r>
        <w:rPr>
          <w:szCs w:val="24"/>
          <w:lang w:eastAsia="fr-FR"/>
        </w:rPr>
        <w:t xml:space="preserve">mars 2020, et de façon constante à partir de mai 2020. De plus, </w:t>
      </w:r>
      <w:r w:rsidR="00F5080E">
        <w:rPr>
          <w:szCs w:val="24"/>
          <w:lang w:eastAsia="fr-FR"/>
        </w:rPr>
        <w:t xml:space="preserve">la </w:t>
      </w:r>
      <w:r>
        <w:rPr>
          <w:szCs w:val="24"/>
          <w:lang w:eastAsia="fr-FR"/>
        </w:rPr>
        <w:t>docteure Bernard indique le diagnostic de leucémie myéloïde aig</w:t>
      </w:r>
      <w:r w:rsidR="005F059E">
        <w:rPr>
          <w:szCs w:val="24"/>
          <w:lang w:eastAsia="fr-FR"/>
        </w:rPr>
        <w:t>uë</w:t>
      </w:r>
      <w:r>
        <w:rPr>
          <w:szCs w:val="24"/>
          <w:lang w:eastAsia="fr-FR"/>
        </w:rPr>
        <w:t xml:space="preserve"> dans le formulaire d’assurance qu’elle a </w:t>
      </w:r>
      <w:r w:rsidR="00F5080E">
        <w:rPr>
          <w:szCs w:val="24"/>
          <w:lang w:eastAsia="fr-FR"/>
        </w:rPr>
        <w:t>rempli</w:t>
      </w:r>
      <w:r>
        <w:rPr>
          <w:szCs w:val="24"/>
          <w:lang w:eastAsia="fr-FR"/>
        </w:rPr>
        <w:t xml:space="preserve"> le 8</w:t>
      </w:r>
      <w:r w:rsidR="005F059E">
        <w:rPr>
          <w:szCs w:val="24"/>
          <w:lang w:eastAsia="fr-FR"/>
        </w:rPr>
        <w:t> </w:t>
      </w:r>
      <w:r>
        <w:rPr>
          <w:szCs w:val="24"/>
          <w:lang w:eastAsia="fr-FR"/>
        </w:rPr>
        <w:t>janvier</w:t>
      </w:r>
      <w:r w:rsidR="005F059E">
        <w:rPr>
          <w:szCs w:val="24"/>
          <w:lang w:eastAsia="fr-FR"/>
        </w:rPr>
        <w:t> </w:t>
      </w:r>
      <w:r>
        <w:rPr>
          <w:szCs w:val="24"/>
          <w:lang w:eastAsia="fr-FR"/>
        </w:rPr>
        <w:t>2021.</w:t>
      </w:r>
    </w:p>
    <w:p w14:paraId="6F64F305" w14:textId="65D46879" w:rsidR="00784B45" w:rsidRDefault="00784B45" w:rsidP="00A97E82">
      <w:pPr>
        <w:pStyle w:val="corpsdedcision"/>
        <w:spacing w:after="440"/>
        <w:rPr>
          <w:szCs w:val="24"/>
          <w:lang w:eastAsia="fr-FR"/>
        </w:rPr>
      </w:pPr>
      <w:r>
        <w:rPr>
          <w:szCs w:val="24"/>
          <w:lang w:eastAsia="fr-FR"/>
        </w:rPr>
        <w:t>Dès 2013, dans la littérature, certains cas de leucémie myéloïde chronique en phase blastique sans phase chronique ou accélérée sont documentés</w:t>
      </w:r>
      <w:r>
        <w:rPr>
          <w:rStyle w:val="Appelnotedebasdep"/>
          <w:szCs w:val="24"/>
          <w:lang w:eastAsia="fr-FR"/>
        </w:rPr>
        <w:footnoteReference w:id="55"/>
      </w:r>
      <w:r w:rsidR="00547066">
        <w:rPr>
          <w:szCs w:val="24"/>
          <w:lang w:eastAsia="fr-FR"/>
        </w:rPr>
        <w:t xml:space="preserve">. Les données de l’étude consultée ajoutent d’autres évidences </w:t>
      </w:r>
      <w:r w:rsidR="00420029">
        <w:rPr>
          <w:szCs w:val="24"/>
          <w:lang w:eastAsia="fr-FR"/>
        </w:rPr>
        <w:t xml:space="preserve">voulant </w:t>
      </w:r>
      <w:r w:rsidR="00547066">
        <w:rPr>
          <w:szCs w:val="24"/>
          <w:lang w:eastAsia="fr-FR"/>
        </w:rPr>
        <w:t>que la leucémie myéloïde aig</w:t>
      </w:r>
      <w:r w:rsidR="005F059E">
        <w:rPr>
          <w:szCs w:val="24"/>
          <w:lang w:eastAsia="fr-FR"/>
        </w:rPr>
        <w:t>uë</w:t>
      </w:r>
      <w:r w:rsidR="00547066">
        <w:rPr>
          <w:szCs w:val="24"/>
          <w:lang w:eastAsia="fr-FR"/>
        </w:rPr>
        <w:t xml:space="preserve"> avec </w:t>
      </w:r>
      <w:r w:rsidR="005E7C9C" w:rsidRPr="006F1D09">
        <w:rPr>
          <w:szCs w:val="24"/>
          <w:lang w:eastAsia="fr-FR"/>
        </w:rPr>
        <w:t>chromosome</w:t>
      </w:r>
      <w:r w:rsidR="005F059E" w:rsidRPr="006F1D09">
        <w:rPr>
          <w:szCs w:val="24"/>
          <w:lang w:eastAsia="fr-FR"/>
        </w:rPr>
        <w:t xml:space="preserve"> </w:t>
      </w:r>
      <w:r w:rsidR="00DE7869" w:rsidRPr="006F1D09">
        <w:rPr>
          <w:szCs w:val="24"/>
          <w:lang w:eastAsia="fr-FR"/>
        </w:rPr>
        <w:t>Philadelphie</w:t>
      </w:r>
      <w:r w:rsidR="00547066" w:rsidRPr="006F1D09">
        <w:rPr>
          <w:szCs w:val="24"/>
          <w:lang w:eastAsia="fr-FR"/>
        </w:rPr>
        <w:t xml:space="preserve"> est</w:t>
      </w:r>
      <w:r w:rsidR="00547066">
        <w:rPr>
          <w:szCs w:val="24"/>
          <w:lang w:eastAsia="fr-FR"/>
        </w:rPr>
        <w:t xml:space="preserve"> une entité distincte de la leucémie myéloïde chronique en phase blastique</w:t>
      </w:r>
      <w:r w:rsidR="00547066">
        <w:rPr>
          <w:rStyle w:val="Appelnotedebasdep"/>
          <w:szCs w:val="24"/>
          <w:lang w:eastAsia="fr-FR"/>
        </w:rPr>
        <w:footnoteReference w:id="56"/>
      </w:r>
      <w:r w:rsidR="00547066">
        <w:rPr>
          <w:szCs w:val="24"/>
          <w:lang w:eastAsia="fr-FR"/>
        </w:rPr>
        <w:t>.</w:t>
      </w:r>
    </w:p>
    <w:p w14:paraId="2E32F604" w14:textId="6C83EC09" w:rsidR="00547066" w:rsidRPr="006F1D09" w:rsidRDefault="00547066" w:rsidP="00A97E82">
      <w:pPr>
        <w:pStyle w:val="corpsdedcision"/>
        <w:spacing w:after="440"/>
        <w:rPr>
          <w:szCs w:val="24"/>
          <w:lang w:eastAsia="fr-FR"/>
        </w:rPr>
      </w:pPr>
      <w:r w:rsidRPr="00420029">
        <w:rPr>
          <w:szCs w:val="24"/>
          <w:lang w:eastAsia="fr-FR"/>
        </w:rPr>
        <w:t>En 2016,</w:t>
      </w:r>
      <w:r w:rsidR="00420029" w:rsidRPr="00420029">
        <w:rPr>
          <w:szCs w:val="24"/>
          <w:lang w:eastAsia="fr-FR"/>
        </w:rPr>
        <w:t xml:space="preserve"> les auteurs</w:t>
      </w:r>
      <w:r w:rsidRPr="00420029">
        <w:rPr>
          <w:szCs w:val="24"/>
          <w:lang w:eastAsia="fr-FR"/>
        </w:rPr>
        <w:t xml:space="preserve"> </w:t>
      </w:r>
      <w:r w:rsidRPr="00420029">
        <w:rPr>
          <w:i/>
          <w:iCs/>
          <w:szCs w:val="24"/>
          <w:lang w:eastAsia="fr-FR"/>
        </w:rPr>
        <w:t>Neuendorff et al</w:t>
      </w:r>
      <w:r w:rsidRPr="00420029">
        <w:rPr>
          <w:szCs w:val="24"/>
          <w:lang w:eastAsia="fr-FR"/>
        </w:rPr>
        <w:t>.</w:t>
      </w:r>
      <w:r w:rsidRPr="00420029">
        <w:rPr>
          <w:rStyle w:val="Appelnotedebasdep"/>
          <w:szCs w:val="24"/>
          <w:lang w:eastAsia="fr-FR"/>
        </w:rPr>
        <w:footnoteReference w:id="57"/>
      </w:r>
      <w:r w:rsidR="008065DE" w:rsidRPr="00420029">
        <w:rPr>
          <w:szCs w:val="24"/>
          <w:lang w:eastAsia="fr-FR"/>
        </w:rPr>
        <w:t xml:space="preserve"> rapportent une évidence croissante suggérant que la leucémie myéloïde aig</w:t>
      </w:r>
      <w:r w:rsidR="005F059E">
        <w:rPr>
          <w:szCs w:val="24"/>
          <w:lang w:eastAsia="fr-FR"/>
        </w:rPr>
        <w:t>uë</w:t>
      </w:r>
      <w:r w:rsidR="005F059E" w:rsidRPr="005F059E">
        <w:rPr>
          <w:szCs w:val="24"/>
          <w:lang w:eastAsia="fr-FR"/>
        </w:rPr>
        <w:t xml:space="preserve"> </w:t>
      </w:r>
      <w:r w:rsidR="008065DE" w:rsidRPr="00420029">
        <w:rPr>
          <w:szCs w:val="24"/>
          <w:lang w:eastAsia="fr-FR"/>
        </w:rPr>
        <w:t>BCR :</w:t>
      </w:r>
      <w:r w:rsidR="005E7C9C" w:rsidRPr="00420029">
        <w:rPr>
          <w:szCs w:val="24"/>
          <w:lang w:eastAsia="fr-FR"/>
        </w:rPr>
        <w:t xml:space="preserve"> </w:t>
      </w:r>
      <w:r w:rsidR="008065DE" w:rsidRPr="00420029">
        <w:rPr>
          <w:szCs w:val="24"/>
          <w:lang w:eastAsia="fr-FR"/>
        </w:rPr>
        <w:t>ABL+ est en fait un sous-groupe distinct de leucémie myéloïde aig</w:t>
      </w:r>
      <w:r w:rsidR="005F059E">
        <w:rPr>
          <w:szCs w:val="24"/>
          <w:lang w:eastAsia="fr-FR"/>
        </w:rPr>
        <w:t>uë</w:t>
      </w:r>
      <w:r w:rsidR="008065DE" w:rsidRPr="00420029">
        <w:rPr>
          <w:szCs w:val="24"/>
          <w:lang w:eastAsia="fr-FR"/>
        </w:rPr>
        <w:t xml:space="preserve"> </w:t>
      </w:r>
      <w:r w:rsidR="00E44785" w:rsidRPr="00420029">
        <w:rPr>
          <w:szCs w:val="24"/>
          <w:lang w:eastAsia="fr-FR"/>
        </w:rPr>
        <w:t>qui n’est pas une</w:t>
      </w:r>
      <w:r w:rsidR="008065DE" w:rsidRPr="00420029">
        <w:rPr>
          <w:szCs w:val="24"/>
          <w:lang w:eastAsia="fr-FR"/>
        </w:rPr>
        <w:t xml:space="preserve"> leucémie myéloïde chronique. Ils reconnaissent qu’une distinction claire entre la leucémie myéloïde aig</w:t>
      </w:r>
      <w:r w:rsidR="004B590C">
        <w:rPr>
          <w:szCs w:val="24"/>
          <w:lang w:eastAsia="fr-FR"/>
        </w:rPr>
        <w:t>uë</w:t>
      </w:r>
      <w:r w:rsidR="008065DE" w:rsidRPr="00420029">
        <w:rPr>
          <w:szCs w:val="24"/>
          <w:lang w:eastAsia="fr-FR"/>
        </w:rPr>
        <w:t xml:space="preserve"> BCR :</w:t>
      </w:r>
      <w:r w:rsidR="005E7C9C" w:rsidRPr="00420029">
        <w:rPr>
          <w:szCs w:val="24"/>
          <w:lang w:eastAsia="fr-FR"/>
        </w:rPr>
        <w:t xml:space="preserve"> </w:t>
      </w:r>
      <w:r w:rsidR="008065DE" w:rsidRPr="00420029">
        <w:rPr>
          <w:szCs w:val="24"/>
          <w:lang w:eastAsia="fr-FR"/>
        </w:rPr>
        <w:t xml:space="preserve">ABL+ et la leucémie myéloïde chronique en phase blastique constitue un défi diagnostique dans plusieurs cas et que son existence est matière à débat depuis longtemps. Toutefois, les nombreux rapports de cas publiés diminuent le doute sur l’existence de </w:t>
      </w:r>
      <w:r w:rsidR="00C55CF7" w:rsidRPr="00420029">
        <w:rPr>
          <w:szCs w:val="24"/>
          <w:lang w:eastAsia="fr-FR"/>
        </w:rPr>
        <w:t>la leucémie myéloïde aig</w:t>
      </w:r>
      <w:r w:rsidR="005F059E">
        <w:rPr>
          <w:szCs w:val="24"/>
          <w:lang w:eastAsia="fr-FR"/>
        </w:rPr>
        <w:t>uë</w:t>
      </w:r>
      <w:r w:rsidR="00C55CF7" w:rsidRPr="00420029">
        <w:rPr>
          <w:szCs w:val="24"/>
          <w:lang w:eastAsia="fr-FR"/>
        </w:rPr>
        <w:t xml:space="preserve"> BCR</w:t>
      </w:r>
      <w:r w:rsidR="00420029" w:rsidRPr="00420029">
        <w:rPr>
          <w:szCs w:val="24"/>
          <w:lang w:eastAsia="fr-FR"/>
        </w:rPr>
        <w:t xml:space="preserve"> : ABL</w:t>
      </w:r>
      <w:r w:rsidR="00C55CF7" w:rsidRPr="00420029">
        <w:rPr>
          <w:szCs w:val="24"/>
          <w:lang w:eastAsia="fr-FR"/>
        </w:rPr>
        <w:t xml:space="preserve">+ </w:t>
      </w:r>
      <w:r w:rsidR="000D5142" w:rsidRPr="00420029">
        <w:rPr>
          <w:szCs w:val="24"/>
          <w:lang w:eastAsia="fr-FR"/>
        </w:rPr>
        <w:t>(chromosome</w:t>
      </w:r>
      <w:r w:rsidR="005F059E">
        <w:rPr>
          <w:szCs w:val="24"/>
          <w:lang w:eastAsia="fr-FR"/>
        </w:rPr>
        <w:t xml:space="preserve"> </w:t>
      </w:r>
      <w:r w:rsidR="00DE7869" w:rsidRPr="006F1D09">
        <w:rPr>
          <w:szCs w:val="24"/>
          <w:lang w:eastAsia="fr-FR"/>
        </w:rPr>
        <w:t>Philadelphie</w:t>
      </w:r>
      <w:r w:rsidR="000D5142" w:rsidRPr="006F1D09">
        <w:rPr>
          <w:szCs w:val="24"/>
          <w:lang w:eastAsia="fr-FR"/>
        </w:rPr>
        <w:t>)</w:t>
      </w:r>
      <w:r w:rsidR="00420029" w:rsidRPr="006F1D09">
        <w:rPr>
          <w:szCs w:val="24"/>
          <w:lang w:eastAsia="fr-FR"/>
        </w:rPr>
        <w:t>.</w:t>
      </w:r>
    </w:p>
    <w:p w14:paraId="14C7AA94" w14:textId="4BFAB38D" w:rsidR="008065DE" w:rsidRDefault="00420029" w:rsidP="00A97E82">
      <w:pPr>
        <w:pStyle w:val="corpsdedcision"/>
        <w:spacing w:after="440"/>
        <w:rPr>
          <w:szCs w:val="24"/>
          <w:lang w:eastAsia="fr-FR"/>
        </w:rPr>
      </w:pPr>
      <w:r>
        <w:rPr>
          <w:lang w:eastAsia="fr-FR"/>
        </w:rPr>
        <w:t>C</w:t>
      </w:r>
      <w:r w:rsidR="008065DE">
        <w:rPr>
          <w:lang w:eastAsia="fr-FR"/>
        </w:rPr>
        <w:t>es auteurs</w:t>
      </w:r>
      <w:r w:rsidR="00C55CF7">
        <w:rPr>
          <w:rStyle w:val="Appelnotedebasdep"/>
          <w:lang w:eastAsia="fr-FR"/>
        </w:rPr>
        <w:footnoteReference w:id="58"/>
      </w:r>
      <w:r w:rsidR="008065DE">
        <w:rPr>
          <w:lang w:eastAsia="fr-FR"/>
        </w:rPr>
        <w:t xml:space="preserve"> ont étudié les cas publiés de</w:t>
      </w:r>
      <w:r w:rsidR="008065DE" w:rsidRPr="008065DE">
        <w:rPr>
          <w:lang w:eastAsia="fr-FR"/>
        </w:rPr>
        <w:t xml:space="preserve"> </w:t>
      </w:r>
      <w:r w:rsidR="008065DE">
        <w:rPr>
          <w:lang w:eastAsia="fr-FR"/>
        </w:rPr>
        <w:t>leucémie myéloïde aig</w:t>
      </w:r>
      <w:r w:rsidR="005F059E">
        <w:rPr>
          <w:lang w:eastAsia="fr-FR"/>
        </w:rPr>
        <w:t>uë</w:t>
      </w:r>
      <w:r w:rsidR="008065DE">
        <w:rPr>
          <w:lang w:eastAsia="fr-FR"/>
        </w:rPr>
        <w:t xml:space="preserve"> BCR :</w:t>
      </w:r>
      <w:r w:rsidR="005E7C9C">
        <w:rPr>
          <w:lang w:eastAsia="fr-FR"/>
        </w:rPr>
        <w:t xml:space="preserve"> </w:t>
      </w:r>
      <w:r w:rsidR="008065DE">
        <w:rPr>
          <w:lang w:eastAsia="fr-FR"/>
        </w:rPr>
        <w:t xml:space="preserve">ABL+ depuis 1975 et les cas recensés depuis 1998 dans leur institution, et ce, dans le but de </w:t>
      </w:r>
      <w:r w:rsidR="008065DE" w:rsidRPr="008065DE">
        <w:rPr>
          <w:lang w:eastAsia="fr-FR"/>
        </w:rPr>
        <w:t>présenter les caractéristiques cliniques et moléculaires communes de cette maladie</w:t>
      </w:r>
      <w:r w:rsidR="008065DE">
        <w:rPr>
          <w:lang w:eastAsia="fr-FR"/>
        </w:rPr>
        <w:t>. Ils proposent un</w:t>
      </w:r>
      <w:r w:rsidR="008065DE" w:rsidRPr="008065DE">
        <w:rPr>
          <w:szCs w:val="24"/>
          <w:lang w:eastAsia="fr-FR"/>
        </w:rPr>
        <w:t xml:space="preserve"> algorithme pour le diagnostic différentiel initial de</w:t>
      </w:r>
      <w:r w:rsidR="0062589E">
        <w:rPr>
          <w:szCs w:val="24"/>
          <w:lang w:eastAsia="fr-FR"/>
        </w:rPr>
        <w:t xml:space="preserve"> la</w:t>
      </w:r>
      <w:r w:rsidR="008065DE" w:rsidRPr="008065DE">
        <w:rPr>
          <w:szCs w:val="24"/>
          <w:lang w:eastAsia="fr-FR"/>
        </w:rPr>
        <w:t xml:space="preserve"> </w:t>
      </w:r>
      <w:r w:rsidR="0062589E">
        <w:rPr>
          <w:lang w:eastAsia="fr-FR"/>
        </w:rPr>
        <w:t>leucémie myéloïde aig</w:t>
      </w:r>
      <w:r w:rsidR="005F059E">
        <w:rPr>
          <w:lang w:eastAsia="fr-FR"/>
        </w:rPr>
        <w:t>uë</w:t>
      </w:r>
      <w:r w:rsidR="0062589E">
        <w:rPr>
          <w:lang w:eastAsia="fr-FR"/>
        </w:rPr>
        <w:t xml:space="preserve"> BCR :</w:t>
      </w:r>
      <w:r w:rsidR="005E7C9C">
        <w:rPr>
          <w:lang w:eastAsia="fr-FR"/>
        </w:rPr>
        <w:t xml:space="preserve"> </w:t>
      </w:r>
      <w:r w:rsidR="0062589E">
        <w:rPr>
          <w:lang w:eastAsia="fr-FR"/>
        </w:rPr>
        <w:t>ABL+</w:t>
      </w:r>
      <w:r w:rsidR="0062589E">
        <w:rPr>
          <w:szCs w:val="24"/>
          <w:lang w:eastAsia="fr-FR"/>
        </w:rPr>
        <w:t xml:space="preserve"> afin de le différencier de la leucémie myéloïde chronique en phase blastique. Enfin, ces deux maladies demeurent des événements rares.</w:t>
      </w:r>
    </w:p>
    <w:p w14:paraId="550423C6" w14:textId="64AB3E16" w:rsidR="009E2ED3" w:rsidRPr="008065DE" w:rsidRDefault="009E2ED3" w:rsidP="00A97E82">
      <w:pPr>
        <w:pStyle w:val="corpsdedcision"/>
        <w:spacing w:after="440"/>
        <w:rPr>
          <w:szCs w:val="24"/>
          <w:lang w:eastAsia="fr-FR"/>
        </w:rPr>
      </w:pPr>
      <w:r>
        <w:rPr>
          <w:szCs w:val="24"/>
          <w:lang w:eastAsia="fr-FR"/>
        </w:rPr>
        <w:t>D’ailleurs, une étude de cas récente</w:t>
      </w:r>
      <w:r>
        <w:rPr>
          <w:rStyle w:val="Appelnotedebasdep"/>
          <w:szCs w:val="24"/>
          <w:lang w:eastAsia="fr-FR"/>
        </w:rPr>
        <w:footnoteReference w:id="59"/>
      </w:r>
      <w:r>
        <w:rPr>
          <w:szCs w:val="24"/>
          <w:lang w:eastAsia="fr-FR"/>
        </w:rPr>
        <w:t xml:space="preserve"> affirme que la leucémie myéloïde aig</w:t>
      </w:r>
      <w:r w:rsidR="00480FC2">
        <w:rPr>
          <w:szCs w:val="24"/>
          <w:lang w:eastAsia="fr-FR"/>
        </w:rPr>
        <w:t>uë</w:t>
      </w:r>
      <w:r>
        <w:rPr>
          <w:szCs w:val="24"/>
          <w:lang w:eastAsia="fr-FR"/>
        </w:rPr>
        <w:t xml:space="preserve"> avec chromosome </w:t>
      </w:r>
      <w:r w:rsidR="00DE7869">
        <w:rPr>
          <w:szCs w:val="24"/>
          <w:lang w:eastAsia="fr-FR"/>
        </w:rPr>
        <w:t>Philadelphie</w:t>
      </w:r>
      <w:r>
        <w:rPr>
          <w:szCs w:val="24"/>
          <w:lang w:eastAsia="fr-FR"/>
        </w:rPr>
        <w:t xml:space="preserve"> </w:t>
      </w:r>
      <w:r w:rsidRPr="009E2ED3">
        <w:rPr>
          <w:szCs w:val="24"/>
          <w:lang w:eastAsia="fr-FR"/>
        </w:rPr>
        <w:t xml:space="preserve">est une entité rare qu’on croyait initialement dérivée de la </w:t>
      </w:r>
      <w:r>
        <w:rPr>
          <w:szCs w:val="24"/>
          <w:lang w:eastAsia="fr-FR"/>
        </w:rPr>
        <w:t>leucémie myéloïde chronique</w:t>
      </w:r>
      <w:r w:rsidRPr="009E2ED3">
        <w:rPr>
          <w:szCs w:val="24"/>
          <w:lang w:eastAsia="fr-FR"/>
        </w:rPr>
        <w:t xml:space="preserve"> en phase blastique</w:t>
      </w:r>
      <w:r>
        <w:rPr>
          <w:szCs w:val="24"/>
          <w:lang w:eastAsia="fr-FR"/>
        </w:rPr>
        <w:t>,</w:t>
      </w:r>
      <w:r w:rsidRPr="009E2ED3">
        <w:rPr>
          <w:szCs w:val="24"/>
          <w:lang w:eastAsia="fr-FR"/>
        </w:rPr>
        <w:t xml:space="preserve"> mais</w:t>
      </w:r>
      <w:r w:rsidR="006C3B87" w:rsidRPr="009E2ED3">
        <w:rPr>
          <w:szCs w:val="24"/>
          <w:lang w:eastAsia="fr-FR"/>
        </w:rPr>
        <w:t xml:space="preserve"> </w:t>
      </w:r>
      <w:r w:rsidR="00420029">
        <w:rPr>
          <w:szCs w:val="24"/>
          <w:lang w:eastAsia="fr-FR"/>
        </w:rPr>
        <w:t xml:space="preserve">énonce que </w:t>
      </w:r>
      <w:r w:rsidR="006C3B87" w:rsidRPr="009E2ED3">
        <w:rPr>
          <w:szCs w:val="24"/>
          <w:lang w:eastAsia="fr-FR"/>
        </w:rPr>
        <w:t>des études</w:t>
      </w:r>
      <w:r w:rsidR="00420029">
        <w:rPr>
          <w:szCs w:val="24"/>
          <w:lang w:eastAsia="fr-FR"/>
        </w:rPr>
        <w:t xml:space="preserve"> </w:t>
      </w:r>
      <w:r w:rsidR="006C3B87" w:rsidRPr="009E2ED3">
        <w:rPr>
          <w:szCs w:val="24"/>
          <w:lang w:eastAsia="fr-FR"/>
        </w:rPr>
        <w:t>ont montré que</w:t>
      </w:r>
      <w:r w:rsidRPr="009E2ED3">
        <w:rPr>
          <w:szCs w:val="24"/>
          <w:lang w:eastAsia="fr-FR"/>
        </w:rPr>
        <w:t xml:space="preserve"> la </w:t>
      </w:r>
      <w:r>
        <w:rPr>
          <w:szCs w:val="24"/>
          <w:lang w:eastAsia="fr-FR"/>
        </w:rPr>
        <w:t>leucémie myéloïde aig</w:t>
      </w:r>
      <w:r w:rsidR="00480FC2">
        <w:rPr>
          <w:szCs w:val="24"/>
          <w:lang w:eastAsia="fr-FR"/>
        </w:rPr>
        <w:t>uë</w:t>
      </w:r>
      <w:r>
        <w:rPr>
          <w:szCs w:val="24"/>
          <w:lang w:eastAsia="fr-FR"/>
        </w:rPr>
        <w:t xml:space="preserve"> avec chromosome </w:t>
      </w:r>
      <w:r w:rsidR="00DE7869" w:rsidRPr="0071029F">
        <w:rPr>
          <w:szCs w:val="24"/>
          <w:lang w:eastAsia="fr-FR"/>
        </w:rPr>
        <w:t>Philadelphie</w:t>
      </w:r>
      <w:r w:rsidRPr="0071029F">
        <w:rPr>
          <w:szCs w:val="24"/>
          <w:lang w:eastAsia="fr-FR"/>
        </w:rPr>
        <w:t xml:space="preserve"> primaire présentait des caractéristiques cliniques et de laboratoire distinctes de celles</w:t>
      </w:r>
      <w:r w:rsidRPr="009E2ED3">
        <w:rPr>
          <w:szCs w:val="24"/>
          <w:lang w:eastAsia="fr-FR"/>
        </w:rPr>
        <w:t xml:space="preserve"> de la </w:t>
      </w:r>
      <w:r>
        <w:rPr>
          <w:szCs w:val="24"/>
          <w:lang w:eastAsia="fr-FR"/>
        </w:rPr>
        <w:t>leucémie myéloïde chronique</w:t>
      </w:r>
      <w:r w:rsidRPr="009E2ED3">
        <w:rPr>
          <w:szCs w:val="24"/>
          <w:lang w:eastAsia="fr-FR"/>
        </w:rPr>
        <w:t xml:space="preserve"> en phase blastique</w:t>
      </w:r>
      <w:r>
        <w:rPr>
          <w:szCs w:val="24"/>
          <w:lang w:eastAsia="fr-FR"/>
        </w:rPr>
        <w:t>.</w:t>
      </w:r>
    </w:p>
    <w:p w14:paraId="1931625E" w14:textId="132009BF" w:rsidR="00CD6DF9" w:rsidRPr="00CD6DF9" w:rsidRDefault="0013574C" w:rsidP="00A97E82">
      <w:pPr>
        <w:pStyle w:val="corpsdedcision"/>
        <w:spacing w:after="440"/>
        <w:rPr>
          <w:szCs w:val="24"/>
          <w:lang w:eastAsia="fr-FR"/>
        </w:rPr>
      </w:pPr>
      <w:r>
        <w:rPr>
          <w:lang w:eastAsia="fr-FR"/>
        </w:rPr>
        <w:t>L</w:t>
      </w:r>
      <w:r w:rsidR="006A13BE" w:rsidRPr="006A13BE">
        <w:rPr>
          <w:lang w:eastAsia="fr-FR"/>
        </w:rPr>
        <w:t xml:space="preserve">a littérature médicale </w:t>
      </w:r>
      <w:r w:rsidR="006A13BE">
        <w:rPr>
          <w:lang w:eastAsia="fr-FR"/>
        </w:rPr>
        <w:t xml:space="preserve">récente </w:t>
      </w:r>
      <w:r w:rsidR="006A13BE" w:rsidRPr="006A13BE">
        <w:rPr>
          <w:lang w:eastAsia="fr-FR"/>
        </w:rPr>
        <w:t>soutient</w:t>
      </w:r>
      <w:r w:rsidR="009E2ED3">
        <w:rPr>
          <w:lang w:eastAsia="fr-FR"/>
        </w:rPr>
        <w:t xml:space="preserve"> donc</w:t>
      </w:r>
      <w:r w:rsidR="006A13BE" w:rsidRPr="006A13BE">
        <w:rPr>
          <w:lang w:eastAsia="fr-FR"/>
        </w:rPr>
        <w:t xml:space="preserve"> l’hypothèse que la présentation clinique chez le travailleur correspond finalement au diagnostic de leucémie myéloïde aig</w:t>
      </w:r>
      <w:r w:rsidR="00480FC2">
        <w:rPr>
          <w:lang w:eastAsia="fr-FR"/>
        </w:rPr>
        <w:t>uë</w:t>
      </w:r>
      <w:r w:rsidR="006A13BE" w:rsidRPr="006A13BE">
        <w:rPr>
          <w:lang w:eastAsia="fr-FR"/>
        </w:rPr>
        <w:t xml:space="preserve"> avec </w:t>
      </w:r>
      <w:r w:rsidR="005E7C9C">
        <w:rPr>
          <w:lang w:eastAsia="fr-FR"/>
        </w:rPr>
        <w:t>chromosome</w:t>
      </w:r>
      <w:r w:rsidR="00480FC2">
        <w:rPr>
          <w:lang w:eastAsia="fr-FR"/>
        </w:rPr>
        <w:t xml:space="preserve"> </w:t>
      </w:r>
      <w:r w:rsidR="00DE7869">
        <w:rPr>
          <w:lang w:eastAsia="fr-FR"/>
        </w:rPr>
        <w:t>Philadelphie</w:t>
      </w:r>
      <w:r w:rsidR="006A13BE">
        <w:rPr>
          <w:lang w:eastAsia="fr-FR"/>
        </w:rPr>
        <w:t xml:space="preserve">, qui demeure </w:t>
      </w:r>
      <w:r w:rsidR="006A13BE" w:rsidRPr="006A13BE">
        <w:rPr>
          <w:lang w:eastAsia="fr-FR"/>
        </w:rPr>
        <w:t>une entité rare, mais reconnue</w:t>
      </w:r>
      <w:r w:rsidR="00A66249">
        <w:rPr>
          <w:lang w:eastAsia="fr-FR"/>
        </w:rPr>
        <w:t xml:space="preserve"> </w:t>
      </w:r>
      <w:r w:rsidR="006A13BE" w:rsidRPr="006A13BE">
        <w:rPr>
          <w:lang w:eastAsia="fr-FR"/>
        </w:rPr>
        <w:t>dans la littérature médicale à jour</w:t>
      </w:r>
      <w:r w:rsidR="009E2ED3">
        <w:rPr>
          <w:lang w:eastAsia="fr-FR"/>
        </w:rPr>
        <w:t>. Ce n’est plus une classification provisoire depuis 2022.</w:t>
      </w:r>
      <w:r w:rsidR="006A13BE" w:rsidRPr="006A13BE">
        <w:rPr>
          <w:lang w:eastAsia="fr-FR"/>
        </w:rPr>
        <w:t xml:space="preserve"> </w:t>
      </w:r>
      <w:r w:rsidR="00CD6DF9">
        <w:rPr>
          <w:lang w:eastAsia="fr-FR"/>
        </w:rPr>
        <w:t>Enfin,</w:t>
      </w:r>
      <w:r w:rsidR="00CD6DF9" w:rsidRPr="00CD6DF9">
        <w:t xml:space="preserve"> </w:t>
      </w:r>
      <w:r w:rsidR="00CD6DF9">
        <w:rPr>
          <w:szCs w:val="24"/>
          <w:lang w:eastAsia="fr-FR"/>
        </w:rPr>
        <w:t>c</w:t>
      </w:r>
      <w:r w:rsidR="00CD6DF9" w:rsidRPr="00CD6DF9">
        <w:rPr>
          <w:szCs w:val="24"/>
          <w:lang w:eastAsia="fr-FR"/>
        </w:rPr>
        <w:t>ertaines caractéristiques cliniques, morphologiques, cytogénétiques permettraient de la différencier de la leucémie myéloïde chronique en phase blastique d’emblée</w:t>
      </w:r>
      <w:r w:rsidR="00CD6DF9">
        <w:rPr>
          <w:szCs w:val="24"/>
          <w:lang w:eastAsia="fr-FR"/>
        </w:rPr>
        <w:t>, même si elles</w:t>
      </w:r>
      <w:r w:rsidR="00CD6DF9" w:rsidRPr="00CD6DF9">
        <w:rPr>
          <w:szCs w:val="24"/>
          <w:lang w:eastAsia="fr-FR"/>
        </w:rPr>
        <w:t xml:space="preserve"> ne sont pas encore officiellement acceptées.</w:t>
      </w:r>
    </w:p>
    <w:p w14:paraId="4AD7B7EE" w14:textId="435A1FCD" w:rsidR="006A13BE" w:rsidRPr="0071029F" w:rsidRDefault="00CD6DF9" w:rsidP="00A97E82">
      <w:pPr>
        <w:pStyle w:val="corpsdedcision"/>
        <w:spacing w:after="440"/>
        <w:rPr>
          <w:szCs w:val="24"/>
          <w:lang w:eastAsia="fr-FR"/>
        </w:rPr>
      </w:pPr>
      <w:r w:rsidRPr="0071029F">
        <w:rPr>
          <w:szCs w:val="24"/>
          <w:lang w:eastAsia="fr-FR"/>
        </w:rPr>
        <w:t xml:space="preserve">Reste que le diagnostic de </w:t>
      </w:r>
      <w:r w:rsidRPr="0071029F">
        <w:rPr>
          <w:lang w:eastAsia="fr-FR"/>
        </w:rPr>
        <w:t>leucémie myéloïde aig</w:t>
      </w:r>
      <w:r w:rsidR="00480FC2" w:rsidRPr="0071029F">
        <w:rPr>
          <w:lang w:eastAsia="fr-FR"/>
        </w:rPr>
        <w:t>uë</w:t>
      </w:r>
      <w:r w:rsidRPr="0071029F">
        <w:rPr>
          <w:lang w:eastAsia="fr-FR"/>
        </w:rPr>
        <w:t xml:space="preserve"> avec </w:t>
      </w:r>
      <w:r w:rsidR="005E7C9C" w:rsidRPr="0071029F">
        <w:rPr>
          <w:lang w:eastAsia="fr-FR"/>
        </w:rPr>
        <w:t xml:space="preserve">chromosome </w:t>
      </w:r>
      <w:r w:rsidR="00DE7869" w:rsidRPr="0071029F">
        <w:rPr>
          <w:lang w:eastAsia="fr-FR"/>
        </w:rPr>
        <w:t>Philadelphie</w:t>
      </w:r>
      <w:r w:rsidRPr="0071029F">
        <w:rPr>
          <w:lang w:eastAsia="fr-FR"/>
        </w:rPr>
        <w:t xml:space="preserve"> est bien le diagnostic qui a été retenu par l’hématologue</w:t>
      </w:r>
      <w:r w:rsidR="00EF7D6A" w:rsidRPr="0071029F">
        <w:rPr>
          <w:lang w:eastAsia="fr-FR"/>
        </w:rPr>
        <w:t>, docteure Bernard</w:t>
      </w:r>
      <w:r w:rsidR="00285A54" w:rsidRPr="0071029F">
        <w:rPr>
          <w:lang w:eastAsia="fr-FR"/>
        </w:rPr>
        <w:t xml:space="preserve">. Le Tribunal actualise </w:t>
      </w:r>
      <w:r w:rsidR="008247B7" w:rsidRPr="0071029F">
        <w:rPr>
          <w:lang w:eastAsia="fr-FR"/>
        </w:rPr>
        <w:t>donc le</w:t>
      </w:r>
      <w:r w:rsidR="00285A54" w:rsidRPr="0071029F">
        <w:rPr>
          <w:lang w:eastAsia="fr-FR"/>
        </w:rPr>
        <w:t xml:space="preserve"> diagnostic </w:t>
      </w:r>
      <w:r w:rsidR="008247B7" w:rsidRPr="0071029F">
        <w:rPr>
          <w:lang w:eastAsia="fr-FR"/>
        </w:rPr>
        <w:t>de leucémie myéloïde chronique en phase blastique</w:t>
      </w:r>
      <w:r w:rsidR="006E782C" w:rsidRPr="0071029F">
        <w:rPr>
          <w:lang w:eastAsia="fr-FR"/>
        </w:rPr>
        <w:t>,</w:t>
      </w:r>
      <w:r w:rsidR="008247B7" w:rsidRPr="0071029F">
        <w:rPr>
          <w:lang w:eastAsia="fr-FR"/>
        </w:rPr>
        <w:t xml:space="preserve"> </w:t>
      </w:r>
      <w:r w:rsidR="006E782C" w:rsidRPr="0071029F">
        <w:rPr>
          <w:lang w:eastAsia="fr-FR"/>
        </w:rPr>
        <w:t xml:space="preserve">utilisé par la Commission pour rendre sa décision, </w:t>
      </w:r>
      <w:r w:rsidR="008247B7" w:rsidRPr="0071029F">
        <w:rPr>
          <w:lang w:eastAsia="fr-FR"/>
        </w:rPr>
        <w:t>par celui de leucémie myéloïde aig</w:t>
      </w:r>
      <w:r w:rsidR="00480FC2" w:rsidRPr="0071029F">
        <w:rPr>
          <w:lang w:eastAsia="fr-FR"/>
        </w:rPr>
        <w:t>uë</w:t>
      </w:r>
      <w:r w:rsidR="008247B7" w:rsidRPr="0071029F">
        <w:rPr>
          <w:lang w:eastAsia="fr-FR"/>
        </w:rPr>
        <w:t xml:space="preserve"> avec chromosome</w:t>
      </w:r>
      <w:r w:rsidR="00480FC2" w:rsidRPr="0071029F">
        <w:rPr>
          <w:lang w:eastAsia="fr-FR"/>
        </w:rPr>
        <w:t xml:space="preserve"> </w:t>
      </w:r>
      <w:r w:rsidR="00DE7869" w:rsidRPr="0071029F">
        <w:rPr>
          <w:lang w:eastAsia="fr-FR"/>
        </w:rPr>
        <w:t>Philadelphie</w:t>
      </w:r>
      <w:r w:rsidR="008247B7" w:rsidRPr="0071029F">
        <w:rPr>
          <w:lang w:eastAsia="fr-FR"/>
        </w:rPr>
        <w:t>.</w:t>
      </w:r>
    </w:p>
    <w:p w14:paraId="5280AB15" w14:textId="7E46A3D5" w:rsidR="003F6098" w:rsidRPr="007F2656" w:rsidRDefault="00CD6DF9" w:rsidP="00A97E82">
      <w:pPr>
        <w:pStyle w:val="corpsdedcision"/>
        <w:spacing w:after="440"/>
        <w:rPr>
          <w:szCs w:val="24"/>
          <w:lang w:eastAsia="fr-FR"/>
        </w:rPr>
      </w:pPr>
      <w:r w:rsidRPr="0071029F">
        <w:rPr>
          <w:rFonts w:cs="Arial"/>
          <w:szCs w:val="24"/>
        </w:rPr>
        <w:t>La prochaine étape vise donc</w:t>
      </w:r>
      <w:r w:rsidR="003F6098" w:rsidRPr="0071029F">
        <w:rPr>
          <w:rFonts w:cs="Arial"/>
          <w:szCs w:val="24"/>
        </w:rPr>
        <w:t xml:space="preserve"> à déterminer si </w:t>
      </w:r>
      <w:r w:rsidR="00B83163" w:rsidRPr="0071029F">
        <w:rPr>
          <w:rFonts w:cs="Arial"/>
          <w:szCs w:val="24"/>
        </w:rPr>
        <w:t>les diagnostics</w:t>
      </w:r>
      <w:r w:rsidR="008247B7" w:rsidRPr="0071029F">
        <w:rPr>
          <w:rFonts w:cs="Arial"/>
          <w:szCs w:val="24"/>
        </w:rPr>
        <w:t xml:space="preserve"> </w:t>
      </w:r>
      <w:r w:rsidR="00B83163" w:rsidRPr="0071029F">
        <w:rPr>
          <w:rFonts w:cs="Arial"/>
          <w:szCs w:val="24"/>
        </w:rPr>
        <w:t>d</w:t>
      </w:r>
      <w:r w:rsidR="00637696" w:rsidRPr="0071029F">
        <w:rPr>
          <w:rFonts w:cs="Arial"/>
          <w:szCs w:val="24"/>
        </w:rPr>
        <w:t>’intoxication</w:t>
      </w:r>
      <w:r w:rsidR="00480FC2" w:rsidRPr="0071029F">
        <w:rPr>
          <w:rFonts w:cs="Arial"/>
          <w:szCs w:val="24"/>
        </w:rPr>
        <w:t>s</w:t>
      </w:r>
      <w:r w:rsidR="00637696" w:rsidRPr="0071029F">
        <w:rPr>
          <w:rFonts w:cs="Arial"/>
          <w:szCs w:val="24"/>
        </w:rPr>
        <w:t xml:space="preserve"> </w:t>
      </w:r>
      <w:r w:rsidR="00721670" w:rsidRPr="0071029F">
        <w:rPr>
          <w:rFonts w:cs="Arial"/>
          <w:szCs w:val="24"/>
        </w:rPr>
        <w:t>aiguë</w:t>
      </w:r>
      <w:r w:rsidR="00480FC2" w:rsidRPr="0071029F">
        <w:rPr>
          <w:rFonts w:cs="Arial"/>
          <w:szCs w:val="24"/>
        </w:rPr>
        <w:t>s</w:t>
      </w:r>
      <w:r w:rsidR="00721670" w:rsidRPr="0071029F">
        <w:rPr>
          <w:rFonts w:cs="Arial"/>
          <w:szCs w:val="24"/>
        </w:rPr>
        <w:t xml:space="preserve"> </w:t>
      </w:r>
      <w:r w:rsidR="00637696" w:rsidRPr="0071029F">
        <w:rPr>
          <w:rFonts w:cs="Arial"/>
          <w:szCs w:val="24"/>
        </w:rPr>
        <w:t xml:space="preserve">aux solvants et </w:t>
      </w:r>
      <w:r w:rsidR="00B83163" w:rsidRPr="0071029F">
        <w:rPr>
          <w:rFonts w:cs="Arial"/>
          <w:szCs w:val="24"/>
        </w:rPr>
        <w:t>de</w:t>
      </w:r>
      <w:r w:rsidR="003F6098" w:rsidRPr="0071029F">
        <w:rPr>
          <w:rFonts w:cs="Arial"/>
          <w:szCs w:val="24"/>
        </w:rPr>
        <w:t xml:space="preserve"> </w:t>
      </w:r>
      <w:r w:rsidR="003F6098" w:rsidRPr="0071029F">
        <w:rPr>
          <w:lang w:eastAsia="fr-FR"/>
        </w:rPr>
        <w:t>leucémie myéloïde aig</w:t>
      </w:r>
      <w:r w:rsidR="005F059E" w:rsidRPr="0071029F">
        <w:rPr>
          <w:lang w:eastAsia="fr-FR"/>
        </w:rPr>
        <w:t>uë</w:t>
      </w:r>
      <w:r w:rsidR="003F6098" w:rsidRPr="0071029F">
        <w:rPr>
          <w:lang w:eastAsia="fr-FR"/>
        </w:rPr>
        <w:t xml:space="preserve"> avec </w:t>
      </w:r>
      <w:r w:rsidR="005E7C9C" w:rsidRPr="0071029F">
        <w:rPr>
          <w:lang w:eastAsia="fr-FR"/>
        </w:rPr>
        <w:t>chromosome</w:t>
      </w:r>
      <w:r w:rsidR="005F059E" w:rsidRPr="0071029F">
        <w:rPr>
          <w:lang w:eastAsia="fr-FR"/>
        </w:rPr>
        <w:t xml:space="preserve"> </w:t>
      </w:r>
      <w:r w:rsidR="00DE7869" w:rsidRPr="0071029F">
        <w:rPr>
          <w:lang w:eastAsia="fr-FR"/>
        </w:rPr>
        <w:t>Philadelphie</w:t>
      </w:r>
      <w:r w:rsidR="008247B7">
        <w:rPr>
          <w:lang w:eastAsia="fr-FR"/>
        </w:rPr>
        <w:t>,</w:t>
      </w:r>
      <w:r w:rsidR="003F6098">
        <w:rPr>
          <w:lang w:eastAsia="fr-FR"/>
        </w:rPr>
        <w:t xml:space="preserve"> constitue</w:t>
      </w:r>
      <w:r w:rsidR="00637696">
        <w:rPr>
          <w:lang w:eastAsia="fr-FR"/>
        </w:rPr>
        <w:t>nt</w:t>
      </w:r>
      <w:r w:rsidR="003F6098">
        <w:rPr>
          <w:lang w:eastAsia="fr-FR"/>
        </w:rPr>
        <w:t xml:space="preserve"> une maladie professionnelle </w:t>
      </w:r>
      <w:r>
        <w:rPr>
          <w:lang w:eastAsia="fr-FR"/>
        </w:rPr>
        <w:t>dans cette affaire</w:t>
      </w:r>
      <w:r w:rsidR="00045525">
        <w:rPr>
          <w:lang w:eastAsia="fr-FR"/>
        </w:rPr>
        <w:t>.</w:t>
      </w:r>
    </w:p>
    <w:p w14:paraId="62B84C77" w14:textId="5B36A694" w:rsidR="007F2656" w:rsidRPr="007F2656" w:rsidRDefault="007F2656" w:rsidP="00A97E82">
      <w:pPr>
        <w:pStyle w:val="corpsdedcision"/>
        <w:spacing w:after="440"/>
        <w:rPr>
          <w:szCs w:val="24"/>
          <w:lang w:eastAsia="fr-FR"/>
        </w:rPr>
      </w:pPr>
      <w:r>
        <w:rPr>
          <w:lang w:eastAsia="fr-FR"/>
        </w:rPr>
        <w:t>Aux fins d’alléger le texte de la section suivante, le Tribunal référera à la nomenclature « </w:t>
      </w:r>
      <w:r w:rsidRPr="0071029F">
        <w:rPr>
          <w:lang w:eastAsia="fr-FR"/>
        </w:rPr>
        <w:t>intoxication</w:t>
      </w:r>
      <w:r w:rsidR="00480FC2" w:rsidRPr="0071029F">
        <w:rPr>
          <w:lang w:eastAsia="fr-FR"/>
        </w:rPr>
        <w:t>s</w:t>
      </w:r>
      <w:r w:rsidRPr="0071029F">
        <w:rPr>
          <w:lang w:eastAsia="fr-FR"/>
        </w:rPr>
        <w:t> »</w:t>
      </w:r>
      <w:r>
        <w:rPr>
          <w:lang w:eastAsia="fr-FR"/>
        </w:rPr>
        <w:t xml:space="preserve"> et « LMA Ph+ »</w:t>
      </w:r>
      <w:r>
        <w:rPr>
          <w:szCs w:val="24"/>
          <w:lang w:eastAsia="fr-FR"/>
        </w:rPr>
        <w:t xml:space="preserve"> </w:t>
      </w:r>
      <w:r>
        <w:rPr>
          <w:lang w:eastAsia="fr-FR"/>
        </w:rPr>
        <w:t xml:space="preserve">pour désigner </w:t>
      </w:r>
      <w:r w:rsidR="00706848">
        <w:rPr>
          <w:lang w:eastAsia="fr-FR"/>
        </w:rPr>
        <w:t>c</w:t>
      </w:r>
      <w:r>
        <w:rPr>
          <w:lang w:eastAsia="fr-FR"/>
        </w:rPr>
        <w:t>es diagnostics.</w:t>
      </w:r>
    </w:p>
    <w:p w14:paraId="0BC88D25" w14:textId="2C2AB1A9" w:rsidR="00255B07" w:rsidRDefault="00255B07" w:rsidP="00CF689F">
      <w:pPr>
        <w:pStyle w:val="Titre3"/>
        <w:keepNext w:val="0"/>
        <w:spacing w:after="360"/>
        <w:jc w:val="both"/>
      </w:pPr>
      <w:r>
        <w:t>3.</w:t>
      </w:r>
      <w:r>
        <w:tab/>
        <w:t>Est-ce que la présomption de maladie professionnelle de l’article 29 de la Loi s’applique et, dans l’affirmative, a-t-elle été renversée ?</w:t>
      </w:r>
    </w:p>
    <w:p w14:paraId="14F82346" w14:textId="77777777" w:rsidR="00934495" w:rsidRPr="00DF0860" w:rsidRDefault="00934495" w:rsidP="00CF689F">
      <w:pPr>
        <w:pStyle w:val="corpsdedcision"/>
      </w:pPr>
      <w:r>
        <w:t>La maladie professionnelle est une</w:t>
      </w:r>
      <w:r w:rsidRPr="00DF0860">
        <w:t xml:space="preserve"> notion définie à l’article 2 de la Loi</w:t>
      </w:r>
      <w:r>
        <w:t xml:space="preserve"> comme étant « </w:t>
      </w:r>
      <w:r w:rsidRPr="00B3104D">
        <w:rPr>
          <w:rStyle w:val="Citationintgre"/>
        </w:rPr>
        <w:t>une maladie contractée par le fait ou à l'occasion du travail et qui est caractéristique de ce travail ou reliée directement aux risques particuliers de ce travail</w:t>
      </w:r>
      <w:r>
        <w:t> ».</w:t>
      </w:r>
    </w:p>
    <w:p w14:paraId="0E6DEA9B" w14:textId="0202B49A" w:rsidR="00934495" w:rsidRPr="00DF0860" w:rsidRDefault="00934495" w:rsidP="00CF689F">
      <w:pPr>
        <w:pStyle w:val="corpsdedcision"/>
      </w:pPr>
      <w:r w:rsidRPr="00DF0860">
        <w:t>Le législateur a édicté, à l’article 29 de la Loi, une présomption visant à faciliter la preuve des travailleurs voulant faire reconnaître la survenance d’une maladie professionnelle. Cet article se lit comme suit</w:t>
      </w:r>
      <w:r w:rsidR="006239CF">
        <w:rPr>
          <w:rStyle w:val="Appelnotedebasdep"/>
        </w:rPr>
        <w:footnoteReference w:id="60"/>
      </w:r>
      <w:r w:rsidRPr="00DF0860">
        <w:t> :</w:t>
      </w:r>
    </w:p>
    <w:p w14:paraId="29CDFC4D" w14:textId="77777777" w:rsidR="00934495" w:rsidRPr="00DF0860" w:rsidRDefault="00934495" w:rsidP="00EF573B">
      <w:pPr>
        <w:pStyle w:val="articlesdelaLATMP"/>
        <w:tabs>
          <w:tab w:val="left" w:pos="1276"/>
          <w:tab w:val="left" w:pos="1560"/>
        </w:tabs>
      </w:pPr>
      <w:r w:rsidRPr="00DF0860">
        <w:rPr>
          <w:b/>
        </w:rPr>
        <w:t>29.</w:t>
      </w:r>
      <w:r>
        <w:t xml:space="preserve"> </w:t>
      </w:r>
      <w:r w:rsidRPr="00DF0860">
        <w:t>Les maladies énumérées dans l'annexe I sont caractéristiques du travail correspondant à chacune de ces maladies d'après cette annexe et sont reliées directement aux risques particuliers de ce travail.</w:t>
      </w:r>
    </w:p>
    <w:p w14:paraId="5E54CE18" w14:textId="77777777" w:rsidR="00934495" w:rsidRPr="00DF0860" w:rsidRDefault="00934495" w:rsidP="00EF573B">
      <w:pPr>
        <w:pStyle w:val="articlesdelaLATMP"/>
      </w:pPr>
    </w:p>
    <w:p w14:paraId="76734A6E" w14:textId="77777777" w:rsidR="00934495" w:rsidRDefault="00934495" w:rsidP="00CF689F">
      <w:pPr>
        <w:pStyle w:val="articlesdelaLATMP"/>
        <w:spacing w:after="360"/>
      </w:pPr>
      <w:r w:rsidRPr="00DF0860">
        <w:t>Le travailleur atteint d'une maladie visée dans cette annexe est présumé atteint d'une maladie professionnelle s'il a exercé un travail correspondant à cette maladie d'après l'annexe.</w:t>
      </w:r>
    </w:p>
    <w:p w14:paraId="3FFB4463" w14:textId="79B1DD20" w:rsidR="00934495" w:rsidRPr="000D6019" w:rsidRDefault="00934495" w:rsidP="00CF689F">
      <w:pPr>
        <w:pStyle w:val="corpsdedcision"/>
      </w:pPr>
      <w:r w:rsidRPr="00DF0860">
        <w:t xml:space="preserve">Ainsi, pour bénéficier de cette présomption, </w:t>
      </w:r>
      <w:r>
        <w:t>le travailleur</w:t>
      </w:r>
      <w:r w:rsidRPr="00DF0860">
        <w:t xml:space="preserve"> doit d’abord démontrer qu’</w:t>
      </w:r>
      <w:r>
        <w:t>il</w:t>
      </w:r>
      <w:r w:rsidRPr="00DF0860">
        <w:t xml:space="preserve"> est atteint d’une maladie </w:t>
      </w:r>
      <w:r w:rsidRPr="000D6019">
        <w:t>prévue à l’Annexe 1</w:t>
      </w:r>
      <w:r w:rsidR="00B83163">
        <w:rPr>
          <w:rStyle w:val="Appelnotedebasdep"/>
        </w:rPr>
        <w:footnoteReference w:id="61"/>
      </w:r>
      <w:r w:rsidRPr="000D6019">
        <w:t xml:space="preserve"> et, ensuite, qu’</w:t>
      </w:r>
      <w:r>
        <w:t>il</w:t>
      </w:r>
      <w:r w:rsidRPr="000D6019">
        <w:t xml:space="preserve"> a exercé un travail correspondant. </w:t>
      </w:r>
      <w:r>
        <w:t>Le travailleur</w:t>
      </w:r>
      <w:r w:rsidRPr="000D6019">
        <w:t xml:space="preserve"> est par la suite dispensé de faire la preuve du lien de causalité entre cette maladie et son travail. Cette présomption peut être renversée par l’employeur si est démontrée l’absence de lien entre le travail exercé et la maladie. </w:t>
      </w:r>
    </w:p>
    <w:p w14:paraId="1A0C36E0" w14:textId="7D10FB93" w:rsidR="00623C19" w:rsidRDefault="006239CF" w:rsidP="00CF689F">
      <w:pPr>
        <w:pStyle w:val="corpsdedcision"/>
        <w:rPr>
          <w:lang w:eastAsia="fr-FR"/>
        </w:rPr>
      </w:pPr>
      <w:r>
        <w:t>L</w:t>
      </w:r>
      <w:r w:rsidR="00934495">
        <w:t xml:space="preserve">e travailleur </w:t>
      </w:r>
      <w:r w:rsidR="00721670">
        <w:t>soutient</w:t>
      </w:r>
      <w:r w:rsidR="00934495">
        <w:t xml:space="preserve"> qu’il est </w:t>
      </w:r>
      <w:r w:rsidR="00AC01D9">
        <w:t>visé par les intoxications énumérées aux points 11</w:t>
      </w:r>
      <w:r w:rsidR="00EF7D6A">
        <w:t> </w:t>
      </w:r>
      <w:r w:rsidR="00AC01D9">
        <w:t>et 12 de l’</w:t>
      </w:r>
      <w:r w:rsidR="00480FC2" w:rsidRPr="0071029F">
        <w:t>A</w:t>
      </w:r>
      <w:r w:rsidR="00AC01D9">
        <w:t>nnexe 1</w:t>
      </w:r>
      <w:r w:rsidR="008065F4">
        <w:t xml:space="preserve"> de la Loi.</w:t>
      </w:r>
    </w:p>
    <w:p w14:paraId="05947FC3" w14:textId="3215CED7" w:rsidR="00623C19" w:rsidRDefault="008065F4" w:rsidP="00CF689F">
      <w:pPr>
        <w:pStyle w:val="corpsdedcision"/>
        <w:rPr>
          <w:lang w:eastAsia="fr-FR"/>
        </w:rPr>
      </w:pPr>
      <w:r>
        <w:t>Le travailleur</w:t>
      </w:r>
      <w:r w:rsidR="00623C19">
        <w:t xml:space="preserve"> soumet d’abord que sa maladie découle d’une</w:t>
      </w:r>
      <w:r w:rsidR="00AC01D9">
        <w:t xml:space="preserve"> </w:t>
      </w:r>
      <w:r w:rsidR="00AC01D9" w:rsidRPr="00AC01D9">
        <w:rPr>
          <w:rStyle w:val="Citationintgre"/>
        </w:rPr>
        <w:t>« intoxication par les composés toxiques organiques ou inorganiques de l’oxygène</w:t>
      </w:r>
      <w:r w:rsidR="00AC01D9">
        <w:t> »</w:t>
      </w:r>
      <w:r w:rsidR="00623C19">
        <w:t>. Pour que la présomption s’applique en faveur du travailleur, il doit avoir exercé « </w:t>
      </w:r>
      <w:r w:rsidR="00623C19" w:rsidRPr="00AC01D9">
        <w:rPr>
          <w:rStyle w:val="Citationintgre"/>
        </w:rPr>
        <w:t>un travail impliquant l’utilisation, la manipulation ou une autre forme d’exposition à ces composés de l’oxygène</w:t>
      </w:r>
      <w:r w:rsidR="00623C19">
        <w:t> »</w:t>
      </w:r>
      <w:r w:rsidR="00623C19">
        <w:rPr>
          <w:rStyle w:val="Appelnotedebasdep"/>
        </w:rPr>
        <w:footnoteReference w:id="62"/>
      </w:r>
      <w:r w:rsidR="00623C19">
        <w:t>.</w:t>
      </w:r>
    </w:p>
    <w:p w14:paraId="054C2C09" w14:textId="12B44509" w:rsidR="00B955A7" w:rsidRDefault="00623C19" w:rsidP="00CF689F">
      <w:pPr>
        <w:pStyle w:val="corpsdedcision"/>
        <w:rPr>
          <w:lang w:eastAsia="fr-FR"/>
        </w:rPr>
      </w:pPr>
      <w:r>
        <w:rPr>
          <w:lang w:eastAsia="fr-FR"/>
        </w:rPr>
        <w:t xml:space="preserve">Il estime également que sa maladie découle d’une </w:t>
      </w:r>
      <w:r w:rsidR="00934495" w:rsidRPr="00E15FF8">
        <w:rPr>
          <w:rStyle w:val="Citationintgre"/>
        </w:rPr>
        <w:t>« </w:t>
      </w:r>
      <w:r w:rsidR="00E15FF8" w:rsidRPr="00E15FF8">
        <w:rPr>
          <w:rStyle w:val="Citationintgre"/>
        </w:rPr>
        <w:t>i</w:t>
      </w:r>
      <w:r w:rsidR="00934495" w:rsidRPr="00E15FF8">
        <w:rPr>
          <w:rStyle w:val="Citationintgre"/>
        </w:rPr>
        <w:t>ntoxication par les hydrocarbures aliphatiques, alicycliques et aromatiques</w:t>
      </w:r>
      <w:r w:rsidR="00934495">
        <w:t> »</w:t>
      </w:r>
      <w:r>
        <w:t xml:space="preserve"> pour laquelle il doit avoir exercé</w:t>
      </w:r>
      <w:r w:rsidR="00AC01D9">
        <w:t xml:space="preserve"> </w:t>
      </w:r>
      <w:r w:rsidR="00E15FF8">
        <w:t>« </w:t>
      </w:r>
      <w:r w:rsidR="00934495" w:rsidRPr="00E51211">
        <w:rPr>
          <w:rStyle w:val="Citationintgre"/>
        </w:rPr>
        <w:t>un travail</w:t>
      </w:r>
      <w:r w:rsidR="00E15FF8" w:rsidRPr="00E51211">
        <w:rPr>
          <w:rStyle w:val="Citationintgre"/>
        </w:rPr>
        <w:t xml:space="preserve"> impliquant l’utilisation, la manipulation ou une autre forme d’exposition à ces substances</w:t>
      </w:r>
      <w:r w:rsidR="00E15FF8">
        <w:t> »</w:t>
      </w:r>
      <w:r>
        <w:rPr>
          <w:rStyle w:val="Appelnotedebasdep"/>
        </w:rPr>
        <w:footnoteReference w:id="63"/>
      </w:r>
      <w:r w:rsidR="00E15FF8" w:rsidRPr="00E15FF8">
        <w:t>.</w:t>
      </w:r>
    </w:p>
    <w:p w14:paraId="4FF6BBA8" w14:textId="5E51D560" w:rsidR="006239CF" w:rsidRDefault="006239CF" w:rsidP="00A97E82">
      <w:pPr>
        <w:pStyle w:val="corpsdedcision"/>
        <w:spacing w:after="440"/>
        <w:rPr>
          <w:lang w:eastAsia="fr-FR"/>
        </w:rPr>
      </w:pPr>
      <w:r w:rsidRPr="000D6019">
        <w:t xml:space="preserve">Parmi les diagnostics </w:t>
      </w:r>
      <w:r>
        <w:t>qui lient le Tribunal</w:t>
      </w:r>
      <w:r w:rsidRPr="000D6019">
        <w:t xml:space="preserve"> dans le </w:t>
      </w:r>
      <w:r>
        <w:t xml:space="preserve">présent </w:t>
      </w:r>
      <w:r w:rsidRPr="000D6019">
        <w:t>dossier</w:t>
      </w:r>
      <w:r>
        <w:t>, seul celui d’intoxication est spécifiquement énuméré à l’</w:t>
      </w:r>
      <w:r w:rsidR="002E0636" w:rsidRPr="0071029F">
        <w:t>A</w:t>
      </w:r>
      <w:r w:rsidRPr="0071029F">
        <w:t>nnexe</w:t>
      </w:r>
      <w:r>
        <w:t xml:space="preserve"> 1 de la Loi, et ce, bien que l’employeur plaide que des diagnostics posés au dossier du travailleur, aucun n</w:t>
      </w:r>
      <w:r w:rsidR="00F5080E">
        <w:t>’es</w:t>
      </w:r>
      <w:r>
        <w:t>t mentionné à cet</w:t>
      </w:r>
      <w:r w:rsidR="00F5080E">
        <w:t>te</w:t>
      </w:r>
      <w:r>
        <w:t xml:space="preserve"> annexe, ce qui est inexact.</w:t>
      </w:r>
      <w:r w:rsidRPr="000D6019">
        <w:t xml:space="preserve"> </w:t>
      </w:r>
    </w:p>
    <w:p w14:paraId="181890F7" w14:textId="0473AA9B" w:rsidR="004F1744" w:rsidRDefault="004F1744" w:rsidP="00A97E82">
      <w:pPr>
        <w:pStyle w:val="corpsdedcision"/>
        <w:spacing w:after="440"/>
        <w:rPr>
          <w:lang w:eastAsia="fr-FR"/>
        </w:rPr>
      </w:pPr>
      <w:r>
        <w:rPr>
          <w:lang w:eastAsia="fr-FR"/>
        </w:rPr>
        <w:t>L’employeur plaide aussi que la LMA Ph+ ne constitue pas une forme d’intoxication</w:t>
      </w:r>
      <w:r w:rsidR="002E0636" w:rsidRPr="0071029F">
        <w:rPr>
          <w:lang w:eastAsia="fr-FR"/>
        </w:rPr>
        <w:t>,</w:t>
      </w:r>
      <w:r>
        <w:rPr>
          <w:lang w:eastAsia="fr-FR"/>
        </w:rPr>
        <w:t xml:space="preserve"> puisqu’il s’agit d’une « </w:t>
      </w:r>
      <w:r w:rsidRPr="007956D1">
        <w:rPr>
          <w:rStyle w:val="Citationintgre"/>
        </w:rPr>
        <w:t>maladie hématologique complexe dont l’étiologie est multifactorielle et ne peut être simplifiée à une intoxication directe due à une exposition à des substances spécifiques</w:t>
      </w:r>
      <w:r>
        <w:rPr>
          <w:lang w:eastAsia="fr-FR"/>
        </w:rPr>
        <w:t> ». Il ajoute qu’aucun des solvants identifiés n</w:t>
      </w:r>
      <w:r w:rsidR="00F5080E">
        <w:rPr>
          <w:lang w:eastAsia="fr-FR"/>
        </w:rPr>
        <w:t>’es</w:t>
      </w:r>
      <w:r>
        <w:rPr>
          <w:lang w:eastAsia="fr-FR"/>
        </w:rPr>
        <w:t>t reconnu pour avoir des effets cancérigènes.</w:t>
      </w:r>
    </w:p>
    <w:p w14:paraId="2133F2E7" w14:textId="77777777" w:rsidR="00EF7D6A" w:rsidRDefault="00623C19" w:rsidP="00A97E82">
      <w:pPr>
        <w:pStyle w:val="corpsdedcision"/>
        <w:spacing w:after="440"/>
        <w:rPr>
          <w:lang w:eastAsia="fr-FR"/>
        </w:rPr>
      </w:pPr>
      <w:r>
        <w:rPr>
          <w:lang w:eastAsia="fr-FR"/>
        </w:rPr>
        <w:t xml:space="preserve">Cependant, </w:t>
      </w:r>
      <w:r w:rsidR="000E66F1">
        <w:rPr>
          <w:lang w:eastAsia="fr-FR"/>
        </w:rPr>
        <w:t>un courant jurisprudentiel du Tribunal assimile certaines formes de cancer à un</w:t>
      </w:r>
      <w:r w:rsidR="006239CF">
        <w:rPr>
          <w:lang w:eastAsia="fr-FR"/>
        </w:rPr>
        <w:t>e</w:t>
      </w:r>
      <w:r w:rsidR="000E66F1">
        <w:rPr>
          <w:lang w:eastAsia="fr-FR"/>
        </w:rPr>
        <w:t xml:space="preserve"> intoxication</w:t>
      </w:r>
      <w:r w:rsidR="006239CF">
        <w:rPr>
          <w:lang w:eastAsia="fr-FR"/>
        </w:rPr>
        <w:t>,</w:t>
      </w:r>
      <w:r w:rsidR="000E66F1">
        <w:rPr>
          <w:lang w:eastAsia="fr-FR"/>
        </w:rPr>
        <w:t xml:space="preserve"> </w:t>
      </w:r>
      <w:r w:rsidR="000E66F1" w:rsidRPr="004F1744">
        <w:rPr>
          <w:lang w:eastAsia="fr-FR"/>
        </w:rPr>
        <w:t>s’il est démontré que l’exposition à une substance toxique est suffisante pour en être la cause</w:t>
      </w:r>
      <w:r w:rsidR="000E66F1">
        <w:rPr>
          <w:rStyle w:val="Appelnotedebasdep"/>
          <w:lang w:eastAsia="fr-FR"/>
        </w:rPr>
        <w:footnoteReference w:id="64"/>
      </w:r>
      <w:r w:rsidR="000E66F1">
        <w:rPr>
          <w:lang w:eastAsia="fr-FR"/>
        </w:rPr>
        <w:t>.</w:t>
      </w:r>
      <w:r w:rsidR="00A22FFE">
        <w:rPr>
          <w:lang w:eastAsia="fr-FR"/>
        </w:rPr>
        <w:t xml:space="preserve"> </w:t>
      </w:r>
      <w:r w:rsidR="00EF7D6A">
        <w:rPr>
          <w:lang w:eastAsia="fr-FR"/>
        </w:rPr>
        <w:t xml:space="preserve">Le Tribunal adhère à ce courant. </w:t>
      </w:r>
    </w:p>
    <w:p w14:paraId="69DAC42F" w14:textId="21754EBC" w:rsidR="004F1744" w:rsidRPr="007E22ED" w:rsidRDefault="00EF7D6A" w:rsidP="00A97E82">
      <w:pPr>
        <w:pStyle w:val="corpsdedcision"/>
        <w:spacing w:after="440"/>
        <w:rPr>
          <w:lang w:eastAsia="fr-FR"/>
        </w:rPr>
      </w:pPr>
      <w:r w:rsidRPr="007E22ED">
        <w:rPr>
          <w:lang w:eastAsia="fr-FR"/>
        </w:rPr>
        <w:t>Cette interprétation est renforcée par l’ajout du législateur</w:t>
      </w:r>
      <w:r w:rsidR="005D36AF" w:rsidRPr="007E22ED">
        <w:rPr>
          <w:lang w:eastAsia="fr-FR"/>
        </w:rPr>
        <w:t xml:space="preserve"> d’une plus grande protection</w:t>
      </w:r>
      <w:r w:rsidRPr="007E22ED">
        <w:rPr>
          <w:lang w:eastAsia="fr-FR"/>
        </w:rPr>
        <w:t xml:space="preserve"> </w:t>
      </w:r>
      <w:r w:rsidR="005D36AF" w:rsidRPr="007E22ED">
        <w:rPr>
          <w:lang w:eastAsia="fr-FR"/>
        </w:rPr>
        <w:t>des maladies oncologiques</w:t>
      </w:r>
      <w:r w:rsidRPr="007E22ED">
        <w:rPr>
          <w:lang w:eastAsia="fr-FR"/>
        </w:rPr>
        <w:t xml:space="preserve"> </w:t>
      </w:r>
      <w:r w:rsidR="005D36AF" w:rsidRPr="007E22ED">
        <w:rPr>
          <w:lang w:eastAsia="fr-FR"/>
        </w:rPr>
        <w:t>maintenant prévues au</w:t>
      </w:r>
      <w:r w:rsidR="005D36AF" w:rsidRPr="007E22ED">
        <w:rPr>
          <w:i/>
        </w:rPr>
        <w:t xml:space="preserve"> </w:t>
      </w:r>
      <w:r w:rsidR="005D36AF" w:rsidRPr="00480FC2">
        <w:rPr>
          <w:iCs/>
        </w:rPr>
        <w:t>Règlement</w:t>
      </w:r>
      <w:r w:rsidR="005D36AF" w:rsidRPr="002E0636">
        <w:rPr>
          <w:i/>
        </w:rPr>
        <w:t xml:space="preserve"> </w:t>
      </w:r>
      <w:r w:rsidR="005D36AF" w:rsidRPr="007E22ED">
        <w:t>entré en vigueur le 6 octobre 2021, compte tenu des connaissances scientifiques et médicales récentes.</w:t>
      </w:r>
    </w:p>
    <w:p w14:paraId="1D81366E" w14:textId="4678F9F7" w:rsidR="00A22FFE" w:rsidRDefault="00A22FFE" w:rsidP="00A97E82">
      <w:pPr>
        <w:pStyle w:val="corpsdedcision"/>
        <w:spacing w:after="440"/>
        <w:rPr>
          <w:lang w:eastAsia="fr-FR"/>
        </w:rPr>
      </w:pPr>
      <w:r>
        <w:rPr>
          <w:lang w:eastAsia="fr-FR"/>
        </w:rPr>
        <w:t xml:space="preserve">Le Tribunal estime que </w:t>
      </w:r>
      <w:r w:rsidR="005D36AF">
        <w:rPr>
          <w:lang w:eastAsia="fr-FR"/>
        </w:rPr>
        <w:t xml:space="preserve">la </w:t>
      </w:r>
      <w:r>
        <w:rPr>
          <w:lang w:eastAsia="fr-FR"/>
        </w:rPr>
        <w:t xml:space="preserve">preuve </w:t>
      </w:r>
      <w:r w:rsidR="005D36AF">
        <w:rPr>
          <w:lang w:eastAsia="fr-FR"/>
        </w:rPr>
        <w:t xml:space="preserve">d’une exposition à une substance toxique </w:t>
      </w:r>
      <w:r>
        <w:rPr>
          <w:lang w:eastAsia="fr-FR"/>
        </w:rPr>
        <w:t>a été administrée en l’espèce</w:t>
      </w:r>
      <w:r w:rsidR="005D36AF">
        <w:rPr>
          <w:lang w:eastAsia="fr-FR"/>
        </w:rPr>
        <w:t xml:space="preserve"> </w:t>
      </w:r>
      <w:r w:rsidR="004F1744">
        <w:rPr>
          <w:lang w:eastAsia="fr-FR"/>
        </w:rPr>
        <w:t>et conclut, pour les motifs exposés ci-après, que le travailleur a démontré les éléments constitutifs de la présomption pour les diagnostics d’intoxication et de LMA Ph+.</w:t>
      </w:r>
    </w:p>
    <w:p w14:paraId="6D65D12A" w14:textId="6194B1B7" w:rsidR="00926BA3" w:rsidRDefault="007234F1" w:rsidP="00A97E82">
      <w:pPr>
        <w:pStyle w:val="corpsdedcision"/>
        <w:spacing w:after="440"/>
        <w:rPr>
          <w:lang w:eastAsia="fr-FR"/>
        </w:rPr>
      </w:pPr>
      <w:r>
        <w:rPr>
          <w:lang w:eastAsia="fr-FR"/>
        </w:rPr>
        <w:t xml:space="preserve">Comme le </w:t>
      </w:r>
      <w:r w:rsidRPr="0071029F">
        <w:rPr>
          <w:lang w:eastAsia="fr-FR"/>
        </w:rPr>
        <w:t>démontre</w:t>
      </w:r>
      <w:r w:rsidR="002E0636" w:rsidRPr="0071029F">
        <w:rPr>
          <w:lang w:eastAsia="fr-FR"/>
        </w:rPr>
        <w:t>nt</w:t>
      </w:r>
      <w:r w:rsidRPr="0071029F">
        <w:rPr>
          <w:lang w:eastAsia="fr-FR"/>
        </w:rPr>
        <w:t xml:space="preserve"> les analyses</w:t>
      </w:r>
      <w:r>
        <w:rPr>
          <w:lang w:eastAsia="fr-FR"/>
        </w:rPr>
        <w:t xml:space="preserve"> de l’équipe de santé au travail de la Direction de santé publique de Lanaudière, le travailleur </w:t>
      </w:r>
      <w:r w:rsidRPr="007234F1">
        <w:rPr>
          <w:lang w:eastAsia="fr-FR"/>
        </w:rPr>
        <w:t>a été exposé à</w:t>
      </w:r>
      <w:r>
        <w:rPr>
          <w:lang w:eastAsia="fr-FR"/>
        </w:rPr>
        <w:t xml:space="preserve"> </w:t>
      </w:r>
      <w:r w:rsidR="00926BA3">
        <w:rPr>
          <w:lang w:eastAsia="fr-FR"/>
        </w:rPr>
        <w:t>différents agents chimiques, soit le xylène, le solvant Stoddard,</w:t>
      </w:r>
      <w:r w:rsidR="003B3952">
        <w:rPr>
          <w:lang w:eastAsia="fr-FR"/>
        </w:rPr>
        <w:t xml:space="preserve"> </w:t>
      </w:r>
      <w:r w:rsidR="00926BA3">
        <w:rPr>
          <w:lang w:eastAsia="fr-FR"/>
        </w:rPr>
        <w:t>l’éthylbenzène, le diisobutyle cétone, l’</w:t>
      </w:r>
      <w:r w:rsidR="003B3952">
        <w:rPr>
          <w:lang w:eastAsia="fr-FR"/>
        </w:rPr>
        <w:t>é</w:t>
      </w:r>
      <w:r w:rsidR="00926BA3">
        <w:rPr>
          <w:lang w:eastAsia="fr-FR"/>
        </w:rPr>
        <w:t>thanol</w:t>
      </w:r>
      <w:r w:rsidR="003B3952">
        <w:rPr>
          <w:lang w:eastAsia="fr-FR"/>
        </w:rPr>
        <w:t>, l’a</w:t>
      </w:r>
      <w:r w:rsidR="00926BA3">
        <w:rPr>
          <w:lang w:eastAsia="fr-FR"/>
        </w:rPr>
        <w:t>cétone</w:t>
      </w:r>
      <w:r w:rsidR="003B3952">
        <w:rPr>
          <w:lang w:eastAsia="fr-FR"/>
        </w:rPr>
        <w:t>, l’a</w:t>
      </w:r>
      <w:r w:rsidR="00926BA3">
        <w:rPr>
          <w:lang w:eastAsia="fr-FR"/>
        </w:rPr>
        <w:t>cétate d’éthyl</w:t>
      </w:r>
      <w:r w:rsidR="003B3952">
        <w:rPr>
          <w:lang w:eastAsia="fr-FR"/>
        </w:rPr>
        <w:t>, le m</w:t>
      </w:r>
      <w:r w:rsidR="00926BA3">
        <w:rPr>
          <w:lang w:eastAsia="fr-FR"/>
        </w:rPr>
        <w:t>éthyl isobutyle cétone</w:t>
      </w:r>
      <w:r w:rsidR="003B3952">
        <w:rPr>
          <w:lang w:eastAsia="fr-FR"/>
        </w:rPr>
        <w:t>, l’a</w:t>
      </w:r>
      <w:r w:rsidR="00926BA3">
        <w:rPr>
          <w:lang w:eastAsia="fr-FR"/>
        </w:rPr>
        <w:t>cétate de butyle normal</w:t>
      </w:r>
      <w:r w:rsidR="003B3952">
        <w:rPr>
          <w:lang w:eastAsia="fr-FR"/>
        </w:rPr>
        <w:t>, le t</w:t>
      </w:r>
      <w:r w:rsidR="00926BA3">
        <w:rPr>
          <w:lang w:eastAsia="fr-FR"/>
        </w:rPr>
        <w:t>oluène</w:t>
      </w:r>
      <w:r w:rsidR="003B3952">
        <w:rPr>
          <w:lang w:eastAsia="fr-FR"/>
        </w:rPr>
        <w:t xml:space="preserve"> et le méthanol.</w:t>
      </w:r>
    </w:p>
    <w:p w14:paraId="3CE10B39" w14:textId="0DDAB839" w:rsidR="003B3952" w:rsidRDefault="003B3952" w:rsidP="00A97E82">
      <w:pPr>
        <w:pStyle w:val="corpsdedcision"/>
        <w:spacing w:after="440"/>
        <w:rPr>
          <w:lang w:eastAsia="fr-FR"/>
        </w:rPr>
      </w:pPr>
      <w:r w:rsidRPr="0071029F">
        <w:rPr>
          <w:lang w:eastAsia="fr-FR"/>
        </w:rPr>
        <w:t>L’expertise en épidémiologie réalisée par monsieur King</w:t>
      </w:r>
      <w:r w:rsidR="002E0636" w:rsidRPr="0071029F">
        <w:rPr>
          <w:lang w:eastAsia="fr-FR"/>
        </w:rPr>
        <w:t>,</w:t>
      </w:r>
      <w:r w:rsidRPr="0071029F">
        <w:rPr>
          <w:lang w:eastAsia="fr-FR"/>
        </w:rPr>
        <w:t xml:space="preserve"> déposée par le travailleur</w:t>
      </w:r>
      <w:r w:rsidR="002E0636" w:rsidRPr="0071029F">
        <w:rPr>
          <w:lang w:eastAsia="fr-FR"/>
        </w:rPr>
        <w:t>,</w:t>
      </w:r>
      <w:r w:rsidRPr="0071029F">
        <w:rPr>
          <w:lang w:eastAsia="fr-FR"/>
        </w:rPr>
        <w:t xml:space="preserve"> énonce que « </w:t>
      </w:r>
      <w:r w:rsidRPr="0071029F">
        <w:rPr>
          <w:rStyle w:val="Citationintgre"/>
          <w:lang w:eastAsia="fr-FR"/>
        </w:rPr>
        <w:t>tous ces agents chimiques font partie de la catégorie hydrocarbures aromatiques, aliphatiques et alicycliques</w:t>
      </w:r>
      <w:r w:rsidRPr="0071029F">
        <w:rPr>
          <w:lang w:eastAsia="fr-FR"/>
        </w:rPr>
        <w:t> », soit des agents chimiques mentionnés au point</w:t>
      </w:r>
      <w:r w:rsidR="002E0636" w:rsidRPr="0071029F">
        <w:rPr>
          <w:lang w:eastAsia="fr-FR"/>
        </w:rPr>
        <w:t> </w:t>
      </w:r>
      <w:r w:rsidRPr="0071029F">
        <w:rPr>
          <w:lang w:eastAsia="fr-FR"/>
        </w:rPr>
        <w:t>1</w:t>
      </w:r>
      <w:r w:rsidR="00313163" w:rsidRPr="0071029F">
        <w:rPr>
          <w:lang w:eastAsia="fr-FR"/>
        </w:rPr>
        <w:t>2</w:t>
      </w:r>
      <w:r w:rsidRPr="0071029F">
        <w:rPr>
          <w:lang w:eastAsia="fr-FR"/>
        </w:rPr>
        <w:t xml:space="preserve"> de l’</w:t>
      </w:r>
      <w:r w:rsidR="002E0636" w:rsidRPr="0071029F">
        <w:rPr>
          <w:lang w:eastAsia="fr-FR"/>
        </w:rPr>
        <w:t>A</w:t>
      </w:r>
      <w:r w:rsidRPr="0071029F">
        <w:rPr>
          <w:lang w:eastAsia="fr-FR"/>
        </w:rPr>
        <w:t>nnexe</w:t>
      </w:r>
      <w:r w:rsidR="002E0636">
        <w:rPr>
          <w:lang w:eastAsia="fr-FR"/>
        </w:rPr>
        <w:t xml:space="preserve"> </w:t>
      </w:r>
      <w:r>
        <w:rPr>
          <w:lang w:eastAsia="fr-FR"/>
        </w:rPr>
        <w:t>1 de la Loi.</w:t>
      </w:r>
    </w:p>
    <w:p w14:paraId="64B77858" w14:textId="7A6BC62F" w:rsidR="003B3952" w:rsidRDefault="003B3952" w:rsidP="00CF689F">
      <w:pPr>
        <w:pStyle w:val="corpsdedcision"/>
        <w:spacing w:after="400"/>
        <w:rPr>
          <w:lang w:eastAsia="fr-FR"/>
        </w:rPr>
      </w:pPr>
      <w:r>
        <w:rPr>
          <w:lang w:eastAsia="fr-FR"/>
        </w:rPr>
        <w:t xml:space="preserve">Plus précisément, monsieur King explique dans quelle catégorie chimique se </w:t>
      </w:r>
      <w:r w:rsidR="00313163">
        <w:rPr>
          <w:lang w:eastAsia="fr-FR"/>
        </w:rPr>
        <w:t>re</w:t>
      </w:r>
      <w:r>
        <w:rPr>
          <w:lang w:eastAsia="fr-FR"/>
        </w:rPr>
        <w:t>trouvent les différents agents présents dans les solvants</w:t>
      </w:r>
      <w:r w:rsidR="00313163">
        <w:rPr>
          <w:lang w:eastAsia="fr-FR"/>
        </w:rPr>
        <w:t>, et il est ainsi en mesure d’affirmer que certains agents chimiques sont également mentionnés au point 11 de l’</w:t>
      </w:r>
      <w:r w:rsidR="002E0636" w:rsidRPr="0071029F">
        <w:rPr>
          <w:lang w:eastAsia="fr-FR"/>
        </w:rPr>
        <w:t>A</w:t>
      </w:r>
      <w:r w:rsidR="00313163" w:rsidRPr="0071029F">
        <w:rPr>
          <w:lang w:eastAsia="fr-FR"/>
        </w:rPr>
        <w:t>n</w:t>
      </w:r>
      <w:r w:rsidR="00313163">
        <w:rPr>
          <w:lang w:eastAsia="fr-FR"/>
        </w:rPr>
        <w:t>nexe 1 de la Loi, étant des composés toxiques organiques de l’oxygène</w:t>
      </w:r>
      <w:r>
        <w:rPr>
          <w:lang w:eastAsia="fr-FR"/>
        </w:rPr>
        <w:t> :</w:t>
      </w:r>
    </w:p>
    <w:p w14:paraId="582C4F5A" w14:textId="76EE6BA3" w:rsidR="003B3952" w:rsidRDefault="003B3952" w:rsidP="00EF573B">
      <w:pPr>
        <w:pStyle w:val="citation"/>
        <w:rPr>
          <w:lang w:eastAsia="fr-FR"/>
        </w:rPr>
      </w:pPr>
      <w:r>
        <w:rPr>
          <w:lang w:eastAsia="fr-FR"/>
        </w:rPr>
        <w:t>Tout d’abord, le Solvant Stoddard est un mélange de différents agents chimiques. Selon la fiche du Répertoire toxicologique de la CNESST, ce solvant est composé d’hydrocarbures ayant entre 7 et 12 atomes de carbone distribués en trois types d’hydrocarbures : aliphatiques, alicycliques et aromatiques.</w:t>
      </w:r>
    </w:p>
    <w:p w14:paraId="55C7A717" w14:textId="77777777" w:rsidR="005D3EB2" w:rsidRDefault="005D3EB2" w:rsidP="00EF573B">
      <w:pPr>
        <w:pStyle w:val="citation"/>
        <w:rPr>
          <w:lang w:eastAsia="fr-FR"/>
        </w:rPr>
      </w:pPr>
    </w:p>
    <w:p w14:paraId="5205466B" w14:textId="75803791" w:rsidR="003B3952" w:rsidRDefault="003B3952" w:rsidP="00EF573B">
      <w:pPr>
        <w:pStyle w:val="citation"/>
        <w:rPr>
          <w:lang w:eastAsia="fr-FR"/>
        </w:rPr>
      </w:pPr>
      <w:r>
        <w:rPr>
          <w:lang w:eastAsia="fr-FR"/>
        </w:rPr>
        <w:t>Le xylène, le toluène et l’éthylbenzène sont des hydrocarbures aromatiques.</w:t>
      </w:r>
    </w:p>
    <w:p w14:paraId="4225B551" w14:textId="77777777" w:rsidR="003B3952" w:rsidRDefault="003B3952" w:rsidP="00EF573B">
      <w:pPr>
        <w:pStyle w:val="citation"/>
        <w:rPr>
          <w:lang w:eastAsia="fr-FR"/>
        </w:rPr>
      </w:pPr>
    </w:p>
    <w:p w14:paraId="1D3C321A" w14:textId="3A2CEAF1" w:rsidR="00313163" w:rsidRDefault="003B3952" w:rsidP="00EF573B">
      <w:pPr>
        <w:pStyle w:val="citation"/>
        <w:rPr>
          <w:lang w:eastAsia="fr-FR"/>
        </w:rPr>
      </w:pPr>
      <w:r>
        <w:rPr>
          <w:lang w:eastAsia="fr-FR"/>
        </w:rPr>
        <w:t>Le diisobutyle cétone, l’acétone, le méthyl éthyl cétone, l’éthanol, le méthanol et les acétates d’éthyl et de butyle normal sont tous des hydrocarbures aliphatiques, mais puisqu’ils incorporent une ou deux atomes d’oxygène</w:t>
      </w:r>
      <w:r w:rsidR="00F5080E">
        <w:rPr>
          <w:lang w:eastAsia="fr-FR"/>
        </w:rPr>
        <w:t>,</w:t>
      </w:r>
      <w:r>
        <w:rPr>
          <w:lang w:eastAsia="fr-FR"/>
        </w:rPr>
        <w:t xml:space="preserve"> on peut aussi les classer dans les composés toxiques organiques de l’oxygène.</w:t>
      </w:r>
    </w:p>
    <w:p w14:paraId="1A8D028E" w14:textId="77777777" w:rsidR="00313163" w:rsidRDefault="00313163" w:rsidP="00EF573B">
      <w:pPr>
        <w:pStyle w:val="citation"/>
        <w:rPr>
          <w:lang w:eastAsia="fr-FR"/>
        </w:rPr>
      </w:pPr>
    </w:p>
    <w:p w14:paraId="47577EE4" w14:textId="05AB9C19" w:rsidR="003B3952" w:rsidRDefault="003B3952" w:rsidP="00CF689F">
      <w:pPr>
        <w:pStyle w:val="citation"/>
        <w:spacing w:after="400"/>
        <w:rPr>
          <w:lang w:eastAsia="fr-FR"/>
        </w:rPr>
      </w:pPr>
      <w:r>
        <w:rPr>
          <w:lang w:eastAsia="fr-FR"/>
        </w:rPr>
        <w:t>Il est donc clair que les agents chimiques qui ont causé les intoxications aigües à répétition de M. Bertrand correspondent à la catégorie hydrocarbures aliphatiques, alicycliques et aromatiques et certains agents peuvent être considérés comme des composés toxiques organiques de l’oxygène.</w:t>
      </w:r>
    </w:p>
    <w:p w14:paraId="1A6D31D2" w14:textId="30E68995" w:rsidR="002E0636" w:rsidRPr="002E0636" w:rsidRDefault="002E0636" w:rsidP="00CF689F">
      <w:pPr>
        <w:pStyle w:val="citation"/>
        <w:spacing w:after="400"/>
        <w:rPr>
          <w:sz w:val="24"/>
          <w:szCs w:val="24"/>
          <w:lang w:eastAsia="fr-FR"/>
        </w:rPr>
      </w:pPr>
      <w:r w:rsidRPr="0071029F">
        <w:rPr>
          <w:sz w:val="24"/>
          <w:szCs w:val="24"/>
          <w:lang w:eastAsia="fr-FR"/>
        </w:rPr>
        <w:t>[Transcription textuelle]</w:t>
      </w:r>
    </w:p>
    <w:p w14:paraId="1DA6E0FB" w14:textId="44EC07B0" w:rsidR="006203E6" w:rsidRDefault="00F77BA8" w:rsidP="00CF689F">
      <w:pPr>
        <w:pStyle w:val="corpsdedcision"/>
        <w:spacing w:after="400"/>
        <w:rPr>
          <w:lang w:eastAsia="fr-FR"/>
        </w:rPr>
      </w:pPr>
      <w:r>
        <w:rPr>
          <w:lang w:eastAsia="fr-FR"/>
        </w:rPr>
        <w:t xml:space="preserve">L’évaluation </w:t>
      </w:r>
      <w:r w:rsidR="00F55938">
        <w:rPr>
          <w:lang w:eastAsia="fr-FR"/>
        </w:rPr>
        <w:t>de</w:t>
      </w:r>
      <w:r>
        <w:rPr>
          <w:lang w:eastAsia="fr-FR"/>
        </w:rPr>
        <w:t xml:space="preserve"> la Direction de santé publique</w:t>
      </w:r>
      <w:r w:rsidR="00F55938">
        <w:rPr>
          <w:lang w:eastAsia="fr-FR"/>
        </w:rPr>
        <w:t xml:space="preserve"> </w:t>
      </w:r>
      <w:r w:rsidR="002E0636" w:rsidRPr="0071029F">
        <w:rPr>
          <w:lang w:eastAsia="fr-FR"/>
        </w:rPr>
        <w:t xml:space="preserve">de Lanaudière </w:t>
      </w:r>
      <w:r w:rsidR="00F55938" w:rsidRPr="0071029F">
        <w:rPr>
          <w:lang w:eastAsia="fr-FR"/>
        </w:rPr>
        <w:t>a été effectuée le 11</w:t>
      </w:r>
      <w:r w:rsidR="002E0636" w:rsidRPr="0071029F">
        <w:rPr>
          <w:lang w:eastAsia="fr-FR"/>
        </w:rPr>
        <w:t> </w:t>
      </w:r>
      <w:r w:rsidR="00F55938" w:rsidRPr="0071029F">
        <w:rPr>
          <w:lang w:eastAsia="fr-FR"/>
        </w:rPr>
        <w:t xml:space="preserve">mars 2020, soit durant la basse saison, </w:t>
      </w:r>
      <w:r w:rsidR="002E0636" w:rsidRPr="0071029F">
        <w:rPr>
          <w:lang w:eastAsia="fr-FR"/>
        </w:rPr>
        <w:t xml:space="preserve">lors </w:t>
      </w:r>
      <w:r w:rsidR="00F55938" w:rsidRPr="0071029F">
        <w:rPr>
          <w:lang w:eastAsia="fr-FR"/>
        </w:rPr>
        <w:t>une journée où il n’y avait pas de production dans l’usine</w:t>
      </w:r>
      <w:r w:rsidR="006203E6" w:rsidRPr="0071029F">
        <w:rPr>
          <w:lang w:eastAsia="fr-FR"/>
        </w:rPr>
        <w:t xml:space="preserve"> alors que les travailleurs étaient</w:t>
      </w:r>
      <w:r w:rsidR="006203E6" w:rsidRPr="00480FC2">
        <w:rPr>
          <w:lang w:eastAsia="fr-FR"/>
        </w:rPr>
        <w:t xml:space="preserve"> </w:t>
      </w:r>
      <w:r w:rsidR="006203E6" w:rsidRPr="0071029F">
        <w:rPr>
          <w:lang w:eastAsia="fr-FR"/>
        </w:rPr>
        <w:t>affectés</w:t>
      </w:r>
      <w:r w:rsidR="006203E6" w:rsidRPr="0071029F">
        <w:rPr>
          <w:color w:val="FF0000"/>
          <w:lang w:eastAsia="fr-FR"/>
        </w:rPr>
        <w:t xml:space="preserve"> </w:t>
      </w:r>
      <w:r w:rsidR="00480FC2" w:rsidRPr="0071029F">
        <w:rPr>
          <w:lang w:eastAsia="fr-FR"/>
        </w:rPr>
        <w:t>au</w:t>
      </w:r>
      <w:r w:rsidR="00480FC2">
        <w:rPr>
          <w:lang w:eastAsia="fr-FR"/>
        </w:rPr>
        <w:t xml:space="preserve"> </w:t>
      </w:r>
      <w:r w:rsidR="006203E6" w:rsidRPr="00480FC2">
        <w:rPr>
          <w:lang w:eastAsia="fr-FR"/>
        </w:rPr>
        <w:t>ménage. Le</w:t>
      </w:r>
      <w:r w:rsidR="006203E6">
        <w:rPr>
          <w:lang w:eastAsia="fr-FR"/>
        </w:rPr>
        <w:t xml:space="preserve"> rapport précise qu’a</w:t>
      </w:r>
      <w:r w:rsidR="00F55938" w:rsidRPr="00F55938">
        <w:rPr>
          <w:lang w:eastAsia="fr-FR"/>
        </w:rPr>
        <w:t>fin de permettre la prise de mesure des solvants durant la production, les travailleurs ont fait le lavage et la mise en état d’une palette de bonbonnes</w:t>
      </w:r>
      <w:r w:rsidR="00F55938">
        <w:rPr>
          <w:lang w:eastAsia="fr-FR"/>
        </w:rPr>
        <w:t>.</w:t>
      </w:r>
    </w:p>
    <w:p w14:paraId="3B071463" w14:textId="77777777" w:rsidR="006203E6" w:rsidRDefault="006203E6" w:rsidP="00CF689F">
      <w:pPr>
        <w:pStyle w:val="corpsdedcision"/>
        <w:spacing w:after="400"/>
        <w:rPr>
          <w:lang w:eastAsia="fr-FR"/>
        </w:rPr>
      </w:pPr>
      <w:r>
        <w:rPr>
          <w:lang w:eastAsia="fr-FR"/>
        </w:rPr>
        <w:t>Plus précisément, la concentration de solvants organiques volatiles a été mesurée ainsi :</w:t>
      </w:r>
    </w:p>
    <w:p w14:paraId="2C39787C" w14:textId="11656F5F" w:rsidR="00F55938" w:rsidRDefault="006203E6" w:rsidP="00EF573B">
      <w:pPr>
        <w:pStyle w:val="citation"/>
        <w:rPr>
          <w:lang w:eastAsia="fr-FR"/>
        </w:rPr>
      </w:pPr>
      <w:r>
        <w:rPr>
          <w:lang w:eastAsia="fr-FR"/>
        </w:rPr>
        <w:t xml:space="preserve">1. </w:t>
      </w:r>
      <w:r w:rsidRPr="006203E6">
        <w:rPr>
          <w:b/>
          <w:bCs/>
          <w:lang w:eastAsia="fr-FR"/>
        </w:rPr>
        <w:t>Poste de pré</w:t>
      </w:r>
      <w:r w:rsidR="00243B60">
        <w:rPr>
          <w:b/>
          <w:bCs/>
          <w:lang w:eastAsia="fr-FR"/>
        </w:rPr>
        <w:t>-</w:t>
      </w:r>
      <w:r w:rsidRPr="006203E6">
        <w:rPr>
          <w:b/>
          <w:bCs/>
          <w:lang w:eastAsia="fr-FR"/>
        </w:rPr>
        <w:t>nettoyage</w:t>
      </w:r>
      <w:r>
        <w:rPr>
          <w:lang w:eastAsia="fr-FR"/>
        </w:rPr>
        <w:t>. À ce poste le journalier utilisait seulement le diluant (thinner) pour le nettoyage des bonbonnes. Les concentrations de COV ont varié de 65 à 99 ppm.</w:t>
      </w:r>
    </w:p>
    <w:p w14:paraId="1A43B759" w14:textId="77777777" w:rsidR="006203E6" w:rsidRDefault="006203E6" w:rsidP="00EF573B">
      <w:pPr>
        <w:pStyle w:val="citation"/>
        <w:rPr>
          <w:lang w:eastAsia="fr-FR"/>
        </w:rPr>
      </w:pPr>
    </w:p>
    <w:p w14:paraId="5217440F" w14:textId="55375734" w:rsidR="006203E6" w:rsidRDefault="006203E6" w:rsidP="00EF573B">
      <w:pPr>
        <w:pStyle w:val="citation"/>
        <w:rPr>
          <w:lang w:eastAsia="fr-FR"/>
        </w:rPr>
      </w:pPr>
      <w:r>
        <w:rPr>
          <w:lang w:eastAsia="fr-FR"/>
        </w:rPr>
        <w:t xml:space="preserve">2. </w:t>
      </w:r>
      <w:r w:rsidRPr="006203E6">
        <w:rPr>
          <w:b/>
          <w:bCs/>
          <w:lang w:eastAsia="fr-FR"/>
        </w:rPr>
        <w:t>Poste d’accrochage/décrochage</w:t>
      </w:r>
      <w:r>
        <w:rPr>
          <w:lang w:eastAsia="fr-FR"/>
        </w:rPr>
        <w:t xml:space="preserve">. Ce poste est situé à la sortie du nettoyage et devant l’ouverture de la cabine de pulvérisation. L’exposition aux solvants à ce poste pourrait provenir du diluant (thinner) (figure 2) et/ou de la peinture pulvérisée. </w:t>
      </w:r>
    </w:p>
    <w:p w14:paraId="5997CA07" w14:textId="619AE1AB" w:rsidR="006203E6" w:rsidRDefault="006203E6" w:rsidP="00EF573B">
      <w:pPr>
        <w:pStyle w:val="citation"/>
        <w:rPr>
          <w:lang w:eastAsia="fr-FR"/>
        </w:rPr>
      </w:pPr>
      <w:r>
        <w:rPr>
          <w:lang w:eastAsia="fr-FR"/>
        </w:rPr>
        <w:t>La concentration de COV a varié de 80 à 108 ppm à ce poste.</w:t>
      </w:r>
    </w:p>
    <w:p w14:paraId="2F415403" w14:textId="77777777" w:rsidR="006203E6" w:rsidRDefault="006203E6" w:rsidP="00EF573B">
      <w:pPr>
        <w:pStyle w:val="citation"/>
        <w:rPr>
          <w:lang w:eastAsia="fr-FR"/>
        </w:rPr>
      </w:pPr>
    </w:p>
    <w:p w14:paraId="6DBB11CB" w14:textId="0282D454" w:rsidR="006203E6" w:rsidRDefault="006203E6" w:rsidP="00CF689F">
      <w:pPr>
        <w:pStyle w:val="citation"/>
        <w:spacing w:after="400"/>
        <w:rPr>
          <w:lang w:eastAsia="fr-FR"/>
        </w:rPr>
      </w:pPr>
      <w:r>
        <w:rPr>
          <w:lang w:eastAsia="fr-FR"/>
        </w:rPr>
        <w:t xml:space="preserve">3. </w:t>
      </w:r>
      <w:r w:rsidRPr="006203E6">
        <w:rPr>
          <w:b/>
          <w:bCs/>
          <w:lang w:eastAsia="fr-FR"/>
        </w:rPr>
        <w:t>Poste d’étiquetage</w:t>
      </w:r>
      <w:r>
        <w:rPr>
          <w:lang w:eastAsia="fr-FR"/>
        </w:rPr>
        <w:t>. Ce poste est situé à la sortie de l’étiqueteuse, près du pré</w:t>
      </w:r>
      <w:r w:rsidR="00243B60">
        <w:rPr>
          <w:lang w:eastAsia="fr-FR"/>
        </w:rPr>
        <w:t>-</w:t>
      </w:r>
      <w:r>
        <w:rPr>
          <w:lang w:eastAsia="fr-FR"/>
        </w:rPr>
        <w:t>nettoyage. Le journalier à ce poste doit faire les retouches à l’aide de la peinture en aérosol. Son exposition aux solvants a été mesurée lors de l’utilisation de cette peinture et variait de 160 à 178 ppm.</w:t>
      </w:r>
    </w:p>
    <w:p w14:paraId="303FC58F" w14:textId="332A927D" w:rsidR="002E0636" w:rsidRPr="002E0636" w:rsidRDefault="002E0636" w:rsidP="00CF689F">
      <w:pPr>
        <w:pStyle w:val="citation"/>
        <w:spacing w:after="400"/>
        <w:rPr>
          <w:sz w:val="24"/>
          <w:szCs w:val="24"/>
          <w:lang w:eastAsia="fr-FR"/>
        </w:rPr>
      </w:pPr>
      <w:r w:rsidRPr="0071029F">
        <w:rPr>
          <w:sz w:val="24"/>
          <w:szCs w:val="24"/>
          <w:lang w:eastAsia="fr-FR"/>
        </w:rPr>
        <w:t>[Transcription textuelle]</w:t>
      </w:r>
    </w:p>
    <w:p w14:paraId="33E6D1BF" w14:textId="67C251BA" w:rsidR="00F77BA8" w:rsidRDefault="00F55938" w:rsidP="00CF689F">
      <w:pPr>
        <w:pStyle w:val="corpsdedcision"/>
        <w:rPr>
          <w:lang w:eastAsia="fr-FR"/>
        </w:rPr>
      </w:pPr>
      <w:r>
        <w:rPr>
          <w:lang w:eastAsia="fr-FR"/>
        </w:rPr>
        <w:t xml:space="preserve"> </w:t>
      </w:r>
      <w:r w:rsidR="006203E6">
        <w:rPr>
          <w:lang w:eastAsia="fr-FR"/>
        </w:rPr>
        <w:t xml:space="preserve">Bien que </w:t>
      </w:r>
      <w:r w:rsidR="006203E6" w:rsidRPr="0018423F">
        <w:rPr>
          <w:lang w:eastAsia="fr-FR"/>
        </w:rPr>
        <w:t>l</w:t>
      </w:r>
      <w:r w:rsidRPr="0018423F">
        <w:rPr>
          <w:lang w:eastAsia="fr-FR"/>
        </w:rPr>
        <w:t>a Direction de santé publique</w:t>
      </w:r>
      <w:r w:rsidR="002E0636" w:rsidRPr="0018423F">
        <w:rPr>
          <w:lang w:eastAsia="fr-FR"/>
        </w:rPr>
        <w:t xml:space="preserve"> </w:t>
      </w:r>
      <w:r w:rsidR="0071029F" w:rsidRPr="0018423F">
        <w:rPr>
          <w:lang w:eastAsia="fr-FR"/>
        </w:rPr>
        <w:t xml:space="preserve">de Lanaudière </w:t>
      </w:r>
      <w:r w:rsidR="006203E6" w:rsidRPr="0018423F">
        <w:rPr>
          <w:lang w:eastAsia="fr-FR"/>
        </w:rPr>
        <w:t>recommande</w:t>
      </w:r>
      <w:r w:rsidR="006203E6">
        <w:rPr>
          <w:lang w:eastAsia="fr-FR"/>
        </w:rPr>
        <w:t xml:space="preserve"> </w:t>
      </w:r>
      <w:r w:rsidR="00F5080E">
        <w:rPr>
          <w:lang w:eastAsia="fr-FR"/>
        </w:rPr>
        <w:t>qu’</w:t>
      </w:r>
      <w:r w:rsidR="006203E6">
        <w:rPr>
          <w:lang w:eastAsia="fr-FR"/>
        </w:rPr>
        <w:t>une évaluation plus précise et scientifique à chaque solvant soit effectuée dans des conditions normales de fonctionnement de l’usine, elle</w:t>
      </w:r>
      <w:r>
        <w:rPr>
          <w:lang w:eastAsia="fr-FR"/>
        </w:rPr>
        <w:t xml:space="preserve"> conclut ainsi :</w:t>
      </w:r>
    </w:p>
    <w:p w14:paraId="424BAE95" w14:textId="3E8C57E9" w:rsidR="00B12B97" w:rsidRDefault="00F55938" w:rsidP="00CF689F">
      <w:pPr>
        <w:pStyle w:val="citation"/>
        <w:spacing w:after="360"/>
        <w:rPr>
          <w:lang w:eastAsia="fr-FR"/>
        </w:rPr>
      </w:pPr>
      <w:r>
        <w:rPr>
          <w:lang w:eastAsia="fr-FR"/>
        </w:rPr>
        <w:t xml:space="preserve">Les résultats de composés organiques volatiles (COV) mesurés avec le ToxiRAE </w:t>
      </w:r>
      <w:r w:rsidRPr="00F55938">
        <w:rPr>
          <w:u w:val="single"/>
          <w:lang w:eastAsia="fr-FR"/>
        </w:rPr>
        <w:t xml:space="preserve">démontrent la présence de solvants à des concentrations pouvant avoir un impact sur la santé des travailleurs aux différents postes de travail lors du nettoyage, la pulvérisation de peinture et lors de retouches sur les bonbonnes. </w:t>
      </w:r>
      <w:r w:rsidRPr="00F55938">
        <w:rPr>
          <w:lang w:eastAsia="fr-FR"/>
        </w:rPr>
        <w:t>Les concentrations de solvants estimés pourraient dépasser les valeurs réglementaires.</w:t>
      </w:r>
      <w:r w:rsidRPr="00F55938">
        <w:rPr>
          <w:u w:val="single"/>
          <w:lang w:eastAsia="fr-FR"/>
        </w:rPr>
        <w:t xml:space="preserve"> À noter que la concentration sera sans doute plus élevée lors d’une journée pleine de production</w:t>
      </w:r>
      <w:r>
        <w:rPr>
          <w:lang w:eastAsia="fr-FR"/>
        </w:rPr>
        <w:t>. Une nouvelle évaluation, plus précise</w:t>
      </w:r>
      <w:r w:rsidR="00F5080E">
        <w:rPr>
          <w:lang w:eastAsia="fr-FR"/>
        </w:rPr>
        <w:t>,</w:t>
      </w:r>
      <w:r>
        <w:rPr>
          <w:lang w:eastAsia="fr-FR"/>
        </w:rPr>
        <w:t xml:space="preserve"> va être planifiée afin de vérifier l’efficacité des moyens de prévention en place.</w:t>
      </w:r>
    </w:p>
    <w:p w14:paraId="036594D3" w14:textId="4A06BF60" w:rsidR="00F55938" w:rsidRPr="005D3EB2" w:rsidRDefault="00B12B97" w:rsidP="00CF689F">
      <w:pPr>
        <w:pStyle w:val="citation"/>
        <w:spacing w:after="360"/>
        <w:rPr>
          <w:sz w:val="24"/>
          <w:szCs w:val="24"/>
        </w:rPr>
      </w:pPr>
      <w:r w:rsidRPr="0071029F">
        <w:rPr>
          <w:sz w:val="24"/>
          <w:szCs w:val="24"/>
        </w:rPr>
        <w:t>[</w:t>
      </w:r>
      <w:r w:rsidR="008A0102" w:rsidRPr="0071029F">
        <w:rPr>
          <w:sz w:val="24"/>
          <w:szCs w:val="24"/>
        </w:rPr>
        <w:t>Transcription textuelle et n</w:t>
      </w:r>
      <w:r w:rsidRPr="0071029F">
        <w:rPr>
          <w:sz w:val="24"/>
          <w:szCs w:val="24"/>
        </w:rPr>
        <w:t>os soulignements]</w:t>
      </w:r>
    </w:p>
    <w:p w14:paraId="23684125" w14:textId="7FE8A1CF" w:rsidR="00F55938" w:rsidRDefault="00F55938" w:rsidP="00CF689F">
      <w:pPr>
        <w:pStyle w:val="corpsdedcision"/>
        <w:rPr>
          <w:lang w:eastAsia="fr-FR"/>
        </w:rPr>
      </w:pPr>
      <w:r>
        <w:rPr>
          <w:lang w:eastAsia="fr-FR"/>
        </w:rPr>
        <w:t xml:space="preserve">La preuve a démontré que le travailleur était principalement affecté au poste de peinture par pulvérisation, mais à compter de </w:t>
      </w:r>
      <w:r w:rsidRPr="00033229">
        <w:rPr>
          <w:lang w:eastAsia="fr-FR"/>
        </w:rPr>
        <w:t>2016</w:t>
      </w:r>
      <w:r w:rsidR="008A0102" w:rsidRPr="00033229">
        <w:rPr>
          <w:lang w:eastAsia="fr-FR"/>
        </w:rPr>
        <w:t>,</w:t>
      </w:r>
      <w:r w:rsidRPr="00033229">
        <w:rPr>
          <w:lang w:eastAsia="fr-FR"/>
        </w:rPr>
        <w:t xml:space="preserve"> il devient superviseur, si bien qu’il pouvait se retrouver à tous les postes de travail dans</w:t>
      </w:r>
      <w:r>
        <w:rPr>
          <w:lang w:eastAsia="fr-FR"/>
        </w:rPr>
        <w:t xml:space="preserve"> l’usine.</w:t>
      </w:r>
      <w:r w:rsidR="009C013A">
        <w:rPr>
          <w:lang w:eastAsia="fr-FR"/>
        </w:rPr>
        <w:t xml:space="preserve"> À noter qu’au poste de peinture par pulvérisation, le travailleur d</w:t>
      </w:r>
      <w:r w:rsidR="004D48AF">
        <w:rPr>
          <w:lang w:eastAsia="fr-FR"/>
        </w:rPr>
        <w:t>evait</w:t>
      </w:r>
      <w:r w:rsidR="009C013A">
        <w:rPr>
          <w:lang w:eastAsia="fr-FR"/>
        </w:rPr>
        <w:t xml:space="preserve"> aussi accrocher, décrocher les crochets, et les nettoyer avec le diluant.</w:t>
      </w:r>
    </w:p>
    <w:p w14:paraId="0C65BB2A" w14:textId="07E0A955" w:rsidR="00F55938" w:rsidRDefault="004E6A05" w:rsidP="00CF689F">
      <w:pPr>
        <w:pStyle w:val="corpsdedcision"/>
        <w:rPr>
          <w:lang w:eastAsia="fr-FR"/>
        </w:rPr>
      </w:pPr>
      <w:r>
        <w:rPr>
          <w:lang w:eastAsia="fr-FR"/>
        </w:rPr>
        <w:t xml:space="preserve">Quant aux effets sur la santé, la Direction de santé </w:t>
      </w:r>
      <w:r w:rsidRPr="0018423F">
        <w:rPr>
          <w:lang w:eastAsia="fr-FR"/>
        </w:rPr>
        <w:t>publique</w:t>
      </w:r>
      <w:r w:rsidR="008A0102" w:rsidRPr="0018423F">
        <w:rPr>
          <w:lang w:eastAsia="fr-FR"/>
        </w:rPr>
        <w:t xml:space="preserve"> </w:t>
      </w:r>
      <w:r w:rsidR="00033229" w:rsidRPr="0018423F">
        <w:rPr>
          <w:lang w:eastAsia="fr-FR"/>
        </w:rPr>
        <w:t xml:space="preserve">de Lanaudière </w:t>
      </w:r>
      <w:r w:rsidRPr="0018423F">
        <w:rPr>
          <w:lang w:eastAsia="fr-FR"/>
        </w:rPr>
        <w:t>le</w:t>
      </w:r>
      <w:r>
        <w:rPr>
          <w:lang w:eastAsia="fr-FR"/>
        </w:rPr>
        <w:t>s résume ainsi :</w:t>
      </w:r>
    </w:p>
    <w:p w14:paraId="7726217D" w14:textId="6F5E4428" w:rsidR="004E6A05" w:rsidRDefault="004E6A05" w:rsidP="00EF573B">
      <w:pPr>
        <w:pStyle w:val="citation"/>
        <w:rPr>
          <w:lang w:eastAsia="fr-FR"/>
        </w:rPr>
      </w:pPr>
      <w:r>
        <w:rPr>
          <w:lang w:eastAsia="fr-FR"/>
        </w:rPr>
        <w:t xml:space="preserve">L’exposition aux solvants organiques volatiles (COV) affectent généralement le système neurologique. </w:t>
      </w:r>
      <w:r w:rsidRPr="004E6A05">
        <w:rPr>
          <w:u w:val="single"/>
          <w:lang w:eastAsia="fr-FR"/>
        </w:rPr>
        <w:t>En effet, ils peuvent entrainer des symptômes neurologiques aigus ou chroniques, des pertes de mémoire, des troubles de l’équilibre, des maux de tête, des nausées, des étourdissements, de la fatigue, de la somnolence ainsi qu'une diminution de la performance lors de certains tests neurocomportementaux (diminution de la coordination, difficultés de concentration</w:t>
      </w:r>
      <w:r>
        <w:rPr>
          <w:lang w:eastAsia="fr-FR"/>
        </w:rPr>
        <w:t>). L’exposition à de très fortes concentrations peut entraîner une narcose, la dépression respiratoire et la mort. Ils peuvent également atteindre la fonction hépatique. Le tableau 4 présenté à l’annexe 1, décrit les effets à la santé spécifiques aux produits utilisés à la production. Les informations proviennent du Répertoire toxicologique de la CNESST</w:t>
      </w:r>
      <w:r w:rsidRPr="004E6A05">
        <w:rPr>
          <w:vertAlign w:val="superscript"/>
          <w:lang w:eastAsia="fr-FR"/>
        </w:rPr>
        <w:t>1</w:t>
      </w:r>
      <w:r>
        <w:rPr>
          <w:lang w:eastAsia="fr-FR"/>
        </w:rPr>
        <w:t xml:space="preserve">. </w:t>
      </w:r>
    </w:p>
    <w:p w14:paraId="0CDFA12A" w14:textId="77777777" w:rsidR="004E6A05" w:rsidRDefault="004E6A05" w:rsidP="00EF573B">
      <w:pPr>
        <w:pStyle w:val="citation"/>
        <w:rPr>
          <w:lang w:eastAsia="fr-FR"/>
        </w:rPr>
      </w:pPr>
    </w:p>
    <w:p w14:paraId="0E1E3A05" w14:textId="3869E3D4" w:rsidR="00B12B97" w:rsidRDefault="004E6A05" w:rsidP="00CF689F">
      <w:pPr>
        <w:pStyle w:val="citation"/>
        <w:spacing w:after="360"/>
        <w:rPr>
          <w:lang w:eastAsia="fr-FR"/>
        </w:rPr>
      </w:pPr>
      <w:r>
        <w:rPr>
          <w:lang w:eastAsia="fr-FR"/>
        </w:rPr>
        <w:t xml:space="preserve">De plus, certaines substances chimiques sont ototoxiques. </w:t>
      </w:r>
      <w:r w:rsidRPr="004E6A05">
        <w:rPr>
          <w:u w:val="single"/>
          <w:lang w:eastAsia="fr-FR"/>
        </w:rPr>
        <w:t>La présence d’un agent ototoxique dans l’environnement de travail pourrait potentialiser l’effet du bruit au niveau de l’oreille interne et entrainer des dommages au niveau de l’audition</w:t>
      </w:r>
      <w:r>
        <w:rPr>
          <w:lang w:eastAsia="fr-FR"/>
        </w:rPr>
        <w:t>. Dans la documentation scientifique, plus de 100 substances présentes dans les milieux de travail ont été identifiées comme étant potentiellement ototoxiques. Le toluène et le styrène sont parmi les principales et les plus documentées.</w:t>
      </w:r>
    </w:p>
    <w:p w14:paraId="0F675F41" w14:textId="372D50E7" w:rsidR="004E6A05" w:rsidRPr="005D3EB2" w:rsidRDefault="00B12B97" w:rsidP="00CF689F">
      <w:pPr>
        <w:pStyle w:val="citation"/>
        <w:spacing w:after="360"/>
        <w:rPr>
          <w:sz w:val="24"/>
          <w:szCs w:val="24"/>
        </w:rPr>
      </w:pPr>
      <w:r w:rsidRPr="005D4163">
        <w:rPr>
          <w:sz w:val="24"/>
          <w:szCs w:val="24"/>
        </w:rPr>
        <w:t>[</w:t>
      </w:r>
      <w:r w:rsidR="008A0102" w:rsidRPr="00033229">
        <w:rPr>
          <w:sz w:val="24"/>
          <w:szCs w:val="24"/>
        </w:rPr>
        <w:t>Transcription textuelle, n</w:t>
      </w:r>
      <w:r w:rsidRPr="00033229">
        <w:rPr>
          <w:sz w:val="24"/>
          <w:szCs w:val="24"/>
        </w:rPr>
        <w:t>os</w:t>
      </w:r>
      <w:r w:rsidRPr="005D4163">
        <w:rPr>
          <w:sz w:val="24"/>
          <w:szCs w:val="24"/>
        </w:rPr>
        <w:t xml:space="preserve"> soulignement</w:t>
      </w:r>
      <w:r>
        <w:rPr>
          <w:sz w:val="24"/>
          <w:szCs w:val="24"/>
        </w:rPr>
        <w:t>s et notes omises</w:t>
      </w:r>
      <w:r w:rsidRPr="005D4163">
        <w:rPr>
          <w:sz w:val="24"/>
          <w:szCs w:val="24"/>
        </w:rPr>
        <w:t>]</w:t>
      </w:r>
    </w:p>
    <w:p w14:paraId="12387D4C" w14:textId="36C40ADC" w:rsidR="004E6A05" w:rsidRDefault="004E6A05" w:rsidP="00CF689F">
      <w:pPr>
        <w:pStyle w:val="corpsdedcision"/>
        <w:rPr>
          <w:lang w:eastAsia="fr-FR"/>
        </w:rPr>
      </w:pPr>
      <w:r>
        <w:rPr>
          <w:lang w:eastAsia="fr-FR"/>
        </w:rPr>
        <w:t xml:space="preserve">Le Tribunal rappelle que </w:t>
      </w:r>
      <w:r w:rsidR="00F5080E">
        <w:rPr>
          <w:lang w:eastAsia="fr-FR"/>
        </w:rPr>
        <w:t xml:space="preserve">la </w:t>
      </w:r>
      <w:r>
        <w:rPr>
          <w:lang w:eastAsia="fr-FR"/>
        </w:rPr>
        <w:t xml:space="preserve">docteure Baillargeon décrit à son évaluation des symptômes neurologiques chez le travailleur. Au surplus, le docteur Olney mentionne </w:t>
      </w:r>
      <w:r w:rsidRPr="00033229">
        <w:rPr>
          <w:lang w:eastAsia="fr-FR"/>
        </w:rPr>
        <w:t>que le travailleur a eu notamment des effets sur son audition lorsqu’il dirige le travailleur</w:t>
      </w:r>
      <w:r w:rsidR="008A0102" w:rsidRPr="00033229">
        <w:rPr>
          <w:lang w:eastAsia="fr-FR"/>
        </w:rPr>
        <w:t xml:space="preserve"> à la</w:t>
      </w:r>
      <w:r w:rsidRPr="00033229">
        <w:rPr>
          <w:lang w:eastAsia="fr-FR"/>
        </w:rPr>
        <w:t xml:space="preserve"> docteure</w:t>
      </w:r>
      <w:r>
        <w:rPr>
          <w:lang w:eastAsia="fr-FR"/>
        </w:rPr>
        <w:t xml:space="preserve"> Bernard pour une greffe :</w:t>
      </w:r>
    </w:p>
    <w:p w14:paraId="3A0FDC3F" w14:textId="77777777" w:rsidR="004E6A05" w:rsidRDefault="004E6A05" w:rsidP="004C5A0F">
      <w:pPr>
        <w:pStyle w:val="citation"/>
        <w:rPr>
          <w:lang w:eastAsia="fr-FR"/>
        </w:rPr>
      </w:pPr>
      <w:r>
        <w:rPr>
          <w:lang w:eastAsia="fr-FR"/>
        </w:rPr>
        <w:t>Symptômes et signes :</w:t>
      </w:r>
    </w:p>
    <w:p w14:paraId="7DE26CEE" w14:textId="77777777" w:rsidR="004C5A0F" w:rsidRDefault="004C5A0F" w:rsidP="004C5A0F">
      <w:pPr>
        <w:pStyle w:val="citation"/>
        <w:rPr>
          <w:lang w:eastAsia="fr-FR"/>
        </w:rPr>
      </w:pPr>
    </w:p>
    <w:p w14:paraId="7ED04386" w14:textId="6AA10C92" w:rsidR="004F1F04" w:rsidRDefault="004E6A05" w:rsidP="00CF689F">
      <w:pPr>
        <w:pStyle w:val="citation"/>
        <w:spacing w:after="400"/>
        <w:rPr>
          <w:lang w:eastAsia="fr-FR"/>
        </w:rPr>
      </w:pPr>
      <w:r>
        <w:rPr>
          <w:lang w:eastAsia="fr-FR"/>
        </w:rPr>
        <w:t>Traumatisme oculaire</w:t>
      </w:r>
      <w:r w:rsidR="00450E35">
        <w:rPr>
          <w:lang w:eastAsia="fr-FR"/>
        </w:rPr>
        <w:t xml:space="preserve"> </w:t>
      </w:r>
      <w:r w:rsidR="00450E35" w:rsidRPr="00450E35">
        <w:rPr>
          <w:lang w:eastAsia="fr-FR"/>
        </w:rPr>
        <w:t>&gt;&gt;</w:t>
      </w:r>
      <w:r>
        <w:rPr>
          <w:lang w:eastAsia="fr-FR"/>
        </w:rPr>
        <w:t xml:space="preserve"> consult en ophtalmologie et diagnostic de changements secondaire à une leucémie, associé avec symptômes systémigues (asthénie, sudations froides, frissons et fièvre) et hypoacousie évolutive.</w:t>
      </w:r>
    </w:p>
    <w:p w14:paraId="3E49F3A9" w14:textId="22827FDE" w:rsidR="008A0102" w:rsidRPr="008A0102" w:rsidRDefault="008A0102" w:rsidP="00CF689F">
      <w:pPr>
        <w:pStyle w:val="citation"/>
        <w:spacing w:after="400"/>
        <w:rPr>
          <w:sz w:val="24"/>
          <w:szCs w:val="24"/>
          <w:lang w:eastAsia="fr-FR"/>
        </w:rPr>
      </w:pPr>
      <w:r w:rsidRPr="00033229">
        <w:rPr>
          <w:sz w:val="24"/>
          <w:szCs w:val="24"/>
          <w:lang w:eastAsia="fr-FR"/>
        </w:rPr>
        <w:t>[Transcription textuelle]</w:t>
      </w:r>
    </w:p>
    <w:p w14:paraId="5A93A419" w14:textId="19A3C367" w:rsidR="00C60EF7" w:rsidRDefault="00313163" w:rsidP="00CF689F">
      <w:pPr>
        <w:pStyle w:val="corpsdedcision"/>
        <w:spacing w:after="400"/>
        <w:rPr>
          <w:lang w:eastAsia="fr-FR"/>
        </w:rPr>
      </w:pPr>
      <w:r>
        <w:rPr>
          <w:lang w:eastAsia="fr-FR"/>
        </w:rPr>
        <w:t xml:space="preserve">Dans l’avis rédigé </w:t>
      </w:r>
      <w:r w:rsidRPr="00033229">
        <w:rPr>
          <w:lang w:eastAsia="fr-FR"/>
        </w:rPr>
        <w:t xml:space="preserve">par </w:t>
      </w:r>
      <w:r w:rsidR="008A0102" w:rsidRPr="00033229">
        <w:rPr>
          <w:lang w:eastAsia="fr-FR"/>
        </w:rPr>
        <w:t xml:space="preserve">la </w:t>
      </w:r>
      <w:r w:rsidRPr="00033229">
        <w:rPr>
          <w:lang w:eastAsia="fr-FR"/>
        </w:rPr>
        <w:t>docteure</w:t>
      </w:r>
      <w:r>
        <w:rPr>
          <w:lang w:eastAsia="fr-FR"/>
        </w:rPr>
        <w:t xml:space="preserve"> Baillargeon portant sur la relation causale, le 25</w:t>
      </w:r>
      <w:r w:rsidR="0070415F">
        <w:rPr>
          <w:lang w:eastAsia="fr-FR"/>
        </w:rPr>
        <w:t> </w:t>
      </w:r>
      <w:r>
        <w:rPr>
          <w:lang w:eastAsia="fr-FR"/>
        </w:rPr>
        <w:t xml:space="preserve">février 2020, celle-ci précise que le travailleur a été exposé autant par inhalation que par voie cutanée. </w:t>
      </w:r>
      <w:r w:rsidR="00F03D68">
        <w:rPr>
          <w:lang w:eastAsia="fr-FR"/>
        </w:rPr>
        <w:t>Or, l’évaluation de la Direction de santé publique</w:t>
      </w:r>
      <w:r w:rsidR="00C2429A">
        <w:rPr>
          <w:lang w:eastAsia="fr-FR"/>
        </w:rPr>
        <w:t xml:space="preserve"> de Lanaudière</w:t>
      </w:r>
      <w:r w:rsidR="00F03D68">
        <w:rPr>
          <w:lang w:eastAsia="fr-FR"/>
        </w:rPr>
        <w:t xml:space="preserve"> ne portait que sur des quantités mesurées dans l’air.</w:t>
      </w:r>
    </w:p>
    <w:p w14:paraId="4EBDF1B4" w14:textId="3FFD6B06" w:rsidR="00313163" w:rsidRDefault="00C60EF7" w:rsidP="00CF689F">
      <w:pPr>
        <w:pStyle w:val="corpsdedcision"/>
        <w:spacing w:after="400"/>
        <w:rPr>
          <w:lang w:eastAsia="fr-FR"/>
        </w:rPr>
      </w:pPr>
      <w:r>
        <w:rPr>
          <w:lang w:eastAsia="fr-FR"/>
        </w:rPr>
        <w:t>Elle précise que l</w:t>
      </w:r>
      <w:r w:rsidR="00313163">
        <w:rPr>
          <w:lang w:eastAsia="fr-FR"/>
        </w:rPr>
        <w:t>’équipement de protection individuel n’est pas adéquat. Le</w:t>
      </w:r>
      <w:r w:rsidR="008A0102">
        <w:rPr>
          <w:lang w:eastAsia="fr-FR"/>
        </w:rPr>
        <w:t> </w:t>
      </w:r>
      <w:r w:rsidR="00313163">
        <w:rPr>
          <w:lang w:eastAsia="fr-FR"/>
        </w:rPr>
        <w:t>masque qui est fourni semble inefficace, si bien que le travailleur déclare « </w:t>
      </w:r>
      <w:r w:rsidR="00313163" w:rsidRPr="00313163">
        <w:rPr>
          <w:rStyle w:val="Citationintgre"/>
        </w:rPr>
        <w:t>que la poussière noire s’accumule autour du masque et sur le visage</w:t>
      </w:r>
      <w:r w:rsidR="00313163">
        <w:rPr>
          <w:lang w:eastAsia="fr-FR"/>
        </w:rPr>
        <w:t xml:space="preserve"> ». Quant au port des gants, </w:t>
      </w:r>
      <w:r w:rsidR="00F5080E">
        <w:rPr>
          <w:lang w:eastAsia="fr-FR"/>
        </w:rPr>
        <w:t xml:space="preserve">la </w:t>
      </w:r>
      <w:r w:rsidR="00313163">
        <w:rPr>
          <w:lang w:eastAsia="fr-FR"/>
        </w:rPr>
        <w:t xml:space="preserve">docteure </w:t>
      </w:r>
      <w:r w:rsidR="0070415F">
        <w:rPr>
          <w:lang w:eastAsia="fr-FR"/>
        </w:rPr>
        <w:t>Baillargeon</w:t>
      </w:r>
      <w:r w:rsidR="00313163">
        <w:rPr>
          <w:lang w:eastAsia="fr-FR"/>
        </w:rPr>
        <w:t xml:space="preserve"> note </w:t>
      </w:r>
      <w:r w:rsidR="0070415F">
        <w:rPr>
          <w:lang w:eastAsia="fr-FR"/>
        </w:rPr>
        <w:t>« </w:t>
      </w:r>
      <w:r w:rsidR="0070415F" w:rsidRPr="0070415F">
        <w:rPr>
          <w:rStyle w:val="Citationintgre"/>
        </w:rPr>
        <w:t>que ceux-ci fondent au contact des solvants</w:t>
      </w:r>
      <w:r w:rsidR="0070415F">
        <w:rPr>
          <w:lang w:eastAsia="fr-FR"/>
        </w:rPr>
        <w:t> ».</w:t>
      </w:r>
    </w:p>
    <w:p w14:paraId="084F3F41" w14:textId="224A0C14" w:rsidR="0070415F" w:rsidRDefault="0070415F" w:rsidP="00CF689F">
      <w:pPr>
        <w:pStyle w:val="corpsdedcision"/>
        <w:spacing w:after="400"/>
        <w:rPr>
          <w:lang w:eastAsia="fr-FR"/>
        </w:rPr>
      </w:pPr>
      <w:r>
        <w:rPr>
          <w:lang w:eastAsia="fr-FR"/>
        </w:rPr>
        <w:t>À cet égard, la Direction de santé publique</w:t>
      </w:r>
      <w:r w:rsidR="00C2429A">
        <w:rPr>
          <w:lang w:eastAsia="fr-FR"/>
        </w:rPr>
        <w:t xml:space="preserve"> de Lanaudière</w:t>
      </w:r>
      <w:r>
        <w:rPr>
          <w:lang w:eastAsia="fr-FR"/>
        </w:rPr>
        <w:t xml:space="preserve"> recommande de vérifier l’efficacité de la ventilation générale</w:t>
      </w:r>
      <w:r w:rsidR="009C63B0">
        <w:rPr>
          <w:lang w:eastAsia="fr-FR"/>
        </w:rPr>
        <w:t xml:space="preserve"> de sorte qu’elle respecte la réglementation</w:t>
      </w:r>
      <w:r>
        <w:rPr>
          <w:lang w:eastAsia="fr-FR"/>
        </w:rPr>
        <w:t>,</w:t>
      </w:r>
      <w:r w:rsidR="009C63B0">
        <w:rPr>
          <w:lang w:eastAsia="fr-FR"/>
        </w:rPr>
        <w:t xml:space="preserve"> d’ajouter une ventilation locale au poste où les solvants sont utilisés</w:t>
      </w:r>
      <w:r>
        <w:rPr>
          <w:lang w:eastAsia="fr-FR"/>
        </w:rPr>
        <w:t xml:space="preserve"> et</w:t>
      </w:r>
      <w:r w:rsidR="009C63B0">
        <w:rPr>
          <w:lang w:eastAsia="fr-FR"/>
        </w:rPr>
        <w:t>,</w:t>
      </w:r>
      <w:r>
        <w:rPr>
          <w:lang w:eastAsia="fr-FR"/>
        </w:rPr>
        <w:t xml:space="preserve"> notamment, que les travailleur</w:t>
      </w:r>
      <w:r w:rsidR="00772787">
        <w:rPr>
          <w:lang w:eastAsia="fr-FR"/>
        </w:rPr>
        <w:t>s</w:t>
      </w:r>
      <w:r>
        <w:rPr>
          <w:lang w:eastAsia="fr-FR"/>
        </w:rPr>
        <w:t xml:space="preserve"> portent un demi-</w:t>
      </w:r>
      <w:r w:rsidRPr="00480FC2">
        <w:rPr>
          <w:lang w:eastAsia="fr-FR"/>
        </w:rPr>
        <w:t>masque à cartouches chimiques</w:t>
      </w:r>
      <w:r>
        <w:rPr>
          <w:lang w:eastAsia="fr-FR"/>
        </w:rPr>
        <w:t xml:space="preserve"> contre les solvants organiques volatiles aux postes de travail concernés.</w:t>
      </w:r>
    </w:p>
    <w:p w14:paraId="6B8D4936" w14:textId="5919ECA8" w:rsidR="00017D80" w:rsidRDefault="00017D80" w:rsidP="00CF689F">
      <w:pPr>
        <w:pStyle w:val="corpsdedcision"/>
        <w:spacing w:after="400"/>
        <w:rPr>
          <w:lang w:eastAsia="fr-FR"/>
        </w:rPr>
      </w:pPr>
      <w:r>
        <w:rPr>
          <w:lang w:eastAsia="fr-FR"/>
        </w:rPr>
        <w:t>L’employeur plaide que pour conclure à une intoxication au sens de l’article 29 de la Loi, il n’est pas suffisant d’inférer l’existence d’une intoxication du seul fait de l’exposition et il soumet de la jurisprudence à cet égard et voulant que le Tribunal doi</w:t>
      </w:r>
      <w:r w:rsidR="00F5080E">
        <w:rPr>
          <w:lang w:eastAsia="fr-FR"/>
        </w:rPr>
        <w:t>ve</w:t>
      </w:r>
      <w:r>
        <w:rPr>
          <w:lang w:eastAsia="fr-FR"/>
        </w:rPr>
        <w:t xml:space="preserve"> retrouver des signes d’intoxication à l’aide de marqueurs biologiques et des signes d’altération associés à la toxicité de la substance impliquée. </w:t>
      </w:r>
    </w:p>
    <w:p w14:paraId="0AE22B4A" w14:textId="1F54AEB9" w:rsidR="00017D80" w:rsidRDefault="00017D80" w:rsidP="00CF689F">
      <w:pPr>
        <w:pStyle w:val="corpsdedcision"/>
        <w:spacing w:after="400"/>
        <w:rPr>
          <w:lang w:eastAsia="fr-FR"/>
        </w:rPr>
      </w:pPr>
      <w:r>
        <w:rPr>
          <w:lang w:eastAsia="fr-FR"/>
        </w:rPr>
        <w:t xml:space="preserve">Avec respect pour l’opinion contraire, cela revient à mettre en doute le diagnostic </w:t>
      </w:r>
      <w:r w:rsidRPr="006F0610">
        <w:rPr>
          <w:lang w:eastAsia="fr-FR"/>
        </w:rPr>
        <w:t>d’intoxication</w:t>
      </w:r>
      <w:r w:rsidR="00E26397" w:rsidRPr="006F0610">
        <w:rPr>
          <w:lang w:eastAsia="fr-FR"/>
        </w:rPr>
        <w:t>s</w:t>
      </w:r>
      <w:r w:rsidRPr="006F0610">
        <w:rPr>
          <w:lang w:eastAsia="fr-FR"/>
        </w:rPr>
        <w:t xml:space="preserve"> posé</w:t>
      </w:r>
      <w:r>
        <w:rPr>
          <w:lang w:eastAsia="fr-FR"/>
        </w:rPr>
        <w:t xml:space="preserve"> par </w:t>
      </w:r>
      <w:r w:rsidR="008A0102" w:rsidRPr="00E26397">
        <w:rPr>
          <w:lang w:eastAsia="fr-FR"/>
        </w:rPr>
        <w:t xml:space="preserve">la </w:t>
      </w:r>
      <w:r w:rsidRPr="00E26397">
        <w:rPr>
          <w:lang w:eastAsia="fr-FR"/>
        </w:rPr>
        <w:t>docteure</w:t>
      </w:r>
      <w:r>
        <w:rPr>
          <w:lang w:eastAsia="fr-FR"/>
        </w:rPr>
        <w:t xml:space="preserve"> Baillargeon qui estimait retrouver de tels signes, par ailleurs, dans son opinion détaillée, diagnostic repris par les docteurs Olney et </w:t>
      </w:r>
      <w:r w:rsidR="004C024D">
        <w:rPr>
          <w:lang w:eastAsia="fr-FR"/>
        </w:rPr>
        <w:t xml:space="preserve">Bernard </w:t>
      </w:r>
      <w:r>
        <w:rPr>
          <w:lang w:eastAsia="fr-FR"/>
        </w:rPr>
        <w:t>et qui lie le Tribunal. Exiger du travailleur une preuve du bien-fondé du diagnostic posé par le professionnel de la santé qui a charge ajoute à son fardeau de preuve, ce qui n’est pas l’objectif de la présomption.</w:t>
      </w:r>
    </w:p>
    <w:p w14:paraId="0D6B4A41" w14:textId="58298CB1" w:rsidR="008346BB" w:rsidRDefault="00F77BA8" w:rsidP="00CF689F">
      <w:pPr>
        <w:pStyle w:val="corpsdedcision"/>
        <w:spacing w:after="400"/>
        <w:rPr>
          <w:lang w:eastAsia="fr-FR"/>
        </w:rPr>
      </w:pPr>
      <w:r>
        <w:rPr>
          <w:lang w:eastAsia="fr-FR"/>
        </w:rPr>
        <w:t xml:space="preserve">L’employeur ne remet pas en question une exposition dans l’usine aux agents chimiques énoncés par la </w:t>
      </w:r>
      <w:bookmarkStart w:id="27" w:name="_Hlk196464351"/>
      <w:r>
        <w:rPr>
          <w:lang w:eastAsia="fr-FR"/>
        </w:rPr>
        <w:t>Direction de santé publique</w:t>
      </w:r>
      <w:r w:rsidR="00423D2E">
        <w:rPr>
          <w:lang w:eastAsia="fr-FR"/>
        </w:rPr>
        <w:t xml:space="preserve"> </w:t>
      </w:r>
      <w:r w:rsidR="008A0102" w:rsidRPr="00E26397">
        <w:rPr>
          <w:lang w:eastAsia="fr-FR"/>
        </w:rPr>
        <w:t>de Lanaudière</w:t>
      </w:r>
      <w:bookmarkEnd w:id="27"/>
      <w:r w:rsidR="00E26397">
        <w:rPr>
          <w:lang w:eastAsia="fr-FR"/>
        </w:rPr>
        <w:t>.</w:t>
      </w:r>
      <w:r w:rsidR="008A0102">
        <w:rPr>
          <w:lang w:eastAsia="fr-FR"/>
        </w:rPr>
        <w:t xml:space="preserve"> </w:t>
      </w:r>
      <w:r w:rsidR="008346BB">
        <w:rPr>
          <w:lang w:eastAsia="fr-FR"/>
        </w:rPr>
        <w:t xml:space="preserve">Cependant, </w:t>
      </w:r>
      <w:r>
        <w:rPr>
          <w:lang w:eastAsia="fr-FR"/>
        </w:rPr>
        <w:t>il estime</w:t>
      </w:r>
      <w:r w:rsidR="008346BB">
        <w:rPr>
          <w:lang w:eastAsia="fr-FR"/>
        </w:rPr>
        <w:t xml:space="preserve"> que les mesures prises en basse saison ne sont pas représentatives. Il formule son argument de la sorte :</w:t>
      </w:r>
    </w:p>
    <w:p w14:paraId="6499EA98" w14:textId="0C3F4EE8" w:rsidR="008346BB" w:rsidRDefault="008346BB" w:rsidP="00EF573B">
      <w:pPr>
        <w:pStyle w:val="citation"/>
        <w:ind w:left="1134" w:hanging="414"/>
        <w:rPr>
          <w:lang w:eastAsia="fr-FR"/>
        </w:rPr>
      </w:pPr>
      <w:r>
        <w:rPr>
          <w:lang w:eastAsia="fr-FR"/>
        </w:rPr>
        <w:t xml:space="preserve">173. En premier lieu, l’Employeur a présenté avec rigueur des preuves scientifiques, dont des analyses de l’environnement de travail effectuées par le CISSS. Ces analyses corroborent sans équivoque que </w:t>
      </w:r>
      <w:r w:rsidRPr="001C0CCD">
        <w:rPr>
          <w:lang w:eastAsia="fr-FR"/>
        </w:rPr>
        <w:t>les niveaux d’exposition aux solvants sont les plus bas durant les périodes de haute productivité</w:t>
      </w:r>
      <w:r>
        <w:rPr>
          <w:lang w:eastAsia="fr-FR"/>
        </w:rPr>
        <w:t xml:space="preserve">. Cette situation est principalement due à l’ouverture des portes de l’usine entre les mois d’avril et octobre, qui favorise une ventilation régulière des lieux; </w:t>
      </w:r>
    </w:p>
    <w:p w14:paraId="0B6C3BBE" w14:textId="77777777" w:rsidR="008346BB" w:rsidRDefault="008346BB" w:rsidP="00EF573B">
      <w:pPr>
        <w:pStyle w:val="citation"/>
        <w:rPr>
          <w:lang w:eastAsia="fr-FR"/>
        </w:rPr>
      </w:pPr>
    </w:p>
    <w:p w14:paraId="2F2D767E" w14:textId="0E8DDAD0" w:rsidR="008346BB" w:rsidRPr="00E26397" w:rsidRDefault="008346BB" w:rsidP="00CF689F">
      <w:pPr>
        <w:pStyle w:val="citation"/>
        <w:spacing w:after="440"/>
        <w:ind w:left="1134" w:hanging="414"/>
        <w:rPr>
          <w:lang w:eastAsia="fr-FR"/>
        </w:rPr>
      </w:pPr>
      <w:r>
        <w:rPr>
          <w:lang w:eastAsia="fr-FR"/>
        </w:rPr>
        <w:t>174. Par conséquent, les symptômes rapportés par le Travailleur, qu’il prétend exacerbés durant la haute saison de production, ne sauraient être interprétés comme des indices d’une intoxication par les solvants. Cette conclusion s’appuie sur le fait que les symptômes signalés surviendraient à un moment où l’exposition aux substances volatiles est en réalité diminuée du fait des mesures d’aération mises en place</w:t>
      </w:r>
      <w:r w:rsidRPr="008A0102">
        <w:rPr>
          <w:lang w:eastAsia="fr-FR"/>
        </w:rPr>
        <w:t>;</w:t>
      </w:r>
      <w:r w:rsidR="008A0102">
        <w:rPr>
          <w:lang w:eastAsia="fr-FR"/>
        </w:rPr>
        <w:t xml:space="preserve"> </w:t>
      </w:r>
      <w:r w:rsidR="008A0102" w:rsidRPr="00E26397">
        <w:rPr>
          <w:lang w:eastAsia="fr-FR"/>
        </w:rPr>
        <w:t>[…]</w:t>
      </w:r>
    </w:p>
    <w:p w14:paraId="4A703E0C" w14:textId="6E1556E6" w:rsidR="008A0102" w:rsidRPr="008A0102" w:rsidRDefault="008A0102" w:rsidP="00CF689F">
      <w:pPr>
        <w:pStyle w:val="citation"/>
        <w:spacing w:after="440"/>
        <w:ind w:left="1134" w:hanging="414"/>
        <w:rPr>
          <w:sz w:val="24"/>
          <w:szCs w:val="24"/>
          <w:lang w:eastAsia="fr-FR"/>
        </w:rPr>
      </w:pPr>
      <w:r w:rsidRPr="00E26397">
        <w:rPr>
          <w:sz w:val="24"/>
          <w:szCs w:val="24"/>
          <w:lang w:eastAsia="fr-FR"/>
        </w:rPr>
        <w:t>[Transcription textuelle]</w:t>
      </w:r>
    </w:p>
    <w:p w14:paraId="52F192FA" w14:textId="4283917D" w:rsidR="00B85C77" w:rsidRDefault="001C0CCD" w:rsidP="00CF689F">
      <w:pPr>
        <w:pStyle w:val="corpsdedcision"/>
        <w:spacing w:after="440"/>
        <w:rPr>
          <w:lang w:eastAsia="fr-FR"/>
        </w:rPr>
      </w:pPr>
      <w:r>
        <w:rPr>
          <w:lang w:eastAsia="fr-FR"/>
        </w:rPr>
        <w:t>Le 27 mai 2021, la Direction de santé publique</w:t>
      </w:r>
      <w:r w:rsidR="00C2429A">
        <w:rPr>
          <w:lang w:eastAsia="fr-FR"/>
        </w:rPr>
        <w:t xml:space="preserve"> de Lanaudière</w:t>
      </w:r>
      <w:r>
        <w:rPr>
          <w:lang w:eastAsia="fr-FR"/>
        </w:rPr>
        <w:t xml:space="preserve"> a procédé à une nouvelle visite pour vérifier la mise en place des recommandations </w:t>
      </w:r>
      <w:r w:rsidR="00480FC2" w:rsidRPr="00E26397">
        <w:rPr>
          <w:lang w:eastAsia="fr-FR"/>
        </w:rPr>
        <w:t>émises au mois</w:t>
      </w:r>
      <w:r w:rsidR="00480FC2">
        <w:rPr>
          <w:lang w:eastAsia="fr-FR"/>
        </w:rPr>
        <w:t xml:space="preserve"> de</w:t>
      </w:r>
      <w:r>
        <w:rPr>
          <w:lang w:eastAsia="fr-FR"/>
        </w:rPr>
        <w:t xml:space="preserve"> mars</w:t>
      </w:r>
      <w:r w:rsidR="00480FC2">
        <w:rPr>
          <w:lang w:eastAsia="fr-FR"/>
        </w:rPr>
        <w:t> </w:t>
      </w:r>
      <w:r>
        <w:rPr>
          <w:lang w:eastAsia="fr-FR"/>
        </w:rPr>
        <w:t xml:space="preserve">2020. </w:t>
      </w:r>
      <w:r w:rsidR="00C157B2">
        <w:rPr>
          <w:lang w:eastAsia="fr-FR"/>
        </w:rPr>
        <w:t>Elle mentionne qu’à ce moment, la production était représentative de la période de la haute saison. Elle effectue des mesures des concentrations de composés organiques volatiles dans deux conditions : les portes de garage ouvertes, et les portes de garage fermées.</w:t>
      </w:r>
    </w:p>
    <w:p w14:paraId="4BA82279" w14:textId="6A022690" w:rsidR="008346BB" w:rsidRPr="00BF72EC" w:rsidRDefault="00B85C77" w:rsidP="00CF689F">
      <w:pPr>
        <w:pStyle w:val="corpsdedcision"/>
        <w:spacing w:after="440"/>
        <w:rPr>
          <w:lang w:eastAsia="fr-FR"/>
        </w:rPr>
      </w:pPr>
      <w:r w:rsidRPr="00BF72EC">
        <w:rPr>
          <w:lang w:eastAsia="fr-FR"/>
        </w:rPr>
        <w:t>À la section « </w:t>
      </w:r>
      <w:r w:rsidRPr="00BF72EC">
        <w:rPr>
          <w:rStyle w:val="Citationintgre"/>
        </w:rPr>
        <w:t>Discussion des résultats</w:t>
      </w:r>
      <w:r w:rsidRPr="00BF72EC">
        <w:rPr>
          <w:lang w:eastAsia="fr-FR"/>
        </w:rPr>
        <w:t> », la Direction de santé publique</w:t>
      </w:r>
      <w:r w:rsidR="00C2429A">
        <w:rPr>
          <w:lang w:eastAsia="fr-FR"/>
        </w:rPr>
        <w:t xml:space="preserve"> de Lanaudière</w:t>
      </w:r>
      <w:r w:rsidRPr="00BF72EC">
        <w:rPr>
          <w:lang w:eastAsia="fr-FR"/>
        </w:rPr>
        <w:t xml:space="preserve"> fait état des changements depuis la visite </w:t>
      </w:r>
      <w:r w:rsidRPr="00480FC2">
        <w:rPr>
          <w:lang w:eastAsia="fr-FR"/>
        </w:rPr>
        <w:t>de mars</w:t>
      </w:r>
      <w:r w:rsidRPr="00BF72EC">
        <w:rPr>
          <w:lang w:eastAsia="fr-FR"/>
        </w:rPr>
        <w:t xml:space="preserve"> 2020. </w:t>
      </w:r>
      <w:r w:rsidR="00F57A24" w:rsidRPr="00BF72EC">
        <w:rPr>
          <w:lang w:eastAsia="fr-FR"/>
        </w:rPr>
        <w:t>Elle énonce les résultats « </w:t>
      </w:r>
      <w:r w:rsidR="00F57A24" w:rsidRPr="00BF72EC">
        <w:rPr>
          <w:rStyle w:val="Citationintgre"/>
        </w:rPr>
        <w:t>portes fermées</w:t>
      </w:r>
      <w:r w:rsidR="00F57A24" w:rsidRPr="00BF72EC">
        <w:rPr>
          <w:lang w:eastAsia="fr-FR"/>
        </w:rPr>
        <w:t xml:space="preserve"> » de l’usine. </w:t>
      </w:r>
      <w:r w:rsidRPr="00BF72EC">
        <w:rPr>
          <w:lang w:eastAsia="fr-FR"/>
        </w:rPr>
        <w:t>Elle constate notamment que le diluant et le dégraisseur ne sont plus utilisés au poste de pré</w:t>
      </w:r>
      <w:r w:rsidR="00243B60">
        <w:rPr>
          <w:lang w:eastAsia="fr-FR"/>
        </w:rPr>
        <w:t>-</w:t>
      </w:r>
      <w:r w:rsidRPr="00BF72EC">
        <w:rPr>
          <w:lang w:eastAsia="fr-FR"/>
        </w:rPr>
        <w:t>nettoyage, ayant été remplacés. Au poste d’accrochage et de décrochage des bonbonnes, la concentration du toluène est maintenant non significative à la suite de l’élimination du diluant et l’utilisation des autres produits à l’extérieur</w:t>
      </w:r>
      <w:r w:rsidR="00F57A24" w:rsidRPr="00BF72EC">
        <w:rPr>
          <w:lang w:eastAsia="fr-FR"/>
        </w:rPr>
        <w:t xml:space="preserve"> de la chambre de peinture. Des améliorations sont aussi notées au poste d’étiquetage lors de l’utilisation de la peinture en aérosol. Quant à l’évaluation « </w:t>
      </w:r>
      <w:r w:rsidR="00F57A24" w:rsidRPr="00BF72EC">
        <w:rPr>
          <w:rStyle w:val="Citationintgre"/>
          <w:lang w:eastAsia="fr-FR"/>
        </w:rPr>
        <w:t>portes ouvertes</w:t>
      </w:r>
      <w:r w:rsidR="00F57A24" w:rsidRPr="00BF72EC">
        <w:rPr>
          <w:lang w:eastAsia="fr-FR"/>
        </w:rPr>
        <w:t> », sans surprise, les concentrations de solvants sont nettement inférieur</w:t>
      </w:r>
      <w:r w:rsidR="00F5080E">
        <w:rPr>
          <w:lang w:eastAsia="fr-FR"/>
        </w:rPr>
        <w:t>e</w:t>
      </w:r>
      <w:r w:rsidR="00F57A24" w:rsidRPr="00BF72EC">
        <w:rPr>
          <w:lang w:eastAsia="fr-FR"/>
        </w:rPr>
        <w:t>s aux seuils recommandés</w:t>
      </w:r>
      <w:r w:rsidR="00BF72EC">
        <w:rPr>
          <w:lang w:eastAsia="fr-FR"/>
        </w:rPr>
        <w:t>.</w:t>
      </w:r>
      <w:r w:rsidR="00F57A24" w:rsidRPr="00BF72EC">
        <w:rPr>
          <w:lang w:eastAsia="fr-FR"/>
        </w:rPr>
        <w:t xml:space="preserve"> </w:t>
      </w:r>
    </w:p>
    <w:p w14:paraId="02B0C989" w14:textId="2C70DD9D" w:rsidR="00F31047" w:rsidRDefault="00F57A24" w:rsidP="00CF689F">
      <w:pPr>
        <w:pStyle w:val="corpsdedcision"/>
        <w:spacing w:after="440"/>
        <w:rPr>
          <w:lang w:eastAsia="fr-FR"/>
        </w:rPr>
      </w:pPr>
      <w:r>
        <w:rPr>
          <w:lang w:eastAsia="fr-FR"/>
        </w:rPr>
        <w:t>Le Tribunal ne peut pas utiliser les mesures de l’environnement de travail après que les changements recommandés par la Direction de santé publique</w:t>
      </w:r>
      <w:r w:rsidR="00C2429A">
        <w:rPr>
          <w:lang w:eastAsia="fr-FR"/>
        </w:rPr>
        <w:t xml:space="preserve"> de Lanaudière</w:t>
      </w:r>
      <w:r>
        <w:rPr>
          <w:lang w:eastAsia="fr-FR"/>
        </w:rPr>
        <w:t xml:space="preserve"> </w:t>
      </w:r>
      <w:r w:rsidR="00F31047">
        <w:rPr>
          <w:lang w:eastAsia="fr-FR"/>
        </w:rPr>
        <w:t>ont</w:t>
      </w:r>
      <w:r>
        <w:rPr>
          <w:lang w:eastAsia="fr-FR"/>
        </w:rPr>
        <w:t xml:space="preserve"> été </w:t>
      </w:r>
      <w:r w:rsidR="00F31047">
        <w:rPr>
          <w:lang w:eastAsia="fr-FR"/>
        </w:rPr>
        <w:t>effectués</w:t>
      </w:r>
      <w:r>
        <w:rPr>
          <w:lang w:eastAsia="fr-FR"/>
        </w:rPr>
        <w:t xml:space="preserve">, que ce soit </w:t>
      </w:r>
      <w:r w:rsidR="00F5080E">
        <w:rPr>
          <w:lang w:eastAsia="fr-FR"/>
        </w:rPr>
        <w:t xml:space="preserve">les </w:t>
      </w:r>
      <w:r w:rsidR="00F31047">
        <w:rPr>
          <w:lang w:eastAsia="fr-FR"/>
        </w:rPr>
        <w:t>portes de l’usine</w:t>
      </w:r>
      <w:r>
        <w:rPr>
          <w:lang w:eastAsia="fr-FR"/>
        </w:rPr>
        <w:t xml:space="preserve"> ouvertes ou fermées. En effet, l’employeur ayant apporté des changements aux méthodes de travail et aux produits utilisés, l’exposition n’est plus la même que lorsque le travailleur était à l’emploi de l’entreprise. </w:t>
      </w:r>
    </w:p>
    <w:p w14:paraId="16F7FAFB" w14:textId="471B2A6E" w:rsidR="001C0CCD" w:rsidRDefault="00F31047" w:rsidP="00CF689F">
      <w:pPr>
        <w:pStyle w:val="corpsdedcision"/>
        <w:spacing w:after="400"/>
        <w:rPr>
          <w:lang w:eastAsia="fr-FR"/>
        </w:rPr>
      </w:pPr>
      <w:r>
        <w:rPr>
          <w:lang w:eastAsia="fr-FR"/>
        </w:rPr>
        <w:t xml:space="preserve">Enfin, </w:t>
      </w:r>
      <w:r w:rsidR="00E3483A">
        <w:rPr>
          <w:lang w:eastAsia="fr-FR"/>
        </w:rPr>
        <w:t>le Tribunal ne dispose d’aucune mesure de</w:t>
      </w:r>
      <w:r>
        <w:rPr>
          <w:lang w:eastAsia="fr-FR"/>
        </w:rPr>
        <w:t xml:space="preserve"> l’exposition en haute saison d’avril à octobre</w:t>
      </w:r>
      <w:r w:rsidR="00E3483A">
        <w:rPr>
          <w:lang w:eastAsia="fr-FR"/>
        </w:rPr>
        <w:t>, dans les conditions où le travailleur œuvrait, et il est impossible de conclure</w:t>
      </w:r>
      <w:r w:rsidR="008A0102" w:rsidRPr="001763B4">
        <w:rPr>
          <w:lang w:eastAsia="fr-FR"/>
        </w:rPr>
        <w:t>,</w:t>
      </w:r>
      <w:r w:rsidR="00E3483A">
        <w:rPr>
          <w:lang w:eastAsia="fr-FR"/>
        </w:rPr>
        <w:t xml:space="preserve"> comme le souhaite l’employeur, faute de preuve, que l’exposition du travailleur </w:t>
      </w:r>
      <w:r w:rsidR="00F5080E">
        <w:rPr>
          <w:lang w:eastAsia="fr-FR"/>
        </w:rPr>
        <w:t>fû</w:t>
      </w:r>
      <w:r w:rsidR="00E3483A">
        <w:rPr>
          <w:lang w:eastAsia="fr-FR"/>
        </w:rPr>
        <w:t xml:space="preserve">t insuffisante ou acceptable </w:t>
      </w:r>
      <w:r>
        <w:rPr>
          <w:lang w:eastAsia="fr-FR"/>
        </w:rPr>
        <w:t>avec les portes ouvertes</w:t>
      </w:r>
      <w:r w:rsidR="00E3483A">
        <w:rPr>
          <w:lang w:eastAsia="fr-FR"/>
        </w:rPr>
        <w:t>.</w:t>
      </w:r>
      <w:r w:rsidR="009B5EFF">
        <w:rPr>
          <w:lang w:eastAsia="fr-FR"/>
        </w:rPr>
        <w:t xml:space="preserve"> </w:t>
      </w:r>
      <w:r w:rsidR="00BA3674">
        <w:rPr>
          <w:lang w:eastAsia="fr-FR"/>
        </w:rPr>
        <w:t>Au surplus, l’exposition cutanée ne peut être mesurée</w:t>
      </w:r>
      <w:r w:rsidR="008A0102" w:rsidRPr="001763B4">
        <w:rPr>
          <w:lang w:eastAsia="fr-FR"/>
        </w:rPr>
        <w:t>,</w:t>
      </w:r>
      <w:r w:rsidR="00BA3674">
        <w:rPr>
          <w:lang w:eastAsia="fr-FR"/>
        </w:rPr>
        <w:t xml:space="preserve"> puisque le travailleur n’est pas au courant à cette époque que ses symptômes pourraient être reliés à une intoxication. Donc, il n’y a aucun prélèvement</w:t>
      </w:r>
      <w:r w:rsidR="00BA390B">
        <w:rPr>
          <w:lang w:eastAsia="fr-FR"/>
        </w:rPr>
        <w:t xml:space="preserve"> </w:t>
      </w:r>
      <w:r w:rsidR="00BA3674">
        <w:rPr>
          <w:lang w:eastAsia="fr-FR"/>
        </w:rPr>
        <w:t xml:space="preserve">effectué chez le travailleur qui permettrait de détecter les marqueurs biologiques et </w:t>
      </w:r>
      <w:r w:rsidR="00BA390B">
        <w:rPr>
          <w:lang w:eastAsia="fr-FR"/>
        </w:rPr>
        <w:t xml:space="preserve">ainsi </w:t>
      </w:r>
      <w:r w:rsidR="00BA3674">
        <w:rPr>
          <w:lang w:eastAsia="fr-FR"/>
        </w:rPr>
        <w:t>témoigner de son exposition.</w:t>
      </w:r>
    </w:p>
    <w:p w14:paraId="540E2628" w14:textId="7D7F6640" w:rsidR="00A5718F" w:rsidRPr="006F0610" w:rsidRDefault="00E3483A" w:rsidP="00CF689F">
      <w:pPr>
        <w:pStyle w:val="corpsdedcision"/>
        <w:spacing w:after="400"/>
        <w:rPr>
          <w:lang w:eastAsia="fr-FR"/>
        </w:rPr>
      </w:pPr>
      <w:r w:rsidRPr="006F0610">
        <w:rPr>
          <w:lang w:eastAsia="fr-FR"/>
        </w:rPr>
        <w:t xml:space="preserve">L’employeur s’appuie sur la décision </w:t>
      </w:r>
      <w:r w:rsidRPr="006F0610">
        <w:rPr>
          <w:i/>
          <w:iCs/>
          <w:lang w:eastAsia="fr-FR"/>
        </w:rPr>
        <w:t>Fréchette</w:t>
      </w:r>
      <w:r w:rsidRPr="006F0610">
        <w:rPr>
          <w:lang w:eastAsia="fr-FR"/>
        </w:rPr>
        <w:t xml:space="preserve"> et </w:t>
      </w:r>
      <w:r w:rsidRPr="006F0610">
        <w:rPr>
          <w:i/>
          <w:iCs/>
          <w:lang w:eastAsia="fr-FR"/>
        </w:rPr>
        <w:t>Centre gestion équipement roulant (820)</w:t>
      </w:r>
      <w:r w:rsidRPr="006F0610">
        <w:rPr>
          <w:rStyle w:val="Appelnotedebasdep"/>
          <w:lang w:eastAsia="fr-FR"/>
        </w:rPr>
        <w:footnoteReference w:id="65"/>
      </w:r>
      <w:r w:rsidR="00B259F6" w:rsidRPr="006F0610">
        <w:rPr>
          <w:lang w:eastAsia="fr-FR"/>
        </w:rPr>
        <w:t xml:space="preserve"> </w:t>
      </w:r>
      <w:r w:rsidRPr="006F0610">
        <w:rPr>
          <w:lang w:eastAsia="fr-FR"/>
        </w:rPr>
        <w:t xml:space="preserve">pour </w:t>
      </w:r>
      <w:r w:rsidR="001763B4" w:rsidRPr="006F0610">
        <w:rPr>
          <w:lang w:eastAsia="fr-FR"/>
        </w:rPr>
        <w:t xml:space="preserve">étayer </w:t>
      </w:r>
      <w:r w:rsidRPr="006F0610">
        <w:rPr>
          <w:lang w:eastAsia="fr-FR"/>
        </w:rPr>
        <w:t xml:space="preserve">son argument sur l’aération et le changement d’air provoqué par les portes de garage ouvertes en haute saison. </w:t>
      </w:r>
      <w:r w:rsidR="00A5718F" w:rsidRPr="006F0610">
        <w:rPr>
          <w:lang w:eastAsia="fr-FR"/>
        </w:rPr>
        <w:t>Il s’agit</w:t>
      </w:r>
      <w:r w:rsidR="001763B4" w:rsidRPr="006F0610">
        <w:rPr>
          <w:lang w:eastAsia="fr-FR"/>
        </w:rPr>
        <w:t xml:space="preserve"> dans cette affaire</w:t>
      </w:r>
      <w:r w:rsidR="00A5718F" w:rsidRPr="006F0610">
        <w:rPr>
          <w:lang w:eastAsia="fr-FR"/>
        </w:rPr>
        <w:t xml:space="preserve"> d’un mécanicien qui invoquait un diagnostic d’intoxication au monoxyde de carbone.</w:t>
      </w:r>
    </w:p>
    <w:p w14:paraId="13DE8810" w14:textId="1B45431A" w:rsidR="00E3483A" w:rsidRPr="00E3483A" w:rsidRDefault="00A5718F" w:rsidP="00CF689F">
      <w:pPr>
        <w:pStyle w:val="corpsdedcision"/>
        <w:spacing w:after="400"/>
        <w:rPr>
          <w:lang w:eastAsia="fr-FR"/>
        </w:rPr>
      </w:pPr>
      <w:r>
        <w:rPr>
          <w:lang w:eastAsia="fr-FR"/>
        </w:rPr>
        <w:t>L</w:t>
      </w:r>
      <w:r w:rsidR="00E3483A">
        <w:rPr>
          <w:lang w:eastAsia="fr-FR"/>
        </w:rPr>
        <w:t>e Tribunal estime que cette décision n’est pas comparable au présent dossier dans la mesure où</w:t>
      </w:r>
      <w:r w:rsidR="00483C81" w:rsidRPr="00483C81">
        <w:rPr>
          <w:lang w:eastAsia="fr-FR"/>
        </w:rPr>
        <w:t xml:space="preserve"> </w:t>
      </w:r>
      <w:r w:rsidR="00E3483A">
        <w:rPr>
          <w:lang w:eastAsia="fr-FR"/>
        </w:rPr>
        <w:t>le Tribunal bénéficiait de deux évaluations, dont la plus récente avait été réalisée de fa</w:t>
      </w:r>
      <w:r>
        <w:rPr>
          <w:lang w:eastAsia="fr-FR"/>
        </w:rPr>
        <w:t>ço</w:t>
      </w:r>
      <w:r w:rsidR="00E3483A">
        <w:rPr>
          <w:lang w:eastAsia="fr-FR"/>
        </w:rPr>
        <w:t>n contemporaine</w:t>
      </w:r>
      <w:r>
        <w:rPr>
          <w:lang w:eastAsia="fr-FR"/>
        </w:rPr>
        <w:t xml:space="preserve"> à l’arrêt de travail du travailleur et lors d’une journée typique de production. Les concentrations ont été jugées comme respectant la norme prescrite et l’hygiéniste du travail a noté une bonne ventilation générale </w:t>
      </w:r>
      <w:r w:rsidRPr="006F0610">
        <w:rPr>
          <w:lang w:eastAsia="fr-FR"/>
        </w:rPr>
        <w:t>« </w:t>
      </w:r>
      <w:r w:rsidRPr="006F0610">
        <w:rPr>
          <w:rStyle w:val="Citationintgre"/>
        </w:rPr>
        <w:t xml:space="preserve">dû </w:t>
      </w:r>
      <w:r w:rsidR="001763B4" w:rsidRPr="006F0610">
        <w:rPr>
          <w:rStyle w:val="Citationintgre"/>
          <w:i w:val="0"/>
          <w:iCs/>
          <w:sz w:val="24"/>
          <w:szCs w:val="24"/>
        </w:rPr>
        <w:t>[</w:t>
      </w:r>
      <w:r w:rsidR="006F0610" w:rsidRPr="006F0610">
        <w:rPr>
          <w:rStyle w:val="Citationintgre"/>
          <w:sz w:val="24"/>
          <w:szCs w:val="24"/>
        </w:rPr>
        <w:t>s</w:t>
      </w:r>
      <w:r w:rsidR="001763B4" w:rsidRPr="006F0610">
        <w:rPr>
          <w:rStyle w:val="Citationintgre"/>
          <w:sz w:val="24"/>
          <w:szCs w:val="24"/>
        </w:rPr>
        <w:t>ic</w:t>
      </w:r>
      <w:r w:rsidR="001763B4" w:rsidRPr="006F0610">
        <w:rPr>
          <w:rStyle w:val="Citationintgre"/>
          <w:i w:val="0"/>
          <w:iCs/>
          <w:sz w:val="24"/>
          <w:szCs w:val="24"/>
        </w:rPr>
        <w:t>]</w:t>
      </w:r>
      <w:r w:rsidR="001763B4">
        <w:rPr>
          <w:rStyle w:val="Citationintgre"/>
        </w:rPr>
        <w:t xml:space="preserve"> </w:t>
      </w:r>
      <w:r w:rsidRPr="00A5718F">
        <w:rPr>
          <w:rStyle w:val="Citationintgre"/>
        </w:rPr>
        <w:t>à l’ouverture des grandes portes de garage</w:t>
      </w:r>
      <w:r>
        <w:rPr>
          <w:lang w:eastAsia="fr-FR"/>
        </w:rPr>
        <w:t> ».</w:t>
      </w:r>
      <w:r w:rsidR="00E3483A">
        <w:rPr>
          <w:lang w:eastAsia="fr-FR"/>
        </w:rPr>
        <w:t xml:space="preserve"> </w:t>
      </w:r>
      <w:r>
        <w:rPr>
          <w:lang w:eastAsia="fr-FR"/>
        </w:rPr>
        <w:t>Or, le Tribunal ne peut s’appuyer sur de la jurisprudence pour inférer que dans le présent dossier, en période de forte production, avant les changements apportés par l’employeur et avec les portes de garage ouvertes, les concentrations retrouvées aurai</w:t>
      </w:r>
      <w:r w:rsidR="00F5080E">
        <w:rPr>
          <w:lang w:eastAsia="fr-FR"/>
        </w:rPr>
        <w:t>en</w:t>
      </w:r>
      <w:r>
        <w:rPr>
          <w:lang w:eastAsia="fr-FR"/>
        </w:rPr>
        <w:t>t été acceptables et non susceptibles de provoquer une intoxication.</w:t>
      </w:r>
    </w:p>
    <w:p w14:paraId="62FCC8F6" w14:textId="686CD8CF" w:rsidR="00F77BA8" w:rsidRDefault="00017D80" w:rsidP="00CF689F">
      <w:pPr>
        <w:pStyle w:val="corpsdedcision"/>
        <w:spacing w:after="400"/>
        <w:rPr>
          <w:lang w:eastAsia="fr-FR"/>
        </w:rPr>
      </w:pPr>
      <w:r>
        <w:rPr>
          <w:lang w:eastAsia="fr-FR"/>
        </w:rPr>
        <w:t>Enfin, l’employeur soumet au Tribunal que la preuve de l’effet cancérigène</w:t>
      </w:r>
      <w:r w:rsidR="0043367E">
        <w:rPr>
          <w:lang w:eastAsia="fr-FR"/>
        </w:rPr>
        <w:t xml:space="preserve"> des agents chimiques n’a pas été administrée</w:t>
      </w:r>
      <w:r w:rsidR="00F77BA8">
        <w:rPr>
          <w:lang w:eastAsia="fr-FR"/>
        </w:rPr>
        <w:t>.</w:t>
      </w:r>
      <w:r w:rsidR="0043367E">
        <w:rPr>
          <w:lang w:eastAsia="fr-FR"/>
        </w:rPr>
        <w:t xml:space="preserve"> Le Tribunal n’est pas de cet avis.</w:t>
      </w:r>
    </w:p>
    <w:p w14:paraId="4CF21768" w14:textId="702F762E" w:rsidR="00F77BA8" w:rsidRDefault="0043367E" w:rsidP="00CF689F">
      <w:pPr>
        <w:pStyle w:val="corpsdedcision"/>
        <w:spacing w:after="400"/>
        <w:rPr>
          <w:lang w:eastAsia="fr-FR"/>
        </w:rPr>
      </w:pPr>
      <w:r>
        <w:rPr>
          <w:lang w:eastAsia="fr-FR"/>
        </w:rPr>
        <w:t xml:space="preserve">Rappelons qu’un courant jurisprudentiel du Tribunal assimile certaines formes de cancer à une intoxication, </w:t>
      </w:r>
      <w:r w:rsidRPr="004F1744">
        <w:rPr>
          <w:lang w:eastAsia="fr-FR"/>
        </w:rPr>
        <w:t>s’il est démontré que l’exposition à une substance toxique est suffisante pour en être la cause</w:t>
      </w:r>
      <w:r>
        <w:rPr>
          <w:lang w:eastAsia="fr-FR"/>
        </w:rPr>
        <w:t>. Le Tribunal estime que l</w:t>
      </w:r>
      <w:r w:rsidR="00F03D68">
        <w:rPr>
          <w:lang w:eastAsia="fr-FR"/>
        </w:rPr>
        <w:t>a</w:t>
      </w:r>
      <w:r>
        <w:rPr>
          <w:lang w:eastAsia="fr-FR"/>
        </w:rPr>
        <w:t xml:space="preserve"> littérature scientifique récente permet de conclure </w:t>
      </w:r>
      <w:r w:rsidR="00F03D68">
        <w:rPr>
          <w:lang w:eastAsia="fr-FR"/>
        </w:rPr>
        <w:t>aux propriétés cancérigènes de certaines substances auxquelles a été exposé le travailleur, don</w:t>
      </w:r>
      <w:r w:rsidR="000225B0">
        <w:rPr>
          <w:lang w:eastAsia="fr-FR"/>
        </w:rPr>
        <w:t>t</w:t>
      </w:r>
      <w:r w:rsidR="00F03D68">
        <w:rPr>
          <w:lang w:eastAsia="fr-FR"/>
        </w:rPr>
        <w:t xml:space="preserve"> le benzène</w:t>
      </w:r>
      <w:r>
        <w:rPr>
          <w:lang w:eastAsia="fr-FR"/>
        </w:rPr>
        <w:t xml:space="preserve">. </w:t>
      </w:r>
    </w:p>
    <w:p w14:paraId="4A3B216C" w14:textId="56877435" w:rsidR="00F03D68" w:rsidRDefault="00F03D68" w:rsidP="00CF689F">
      <w:pPr>
        <w:pStyle w:val="corpsdedcision"/>
        <w:spacing w:after="400"/>
        <w:rPr>
          <w:lang w:eastAsia="fr-FR"/>
        </w:rPr>
      </w:pPr>
      <w:r>
        <w:rPr>
          <w:lang w:eastAsia="fr-FR"/>
        </w:rPr>
        <w:t xml:space="preserve">L’analyse effectuée par </w:t>
      </w:r>
      <w:r w:rsidR="00B259F6" w:rsidRPr="001763B4">
        <w:rPr>
          <w:lang w:eastAsia="fr-FR"/>
        </w:rPr>
        <w:t xml:space="preserve">la </w:t>
      </w:r>
      <w:r w:rsidRPr="001763B4">
        <w:rPr>
          <w:lang w:eastAsia="fr-FR"/>
        </w:rPr>
        <w:t>docteure</w:t>
      </w:r>
      <w:r>
        <w:rPr>
          <w:lang w:eastAsia="fr-FR"/>
        </w:rPr>
        <w:t xml:space="preserve"> Baillargeon explique que ce dernier a été exposé à plusieurs produits chimiques</w:t>
      </w:r>
      <w:r w:rsidR="00D80EAB">
        <w:rPr>
          <w:lang w:eastAsia="fr-FR"/>
        </w:rPr>
        <w:t>, dont le benzène</w:t>
      </w:r>
      <w:r w:rsidR="00411572">
        <w:rPr>
          <w:lang w:eastAsia="fr-FR"/>
        </w:rPr>
        <w:t xml:space="preserve"> et ses dérivés</w:t>
      </w:r>
      <w:r>
        <w:rPr>
          <w:lang w:eastAsia="fr-FR"/>
        </w:rPr>
        <w:t> :</w:t>
      </w:r>
    </w:p>
    <w:p w14:paraId="1ED05D1E" w14:textId="0A11F90E" w:rsidR="00F03D68" w:rsidRDefault="00F03D68" w:rsidP="00EF573B">
      <w:pPr>
        <w:pStyle w:val="citation"/>
        <w:rPr>
          <w:lang w:eastAsia="fr-FR"/>
        </w:rPr>
      </w:pPr>
      <w:r>
        <w:rPr>
          <w:lang w:eastAsia="fr-FR"/>
        </w:rPr>
        <w:t>L’analyse des fiches de données de sécurité (FDS) des produits régulièrement utilisés par le travailleur montre une exposition à plusieurs produits chimiques, chacun composé d’un mélange de plusieurs solvants. Mentionnons entre autres des solvants du groupe des hydrocarbures, soit des aromatiques (ex. toluène, xylène, éthylbenzène), ou desaliphatiques (ex. propane, butane) et des solvants du groupe des oxygénés, soit des alcools (éthanol, méthanol), des cétones (ex. acétone), et des g</w:t>
      </w:r>
      <w:r w:rsidR="00F0552A">
        <w:rPr>
          <w:lang w:eastAsia="fr-FR"/>
        </w:rPr>
        <w:t>ly</w:t>
      </w:r>
      <w:r>
        <w:rPr>
          <w:lang w:eastAsia="fr-FR"/>
        </w:rPr>
        <w:t>cols (ex. éthylène glycol, éthyl glycol). Il y a également présence de mélanges complexes d’hydrocarbures dont le solvant Stoddard, le solvant naphta et les distillats de pétrole, dont la composition peut varier en fonction de leur provenance (7).</w:t>
      </w:r>
    </w:p>
    <w:p w14:paraId="68E742B2" w14:textId="77777777" w:rsidR="00F03D68" w:rsidRDefault="00F03D68" w:rsidP="00EF573B">
      <w:pPr>
        <w:pStyle w:val="citation"/>
        <w:rPr>
          <w:lang w:eastAsia="fr-FR"/>
        </w:rPr>
      </w:pPr>
    </w:p>
    <w:p w14:paraId="37115F34" w14:textId="178AA313" w:rsidR="000F7591" w:rsidRDefault="00F03D68" w:rsidP="00CF689F">
      <w:pPr>
        <w:pStyle w:val="citation"/>
        <w:spacing w:after="360"/>
        <w:rPr>
          <w:lang w:eastAsia="fr-FR"/>
        </w:rPr>
      </w:pPr>
      <w:r>
        <w:rPr>
          <w:lang w:eastAsia="fr-FR"/>
        </w:rPr>
        <w:t xml:space="preserve">Notons que les hydrocarbures aliphatiques sont des dérivés du pétrole et que les hydrocarbures aromatiques sont des dérivés du benzène. Le benzène, produit encore en quantités importantes, est utilisé particulièrement dans la production d’éthylbenzène et d’autres alkylbenzènes (dont le toluène et le xylène) </w:t>
      </w:r>
      <w:r w:rsidRPr="00F0552A">
        <w:rPr>
          <w:u w:val="single"/>
          <w:lang w:eastAsia="fr-FR"/>
        </w:rPr>
        <w:t>et peut être présent en petites</w:t>
      </w:r>
      <w:r>
        <w:rPr>
          <w:lang w:eastAsia="fr-FR"/>
        </w:rPr>
        <w:t xml:space="preserve"> </w:t>
      </w:r>
      <w:r w:rsidRPr="00F0552A">
        <w:rPr>
          <w:u w:val="single"/>
          <w:lang w:eastAsia="fr-FR"/>
        </w:rPr>
        <w:t>quantités dans des préparations d’hydrocarbures aromatiques</w:t>
      </w:r>
      <w:r>
        <w:rPr>
          <w:lang w:eastAsia="fr-FR"/>
        </w:rPr>
        <w:t xml:space="preserve">, dont du xylène, du toluène et du naphta, </w:t>
      </w:r>
      <w:r w:rsidRPr="00F0552A">
        <w:rPr>
          <w:u w:val="single"/>
          <w:lang w:eastAsia="fr-FR"/>
        </w:rPr>
        <w:t xml:space="preserve">même en l’absence de spécification sur la fiche de données de sécurité d’un produit </w:t>
      </w:r>
      <w:r>
        <w:rPr>
          <w:lang w:eastAsia="fr-FR"/>
        </w:rPr>
        <w:t xml:space="preserve">(8-11). </w:t>
      </w:r>
      <w:bookmarkStart w:id="28" w:name="_Hlk195624360"/>
      <w:r w:rsidRPr="00F0552A">
        <w:rPr>
          <w:u w:val="single"/>
          <w:lang w:eastAsia="fr-FR"/>
        </w:rPr>
        <w:t>Même une exposition à des produits avec une très faible concentration de benzène (&lt;0,1%) pourrait amener une absorption par voie respiratoire et dermique suffisante pour entraîner un risque accru de cancers et de leucémies</w:t>
      </w:r>
      <w:r>
        <w:rPr>
          <w:lang w:eastAsia="fr-FR"/>
        </w:rPr>
        <w:t xml:space="preserve"> </w:t>
      </w:r>
      <w:bookmarkEnd w:id="28"/>
      <w:r>
        <w:rPr>
          <w:lang w:eastAsia="fr-FR"/>
        </w:rPr>
        <w:t>[8, 9].</w:t>
      </w:r>
    </w:p>
    <w:p w14:paraId="1AE640F7" w14:textId="6349251E" w:rsidR="00F03D68" w:rsidRPr="005D3EB2" w:rsidRDefault="000F7591" w:rsidP="00CF689F">
      <w:pPr>
        <w:pStyle w:val="citation"/>
        <w:spacing w:after="360"/>
        <w:rPr>
          <w:sz w:val="24"/>
          <w:szCs w:val="24"/>
        </w:rPr>
      </w:pPr>
      <w:r w:rsidRPr="005D4163">
        <w:rPr>
          <w:sz w:val="24"/>
          <w:szCs w:val="24"/>
        </w:rPr>
        <w:t>[</w:t>
      </w:r>
      <w:r w:rsidR="00B259F6" w:rsidRPr="00D01D22">
        <w:rPr>
          <w:sz w:val="24"/>
          <w:szCs w:val="24"/>
        </w:rPr>
        <w:t>Transcription textuelle, n</w:t>
      </w:r>
      <w:r w:rsidRPr="00D01D22">
        <w:rPr>
          <w:sz w:val="24"/>
          <w:szCs w:val="24"/>
        </w:rPr>
        <w:t>otre soulignement</w:t>
      </w:r>
      <w:r>
        <w:rPr>
          <w:sz w:val="24"/>
          <w:szCs w:val="24"/>
        </w:rPr>
        <w:t xml:space="preserve"> et notes omises</w:t>
      </w:r>
      <w:r w:rsidRPr="005D4163">
        <w:rPr>
          <w:sz w:val="24"/>
          <w:szCs w:val="24"/>
        </w:rPr>
        <w:t>]</w:t>
      </w:r>
    </w:p>
    <w:p w14:paraId="3B059F7D" w14:textId="3DF6352C" w:rsidR="00D80EAB" w:rsidRDefault="00D80EAB" w:rsidP="00CF689F">
      <w:pPr>
        <w:pStyle w:val="corpsdedcision"/>
        <w:rPr>
          <w:lang w:eastAsia="fr-FR"/>
        </w:rPr>
      </w:pPr>
      <w:r>
        <w:rPr>
          <w:lang w:eastAsia="fr-FR"/>
        </w:rPr>
        <w:t>L’employeur plaide l’absence de benzène parmi les substances utilisées dans son entreprise, ce qui est inexact selon l’analyse de</w:t>
      </w:r>
      <w:r w:rsidR="00B259F6">
        <w:rPr>
          <w:lang w:eastAsia="fr-FR"/>
        </w:rPr>
        <w:t xml:space="preserve"> </w:t>
      </w:r>
      <w:r w:rsidR="00B259F6" w:rsidRPr="00D01D22">
        <w:rPr>
          <w:lang w:eastAsia="fr-FR"/>
        </w:rPr>
        <w:t>la</w:t>
      </w:r>
      <w:r w:rsidRPr="00D01D22">
        <w:rPr>
          <w:lang w:eastAsia="fr-FR"/>
        </w:rPr>
        <w:t xml:space="preserve"> docteure </w:t>
      </w:r>
      <w:r w:rsidR="0021015A" w:rsidRPr="00D01D22">
        <w:rPr>
          <w:lang w:eastAsia="fr-FR"/>
        </w:rPr>
        <w:t>Baillargeon</w:t>
      </w:r>
      <w:r w:rsidRPr="00D01D22">
        <w:rPr>
          <w:lang w:eastAsia="fr-FR"/>
        </w:rPr>
        <w:t xml:space="preserve"> et</w:t>
      </w:r>
      <w:r w:rsidR="0021015A" w:rsidRPr="00D01D22">
        <w:rPr>
          <w:lang w:eastAsia="fr-FR"/>
        </w:rPr>
        <w:t xml:space="preserve"> de monsieur</w:t>
      </w:r>
      <w:r w:rsidR="00CB40B3" w:rsidRPr="00D01D22">
        <w:rPr>
          <w:lang w:eastAsia="fr-FR"/>
        </w:rPr>
        <w:t> </w:t>
      </w:r>
      <w:r w:rsidR="0021015A" w:rsidRPr="00D01D22">
        <w:rPr>
          <w:lang w:eastAsia="fr-FR"/>
        </w:rPr>
        <w:t xml:space="preserve">King, en fonction des produits trouvés par la </w:t>
      </w:r>
      <w:r w:rsidR="00B259F6" w:rsidRPr="00D01D22">
        <w:rPr>
          <w:lang w:eastAsia="fr-FR"/>
        </w:rPr>
        <w:t>D</w:t>
      </w:r>
      <w:r w:rsidR="0021015A" w:rsidRPr="00D01D22">
        <w:rPr>
          <w:lang w:eastAsia="fr-FR"/>
        </w:rPr>
        <w:t>irection</w:t>
      </w:r>
      <w:r w:rsidR="0021015A">
        <w:rPr>
          <w:lang w:eastAsia="fr-FR"/>
        </w:rPr>
        <w:t xml:space="preserve"> de santé publique</w:t>
      </w:r>
      <w:r w:rsidR="00C2429A">
        <w:rPr>
          <w:lang w:eastAsia="fr-FR"/>
        </w:rPr>
        <w:t xml:space="preserve"> de Lanaudière</w:t>
      </w:r>
      <w:r w:rsidR="0021015A">
        <w:rPr>
          <w:lang w:eastAsia="fr-FR"/>
        </w:rPr>
        <w:t>.</w:t>
      </w:r>
    </w:p>
    <w:p w14:paraId="05276227" w14:textId="27ADCB6E" w:rsidR="0021015A" w:rsidRDefault="0021015A" w:rsidP="00CF689F">
      <w:pPr>
        <w:pStyle w:val="corpsdedcision"/>
        <w:rPr>
          <w:lang w:eastAsia="fr-FR"/>
        </w:rPr>
      </w:pPr>
      <w:r>
        <w:rPr>
          <w:lang w:eastAsia="fr-FR"/>
        </w:rPr>
        <w:t>L’employeur souligne aussi « </w:t>
      </w:r>
      <w:r w:rsidRPr="0021015A">
        <w:rPr>
          <w:rStyle w:val="Citationintgre"/>
        </w:rPr>
        <w:t>l’absence de consensus unanime quant à l’existence d’un lien entre l’exposition au benzène et la LMC</w:t>
      </w:r>
      <w:r>
        <w:rPr>
          <w:lang w:eastAsia="fr-FR"/>
        </w:rPr>
        <w:t> », qui n’est pas le bon diagnostic. De plus, le Tribunal a besoin d’une preuve prépondérante, et non d’un consensus scientifique unanime.</w:t>
      </w:r>
    </w:p>
    <w:p w14:paraId="352E9D6E" w14:textId="299BEE14" w:rsidR="00F0552A" w:rsidRDefault="00F0552A" w:rsidP="00CF689F">
      <w:pPr>
        <w:pStyle w:val="corpsdedcision"/>
        <w:rPr>
          <w:lang w:eastAsia="fr-FR"/>
        </w:rPr>
      </w:pPr>
      <w:r>
        <w:rPr>
          <w:lang w:eastAsia="fr-FR"/>
        </w:rPr>
        <w:t xml:space="preserve">Le benzène </w:t>
      </w:r>
      <w:r w:rsidRPr="00F0552A">
        <w:rPr>
          <w:lang w:eastAsia="fr-FR"/>
        </w:rPr>
        <w:t xml:space="preserve">est avéré comme un carcinogène humain de catégorie 1, dont les données sur la substance sont suffisantes pour prouver l’association entre l’exposition et le risque de développer une </w:t>
      </w:r>
      <w:r>
        <w:rPr>
          <w:lang w:eastAsia="fr-FR"/>
        </w:rPr>
        <w:t>leucémie myéloïde aig</w:t>
      </w:r>
      <w:r w:rsidR="00FA408B">
        <w:rPr>
          <w:lang w:eastAsia="fr-FR"/>
        </w:rPr>
        <w:t>uë</w:t>
      </w:r>
      <w:r w:rsidRPr="00F0552A">
        <w:rPr>
          <w:lang w:eastAsia="fr-FR"/>
        </w:rPr>
        <w:t xml:space="preserve">, </w:t>
      </w:r>
      <w:r>
        <w:rPr>
          <w:lang w:eastAsia="fr-FR"/>
        </w:rPr>
        <w:t xml:space="preserve">selon la </w:t>
      </w:r>
      <w:r w:rsidR="00DE3483">
        <w:rPr>
          <w:lang w:eastAsia="fr-FR"/>
        </w:rPr>
        <w:t xml:space="preserve">classification de la </w:t>
      </w:r>
      <w:r w:rsidRPr="00F0552A">
        <w:rPr>
          <w:lang w:eastAsia="fr-FR"/>
        </w:rPr>
        <w:t xml:space="preserve">monographie </w:t>
      </w:r>
      <w:bookmarkStart w:id="29" w:name="_Hlk195710775"/>
      <w:r w:rsidR="00DE3483" w:rsidRPr="00B653CA">
        <w:rPr>
          <w:rFonts w:cs="Arial"/>
          <w:i/>
          <w:iCs/>
          <w:szCs w:val="24"/>
        </w:rPr>
        <w:t>International Agency For Research On Cancer</w:t>
      </w:r>
      <w:r w:rsidR="00DE3483" w:rsidRPr="00B82ED8" w:rsidDel="00DE3483">
        <w:rPr>
          <w:i/>
          <w:iCs/>
          <w:lang w:eastAsia="fr-FR"/>
        </w:rPr>
        <w:t xml:space="preserve"> </w:t>
      </w:r>
      <w:bookmarkEnd w:id="29"/>
      <w:r>
        <w:rPr>
          <w:lang w:eastAsia="fr-FR"/>
        </w:rPr>
        <w:t xml:space="preserve">portant </w:t>
      </w:r>
      <w:r w:rsidRPr="00F0552A">
        <w:rPr>
          <w:lang w:eastAsia="fr-FR"/>
        </w:rPr>
        <w:t>sur le benzène</w:t>
      </w:r>
      <w:r>
        <w:rPr>
          <w:rStyle w:val="Appelnotedebasdep"/>
          <w:lang w:eastAsia="fr-FR"/>
        </w:rPr>
        <w:footnoteReference w:id="66"/>
      </w:r>
      <w:r w:rsidRPr="00F0552A">
        <w:rPr>
          <w:lang w:eastAsia="fr-FR"/>
        </w:rPr>
        <w:t>.</w:t>
      </w:r>
    </w:p>
    <w:p w14:paraId="63A8C0DE" w14:textId="6761C44D" w:rsidR="00F0552A" w:rsidRDefault="00F0552A" w:rsidP="00CF689F">
      <w:pPr>
        <w:pStyle w:val="corpsdedcision"/>
        <w:rPr>
          <w:lang w:eastAsia="fr-FR"/>
        </w:rPr>
      </w:pPr>
      <w:r>
        <w:rPr>
          <w:lang w:eastAsia="fr-FR"/>
        </w:rPr>
        <w:t>Dans l’expertise de monsieur King, ce dernier explique que cette monographie est un incontournable lorsqu’il est question de recherches sur les causes du cancer. Il énonce :</w:t>
      </w:r>
    </w:p>
    <w:p w14:paraId="034A2063" w14:textId="7C6E6413" w:rsidR="000F7591" w:rsidRDefault="00F0552A" w:rsidP="00CF689F">
      <w:pPr>
        <w:pStyle w:val="citation"/>
        <w:spacing w:after="360"/>
        <w:rPr>
          <w:u w:val="single"/>
          <w:lang w:eastAsia="fr-FR"/>
        </w:rPr>
      </w:pPr>
      <w:r>
        <w:rPr>
          <w:lang w:eastAsia="fr-FR"/>
        </w:rPr>
        <w:t>Ici, il faut préciser que le CIRC est la référence en matière de recherche sur les causes du</w:t>
      </w:r>
      <w:r w:rsidR="00EA60FA">
        <w:rPr>
          <w:lang w:eastAsia="fr-FR"/>
        </w:rPr>
        <w:t xml:space="preserve"> </w:t>
      </w:r>
      <w:r>
        <w:rPr>
          <w:lang w:eastAsia="fr-FR"/>
        </w:rPr>
        <w:t>cancer. Il réunit des experts internationaux de plusieurs disciplines et il publie depuis 1969</w:t>
      </w:r>
      <w:r w:rsidR="00EA60FA">
        <w:rPr>
          <w:lang w:eastAsia="fr-FR"/>
        </w:rPr>
        <w:t xml:space="preserve"> </w:t>
      </w:r>
      <w:r>
        <w:rPr>
          <w:lang w:eastAsia="fr-FR"/>
        </w:rPr>
        <w:t>des monographies qui présentent leurs analyses et leurs conclusions concernant le lien</w:t>
      </w:r>
      <w:r w:rsidR="00EA60FA">
        <w:rPr>
          <w:lang w:eastAsia="fr-FR"/>
        </w:rPr>
        <w:t xml:space="preserve"> </w:t>
      </w:r>
      <w:r>
        <w:rPr>
          <w:lang w:eastAsia="fr-FR"/>
        </w:rPr>
        <w:t>causa</w:t>
      </w:r>
      <w:r w:rsidR="00EA60FA">
        <w:rPr>
          <w:lang w:eastAsia="fr-FR"/>
        </w:rPr>
        <w:t>l</w:t>
      </w:r>
      <w:r>
        <w:rPr>
          <w:lang w:eastAsia="fr-FR"/>
        </w:rPr>
        <w:t xml:space="preserve"> entre différents contaminants et différentes formes de cancer. La monographie</w:t>
      </w:r>
      <w:r w:rsidR="00EA60FA">
        <w:rPr>
          <w:lang w:eastAsia="fr-FR"/>
        </w:rPr>
        <w:t xml:space="preserve"> </w:t>
      </w:r>
      <w:r>
        <w:rPr>
          <w:lang w:eastAsia="fr-FR"/>
        </w:rPr>
        <w:t>publiée en 2018 représente la 6</w:t>
      </w:r>
      <w:r w:rsidRPr="00344633">
        <w:rPr>
          <w:vertAlign w:val="superscript"/>
          <w:lang w:eastAsia="fr-FR"/>
        </w:rPr>
        <w:t>e</w:t>
      </w:r>
      <w:r>
        <w:rPr>
          <w:lang w:eastAsia="fr-FR"/>
        </w:rPr>
        <w:t xml:space="preserve"> évaluation du pouvoir cancérigène du benzène, et elle a</w:t>
      </w:r>
      <w:r w:rsidR="00EA60FA">
        <w:rPr>
          <w:lang w:eastAsia="fr-FR"/>
        </w:rPr>
        <w:t xml:space="preserve"> </w:t>
      </w:r>
      <w:r>
        <w:rPr>
          <w:lang w:eastAsia="fr-FR"/>
        </w:rPr>
        <w:t>l’avantage d’être plus récente que toutes les études déposées par le Dr. Osterman. À la page 290, les auteurs de la monographie concluent que plusieurs études de cohortes</w:t>
      </w:r>
      <w:r w:rsidR="00EA60FA">
        <w:rPr>
          <w:lang w:eastAsia="fr-FR"/>
        </w:rPr>
        <w:t xml:space="preserve"> </w:t>
      </w:r>
      <w:r>
        <w:rPr>
          <w:lang w:eastAsia="fr-FR"/>
        </w:rPr>
        <w:t>démontrent un risque accru de LMC chez les travailleurs exposés au benzène et d’autres</w:t>
      </w:r>
      <w:r w:rsidR="00EA60FA">
        <w:rPr>
          <w:lang w:eastAsia="fr-FR"/>
        </w:rPr>
        <w:t xml:space="preserve"> </w:t>
      </w:r>
      <w:r>
        <w:rPr>
          <w:lang w:eastAsia="fr-FR"/>
        </w:rPr>
        <w:t>ne montrent pas une telle association. Enfin, ils mentionnent deux nouvelles études de</w:t>
      </w:r>
      <w:r w:rsidR="00EA60FA">
        <w:rPr>
          <w:lang w:eastAsia="fr-FR"/>
        </w:rPr>
        <w:t xml:space="preserve"> </w:t>
      </w:r>
      <w:r>
        <w:rPr>
          <w:lang w:eastAsia="fr-FR"/>
        </w:rPr>
        <w:t>cohorte qui démontrent un risque élevé, et ils concluent à la page 297 que des associations</w:t>
      </w:r>
      <w:r w:rsidR="00EA60FA">
        <w:rPr>
          <w:lang w:eastAsia="fr-FR"/>
        </w:rPr>
        <w:t xml:space="preserve"> </w:t>
      </w:r>
      <w:r>
        <w:rPr>
          <w:lang w:eastAsia="fr-FR"/>
        </w:rPr>
        <w:t xml:space="preserve">positives entre une exposition au benzène et la LMC ont été observées. </w:t>
      </w:r>
      <w:r w:rsidRPr="00EA60FA">
        <w:rPr>
          <w:u w:val="single"/>
          <w:lang w:eastAsia="fr-FR"/>
        </w:rPr>
        <w:t>Ils concluent aussi que le benzène cause la LMA chez les adultes.</w:t>
      </w:r>
    </w:p>
    <w:p w14:paraId="14488AA5" w14:textId="552E2514" w:rsidR="00EA60FA" w:rsidRPr="00370180" w:rsidRDefault="000F7591" w:rsidP="00CF689F">
      <w:pPr>
        <w:pStyle w:val="citation"/>
        <w:spacing w:after="360"/>
        <w:rPr>
          <w:sz w:val="24"/>
          <w:szCs w:val="24"/>
        </w:rPr>
      </w:pPr>
      <w:r w:rsidRPr="00D01D22">
        <w:rPr>
          <w:sz w:val="24"/>
          <w:szCs w:val="24"/>
        </w:rPr>
        <w:t>[</w:t>
      </w:r>
      <w:r w:rsidR="00370180" w:rsidRPr="00D01D22">
        <w:rPr>
          <w:sz w:val="24"/>
          <w:szCs w:val="24"/>
        </w:rPr>
        <w:t>Transcription textuelle et n</w:t>
      </w:r>
      <w:r w:rsidRPr="00D01D22">
        <w:rPr>
          <w:sz w:val="24"/>
          <w:szCs w:val="24"/>
        </w:rPr>
        <w:t>otre soulignement</w:t>
      </w:r>
      <w:r w:rsidRPr="005D4163">
        <w:rPr>
          <w:sz w:val="24"/>
          <w:szCs w:val="24"/>
        </w:rPr>
        <w:t>]</w:t>
      </w:r>
    </w:p>
    <w:p w14:paraId="1F063E0F" w14:textId="159C956A" w:rsidR="00EA60FA" w:rsidRDefault="00EA60FA" w:rsidP="00CF689F">
      <w:pPr>
        <w:pStyle w:val="corpsdedcision"/>
        <w:rPr>
          <w:lang w:eastAsia="fr-FR"/>
        </w:rPr>
      </w:pPr>
      <w:r>
        <w:rPr>
          <w:lang w:eastAsia="fr-FR"/>
        </w:rPr>
        <w:t>Rappelons que le diagnostic le plus probant chez le travailleur est celui de LMA</w:t>
      </w:r>
      <w:r w:rsidR="00370180">
        <w:rPr>
          <w:lang w:eastAsia="fr-FR"/>
        </w:rPr>
        <w:noBreakHyphen/>
      </w:r>
      <w:r>
        <w:rPr>
          <w:lang w:eastAsia="fr-FR"/>
        </w:rPr>
        <w:t>Ph+.</w:t>
      </w:r>
    </w:p>
    <w:p w14:paraId="621CE36C" w14:textId="14E29A4F" w:rsidR="00EA60FA" w:rsidRDefault="00EA60FA" w:rsidP="00CF689F">
      <w:pPr>
        <w:pStyle w:val="corpsdedcision"/>
        <w:rPr>
          <w:lang w:eastAsia="fr-FR"/>
        </w:rPr>
      </w:pPr>
      <w:r>
        <w:rPr>
          <w:lang w:eastAsia="fr-FR"/>
        </w:rPr>
        <w:t xml:space="preserve">Rappelons aussi que l’opinion </w:t>
      </w:r>
      <w:r w:rsidRPr="00D01D22">
        <w:rPr>
          <w:lang w:eastAsia="fr-FR"/>
        </w:rPr>
        <w:t>d</w:t>
      </w:r>
      <w:r w:rsidR="00370180" w:rsidRPr="00D01D22">
        <w:rPr>
          <w:lang w:eastAsia="fr-FR"/>
        </w:rPr>
        <w:t>u</w:t>
      </w:r>
      <w:r>
        <w:rPr>
          <w:lang w:eastAsia="fr-FR"/>
        </w:rPr>
        <w:t xml:space="preserve"> docteur Osterman porte essentiellement sur le diagnostic de leucémie myéloïde chronique et que dans son complément d’opinion, il rejette </w:t>
      </w:r>
      <w:r w:rsidR="00344633">
        <w:rPr>
          <w:lang w:eastAsia="fr-FR"/>
        </w:rPr>
        <w:t xml:space="preserve">encore </w:t>
      </w:r>
      <w:r>
        <w:rPr>
          <w:lang w:eastAsia="fr-FR"/>
        </w:rPr>
        <w:t>le diagnostic de LMA</w:t>
      </w:r>
      <w:r w:rsidR="00370180">
        <w:rPr>
          <w:lang w:eastAsia="fr-FR"/>
        </w:rPr>
        <w:t>-</w:t>
      </w:r>
      <w:r>
        <w:rPr>
          <w:lang w:eastAsia="fr-FR"/>
        </w:rPr>
        <w:t xml:space="preserve">Ph+ pour réitérer celui de leucémie myéloïde chronique. Son opinion peut, dès lors, être mise de </w:t>
      </w:r>
      <w:r w:rsidRPr="00D01D22">
        <w:rPr>
          <w:lang w:eastAsia="fr-FR"/>
        </w:rPr>
        <w:t>côté</w:t>
      </w:r>
      <w:r w:rsidR="00370180" w:rsidRPr="00D01D22">
        <w:rPr>
          <w:lang w:eastAsia="fr-FR"/>
        </w:rPr>
        <w:t>,</w:t>
      </w:r>
      <w:r w:rsidR="00344633" w:rsidRPr="00D01D22">
        <w:rPr>
          <w:lang w:eastAsia="fr-FR"/>
        </w:rPr>
        <w:t xml:space="preserve"> puisque</w:t>
      </w:r>
      <w:r w:rsidR="00344633">
        <w:rPr>
          <w:lang w:eastAsia="fr-FR"/>
        </w:rPr>
        <w:t xml:space="preserve"> ne portant pas sur le diagnostic prépondérant et liant. </w:t>
      </w:r>
    </w:p>
    <w:p w14:paraId="0FF161EA" w14:textId="43CEC7D5" w:rsidR="00BB3602" w:rsidRPr="00BB3602" w:rsidRDefault="00370180" w:rsidP="00CF689F">
      <w:pPr>
        <w:pStyle w:val="corpsdedcision"/>
        <w:rPr>
          <w:lang w:eastAsia="fr-FR"/>
        </w:rPr>
      </w:pPr>
      <w:r w:rsidRPr="00D01D22">
        <w:rPr>
          <w:lang w:eastAsia="fr-FR"/>
        </w:rPr>
        <w:t>Le d</w:t>
      </w:r>
      <w:r w:rsidR="00BB3602" w:rsidRPr="00D01D22">
        <w:rPr>
          <w:lang w:eastAsia="fr-FR"/>
        </w:rPr>
        <w:t>octeur</w:t>
      </w:r>
      <w:r w:rsidR="00BB3602" w:rsidRPr="00BB3602">
        <w:rPr>
          <w:lang w:eastAsia="fr-FR"/>
        </w:rPr>
        <w:t xml:space="preserve"> Osterman n’a pas démontré que le benzène était complètement absent des produits utilisés à l’usine. Même si une lettre du fournisseur certifie qu’il n’y a pas de benzène dans la peinture utilisée et que celui-ci n’est pas rapporté dans les fiches signalétiques des différents produits, on peut voir dans la monographie sur le benzène et dans différentes études que le benzène peut se retrouver en petite quantité comme composant résiduel, ou contaminant, notamment dans le toluène ou le xylène, car les produits comme le xylène, l’éthylbenzène ou le toluène sont des dérivés du benzène. Ces petites quantités ne sont pas signalé</w:t>
      </w:r>
      <w:r w:rsidR="00F5080E">
        <w:rPr>
          <w:lang w:eastAsia="fr-FR"/>
        </w:rPr>
        <w:t>e</w:t>
      </w:r>
      <w:r w:rsidR="00BB3602" w:rsidRPr="00BB3602">
        <w:rPr>
          <w:lang w:eastAsia="fr-FR"/>
        </w:rPr>
        <w:t xml:space="preserve">s dans les fiches. </w:t>
      </w:r>
    </w:p>
    <w:p w14:paraId="5172DE4B" w14:textId="72CD4502" w:rsidR="00EA60FA" w:rsidRDefault="00BB3602" w:rsidP="00CF689F">
      <w:pPr>
        <w:pStyle w:val="corpsdedcision"/>
        <w:rPr>
          <w:lang w:eastAsia="fr-FR"/>
        </w:rPr>
      </w:pPr>
      <w:r>
        <w:rPr>
          <w:lang w:eastAsia="fr-FR"/>
        </w:rPr>
        <w:t xml:space="preserve">Or, </w:t>
      </w:r>
      <w:r w:rsidR="00370180" w:rsidRPr="0047675E">
        <w:rPr>
          <w:lang w:eastAsia="fr-FR"/>
        </w:rPr>
        <w:t xml:space="preserve">la </w:t>
      </w:r>
      <w:r w:rsidRPr="0047675E">
        <w:rPr>
          <w:lang w:eastAsia="fr-FR"/>
        </w:rPr>
        <w:t>docteure Baillargeon insiste sur le fait que « </w:t>
      </w:r>
      <w:r w:rsidRPr="0047675E">
        <w:rPr>
          <w:rStyle w:val="Citationintgre"/>
        </w:rPr>
        <w:t>m</w:t>
      </w:r>
      <w:r w:rsidRPr="0047675E">
        <w:rPr>
          <w:rStyle w:val="Citationintgre"/>
          <w:lang w:eastAsia="fr-FR"/>
        </w:rPr>
        <w:t>ême une exposition à des produits avec une très faible concentration de benzène (&lt;0,1</w:t>
      </w:r>
      <w:r w:rsidR="00370180" w:rsidRPr="0047675E">
        <w:rPr>
          <w:rStyle w:val="Citationintgre"/>
          <w:lang w:eastAsia="fr-FR"/>
        </w:rPr>
        <w:t> </w:t>
      </w:r>
      <w:r w:rsidRPr="0047675E">
        <w:rPr>
          <w:rStyle w:val="Citationintgre"/>
          <w:lang w:eastAsia="fr-FR"/>
        </w:rPr>
        <w:t>%) pourrait amener une absorption par voie respiratoire et dermique suffisante pour entraîner un risque accru de cancers et de leucémies</w:t>
      </w:r>
      <w:r w:rsidRPr="0047675E">
        <w:rPr>
          <w:lang w:eastAsia="fr-FR"/>
        </w:rPr>
        <w:t> »</w:t>
      </w:r>
      <w:r w:rsidR="00370180" w:rsidRPr="0047675E">
        <w:rPr>
          <w:lang w:eastAsia="fr-FR"/>
        </w:rPr>
        <w:t>,</w:t>
      </w:r>
      <w:r w:rsidRPr="0047675E">
        <w:rPr>
          <w:lang w:eastAsia="fr-FR"/>
        </w:rPr>
        <w:t xml:space="preserve"> selon</w:t>
      </w:r>
      <w:r>
        <w:rPr>
          <w:lang w:eastAsia="fr-FR"/>
        </w:rPr>
        <w:t xml:space="preserve"> la littérature consultée</w:t>
      </w:r>
      <w:r w:rsidR="00382DFC">
        <w:rPr>
          <w:rStyle w:val="Appelnotedebasdep"/>
          <w:lang w:eastAsia="fr-FR"/>
        </w:rPr>
        <w:footnoteReference w:id="67"/>
      </w:r>
      <w:r>
        <w:rPr>
          <w:lang w:eastAsia="fr-FR"/>
        </w:rPr>
        <w:t>.</w:t>
      </w:r>
    </w:p>
    <w:p w14:paraId="561010FA" w14:textId="6402373B" w:rsidR="00382DFC" w:rsidRDefault="00382DFC" w:rsidP="00CF689F">
      <w:pPr>
        <w:pStyle w:val="corpsdedcision"/>
        <w:rPr>
          <w:lang w:eastAsia="fr-FR"/>
        </w:rPr>
      </w:pPr>
      <w:r w:rsidRPr="00382DFC">
        <w:rPr>
          <w:lang w:eastAsia="fr-FR"/>
        </w:rPr>
        <w:t xml:space="preserve">Certaines études ont </w:t>
      </w:r>
      <w:r w:rsidR="00370180" w:rsidRPr="0047675E">
        <w:rPr>
          <w:lang w:eastAsia="fr-FR"/>
        </w:rPr>
        <w:t>dé</w:t>
      </w:r>
      <w:r w:rsidRPr="0047675E">
        <w:rPr>
          <w:lang w:eastAsia="fr-FR"/>
        </w:rPr>
        <w:t>m</w:t>
      </w:r>
      <w:r w:rsidRPr="00382DFC">
        <w:rPr>
          <w:lang w:eastAsia="fr-FR"/>
        </w:rPr>
        <w:t xml:space="preserve">ontré qu’il n'y aurait </w:t>
      </w:r>
      <w:r w:rsidRPr="00370180">
        <w:rPr>
          <w:lang w:eastAsia="fr-FR"/>
        </w:rPr>
        <w:t>pas de valeur seuil d’exposition cumulative au-dessous de laquelle il n’y avait aucun risque</w:t>
      </w:r>
      <w:r w:rsidR="00F916F4" w:rsidRPr="00370180">
        <w:rPr>
          <w:rStyle w:val="Appelnotedebasdep"/>
          <w:lang w:eastAsia="fr-FR"/>
        </w:rPr>
        <w:footnoteReference w:id="68"/>
      </w:r>
      <w:r w:rsidRPr="00370180">
        <w:rPr>
          <w:lang w:eastAsia="fr-FR"/>
        </w:rPr>
        <w:t>, que des produits contenant &lt;0.1</w:t>
      </w:r>
      <w:r w:rsidR="00370180" w:rsidRPr="00370180">
        <w:rPr>
          <w:lang w:eastAsia="fr-FR"/>
        </w:rPr>
        <w:t> </w:t>
      </w:r>
      <w:r w:rsidRPr="00370180">
        <w:rPr>
          <w:lang w:eastAsia="fr-FR"/>
        </w:rPr>
        <w:t>% de benzène pouvai</w:t>
      </w:r>
      <w:r w:rsidR="00F5080E" w:rsidRPr="00370180">
        <w:rPr>
          <w:lang w:eastAsia="fr-FR"/>
        </w:rPr>
        <w:t>en</w:t>
      </w:r>
      <w:r w:rsidRPr="00370180">
        <w:rPr>
          <w:lang w:eastAsia="fr-FR"/>
        </w:rPr>
        <w:t>t potentiellement produire des niveaux</w:t>
      </w:r>
      <w:r w:rsidRPr="00382DFC">
        <w:rPr>
          <w:lang w:eastAsia="fr-FR"/>
        </w:rPr>
        <w:t xml:space="preserve"> de concentration de benzène dans l’air qui excèdent les limites d’exposition occupationnelle</w:t>
      </w:r>
      <w:r w:rsidR="00F916F4">
        <w:rPr>
          <w:rStyle w:val="Appelnotedebasdep"/>
          <w:lang w:eastAsia="fr-FR"/>
        </w:rPr>
        <w:footnoteReference w:id="69"/>
      </w:r>
      <w:r w:rsidRPr="00382DFC">
        <w:rPr>
          <w:lang w:eastAsia="fr-FR"/>
        </w:rPr>
        <w:t>, ou que l’exposition par inhalation ou voie cutanée au benzène pouvait survenir avec l’utilisation de solvants contenant de très faibles concentrations de benzène, là où les concentrations trouvées dans l’air étaient en</w:t>
      </w:r>
      <w:r w:rsidR="00F5080E">
        <w:rPr>
          <w:lang w:eastAsia="fr-FR"/>
        </w:rPr>
        <w:t xml:space="preserve"> </w:t>
      </w:r>
      <w:r w:rsidRPr="00382DFC">
        <w:rPr>
          <w:lang w:eastAsia="fr-FR"/>
        </w:rPr>
        <w:t>dessous des limites de détection</w:t>
      </w:r>
      <w:r w:rsidR="00F916F4">
        <w:rPr>
          <w:rStyle w:val="Appelnotedebasdep"/>
          <w:lang w:eastAsia="fr-FR"/>
        </w:rPr>
        <w:footnoteReference w:id="70"/>
      </w:r>
      <w:r w:rsidRPr="00382DFC">
        <w:rPr>
          <w:lang w:eastAsia="fr-FR"/>
        </w:rPr>
        <w:t>.</w:t>
      </w:r>
    </w:p>
    <w:p w14:paraId="069327E7" w14:textId="71306DFD" w:rsidR="00836FEF" w:rsidRPr="007E22ED" w:rsidRDefault="00836FEF" w:rsidP="00A97E82">
      <w:pPr>
        <w:pStyle w:val="corpsdedcision"/>
        <w:spacing w:after="440"/>
        <w:rPr>
          <w:lang w:eastAsia="fr-FR"/>
        </w:rPr>
      </w:pPr>
      <w:r w:rsidRPr="00B653CA">
        <w:rPr>
          <w:lang w:eastAsia="fr-FR"/>
        </w:rPr>
        <w:t xml:space="preserve">Enfin, </w:t>
      </w:r>
      <w:r w:rsidR="00F5080E">
        <w:rPr>
          <w:lang w:eastAsia="fr-FR"/>
        </w:rPr>
        <w:t xml:space="preserve">le </w:t>
      </w:r>
      <w:r w:rsidRPr="00B653CA">
        <w:rPr>
          <w:lang w:eastAsia="fr-FR"/>
        </w:rPr>
        <w:t xml:space="preserve">docteur Osterman ne démontre pas que les mélanges complexes de divers solvants utilisés par le travailleur ne peuvent être associés à la leucémie. En effet, le xylène </w:t>
      </w:r>
      <w:r w:rsidRPr="007E22ED">
        <w:rPr>
          <w:lang w:eastAsia="fr-FR"/>
        </w:rPr>
        <w:t>(classé 3)</w:t>
      </w:r>
      <w:r w:rsidRPr="00B653CA">
        <w:rPr>
          <w:lang w:eastAsia="fr-FR"/>
        </w:rPr>
        <w:t xml:space="preserve"> ou l’éthylbenzène </w:t>
      </w:r>
      <w:r w:rsidRPr="007E22ED">
        <w:rPr>
          <w:lang w:eastAsia="fr-FR"/>
        </w:rPr>
        <w:t>(classé 2B</w:t>
      </w:r>
      <w:r w:rsidRPr="0047675E">
        <w:rPr>
          <w:lang w:eastAsia="fr-FR"/>
        </w:rPr>
        <w:t xml:space="preserve">), </w:t>
      </w:r>
      <w:r w:rsidR="00370180" w:rsidRPr="0047675E">
        <w:rPr>
          <w:lang w:eastAsia="fr-FR"/>
        </w:rPr>
        <w:t>le</w:t>
      </w:r>
      <w:r w:rsidR="00370180">
        <w:rPr>
          <w:lang w:eastAsia="fr-FR"/>
        </w:rPr>
        <w:t xml:space="preserve"> </w:t>
      </w:r>
      <w:r w:rsidRPr="00B653CA">
        <w:rPr>
          <w:lang w:eastAsia="fr-FR"/>
        </w:rPr>
        <w:t xml:space="preserve">méthyl isobutyle cétone </w:t>
      </w:r>
      <w:r w:rsidRPr="007E22ED">
        <w:rPr>
          <w:lang w:eastAsia="fr-FR"/>
        </w:rPr>
        <w:t>(classé 2B)</w:t>
      </w:r>
      <w:r w:rsidRPr="00B653CA">
        <w:rPr>
          <w:lang w:eastAsia="fr-FR"/>
        </w:rPr>
        <w:t xml:space="preserve"> comme composant</w:t>
      </w:r>
      <w:r w:rsidRPr="00CB40B3">
        <w:rPr>
          <w:lang w:eastAsia="fr-FR"/>
        </w:rPr>
        <w:t>s</w:t>
      </w:r>
      <w:r w:rsidRPr="00B653CA">
        <w:rPr>
          <w:lang w:eastAsia="fr-FR"/>
        </w:rPr>
        <w:t xml:space="preserve"> de la peinture, ou le toluène (</w:t>
      </w:r>
      <w:r w:rsidRPr="007E22ED">
        <w:rPr>
          <w:lang w:eastAsia="fr-FR"/>
        </w:rPr>
        <w:t>classé 3)</w:t>
      </w:r>
      <w:r w:rsidRPr="00B653CA">
        <w:rPr>
          <w:lang w:eastAsia="fr-FR"/>
        </w:rPr>
        <w:t xml:space="preserve"> présent dans le diluant, peuvent être possiblement cancérigènes pour l’humain ou </w:t>
      </w:r>
      <w:r w:rsidRPr="0047675E">
        <w:rPr>
          <w:lang w:eastAsia="fr-FR"/>
        </w:rPr>
        <w:t>inclassifiable</w:t>
      </w:r>
      <w:r w:rsidR="00370180" w:rsidRPr="0047675E">
        <w:rPr>
          <w:lang w:eastAsia="fr-FR"/>
        </w:rPr>
        <w:t>s</w:t>
      </w:r>
      <w:r w:rsidR="00F5080E" w:rsidRPr="0047675E">
        <w:rPr>
          <w:lang w:eastAsia="fr-FR"/>
        </w:rPr>
        <w:t>,</w:t>
      </w:r>
      <w:r w:rsidRPr="00B653CA">
        <w:rPr>
          <w:lang w:eastAsia="fr-FR"/>
        </w:rPr>
        <w:t xml:space="preserve"> car il n’y a pas encore de données sur ces produits, jusqu’à présent, pour établir une association</w:t>
      </w:r>
      <w:r w:rsidR="006073E6" w:rsidRPr="00B653CA">
        <w:rPr>
          <w:rStyle w:val="Appelnotedebasdep"/>
          <w:lang w:eastAsia="fr-FR"/>
        </w:rPr>
        <w:footnoteReference w:id="71"/>
      </w:r>
      <w:r w:rsidRPr="00B653CA">
        <w:rPr>
          <w:lang w:eastAsia="fr-FR"/>
        </w:rPr>
        <w:t>. Le méthanol (et ses métabolites comme le formaldéhyde) contenu dans le diluant a un potentiel de génotoxicité. Il peut causer des aberrations chromosomiques</w:t>
      </w:r>
      <w:r w:rsidRPr="00B653CA">
        <w:rPr>
          <w:rStyle w:val="Appelnotedebasdep"/>
          <w:lang w:eastAsia="fr-FR"/>
        </w:rPr>
        <w:footnoteReference w:id="72"/>
      </w:r>
      <w:r w:rsidRPr="00B653CA">
        <w:rPr>
          <w:lang w:eastAsia="fr-FR"/>
        </w:rPr>
        <w:t xml:space="preserve">. </w:t>
      </w:r>
    </w:p>
    <w:p w14:paraId="080D5E78" w14:textId="0ACDCB73" w:rsidR="00836FEF" w:rsidRPr="00836FEF" w:rsidRDefault="00836FEF" w:rsidP="00A97E82">
      <w:pPr>
        <w:pStyle w:val="corpsdedcision"/>
        <w:spacing w:after="440"/>
        <w:rPr>
          <w:lang w:eastAsia="fr-FR"/>
        </w:rPr>
      </w:pPr>
      <w:r w:rsidRPr="00836FEF">
        <w:rPr>
          <w:lang w:eastAsia="fr-FR"/>
        </w:rPr>
        <w:t>Une autre étude démontre que, pour les néoplasies myéloïdes, les effets les plus forts étaient apparents pour les</w:t>
      </w:r>
      <w:r w:rsidR="006073E6">
        <w:rPr>
          <w:lang w:eastAsia="fr-FR"/>
        </w:rPr>
        <w:t xml:space="preserve"> syndromes myélodysplasiques et la leucémie myéloïde aig</w:t>
      </w:r>
      <w:r w:rsidR="00FA408B">
        <w:rPr>
          <w:lang w:eastAsia="fr-FR"/>
        </w:rPr>
        <w:t>uë</w:t>
      </w:r>
      <w:r w:rsidRPr="00836FEF">
        <w:rPr>
          <w:lang w:eastAsia="fr-FR"/>
        </w:rPr>
        <w:t xml:space="preserve"> survenant dans les 10 ans du diagnostic suivant l’exposition, et pour une première exposition survenant entre 2 ans et moins de 10 ans avant l’âge de 30 ans</w:t>
      </w:r>
      <w:r>
        <w:rPr>
          <w:rStyle w:val="Appelnotedebasdep"/>
          <w:lang w:eastAsia="fr-FR"/>
        </w:rPr>
        <w:footnoteReference w:id="73"/>
      </w:r>
      <w:r>
        <w:rPr>
          <w:lang w:eastAsia="fr-FR"/>
        </w:rPr>
        <w:t>, ce qui semble le cas chez le travailleur</w:t>
      </w:r>
      <w:r w:rsidRPr="00836FEF">
        <w:rPr>
          <w:lang w:eastAsia="fr-FR"/>
        </w:rPr>
        <w:t xml:space="preserve">. </w:t>
      </w:r>
    </w:p>
    <w:p w14:paraId="0600737B" w14:textId="54A796DA" w:rsidR="0021015A" w:rsidRPr="0047675E" w:rsidRDefault="0021015A" w:rsidP="00A97E82">
      <w:pPr>
        <w:pStyle w:val="corpsdedcision"/>
        <w:spacing w:after="440"/>
        <w:rPr>
          <w:lang w:eastAsia="fr-FR"/>
        </w:rPr>
      </w:pPr>
      <w:r>
        <w:rPr>
          <w:lang w:eastAsia="fr-FR"/>
        </w:rPr>
        <w:t>En terminant, le Tribunal fait sien</w:t>
      </w:r>
      <w:r w:rsidR="00F5080E">
        <w:rPr>
          <w:lang w:eastAsia="fr-FR"/>
        </w:rPr>
        <w:t>s</w:t>
      </w:r>
      <w:r>
        <w:rPr>
          <w:lang w:eastAsia="fr-FR"/>
        </w:rPr>
        <w:t xml:space="preserve"> les propos </w:t>
      </w:r>
      <w:r w:rsidRPr="0047675E">
        <w:rPr>
          <w:lang w:eastAsia="fr-FR"/>
        </w:rPr>
        <w:t xml:space="preserve">de </w:t>
      </w:r>
      <w:r w:rsidR="004335B1" w:rsidRPr="0047675E">
        <w:rPr>
          <w:lang w:eastAsia="fr-FR"/>
        </w:rPr>
        <w:t>la d</w:t>
      </w:r>
      <w:r w:rsidRPr="0047675E">
        <w:rPr>
          <w:lang w:eastAsia="fr-FR"/>
        </w:rPr>
        <w:t xml:space="preserve">octeure Baillargeon en ce qui a trait à la littérature soumise par </w:t>
      </w:r>
      <w:r w:rsidR="004335B1" w:rsidRPr="0047675E">
        <w:rPr>
          <w:lang w:eastAsia="fr-FR"/>
        </w:rPr>
        <w:t xml:space="preserve">le </w:t>
      </w:r>
      <w:r w:rsidRPr="0047675E">
        <w:rPr>
          <w:lang w:eastAsia="fr-FR"/>
        </w:rPr>
        <w:t xml:space="preserve">docteur </w:t>
      </w:r>
      <w:r w:rsidR="003E7DD3" w:rsidRPr="0047675E">
        <w:rPr>
          <w:lang w:eastAsia="fr-FR"/>
        </w:rPr>
        <w:t>Osterman</w:t>
      </w:r>
      <w:r w:rsidR="005D3EB2" w:rsidRPr="0047675E">
        <w:rPr>
          <w:lang w:eastAsia="fr-FR"/>
        </w:rPr>
        <w:t> </w:t>
      </w:r>
      <w:r w:rsidRPr="0047675E">
        <w:rPr>
          <w:lang w:eastAsia="fr-FR"/>
        </w:rPr>
        <w:t>:</w:t>
      </w:r>
    </w:p>
    <w:p w14:paraId="55D7E5DE" w14:textId="6770806B" w:rsidR="0021015A" w:rsidRDefault="0021015A" w:rsidP="00A97E82">
      <w:pPr>
        <w:pStyle w:val="citation"/>
        <w:spacing w:after="440"/>
        <w:rPr>
          <w:lang w:eastAsia="fr-FR"/>
        </w:rPr>
      </w:pPr>
      <w:r>
        <w:rPr>
          <w:lang w:eastAsia="fr-FR"/>
        </w:rPr>
        <w:t xml:space="preserve">En conclusion, les articles déposés par le Dr Osterman portent soit sur le diagnostic d’encéphalopathie aux solvants, sur l’évaluation en toxicologie neurocomportementale, sur le traitement de leucémies à chromosome Philadelphie positif, ou sur la relation entre les divers types de leucémie et l’exposition au benzène. D’une </w:t>
      </w:r>
      <w:r w:rsidRPr="003E7DD3">
        <w:rPr>
          <w:u w:val="single"/>
          <w:lang w:eastAsia="fr-FR"/>
        </w:rPr>
        <w:t>part il n’est nullement question de neurotoxicité centrale ou d’encéphalopathie.</w:t>
      </w:r>
      <w:r>
        <w:rPr>
          <w:lang w:eastAsia="fr-FR"/>
        </w:rPr>
        <w:t xml:space="preserve"> D’autre part le Dr Osterman n’a pas tenu compte que ce travailleur a été exposé </w:t>
      </w:r>
      <w:r w:rsidRPr="003E7DD3">
        <w:rPr>
          <w:u w:val="single"/>
          <w:lang w:eastAsia="fr-FR"/>
        </w:rPr>
        <w:t>à divers solvants et non seulement au benzène</w:t>
      </w:r>
      <w:r>
        <w:rPr>
          <w:lang w:eastAsia="fr-FR"/>
        </w:rPr>
        <w:t xml:space="preserve">, et que plusieurs de ces solvants sont des cancérogènes suspectés, avérés ou qui se transforment en cancérogène avéré (méthanol en formaldéhyde). </w:t>
      </w:r>
      <w:r w:rsidRPr="0021015A">
        <w:rPr>
          <w:u w:val="single"/>
          <w:lang w:eastAsia="fr-FR"/>
        </w:rPr>
        <w:t>Il n’a pas non plus rapporté les conclusions du plus récent avis (2018) du Centre International de Recherche sur le Cancer (CIRC) sur le benzène qui conclue à une association positive, en plus de la LMA, avec la LMC</w:t>
      </w:r>
      <w:r>
        <w:rPr>
          <w:lang w:eastAsia="fr-FR"/>
        </w:rPr>
        <w:t>.</w:t>
      </w:r>
    </w:p>
    <w:p w14:paraId="043F6292" w14:textId="01D39B52" w:rsidR="0021015A" w:rsidRPr="004335B1" w:rsidRDefault="0021015A" w:rsidP="00A97E82">
      <w:pPr>
        <w:pStyle w:val="citation"/>
        <w:spacing w:after="440"/>
        <w:rPr>
          <w:sz w:val="24"/>
          <w:szCs w:val="24"/>
        </w:rPr>
      </w:pPr>
      <w:r w:rsidRPr="005D4163">
        <w:rPr>
          <w:sz w:val="24"/>
          <w:szCs w:val="24"/>
        </w:rPr>
        <w:t>[</w:t>
      </w:r>
      <w:r w:rsidR="004335B1">
        <w:rPr>
          <w:sz w:val="24"/>
          <w:szCs w:val="24"/>
        </w:rPr>
        <w:t>Transcription textuelle et n</w:t>
      </w:r>
      <w:r w:rsidRPr="005D4163">
        <w:rPr>
          <w:sz w:val="24"/>
          <w:szCs w:val="24"/>
        </w:rPr>
        <w:t>o</w:t>
      </w:r>
      <w:r w:rsidR="003E7DD3">
        <w:rPr>
          <w:sz w:val="24"/>
          <w:szCs w:val="24"/>
        </w:rPr>
        <w:t>s</w:t>
      </w:r>
      <w:r w:rsidRPr="005D4163">
        <w:rPr>
          <w:sz w:val="24"/>
          <w:szCs w:val="24"/>
        </w:rPr>
        <w:t xml:space="preserve"> soulignement</w:t>
      </w:r>
      <w:r w:rsidR="003E7DD3">
        <w:rPr>
          <w:sz w:val="24"/>
          <w:szCs w:val="24"/>
        </w:rPr>
        <w:t>s</w:t>
      </w:r>
      <w:r w:rsidRPr="005D4163">
        <w:rPr>
          <w:sz w:val="24"/>
          <w:szCs w:val="24"/>
        </w:rPr>
        <w:t>]</w:t>
      </w:r>
    </w:p>
    <w:p w14:paraId="574678A7" w14:textId="5A5ADC58" w:rsidR="00B82ED8" w:rsidRDefault="00B82ED8" w:rsidP="00A97E82">
      <w:pPr>
        <w:pStyle w:val="corpsdedcision"/>
        <w:spacing w:after="440"/>
        <w:rPr>
          <w:lang w:eastAsia="fr-FR"/>
        </w:rPr>
      </w:pPr>
      <w:r>
        <w:rPr>
          <w:lang w:eastAsia="fr-FR"/>
        </w:rPr>
        <w:t>Pour tous ces motifs, le Tribunal estime que le la maladie dont souffre le travailleur est présumée d’origine professionnelle, ce qui dispense le travailleur de faire la preuve de la relation causale entre celle-ci et le travail.</w:t>
      </w:r>
    </w:p>
    <w:p w14:paraId="397085D3" w14:textId="287B0DF3" w:rsidR="00B82ED8" w:rsidRPr="001100C2" w:rsidRDefault="00B82ED8" w:rsidP="00A97E82">
      <w:pPr>
        <w:pStyle w:val="corpsdedcision"/>
        <w:spacing w:after="440"/>
        <w:rPr>
          <w:lang w:eastAsia="fr-FR"/>
        </w:rPr>
      </w:pPr>
      <w:r>
        <w:rPr>
          <w:lang w:eastAsia="fr-FR"/>
        </w:rPr>
        <w:t>Pour l</w:t>
      </w:r>
      <w:r w:rsidR="00C01AFB">
        <w:rPr>
          <w:lang w:eastAsia="fr-FR"/>
        </w:rPr>
        <w:t>e</w:t>
      </w:r>
      <w:r>
        <w:rPr>
          <w:lang w:eastAsia="fr-FR"/>
        </w:rPr>
        <w:t xml:space="preserve">s mêmes motifs, le Tribunal constate que l’employeur n’a pas renversé la </w:t>
      </w:r>
      <w:r w:rsidRPr="001100C2">
        <w:rPr>
          <w:lang w:eastAsia="fr-FR"/>
        </w:rPr>
        <w:t>présomption</w:t>
      </w:r>
      <w:r w:rsidR="00F5444F" w:rsidRPr="001100C2">
        <w:rPr>
          <w:lang w:eastAsia="fr-FR"/>
        </w:rPr>
        <w:t>, et ce,</w:t>
      </w:r>
      <w:r w:rsidRPr="001100C2">
        <w:rPr>
          <w:lang w:eastAsia="fr-FR"/>
        </w:rPr>
        <w:t xml:space="preserve"> compte tenu des lacunes énoncées dans l’opinion du docteur</w:t>
      </w:r>
      <w:r w:rsidR="001100C2" w:rsidRPr="001100C2">
        <w:rPr>
          <w:lang w:eastAsia="fr-FR"/>
        </w:rPr>
        <w:t> </w:t>
      </w:r>
      <w:r w:rsidRPr="001100C2">
        <w:rPr>
          <w:lang w:eastAsia="fr-FR"/>
        </w:rPr>
        <w:t xml:space="preserve">Osterman. </w:t>
      </w:r>
    </w:p>
    <w:p w14:paraId="2DC47368" w14:textId="048B569A" w:rsidR="00B82ED8" w:rsidRPr="001100C2" w:rsidRDefault="00B82ED8" w:rsidP="00A97E82">
      <w:pPr>
        <w:pStyle w:val="corpsdedcision"/>
        <w:spacing w:after="440"/>
      </w:pPr>
      <w:r w:rsidRPr="001100C2">
        <w:rPr>
          <w:lang w:eastAsia="fr-FR"/>
        </w:rPr>
        <w:t xml:space="preserve">Par conséquent, </w:t>
      </w:r>
      <w:r w:rsidR="00C01AFB" w:rsidRPr="001100C2">
        <w:rPr>
          <w:lang w:eastAsia="fr-FR"/>
        </w:rPr>
        <w:t>da</w:t>
      </w:r>
      <w:r w:rsidRPr="001100C2">
        <w:t>ns le contexte de l’application de cette présomption, le travailleur est dispensé de prouver la relation entre le</w:t>
      </w:r>
      <w:r w:rsidR="00C01AFB" w:rsidRPr="001100C2">
        <w:t>s</w:t>
      </w:r>
      <w:r w:rsidRPr="001100C2">
        <w:t xml:space="preserve"> diagnostic</w:t>
      </w:r>
      <w:r w:rsidR="00C01AFB" w:rsidRPr="001100C2">
        <w:t>s</w:t>
      </w:r>
      <w:r w:rsidRPr="001100C2">
        <w:t xml:space="preserve"> posé</w:t>
      </w:r>
      <w:r w:rsidR="00C01AFB" w:rsidRPr="001100C2">
        <w:t>s</w:t>
      </w:r>
      <w:r w:rsidRPr="001100C2">
        <w:t xml:space="preserve"> et </w:t>
      </w:r>
      <w:r w:rsidR="00C01AFB" w:rsidRPr="001100C2">
        <w:t>son travail</w:t>
      </w:r>
      <w:r w:rsidRPr="001100C2">
        <w:t xml:space="preserve">. Cependant, force est de constater que l’expertise </w:t>
      </w:r>
      <w:r w:rsidR="00C01AFB" w:rsidRPr="001100C2">
        <w:t xml:space="preserve">de monsieur King et l’opinion de </w:t>
      </w:r>
      <w:r w:rsidR="00F5444F" w:rsidRPr="001100C2">
        <w:t xml:space="preserve">la </w:t>
      </w:r>
      <w:r w:rsidR="00C01AFB" w:rsidRPr="001100C2">
        <w:t xml:space="preserve">docteure </w:t>
      </w:r>
      <w:r w:rsidR="00D80EAB" w:rsidRPr="001100C2">
        <w:t>Baillargeon auraient</w:t>
      </w:r>
      <w:r w:rsidRPr="001100C2">
        <w:t xml:space="preserve"> permis au Tribunal de conclure à cette relation causale dans le contexte, par exemple, de l’application de l’article 30 de la Loi.</w:t>
      </w:r>
      <w:r w:rsidR="00C71DC2" w:rsidRPr="001100C2">
        <w:t xml:space="preserve"> En effet, le Tribunal considère que la preuve aurait permis de conclure que les diagnostics posés sont en relation avec les risques particuliers du travail qu’il a exercé.</w:t>
      </w:r>
    </w:p>
    <w:p w14:paraId="214B81D3" w14:textId="77777777" w:rsidR="0042647C" w:rsidRPr="001100C2" w:rsidRDefault="0042647C" w:rsidP="00A97E82">
      <w:pPr>
        <w:pStyle w:val="corpsdedcision"/>
        <w:tabs>
          <w:tab w:val="clear" w:pos="720"/>
        </w:tabs>
        <w:spacing w:after="440"/>
      </w:pPr>
      <w:r w:rsidRPr="001100C2">
        <w:t>La notion de risques particuliers réfère à l’association qui existe entre des risques définis, propres au travail exercé, et le développement d’une pathologie particulière</w:t>
      </w:r>
      <w:r w:rsidRPr="001100C2">
        <w:rPr>
          <w:rStyle w:val="Appelnotedebasdep"/>
        </w:rPr>
        <w:footnoteReference w:id="74"/>
      </w:r>
      <w:r w:rsidRPr="001100C2">
        <w:t>.</w:t>
      </w:r>
    </w:p>
    <w:p w14:paraId="68C0478D" w14:textId="77777777" w:rsidR="0042647C" w:rsidRPr="001100C2" w:rsidRDefault="0042647C" w:rsidP="00A97E82">
      <w:pPr>
        <w:pStyle w:val="corpsdedcision"/>
        <w:tabs>
          <w:tab w:val="clear" w:pos="720"/>
        </w:tabs>
        <w:spacing w:after="440"/>
      </w:pPr>
      <w:r w:rsidRPr="001100C2">
        <w:rPr>
          <w:rFonts w:cs="Arial"/>
        </w:rPr>
        <w:t xml:space="preserve">Dans l’affaire </w:t>
      </w:r>
      <w:r w:rsidRPr="001100C2">
        <w:rPr>
          <w:rFonts w:cs="Arial"/>
          <w:i/>
        </w:rPr>
        <w:t>Charette</w:t>
      </w:r>
      <w:r w:rsidRPr="001100C2">
        <w:rPr>
          <w:rFonts w:cs="Arial"/>
        </w:rPr>
        <w:t xml:space="preserve"> et </w:t>
      </w:r>
      <w:r w:rsidRPr="001100C2">
        <w:rPr>
          <w:rFonts w:cs="Arial"/>
          <w:i/>
        </w:rPr>
        <w:t>Garderie La Jeune Ronde inc</w:t>
      </w:r>
      <w:r w:rsidRPr="001100C2">
        <w:rPr>
          <w:rFonts w:cs="Arial"/>
        </w:rPr>
        <w:t>.</w:t>
      </w:r>
      <w:r w:rsidRPr="001100C2">
        <w:rPr>
          <w:rStyle w:val="Appelnotedebasdep"/>
          <w:rFonts w:cs="Arial"/>
        </w:rPr>
        <w:footnoteReference w:id="75"/>
      </w:r>
      <w:r w:rsidRPr="001100C2">
        <w:rPr>
          <w:rFonts w:cs="Arial"/>
        </w:rPr>
        <w:t>, le Tribunal décrit de façon plus précise les critères qui doivent être soupesés dans l’analyse de la notion de risques particuliers :</w:t>
      </w:r>
    </w:p>
    <w:p w14:paraId="33CEC324" w14:textId="2044166C" w:rsidR="0042647C" w:rsidRPr="001100C2" w:rsidRDefault="0042647C" w:rsidP="00A97E82">
      <w:pPr>
        <w:pStyle w:val="citation"/>
        <w:spacing w:after="440"/>
      </w:pPr>
      <w:r w:rsidRPr="001100C2">
        <w:t>[34]</w:t>
      </w:r>
      <w:r w:rsidRPr="001100C2">
        <w:tab/>
        <w:t>Un travail présente des risques particuliers lorsque celui-ci constitue, de par sa nature et ses conditions d’exercice, un risque particulier d’induire une maladie spécifique</w:t>
      </w:r>
      <w:r w:rsidRPr="001100C2">
        <w:rPr>
          <w:vertAlign w:val="superscript"/>
        </w:rPr>
        <w:t>4</w:t>
      </w:r>
      <w:r w:rsidRPr="001100C2">
        <w:t>. La preuve des risques particuliers du travail se fait par une analyse des structures anatomiques atteintes et par une identification des facteurs biomécaniques, physiques ou organisationnels sollicitant ces structures. Le Tribunal devra également tenir compte, dans son analyse, des caractéristiques personnelles du travailleur, de l’importance de l’exposition aux facteurs de risque en termes de durée, d’intensité ou de fréquence</w:t>
      </w:r>
      <w:r w:rsidRPr="001100C2">
        <w:rPr>
          <w:vertAlign w:val="superscript"/>
        </w:rPr>
        <w:t>5</w:t>
      </w:r>
      <w:r w:rsidRPr="001100C2">
        <w:t>.</w:t>
      </w:r>
    </w:p>
    <w:p w14:paraId="1E211159" w14:textId="068D92B3" w:rsidR="0042647C" w:rsidRPr="001100C2" w:rsidRDefault="0042647C" w:rsidP="00A97E82">
      <w:pPr>
        <w:pStyle w:val="citation"/>
        <w:spacing w:after="440"/>
        <w:rPr>
          <w:sz w:val="24"/>
          <w:szCs w:val="24"/>
        </w:rPr>
      </w:pPr>
      <w:r w:rsidRPr="001100C2">
        <w:rPr>
          <w:sz w:val="24"/>
          <w:szCs w:val="24"/>
        </w:rPr>
        <w:t>[</w:t>
      </w:r>
      <w:r w:rsidR="00483C81" w:rsidRPr="001100C2">
        <w:rPr>
          <w:sz w:val="24"/>
          <w:szCs w:val="24"/>
        </w:rPr>
        <w:t>N</w:t>
      </w:r>
      <w:r w:rsidRPr="001100C2">
        <w:rPr>
          <w:sz w:val="24"/>
          <w:szCs w:val="24"/>
        </w:rPr>
        <w:t>ote omise]</w:t>
      </w:r>
    </w:p>
    <w:p w14:paraId="75A351EE" w14:textId="77777777" w:rsidR="0042647C" w:rsidRPr="001100C2" w:rsidRDefault="0042647C" w:rsidP="00A97E82">
      <w:pPr>
        <w:pStyle w:val="corpsdedcision"/>
        <w:spacing w:after="440"/>
      </w:pPr>
      <w:r w:rsidRPr="001100C2">
        <w:t xml:space="preserve">Ainsi, en plus de l’analyse des facteurs de risques et de l’importance de l’exposition, le Tribunal doit disposer d’une preuve médicale prépondérante du lien entre la maladie et les risques présents dans le milieu de travail concerné. </w:t>
      </w:r>
    </w:p>
    <w:p w14:paraId="55D9D84A" w14:textId="13D2F6AD" w:rsidR="0042647C" w:rsidRPr="001100C2" w:rsidRDefault="0042647C" w:rsidP="00A97E82">
      <w:pPr>
        <w:pStyle w:val="corpsdedcision"/>
        <w:spacing w:after="440"/>
      </w:pPr>
      <w:r w:rsidRPr="001100C2">
        <w:t>Encore une fois</w:t>
      </w:r>
      <w:r w:rsidR="001100C2" w:rsidRPr="001100C2">
        <w:t>,</w:t>
      </w:r>
      <w:r w:rsidRPr="001100C2">
        <w:t xml:space="preserve"> et pour les motifs exposés dans la présente décision, cette preuve a été administrée.</w:t>
      </w:r>
    </w:p>
    <w:p w14:paraId="202499F7" w14:textId="734AB96B" w:rsidR="00B955A7" w:rsidRDefault="00B955A7" w:rsidP="00A97E82">
      <w:pPr>
        <w:pStyle w:val="Titre3"/>
        <w:keepNext w:val="0"/>
        <w:spacing w:after="440"/>
      </w:pPr>
      <w:r w:rsidRPr="00B955A7">
        <w:t>5.</w:t>
      </w:r>
      <w:r w:rsidRPr="00B955A7">
        <w:tab/>
        <w:t>Est-ce que la décision de la Commission d’imputer le coût des prestations au dossier financier de l’employeur est bien fondée</w:t>
      </w:r>
      <w:r w:rsidR="005D3EB2">
        <w:t> </w:t>
      </w:r>
      <w:r w:rsidRPr="00B955A7">
        <w:t>?</w:t>
      </w:r>
    </w:p>
    <w:p w14:paraId="61A2126A" w14:textId="77777777" w:rsidR="00C01AFB" w:rsidRDefault="00C01AFB" w:rsidP="00A97E82">
      <w:pPr>
        <w:pStyle w:val="corpsdedcision"/>
        <w:spacing w:after="440"/>
      </w:pPr>
      <w:r>
        <w:t xml:space="preserve">Enfin, le Tribunal doit maintenant traiter de la contestation de l’employeur concernant l’imputation du coût des prestations. </w:t>
      </w:r>
    </w:p>
    <w:p w14:paraId="7F8AEBDB" w14:textId="21A94740" w:rsidR="00B955A7" w:rsidRDefault="00C01AFB" w:rsidP="00A97E82">
      <w:pPr>
        <w:pStyle w:val="corpsdedcision"/>
        <w:spacing w:after="440"/>
        <w:rPr>
          <w:lang w:eastAsia="fr-FR"/>
        </w:rPr>
      </w:pPr>
      <w:r>
        <w:t>Ainsi</w:t>
      </w:r>
      <w:r w:rsidRPr="00C639AC">
        <w:t>, l’alinéa 2</w:t>
      </w:r>
      <w:r>
        <w:t xml:space="preserve"> de l’article 328 de la L</w:t>
      </w:r>
      <w:r w:rsidRPr="00C639AC">
        <w:t>oi</w:t>
      </w:r>
      <w:r>
        <w:rPr>
          <w:rStyle w:val="Appelnotedebasdep"/>
        </w:rPr>
        <w:footnoteReference w:id="76"/>
      </w:r>
      <w:r w:rsidRPr="00C639AC">
        <w:t xml:space="preserve"> permet à la</w:t>
      </w:r>
      <w:r>
        <w:t xml:space="preserve"> Commission </w:t>
      </w:r>
      <w:r w:rsidRPr="00C639AC">
        <w:t xml:space="preserve">d’imputer le coût des prestations </w:t>
      </w:r>
      <w:r>
        <w:t>en proportion de la durée du travail</w:t>
      </w:r>
      <w:r w:rsidRPr="008910F6">
        <w:t xml:space="preserve"> </w:t>
      </w:r>
      <w:r>
        <w:t>de nature à engendrer l</w:t>
      </w:r>
      <w:r w:rsidRPr="00C639AC">
        <w:t>a maladie professionnelle</w:t>
      </w:r>
      <w:r>
        <w:t xml:space="preserve"> chez </w:t>
      </w:r>
      <w:r w:rsidRPr="00C639AC">
        <w:t>tous les employeurs pour qui le travailleur a exercé</w:t>
      </w:r>
      <w:r>
        <w:t xml:space="preserve"> ce </w:t>
      </w:r>
      <w:r w:rsidRPr="00C639AC">
        <w:t>travail.</w:t>
      </w:r>
    </w:p>
    <w:p w14:paraId="23B4EE23" w14:textId="44C0390A" w:rsidR="00C01AFB" w:rsidRPr="00B955A7" w:rsidRDefault="00C01AFB" w:rsidP="00A97E82">
      <w:pPr>
        <w:pStyle w:val="corpsdedcision"/>
        <w:spacing w:after="440"/>
        <w:rPr>
          <w:lang w:eastAsia="fr-FR"/>
        </w:rPr>
      </w:pPr>
      <w:r>
        <w:t>Le travailleur ayant exercé un travail susceptible d’engendre</w:t>
      </w:r>
      <w:r w:rsidR="00F81F4A">
        <w:t>r</w:t>
      </w:r>
      <w:r>
        <w:t xml:space="preserve"> sa maladie uniquement chez l’employeur, la décision de la Commission de lui imputer le coût des prestations est bien</w:t>
      </w:r>
      <w:r w:rsidR="00F81F4A">
        <w:t xml:space="preserve"> </w:t>
      </w:r>
      <w:r>
        <w:t xml:space="preserve">fondée. </w:t>
      </w:r>
    </w:p>
    <w:p w14:paraId="225F1369" w14:textId="77777777" w:rsidR="00C74B6F" w:rsidRDefault="00C74B6F" w:rsidP="00A97E82">
      <w:pPr>
        <w:pStyle w:val="Dispositif"/>
        <w:spacing w:after="440"/>
      </w:pPr>
      <w:r>
        <w:rPr>
          <w:b/>
        </w:rPr>
        <w:t>P</w:t>
      </w:r>
      <w:r w:rsidR="00401325">
        <w:rPr>
          <w:b/>
        </w:rPr>
        <w:t>AR</w:t>
      </w:r>
      <w:r w:rsidR="00D07FA6">
        <w:rPr>
          <w:b/>
        </w:rPr>
        <w:t xml:space="preserve"> CES MOTIFS, LE TRIBUNAL ADMINISTRATIF DU TRAVAIL</w:t>
      </w:r>
      <w:r>
        <w:rPr>
          <w:b/>
        </w:rPr>
        <w:t> :</w:t>
      </w:r>
    </w:p>
    <w:p w14:paraId="3478654F" w14:textId="019797B8" w:rsidR="00C74B6F" w:rsidRDefault="00D12DDC" w:rsidP="00A97E82">
      <w:pPr>
        <w:pStyle w:val="Dispositif"/>
        <w:spacing w:after="440"/>
      </w:pPr>
      <w:r>
        <w:t>Dossier 1214980-63-2102</w:t>
      </w:r>
    </w:p>
    <w:p w14:paraId="129CB5A8" w14:textId="7ED8F0DE" w:rsidR="009001B4" w:rsidRDefault="009001B4" w:rsidP="00A97E82">
      <w:pPr>
        <w:pStyle w:val="Dispositif"/>
        <w:widowControl w:val="0"/>
        <w:spacing w:after="440"/>
      </w:pPr>
      <w:r>
        <w:rPr>
          <w:b/>
        </w:rPr>
        <w:t xml:space="preserve">REJETTE </w:t>
      </w:r>
      <w:r>
        <w:t xml:space="preserve">la contestation </w:t>
      </w:r>
      <w:r w:rsidRPr="001F5111">
        <w:t>de</w:t>
      </w:r>
      <w:r>
        <w:t xml:space="preserve"> l’employeur, Les marchands de bonbonnes;</w:t>
      </w:r>
    </w:p>
    <w:p w14:paraId="20F1A927" w14:textId="6936B856" w:rsidR="009001B4" w:rsidRPr="001100C2" w:rsidRDefault="009001B4" w:rsidP="00A97E82">
      <w:pPr>
        <w:pStyle w:val="Dispositif"/>
        <w:spacing w:after="440"/>
      </w:pPr>
      <w:r w:rsidRPr="00FF4ACA">
        <w:rPr>
          <w:b/>
        </w:rPr>
        <w:t>CONFIRME</w:t>
      </w:r>
      <w:r w:rsidRPr="001F5111">
        <w:t xml:space="preserve"> la décision de la </w:t>
      </w:r>
      <w:r>
        <w:t xml:space="preserve">Commission des normes, de l’équité, de la santé et de la sécurité du </w:t>
      </w:r>
      <w:r w:rsidRPr="001100C2">
        <w:t>travail rendue le</w:t>
      </w:r>
      <w:r w:rsidR="005D3EB2" w:rsidRPr="001100C2">
        <w:t xml:space="preserve"> </w:t>
      </w:r>
      <w:r w:rsidR="00D80EAB" w:rsidRPr="001100C2">
        <w:t>29 décembre 2020</w:t>
      </w:r>
      <w:r w:rsidRPr="001100C2">
        <w:t xml:space="preserve"> à la suite d’une révision administrative;</w:t>
      </w:r>
    </w:p>
    <w:p w14:paraId="71F2FCB4" w14:textId="4F85D636" w:rsidR="009001B4" w:rsidRDefault="009001B4" w:rsidP="00A97E82">
      <w:pPr>
        <w:pStyle w:val="Dispositif"/>
        <w:spacing w:after="440"/>
      </w:pPr>
      <w:r w:rsidRPr="001100C2">
        <w:rPr>
          <w:b/>
        </w:rPr>
        <w:t xml:space="preserve">DÉCLARE </w:t>
      </w:r>
      <w:r w:rsidRPr="001100C2">
        <w:t>que</w:t>
      </w:r>
      <w:r w:rsidR="004335B1" w:rsidRPr="001100C2">
        <w:t xml:space="preserve"> monsieur Mathew Bertrand,</w:t>
      </w:r>
      <w:r w:rsidRPr="001100C2">
        <w:t xml:space="preserve"> le travailleur</w:t>
      </w:r>
      <w:r w:rsidR="004335B1" w:rsidRPr="001100C2">
        <w:t>,</w:t>
      </w:r>
      <w:r w:rsidRPr="001100C2">
        <w:t xml:space="preserve"> a subi une maladie professionnelle à compter du 25</w:t>
      </w:r>
      <w:r w:rsidR="00805F97" w:rsidRPr="001100C2">
        <w:t> </w:t>
      </w:r>
      <w:r w:rsidRPr="001100C2">
        <w:t>février</w:t>
      </w:r>
      <w:r w:rsidR="00805F97" w:rsidRPr="001100C2">
        <w:t> </w:t>
      </w:r>
      <w:r w:rsidRPr="001100C2">
        <w:t>2020</w:t>
      </w:r>
      <w:r w:rsidR="00C71DC2" w:rsidRPr="001100C2">
        <w:t xml:space="preserve"> dont les diagnostics correspondent à des intoxications répétées à des solvants et à une leucémie myéloïde aig</w:t>
      </w:r>
      <w:r w:rsidR="00483C81" w:rsidRPr="001100C2">
        <w:t>uë</w:t>
      </w:r>
      <w:r w:rsidR="00C71DC2" w:rsidRPr="001100C2">
        <w:t xml:space="preserve"> à chromosome Philadelphie</w:t>
      </w:r>
      <w:r w:rsidRPr="001100C2">
        <w:t>;</w:t>
      </w:r>
    </w:p>
    <w:p w14:paraId="11D586CC" w14:textId="77777777" w:rsidR="009001B4" w:rsidRDefault="009001B4" w:rsidP="00A97E82">
      <w:pPr>
        <w:pStyle w:val="Dispositif"/>
        <w:widowControl w:val="0"/>
        <w:spacing w:after="440"/>
      </w:pPr>
      <w:r>
        <w:rPr>
          <w:b/>
        </w:rPr>
        <w:t>DÉCLARE</w:t>
      </w:r>
      <w:r>
        <w:t xml:space="preserve"> que le travailleur a droit aux prestations prévues par la </w:t>
      </w:r>
      <w:r w:rsidRPr="00C57EEB">
        <w:rPr>
          <w:i/>
          <w:iCs/>
        </w:rPr>
        <w:t>Loi sur les accidents du travail et les maladies professionnelles</w:t>
      </w:r>
      <w:r>
        <w:t>.</w:t>
      </w:r>
    </w:p>
    <w:p w14:paraId="47AB8EAA" w14:textId="5DCA648C" w:rsidR="00D12DDC" w:rsidRDefault="00D12DDC" w:rsidP="00842C02">
      <w:pPr>
        <w:pStyle w:val="Dispositif"/>
        <w:spacing w:after="440"/>
      </w:pPr>
      <w:r>
        <w:t>Dossier 1215012-63-2102</w:t>
      </w:r>
    </w:p>
    <w:p w14:paraId="39FEF230" w14:textId="77777777" w:rsidR="00D80EAB" w:rsidRDefault="00D80EAB" w:rsidP="00842C02">
      <w:pPr>
        <w:pStyle w:val="Dispositif"/>
        <w:widowControl w:val="0"/>
        <w:spacing w:after="440"/>
      </w:pPr>
      <w:r>
        <w:rPr>
          <w:b/>
        </w:rPr>
        <w:t xml:space="preserve">REJETTE </w:t>
      </w:r>
      <w:r>
        <w:t xml:space="preserve">la contestation </w:t>
      </w:r>
      <w:r w:rsidRPr="001F5111">
        <w:t>de</w:t>
      </w:r>
      <w:r>
        <w:t xml:space="preserve"> l’employeur, Les marchands de bonbonnes;</w:t>
      </w:r>
    </w:p>
    <w:p w14:paraId="3A44DD10" w14:textId="4654FA5D" w:rsidR="00D80EAB" w:rsidRDefault="00D80EAB" w:rsidP="00842C02">
      <w:pPr>
        <w:pStyle w:val="Dispositif"/>
        <w:spacing w:after="440"/>
      </w:pPr>
      <w:r w:rsidRPr="00FF4ACA">
        <w:rPr>
          <w:b/>
        </w:rPr>
        <w:t>CONFIRME</w:t>
      </w:r>
      <w:r w:rsidRPr="001F5111">
        <w:t xml:space="preserve"> la décision de la </w:t>
      </w:r>
      <w:r>
        <w:t>Commission des normes, de l’équité, de la santé et de la sécurité du travail</w:t>
      </w:r>
      <w:r w:rsidRPr="001F5111">
        <w:t xml:space="preserve"> rendue </w:t>
      </w:r>
      <w:r w:rsidRPr="00FF4ACA">
        <w:t>le</w:t>
      </w:r>
      <w:r w:rsidR="005D3EB2">
        <w:t xml:space="preserve"> </w:t>
      </w:r>
      <w:r>
        <w:t xml:space="preserve">29 décembre 2020 </w:t>
      </w:r>
      <w:r w:rsidRPr="00FF4ACA">
        <w:t>à</w:t>
      </w:r>
      <w:r w:rsidRPr="001F5111">
        <w:t xml:space="preserve"> la suite d’une révision administrative;</w:t>
      </w:r>
    </w:p>
    <w:p w14:paraId="6FFFE685" w14:textId="0D434ED2" w:rsidR="00805F97" w:rsidRPr="00805F97" w:rsidRDefault="00D80EAB" w:rsidP="00842C02">
      <w:pPr>
        <w:spacing w:after="440"/>
        <w:jc w:val="both"/>
        <w:rPr>
          <w:rFonts w:cs="Arial"/>
          <w:color w:val="000000"/>
          <w:szCs w:val="24"/>
        </w:rPr>
      </w:pPr>
      <w:r w:rsidRPr="00A47C46">
        <w:rPr>
          <w:rFonts w:cs="Arial"/>
          <w:b/>
          <w:bCs/>
          <w:color w:val="000000"/>
          <w:szCs w:val="24"/>
        </w:rPr>
        <w:t>DÉCLARE</w:t>
      </w:r>
      <w:r w:rsidR="005D3EB2">
        <w:rPr>
          <w:rFonts w:cs="Arial"/>
          <w:color w:val="000000"/>
          <w:szCs w:val="24"/>
        </w:rPr>
        <w:t xml:space="preserve"> </w:t>
      </w:r>
      <w:r w:rsidRPr="00A47C46">
        <w:rPr>
          <w:rFonts w:cs="Arial"/>
          <w:bCs/>
          <w:color w:val="000000"/>
          <w:szCs w:val="24"/>
        </w:rPr>
        <w:t xml:space="preserve">que l’employeur </w:t>
      </w:r>
      <w:r w:rsidRPr="00A47C46">
        <w:rPr>
          <w:rFonts w:cs="Arial"/>
          <w:color w:val="000000"/>
          <w:szCs w:val="24"/>
        </w:rPr>
        <w:t>doit être imputé du coût des prestations dues en raison de la</w:t>
      </w:r>
      <w:r w:rsidR="004335B1">
        <w:rPr>
          <w:rFonts w:cs="Arial"/>
          <w:color w:val="000000"/>
          <w:szCs w:val="24"/>
        </w:rPr>
        <w:t xml:space="preserve"> </w:t>
      </w:r>
      <w:r w:rsidRPr="00A47C46">
        <w:rPr>
          <w:rStyle w:val="solexhl"/>
          <w:rFonts w:cs="Arial"/>
          <w:color w:val="000000"/>
          <w:szCs w:val="24"/>
        </w:rPr>
        <w:t>maladie</w:t>
      </w:r>
      <w:r w:rsidR="004335B1">
        <w:rPr>
          <w:rFonts w:cs="Arial"/>
          <w:color w:val="000000"/>
          <w:szCs w:val="24"/>
        </w:rPr>
        <w:t xml:space="preserve"> </w:t>
      </w:r>
      <w:r w:rsidRPr="00A47C46">
        <w:rPr>
          <w:rFonts w:cs="Arial"/>
          <w:color w:val="000000"/>
          <w:szCs w:val="24"/>
        </w:rPr>
        <w:t>professionnelle subie par le travailleur le</w:t>
      </w:r>
      <w:r>
        <w:rPr>
          <w:rFonts w:cs="Arial"/>
          <w:color w:val="000000"/>
          <w:szCs w:val="24"/>
        </w:rPr>
        <w:t xml:space="preserve"> 25 février 2020.</w:t>
      </w:r>
    </w:p>
    <w:p w14:paraId="09D34A17" w14:textId="77777777" w:rsidR="00C74B6F" w:rsidRDefault="00C74B6F" w:rsidP="00842C02">
      <w:pPr>
        <w:pStyle w:val="Dispositif"/>
        <w:spacing w:after="440"/>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7FF1E3D3" w14:textId="77777777">
        <w:tc>
          <w:tcPr>
            <w:tcW w:w="4795" w:type="dxa"/>
          </w:tcPr>
          <w:p w14:paraId="09CE054A" w14:textId="77777777" w:rsidR="00C74B6F" w:rsidRDefault="00C74B6F"/>
        </w:tc>
        <w:tc>
          <w:tcPr>
            <w:tcW w:w="4795" w:type="dxa"/>
          </w:tcPr>
          <w:p w14:paraId="3FAD8C73" w14:textId="77777777" w:rsidR="00C74B6F" w:rsidRDefault="00C74B6F">
            <w:bookmarkStart w:id="31" w:name="signature"/>
            <w:bookmarkEnd w:id="31"/>
            <w:r>
              <w:t>__________________________________</w:t>
            </w:r>
          </w:p>
        </w:tc>
      </w:tr>
      <w:tr w:rsidR="00C74B6F" w14:paraId="09107E32" w14:textId="77777777">
        <w:tc>
          <w:tcPr>
            <w:tcW w:w="4795" w:type="dxa"/>
          </w:tcPr>
          <w:p w14:paraId="7DBE23DD" w14:textId="77777777" w:rsidR="00C74B6F" w:rsidRDefault="00C74B6F"/>
        </w:tc>
        <w:tc>
          <w:tcPr>
            <w:tcW w:w="4795" w:type="dxa"/>
          </w:tcPr>
          <w:p w14:paraId="0272CC33" w14:textId="3308CD3F" w:rsidR="00C74B6F" w:rsidRDefault="00F0149A">
            <w:r>
              <w:t>Marie-Pierre Dubé-Iza</w:t>
            </w:r>
          </w:p>
        </w:tc>
      </w:tr>
      <w:tr w:rsidR="00C74B6F" w14:paraId="408BB6C8" w14:textId="77777777">
        <w:trPr>
          <w:cantSplit/>
        </w:trPr>
        <w:tc>
          <w:tcPr>
            <w:tcW w:w="9590" w:type="dxa"/>
            <w:gridSpan w:val="2"/>
          </w:tcPr>
          <w:p w14:paraId="58C60A73" w14:textId="77777777" w:rsidR="00C74B6F" w:rsidRDefault="00C74B6F"/>
        </w:tc>
      </w:tr>
      <w:tr w:rsidR="00C74B6F" w14:paraId="7428EFF1" w14:textId="77777777">
        <w:trPr>
          <w:cantSplit/>
        </w:trPr>
        <w:tc>
          <w:tcPr>
            <w:tcW w:w="9590" w:type="dxa"/>
            <w:gridSpan w:val="2"/>
          </w:tcPr>
          <w:p w14:paraId="4AEFFF7B" w14:textId="77777777" w:rsidR="00C74B6F" w:rsidRPr="00C912F9" w:rsidRDefault="00C74B6F" w:rsidP="00EC5C8D">
            <w:pPr>
              <w:tabs>
                <w:tab w:val="left" w:pos="1592"/>
              </w:tabs>
            </w:pPr>
          </w:p>
        </w:tc>
      </w:tr>
      <w:tr w:rsidR="00C74B6F" w14:paraId="010BCEB7" w14:textId="77777777">
        <w:trPr>
          <w:cantSplit/>
        </w:trPr>
        <w:tc>
          <w:tcPr>
            <w:tcW w:w="9590" w:type="dxa"/>
            <w:gridSpan w:val="2"/>
          </w:tcPr>
          <w:p w14:paraId="6189DDB8" w14:textId="77777777" w:rsidR="00C74B6F" w:rsidRDefault="00C74B6F"/>
        </w:tc>
      </w:tr>
      <w:tr w:rsidR="00861F8B" w14:paraId="25978DC3" w14:textId="77777777">
        <w:trPr>
          <w:cantSplit/>
        </w:trPr>
        <w:tc>
          <w:tcPr>
            <w:tcW w:w="9590" w:type="dxa"/>
            <w:gridSpan w:val="2"/>
          </w:tcPr>
          <w:p w14:paraId="3D05E10D" w14:textId="5A351A8F" w:rsidR="00596AB2" w:rsidRPr="00596AB2" w:rsidRDefault="004335B1" w:rsidP="00596AB2">
            <w:r>
              <w:t>M.</w:t>
            </w:r>
            <w:r w:rsidR="00F30267">
              <w:t xml:space="preserve"> </w:t>
            </w:r>
            <w:r w:rsidRPr="004335B1">
              <w:rPr>
                <w:lang w:val="en-CA"/>
              </w:rPr>
              <w:t>Mathew Bertrand</w:t>
            </w:r>
          </w:p>
        </w:tc>
      </w:tr>
      <w:tr w:rsidR="00861F8B" w14:paraId="4DEDD507" w14:textId="77777777">
        <w:trPr>
          <w:cantSplit/>
        </w:trPr>
        <w:tc>
          <w:tcPr>
            <w:tcW w:w="9590" w:type="dxa"/>
            <w:gridSpan w:val="2"/>
          </w:tcPr>
          <w:p w14:paraId="42262F35" w14:textId="1B8B1266" w:rsidR="00861F8B" w:rsidRDefault="00E25DCB">
            <w:r>
              <w:fldChar w:fldCharType="begin"/>
            </w:r>
            <w:r>
              <w:instrText xml:space="preserve"> MACROBUTTON  AbaisserNiveauListe </w:instrText>
            </w:r>
            <w:r>
              <w:fldChar w:fldCharType="end"/>
            </w:r>
            <w:r w:rsidR="004335B1">
              <w:t>Pour lui-même</w:t>
            </w:r>
          </w:p>
        </w:tc>
      </w:tr>
      <w:tr w:rsidR="00C74B6F" w14:paraId="2F2F98F3" w14:textId="77777777">
        <w:trPr>
          <w:cantSplit/>
        </w:trPr>
        <w:tc>
          <w:tcPr>
            <w:tcW w:w="9590" w:type="dxa"/>
            <w:gridSpan w:val="2"/>
          </w:tcPr>
          <w:p w14:paraId="3812400A" w14:textId="77777777" w:rsidR="00C74B6F" w:rsidRDefault="00C74B6F"/>
        </w:tc>
      </w:tr>
      <w:tr w:rsidR="00C74B6F" w14:paraId="60DC7CA4" w14:textId="77777777">
        <w:trPr>
          <w:cantSplit/>
        </w:trPr>
        <w:tc>
          <w:tcPr>
            <w:tcW w:w="9590" w:type="dxa"/>
            <w:gridSpan w:val="2"/>
          </w:tcPr>
          <w:p w14:paraId="500B6989" w14:textId="58F0F989" w:rsidR="00C74B6F" w:rsidRDefault="004335B1">
            <w:pPr>
              <w:pStyle w:val="zSoquijdatNomProcureurDem"/>
            </w:pPr>
            <w:r w:rsidRPr="004335B1">
              <w:t>M</w:t>
            </w:r>
            <w:r w:rsidRPr="004335B1">
              <w:rPr>
                <w:vertAlign w:val="superscript"/>
              </w:rPr>
              <w:t>e</w:t>
            </w:r>
            <w:r w:rsidRPr="004335B1">
              <w:t xml:space="preserve"> Jean-Claude Turcotte</w:t>
            </w:r>
          </w:p>
        </w:tc>
      </w:tr>
      <w:tr w:rsidR="00C74B6F" w14:paraId="622A65E6" w14:textId="77777777">
        <w:trPr>
          <w:cantSplit/>
        </w:trPr>
        <w:tc>
          <w:tcPr>
            <w:tcW w:w="9590" w:type="dxa"/>
            <w:gridSpan w:val="2"/>
          </w:tcPr>
          <w:p w14:paraId="05A6918C" w14:textId="2244189F" w:rsidR="00C74B6F" w:rsidRDefault="004335B1">
            <w:pPr>
              <w:pStyle w:val="zSoquijdatCabinetProcureurDem"/>
            </w:pPr>
            <w:r>
              <w:t>LORANGER MARCOUX, SENCRL</w:t>
            </w:r>
          </w:p>
        </w:tc>
      </w:tr>
      <w:tr w:rsidR="00C74B6F" w14:paraId="3E7713FB" w14:textId="77777777">
        <w:trPr>
          <w:cantSplit/>
        </w:trPr>
        <w:tc>
          <w:tcPr>
            <w:tcW w:w="9590" w:type="dxa"/>
            <w:gridSpan w:val="2"/>
          </w:tcPr>
          <w:p w14:paraId="0F9411AF" w14:textId="77777777" w:rsidR="00C74B6F" w:rsidRDefault="00CB05A7">
            <w:pPr>
              <w:pStyle w:val="zSoquijlblProcureurDem"/>
            </w:pPr>
            <w:r>
              <w:t>Pour la partie demanderesse</w:t>
            </w:r>
          </w:p>
        </w:tc>
      </w:tr>
      <w:tr w:rsidR="00C15A3F" w14:paraId="1877111B" w14:textId="77777777">
        <w:trPr>
          <w:cantSplit/>
        </w:trPr>
        <w:tc>
          <w:tcPr>
            <w:tcW w:w="9590" w:type="dxa"/>
            <w:gridSpan w:val="2"/>
          </w:tcPr>
          <w:p w14:paraId="1EE6D49B" w14:textId="77777777" w:rsidR="00C15A3F" w:rsidRDefault="00C15A3F">
            <w:pPr>
              <w:pStyle w:val="zSoquijlblProcureurInt"/>
            </w:pPr>
          </w:p>
        </w:tc>
      </w:tr>
      <w:tr w:rsidR="00C15A3F" w14:paraId="3CA9AEFD" w14:textId="77777777">
        <w:trPr>
          <w:cantSplit/>
        </w:trPr>
        <w:tc>
          <w:tcPr>
            <w:tcW w:w="9590" w:type="dxa"/>
            <w:gridSpan w:val="2"/>
          </w:tcPr>
          <w:p w14:paraId="2AD807A3" w14:textId="0C3866C2" w:rsidR="00C15A3F" w:rsidRDefault="00C15A3F" w:rsidP="000E56A6">
            <w:pPr>
              <w:pStyle w:val="zSoquijdatDateAudience"/>
            </w:pPr>
            <w:r>
              <w:t xml:space="preserve">Date de la </w:t>
            </w:r>
            <w:r w:rsidR="00CC6338">
              <w:t>mise en délibéré</w:t>
            </w:r>
            <w:r>
              <w:t> :</w:t>
            </w:r>
            <w:r w:rsidR="00597016">
              <w:tab/>
            </w:r>
            <w:r w:rsidR="00D12DDC">
              <w:t>17 janvier 2025</w:t>
            </w:r>
          </w:p>
        </w:tc>
      </w:tr>
    </w:tbl>
    <w:p w14:paraId="54AAF148" w14:textId="77777777" w:rsidR="00F76B4A" w:rsidRDefault="00F76B4A" w:rsidP="00F73D1C"/>
    <w:p w14:paraId="3CF73B09" w14:textId="267CC096" w:rsidR="00DD0822" w:rsidRDefault="00DD0822">
      <w:r>
        <w:br w:type="page"/>
      </w:r>
    </w:p>
    <w:p w14:paraId="6B929CBE" w14:textId="0A838DFA" w:rsidR="00217890" w:rsidRPr="00217890" w:rsidRDefault="00DD0822" w:rsidP="00040663">
      <w:pPr>
        <w:pStyle w:val="Titre1"/>
        <w:spacing w:after="400"/>
        <w:jc w:val="center"/>
      </w:pPr>
      <w:r>
        <w:t>Bibliographie</w:t>
      </w:r>
    </w:p>
    <w:p w14:paraId="6268FC0D" w14:textId="3AA97463" w:rsidR="00DD0822" w:rsidRDefault="00DD0822" w:rsidP="00040663">
      <w:pPr>
        <w:pStyle w:val="Titre3"/>
        <w:spacing w:after="400"/>
      </w:pPr>
      <w:r>
        <w:t xml:space="preserve">Liste de la littérature </w:t>
      </w:r>
      <w:r w:rsidR="00AE35FC">
        <w:t>de</w:t>
      </w:r>
      <w:r>
        <w:t xml:space="preserve"> l’employeur</w:t>
      </w:r>
    </w:p>
    <w:p w14:paraId="33FFD5BF" w14:textId="103768CA" w:rsidR="00DD0822" w:rsidRDefault="004B71B8" w:rsidP="001D73A6">
      <w:pPr>
        <w:pStyle w:val="Paragraphedeliste"/>
        <w:numPr>
          <w:ilvl w:val="0"/>
          <w:numId w:val="12"/>
        </w:numPr>
        <w:jc w:val="both"/>
        <w:rPr>
          <w:rFonts w:cs="Arial"/>
          <w:noProof/>
          <w:sz w:val="20"/>
        </w:rPr>
      </w:pPr>
      <w:bookmarkStart w:id="32" w:name="_Hlk195088139"/>
      <w:r w:rsidRPr="00F75290">
        <w:rPr>
          <w:rFonts w:cs="Arial"/>
          <w:noProof/>
          <w:sz w:val="20"/>
        </w:rPr>
        <w:t xml:space="preserve">I. DE KOUCHKOVSKY et M. ABDUL-HAY, « Acute Myeloid Leukemia: A Comprehensive Review and 2016 Update », (2016) 6 </w:t>
      </w:r>
      <w:r w:rsidRPr="00F75290">
        <w:rPr>
          <w:rFonts w:cs="Arial"/>
          <w:i/>
          <w:iCs/>
          <w:noProof/>
          <w:sz w:val="20"/>
        </w:rPr>
        <w:t xml:space="preserve">Blood Cancer Journal, </w:t>
      </w:r>
      <w:r w:rsidRPr="00F75290">
        <w:rPr>
          <w:rFonts w:cs="Arial"/>
          <w:noProof/>
          <w:sz w:val="20"/>
        </w:rPr>
        <w:t>[En ligne], &lt;</w:t>
      </w:r>
      <w:r w:rsidR="00F77D7A" w:rsidRPr="004942D5">
        <w:rPr>
          <w:rFonts w:cs="Arial"/>
          <w:noProof/>
          <w:sz w:val="20"/>
        </w:rPr>
        <w:t>https://www.nature.com/articles/bcj201650</w:t>
      </w:r>
      <w:r w:rsidRPr="00F75290">
        <w:rPr>
          <w:rFonts w:cs="Arial"/>
          <w:noProof/>
          <w:sz w:val="20"/>
        </w:rPr>
        <w:t>&gt; (Date de consultation inconnue).</w:t>
      </w:r>
      <w:bookmarkEnd w:id="32"/>
    </w:p>
    <w:p w14:paraId="2DC2FF9E" w14:textId="77777777" w:rsidR="00DB2B4D" w:rsidRPr="00DB2B4D" w:rsidRDefault="00DB2B4D" w:rsidP="00DB2B4D">
      <w:pPr>
        <w:pStyle w:val="Paragraphedeliste"/>
        <w:jc w:val="both"/>
        <w:rPr>
          <w:rFonts w:cs="Arial"/>
          <w:noProof/>
          <w:sz w:val="20"/>
        </w:rPr>
      </w:pPr>
    </w:p>
    <w:p w14:paraId="2997913C" w14:textId="6B01BACE" w:rsidR="004B71B8" w:rsidRPr="001D16B7" w:rsidRDefault="004B71B8" w:rsidP="001D73A6">
      <w:pPr>
        <w:pStyle w:val="Paragraphedeliste"/>
        <w:numPr>
          <w:ilvl w:val="0"/>
          <w:numId w:val="12"/>
        </w:numPr>
        <w:jc w:val="both"/>
        <w:rPr>
          <w:rFonts w:cs="Arial"/>
          <w:sz w:val="20"/>
        </w:rPr>
      </w:pPr>
      <w:bookmarkStart w:id="33" w:name="_Hlk195089927"/>
      <w:r w:rsidRPr="001D16B7">
        <w:rPr>
          <w:rFonts w:cs="Arial"/>
          <w:sz w:val="20"/>
        </w:rPr>
        <w:t xml:space="preserve">Umberto GIANELLI </w:t>
      </w:r>
      <w:r w:rsidRPr="001D16B7">
        <w:rPr>
          <w:rFonts w:cs="Arial"/>
          <w:i/>
          <w:iCs/>
          <w:sz w:val="20"/>
        </w:rPr>
        <w:t>et al.,</w:t>
      </w:r>
      <w:r w:rsidR="00483C81">
        <w:rPr>
          <w:rFonts w:cs="Arial"/>
          <w:i/>
          <w:iCs/>
          <w:sz w:val="20"/>
        </w:rPr>
        <w:t xml:space="preserve"> </w:t>
      </w:r>
      <w:r w:rsidRPr="001D16B7">
        <w:rPr>
          <w:rFonts w:cs="Arial"/>
          <w:sz w:val="20"/>
        </w:rPr>
        <w:t xml:space="preserve">« International Consensus Classification of Myeloid and Lymphoid Neoplasms: Myeloproliferative Neoplasms », (2022) 482 </w:t>
      </w:r>
      <w:r w:rsidRPr="001D16B7">
        <w:rPr>
          <w:rFonts w:cs="Arial"/>
          <w:i/>
          <w:iCs/>
          <w:sz w:val="20"/>
        </w:rPr>
        <w:t>Virchows Archiv : An International Journal of Pathology,</w:t>
      </w:r>
      <w:r w:rsidR="007E323F">
        <w:rPr>
          <w:rFonts w:cs="Arial"/>
          <w:i/>
          <w:iCs/>
          <w:sz w:val="20"/>
        </w:rPr>
        <w:t xml:space="preserve"> </w:t>
      </w:r>
      <w:r w:rsidRPr="001D16B7">
        <w:rPr>
          <w:rFonts w:cs="Arial"/>
          <w:sz w:val="20"/>
        </w:rPr>
        <w:t>pp. 53-58, [En ligne], &lt;</w:t>
      </w:r>
      <w:hyperlink r:id="rId8" w:history="1">
        <w:r w:rsidR="00F77D7A">
          <w:rPr>
            <w:rStyle w:val="Lienhypertexte"/>
            <w:rFonts w:cs="Arial"/>
            <w:sz w:val="20"/>
          </w:rPr>
          <w:t>https://pmc.ncbi.nlm.nih.gov/articles/PMC9852206/</w:t>
        </w:r>
      </w:hyperlink>
      <w:r w:rsidRPr="001D16B7">
        <w:rPr>
          <w:rFonts w:cs="Arial"/>
          <w:sz w:val="20"/>
        </w:rPr>
        <w:t>&gt; (Date de consultation inconnue).</w:t>
      </w:r>
    </w:p>
    <w:bookmarkEnd w:id="33"/>
    <w:p w14:paraId="1922DA37" w14:textId="77777777" w:rsidR="004B71B8" w:rsidRPr="001D16B7" w:rsidRDefault="004B71B8" w:rsidP="001D73A6">
      <w:pPr>
        <w:pStyle w:val="Paragraphedeliste"/>
        <w:jc w:val="both"/>
        <w:rPr>
          <w:rFonts w:cs="Arial"/>
          <w:sz w:val="20"/>
        </w:rPr>
      </w:pPr>
    </w:p>
    <w:p w14:paraId="6B13B049" w14:textId="5EBFA507" w:rsidR="004B71B8" w:rsidRPr="004B71B8" w:rsidRDefault="004B71B8" w:rsidP="001D73A6">
      <w:pPr>
        <w:pStyle w:val="Paragraphedeliste"/>
        <w:numPr>
          <w:ilvl w:val="0"/>
          <w:numId w:val="12"/>
        </w:numPr>
        <w:jc w:val="both"/>
        <w:rPr>
          <w:rFonts w:cs="Arial"/>
          <w:sz w:val="20"/>
          <w:lang w:val="en-CA"/>
        </w:rPr>
      </w:pPr>
      <w:r w:rsidRPr="004B71B8">
        <w:rPr>
          <w:rFonts w:cs="Arial"/>
          <w:sz w:val="20"/>
          <w:lang w:val="en-CA"/>
        </w:rPr>
        <w:t xml:space="preserve">Martin HÖGLUND, Fredrik SANDIN et Bengt SIMONSSON, « Epidemiology of Chronic Myeloid </w:t>
      </w:r>
      <w:r w:rsidR="00362154" w:rsidRPr="004B71B8">
        <w:rPr>
          <w:rFonts w:cs="Arial"/>
          <w:sz w:val="20"/>
          <w:lang w:val="en-CA"/>
        </w:rPr>
        <w:t>Leukaemia:</w:t>
      </w:r>
      <w:r w:rsidRPr="004B71B8">
        <w:rPr>
          <w:rFonts w:cs="Arial"/>
          <w:sz w:val="20"/>
          <w:lang w:val="en-CA"/>
        </w:rPr>
        <w:t xml:space="preserve"> An Update », (2015) 94, Supplement 2, </w:t>
      </w:r>
      <w:r w:rsidRPr="004B71B8">
        <w:rPr>
          <w:rFonts w:cs="Arial"/>
          <w:i/>
          <w:iCs/>
          <w:sz w:val="20"/>
          <w:lang w:val="en-CA"/>
        </w:rPr>
        <w:t xml:space="preserve">Annals of Hematology, </w:t>
      </w:r>
      <w:r w:rsidRPr="004B71B8">
        <w:rPr>
          <w:rFonts w:cs="Arial"/>
          <w:sz w:val="20"/>
          <w:lang w:val="en-CA"/>
        </w:rPr>
        <w:t>pp. S241-S247.</w:t>
      </w:r>
    </w:p>
    <w:p w14:paraId="022AECC2" w14:textId="77777777" w:rsidR="004B71B8" w:rsidRDefault="004B71B8" w:rsidP="001D73A6">
      <w:pPr>
        <w:pStyle w:val="Paragraphedeliste"/>
        <w:jc w:val="both"/>
        <w:rPr>
          <w:rFonts w:cs="Arial"/>
          <w:sz w:val="20"/>
          <w:lang w:val="en-CA"/>
        </w:rPr>
      </w:pPr>
    </w:p>
    <w:p w14:paraId="492240C9" w14:textId="53D1665F" w:rsidR="004B71B8" w:rsidRDefault="004B71B8" w:rsidP="001D73A6">
      <w:pPr>
        <w:pStyle w:val="Paragraphedeliste"/>
        <w:numPr>
          <w:ilvl w:val="0"/>
          <w:numId w:val="12"/>
        </w:numPr>
        <w:jc w:val="both"/>
        <w:rPr>
          <w:rFonts w:cs="Arial"/>
          <w:sz w:val="20"/>
          <w:lang w:val="en-CA"/>
        </w:rPr>
      </w:pPr>
      <w:r w:rsidRPr="00625D9A">
        <w:rPr>
          <w:rFonts w:cs="Arial"/>
          <w:sz w:val="20"/>
          <w:lang w:val="en-CA"/>
        </w:rPr>
        <w:t>Fatemeh Saberi HOSNIJEH</w:t>
      </w:r>
      <w:r w:rsidRPr="00625D9A">
        <w:rPr>
          <w:rFonts w:cs="Arial"/>
          <w:i/>
          <w:iCs/>
          <w:sz w:val="20"/>
          <w:lang w:val="en-CA"/>
        </w:rPr>
        <w:t xml:space="preserve"> et al.,</w:t>
      </w:r>
      <w:r>
        <w:rPr>
          <w:rFonts w:cs="Arial"/>
          <w:i/>
          <w:iCs/>
          <w:sz w:val="20"/>
          <w:lang w:val="en-CA"/>
        </w:rPr>
        <w:t xml:space="preserve"> </w:t>
      </w:r>
      <w:r w:rsidRPr="00625D9A">
        <w:rPr>
          <w:rFonts w:cs="Arial"/>
          <w:sz w:val="20"/>
          <w:lang w:val="en-CA"/>
        </w:rPr>
        <w:t xml:space="preserve">« Occupation and Risk of Lymphoid and Myeloid Leukaemia in the European Prospective Investigation into Cancer and Nutrition (EPIC) », (2013) 70 </w:t>
      </w:r>
      <w:r w:rsidRPr="00625D9A">
        <w:rPr>
          <w:rFonts w:cs="Arial"/>
          <w:i/>
          <w:iCs/>
          <w:sz w:val="20"/>
          <w:lang w:val="en-CA"/>
        </w:rPr>
        <w:t>Occupational and Environmental Medicine,</w:t>
      </w:r>
      <w:r>
        <w:rPr>
          <w:rFonts w:cs="Arial"/>
          <w:i/>
          <w:iCs/>
          <w:sz w:val="20"/>
          <w:lang w:val="en-CA"/>
        </w:rPr>
        <w:t xml:space="preserve"> </w:t>
      </w:r>
      <w:r w:rsidRPr="00625D9A">
        <w:rPr>
          <w:rFonts w:cs="Arial"/>
          <w:sz w:val="20"/>
          <w:lang w:val="en-CA"/>
        </w:rPr>
        <w:t>pp. 464-470.</w:t>
      </w:r>
    </w:p>
    <w:p w14:paraId="74B48C60" w14:textId="77777777" w:rsidR="00644BA3" w:rsidRDefault="00644BA3" w:rsidP="001D73A6">
      <w:pPr>
        <w:pStyle w:val="Paragraphedeliste"/>
        <w:jc w:val="both"/>
        <w:rPr>
          <w:rFonts w:cs="Arial"/>
          <w:sz w:val="20"/>
          <w:lang w:val="en-CA"/>
        </w:rPr>
      </w:pPr>
    </w:p>
    <w:p w14:paraId="7BA0607D" w14:textId="785A4DD1" w:rsidR="00644BA3" w:rsidRPr="00644BA3" w:rsidRDefault="00644BA3" w:rsidP="001D73A6">
      <w:pPr>
        <w:pStyle w:val="Paragraphedeliste"/>
        <w:numPr>
          <w:ilvl w:val="0"/>
          <w:numId w:val="12"/>
        </w:numPr>
        <w:jc w:val="both"/>
        <w:rPr>
          <w:rFonts w:cs="Arial"/>
          <w:sz w:val="20"/>
          <w:lang w:val="en-CA"/>
        </w:rPr>
      </w:pPr>
      <w:r w:rsidRPr="00644BA3">
        <w:rPr>
          <w:rFonts w:cs="Arial"/>
          <w:sz w:val="20"/>
          <w:lang w:val="en-CA"/>
        </w:rPr>
        <w:t xml:space="preserve">Ari KAUKIAINEN </w:t>
      </w:r>
      <w:r w:rsidRPr="00644BA3">
        <w:rPr>
          <w:rFonts w:cs="Arial"/>
          <w:i/>
          <w:iCs/>
          <w:sz w:val="20"/>
          <w:lang w:val="en-CA"/>
        </w:rPr>
        <w:t xml:space="preserve">et al., </w:t>
      </w:r>
      <w:r w:rsidRPr="00644BA3">
        <w:rPr>
          <w:rFonts w:cs="Arial"/>
          <w:sz w:val="20"/>
          <w:lang w:val="en-CA"/>
        </w:rPr>
        <w:t>« Symptoms of Chronic Solvent Encephalopathy</w:t>
      </w:r>
      <w:r w:rsidR="00483C81">
        <w:rPr>
          <w:rFonts w:cs="Arial"/>
          <w:sz w:val="20"/>
          <w:lang w:val="en-CA"/>
        </w:rPr>
        <w:t xml:space="preserve"> </w:t>
      </w:r>
      <w:r w:rsidR="00362154">
        <w:rPr>
          <w:rFonts w:cs="Arial"/>
          <w:sz w:val="20"/>
          <w:lang w:val="en-CA"/>
        </w:rPr>
        <w:t xml:space="preserve">: </w:t>
      </w:r>
      <w:r w:rsidRPr="00644BA3">
        <w:rPr>
          <w:rFonts w:cs="Arial"/>
          <w:sz w:val="20"/>
          <w:lang w:val="en-CA"/>
        </w:rPr>
        <w:t xml:space="preserve">Euroquest Questionnaire Study », (2009) 30 </w:t>
      </w:r>
      <w:r w:rsidRPr="00644BA3">
        <w:rPr>
          <w:rFonts w:cs="Arial"/>
          <w:i/>
          <w:iCs/>
          <w:sz w:val="20"/>
          <w:lang w:val="en-CA"/>
        </w:rPr>
        <w:t xml:space="preserve">Neurotoxicology, </w:t>
      </w:r>
      <w:r w:rsidRPr="00644BA3">
        <w:rPr>
          <w:rFonts w:cs="Arial"/>
          <w:sz w:val="20"/>
          <w:lang w:val="en-CA"/>
        </w:rPr>
        <w:t>pp. 1187-1194.</w:t>
      </w:r>
    </w:p>
    <w:p w14:paraId="538BCEDE" w14:textId="77777777" w:rsidR="004B71B8" w:rsidRDefault="004B71B8" w:rsidP="001D73A6">
      <w:pPr>
        <w:pStyle w:val="Paragraphedeliste"/>
        <w:jc w:val="both"/>
        <w:rPr>
          <w:rFonts w:cs="Arial"/>
          <w:sz w:val="20"/>
          <w:lang w:val="en-CA"/>
        </w:rPr>
      </w:pPr>
    </w:p>
    <w:p w14:paraId="3630EF43" w14:textId="18A889A7" w:rsidR="004B71B8" w:rsidRDefault="004B71B8" w:rsidP="001D73A6">
      <w:pPr>
        <w:pStyle w:val="Paragraphedeliste"/>
        <w:numPr>
          <w:ilvl w:val="0"/>
          <w:numId w:val="12"/>
        </w:numPr>
        <w:jc w:val="both"/>
        <w:rPr>
          <w:rFonts w:eastAsia="Calibri" w:cs="Arial"/>
          <w:sz w:val="20"/>
          <w:lang w:val="en-CA"/>
        </w:rPr>
      </w:pPr>
      <w:r w:rsidRPr="00DD0822">
        <w:rPr>
          <w:rFonts w:eastAsia="Calibri" w:cs="Arial"/>
          <w:sz w:val="20"/>
          <w:lang w:val="en-CA"/>
        </w:rPr>
        <w:t xml:space="preserve">Abdul KHALADE </w:t>
      </w:r>
      <w:r w:rsidRPr="00DD0822">
        <w:rPr>
          <w:rFonts w:eastAsia="Calibri" w:cs="Arial"/>
          <w:i/>
          <w:iCs/>
          <w:sz w:val="20"/>
          <w:lang w:val="en-CA"/>
        </w:rPr>
        <w:t>et al.,</w:t>
      </w:r>
      <w:r w:rsidRPr="00DD0822">
        <w:rPr>
          <w:rFonts w:eastAsia="Calibri" w:cs="Arial"/>
          <w:sz w:val="20"/>
          <w:lang w:val="en-CA"/>
        </w:rPr>
        <w:t xml:space="preserve">« Exposure to Benzene at Work and the Risk of Leukemia : A Systematic Review and Meta-Analysis », (2010) 9 </w:t>
      </w:r>
      <w:r w:rsidRPr="00DD0822">
        <w:rPr>
          <w:rFonts w:eastAsia="Calibri" w:cs="Arial"/>
          <w:i/>
          <w:iCs/>
          <w:sz w:val="20"/>
          <w:lang w:val="en-CA"/>
        </w:rPr>
        <w:t xml:space="preserve">Environmental Health, </w:t>
      </w:r>
      <w:r w:rsidRPr="00DD0822">
        <w:rPr>
          <w:rFonts w:eastAsia="Calibri" w:cs="Arial"/>
          <w:sz w:val="20"/>
          <w:lang w:val="en-CA"/>
        </w:rPr>
        <w:t>8 p., [En ligne], &lt;</w:t>
      </w:r>
      <w:r w:rsidR="00F77D7A" w:rsidRPr="004942D5">
        <w:rPr>
          <w:rFonts w:eastAsia="Calibri" w:cs="Arial"/>
          <w:sz w:val="20"/>
          <w:lang w:val="en-CA"/>
        </w:rPr>
        <w:t>http://www.ehjournal.net/content/pdf/1476-069X-9-31.pdf</w:t>
      </w:r>
      <w:r w:rsidRPr="00DD0822">
        <w:rPr>
          <w:rFonts w:eastAsia="Calibri" w:cs="Arial"/>
          <w:sz w:val="20"/>
          <w:lang w:val="en-CA"/>
        </w:rPr>
        <w:t>&gt; (Date de consultation inconnue).</w:t>
      </w:r>
    </w:p>
    <w:p w14:paraId="0E3F6CB8" w14:textId="77777777" w:rsidR="00644BA3" w:rsidRDefault="00644BA3" w:rsidP="001D73A6">
      <w:pPr>
        <w:pStyle w:val="Paragraphedeliste"/>
        <w:jc w:val="both"/>
        <w:rPr>
          <w:rFonts w:eastAsia="Calibri" w:cs="Arial"/>
          <w:sz w:val="20"/>
          <w:lang w:val="en-CA"/>
        </w:rPr>
      </w:pPr>
    </w:p>
    <w:p w14:paraId="488D9FB7" w14:textId="67E4C81D" w:rsidR="00644BA3" w:rsidRDefault="00644BA3" w:rsidP="001D73A6">
      <w:pPr>
        <w:pStyle w:val="Paragraphedeliste"/>
        <w:numPr>
          <w:ilvl w:val="0"/>
          <w:numId w:val="12"/>
        </w:numPr>
        <w:jc w:val="both"/>
        <w:rPr>
          <w:rFonts w:cs="Arial"/>
          <w:sz w:val="20"/>
          <w:lang w:val="en-CA"/>
        </w:rPr>
      </w:pPr>
      <w:r w:rsidRPr="00644BA3">
        <w:rPr>
          <w:rFonts w:cs="Arial"/>
          <w:sz w:val="20"/>
          <w:lang w:val="en-CA"/>
        </w:rPr>
        <w:t xml:space="preserve">Steven H. LAMM </w:t>
      </w:r>
      <w:r w:rsidRPr="00644BA3">
        <w:rPr>
          <w:rFonts w:cs="Arial"/>
          <w:i/>
          <w:iCs/>
          <w:sz w:val="20"/>
          <w:lang w:val="en-CA"/>
        </w:rPr>
        <w:t xml:space="preserve">et al., </w:t>
      </w:r>
      <w:r w:rsidRPr="00644BA3">
        <w:rPr>
          <w:rFonts w:cs="Arial"/>
          <w:sz w:val="20"/>
          <w:lang w:val="en-CA"/>
        </w:rPr>
        <w:t xml:space="preserve">« Chronic Myelogenous Leukemia and Benzene </w:t>
      </w:r>
      <w:r w:rsidR="00362154" w:rsidRPr="00644BA3">
        <w:rPr>
          <w:rFonts w:cs="Arial"/>
          <w:sz w:val="20"/>
          <w:lang w:val="en-CA"/>
        </w:rPr>
        <w:t>Exposure:</w:t>
      </w:r>
      <w:r w:rsidRPr="00644BA3">
        <w:rPr>
          <w:rFonts w:cs="Arial"/>
          <w:sz w:val="20"/>
          <w:lang w:val="en-CA"/>
        </w:rPr>
        <w:t xml:space="preserve"> A Systematic Review and Meta-Analysis of the Case-Control Literature », (2009) 182 </w:t>
      </w:r>
      <w:r w:rsidRPr="00644BA3">
        <w:rPr>
          <w:rFonts w:cs="Arial"/>
          <w:i/>
          <w:iCs/>
          <w:sz w:val="20"/>
          <w:lang w:val="en-CA"/>
        </w:rPr>
        <w:t xml:space="preserve">Chemico-Biological Interactions, </w:t>
      </w:r>
      <w:r w:rsidRPr="00644BA3">
        <w:rPr>
          <w:rFonts w:cs="Arial"/>
          <w:sz w:val="20"/>
          <w:lang w:val="en-CA"/>
        </w:rPr>
        <w:t>pp. 93-97.</w:t>
      </w:r>
    </w:p>
    <w:p w14:paraId="0D6A761C" w14:textId="77777777" w:rsidR="00644BA3" w:rsidRDefault="00644BA3" w:rsidP="001D73A6">
      <w:pPr>
        <w:pStyle w:val="Paragraphedeliste"/>
        <w:jc w:val="both"/>
        <w:rPr>
          <w:rFonts w:cs="Arial"/>
          <w:sz w:val="20"/>
          <w:lang w:val="en-CA"/>
        </w:rPr>
      </w:pPr>
    </w:p>
    <w:p w14:paraId="61B863C3" w14:textId="59E2668E" w:rsidR="004B71B8" w:rsidRDefault="00644BA3" w:rsidP="001D73A6">
      <w:pPr>
        <w:pStyle w:val="Paragraphedeliste"/>
        <w:numPr>
          <w:ilvl w:val="0"/>
          <w:numId w:val="12"/>
        </w:numPr>
        <w:jc w:val="both"/>
        <w:rPr>
          <w:rFonts w:cs="Arial"/>
          <w:sz w:val="20"/>
          <w:lang w:val="en-CA"/>
        </w:rPr>
      </w:pPr>
      <w:r w:rsidRPr="00644BA3">
        <w:rPr>
          <w:rFonts w:cs="Arial"/>
          <w:sz w:val="20"/>
          <w:lang w:val="en-CA"/>
        </w:rPr>
        <w:t xml:space="preserve">Steven H. LAMM </w:t>
      </w:r>
      <w:r w:rsidRPr="00644BA3">
        <w:rPr>
          <w:rFonts w:cs="Arial"/>
          <w:i/>
          <w:iCs/>
          <w:sz w:val="20"/>
          <w:lang w:val="en-CA"/>
        </w:rPr>
        <w:t xml:space="preserve">et al., </w:t>
      </w:r>
      <w:r w:rsidRPr="00644BA3">
        <w:rPr>
          <w:rFonts w:cs="Arial"/>
          <w:sz w:val="20"/>
          <w:lang w:val="en-CA"/>
        </w:rPr>
        <w:t xml:space="preserve">« Consistencies and Inconsistencies Underlying the Quantitative Assessment of Leukemia Risk from Benzene Exposure », (1989) 82 </w:t>
      </w:r>
      <w:r w:rsidRPr="00644BA3">
        <w:rPr>
          <w:rFonts w:cs="Arial"/>
          <w:i/>
          <w:iCs/>
          <w:sz w:val="20"/>
          <w:lang w:val="en-CA"/>
        </w:rPr>
        <w:t>Environmental Health Perspectives,</w:t>
      </w:r>
      <w:r w:rsidR="00362154">
        <w:rPr>
          <w:rFonts w:cs="Arial"/>
          <w:i/>
          <w:iCs/>
          <w:sz w:val="20"/>
          <w:lang w:val="en-CA"/>
        </w:rPr>
        <w:t> </w:t>
      </w:r>
      <w:r w:rsidRPr="00644BA3">
        <w:rPr>
          <w:rFonts w:cs="Arial"/>
          <w:sz w:val="20"/>
          <w:lang w:val="en-CA"/>
        </w:rPr>
        <w:t>pp.</w:t>
      </w:r>
      <w:r w:rsidR="00362154">
        <w:rPr>
          <w:rFonts w:cs="Arial"/>
          <w:sz w:val="20"/>
          <w:lang w:val="en-CA"/>
        </w:rPr>
        <w:t> </w:t>
      </w:r>
      <w:r w:rsidRPr="00644BA3">
        <w:rPr>
          <w:rFonts w:cs="Arial"/>
          <w:sz w:val="20"/>
          <w:lang w:val="en-CA"/>
        </w:rPr>
        <w:t>289-297, [En ligne], &lt;</w:t>
      </w:r>
      <w:hyperlink r:id="rId9" w:history="1">
        <w:r w:rsidR="00F77D7A">
          <w:rPr>
            <w:rStyle w:val="Lienhypertexte"/>
            <w:rFonts w:cs="Arial"/>
            <w:sz w:val="20"/>
            <w:lang w:val="en-CA"/>
          </w:rPr>
          <w:t>https://pmc.ncbi.nlm.nih.gov/articles/PMC1568109/pdf/envhper00426-0276.pdf</w:t>
        </w:r>
      </w:hyperlink>
      <w:r w:rsidRPr="00644BA3">
        <w:rPr>
          <w:rFonts w:cs="Arial"/>
          <w:sz w:val="20"/>
          <w:lang w:val="en-CA"/>
        </w:rPr>
        <w:t>&gt; (Date de consultation inconnue).</w:t>
      </w:r>
    </w:p>
    <w:p w14:paraId="4641AE71" w14:textId="77777777" w:rsidR="00DB2B4D" w:rsidRPr="00DB2B4D" w:rsidRDefault="00DB2B4D" w:rsidP="00DB2B4D">
      <w:pPr>
        <w:pStyle w:val="Paragraphedeliste"/>
        <w:jc w:val="both"/>
        <w:rPr>
          <w:rFonts w:cs="Arial"/>
          <w:sz w:val="20"/>
          <w:lang w:val="en-CA"/>
        </w:rPr>
      </w:pPr>
    </w:p>
    <w:p w14:paraId="4FCC9962" w14:textId="147941FC" w:rsidR="004B71B8" w:rsidRDefault="004B71B8" w:rsidP="001D73A6">
      <w:pPr>
        <w:pStyle w:val="Paragraphedeliste"/>
        <w:numPr>
          <w:ilvl w:val="0"/>
          <w:numId w:val="12"/>
        </w:numPr>
        <w:jc w:val="both"/>
        <w:rPr>
          <w:rFonts w:cs="Arial"/>
          <w:sz w:val="20"/>
          <w:lang w:val="en-CA"/>
        </w:rPr>
      </w:pPr>
      <w:r w:rsidRPr="00826E04">
        <w:rPr>
          <w:rFonts w:cs="Arial"/>
          <w:sz w:val="20"/>
          <w:lang w:val="en-CA"/>
        </w:rPr>
        <w:t xml:space="preserve">Martha S. LINET </w:t>
      </w:r>
      <w:r w:rsidRPr="00826E04">
        <w:rPr>
          <w:rFonts w:cs="Arial"/>
          <w:i/>
          <w:iCs/>
          <w:sz w:val="20"/>
          <w:lang w:val="en-CA"/>
        </w:rPr>
        <w:t>et al.,</w:t>
      </w:r>
      <w:r w:rsidRPr="00826E04">
        <w:rPr>
          <w:rFonts w:cs="Arial"/>
          <w:sz w:val="20"/>
          <w:lang w:val="en-CA"/>
        </w:rPr>
        <w:t xml:space="preserve">« Benzene Exposure Response and Risk of Myeloid Neoplasms in Chinese Workers : A Multicenter Case–Cohort Study », (2019) 111 </w:t>
      </w:r>
      <w:r w:rsidRPr="00826E04">
        <w:rPr>
          <w:rFonts w:cs="Arial"/>
          <w:i/>
          <w:iCs/>
          <w:sz w:val="20"/>
          <w:lang w:val="en-CA"/>
        </w:rPr>
        <w:t>Journal of the National Cancer Institute,</w:t>
      </w:r>
      <w:r>
        <w:rPr>
          <w:rFonts w:cs="Arial"/>
          <w:i/>
          <w:iCs/>
          <w:sz w:val="20"/>
          <w:lang w:val="en-CA"/>
        </w:rPr>
        <w:t xml:space="preserve"> </w:t>
      </w:r>
      <w:r w:rsidRPr="00826E04">
        <w:rPr>
          <w:rFonts w:cs="Arial"/>
          <w:sz w:val="20"/>
          <w:lang w:val="en-CA"/>
        </w:rPr>
        <w:t>pp. 465-474, [En ligne], &lt;</w:t>
      </w:r>
      <w:r w:rsidR="00F77D7A" w:rsidRPr="004942D5">
        <w:rPr>
          <w:rFonts w:cs="Arial"/>
          <w:sz w:val="20"/>
          <w:lang w:val="en-CA"/>
        </w:rPr>
        <w:t>https://pmc.ncbi.nlm.nih.gov/articles/PMC6681472/pdf/djy143.pdf</w:t>
      </w:r>
      <w:r w:rsidRPr="00826E04">
        <w:rPr>
          <w:rFonts w:cs="Arial"/>
          <w:sz w:val="20"/>
          <w:lang w:val="en-CA"/>
        </w:rPr>
        <w:t>&gt; (Date de consultation inconnue).</w:t>
      </w:r>
    </w:p>
    <w:p w14:paraId="7C0C54E6" w14:textId="77777777" w:rsidR="004B71B8" w:rsidRPr="00826E04" w:rsidRDefault="004B71B8" w:rsidP="001D73A6">
      <w:pPr>
        <w:pStyle w:val="Paragraphedeliste"/>
        <w:jc w:val="both"/>
        <w:rPr>
          <w:rFonts w:cs="Arial"/>
          <w:sz w:val="20"/>
          <w:lang w:val="en-CA"/>
        </w:rPr>
      </w:pPr>
    </w:p>
    <w:p w14:paraId="72AA0AD8" w14:textId="60CE0927" w:rsidR="004B71B8" w:rsidRDefault="004B71B8" w:rsidP="001D73A6">
      <w:pPr>
        <w:pStyle w:val="Paragraphedeliste"/>
        <w:numPr>
          <w:ilvl w:val="0"/>
          <w:numId w:val="12"/>
        </w:numPr>
        <w:jc w:val="both"/>
        <w:rPr>
          <w:rFonts w:cs="Arial"/>
          <w:sz w:val="20"/>
          <w:lang w:val="en-CA"/>
        </w:rPr>
      </w:pPr>
      <w:bookmarkStart w:id="34" w:name="_Hlk195624581"/>
      <w:r w:rsidRPr="00EE5FA3">
        <w:rPr>
          <w:rFonts w:cs="Arial"/>
          <w:sz w:val="20"/>
          <w:lang w:val="en-CA"/>
        </w:rPr>
        <w:t xml:space="preserve">Trevor PECKHAM </w:t>
      </w:r>
      <w:r w:rsidRPr="00EE5FA3">
        <w:rPr>
          <w:rFonts w:cs="Arial"/>
          <w:i/>
          <w:iCs/>
          <w:sz w:val="20"/>
          <w:lang w:val="en-CA"/>
        </w:rPr>
        <w:t>et al.,</w:t>
      </w:r>
      <w:r>
        <w:rPr>
          <w:rFonts w:cs="Arial"/>
          <w:i/>
          <w:iCs/>
          <w:sz w:val="20"/>
          <w:lang w:val="en-CA"/>
        </w:rPr>
        <w:t xml:space="preserve"> </w:t>
      </w:r>
      <w:r w:rsidRPr="00EE5FA3">
        <w:rPr>
          <w:rFonts w:cs="Arial"/>
          <w:sz w:val="20"/>
          <w:lang w:val="en-CA"/>
        </w:rPr>
        <w:t xml:space="preserve">« Benzene-Contaminated Toluene and Acute Myeloid </w:t>
      </w:r>
      <w:r w:rsidR="00362154" w:rsidRPr="00EE5FA3">
        <w:rPr>
          <w:rFonts w:cs="Arial"/>
          <w:sz w:val="20"/>
          <w:lang w:val="en-CA"/>
        </w:rPr>
        <w:t>Leukemia:</w:t>
      </w:r>
      <w:r w:rsidRPr="00EE5FA3">
        <w:rPr>
          <w:rFonts w:cs="Arial"/>
          <w:sz w:val="20"/>
          <w:lang w:val="en-CA"/>
        </w:rPr>
        <w:t xml:space="preserve"> A Case Series and Review of Literature », (2014) 30 </w:t>
      </w:r>
      <w:r w:rsidRPr="00EE5FA3">
        <w:rPr>
          <w:rFonts w:cs="Arial"/>
          <w:i/>
          <w:iCs/>
          <w:sz w:val="20"/>
          <w:lang w:val="en-CA"/>
        </w:rPr>
        <w:t>Toxicology and Industrial Health,</w:t>
      </w:r>
      <w:r w:rsidR="00DB2B4D">
        <w:rPr>
          <w:rFonts w:cs="Arial"/>
          <w:i/>
          <w:iCs/>
          <w:sz w:val="20"/>
          <w:lang w:val="en-CA"/>
        </w:rPr>
        <w:t xml:space="preserve"> </w:t>
      </w:r>
      <w:r w:rsidRPr="00EE5FA3">
        <w:rPr>
          <w:rFonts w:cs="Arial"/>
          <w:sz w:val="20"/>
          <w:lang w:val="en-CA"/>
        </w:rPr>
        <w:t>pp. 73-81.</w:t>
      </w:r>
      <w:bookmarkEnd w:id="34"/>
    </w:p>
    <w:p w14:paraId="5DC5972A" w14:textId="77777777" w:rsidR="004B71B8" w:rsidRPr="00EE5FA3" w:rsidRDefault="004B71B8" w:rsidP="001D73A6">
      <w:pPr>
        <w:pStyle w:val="Paragraphedeliste"/>
        <w:jc w:val="both"/>
        <w:rPr>
          <w:rFonts w:cs="Arial"/>
          <w:sz w:val="20"/>
          <w:lang w:val="en-CA"/>
        </w:rPr>
      </w:pPr>
    </w:p>
    <w:p w14:paraId="1B185B0D" w14:textId="1EE55338" w:rsidR="00644BA3" w:rsidRDefault="004B71B8" w:rsidP="001D73A6">
      <w:pPr>
        <w:pStyle w:val="Paragraphedeliste"/>
        <w:numPr>
          <w:ilvl w:val="0"/>
          <w:numId w:val="12"/>
        </w:numPr>
        <w:jc w:val="both"/>
        <w:rPr>
          <w:rFonts w:cs="Arial"/>
          <w:sz w:val="20"/>
          <w:lang w:val="en-CA"/>
        </w:rPr>
      </w:pPr>
      <w:bookmarkStart w:id="35" w:name="_Hlk195090886"/>
      <w:r w:rsidRPr="00A84628">
        <w:rPr>
          <w:rFonts w:cs="Arial"/>
          <w:sz w:val="20"/>
          <w:lang w:val="en-CA"/>
        </w:rPr>
        <w:t xml:space="preserve">Mariana Miranda SAMPAIO </w:t>
      </w:r>
      <w:r w:rsidRPr="00A84628">
        <w:rPr>
          <w:rFonts w:cs="Arial"/>
          <w:i/>
          <w:iCs/>
          <w:sz w:val="20"/>
          <w:lang w:val="en-CA"/>
        </w:rPr>
        <w:t>et al.,</w:t>
      </w:r>
      <w:r w:rsidRPr="00A84628">
        <w:rPr>
          <w:rFonts w:cs="Arial"/>
          <w:sz w:val="20"/>
          <w:lang w:val="en-CA"/>
        </w:rPr>
        <w:t xml:space="preserve">« Chronic myeloid Leukemia-From the Philadelphia Chromosome to Specific Target Drugs : A Literature Review », (2021) 12 </w:t>
      </w:r>
      <w:r w:rsidRPr="00A84628">
        <w:rPr>
          <w:rFonts w:cs="Arial"/>
          <w:i/>
          <w:iCs/>
          <w:sz w:val="20"/>
          <w:lang w:val="en-CA"/>
        </w:rPr>
        <w:t>World Journal of Clinical Oncology,</w:t>
      </w:r>
      <w:r w:rsidR="007E323F">
        <w:rPr>
          <w:rFonts w:cs="Arial"/>
          <w:i/>
          <w:iCs/>
          <w:sz w:val="20"/>
          <w:lang w:val="en-CA"/>
        </w:rPr>
        <w:t xml:space="preserve"> </w:t>
      </w:r>
      <w:r w:rsidRPr="00A84628">
        <w:rPr>
          <w:rFonts w:cs="Arial"/>
          <w:sz w:val="20"/>
          <w:lang w:val="en-CA"/>
        </w:rPr>
        <w:t>pp. 69-94, [En ligne], &lt;</w:t>
      </w:r>
      <w:hyperlink r:id="rId10" w:history="1">
        <w:r w:rsidR="00F77D7A">
          <w:rPr>
            <w:rStyle w:val="Lienhypertexte"/>
            <w:rFonts w:cs="Arial"/>
            <w:sz w:val="20"/>
            <w:lang w:val="en-CA"/>
          </w:rPr>
          <w:t>https://pmc.ncbi.nlm.nih.gov/articles/PMC7918527/pdf/WJCO-12-69.pdf</w:t>
        </w:r>
      </w:hyperlink>
      <w:r w:rsidRPr="00A84628">
        <w:rPr>
          <w:rFonts w:cs="Arial"/>
          <w:sz w:val="20"/>
          <w:lang w:val="en-CA"/>
        </w:rPr>
        <w:t>&gt; (Date de consultation inconnue).</w:t>
      </w:r>
    </w:p>
    <w:bookmarkEnd w:id="35"/>
    <w:p w14:paraId="240ECA07" w14:textId="77777777" w:rsidR="00217890" w:rsidRPr="00217890" w:rsidRDefault="00217890" w:rsidP="001D73A6">
      <w:pPr>
        <w:pStyle w:val="Paragraphedeliste"/>
        <w:jc w:val="both"/>
        <w:rPr>
          <w:rFonts w:cs="Arial"/>
          <w:sz w:val="20"/>
          <w:lang w:val="en-CA"/>
        </w:rPr>
      </w:pPr>
    </w:p>
    <w:p w14:paraId="153798AD" w14:textId="11019E92" w:rsidR="00644BA3" w:rsidRDefault="00644BA3" w:rsidP="001D73A6">
      <w:pPr>
        <w:pStyle w:val="Paragraphedeliste"/>
        <w:numPr>
          <w:ilvl w:val="0"/>
          <w:numId w:val="12"/>
        </w:numPr>
        <w:jc w:val="both"/>
        <w:rPr>
          <w:rFonts w:cs="Arial"/>
          <w:sz w:val="20"/>
          <w:lang w:val="en-CA"/>
        </w:rPr>
      </w:pPr>
      <w:r w:rsidRPr="00644BA3">
        <w:rPr>
          <w:rFonts w:cs="Arial"/>
          <w:sz w:val="20"/>
          <w:lang w:val="en-CA"/>
        </w:rPr>
        <w:t xml:space="preserve">A. Robert SCHNATTER </w:t>
      </w:r>
      <w:r w:rsidRPr="00644BA3">
        <w:rPr>
          <w:rFonts w:cs="Arial"/>
          <w:i/>
          <w:iCs/>
          <w:sz w:val="20"/>
          <w:lang w:val="en-CA"/>
        </w:rPr>
        <w:t xml:space="preserve">et al., </w:t>
      </w:r>
      <w:r w:rsidRPr="00644BA3">
        <w:rPr>
          <w:rFonts w:cs="Arial"/>
          <w:sz w:val="20"/>
          <w:lang w:val="en-CA"/>
        </w:rPr>
        <w:t xml:space="preserve">« Myelodysplastic Syndrome and Benzene Exposure Among Petroleum Workers : An International Pooled Analysis », (2012) 104 </w:t>
      </w:r>
      <w:r w:rsidRPr="00644BA3">
        <w:rPr>
          <w:rFonts w:cs="Arial"/>
          <w:i/>
          <w:iCs/>
          <w:sz w:val="20"/>
          <w:lang w:val="en-CA"/>
        </w:rPr>
        <w:t xml:space="preserve">Journal of the National Cancer Institute, </w:t>
      </w:r>
      <w:r w:rsidRPr="00644BA3">
        <w:rPr>
          <w:rFonts w:cs="Arial"/>
          <w:sz w:val="20"/>
          <w:lang w:val="en-CA"/>
        </w:rPr>
        <w:t>pp. 1724-1737, [En ligne], &lt;</w:t>
      </w:r>
      <w:r w:rsidR="00F77D7A" w:rsidRPr="004942D5">
        <w:rPr>
          <w:rFonts w:cs="Arial"/>
          <w:sz w:val="20"/>
          <w:lang w:val="en-CA"/>
        </w:rPr>
        <w:t>https://pmc.ncbi.nlm.nih.gov/articles/PMC3502195/pdf/djs411.pdf</w:t>
      </w:r>
      <w:r w:rsidRPr="00644BA3">
        <w:rPr>
          <w:rFonts w:cs="Arial"/>
          <w:sz w:val="20"/>
          <w:lang w:val="en-CA"/>
        </w:rPr>
        <w:t>&gt; (Date de consultation inconnue).</w:t>
      </w:r>
    </w:p>
    <w:p w14:paraId="29364D2C" w14:textId="77777777" w:rsidR="00217890" w:rsidRPr="00644BA3" w:rsidRDefault="00217890" w:rsidP="001D73A6">
      <w:pPr>
        <w:pStyle w:val="Paragraphedeliste"/>
        <w:jc w:val="both"/>
        <w:rPr>
          <w:rFonts w:cs="Arial"/>
          <w:sz w:val="20"/>
          <w:lang w:val="en-CA"/>
        </w:rPr>
      </w:pPr>
    </w:p>
    <w:p w14:paraId="7501034C" w14:textId="22B1C405" w:rsidR="00644BA3" w:rsidRPr="00217890" w:rsidRDefault="00217890" w:rsidP="001D73A6">
      <w:pPr>
        <w:pStyle w:val="Paragraphedeliste"/>
        <w:numPr>
          <w:ilvl w:val="0"/>
          <w:numId w:val="12"/>
        </w:numPr>
        <w:jc w:val="both"/>
        <w:rPr>
          <w:rFonts w:cs="Arial"/>
          <w:sz w:val="20"/>
          <w:lang w:val="en-CA"/>
        </w:rPr>
      </w:pPr>
      <w:r w:rsidRPr="00217890">
        <w:rPr>
          <w:rFonts w:cs="Arial"/>
          <w:sz w:val="20"/>
          <w:lang w:val="en-CA"/>
        </w:rPr>
        <w:t xml:space="preserve">A. Robert SCHNATTER, Kim ROSAMILIA et Nancy C. WOJCIK, « Review of the Literature on Benzene Exposure and Leukemia Subtypes », (2005) 153-154, </w:t>
      </w:r>
      <w:r w:rsidRPr="00217890">
        <w:rPr>
          <w:rFonts w:cs="Arial"/>
          <w:i/>
          <w:iCs/>
          <w:sz w:val="20"/>
          <w:lang w:val="en-CA"/>
        </w:rPr>
        <w:t xml:space="preserve">Chemico-Biological Interactions, </w:t>
      </w:r>
      <w:r w:rsidRPr="00217890">
        <w:rPr>
          <w:rFonts w:cs="Arial"/>
          <w:sz w:val="20"/>
          <w:lang w:val="en-CA"/>
        </w:rPr>
        <w:t>pp. 9-21.</w:t>
      </w:r>
    </w:p>
    <w:p w14:paraId="7246EF12" w14:textId="77777777" w:rsidR="004B71B8" w:rsidRPr="00A84628" w:rsidRDefault="004B71B8" w:rsidP="001D73A6">
      <w:pPr>
        <w:pStyle w:val="Paragraphedeliste"/>
        <w:jc w:val="both"/>
        <w:rPr>
          <w:rFonts w:cs="Arial"/>
          <w:sz w:val="20"/>
          <w:lang w:val="en-CA"/>
        </w:rPr>
      </w:pPr>
    </w:p>
    <w:p w14:paraId="2B14E51D" w14:textId="4D3EE633" w:rsidR="004B71B8" w:rsidRDefault="004B71B8" w:rsidP="001D73A6">
      <w:pPr>
        <w:pStyle w:val="Paragraphedeliste"/>
        <w:numPr>
          <w:ilvl w:val="0"/>
          <w:numId w:val="12"/>
        </w:numPr>
        <w:jc w:val="both"/>
        <w:rPr>
          <w:rFonts w:cs="Arial"/>
          <w:sz w:val="20"/>
          <w:lang w:val="en-CA"/>
        </w:rPr>
      </w:pPr>
      <w:r w:rsidRPr="004B71B8">
        <w:rPr>
          <w:rFonts w:cs="Arial"/>
          <w:sz w:val="20"/>
          <w:lang w:val="en-CA"/>
        </w:rPr>
        <w:t xml:space="preserve">Martyn T. SMITH </w:t>
      </w:r>
      <w:r w:rsidRPr="004B71B8">
        <w:rPr>
          <w:rFonts w:cs="Arial"/>
          <w:i/>
          <w:iCs/>
          <w:sz w:val="20"/>
          <w:lang w:val="en-CA"/>
        </w:rPr>
        <w:t xml:space="preserve">et al., </w:t>
      </w:r>
      <w:r w:rsidRPr="004B71B8">
        <w:rPr>
          <w:rFonts w:cs="Arial"/>
          <w:sz w:val="20"/>
          <w:lang w:val="en-CA"/>
        </w:rPr>
        <w:t>« Benzene, the Exposome and Future Investigations of Leukemia Etiology</w:t>
      </w:r>
      <w:r w:rsidR="00805F97">
        <w:rPr>
          <w:rFonts w:cs="Arial"/>
          <w:sz w:val="20"/>
          <w:lang w:val="en-CA"/>
        </w:rPr>
        <w:t> </w:t>
      </w:r>
      <w:r w:rsidRPr="004B71B8">
        <w:rPr>
          <w:rFonts w:cs="Arial"/>
          <w:sz w:val="20"/>
          <w:lang w:val="en-CA"/>
        </w:rPr>
        <w:t xml:space="preserve">», (2011) 192 </w:t>
      </w:r>
      <w:r w:rsidRPr="004B71B8">
        <w:rPr>
          <w:rFonts w:cs="Arial"/>
          <w:i/>
          <w:iCs/>
          <w:sz w:val="20"/>
          <w:lang w:val="en-CA"/>
        </w:rPr>
        <w:t xml:space="preserve">Chemico-Biological Interactions, </w:t>
      </w:r>
      <w:r w:rsidRPr="004B71B8">
        <w:rPr>
          <w:rFonts w:cs="Arial"/>
          <w:sz w:val="20"/>
          <w:lang w:val="en-CA"/>
        </w:rPr>
        <w:t>pp. 155-159, [En ligne], &lt;</w:t>
      </w:r>
      <w:hyperlink r:id="rId11" w:history="1">
        <w:r w:rsidR="00F77D7A">
          <w:rPr>
            <w:rStyle w:val="Lienhypertexte"/>
            <w:rFonts w:cs="Arial"/>
            <w:sz w:val="20"/>
            <w:lang w:val="en-CA"/>
          </w:rPr>
          <w:t>https://pmc.ncbi.nlm.nih.gov/articles/PMC3461963/pdf/nihms283556.pdf</w:t>
        </w:r>
      </w:hyperlink>
      <w:r w:rsidRPr="004B71B8">
        <w:rPr>
          <w:rFonts w:cs="Arial"/>
          <w:sz w:val="20"/>
          <w:lang w:val="en-CA"/>
        </w:rPr>
        <w:t>&gt; (Date de consultation inconnue).</w:t>
      </w:r>
    </w:p>
    <w:p w14:paraId="01042BD9" w14:textId="77777777" w:rsidR="00217890" w:rsidRDefault="00217890" w:rsidP="001D73A6">
      <w:pPr>
        <w:pStyle w:val="Paragraphedeliste"/>
        <w:jc w:val="both"/>
        <w:rPr>
          <w:rFonts w:cs="Arial"/>
          <w:sz w:val="20"/>
          <w:lang w:val="en-CA"/>
        </w:rPr>
      </w:pPr>
    </w:p>
    <w:p w14:paraId="6C89D9CC" w14:textId="07FABB77" w:rsidR="00217890" w:rsidRDefault="00217890" w:rsidP="001D73A6">
      <w:pPr>
        <w:pStyle w:val="Paragraphedeliste"/>
        <w:numPr>
          <w:ilvl w:val="0"/>
          <w:numId w:val="12"/>
        </w:numPr>
        <w:jc w:val="both"/>
        <w:rPr>
          <w:rFonts w:cs="Arial"/>
          <w:sz w:val="20"/>
          <w:lang w:val="en-CA"/>
        </w:rPr>
      </w:pPr>
      <w:r w:rsidRPr="00217890">
        <w:rPr>
          <w:rFonts w:cs="Arial"/>
          <w:sz w:val="20"/>
          <w:lang w:val="en-CA"/>
        </w:rPr>
        <w:t xml:space="preserve">Simona SOVERINI, Renato BASSAN et Thomas LION, « Treatment and Monitoring of Philadelphia Chromosome-Positive Leukemia Patients: Recent Advances and Remaining Challenges », (2019) 12 </w:t>
      </w:r>
      <w:r w:rsidRPr="00217890">
        <w:rPr>
          <w:rFonts w:cs="Arial"/>
          <w:i/>
          <w:iCs/>
          <w:sz w:val="20"/>
          <w:lang w:val="en-CA"/>
        </w:rPr>
        <w:t>Journal of Hematology &amp; Oncology,</w:t>
      </w:r>
      <w:r w:rsidR="00DB2B4D">
        <w:rPr>
          <w:rFonts w:cs="Arial"/>
          <w:i/>
          <w:iCs/>
          <w:sz w:val="20"/>
          <w:lang w:val="en-CA"/>
        </w:rPr>
        <w:t xml:space="preserve"> </w:t>
      </w:r>
      <w:r w:rsidRPr="00217890">
        <w:rPr>
          <w:rFonts w:cs="Arial"/>
          <w:sz w:val="20"/>
          <w:lang w:val="en-CA"/>
        </w:rPr>
        <w:t>pp. 1-14, [En ligne], &lt;</w:t>
      </w:r>
      <w:r w:rsidR="00F77D7A" w:rsidRPr="004942D5">
        <w:rPr>
          <w:rFonts w:cs="Arial"/>
          <w:sz w:val="20"/>
          <w:lang w:val="en-CA"/>
        </w:rPr>
        <w:t>https://pubmed.ncbi.nlm.nih.gov/31014376/</w:t>
      </w:r>
      <w:r w:rsidRPr="00217890">
        <w:rPr>
          <w:rFonts w:cs="Arial"/>
          <w:sz w:val="20"/>
          <w:lang w:val="en-CA"/>
        </w:rPr>
        <w:t>&gt; (Date de consultation inconnue).</w:t>
      </w:r>
    </w:p>
    <w:p w14:paraId="1031DC78" w14:textId="77777777" w:rsidR="007A2DB4" w:rsidRDefault="007A2DB4" w:rsidP="001D73A6">
      <w:pPr>
        <w:pStyle w:val="Paragraphedeliste"/>
        <w:jc w:val="both"/>
        <w:rPr>
          <w:rFonts w:cs="Arial"/>
          <w:sz w:val="20"/>
          <w:lang w:val="en-CA"/>
        </w:rPr>
      </w:pPr>
    </w:p>
    <w:p w14:paraId="59FEAB2B" w14:textId="77777777" w:rsidR="007A2DB4" w:rsidRPr="000E7E6E" w:rsidRDefault="007A2DB4" w:rsidP="001D73A6">
      <w:pPr>
        <w:pStyle w:val="Paragraphedeliste"/>
        <w:numPr>
          <w:ilvl w:val="0"/>
          <w:numId w:val="12"/>
        </w:numPr>
        <w:jc w:val="both"/>
        <w:rPr>
          <w:rFonts w:cs="Arial"/>
          <w:sz w:val="20"/>
          <w:lang w:val="en-CA"/>
        </w:rPr>
      </w:pPr>
      <w:r w:rsidRPr="000E7E6E">
        <w:rPr>
          <w:rFonts w:cs="Arial"/>
          <w:sz w:val="20"/>
          <w:lang w:val="en-CA"/>
        </w:rPr>
        <w:t xml:space="preserve">John B. SULLIVAN Jr et Gary R. KRIEGER, </w:t>
      </w:r>
      <w:r w:rsidRPr="000E7E6E">
        <w:rPr>
          <w:rFonts w:cs="Arial"/>
          <w:i/>
          <w:iCs/>
          <w:sz w:val="20"/>
          <w:lang w:val="en-CA"/>
        </w:rPr>
        <w:t xml:space="preserve">Clinical Environmental Health and Toxic Exposures, </w:t>
      </w:r>
      <w:r w:rsidRPr="000E7E6E">
        <w:rPr>
          <w:rFonts w:cs="Arial"/>
          <w:sz w:val="20"/>
          <w:lang w:val="en-CA"/>
        </w:rPr>
        <w:t>2</w:t>
      </w:r>
      <w:r w:rsidRPr="000E7E6E">
        <w:rPr>
          <w:rFonts w:cs="Arial"/>
          <w:sz w:val="20"/>
          <w:vertAlign w:val="superscript"/>
          <w:lang w:val="en-CA"/>
        </w:rPr>
        <w:t>e</w:t>
      </w:r>
      <w:r w:rsidRPr="000E7E6E">
        <w:rPr>
          <w:rFonts w:cs="Arial"/>
          <w:sz w:val="20"/>
          <w:lang w:val="en-CA"/>
        </w:rPr>
        <w:t xml:space="preserve"> éd., Philadelphie, Lippincott Williams &amp; Wilkins, 2001.</w:t>
      </w:r>
    </w:p>
    <w:p w14:paraId="09CA90C8" w14:textId="77777777" w:rsidR="00217890" w:rsidRPr="007A2DB4" w:rsidRDefault="00217890" w:rsidP="001D73A6">
      <w:pPr>
        <w:pStyle w:val="Paragraphedeliste"/>
        <w:jc w:val="both"/>
        <w:rPr>
          <w:rFonts w:cs="Arial"/>
          <w:sz w:val="20"/>
          <w:lang w:val="en-CA"/>
        </w:rPr>
      </w:pPr>
    </w:p>
    <w:p w14:paraId="053A15EE" w14:textId="1258EBCA" w:rsidR="00217890" w:rsidRDefault="00217890" w:rsidP="001D73A6">
      <w:pPr>
        <w:pStyle w:val="Paragraphedeliste"/>
        <w:numPr>
          <w:ilvl w:val="0"/>
          <w:numId w:val="12"/>
        </w:numPr>
        <w:jc w:val="both"/>
        <w:rPr>
          <w:rFonts w:cs="Arial"/>
          <w:sz w:val="20"/>
          <w:lang w:val="en-CA"/>
        </w:rPr>
      </w:pPr>
      <w:r w:rsidRPr="00217890">
        <w:rPr>
          <w:rFonts w:cs="Arial"/>
          <w:sz w:val="20"/>
          <w:lang w:val="en-CA"/>
        </w:rPr>
        <w:t xml:space="preserve">Evelien VAN VALEN </w:t>
      </w:r>
      <w:r w:rsidRPr="00217890">
        <w:rPr>
          <w:rFonts w:cs="Arial"/>
          <w:i/>
          <w:iCs/>
          <w:sz w:val="20"/>
          <w:lang w:val="en-CA"/>
        </w:rPr>
        <w:t xml:space="preserve">et al., </w:t>
      </w:r>
      <w:r w:rsidRPr="00217890">
        <w:rPr>
          <w:rFonts w:cs="Arial"/>
          <w:sz w:val="20"/>
          <w:lang w:val="en-CA"/>
        </w:rPr>
        <w:t xml:space="preserve">« Chronic Solvent-Induced </w:t>
      </w:r>
      <w:r w:rsidR="00362154" w:rsidRPr="00217890">
        <w:rPr>
          <w:rFonts w:cs="Arial"/>
          <w:sz w:val="20"/>
          <w:lang w:val="en-CA"/>
        </w:rPr>
        <w:t>Encephalopathy:</w:t>
      </w:r>
      <w:r w:rsidRPr="00217890">
        <w:rPr>
          <w:rFonts w:cs="Arial"/>
          <w:sz w:val="20"/>
          <w:lang w:val="en-CA"/>
        </w:rPr>
        <w:t xml:space="preserve"> European Consensus of Neuropsychological Characteristics, Assessment, and Guidelines for Diagnostics », (2012) 33</w:t>
      </w:r>
      <w:r w:rsidR="00483C81">
        <w:rPr>
          <w:rFonts w:cs="Arial"/>
          <w:sz w:val="20"/>
          <w:lang w:val="en-CA"/>
        </w:rPr>
        <w:t> </w:t>
      </w:r>
      <w:r w:rsidRPr="00217890">
        <w:rPr>
          <w:rFonts w:cs="Arial"/>
          <w:i/>
          <w:iCs/>
          <w:sz w:val="20"/>
          <w:lang w:val="en-CA"/>
        </w:rPr>
        <w:t xml:space="preserve">NeuroToxicology, </w:t>
      </w:r>
      <w:r w:rsidRPr="00217890">
        <w:rPr>
          <w:rFonts w:cs="Arial"/>
          <w:sz w:val="20"/>
          <w:lang w:val="en-CA"/>
        </w:rPr>
        <w:t>pp. 710-716.</w:t>
      </w:r>
    </w:p>
    <w:p w14:paraId="42DE2579" w14:textId="77777777" w:rsidR="00217890" w:rsidRPr="00217890" w:rsidRDefault="00217890" w:rsidP="001D73A6">
      <w:pPr>
        <w:pStyle w:val="Paragraphedeliste"/>
        <w:jc w:val="both"/>
        <w:rPr>
          <w:rFonts w:cs="Arial"/>
          <w:sz w:val="20"/>
          <w:lang w:val="en-CA"/>
        </w:rPr>
      </w:pPr>
    </w:p>
    <w:p w14:paraId="39690B15" w14:textId="64E442D3" w:rsidR="00217890" w:rsidRDefault="00217890" w:rsidP="001D73A6">
      <w:pPr>
        <w:pStyle w:val="Paragraphedeliste"/>
        <w:numPr>
          <w:ilvl w:val="0"/>
          <w:numId w:val="12"/>
        </w:numPr>
        <w:jc w:val="both"/>
        <w:rPr>
          <w:rFonts w:cs="Arial"/>
          <w:sz w:val="20"/>
          <w:lang w:val="en-CA"/>
        </w:rPr>
      </w:pPr>
      <w:r w:rsidRPr="006B291F">
        <w:rPr>
          <w:rFonts w:cs="Arial"/>
          <w:sz w:val="20"/>
          <w:lang w:val="en-CA"/>
        </w:rPr>
        <w:t xml:space="preserve">Jeff VLAANDEREN </w:t>
      </w:r>
      <w:r w:rsidRPr="006B291F">
        <w:rPr>
          <w:rFonts w:cs="Arial"/>
          <w:i/>
          <w:iCs/>
          <w:sz w:val="20"/>
          <w:lang w:val="en-CA"/>
        </w:rPr>
        <w:t>et al.,</w:t>
      </w:r>
      <w:r>
        <w:rPr>
          <w:rFonts w:cs="Arial"/>
          <w:i/>
          <w:iCs/>
          <w:sz w:val="20"/>
          <w:lang w:val="en-CA"/>
        </w:rPr>
        <w:t xml:space="preserve"> </w:t>
      </w:r>
      <w:r w:rsidRPr="006B291F">
        <w:rPr>
          <w:rFonts w:cs="Arial"/>
          <w:sz w:val="20"/>
          <w:lang w:val="en-CA"/>
        </w:rPr>
        <w:t>« Occupational Benzene Exposure and the Risk of Chronic Myeloid Leukemia</w:t>
      </w:r>
      <w:r w:rsidR="00483C81">
        <w:rPr>
          <w:rFonts w:cs="Arial"/>
          <w:sz w:val="20"/>
          <w:lang w:val="en-CA"/>
        </w:rPr>
        <w:t xml:space="preserve"> </w:t>
      </w:r>
      <w:r w:rsidRPr="006B291F">
        <w:rPr>
          <w:rFonts w:cs="Arial"/>
          <w:sz w:val="20"/>
          <w:lang w:val="en-CA"/>
        </w:rPr>
        <w:t xml:space="preserve">: a Meta-Analysis of Cohort Studies Incorporating Study Quality Dimensions », (2012) 55 </w:t>
      </w:r>
      <w:r w:rsidRPr="006B291F">
        <w:rPr>
          <w:rFonts w:cs="Arial"/>
          <w:i/>
          <w:iCs/>
          <w:sz w:val="20"/>
          <w:lang w:val="en-CA"/>
        </w:rPr>
        <w:t>American Journal of Industrial Medicine,</w:t>
      </w:r>
      <w:r>
        <w:rPr>
          <w:rFonts w:cs="Arial"/>
          <w:i/>
          <w:iCs/>
          <w:sz w:val="20"/>
          <w:lang w:val="en-CA"/>
        </w:rPr>
        <w:t xml:space="preserve"> </w:t>
      </w:r>
      <w:r w:rsidRPr="006B291F">
        <w:rPr>
          <w:rFonts w:cs="Arial"/>
          <w:sz w:val="20"/>
          <w:lang w:val="en-CA"/>
        </w:rPr>
        <w:t>pp. 779-785</w:t>
      </w:r>
      <w:r w:rsidR="00805F97">
        <w:rPr>
          <w:rFonts w:cs="Arial"/>
          <w:sz w:val="20"/>
          <w:lang w:val="en-CA"/>
        </w:rPr>
        <w:t>.</w:t>
      </w:r>
    </w:p>
    <w:p w14:paraId="5D1E332E" w14:textId="77777777" w:rsidR="00805F97" w:rsidRPr="00805F97" w:rsidRDefault="00805F97" w:rsidP="00805F97">
      <w:pPr>
        <w:pStyle w:val="Paragraphedeliste"/>
        <w:jc w:val="both"/>
        <w:rPr>
          <w:rFonts w:cs="Arial"/>
          <w:sz w:val="20"/>
          <w:lang w:val="en-CA"/>
        </w:rPr>
      </w:pPr>
    </w:p>
    <w:p w14:paraId="5A9BBA5D" w14:textId="2E614E74" w:rsidR="00AE35FC" w:rsidRPr="00DB2B4D" w:rsidRDefault="00217890" w:rsidP="00040663">
      <w:pPr>
        <w:pStyle w:val="Paragraphedeliste"/>
        <w:numPr>
          <w:ilvl w:val="0"/>
          <w:numId w:val="12"/>
        </w:numPr>
        <w:spacing w:after="400"/>
        <w:contextualSpacing w:val="0"/>
        <w:jc w:val="both"/>
        <w:rPr>
          <w:rFonts w:cs="Arial"/>
          <w:sz w:val="20"/>
          <w:lang w:val="en-CA"/>
        </w:rPr>
      </w:pPr>
      <w:r w:rsidRPr="00217890">
        <w:rPr>
          <w:rFonts w:cs="Arial"/>
          <w:sz w:val="20"/>
          <w:lang w:val="en-CA"/>
        </w:rPr>
        <w:t xml:space="preserve">Ann WILLIAMSON, « Using Self-Report Measures in Neurobehavioural </w:t>
      </w:r>
      <w:r w:rsidR="00362154" w:rsidRPr="00217890">
        <w:rPr>
          <w:rFonts w:cs="Arial"/>
          <w:sz w:val="20"/>
          <w:lang w:val="en-CA"/>
        </w:rPr>
        <w:t>Toxicology</w:t>
      </w:r>
      <w:r w:rsidR="00483C81">
        <w:rPr>
          <w:rFonts w:cs="Arial"/>
          <w:sz w:val="20"/>
          <w:lang w:val="en-CA"/>
        </w:rPr>
        <w:t xml:space="preserve"> </w:t>
      </w:r>
      <w:r w:rsidR="00362154" w:rsidRPr="00217890">
        <w:rPr>
          <w:rFonts w:cs="Arial"/>
          <w:sz w:val="20"/>
          <w:lang w:val="en-CA"/>
        </w:rPr>
        <w:t>:</w:t>
      </w:r>
      <w:r w:rsidRPr="00217890">
        <w:rPr>
          <w:rFonts w:cs="Arial"/>
          <w:sz w:val="20"/>
          <w:lang w:val="en-CA"/>
        </w:rPr>
        <w:t xml:space="preserve"> Can They Be Trusted? », (2007) 28 </w:t>
      </w:r>
      <w:r w:rsidRPr="00217890">
        <w:rPr>
          <w:rFonts w:cs="Arial"/>
          <w:i/>
          <w:iCs/>
          <w:sz w:val="20"/>
          <w:lang w:val="en-CA"/>
        </w:rPr>
        <w:t xml:space="preserve">NeuroToxicology, </w:t>
      </w:r>
      <w:r w:rsidRPr="00217890">
        <w:rPr>
          <w:rFonts w:cs="Arial"/>
          <w:sz w:val="20"/>
          <w:lang w:val="en-CA"/>
        </w:rPr>
        <w:t>pp.</w:t>
      </w:r>
      <w:r w:rsidR="00040663">
        <w:rPr>
          <w:rFonts w:cs="Arial"/>
          <w:sz w:val="20"/>
          <w:lang w:val="en-CA"/>
        </w:rPr>
        <w:t xml:space="preserve"> </w:t>
      </w:r>
      <w:r w:rsidRPr="00217890">
        <w:rPr>
          <w:rFonts w:cs="Arial"/>
          <w:sz w:val="20"/>
          <w:lang w:val="en-CA"/>
        </w:rPr>
        <w:t>227-234.</w:t>
      </w:r>
    </w:p>
    <w:p w14:paraId="005B3324" w14:textId="48C06576" w:rsidR="004B71B8" w:rsidRPr="00DB2B4D" w:rsidRDefault="00AE35FC" w:rsidP="00040663">
      <w:pPr>
        <w:pStyle w:val="Titre3"/>
        <w:spacing w:after="400"/>
        <w:jc w:val="both"/>
      </w:pPr>
      <w:r w:rsidRPr="00AE35FC">
        <w:t xml:space="preserve">Liste de la littérature </w:t>
      </w:r>
      <w:r w:rsidR="007F6BD6">
        <w:t>du travailleur</w:t>
      </w:r>
    </w:p>
    <w:p w14:paraId="788C631A" w14:textId="4E95589B" w:rsidR="009E2566" w:rsidRDefault="009E2566" w:rsidP="001D73A6">
      <w:pPr>
        <w:pStyle w:val="Paragraphedeliste"/>
        <w:numPr>
          <w:ilvl w:val="0"/>
          <w:numId w:val="15"/>
        </w:numPr>
        <w:jc w:val="both"/>
        <w:rPr>
          <w:rFonts w:eastAsia="Calibri" w:cs="Arial"/>
          <w:sz w:val="20"/>
        </w:rPr>
      </w:pPr>
      <w:r w:rsidRPr="007F6BD6">
        <w:rPr>
          <w:rFonts w:eastAsia="Calibri" w:cs="Arial"/>
          <w:sz w:val="20"/>
        </w:rPr>
        <w:t xml:space="preserve">COMMISSION DES NORMES, DE L'ÉQUITÉ, DE LA SANTÉ ET DE LA SÉCURITÉ DU TRAVAIL, SERVICE DU RÉPERTOIRE TOXICOLOGIQUE, </w:t>
      </w:r>
      <w:r w:rsidRPr="007F6BD6">
        <w:rPr>
          <w:rFonts w:eastAsia="Calibri" w:cs="Arial"/>
          <w:i/>
          <w:iCs/>
          <w:sz w:val="20"/>
        </w:rPr>
        <w:t xml:space="preserve">[Répertoire toxicologique], </w:t>
      </w:r>
      <w:r w:rsidRPr="007F6BD6">
        <w:rPr>
          <w:rFonts w:eastAsia="Calibri" w:cs="Arial"/>
          <w:sz w:val="20"/>
        </w:rPr>
        <w:t>[En ligne], &lt;</w:t>
      </w:r>
      <w:hyperlink r:id="rId12" w:history="1">
        <w:r w:rsidR="00F77D7A">
          <w:rPr>
            <w:rStyle w:val="Lienhypertexte"/>
            <w:rFonts w:eastAsia="Calibri" w:cs="Arial"/>
            <w:sz w:val="20"/>
          </w:rPr>
          <w:t>https://reptox.cnesst.gouv.qc.ca/Pages/repertoire-toxicologique.aspx</w:t>
        </w:r>
      </w:hyperlink>
      <w:r w:rsidRPr="007F6BD6">
        <w:rPr>
          <w:rFonts w:eastAsia="Calibri" w:cs="Arial"/>
          <w:sz w:val="20"/>
        </w:rPr>
        <w:t>&gt; (Date de consultation inconnue).</w:t>
      </w:r>
    </w:p>
    <w:p w14:paraId="234FC86F" w14:textId="77777777" w:rsidR="007F6BD6" w:rsidRDefault="007F6BD6" w:rsidP="001D73A6">
      <w:pPr>
        <w:pStyle w:val="Paragraphedeliste"/>
        <w:jc w:val="both"/>
        <w:rPr>
          <w:rFonts w:eastAsia="Calibri" w:cs="Arial"/>
          <w:sz w:val="20"/>
        </w:rPr>
      </w:pPr>
    </w:p>
    <w:p w14:paraId="6C4AA674" w14:textId="5FD46986" w:rsidR="007F6BD6" w:rsidRDefault="007F6BD6" w:rsidP="001D73A6">
      <w:pPr>
        <w:pStyle w:val="Paragraphedeliste"/>
        <w:numPr>
          <w:ilvl w:val="0"/>
          <w:numId w:val="15"/>
        </w:numPr>
        <w:jc w:val="both"/>
        <w:rPr>
          <w:rFonts w:eastAsia="Calibri" w:cs="Arial"/>
          <w:sz w:val="20"/>
        </w:rPr>
      </w:pPr>
      <w:bookmarkStart w:id="36" w:name="_Hlk195625100"/>
      <w:r w:rsidRPr="007F6BD6">
        <w:rPr>
          <w:rFonts w:eastAsia="Calibri" w:cs="Arial"/>
          <w:sz w:val="20"/>
        </w:rPr>
        <w:t xml:space="preserve">INSTITUT NATIONAL DE RECHERCHE ET DE SÉCURITÉ POUR LA PRÉVENTION DES ACCIDENTS DU TRAVAIL ET DES MALADIES PROFESSIONNELLES, </w:t>
      </w:r>
      <w:r w:rsidRPr="007F6BD6">
        <w:rPr>
          <w:rFonts w:eastAsia="Calibri" w:cs="Arial"/>
          <w:i/>
          <w:iCs/>
          <w:sz w:val="20"/>
        </w:rPr>
        <w:t xml:space="preserve">Fiches </w:t>
      </w:r>
      <w:r w:rsidR="00362154" w:rsidRPr="007F6BD6">
        <w:rPr>
          <w:rFonts w:eastAsia="Calibri" w:cs="Arial"/>
          <w:i/>
          <w:iCs/>
          <w:sz w:val="20"/>
        </w:rPr>
        <w:t>toxicologiques,</w:t>
      </w:r>
      <w:r w:rsidR="00362154" w:rsidRPr="007F6BD6">
        <w:rPr>
          <w:rFonts w:eastAsia="Calibri" w:cs="Arial"/>
          <w:sz w:val="20"/>
        </w:rPr>
        <w:t xml:space="preserve"> (</w:t>
      </w:r>
      <w:r w:rsidRPr="007F6BD6">
        <w:rPr>
          <w:rFonts w:eastAsia="Calibri" w:cs="Arial"/>
          <w:sz w:val="20"/>
        </w:rPr>
        <w:t>2024), [En ligne], &lt;</w:t>
      </w:r>
      <w:r w:rsidR="00F77D7A" w:rsidRPr="004942D5">
        <w:rPr>
          <w:rFonts w:eastAsia="Calibri" w:cs="Arial"/>
          <w:sz w:val="20"/>
        </w:rPr>
        <w:t>https://www.inrs.fr/publications/bdd/fichetox.html</w:t>
      </w:r>
      <w:r w:rsidRPr="007F6BD6">
        <w:rPr>
          <w:rFonts w:eastAsia="Calibri" w:cs="Arial"/>
          <w:sz w:val="20"/>
        </w:rPr>
        <w:t>&gt; (Date de consultation inconnue).</w:t>
      </w:r>
      <w:bookmarkEnd w:id="36"/>
    </w:p>
    <w:p w14:paraId="327B28C2" w14:textId="77777777" w:rsidR="00805F97" w:rsidRPr="00805F97" w:rsidRDefault="00805F97" w:rsidP="00805F97">
      <w:pPr>
        <w:pStyle w:val="Paragraphedeliste"/>
        <w:jc w:val="both"/>
        <w:rPr>
          <w:rFonts w:eastAsia="Calibri" w:cs="Arial"/>
          <w:sz w:val="20"/>
        </w:rPr>
      </w:pPr>
    </w:p>
    <w:p w14:paraId="0B103C31" w14:textId="6B44040C" w:rsidR="007F6BD6" w:rsidRDefault="007F6BD6" w:rsidP="001D73A6">
      <w:pPr>
        <w:pStyle w:val="Paragraphedeliste"/>
        <w:numPr>
          <w:ilvl w:val="0"/>
          <w:numId w:val="15"/>
        </w:numPr>
        <w:jc w:val="both"/>
        <w:rPr>
          <w:rFonts w:cs="Arial"/>
          <w:sz w:val="20"/>
          <w:lang w:val="en-CA"/>
        </w:rPr>
      </w:pPr>
      <w:bookmarkStart w:id="37" w:name="_Hlk195623525"/>
      <w:r w:rsidRPr="00227683">
        <w:rPr>
          <w:rFonts w:cs="Arial"/>
          <w:sz w:val="20"/>
          <w:lang w:val="en-CA"/>
        </w:rPr>
        <w:t xml:space="preserve">INTERNATIONAL AGENCY FOR RESEARCH ON CANCER, </w:t>
      </w:r>
      <w:r w:rsidRPr="00227683">
        <w:rPr>
          <w:rFonts w:cs="Arial"/>
          <w:i/>
          <w:iCs/>
          <w:sz w:val="20"/>
          <w:lang w:val="en-CA"/>
        </w:rPr>
        <w:t>Benzene : IARC Monographs on the Evaluation of Carcinogenic Risks to Humans,</w:t>
      </w:r>
      <w:r>
        <w:rPr>
          <w:rFonts w:cs="Arial"/>
          <w:i/>
          <w:iCs/>
          <w:sz w:val="20"/>
          <w:lang w:val="en-CA"/>
        </w:rPr>
        <w:t xml:space="preserve"> </w:t>
      </w:r>
      <w:r w:rsidRPr="00227683">
        <w:rPr>
          <w:rFonts w:cs="Arial"/>
          <w:sz w:val="20"/>
          <w:lang w:val="en-CA"/>
        </w:rPr>
        <w:t>coll. « IARC Monographs on the Evaluation of Carcinogenic Risks to Humans, vol. 120 », Lyon, International Agency for Research on Cancer, 2018, [En ligne], &lt;</w:t>
      </w:r>
      <w:hyperlink r:id="rId13" w:history="1">
        <w:r w:rsidR="00F77D7A">
          <w:rPr>
            <w:rStyle w:val="Lienhypertexte"/>
            <w:rFonts w:cs="Arial"/>
            <w:sz w:val="20"/>
            <w:lang w:val="en-CA"/>
          </w:rPr>
          <w:t>https://www.ncbi.nlm.nih.gov/books/NBK550157/pdf/Bookshelf_NBK550157.pdf</w:t>
        </w:r>
      </w:hyperlink>
      <w:r w:rsidRPr="00227683">
        <w:rPr>
          <w:rFonts w:cs="Arial"/>
          <w:sz w:val="20"/>
          <w:lang w:val="en-CA"/>
        </w:rPr>
        <w:t>&gt; (Date de consultation inconnue).</w:t>
      </w:r>
    </w:p>
    <w:bookmarkEnd w:id="37"/>
    <w:p w14:paraId="00C757C3" w14:textId="77777777" w:rsidR="007A2DB4" w:rsidRDefault="007A2DB4" w:rsidP="001D73A6">
      <w:pPr>
        <w:pStyle w:val="Paragraphedeliste"/>
        <w:jc w:val="both"/>
        <w:rPr>
          <w:rFonts w:cs="Arial"/>
          <w:sz w:val="20"/>
          <w:lang w:val="en-CA"/>
        </w:rPr>
      </w:pPr>
    </w:p>
    <w:p w14:paraId="7338A0B2" w14:textId="300FA20C" w:rsidR="00F81FFF" w:rsidRPr="00F81FFF" w:rsidRDefault="00F81FFF" w:rsidP="008D1D2D">
      <w:pPr>
        <w:pStyle w:val="Titre3"/>
        <w:spacing w:after="360"/>
        <w:jc w:val="both"/>
        <w:rPr>
          <w:rStyle w:val="Lienhypertexte"/>
          <w:color w:val="auto"/>
          <w:u w:val="none"/>
        </w:rPr>
      </w:pPr>
      <w:r w:rsidRPr="00F81FFF">
        <w:t>Liste de littérature consultée par le Tribunal</w:t>
      </w:r>
    </w:p>
    <w:p w14:paraId="04A9515D" w14:textId="409F7C83" w:rsidR="00F81FFF" w:rsidRDefault="00F81FFF" w:rsidP="001D73A6">
      <w:pPr>
        <w:pStyle w:val="Paragraphedeliste"/>
        <w:numPr>
          <w:ilvl w:val="0"/>
          <w:numId w:val="22"/>
        </w:numPr>
        <w:ind w:left="709"/>
        <w:jc w:val="both"/>
        <w:rPr>
          <w:rFonts w:cs="Arial"/>
          <w:sz w:val="20"/>
        </w:rPr>
      </w:pPr>
      <w:r w:rsidRPr="00F81FFF">
        <w:rPr>
          <w:rFonts w:cs="Arial"/>
          <w:sz w:val="20"/>
        </w:rPr>
        <w:t xml:space="preserve">L. Ben </w:t>
      </w:r>
      <w:r w:rsidRPr="00040663">
        <w:rPr>
          <w:rFonts w:cs="Arial"/>
          <w:sz w:val="20"/>
        </w:rPr>
        <w:t xml:space="preserve">AMOR </w:t>
      </w:r>
      <w:r w:rsidRPr="00040663">
        <w:rPr>
          <w:rFonts w:cs="Arial"/>
          <w:i/>
          <w:iCs/>
          <w:sz w:val="20"/>
        </w:rPr>
        <w:t xml:space="preserve">et al., </w:t>
      </w:r>
      <w:r w:rsidRPr="00040663">
        <w:rPr>
          <w:rFonts w:cs="Arial"/>
          <w:sz w:val="20"/>
        </w:rPr>
        <w:t>« Philadelphie</w:t>
      </w:r>
      <w:r w:rsidRPr="00F81FFF">
        <w:rPr>
          <w:rFonts w:cs="Arial"/>
          <w:sz w:val="20"/>
        </w:rPr>
        <w:t xml:space="preserve"> Chromosome - Positive de Novo Acute Myeloid Leukemia. Isolated Meningeal Relapse in a Patient Treated with Imatinib Mesylate », (2013) 2 </w:t>
      </w:r>
      <w:r w:rsidRPr="00F81FFF">
        <w:rPr>
          <w:rFonts w:cs="Arial"/>
          <w:i/>
          <w:iCs/>
          <w:sz w:val="20"/>
        </w:rPr>
        <w:t xml:space="preserve">Case Reports in Clinical Medicine, </w:t>
      </w:r>
      <w:r w:rsidRPr="00F81FFF">
        <w:rPr>
          <w:rFonts w:cs="Arial"/>
          <w:sz w:val="20"/>
        </w:rPr>
        <w:t>pp. 167-169, [En ligne], &lt;</w:t>
      </w:r>
      <w:r w:rsidR="00F77D7A" w:rsidRPr="004942D5">
        <w:rPr>
          <w:rFonts w:eastAsia="Calibri" w:cs="Arial"/>
          <w:sz w:val="20"/>
        </w:rPr>
        <w:t>https://www.scirp.org/pdf/CRCM_2013052414343518.pdf</w:t>
      </w:r>
      <w:r w:rsidRPr="00F81FFF">
        <w:rPr>
          <w:rFonts w:cs="Arial"/>
          <w:sz w:val="20"/>
        </w:rPr>
        <w:t>&gt; (Date de consultation inconnue).</w:t>
      </w:r>
    </w:p>
    <w:p w14:paraId="708CBB96" w14:textId="77777777" w:rsidR="00DB2B4D" w:rsidRPr="00DB2B4D" w:rsidRDefault="00DB2B4D" w:rsidP="00DB2B4D">
      <w:pPr>
        <w:pStyle w:val="Paragraphedeliste"/>
        <w:ind w:left="709"/>
        <w:jc w:val="both"/>
        <w:rPr>
          <w:rFonts w:cs="Arial"/>
          <w:sz w:val="20"/>
        </w:rPr>
      </w:pPr>
    </w:p>
    <w:p w14:paraId="19D933E7" w14:textId="0595E9AA" w:rsidR="00F81FFF" w:rsidRDefault="00F81FFF" w:rsidP="001D73A6">
      <w:pPr>
        <w:pStyle w:val="Paragraphedeliste"/>
        <w:numPr>
          <w:ilvl w:val="0"/>
          <w:numId w:val="22"/>
        </w:numPr>
        <w:jc w:val="both"/>
        <w:rPr>
          <w:rFonts w:cs="Arial"/>
          <w:sz w:val="20"/>
          <w:lang w:val="en-CA"/>
        </w:rPr>
      </w:pPr>
      <w:bookmarkStart w:id="38" w:name="_Hlk189652387"/>
      <w:r w:rsidRPr="00F81FFF">
        <w:rPr>
          <w:rFonts w:cs="Arial"/>
          <w:sz w:val="20"/>
          <w:lang w:val="en-CA"/>
        </w:rPr>
        <w:t xml:space="preserve">Yang DAI </w:t>
      </w:r>
      <w:r w:rsidRPr="00F81FFF">
        <w:rPr>
          <w:rFonts w:cs="Arial"/>
          <w:i/>
          <w:iCs/>
          <w:sz w:val="20"/>
          <w:lang w:val="en-CA"/>
        </w:rPr>
        <w:t xml:space="preserve">et al., </w:t>
      </w:r>
      <w:r w:rsidRPr="00F81FFF">
        <w:rPr>
          <w:rFonts w:cs="Arial"/>
          <w:sz w:val="20"/>
          <w:lang w:val="en-CA"/>
        </w:rPr>
        <w:t xml:space="preserve">« Philadelphia Chromosome with Acute Myeloid Leukemia and Concurrent Large B Cell Lymphoma of Different Origins: A Case Report », (2017) 13 </w:t>
      </w:r>
      <w:r w:rsidRPr="00F81FFF">
        <w:rPr>
          <w:rFonts w:cs="Arial"/>
          <w:i/>
          <w:iCs/>
          <w:sz w:val="20"/>
          <w:lang w:val="en-CA"/>
        </w:rPr>
        <w:t xml:space="preserve">Oncology Letters, </w:t>
      </w:r>
      <w:r w:rsidRPr="00F81FFF">
        <w:rPr>
          <w:rFonts w:cs="Arial"/>
          <w:sz w:val="20"/>
          <w:lang w:val="en-CA"/>
        </w:rPr>
        <w:t>pp.</w:t>
      </w:r>
      <w:r w:rsidR="00DB2B4D">
        <w:rPr>
          <w:rFonts w:cs="Arial"/>
          <w:sz w:val="20"/>
          <w:lang w:val="en-CA"/>
        </w:rPr>
        <w:t> </w:t>
      </w:r>
      <w:r w:rsidRPr="00F81FFF">
        <w:rPr>
          <w:rFonts w:cs="Arial"/>
          <w:sz w:val="20"/>
          <w:lang w:val="en-CA"/>
        </w:rPr>
        <w:t>1189</w:t>
      </w:r>
      <w:r w:rsidR="00DB2B4D">
        <w:rPr>
          <w:rFonts w:cs="Arial"/>
          <w:sz w:val="20"/>
          <w:lang w:val="en-CA"/>
        </w:rPr>
        <w:noBreakHyphen/>
      </w:r>
      <w:r w:rsidRPr="00F81FFF">
        <w:rPr>
          <w:rFonts w:cs="Arial"/>
          <w:sz w:val="20"/>
          <w:lang w:val="en-CA"/>
        </w:rPr>
        <w:t>1193, [En ligne], &lt;</w:t>
      </w:r>
      <w:hyperlink r:id="rId14" w:history="1">
        <w:r w:rsidR="00F77D7A">
          <w:rPr>
            <w:rStyle w:val="Lienhypertexte"/>
            <w:rFonts w:cs="Arial"/>
            <w:sz w:val="20"/>
            <w:lang w:val="en-CA"/>
          </w:rPr>
          <w:t>https://pmc.ncbi.nlm.nih.gov/articles/PMC5403225/</w:t>
        </w:r>
      </w:hyperlink>
      <w:r w:rsidRPr="00F81FFF">
        <w:rPr>
          <w:rFonts w:cs="Arial"/>
          <w:sz w:val="20"/>
          <w:lang w:val="en-CA"/>
        </w:rPr>
        <w:t>&gt; (Date de consultation inconnue).</w:t>
      </w:r>
    </w:p>
    <w:p w14:paraId="1FBE1D77" w14:textId="77777777" w:rsidR="00DB2B4D" w:rsidRPr="00DB2B4D" w:rsidRDefault="00DB2B4D" w:rsidP="00DB2B4D">
      <w:pPr>
        <w:pStyle w:val="Paragraphedeliste"/>
        <w:jc w:val="both"/>
        <w:rPr>
          <w:rFonts w:cs="Arial"/>
          <w:sz w:val="20"/>
          <w:lang w:val="en-CA"/>
        </w:rPr>
      </w:pPr>
    </w:p>
    <w:p w14:paraId="18AB5C38" w14:textId="4999C57E" w:rsidR="00F81FFF" w:rsidRDefault="00F81FFF" w:rsidP="001D73A6">
      <w:pPr>
        <w:pStyle w:val="Paragraphedeliste"/>
        <w:numPr>
          <w:ilvl w:val="0"/>
          <w:numId w:val="22"/>
        </w:numPr>
        <w:jc w:val="both"/>
        <w:rPr>
          <w:rFonts w:cs="Arial"/>
          <w:sz w:val="20"/>
        </w:rPr>
      </w:pPr>
      <w:bookmarkStart w:id="39" w:name="_Hlk195095677"/>
      <w:bookmarkEnd w:id="38"/>
      <w:r w:rsidRPr="00432AC0">
        <w:rPr>
          <w:rFonts w:cs="Arial"/>
          <w:sz w:val="20"/>
        </w:rPr>
        <w:t xml:space="preserve">Sergei KONOPLEV </w:t>
      </w:r>
      <w:r w:rsidRPr="00432AC0">
        <w:rPr>
          <w:rFonts w:cs="Arial"/>
          <w:i/>
          <w:iCs/>
          <w:sz w:val="20"/>
        </w:rPr>
        <w:t>et al.,</w:t>
      </w:r>
      <w:r w:rsidR="00DB2B4D">
        <w:rPr>
          <w:rFonts w:cs="Arial"/>
          <w:i/>
          <w:iCs/>
          <w:sz w:val="20"/>
        </w:rPr>
        <w:t xml:space="preserve"> </w:t>
      </w:r>
      <w:r w:rsidRPr="00432AC0">
        <w:rPr>
          <w:rFonts w:cs="Arial"/>
          <w:sz w:val="20"/>
        </w:rPr>
        <w:t>« Molecular Characterization of de Novo Ph+ Acute Myeloid Leukemia</w:t>
      </w:r>
      <w:r w:rsidR="00DB2B4D">
        <w:rPr>
          <w:rFonts w:cs="Arial"/>
          <w:sz w:val="20"/>
        </w:rPr>
        <w:t> </w:t>
      </w:r>
      <w:r w:rsidRPr="00432AC0">
        <w:rPr>
          <w:rFonts w:cs="Arial"/>
          <w:sz w:val="20"/>
        </w:rPr>
        <w:t xml:space="preserve">», (2013) 54 </w:t>
      </w:r>
      <w:r w:rsidRPr="00432AC0">
        <w:rPr>
          <w:rFonts w:cs="Arial"/>
          <w:i/>
          <w:iCs/>
          <w:sz w:val="20"/>
        </w:rPr>
        <w:t>Leukemia &amp; Lymphoma,</w:t>
      </w:r>
      <w:r>
        <w:rPr>
          <w:rFonts w:cs="Arial"/>
          <w:i/>
          <w:iCs/>
          <w:sz w:val="20"/>
        </w:rPr>
        <w:t xml:space="preserve"> </w:t>
      </w:r>
      <w:r w:rsidRPr="00432AC0">
        <w:rPr>
          <w:rFonts w:cs="Arial"/>
          <w:sz w:val="20"/>
        </w:rPr>
        <w:t>pp. 138-144, [En ligne], &lt;</w:t>
      </w:r>
      <w:r w:rsidR="00F77D7A" w:rsidRPr="004942D5">
        <w:rPr>
          <w:rFonts w:cs="Arial"/>
          <w:sz w:val="20"/>
        </w:rPr>
        <w:t>https://pmc.ncbi.nlm.nih.gov/articles/PMC3925981/pdf/nihms-529553.pdf</w:t>
      </w:r>
      <w:r w:rsidRPr="00432AC0">
        <w:rPr>
          <w:rFonts w:cs="Arial"/>
          <w:sz w:val="20"/>
        </w:rPr>
        <w:t>&gt; (Date de consultation inconnue).</w:t>
      </w:r>
      <w:bookmarkEnd w:id="39"/>
    </w:p>
    <w:p w14:paraId="41088276" w14:textId="77777777" w:rsidR="00F81FFF" w:rsidRDefault="00F81FFF" w:rsidP="001D73A6">
      <w:pPr>
        <w:pStyle w:val="Paragraphedeliste"/>
        <w:jc w:val="both"/>
        <w:rPr>
          <w:rFonts w:cs="Arial"/>
          <w:sz w:val="20"/>
        </w:rPr>
      </w:pPr>
    </w:p>
    <w:p w14:paraId="1218F3EF" w14:textId="342EADD5" w:rsidR="00F81FFF" w:rsidRPr="00483C81" w:rsidRDefault="00F81FFF" w:rsidP="001D73A6">
      <w:pPr>
        <w:pStyle w:val="Paragraphedeliste"/>
        <w:numPr>
          <w:ilvl w:val="0"/>
          <w:numId w:val="22"/>
        </w:numPr>
        <w:jc w:val="both"/>
        <w:rPr>
          <w:rFonts w:cs="Arial"/>
          <w:sz w:val="20"/>
          <w:lang w:val="en-CA"/>
        </w:rPr>
      </w:pPr>
      <w:r w:rsidRPr="00340EC8">
        <w:rPr>
          <w:rFonts w:cs="Arial"/>
          <w:sz w:val="20"/>
          <w:lang w:val="en-CA"/>
        </w:rPr>
        <w:t>Juan D. MUÑOZ</w:t>
      </w:r>
      <w:r w:rsidRPr="00340EC8">
        <w:rPr>
          <w:rFonts w:cs="Arial"/>
          <w:i/>
          <w:iCs/>
          <w:sz w:val="20"/>
          <w:lang w:val="en-CA"/>
        </w:rPr>
        <w:t xml:space="preserve"> et al.,</w:t>
      </w:r>
      <w:r w:rsidRPr="00340EC8">
        <w:rPr>
          <w:rFonts w:cs="Arial"/>
          <w:sz w:val="20"/>
          <w:lang w:val="en-CA"/>
        </w:rPr>
        <w:t xml:space="preserve">« Philadelphia Chromosome-Positive De Novo Acute Myeloid Leukemia Treated With Chemotherapy and Second-Generation Tyrosine Kinase Inhibitor », (2019) 11 </w:t>
      </w:r>
      <w:r w:rsidRPr="00340EC8">
        <w:rPr>
          <w:rFonts w:cs="Arial"/>
          <w:i/>
          <w:iCs/>
          <w:sz w:val="20"/>
          <w:lang w:val="en-CA"/>
        </w:rPr>
        <w:t>Cureus</w:t>
      </w:r>
      <w:r w:rsidRPr="00483C81">
        <w:rPr>
          <w:rFonts w:cs="Arial"/>
          <w:i/>
          <w:iCs/>
          <w:sz w:val="20"/>
          <w:lang w:val="en-CA"/>
        </w:rPr>
        <w:t>,</w:t>
      </w:r>
      <w:r w:rsidR="008065DE" w:rsidRPr="00483C81">
        <w:rPr>
          <w:rFonts w:cs="Arial"/>
          <w:i/>
          <w:iCs/>
          <w:sz w:val="20"/>
          <w:lang w:val="en-CA"/>
        </w:rPr>
        <w:t xml:space="preserve"> </w:t>
      </w:r>
      <w:r w:rsidRPr="00483C81">
        <w:rPr>
          <w:rFonts w:cs="Arial"/>
          <w:sz w:val="20"/>
          <w:lang w:val="en-CA"/>
        </w:rPr>
        <w:t>p. e5135, [En ligne], &lt;</w:t>
      </w:r>
      <w:hyperlink r:id="rId15" w:history="1">
        <w:r w:rsidR="00F77D7A">
          <w:rPr>
            <w:rStyle w:val="Lienhypertexte"/>
            <w:rFonts w:cs="Arial"/>
            <w:sz w:val="20"/>
            <w:lang w:val="en-CA"/>
          </w:rPr>
          <w:t>https://pmc.ncbi.nlm.nih.gov/articles/PMC6741400/pdf/cureus-0011-00000005135.pdf</w:t>
        </w:r>
      </w:hyperlink>
      <w:r w:rsidRPr="00483C81">
        <w:rPr>
          <w:rFonts w:cs="Arial"/>
          <w:sz w:val="20"/>
          <w:lang w:val="en-CA"/>
        </w:rPr>
        <w:t>&gt; (Date de consultation inconnue).</w:t>
      </w:r>
    </w:p>
    <w:p w14:paraId="08EB5D8C" w14:textId="77777777" w:rsidR="00F81FFF" w:rsidRPr="00483C81" w:rsidRDefault="00F81FFF" w:rsidP="001D73A6">
      <w:pPr>
        <w:pStyle w:val="Paragraphedeliste"/>
        <w:jc w:val="both"/>
        <w:rPr>
          <w:rFonts w:cs="Arial"/>
          <w:sz w:val="20"/>
          <w:lang w:val="en-CA"/>
        </w:rPr>
      </w:pPr>
    </w:p>
    <w:p w14:paraId="3AF76C0A" w14:textId="6EFFFF60" w:rsidR="00F81FFF" w:rsidRPr="00483C81" w:rsidRDefault="00F81FFF" w:rsidP="001D73A6">
      <w:pPr>
        <w:pStyle w:val="Paragraphedeliste"/>
        <w:numPr>
          <w:ilvl w:val="0"/>
          <w:numId w:val="22"/>
        </w:numPr>
        <w:jc w:val="both"/>
        <w:rPr>
          <w:rFonts w:cs="Arial"/>
          <w:sz w:val="20"/>
          <w:lang w:val="en-CA"/>
        </w:rPr>
      </w:pPr>
      <w:bookmarkStart w:id="40" w:name="_Hlk195096404"/>
      <w:r w:rsidRPr="00483C81">
        <w:rPr>
          <w:rFonts w:cs="Arial"/>
          <w:sz w:val="20"/>
          <w:lang w:val="en-CA"/>
        </w:rPr>
        <w:t xml:space="preserve">Nina Rosa NEUENDORFF </w:t>
      </w:r>
      <w:r w:rsidR="00362154" w:rsidRPr="00483C81">
        <w:rPr>
          <w:rFonts w:cs="Arial"/>
          <w:i/>
          <w:iCs/>
          <w:sz w:val="20"/>
          <w:lang w:val="en-CA"/>
        </w:rPr>
        <w:t>et al.,</w:t>
      </w:r>
      <w:r w:rsidR="00362154" w:rsidRPr="00483C81">
        <w:rPr>
          <w:rFonts w:cs="Arial"/>
          <w:sz w:val="20"/>
          <w:lang w:val="en-CA"/>
        </w:rPr>
        <w:t xml:space="preserve"> «</w:t>
      </w:r>
      <w:r w:rsidRPr="00483C81">
        <w:rPr>
          <w:rFonts w:cs="Arial"/>
          <w:sz w:val="20"/>
          <w:lang w:val="en-CA"/>
        </w:rPr>
        <w:t xml:space="preserve"> BCR-ABL-Positive Acute Myeloid Leukemia : A New Entity? Analysis of Clinical and Molecular Features », (2016) 95 </w:t>
      </w:r>
      <w:r w:rsidRPr="00483C81">
        <w:rPr>
          <w:rFonts w:cs="Arial"/>
          <w:i/>
          <w:iCs/>
          <w:sz w:val="20"/>
          <w:lang w:val="en-CA"/>
        </w:rPr>
        <w:t>Annals of Hematology,</w:t>
      </w:r>
      <w:r w:rsidR="008065DE" w:rsidRPr="00483C81">
        <w:rPr>
          <w:rFonts w:cs="Arial"/>
          <w:i/>
          <w:iCs/>
          <w:sz w:val="20"/>
          <w:lang w:val="en-CA"/>
        </w:rPr>
        <w:t xml:space="preserve"> </w:t>
      </w:r>
      <w:r w:rsidRPr="00483C81">
        <w:rPr>
          <w:rFonts w:cs="Arial"/>
          <w:sz w:val="20"/>
          <w:lang w:val="en-CA"/>
        </w:rPr>
        <w:t>pp. 1211-1221.</w:t>
      </w:r>
      <w:bookmarkEnd w:id="40"/>
    </w:p>
    <w:p w14:paraId="62AC3633" w14:textId="77777777" w:rsidR="00F81FFF" w:rsidRPr="00483C81" w:rsidRDefault="00F81FFF" w:rsidP="001D73A6">
      <w:pPr>
        <w:pStyle w:val="Paragraphedeliste"/>
        <w:jc w:val="both"/>
        <w:rPr>
          <w:rFonts w:cs="Arial"/>
          <w:sz w:val="20"/>
          <w:lang w:val="en-CA"/>
        </w:rPr>
      </w:pPr>
    </w:p>
    <w:p w14:paraId="40E2658C" w14:textId="77777777" w:rsidR="00EA088D" w:rsidRPr="00483C81" w:rsidRDefault="00F81FFF" w:rsidP="001D73A6">
      <w:pPr>
        <w:pStyle w:val="Paragraphedeliste"/>
        <w:numPr>
          <w:ilvl w:val="0"/>
          <w:numId w:val="22"/>
        </w:numPr>
        <w:jc w:val="both"/>
        <w:rPr>
          <w:rFonts w:cs="Arial"/>
          <w:sz w:val="20"/>
          <w:lang w:val="en-CA"/>
        </w:rPr>
      </w:pPr>
      <w:r w:rsidRPr="00483C81">
        <w:rPr>
          <w:rFonts w:cs="Arial"/>
          <w:sz w:val="20"/>
          <w:lang w:val="en-CA"/>
        </w:rPr>
        <w:t xml:space="preserve">Arif Moin QURAISHI </w:t>
      </w:r>
      <w:r w:rsidRPr="00483C81">
        <w:rPr>
          <w:rFonts w:cs="Arial"/>
          <w:i/>
          <w:iCs/>
          <w:sz w:val="20"/>
          <w:lang w:val="en-CA"/>
        </w:rPr>
        <w:t xml:space="preserve">et al., </w:t>
      </w:r>
      <w:r w:rsidRPr="00483C81">
        <w:rPr>
          <w:rFonts w:cs="Arial"/>
          <w:sz w:val="20"/>
          <w:lang w:val="en-CA"/>
        </w:rPr>
        <w:t xml:space="preserve">« Philadelphia Chromosome Positive de Novo Acute Myeloid Leukemia », (2016) 26 </w:t>
      </w:r>
      <w:r w:rsidRPr="00483C81">
        <w:rPr>
          <w:rFonts w:cs="Arial"/>
          <w:i/>
          <w:iCs/>
          <w:sz w:val="20"/>
          <w:lang w:val="en-CA"/>
        </w:rPr>
        <w:t xml:space="preserve">Journal of the College Physicians and Surgeons-Pakistan, </w:t>
      </w:r>
      <w:r w:rsidRPr="00483C81">
        <w:rPr>
          <w:rFonts w:cs="Arial"/>
          <w:sz w:val="20"/>
          <w:lang w:val="en-CA"/>
        </w:rPr>
        <w:t>pp. 100-102.</w:t>
      </w:r>
    </w:p>
    <w:p w14:paraId="6F66BCBD" w14:textId="77777777" w:rsidR="00EA088D" w:rsidRPr="00483C81" w:rsidRDefault="00EA088D" w:rsidP="001D73A6">
      <w:pPr>
        <w:pStyle w:val="Paragraphedeliste"/>
        <w:jc w:val="both"/>
        <w:rPr>
          <w:rFonts w:cs="Arial"/>
          <w:sz w:val="20"/>
          <w:lang w:val="en-CA"/>
        </w:rPr>
      </w:pPr>
    </w:p>
    <w:p w14:paraId="192911CD" w14:textId="771E2EC1" w:rsidR="00EA088D" w:rsidRPr="00483C81" w:rsidRDefault="00EA088D" w:rsidP="001D73A6">
      <w:pPr>
        <w:pStyle w:val="Paragraphedeliste"/>
        <w:numPr>
          <w:ilvl w:val="0"/>
          <w:numId w:val="22"/>
        </w:numPr>
        <w:jc w:val="both"/>
        <w:rPr>
          <w:rFonts w:cs="Arial"/>
          <w:sz w:val="20"/>
          <w:lang w:val="en-CA"/>
        </w:rPr>
      </w:pPr>
      <w:r w:rsidRPr="00483C81">
        <w:rPr>
          <w:rFonts w:cs="Arial"/>
          <w:color w:val="000000"/>
          <w:sz w:val="20"/>
          <w:lang w:val="en-CA"/>
        </w:rPr>
        <w:t xml:space="preserve">Xiaoyan SHAO </w:t>
      </w:r>
      <w:r w:rsidRPr="00483C81">
        <w:rPr>
          <w:rFonts w:cs="Arial"/>
          <w:i/>
          <w:iCs/>
          <w:color w:val="000000"/>
          <w:sz w:val="20"/>
          <w:lang w:val="en-CA"/>
        </w:rPr>
        <w:t>et al.,</w:t>
      </w:r>
      <w:r w:rsidRPr="00483C81">
        <w:rPr>
          <w:rFonts w:cs="Arial"/>
          <w:color w:val="000000"/>
          <w:sz w:val="20"/>
          <w:lang w:val="en-CA"/>
        </w:rPr>
        <w:t xml:space="preserve">« Primary Philadelphia Chromosome Positive Acute Myeloid Leukemia : A Case Report », (2018) 94 </w:t>
      </w:r>
      <w:r w:rsidRPr="00483C81">
        <w:rPr>
          <w:rFonts w:cs="Arial"/>
          <w:i/>
          <w:iCs/>
          <w:color w:val="000000"/>
          <w:sz w:val="20"/>
          <w:lang w:val="en-CA"/>
        </w:rPr>
        <w:t>Medicine,</w:t>
      </w:r>
      <w:r w:rsidR="00DB2B4D" w:rsidRPr="00483C81">
        <w:rPr>
          <w:rFonts w:cs="Arial"/>
          <w:i/>
          <w:iCs/>
          <w:color w:val="000000"/>
          <w:sz w:val="20"/>
          <w:lang w:val="en-CA"/>
        </w:rPr>
        <w:t xml:space="preserve"> </w:t>
      </w:r>
      <w:r w:rsidRPr="00483C81">
        <w:rPr>
          <w:rFonts w:cs="Arial"/>
          <w:color w:val="000000"/>
          <w:sz w:val="20"/>
          <w:lang w:val="en-CA"/>
        </w:rPr>
        <w:t>p. e12949, [En ligne], &lt;</w:t>
      </w:r>
      <w:r w:rsidR="00F77D7A" w:rsidRPr="004942D5">
        <w:rPr>
          <w:rFonts w:cs="Arial"/>
          <w:sz w:val="20"/>
          <w:lang w:val="en-CA"/>
        </w:rPr>
        <w:t>https://pmc.ncbi.nlm.nih.gov/articles/PMC6221582/pdf/medi-97-e12949.pdf</w:t>
      </w:r>
      <w:r w:rsidRPr="00483C81">
        <w:rPr>
          <w:rFonts w:cs="Arial"/>
          <w:color w:val="000000"/>
          <w:sz w:val="20"/>
          <w:lang w:val="en-CA"/>
        </w:rPr>
        <w:t>&gt; (Date de consultation inconnue).</w:t>
      </w:r>
    </w:p>
    <w:p w14:paraId="1546A180" w14:textId="77777777" w:rsidR="00F81FFF" w:rsidRPr="001C6AAF" w:rsidRDefault="00F81FFF" w:rsidP="001D73A6">
      <w:pPr>
        <w:pStyle w:val="Paragraphedeliste"/>
        <w:jc w:val="both"/>
        <w:rPr>
          <w:rFonts w:cs="Arial"/>
          <w:sz w:val="20"/>
          <w:lang w:val="en-CA"/>
        </w:rPr>
      </w:pPr>
    </w:p>
    <w:p w14:paraId="0E1AF360" w14:textId="0661BAA9" w:rsidR="00F81FFF" w:rsidRDefault="00EA088D" w:rsidP="001D73A6">
      <w:pPr>
        <w:pStyle w:val="Paragraphedeliste"/>
        <w:numPr>
          <w:ilvl w:val="0"/>
          <w:numId w:val="22"/>
        </w:numPr>
        <w:jc w:val="both"/>
        <w:rPr>
          <w:rFonts w:cs="Arial"/>
          <w:sz w:val="20"/>
        </w:rPr>
      </w:pPr>
      <w:bookmarkStart w:id="41" w:name="_Hlk195086458"/>
      <w:r w:rsidRPr="00EA088D">
        <w:rPr>
          <w:rFonts w:cs="Arial"/>
          <w:sz w:val="20"/>
          <w:lang w:val="en-CA"/>
        </w:rPr>
        <w:t xml:space="preserve">Dan-Sebastian SOARE </w:t>
      </w:r>
      <w:r w:rsidRPr="00EA088D">
        <w:rPr>
          <w:rFonts w:cs="Arial"/>
          <w:i/>
          <w:iCs/>
          <w:sz w:val="20"/>
          <w:lang w:val="en-CA"/>
        </w:rPr>
        <w:t>et al.,</w:t>
      </w:r>
      <w:r w:rsidRPr="00EA088D">
        <w:rPr>
          <w:rFonts w:cs="Arial"/>
          <w:sz w:val="20"/>
          <w:lang w:val="en-CA"/>
        </w:rPr>
        <w:t xml:space="preserve"> « Philadelphia Chromosome-Positive de Novo AML or Blast Phase CML? Case Report and Short Literature Review »</w:t>
      </w:r>
      <w:r w:rsidR="00EE1E09">
        <w:rPr>
          <w:rFonts w:cs="Arial"/>
          <w:sz w:val="20"/>
          <w:lang w:val="en-CA"/>
        </w:rPr>
        <w:t xml:space="preserve">, </w:t>
      </w:r>
      <w:r w:rsidRPr="00EA088D">
        <w:rPr>
          <w:rFonts w:cs="Arial"/>
          <w:sz w:val="20"/>
          <w:lang w:val="en-CA"/>
        </w:rPr>
        <w:t xml:space="preserve">(2023) </w:t>
      </w:r>
      <w:r w:rsidRPr="00EA088D">
        <w:rPr>
          <w:rFonts w:cs="Arial"/>
          <w:i/>
          <w:iCs/>
          <w:sz w:val="20"/>
          <w:lang w:val="en-CA"/>
        </w:rPr>
        <w:t xml:space="preserve">Documenta Haematologica. </w:t>
      </w:r>
      <w:r w:rsidRPr="00197173">
        <w:rPr>
          <w:rFonts w:cs="Arial"/>
          <w:i/>
          <w:iCs/>
          <w:sz w:val="20"/>
        </w:rPr>
        <w:t>Revista Romana de Hematologie</w:t>
      </w:r>
      <w:r w:rsidR="00197173" w:rsidRPr="00197173">
        <w:rPr>
          <w:rFonts w:cs="Arial"/>
          <w:i/>
          <w:iCs/>
          <w:sz w:val="20"/>
        </w:rPr>
        <w:t xml:space="preserve">, </w:t>
      </w:r>
      <w:r w:rsidRPr="00197173">
        <w:rPr>
          <w:rFonts w:cs="Arial"/>
          <w:sz w:val="20"/>
        </w:rPr>
        <w:t xml:space="preserve">pp. </w:t>
      </w:r>
      <w:r w:rsidRPr="00EA088D">
        <w:rPr>
          <w:rFonts w:cs="Arial"/>
          <w:sz w:val="20"/>
        </w:rPr>
        <w:t>25-31, [En ligne], &lt;</w:t>
      </w:r>
      <w:hyperlink r:id="rId16" w:history="1">
        <w:r w:rsidR="00F77D7A">
          <w:rPr>
            <w:rStyle w:val="Lienhypertexte"/>
            <w:rFonts w:cs="Arial"/>
            <w:sz w:val="20"/>
          </w:rPr>
          <w:t>https://www.dhrrh.ro/wp-content/uploads/2023/10/DHRRH_2023_1_Art-04.pdf</w:t>
        </w:r>
      </w:hyperlink>
      <w:r w:rsidRPr="00EA088D">
        <w:rPr>
          <w:rFonts w:cs="Arial"/>
          <w:sz w:val="20"/>
        </w:rPr>
        <w:t>&gt; (Date de consultation inconnue).</w:t>
      </w:r>
    </w:p>
    <w:bookmarkEnd w:id="41"/>
    <w:p w14:paraId="5A2A8215" w14:textId="77777777" w:rsidR="007A2DB4" w:rsidRDefault="007A2DB4" w:rsidP="001D73A6">
      <w:pPr>
        <w:pStyle w:val="Paragraphedeliste"/>
        <w:jc w:val="both"/>
        <w:rPr>
          <w:rFonts w:cs="Arial"/>
          <w:sz w:val="20"/>
        </w:rPr>
      </w:pPr>
    </w:p>
    <w:p w14:paraId="2CF39FC9" w14:textId="676233C6" w:rsidR="007A2DB4" w:rsidRPr="000634DD" w:rsidRDefault="007A2DB4" w:rsidP="001D73A6">
      <w:pPr>
        <w:pStyle w:val="Paragraphedeliste"/>
        <w:numPr>
          <w:ilvl w:val="0"/>
          <w:numId w:val="22"/>
        </w:numPr>
        <w:jc w:val="both"/>
        <w:rPr>
          <w:rFonts w:cs="Arial"/>
          <w:sz w:val="20"/>
          <w:lang w:val="en-CA"/>
        </w:rPr>
      </w:pPr>
      <w:r w:rsidRPr="000634DD">
        <w:rPr>
          <w:rFonts w:cs="Arial"/>
          <w:sz w:val="20"/>
          <w:lang w:val="en-CA"/>
        </w:rPr>
        <w:t xml:space="preserve">Chad P. SOUPIR </w:t>
      </w:r>
      <w:r w:rsidRPr="000634DD">
        <w:rPr>
          <w:rFonts w:cs="Arial"/>
          <w:i/>
          <w:iCs/>
          <w:sz w:val="20"/>
          <w:lang w:val="en-CA"/>
        </w:rPr>
        <w:t>et al.,</w:t>
      </w:r>
      <w:r>
        <w:rPr>
          <w:rFonts w:cs="Arial"/>
          <w:i/>
          <w:iCs/>
          <w:sz w:val="20"/>
          <w:lang w:val="en-CA"/>
        </w:rPr>
        <w:t xml:space="preserve"> </w:t>
      </w:r>
      <w:r w:rsidRPr="000634DD">
        <w:rPr>
          <w:rFonts w:cs="Arial"/>
          <w:sz w:val="20"/>
          <w:lang w:val="en-CA"/>
        </w:rPr>
        <w:t xml:space="preserve">« Philadelphia Chromosome-Positive Acute Myeloid </w:t>
      </w:r>
      <w:r w:rsidR="00362154" w:rsidRPr="000634DD">
        <w:rPr>
          <w:rFonts w:cs="Arial"/>
          <w:sz w:val="20"/>
          <w:lang w:val="en-CA"/>
        </w:rPr>
        <w:t>Leukemia:</w:t>
      </w:r>
      <w:r w:rsidRPr="000634DD">
        <w:rPr>
          <w:rFonts w:cs="Arial"/>
          <w:sz w:val="20"/>
          <w:lang w:val="en-CA"/>
        </w:rPr>
        <w:t xml:space="preserve"> A Rare Aggressive Leukemia with Clinicopathologic Features Distinct from Chronic Myeloid Leukemia in Myeloid Blast Crisis », (2007) 127 </w:t>
      </w:r>
      <w:r w:rsidRPr="000634DD">
        <w:rPr>
          <w:rFonts w:cs="Arial"/>
          <w:i/>
          <w:iCs/>
          <w:sz w:val="20"/>
          <w:lang w:val="en-CA"/>
        </w:rPr>
        <w:t>American Journal of Clinical Pathology,</w:t>
      </w:r>
      <w:r w:rsidR="008065DE">
        <w:rPr>
          <w:rFonts w:cs="Arial"/>
          <w:i/>
          <w:iCs/>
          <w:sz w:val="20"/>
          <w:lang w:val="en-CA"/>
        </w:rPr>
        <w:t xml:space="preserve"> </w:t>
      </w:r>
      <w:r w:rsidRPr="000634DD">
        <w:rPr>
          <w:rFonts w:cs="Arial"/>
          <w:sz w:val="20"/>
          <w:lang w:val="en-CA"/>
        </w:rPr>
        <w:t>pp. 642-650.</w:t>
      </w:r>
    </w:p>
    <w:p w14:paraId="1945A768" w14:textId="77777777" w:rsidR="007A2DB4" w:rsidRPr="000634DD" w:rsidRDefault="007A2DB4" w:rsidP="001D73A6">
      <w:pPr>
        <w:pStyle w:val="Paragraphedeliste"/>
        <w:jc w:val="both"/>
        <w:rPr>
          <w:rFonts w:cs="Arial"/>
          <w:sz w:val="20"/>
          <w:lang w:val="en-CA"/>
        </w:rPr>
      </w:pPr>
    </w:p>
    <w:p w14:paraId="06B94908" w14:textId="5348CC11" w:rsidR="00F81FFF" w:rsidRPr="00805F97" w:rsidRDefault="007A2DB4" w:rsidP="001D73A6">
      <w:pPr>
        <w:pStyle w:val="Paragraphedeliste"/>
        <w:numPr>
          <w:ilvl w:val="0"/>
          <w:numId w:val="22"/>
        </w:numPr>
        <w:jc w:val="both"/>
        <w:rPr>
          <w:rFonts w:cs="Arial"/>
          <w:sz w:val="20"/>
          <w:lang w:val="en-CA"/>
        </w:rPr>
      </w:pPr>
      <w:r w:rsidRPr="00FA781F">
        <w:rPr>
          <w:rFonts w:cs="Arial"/>
          <w:sz w:val="20"/>
          <w:lang w:val="en-CA"/>
        </w:rPr>
        <w:t xml:space="preserve">Zhichen ZHANG </w:t>
      </w:r>
      <w:r w:rsidRPr="00FA781F">
        <w:rPr>
          <w:rFonts w:cs="Arial"/>
          <w:i/>
          <w:iCs/>
          <w:sz w:val="20"/>
          <w:lang w:val="en-CA"/>
        </w:rPr>
        <w:t>et al.,</w:t>
      </w:r>
      <w:r w:rsidRPr="00FA781F">
        <w:rPr>
          <w:rFonts w:cs="Arial"/>
          <w:sz w:val="20"/>
          <w:lang w:val="en-CA"/>
        </w:rPr>
        <w:t>« Philadelphia Chromosome-Positive Acute Myeloid Leukemia Successfully Treated by Allogeneic Hematopoietic Stem Cell Transplantation : A Case Report and Review of the Literature », (2024 )</w:t>
      </w:r>
      <w:r>
        <w:rPr>
          <w:rFonts w:cs="Arial"/>
          <w:sz w:val="20"/>
          <w:lang w:val="en-CA"/>
        </w:rPr>
        <w:t xml:space="preserve"> </w:t>
      </w:r>
      <w:r w:rsidRPr="00FA781F">
        <w:rPr>
          <w:rFonts w:cs="Arial"/>
          <w:sz w:val="20"/>
          <w:lang w:val="en-CA"/>
        </w:rPr>
        <w:t xml:space="preserve">103 </w:t>
      </w:r>
      <w:r w:rsidRPr="00FA781F">
        <w:rPr>
          <w:rFonts w:cs="Arial"/>
          <w:i/>
          <w:iCs/>
          <w:sz w:val="20"/>
          <w:lang w:val="en-CA"/>
        </w:rPr>
        <w:t>Medicine,</w:t>
      </w:r>
      <w:r>
        <w:rPr>
          <w:rFonts w:cs="Arial"/>
          <w:i/>
          <w:iCs/>
          <w:sz w:val="20"/>
          <w:lang w:val="en-CA"/>
        </w:rPr>
        <w:t xml:space="preserve"> </w:t>
      </w:r>
      <w:r w:rsidRPr="00FA781F">
        <w:rPr>
          <w:rFonts w:cs="Arial"/>
          <w:sz w:val="20"/>
          <w:lang w:val="en-CA"/>
        </w:rPr>
        <w:t>p. e38110, [En ligne], &lt;</w:t>
      </w:r>
      <w:r w:rsidR="00F77D7A" w:rsidRPr="004942D5">
        <w:rPr>
          <w:rFonts w:cs="Arial"/>
          <w:sz w:val="20"/>
          <w:lang w:val="en-CA"/>
        </w:rPr>
        <w:t>https://pmc.ncbi.nlm.nih.gov/articles/PMC11081607/pdf/medi-103-e38110.pdf</w:t>
      </w:r>
      <w:r w:rsidRPr="00FA781F">
        <w:rPr>
          <w:rFonts w:cs="Arial"/>
          <w:sz w:val="20"/>
          <w:lang w:val="en-CA"/>
        </w:rPr>
        <w:t>&gt; (Date de consultation inconnue).</w:t>
      </w:r>
    </w:p>
    <w:sectPr w:rsidR="00F81FFF" w:rsidRPr="00805F97">
      <w:headerReference w:type="default" r:id="rId1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B04FEF" w14:textId="77777777" w:rsidR="003B70B6" w:rsidRDefault="003B70B6">
      <w:r>
        <w:separator/>
      </w:r>
    </w:p>
  </w:endnote>
  <w:endnote w:type="continuationSeparator" w:id="0">
    <w:p w14:paraId="50261FFB" w14:textId="77777777" w:rsidR="003B70B6" w:rsidRDefault="003B7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32B56F" w14:textId="77777777" w:rsidR="003B70B6" w:rsidRDefault="003B70B6">
      <w:r>
        <w:separator/>
      </w:r>
    </w:p>
  </w:footnote>
  <w:footnote w:type="continuationSeparator" w:id="0">
    <w:p w14:paraId="5A6D8345" w14:textId="77777777" w:rsidR="003B70B6" w:rsidRDefault="003B70B6">
      <w:r>
        <w:continuationSeparator/>
      </w:r>
    </w:p>
  </w:footnote>
  <w:footnote w:id="1">
    <w:p w14:paraId="50E857BA" w14:textId="2E4A9602" w:rsidR="0083172C" w:rsidRPr="0083172C" w:rsidRDefault="0083172C" w:rsidP="008317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Selon la décision rendue le 11 juin 2020.</w:t>
      </w:r>
    </w:p>
  </w:footnote>
  <w:footnote w:id="2">
    <w:p w14:paraId="2470A183" w14:textId="500DFDE0" w:rsidR="0083172C" w:rsidRPr="0083172C" w:rsidRDefault="0083172C" w:rsidP="008317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F0D2D">
        <w:rPr>
          <w:rFonts w:cs="Arial"/>
          <w:sz w:val="20"/>
        </w:rPr>
        <w:t>Dans une décision rendue le 29 décembre 2020.</w:t>
      </w:r>
    </w:p>
  </w:footnote>
  <w:footnote w:id="3">
    <w:p w14:paraId="6B849361" w14:textId="3BAB0A80" w:rsidR="00CF0D2D" w:rsidRPr="00CF0D2D" w:rsidRDefault="00CF0D2D" w:rsidP="00CF0D2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Dans le dossier numéro 1214980-63-2102.</w:t>
      </w:r>
    </w:p>
  </w:footnote>
  <w:footnote w:id="4">
    <w:p w14:paraId="1F2582FF" w14:textId="6663356E" w:rsidR="00CF0D2D" w:rsidRPr="00646869" w:rsidRDefault="00CF0D2D" w:rsidP="00CF0D2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DD0822">
        <w:rPr>
          <w:rFonts w:cs="Arial"/>
          <w:sz w:val="20"/>
        </w:rPr>
        <w:t xml:space="preserve">L’employeur </w:t>
      </w:r>
      <w:r w:rsidR="00DD0822" w:rsidRPr="00646869">
        <w:rPr>
          <w:rFonts w:cs="Arial"/>
          <w:sz w:val="20"/>
        </w:rPr>
        <w:t xml:space="preserve">conteste la décision rendue </w:t>
      </w:r>
      <w:r w:rsidR="001D16B7" w:rsidRPr="00646869">
        <w:rPr>
          <w:rFonts w:cs="Arial"/>
          <w:sz w:val="20"/>
        </w:rPr>
        <w:t>par la Commission à la suite d’une révision administrative</w:t>
      </w:r>
      <w:r w:rsidR="00450BA8">
        <w:rPr>
          <w:rFonts w:cs="Arial"/>
          <w:sz w:val="20"/>
        </w:rPr>
        <w:t xml:space="preserve">, </w:t>
      </w:r>
      <w:r w:rsidR="00DD0822" w:rsidRPr="00646869">
        <w:rPr>
          <w:rFonts w:cs="Arial"/>
          <w:sz w:val="20"/>
        </w:rPr>
        <w:t>le 29 décembre 2020</w:t>
      </w:r>
      <w:r w:rsidR="00450BA8" w:rsidRPr="00463F85">
        <w:rPr>
          <w:rFonts w:cs="Arial"/>
          <w:sz w:val="20"/>
        </w:rPr>
        <w:t>,</w:t>
      </w:r>
      <w:r w:rsidR="001D16B7" w:rsidRPr="00646869">
        <w:rPr>
          <w:rFonts w:cs="Arial"/>
          <w:sz w:val="20"/>
        </w:rPr>
        <w:t xml:space="preserve"> confirmant la décision d’</w:t>
      </w:r>
      <w:r w:rsidRPr="00646869">
        <w:rPr>
          <w:rFonts w:cs="Arial"/>
          <w:sz w:val="20"/>
        </w:rPr>
        <w:t xml:space="preserve">imputation générale du coût des prestations, d’où le deuxième litige dans le </w:t>
      </w:r>
      <w:r w:rsidRPr="00463F85">
        <w:rPr>
          <w:rFonts w:cs="Arial"/>
          <w:sz w:val="20"/>
        </w:rPr>
        <w:t xml:space="preserve">dossier </w:t>
      </w:r>
      <w:r w:rsidR="00450BA8" w:rsidRPr="00463F85">
        <w:rPr>
          <w:rFonts w:cs="Arial"/>
          <w:sz w:val="20"/>
        </w:rPr>
        <w:t>numéro</w:t>
      </w:r>
      <w:r w:rsidR="00450BA8">
        <w:rPr>
          <w:rFonts w:cs="Arial"/>
          <w:sz w:val="20"/>
        </w:rPr>
        <w:t xml:space="preserve"> </w:t>
      </w:r>
      <w:r w:rsidRPr="00646869">
        <w:rPr>
          <w:rFonts w:cs="Arial"/>
          <w:sz w:val="20"/>
        </w:rPr>
        <w:t>1215012-63-2102.</w:t>
      </w:r>
    </w:p>
  </w:footnote>
  <w:footnote w:id="5">
    <w:p w14:paraId="56308A89" w14:textId="700CE60A" w:rsidR="00033D23" w:rsidRPr="00033D23" w:rsidRDefault="00033D23" w:rsidP="00033D23">
      <w:pPr>
        <w:pStyle w:val="Notedebasdepage"/>
        <w:tabs>
          <w:tab w:val="left" w:pos="720"/>
        </w:tabs>
        <w:ind w:left="720" w:hanging="720"/>
        <w:jc w:val="both"/>
        <w:rPr>
          <w:rFonts w:cs="Arial"/>
          <w:sz w:val="20"/>
        </w:rPr>
      </w:pPr>
      <w:r w:rsidRPr="00646869">
        <w:rPr>
          <w:rStyle w:val="Appelnotedebasdep"/>
        </w:rPr>
        <w:footnoteRef/>
      </w:r>
      <w:r w:rsidRPr="00646869">
        <w:t xml:space="preserve"> </w:t>
      </w:r>
      <w:r w:rsidRPr="00646869">
        <w:rPr>
          <w:rFonts w:cs="Arial"/>
          <w:sz w:val="20"/>
        </w:rPr>
        <w:tab/>
        <w:t xml:space="preserve">Voir la </w:t>
      </w:r>
      <w:r w:rsidR="00DD0822" w:rsidRPr="00646869">
        <w:rPr>
          <w:rFonts w:cs="Arial"/>
          <w:sz w:val="20"/>
        </w:rPr>
        <w:t xml:space="preserve">liste de </w:t>
      </w:r>
      <w:r w:rsidRPr="00646869">
        <w:rPr>
          <w:rFonts w:cs="Arial"/>
          <w:sz w:val="20"/>
        </w:rPr>
        <w:t>littérature déposée</w:t>
      </w:r>
      <w:r>
        <w:rPr>
          <w:rFonts w:cs="Arial"/>
          <w:sz w:val="20"/>
        </w:rPr>
        <w:t xml:space="preserve"> par l’employeur dans la bibliographie annexée à la présente décision.</w:t>
      </w:r>
    </w:p>
  </w:footnote>
  <w:footnote w:id="6">
    <w:p w14:paraId="557A4704" w14:textId="77777777" w:rsidR="00950F4E" w:rsidRPr="0042216D" w:rsidRDefault="00950F4E" w:rsidP="00950F4E">
      <w:pPr>
        <w:pStyle w:val="Notedebasdepage"/>
        <w:tabs>
          <w:tab w:val="left" w:pos="720"/>
        </w:tabs>
        <w:ind w:left="720" w:hanging="720"/>
        <w:jc w:val="both"/>
        <w:rPr>
          <w:rFonts w:cs="Arial"/>
          <w:sz w:val="20"/>
        </w:rPr>
      </w:pPr>
      <w:r>
        <w:rPr>
          <w:rStyle w:val="Appelnotedebasdep"/>
        </w:rPr>
        <w:footnoteRef/>
      </w:r>
      <w:r w:rsidRPr="005E0D49">
        <w:t xml:space="preserve"> </w:t>
      </w:r>
      <w:r w:rsidRPr="005E0D49">
        <w:rPr>
          <w:rFonts w:cs="Arial"/>
          <w:sz w:val="20"/>
        </w:rPr>
        <w:tab/>
      </w:r>
      <w:r w:rsidRPr="0042216D">
        <w:rPr>
          <w:rFonts w:cs="Arial"/>
          <w:sz w:val="20"/>
        </w:rPr>
        <w:t>L.Q. 2021, c. 27.</w:t>
      </w:r>
    </w:p>
  </w:footnote>
  <w:footnote w:id="7">
    <w:p w14:paraId="4E8F81CB" w14:textId="0A291C9F" w:rsidR="00950F4E" w:rsidRPr="001D16B7" w:rsidRDefault="00950F4E" w:rsidP="00475297">
      <w:pPr>
        <w:pStyle w:val="Notedebasdepage"/>
        <w:tabs>
          <w:tab w:val="left" w:pos="720"/>
        </w:tabs>
        <w:ind w:left="720" w:hanging="720"/>
      </w:pPr>
      <w:r w:rsidRPr="0042216D">
        <w:rPr>
          <w:rStyle w:val="Appelnotedebasdep"/>
        </w:rPr>
        <w:footnoteRef/>
      </w:r>
      <w:r w:rsidRPr="0042216D">
        <w:t xml:space="preserve"> </w:t>
      </w:r>
      <w:r w:rsidRPr="0042216D">
        <w:tab/>
      </w:r>
      <w:r w:rsidRPr="0042216D">
        <w:rPr>
          <w:sz w:val="20"/>
        </w:rPr>
        <w:t>RLRQ,</w:t>
      </w:r>
      <w:r w:rsidRPr="001D16B7">
        <w:rPr>
          <w:sz w:val="20"/>
        </w:rPr>
        <w:t xml:space="preserve"> c. A-3.001.</w:t>
      </w:r>
    </w:p>
  </w:footnote>
  <w:footnote w:id="8">
    <w:p w14:paraId="2A60883B" w14:textId="3653878D" w:rsidR="00C433E4" w:rsidRPr="00116521" w:rsidRDefault="00C433E4" w:rsidP="00C433E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Il passe en revue la littérature citée par le docteur Osterman, mais il s’appui</w:t>
      </w:r>
      <w:r w:rsidR="001D16B7">
        <w:rPr>
          <w:rFonts w:cs="Arial"/>
          <w:sz w:val="20"/>
        </w:rPr>
        <w:t>e</w:t>
      </w:r>
      <w:r>
        <w:rPr>
          <w:rFonts w:cs="Arial"/>
          <w:sz w:val="20"/>
        </w:rPr>
        <w:t xml:space="preserve"> également sur la monographie du Centre International de Recherche sur le Cancer (CIRC), </w:t>
      </w:r>
      <w:r w:rsidRPr="00C433E4">
        <w:rPr>
          <w:rFonts w:cs="Arial"/>
          <w:sz w:val="20"/>
        </w:rPr>
        <w:t xml:space="preserve">INTERNATIONAL AGENCY FOR RESEARCH ON CANCER, </w:t>
      </w:r>
      <w:r w:rsidRPr="00C433E4">
        <w:rPr>
          <w:rFonts w:cs="Arial"/>
          <w:i/>
          <w:iCs/>
          <w:sz w:val="20"/>
        </w:rPr>
        <w:t xml:space="preserve">Benzene : IARC Monographs on the Evaluation of Carcinogenic Risks to Humans, </w:t>
      </w:r>
      <w:r w:rsidRPr="00C433E4">
        <w:rPr>
          <w:rFonts w:cs="Arial"/>
          <w:sz w:val="20"/>
        </w:rPr>
        <w:t xml:space="preserve">coll. </w:t>
      </w:r>
      <w:r w:rsidRPr="00227683">
        <w:rPr>
          <w:rFonts w:cs="Arial"/>
          <w:sz w:val="20"/>
          <w:lang w:val="en-CA"/>
        </w:rPr>
        <w:t>« IARC Monographs on the Evaluation of Carcinogenic Risks to Humans, vol. 120 », Lyon, International Agency for Research on Cancer, 2018</w:t>
      </w:r>
      <w:r w:rsidRPr="00116521">
        <w:rPr>
          <w:rFonts w:cs="Arial"/>
          <w:sz w:val="20"/>
          <w:lang w:val="en-CA"/>
        </w:rPr>
        <w:t>, [En ligne]</w:t>
      </w:r>
      <w:r w:rsidR="00116521" w:rsidRPr="00116521">
        <w:rPr>
          <w:rFonts w:cs="Arial"/>
          <w:sz w:val="20"/>
          <w:lang w:val="en-CA"/>
        </w:rPr>
        <w:t>.</w:t>
      </w:r>
      <w:r w:rsidR="00116521">
        <w:rPr>
          <w:rFonts w:cs="Arial"/>
          <w:sz w:val="20"/>
          <w:lang w:val="en-CA"/>
        </w:rPr>
        <w:t xml:space="preserve"> </w:t>
      </w:r>
      <w:r w:rsidR="00116521" w:rsidRPr="00116521">
        <w:rPr>
          <w:rFonts w:cs="Arial"/>
          <w:sz w:val="20"/>
        </w:rPr>
        <w:t>&lt;</w:t>
      </w:r>
      <w:hyperlink r:id="rId1" w:history="1">
        <w:r w:rsidR="00116521" w:rsidRPr="00116521">
          <w:rPr>
            <w:rStyle w:val="Lienhypertexte"/>
            <w:rFonts w:cs="Arial"/>
            <w:sz w:val="20"/>
          </w:rPr>
          <w:t>https://www.ncbi.nlm.nih.gov/books/NBK550157/pdf/Bookshelf_NBK550157.pdf</w:t>
        </w:r>
      </w:hyperlink>
      <w:r w:rsidR="00116521" w:rsidRPr="00116521">
        <w:rPr>
          <w:rFonts w:cs="Arial"/>
          <w:sz w:val="20"/>
        </w:rPr>
        <w:t>&gt; (Date de consultation inconnue).</w:t>
      </w:r>
    </w:p>
  </w:footnote>
  <w:footnote w:id="9">
    <w:p w14:paraId="0CE61E60" w14:textId="7018D014" w:rsidR="00C10703" w:rsidRPr="000D6019" w:rsidRDefault="00C10703" w:rsidP="00C10703">
      <w:pPr>
        <w:pStyle w:val="Notedebasdepage"/>
        <w:tabs>
          <w:tab w:val="left" w:pos="720"/>
        </w:tabs>
        <w:ind w:left="720" w:hanging="720"/>
        <w:jc w:val="both"/>
        <w:rPr>
          <w:rFonts w:cs="Arial"/>
          <w:sz w:val="20"/>
        </w:rPr>
      </w:pPr>
      <w:r w:rsidRPr="000D6019">
        <w:rPr>
          <w:rStyle w:val="Appelnotedebasdep"/>
        </w:rPr>
        <w:footnoteRef/>
      </w:r>
      <w:r w:rsidRPr="000D6019">
        <w:t xml:space="preserve"> </w:t>
      </w:r>
      <w:r w:rsidRPr="000D6019">
        <w:rPr>
          <w:rFonts w:cs="Arial"/>
          <w:sz w:val="20"/>
        </w:rPr>
        <w:tab/>
        <w:t>RLRQ, c. A-3.001, r.8.1</w:t>
      </w:r>
      <w:r w:rsidR="00B40928" w:rsidRPr="009C509E">
        <w:rPr>
          <w:rFonts w:cs="Arial"/>
          <w:sz w:val="20"/>
        </w:rPr>
        <w:t>, le Règlement.</w:t>
      </w:r>
    </w:p>
  </w:footnote>
  <w:footnote w:id="10">
    <w:p w14:paraId="7327F382" w14:textId="77777777" w:rsidR="00C10703" w:rsidRPr="000D6019" w:rsidRDefault="00C10703" w:rsidP="00C10703">
      <w:pPr>
        <w:pStyle w:val="Notedebasdepage"/>
        <w:tabs>
          <w:tab w:val="left" w:pos="720"/>
        </w:tabs>
        <w:ind w:left="720" w:hanging="720"/>
        <w:jc w:val="both"/>
        <w:rPr>
          <w:rFonts w:cs="Arial"/>
          <w:sz w:val="20"/>
        </w:rPr>
      </w:pPr>
      <w:r w:rsidRPr="000D6019">
        <w:rPr>
          <w:rStyle w:val="Appelnotedebasdep"/>
        </w:rPr>
        <w:footnoteRef/>
      </w:r>
      <w:r w:rsidRPr="000D6019">
        <w:t xml:space="preserve"> </w:t>
      </w:r>
      <w:r w:rsidRPr="000D6019">
        <w:rPr>
          <w:rFonts w:cs="Arial"/>
          <w:sz w:val="20"/>
        </w:rPr>
        <w:tab/>
        <w:t>Le Règlement remplace l’Annexe 1 de la Loi qui est maintenant abrogée.</w:t>
      </w:r>
    </w:p>
  </w:footnote>
  <w:footnote w:id="11">
    <w:p w14:paraId="75AAF813" w14:textId="4ECB3020" w:rsidR="006332EE" w:rsidRPr="006332EE" w:rsidRDefault="006332EE" w:rsidP="006332EE">
      <w:pPr>
        <w:pStyle w:val="Notedebasdepage"/>
        <w:tabs>
          <w:tab w:val="left" w:pos="720"/>
        </w:tabs>
        <w:ind w:left="720" w:hanging="720"/>
        <w:jc w:val="both"/>
        <w:rPr>
          <w:rFonts w:cs="Arial"/>
          <w:i/>
          <w:iCs/>
          <w:sz w:val="20"/>
        </w:rPr>
      </w:pPr>
      <w:r>
        <w:rPr>
          <w:rStyle w:val="Appelnotedebasdep"/>
        </w:rPr>
        <w:footnoteRef/>
      </w:r>
      <w:r>
        <w:t xml:space="preserve"> </w:t>
      </w:r>
      <w:r>
        <w:rPr>
          <w:rFonts w:cs="Arial"/>
          <w:sz w:val="20"/>
        </w:rPr>
        <w:tab/>
      </w:r>
      <w:r w:rsidR="00BC7C73">
        <w:rPr>
          <w:rFonts w:cs="Arial"/>
          <w:color w:val="000000"/>
          <w:sz w:val="20"/>
        </w:rPr>
        <w:t xml:space="preserve">Pierre-André CÔTÉ et Mathieu DEVINAT, </w:t>
      </w:r>
      <w:r w:rsidR="00BC7C73">
        <w:rPr>
          <w:rFonts w:cs="Arial"/>
          <w:i/>
          <w:iCs/>
          <w:color w:val="000000"/>
          <w:sz w:val="20"/>
        </w:rPr>
        <w:t xml:space="preserve">Interprétation des lois, </w:t>
      </w:r>
      <w:r w:rsidR="00BC7C73">
        <w:rPr>
          <w:rFonts w:cs="Arial"/>
          <w:color w:val="000000"/>
          <w:sz w:val="20"/>
        </w:rPr>
        <w:t>5</w:t>
      </w:r>
      <w:r w:rsidR="00BC7C73" w:rsidRPr="008A4510">
        <w:rPr>
          <w:rFonts w:cs="Arial"/>
          <w:color w:val="000000"/>
          <w:sz w:val="20"/>
          <w:vertAlign w:val="superscript"/>
        </w:rPr>
        <w:t>e</w:t>
      </w:r>
      <w:r w:rsidR="00BC7C73">
        <w:rPr>
          <w:rFonts w:cs="Arial"/>
          <w:color w:val="000000"/>
          <w:sz w:val="20"/>
        </w:rPr>
        <w:t> éd</w:t>
      </w:r>
      <w:r w:rsidR="005C1FCF" w:rsidRPr="003209D2">
        <w:rPr>
          <w:rFonts w:cs="Arial"/>
          <w:color w:val="000000"/>
          <w:sz w:val="20"/>
        </w:rPr>
        <w:t>.</w:t>
      </w:r>
      <w:r w:rsidR="00BC7C73" w:rsidRPr="003209D2">
        <w:rPr>
          <w:rFonts w:cs="Arial"/>
          <w:color w:val="000000"/>
          <w:sz w:val="20"/>
        </w:rPr>
        <w:t>,</w:t>
      </w:r>
      <w:r w:rsidR="00BC7C73">
        <w:rPr>
          <w:rFonts w:cs="Arial"/>
          <w:color w:val="000000"/>
          <w:sz w:val="20"/>
        </w:rPr>
        <w:t xml:space="preserve"> Montréal, Éditions Thémis, 2021, pp.</w:t>
      </w:r>
      <w:r w:rsidR="00197173">
        <w:rPr>
          <w:rFonts w:cs="Arial"/>
          <w:color w:val="000000"/>
          <w:sz w:val="20"/>
        </w:rPr>
        <w:t xml:space="preserve"> </w:t>
      </w:r>
      <w:r w:rsidR="00BC7C73">
        <w:rPr>
          <w:rFonts w:cs="Arial"/>
          <w:color w:val="000000"/>
          <w:sz w:val="20"/>
        </w:rPr>
        <w:t>147-156</w:t>
      </w:r>
      <w:r>
        <w:rPr>
          <w:rFonts w:cs="Arial"/>
          <w:sz w:val="20"/>
        </w:rPr>
        <w:t>.</w:t>
      </w:r>
      <w:r>
        <w:rPr>
          <w:rFonts w:cs="Arial"/>
          <w:i/>
          <w:iCs/>
          <w:sz w:val="20"/>
        </w:rPr>
        <w:t xml:space="preserve"> </w:t>
      </w:r>
    </w:p>
  </w:footnote>
  <w:footnote w:id="12">
    <w:p w14:paraId="16E26ED8" w14:textId="79D35779" w:rsidR="00BC7C73" w:rsidRPr="00BC7C73" w:rsidRDefault="00BC7C73" w:rsidP="00BC7C7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C7C73">
        <w:rPr>
          <w:sz w:val="20"/>
        </w:rPr>
        <w:t>2023 QCTAT 4443.</w:t>
      </w:r>
    </w:p>
  </w:footnote>
  <w:footnote w:id="13">
    <w:p w14:paraId="3E2B831A" w14:textId="1B69BC9B" w:rsidR="00BA53F2" w:rsidRPr="00BA53F2" w:rsidRDefault="00BA53F2" w:rsidP="00BA53F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5A6FDE" w:rsidRPr="00197173">
        <w:rPr>
          <w:rFonts w:cs="Arial"/>
          <w:i/>
          <w:iCs/>
          <w:sz w:val="20"/>
        </w:rPr>
        <w:t>Desjardins et J.A. Fortier Construction inc.,</w:t>
      </w:r>
      <w:r w:rsidR="005A6FDE" w:rsidRPr="00197173">
        <w:rPr>
          <w:rFonts w:cs="Arial"/>
          <w:sz w:val="20"/>
        </w:rPr>
        <w:t xml:space="preserve"> précitée, note 12.</w:t>
      </w:r>
    </w:p>
  </w:footnote>
  <w:footnote w:id="14">
    <w:p w14:paraId="012760F7" w14:textId="132EF535" w:rsidR="00B10E9B" w:rsidRPr="00B10E9B" w:rsidRDefault="00B10E9B" w:rsidP="00B10E9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10E9B">
        <w:rPr>
          <w:rFonts w:cs="Arial"/>
          <w:sz w:val="20"/>
        </w:rPr>
        <w:t>2022 QCTAT 4439</w:t>
      </w:r>
      <w:r>
        <w:rPr>
          <w:rFonts w:cs="Arial"/>
          <w:sz w:val="20"/>
        </w:rPr>
        <w:t>.</w:t>
      </w:r>
    </w:p>
  </w:footnote>
  <w:footnote w:id="15">
    <w:p w14:paraId="41B04ADA" w14:textId="6D4A85C5" w:rsidR="009A4884" w:rsidRPr="00317B92" w:rsidRDefault="009A4884" w:rsidP="009A4884">
      <w:pPr>
        <w:pStyle w:val="Notedebasdepage"/>
        <w:tabs>
          <w:tab w:val="left" w:pos="720"/>
        </w:tabs>
        <w:ind w:left="720" w:hanging="720"/>
        <w:jc w:val="both"/>
        <w:rPr>
          <w:rFonts w:cs="Arial"/>
          <w:sz w:val="20"/>
        </w:rPr>
      </w:pPr>
      <w:r w:rsidRPr="000D6019">
        <w:rPr>
          <w:rStyle w:val="Appelnotedebasdep"/>
        </w:rPr>
        <w:footnoteRef/>
      </w:r>
      <w:r w:rsidRPr="000D6019">
        <w:t xml:space="preserve"> </w:t>
      </w:r>
      <w:r w:rsidRPr="000D6019">
        <w:rPr>
          <w:rFonts w:cs="Arial"/>
          <w:sz w:val="20"/>
        </w:rPr>
        <w:tab/>
      </w:r>
      <w:r w:rsidR="00BA53F2" w:rsidRPr="00BA53F2">
        <w:rPr>
          <w:rFonts w:cs="Arial"/>
          <w:sz w:val="20"/>
        </w:rPr>
        <w:t>2022 QCTAT 2554</w:t>
      </w:r>
      <w:r w:rsidRPr="000D6019">
        <w:rPr>
          <w:rFonts w:cs="Arial"/>
          <w:sz w:val="20"/>
        </w:rPr>
        <w:t>.</w:t>
      </w:r>
    </w:p>
  </w:footnote>
  <w:footnote w:id="16">
    <w:p w14:paraId="0607B19B" w14:textId="60E3F24C" w:rsidR="00D334CA" w:rsidRPr="00F0753A" w:rsidRDefault="00D334CA" w:rsidP="00D334C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5F1321">
        <w:rPr>
          <w:rFonts w:cs="Arial"/>
          <w:sz w:val="20"/>
        </w:rPr>
        <w:t>Date correspondant à</w:t>
      </w:r>
      <w:r>
        <w:rPr>
          <w:rFonts w:cs="Arial"/>
          <w:sz w:val="20"/>
        </w:rPr>
        <w:t xml:space="preserve"> </w:t>
      </w:r>
      <w:r w:rsidR="002B661D">
        <w:rPr>
          <w:rFonts w:cs="Arial"/>
          <w:sz w:val="20"/>
        </w:rPr>
        <w:t xml:space="preserve">la première </w:t>
      </w:r>
      <w:r>
        <w:rPr>
          <w:rFonts w:cs="Arial"/>
          <w:sz w:val="20"/>
        </w:rPr>
        <w:t xml:space="preserve">Attestation médicale </w:t>
      </w:r>
      <w:r w:rsidR="005F1321">
        <w:rPr>
          <w:rFonts w:cs="Arial"/>
          <w:sz w:val="20"/>
        </w:rPr>
        <w:t>et renfermant le diagnostic d’intoxications répétées à des solvants.</w:t>
      </w:r>
    </w:p>
  </w:footnote>
  <w:footnote w:id="17">
    <w:p w14:paraId="0B46FEE2" w14:textId="61A7FBD8" w:rsidR="006B4F95" w:rsidRPr="003209D2" w:rsidRDefault="005F1321" w:rsidP="003209D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Date correspondant à la seconde Attestation médicale et renfermant le diagnostic de leucémie myéloïde chronique </w:t>
      </w:r>
      <w:r w:rsidRPr="005F1321">
        <w:rPr>
          <w:rFonts w:cs="Arial"/>
          <w:sz w:val="20"/>
        </w:rPr>
        <w:t xml:space="preserve">en phase blastique en relation avec </w:t>
      </w:r>
      <w:r>
        <w:rPr>
          <w:rFonts w:cs="Arial"/>
          <w:sz w:val="20"/>
        </w:rPr>
        <w:t xml:space="preserve">une </w:t>
      </w:r>
      <w:r w:rsidRPr="005F1321">
        <w:rPr>
          <w:rFonts w:cs="Arial"/>
          <w:sz w:val="20"/>
        </w:rPr>
        <w:t>exposition importante à des solvants</w:t>
      </w:r>
      <w:r>
        <w:rPr>
          <w:rFonts w:cs="Arial"/>
          <w:sz w:val="20"/>
        </w:rPr>
        <w:t>.</w:t>
      </w:r>
    </w:p>
  </w:footnote>
  <w:footnote w:id="18">
    <w:p w14:paraId="4AB00A70" w14:textId="2134E9CA" w:rsidR="009804D3" w:rsidRPr="009804D3" w:rsidRDefault="009804D3" w:rsidP="009804D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9804D3">
        <w:rPr>
          <w:rFonts w:cs="Arial"/>
          <w:sz w:val="20"/>
        </w:rPr>
        <w:t>C.L.P. 91084-62-9709, 22 octobre 1999</w:t>
      </w:r>
      <w:r>
        <w:rPr>
          <w:rFonts w:cs="Arial"/>
          <w:sz w:val="20"/>
        </w:rPr>
        <w:t>.</w:t>
      </w:r>
    </w:p>
  </w:footnote>
  <w:footnote w:id="19">
    <w:p w14:paraId="5A5B7A0E" w14:textId="72B0CFC9" w:rsidR="00422A97" w:rsidRPr="00422A97" w:rsidRDefault="00422A97" w:rsidP="00422A9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422A97">
        <w:rPr>
          <w:rFonts w:cs="Arial"/>
          <w:i/>
          <w:iCs/>
          <w:sz w:val="20"/>
        </w:rPr>
        <w:t>Essiambre</w:t>
      </w:r>
      <w:r w:rsidRPr="00422A97">
        <w:rPr>
          <w:rFonts w:cs="Arial"/>
          <w:sz w:val="20"/>
        </w:rPr>
        <w:t xml:space="preserve"> et </w:t>
      </w:r>
      <w:r w:rsidRPr="00422A97">
        <w:rPr>
          <w:rFonts w:cs="Arial"/>
          <w:i/>
          <w:iCs/>
          <w:sz w:val="20"/>
        </w:rPr>
        <w:t>Provigo division Maxi Val-D’Or</w:t>
      </w:r>
      <w:r>
        <w:rPr>
          <w:rFonts w:cs="Arial"/>
          <w:sz w:val="20"/>
        </w:rPr>
        <w:t xml:space="preserve">, </w:t>
      </w:r>
      <w:r w:rsidRPr="00422A97">
        <w:rPr>
          <w:rFonts w:cs="Arial"/>
          <w:sz w:val="20"/>
        </w:rPr>
        <w:t>C.L.P. 219799-08-0311, 27 février 2004</w:t>
      </w:r>
      <w:r>
        <w:rPr>
          <w:rFonts w:cs="Arial"/>
          <w:sz w:val="20"/>
        </w:rPr>
        <w:t xml:space="preserve">; </w:t>
      </w:r>
      <w:r w:rsidRPr="00422A97">
        <w:rPr>
          <w:rFonts w:cs="Arial"/>
          <w:i/>
          <w:iCs/>
          <w:sz w:val="20"/>
        </w:rPr>
        <w:t>Nedev</w:t>
      </w:r>
      <w:r w:rsidRPr="00422A97">
        <w:rPr>
          <w:rFonts w:cs="Arial"/>
          <w:sz w:val="20"/>
        </w:rPr>
        <w:t xml:space="preserve"> et </w:t>
      </w:r>
      <w:r w:rsidRPr="00422A97">
        <w:rPr>
          <w:rFonts w:cs="Arial"/>
          <w:i/>
          <w:iCs/>
          <w:sz w:val="20"/>
        </w:rPr>
        <w:t>Petro Canada</w:t>
      </w:r>
      <w:r w:rsidRPr="00422A97">
        <w:rPr>
          <w:rFonts w:cs="Arial"/>
          <w:sz w:val="20"/>
        </w:rPr>
        <w:t xml:space="preserve">, 2012 QCCLP 2335; </w:t>
      </w:r>
      <w:r w:rsidRPr="00422A97">
        <w:rPr>
          <w:rFonts w:cs="Arial"/>
          <w:i/>
          <w:iCs/>
          <w:sz w:val="20"/>
        </w:rPr>
        <w:t>Blais</w:t>
      </w:r>
      <w:r w:rsidRPr="00422A97">
        <w:rPr>
          <w:rFonts w:cs="Arial"/>
          <w:sz w:val="20"/>
        </w:rPr>
        <w:t xml:space="preserve"> et </w:t>
      </w:r>
      <w:r w:rsidRPr="00422A97">
        <w:rPr>
          <w:rFonts w:cs="Arial"/>
          <w:i/>
          <w:iCs/>
          <w:sz w:val="20"/>
        </w:rPr>
        <w:t xml:space="preserve">Borea Construction, u.l.c., </w:t>
      </w:r>
      <w:r w:rsidRPr="00422A97">
        <w:rPr>
          <w:rFonts w:cs="Arial"/>
          <w:sz w:val="20"/>
        </w:rPr>
        <w:t xml:space="preserve">2014 QCCLP 4921; </w:t>
      </w:r>
      <w:r w:rsidRPr="00422A97">
        <w:rPr>
          <w:rFonts w:cs="Arial"/>
          <w:i/>
          <w:iCs/>
          <w:sz w:val="20"/>
        </w:rPr>
        <w:t xml:space="preserve">Supermarché DDO inc. (IGA) </w:t>
      </w:r>
      <w:r w:rsidRPr="00422A97">
        <w:rPr>
          <w:rFonts w:cs="Arial"/>
          <w:sz w:val="20"/>
        </w:rPr>
        <w:t xml:space="preserve">et </w:t>
      </w:r>
      <w:r w:rsidRPr="00422A97">
        <w:rPr>
          <w:rFonts w:cs="Arial"/>
          <w:i/>
          <w:iCs/>
          <w:sz w:val="20"/>
        </w:rPr>
        <w:t>Nowlin</w:t>
      </w:r>
      <w:r w:rsidRPr="00422A97">
        <w:rPr>
          <w:rFonts w:cs="Arial"/>
          <w:sz w:val="20"/>
        </w:rPr>
        <w:t xml:space="preserve">, 2016 QCTAT 6538; </w:t>
      </w:r>
      <w:r w:rsidRPr="00422A97">
        <w:rPr>
          <w:rFonts w:cs="Arial"/>
          <w:i/>
          <w:iCs/>
          <w:sz w:val="20"/>
        </w:rPr>
        <w:t>Therriault</w:t>
      </w:r>
      <w:r w:rsidRPr="00422A97">
        <w:rPr>
          <w:rFonts w:cs="Arial"/>
          <w:sz w:val="20"/>
        </w:rPr>
        <w:t xml:space="preserve"> et </w:t>
      </w:r>
      <w:r w:rsidRPr="00422A97">
        <w:rPr>
          <w:rFonts w:cs="Arial"/>
          <w:i/>
          <w:iCs/>
          <w:sz w:val="20"/>
        </w:rPr>
        <w:t>Service correctionnel du</w:t>
      </w:r>
      <w:r w:rsidR="00B40928">
        <w:rPr>
          <w:rFonts w:cs="Arial"/>
          <w:i/>
          <w:iCs/>
          <w:sz w:val="20"/>
        </w:rPr>
        <w:t> </w:t>
      </w:r>
      <w:r w:rsidRPr="00422A97">
        <w:rPr>
          <w:rFonts w:cs="Arial"/>
          <w:i/>
          <w:iCs/>
          <w:sz w:val="20"/>
        </w:rPr>
        <w:t>Canada,</w:t>
      </w:r>
      <w:r w:rsidRPr="00422A97">
        <w:rPr>
          <w:rFonts w:cs="Arial"/>
          <w:sz w:val="20"/>
        </w:rPr>
        <w:t xml:space="preserve"> 2021 QCTAT 3819; </w:t>
      </w:r>
      <w:r w:rsidRPr="00422A97">
        <w:rPr>
          <w:rFonts w:cs="Arial"/>
          <w:i/>
          <w:iCs/>
          <w:sz w:val="20"/>
        </w:rPr>
        <w:t>Lavoie</w:t>
      </w:r>
      <w:r w:rsidRPr="00422A97">
        <w:rPr>
          <w:rFonts w:cs="Arial"/>
          <w:sz w:val="20"/>
        </w:rPr>
        <w:t xml:space="preserve"> et </w:t>
      </w:r>
      <w:r w:rsidRPr="00422A97">
        <w:rPr>
          <w:rFonts w:cs="Arial"/>
          <w:i/>
          <w:iCs/>
          <w:sz w:val="20"/>
        </w:rPr>
        <w:t>Quincaillerie Gauvin inc</w:t>
      </w:r>
      <w:r w:rsidRPr="00422A97">
        <w:rPr>
          <w:rFonts w:cs="Arial"/>
          <w:sz w:val="20"/>
        </w:rPr>
        <w:t xml:space="preserve">., 2020 QCTAT 4291; </w:t>
      </w:r>
      <w:r w:rsidRPr="00422A97">
        <w:rPr>
          <w:rFonts w:cs="Arial"/>
          <w:i/>
          <w:iCs/>
          <w:sz w:val="20"/>
        </w:rPr>
        <w:t>Pomerleau</w:t>
      </w:r>
      <w:r w:rsidRPr="00422A97">
        <w:rPr>
          <w:rFonts w:cs="Arial"/>
          <w:sz w:val="20"/>
        </w:rPr>
        <w:t xml:space="preserve"> et </w:t>
      </w:r>
      <w:r w:rsidRPr="00422A97">
        <w:rPr>
          <w:rFonts w:cs="Arial"/>
          <w:i/>
          <w:iCs/>
          <w:sz w:val="20"/>
        </w:rPr>
        <w:t>Cégep de l'Outaouais</w:t>
      </w:r>
      <w:r w:rsidRPr="00422A97">
        <w:rPr>
          <w:rFonts w:cs="Arial"/>
          <w:sz w:val="20"/>
        </w:rPr>
        <w:t xml:space="preserve">, 2022 QCTAT 492; </w:t>
      </w:r>
      <w:r w:rsidRPr="00422A97">
        <w:rPr>
          <w:rFonts w:cs="Arial"/>
          <w:i/>
          <w:iCs/>
          <w:sz w:val="20"/>
        </w:rPr>
        <w:t>Burt-Wolfe</w:t>
      </w:r>
      <w:r w:rsidRPr="00422A97">
        <w:rPr>
          <w:rFonts w:cs="Arial"/>
          <w:sz w:val="20"/>
        </w:rPr>
        <w:t xml:space="preserve"> et </w:t>
      </w:r>
      <w:r w:rsidRPr="00422A97">
        <w:rPr>
          <w:rFonts w:cs="Arial"/>
          <w:i/>
          <w:iCs/>
          <w:sz w:val="20"/>
        </w:rPr>
        <w:t>Hôtel Sheraton Montréal Aéroport</w:t>
      </w:r>
      <w:r w:rsidRPr="00422A97">
        <w:rPr>
          <w:rFonts w:cs="Arial"/>
          <w:sz w:val="20"/>
        </w:rPr>
        <w:t>, 2022</w:t>
      </w:r>
      <w:r w:rsidR="005C1FCF">
        <w:rPr>
          <w:rFonts w:cs="Arial"/>
          <w:sz w:val="20"/>
        </w:rPr>
        <w:t> </w:t>
      </w:r>
      <w:r w:rsidRPr="00422A97">
        <w:rPr>
          <w:rFonts w:cs="Arial"/>
          <w:sz w:val="20"/>
        </w:rPr>
        <w:t>QCTAT 3031.</w:t>
      </w:r>
    </w:p>
  </w:footnote>
  <w:footnote w:id="20">
    <w:p w14:paraId="31FF1CEB" w14:textId="37632B84" w:rsidR="00B93F92" w:rsidRPr="007F0062" w:rsidRDefault="00B93F92" w:rsidP="00B93F9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AA36F8" w:rsidRPr="007F0062">
        <w:rPr>
          <w:rFonts w:cs="Arial"/>
          <w:sz w:val="20"/>
        </w:rPr>
        <w:t xml:space="preserve">Comme le mentionne le juge dans l’affaire </w:t>
      </w:r>
      <w:r w:rsidR="00AA36F8" w:rsidRPr="007F0062">
        <w:rPr>
          <w:rFonts w:cs="Arial"/>
          <w:i/>
          <w:iCs/>
          <w:sz w:val="20"/>
        </w:rPr>
        <w:t>Pomerleau</w:t>
      </w:r>
      <w:r w:rsidR="00AA36F8" w:rsidRPr="007F0062">
        <w:rPr>
          <w:rFonts w:cs="Arial"/>
          <w:sz w:val="20"/>
        </w:rPr>
        <w:t xml:space="preserve"> et </w:t>
      </w:r>
      <w:r w:rsidR="00AA36F8" w:rsidRPr="007F0062">
        <w:rPr>
          <w:rFonts w:cs="Arial"/>
          <w:i/>
          <w:iCs/>
          <w:sz w:val="20"/>
        </w:rPr>
        <w:t>Cégep de l'Outaouais</w:t>
      </w:r>
      <w:r w:rsidR="00AA36F8" w:rsidRPr="007F0062">
        <w:rPr>
          <w:rFonts w:cs="Arial"/>
          <w:sz w:val="20"/>
        </w:rPr>
        <w:t>, précitée</w:t>
      </w:r>
      <w:r w:rsidR="005C1FCF">
        <w:rPr>
          <w:rFonts w:cs="Arial"/>
          <w:sz w:val="20"/>
        </w:rPr>
        <w:t>,</w:t>
      </w:r>
      <w:r w:rsidR="00AA36F8" w:rsidRPr="007F0062">
        <w:rPr>
          <w:rFonts w:cs="Arial"/>
          <w:sz w:val="20"/>
        </w:rPr>
        <w:t xml:space="preserve"> note</w:t>
      </w:r>
      <w:r w:rsidR="005C1FCF">
        <w:rPr>
          <w:rFonts w:cs="Arial"/>
          <w:sz w:val="20"/>
        </w:rPr>
        <w:t> </w:t>
      </w:r>
      <w:r w:rsidR="00C42BDF">
        <w:rPr>
          <w:rFonts w:cs="Arial"/>
          <w:sz w:val="20"/>
        </w:rPr>
        <w:t>19</w:t>
      </w:r>
      <w:r w:rsidR="00AA36F8" w:rsidRPr="007F0062">
        <w:rPr>
          <w:rFonts w:cs="Arial"/>
          <w:sz w:val="20"/>
        </w:rPr>
        <w:t>.</w:t>
      </w:r>
    </w:p>
  </w:footnote>
  <w:footnote w:id="21">
    <w:p w14:paraId="60E6DA7E" w14:textId="6369E1CD" w:rsidR="00065270" w:rsidRPr="00065270" w:rsidRDefault="00065270" w:rsidP="00065270">
      <w:pPr>
        <w:pStyle w:val="Notedebasdepage"/>
        <w:tabs>
          <w:tab w:val="left" w:pos="720"/>
        </w:tabs>
        <w:ind w:left="720" w:hanging="720"/>
        <w:jc w:val="both"/>
        <w:rPr>
          <w:rFonts w:cs="Arial"/>
          <w:sz w:val="20"/>
        </w:rPr>
      </w:pPr>
      <w:r w:rsidRPr="007F0062">
        <w:rPr>
          <w:rStyle w:val="Appelnotedebasdep"/>
        </w:rPr>
        <w:footnoteRef/>
      </w:r>
      <w:r w:rsidRPr="007F0062">
        <w:t xml:space="preserve"> </w:t>
      </w:r>
      <w:r w:rsidRPr="007F0062">
        <w:rPr>
          <w:rFonts w:cs="Arial"/>
          <w:sz w:val="20"/>
        </w:rPr>
        <w:tab/>
        <w:t xml:space="preserve">Tel qu’il en a été décidé dans l’affaire </w:t>
      </w:r>
      <w:r w:rsidRPr="007F0062">
        <w:rPr>
          <w:rFonts w:cs="Arial"/>
          <w:i/>
          <w:iCs/>
          <w:sz w:val="20"/>
        </w:rPr>
        <w:t>Marceau</w:t>
      </w:r>
      <w:r w:rsidRPr="007F0062">
        <w:rPr>
          <w:rFonts w:cs="Arial"/>
          <w:sz w:val="20"/>
        </w:rPr>
        <w:t xml:space="preserve"> et </w:t>
      </w:r>
      <w:r w:rsidRPr="007F0062">
        <w:rPr>
          <w:rFonts w:cs="Arial"/>
          <w:i/>
          <w:iCs/>
          <w:sz w:val="20"/>
        </w:rPr>
        <w:t>Gouttière Rive-Sud Fabrication inc</w:t>
      </w:r>
      <w:r w:rsidRPr="007F0062">
        <w:rPr>
          <w:rFonts w:cs="Arial"/>
          <w:sz w:val="20"/>
        </w:rPr>
        <w:t>., précitée</w:t>
      </w:r>
      <w:r w:rsidR="005C1FCF">
        <w:rPr>
          <w:rFonts w:cs="Arial"/>
          <w:sz w:val="20"/>
        </w:rPr>
        <w:t>,</w:t>
      </w:r>
      <w:r w:rsidR="00B40928">
        <w:rPr>
          <w:rFonts w:cs="Arial"/>
          <w:sz w:val="20"/>
        </w:rPr>
        <w:t> </w:t>
      </w:r>
      <w:r w:rsidRPr="007F0062">
        <w:rPr>
          <w:rFonts w:cs="Arial"/>
          <w:sz w:val="20"/>
        </w:rPr>
        <w:t>note</w:t>
      </w:r>
      <w:r w:rsidR="00B93F92" w:rsidRPr="007F0062">
        <w:rPr>
          <w:rFonts w:cs="Arial"/>
          <w:sz w:val="20"/>
        </w:rPr>
        <w:t xml:space="preserve"> </w:t>
      </w:r>
      <w:r w:rsidR="00C42BDF">
        <w:rPr>
          <w:rFonts w:cs="Arial"/>
          <w:sz w:val="20"/>
        </w:rPr>
        <w:t>18</w:t>
      </w:r>
      <w:r w:rsidR="00B93F92" w:rsidRPr="007F0062">
        <w:rPr>
          <w:rFonts w:cs="Arial"/>
          <w:sz w:val="20"/>
        </w:rPr>
        <w:t>.</w:t>
      </w:r>
      <w:r>
        <w:rPr>
          <w:rFonts w:cs="Arial"/>
          <w:sz w:val="20"/>
        </w:rPr>
        <w:t xml:space="preserve"> </w:t>
      </w:r>
    </w:p>
  </w:footnote>
  <w:footnote w:id="22">
    <w:p w14:paraId="436E741B" w14:textId="6B756409" w:rsidR="008B48D2" w:rsidRPr="008B48D2" w:rsidRDefault="008B48D2" w:rsidP="008B48D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040663" w:rsidRPr="00040663">
        <w:rPr>
          <w:rFonts w:cs="Arial"/>
          <w:i/>
          <w:iCs/>
          <w:sz w:val="20"/>
        </w:rPr>
        <w:t>Marceau</w:t>
      </w:r>
      <w:r w:rsidR="00040663" w:rsidRPr="00040663">
        <w:rPr>
          <w:rFonts w:cs="Arial"/>
          <w:sz w:val="20"/>
        </w:rPr>
        <w:t xml:space="preserve"> et </w:t>
      </w:r>
      <w:r w:rsidR="00040663" w:rsidRPr="00040663">
        <w:rPr>
          <w:rFonts w:cs="Arial"/>
          <w:i/>
          <w:iCs/>
          <w:sz w:val="20"/>
        </w:rPr>
        <w:t>Gouttière Rive-Sud Fabrication inc</w:t>
      </w:r>
      <w:r w:rsidR="00040663" w:rsidRPr="00040663">
        <w:rPr>
          <w:rFonts w:cs="Arial"/>
          <w:sz w:val="20"/>
        </w:rPr>
        <w:t>.</w:t>
      </w:r>
      <w:r w:rsidR="00040663">
        <w:rPr>
          <w:rFonts w:cs="Arial"/>
          <w:sz w:val="20"/>
        </w:rPr>
        <w:t>, p</w:t>
      </w:r>
      <w:r w:rsidRPr="000B2C66">
        <w:rPr>
          <w:rFonts w:cs="Arial"/>
          <w:sz w:val="20"/>
        </w:rPr>
        <w:t>récitée</w:t>
      </w:r>
      <w:r w:rsidR="005C1FCF">
        <w:rPr>
          <w:rFonts w:cs="Arial"/>
          <w:sz w:val="20"/>
        </w:rPr>
        <w:t>,</w:t>
      </w:r>
      <w:r w:rsidRPr="000B2C66">
        <w:rPr>
          <w:rFonts w:cs="Arial"/>
          <w:sz w:val="20"/>
        </w:rPr>
        <w:t xml:space="preserve"> note</w:t>
      </w:r>
      <w:r w:rsidR="007F0062" w:rsidRPr="000B2C66">
        <w:rPr>
          <w:rFonts w:cs="Arial"/>
          <w:sz w:val="20"/>
        </w:rPr>
        <w:t xml:space="preserve"> </w:t>
      </w:r>
      <w:r w:rsidR="00C32220">
        <w:rPr>
          <w:rFonts w:cs="Arial"/>
          <w:sz w:val="20"/>
        </w:rPr>
        <w:t>18</w:t>
      </w:r>
      <w:r w:rsidR="00CE46D4" w:rsidRPr="000B2C66">
        <w:rPr>
          <w:rFonts w:cs="Arial"/>
          <w:sz w:val="20"/>
        </w:rPr>
        <w:t>.</w:t>
      </w:r>
    </w:p>
  </w:footnote>
  <w:footnote w:id="23">
    <w:p w14:paraId="1BBEB91A" w14:textId="3E6EA215" w:rsidR="00B24231" w:rsidRPr="00B24231" w:rsidRDefault="00B24231" w:rsidP="00B2423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A79E2">
        <w:rPr>
          <w:rFonts w:cs="Arial"/>
          <w:i/>
          <w:sz w:val="20"/>
        </w:rPr>
        <w:t xml:space="preserve">Paul </w:t>
      </w:r>
      <w:r w:rsidRPr="00EA79E2">
        <w:rPr>
          <w:rFonts w:cs="Arial"/>
          <w:sz w:val="20"/>
        </w:rPr>
        <w:t>et</w:t>
      </w:r>
      <w:r w:rsidRPr="00EA79E2">
        <w:rPr>
          <w:rFonts w:cs="Arial"/>
          <w:i/>
          <w:sz w:val="20"/>
        </w:rPr>
        <w:t xml:space="preserve"> CPE les Petits Chatons inc</w:t>
      </w:r>
      <w:r w:rsidRPr="00EA79E2">
        <w:rPr>
          <w:rFonts w:cs="Arial"/>
          <w:sz w:val="20"/>
        </w:rPr>
        <w:t>., C.L.P. 312992-08-0703, 27 mars 2008, F. Daigneault</w:t>
      </w:r>
      <w:r w:rsidR="005C1FCF">
        <w:rPr>
          <w:rFonts w:cs="Arial"/>
          <w:sz w:val="20"/>
        </w:rPr>
        <w:t>.</w:t>
      </w:r>
    </w:p>
  </w:footnote>
  <w:footnote w:id="24">
    <w:p w14:paraId="698C3525" w14:textId="2D2DE551" w:rsidR="00B24231" w:rsidRPr="00B24231" w:rsidRDefault="00B24231" w:rsidP="00B2423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A79E2">
        <w:rPr>
          <w:rFonts w:cs="Arial"/>
          <w:i/>
          <w:sz w:val="20"/>
          <w:shd w:val="clear" w:color="auto" w:fill="FFFFFF"/>
        </w:rPr>
        <w:t>Stacey</w:t>
      </w:r>
      <w:r w:rsidRPr="00EA79E2">
        <w:rPr>
          <w:rFonts w:cs="Arial"/>
          <w:sz w:val="20"/>
          <w:shd w:val="clear" w:color="auto" w:fill="FFFFFF"/>
        </w:rPr>
        <w:t xml:space="preserve"> et </w:t>
      </w:r>
      <w:r w:rsidRPr="00EA79E2">
        <w:rPr>
          <w:rFonts w:cs="Arial"/>
          <w:i/>
          <w:sz w:val="20"/>
          <w:shd w:val="clear" w:color="auto" w:fill="FFFFFF"/>
        </w:rPr>
        <w:t>Capri Coiffure</w:t>
      </w:r>
      <w:r w:rsidRPr="00EA79E2">
        <w:rPr>
          <w:rFonts w:cs="Arial"/>
          <w:sz w:val="20"/>
          <w:shd w:val="clear" w:color="auto" w:fill="FFFFFF"/>
        </w:rPr>
        <w:t>, 2020 QCTAT 337</w:t>
      </w:r>
      <w:r>
        <w:rPr>
          <w:rFonts w:cs="Arial"/>
          <w:sz w:val="20"/>
          <w:shd w:val="clear" w:color="auto" w:fill="FFFFFF"/>
        </w:rPr>
        <w:t>.</w:t>
      </w:r>
    </w:p>
  </w:footnote>
  <w:footnote w:id="25">
    <w:p w14:paraId="3546EBE2" w14:textId="64D73F06" w:rsidR="00B24231" w:rsidRPr="00B24231" w:rsidRDefault="00B24231" w:rsidP="00B24231">
      <w:pPr>
        <w:pStyle w:val="Notedebasdepage"/>
        <w:ind w:left="709" w:hanging="709"/>
        <w:rPr>
          <w:rFonts w:cs="Arial"/>
          <w:sz w:val="20"/>
        </w:rPr>
      </w:pPr>
      <w:r>
        <w:rPr>
          <w:rStyle w:val="Appelnotedebasdep"/>
        </w:rPr>
        <w:footnoteRef/>
      </w:r>
      <w:r>
        <w:t xml:space="preserve"> </w:t>
      </w:r>
      <w:r>
        <w:rPr>
          <w:rFonts w:cs="Arial"/>
          <w:sz w:val="20"/>
        </w:rPr>
        <w:tab/>
        <w:t>2021 QCTAT 4801. Voir aussi</w:t>
      </w:r>
      <w:r w:rsidR="008825BC">
        <w:rPr>
          <w:rFonts w:cs="Arial"/>
          <w:sz w:val="20"/>
        </w:rPr>
        <w:t xml:space="preserve"> : </w:t>
      </w:r>
      <w:r w:rsidRPr="00B24231">
        <w:rPr>
          <w:rFonts w:cs="Arial"/>
          <w:i/>
          <w:iCs/>
          <w:sz w:val="20"/>
        </w:rPr>
        <w:t>Maillé</w:t>
      </w:r>
      <w:r w:rsidRPr="00B24231">
        <w:rPr>
          <w:rFonts w:cs="Arial"/>
          <w:sz w:val="20"/>
        </w:rPr>
        <w:t xml:space="preserve"> et </w:t>
      </w:r>
      <w:r w:rsidRPr="00B24231">
        <w:rPr>
          <w:rFonts w:cs="Arial"/>
          <w:i/>
          <w:iCs/>
          <w:sz w:val="20"/>
        </w:rPr>
        <w:t>Forêt de demain</w:t>
      </w:r>
      <w:r w:rsidRPr="00B24231">
        <w:rPr>
          <w:rFonts w:cs="Arial"/>
          <w:sz w:val="20"/>
        </w:rPr>
        <w:t>, 2015 QCCLP 1336</w:t>
      </w:r>
      <w:r>
        <w:rPr>
          <w:rFonts w:cs="Arial"/>
          <w:sz w:val="20"/>
        </w:rPr>
        <w:t>.</w:t>
      </w:r>
    </w:p>
  </w:footnote>
  <w:footnote w:id="26">
    <w:p w14:paraId="01B1511C" w14:textId="436698EA" w:rsidR="00922CD0" w:rsidRPr="00922CD0" w:rsidRDefault="00922CD0" w:rsidP="00922CD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L’évaluation en neuropsychologie est réalisée le 20 janvier </w:t>
      </w:r>
      <w:r w:rsidRPr="00C94C4F">
        <w:rPr>
          <w:rFonts w:cs="Arial"/>
          <w:sz w:val="20"/>
        </w:rPr>
        <w:t>2023</w:t>
      </w:r>
      <w:r w:rsidR="00074CBD" w:rsidRPr="00C94C4F">
        <w:rPr>
          <w:rFonts w:cs="Arial"/>
          <w:sz w:val="20"/>
        </w:rPr>
        <w:t>,</w:t>
      </w:r>
      <w:r w:rsidRPr="00C94C4F">
        <w:rPr>
          <w:rFonts w:cs="Arial"/>
          <w:sz w:val="20"/>
        </w:rPr>
        <w:t xml:space="preserve"> a</w:t>
      </w:r>
      <w:r>
        <w:rPr>
          <w:rFonts w:cs="Arial"/>
          <w:sz w:val="20"/>
        </w:rPr>
        <w:t>près que la conseillère en réadaptation de la Commission ait mandatée une ressource à cette fin.</w:t>
      </w:r>
    </w:p>
  </w:footnote>
  <w:footnote w:id="27">
    <w:p w14:paraId="1CC8E342" w14:textId="25B27219" w:rsidR="00FA3C92" w:rsidRPr="00FA3C92" w:rsidRDefault="00FA3C92" w:rsidP="00FA3C9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A3C92">
        <w:rPr>
          <w:rFonts w:cs="Arial"/>
          <w:sz w:val="20"/>
        </w:rPr>
        <w:t>RLRQ, c. A-3.001, r. 2.</w:t>
      </w:r>
    </w:p>
  </w:footnote>
  <w:footnote w:id="28">
    <w:p w14:paraId="2CA793ED" w14:textId="4AC70379" w:rsidR="00B76A51" w:rsidRPr="00336FB4" w:rsidRDefault="00B76A51" w:rsidP="00B76A5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36FB4">
        <w:rPr>
          <w:rFonts w:cs="Arial"/>
          <w:i/>
          <w:iCs/>
          <w:sz w:val="20"/>
        </w:rPr>
        <w:t>Sasportas</w:t>
      </w:r>
      <w:r w:rsidRPr="00336FB4">
        <w:rPr>
          <w:rFonts w:cs="Arial"/>
          <w:sz w:val="20"/>
        </w:rPr>
        <w:t xml:space="preserve"> et </w:t>
      </w:r>
      <w:r w:rsidRPr="00336FB4">
        <w:rPr>
          <w:rFonts w:cs="Arial"/>
          <w:i/>
          <w:iCs/>
          <w:sz w:val="20"/>
        </w:rPr>
        <w:t>Bonneterie Avalon ltée</w:t>
      </w:r>
      <w:r>
        <w:rPr>
          <w:rFonts w:cs="Arial"/>
          <w:sz w:val="20"/>
        </w:rPr>
        <w:t>, 2009 QCCLP 4294.</w:t>
      </w:r>
    </w:p>
  </w:footnote>
  <w:footnote w:id="29">
    <w:p w14:paraId="33E2C756" w14:textId="77777777" w:rsidR="00B76A51" w:rsidRPr="00336FB4" w:rsidRDefault="00B76A51" w:rsidP="00B76A5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36FB4">
        <w:rPr>
          <w:rFonts w:cs="Arial"/>
          <w:sz w:val="20"/>
        </w:rPr>
        <w:t>2022 QCTAT 4520.</w:t>
      </w:r>
    </w:p>
  </w:footnote>
  <w:footnote w:id="30">
    <w:p w14:paraId="187A3BE5" w14:textId="7CAF06EA" w:rsidR="006A66C8" w:rsidRPr="00FC54DC" w:rsidRDefault="006A66C8" w:rsidP="006A66C8">
      <w:pPr>
        <w:pStyle w:val="Notedebasdepage"/>
        <w:tabs>
          <w:tab w:val="left" w:pos="720"/>
        </w:tabs>
        <w:ind w:left="720" w:hanging="720"/>
        <w:jc w:val="both"/>
        <w:rPr>
          <w:rFonts w:cs="Arial"/>
          <w:sz w:val="20"/>
        </w:rPr>
      </w:pPr>
      <w:r w:rsidRPr="00FC54DC">
        <w:rPr>
          <w:rStyle w:val="Appelnotedebasdep"/>
        </w:rPr>
        <w:footnoteRef/>
      </w:r>
      <w:r w:rsidRPr="00FC54DC">
        <w:t xml:space="preserve"> </w:t>
      </w:r>
      <w:r w:rsidRPr="00FC54DC">
        <w:rPr>
          <w:rFonts w:cs="Arial"/>
          <w:sz w:val="20"/>
        </w:rPr>
        <w:tab/>
        <w:t>2016 QCTAT 4020.</w:t>
      </w:r>
    </w:p>
  </w:footnote>
  <w:footnote w:id="31">
    <w:p w14:paraId="1D4C82A9" w14:textId="4624F727" w:rsidR="00A84A37" w:rsidRPr="000B54C2" w:rsidRDefault="00A84A37" w:rsidP="00A84A37">
      <w:pPr>
        <w:pStyle w:val="Notedebasdepage"/>
        <w:tabs>
          <w:tab w:val="left" w:pos="720"/>
        </w:tabs>
        <w:ind w:left="720" w:hanging="720"/>
        <w:jc w:val="both"/>
        <w:rPr>
          <w:rFonts w:cs="Arial"/>
          <w:sz w:val="20"/>
        </w:rPr>
      </w:pPr>
      <w:r w:rsidRPr="00FC54DC">
        <w:rPr>
          <w:rStyle w:val="Appelnotedebasdep"/>
        </w:rPr>
        <w:footnoteRef/>
      </w:r>
      <w:r w:rsidRPr="00FC54DC">
        <w:t xml:space="preserve"> </w:t>
      </w:r>
      <w:r w:rsidRPr="00FC54DC">
        <w:rPr>
          <w:rFonts w:cs="Arial"/>
          <w:sz w:val="20"/>
        </w:rPr>
        <w:tab/>
      </w:r>
      <w:r w:rsidR="00227F9A" w:rsidRPr="00040663">
        <w:rPr>
          <w:i/>
          <w:iCs/>
          <w:sz w:val="20"/>
          <w:lang w:eastAsia="fr-FR"/>
        </w:rPr>
        <w:t>A.C.</w:t>
      </w:r>
      <w:r w:rsidR="00227F9A" w:rsidRPr="00040663">
        <w:rPr>
          <w:sz w:val="20"/>
          <w:lang w:eastAsia="fr-FR"/>
        </w:rPr>
        <w:t xml:space="preserve"> c. </w:t>
      </w:r>
      <w:r w:rsidR="00227F9A" w:rsidRPr="00040663">
        <w:rPr>
          <w:i/>
          <w:iCs/>
          <w:sz w:val="20"/>
          <w:lang w:eastAsia="fr-FR"/>
        </w:rPr>
        <w:t>Compagnie A</w:t>
      </w:r>
      <w:r w:rsidR="00227F9A" w:rsidRPr="00040663">
        <w:rPr>
          <w:sz w:val="20"/>
          <w:lang w:eastAsia="fr-FR"/>
        </w:rPr>
        <w:t>, précitée, note 30.</w:t>
      </w:r>
    </w:p>
  </w:footnote>
  <w:footnote w:id="32">
    <w:p w14:paraId="3B28227A" w14:textId="7BCC729D" w:rsidR="00481A7F" w:rsidRPr="00481A7F" w:rsidRDefault="00481A7F" w:rsidP="00481A7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481A7F">
        <w:rPr>
          <w:rFonts w:cs="Arial"/>
          <w:i/>
          <w:iCs/>
          <w:sz w:val="20"/>
        </w:rPr>
        <w:t>A.G</w:t>
      </w:r>
      <w:r>
        <w:rPr>
          <w:rFonts w:cs="Arial"/>
          <w:sz w:val="20"/>
        </w:rPr>
        <w:t xml:space="preserve">. et </w:t>
      </w:r>
      <w:r w:rsidRPr="00481A7F">
        <w:rPr>
          <w:rFonts w:cs="Arial"/>
          <w:i/>
          <w:iCs/>
          <w:sz w:val="20"/>
        </w:rPr>
        <w:t>Compagnie A</w:t>
      </w:r>
      <w:r>
        <w:rPr>
          <w:rFonts w:cs="Arial"/>
          <w:sz w:val="20"/>
        </w:rPr>
        <w:t>, 2018 QCTAT 6122.</w:t>
      </w:r>
    </w:p>
  </w:footnote>
  <w:footnote w:id="33">
    <w:p w14:paraId="4FF5F884" w14:textId="77777777" w:rsidR="00436718" w:rsidRPr="00AE1911" w:rsidRDefault="00436718" w:rsidP="00436718">
      <w:pPr>
        <w:rPr>
          <w:rFonts w:cs="Arial"/>
          <w:sz w:val="20"/>
        </w:rPr>
      </w:pPr>
      <w:r>
        <w:rPr>
          <w:rStyle w:val="Appelnotedebasdep"/>
        </w:rPr>
        <w:footnoteRef/>
      </w:r>
      <w:r>
        <w:t xml:space="preserve"> </w:t>
      </w:r>
      <w:r>
        <w:rPr>
          <w:rFonts w:cs="Arial"/>
          <w:sz w:val="20"/>
        </w:rPr>
        <w:tab/>
      </w:r>
      <w:r w:rsidRPr="00D77E66">
        <w:rPr>
          <w:i/>
          <w:sz w:val="20"/>
        </w:rPr>
        <w:t>Code</w:t>
      </w:r>
      <w:r w:rsidRPr="00D77E66">
        <w:rPr>
          <w:i/>
          <w:spacing w:val="-4"/>
          <w:sz w:val="20"/>
        </w:rPr>
        <w:t xml:space="preserve"> </w:t>
      </w:r>
      <w:r w:rsidRPr="00D77E66">
        <w:rPr>
          <w:i/>
          <w:sz w:val="20"/>
        </w:rPr>
        <w:t>civil</w:t>
      </w:r>
      <w:r w:rsidRPr="00D77E66">
        <w:rPr>
          <w:i/>
          <w:spacing w:val="-3"/>
          <w:sz w:val="20"/>
        </w:rPr>
        <w:t xml:space="preserve"> </w:t>
      </w:r>
      <w:r w:rsidRPr="00D77E66">
        <w:rPr>
          <w:i/>
          <w:sz w:val="20"/>
        </w:rPr>
        <w:t>du</w:t>
      </w:r>
      <w:r w:rsidRPr="00D77E66">
        <w:rPr>
          <w:i/>
          <w:spacing w:val="-4"/>
          <w:sz w:val="20"/>
        </w:rPr>
        <w:t xml:space="preserve"> </w:t>
      </w:r>
      <w:r w:rsidRPr="00D77E66">
        <w:rPr>
          <w:i/>
          <w:sz w:val="20"/>
        </w:rPr>
        <w:t>Québec</w:t>
      </w:r>
      <w:r w:rsidRPr="00D77E66">
        <w:rPr>
          <w:sz w:val="20"/>
        </w:rPr>
        <w:t>,</w:t>
      </w:r>
      <w:r w:rsidRPr="00D77E66">
        <w:rPr>
          <w:spacing w:val="-4"/>
          <w:sz w:val="20"/>
        </w:rPr>
        <w:t xml:space="preserve"> </w:t>
      </w:r>
      <w:r w:rsidRPr="00D77E66">
        <w:rPr>
          <w:sz w:val="20"/>
        </w:rPr>
        <w:t>RLRQ,</w:t>
      </w:r>
      <w:r w:rsidRPr="00D77E66">
        <w:rPr>
          <w:spacing w:val="-3"/>
          <w:sz w:val="20"/>
        </w:rPr>
        <w:t xml:space="preserve"> </w:t>
      </w:r>
      <w:r w:rsidRPr="00D77E66">
        <w:rPr>
          <w:sz w:val="20"/>
        </w:rPr>
        <w:t>c.</w:t>
      </w:r>
      <w:r w:rsidRPr="00D77E66">
        <w:rPr>
          <w:spacing w:val="-3"/>
          <w:sz w:val="20"/>
        </w:rPr>
        <w:t xml:space="preserve"> </w:t>
      </w:r>
      <w:r w:rsidRPr="00D77E66">
        <w:rPr>
          <w:sz w:val="20"/>
        </w:rPr>
        <w:t>CCQ-</w:t>
      </w:r>
      <w:r w:rsidRPr="00D77E66">
        <w:rPr>
          <w:spacing w:val="-2"/>
          <w:sz w:val="20"/>
        </w:rPr>
        <w:t>1991.</w:t>
      </w:r>
    </w:p>
  </w:footnote>
  <w:footnote w:id="34">
    <w:p w14:paraId="39B823A9" w14:textId="0CC2B1BC" w:rsidR="003E1AE0" w:rsidRPr="003E1AE0" w:rsidRDefault="003E1AE0" w:rsidP="003E1AE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2012 QCCLP 5347.</w:t>
      </w:r>
    </w:p>
  </w:footnote>
  <w:footnote w:id="35">
    <w:p w14:paraId="4892FD5E" w14:textId="63442604" w:rsidR="00920778" w:rsidRPr="00920778" w:rsidRDefault="00920778" w:rsidP="0092077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546C6" w:rsidRPr="00040663">
        <w:rPr>
          <w:rFonts w:cs="Arial"/>
          <w:i/>
          <w:iCs/>
          <w:sz w:val="20"/>
        </w:rPr>
        <w:t>Tremblay</w:t>
      </w:r>
      <w:r w:rsidR="00F546C6" w:rsidRPr="00040663">
        <w:rPr>
          <w:rFonts w:cs="Arial"/>
          <w:sz w:val="20"/>
        </w:rPr>
        <w:t xml:space="preserve"> et </w:t>
      </w:r>
      <w:r w:rsidR="00F546C6" w:rsidRPr="00040663">
        <w:rPr>
          <w:rFonts w:cs="Arial"/>
          <w:i/>
          <w:iCs/>
          <w:sz w:val="20"/>
        </w:rPr>
        <w:t>EBC Neilson, s.e.n.c.</w:t>
      </w:r>
      <w:r w:rsidR="00F546C6" w:rsidRPr="00040663">
        <w:rPr>
          <w:rFonts w:cs="Arial"/>
          <w:sz w:val="20"/>
        </w:rPr>
        <w:t>, précitée, note 34.</w:t>
      </w:r>
    </w:p>
  </w:footnote>
  <w:footnote w:id="36">
    <w:p w14:paraId="3A8CBB79" w14:textId="7BC71EF9" w:rsidR="000671FE" w:rsidRPr="000671FE" w:rsidRDefault="000671FE" w:rsidP="000671F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5E6462" w:rsidRPr="00137E80">
        <w:rPr>
          <w:rFonts w:cs="Arial"/>
          <w:sz w:val="20"/>
        </w:rPr>
        <w:t>[19</w:t>
      </w:r>
      <w:r w:rsidR="00F546C6" w:rsidRPr="00137E80">
        <w:rPr>
          <w:rFonts w:cs="Arial"/>
          <w:sz w:val="20"/>
        </w:rPr>
        <w:t>8</w:t>
      </w:r>
      <w:r w:rsidR="005E6462" w:rsidRPr="00137E80">
        <w:rPr>
          <w:rFonts w:cs="Arial"/>
          <w:sz w:val="20"/>
        </w:rPr>
        <w:t>7]</w:t>
      </w:r>
      <w:r w:rsidR="005E6462" w:rsidRPr="000671FE">
        <w:rPr>
          <w:rFonts w:cs="Arial"/>
          <w:sz w:val="20"/>
        </w:rPr>
        <w:t xml:space="preserve"> C.A.L.P. 6</w:t>
      </w:r>
      <w:r w:rsidR="005E6462" w:rsidRPr="005E6462">
        <w:rPr>
          <w:rFonts w:cs="Arial"/>
          <w:sz w:val="20"/>
        </w:rPr>
        <w:t>2</w:t>
      </w:r>
      <w:r w:rsidR="00F546C6">
        <w:rPr>
          <w:rFonts w:cs="Arial"/>
          <w:sz w:val="20"/>
        </w:rPr>
        <w:t>.</w:t>
      </w:r>
    </w:p>
  </w:footnote>
  <w:footnote w:id="37">
    <w:p w14:paraId="03BBF589" w14:textId="55F3E905" w:rsidR="00F5746D" w:rsidRPr="0081581C" w:rsidRDefault="00F5746D" w:rsidP="00F5746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5746D">
        <w:rPr>
          <w:rFonts w:cs="Arial"/>
          <w:i/>
          <w:iCs/>
          <w:sz w:val="20"/>
        </w:rPr>
        <w:t>MEP Technologies inc.</w:t>
      </w:r>
      <w:r>
        <w:rPr>
          <w:rFonts w:cs="Arial"/>
          <w:sz w:val="20"/>
        </w:rPr>
        <w:t xml:space="preserve"> et </w:t>
      </w:r>
      <w:r w:rsidRPr="00F5746D">
        <w:rPr>
          <w:rFonts w:cs="Arial"/>
          <w:i/>
          <w:iCs/>
          <w:sz w:val="20"/>
        </w:rPr>
        <w:t>Lefebvre</w:t>
      </w:r>
      <w:r>
        <w:rPr>
          <w:rFonts w:cs="Arial"/>
          <w:sz w:val="20"/>
        </w:rPr>
        <w:t>, C.L.P. 115818-61-9904, 26 octobre 2000, L. Nadeau;</w:t>
      </w:r>
      <w:r w:rsidR="0081581C">
        <w:rPr>
          <w:rFonts w:cs="Arial"/>
          <w:sz w:val="20"/>
        </w:rPr>
        <w:t xml:space="preserve"> </w:t>
      </w:r>
      <w:r w:rsidR="0081581C" w:rsidRPr="0081581C">
        <w:rPr>
          <w:rFonts w:cs="Arial"/>
          <w:i/>
          <w:iCs/>
          <w:sz w:val="20"/>
        </w:rPr>
        <w:t xml:space="preserve">K.K. </w:t>
      </w:r>
      <w:r w:rsidR="0081581C" w:rsidRPr="0081581C">
        <w:rPr>
          <w:rFonts w:cs="Arial"/>
          <w:sz w:val="20"/>
        </w:rPr>
        <w:t xml:space="preserve">et </w:t>
      </w:r>
      <w:r w:rsidR="0081581C" w:rsidRPr="0081581C">
        <w:rPr>
          <w:rFonts w:cs="Arial"/>
          <w:i/>
          <w:iCs/>
          <w:sz w:val="20"/>
        </w:rPr>
        <w:t>Commission scolaire A</w:t>
      </w:r>
      <w:r w:rsidR="0081581C" w:rsidRPr="0081581C">
        <w:rPr>
          <w:rFonts w:cs="Arial"/>
          <w:sz w:val="20"/>
        </w:rPr>
        <w:t>, 2014 QCCLP 2690;</w:t>
      </w:r>
      <w:r w:rsidR="00B734C4">
        <w:rPr>
          <w:rFonts w:cs="Arial"/>
          <w:sz w:val="20"/>
        </w:rPr>
        <w:t xml:space="preserve"> </w:t>
      </w:r>
      <w:r w:rsidR="00B734C4" w:rsidRPr="00B734C4">
        <w:rPr>
          <w:rFonts w:cs="Arial"/>
          <w:i/>
          <w:iCs/>
          <w:sz w:val="20"/>
        </w:rPr>
        <w:t>Levis</w:t>
      </w:r>
      <w:r w:rsidR="00B734C4" w:rsidRPr="00B734C4">
        <w:rPr>
          <w:rFonts w:cs="Arial"/>
          <w:sz w:val="20"/>
        </w:rPr>
        <w:t xml:space="preserve"> et </w:t>
      </w:r>
      <w:r w:rsidR="00B734C4" w:rsidRPr="00B734C4">
        <w:rPr>
          <w:rFonts w:cs="Arial"/>
          <w:i/>
          <w:iCs/>
          <w:sz w:val="20"/>
        </w:rPr>
        <w:t>Théo Mineault inc</w:t>
      </w:r>
      <w:r w:rsidR="00B734C4">
        <w:rPr>
          <w:rFonts w:cs="Arial"/>
        </w:rPr>
        <w:t xml:space="preserve">., </w:t>
      </w:r>
      <w:r w:rsidR="00B734C4" w:rsidRPr="00B734C4">
        <w:rPr>
          <w:rFonts w:cs="Arial"/>
          <w:sz w:val="20"/>
        </w:rPr>
        <w:t>2020 QCTAT 3800;</w:t>
      </w:r>
      <w:r w:rsidR="0081581C">
        <w:rPr>
          <w:rFonts w:cs="Arial"/>
          <w:sz w:val="20"/>
        </w:rPr>
        <w:t xml:space="preserve"> </w:t>
      </w:r>
      <w:r w:rsidR="00A721A2" w:rsidRPr="00A721A2">
        <w:rPr>
          <w:rFonts w:cs="Arial"/>
          <w:i/>
          <w:iCs/>
          <w:sz w:val="20"/>
        </w:rPr>
        <w:t>Koury-Farah</w:t>
      </w:r>
      <w:r w:rsidR="00A721A2" w:rsidRPr="00A721A2">
        <w:rPr>
          <w:rFonts w:cs="Arial"/>
          <w:sz w:val="20"/>
        </w:rPr>
        <w:t xml:space="preserve"> et </w:t>
      </w:r>
      <w:r w:rsidR="00A721A2" w:rsidRPr="00A721A2">
        <w:rPr>
          <w:rFonts w:cs="Arial"/>
          <w:i/>
          <w:iCs/>
          <w:sz w:val="20"/>
        </w:rPr>
        <w:t>Garderie Les Lurons de Chomedey inc.,</w:t>
      </w:r>
      <w:r w:rsidR="00A721A2">
        <w:rPr>
          <w:rFonts w:cs="Arial"/>
          <w:sz w:val="20"/>
        </w:rPr>
        <w:t xml:space="preserve"> 2021 QCTAT 767</w:t>
      </w:r>
      <w:r w:rsidR="00B734C4">
        <w:rPr>
          <w:rFonts w:cs="Arial"/>
          <w:sz w:val="20"/>
        </w:rPr>
        <w:t>.</w:t>
      </w:r>
    </w:p>
  </w:footnote>
  <w:footnote w:id="38">
    <w:p w14:paraId="3093EDAE" w14:textId="1BF28B3A" w:rsidR="000A57A3" w:rsidRPr="007C1662" w:rsidRDefault="000A57A3" w:rsidP="000A57A3">
      <w:pPr>
        <w:pStyle w:val="Notedebasdepage"/>
        <w:rPr>
          <w:sz w:val="20"/>
        </w:rPr>
      </w:pPr>
      <w:r>
        <w:rPr>
          <w:rStyle w:val="Appelnotedebasdep"/>
        </w:rPr>
        <w:footnoteRef/>
      </w:r>
      <w:r>
        <w:t xml:space="preserve"> </w:t>
      </w:r>
      <w:r>
        <w:tab/>
      </w:r>
      <w:r w:rsidRPr="007C1662">
        <w:rPr>
          <w:sz w:val="20"/>
        </w:rPr>
        <w:t>RLRQ, c. T-15.1</w:t>
      </w:r>
      <w:r w:rsidR="002D0BAF" w:rsidRPr="005E7ECB">
        <w:rPr>
          <w:sz w:val="20"/>
        </w:rPr>
        <w:t>, la LITAT</w:t>
      </w:r>
      <w:r w:rsidRPr="005E7ECB">
        <w:rPr>
          <w:sz w:val="20"/>
        </w:rPr>
        <w:t>.</w:t>
      </w:r>
    </w:p>
  </w:footnote>
  <w:footnote w:id="39">
    <w:p w14:paraId="072EC841" w14:textId="086441DB" w:rsidR="00BA68FC" w:rsidRPr="00BA68FC" w:rsidRDefault="00BA68FC" w:rsidP="00BA68F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5727BC" w:rsidRPr="005727BC">
        <w:rPr>
          <w:rFonts w:cs="Arial"/>
          <w:sz w:val="20"/>
        </w:rPr>
        <w:t>A</w:t>
      </w:r>
      <w:r>
        <w:rPr>
          <w:rFonts w:cs="Arial"/>
          <w:sz w:val="20"/>
        </w:rPr>
        <w:t xml:space="preserve">rticle </w:t>
      </w:r>
      <w:r w:rsidRPr="005727BC">
        <w:rPr>
          <w:rFonts w:cs="Arial"/>
          <w:sz w:val="20"/>
        </w:rPr>
        <w:t>10 de la LITAT</w:t>
      </w:r>
      <w:r>
        <w:rPr>
          <w:rFonts w:cs="Arial"/>
          <w:sz w:val="20"/>
        </w:rPr>
        <w:t>.</w:t>
      </w:r>
    </w:p>
  </w:footnote>
  <w:footnote w:id="40">
    <w:p w14:paraId="1C0AFD4C" w14:textId="4E371826" w:rsidR="00A721A2" w:rsidRPr="006F2607" w:rsidRDefault="00A721A2" w:rsidP="00A721A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BA68FC" w:rsidRPr="00BA68FC">
        <w:rPr>
          <w:rFonts w:cs="Arial"/>
          <w:i/>
          <w:iCs/>
          <w:sz w:val="20"/>
        </w:rPr>
        <w:t>Blais</w:t>
      </w:r>
      <w:r w:rsidR="00BA68FC" w:rsidRPr="00BA68FC">
        <w:rPr>
          <w:rFonts w:cs="Arial"/>
          <w:sz w:val="20"/>
        </w:rPr>
        <w:t xml:space="preserve"> et </w:t>
      </w:r>
      <w:r w:rsidR="00BA68FC" w:rsidRPr="00BA68FC">
        <w:rPr>
          <w:rFonts w:cs="Arial"/>
          <w:i/>
          <w:iCs/>
          <w:sz w:val="20"/>
        </w:rPr>
        <w:t>TD Canada Trust</w:t>
      </w:r>
      <w:r w:rsidR="00BA68FC" w:rsidRPr="00BA68FC">
        <w:rPr>
          <w:rFonts w:cs="Arial"/>
          <w:sz w:val="20"/>
        </w:rPr>
        <w:t>, 2014 QCCLP 4030</w:t>
      </w:r>
      <w:r w:rsidR="00BA68FC">
        <w:rPr>
          <w:rFonts w:cs="Arial"/>
          <w:sz w:val="20"/>
        </w:rPr>
        <w:t xml:space="preserve">; </w:t>
      </w:r>
      <w:r w:rsidR="006F2607" w:rsidRPr="006F2607">
        <w:rPr>
          <w:rFonts w:cs="Arial"/>
          <w:i/>
          <w:iCs/>
          <w:sz w:val="20"/>
        </w:rPr>
        <w:t>Legault</w:t>
      </w:r>
      <w:r w:rsidR="006F2607" w:rsidRPr="006F2607">
        <w:rPr>
          <w:rFonts w:cs="Arial"/>
          <w:sz w:val="20"/>
        </w:rPr>
        <w:t xml:space="preserve"> et </w:t>
      </w:r>
      <w:r w:rsidR="006F2607" w:rsidRPr="006F2607">
        <w:rPr>
          <w:rFonts w:cs="Arial"/>
          <w:i/>
          <w:iCs/>
          <w:sz w:val="20"/>
        </w:rPr>
        <w:t>Location d'outils Atlas</w:t>
      </w:r>
      <w:r w:rsidR="006F2607" w:rsidRPr="006F2607">
        <w:rPr>
          <w:rFonts w:cs="Arial"/>
          <w:sz w:val="20"/>
        </w:rPr>
        <w:t>, 2016</w:t>
      </w:r>
      <w:r w:rsidR="00B55A4A">
        <w:rPr>
          <w:rFonts w:cs="Arial"/>
          <w:sz w:val="20"/>
        </w:rPr>
        <w:t> </w:t>
      </w:r>
      <w:r w:rsidR="006F2607" w:rsidRPr="006F2607">
        <w:rPr>
          <w:rFonts w:cs="Arial"/>
          <w:sz w:val="20"/>
        </w:rPr>
        <w:t>QCTAT</w:t>
      </w:r>
      <w:r w:rsidR="00B55A4A">
        <w:rPr>
          <w:rFonts w:cs="Arial"/>
          <w:sz w:val="20"/>
        </w:rPr>
        <w:t> </w:t>
      </w:r>
      <w:r w:rsidR="006F2607" w:rsidRPr="006F2607">
        <w:rPr>
          <w:rFonts w:cs="Arial"/>
          <w:sz w:val="20"/>
        </w:rPr>
        <w:t>3217</w:t>
      </w:r>
      <w:r w:rsidR="00DE4017">
        <w:rPr>
          <w:rFonts w:cs="Arial"/>
          <w:sz w:val="20"/>
        </w:rPr>
        <w:t>.</w:t>
      </w:r>
    </w:p>
  </w:footnote>
  <w:footnote w:id="41">
    <w:p w14:paraId="64D915B5" w14:textId="1A6C9346" w:rsidR="00DE4017" w:rsidRPr="00005B08" w:rsidRDefault="00DE4017" w:rsidP="00DE401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E4017">
        <w:rPr>
          <w:rFonts w:cs="Arial"/>
          <w:sz w:val="20"/>
        </w:rPr>
        <w:t>2017 QCTAT 1673</w:t>
      </w:r>
      <w:r w:rsidR="002D0BAF">
        <w:rPr>
          <w:rFonts w:cs="Arial"/>
          <w:sz w:val="20"/>
        </w:rPr>
        <w:t>.</w:t>
      </w:r>
      <w:r w:rsidR="00005B08">
        <w:rPr>
          <w:rFonts w:cs="Arial"/>
          <w:sz w:val="20"/>
        </w:rPr>
        <w:t xml:space="preserve"> Voir également</w:t>
      </w:r>
      <w:r w:rsidR="007E7C80">
        <w:rPr>
          <w:rFonts w:cs="Arial"/>
          <w:sz w:val="20"/>
        </w:rPr>
        <w:t xml:space="preserve"> : </w:t>
      </w:r>
      <w:r w:rsidR="00005B08" w:rsidRPr="00B734C4">
        <w:rPr>
          <w:rFonts w:cs="Arial"/>
          <w:i/>
          <w:iCs/>
          <w:sz w:val="20"/>
        </w:rPr>
        <w:t>Levis</w:t>
      </w:r>
      <w:r w:rsidR="00005B08" w:rsidRPr="00B734C4">
        <w:rPr>
          <w:rFonts w:cs="Arial"/>
          <w:sz w:val="20"/>
        </w:rPr>
        <w:t xml:space="preserve"> et </w:t>
      </w:r>
      <w:r w:rsidR="00005B08" w:rsidRPr="00B734C4">
        <w:rPr>
          <w:rFonts w:cs="Arial"/>
          <w:i/>
          <w:iCs/>
          <w:sz w:val="20"/>
        </w:rPr>
        <w:t>Théo Mineault inc</w:t>
      </w:r>
      <w:r w:rsidR="00005B08">
        <w:rPr>
          <w:rFonts w:cs="Arial"/>
          <w:i/>
          <w:iCs/>
          <w:sz w:val="20"/>
        </w:rPr>
        <w:t xml:space="preserve">., </w:t>
      </w:r>
      <w:r w:rsidR="00005B08" w:rsidRPr="00005B08">
        <w:rPr>
          <w:rFonts w:cs="Arial"/>
          <w:sz w:val="20"/>
        </w:rPr>
        <w:t>précitée</w:t>
      </w:r>
      <w:r w:rsidR="007E7C80">
        <w:rPr>
          <w:rFonts w:cs="Arial"/>
          <w:sz w:val="20"/>
        </w:rPr>
        <w:t xml:space="preserve">, </w:t>
      </w:r>
      <w:r w:rsidR="00005B08" w:rsidRPr="005727BC">
        <w:rPr>
          <w:rFonts w:cs="Arial"/>
          <w:sz w:val="20"/>
        </w:rPr>
        <w:t xml:space="preserve">note </w:t>
      </w:r>
      <w:r w:rsidR="002D0BAF" w:rsidRPr="005727BC">
        <w:rPr>
          <w:rFonts w:cs="Arial"/>
          <w:sz w:val="20"/>
        </w:rPr>
        <w:t>3</w:t>
      </w:r>
      <w:r w:rsidR="005727BC" w:rsidRPr="005727BC">
        <w:rPr>
          <w:rFonts w:cs="Arial"/>
          <w:sz w:val="20"/>
        </w:rPr>
        <w:t>7</w:t>
      </w:r>
      <w:r w:rsidR="007E7C80" w:rsidRPr="005727BC">
        <w:rPr>
          <w:rFonts w:cs="Arial"/>
          <w:sz w:val="20"/>
        </w:rPr>
        <w:t>;</w:t>
      </w:r>
      <w:r w:rsidR="00005B08" w:rsidRPr="005727BC">
        <w:rPr>
          <w:rFonts w:cs="Arial"/>
          <w:sz w:val="20"/>
        </w:rPr>
        <w:t xml:space="preserve"> </w:t>
      </w:r>
      <w:r w:rsidR="00005B08" w:rsidRPr="005727BC">
        <w:rPr>
          <w:rFonts w:cs="Arial"/>
          <w:i/>
          <w:iCs/>
          <w:sz w:val="20"/>
        </w:rPr>
        <w:t>Imprimerie FL</w:t>
      </w:r>
      <w:r w:rsidR="007E7C80" w:rsidRPr="005727BC">
        <w:rPr>
          <w:rFonts w:cs="Arial"/>
          <w:i/>
          <w:iCs/>
          <w:sz w:val="20"/>
        </w:rPr>
        <w:t> </w:t>
      </w:r>
      <w:r w:rsidR="00005B08" w:rsidRPr="005727BC">
        <w:rPr>
          <w:rFonts w:cs="Arial"/>
          <w:i/>
          <w:iCs/>
          <w:sz w:val="20"/>
        </w:rPr>
        <w:t>Web inc</w:t>
      </w:r>
      <w:r w:rsidR="00005B08" w:rsidRPr="005727BC">
        <w:rPr>
          <w:rFonts w:cs="Arial"/>
          <w:sz w:val="20"/>
        </w:rPr>
        <w:t xml:space="preserve">. et </w:t>
      </w:r>
      <w:r w:rsidR="00005B08" w:rsidRPr="005727BC">
        <w:rPr>
          <w:rFonts w:cs="Arial"/>
          <w:i/>
          <w:iCs/>
          <w:sz w:val="20"/>
        </w:rPr>
        <w:t xml:space="preserve">Chrétien, </w:t>
      </w:r>
      <w:r w:rsidR="00005B08" w:rsidRPr="005727BC">
        <w:rPr>
          <w:rFonts w:cs="Arial"/>
          <w:sz w:val="20"/>
        </w:rPr>
        <w:t>2021 QCTAT 6</w:t>
      </w:r>
      <w:r w:rsidRPr="005727BC">
        <w:rPr>
          <w:rFonts w:cs="Arial"/>
          <w:sz w:val="20"/>
        </w:rPr>
        <w:t>.</w:t>
      </w:r>
    </w:p>
  </w:footnote>
  <w:footnote w:id="42">
    <w:p w14:paraId="1E40D653" w14:textId="3B517D7E" w:rsidR="003F6098" w:rsidRPr="002D35AB" w:rsidRDefault="003F6098" w:rsidP="003F6098">
      <w:pPr>
        <w:pStyle w:val="Notedebasdepage"/>
        <w:tabs>
          <w:tab w:val="left" w:pos="720"/>
        </w:tabs>
        <w:ind w:left="720" w:hanging="720"/>
        <w:jc w:val="both"/>
        <w:rPr>
          <w:rFonts w:cs="Arial"/>
          <w:sz w:val="20"/>
        </w:rPr>
      </w:pPr>
      <w:r w:rsidRPr="00040663">
        <w:rPr>
          <w:rStyle w:val="Appelnotedebasdep"/>
        </w:rPr>
        <w:footnoteRef/>
      </w:r>
      <w:r w:rsidRPr="00040663">
        <w:t xml:space="preserve"> </w:t>
      </w:r>
      <w:r w:rsidRPr="00040663">
        <w:rPr>
          <w:rFonts w:cs="Arial"/>
          <w:sz w:val="20"/>
        </w:rPr>
        <w:tab/>
      </w:r>
      <w:r w:rsidR="006F0610" w:rsidRPr="00040663">
        <w:rPr>
          <w:rFonts w:cs="Arial"/>
          <w:sz w:val="20"/>
        </w:rPr>
        <w:t>Précitée, note 41.</w:t>
      </w:r>
    </w:p>
  </w:footnote>
  <w:footnote w:id="43">
    <w:p w14:paraId="38FBC9E1" w14:textId="01B1CB05" w:rsidR="003F6098" w:rsidRPr="00045525" w:rsidRDefault="003F6098" w:rsidP="003F6098">
      <w:pPr>
        <w:pStyle w:val="Notedebasdepage"/>
        <w:tabs>
          <w:tab w:val="left" w:pos="720"/>
        </w:tabs>
        <w:ind w:left="720" w:hanging="720"/>
        <w:jc w:val="both"/>
        <w:rPr>
          <w:rFonts w:cs="Arial"/>
          <w:sz w:val="20"/>
        </w:rPr>
      </w:pPr>
      <w:r>
        <w:rPr>
          <w:rStyle w:val="Appelnotedebasdep"/>
        </w:rPr>
        <w:footnoteRef/>
      </w:r>
      <w:r w:rsidRPr="00045525">
        <w:t xml:space="preserve"> </w:t>
      </w:r>
      <w:r w:rsidRPr="00045525">
        <w:rPr>
          <w:rFonts w:cs="Arial"/>
          <w:sz w:val="20"/>
        </w:rPr>
        <w:tab/>
      </w:r>
      <w:r w:rsidRPr="00045525">
        <w:rPr>
          <w:rFonts w:cs="Arial"/>
          <w:i/>
          <w:iCs/>
          <w:sz w:val="20"/>
        </w:rPr>
        <w:t>Gauthier</w:t>
      </w:r>
      <w:r w:rsidRPr="00045525">
        <w:rPr>
          <w:rFonts w:cs="Arial"/>
          <w:sz w:val="20"/>
        </w:rPr>
        <w:t xml:space="preserve"> et </w:t>
      </w:r>
      <w:r w:rsidRPr="00045525">
        <w:rPr>
          <w:rFonts w:cs="Arial"/>
          <w:i/>
          <w:iCs/>
          <w:sz w:val="20"/>
        </w:rPr>
        <w:t>Commonwealth Plywood Ltée</w:t>
      </w:r>
      <w:r w:rsidRPr="00045525">
        <w:rPr>
          <w:rFonts w:cs="Arial"/>
          <w:sz w:val="20"/>
        </w:rPr>
        <w:t xml:space="preserve">, C.L.P. 219653-64-0311, 25 octobre 2005, </w:t>
      </w:r>
      <w:r w:rsidR="00045525" w:rsidRPr="00045525">
        <w:rPr>
          <w:rFonts w:cs="Arial"/>
          <w:sz w:val="20"/>
        </w:rPr>
        <w:t>J</w:t>
      </w:r>
      <w:r w:rsidR="00045525">
        <w:rPr>
          <w:rFonts w:cs="Arial"/>
          <w:sz w:val="20"/>
        </w:rPr>
        <w:t>-F Martel.</w:t>
      </w:r>
    </w:p>
  </w:footnote>
  <w:footnote w:id="44">
    <w:p w14:paraId="2D1A9B92" w14:textId="7E648A15" w:rsidR="00045525" w:rsidRPr="00045525" w:rsidRDefault="00045525" w:rsidP="0004552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721A2">
        <w:rPr>
          <w:rFonts w:cs="Arial"/>
          <w:i/>
          <w:iCs/>
          <w:sz w:val="20"/>
        </w:rPr>
        <w:t>Koury-Farah</w:t>
      </w:r>
      <w:r w:rsidRPr="00A721A2">
        <w:rPr>
          <w:rFonts w:cs="Arial"/>
          <w:sz w:val="20"/>
        </w:rPr>
        <w:t xml:space="preserve"> et </w:t>
      </w:r>
      <w:r w:rsidRPr="00A721A2">
        <w:rPr>
          <w:rFonts w:cs="Arial"/>
          <w:i/>
          <w:iCs/>
          <w:sz w:val="20"/>
        </w:rPr>
        <w:t>Garderie Les Lurons de Chomedey inc.</w:t>
      </w:r>
      <w:r w:rsidRPr="00045525">
        <w:rPr>
          <w:rFonts w:cs="Arial"/>
          <w:sz w:val="20"/>
        </w:rPr>
        <w:t>, précité</w:t>
      </w:r>
      <w:r w:rsidR="00B55A4A">
        <w:rPr>
          <w:rFonts w:cs="Arial"/>
          <w:sz w:val="20"/>
        </w:rPr>
        <w:t>e,</w:t>
      </w:r>
      <w:r w:rsidRPr="00045525">
        <w:rPr>
          <w:rFonts w:cs="Arial"/>
          <w:sz w:val="20"/>
        </w:rPr>
        <w:t xml:space="preserve"> note </w:t>
      </w:r>
      <w:r w:rsidR="00EF7D6A">
        <w:rPr>
          <w:rFonts w:cs="Arial"/>
          <w:sz w:val="20"/>
        </w:rPr>
        <w:t>3</w:t>
      </w:r>
      <w:r w:rsidR="005727BC">
        <w:rPr>
          <w:rFonts w:cs="Arial"/>
          <w:sz w:val="20"/>
        </w:rPr>
        <w:t>7</w:t>
      </w:r>
      <w:r w:rsidRPr="00045525">
        <w:rPr>
          <w:rFonts w:cs="Arial"/>
          <w:sz w:val="20"/>
        </w:rPr>
        <w:t>.</w:t>
      </w:r>
    </w:p>
  </w:footnote>
  <w:footnote w:id="45">
    <w:p w14:paraId="7B0F4FEC" w14:textId="67C7475A" w:rsidR="00F73D28" w:rsidRPr="00F73D28" w:rsidRDefault="00F73D28" w:rsidP="00F73D28">
      <w:pPr>
        <w:pStyle w:val="Notedebasdepage"/>
        <w:tabs>
          <w:tab w:val="left" w:pos="720"/>
        </w:tabs>
        <w:ind w:left="720" w:hanging="720"/>
        <w:jc w:val="both"/>
        <w:rPr>
          <w:rFonts w:cs="Arial"/>
          <w:sz w:val="20"/>
        </w:rPr>
      </w:pPr>
      <w:r>
        <w:rPr>
          <w:rStyle w:val="Appelnotedebasdep"/>
        </w:rPr>
        <w:footnoteRef/>
      </w:r>
      <w:r w:rsidRPr="00F73D28">
        <w:t xml:space="preserve"> </w:t>
      </w:r>
      <w:r w:rsidRPr="00F73D28">
        <w:rPr>
          <w:rFonts w:cs="Arial"/>
          <w:sz w:val="20"/>
        </w:rPr>
        <w:tab/>
        <w:t xml:space="preserve">Umberto GIANELLI </w:t>
      </w:r>
      <w:r w:rsidRPr="00040663">
        <w:rPr>
          <w:rFonts w:cs="Arial"/>
          <w:i/>
          <w:iCs/>
          <w:sz w:val="20"/>
        </w:rPr>
        <w:t>et al</w:t>
      </w:r>
      <w:r w:rsidRPr="00F73D28">
        <w:rPr>
          <w:rFonts w:cs="Arial"/>
          <w:sz w:val="20"/>
        </w:rPr>
        <w:t>.,</w:t>
      </w:r>
      <w:r w:rsidR="007E323F">
        <w:rPr>
          <w:rFonts w:cs="Arial"/>
          <w:sz w:val="20"/>
        </w:rPr>
        <w:t xml:space="preserve"> </w:t>
      </w:r>
      <w:r w:rsidRPr="00F73D28">
        <w:rPr>
          <w:rFonts w:cs="Arial"/>
          <w:sz w:val="20"/>
        </w:rPr>
        <w:t>«</w:t>
      </w:r>
      <w:r w:rsidR="007E323F">
        <w:rPr>
          <w:rFonts w:cs="Arial"/>
          <w:sz w:val="20"/>
        </w:rPr>
        <w:t> </w:t>
      </w:r>
      <w:r w:rsidRPr="00F73D28">
        <w:rPr>
          <w:rFonts w:cs="Arial"/>
          <w:sz w:val="20"/>
        </w:rPr>
        <w:t>International Consensus Classification of Myeloid and Lymphoid Neoplasms</w:t>
      </w:r>
      <w:r w:rsidR="00456811">
        <w:rPr>
          <w:rFonts w:cs="Arial"/>
          <w:sz w:val="20"/>
        </w:rPr>
        <w:t xml:space="preserve"> </w:t>
      </w:r>
      <w:r w:rsidRPr="00F73D28">
        <w:rPr>
          <w:rFonts w:cs="Arial"/>
          <w:sz w:val="20"/>
        </w:rPr>
        <w:t xml:space="preserve">: Myeloproliferative Neoplasms », (2022) 482 </w:t>
      </w:r>
      <w:r w:rsidRPr="007E323F">
        <w:rPr>
          <w:rFonts w:cs="Arial"/>
          <w:i/>
          <w:iCs/>
          <w:sz w:val="20"/>
        </w:rPr>
        <w:t>Virchows Archiv : An International Journal of Pathology</w:t>
      </w:r>
      <w:r w:rsidR="007E323F">
        <w:rPr>
          <w:rFonts w:cs="Arial"/>
          <w:sz w:val="20"/>
        </w:rPr>
        <w:t xml:space="preserve">, </w:t>
      </w:r>
      <w:r w:rsidRPr="00F73D28">
        <w:rPr>
          <w:rFonts w:cs="Arial"/>
          <w:sz w:val="20"/>
        </w:rPr>
        <w:t>pp. 53-58, [En ligne], &lt;</w:t>
      </w:r>
      <w:hyperlink r:id="rId2" w:history="1">
        <w:r w:rsidRPr="00456811">
          <w:rPr>
            <w:rStyle w:val="Lienhypertexte"/>
            <w:rFonts w:cs="Arial"/>
            <w:sz w:val="20"/>
          </w:rPr>
          <w:t>https://pmc.ncbi.nlm.nih.gov/articles/PMC9852206/</w:t>
        </w:r>
      </w:hyperlink>
      <w:r w:rsidRPr="00F73D28">
        <w:rPr>
          <w:rFonts w:cs="Arial"/>
          <w:sz w:val="20"/>
        </w:rPr>
        <w:t>&gt; (Date de consultation inconnue).</w:t>
      </w:r>
    </w:p>
  </w:footnote>
  <w:footnote w:id="46">
    <w:p w14:paraId="1BDD4479" w14:textId="6CB8FAEA" w:rsidR="00F079ED" w:rsidRPr="00F079ED" w:rsidRDefault="00F079ED" w:rsidP="00F079E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Voir les notes médicales d’hospitalisation entre les 15 et 19 février 2020.</w:t>
      </w:r>
    </w:p>
  </w:footnote>
  <w:footnote w:id="47">
    <w:p w14:paraId="5B646E1A" w14:textId="70445E18" w:rsidR="00F079ED" w:rsidRPr="00F079ED" w:rsidRDefault="00F079ED" w:rsidP="00F079E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Voir les notes médicales des 7 et 8 mars 2020.</w:t>
      </w:r>
    </w:p>
  </w:footnote>
  <w:footnote w:id="48">
    <w:p w14:paraId="4305C110" w14:textId="7F1840D8" w:rsidR="00B10751" w:rsidRPr="00211B7F" w:rsidRDefault="00B10751" w:rsidP="00B10751">
      <w:pPr>
        <w:pStyle w:val="Notedebasdepage"/>
        <w:tabs>
          <w:tab w:val="left" w:pos="720"/>
        </w:tabs>
        <w:ind w:left="720" w:hanging="720"/>
        <w:jc w:val="both"/>
        <w:rPr>
          <w:rFonts w:cs="Arial"/>
          <w:sz w:val="20"/>
          <w:lang w:val="en-CA"/>
        </w:rPr>
      </w:pPr>
      <w:r>
        <w:rPr>
          <w:rStyle w:val="Appelnotedebasdep"/>
        </w:rPr>
        <w:footnoteRef/>
      </w:r>
      <w:r w:rsidRPr="00211B7F">
        <w:rPr>
          <w:lang w:val="en-CA"/>
        </w:rPr>
        <w:t xml:space="preserve"> </w:t>
      </w:r>
      <w:r w:rsidRPr="00211B7F">
        <w:rPr>
          <w:rFonts w:cs="Arial"/>
          <w:sz w:val="20"/>
          <w:lang w:val="en-CA"/>
        </w:rPr>
        <w:tab/>
      </w:r>
      <w:r w:rsidR="00F079ED" w:rsidRPr="00211B7F">
        <w:rPr>
          <w:rFonts w:cs="Arial"/>
          <w:sz w:val="20"/>
          <w:lang w:val="en-CA"/>
        </w:rPr>
        <w:t xml:space="preserve">Mariana Miranda SAMPAIO </w:t>
      </w:r>
      <w:r w:rsidR="00E6629F" w:rsidRPr="00040663">
        <w:rPr>
          <w:rFonts w:cs="Arial"/>
          <w:i/>
          <w:iCs/>
          <w:sz w:val="20"/>
          <w:lang w:val="en-CA"/>
        </w:rPr>
        <w:t>et al</w:t>
      </w:r>
      <w:r w:rsidR="00E6629F" w:rsidRPr="00211B7F">
        <w:rPr>
          <w:rFonts w:cs="Arial"/>
          <w:sz w:val="20"/>
          <w:lang w:val="en-CA"/>
        </w:rPr>
        <w:t>., «</w:t>
      </w:r>
      <w:r w:rsidR="00F079ED" w:rsidRPr="00211B7F">
        <w:rPr>
          <w:rFonts w:cs="Arial"/>
          <w:sz w:val="20"/>
          <w:lang w:val="en-CA"/>
        </w:rPr>
        <w:t xml:space="preserve"> Chronic myeloid Leukemia-From the Philadelphia Chromosome to Specific Target </w:t>
      </w:r>
      <w:r w:rsidR="00E6629F" w:rsidRPr="00211B7F">
        <w:rPr>
          <w:rFonts w:cs="Arial"/>
          <w:sz w:val="20"/>
          <w:lang w:val="en-CA"/>
        </w:rPr>
        <w:t>Drugs:</w:t>
      </w:r>
      <w:r w:rsidR="00F079ED" w:rsidRPr="00211B7F">
        <w:rPr>
          <w:rFonts w:cs="Arial"/>
          <w:sz w:val="20"/>
          <w:lang w:val="en-CA"/>
        </w:rPr>
        <w:t xml:space="preserve"> A Literature Review », (2021) 12 </w:t>
      </w:r>
      <w:r w:rsidR="00F079ED" w:rsidRPr="00211B7F">
        <w:rPr>
          <w:rFonts w:cs="Arial"/>
          <w:i/>
          <w:iCs/>
          <w:sz w:val="20"/>
          <w:lang w:val="en-CA"/>
        </w:rPr>
        <w:t>World Journal of Clinical Oncology</w:t>
      </w:r>
      <w:r w:rsidR="00F079ED" w:rsidRPr="00211B7F">
        <w:rPr>
          <w:rFonts w:cs="Arial"/>
          <w:sz w:val="20"/>
          <w:lang w:val="en-CA"/>
        </w:rPr>
        <w:t>,</w:t>
      </w:r>
      <w:r w:rsidR="007E323F" w:rsidRPr="00211B7F">
        <w:rPr>
          <w:rFonts w:cs="Arial"/>
          <w:sz w:val="20"/>
          <w:lang w:val="en-CA"/>
        </w:rPr>
        <w:t xml:space="preserve"> </w:t>
      </w:r>
      <w:r w:rsidR="00F079ED" w:rsidRPr="00211B7F">
        <w:rPr>
          <w:rFonts w:cs="Arial"/>
          <w:sz w:val="20"/>
          <w:lang w:val="en-CA"/>
        </w:rPr>
        <w:t>pp. 69-94, [En ligne], &lt;</w:t>
      </w:r>
      <w:hyperlink r:id="rId3" w:history="1">
        <w:r w:rsidR="00F079ED" w:rsidRPr="00456811">
          <w:rPr>
            <w:rStyle w:val="Lienhypertexte"/>
            <w:rFonts w:cs="Arial"/>
            <w:sz w:val="20"/>
            <w:lang w:val="en-CA"/>
          </w:rPr>
          <w:t>https://pmc.ncbi.nlm.nih.gov/articles/PMC7918527/pdf/WJCO-12-69.pdf</w:t>
        </w:r>
      </w:hyperlink>
      <w:r w:rsidR="00F079ED" w:rsidRPr="00211B7F">
        <w:rPr>
          <w:rFonts w:cs="Arial"/>
          <w:sz w:val="20"/>
          <w:lang w:val="en-CA"/>
        </w:rPr>
        <w:t>&gt; (Date de consultation inconnue).</w:t>
      </w:r>
    </w:p>
  </w:footnote>
  <w:footnote w:id="49">
    <w:p w14:paraId="30EB4E61" w14:textId="31399FCC" w:rsidR="006A13BE" w:rsidRPr="006A13BE" w:rsidRDefault="006A13BE" w:rsidP="006A13BE">
      <w:pPr>
        <w:pStyle w:val="Notedebasdepage"/>
        <w:tabs>
          <w:tab w:val="left" w:pos="720"/>
        </w:tabs>
        <w:ind w:left="720" w:hanging="720"/>
        <w:jc w:val="both"/>
        <w:rPr>
          <w:rFonts w:cs="Arial"/>
          <w:sz w:val="20"/>
          <w:lang w:val="en-CA"/>
        </w:rPr>
      </w:pPr>
      <w:r>
        <w:rPr>
          <w:rStyle w:val="Appelnotedebasdep"/>
        </w:rPr>
        <w:footnoteRef/>
      </w:r>
      <w:r w:rsidRPr="006A13BE">
        <w:rPr>
          <w:lang w:val="en-CA"/>
        </w:rPr>
        <w:t xml:space="preserve"> </w:t>
      </w:r>
      <w:r w:rsidRPr="006A13BE">
        <w:rPr>
          <w:rFonts w:cs="Arial"/>
          <w:sz w:val="20"/>
          <w:lang w:val="en-CA"/>
        </w:rPr>
        <w:tab/>
      </w:r>
      <w:r w:rsidR="00A22D86" w:rsidRPr="00A22D86">
        <w:rPr>
          <w:rFonts w:cs="Arial"/>
          <w:sz w:val="20"/>
          <w:lang w:val="en-CA"/>
        </w:rPr>
        <w:t>« Philadelphia Chromosome », dans NATIONAL CANCER INSTITUTE, NCI Dictionary of Cancer Terms, [En ligne], &lt;</w:t>
      </w:r>
      <w:hyperlink r:id="rId4" w:history="1">
        <w:r w:rsidR="00A22D86" w:rsidRPr="005F059E">
          <w:rPr>
            <w:rStyle w:val="Lienhypertexte"/>
            <w:rFonts w:cs="Arial"/>
            <w:sz w:val="20"/>
            <w:lang w:val="en-CA"/>
          </w:rPr>
          <w:t>https://www.cancer.gov/publications/dictionaries/cancer-terms/def/philadelphia-chromosome</w:t>
        </w:r>
      </w:hyperlink>
      <w:r w:rsidR="00A22D86" w:rsidRPr="00A22D86">
        <w:rPr>
          <w:rFonts w:cs="Arial"/>
          <w:sz w:val="20"/>
          <w:lang w:val="en-CA"/>
        </w:rPr>
        <w:t>&gt; (Date de consultation inconnue).</w:t>
      </w:r>
    </w:p>
  </w:footnote>
  <w:footnote w:id="50">
    <w:p w14:paraId="7EC558EB" w14:textId="61BCF9FE" w:rsidR="00EE1E09" w:rsidRPr="00EE1E09" w:rsidRDefault="00EE1E09" w:rsidP="00EE1E09">
      <w:pPr>
        <w:pStyle w:val="Notedebasdepage"/>
        <w:tabs>
          <w:tab w:val="left" w:pos="720"/>
        </w:tabs>
        <w:ind w:left="720" w:hanging="720"/>
        <w:jc w:val="both"/>
        <w:rPr>
          <w:rFonts w:cs="Arial"/>
          <w:sz w:val="20"/>
        </w:rPr>
      </w:pPr>
      <w:r>
        <w:rPr>
          <w:rStyle w:val="Appelnotedebasdep"/>
        </w:rPr>
        <w:footnoteRef/>
      </w:r>
      <w:r w:rsidRPr="00EE1E09">
        <w:rPr>
          <w:lang w:val="en-CA"/>
        </w:rPr>
        <w:t xml:space="preserve"> </w:t>
      </w:r>
      <w:r w:rsidRPr="00EE1E09">
        <w:rPr>
          <w:rFonts w:cs="Arial"/>
          <w:sz w:val="20"/>
          <w:lang w:val="en-CA"/>
        </w:rPr>
        <w:tab/>
        <w:t xml:space="preserve">Dan-Sebastian SOARE </w:t>
      </w:r>
      <w:r w:rsidRPr="00040663">
        <w:rPr>
          <w:rFonts w:cs="Arial"/>
          <w:i/>
          <w:iCs/>
          <w:sz w:val="20"/>
          <w:lang w:val="en-CA"/>
        </w:rPr>
        <w:t>et al</w:t>
      </w:r>
      <w:r w:rsidRPr="00EE1E09">
        <w:rPr>
          <w:rFonts w:cs="Arial"/>
          <w:sz w:val="20"/>
          <w:lang w:val="en-CA"/>
        </w:rPr>
        <w:t>., « Philadelphia Chromosome-Positive de Novo AML or Blast Phase CML? Case Report and Short Literature Review »,</w:t>
      </w:r>
      <w:r>
        <w:rPr>
          <w:rFonts w:cs="Arial"/>
          <w:sz w:val="20"/>
          <w:lang w:val="en-CA"/>
        </w:rPr>
        <w:t xml:space="preserve"> </w:t>
      </w:r>
      <w:r w:rsidRPr="00EE1E09">
        <w:rPr>
          <w:rFonts w:cs="Arial"/>
          <w:sz w:val="20"/>
          <w:lang w:val="en-CA"/>
        </w:rPr>
        <w:t xml:space="preserve">(2023) </w:t>
      </w:r>
      <w:r w:rsidRPr="00EE1E09">
        <w:rPr>
          <w:rFonts w:cs="Arial"/>
          <w:i/>
          <w:iCs/>
          <w:sz w:val="20"/>
          <w:lang w:val="en-CA"/>
        </w:rPr>
        <w:t>Documenta Haematologica. Revista Romana de Hematologiepp</w:t>
      </w:r>
      <w:r w:rsidRPr="00EE1E09">
        <w:rPr>
          <w:rFonts w:cs="Arial"/>
          <w:sz w:val="20"/>
          <w:lang w:val="en-CA"/>
        </w:rPr>
        <w:t xml:space="preserve">. </w:t>
      </w:r>
      <w:r w:rsidRPr="00EE1E09">
        <w:rPr>
          <w:rFonts w:cs="Arial"/>
          <w:sz w:val="20"/>
        </w:rPr>
        <w:t>25-31, [En ligne], &lt;</w:t>
      </w:r>
      <w:hyperlink r:id="rId5" w:history="1">
        <w:r w:rsidRPr="005F059E">
          <w:rPr>
            <w:rStyle w:val="Lienhypertexte"/>
            <w:rFonts w:cs="Arial"/>
            <w:sz w:val="20"/>
          </w:rPr>
          <w:t>https://www.dhrrh.ro/wp-content/uploads/2023/10/DHRRH_2023_1_Art-04.pdf</w:t>
        </w:r>
      </w:hyperlink>
      <w:r w:rsidRPr="00EE1E09">
        <w:rPr>
          <w:rFonts w:cs="Arial"/>
          <w:sz w:val="20"/>
        </w:rPr>
        <w:t>&gt; (Date de consultation inconnue).</w:t>
      </w:r>
    </w:p>
  </w:footnote>
  <w:footnote w:id="51">
    <w:p w14:paraId="2DD5D437" w14:textId="46BEFE75" w:rsidR="006A13BE" w:rsidRPr="008D0BC7" w:rsidRDefault="006A13BE" w:rsidP="006A13B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3574C">
        <w:rPr>
          <w:rFonts w:cs="Arial"/>
          <w:i/>
          <w:iCs/>
          <w:sz w:val="20"/>
        </w:rPr>
        <w:t>Id</w:t>
      </w:r>
      <w:r>
        <w:rPr>
          <w:rFonts w:cs="Arial"/>
          <w:sz w:val="20"/>
        </w:rPr>
        <w:t>.</w:t>
      </w:r>
    </w:p>
  </w:footnote>
  <w:footnote w:id="52">
    <w:p w14:paraId="470D4D52" w14:textId="69DE2AE2" w:rsidR="00FC2C5D" w:rsidRPr="00040663" w:rsidRDefault="00FC2C5D" w:rsidP="00FC2C5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AF553A" w:rsidRPr="00AF553A">
        <w:rPr>
          <w:rFonts w:cs="Arial"/>
          <w:sz w:val="20"/>
        </w:rPr>
        <w:t xml:space="preserve">I. DE KOUCHKOVSKY et M. ABDUL-HAY, « </w:t>
      </w:r>
      <w:r w:rsidR="00AF553A" w:rsidRPr="007E323F">
        <w:rPr>
          <w:rFonts w:cs="Arial"/>
          <w:sz w:val="20"/>
        </w:rPr>
        <w:t>Acute Myeloid Leukemia</w:t>
      </w:r>
      <w:r w:rsidR="005D3EB2">
        <w:rPr>
          <w:rFonts w:cs="Arial"/>
          <w:sz w:val="20"/>
        </w:rPr>
        <w:t xml:space="preserve"> </w:t>
      </w:r>
      <w:r w:rsidR="00AF553A" w:rsidRPr="007E323F">
        <w:rPr>
          <w:rFonts w:cs="Arial"/>
          <w:sz w:val="20"/>
        </w:rPr>
        <w:t xml:space="preserve">: A Comprehensive Review and 2016 Update </w:t>
      </w:r>
      <w:r w:rsidR="00AF553A" w:rsidRPr="00AF553A">
        <w:rPr>
          <w:rFonts w:cs="Arial"/>
          <w:sz w:val="20"/>
        </w:rPr>
        <w:t xml:space="preserve">», (2016) 6 </w:t>
      </w:r>
      <w:r w:rsidR="00AF553A" w:rsidRPr="007E323F">
        <w:rPr>
          <w:rFonts w:cs="Arial"/>
          <w:i/>
          <w:iCs/>
          <w:sz w:val="20"/>
        </w:rPr>
        <w:t>Blood Cancer Journal</w:t>
      </w:r>
      <w:r w:rsidR="00AF553A" w:rsidRPr="00AF553A">
        <w:rPr>
          <w:rFonts w:cs="Arial"/>
          <w:sz w:val="20"/>
        </w:rPr>
        <w:t xml:space="preserve">, [En ligne], </w:t>
      </w:r>
      <w:r w:rsidR="00AF553A" w:rsidRPr="00040663">
        <w:rPr>
          <w:rFonts w:cs="Arial"/>
          <w:sz w:val="20"/>
        </w:rPr>
        <w:t>&lt;</w:t>
      </w:r>
      <w:hyperlink r:id="rId6" w:history="1">
        <w:r w:rsidR="00AF553A" w:rsidRPr="00040663">
          <w:rPr>
            <w:rStyle w:val="Lienhypertexte"/>
            <w:rFonts w:cs="Arial"/>
            <w:sz w:val="20"/>
          </w:rPr>
          <w:t>https://www.nature.com/articles/bcj201650</w:t>
        </w:r>
      </w:hyperlink>
      <w:r w:rsidR="00AF553A" w:rsidRPr="00040663">
        <w:rPr>
          <w:rFonts w:cs="Arial"/>
          <w:sz w:val="20"/>
        </w:rPr>
        <w:t>&gt; (Date de consultation inconnue).</w:t>
      </w:r>
    </w:p>
  </w:footnote>
  <w:footnote w:id="53">
    <w:p w14:paraId="2E93A4FA" w14:textId="01C5B9C7" w:rsidR="00E6629F" w:rsidRPr="00E6629F" w:rsidRDefault="00E6629F" w:rsidP="00E6629F">
      <w:pPr>
        <w:pStyle w:val="Notedebasdepage"/>
        <w:tabs>
          <w:tab w:val="left" w:pos="720"/>
        </w:tabs>
        <w:ind w:left="720" w:hanging="720"/>
        <w:jc w:val="both"/>
        <w:rPr>
          <w:rFonts w:cs="Arial"/>
          <w:sz w:val="20"/>
        </w:rPr>
      </w:pPr>
      <w:r w:rsidRPr="00040663">
        <w:rPr>
          <w:rStyle w:val="Appelnotedebasdep"/>
        </w:rPr>
        <w:footnoteRef/>
      </w:r>
      <w:r w:rsidRPr="00040663">
        <w:t xml:space="preserve"> </w:t>
      </w:r>
      <w:r w:rsidRPr="00040663">
        <w:rPr>
          <w:rFonts w:cs="Arial"/>
          <w:sz w:val="20"/>
        </w:rPr>
        <w:tab/>
      </w:r>
      <w:r w:rsidR="006F0610" w:rsidRPr="00040663">
        <w:rPr>
          <w:rFonts w:cs="Arial"/>
          <w:i/>
          <w:iCs/>
          <w:sz w:val="20"/>
        </w:rPr>
        <w:t>Id</w:t>
      </w:r>
      <w:r w:rsidR="006F0610" w:rsidRPr="00040663">
        <w:rPr>
          <w:rFonts w:cs="Arial"/>
          <w:sz w:val="20"/>
        </w:rPr>
        <w:t>.</w:t>
      </w:r>
      <w:r w:rsidR="006F0610">
        <w:rPr>
          <w:rFonts w:cs="Arial"/>
          <w:sz w:val="20"/>
        </w:rPr>
        <w:t xml:space="preserve"> </w:t>
      </w:r>
    </w:p>
  </w:footnote>
  <w:footnote w:id="54">
    <w:p w14:paraId="0F22D9C7" w14:textId="43BC38F1" w:rsidR="001C690A" w:rsidRPr="00E6629F" w:rsidRDefault="001C690A" w:rsidP="001C690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F7D6A">
        <w:rPr>
          <w:rFonts w:cs="Arial"/>
          <w:sz w:val="20"/>
        </w:rPr>
        <w:t>Précité</w:t>
      </w:r>
      <w:r w:rsidR="005D3EB2">
        <w:rPr>
          <w:rFonts w:cs="Arial"/>
          <w:sz w:val="20"/>
        </w:rPr>
        <w:t>e,</w:t>
      </w:r>
      <w:r w:rsidRPr="00EF7D6A">
        <w:rPr>
          <w:rFonts w:cs="Arial"/>
          <w:sz w:val="20"/>
        </w:rPr>
        <w:t xml:space="preserve"> note 5</w:t>
      </w:r>
      <w:r w:rsidR="005F059E">
        <w:rPr>
          <w:rFonts w:cs="Arial"/>
          <w:sz w:val="20"/>
        </w:rPr>
        <w:t>2</w:t>
      </w:r>
      <w:r w:rsidRPr="00EF7D6A">
        <w:rPr>
          <w:rFonts w:cs="Arial"/>
          <w:sz w:val="20"/>
        </w:rPr>
        <w:t>.</w:t>
      </w:r>
    </w:p>
  </w:footnote>
  <w:footnote w:id="55">
    <w:p w14:paraId="7D2DCE94" w14:textId="34403646" w:rsidR="00784B45" w:rsidRPr="00784B45" w:rsidRDefault="00784B45" w:rsidP="00784B4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84B45">
        <w:rPr>
          <w:rFonts w:cs="Arial"/>
          <w:sz w:val="20"/>
        </w:rPr>
        <w:t xml:space="preserve">Sergei KONOPLEV </w:t>
      </w:r>
      <w:r w:rsidRPr="00040663">
        <w:rPr>
          <w:rFonts w:cs="Arial"/>
          <w:i/>
          <w:iCs/>
          <w:sz w:val="20"/>
        </w:rPr>
        <w:t>et al</w:t>
      </w:r>
      <w:r w:rsidRPr="00784B45">
        <w:rPr>
          <w:rFonts w:cs="Arial"/>
          <w:sz w:val="20"/>
        </w:rPr>
        <w:t>.,</w:t>
      </w:r>
      <w:r w:rsidR="005D3EB2">
        <w:rPr>
          <w:rFonts w:cs="Arial"/>
          <w:sz w:val="20"/>
        </w:rPr>
        <w:t xml:space="preserve"> </w:t>
      </w:r>
      <w:r w:rsidRPr="00784B45">
        <w:rPr>
          <w:rFonts w:cs="Arial"/>
          <w:sz w:val="20"/>
        </w:rPr>
        <w:t xml:space="preserve">« </w:t>
      </w:r>
      <w:r w:rsidRPr="007E323F">
        <w:rPr>
          <w:rFonts w:cs="Arial"/>
          <w:sz w:val="20"/>
        </w:rPr>
        <w:t>Molecular Characterization of de Novo Ph+ Acute Myeloid Leukemia</w:t>
      </w:r>
      <w:r w:rsidR="007E323F">
        <w:rPr>
          <w:rFonts w:cs="Arial"/>
          <w:sz w:val="20"/>
        </w:rPr>
        <w:t> </w:t>
      </w:r>
      <w:r w:rsidRPr="00784B45">
        <w:rPr>
          <w:rFonts w:cs="Arial"/>
          <w:sz w:val="20"/>
        </w:rPr>
        <w:t xml:space="preserve">», (2013) 54 </w:t>
      </w:r>
      <w:r w:rsidRPr="007E323F">
        <w:rPr>
          <w:rFonts w:cs="Arial"/>
          <w:i/>
          <w:iCs/>
          <w:sz w:val="20"/>
        </w:rPr>
        <w:t>Leukemia &amp; Lymphoma</w:t>
      </w:r>
      <w:r w:rsidRPr="00784B45">
        <w:rPr>
          <w:rFonts w:cs="Arial"/>
          <w:sz w:val="20"/>
        </w:rPr>
        <w:t>, pp. 138-144, [En ligne], &lt;</w:t>
      </w:r>
      <w:hyperlink r:id="rId7" w:history="1">
        <w:r w:rsidRPr="005F059E">
          <w:rPr>
            <w:rStyle w:val="Lienhypertexte"/>
            <w:rFonts w:cs="Arial"/>
            <w:sz w:val="20"/>
          </w:rPr>
          <w:t>https://pmc.ncbi.nlm.nih.gov/articles/PMC3925981/pdf/nihms-529553.pdf</w:t>
        </w:r>
      </w:hyperlink>
      <w:r w:rsidRPr="00784B45">
        <w:rPr>
          <w:rFonts w:cs="Arial"/>
          <w:sz w:val="20"/>
        </w:rPr>
        <w:t>&gt; (Date de consultation inconnue).</w:t>
      </w:r>
    </w:p>
  </w:footnote>
  <w:footnote w:id="56">
    <w:p w14:paraId="670B09B4" w14:textId="7CB9DFA5" w:rsidR="00547066" w:rsidRPr="004B590C" w:rsidRDefault="00547066" w:rsidP="00547066">
      <w:pPr>
        <w:pStyle w:val="Notedebasdepage"/>
        <w:tabs>
          <w:tab w:val="left" w:pos="720"/>
        </w:tabs>
        <w:ind w:left="720" w:hanging="720"/>
        <w:jc w:val="both"/>
        <w:rPr>
          <w:rFonts w:cs="Arial"/>
          <w:sz w:val="20"/>
        </w:rPr>
      </w:pPr>
      <w:r>
        <w:rPr>
          <w:rStyle w:val="Appelnotedebasdep"/>
        </w:rPr>
        <w:footnoteRef/>
      </w:r>
      <w:r w:rsidRPr="004B590C">
        <w:t xml:space="preserve"> </w:t>
      </w:r>
      <w:r w:rsidRPr="004B590C">
        <w:rPr>
          <w:rFonts w:cs="Arial"/>
          <w:sz w:val="20"/>
        </w:rPr>
        <w:tab/>
      </w:r>
      <w:r w:rsidR="006F0610" w:rsidRPr="00040663">
        <w:rPr>
          <w:rFonts w:cs="Arial"/>
          <w:i/>
          <w:iCs/>
          <w:sz w:val="20"/>
        </w:rPr>
        <w:t>Id</w:t>
      </w:r>
      <w:r w:rsidR="006F0610" w:rsidRPr="00040663">
        <w:rPr>
          <w:rFonts w:cs="Arial"/>
          <w:sz w:val="20"/>
        </w:rPr>
        <w:t>.</w:t>
      </w:r>
      <w:r w:rsidR="006F0610">
        <w:rPr>
          <w:rFonts w:cs="Arial"/>
          <w:sz w:val="20"/>
        </w:rPr>
        <w:t xml:space="preserve"> </w:t>
      </w:r>
    </w:p>
  </w:footnote>
  <w:footnote w:id="57">
    <w:p w14:paraId="4CE07084" w14:textId="243CFD40" w:rsidR="00547066" w:rsidRPr="008065DE" w:rsidRDefault="00547066" w:rsidP="00547066">
      <w:pPr>
        <w:pStyle w:val="Notedebasdepage"/>
        <w:tabs>
          <w:tab w:val="left" w:pos="720"/>
        </w:tabs>
        <w:ind w:left="720" w:hanging="720"/>
        <w:jc w:val="both"/>
        <w:rPr>
          <w:rFonts w:cs="Arial"/>
          <w:sz w:val="20"/>
          <w:lang w:val="en-CA"/>
        </w:rPr>
      </w:pPr>
      <w:r>
        <w:rPr>
          <w:rStyle w:val="Appelnotedebasdep"/>
        </w:rPr>
        <w:footnoteRef/>
      </w:r>
      <w:r w:rsidRPr="008065DE">
        <w:rPr>
          <w:lang w:val="en-CA"/>
        </w:rPr>
        <w:t xml:space="preserve"> </w:t>
      </w:r>
      <w:r w:rsidRPr="008065DE">
        <w:rPr>
          <w:rFonts w:cs="Arial"/>
          <w:sz w:val="20"/>
          <w:lang w:val="en-CA"/>
        </w:rPr>
        <w:tab/>
      </w:r>
      <w:r w:rsidR="008065DE" w:rsidRPr="008065DE">
        <w:rPr>
          <w:rFonts w:cs="Arial"/>
          <w:sz w:val="20"/>
          <w:lang w:val="en-CA"/>
        </w:rPr>
        <w:t xml:space="preserve">Nina Rosa NEUENDORFF </w:t>
      </w:r>
      <w:r w:rsidR="00420029" w:rsidRPr="00040663">
        <w:rPr>
          <w:rFonts w:cs="Arial"/>
          <w:i/>
          <w:iCs/>
          <w:sz w:val="20"/>
          <w:lang w:val="en-CA"/>
        </w:rPr>
        <w:t>et al</w:t>
      </w:r>
      <w:r w:rsidR="00420029" w:rsidRPr="008065DE">
        <w:rPr>
          <w:rFonts w:cs="Arial"/>
          <w:sz w:val="20"/>
          <w:lang w:val="en-CA"/>
        </w:rPr>
        <w:t>., «</w:t>
      </w:r>
      <w:r w:rsidR="008065DE" w:rsidRPr="008065DE">
        <w:rPr>
          <w:rFonts w:cs="Arial"/>
          <w:sz w:val="20"/>
          <w:lang w:val="en-CA"/>
        </w:rPr>
        <w:t xml:space="preserve"> BCR-ABL-Positive Acute Myeloid </w:t>
      </w:r>
      <w:r w:rsidR="00420029" w:rsidRPr="008065DE">
        <w:rPr>
          <w:rFonts w:cs="Arial"/>
          <w:sz w:val="20"/>
          <w:lang w:val="en-CA"/>
        </w:rPr>
        <w:t>Leukemia:</w:t>
      </w:r>
      <w:r w:rsidR="008065DE" w:rsidRPr="008065DE">
        <w:rPr>
          <w:rFonts w:cs="Arial"/>
          <w:sz w:val="20"/>
          <w:lang w:val="en-CA"/>
        </w:rPr>
        <w:t xml:space="preserve"> A New Entity? Analysis of Clinical and Molecular Features », (2016) 95 </w:t>
      </w:r>
      <w:r w:rsidR="008065DE" w:rsidRPr="008065DE">
        <w:rPr>
          <w:rFonts w:cs="Arial"/>
          <w:i/>
          <w:iCs/>
          <w:sz w:val="20"/>
          <w:lang w:val="en-CA"/>
        </w:rPr>
        <w:t>Annals of Hematology</w:t>
      </w:r>
      <w:r w:rsidR="008065DE" w:rsidRPr="008065DE">
        <w:rPr>
          <w:rFonts w:cs="Arial"/>
          <w:sz w:val="20"/>
          <w:lang w:val="en-CA"/>
        </w:rPr>
        <w:t>,</w:t>
      </w:r>
      <w:r w:rsidR="008065DE">
        <w:rPr>
          <w:rFonts w:cs="Arial"/>
          <w:sz w:val="20"/>
          <w:lang w:val="en-CA"/>
        </w:rPr>
        <w:t xml:space="preserve"> </w:t>
      </w:r>
      <w:r w:rsidR="008065DE" w:rsidRPr="008065DE">
        <w:rPr>
          <w:rFonts w:cs="Arial"/>
          <w:sz w:val="20"/>
          <w:lang w:val="en-CA"/>
        </w:rPr>
        <w:t>pp. 1211-1221.</w:t>
      </w:r>
    </w:p>
  </w:footnote>
  <w:footnote w:id="58">
    <w:p w14:paraId="142C6FB0" w14:textId="5B057DD9" w:rsidR="00C55CF7" w:rsidRPr="006F0610" w:rsidRDefault="00C55CF7" w:rsidP="00C55CF7">
      <w:pPr>
        <w:pStyle w:val="Notedebasdepage"/>
        <w:tabs>
          <w:tab w:val="left" w:pos="720"/>
        </w:tabs>
        <w:ind w:left="720" w:hanging="720"/>
        <w:jc w:val="both"/>
        <w:rPr>
          <w:rFonts w:cs="Arial"/>
          <w:sz w:val="20"/>
        </w:rPr>
      </w:pPr>
      <w:r>
        <w:rPr>
          <w:rStyle w:val="Appelnotedebasdep"/>
        </w:rPr>
        <w:footnoteRef/>
      </w:r>
      <w:r w:rsidRPr="006F0610">
        <w:t xml:space="preserve"> </w:t>
      </w:r>
      <w:r w:rsidRPr="006F0610">
        <w:rPr>
          <w:rFonts w:cs="Arial"/>
          <w:sz w:val="20"/>
        </w:rPr>
        <w:tab/>
      </w:r>
      <w:r w:rsidR="006F0610" w:rsidRPr="00040663">
        <w:rPr>
          <w:rFonts w:cs="Arial"/>
          <w:sz w:val="20"/>
        </w:rPr>
        <w:t xml:space="preserve">Nina Rosa NEUENDORFF </w:t>
      </w:r>
      <w:r w:rsidR="006F0610" w:rsidRPr="00040663">
        <w:rPr>
          <w:rFonts w:cs="Arial"/>
          <w:i/>
          <w:iCs/>
          <w:sz w:val="20"/>
        </w:rPr>
        <w:t>et al</w:t>
      </w:r>
      <w:r w:rsidR="006F0610" w:rsidRPr="00040663">
        <w:rPr>
          <w:rFonts w:cs="Arial"/>
          <w:sz w:val="20"/>
        </w:rPr>
        <w:t>., précitée, note 57.</w:t>
      </w:r>
    </w:p>
  </w:footnote>
  <w:footnote w:id="59">
    <w:p w14:paraId="1852FDA3" w14:textId="75F6A6DA" w:rsidR="009E2ED3" w:rsidRPr="009E2ED3" w:rsidRDefault="009E2ED3" w:rsidP="009E2ED3">
      <w:pPr>
        <w:pStyle w:val="Notedebasdepage"/>
        <w:tabs>
          <w:tab w:val="left" w:pos="720"/>
        </w:tabs>
        <w:ind w:left="720" w:hanging="720"/>
        <w:jc w:val="both"/>
        <w:rPr>
          <w:rFonts w:cs="Arial"/>
          <w:sz w:val="20"/>
          <w:lang w:val="en-CA"/>
        </w:rPr>
      </w:pPr>
      <w:r>
        <w:rPr>
          <w:rStyle w:val="Appelnotedebasdep"/>
        </w:rPr>
        <w:footnoteRef/>
      </w:r>
      <w:r w:rsidRPr="009E2ED3">
        <w:rPr>
          <w:lang w:val="en-CA"/>
        </w:rPr>
        <w:t xml:space="preserve"> </w:t>
      </w:r>
      <w:r w:rsidRPr="009E2ED3">
        <w:rPr>
          <w:rFonts w:cs="Arial"/>
          <w:sz w:val="20"/>
          <w:lang w:val="en-CA"/>
        </w:rPr>
        <w:tab/>
        <w:t xml:space="preserve">Zhichen ZHANG </w:t>
      </w:r>
      <w:r w:rsidR="00420029" w:rsidRPr="00040663">
        <w:rPr>
          <w:rFonts w:cs="Arial"/>
          <w:i/>
          <w:iCs/>
          <w:sz w:val="20"/>
          <w:lang w:val="en-CA"/>
        </w:rPr>
        <w:t>et al</w:t>
      </w:r>
      <w:r w:rsidR="00420029" w:rsidRPr="009E2ED3">
        <w:rPr>
          <w:rFonts w:cs="Arial"/>
          <w:sz w:val="20"/>
          <w:lang w:val="en-CA"/>
        </w:rPr>
        <w:t>., «</w:t>
      </w:r>
      <w:r w:rsidRPr="009E2ED3">
        <w:rPr>
          <w:rFonts w:cs="Arial"/>
          <w:sz w:val="20"/>
          <w:lang w:val="en-CA"/>
        </w:rPr>
        <w:t xml:space="preserve"> Philadelphia Chromosome-Positive Acute Myeloid Leukemia Successfully Treated by Allogeneic Hematopoietic Stem Cell </w:t>
      </w:r>
      <w:r w:rsidR="00420029" w:rsidRPr="009E2ED3">
        <w:rPr>
          <w:rFonts w:cs="Arial"/>
          <w:sz w:val="20"/>
          <w:lang w:val="en-CA"/>
        </w:rPr>
        <w:t>Transplantation:</w:t>
      </w:r>
      <w:r w:rsidRPr="009E2ED3">
        <w:rPr>
          <w:rFonts w:cs="Arial"/>
          <w:sz w:val="20"/>
          <w:lang w:val="en-CA"/>
        </w:rPr>
        <w:t xml:space="preserve"> A Case Report and Review of the Literature », (2024) 103 </w:t>
      </w:r>
      <w:r w:rsidRPr="009E2ED3">
        <w:rPr>
          <w:rFonts w:cs="Arial"/>
          <w:i/>
          <w:iCs/>
          <w:sz w:val="20"/>
          <w:lang w:val="en-CA"/>
        </w:rPr>
        <w:t>Medicine</w:t>
      </w:r>
      <w:r w:rsidRPr="009E2ED3">
        <w:rPr>
          <w:rFonts w:cs="Arial"/>
          <w:sz w:val="20"/>
          <w:lang w:val="en-CA"/>
        </w:rPr>
        <w:t>, p. e38110, [En ligne], &lt;</w:t>
      </w:r>
      <w:hyperlink r:id="rId8" w:history="1">
        <w:r w:rsidRPr="005F059E">
          <w:rPr>
            <w:rStyle w:val="Lienhypertexte"/>
            <w:rFonts w:cs="Arial"/>
            <w:sz w:val="20"/>
            <w:lang w:val="en-CA"/>
          </w:rPr>
          <w:t>https://pmc.ncbi.nlm.nih.gov/articles/PMC11081607/pdf/medi-103-e38110.pdf</w:t>
        </w:r>
      </w:hyperlink>
      <w:r w:rsidRPr="009E2ED3">
        <w:rPr>
          <w:rFonts w:cs="Arial"/>
          <w:sz w:val="20"/>
          <w:lang w:val="en-CA"/>
        </w:rPr>
        <w:t>&gt; (Date de consultation inconnue).</w:t>
      </w:r>
    </w:p>
  </w:footnote>
  <w:footnote w:id="60">
    <w:p w14:paraId="3CD72594" w14:textId="77777777" w:rsidR="006239CF" w:rsidRPr="00B83163" w:rsidRDefault="006239CF" w:rsidP="006239C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Tel qu’il se lisait avant les modifications législatives de 2021 discutées précédemment.</w:t>
      </w:r>
    </w:p>
  </w:footnote>
  <w:footnote w:id="61">
    <w:p w14:paraId="377CFFC6" w14:textId="6C006549" w:rsidR="00B83163" w:rsidRPr="00FF03AB" w:rsidRDefault="00B83163" w:rsidP="00B8316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Tel qu’il se lisait avant son abrogation et l’entrée en vigueur du </w:t>
      </w:r>
      <w:r w:rsidRPr="00B83163">
        <w:rPr>
          <w:rFonts w:cs="Arial"/>
          <w:i/>
          <w:iCs/>
          <w:sz w:val="20"/>
        </w:rPr>
        <w:t>Règlement sur les maladies professionnelles</w:t>
      </w:r>
      <w:r w:rsidR="00FF03AB">
        <w:rPr>
          <w:rFonts w:cs="Arial"/>
          <w:i/>
          <w:iCs/>
          <w:sz w:val="20"/>
        </w:rPr>
        <w:t xml:space="preserve">, </w:t>
      </w:r>
      <w:r w:rsidR="00FF03AB" w:rsidRPr="00FF03AB">
        <w:rPr>
          <w:rFonts w:cs="Arial"/>
          <w:sz w:val="20"/>
        </w:rPr>
        <w:t>précité à la note</w:t>
      </w:r>
      <w:r w:rsidR="00FF03AB">
        <w:rPr>
          <w:rFonts w:cs="Arial"/>
          <w:sz w:val="20"/>
        </w:rPr>
        <w:t xml:space="preserve"> 9.</w:t>
      </w:r>
    </w:p>
  </w:footnote>
  <w:footnote w:id="62">
    <w:p w14:paraId="066A9C63" w14:textId="450466C3" w:rsidR="00623C19" w:rsidRPr="0071029F" w:rsidRDefault="00623C19" w:rsidP="00623C1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Point 11 de </w:t>
      </w:r>
      <w:r w:rsidRPr="0071029F">
        <w:rPr>
          <w:rFonts w:cs="Arial"/>
          <w:sz w:val="20"/>
        </w:rPr>
        <w:t>l’</w:t>
      </w:r>
      <w:r w:rsidR="00074CBD" w:rsidRPr="0071029F">
        <w:rPr>
          <w:rFonts w:cs="Arial"/>
          <w:sz w:val="20"/>
        </w:rPr>
        <w:t>A</w:t>
      </w:r>
      <w:r w:rsidRPr="0071029F">
        <w:rPr>
          <w:rFonts w:cs="Arial"/>
          <w:sz w:val="20"/>
        </w:rPr>
        <w:t>nnexe 1 de la Loi.</w:t>
      </w:r>
    </w:p>
  </w:footnote>
  <w:footnote w:id="63">
    <w:p w14:paraId="3325967C" w14:textId="29CDF298" w:rsidR="00623C19" w:rsidRPr="00623C19" w:rsidRDefault="00623C19" w:rsidP="00623C19">
      <w:pPr>
        <w:pStyle w:val="Notedebasdepage"/>
        <w:tabs>
          <w:tab w:val="left" w:pos="720"/>
        </w:tabs>
        <w:ind w:left="720" w:hanging="720"/>
        <w:jc w:val="both"/>
        <w:rPr>
          <w:rFonts w:cs="Arial"/>
          <w:sz w:val="20"/>
        </w:rPr>
      </w:pPr>
      <w:r w:rsidRPr="0071029F">
        <w:rPr>
          <w:rStyle w:val="Appelnotedebasdep"/>
        </w:rPr>
        <w:footnoteRef/>
      </w:r>
      <w:r w:rsidRPr="0071029F">
        <w:t xml:space="preserve"> </w:t>
      </w:r>
      <w:r w:rsidRPr="0071029F">
        <w:rPr>
          <w:rFonts w:cs="Arial"/>
          <w:sz w:val="20"/>
        </w:rPr>
        <w:tab/>
        <w:t>Point 12 de l’</w:t>
      </w:r>
      <w:r w:rsidR="00480FC2" w:rsidRPr="0071029F">
        <w:rPr>
          <w:rFonts w:cs="Arial"/>
          <w:sz w:val="20"/>
        </w:rPr>
        <w:t>A</w:t>
      </w:r>
      <w:r w:rsidRPr="0071029F">
        <w:rPr>
          <w:rFonts w:cs="Arial"/>
          <w:sz w:val="20"/>
        </w:rPr>
        <w:t>nnexe</w:t>
      </w:r>
      <w:r>
        <w:rPr>
          <w:rFonts w:cs="Arial"/>
          <w:sz w:val="20"/>
        </w:rPr>
        <w:t xml:space="preserve"> 1 de la Loi.</w:t>
      </w:r>
    </w:p>
  </w:footnote>
  <w:footnote w:id="64">
    <w:p w14:paraId="22D6B770" w14:textId="3CA8AE34" w:rsidR="000E66F1" w:rsidRPr="000E66F1" w:rsidRDefault="000E66F1" w:rsidP="005D3EB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A22FFE" w:rsidRPr="00974943">
        <w:rPr>
          <w:rFonts w:cs="Arial"/>
          <w:i/>
          <w:sz w:val="20"/>
        </w:rPr>
        <w:t xml:space="preserve">Stacey </w:t>
      </w:r>
      <w:r w:rsidR="00A22FFE" w:rsidRPr="00974943">
        <w:rPr>
          <w:rFonts w:cs="Arial"/>
          <w:sz w:val="20"/>
        </w:rPr>
        <w:t>et</w:t>
      </w:r>
      <w:r w:rsidR="00A22FFE" w:rsidRPr="00974943">
        <w:rPr>
          <w:rFonts w:cs="Arial"/>
          <w:i/>
          <w:sz w:val="20"/>
        </w:rPr>
        <w:t xml:space="preserve"> Allied Signal Aérospatial inc.</w:t>
      </w:r>
      <w:r w:rsidR="00A22FFE">
        <w:rPr>
          <w:rFonts w:cs="Arial"/>
          <w:sz w:val="20"/>
        </w:rPr>
        <w:t xml:space="preserve">, [1997] CALP 1731; </w:t>
      </w:r>
      <w:r w:rsidR="00A22FFE" w:rsidRPr="00B47DCB">
        <w:rPr>
          <w:rFonts w:cs="Arial"/>
          <w:i/>
          <w:sz w:val="20"/>
        </w:rPr>
        <w:t xml:space="preserve">Miller </w:t>
      </w:r>
      <w:r w:rsidR="00A22FFE" w:rsidRPr="0025214B">
        <w:rPr>
          <w:rFonts w:cs="Arial"/>
          <w:sz w:val="20"/>
        </w:rPr>
        <w:t>et</w:t>
      </w:r>
      <w:r w:rsidR="00A22FFE" w:rsidRPr="00B47DCB">
        <w:rPr>
          <w:rFonts w:cs="Arial"/>
          <w:i/>
          <w:sz w:val="20"/>
        </w:rPr>
        <w:t xml:space="preserve"> Alcoa, Fortin &amp; Lévesque inc.</w:t>
      </w:r>
      <w:r w:rsidR="00A22FFE">
        <w:rPr>
          <w:rFonts w:cs="Arial"/>
          <w:sz w:val="20"/>
        </w:rPr>
        <w:t xml:space="preserve">, [2006] C.L.P. 368; </w:t>
      </w:r>
      <w:r w:rsidR="00A22FFE" w:rsidRPr="00B47DCB">
        <w:rPr>
          <w:rFonts w:cs="Arial"/>
          <w:i/>
          <w:sz w:val="20"/>
        </w:rPr>
        <w:t xml:space="preserve">Blanchet </w:t>
      </w:r>
      <w:r w:rsidR="00A22FFE" w:rsidRPr="002E0636">
        <w:rPr>
          <w:rFonts w:cs="Arial"/>
          <w:iCs/>
          <w:sz w:val="20"/>
        </w:rPr>
        <w:t>et</w:t>
      </w:r>
      <w:r w:rsidR="00A22FFE" w:rsidRPr="00B47DCB">
        <w:rPr>
          <w:rFonts w:cs="Arial"/>
          <w:i/>
          <w:sz w:val="20"/>
        </w:rPr>
        <w:t xml:space="preserve"> Lévy Transport ltée</w:t>
      </w:r>
      <w:r w:rsidR="00A22FFE">
        <w:rPr>
          <w:rFonts w:cs="Arial"/>
          <w:sz w:val="20"/>
        </w:rPr>
        <w:t>, C.L.P.</w:t>
      </w:r>
      <w:r w:rsidR="002E0636">
        <w:rPr>
          <w:rFonts w:cs="Arial"/>
          <w:sz w:val="20"/>
        </w:rPr>
        <w:t xml:space="preserve"> </w:t>
      </w:r>
      <w:r w:rsidR="00A22FFE">
        <w:rPr>
          <w:rFonts w:cs="Arial"/>
          <w:sz w:val="20"/>
        </w:rPr>
        <w:t>174518-71-0112, 13 juillet 2006, A.</w:t>
      </w:r>
      <w:r w:rsidR="005D3EB2">
        <w:rPr>
          <w:rFonts w:cs="Arial"/>
          <w:sz w:val="20"/>
        </w:rPr>
        <w:t> </w:t>
      </w:r>
      <w:r w:rsidR="00A22FFE">
        <w:rPr>
          <w:rFonts w:cs="Arial"/>
          <w:sz w:val="20"/>
        </w:rPr>
        <w:t xml:space="preserve">Suicco, décision rejetant la requête en révision; </w:t>
      </w:r>
      <w:r w:rsidR="00A22FFE" w:rsidRPr="00974943">
        <w:rPr>
          <w:rFonts w:cs="Arial"/>
          <w:i/>
          <w:sz w:val="20"/>
        </w:rPr>
        <w:t>Denis J. Lépine,</w:t>
      </w:r>
      <w:r w:rsidR="00A22FFE">
        <w:rPr>
          <w:rFonts w:cs="Arial"/>
          <w:sz w:val="20"/>
        </w:rPr>
        <w:t xml:space="preserve"> 2012 QCCLP 3303.</w:t>
      </w:r>
    </w:p>
  </w:footnote>
  <w:footnote w:id="65">
    <w:p w14:paraId="628EC19A" w14:textId="6D020D4C" w:rsidR="00E3483A" w:rsidRPr="002B6A9E" w:rsidRDefault="00E3483A" w:rsidP="00E3483A">
      <w:pPr>
        <w:pStyle w:val="Notedebasdepage"/>
        <w:tabs>
          <w:tab w:val="left" w:pos="720"/>
        </w:tabs>
        <w:ind w:left="720" w:hanging="720"/>
        <w:jc w:val="both"/>
        <w:rPr>
          <w:rFonts w:cs="Arial"/>
          <w:sz w:val="20"/>
          <w:lang w:val="en-CA"/>
        </w:rPr>
      </w:pPr>
      <w:r>
        <w:rPr>
          <w:rStyle w:val="Appelnotedebasdep"/>
        </w:rPr>
        <w:footnoteRef/>
      </w:r>
      <w:r w:rsidRPr="002B6A9E">
        <w:rPr>
          <w:lang w:val="en-CA"/>
        </w:rPr>
        <w:t xml:space="preserve"> </w:t>
      </w:r>
      <w:r w:rsidRPr="002B6A9E">
        <w:rPr>
          <w:rFonts w:cs="Arial"/>
          <w:sz w:val="20"/>
          <w:lang w:val="en-CA"/>
        </w:rPr>
        <w:tab/>
        <w:t>2016 QCTAT</w:t>
      </w:r>
      <w:r w:rsidR="00017D80" w:rsidRPr="002B6A9E">
        <w:rPr>
          <w:rFonts w:cs="Arial"/>
          <w:sz w:val="20"/>
          <w:lang w:val="en-CA"/>
        </w:rPr>
        <w:t xml:space="preserve"> </w:t>
      </w:r>
      <w:r w:rsidRPr="002B6A9E">
        <w:rPr>
          <w:rFonts w:cs="Arial"/>
          <w:sz w:val="20"/>
          <w:lang w:val="en-CA"/>
        </w:rPr>
        <w:t>5944.</w:t>
      </w:r>
    </w:p>
  </w:footnote>
  <w:footnote w:id="66">
    <w:p w14:paraId="2F9D3188" w14:textId="48B1C746" w:rsidR="00F0552A" w:rsidRPr="00F0552A" w:rsidRDefault="00F0552A" w:rsidP="00F0552A">
      <w:pPr>
        <w:pStyle w:val="Notedebasdepage"/>
        <w:tabs>
          <w:tab w:val="left" w:pos="720"/>
        </w:tabs>
        <w:ind w:left="720" w:hanging="720"/>
        <w:jc w:val="both"/>
        <w:rPr>
          <w:rFonts w:cs="Arial"/>
          <w:sz w:val="20"/>
          <w:lang w:val="en-CA"/>
        </w:rPr>
      </w:pPr>
      <w:r>
        <w:rPr>
          <w:rStyle w:val="Appelnotedebasdep"/>
        </w:rPr>
        <w:footnoteRef/>
      </w:r>
      <w:r w:rsidRPr="00F0552A">
        <w:rPr>
          <w:lang w:val="en-CA"/>
        </w:rPr>
        <w:t xml:space="preserve"> </w:t>
      </w:r>
      <w:r w:rsidRPr="00F0552A">
        <w:rPr>
          <w:rFonts w:cs="Arial"/>
          <w:sz w:val="20"/>
          <w:lang w:val="en-CA"/>
        </w:rPr>
        <w:tab/>
      </w:r>
      <w:bookmarkStart w:id="30" w:name="_Hlk195623581"/>
      <w:r w:rsidRPr="00F0552A">
        <w:rPr>
          <w:rFonts w:cs="Arial"/>
          <w:sz w:val="20"/>
          <w:lang w:val="en-CA"/>
        </w:rPr>
        <w:t>INTERNATIONAL AGENCY FOR RESEARCH ON CANCER</w:t>
      </w:r>
      <w:bookmarkEnd w:id="30"/>
      <w:r w:rsidRPr="00382DFC">
        <w:rPr>
          <w:rFonts w:cs="Arial"/>
          <w:i/>
          <w:iCs/>
          <w:sz w:val="20"/>
          <w:lang w:val="en-CA"/>
        </w:rPr>
        <w:t xml:space="preserve">, </w:t>
      </w:r>
      <w:r w:rsidR="00DE3483" w:rsidRPr="00382DFC">
        <w:rPr>
          <w:rFonts w:cs="Arial"/>
          <w:i/>
          <w:iCs/>
          <w:sz w:val="20"/>
          <w:lang w:val="en-CA"/>
        </w:rPr>
        <w:t>Benzene</w:t>
      </w:r>
      <w:r w:rsidR="00DE3483">
        <w:rPr>
          <w:rFonts w:cs="Arial"/>
          <w:i/>
          <w:iCs/>
          <w:sz w:val="20"/>
          <w:lang w:val="en-CA"/>
        </w:rPr>
        <w:t>:</w:t>
      </w:r>
      <w:r w:rsidRPr="00382DFC">
        <w:rPr>
          <w:rFonts w:cs="Arial"/>
          <w:i/>
          <w:iCs/>
          <w:sz w:val="20"/>
          <w:lang w:val="en-CA"/>
        </w:rPr>
        <w:t xml:space="preserve"> IARC Monographs on the Evaluation of Carcinogenic Risks to Humans, coll</w:t>
      </w:r>
      <w:r w:rsidRPr="00F0552A">
        <w:rPr>
          <w:rFonts w:cs="Arial"/>
          <w:sz w:val="20"/>
          <w:lang w:val="en-CA"/>
        </w:rPr>
        <w:t>. « IARC Monographs on the Evaluation of Carcinogenic Risks to Humans, vol. 120 », Lyon, International Agency for Research on Cancer, 2018, [En ligne], &lt;</w:t>
      </w:r>
      <w:hyperlink r:id="rId9" w:history="1">
        <w:r w:rsidRPr="00CB40B3">
          <w:rPr>
            <w:rStyle w:val="Lienhypertexte"/>
            <w:rFonts w:cs="Arial"/>
            <w:sz w:val="20"/>
            <w:lang w:val="en-CA"/>
          </w:rPr>
          <w:t>https://www.ncbi.nlm.nih.gov/books/NBK550157/pdf/Bookshelf_NBK550157.pdf</w:t>
        </w:r>
      </w:hyperlink>
      <w:r w:rsidRPr="00F0552A">
        <w:rPr>
          <w:rFonts w:cs="Arial"/>
          <w:sz w:val="20"/>
          <w:lang w:val="en-CA"/>
        </w:rPr>
        <w:t>&gt; (Date de consultation inconnue).</w:t>
      </w:r>
    </w:p>
  </w:footnote>
  <w:footnote w:id="67">
    <w:p w14:paraId="1E114B99" w14:textId="79101867" w:rsidR="00382DFC" w:rsidRPr="00382DFC" w:rsidRDefault="00382DFC" w:rsidP="00382DFC">
      <w:pPr>
        <w:pStyle w:val="Notedebasdepage"/>
        <w:tabs>
          <w:tab w:val="left" w:pos="720"/>
        </w:tabs>
        <w:ind w:left="720" w:hanging="720"/>
        <w:jc w:val="both"/>
        <w:rPr>
          <w:rFonts w:cs="Arial"/>
          <w:sz w:val="20"/>
          <w:lang w:val="en-CA"/>
        </w:rPr>
      </w:pPr>
      <w:r>
        <w:rPr>
          <w:rStyle w:val="Appelnotedebasdep"/>
        </w:rPr>
        <w:footnoteRef/>
      </w:r>
      <w:r w:rsidRPr="00382DFC">
        <w:rPr>
          <w:lang w:val="en-CA"/>
        </w:rPr>
        <w:t xml:space="preserve"> </w:t>
      </w:r>
      <w:r w:rsidRPr="00382DFC">
        <w:rPr>
          <w:rFonts w:cs="Arial"/>
          <w:sz w:val="20"/>
          <w:lang w:val="en-CA"/>
        </w:rPr>
        <w:tab/>
        <w:t xml:space="preserve">Trevor PECKHAM </w:t>
      </w:r>
      <w:r w:rsidRPr="00197173">
        <w:rPr>
          <w:rFonts w:cs="Arial"/>
          <w:i/>
          <w:iCs/>
          <w:sz w:val="20"/>
          <w:lang w:val="en-CA"/>
        </w:rPr>
        <w:t>et al</w:t>
      </w:r>
      <w:r w:rsidRPr="00382DFC">
        <w:rPr>
          <w:rFonts w:cs="Arial"/>
          <w:sz w:val="20"/>
          <w:lang w:val="en-CA"/>
        </w:rPr>
        <w:t xml:space="preserve">., « Benzene-Contaminated Toluene and Acute Myeloid Leukemia: A Case Series and Review of Literature », (2014) 30 </w:t>
      </w:r>
      <w:r w:rsidRPr="00382DFC">
        <w:rPr>
          <w:rFonts w:cs="Arial"/>
          <w:i/>
          <w:iCs/>
          <w:sz w:val="20"/>
          <w:lang w:val="en-CA"/>
        </w:rPr>
        <w:t>Toxicology and Industrial Health</w:t>
      </w:r>
      <w:r w:rsidRPr="00382DFC">
        <w:rPr>
          <w:rFonts w:cs="Arial"/>
          <w:sz w:val="20"/>
          <w:lang w:val="en-CA"/>
        </w:rPr>
        <w:t>,</w:t>
      </w:r>
      <w:r>
        <w:rPr>
          <w:rFonts w:cs="Arial"/>
          <w:sz w:val="20"/>
          <w:lang w:val="en-CA"/>
        </w:rPr>
        <w:t xml:space="preserve"> </w:t>
      </w:r>
      <w:r w:rsidRPr="00382DFC">
        <w:rPr>
          <w:rFonts w:cs="Arial"/>
          <w:sz w:val="20"/>
          <w:lang w:val="en-CA"/>
        </w:rPr>
        <w:t>pp. 73-81</w:t>
      </w:r>
      <w:r>
        <w:rPr>
          <w:rFonts w:cs="Arial"/>
          <w:sz w:val="20"/>
          <w:lang w:val="en-CA"/>
        </w:rPr>
        <w:t xml:space="preserve">. </w:t>
      </w:r>
    </w:p>
  </w:footnote>
  <w:footnote w:id="68">
    <w:p w14:paraId="3ABF8B59" w14:textId="70B5E314" w:rsidR="00F916F4" w:rsidRPr="00040663" w:rsidRDefault="00F916F4" w:rsidP="00F916F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40663">
        <w:rPr>
          <w:rFonts w:cs="Arial"/>
          <w:i/>
          <w:iCs/>
          <w:sz w:val="20"/>
        </w:rPr>
        <w:t>Id</w:t>
      </w:r>
      <w:r w:rsidRPr="00040663">
        <w:rPr>
          <w:rFonts w:cs="Arial"/>
          <w:sz w:val="20"/>
        </w:rPr>
        <w:t>.</w:t>
      </w:r>
    </w:p>
  </w:footnote>
  <w:footnote w:id="69">
    <w:p w14:paraId="6A3D6081" w14:textId="148D6DB6" w:rsidR="00F916F4" w:rsidRPr="00040663" w:rsidRDefault="00F916F4" w:rsidP="00F916F4">
      <w:pPr>
        <w:pStyle w:val="Notedebasdepage"/>
        <w:tabs>
          <w:tab w:val="left" w:pos="720"/>
        </w:tabs>
        <w:ind w:left="720" w:hanging="720"/>
        <w:jc w:val="both"/>
        <w:rPr>
          <w:rFonts w:cs="Arial"/>
          <w:color w:val="000000" w:themeColor="text1"/>
          <w:sz w:val="20"/>
        </w:rPr>
      </w:pPr>
      <w:r w:rsidRPr="00040663">
        <w:rPr>
          <w:rStyle w:val="Appelnotedebasdep"/>
        </w:rPr>
        <w:footnoteRef/>
      </w:r>
      <w:r w:rsidRPr="00040663">
        <w:t xml:space="preserve"> </w:t>
      </w:r>
      <w:r w:rsidRPr="00040663">
        <w:rPr>
          <w:rFonts w:cs="Arial"/>
          <w:sz w:val="20"/>
        </w:rPr>
        <w:tab/>
      </w:r>
      <w:r w:rsidR="00E67F6F" w:rsidRPr="00040663">
        <w:rPr>
          <w:rFonts w:cs="Arial"/>
          <w:i/>
          <w:iCs/>
          <w:sz w:val="20"/>
        </w:rPr>
        <w:t>Id</w:t>
      </w:r>
      <w:r w:rsidR="00E67F6F" w:rsidRPr="00040663">
        <w:rPr>
          <w:rFonts w:cs="Arial"/>
          <w:sz w:val="20"/>
        </w:rPr>
        <w:t xml:space="preserve">. </w:t>
      </w:r>
    </w:p>
  </w:footnote>
  <w:footnote w:id="70">
    <w:p w14:paraId="1EF56779" w14:textId="61ABBD63" w:rsidR="00F916F4" w:rsidRPr="00F916F4" w:rsidRDefault="00F916F4" w:rsidP="00F916F4">
      <w:pPr>
        <w:pStyle w:val="Notedebasdepage"/>
        <w:tabs>
          <w:tab w:val="left" w:pos="720"/>
        </w:tabs>
        <w:ind w:left="720" w:hanging="720"/>
        <w:jc w:val="both"/>
        <w:rPr>
          <w:rFonts w:cs="Arial"/>
          <w:sz w:val="20"/>
        </w:rPr>
      </w:pPr>
      <w:r w:rsidRPr="00040663">
        <w:rPr>
          <w:rStyle w:val="Appelnotedebasdep"/>
          <w:color w:val="000000" w:themeColor="text1"/>
        </w:rPr>
        <w:footnoteRef/>
      </w:r>
      <w:r w:rsidRPr="00040663">
        <w:rPr>
          <w:color w:val="000000" w:themeColor="text1"/>
        </w:rPr>
        <w:t xml:space="preserve"> </w:t>
      </w:r>
      <w:r w:rsidRPr="00040663">
        <w:rPr>
          <w:rFonts w:cs="Arial"/>
          <w:color w:val="000000" w:themeColor="text1"/>
          <w:sz w:val="20"/>
        </w:rPr>
        <w:tab/>
      </w:r>
      <w:r w:rsidR="00E67F6F" w:rsidRPr="00040663">
        <w:rPr>
          <w:rFonts w:cs="Arial"/>
          <w:i/>
          <w:iCs/>
          <w:color w:val="000000" w:themeColor="text1"/>
          <w:sz w:val="20"/>
        </w:rPr>
        <w:t>Id</w:t>
      </w:r>
      <w:r w:rsidR="00E67F6F" w:rsidRPr="00040663">
        <w:rPr>
          <w:rFonts w:cs="Arial"/>
          <w:color w:val="000000" w:themeColor="text1"/>
          <w:sz w:val="20"/>
        </w:rPr>
        <w:t>.</w:t>
      </w:r>
      <w:r w:rsidR="00E67F6F">
        <w:rPr>
          <w:rFonts w:cs="Arial"/>
          <w:color w:val="000000" w:themeColor="text1"/>
          <w:sz w:val="20"/>
        </w:rPr>
        <w:t xml:space="preserve"> </w:t>
      </w:r>
    </w:p>
  </w:footnote>
  <w:footnote w:id="71">
    <w:p w14:paraId="21504148" w14:textId="39671BEB" w:rsidR="006073E6" w:rsidRPr="00E67F6F" w:rsidRDefault="006073E6" w:rsidP="007E22ED">
      <w:pPr>
        <w:pStyle w:val="Notedebasdepage"/>
        <w:tabs>
          <w:tab w:val="left" w:pos="720"/>
        </w:tabs>
        <w:ind w:left="720" w:hanging="720"/>
        <w:jc w:val="both"/>
        <w:rPr>
          <w:rFonts w:cs="Arial"/>
          <w:sz w:val="20"/>
          <w:lang w:val="en-CA"/>
        </w:rPr>
      </w:pPr>
      <w:r>
        <w:rPr>
          <w:rStyle w:val="Appelnotedebasdep"/>
        </w:rPr>
        <w:footnoteRef/>
      </w:r>
      <w:r w:rsidRPr="00E67F6F">
        <w:rPr>
          <w:lang w:val="en-CA"/>
        </w:rPr>
        <w:t xml:space="preserve"> </w:t>
      </w:r>
      <w:r w:rsidRPr="00E67F6F">
        <w:rPr>
          <w:rFonts w:cs="Arial"/>
          <w:sz w:val="20"/>
          <w:lang w:val="en-CA"/>
        </w:rPr>
        <w:tab/>
      </w:r>
      <w:r w:rsidR="00B653CA" w:rsidRPr="00E67F6F">
        <w:rPr>
          <w:rFonts w:cs="Arial"/>
          <w:sz w:val="20"/>
          <w:lang w:val="en-CA"/>
        </w:rPr>
        <w:t xml:space="preserve">Il s’agit des classifications tirées de la monographie de </w:t>
      </w:r>
      <w:r w:rsidR="00B653CA" w:rsidRPr="00E67F6F">
        <w:rPr>
          <w:rFonts w:cs="Arial"/>
          <w:i/>
          <w:iCs/>
          <w:sz w:val="20"/>
          <w:lang w:val="en-CA"/>
        </w:rPr>
        <w:t xml:space="preserve">l’International Agency For Research On Cancer, </w:t>
      </w:r>
      <w:r w:rsidR="00B653CA" w:rsidRPr="00E67F6F">
        <w:rPr>
          <w:rFonts w:cs="Arial"/>
          <w:sz w:val="20"/>
          <w:lang w:val="en-CA"/>
        </w:rPr>
        <w:t>précitée à la note 68, qui sont décrites comme suit : « Group 1: The agent is carcinogenic to humans »</w:t>
      </w:r>
      <w:r w:rsidR="007E22ED" w:rsidRPr="00E67F6F">
        <w:rPr>
          <w:rFonts w:cs="Arial"/>
          <w:sz w:val="20"/>
          <w:lang w:val="en-CA"/>
        </w:rPr>
        <w:t>,</w:t>
      </w:r>
      <w:r w:rsidR="00B653CA" w:rsidRPr="00E67F6F">
        <w:rPr>
          <w:rFonts w:cs="Arial"/>
          <w:sz w:val="20"/>
          <w:lang w:val="en-CA"/>
        </w:rPr>
        <w:t xml:space="preserve"> «</w:t>
      </w:r>
      <w:r w:rsidR="00050581" w:rsidRPr="00E67F6F">
        <w:rPr>
          <w:rFonts w:cs="Arial"/>
          <w:sz w:val="20"/>
          <w:lang w:val="en-CA"/>
        </w:rPr>
        <w:t xml:space="preserve"> </w:t>
      </w:r>
      <w:r w:rsidR="00B653CA" w:rsidRPr="00E67F6F">
        <w:rPr>
          <w:rFonts w:cs="Arial"/>
          <w:sz w:val="20"/>
          <w:lang w:val="en-CA"/>
        </w:rPr>
        <w:t>Group 2A</w:t>
      </w:r>
      <w:r w:rsidR="00050581" w:rsidRPr="00E67F6F">
        <w:rPr>
          <w:rFonts w:cs="Arial"/>
          <w:sz w:val="20"/>
          <w:lang w:val="en-CA"/>
        </w:rPr>
        <w:t xml:space="preserve"> </w:t>
      </w:r>
      <w:r w:rsidR="00B653CA" w:rsidRPr="00E67F6F">
        <w:rPr>
          <w:rFonts w:cs="Arial"/>
          <w:sz w:val="20"/>
          <w:lang w:val="en-CA"/>
        </w:rPr>
        <w:t>: The agent is probably carcinogenic to humans</w:t>
      </w:r>
      <w:r w:rsidR="007E22ED" w:rsidRPr="00E67F6F">
        <w:rPr>
          <w:rFonts w:cs="Arial"/>
          <w:sz w:val="20"/>
          <w:lang w:val="en-CA"/>
        </w:rPr>
        <w:t> », « Group 2B</w:t>
      </w:r>
      <w:r w:rsidR="00050581" w:rsidRPr="00E67F6F">
        <w:rPr>
          <w:rFonts w:cs="Arial"/>
          <w:sz w:val="20"/>
          <w:lang w:val="en-CA"/>
        </w:rPr>
        <w:t xml:space="preserve"> </w:t>
      </w:r>
      <w:r w:rsidR="007E22ED" w:rsidRPr="00E67F6F">
        <w:rPr>
          <w:rFonts w:cs="Arial"/>
          <w:sz w:val="20"/>
          <w:lang w:val="en-CA"/>
        </w:rPr>
        <w:t>: The agent is possibly carcinogenic to humans », «Group 3</w:t>
      </w:r>
      <w:r w:rsidR="00050581" w:rsidRPr="00E67F6F">
        <w:rPr>
          <w:rFonts w:cs="Arial"/>
          <w:sz w:val="20"/>
          <w:lang w:val="en-CA"/>
        </w:rPr>
        <w:t xml:space="preserve"> </w:t>
      </w:r>
      <w:r w:rsidR="007E22ED" w:rsidRPr="00E67F6F">
        <w:rPr>
          <w:rFonts w:cs="Arial"/>
          <w:sz w:val="20"/>
          <w:lang w:val="en-CA"/>
        </w:rPr>
        <w:t>: The agent is not classifiable as to its carcinogenicity to humans », «Group 4</w:t>
      </w:r>
      <w:r w:rsidR="00050581" w:rsidRPr="00E67F6F">
        <w:rPr>
          <w:rFonts w:cs="Arial"/>
          <w:sz w:val="20"/>
          <w:lang w:val="en-CA"/>
        </w:rPr>
        <w:t xml:space="preserve"> </w:t>
      </w:r>
      <w:r w:rsidR="007E22ED" w:rsidRPr="00E67F6F">
        <w:rPr>
          <w:rFonts w:cs="Arial"/>
          <w:sz w:val="20"/>
          <w:lang w:val="en-CA"/>
        </w:rPr>
        <w:t>: The agent is probably not carcinogenic to humans ».</w:t>
      </w:r>
    </w:p>
  </w:footnote>
  <w:footnote w:id="72">
    <w:p w14:paraId="16545073" w14:textId="0B411967" w:rsidR="00836FEF" w:rsidRPr="00836FEF" w:rsidRDefault="00836FEF" w:rsidP="00836FE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36FEF">
        <w:rPr>
          <w:rFonts w:cs="Arial"/>
          <w:sz w:val="20"/>
        </w:rPr>
        <w:t xml:space="preserve">INSTITUT NATIONAL DE RECHERCHE ET DE SÉCURITÉ POUR LA PRÉVENTION DES ACCIDENTS DU TRAVAIL ET DES MALADIES PROFESSIONNELLES, </w:t>
      </w:r>
      <w:r w:rsidRPr="00836FEF">
        <w:rPr>
          <w:rFonts w:cs="Arial"/>
          <w:i/>
          <w:iCs/>
          <w:sz w:val="20"/>
        </w:rPr>
        <w:t>Fiches toxicologiques</w:t>
      </w:r>
      <w:r w:rsidRPr="00836FEF">
        <w:rPr>
          <w:rFonts w:cs="Arial"/>
          <w:sz w:val="20"/>
        </w:rPr>
        <w:t>, (2024), [En ligne], &lt;</w:t>
      </w:r>
      <w:hyperlink r:id="rId10" w:history="1">
        <w:r w:rsidRPr="00050581">
          <w:rPr>
            <w:rStyle w:val="Lienhypertexte"/>
            <w:rFonts w:cs="Arial"/>
            <w:sz w:val="20"/>
          </w:rPr>
          <w:t>https://www.inrs.fr/publications/bdd/fichetox.html</w:t>
        </w:r>
      </w:hyperlink>
      <w:r w:rsidRPr="00836FEF">
        <w:rPr>
          <w:rFonts w:cs="Arial"/>
          <w:sz w:val="20"/>
        </w:rPr>
        <w:t>&gt; (Date de consultation inconnue).</w:t>
      </w:r>
    </w:p>
  </w:footnote>
  <w:footnote w:id="73">
    <w:p w14:paraId="47B9A74D" w14:textId="788CC2B9" w:rsidR="00836FEF" w:rsidRPr="00836FEF" w:rsidRDefault="00836FEF" w:rsidP="00836FEF">
      <w:pPr>
        <w:pStyle w:val="Notedebasdepage"/>
        <w:tabs>
          <w:tab w:val="left" w:pos="720"/>
        </w:tabs>
        <w:ind w:left="720" w:hanging="720"/>
        <w:jc w:val="both"/>
        <w:rPr>
          <w:rFonts w:cs="Arial"/>
          <w:sz w:val="20"/>
          <w:lang w:val="en-CA"/>
        </w:rPr>
      </w:pPr>
      <w:r>
        <w:rPr>
          <w:rStyle w:val="Appelnotedebasdep"/>
        </w:rPr>
        <w:footnoteRef/>
      </w:r>
      <w:r w:rsidRPr="00836FEF">
        <w:rPr>
          <w:lang w:val="en-CA"/>
        </w:rPr>
        <w:t xml:space="preserve"> </w:t>
      </w:r>
      <w:r w:rsidRPr="00836FEF">
        <w:rPr>
          <w:rFonts w:cs="Arial"/>
          <w:sz w:val="20"/>
          <w:lang w:val="en-CA"/>
        </w:rPr>
        <w:tab/>
        <w:t xml:space="preserve">Martha S. LINET </w:t>
      </w:r>
      <w:r w:rsidRPr="00197173">
        <w:rPr>
          <w:rFonts w:cs="Arial"/>
          <w:i/>
          <w:iCs/>
          <w:sz w:val="20"/>
          <w:lang w:val="en-CA"/>
        </w:rPr>
        <w:t>et al</w:t>
      </w:r>
      <w:r w:rsidRPr="00836FEF">
        <w:rPr>
          <w:rFonts w:cs="Arial"/>
          <w:sz w:val="20"/>
          <w:lang w:val="en-CA"/>
        </w:rPr>
        <w:t>.,</w:t>
      </w:r>
      <w:r>
        <w:rPr>
          <w:rFonts w:cs="Arial"/>
          <w:sz w:val="20"/>
          <w:lang w:val="en-CA"/>
        </w:rPr>
        <w:t xml:space="preserve"> </w:t>
      </w:r>
      <w:r w:rsidRPr="00836FEF">
        <w:rPr>
          <w:rFonts w:cs="Arial"/>
          <w:sz w:val="20"/>
          <w:lang w:val="en-CA"/>
        </w:rPr>
        <w:t xml:space="preserve">« Benzene Exposure Response and Risk of Myeloid Neoplasms in Chinese Workers: A Multicenter Case–Cohort Study », (2019) 111 </w:t>
      </w:r>
      <w:r w:rsidRPr="00B82ED8">
        <w:rPr>
          <w:rFonts w:cs="Arial"/>
          <w:i/>
          <w:iCs/>
          <w:sz w:val="20"/>
          <w:lang w:val="en-CA"/>
        </w:rPr>
        <w:t>Journal of the National Cancer Institute</w:t>
      </w:r>
      <w:r w:rsidRPr="00836FEF">
        <w:rPr>
          <w:rFonts w:cs="Arial"/>
          <w:sz w:val="20"/>
          <w:lang w:val="en-CA"/>
        </w:rPr>
        <w:t>, pp. 465-474, [En ligne], &lt;</w:t>
      </w:r>
      <w:hyperlink r:id="rId11" w:history="1">
        <w:r w:rsidRPr="00050581">
          <w:rPr>
            <w:rStyle w:val="Lienhypertexte"/>
            <w:rFonts w:cs="Arial"/>
            <w:sz w:val="20"/>
            <w:lang w:val="en-CA"/>
          </w:rPr>
          <w:t>https://pmc.ncbi.nlm.nih.gov/articles/PMC6681472/pdf/djy143.pdf</w:t>
        </w:r>
      </w:hyperlink>
      <w:r w:rsidRPr="00836FEF">
        <w:rPr>
          <w:rFonts w:cs="Arial"/>
          <w:sz w:val="20"/>
          <w:lang w:val="en-CA"/>
        </w:rPr>
        <w:t>&gt; (Date de consultation inconnue).</w:t>
      </w:r>
    </w:p>
  </w:footnote>
  <w:footnote w:id="74">
    <w:p w14:paraId="158B060F" w14:textId="77777777" w:rsidR="0042647C" w:rsidRPr="00407F08" w:rsidRDefault="0042647C" w:rsidP="0042647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407F08">
        <w:rPr>
          <w:rFonts w:cs="Arial"/>
          <w:i/>
          <w:sz w:val="20"/>
        </w:rPr>
        <w:t>Lemire</w:t>
      </w:r>
      <w:r>
        <w:rPr>
          <w:rFonts w:cs="Arial"/>
          <w:sz w:val="20"/>
        </w:rPr>
        <w:t xml:space="preserve"> et </w:t>
      </w:r>
      <w:r w:rsidRPr="00407F08">
        <w:rPr>
          <w:rFonts w:cs="Arial"/>
          <w:i/>
          <w:sz w:val="20"/>
        </w:rPr>
        <w:t>Provigo Québec inc.</w:t>
      </w:r>
      <w:r>
        <w:rPr>
          <w:rFonts w:cs="Arial"/>
          <w:i/>
          <w:sz w:val="20"/>
        </w:rPr>
        <w:t xml:space="preserve">, </w:t>
      </w:r>
      <w:r w:rsidRPr="00407F08">
        <w:rPr>
          <w:rFonts w:cs="Arial"/>
          <w:sz w:val="20"/>
        </w:rPr>
        <w:t xml:space="preserve">C.L.P. </w:t>
      </w:r>
      <w:r w:rsidRPr="00407F08">
        <w:rPr>
          <w:sz w:val="20"/>
        </w:rPr>
        <w:t>318739-04-0705</w:t>
      </w:r>
      <w:r>
        <w:rPr>
          <w:sz w:val="20"/>
        </w:rPr>
        <w:t>, 23 décembre 2008, J.-A. Tremblay.</w:t>
      </w:r>
    </w:p>
  </w:footnote>
  <w:footnote w:id="75">
    <w:p w14:paraId="117424D3" w14:textId="77777777" w:rsidR="0042647C" w:rsidRPr="00611EEE" w:rsidRDefault="0042647C" w:rsidP="0042647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11EEE">
        <w:rPr>
          <w:rFonts w:cs="Arial"/>
          <w:sz w:val="20"/>
        </w:rPr>
        <w:t>2016 QCTAT 6547</w:t>
      </w:r>
      <w:r>
        <w:rPr>
          <w:rFonts w:cs="Arial"/>
          <w:sz w:val="20"/>
        </w:rPr>
        <w:t>.</w:t>
      </w:r>
    </w:p>
  </w:footnote>
  <w:footnote w:id="76">
    <w:p w14:paraId="761F1473" w14:textId="77777777" w:rsidR="00C01AFB" w:rsidRPr="004460FB" w:rsidRDefault="00C01AFB" w:rsidP="00C01AF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Cet article édicte </w:t>
      </w:r>
      <w:r w:rsidRPr="004460FB">
        <w:rPr>
          <w:sz w:val="20"/>
        </w:rPr>
        <w:t xml:space="preserve">le principe général d’imputation applicable dans les cas de maladie professionnelle </w:t>
      </w:r>
      <w:r>
        <w:rPr>
          <w:sz w:val="20"/>
        </w:rPr>
        <w:t>et prévoit</w:t>
      </w:r>
      <w:r w:rsidRPr="004460FB">
        <w:rPr>
          <w:sz w:val="20"/>
        </w:rPr>
        <w:t xml:space="preserve"> que le coût des prestations est imputé au dossier de l’employeur pour qui le travailleur a exercé un travail de nature à engendrer cette maladie</w:t>
      </w:r>
      <w:r>
        <w:rPr>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478B2D4B" w14:textId="77777777" w:rsidTr="00D12DDC">
      <w:tc>
        <w:tcPr>
          <w:tcW w:w="8730" w:type="dxa"/>
        </w:tcPr>
        <w:p w14:paraId="2CF57454" w14:textId="77777777" w:rsidR="00D330B6" w:rsidRDefault="00D330B6">
          <w:pPr>
            <w:pStyle w:val="En-tte"/>
            <w:ind w:left="-90"/>
          </w:pPr>
        </w:p>
      </w:tc>
      <w:tc>
        <w:tcPr>
          <w:tcW w:w="860" w:type="dxa"/>
        </w:tcPr>
        <w:p w14:paraId="5F7C8871" w14:textId="77777777" w:rsidR="00D330B6" w:rsidRDefault="00D330B6">
          <w:pPr>
            <w:pStyle w:val="En-tte"/>
            <w:ind w:left="-90"/>
          </w:pPr>
        </w:p>
      </w:tc>
    </w:tr>
    <w:tr w:rsidR="0077635C" w14:paraId="57B44652" w14:textId="77777777" w:rsidTr="00D12DDC">
      <w:tc>
        <w:tcPr>
          <w:tcW w:w="8730" w:type="dxa"/>
        </w:tcPr>
        <w:p w14:paraId="415572B5" w14:textId="2ED1ED96" w:rsidR="0077635C" w:rsidRDefault="0077635C" w:rsidP="0077635C">
          <w:r>
            <w:t>1214980-63-2102   1215012-63-2102</w:t>
          </w:r>
        </w:p>
      </w:tc>
      <w:tc>
        <w:tcPr>
          <w:tcW w:w="860" w:type="dxa"/>
        </w:tcPr>
        <w:p w14:paraId="061E6924" w14:textId="77777777" w:rsidR="0077635C" w:rsidRDefault="0077635C" w:rsidP="0077635C">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9F7566">
            <w:rPr>
              <w:rStyle w:val="Numrodepage"/>
              <w:noProof/>
            </w:rPr>
            <w:t>5</w:t>
          </w:r>
          <w:r>
            <w:rPr>
              <w:rStyle w:val="Numrodepage"/>
            </w:rPr>
            <w:fldChar w:fldCharType="end"/>
          </w:r>
        </w:p>
      </w:tc>
    </w:tr>
    <w:tr w:rsidR="0077635C" w14:paraId="42B40719" w14:textId="77777777" w:rsidTr="00D12DDC">
      <w:tc>
        <w:tcPr>
          <w:tcW w:w="8730" w:type="dxa"/>
        </w:tcPr>
        <w:p w14:paraId="39FA9321" w14:textId="77777777" w:rsidR="0077635C" w:rsidRDefault="0077635C" w:rsidP="0077635C"/>
      </w:tc>
      <w:tc>
        <w:tcPr>
          <w:tcW w:w="860" w:type="dxa"/>
        </w:tcPr>
        <w:p w14:paraId="5CEB1C92" w14:textId="77777777" w:rsidR="0077635C" w:rsidRDefault="0077635C" w:rsidP="0077635C">
          <w:pPr>
            <w:pStyle w:val="En-tte"/>
            <w:ind w:left="-90"/>
            <w:jc w:val="right"/>
          </w:pPr>
        </w:p>
      </w:tc>
    </w:tr>
  </w:tbl>
  <w:p w14:paraId="0F811FCE"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9689D"/>
    <w:multiLevelType w:val="hybridMultilevel"/>
    <w:tmpl w:val="5E881CB0"/>
    <w:lvl w:ilvl="0" w:tplc="0C0C000F">
      <w:start w:val="1"/>
      <w:numFmt w:val="decimal"/>
      <w:lvlText w:val="%1."/>
      <w:lvlJc w:val="left"/>
      <w:pPr>
        <w:ind w:left="1077" w:hanging="360"/>
      </w:pPr>
    </w:lvl>
    <w:lvl w:ilvl="1" w:tplc="0C0C0019" w:tentative="1">
      <w:start w:val="1"/>
      <w:numFmt w:val="lowerLetter"/>
      <w:lvlText w:val="%2."/>
      <w:lvlJc w:val="left"/>
      <w:pPr>
        <w:ind w:left="1797" w:hanging="360"/>
      </w:pPr>
    </w:lvl>
    <w:lvl w:ilvl="2" w:tplc="0C0C001B" w:tentative="1">
      <w:start w:val="1"/>
      <w:numFmt w:val="lowerRoman"/>
      <w:lvlText w:val="%3."/>
      <w:lvlJc w:val="right"/>
      <w:pPr>
        <w:ind w:left="2517" w:hanging="180"/>
      </w:pPr>
    </w:lvl>
    <w:lvl w:ilvl="3" w:tplc="0C0C000F" w:tentative="1">
      <w:start w:val="1"/>
      <w:numFmt w:val="decimal"/>
      <w:lvlText w:val="%4."/>
      <w:lvlJc w:val="left"/>
      <w:pPr>
        <w:ind w:left="3237" w:hanging="360"/>
      </w:pPr>
    </w:lvl>
    <w:lvl w:ilvl="4" w:tplc="0C0C0019" w:tentative="1">
      <w:start w:val="1"/>
      <w:numFmt w:val="lowerLetter"/>
      <w:lvlText w:val="%5."/>
      <w:lvlJc w:val="left"/>
      <w:pPr>
        <w:ind w:left="3957" w:hanging="360"/>
      </w:pPr>
    </w:lvl>
    <w:lvl w:ilvl="5" w:tplc="0C0C001B" w:tentative="1">
      <w:start w:val="1"/>
      <w:numFmt w:val="lowerRoman"/>
      <w:lvlText w:val="%6."/>
      <w:lvlJc w:val="right"/>
      <w:pPr>
        <w:ind w:left="4677" w:hanging="180"/>
      </w:pPr>
    </w:lvl>
    <w:lvl w:ilvl="6" w:tplc="0C0C000F" w:tentative="1">
      <w:start w:val="1"/>
      <w:numFmt w:val="decimal"/>
      <w:lvlText w:val="%7."/>
      <w:lvlJc w:val="left"/>
      <w:pPr>
        <w:ind w:left="5397" w:hanging="360"/>
      </w:pPr>
    </w:lvl>
    <w:lvl w:ilvl="7" w:tplc="0C0C0019" w:tentative="1">
      <w:start w:val="1"/>
      <w:numFmt w:val="lowerLetter"/>
      <w:lvlText w:val="%8."/>
      <w:lvlJc w:val="left"/>
      <w:pPr>
        <w:ind w:left="6117" w:hanging="360"/>
      </w:pPr>
    </w:lvl>
    <w:lvl w:ilvl="8" w:tplc="0C0C001B" w:tentative="1">
      <w:start w:val="1"/>
      <w:numFmt w:val="lowerRoman"/>
      <w:lvlText w:val="%9."/>
      <w:lvlJc w:val="right"/>
      <w:pPr>
        <w:ind w:left="6837" w:hanging="180"/>
      </w:pPr>
    </w:lvl>
  </w:abstractNum>
  <w:abstractNum w:abstractNumId="1" w15:restartNumberingAfterBreak="0">
    <w:nsid w:val="131C4121"/>
    <w:multiLevelType w:val="hybridMultilevel"/>
    <w:tmpl w:val="7D6AE11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1C7D3131"/>
    <w:multiLevelType w:val="hybridMultilevel"/>
    <w:tmpl w:val="DD5EE88E"/>
    <w:lvl w:ilvl="0" w:tplc="54E43998">
      <w:start w:val="1"/>
      <w:numFmt w:val="decimal"/>
      <w:lvlText w:val="%1."/>
      <w:lvlJc w:val="left"/>
      <w:pPr>
        <w:ind w:left="360" w:hanging="360"/>
      </w:pPr>
      <w:rPr>
        <w:rFonts w:ascii="Calibri" w:hAnsi="Calibri" w:cs="Calibri" w:hint="default"/>
        <w:b w:val="0"/>
        <w:bCs w:val="0"/>
        <w:color w:val="auto"/>
        <w:u w:val="none"/>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2259726C"/>
    <w:multiLevelType w:val="hybridMultilevel"/>
    <w:tmpl w:val="CF5214B8"/>
    <w:lvl w:ilvl="0" w:tplc="0C0C0001">
      <w:start w:val="1"/>
      <w:numFmt w:val="bullet"/>
      <w:lvlText w:val=""/>
      <w:lvlJc w:val="left"/>
      <w:pPr>
        <w:ind w:left="1446" w:hanging="360"/>
      </w:pPr>
      <w:rPr>
        <w:rFonts w:ascii="Symbol" w:hAnsi="Symbol" w:hint="default"/>
      </w:rPr>
    </w:lvl>
    <w:lvl w:ilvl="1" w:tplc="0C0C0003" w:tentative="1">
      <w:start w:val="1"/>
      <w:numFmt w:val="bullet"/>
      <w:lvlText w:val="o"/>
      <w:lvlJc w:val="left"/>
      <w:pPr>
        <w:ind w:left="2166" w:hanging="360"/>
      </w:pPr>
      <w:rPr>
        <w:rFonts w:ascii="Courier New" w:hAnsi="Courier New" w:cs="Courier New" w:hint="default"/>
      </w:rPr>
    </w:lvl>
    <w:lvl w:ilvl="2" w:tplc="0C0C0005" w:tentative="1">
      <w:start w:val="1"/>
      <w:numFmt w:val="bullet"/>
      <w:lvlText w:val=""/>
      <w:lvlJc w:val="left"/>
      <w:pPr>
        <w:ind w:left="2886" w:hanging="360"/>
      </w:pPr>
      <w:rPr>
        <w:rFonts w:ascii="Wingdings" w:hAnsi="Wingdings" w:hint="default"/>
      </w:rPr>
    </w:lvl>
    <w:lvl w:ilvl="3" w:tplc="0C0C0001" w:tentative="1">
      <w:start w:val="1"/>
      <w:numFmt w:val="bullet"/>
      <w:lvlText w:val=""/>
      <w:lvlJc w:val="left"/>
      <w:pPr>
        <w:ind w:left="3606" w:hanging="360"/>
      </w:pPr>
      <w:rPr>
        <w:rFonts w:ascii="Symbol" w:hAnsi="Symbol" w:hint="default"/>
      </w:rPr>
    </w:lvl>
    <w:lvl w:ilvl="4" w:tplc="0C0C0003" w:tentative="1">
      <w:start w:val="1"/>
      <w:numFmt w:val="bullet"/>
      <w:lvlText w:val="o"/>
      <w:lvlJc w:val="left"/>
      <w:pPr>
        <w:ind w:left="4326" w:hanging="360"/>
      </w:pPr>
      <w:rPr>
        <w:rFonts w:ascii="Courier New" w:hAnsi="Courier New" w:cs="Courier New" w:hint="default"/>
      </w:rPr>
    </w:lvl>
    <w:lvl w:ilvl="5" w:tplc="0C0C0005" w:tentative="1">
      <w:start w:val="1"/>
      <w:numFmt w:val="bullet"/>
      <w:lvlText w:val=""/>
      <w:lvlJc w:val="left"/>
      <w:pPr>
        <w:ind w:left="5046" w:hanging="360"/>
      </w:pPr>
      <w:rPr>
        <w:rFonts w:ascii="Wingdings" w:hAnsi="Wingdings" w:hint="default"/>
      </w:rPr>
    </w:lvl>
    <w:lvl w:ilvl="6" w:tplc="0C0C0001" w:tentative="1">
      <w:start w:val="1"/>
      <w:numFmt w:val="bullet"/>
      <w:lvlText w:val=""/>
      <w:lvlJc w:val="left"/>
      <w:pPr>
        <w:ind w:left="5766" w:hanging="360"/>
      </w:pPr>
      <w:rPr>
        <w:rFonts w:ascii="Symbol" w:hAnsi="Symbol" w:hint="default"/>
      </w:rPr>
    </w:lvl>
    <w:lvl w:ilvl="7" w:tplc="0C0C0003" w:tentative="1">
      <w:start w:val="1"/>
      <w:numFmt w:val="bullet"/>
      <w:lvlText w:val="o"/>
      <w:lvlJc w:val="left"/>
      <w:pPr>
        <w:ind w:left="6486" w:hanging="360"/>
      </w:pPr>
      <w:rPr>
        <w:rFonts w:ascii="Courier New" w:hAnsi="Courier New" w:cs="Courier New" w:hint="default"/>
      </w:rPr>
    </w:lvl>
    <w:lvl w:ilvl="8" w:tplc="0C0C0005" w:tentative="1">
      <w:start w:val="1"/>
      <w:numFmt w:val="bullet"/>
      <w:lvlText w:val=""/>
      <w:lvlJc w:val="left"/>
      <w:pPr>
        <w:ind w:left="7206" w:hanging="360"/>
      </w:pPr>
      <w:rPr>
        <w:rFonts w:ascii="Wingdings" w:hAnsi="Wingdings" w:hint="default"/>
      </w:rPr>
    </w:lvl>
  </w:abstractNum>
  <w:abstractNum w:abstractNumId="4" w15:restartNumberingAfterBreak="0">
    <w:nsid w:val="22E032BC"/>
    <w:multiLevelType w:val="hybridMultilevel"/>
    <w:tmpl w:val="286616E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230F3565"/>
    <w:multiLevelType w:val="hybridMultilevel"/>
    <w:tmpl w:val="46A69B1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244D4D57"/>
    <w:multiLevelType w:val="hybridMultilevel"/>
    <w:tmpl w:val="9F503658"/>
    <w:lvl w:ilvl="0" w:tplc="0C0C000F">
      <w:start w:val="1"/>
      <w:numFmt w:val="decimal"/>
      <w:lvlText w:val="%1."/>
      <w:lvlJc w:val="left"/>
      <w:pPr>
        <w:ind w:left="1077" w:hanging="360"/>
      </w:pPr>
    </w:lvl>
    <w:lvl w:ilvl="1" w:tplc="0C0C0019" w:tentative="1">
      <w:start w:val="1"/>
      <w:numFmt w:val="lowerLetter"/>
      <w:lvlText w:val="%2."/>
      <w:lvlJc w:val="left"/>
      <w:pPr>
        <w:ind w:left="1797" w:hanging="360"/>
      </w:pPr>
    </w:lvl>
    <w:lvl w:ilvl="2" w:tplc="0C0C001B" w:tentative="1">
      <w:start w:val="1"/>
      <w:numFmt w:val="lowerRoman"/>
      <w:lvlText w:val="%3."/>
      <w:lvlJc w:val="right"/>
      <w:pPr>
        <w:ind w:left="2517" w:hanging="180"/>
      </w:pPr>
    </w:lvl>
    <w:lvl w:ilvl="3" w:tplc="0C0C000F" w:tentative="1">
      <w:start w:val="1"/>
      <w:numFmt w:val="decimal"/>
      <w:lvlText w:val="%4."/>
      <w:lvlJc w:val="left"/>
      <w:pPr>
        <w:ind w:left="3237" w:hanging="360"/>
      </w:pPr>
    </w:lvl>
    <w:lvl w:ilvl="4" w:tplc="0C0C0019" w:tentative="1">
      <w:start w:val="1"/>
      <w:numFmt w:val="lowerLetter"/>
      <w:lvlText w:val="%5."/>
      <w:lvlJc w:val="left"/>
      <w:pPr>
        <w:ind w:left="3957" w:hanging="360"/>
      </w:pPr>
    </w:lvl>
    <w:lvl w:ilvl="5" w:tplc="0C0C001B" w:tentative="1">
      <w:start w:val="1"/>
      <w:numFmt w:val="lowerRoman"/>
      <w:lvlText w:val="%6."/>
      <w:lvlJc w:val="right"/>
      <w:pPr>
        <w:ind w:left="4677" w:hanging="180"/>
      </w:pPr>
    </w:lvl>
    <w:lvl w:ilvl="6" w:tplc="0C0C000F" w:tentative="1">
      <w:start w:val="1"/>
      <w:numFmt w:val="decimal"/>
      <w:lvlText w:val="%7."/>
      <w:lvlJc w:val="left"/>
      <w:pPr>
        <w:ind w:left="5397" w:hanging="360"/>
      </w:pPr>
    </w:lvl>
    <w:lvl w:ilvl="7" w:tplc="0C0C0019" w:tentative="1">
      <w:start w:val="1"/>
      <w:numFmt w:val="lowerLetter"/>
      <w:lvlText w:val="%8."/>
      <w:lvlJc w:val="left"/>
      <w:pPr>
        <w:ind w:left="6117" w:hanging="360"/>
      </w:pPr>
    </w:lvl>
    <w:lvl w:ilvl="8" w:tplc="0C0C001B" w:tentative="1">
      <w:start w:val="1"/>
      <w:numFmt w:val="lowerRoman"/>
      <w:lvlText w:val="%9."/>
      <w:lvlJc w:val="right"/>
      <w:pPr>
        <w:ind w:left="6837" w:hanging="180"/>
      </w:pPr>
    </w:lvl>
  </w:abstractNum>
  <w:abstractNum w:abstractNumId="7" w15:restartNumberingAfterBreak="0">
    <w:nsid w:val="27192261"/>
    <w:multiLevelType w:val="hybridMultilevel"/>
    <w:tmpl w:val="2662F86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 w15:restartNumberingAfterBreak="0">
    <w:nsid w:val="2BD554D9"/>
    <w:multiLevelType w:val="hybridMultilevel"/>
    <w:tmpl w:val="909659C6"/>
    <w:lvl w:ilvl="0" w:tplc="0C0C000F">
      <w:start w:val="1"/>
      <w:numFmt w:val="decimal"/>
      <w:lvlText w:val="%1."/>
      <w:lvlJc w:val="left"/>
      <w:pPr>
        <w:ind w:left="1080" w:hanging="360"/>
      </w:p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9"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0"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11" w15:restartNumberingAfterBreak="0">
    <w:nsid w:val="3B5D1170"/>
    <w:multiLevelType w:val="hybridMultilevel"/>
    <w:tmpl w:val="75CECFA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 w15:restartNumberingAfterBreak="0">
    <w:nsid w:val="3FA8570D"/>
    <w:multiLevelType w:val="hybridMultilevel"/>
    <w:tmpl w:val="F474CBD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 w15:restartNumberingAfterBreak="0">
    <w:nsid w:val="405D685A"/>
    <w:multiLevelType w:val="hybridMultilevel"/>
    <w:tmpl w:val="4A6A3D20"/>
    <w:lvl w:ilvl="0" w:tplc="0C0C000F">
      <w:start w:val="1"/>
      <w:numFmt w:val="decimal"/>
      <w:lvlText w:val="%1."/>
      <w:lvlJc w:val="left"/>
      <w:pPr>
        <w:ind w:left="1077" w:hanging="360"/>
      </w:pPr>
    </w:lvl>
    <w:lvl w:ilvl="1" w:tplc="0C0C0019" w:tentative="1">
      <w:start w:val="1"/>
      <w:numFmt w:val="lowerLetter"/>
      <w:lvlText w:val="%2."/>
      <w:lvlJc w:val="left"/>
      <w:pPr>
        <w:ind w:left="1797" w:hanging="360"/>
      </w:pPr>
    </w:lvl>
    <w:lvl w:ilvl="2" w:tplc="0C0C001B" w:tentative="1">
      <w:start w:val="1"/>
      <w:numFmt w:val="lowerRoman"/>
      <w:lvlText w:val="%3."/>
      <w:lvlJc w:val="right"/>
      <w:pPr>
        <w:ind w:left="2517" w:hanging="180"/>
      </w:pPr>
    </w:lvl>
    <w:lvl w:ilvl="3" w:tplc="0C0C000F" w:tentative="1">
      <w:start w:val="1"/>
      <w:numFmt w:val="decimal"/>
      <w:lvlText w:val="%4."/>
      <w:lvlJc w:val="left"/>
      <w:pPr>
        <w:ind w:left="3237" w:hanging="360"/>
      </w:pPr>
    </w:lvl>
    <w:lvl w:ilvl="4" w:tplc="0C0C0019" w:tentative="1">
      <w:start w:val="1"/>
      <w:numFmt w:val="lowerLetter"/>
      <w:lvlText w:val="%5."/>
      <w:lvlJc w:val="left"/>
      <w:pPr>
        <w:ind w:left="3957" w:hanging="360"/>
      </w:pPr>
    </w:lvl>
    <w:lvl w:ilvl="5" w:tplc="0C0C001B" w:tentative="1">
      <w:start w:val="1"/>
      <w:numFmt w:val="lowerRoman"/>
      <w:lvlText w:val="%6."/>
      <w:lvlJc w:val="right"/>
      <w:pPr>
        <w:ind w:left="4677" w:hanging="180"/>
      </w:pPr>
    </w:lvl>
    <w:lvl w:ilvl="6" w:tplc="0C0C000F" w:tentative="1">
      <w:start w:val="1"/>
      <w:numFmt w:val="decimal"/>
      <w:lvlText w:val="%7."/>
      <w:lvlJc w:val="left"/>
      <w:pPr>
        <w:ind w:left="5397" w:hanging="360"/>
      </w:pPr>
    </w:lvl>
    <w:lvl w:ilvl="7" w:tplc="0C0C0019" w:tentative="1">
      <w:start w:val="1"/>
      <w:numFmt w:val="lowerLetter"/>
      <w:lvlText w:val="%8."/>
      <w:lvlJc w:val="left"/>
      <w:pPr>
        <w:ind w:left="6117" w:hanging="360"/>
      </w:pPr>
    </w:lvl>
    <w:lvl w:ilvl="8" w:tplc="0C0C001B" w:tentative="1">
      <w:start w:val="1"/>
      <w:numFmt w:val="lowerRoman"/>
      <w:lvlText w:val="%9."/>
      <w:lvlJc w:val="right"/>
      <w:pPr>
        <w:ind w:left="6837" w:hanging="180"/>
      </w:pPr>
    </w:lvl>
  </w:abstractNum>
  <w:abstractNum w:abstractNumId="14" w15:restartNumberingAfterBreak="0">
    <w:nsid w:val="416046F2"/>
    <w:multiLevelType w:val="hybridMultilevel"/>
    <w:tmpl w:val="CE0C2C86"/>
    <w:lvl w:ilvl="0" w:tplc="0C0C0001">
      <w:start w:val="1"/>
      <w:numFmt w:val="bullet"/>
      <w:lvlText w:val=""/>
      <w:lvlJc w:val="left"/>
      <w:pPr>
        <w:ind w:left="1069" w:hanging="360"/>
      </w:pPr>
      <w:rPr>
        <w:rFonts w:ascii="Symbol" w:hAnsi="Symbol" w:hint="default"/>
      </w:rPr>
    </w:lvl>
    <w:lvl w:ilvl="1" w:tplc="0C0C0003" w:tentative="1">
      <w:start w:val="1"/>
      <w:numFmt w:val="bullet"/>
      <w:lvlText w:val="o"/>
      <w:lvlJc w:val="left"/>
      <w:pPr>
        <w:ind w:left="1789" w:hanging="360"/>
      </w:pPr>
      <w:rPr>
        <w:rFonts w:ascii="Courier New" w:hAnsi="Courier New" w:cs="Courier New" w:hint="default"/>
      </w:rPr>
    </w:lvl>
    <w:lvl w:ilvl="2" w:tplc="0C0C0005" w:tentative="1">
      <w:start w:val="1"/>
      <w:numFmt w:val="bullet"/>
      <w:lvlText w:val=""/>
      <w:lvlJc w:val="left"/>
      <w:pPr>
        <w:ind w:left="2509" w:hanging="360"/>
      </w:pPr>
      <w:rPr>
        <w:rFonts w:ascii="Wingdings" w:hAnsi="Wingdings" w:hint="default"/>
      </w:rPr>
    </w:lvl>
    <w:lvl w:ilvl="3" w:tplc="0C0C0001" w:tentative="1">
      <w:start w:val="1"/>
      <w:numFmt w:val="bullet"/>
      <w:lvlText w:val=""/>
      <w:lvlJc w:val="left"/>
      <w:pPr>
        <w:ind w:left="3229" w:hanging="360"/>
      </w:pPr>
      <w:rPr>
        <w:rFonts w:ascii="Symbol" w:hAnsi="Symbol" w:hint="default"/>
      </w:rPr>
    </w:lvl>
    <w:lvl w:ilvl="4" w:tplc="0C0C0003" w:tentative="1">
      <w:start w:val="1"/>
      <w:numFmt w:val="bullet"/>
      <w:lvlText w:val="o"/>
      <w:lvlJc w:val="left"/>
      <w:pPr>
        <w:ind w:left="3949" w:hanging="360"/>
      </w:pPr>
      <w:rPr>
        <w:rFonts w:ascii="Courier New" w:hAnsi="Courier New" w:cs="Courier New" w:hint="default"/>
      </w:rPr>
    </w:lvl>
    <w:lvl w:ilvl="5" w:tplc="0C0C0005" w:tentative="1">
      <w:start w:val="1"/>
      <w:numFmt w:val="bullet"/>
      <w:lvlText w:val=""/>
      <w:lvlJc w:val="left"/>
      <w:pPr>
        <w:ind w:left="4669" w:hanging="360"/>
      </w:pPr>
      <w:rPr>
        <w:rFonts w:ascii="Wingdings" w:hAnsi="Wingdings" w:hint="default"/>
      </w:rPr>
    </w:lvl>
    <w:lvl w:ilvl="6" w:tplc="0C0C0001" w:tentative="1">
      <w:start w:val="1"/>
      <w:numFmt w:val="bullet"/>
      <w:lvlText w:val=""/>
      <w:lvlJc w:val="left"/>
      <w:pPr>
        <w:ind w:left="5389" w:hanging="360"/>
      </w:pPr>
      <w:rPr>
        <w:rFonts w:ascii="Symbol" w:hAnsi="Symbol" w:hint="default"/>
      </w:rPr>
    </w:lvl>
    <w:lvl w:ilvl="7" w:tplc="0C0C0003" w:tentative="1">
      <w:start w:val="1"/>
      <w:numFmt w:val="bullet"/>
      <w:lvlText w:val="o"/>
      <w:lvlJc w:val="left"/>
      <w:pPr>
        <w:ind w:left="6109" w:hanging="360"/>
      </w:pPr>
      <w:rPr>
        <w:rFonts w:ascii="Courier New" w:hAnsi="Courier New" w:cs="Courier New" w:hint="default"/>
      </w:rPr>
    </w:lvl>
    <w:lvl w:ilvl="8" w:tplc="0C0C0005" w:tentative="1">
      <w:start w:val="1"/>
      <w:numFmt w:val="bullet"/>
      <w:lvlText w:val=""/>
      <w:lvlJc w:val="left"/>
      <w:pPr>
        <w:ind w:left="6829" w:hanging="360"/>
      </w:pPr>
      <w:rPr>
        <w:rFonts w:ascii="Wingdings" w:hAnsi="Wingdings" w:hint="default"/>
      </w:rPr>
    </w:lvl>
  </w:abstractNum>
  <w:abstractNum w:abstractNumId="15" w15:restartNumberingAfterBreak="0">
    <w:nsid w:val="57E4098C"/>
    <w:multiLevelType w:val="hybridMultilevel"/>
    <w:tmpl w:val="C318FA5A"/>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58697C9C"/>
    <w:multiLevelType w:val="hybridMultilevel"/>
    <w:tmpl w:val="BACA5F9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59AA1072"/>
    <w:multiLevelType w:val="hybridMultilevel"/>
    <w:tmpl w:val="F434FCF4"/>
    <w:lvl w:ilvl="0" w:tplc="0C0C0001">
      <w:start w:val="1"/>
      <w:numFmt w:val="bullet"/>
      <w:lvlText w:val=""/>
      <w:lvlJc w:val="left"/>
      <w:pPr>
        <w:ind w:left="2136" w:hanging="360"/>
      </w:pPr>
      <w:rPr>
        <w:rFonts w:ascii="Symbol" w:hAnsi="Symbol" w:hint="default"/>
      </w:rPr>
    </w:lvl>
    <w:lvl w:ilvl="1" w:tplc="FFFFFFFF" w:tentative="1">
      <w:start w:val="1"/>
      <w:numFmt w:val="bullet"/>
      <w:lvlText w:val="o"/>
      <w:lvlJc w:val="left"/>
      <w:pPr>
        <w:ind w:left="2856" w:hanging="360"/>
      </w:pPr>
      <w:rPr>
        <w:rFonts w:ascii="Courier New" w:hAnsi="Courier New" w:cs="Courier New" w:hint="default"/>
      </w:rPr>
    </w:lvl>
    <w:lvl w:ilvl="2" w:tplc="FFFFFFFF" w:tentative="1">
      <w:start w:val="1"/>
      <w:numFmt w:val="bullet"/>
      <w:lvlText w:val=""/>
      <w:lvlJc w:val="left"/>
      <w:pPr>
        <w:ind w:left="3576" w:hanging="360"/>
      </w:pPr>
      <w:rPr>
        <w:rFonts w:ascii="Wingdings" w:hAnsi="Wingdings" w:hint="default"/>
      </w:rPr>
    </w:lvl>
    <w:lvl w:ilvl="3" w:tplc="FFFFFFFF" w:tentative="1">
      <w:start w:val="1"/>
      <w:numFmt w:val="bullet"/>
      <w:lvlText w:val=""/>
      <w:lvlJc w:val="left"/>
      <w:pPr>
        <w:ind w:left="4296" w:hanging="360"/>
      </w:pPr>
      <w:rPr>
        <w:rFonts w:ascii="Symbol" w:hAnsi="Symbol" w:hint="default"/>
      </w:rPr>
    </w:lvl>
    <w:lvl w:ilvl="4" w:tplc="FFFFFFFF" w:tentative="1">
      <w:start w:val="1"/>
      <w:numFmt w:val="bullet"/>
      <w:lvlText w:val="o"/>
      <w:lvlJc w:val="left"/>
      <w:pPr>
        <w:ind w:left="5016" w:hanging="360"/>
      </w:pPr>
      <w:rPr>
        <w:rFonts w:ascii="Courier New" w:hAnsi="Courier New" w:cs="Courier New" w:hint="default"/>
      </w:rPr>
    </w:lvl>
    <w:lvl w:ilvl="5" w:tplc="FFFFFFFF" w:tentative="1">
      <w:start w:val="1"/>
      <w:numFmt w:val="bullet"/>
      <w:lvlText w:val=""/>
      <w:lvlJc w:val="left"/>
      <w:pPr>
        <w:ind w:left="5736" w:hanging="360"/>
      </w:pPr>
      <w:rPr>
        <w:rFonts w:ascii="Wingdings" w:hAnsi="Wingdings" w:hint="default"/>
      </w:rPr>
    </w:lvl>
    <w:lvl w:ilvl="6" w:tplc="FFFFFFFF" w:tentative="1">
      <w:start w:val="1"/>
      <w:numFmt w:val="bullet"/>
      <w:lvlText w:val=""/>
      <w:lvlJc w:val="left"/>
      <w:pPr>
        <w:ind w:left="6456" w:hanging="360"/>
      </w:pPr>
      <w:rPr>
        <w:rFonts w:ascii="Symbol" w:hAnsi="Symbol" w:hint="default"/>
      </w:rPr>
    </w:lvl>
    <w:lvl w:ilvl="7" w:tplc="FFFFFFFF" w:tentative="1">
      <w:start w:val="1"/>
      <w:numFmt w:val="bullet"/>
      <w:lvlText w:val="o"/>
      <w:lvlJc w:val="left"/>
      <w:pPr>
        <w:ind w:left="7176" w:hanging="360"/>
      </w:pPr>
      <w:rPr>
        <w:rFonts w:ascii="Courier New" w:hAnsi="Courier New" w:cs="Courier New" w:hint="default"/>
      </w:rPr>
    </w:lvl>
    <w:lvl w:ilvl="8" w:tplc="FFFFFFFF" w:tentative="1">
      <w:start w:val="1"/>
      <w:numFmt w:val="bullet"/>
      <w:lvlText w:val=""/>
      <w:lvlJc w:val="left"/>
      <w:pPr>
        <w:ind w:left="7896" w:hanging="360"/>
      </w:pPr>
      <w:rPr>
        <w:rFonts w:ascii="Wingdings" w:hAnsi="Wingdings" w:hint="default"/>
      </w:rPr>
    </w:lvl>
  </w:abstractNum>
  <w:abstractNum w:abstractNumId="18" w15:restartNumberingAfterBreak="0">
    <w:nsid w:val="627451AD"/>
    <w:multiLevelType w:val="hybridMultilevel"/>
    <w:tmpl w:val="EBD029F8"/>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67F86A9B"/>
    <w:multiLevelType w:val="hybridMultilevel"/>
    <w:tmpl w:val="15C469FE"/>
    <w:lvl w:ilvl="0" w:tplc="0C0C000B">
      <w:start w:val="1"/>
      <w:numFmt w:val="bullet"/>
      <w:lvlText w:val=""/>
      <w:lvlJc w:val="left"/>
      <w:pPr>
        <w:ind w:left="2136" w:hanging="360"/>
      </w:pPr>
      <w:rPr>
        <w:rFonts w:ascii="Wingdings" w:hAnsi="Wingdings" w:hint="default"/>
      </w:rPr>
    </w:lvl>
    <w:lvl w:ilvl="1" w:tplc="0C0C0003" w:tentative="1">
      <w:start w:val="1"/>
      <w:numFmt w:val="bullet"/>
      <w:lvlText w:val="o"/>
      <w:lvlJc w:val="left"/>
      <w:pPr>
        <w:ind w:left="2856" w:hanging="360"/>
      </w:pPr>
      <w:rPr>
        <w:rFonts w:ascii="Courier New" w:hAnsi="Courier New" w:cs="Courier New" w:hint="default"/>
      </w:rPr>
    </w:lvl>
    <w:lvl w:ilvl="2" w:tplc="0C0C0005" w:tentative="1">
      <w:start w:val="1"/>
      <w:numFmt w:val="bullet"/>
      <w:lvlText w:val=""/>
      <w:lvlJc w:val="left"/>
      <w:pPr>
        <w:ind w:left="3576" w:hanging="360"/>
      </w:pPr>
      <w:rPr>
        <w:rFonts w:ascii="Wingdings" w:hAnsi="Wingdings" w:hint="default"/>
      </w:rPr>
    </w:lvl>
    <w:lvl w:ilvl="3" w:tplc="0C0C0001" w:tentative="1">
      <w:start w:val="1"/>
      <w:numFmt w:val="bullet"/>
      <w:lvlText w:val=""/>
      <w:lvlJc w:val="left"/>
      <w:pPr>
        <w:ind w:left="4296" w:hanging="360"/>
      </w:pPr>
      <w:rPr>
        <w:rFonts w:ascii="Symbol" w:hAnsi="Symbol" w:hint="default"/>
      </w:rPr>
    </w:lvl>
    <w:lvl w:ilvl="4" w:tplc="0C0C0003" w:tentative="1">
      <w:start w:val="1"/>
      <w:numFmt w:val="bullet"/>
      <w:lvlText w:val="o"/>
      <w:lvlJc w:val="left"/>
      <w:pPr>
        <w:ind w:left="5016" w:hanging="360"/>
      </w:pPr>
      <w:rPr>
        <w:rFonts w:ascii="Courier New" w:hAnsi="Courier New" w:cs="Courier New" w:hint="default"/>
      </w:rPr>
    </w:lvl>
    <w:lvl w:ilvl="5" w:tplc="0C0C0005" w:tentative="1">
      <w:start w:val="1"/>
      <w:numFmt w:val="bullet"/>
      <w:lvlText w:val=""/>
      <w:lvlJc w:val="left"/>
      <w:pPr>
        <w:ind w:left="5736" w:hanging="360"/>
      </w:pPr>
      <w:rPr>
        <w:rFonts w:ascii="Wingdings" w:hAnsi="Wingdings" w:hint="default"/>
      </w:rPr>
    </w:lvl>
    <w:lvl w:ilvl="6" w:tplc="0C0C0001" w:tentative="1">
      <w:start w:val="1"/>
      <w:numFmt w:val="bullet"/>
      <w:lvlText w:val=""/>
      <w:lvlJc w:val="left"/>
      <w:pPr>
        <w:ind w:left="6456" w:hanging="360"/>
      </w:pPr>
      <w:rPr>
        <w:rFonts w:ascii="Symbol" w:hAnsi="Symbol" w:hint="default"/>
      </w:rPr>
    </w:lvl>
    <w:lvl w:ilvl="7" w:tplc="0C0C0003" w:tentative="1">
      <w:start w:val="1"/>
      <w:numFmt w:val="bullet"/>
      <w:lvlText w:val="o"/>
      <w:lvlJc w:val="left"/>
      <w:pPr>
        <w:ind w:left="7176" w:hanging="360"/>
      </w:pPr>
      <w:rPr>
        <w:rFonts w:ascii="Courier New" w:hAnsi="Courier New" w:cs="Courier New" w:hint="default"/>
      </w:rPr>
    </w:lvl>
    <w:lvl w:ilvl="8" w:tplc="0C0C0005" w:tentative="1">
      <w:start w:val="1"/>
      <w:numFmt w:val="bullet"/>
      <w:lvlText w:val=""/>
      <w:lvlJc w:val="left"/>
      <w:pPr>
        <w:ind w:left="7896" w:hanging="360"/>
      </w:pPr>
      <w:rPr>
        <w:rFonts w:ascii="Wingdings" w:hAnsi="Wingdings" w:hint="default"/>
      </w:rPr>
    </w:lvl>
  </w:abstractNum>
  <w:abstractNum w:abstractNumId="20"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21"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3"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25"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26"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27"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25"/>
  </w:num>
  <w:num w:numId="2">
    <w:abstractNumId w:val="24"/>
  </w:num>
  <w:num w:numId="3">
    <w:abstractNumId w:val="23"/>
  </w:num>
  <w:num w:numId="4">
    <w:abstractNumId w:val="21"/>
  </w:num>
  <w:num w:numId="5">
    <w:abstractNumId w:val="27"/>
  </w:num>
  <w:num w:numId="6">
    <w:abstractNumId w:val="27"/>
  </w:num>
  <w:num w:numId="7">
    <w:abstractNumId w:val="9"/>
  </w:num>
  <w:num w:numId="8">
    <w:abstractNumId w:val="20"/>
  </w:num>
  <w:num w:numId="9">
    <w:abstractNumId w:val="10"/>
  </w:num>
  <w:num w:numId="10">
    <w:abstractNumId w:val="26"/>
  </w:num>
  <w:num w:numId="11">
    <w:abstractNumId w:val="22"/>
  </w:num>
  <w:num w:numId="12">
    <w:abstractNumId w:val="16"/>
  </w:num>
  <w:num w:numId="13">
    <w:abstractNumId w:val="5"/>
  </w:num>
  <w:num w:numId="14">
    <w:abstractNumId w:val="0"/>
  </w:num>
  <w:num w:numId="15">
    <w:abstractNumId w:val="4"/>
  </w:num>
  <w:num w:numId="16">
    <w:abstractNumId w:val="6"/>
  </w:num>
  <w:num w:numId="17">
    <w:abstractNumId w:val="7"/>
  </w:num>
  <w:num w:numId="18">
    <w:abstractNumId w:val="15"/>
  </w:num>
  <w:num w:numId="19">
    <w:abstractNumId w:val="11"/>
  </w:num>
  <w:num w:numId="20">
    <w:abstractNumId w:val="8"/>
  </w:num>
  <w:num w:numId="21">
    <w:abstractNumId w:val="13"/>
  </w:num>
  <w:num w:numId="22">
    <w:abstractNumId w:val="18"/>
  </w:num>
  <w:num w:numId="23">
    <w:abstractNumId w:val="2"/>
  </w:num>
  <w:num w:numId="24">
    <w:abstractNumId w:val="12"/>
  </w:num>
  <w:num w:numId="25">
    <w:abstractNumId w:val="14"/>
  </w:num>
  <w:num w:numId="26">
    <w:abstractNumId w:val="3"/>
  </w:num>
  <w:num w:numId="27">
    <w:abstractNumId w:val="1"/>
  </w:num>
  <w:num w:numId="28">
    <w:abstractNumId w:val="19"/>
  </w:num>
  <w:num w:numId="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0B6"/>
    <w:rsid w:val="000014ED"/>
    <w:rsid w:val="000034B0"/>
    <w:rsid w:val="000041A1"/>
    <w:rsid w:val="00005855"/>
    <w:rsid w:val="00005B08"/>
    <w:rsid w:val="00006DD2"/>
    <w:rsid w:val="000101C1"/>
    <w:rsid w:val="0001305E"/>
    <w:rsid w:val="00013470"/>
    <w:rsid w:val="0001494E"/>
    <w:rsid w:val="00016D99"/>
    <w:rsid w:val="00017D80"/>
    <w:rsid w:val="00020312"/>
    <w:rsid w:val="00021B30"/>
    <w:rsid w:val="00021E4C"/>
    <w:rsid w:val="00022556"/>
    <w:rsid w:val="000225B0"/>
    <w:rsid w:val="00023858"/>
    <w:rsid w:val="00033229"/>
    <w:rsid w:val="00033950"/>
    <w:rsid w:val="00033D23"/>
    <w:rsid w:val="0003439A"/>
    <w:rsid w:val="000347E6"/>
    <w:rsid w:val="000352CA"/>
    <w:rsid w:val="000366EC"/>
    <w:rsid w:val="00036794"/>
    <w:rsid w:val="00040663"/>
    <w:rsid w:val="0004256C"/>
    <w:rsid w:val="00043E4D"/>
    <w:rsid w:val="00045525"/>
    <w:rsid w:val="0004721E"/>
    <w:rsid w:val="00050581"/>
    <w:rsid w:val="000536CC"/>
    <w:rsid w:val="0005449C"/>
    <w:rsid w:val="000559A8"/>
    <w:rsid w:val="00055A3E"/>
    <w:rsid w:val="00056393"/>
    <w:rsid w:val="00056EFD"/>
    <w:rsid w:val="00057739"/>
    <w:rsid w:val="00065270"/>
    <w:rsid w:val="000654AC"/>
    <w:rsid w:val="000671FE"/>
    <w:rsid w:val="0007225E"/>
    <w:rsid w:val="000748BB"/>
    <w:rsid w:val="00074ABE"/>
    <w:rsid w:val="00074CBD"/>
    <w:rsid w:val="00074EAE"/>
    <w:rsid w:val="000756D0"/>
    <w:rsid w:val="00076D81"/>
    <w:rsid w:val="00080885"/>
    <w:rsid w:val="00082A97"/>
    <w:rsid w:val="0008378A"/>
    <w:rsid w:val="00087532"/>
    <w:rsid w:val="0008784D"/>
    <w:rsid w:val="00090018"/>
    <w:rsid w:val="00090306"/>
    <w:rsid w:val="00090F69"/>
    <w:rsid w:val="00093ACD"/>
    <w:rsid w:val="00095814"/>
    <w:rsid w:val="00097D81"/>
    <w:rsid w:val="00097FCE"/>
    <w:rsid w:val="000A158F"/>
    <w:rsid w:val="000A1DAC"/>
    <w:rsid w:val="000A4AD0"/>
    <w:rsid w:val="000A56C5"/>
    <w:rsid w:val="000A57A3"/>
    <w:rsid w:val="000A5AD1"/>
    <w:rsid w:val="000A63DF"/>
    <w:rsid w:val="000A77C5"/>
    <w:rsid w:val="000B2C66"/>
    <w:rsid w:val="000B4EEF"/>
    <w:rsid w:val="000B54C2"/>
    <w:rsid w:val="000B6275"/>
    <w:rsid w:val="000B7915"/>
    <w:rsid w:val="000B7F1B"/>
    <w:rsid w:val="000C1E66"/>
    <w:rsid w:val="000C3F1F"/>
    <w:rsid w:val="000C710F"/>
    <w:rsid w:val="000D3948"/>
    <w:rsid w:val="000D5142"/>
    <w:rsid w:val="000E0C28"/>
    <w:rsid w:val="000E0C3A"/>
    <w:rsid w:val="000E1320"/>
    <w:rsid w:val="000E3FF6"/>
    <w:rsid w:val="000E56A6"/>
    <w:rsid w:val="000E66F1"/>
    <w:rsid w:val="000F20A5"/>
    <w:rsid w:val="000F3423"/>
    <w:rsid w:val="000F5F81"/>
    <w:rsid w:val="000F7591"/>
    <w:rsid w:val="00100952"/>
    <w:rsid w:val="00100AB8"/>
    <w:rsid w:val="00100ABD"/>
    <w:rsid w:val="00101A4B"/>
    <w:rsid w:val="00103235"/>
    <w:rsid w:val="00104550"/>
    <w:rsid w:val="00104C3D"/>
    <w:rsid w:val="001050B4"/>
    <w:rsid w:val="001100C2"/>
    <w:rsid w:val="00110C9B"/>
    <w:rsid w:val="00113A87"/>
    <w:rsid w:val="001144AB"/>
    <w:rsid w:val="00116521"/>
    <w:rsid w:val="0012224D"/>
    <w:rsid w:val="001225BC"/>
    <w:rsid w:val="00122A9E"/>
    <w:rsid w:val="00122F94"/>
    <w:rsid w:val="0012326A"/>
    <w:rsid w:val="0012528C"/>
    <w:rsid w:val="001274C6"/>
    <w:rsid w:val="00132622"/>
    <w:rsid w:val="0013574C"/>
    <w:rsid w:val="00137E7E"/>
    <w:rsid w:val="00137E80"/>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069D"/>
    <w:rsid w:val="00173184"/>
    <w:rsid w:val="00175079"/>
    <w:rsid w:val="001761B9"/>
    <w:rsid w:val="001763B4"/>
    <w:rsid w:val="00177128"/>
    <w:rsid w:val="00177B0A"/>
    <w:rsid w:val="00183515"/>
    <w:rsid w:val="0018423F"/>
    <w:rsid w:val="001846FC"/>
    <w:rsid w:val="00187BE5"/>
    <w:rsid w:val="001924FE"/>
    <w:rsid w:val="0019336A"/>
    <w:rsid w:val="001965E1"/>
    <w:rsid w:val="00197173"/>
    <w:rsid w:val="001A03BE"/>
    <w:rsid w:val="001A067E"/>
    <w:rsid w:val="001A2900"/>
    <w:rsid w:val="001A4081"/>
    <w:rsid w:val="001A65F1"/>
    <w:rsid w:val="001B01C5"/>
    <w:rsid w:val="001B2B40"/>
    <w:rsid w:val="001B35A9"/>
    <w:rsid w:val="001B3E9D"/>
    <w:rsid w:val="001B4172"/>
    <w:rsid w:val="001B4A40"/>
    <w:rsid w:val="001B5524"/>
    <w:rsid w:val="001B6D8A"/>
    <w:rsid w:val="001C0CCD"/>
    <w:rsid w:val="001C19D4"/>
    <w:rsid w:val="001C2B0B"/>
    <w:rsid w:val="001C4308"/>
    <w:rsid w:val="001C436D"/>
    <w:rsid w:val="001C690A"/>
    <w:rsid w:val="001D0ADE"/>
    <w:rsid w:val="001D16B7"/>
    <w:rsid w:val="001D63C8"/>
    <w:rsid w:val="001D65D8"/>
    <w:rsid w:val="001D73A6"/>
    <w:rsid w:val="001E1A13"/>
    <w:rsid w:val="001E3DFD"/>
    <w:rsid w:val="001E42F0"/>
    <w:rsid w:val="001E497A"/>
    <w:rsid w:val="001E5221"/>
    <w:rsid w:val="001E5E3B"/>
    <w:rsid w:val="001F1567"/>
    <w:rsid w:val="0021015A"/>
    <w:rsid w:val="002106E6"/>
    <w:rsid w:val="00211B7F"/>
    <w:rsid w:val="00217890"/>
    <w:rsid w:val="0022161E"/>
    <w:rsid w:val="00225C46"/>
    <w:rsid w:val="00226493"/>
    <w:rsid w:val="00227040"/>
    <w:rsid w:val="00227F9A"/>
    <w:rsid w:val="00230CFC"/>
    <w:rsid w:val="0023162A"/>
    <w:rsid w:val="00231C1D"/>
    <w:rsid w:val="00233532"/>
    <w:rsid w:val="00234BC8"/>
    <w:rsid w:val="00236230"/>
    <w:rsid w:val="00241CED"/>
    <w:rsid w:val="00242FB4"/>
    <w:rsid w:val="00243B60"/>
    <w:rsid w:val="00244E21"/>
    <w:rsid w:val="00245605"/>
    <w:rsid w:val="00251AB8"/>
    <w:rsid w:val="002542E0"/>
    <w:rsid w:val="00255B07"/>
    <w:rsid w:val="002563F0"/>
    <w:rsid w:val="00256DBB"/>
    <w:rsid w:val="00260119"/>
    <w:rsid w:val="00266064"/>
    <w:rsid w:val="00267C8D"/>
    <w:rsid w:val="002701DD"/>
    <w:rsid w:val="00270D4C"/>
    <w:rsid w:val="002710FD"/>
    <w:rsid w:val="00273CF4"/>
    <w:rsid w:val="00273F49"/>
    <w:rsid w:val="002769B5"/>
    <w:rsid w:val="00276B25"/>
    <w:rsid w:val="00276B59"/>
    <w:rsid w:val="0027706B"/>
    <w:rsid w:val="00281319"/>
    <w:rsid w:val="00284627"/>
    <w:rsid w:val="00285A54"/>
    <w:rsid w:val="00286149"/>
    <w:rsid w:val="0028668D"/>
    <w:rsid w:val="00290289"/>
    <w:rsid w:val="00292188"/>
    <w:rsid w:val="002923D9"/>
    <w:rsid w:val="00296645"/>
    <w:rsid w:val="00296A4B"/>
    <w:rsid w:val="00297284"/>
    <w:rsid w:val="002A0077"/>
    <w:rsid w:val="002A07DC"/>
    <w:rsid w:val="002A0FE4"/>
    <w:rsid w:val="002A3573"/>
    <w:rsid w:val="002A374B"/>
    <w:rsid w:val="002A73E9"/>
    <w:rsid w:val="002B10E8"/>
    <w:rsid w:val="002B132B"/>
    <w:rsid w:val="002B2FC3"/>
    <w:rsid w:val="002B35F0"/>
    <w:rsid w:val="002B58AF"/>
    <w:rsid w:val="002B661D"/>
    <w:rsid w:val="002B6A9E"/>
    <w:rsid w:val="002C0F3A"/>
    <w:rsid w:val="002C3748"/>
    <w:rsid w:val="002C5E89"/>
    <w:rsid w:val="002D0BAF"/>
    <w:rsid w:val="002D1522"/>
    <w:rsid w:val="002D35AB"/>
    <w:rsid w:val="002D4046"/>
    <w:rsid w:val="002D42BC"/>
    <w:rsid w:val="002D4559"/>
    <w:rsid w:val="002D71A9"/>
    <w:rsid w:val="002D7846"/>
    <w:rsid w:val="002D7FCB"/>
    <w:rsid w:val="002E05AE"/>
    <w:rsid w:val="002E0636"/>
    <w:rsid w:val="002E0947"/>
    <w:rsid w:val="002E0A75"/>
    <w:rsid w:val="002F309C"/>
    <w:rsid w:val="002F7507"/>
    <w:rsid w:val="002F7DB3"/>
    <w:rsid w:val="0030059B"/>
    <w:rsid w:val="00302FB4"/>
    <w:rsid w:val="00305273"/>
    <w:rsid w:val="003057FC"/>
    <w:rsid w:val="00305AFB"/>
    <w:rsid w:val="003070F9"/>
    <w:rsid w:val="00307C85"/>
    <w:rsid w:val="00312244"/>
    <w:rsid w:val="00312983"/>
    <w:rsid w:val="00313163"/>
    <w:rsid w:val="003209D2"/>
    <w:rsid w:val="00323C09"/>
    <w:rsid w:val="00323DC5"/>
    <w:rsid w:val="003248CB"/>
    <w:rsid w:val="00325972"/>
    <w:rsid w:val="00326FDF"/>
    <w:rsid w:val="00331EA7"/>
    <w:rsid w:val="003332B8"/>
    <w:rsid w:val="00334536"/>
    <w:rsid w:val="00334CA9"/>
    <w:rsid w:val="00337555"/>
    <w:rsid w:val="00343B46"/>
    <w:rsid w:val="00344465"/>
    <w:rsid w:val="00344633"/>
    <w:rsid w:val="003470FF"/>
    <w:rsid w:val="0034740A"/>
    <w:rsid w:val="0035375B"/>
    <w:rsid w:val="00361886"/>
    <w:rsid w:val="00362154"/>
    <w:rsid w:val="00362D74"/>
    <w:rsid w:val="00363D7A"/>
    <w:rsid w:val="003664E9"/>
    <w:rsid w:val="00366D1E"/>
    <w:rsid w:val="00370180"/>
    <w:rsid w:val="003703A5"/>
    <w:rsid w:val="0037112C"/>
    <w:rsid w:val="00373EE5"/>
    <w:rsid w:val="003817E7"/>
    <w:rsid w:val="00382DFC"/>
    <w:rsid w:val="00382E55"/>
    <w:rsid w:val="00383ECE"/>
    <w:rsid w:val="00390B55"/>
    <w:rsid w:val="00393917"/>
    <w:rsid w:val="003961B2"/>
    <w:rsid w:val="003A41AD"/>
    <w:rsid w:val="003A7128"/>
    <w:rsid w:val="003B0C41"/>
    <w:rsid w:val="003B152B"/>
    <w:rsid w:val="003B1734"/>
    <w:rsid w:val="003B1735"/>
    <w:rsid w:val="003B2D2E"/>
    <w:rsid w:val="003B3952"/>
    <w:rsid w:val="003B3E98"/>
    <w:rsid w:val="003B6CBF"/>
    <w:rsid w:val="003B70B6"/>
    <w:rsid w:val="003C47A7"/>
    <w:rsid w:val="003D0826"/>
    <w:rsid w:val="003D18FC"/>
    <w:rsid w:val="003D3C93"/>
    <w:rsid w:val="003D71BB"/>
    <w:rsid w:val="003E00D5"/>
    <w:rsid w:val="003E02BA"/>
    <w:rsid w:val="003E1AE0"/>
    <w:rsid w:val="003E27F1"/>
    <w:rsid w:val="003E7DD3"/>
    <w:rsid w:val="003F0578"/>
    <w:rsid w:val="003F6098"/>
    <w:rsid w:val="003F7F38"/>
    <w:rsid w:val="00401325"/>
    <w:rsid w:val="004019AA"/>
    <w:rsid w:val="00403802"/>
    <w:rsid w:val="0040399B"/>
    <w:rsid w:val="00405EB0"/>
    <w:rsid w:val="00406F0C"/>
    <w:rsid w:val="004106DB"/>
    <w:rsid w:val="00410A9A"/>
    <w:rsid w:val="00411251"/>
    <w:rsid w:val="00411572"/>
    <w:rsid w:val="004120FE"/>
    <w:rsid w:val="00412585"/>
    <w:rsid w:val="0041363B"/>
    <w:rsid w:val="0041405B"/>
    <w:rsid w:val="00414FA8"/>
    <w:rsid w:val="00415D5D"/>
    <w:rsid w:val="0041643A"/>
    <w:rsid w:val="00420029"/>
    <w:rsid w:val="0042172C"/>
    <w:rsid w:val="0042216D"/>
    <w:rsid w:val="00422A97"/>
    <w:rsid w:val="004232E9"/>
    <w:rsid w:val="00423D2E"/>
    <w:rsid w:val="0042647C"/>
    <w:rsid w:val="0042650F"/>
    <w:rsid w:val="0042684F"/>
    <w:rsid w:val="00427D5D"/>
    <w:rsid w:val="00431E0B"/>
    <w:rsid w:val="004335B1"/>
    <w:rsid w:val="0043367E"/>
    <w:rsid w:val="004337FE"/>
    <w:rsid w:val="00433E98"/>
    <w:rsid w:val="00435738"/>
    <w:rsid w:val="00436718"/>
    <w:rsid w:val="00437137"/>
    <w:rsid w:val="0044000A"/>
    <w:rsid w:val="004403B8"/>
    <w:rsid w:val="00441697"/>
    <w:rsid w:val="00441ADA"/>
    <w:rsid w:val="004422CA"/>
    <w:rsid w:val="0044274C"/>
    <w:rsid w:val="0044371C"/>
    <w:rsid w:val="0044627E"/>
    <w:rsid w:val="00446998"/>
    <w:rsid w:val="00450BA8"/>
    <w:rsid w:val="00450E35"/>
    <w:rsid w:val="0045114F"/>
    <w:rsid w:val="004529D3"/>
    <w:rsid w:val="00453F31"/>
    <w:rsid w:val="00456811"/>
    <w:rsid w:val="00456B0C"/>
    <w:rsid w:val="00460101"/>
    <w:rsid w:val="00463F85"/>
    <w:rsid w:val="0046538B"/>
    <w:rsid w:val="00471C92"/>
    <w:rsid w:val="004739AC"/>
    <w:rsid w:val="00474489"/>
    <w:rsid w:val="00475FEF"/>
    <w:rsid w:val="0047675E"/>
    <w:rsid w:val="0047680F"/>
    <w:rsid w:val="00477536"/>
    <w:rsid w:val="0047776F"/>
    <w:rsid w:val="00480514"/>
    <w:rsid w:val="00480FC2"/>
    <w:rsid w:val="00481A7F"/>
    <w:rsid w:val="00482D4D"/>
    <w:rsid w:val="00482D5B"/>
    <w:rsid w:val="004832E2"/>
    <w:rsid w:val="00483AF1"/>
    <w:rsid w:val="00483C81"/>
    <w:rsid w:val="004870EA"/>
    <w:rsid w:val="004873EC"/>
    <w:rsid w:val="00487F13"/>
    <w:rsid w:val="004934C3"/>
    <w:rsid w:val="004942D5"/>
    <w:rsid w:val="0049595F"/>
    <w:rsid w:val="00496193"/>
    <w:rsid w:val="00496ED6"/>
    <w:rsid w:val="004A02AF"/>
    <w:rsid w:val="004A2D66"/>
    <w:rsid w:val="004A4449"/>
    <w:rsid w:val="004A5A46"/>
    <w:rsid w:val="004A679B"/>
    <w:rsid w:val="004B0420"/>
    <w:rsid w:val="004B590C"/>
    <w:rsid w:val="004B71B8"/>
    <w:rsid w:val="004C024D"/>
    <w:rsid w:val="004C0FB4"/>
    <w:rsid w:val="004C1811"/>
    <w:rsid w:val="004C2944"/>
    <w:rsid w:val="004C4555"/>
    <w:rsid w:val="004C5A0F"/>
    <w:rsid w:val="004D16D6"/>
    <w:rsid w:val="004D48AF"/>
    <w:rsid w:val="004D6CEA"/>
    <w:rsid w:val="004E0E02"/>
    <w:rsid w:val="004E3564"/>
    <w:rsid w:val="004E37C4"/>
    <w:rsid w:val="004E3D9F"/>
    <w:rsid w:val="004E51C0"/>
    <w:rsid w:val="004E64BE"/>
    <w:rsid w:val="004E6A05"/>
    <w:rsid w:val="004F1744"/>
    <w:rsid w:val="004F1F04"/>
    <w:rsid w:val="004F23F0"/>
    <w:rsid w:val="004F2C5B"/>
    <w:rsid w:val="004F6293"/>
    <w:rsid w:val="00503B8D"/>
    <w:rsid w:val="00503EE3"/>
    <w:rsid w:val="00505811"/>
    <w:rsid w:val="00507259"/>
    <w:rsid w:val="00511F13"/>
    <w:rsid w:val="0051261C"/>
    <w:rsid w:val="00512E60"/>
    <w:rsid w:val="00515DE7"/>
    <w:rsid w:val="00517EB0"/>
    <w:rsid w:val="005205CB"/>
    <w:rsid w:val="0052430C"/>
    <w:rsid w:val="005348E4"/>
    <w:rsid w:val="00534D8F"/>
    <w:rsid w:val="005352F1"/>
    <w:rsid w:val="00540094"/>
    <w:rsid w:val="00540F19"/>
    <w:rsid w:val="005442CC"/>
    <w:rsid w:val="00545CFF"/>
    <w:rsid w:val="00547066"/>
    <w:rsid w:val="00547A9C"/>
    <w:rsid w:val="00555800"/>
    <w:rsid w:val="00556DBB"/>
    <w:rsid w:val="005604B6"/>
    <w:rsid w:val="00560781"/>
    <w:rsid w:val="0056268F"/>
    <w:rsid w:val="00564B11"/>
    <w:rsid w:val="005662E9"/>
    <w:rsid w:val="005670B1"/>
    <w:rsid w:val="005700F8"/>
    <w:rsid w:val="005727BC"/>
    <w:rsid w:val="00572AAF"/>
    <w:rsid w:val="00573B52"/>
    <w:rsid w:val="005801AE"/>
    <w:rsid w:val="005809B4"/>
    <w:rsid w:val="00582868"/>
    <w:rsid w:val="00582ECC"/>
    <w:rsid w:val="0058399B"/>
    <w:rsid w:val="0058692F"/>
    <w:rsid w:val="00586A91"/>
    <w:rsid w:val="00587045"/>
    <w:rsid w:val="00587C22"/>
    <w:rsid w:val="005907BE"/>
    <w:rsid w:val="00592717"/>
    <w:rsid w:val="0059436D"/>
    <w:rsid w:val="005945C0"/>
    <w:rsid w:val="00596AB2"/>
    <w:rsid w:val="00597016"/>
    <w:rsid w:val="005974B7"/>
    <w:rsid w:val="00597614"/>
    <w:rsid w:val="005A0D51"/>
    <w:rsid w:val="005A181B"/>
    <w:rsid w:val="005A1CB3"/>
    <w:rsid w:val="005A3073"/>
    <w:rsid w:val="005A33A5"/>
    <w:rsid w:val="005A37D7"/>
    <w:rsid w:val="005A5437"/>
    <w:rsid w:val="005A6969"/>
    <w:rsid w:val="005A6FDE"/>
    <w:rsid w:val="005A70A0"/>
    <w:rsid w:val="005B0612"/>
    <w:rsid w:val="005B13F0"/>
    <w:rsid w:val="005B2E0C"/>
    <w:rsid w:val="005B30F6"/>
    <w:rsid w:val="005B45BA"/>
    <w:rsid w:val="005B5689"/>
    <w:rsid w:val="005B6085"/>
    <w:rsid w:val="005B6680"/>
    <w:rsid w:val="005B6774"/>
    <w:rsid w:val="005C034B"/>
    <w:rsid w:val="005C0A89"/>
    <w:rsid w:val="005C1FCF"/>
    <w:rsid w:val="005C2501"/>
    <w:rsid w:val="005C31D3"/>
    <w:rsid w:val="005C3BC4"/>
    <w:rsid w:val="005C3BF6"/>
    <w:rsid w:val="005D26CC"/>
    <w:rsid w:val="005D27C4"/>
    <w:rsid w:val="005D36AF"/>
    <w:rsid w:val="005D3EB2"/>
    <w:rsid w:val="005D4711"/>
    <w:rsid w:val="005D59B1"/>
    <w:rsid w:val="005D764B"/>
    <w:rsid w:val="005E2367"/>
    <w:rsid w:val="005E269D"/>
    <w:rsid w:val="005E34D2"/>
    <w:rsid w:val="005E5E90"/>
    <w:rsid w:val="005E62C7"/>
    <w:rsid w:val="005E6462"/>
    <w:rsid w:val="005E654C"/>
    <w:rsid w:val="005E7C9C"/>
    <w:rsid w:val="005E7ECB"/>
    <w:rsid w:val="005F059E"/>
    <w:rsid w:val="005F05F6"/>
    <w:rsid w:val="005F0D07"/>
    <w:rsid w:val="005F11FA"/>
    <w:rsid w:val="005F1321"/>
    <w:rsid w:val="00605734"/>
    <w:rsid w:val="006073E6"/>
    <w:rsid w:val="0061488E"/>
    <w:rsid w:val="0061574B"/>
    <w:rsid w:val="00616406"/>
    <w:rsid w:val="006203E6"/>
    <w:rsid w:val="00621064"/>
    <w:rsid w:val="00622670"/>
    <w:rsid w:val="00623328"/>
    <w:rsid w:val="006239CF"/>
    <w:rsid w:val="00623A1A"/>
    <w:rsid w:val="00623C19"/>
    <w:rsid w:val="0062589E"/>
    <w:rsid w:val="006264F3"/>
    <w:rsid w:val="00626E8D"/>
    <w:rsid w:val="0063156B"/>
    <w:rsid w:val="006326A9"/>
    <w:rsid w:val="00632DA8"/>
    <w:rsid w:val="006332EE"/>
    <w:rsid w:val="00634C4B"/>
    <w:rsid w:val="00634E6E"/>
    <w:rsid w:val="0063651F"/>
    <w:rsid w:val="00637696"/>
    <w:rsid w:val="0064324C"/>
    <w:rsid w:val="0064342A"/>
    <w:rsid w:val="00643858"/>
    <w:rsid w:val="00643A28"/>
    <w:rsid w:val="006448B9"/>
    <w:rsid w:val="00644BA3"/>
    <w:rsid w:val="006452FA"/>
    <w:rsid w:val="00646869"/>
    <w:rsid w:val="00647A6F"/>
    <w:rsid w:val="0065093D"/>
    <w:rsid w:val="00652A16"/>
    <w:rsid w:val="00655193"/>
    <w:rsid w:val="00655459"/>
    <w:rsid w:val="00656FB2"/>
    <w:rsid w:val="00657A70"/>
    <w:rsid w:val="00661454"/>
    <w:rsid w:val="006620AA"/>
    <w:rsid w:val="006626AF"/>
    <w:rsid w:val="0066642D"/>
    <w:rsid w:val="006722E2"/>
    <w:rsid w:val="00675E85"/>
    <w:rsid w:val="00676420"/>
    <w:rsid w:val="0067750F"/>
    <w:rsid w:val="00681396"/>
    <w:rsid w:val="0068171F"/>
    <w:rsid w:val="00683F5B"/>
    <w:rsid w:val="0068401E"/>
    <w:rsid w:val="006841A4"/>
    <w:rsid w:val="0068643F"/>
    <w:rsid w:val="006877A1"/>
    <w:rsid w:val="00692150"/>
    <w:rsid w:val="00692F0C"/>
    <w:rsid w:val="006944B0"/>
    <w:rsid w:val="00696E7C"/>
    <w:rsid w:val="00696EF2"/>
    <w:rsid w:val="006A09BA"/>
    <w:rsid w:val="006A0C54"/>
    <w:rsid w:val="006A13BE"/>
    <w:rsid w:val="006A3E54"/>
    <w:rsid w:val="006A3E8B"/>
    <w:rsid w:val="006A66C8"/>
    <w:rsid w:val="006A7C53"/>
    <w:rsid w:val="006B140A"/>
    <w:rsid w:val="006B1B45"/>
    <w:rsid w:val="006B309C"/>
    <w:rsid w:val="006B4316"/>
    <w:rsid w:val="006B4F95"/>
    <w:rsid w:val="006B5828"/>
    <w:rsid w:val="006B727F"/>
    <w:rsid w:val="006C1B57"/>
    <w:rsid w:val="006C3B87"/>
    <w:rsid w:val="006C47C2"/>
    <w:rsid w:val="006C6D3A"/>
    <w:rsid w:val="006C7B36"/>
    <w:rsid w:val="006C7B7F"/>
    <w:rsid w:val="006D19E8"/>
    <w:rsid w:val="006D7768"/>
    <w:rsid w:val="006E04B5"/>
    <w:rsid w:val="006E330C"/>
    <w:rsid w:val="006E3DD8"/>
    <w:rsid w:val="006E62DC"/>
    <w:rsid w:val="006E782C"/>
    <w:rsid w:val="006E793F"/>
    <w:rsid w:val="006F0154"/>
    <w:rsid w:val="006F0610"/>
    <w:rsid w:val="006F1D09"/>
    <w:rsid w:val="006F2607"/>
    <w:rsid w:val="006F608D"/>
    <w:rsid w:val="006F66BD"/>
    <w:rsid w:val="006F7944"/>
    <w:rsid w:val="00702947"/>
    <w:rsid w:val="00704121"/>
    <w:rsid w:val="0070415F"/>
    <w:rsid w:val="00705BB5"/>
    <w:rsid w:val="00706848"/>
    <w:rsid w:val="0070753F"/>
    <w:rsid w:val="0071029F"/>
    <w:rsid w:val="0071326F"/>
    <w:rsid w:val="007153D7"/>
    <w:rsid w:val="00716202"/>
    <w:rsid w:val="007166A2"/>
    <w:rsid w:val="00720ED4"/>
    <w:rsid w:val="00721670"/>
    <w:rsid w:val="00722736"/>
    <w:rsid w:val="007234F1"/>
    <w:rsid w:val="00726187"/>
    <w:rsid w:val="00732F8D"/>
    <w:rsid w:val="0074488F"/>
    <w:rsid w:val="00745AA8"/>
    <w:rsid w:val="007503E0"/>
    <w:rsid w:val="00750C71"/>
    <w:rsid w:val="007510EC"/>
    <w:rsid w:val="00751F54"/>
    <w:rsid w:val="0075233C"/>
    <w:rsid w:val="0075256A"/>
    <w:rsid w:val="00752DCD"/>
    <w:rsid w:val="007569DE"/>
    <w:rsid w:val="0075723C"/>
    <w:rsid w:val="0076027D"/>
    <w:rsid w:val="0076146A"/>
    <w:rsid w:val="0076350E"/>
    <w:rsid w:val="00763F36"/>
    <w:rsid w:val="00772787"/>
    <w:rsid w:val="00775BDF"/>
    <w:rsid w:val="0077614D"/>
    <w:rsid w:val="0077635C"/>
    <w:rsid w:val="00782C8F"/>
    <w:rsid w:val="00784B45"/>
    <w:rsid w:val="00785F78"/>
    <w:rsid w:val="0078659D"/>
    <w:rsid w:val="007869EC"/>
    <w:rsid w:val="00791ED8"/>
    <w:rsid w:val="007956D1"/>
    <w:rsid w:val="007A1E58"/>
    <w:rsid w:val="007A2DB4"/>
    <w:rsid w:val="007A5C7E"/>
    <w:rsid w:val="007A63F9"/>
    <w:rsid w:val="007A69A9"/>
    <w:rsid w:val="007A6E2F"/>
    <w:rsid w:val="007B0DF2"/>
    <w:rsid w:val="007B3BC5"/>
    <w:rsid w:val="007B57B1"/>
    <w:rsid w:val="007B6F8D"/>
    <w:rsid w:val="007C1832"/>
    <w:rsid w:val="007C4AC5"/>
    <w:rsid w:val="007D03DF"/>
    <w:rsid w:val="007D0A37"/>
    <w:rsid w:val="007D4953"/>
    <w:rsid w:val="007D50F4"/>
    <w:rsid w:val="007D7173"/>
    <w:rsid w:val="007E01EA"/>
    <w:rsid w:val="007E1093"/>
    <w:rsid w:val="007E1216"/>
    <w:rsid w:val="007E22ED"/>
    <w:rsid w:val="007E323F"/>
    <w:rsid w:val="007E4CD4"/>
    <w:rsid w:val="007E530C"/>
    <w:rsid w:val="007E7C80"/>
    <w:rsid w:val="007F0062"/>
    <w:rsid w:val="007F0E8E"/>
    <w:rsid w:val="007F2149"/>
    <w:rsid w:val="007F2656"/>
    <w:rsid w:val="007F31AD"/>
    <w:rsid w:val="007F4E00"/>
    <w:rsid w:val="007F6BD6"/>
    <w:rsid w:val="0080069F"/>
    <w:rsid w:val="008048CF"/>
    <w:rsid w:val="00805F97"/>
    <w:rsid w:val="008065DE"/>
    <w:rsid w:val="008065F4"/>
    <w:rsid w:val="008079DD"/>
    <w:rsid w:val="00811248"/>
    <w:rsid w:val="0081130F"/>
    <w:rsid w:val="00813095"/>
    <w:rsid w:val="008145AD"/>
    <w:rsid w:val="008146B2"/>
    <w:rsid w:val="008147A3"/>
    <w:rsid w:val="0081581C"/>
    <w:rsid w:val="00823307"/>
    <w:rsid w:val="00824430"/>
    <w:rsid w:val="008247B7"/>
    <w:rsid w:val="00825B1F"/>
    <w:rsid w:val="00826B35"/>
    <w:rsid w:val="00827D55"/>
    <w:rsid w:val="008311CC"/>
    <w:rsid w:val="0083172C"/>
    <w:rsid w:val="00832C84"/>
    <w:rsid w:val="008346BB"/>
    <w:rsid w:val="008356CC"/>
    <w:rsid w:val="00836FEF"/>
    <w:rsid w:val="00840EDD"/>
    <w:rsid w:val="008424CA"/>
    <w:rsid w:val="0084255F"/>
    <w:rsid w:val="00842C02"/>
    <w:rsid w:val="00846FB1"/>
    <w:rsid w:val="00854FB3"/>
    <w:rsid w:val="00857FCA"/>
    <w:rsid w:val="00860F13"/>
    <w:rsid w:val="0086199C"/>
    <w:rsid w:val="00861F8B"/>
    <w:rsid w:val="00862A5F"/>
    <w:rsid w:val="0086561F"/>
    <w:rsid w:val="00865A7A"/>
    <w:rsid w:val="00865FE1"/>
    <w:rsid w:val="00866765"/>
    <w:rsid w:val="0087069B"/>
    <w:rsid w:val="00874542"/>
    <w:rsid w:val="008748C7"/>
    <w:rsid w:val="0087521A"/>
    <w:rsid w:val="008808C0"/>
    <w:rsid w:val="00882255"/>
    <w:rsid w:val="008825BC"/>
    <w:rsid w:val="0088416B"/>
    <w:rsid w:val="00884C22"/>
    <w:rsid w:val="00890BDE"/>
    <w:rsid w:val="00892AD3"/>
    <w:rsid w:val="00894155"/>
    <w:rsid w:val="008962E7"/>
    <w:rsid w:val="008A0102"/>
    <w:rsid w:val="008A1118"/>
    <w:rsid w:val="008A281F"/>
    <w:rsid w:val="008A48D2"/>
    <w:rsid w:val="008A4AF6"/>
    <w:rsid w:val="008A4FF8"/>
    <w:rsid w:val="008A5D0E"/>
    <w:rsid w:val="008A5ED1"/>
    <w:rsid w:val="008A73CE"/>
    <w:rsid w:val="008A7FD1"/>
    <w:rsid w:val="008B042E"/>
    <w:rsid w:val="008B211E"/>
    <w:rsid w:val="008B48D2"/>
    <w:rsid w:val="008B6D48"/>
    <w:rsid w:val="008C16F6"/>
    <w:rsid w:val="008C7660"/>
    <w:rsid w:val="008C79A7"/>
    <w:rsid w:val="008D0BC7"/>
    <w:rsid w:val="008D1D2D"/>
    <w:rsid w:val="008D5521"/>
    <w:rsid w:val="008D555F"/>
    <w:rsid w:val="008D625D"/>
    <w:rsid w:val="008D650E"/>
    <w:rsid w:val="008D6F9F"/>
    <w:rsid w:val="008E2A63"/>
    <w:rsid w:val="008E673E"/>
    <w:rsid w:val="008E67D1"/>
    <w:rsid w:val="008E6A41"/>
    <w:rsid w:val="008E6FC1"/>
    <w:rsid w:val="008F15D5"/>
    <w:rsid w:val="008F20EA"/>
    <w:rsid w:val="008F79C4"/>
    <w:rsid w:val="009001B4"/>
    <w:rsid w:val="00902218"/>
    <w:rsid w:val="00903990"/>
    <w:rsid w:val="009042A8"/>
    <w:rsid w:val="00904950"/>
    <w:rsid w:val="00910893"/>
    <w:rsid w:val="0091442E"/>
    <w:rsid w:val="00915E5E"/>
    <w:rsid w:val="009166B8"/>
    <w:rsid w:val="00916FA5"/>
    <w:rsid w:val="00917915"/>
    <w:rsid w:val="00920684"/>
    <w:rsid w:val="00920778"/>
    <w:rsid w:val="009216E6"/>
    <w:rsid w:val="009224EC"/>
    <w:rsid w:val="00922CD0"/>
    <w:rsid w:val="00922DB7"/>
    <w:rsid w:val="00923C24"/>
    <w:rsid w:val="00925D19"/>
    <w:rsid w:val="0092684A"/>
    <w:rsid w:val="00926BA3"/>
    <w:rsid w:val="00927654"/>
    <w:rsid w:val="00933365"/>
    <w:rsid w:val="00934495"/>
    <w:rsid w:val="0093651D"/>
    <w:rsid w:val="00937FAB"/>
    <w:rsid w:val="0094094D"/>
    <w:rsid w:val="00941F0F"/>
    <w:rsid w:val="00942AB8"/>
    <w:rsid w:val="0094548C"/>
    <w:rsid w:val="00945CAF"/>
    <w:rsid w:val="00946AC9"/>
    <w:rsid w:val="00947293"/>
    <w:rsid w:val="00947448"/>
    <w:rsid w:val="00950F4E"/>
    <w:rsid w:val="00952407"/>
    <w:rsid w:val="00952B38"/>
    <w:rsid w:val="00952C99"/>
    <w:rsid w:val="009619EB"/>
    <w:rsid w:val="00962442"/>
    <w:rsid w:val="00962D8A"/>
    <w:rsid w:val="00965333"/>
    <w:rsid w:val="009712EF"/>
    <w:rsid w:val="009727BF"/>
    <w:rsid w:val="00973321"/>
    <w:rsid w:val="00975C2E"/>
    <w:rsid w:val="009770EB"/>
    <w:rsid w:val="00977270"/>
    <w:rsid w:val="009804D3"/>
    <w:rsid w:val="009824F2"/>
    <w:rsid w:val="00983080"/>
    <w:rsid w:val="00983673"/>
    <w:rsid w:val="0098546D"/>
    <w:rsid w:val="00986AA3"/>
    <w:rsid w:val="00993B24"/>
    <w:rsid w:val="00995F69"/>
    <w:rsid w:val="0099611F"/>
    <w:rsid w:val="00997CC6"/>
    <w:rsid w:val="009A083F"/>
    <w:rsid w:val="009A135C"/>
    <w:rsid w:val="009A30FC"/>
    <w:rsid w:val="009A4884"/>
    <w:rsid w:val="009A4BCE"/>
    <w:rsid w:val="009A5DBA"/>
    <w:rsid w:val="009A67E7"/>
    <w:rsid w:val="009B3CC2"/>
    <w:rsid w:val="009B5EFF"/>
    <w:rsid w:val="009C013A"/>
    <w:rsid w:val="009C509E"/>
    <w:rsid w:val="009C603A"/>
    <w:rsid w:val="009C63B0"/>
    <w:rsid w:val="009C74CD"/>
    <w:rsid w:val="009D048F"/>
    <w:rsid w:val="009D162F"/>
    <w:rsid w:val="009D1A93"/>
    <w:rsid w:val="009D23FF"/>
    <w:rsid w:val="009D401F"/>
    <w:rsid w:val="009D5B42"/>
    <w:rsid w:val="009D5C22"/>
    <w:rsid w:val="009D68FA"/>
    <w:rsid w:val="009D7CD8"/>
    <w:rsid w:val="009E1E4F"/>
    <w:rsid w:val="009E2566"/>
    <w:rsid w:val="009E2ED3"/>
    <w:rsid w:val="009E32CF"/>
    <w:rsid w:val="009E4261"/>
    <w:rsid w:val="009E4FC2"/>
    <w:rsid w:val="009E6166"/>
    <w:rsid w:val="009F44AE"/>
    <w:rsid w:val="009F59B9"/>
    <w:rsid w:val="009F7566"/>
    <w:rsid w:val="00A02529"/>
    <w:rsid w:val="00A02EF2"/>
    <w:rsid w:val="00A0354E"/>
    <w:rsid w:val="00A04D5E"/>
    <w:rsid w:val="00A10DDF"/>
    <w:rsid w:val="00A11172"/>
    <w:rsid w:val="00A1219E"/>
    <w:rsid w:val="00A12E55"/>
    <w:rsid w:val="00A168D7"/>
    <w:rsid w:val="00A20F81"/>
    <w:rsid w:val="00A22D86"/>
    <w:rsid w:val="00A22FFE"/>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13BB"/>
    <w:rsid w:val="00A55607"/>
    <w:rsid w:val="00A556E4"/>
    <w:rsid w:val="00A569B2"/>
    <w:rsid w:val="00A5718F"/>
    <w:rsid w:val="00A60CDA"/>
    <w:rsid w:val="00A611A4"/>
    <w:rsid w:val="00A61F09"/>
    <w:rsid w:val="00A6298C"/>
    <w:rsid w:val="00A637ED"/>
    <w:rsid w:val="00A63E1A"/>
    <w:rsid w:val="00A643DC"/>
    <w:rsid w:val="00A66249"/>
    <w:rsid w:val="00A6695B"/>
    <w:rsid w:val="00A721A2"/>
    <w:rsid w:val="00A72703"/>
    <w:rsid w:val="00A727F6"/>
    <w:rsid w:val="00A72E71"/>
    <w:rsid w:val="00A76432"/>
    <w:rsid w:val="00A770C0"/>
    <w:rsid w:val="00A7782E"/>
    <w:rsid w:val="00A819A2"/>
    <w:rsid w:val="00A84A37"/>
    <w:rsid w:val="00A84FC6"/>
    <w:rsid w:val="00A8528E"/>
    <w:rsid w:val="00A90BD9"/>
    <w:rsid w:val="00A9101B"/>
    <w:rsid w:val="00A94A49"/>
    <w:rsid w:val="00A95C5E"/>
    <w:rsid w:val="00A97E82"/>
    <w:rsid w:val="00AA1815"/>
    <w:rsid w:val="00AA1D3E"/>
    <w:rsid w:val="00AA20E7"/>
    <w:rsid w:val="00AA36F8"/>
    <w:rsid w:val="00AA39F9"/>
    <w:rsid w:val="00AA508B"/>
    <w:rsid w:val="00AA79D3"/>
    <w:rsid w:val="00AB069B"/>
    <w:rsid w:val="00AB0931"/>
    <w:rsid w:val="00AB2574"/>
    <w:rsid w:val="00AB4DC4"/>
    <w:rsid w:val="00AB5C9B"/>
    <w:rsid w:val="00AC0159"/>
    <w:rsid w:val="00AC01D9"/>
    <w:rsid w:val="00AC0276"/>
    <w:rsid w:val="00AC0312"/>
    <w:rsid w:val="00AC0449"/>
    <w:rsid w:val="00AC0DC3"/>
    <w:rsid w:val="00AD035F"/>
    <w:rsid w:val="00AD2497"/>
    <w:rsid w:val="00AD5C04"/>
    <w:rsid w:val="00AD5EB4"/>
    <w:rsid w:val="00AD5EEC"/>
    <w:rsid w:val="00AD667B"/>
    <w:rsid w:val="00AE35FC"/>
    <w:rsid w:val="00AE63E2"/>
    <w:rsid w:val="00AE7976"/>
    <w:rsid w:val="00AF04C9"/>
    <w:rsid w:val="00AF19A2"/>
    <w:rsid w:val="00AF1DC4"/>
    <w:rsid w:val="00AF26B6"/>
    <w:rsid w:val="00AF2979"/>
    <w:rsid w:val="00AF3189"/>
    <w:rsid w:val="00AF342E"/>
    <w:rsid w:val="00AF553A"/>
    <w:rsid w:val="00AF5BF8"/>
    <w:rsid w:val="00AF65BF"/>
    <w:rsid w:val="00B0375C"/>
    <w:rsid w:val="00B03FF7"/>
    <w:rsid w:val="00B052CB"/>
    <w:rsid w:val="00B07A5C"/>
    <w:rsid w:val="00B10751"/>
    <w:rsid w:val="00B10E9B"/>
    <w:rsid w:val="00B12B97"/>
    <w:rsid w:val="00B12CD3"/>
    <w:rsid w:val="00B14129"/>
    <w:rsid w:val="00B156C3"/>
    <w:rsid w:val="00B15F67"/>
    <w:rsid w:val="00B1624F"/>
    <w:rsid w:val="00B20F5D"/>
    <w:rsid w:val="00B21184"/>
    <w:rsid w:val="00B224C5"/>
    <w:rsid w:val="00B24231"/>
    <w:rsid w:val="00B259F6"/>
    <w:rsid w:val="00B274B4"/>
    <w:rsid w:val="00B325CD"/>
    <w:rsid w:val="00B32A39"/>
    <w:rsid w:val="00B36C0F"/>
    <w:rsid w:val="00B37793"/>
    <w:rsid w:val="00B40574"/>
    <w:rsid w:val="00B40928"/>
    <w:rsid w:val="00B41203"/>
    <w:rsid w:val="00B4561E"/>
    <w:rsid w:val="00B4768D"/>
    <w:rsid w:val="00B518E5"/>
    <w:rsid w:val="00B51E1F"/>
    <w:rsid w:val="00B52601"/>
    <w:rsid w:val="00B55A4A"/>
    <w:rsid w:val="00B57032"/>
    <w:rsid w:val="00B60222"/>
    <w:rsid w:val="00B62CFB"/>
    <w:rsid w:val="00B64AE9"/>
    <w:rsid w:val="00B653CA"/>
    <w:rsid w:val="00B662F5"/>
    <w:rsid w:val="00B7000C"/>
    <w:rsid w:val="00B734C4"/>
    <w:rsid w:val="00B760D5"/>
    <w:rsid w:val="00B76A51"/>
    <w:rsid w:val="00B77495"/>
    <w:rsid w:val="00B81BC6"/>
    <w:rsid w:val="00B82ED8"/>
    <w:rsid w:val="00B83163"/>
    <w:rsid w:val="00B83B2C"/>
    <w:rsid w:val="00B85C77"/>
    <w:rsid w:val="00B85D76"/>
    <w:rsid w:val="00B92049"/>
    <w:rsid w:val="00B9307B"/>
    <w:rsid w:val="00B93F92"/>
    <w:rsid w:val="00B94740"/>
    <w:rsid w:val="00B94BFA"/>
    <w:rsid w:val="00B95002"/>
    <w:rsid w:val="00B955A7"/>
    <w:rsid w:val="00B97F75"/>
    <w:rsid w:val="00B97FAD"/>
    <w:rsid w:val="00BA0A4F"/>
    <w:rsid w:val="00BA1CAE"/>
    <w:rsid w:val="00BA33BB"/>
    <w:rsid w:val="00BA3674"/>
    <w:rsid w:val="00BA390B"/>
    <w:rsid w:val="00BA4830"/>
    <w:rsid w:val="00BA53F2"/>
    <w:rsid w:val="00BA68FC"/>
    <w:rsid w:val="00BA6E22"/>
    <w:rsid w:val="00BB1460"/>
    <w:rsid w:val="00BB3049"/>
    <w:rsid w:val="00BB3602"/>
    <w:rsid w:val="00BB362C"/>
    <w:rsid w:val="00BB5942"/>
    <w:rsid w:val="00BB5E17"/>
    <w:rsid w:val="00BC0A03"/>
    <w:rsid w:val="00BC2124"/>
    <w:rsid w:val="00BC36D2"/>
    <w:rsid w:val="00BC4A42"/>
    <w:rsid w:val="00BC5BB4"/>
    <w:rsid w:val="00BC7C73"/>
    <w:rsid w:val="00BD4139"/>
    <w:rsid w:val="00BE059A"/>
    <w:rsid w:val="00BE1981"/>
    <w:rsid w:val="00BE2DA6"/>
    <w:rsid w:val="00BE2E86"/>
    <w:rsid w:val="00BE320B"/>
    <w:rsid w:val="00BE56E9"/>
    <w:rsid w:val="00BE63CF"/>
    <w:rsid w:val="00BE6577"/>
    <w:rsid w:val="00BE7014"/>
    <w:rsid w:val="00BE7991"/>
    <w:rsid w:val="00BF0602"/>
    <w:rsid w:val="00BF25C7"/>
    <w:rsid w:val="00BF6C9B"/>
    <w:rsid w:val="00BF72EC"/>
    <w:rsid w:val="00C009B7"/>
    <w:rsid w:val="00C01AFB"/>
    <w:rsid w:val="00C02B8F"/>
    <w:rsid w:val="00C04E32"/>
    <w:rsid w:val="00C05EAF"/>
    <w:rsid w:val="00C10703"/>
    <w:rsid w:val="00C116B1"/>
    <w:rsid w:val="00C1461F"/>
    <w:rsid w:val="00C157B2"/>
    <w:rsid w:val="00C15A3F"/>
    <w:rsid w:val="00C1773E"/>
    <w:rsid w:val="00C20630"/>
    <w:rsid w:val="00C224A4"/>
    <w:rsid w:val="00C22F7A"/>
    <w:rsid w:val="00C2429A"/>
    <w:rsid w:val="00C25789"/>
    <w:rsid w:val="00C2666F"/>
    <w:rsid w:val="00C27CEB"/>
    <w:rsid w:val="00C32020"/>
    <w:rsid w:val="00C32220"/>
    <w:rsid w:val="00C32D02"/>
    <w:rsid w:val="00C3408C"/>
    <w:rsid w:val="00C3484D"/>
    <w:rsid w:val="00C351CC"/>
    <w:rsid w:val="00C35435"/>
    <w:rsid w:val="00C42BDF"/>
    <w:rsid w:val="00C42D43"/>
    <w:rsid w:val="00C432FD"/>
    <w:rsid w:val="00C433E4"/>
    <w:rsid w:val="00C43CDF"/>
    <w:rsid w:val="00C43FEE"/>
    <w:rsid w:val="00C4608E"/>
    <w:rsid w:val="00C512B2"/>
    <w:rsid w:val="00C514A7"/>
    <w:rsid w:val="00C53A9E"/>
    <w:rsid w:val="00C53B5D"/>
    <w:rsid w:val="00C55CF7"/>
    <w:rsid w:val="00C571FB"/>
    <w:rsid w:val="00C57381"/>
    <w:rsid w:val="00C60EF7"/>
    <w:rsid w:val="00C61D56"/>
    <w:rsid w:val="00C62B69"/>
    <w:rsid w:val="00C644B7"/>
    <w:rsid w:val="00C64564"/>
    <w:rsid w:val="00C66D6F"/>
    <w:rsid w:val="00C71377"/>
    <w:rsid w:val="00C71DC2"/>
    <w:rsid w:val="00C73C87"/>
    <w:rsid w:val="00C74B6F"/>
    <w:rsid w:val="00C849FC"/>
    <w:rsid w:val="00C85F82"/>
    <w:rsid w:val="00C87EF3"/>
    <w:rsid w:val="00C9015F"/>
    <w:rsid w:val="00C912F9"/>
    <w:rsid w:val="00C91B22"/>
    <w:rsid w:val="00C9241B"/>
    <w:rsid w:val="00C9370B"/>
    <w:rsid w:val="00C94C4F"/>
    <w:rsid w:val="00C96DDF"/>
    <w:rsid w:val="00C97569"/>
    <w:rsid w:val="00C97D1B"/>
    <w:rsid w:val="00CA199D"/>
    <w:rsid w:val="00CA4D9C"/>
    <w:rsid w:val="00CA6B62"/>
    <w:rsid w:val="00CB05A7"/>
    <w:rsid w:val="00CB06A4"/>
    <w:rsid w:val="00CB325B"/>
    <w:rsid w:val="00CB3EFF"/>
    <w:rsid w:val="00CB40B3"/>
    <w:rsid w:val="00CB40B4"/>
    <w:rsid w:val="00CB64FF"/>
    <w:rsid w:val="00CB7078"/>
    <w:rsid w:val="00CB711D"/>
    <w:rsid w:val="00CB783F"/>
    <w:rsid w:val="00CB7902"/>
    <w:rsid w:val="00CC014B"/>
    <w:rsid w:val="00CC0E81"/>
    <w:rsid w:val="00CC21D8"/>
    <w:rsid w:val="00CC3369"/>
    <w:rsid w:val="00CC5343"/>
    <w:rsid w:val="00CC59D7"/>
    <w:rsid w:val="00CC6338"/>
    <w:rsid w:val="00CC78DE"/>
    <w:rsid w:val="00CD04D9"/>
    <w:rsid w:val="00CD0F93"/>
    <w:rsid w:val="00CD51EC"/>
    <w:rsid w:val="00CD6D6E"/>
    <w:rsid w:val="00CD6DF9"/>
    <w:rsid w:val="00CD6F23"/>
    <w:rsid w:val="00CE2EBF"/>
    <w:rsid w:val="00CE46D4"/>
    <w:rsid w:val="00CE51BF"/>
    <w:rsid w:val="00CF0D2D"/>
    <w:rsid w:val="00CF603A"/>
    <w:rsid w:val="00CF640B"/>
    <w:rsid w:val="00CF689F"/>
    <w:rsid w:val="00CF6B5A"/>
    <w:rsid w:val="00D01D22"/>
    <w:rsid w:val="00D0227F"/>
    <w:rsid w:val="00D027AF"/>
    <w:rsid w:val="00D02945"/>
    <w:rsid w:val="00D0323E"/>
    <w:rsid w:val="00D06652"/>
    <w:rsid w:val="00D07FA6"/>
    <w:rsid w:val="00D1283D"/>
    <w:rsid w:val="00D12DDC"/>
    <w:rsid w:val="00D14067"/>
    <w:rsid w:val="00D16ADF"/>
    <w:rsid w:val="00D1797D"/>
    <w:rsid w:val="00D17C53"/>
    <w:rsid w:val="00D17D57"/>
    <w:rsid w:val="00D21999"/>
    <w:rsid w:val="00D2341D"/>
    <w:rsid w:val="00D252DA"/>
    <w:rsid w:val="00D25E0E"/>
    <w:rsid w:val="00D302EB"/>
    <w:rsid w:val="00D31679"/>
    <w:rsid w:val="00D3203D"/>
    <w:rsid w:val="00D320C8"/>
    <w:rsid w:val="00D330B6"/>
    <w:rsid w:val="00D334CA"/>
    <w:rsid w:val="00D3672F"/>
    <w:rsid w:val="00D37BBA"/>
    <w:rsid w:val="00D40ABA"/>
    <w:rsid w:val="00D40FE2"/>
    <w:rsid w:val="00D440FA"/>
    <w:rsid w:val="00D44BCF"/>
    <w:rsid w:val="00D46E73"/>
    <w:rsid w:val="00D5548D"/>
    <w:rsid w:val="00D56572"/>
    <w:rsid w:val="00D60267"/>
    <w:rsid w:val="00D60F81"/>
    <w:rsid w:val="00D63951"/>
    <w:rsid w:val="00D63BF2"/>
    <w:rsid w:val="00D67348"/>
    <w:rsid w:val="00D70A26"/>
    <w:rsid w:val="00D7273F"/>
    <w:rsid w:val="00D73BB4"/>
    <w:rsid w:val="00D75C4A"/>
    <w:rsid w:val="00D75FEC"/>
    <w:rsid w:val="00D76B98"/>
    <w:rsid w:val="00D77E66"/>
    <w:rsid w:val="00D8078E"/>
    <w:rsid w:val="00D80EAB"/>
    <w:rsid w:val="00D82E63"/>
    <w:rsid w:val="00D835A0"/>
    <w:rsid w:val="00D86905"/>
    <w:rsid w:val="00D86F2C"/>
    <w:rsid w:val="00D94301"/>
    <w:rsid w:val="00D96248"/>
    <w:rsid w:val="00DA0680"/>
    <w:rsid w:val="00DA2B88"/>
    <w:rsid w:val="00DA31F6"/>
    <w:rsid w:val="00DA36F6"/>
    <w:rsid w:val="00DA3953"/>
    <w:rsid w:val="00DA48F0"/>
    <w:rsid w:val="00DB0B80"/>
    <w:rsid w:val="00DB0C8D"/>
    <w:rsid w:val="00DB2B4D"/>
    <w:rsid w:val="00DB5B92"/>
    <w:rsid w:val="00DB6AF2"/>
    <w:rsid w:val="00DB7E97"/>
    <w:rsid w:val="00DC03EB"/>
    <w:rsid w:val="00DC1599"/>
    <w:rsid w:val="00DC1611"/>
    <w:rsid w:val="00DC1DEB"/>
    <w:rsid w:val="00DC2AAA"/>
    <w:rsid w:val="00DC3E85"/>
    <w:rsid w:val="00DD0822"/>
    <w:rsid w:val="00DD3C53"/>
    <w:rsid w:val="00DD4B05"/>
    <w:rsid w:val="00DD5650"/>
    <w:rsid w:val="00DD6B73"/>
    <w:rsid w:val="00DE3483"/>
    <w:rsid w:val="00DE4017"/>
    <w:rsid w:val="00DE6BD6"/>
    <w:rsid w:val="00DE745D"/>
    <w:rsid w:val="00DE762E"/>
    <w:rsid w:val="00DE7869"/>
    <w:rsid w:val="00DF04D3"/>
    <w:rsid w:val="00DF0774"/>
    <w:rsid w:val="00DF1036"/>
    <w:rsid w:val="00DF1A6A"/>
    <w:rsid w:val="00DF4644"/>
    <w:rsid w:val="00DF68F6"/>
    <w:rsid w:val="00DF7A83"/>
    <w:rsid w:val="00E012B4"/>
    <w:rsid w:val="00E05451"/>
    <w:rsid w:val="00E05651"/>
    <w:rsid w:val="00E100F6"/>
    <w:rsid w:val="00E11BA5"/>
    <w:rsid w:val="00E153E3"/>
    <w:rsid w:val="00E15FF8"/>
    <w:rsid w:val="00E16ACC"/>
    <w:rsid w:val="00E17CBD"/>
    <w:rsid w:val="00E20425"/>
    <w:rsid w:val="00E21768"/>
    <w:rsid w:val="00E22D8D"/>
    <w:rsid w:val="00E23377"/>
    <w:rsid w:val="00E25DCB"/>
    <w:rsid w:val="00E2613B"/>
    <w:rsid w:val="00E26397"/>
    <w:rsid w:val="00E313DF"/>
    <w:rsid w:val="00E330E0"/>
    <w:rsid w:val="00E3483A"/>
    <w:rsid w:val="00E36C70"/>
    <w:rsid w:val="00E4156E"/>
    <w:rsid w:val="00E42BDA"/>
    <w:rsid w:val="00E44785"/>
    <w:rsid w:val="00E44AE6"/>
    <w:rsid w:val="00E44D61"/>
    <w:rsid w:val="00E45114"/>
    <w:rsid w:val="00E453F2"/>
    <w:rsid w:val="00E45F07"/>
    <w:rsid w:val="00E460AD"/>
    <w:rsid w:val="00E51211"/>
    <w:rsid w:val="00E5535A"/>
    <w:rsid w:val="00E61925"/>
    <w:rsid w:val="00E61A24"/>
    <w:rsid w:val="00E62DFD"/>
    <w:rsid w:val="00E6363B"/>
    <w:rsid w:val="00E65C0E"/>
    <w:rsid w:val="00E65FB9"/>
    <w:rsid w:val="00E6629F"/>
    <w:rsid w:val="00E671AF"/>
    <w:rsid w:val="00E67F6F"/>
    <w:rsid w:val="00E730FC"/>
    <w:rsid w:val="00E73DD6"/>
    <w:rsid w:val="00E746F0"/>
    <w:rsid w:val="00E809B9"/>
    <w:rsid w:val="00E82A15"/>
    <w:rsid w:val="00E83EB1"/>
    <w:rsid w:val="00E85445"/>
    <w:rsid w:val="00E86289"/>
    <w:rsid w:val="00E87589"/>
    <w:rsid w:val="00E90EEC"/>
    <w:rsid w:val="00E938FF"/>
    <w:rsid w:val="00E93DFE"/>
    <w:rsid w:val="00E94C2F"/>
    <w:rsid w:val="00E957C0"/>
    <w:rsid w:val="00EA03F1"/>
    <w:rsid w:val="00EA088D"/>
    <w:rsid w:val="00EA2124"/>
    <w:rsid w:val="00EA2B12"/>
    <w:rsid w:val="00EA34DC"/>
    <w:rsid w:val="00EA456C"/>
    <w:rsid w:val="00EA5017"/>
    <w:rsid w:val="00EA53D4"/>
    <w:rsid w:val="00EA60FA"/>
    <w:rsid w:val="00EA6BED"/>
    <w:rsid w:val="00EB14F0"/>
    <w:rsid w:val="00EB3844"/>
    <w:rsid w:val="00EB5A9F"/>
    <w:rsid w:val="00EC1DC9"/>
    <w:rsid w:val="00EC2F2D"/>
    <w:rsid w:val="00EC573F"/>
    <w:rsid w:val="00EC5C8D"/>
    <w:rsid w:val="00EC74A5"/>
    <w:rsid w:val="00EC777E"/>
    <w:rsid w:val="00EC78AC"/>
    <w:rsid w:val="00ED106C"/>
    <w:rsid w:val="00ED2D34"/>
    <w:rsid w:val="00ED4805"/>
    <w:rsid w:val="00ED4A5C"/>
    <w:rsid w:val="00ED57F6"/>
    <w:rsid w:val="00ED6C51"/>
    <w:rsid w:val="00ED6DA1"/>
    <w:rsid w:val="00ED7BE2"/>
    <w:rsid w:val="00EE1E09"/>
    <w:rsid w:val="00EE4127"/>
    <w:rsid w:val="00EF0AF8"/>
    <w:rsid w:val="00EF207D"/>
    <w:rsid w:val="00EF4258"/>
    <w:rsid w:val="00EF573B"/>
    <w:rsid w:val="00EF6D31"/>
    <w:rsid w:val="00EF7BF5"/>
    <w:rsid w:val="00EF7D6A"/>
    <w:rsid w:val="00F0149A"/>
    <w:rsid w:val="00F01EE7"/>
    <w:rsid w:val="00F02237"/>
    <w:rsid w:val="00F03D68"/>
    <w:rsid w:val="00F046F1"/>
    <w:rsid w:val="00F0552A"/>
    <w:rsid w:val="00F072E2"/>
    <w:rsid w:val="00F0753A"/>
    <w:rsid w:val="00F079A6"/>
    <w:rsid w:val="00F079ED"/>
    <w:rsid w:val="00F10236"/>
    <w:rsid w:val="00F13AAC"/>
    <w:rsid w:val="00F15811"/>
    <w:rsid w:val="00F1666F"/>
    <w:rsid w:val="00F22423"/>
    <w:rsid w:val="00F24C72"/>
    <w:rsid w:val="00F26C26"/>
    <w:rsid w:val="00F30267"/>
    <w:rsid w:val="00F31047"/>
    <w:rsid w:val="00F31D22"/>
    <w:rsid w:val="00F32228"/>
    <w:rsid w:val="00F348B2"/>
    <w:rsid w:val="00F34BF0"/>
    <w:rsid w:val="00F34ED8"/>
    <w:rsid w:val="00F4095A"/>
    <w:rsid w:val="00F4199D"/>
    <w:rsid w:val="00F434CA"/>
    <w:rsid w:val="00F450D7"/>
    <w:rsid w:val="00F452CC"/>
    <w:rsid w:val="00F45845"/>
    <w:rsid w:val="00F50189"/>
    <w:rsid w:val="00F5080E"/>
    <w:rsid w:val="00F508FC"/>
    <w:rsid w:val="00F510B7"/>
    <w:rsid w:val="00F53571"/>
    <w:rsid w:val="00F54044"/>
    <w:rsid w:val="00F5444F"/>
    <w:rsid w:val="00F546C6"/>
    <w:rsid w:val="00F55938"/>
    <w:rsid w:val="00F55AE5"/>
    <w:rsid w:val="00F56323"/>
    <w:rsid w:val="00F5746D"/>
    <w:rsid w:val="00F576E7"/>
    <w:rsid w:val="00F57A24"/>
    <w:rsid w:val="00F661BB"/>
    <w:rsid w:val="00F66BA2"/>
    <w:rsid w:val="00F71094"/>
    <w:rsid w:val="00F73D1C"/>
    <w:rsid w:val="00F73D28"/>
    <w:rsid w:val="00F763FC"/>
    <w:rsid w:val="00F76B4A"/>
    <w:rsid w:val="00F772C1"/>
    <w:rsid w:val="00F77BA8"/>
    <w:rsid w:val="00F77D7A"/>
    <w:rsid w:val="00F8026D"/>
    <w:rsid w:val="00F81F4A"/>
    <w:rsid w:val="00F81FFF"/>
    <w:rsid w:val="00F8245F"/>
    <w:rsid w:val="00F82E40"/>
    <w:rsid w:val="00F84306"/>
    <w:rsid w:val="00F91629"/>
    <w:rsid w:val="00F916F4"/>
    <w:rsid w:val="00F91E2A"/>
    <w:rsid w:val="00F96C39"/>
    <w:rsid w:val="00F96E41"/>
    <w:rsid w:val="00FA153F"/>
    <w:rsid w:val="00FA1D78"/>
    <w:rsid w:val="00FA1F7E"/>
    <w:rsid w:val="00FA280F"/>
    <w:rsid w:val="00FA3C92"/>
    <w:rsid w:val="00FA408B"/>
    <w:rsid w:val="00FA5289"/>
    <w:rsid w:val="00FA6213"/>
    <w:rsid w:val="00FB032F"/>
    <w:rsid w:val="00FB2186"/>
    <w:rsid w:val="00FB7E03"/>
    <w:rsid w:val="00FC2C5D"/>
    <w:rsid w:val="00FC54DC"/>
    <w:rsid w:val="00FD0133"/>
    <w:rsid w:val="00FD25FE"/>
    <w:rsid w:val="00FD6206"/>
    <w:rsid w:val="00FE1318"/>
    <w:rsid w:val="00FE208F"/>
    <w:rsid w:val="00FE3C49"/>
    <w:rsid w:val="00FE54CD"/>
    <w:rsid w:val="00FE5DF9"/>
    <w:rsid w:val="00FE6DEB"/>
    <w:rsid w:val="00FE6DF6"/>
    <w:rsid w:val="00FF03AB"/>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285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link w:val="citationCar"/>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 Car, Car Car Car Car Car, Car Car Car Car, Car Car Car, Car Car Car Car Car Car Car Car Car,Car Car,Car Car Car,Car,Car Car Car Car Car,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 Car Car, Car Car Car Car Car Car, Car Car Car Car Car1, Car Car Car Car1, Car Car Car Car Car Car Car Car Car Car,Car Car Car1,Car Car Car Car,Car Car4"/>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uiPriority w:val="34"/>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locked/>
    <w:rsid w:val="00D12DDC"/>
    <w:rPr>
      <w:rFonts w:ascii="Arial" w:hAnsi="Arial"/>
      <w:sz w:val="24"/>
    </w:rPr>
  </w:style>
  <w:style w:type="character" w:customStyle="1" w:styleId="Mentionnonrsolue1">
    <w:name w:val="Mention non résolue1"/>
    <w:basedOn w:val="Policepardfaut"/>
    <w:uiPriority w:val="99"/>
    <w:semiHidden/>
    <w:unhideWhenUsed/>
    <w:rsid w:val="007F6BD6"/>
    <w:rPr>
      <w:color w:val="605E5C"/>
      <w:shd w:val="clear" w:color="auto" w:fill="E1DFDD"/>
    </w:rPr>
  </w:style>
  <w:style w:type="character" w:customStyle="1" w:styleId="citationCar">
    <w:name w:val="citation Car"/>
    <w:link w:val="citation"/>
    <w:locked/>
    <w:rsid w:val="009A4884"/>
    <w:rPr>
      <w:rFonts w:ascii="Arial" w:hAnsi="Arial"/>
    </w:rPr>
  </w:style>
  <w:style w:type="character" w:customStyle="1" w:styleId="solexhl">
    <w:name w:val="solexhl"/>
    <w:basedOn w:val="Policepardfaut"/>
    <w:rsid w:val="00D80EAB"/>
  </w:style>
  <w:style w:type="paragraph" w:styleId="Rvision">
    <w:name w:val="Revision"/>
    <w:hidden/>
    <w:uiPriority w:val="99"/>
    <w:semiHidden/>
    <w:rsid w:val="00902218"/>
    <w:rPr>
      <w:rFonts w:ascii="Arial" w:hAnsi="Arial"/>
      <w:sz w:val="24"/>
    </w:rPr>
  </w:style>
  <w:style w:type="character" w:styleId="Marquedecommentaire">
    <w:name w:val="annotation reference"/>
    <w:basedOn w:val="Policepardfaut"/>
    <w:rsid w:val="009B5EFF"/>
    <w:rPr>
      <w:sz w:val="16"/>
      <w:szCs w:val="16"/>
    </w:rPr>
  </w:style>
  <w:style w:type="paragraph" w:styleId="Commentaire">
    <w:name w:val="annotation text"/>
    <w:basedOn w:val="Normal"/>
    <w:link w:val="CommentaireCar"/>
    <w:rsid w:val="009B5EFF"/>
    <w:rPr>
      <w:sz w:val="20"/>
    </w:rPr>
  </w:style>
  <w:style w:type="character" w:customStyle="1" w:styleId="CommentaireCar">
    <w:name w:val="Commentaire Car"/>
    <w:basedOn w:val="Policepardfaut"/>
    <w:link w:val="Commentaire"/>
    <w:rsid w:val="009B5EFF"/>
    <w:rPr>
      <w:rFonts w:ascii="Arial" w:hAnsi="Arial"/>
    </w:rPr>
  </w:style>
  <w:style w:type="paragraph" w:styleId="Objetducommentaire">
    <w:name w:val="annotation subject"/>
    <w:basedOn w:val="Commentaire"/>
    <w:next w:val="Commentaire"/>
    <w:link w:val="ObjetducommentaireCar"/>
    <w:rsid w:val="009B5EFF"/>
    <w:rPr>
      <w:b/>
      <w:bCs/>
    </w:rPr>
  </w:style>
  <w:style w:type="character" w:customStyle="1" w:styleId="ObjetducommentaireCar">
    <w:name w:val="Objet du commentaire Car"/>
    <w:basedOn w:val="CommentaireCar"/>
    <w:link w:val="Objetducommentaire"/>
    <w:rsid w:val="009B5EFF"/>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565679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mc.ncbi.nlm.nih.gov/articles/PMC9852206/" TargetMode="External"/><Relationship Id="rId13" Type="http://schemas.openxmlformats.org/officeDocument/2006/relationships/hyperlink" Target="https://www.ncbi.nlm.nih.gov/books/NBK550157/pdf/Bookshelf_NBK550157.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eptox.cnesst.gouv.qc.ca/Pages/repertoire-toxicologique.aspx"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dhrrh.ro/wp-content/uploads/2023/10/DHRRH_2023_1_Art-04.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mc.ncbi.nlm.nih.gov/articles/PMC3461963/pdf/nihms283556.pdf" TargetMode="External"/><Relationship Id="rId5" Type="http://schemas.openxmlformats.org/officeDocument/2006/relationships/webSettings" Target="webSettings.xml"/><Relationship Id="rId15" Type="http://schemas.openxmlformats.org/officeDocument/2006/relationships/hyperlink" Target="https://pmc.ncbi.nlm.nih.gov/articles/PMC6741400/pdf/cureus-0011-00000005135.pdf" TargetMode="External"/><Relationship Id="rId10" Type="http://schemas.openxmlformats.org/officeDocument/2006/relationships/hyperlink" Target="https://pmc.ncbi.nlm.nih.gov/articles/PMC7918527/pdf/WJCO-12-69.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mc.ncbi.nlm.nih.gov/articles/PMC1568109/pdf/envhper00426-0276.pdf" TargetMode="External"/><Relationship Id="rId14" Type="http://schemas.openxmlformats.org/officeDocument/2006/relationships/hyperlink" Target="https://pmc.ncbi.nlm.nih.gov/articles/PMC5403225/"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pmc.ncbi.nlm.nih.gov/articles/PMC11081607/pdf/medi-103-e38110.pdf" TargetMode="External"/><Relationship Id="rId3" Type="http://schemas.openxmlformats.org/officeDocument/2006/relationships/hyperlink" Target="https://pmc.ncbi.nlm.nih.gov/articles/PMC7918527/pdf/WJCO-12-69.pdf" TargetMode="External"/><Relationship Id="rId7" Type="http://schemas.openxmlformats.org/officeDocument/2006/relationships/hyperlink" Target="https://pmc.ncbi.nlm.nih.gov/articles/PMC3925981/pdf/nihms-529553.pdf" TargetMode="External"/><Relationship Id="rId2" Type="http://schemas.openxmlformats.org/officeDocument/2006/relationships/hyperlink" Target="https://pmc.ncbi.nlm.nih.gov/articles/PMC9852206/" TargetMode="External"/><Relationship Id="rId1" Type="http://schemas.openxmlformats.org/officeDocument/2006/relationships/hyperlink" Target="https://www.ncbi.nlm.nih.gov/books/NBK550157/pdf/Bookshelf_NBK550157.pdf" TargetMode="External"/><Relationship Id="rId6" Type="http://schemas.openxmlformats.org/officeDocument/2006/relationships/hyperlink" Target="https://www.nature.com/articles/bcj201650" TargetMode="External"/><Relationship Id="rId11" Type="http://schemas.openxmlformats.org/officeDocument/2006/relationships/hyperlink" Target="https://pmc.ncbi.nlm.nih.gov/articles/PMC6681472/pdf/djy143.pdf" TargetMode="External"/><Relationship Id="rId5" Type="http://schemas.openxmlformats.org/officeDocument/2006/relationships/hyperlink" Target="https://www.dhrrh.ro/wp-content/uploads/2023/10/DHRRH_2023_1_Art-04.pdf" TargetMode="External"/><Relationship Id="rId10" Type="http://schemas.openxmlformats.org/officeDocument/2006/relationships/hyperlink" Target="https://www.inrs.fr/publications/bdd/fichetox.html" TargetMode="External"/><Relationship Id="rId4" Type="http://schemas.openxmlformats.org/officeDocument/2006/relationships/hyperlink" Target="https://www.cancer.gov/publications/dictionaries/cancer-terms/def/philadelphia-chromosome" TargetMode="External"/><Relationship Id="rId9" Type="http://schemas.openxmlformats.org/officeDocument/2006/relationships/hyperlink" Target="https://www.ncbi.nlm.nih.gov/books/NBK550157/pdf/Bookshelf_NBK550157.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21B142-634A-4EE5-894E-A86BF2CA9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16569</Words>
  <Characters>91130</Characters>
  <Application>Microsoft Office Word</Application>
  <DocSecurity>0</DocSecurity>
  <Lines>759</Lines>
  <Paragraphs>214</Paragraphs>
  <ScaleCrop>false</ScaleCrop>
  <Company/>
  <LinksUpToDate>false</LinksUpToDate>
  <CharactersWithSpaces>107485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2025-05-02T13:16:00Z</dcterms:created>
  <dcterms:modified xsi:type="dcterms:W3CDTF">2025-05-02T13:16:00Z</dcterms:modified>
</cp:coreProperties>
</file>