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6D7A2CC5" w14:textId="77777777">
        <w:trPr>
          <w:cantSplit/>
        </w:trPr>
        <w:tc>
          <w:tcPr>
            <w:tcW w:w="4795" w:type="dxa"/>
          </w:tcPr>
          <w:p w14:paraId="3F375F78" w14:textId="1C65CF7D" w:rsidR="008A7FD1" w:rsidRPr="00126FE9" w:rsidRDefault="00126FE9" w:rsidP="00126FE9">
            <w:pPr>
              <w:pStyle w:val="zSoquijdatRepertorie"/>
              <w:rPr>
                <w:rFonts w:cs="Arial"/>
              </w:rPr>
            </w:pPr>
            <w:bookmarkStart w:id="0" w:name="_GoBack"/>
            <w:bookmarkEnd w:id="0"/>
            <w:r>
              <w:rPr>
                <w:rFonts w:cs="Arial"/>
              </w:rPr>
              <w:t>Lessard et Académie Lafontaine inc.</w:t>
            </w:r>
          </w:p>
        </w:tc>
        <w:tc>
          <w:tcPr>
            <w:tcW w:w="2477" w:type="dxa"/>
          </w:tcPr>
          <w:p w14:paraId="4A5657FC" w14:textId="5E0AC3F1" w:rsidR="008A7FD1" w:rsidRPr="00BA4F89" w:rsidRDefault="00BA4F89" w:rsidP="00BA4F89">
            <w:pPr>
              <w:pStyle w:val="zSoquijdatRefNeutre"/>
              <w:rPr>
                <w:rFonts w:cs="Arial"/>
              </w:rPr>
            </w:pPr>
            <w:r w:rsidRPr="00BA4F89">
              <w:rPr>
                <w:rFonts w:cs="Arial"/>
              </w:rPr>
              <w:t>2025 QCTAT 864</w:t>
            </w:r>
          </w:p>
        </w:tc>
      </w:tr>
    </w:tbl>
    <w:p w14:paraId="031473B0"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417"/>
        <w:gridCol w:w="142"/>
        <w:gridCol w:w="4678"/>
      </w:tblGrid>
      <w:tr w:rsidR="00C74B6F" w14:paraId="1404FDFB" w14:textId="77777777" w:rsidTr="00036794">
        <w:trPr>
          <w:cantSplit/>
        </w:trPr>
        <w:tc>
          <w:tcPr>
            <w:tcW w:w="9568" w:type="dxa"/>
            <w:gridSpan w:val="4"/>
          </w:tcPr>
          <w:p w14:paraId="42A6CCA0" w14:textId="77777777" w:rsidR="00C74B6F" w:rsidRPr="00BE1981" w:rsidRDefault="00C74B6F">
            <w:pPr>
              <w:rPr>
                <w:szCs w:val="24"/>
              </w:rPr>
            </w:pPr>
          </w:p>
        </w:tc>
      </w:tr>
      <w:tr w:rsidR="00C74B6F" w14:paraId="200922A9" w14:textId="77777777" w:rsidTr="00036794">
        <w:trPr>
          <w:cantSplit/>
        </w:trPr>
        <w:tc>
          <w:tcPr>
            <w:tcW w:w="9568" w:type="dxa"/>
            <w:gridSpan w:val="4"/>
            <w:vAlign w:val="center"/>
          </w:tcPr>
          <w:p w14:paraId="1E904739" w14:textId="77777777" w:rsidR="00C74B6F" w:rsidRPr="000E1320" w:rsidRDefault="000E1320">
            <w:pPr>
              <w:jc w:val="center"/>
              <w:rPr>
                <w:sz w:val="36"/>
                <w:szCs w:val="36"/>
              </w:rPr>
            </w:pPr>
            <w:r w:rsidRPr="000E1320">
              <w:rPr>
                <w:b/>
                <w:sz w:val="36"/>
                <w:szCs w:val="36"/>
              </w:rPr>
              <w:t>TRIBUNAL ADMINISTRATIF DU TRAVAIL</w:t>
            </w:r>
          </w:p>
        </w:tc>
      </w:tr>
      <w:tr w:rsidR="00C74B6F" w14:paraId="634A189A" w14:textId="77777777" w:rsidTr="00036794">
        <w:trPr>
          <w:cantSplit/>
        </w:trPr>
        <w:tc>
          <w:tcPr>
            <w:tcW w:w="9568" w:type="dxa"/>
            <w:gridSpan w:val="4"/>
          </w:tcPr>
          <w:p w14:paraId="198375C7" w14:textId="02F428A1" w:rsidR="00C74B6F" w:rsidRPr="00BE7014" w:rsidRDefault="006F0154" w:rsidP="009A67E7">
            <w:pPr>
              <w:pStyle w:val="zSoquijdatDivision"/>
            </w:pPr>
            <w:r w:rsidRPr="00BE7014">
              <w:t>(</w:t>
            </w:r>
            <w:r w:rsidR="00F81579" w:rsidRPr="00441ADA">
              <w:t>Division de la santé et de la sécurité du travail</w:t>
            </w:r>
            <w:r w:rsidRPr="00BE7014">
              <w:t>)</w:t>
            </w:r>
          </w:p>
        </w:tc>
      </w:tr>
      <w:tr w:rsidR="00C74B6F" w14:paraId="5D64C087" w14:textId="77777777" w:rsidTr="00036794">
        <w:trPr>
          <w:cantSplit/>
        </w:trPr>
        <w:tc>
          <w:tcPr>
            <w:tcW w:w="9568" w:type="dxa"/>
            <w:gridSpan w:val="4"/>
          </w:tcPr>
          <w:p w14:paraId="2C9EA676" w14:textId="77777777" w:rsidR="002B2FC3" w:rsidRDefault="002B2FC3" w:rsidP="002B2FC3"/>
        </w:tc>
      </w:tr>
      <w:tr w:rsidR="00A84FC6" w14:paraId="5525525A" w14:textId="77777777" w:rsidTr="00036794">
        <w:trPr>
          <w:cantSplit/>
        </w:trPr>
        <w:tc>
          <w:tcPr>
            <w:tcW w:w="9568" w:type="dxa"/>
            <w:gridSpan w:val="4"/>
          </w:tcPr>
          <w:p w14:paraId="7D3AD5B4" w14:textId="77777777" w:rsidR="00A84FC6" w:rsidRDefault="00A84FC6" w:rsidP="002B2FC3"/>
        </w:tc>
      </w:tr>
      <w:tr w:rsidR="00C74B6F" w14:paraId="7D72B427" w14:textId="77777777" w:rsidTr="00036794">
        <w:tc>
          <w:tcPr>
            <w:tcW w:w="3331" w:type="dxa"/>
          </w:tcPr>
          <w:p w14:paraId="13D51932" w14:textId="77777777" w:rsidR="00C74B6F" w:rsidRDefault="0084255F">
            <w:bookmarkStart w:id="1" w:name="region" w:colFirst="1" w:colLast="1"/>
            <w:r>
              <w:t>Région :</w:t>
            </w:r>
          </w:p>
        </w:tc>
        <w:tc>
          <w:tcPr>
            <w:tcW w:w="6237" w:type="dxa"/>
            <w:gridSpan w:val="3"/>
          </w:tcPr>
          <w:p w14:paraId="7134461D" w14:textId="5A762086" w:rsidR="00C74B6F" w:rsidRDefault="00F81579" w:rsidP="00F4095A">
            <w:pPr>
              <w:pStyle w:val="zSoquijdatGreffe"/>
            </w:pPr>
            <w:r>
              <w:t>Lanaudière</w:t>
            </w:r>
          </w:p>
        </w:tc>
      </w:tr>
      <w:bookmarkEnd w:id="1"/>
      <w:tr w:rsidR="00C74B6F" w14:paraId="357B6B55" w14:textId="77777777" w:rsidTr="00036794">
        <w:trPr>
          <w:cantSplit/>
        </w:trPr>
        <w:tc>
          <w:tcPr>
            <w:tcW w:w="9568" w:type="dxa"/>
            <w:gridSpan w:val="4"/>
          </w:tcPr>
          <w:p w14:paraId="3476327B" w14:textId="77777777" w:rsidR="00C74B6F" w:rsidRDefault="00C74B6F"/>
        </w:tc>
      </w:tr>
      <w:tr w:rsidR="00C74B6F" w14:paraId="42E314C0" w14:textId="77777777" w:rsidTr="00036794">
        <w:tc>
          <w:tcPr>
            <w:tcW w:w="3331" w:type="dxa"/>
          </w:tcPr>
          <w:p w14:paraId="5AD15CC4" w14:textId="00CA9C9C" w:rsidR="00C74B6F" w:rsidRDefault="0084255F">
            <w:bookmarkStart w:id="2" w:name="ref_dossier" w:colFirst="1" w:colLast="1"/>
            <w:r>
              <w:t>Dossier</w:t>
            </w:r>
            <w:bookmarkStart w:id="3" w:name="dossiers"/>
            <w:bookmarkEnd w:id="3"/>
            <w:r>
              <w:t> :</w:t>
            </w:r>
          </w:p>
        </w:tc>
        <w:tc>
          <w:tcPr>
            <w:tcW w:w="6237" w:type="dxa"/>
            <w:gridSpan w:val="3"/>
          </w:tcPr>
          <w:p w14:paraId="2CE0B095" w14:textId="7885E7BF" w:rsidR="00C74B6F" w:rsidRDefault="00F81579" w:rsidP="00F4095A">
            <w:pPr>
              <w:pStyle w:val="zSoquijdatNoDossier"/>
            </w:pPr>
            <w:r>
              <w:t>1323507-63-2305</w:t>
            </w:r>
          </w:p>
        </w:tc>
      </w:tr>
      <w:bookmarkEnd w:id="2"/>
      <w:tr w:rsidR="00C74B6F" w14:paraId="3F7A4C0B" w14:textId="77777777" w:rsidTr="00036794">
        <w:trPr>
          <w:cantSplit/>
        </w:trPr>
        <w:tc>
          <w:tcPr>
            <w:tcW w:w="9568" w:type="dxa"/>
            <w:gridSpan w:val="4"/>
          </w:tcPr>
          <w:p w14:paraId="1C9FF4AD" w14:textId="77777777" w:rsidR="00C74B6F" w:rsidRDefault="00D44BCF">
            <w:r>
              <w:fldChar w:fldCharType="begin"/>
            </w:r>
            <w:r>
              <w:instrText xml:space="preserve"> AUTOTEXTLIST  \* Upper  \* MERGEFORMAT </w:instrText>
            </w:r>
            <w:r>
              <w:fldChar w:fldCharType="end"/>
            </w:r>
          </w:p>
        </w:tc>
      </w:tr>
      <w:tr w:rsidR="00C74B6F" w14:paraId="210EAE1C" w14:textId="77777777" w:rsidTr="00036794">
        <w:tc>
          <w:tcPr>
            <w:tcW w:w="3331" w:type="dxa"/>
          </w:tcPr>
          <w:p w14:paraId="51C40881" w14:textId="489C2B73" w:rsidR="00C74B6F" w:rsidRDefault="008C79A7" w:rsidP="0045114F">
            <w:pPr>
              <w:ind w:right="46"/>
            </w:pPr>
            <w:r>
              <w:t>Dossier</w:t>
            </w:r>
            <w:r w:rsidR="00F81579">
              <w:t xml:space="preserve"> CNESST</w:t>
            </w:r>
            <w:r w:rsidRPr="008C79A7">
              <w:rPr>
                <w:szCs w:val="24"/>
              </w:rPr>
              <w:t xml:space="preserve"> :</w:t>
            </w:r>
          </w:p>
        </w:tc>
        <w:tc>
          <w:tcPr>
            <w:tcW w:w="6237" w:type="dxa"/>
            <w:gridSpan w:val="3"/>
          </w:tcPr>
          <w:p w14:paraId="688713C7" w14:textId="0D7562D0" w:rsidR="00C74B6F" w:rsidRDefault="00F81579" w:rsidP="004D6CEA">
            <w:pPr>
              <w:pStyle w:val="zSoquijdatNCSST"/>
            </w:pPr>
            <w:r>
              <w:t>513449926</w:t>
            </w:r>
          </w:p>
        </w:tc>
      </w:tr>
      <w:tr w:rsidR="00C74B6F" w14:paraId="10491536" w14:textId="77777777" w:rsidTr="00036794">
        <w:trPr>
          <w:cantSplit/>
        </w:trPr>
        <w:tc>
          <w:tcPr>
            <w:tcW w:w="9568" w:type="dxa"/>
            <w:gridSpan w:val="4"/>
          </w:tcPr>
          <w:p w14:paraId="4B3A2277" w14:textId="77777777" w:rsidR="00C74B6F" w:rsidRDefault="00C74B6F"/>
        </w:tc>
      </w:tr>
      <w:tr w:rsidR="00C74B6F" w14:paraId="2B3E87D5" w14:textId="77777777" w:rsidTr="00036794">
        <w:trPr>
          <w:cantSplit/>
        </w:trPr>
        <w:tc>
          <w:tcPr>
            <w:tcW w:w="9568" w:type="dxa"/>
            <w:gridSpan w:val="4"/>
          </w:tcPr>
          <w:p w14:paraId="685BF7CE" w14:textId="77777777" w:rsidR="00C74B6F" w:rsidRDefault="00C74B6F"/>
        </w:tc>
      </w:tr>
      <w:tr w:rsidR="006E3DD8" w14:paraId="638BEC85" w14:textId="77777777" w:rsidTr="00036794">
        <w:trPr>
          <w:cantSplit/>
        </w:trPr>
        <w:tc>
          <w:tcPr>
            <w:tcW w:w="3331" w:type="dxa"/>
          </w:tcPr>
          <w:p w14:paraId="18EDC2BC" w14:textId="577ED8BE" w:rsidR="006E3DD8" w:rsidRDefault="00F81579" w:rsidP="0076350E">
            <w:pPr>
              <w:ind w:right="-70"/>
            </w:pPr>
            <w:r>
              <w:t>Joliette</w:t>
            </w:r>
            <w:r w:rsidR="00C04E32">
              <w:t>,</w:t>
            </w:r>
          </w:p>
        </w:tc>
        <w:tc>
          <w:tcPr>
            <w:tcW w:w="6237" w:type="dxa"/>
            <w:gridSpan w:val="3"/>
          </w:tcPr>
          <w:p w14:paraId="74545D4B" w14:textId="5E224067" w:rsidR="006E3DD8" w:rsidRDefault="00C04E32" w:rsidP="005B5689">
            <w:pPr>
              <w:pStyle w:val="zSoquijdatDateJugement"/>
            </w:pPr>
            <w:r>
              <w:t xml:space="preserve">le </w:t>
            </w:r>
            <w:r w:rsidR="00E22168">
              <w:t>2</w:t>
            </w:r>
            <w:r w:rsidR="00557745">
              <w:t>6</w:t>
            </w:r>
            <w:r w:rsidR="00E22168">
              <w:t> février 2025</w:t>
            </w:r>
          </w:p>
        </w:tc>
      </w:tr>
      <w:tr w:rsidR="00942AB8" w14:paraId="632D45DE" w14:textId="77777777" w:rsidTr="00036794">
        <w:trPr>
          <w:cantSplit/>
        </w:trPr>
        <w:tc>
          <w:tcPr>
            <w:tcW w:w="9568" w:type="dxa"/>
            <w:gridSpan w:val="4"/>
          </w:tcPr>
          <w:p w14:paraId="09FDA846" w14:textId="77777777" w:rsidR="00942AB8" w:rsidRDefault="00942AB8" w:rsidP="00FA153F">
            <w:r>
              <w:t>______________________________________________________________________</w:t>
            </w:r>
          </w:p>
        </w:tc>
      </w:tr>
      <w:tr w:rsidR="00942AB8" w14:paraId="1A07121E" w14:textId="77777777" w:rsidTr="00036794">
        <w:trPr>
          <w:cantSplit/>
          <w:trHeight w:val="148"/>
        </w:trPr>
        <w:tc>
          <w:tcPr>
            <w:tcW w:w="9568" w:type="dxa"/>
            <w:gridSpan w:val="4"/>
          </w:tcPr>
          <w:p w14:paraId="5ADE3794" w14:textId="77777777" w:rsidR="00942AB8" w:rsidRDefault="00942AB8" w:rsidP="00FA153F"/>
        </w:tc>
      </w:tr>
      <w:tr w:rsidR="0035375B" w14:paraId="66CF3A99" w14:textId="77777777" w:rsidTr="00F81579">
        <w:trPr>
          <w:cantSplit/>
          <w:trHeight w:val="148"/>
        </w:trPr>
        <w:tc>
          <w:tcPr>
            <w:tcW w:w="4748" w:type="dxa"/>
            <w:gridSpan w:val="2"/>
          </w:tcPr>
          <w:p w14:paraId="1C4ECB36" w14:textId="35AD103E" w:rsidR="0035375B" w:rsidRPr="00942AB8" w:rsidRDefault="0035375B">
            <w:pPr>
              <w:rPr>
                <w:b/>
                <w:bCs/>
              </w:rPr>
            </w:pPr>
            <w:bookmarkStart w:id="4" w:name="ref_commissaire" w:colFirst="1" w:colLast="1"/>
            <w:r w:rsidRPr="00942AB8">
              <w:rPr>
                <w:b/>
                <w:bCs/>
              </w:rPr>
              <w:t>DEVANT L</w:t>
            </w:r>
            <w:r w:rsidR="00F81579">
              <w:rPr>
                <w:b/>
                <w:bCs/>
              </w:rPr>
              <w:t>E</w:t>
            </w:r>
            <w:r w:rsidRPr="00942AB8">
              <w:rPr>
                <w:b/>
                <w:bCs/>
              </w:rPr>
              <w:t xml:space="preserve"> JUGE ADMINISTRATI</w:t>
            </w:r>
            <w:r w:rsidR="00F81579">
              <w:rPr>
                <w:b/>
                <w:bCs/>
              </w:rPr>
              <w:t>F</w:t>
            </w:r>
            <w:r w:rsidRPr="00942AB8">
              <w:rPr>
                <w:b/>
                <w:bCs/>
              </w:rPr>
              <w:t> :</w:t>
            </w:r>
          </w:p>
        </w:tc>
        <w:tc>
          <w:tcPr>
            <w:tcW w:w="4820" w:type="dxa"/>
            <w:gridSpan w:val="2"/>
          </w:tcPr>
          <w:p w14:paraId="15D6A6F1" w14:textId="37580542" w:rsidR="0035375B" w:rsidRPr="00942AB8" w:rsidRDefault="00F81579" w:rsidP="005B5689">
            <w:pPr>
              <w:pStyle w:val="zSoquijdatJuge"/>
              <w:rPr>
                <w:bCs/>
              </w:rPr>
            </w:pPr>
            <w:r>
              <w:t xml:space="preserve">Louis-Charles Dufour-Grégoire, j.a.t.a.t. </w:t>
            </w:r>
          </w:p>
        </w:tc>
      </w:tr>
      <w:bookmarkEnd w:id="4"/>
      <w:tr w:rsidR="00942AB8" w14:paraId="46CD4C22" w14:textId="77777777" w:rsidTr="00036794">
        <w:trPr>
          <w:cantSplit/>
          <w:trHeight w:val="148"/>
        </w:trPr>
        <w:tc>
          <w:tcPr>
            <w:tcW w:w="9568" w:type="dxa"/>
            <w:gridSpan w:val="4"/>
          </w:tcPr>
          <w:p w14:paraId="3707F1A0" w14:textId="77777777" w:rsidR="00942AB8" w:rsidRDefault="00942AB8" w:rsidP="00FA153F">
            <w:r>
              <w:t>______________________________________________________________________</w:t>
            </w:r>
          </w:p>
        </w:tc>
      </w:tr>
      <w:tr w:rsidR="00942AB8" w14:paraId="787E0C33" w14:textId="77777777" w:rsidTr="00036794">
        <w:tc>
          <w:tcPr>
            <w:tcW w:w="9568" w:type="dxa"/>
            <w:gridSpan w:val="4"/>
          </w:tcPr>
          <w:p w14:paraId="4CEE995B" w14:textId="77777777" w:rsidR="00942AB8" w:rsidRDefault="00942AB8"/>
        </w:tc>
      </w:tr>
      <w:tr w:rsidR="00942AB8" w14:paraId="3C8F356D" w14:textId="77777777" w:rsidTr="00E21768">
        <w:tc>
          <w:tcPr>
            <w:tcW w:w="4890" w:type="dxa"/>
            <w:gridSpan w:val="3"/>
          </w:tcPr>
          <w:p w14:paraId="16A7000F" w14:textId="77777777" w:rsidR="00942AB8" w:rsidRDefault="00942AB8">
            <w:bookmarkStart w:id="5" w:name="bloc_parties_gauche"/>
            <w:bookmarkEnd w:id="5"/>
          </w:p>
        </w:tc>
        <w:tc>
          <w:tcPr>
            <w:tcW w:w="4678" w:type="dxa"/>
          </w:tcPr>
          <w:p w14:paraId="1FB9F8EC" w14:textId="77777777" w:rsidR="00942AB8" w:rsidRDefault="00942AB8"/>
        </w:tc>
      </w:tr>
      <w:tr w:rsidR="00942AB8" w14:paraId="76444AB4" w14:textId="77777777" w:rsidTr="00E21768">
        <w:tc>
          <w:tcPr>
            <w:tcW w:w="4890" w:type="dxa"/>
            <w:gridSpan w:val="3"/>
          </w:tcPr>
          <w:p w14:paraId="5D015935" w14:textId="1E868AA5" w:rsidR="00942AB8" w:rsidRDefault="00F81579">
            <w:pPr>
              <w:pStyle w:val="zSoquijdatNomPartieDem"/>
              <w:rPr>
                <w:b/>
              </w:rPr>
            </w:pPr>
            <w:r>
              <w:rPr>
                <w:b/>
              </w:rPr>
              <w:t>André Lessard</w:t>
            </w:r>
          </w:p>
        </w:tc>
        <w:tc>
          <w:tcPr>
            <w:tcW w:w="4678" w:type="dxa"/>
          </w:tcPr>
          <w:p w14:paraId="17C83274" w14:textId="77777777" w:rsidR="00942AB8" w:rsidRDefault="00942AB8"/>
        </w:tc>
      </w:tr>
      <w:tr w:rsidR="00942AB8" w14:paraId="36940770" w14:textId="77777777" w:rsidTr="00E21768">
        <w:tc>
          <w:tcPr>
            <w:tcW w:w="4890" w:type="dxa"/>
            <w:gridSpan w:val="3"/>
          </w:tcPr>
          <w:p w14:paraId="34F2CEEE" w14:textId="47A9EA91" w:rsidR="00942AB8" w:rsidRDefault="00F81579" w:rsidP="007B0DF2">
            <w:pPr>
              <w:pStyle w:val="zSoquijdatQtePartieDem"/>
              <w:tabs>
                <w:tab w:val="left" w:pos="3539"/>
              </w:tabs>
              <w:ind w:left="708"/>
            </w:pPr>
            <w:bookmarkStart w:id="6" w:name="partie_demanderesse"/>
            <w:bookmarkEnd w:id="6"/>
            <w:r>
              <w:t>Partie demanderesse</w:t>
            </w:r>
          </w:p>
        </w:tc>
        <w:tc>
          <w:tcPr>
            <w:tcW w:w="4678" w:type="dxa"/>
          </w:tcPr>
          <w:p w14:paraId="61F95DE5" w14:textId="77777777" w:rsidR="00942AB8" w:rsidRDefault="00942AB8"/>
        </w:tc>
      </w:tr>
      <w:tr w:rsidR="00942AB8" w14:paraId="56846446" w14:textId="77777777" w:rsidTr="00E21768">
        <w:tc>
          <w:tcPr>
            <w:tcW w:w="4890" w:type="dxa"/>
            <w:gridSpan w:val="3"/>
          </w:tcPr>
          <w:p w14:paraId="67EE2715" w14:textId="77777777" w:rsidR="00942AB8" w:rsidRDefault="00942AB8" w:rsidP="00E6363B"/>
        </w:tc>
        <w:tc>
          <w:tcPr>
            <w:tcW w:w="4678" w:type="dxa"/>
          </w:tcPr>
          <w:p w14:paraId="365E30D6" w14:textId="77777777" w:rsidR="00942AB8" w:rsidRDefault="00942AB8"/>
        </w:tc>
      </w:tr>
      <w:tr w:rsidR="00942AB8" w14:paraId="64B2C507" w14:textId="77777777" w:rsidTr="00E21768">
        <w:tc>
          <w:tcPr>
            <w:tcW w:w="4890" w:type="dxa"/>
            <w:gridSpan w:val="3"/>
          </w:tcPr>
          <w:p w14:paraId="3007A5CD" w14:textId="3821CB8A" w:rsidR="00942AB8" w:rsidRDefault="00F81579" w:rsidP="00D06652">
            <w:pPr>
              <w:pStyle w:val="zSoquijlblLienParties"/>
            </w:pPr>
            <w:r>
              <w:t>et</w:t>
            </w:r>
          </w:p>
        </w:tc>
        <w:tc>
          <w:tcPr>
            <w:tcW w:w="4678" w:type="dxa"/>
          </w:tcPr>
          <w:p w14:paraId="3070712E" w14:textId="77777777" w:rsidR="00942AB8" w:rsidRDefault="00942AB8"/>
        </w:tc>
      </w:tr>
      <w:tr w:rsidR="00942AB8" w14:paraId="3EF91BB7" w14:textId="77777777" w:rsidTr="00E21768">
        <w:tc>
          <w:tcPr>
            <w:tcW w:w="4890" w:type="dxa"/>
            <w:gridSpan w:val="3"/>
          </w:tcPr>
          <w:p w14:paraId="393D9D26" w14:textId="77777777" w:rsidR="00942AB8" w:rsidRDefault="00942AB8"/>
        </w:tc>
        <w:tc>
          <w:tcPr>
            <w:tcW w:w="4678" w:type="dxa"/>
          </w:tcPr>
          <w:p w14:paraId="0BC27B19" w14:textId="77777777" w:rsidR="00942AB8" w:rsidRDefault="00942AB8"/>
        </w:tc>
      </w:tr>
      <w:tr w:rsidR="00942AB8" w14:paraId="0EDF2BA8" w14:textId="77777777" w:rsidTr="00E21768">
        <w:tc>
          <w:tcPr>
            <w:tcW w:w="4890" w:type="dxa"/>
            <w:gridSpan w:val="3"/>
          </w:tcPr>
          <w:p w14:paraId="75A906B5" w14:textId="4142798C" w:rsidR="00942AB8" w:rsidRDefault="00F81579">
            <w:pPr>
              <w:pStyle w:val="zSoquijdatNomPartieDef"/>
              <w:rPr>
                <w:b/>
              </w:rPr>
            </w:pPr>
            <w:r>
              <w:rPr>
                <w:b/>
              </w:rPr>
              <w:t xml:space="preserve">Académie Lafontaine inc. </w:t>
            </w:r>
          </w:p>
        </w:tc>
        <w:tc>
          <w:tcPr>
            <w:tcW w:w="4678" w:type="dxa"/>
          </w:tcPr>
          <w:p w14:paraId="707335AD" w14:textId="77777777" w:rsidR="00942AB8" w:rsidRDefault="00942AB8"/>
        </w:tc>
      </w:tr>
      <w:tr w:rsidR="00942AB8" w14:paraId="11F6AD42" w14:textId="77777777" w:rsidTr="00E21768">
        <w:tc>
          <w:tcPr>
            <w:tcW w:w="4890" w:type="dxa"/>
            <w:gridSpan w:val="3"/>
          </w:tcPr>
          <w:p w14:paraId="229A7E9C" w14:textId="12EB6FA7" w:rsidR="00942AB8" w:rsidRDefault="00F81579">
            <w:pPr>
              <w:pStyle w:val="zSoquijdatQtePartieDef"/>
              <w:ind w:left="708"/>
            </w:pPr>
            <w:r>
              <w:t>Partie mise en cause</w:t>
            </w:r>
          </w:p>
        </w:tc>
        <w:tc>
          <w:tcPr>
            <w:tcW w:w="4678" w:type="dxa"/>
          </w:tcPr>
          <w:p w14:paraId="1BF7F174" w14:textId="77777777" w:rsidR="00942AB8" w:rsidRDefault="00942AB8"/>
        </w:tc>
      </w:tr>
      <w:tr w:rsidR="0065093D" w14:paraId="2398557B" w14:textId="77777777" w:rsidTr="00E21768">
        <w:tc>
          <w:tcPr>
            <w:tcW w:w="4890" w:type="dxa"/>
            <w:gridSpan w:val="3"/>
          </w:tcPr>
          <w:p w14:paraId="3F6186B5" w14:textId="77777777" w:rsidR="0065093D" w:rsidRDefault="0065093D"/>
        </w:tc>
        <w:tc>
          <w:tcPr>
            <w:tcW w:w="4678" w:type="dxa"/>
          </w:tcPr>
          <w:p w14:paraId="1B799D68" w14:textId="77777777" w:rsidR="0065093D" w:rsidRDefault="0065093D"/>
        </w:tc>
      </w:tr>
    </w:tbl>
    <w:p w14:paraId="28EDA0AB" w14:textId="77777777" w:rsidR="00C74B6F" w:rsidRDefault="00C74B6F">
      <w:r>
        <w:t>______________________________________________________________________</w:t>
      </w:r>
    </w:p>
    <w:p w14:paraId="3F3980DC" w14:textId="77777777" w:rsidR="00C74B6F" w:rsidRDefault="00C74B6F"/>
    <w:p w14:paraId="1C114F5E" w14:textId="77777777" w:rsidR="00C74B6F" w:rsidRPr="005B0612" w:rsidRDefault="00C74B6F" w:rsidP="008B042E">
      <w:pPr>
        <w:jc w:val="center"/>
        <w:rPr>
          <w:b/>
          <w:bCs/>
        </w:rPr>
      </w:pPr>
      <w:bookmarkStart w:id="7" w:name="decision"/>
      <w:r w:rsidRPr="005B0612">
        <w:rPr>
          <w:b/>
          <w:bCs/>
        </w:rPr>
        <w:t>DÉCISION</w:t>
      </w:r>
      <w:bookmarkEnd w:id="7"/>
    </w:p>
    <w:p w14:paraId="5F1E7BA6" w14:textId="77777777" w:rsidR="008F20EA" w:rsidRDefault="008F20EA" w:rsidP="008F20EA">
      <w:bookmarkStart w:id="8" w:name="separation"/>
      <w:bookmarkStart w:id="9" w:name="parag_1"/>
      <w:r>
        <w:t>______________________________________________________________________</w:t>
      </w:r>
    </w:p>
    <w:p w14:paraId="2F7A797B" w14:textId="77777777" w:rsidR="008F20EA" w:rsidRDefault="008F20EA" w:rsidP="008F20EA">
      <w:pPr>
        <w:pStyle w:val="corpsdedcision"/>
        <w:numPr>
          <w:ilvl w:val="0"/>
          <w:numId w:val="0"/>
        </w:numPr>
        <w:spacing w:before="360"/>
      </w:pPr>
      <w:bookmarkStart w:id="10" w:name="supprimer_apercu"/>
      <w:bookmarkEnd w:id="8"/>
      <w:r>
        <w:rPr>
          <w:b/>
          <w:bCs/>
          <w:u w:val="single"/>
        </w:rPr>
        <w:t>L’APERÇU</w:t>
      </w:r>
    </w:p>
    <w:bookmarkEnd w:id="10"/>
    <w:bookmarkEnd w:id="9"/>
    <w:p w14:paraId="089325ED" w14:textId="078404A3" w:rsidR="00C74B6F" w:rsidRDefault="00F81579">
      <w:pPr>
        <w:pStyle w:val="corpsdedcision"/>
      </w:pPr>
      <w:r>
        <w:t xml:space="preserve">Monsieur André Lessard, le travailleur, a été enseignant d’éducation physique au secondaire de 1988 </w:t>
      </w:r>
      <w:r w:rsidR="003530E8">
        <w:t>jusqu’</w:t>
      </w:r>
      <w:r w:rsidR="00A35715">
        <w:t>au mois de janvier</w:t>
      </w:r>
      <w:r w:rsidR="00E22168">
        <w:t> </w:t>
      </w:r>
      <w:r>
        <w:t>2023, moment de sa retraite. Il a occupé cette fonction, à temps plein, chez l’employeur, Académie Lafontaine inc., un établissement d’enseignement privé, à compter</w:t>
      </w:r>
      <w:r w:rsidR="003530E8">
        <w:t xml:space="preserve"> de la rentrée scolaire</w:t>
      </w:r>
      <w:r>
        <w:t xml:space="preserve"> de</w:t>
      </w:r>
      <w:r w:rsidR="003530E8">
        <w:t xml:space="preserve"> l’automne</w:t>
      </w:r>
      <w:r w:rsidR="00E22168">
        <w:t> </w:t>
      </w:r>
      <w:r>
        <w:t>1990</w:t>
      </w:r>
      <w:r w:rsidR="003530E8">
        <w:rPr>
          <w:rStyle w:val="Appelnotedebasdep"/>
        </w:rPr>
        <w:footnoteReference w:id="1"/>
      </w:r>
      <w:r>
        <w:t>.</w:t>
      </w:r>
    </w:p>
    <w:p w14:paraId="251227F8" w14:textId="29496767" w:rsidR="00F81579" w:rsidRDefault="00F81579">
      <w:pPr>
        <w:pStyle w:val="corpsdedcision"/>
      </w:pPr>
      <w:r>
        <w:t>Il se soumet à un test d’audiogramme en octobre</w:t>
      </w:r>
      <w:r w:rsidR="00E22168">
        <w:t> </w:t>
      </w:r>
      <w:r>
        <w:t xml:space="preserve">2022 en raison d’une impression de baisse auditive bilatérale. Considérant le résultat de cet examen, il est dirigé vers un </w:t>
      </w:r>
      <w:r w:rsidR="00404C51">
        <w:t>oto-rhino-laryngologiste</w:t>
      </w:r>
      <w:r>
        <w:t xml:space="preserve"> qui pose un diagnostic de surdité neurosensorielle bilatérale</w:t>
      </w:r>
      <w:r w:rsidR="00461B26">
        <w:t>. Ce médecin est d’avis qu’elle est</w:t>
      </w:r>
      <w:r>
        <w:t xml:space="preserve"> causée par le bruit. </w:t>
      </w:r>
    </w:p>
    <w:p w14:paraId="491C3D3E" w14:textId="28F5A1ED" w:rsidR="00F81579" w:rsidRDefault="00A35715">
      <w:pPr>
        <w:pStyle w:val="corpsdedcision"/>
      </w:pPr>
      <w:r>
        <w:t xml:space="preserve">Le travailleur soumet une réclamation à la Commission des normes, de l’équité, de la santé et de la sécurité du travail, la Commission, afin de faire reconnaître l’origine professionnelle de cette atteinte auditive. La Commission refuse la réclamation du travailleur. Cette position est maintenue à la suite d’une révision administrative puisqu’elle est d’avis que le travailleur n’a pas </w:t>
      </w:r>
      <w:r w:rsidR="00BB1DB7" w:rsidRPr="00404C51">
        <w:t xml:space="preserve">démontré </w:t>
      </w:r>
      <w:r>
        <w:t xml:space="preserve">une exposition </w:t>
      </w:r>
      <w:r w:rsidRPr="001C6ECA">
        <w:rPr>
          <w:rStyle w:val="Citationintgre"/>
          <w:i w:val="0"/>
          <w:iCs/>
          <w:sz w:val="24"/>
          <w:szCs w:val="22"/>
        </w:rPr>
        <w:t>«</w:t>
      </w:r>
      <w:r w:rsidRPr="00404C51">
        <w:rPr>
          <w:rStyle w:val="Citationintgre"/>
        </w:rPr>
        <w:t> suffisante </w:t>
      </w:r>
      <w:r w:rsidRPr="001C6ECA">
        <w:rPr>
          <w:rStyle w:val="Citationintgre"/>
          <w:i w:val="0"/>
          <w:iCs/>
          <w:sz w:val="24"/>
          <w:szCs w:val="22"/>
        </w:rPr>
        <w:t>»</w:t>
      </w:r>
      <w:r w:rsidRPr="00E22168">
        <w:rPr>
          <w:i/>
          <w:iCs/>
          <w:sz w:val="28"/>
          <w:szCs w:val="22"/>
        </w:rPr>
        <w:t xml:space="preserve"> </w:t>
      </w:r>
      <w:r>
        <w:t xml:space="preserve">au bruit. </w:t>
      </w:r>
    </w:p>
    <w:p w14:paraId="4FDBFE8F" w14:textId="7492A857" w:rsidR="00A35715" w:rsidRDefault="00A35715">
      <w:pPr>
        <w:pStyle w:val="corpsdedcision"/>
      </w:pPr>
      <w:r>
        <w:t xml:space="preserve">Le travailleur conteste cette décision par le dépôt d’un acte introductif. Il s’agit du litige dont le Tribunal est saisi. </w:t>
      </w:r>
    </w:p>
    <w:p w14:paraId="76478264" w14:textId="59E6035E" w:rsidR="00A35715" w:rsidRDefault="00A35715">
      <w:pPr>
        <w:pStyle w:val="corpsdedcision"/>
      </w:pPr>
      <w:r>
        <w:t xml:space="preserve">La présente décision vise à déterminer si la surdité neurosensorielle bilatérale qui affecte le travailleur constitue une maladie professionnelle. </w:t>
      </w:r>
    </w:p>
    <w:p w14:paraId="170860CA" w14:textId="6F21D626" w:rsidR="00A35715" w:rsidRDefault="00A35715">
      <w:pPr>
        <w:pStyle w:val="corpsdedcision"/>
      </w:pPr>
      <w:r>
        <w:t xml:space="preserve">Pour les motifs qui suivent, le Tribunal conclut que le travailleur a démontré être atteint d’une maladie professionnelle et qu’il a droit aux prestations prévues par la </w:t>
      </w:r>
      <w:r w:rsidRPr="00C57EEB">
        <w:rPr>
          <w:i/>
          <w:iCs/>
        </w:rPr>
        <w:t>Loi sur les accidents du travail et les maladies professionnelles</w:t>
      </w:r>
      <w:r>
        <w:rPr>
          <w:rStyle w:val="Appelnotedebasdep"/>
        </w:rPr>
        <w:footnoteReference w:id="2"/>
      </w:r>
      <w:r>
        <w:t xml:space="preserve">, la Loi. Son acte introductif est donc accueilli. </w:t>
      </w:r>
    </w:p>
    <w:p w14:paraId="10229818" w14:textId="77777777" w:rsidR="00082A97" w:rsidRDefault="00082A97" w:rsidP="00F10236">
      <w:pPr>
        <w:pStyle w:val="corpsdedcision"/>
        <w:numPr>
          <w:ilvl w:val="0"/>
          <w:numId w:val="0"/>
        </w:numPr>
        <w:rPr>
          <w:b/>
          <w:bCs/>
          <w:u w:val="single"/>
        </w:rPr>
      </w:pPr>
      <w:bookmarkStart w:id="11" w:name="supprimer_analyse"/>
      <w:r w:rsidRPr="00B51F99">
        <w:rPr>
          <w:b/>
          <w:bCs/>
          <w:u w:val="single"/>
        </w:rPr>
        <w:t>L</w:t>
      </w:r>
      <w:r>
        <w:rPr>
          <w:b/>
          <w:bCs/>
          <w:u w:val="single"/>
        </w:rPr>
        <w:t>’ANALYSE</w:t>
      </w:r>
    </w:p>
    <w:bookmarkEnd w:id="11"/>
    <w:p w14:paraId="33F57012" w14:textId="77777777" w:rsidR="00693614" w:rsidRDefault="00693614" w:rsidP="00693614">
      <w:pPr>
        <w:pStyle w:val="corpsdedcision"/>
      </w:pPr>
      <w:r>
        <w:t xml:space="preserve">La Loi définit la lésion professionnelle de la façon suivante : </w:t>
      </w:r>
    </w:p>
    <w:p w14:paraId="69D93555" w14:textId="77777777" w:rsidR="00693614" w:rsidRDefault="00693614" w:rsidP="00693614">
      <w:pPr>
        <w:pStyle w:val="Dfinitions"/>
      </w:pPr>
      <w:r>
        <w:rPr>
          <w:b/>
        </w:rPr>
        <w:t xml:space="preserve">2. </w:t>
      </w:r>
      <w:r>
        <w:t>Dans la présente loi, à moins que le contexte n'indique un sens différent, on entend par :</w:t>
      </w:r>
    </w:p>
    <w:p w14:paraId="4CDFF311" w14:textId="77777777" w:rsidR="00693614" w:rsidRDefault="00693614" w:rsidP="00693614">
      <w:pPr>
        <w:pStyle w:val="Dfinitions"/>
      </w:pPr>
    </w:p>
    <w:p w14:paraId="467CB050" w14:textId="77777777" w:rsidR="00693614" w:rsidRDefault="00693614" w:rsidP="00693614">
      <w:pPr>
        <w:pStyle w:val="articlesdelaLATMPnouveaux"/>
      </w:pPr>
      <w:r>
        <w:rPr>
          <w:b/>
        </w:rPr>
        <w:t xml:space="preserve">« lésion professionnelle » </w:t>
      </w:r>
      <w:r>
        <w:t>: une blessure ou une maladie qui survient par le fait ou à l'occasion d'un accident du travail, ou une maladie professionnelle, y compris la récidive, la rechute ou l'aggravation;</w:t>
      </w:r>
    </w:p>
    <w:p w14:paraId="3884BE6F" w14:textId="77777777" w:rsidR="00693614" w:rsidRDefault="00693614" w:rsidP="00693614">
      <w:pPr>
        <w:pStyle w:val="Dfinitions"/>
      </w:pPr>
    </w:p>
    <w:p w14:paraId="578A8C34" w14:textId="77777777" w:rsidR="00693614" w:rsidRDefault="00693614" w:rsidP="00693614">
      <w:pPr>
        <w:pStyle w:val="Dfinitions"/>
      </w:pPr>
    </w:p>
    <w:p w14:paraId="27C5D683" w14:textId="77777777" w:rsidR="00693614" w:rsidRDefault="00693614" w:rsidP="00693614">
      <w:pPr>
        <w:pStyle w:val="corpsdedcision"/>
      </w:pPr>
      <w:r>
        <w:t>Le présent dossier doit être traité sous l’angle de la maladie professionnelle :</w:t>
      </w:r>
    </w:p>
    <w:p w14:paraId="6BC339E1" w14:textId="77777777" w:rsidR="00693614" w:rsidRDefault="00693614" w:rsidP="00693614">
      <w:pPr>
        <w:pStyle w:val="Dfinitions"/>
      </w:pPr>
      <w:r>
        <w:rPr>
          <w:b/>
        </w:rPr>
        <w:t xml:space="preserve">2. </w:t>
      </w:r>
      <w:r>
        <w:t>Dans la présente loi, à moins que le contexte n'indique un sens différent, on entend par :</w:t>
      </w:r>
    </w:p>
    <w:p w14:paraId="3B9058DC" w14:textId="77777777" w:rsidR="00693614" w:rsidRDefault="00693614" w:rsidP="00693614">
      <w:pPr>
        <w:pStyle w:val="Dfinitions"/>
      </w:pPr>
    </w:p>
    <w:p w14:paraId="2BADCDF5" w14:textId="77777777" w:rsidR="00693614" w:rsidRDefault="00693614" w:rsidP="00693614">
      <w:pPr>
        <w:pStyle w:val="articlesdelaLATMPnouveaux"/>
      </w:pPr>
      <w:r>
        <w:rPr>
          <w:b/>
        </w:rPr>
        <w:t xml:space="preserve">« maladie professionnelle » </w:t>
      </w:r>
      <w:r>
        <w:t>: une maladie contractée par le fait ou à l'occasion du travail et qui est caractéristique de ce travail ou reliée directement aux risques particuliers de ce travail;</w:t>
      </w:r>
    </w:p>
    <w:p w14:paraId="45C30845" w14:textId="77777777" w:rsidR="00693614" w:rsidRDefault="00693614" w:rsidP="00693614">
      <w:pPr>
        <w:pStyle w:val="articlesdelaLATMPnouveaux"/>
      </w:pPr>
    </w:p>
    <w:p w14:paraId="662117DB" w14:textId="77777777" w:rsidR="00693614" w:rsidRDefault="00693614" w:rsidP="00693614">
      <w:pPr>
        <w:pStyle w:val="articlesdelaLATMPnouveaux"/>
      </w:pPr>
    </w:p>
    <w:p w14:paraId="1E9D0FC4" w14:textId="77777777" w:rsidR="00693614" w:rsidRDefault="00693614" w:rsidP="00693614">
      <w:pPr>
        <w:pStyle w:val="corpsdedcision"/>
      </w:pPr>
      <w:r>
        <w:t xml:space="preserve">Afin de faciliter la preuve du travailleur, la Loi prévoit une présomption de maladie professionnelle en ces termes : </w:t>
      </w:r>
    </w:p>
    <w:p w14:paraId="0A729890" w14:textId="77777777" w:rsidR="00693614" w:rsidRPr="009347AF" w:rsidRDefault="00693614" w:rsidP="00693614">
      <w:pPr>
        <w:pStyle w:val="articlesdelaLATMP"/>
        <w:rPr>
          <w:bCs/>
        </w:rPr>
      </w:pPr>
      <w:r w:rsidRPr="009347AF">
        <w:rPr>
          <w:b/>
        </w:rPr>
        <w:t xml:space="preserve">29. </w:t>
      </w:r>
      <w:r w:rsidRPr="009815D6">
        <w:rPr>
          <w:bCs/>
        </w:rPr>
        <w:t>U</w:t>
      </w:r>
      <w:r w:rsidRPr="009347AF">
        <w:rPr>
          <w:bCs/>
        </w:rPr>
        <w:t>n travailleur est présumé atteint d’une maladie professionnelle s’il est atteint d’une maladie prévue par règlement et si, au jour où il reçoit le diagnostic de cette maladie, il rencontre les conditions particulières en lien avec cette maladie prévues par règlement.</w:t>
      </w:r>
    </w:p>
    <w:p w14:paraId="6953954A" w14:textId="77777777" w:rsidR="00693614" w:rsidRDefault="00693614" w:rsidP="00693614">
      <w:pPr>
        <w:pStyle w:val="articlesdelaLATMP"/>
        <w:rPr>
          <w:bCs/>
        </w:rPr>
      </w:pPr>
    </w:p>
    <w:p w14:paraId="469334F0" w14:textId="77777777" w:rsidR="00693614" w:rsidRPr="009347AF" w:rsidRDefault="00693614" w:rsidP="00693614">
      <w:pPr>
        <w:pStyle w:val="articlesdelaLATMP"/>
        <w:rPr>
          <w:bCs/>
        </w:rPr>
      </w:pPr>
    </w:p>
    <w:p w14:paraId="498A1A69" w14:textId="2BA27012" w:rsidR="00693614" w:rsidRDefault="00693614" w:rsidP="00693614">
      <w:pPr>
        <w:pStyle w:val="corpsdedcision"/>
      </w:pPr>
      <w:r>
        <w:t>En l’absence de l’enclenchement du processus d’évaluation médicale prévu par la Loi</w:t>
      </w:r>
      <w:r>
        <w:rPr>
          <w:rStyle w:val="Appelnotedebasdep"/>
        </w:rPr>
        <w:footnoteReference w:id="3"/>
      </w:r>
      <w:r>
        <w:t>, la Commission et le Tribunal sont liés par le diagnostic posé par le médecin qui a charge du travailleur</w:t>
      </w:r>
      <w:r>
        <w:rPr>
          <w:rStyle w:val="Appelnotedebasdep"/>
        </w:rPr>
        <w:footnoteReference w:id="4"/>
      </w:r>
      <w:r>
        <w:t xml:space="preserve">. Dans le présent cas, ce diagnostic est celui de </w:t>
      </w:r>
      <w:r w:rsidRPr="00E22168">
        <w:rPr>
          <w:rStyle w:val="Citationintgre"/>
          <w:i w:val="0"/>
          <w:iCs/>
          <w:sz w:val="24"/>
          <w:szCs w:val="22"/>
        </w:rPr>
        <w:t>«</w:t>
      </w:r>
      <w:r w:rsidRPr="00693614">
        <w:rPr>
          <w:rStyle w:val="Citationintgre"/>
        </w:rPr>
        <w:t> surdité neurosensorielle bilatérale</w:t>
      </w:r>
      <w:r w:rsidR="00E22168">
        <w:rPr>
          <w:rStyle w:val="Citationintgre"/>
        </w:rPr>
        <w:t> </w:t>
      </w:r>
      <w:r w:rsidRPr="00E22168">
        <w:rPr>
          <w:rStyle w:val="Citationintgre"/>
          <w:i w:val="0"/>
          <w:iCs/>
          <w:sz w:val="24"/>
          <w:szCs w:val="22"/>
        </w:rPr>
        <w:t>»</w:t>
      </w:r>
      <w:r>
        <w:t>.</w:t>
      </w:r>
    </w:p>
    <w:p w14:paraId="6960A895" w14:textId="3FDF8F09" w:rsidR="00693614" w:rsidRDefault="00693614" w:rsidP="00693614">
      <w:pPr>
        <w:pStyle w:val="corpsdedcision"/>
      </w:pPr>
      <w:r>
        <w:t>L’article</w:t>
      </w:r>
      <w:r w:rsidR="00E22168">
        <w:t> </w:t>
      </w:r>
      <w:r>
        <w:t xml:space="preserve">29 de la Loi fait référence au </w:t>
      </w:r>
      <w:r w:rsidRPr="00693614">
        <w:rPr>
          <w:i/>
          <w:iCs/>
        </w:rPr>
        <w:t>Règlement sur les maladies professionnelles</w:t>
      </w:r>
      <w:r w:rsidR="00B41E74" w:rsidRPr="00B41E74">
        <w:rPr>
          <w:rStyle w:val="Appelnotedebasdep"/>
        </w:rPr>
        <w:footnoteReference w:id="5"/>
      </w:r>
      <w:r>
        <w:t xml:space="preserve">, le Règlement. </w:t>
      </w:r>
      <w:r w:rsidR="00B41E74" w:rsidRPr="00404C51">
        <w:t>Celui</w:t>
      </w:r>
      <w:r w:rsidR="00DD2817" w:rsidRPr="00404C51">
        <w:t>-ci</w:t>
      </w:r>
      <w:r w:rsidR="00B41E74" w:rsidRPr="00404C51">
        <w:t xml:space="preserve"> </w:t>
      </w:r>
      <w:r w:rsidR="00B41E74">
        <w:t xml:space="preserve">prévoit pour chacune des maladies </w:t>
      </w:r>
      <w:r w:rsidR="00461B26">
        <w:t xml:space="preserve">qui y sont énumérées </w:t>
      </w:r>
      <w:r w:rsidR="00B41E74">
        <w:t>certaines conditions particulières</w:t>
      </w:r>
      <w:r w:rsidR="00461B26">
        <w:t xml:space="preserve"> en lien avec le travail</w:t>
      </w:r>
      <w:r w:rsidR="00B41E74">
        <w:t xml:space="preserve"> permettant de présumer du caractère professionnel de cette pathologie.</w:t>
      </w:r>
    </w:p>
    <w:p w14:paraId="1862BB19" w14:textId="0938A8C1" w:rsidR="00693614" w:rsidRDefault="00693614" w:rsidP="00693614">
      <w:pPr>
        <w:pStyle w:val="corpsdedcision"/>
      </w:pPr>
      <w:r>
        <w:t>Pour les cas d’atteintes auditives causées par le bruit</w:t>
      </w:r>
      <w:r w:rsidR="00B41E74">
        <w:t xml:space="preserve">, </w:t>
      </w:r>
      <w:r>
        <w:t xml:space="preserve">le Règlement prévoit la condition particulière suivante </w:t>
      </w:r>
      <w:r w:rsidRPr="00184136">
        <w:rPr>
          <w:rStyle w:val="Citationintgre"/>
          <w:i w:val="0"/>
          <w:iCs/>
          <w:sz w:val="24"/>
          <w:szCs w:val="22"/>
        </w:rPr>
        <w:t>«</w:t>
      </w:r>
      <w:r w:rsidRPr="00483CE1">
        <w:rPr>
          <w:rStyle w:val="Citationintgre"/>
        </w:rPr>
        <w:t> Avoir exercé un travail impliquant une exposition à un bruit excessif.</w:t>
      </w:r>
      <w:r>
        <w:rPr>
          <w:rStyle w:val="Citationintgre"/>
        </w:rPr>
        <w:t> </w:t>
      </w:r>
      <w:r w:rsidRPr="00184136">
        <w:rPr>
          <w:rStyle w:val="Citationintgre"/>
          <w:i w:val="0"/>
          <w:iCs/>
          <w:sz w:val="24"/>
          <w:szCs w:val="22"/>
        </w:rPr>
        <w:t>»</w:t>
      </w:r>
      <w:r>
        <w:rPr>
          <w:rStyle w:val="Citationintgre"/>
        </w:rPr>
        <w:t>.</w:t>
      </w:r>
    </w:p>
    <w:p w14:paraId="1EB074BE" w14:textId="77777777" w:rsidR="00693614" w:rsidRDefault="00693614" w:rsidP="00940A54">
      <w:pPr>
        <w:pStyle w:val="corpsdedcision"/>
      </w:pPr>
      <w:r>
        <w:t xml:space="preserve">Ainsi, afin de pouvoir bénéficier de la présomption de maladie professionnelle, le travailleur doit démontrer deux éléments : </w:t>
      </w:r>
    </w:p>
    <w:p w14:paraId="727B5B83" w14:textId="77777777" w:rsidR="00693614" w:rsidRDefault="00693614" w:rsidP="00940A54">
      <w:pPr>
        <w:pStyle w:val="corpsdedcision"/>
        <w:numPr>
          <w:ilvl w:val="1"/>
          <w:numId w:val="12"/>
        </w:numPr>
        <w:tabs>
          <w:tab w:val="clear" w:pos="720"/>
          <w:tab w:val="left" w:pos="1134"/>
        </w:tabs>
        <w:spacing w:after="120"/>
        <w:ind w:left="1418" w:hanging="709"/>
      </w:pPr>
      <w:r>
        <w:t>L’existence d’une atteinte auditive causée par le bruit;</w:t>
      </w:r>
    </w:p>
    <w:p w14:paraId="01729D2A" w14:textId="77777777" w:rsidR="00693614" w:rsidRDefault="00693614" w:rsidP="00940A54">
      <w:pPr>
        <w:pStyle w:val="corpsdedcision"/>
        <w:numPr>
          <w:ilvl w:val="1"/>
          <w:numId w:val="12"/>
        </w:numPr>
        <w:tabs>
          <w:tab w:val="clear" w:pos="720"/>
          <w:tab w:val="left" w:pos="1134"/>
        </w:tabs>
        <w:ind w:left="1418" w:hanging="709"/>
      </w:pPr>
      <w:r>
        <w:t>L’exposition à un bruit excessif.</w:t>
      </w:r>
    </w:p>
    <w:p w14:paraId="25040F61" w14:textId="3696D0EB" w:rsidR="00693614" w:rsidRDefault="00693614" w:rsidP="00693614">
      <w:pPr>
        <w:pStyle w:val="corpsdedcision"/>
      </w:pPr>
      <w:r>
        <w:t>Le travailleur doit faire cette démonstration par une preuve prépondérante</w:t>
      </w:r>
      <w:r>
        <w:rPr>
          <w:rStyle w:val="Appelnotedebasdep"/>
        </w:rPr>
        <w:footnoteReference w:id="6"/>
      </w:r>
      <w:r>
        <w:t xml:space="preserve">. Autrement dit, il doit prouver, selon la balance des probabilités, l’existence d’une maladie professionnelle. Comme l’indiquait le Tribunal dans l’affaire </w:t>
      </w:r>
      <w:r w:rsidR="00461B26" w:rsidRPr="00461B26">
        <w:rPr>
          <w:i/>
          <w:iCs/>
        </w:rPr>
        <w:t xml:space="preserve">Houle </w:t>
      </w:r>
      <w:r w:rsidR="00461B26" w:rsidRPr="00461B26">
        <w:t>et</w:t>
      </w:r>
      <w:r w:rsidR="00461B26" w:rsidRPr="00461B26">
        <w:rPr>
          <w:i/>
          <w:iCs/>
        </w:rPr>
        <w:t xml:space="preserve"> Recyclage industriel Pro inc.</w:t>
      </w:r>
      <w:r>
        <w:rPr>
          <w:rStyle w:val="Appelnotedebasdep"/>
        </w:rPr>
        <w:footnoteReference w:id="7"/>
      </w:r>
      <w:r>
        <w:t xml:space="preserve"> </w:t>
      </w:r>
      <w:r w:rsidRPr="00184136">
        <w:rPr>
          <w:rStyle w:val="Citationintgre"/>
          <w:i w:val="0"/>
          <w:iCs/>
          <w:sz w:val="24"/>
          <w:szCs w:val="22"/>
        </w:rPr>
        <w:t>«</w:t>
      </w:r>
      <w:r w:rsidRPr="009658C2">
        <w:rPr>
          <w:rStyle w:val="Citationintgre"/>
        </w:rPr>
        <w:t xml:space="preserve"> les mathématiciens utiliseraient l’équation </w:t>
      </w:r>
      <w:r w:rsidRPr="00A512A2">
        <w:rPr>
          <w:rStyle w:val="Citationintgre"/>
          <w:i w:val="0"/>
          <w:iCs/>
          <w:sz w:val="24"/>
          <w:szCs w:val="22"/>
        </w:rPr>
        <w:t>«</w:t>
      </w:r>
      <w:r w:rsidRPr="00A512A2">
        <w:rPr>
          <w:rStyle w:val="Citationintgre"/>
          <w:sz w:val="24"/>
          <w:szCs w:val="22"/>
        </w:rPr>
        <w:t> </w:t>
      </w:r>
      <w:r w:rsidRPr="009658C2">
        <w:rPr>
          <w:rStyle w:val="Citationintgre"/>
        </w:rPr>
        <w:t>50 % plus un </w:t>
      </w:r>
      <w:r w:rsidRPr="007A226B">
        <w:rPr>
          <w:rStyle w:val="Citationintgre"/>
          <w:i w:val="0"/>
          <w:iCs/>
        </w:rPr>
        <w:t>»</w:t>
      </w:r>
      <w:r w:rsidRPr="009658C2">
        <w:rPr>
          <w:rStyle w:val="Citationintgre"/>
        </w:rPr>
        <w:t xml:space="preserve"> pour illustrer ce qu’est la probabilité </w:t>
      </w:r>
      <w:r w:rsidRPr="00184136">
        <w:rPr>
          <w:rStyle w:val="Citationintgre"/>
          <w:i w:val="0"/>
          <w:iCs/>
          <w:sz w:val="24"/>
          <w:szCs w:val="22"/>
        </w:rPr>
        <w:t>»</w:t>
      </w:r>
      <w:r>
        <w:rPr>
          <w:rFonts w:cs="Arial"/>
          <w:color w:val="000000"/>
        </w:rPr>
        <w:t>.</w:t>
      </w:r>
      <w:r>
        <w:t xml:space="preserve"> </w:t>
      </w:r>
    </w:p>
    <w:p w14:paraId="30690C5B" w14:textId="77777777" w:rsidR="00C20D0A" w:rsidRDefault="00C20D0A" w:rsidP="00C20D0A">
      <w:pPr>
        <w:pStyle w:val="Titre3"/>
      </w:pPr>
      <w:r>
        <w:t>L’existence d’une atteinte auditive causée par le bruit</w:t>
      </w:r>
    </w:p>
    <w:p w14:paraId="490BCFE8" w14:textId="77777777" w:rsidR="00C20D0A" w:rsidRDefault="00C20D0A" w:rsidP="00C20D0A">
      <w:pPr>
        <w:pStyle w:val="corpsdedcision"/>
      </w:pPr>
      <w:r>
        <w:t>La jurisprudence</w:t>
      </w:r>
      <w:r>
        <w:rPr>
          <w:rStyle w:val="Appelnotedebasdep"/>
        </w:rPr>
        <w:footnoteReference w:id="8"/>
      </w:r>
      <w:r>
        <w:t xml:space="preserve"> établit quatre éléments permettant de conclure à la présence d’une atteinte auditive causée par le bruit :</w:t>
      </w:r>
    </w:p>
    <w:p w14:paraId="6533D0BE" w14:textId="77777777" w:rsidR="00C20D0A" w:rsidRDefault="00C20D0A" w:rsidP="00940A54">
      <w:pPr>
        <w:pStyle w:val="corpsdedcision"/>
        <w:numPr>
          <w:ilvl w:val="0"/>
          <w:numId w:val="13"/>
        </w:numPr>
        <w:tabs>
          <w:tab w:val="clear" w:pos="720"/>
          <w:tab w:val="left" w:pos="1134"/>
        </w:tabs>
        <w:spacing w:after="120"/>
        <w:ind w:left="1134" w:hanging="425"/>
      </w:pPr>
      <w:r>
        <w:t>L’atteinte auditive est toujours de type neurosensorielle;</w:t>
      </w:r>
    </w:p>
    <w:p w14:paraId="0FDC0495" w14:textId="77777777" w:rsidR="00C20D0A" w:rsidRDefault="00C20D0A" w:rsidP="00940A54">
      <w:pPr>
        <w:pStyle w:val="corpsdedcision"/>
        <w:numPr>
          <w:ilvl w:val="0"/>
          <w:numId w:val="13"/>
        </w:numPr>
        <w:tabs>
          <w:tab w:val="clear" w:pos="720"/>
          <w:tab w:val="left" w:pos="1134"/>
        </w:tabs>
        <w:spacing w:after="120"/>
        <w:ind w:left="1134" w:hanging="425"/>
      </w:pPr>
      <w:r>
        <w:t>Elle est généralement bilatérale;</w:t>
      </w:r>
    </w:p>
    <w:p w14:paraId="06A88FC4" w14:textId="77777777" w:rsidR="00C20D0A" w:rsidRDefault="00C20D0A" w:rsidP="00940A54">
      <w:pPr>
        <w:pStyle w:val="corpsdedcision"/>
        <w:numPr>
          <w:ilvl w:val="0"/>
          <w:numId w:val="13"/>
        </w:numPr>
        <w:tabs>
          <w:tab w:val="clear" w:pos="720"/>
          <w:tab w:val="left" w:pos="1134"/>
        </w:tabs>
        <w:spacing w:after="120"/>
        <w:ind w:left="1134" w:hanging="425"/>
      </w:pPr>
      <w:r>
        <w:t>Elle est généralement symétrique;</w:t>
      </w:r>
    </w:p>
    <w:p w14:paraId="0B9FF832" w14:textId="4FA665F8" w:rsidR="00C20D0A" w:rsidRDefault="00C20D0A" w:rsidP="00940A54">
      <w:pPr>
        <w:pStyle w:val="corpsdedcision"/>
        <w:numPr>
          <w:ilvl w:val="0"/>
          <w:numId w:val="13"/>
        </w:numPr>
        <w:tabs>
          <w:tab w:val="clear" w:pos="720"/>
          <w:tab w:val="left" w:pos="1134"/>
        </w:tabs>
        <w:ind w:left="1134" w:hanging="425"/>
      </w:pPr>
      <w:r>
        <w:t>Elle est plus marquée dans les hautes fréquences</w:t>
      </w:r>
      <w:r w:rsidR="00A512A2">
        <w:t>.</w:t>
      </w:r>
    </w:p>
    <w:p w14:paraId="13014D2A" w14:textId="790C37C3" w:rsidR="00C20D0A" w:rsidRDefault="00C20D0A" w:rsidP="00C20D0A">
      <w:pPr>
        <w:pStyle w:val="corpsdedcision"/>
      </w:pPr>
      <w:r>
        <w:t>De plus, ce type d’atteinte est généralement caractérisée par une courbe audiométrique qui démontre une chute abrupte du seuil auditif vers les 4000</w:t>
      </w:r>
      <w:r w:rsidR="00BC5460">
        <w:t> </w:t>
      </w:r>
      <w:r>
        <w:t>hertz avec une remontée vers les 8000</w:t>
      </w:r>
      <w:r w:rsidR="00BC5460">
        <w:t> </w:t>
      </w:r>
      <w:r>
        <w:t>hertz</w:t>
      </w:r>
      <w:r>
        <w:rPr>
          <w:rStyle w:val="Appelnotedebasdep"/>
        </w:rPr>
        <w:footnoteReference w:id="9"/>
      </w:r>
      <w:r>
        <w:t>. Cette courbe a un aspect particulier en forme de crochet ou d’encoche. Il y a lieu de noter que l’absence d’une telle courbe ne fait pas nécessairement obstacle à la reconnaissance d’une surdité d’origine professionnelle</w:t>
      </w:r>
      <w:r>
        <w:rPr>
          <w:rStyle w:val="Appelnotedebasdep"/>
        </w:rPr>
        <w:footnoteReference w:id="10"/>
      </w:r>
      <w:r>
        <w:t>.</w:t>
      </w:r>
    </w:p>
    <w:p w14:paraId="33FA042C" w14:textId="77777777" w:rsidR="00C20D0A" w:rsidRDefault="00C20D0A" w:rsidP="00C20D0A">
      <w:pPr>
        <w:pStyle w:val="corpsdedcision"/>
      </w:pPr>
      <w:r>
        <w:t>Comme l’indique la jurisprudence, ces caractéristiques ne sont pas des conditions d’application prévues par la Loi, mais plutôt des indices permettant de déterminer si la surdité résulte d’une exposition au bruit</w:t>
      </w:r>
      <w:r>
        <w:rPr>
          <w:rStyle w:val="Appelnotedebasdep"/>
        </w:rPr>
        <w:footnoteReference w:id="11"/>
      </w:r>
      <w:r>
        <w:t xml:space="preserve">. </w:t>
      </w:r>
    </w:p>
    <w:p w14:paraId="4B78BC20" w14:textId="54866D55" w:rsidR="00C20D0A" w:rsidRDefault="00C20D0A" w:rsidP="00C20D0A">
      <w:pPr>
        <w:pStyle w:val="corpsdedcision"/>
        <w:rPr>
          <w:lang w:eastAsia="fr-FR"/>
        </w:rPr>
      </w:pPr>
      <w:r>
        <w:rPr>
          <w:lang w:eastAsia="fr-FR"/>
        </w:rPr>
        <w:t>Le rapport audiologique ré</w:t>
      </w:r>
      <w:r w:rsidR="002960A5">
        <w:rPr>
          <w:lang w:eastAsia="fr-FR"/>
        </w:rPr>
        <w:t>digé</w:t>
      </w:r>
      <w:r>
        <w:rPr>
          <w:lang w:eastAsia="fr-FR"/>
        </w:rPr>
        <w:t xml:space="preserve"> par madame Isabelle</w:t>
      </w:r>
      <w:r w:rsidR="00BC5460">
        <w:rPr>
          <w:lang w:eastAsia="fr-FR"/>
        </w:rPr>
        <w:t> </w:t>
      </w:r>
      <w:r>
        <w:rPr>
          <w:lang w:eastAsia="fr-FR"/>
        </w:rPr>
        <w:t xml:space="preserve">St-Pierre, audiologiste, </w:t>
      </w:r>
      <w:r w:rsidR="002960A5">
        <w:rPr>
          <w:lang w:eastAsia="fr-FR"/>
        </w:rPr>
        <w:t xml:space="preserve">met en évidence une atteinte neurosensorielle, bilatérale, symétrique et plus marquée dans les </w:t>
      </w:r>
      <w:r w:rsidR="00DA078E">
        <w:rPr>
          <w:lang w:eastAsia="fr-FR"/>
        </w:rPr>
        <w:t xml:space="preserve">moyennes et </w:t>
      </w:r>
      <w:r w:rsidR="002960A5">
        <w:rPr>
          <w:lang w:eastAsia="fr-FR"/>
        </w:rPr>
        <w:t>hautes fréquences</w:t>
      </w:r>
      <w:r w:rsidR="00DA078E">
        <w:rPr>
          <w:lang w:eastAsia="fr-FR"/>
        </w:rPr>
        <w:t xml:space="preserve">. </w:t>
      </w:r>
    </w:p>
    <w:p w14:paraId="2FD14322" w14:textId="3289F0E1" w:rsidR="00DA078E" w:rsidRDefault="00DA078E" w:rsidP="00C20D0A">
      <w:pPr>
        <w:pStyle w:val="corpsdedcision"/>
        <w:rPr>
          <w:lang w:eastAsia="fr-FR"/>
        </w:rPr>
      </w:pPr>
      <w:r>
        <w:rPr>
          <w:lang w:eastAsia="fr-FR"/>
        </w:rPr>
        <w:t>De plus, le docteur Youssef</w:t>
      </w:r>
      <w:r w:rsidR="00BC5460">
        <w:rPr>
          <w:lang w:eastAsia="fr-FR"/>
        </w:rPr>
        <w:t> </w:t>
      </w:r>
      <w:r>
        <w:rPr>
          <w:lang w:eastAsia="fr-FR"/>
        </w:rPr>
        <w:t>Haikal, oto-rhino-laryngologiste qui a charge du travailleur au moment du dépôt de la réclamation</w:t>
      </w:r>
      <w:r w:rsidR="00CB327D">
        <w:rPr>
          <w:lang w:eastAsia="fr-FR"/>
        </w:rPr>
        <w:t>,</w:t>
      </w:r>
      <w:r>
        <w:rPr>
          <w:lang w:eastAsia="fr-FR"/>
        </w:rPr>
        <w:t xml:space="preserve"> pose un diagnostic de </w:t>
      </w:r>
      <w:r w:rsidRPr="00E22168">
        <w:rPr>
          <w:rStyle w:val="Citationintgre"/>
          <w:i w:val="0"/>
          <w:iCs/>
          <w:sz w:val="24"/>
          <w:szCs w:val="22"/>
        </w:rPr>
        <w:t>«</w:t>
      </w:r>
      <w:r w:rsidRPr="00DA078E">
        <w:rPr>
          <w:rStyle w:val="Citationintgre"/>
        </w:rPr>
        <w:t> surdité neurosensorielle bilatérale</w:t>
      </w:r>
      <w:r w:rsidR="00E22168">
        <w:rPr>
          <w:rStyle w:val="Citationintgre"/>
        </w:rPr>
        <w:t> </w:t>
      </w:r>
      <w:r w:rsidRPr="00E22168">
        <w:rPr>
          <w:rStyle w:val="Citationintgre"/>
          <w:i w:val="0"/>
          <w:iCs/>
          <w:sz w:val="24"/>
          <w:szCs w:val="22"/>
        </w:rPr>
        <w:t>»</w:t>
      </w:r>
      <w:r>
        <w:rPr>
          <w:lang w:eastAsia="fr-FR"/>
        </w:rPr>
        <w:t>.</w:t>
      </w:r>
      <w:r w:rsidR="00CB327D">
        <w:rPr>
          <w:lang w:eastAsia="fr-FR"/>
        </w:rPr>
        <w:t xml:space="preserve"> Il ajoute que cette surdité est causée par le bruit.</w:t>
      </w:r>
    </w:p>
    <w:p w14:paraId="39ED2029" w14:textId="0C1CD26C" w:rsidR="00DA078E" w:rsidRDefault="00DA078E" w:rsidP="00C20D0A">
      <w:pPr>
        <w:pStyle w:val="corpsdedcision"/>
        <w:rPr>
          <w:lang w:eastAsia="fr-FR"/>
        </w:rPr>
      </w:pPr>
      <w:r>
        <w:rPr>
          <w:lang w:eastAsia="fr-FR"/>
        </w:rPr>
        <w:t xml:space="preserve">Il est vrai que les courbes audiologiques n’ont pas la forme typique d’une encoche. Toutefois, comme indiqué précédemment, cela n’entraîne pas automatiquement la conclusion que la surdité du travailleur ne soit pas due au bruit. </w:t>
      </w:r>
    </w:p>
    <w:p w14:paraId="5D447518" w14:textId="70EAB67C" w:rsidR="00DA078E" w:rsidRDefault="00DA078E" w:rsidP="00C20D0A">
      <w:pPr>
        <w:pStyle w:val="corpsdedcision"/>
        <w:rPr>
          <w:lang w:eastAsia="fr-FR"/>
        </w:rPr>
      </w:pPr>
      <w:r>
        <w:rPr>
          <w:lang w:eastAsia="fr-FR"/>
        </w:rPr>
        <w:t>D’ailleurs, un second oto-rhino-laryngologiste, le docteur Jean-Pierre</w:t>
      </w:r>
      <w:r w:rsidR="00E22168">
        <w:rPr>
          <w:lang w:eastAsia="fr-FR"/>
        </w:rPr>
        <w:t> </w:t>
      </w:r>
      <w:r>
        <w:rPr>
          <w:lang w:eastAsia="fr-FR"/>
        </w:rPr>
        <w:t>Souaid, a évalué le travailleur en février</w:t>
      </w:r>
      <w:r w:rsidR="00E22168">
        <w:rPr>
          <w:lang w:eastAsia="fr-FR"/>
        </w:rPr>
        <w:t> </w:t>
      </w:r>
      <w:r>
        <w:rPr>
          <w:lang w:eastAsia="fr-FR"/>
        </w:rPr>
        <w:t>2025. Il concluait que, malgré la présence de courbes a</w:t>
      </w:r>
      <w:r w:rsidR="00043C6A">
        <w:rPr>
          <w:lang w:eastAsia="fr-FR"/>
        </w:rPr>
        <w:t xml:space="preserve">typiques, la problématique auditive du travailleur découlait d’une exposition au bruit. </w:t>
      </w:r>
    </w:p>
    <w:p w14:paraId="26089888" w14:textId="622D1EB2" w:rsidR="00043C6A" w:rsidRDefault="00043C6A" w:rsidP="00C20D0A">
      <w:pPr>
        <w:pStyle w:val="corpsdedcision"/>
        <w:rPr>
          <w:lang w:eastAsia="fr-FR"/>
        </w:rPr>
      </w:pPr>
      <w:r>
        <w:rPr>
          <w:lang w:eastAsia="fr-FR"/>
        </w:rPr>
        <w:t>Ainsi, à la lumière de la preuve dont il dispose, le Tribunal conclut à l’existence d’une atteinte auditive causée par le bruit.</w:t>
      </w:r>
    </w:p>
    <w:p w14:paraId="33EA8556" w14:textId="77FF8347" w:rsidR="00C20D0A" w:rsidRDefault="00043C6A" w:rsidP="00C20D0A">
      <w:pPr>
        <w:pStyle w:val="corpsdedcision"/>
        <w:rPr>
          <w:lang w:eastAsia="fr-FR"/>
        </w:rPr>
      </w:pPr>
      <w:r>
        <w:rPr>
          <w:lang w:eastAsia="fr-FR"/>
        </w:rPr>
        <w:t>Le premier élément de la présomption étant démontré, il convient de s’attarder à la preuve d’exposition à un bruit excessif.</w:t>
      </w:r>
    </w:p>
    <w:p w14:paraId="1A317D87" w14:textId="1B7C6D08" w:rsidR="004C2944" w:rsidRDefault="00690AC2" w:rsidP="00690AC2">
      <w:pPr>
        <w:pStyle w:val="Titre3"/>
      </w:pPr>
      <w:r>
        <w:t>Exposition à un bruit excessif</w:t>
      </w:r>
    </w:p>
    <w:p w14:paraId="29E587D8" w14:textId="77777777" w:rsidR="00690AC2" w:rsidRDefault="00690AC2" w:rsidP="00690AC2">
      <w:pPr>
        <w:pStyle w:val="corpsdedcision"/>
      </w:pPr>
      <w:r>
        <w:t xml:space="preserve">La notion de bruit excessif n’est pas définie par la Loi. Le Tribunal considère qu’un bruit </w:t>
      </w:r>
      <w:r w:rsidRPr="004D4919">
        <w:rPr>
          <w:rStyle w:val="Citationintgre"/>
          <w:i w:val="0"/>
          <w:iCs/>
          <w:sz w:val="24"/>
          <w:szCs w:val="22"/>
        </w:rPr>
        <w:t>«</w:t>
      </w:r>
      <w:r w:rsidRPr="00707024">
        <w:rPr>
          <w:rStyle w:val="Citationintgre"/>
        </w:rPr>
        <w:t> qui dépasse la mesure souhaitable ou permise; qui est trop grand; trop important; qui excède la mesure; exagéré; exorbitant.</w:t>
      </w:r>
      <w:r>
        <w:rPr>
          <w:rStyle w:val="Citationintgre"/>
        </w:rPr>
        <w:t> </w:t>
      </w:r>
      <w:r w:rsidRPr="004D4919">
        <w:rPr>
          <w:rStyle w:val="Citationintgre"/>
          <w:i w:val="0"/>
          <w:iCs/>
          <w:sz w:val="24"/>
          <w:szCs w:val="22"/>
        </w:rPr>
        <w:t>»</w:t>
      </w:r>
      <w:r w:rsidRPr="00ED3722">
        <w:rPr>
          <w:rStyle w:val="Appelnotedebasdep"/>
          <w:iCs/>
          <w:sz w:val="22"/>
        </w:rPr>
        <w:footnoteReference w:id="12"/>
      </w:r>
      <w:r>
        <w:t xml:space="preserve"> est excessif.</w:t>
      </w:r>
    </w:p>
    <w:p w14:paraId="483119B7" w14:textId="07062CEA" w:rsidR="00572101" w:rsidRDefault="00572101" w:rsidP="00572101">
      <w:pPr>
        <w:pStyle w:val="corpsdedcision"/>
      </w:pPr>
      <w:r>
        <w:t xml:space="preserve">Le travailleur explique qu’il travaillait </w:t>
      </w:r>
      <w:r w:rsidR="004E3C67">
        <w:t xml:space="preserve">du mois de septembre au mois de juin </w:t>
      </w:r>
      <w:r>
        <w:t>selon un horaire du lundi au vendredi de 8</w:t>
      </w:r>
      <w:r w:rsidR="00E22168">
        <w:t> </w:t>
      </w:r>
      <w:r>
        <w:t>h</w:t>
      </w:r>
      <w:r w:rsidR="00E22168">
        <w:t> </w:t>
      </w:r>
      <w:r>
        <w:t>30 à 16</w:t>
      </w:r>
      <w:r w:rsidR="00E22168">
        <w:t> </w:t>
      </w:r>
      <w:r>
        <w:t>h</w:t>
      </w:r>
      <w:r w:rsidR="00E22168">
        <w:t> </w:t>
      </w:r>
      <w:r>
        <w:t>30. Il consacrait environ 4</w:t>
      </w:r>
      <w:r w:rsidR="00E22168">
        <w:t> </w:t>
      </w:r>
      <w:r>
        <w:t>heures à 4,5</w:t>
      </w:r>
      <w:r w:rsidR="00E22168">
        <w:t> </w:t>
      </w:r>
      <w:r>
        <w:t>heures par jour aux cous d’éducation physique. Environ 80</w:t>
      </w:r>
      <w:r w:rsidR="00E22168">
        <w:t> </w:t>
      </w:r>
      <w:r>
        <w:t>% de ces cours se déroulaient dans le gymnase double. Afin de permettre à deux enseignants d’enseigner</w:t>
      </w:r>
      <w:r w:rsidR="00BF1A00">
        <w:t xml:space="preserve"> simultanément</w:t>
      </w:r>
      <w:r>
        <w:t xml:space="preserve"> à deux groupes </w:t>
      </w:r>
      <w:r w:rsidR="00BF1A00">
        <w:t xml:space="preserve">différents </w:t>
      </w:r>
      <w:r>
        <w:t>de 35</w:t>
      </w:r>
      <w:r w:rsidR="00BC5460">
        <w:t> </w:t>
      </w:r>
      <w:r>
        <w:t>élèves</w:t>
      </w:r>
      <w:r w:rsidR="00BF1A00">
        <w:t xml:space="preserve"> chacun</w:t>
      </w:r>
      <w:r>
        <w:t xml:space="preserve">, ce gymnase était séparé en deux par un simple rideau, sans propriété acoustique particulière. </w:t>
      </w:r>
    </w:p>
    <w:p w14:paraId="1EB45FE4" w14:textId="77777777" w:rsidR="00572101" w:rsidRDefault="00572101" w:rsidP="00572101">
      <w:pPr>
        <w:pStyle w:val="corpsdedcision"/>
      </w:pPr>
      <w:r>
        <w:t xml:space="preserve">Le reste de ses journées de travail était consacré à du travail de bureau ou des rencontres. Le bureau des enseignants d’éducation physique est attenant au gymnase. </w:t>
      </w:r>
    </w:p>
    <w:p w14:paraId="1C8F8013" w14:textId="662A24A9" w:rsidR="00572101" w:rsidRDefault="00572101" w:rsidP="00572101">
      <w:pPr>
        <w:pStyle w:val="corpsdedcision"/>
      </w:pPr>
      <w:r>
        <w:t xml:space="preserve">Le travailleur décrit que les sports enseignés étaient généralement des sports d’équipe impliquant des ballons et qu’il enseignait des techniques que les étudiants devaient mettre en application par la suite. Il considère que le gymnase était très bruyant. </w:t>
      </w:r>
    </w:p>
    <w:p w14:paraId="463CA454" w14:textId="0C885EEF" w:rsidR="00690AC2" w:rsidRDefault="00690AC2" w:rsidP="004C2944">
      <w:pPr>
        <w:pStyle w:val="corpsdedcision"/>
      </w:pPr>
      <w:r>
        <w:t>Comme l’indiquait récemment le Tribunal</w:t>
      </w:r>
      <w:r w:rsidR="00FF4496">
        <w:rPr>
          <w:rStyle w:val="Appelnotedebasdep"/>
        </w:rPr>
        <w:footnoteReference w:id="13"/>
      </w:r>
      <w:r>
        <w:t xml:space="preserve">, le travailleur n’a pas à faire la démonstration de son exposition au bruit par le biais d’une étude </w:t>
      </w:r>
      <w:r w:rsidR="00BF1A00">
        <w:t xml:space="preserve">qui lui est </w:t>
      </w:r>
      <w:r>
        <w:t>spécifique :</w:t>
      </w:r>
    </w:p>
    <w:p w14:paraId="0022E1BD" w14:textId="09F54734" w:rsidR="00690AC2" w:rsidRDefault="00690AC2" w:rsidP="00690AC2">
      <w:pPr>
        <w:pStyle w:val="citation"/>
      </w:pPr>
      <w:r w:rsidRPr="00690AC2">
        <w:t>[26]      Par ailleurs, la production d’une étude de bruit n’est pas nécessaire pour démontrer une exposition excessive au bruit. Cette deuxième condition d’application de la présomption peut être satisfaite par le témoignage du travailleur établissant les sources du bruit environnant, le temps d’exposition et le niveau de bruit auxquels il a été confronté, le tout, à partir de données objectives et fiables.</w:t>
      </w:r>
    </w:p>
    <w:p w14:paraId="1F279B9E" w14:textId="77777777" w:rsidR="002846F9" w:rsidRDefault="002846F9" w:rsidP="00690AC2">
      <w:pPr>
        <w:pStyle w:val="citation"/>
      </w:pPr>
    </w:p>
    <w:p w14:paraId="3AC1C148" w14:textId="47B22D38" w:rsidR="002846F9" w:rsidRDefault="002846F9" w:rsidP="001F79AF">
      <w:pPr>
        <w:pStyle w:val="citation"/>
        <w:rPr>
          <w:rFonts w:cs="Arial"/>
        </w:rPr>
      </w:pPr>
      <w:r w:rsidRPr="001F79AF">
        <w:rPr>
          <w:rFonts w:cs="Arial"/>
          <w:sz w:val="24"/>
          <w:szCs w:val="24"/>
        </w:rPr>
        <w:t>[Notes omises]</w:t>
      </w:r>
    </w:p>
    <w:p w14:paraId="1ADD31C4" w14:textId="77777777" w:rsidR="001F79AF" w:rsidRDefault="001F79AF" w:rsidP="001F79AF">
      <w:pPr>
        <w:pStyle w:val="citation"/>
        <w:rPr>
          <w:rFonts w:cs="Arial"/>
        </w:rPr>
      </w:pPr>
    </w:p>
    <w:p w14:paraId="2CFC5BFC" w14:textId="77777777" w:rsidR="001F79AF" w:rsidRPr="001F79AF" w:rsidRDefault="001F79AF" w:rsidP="001F79AF">
      <w:pPr>
        <w:pStyle w:val="citation"/>
      </w:pPr>
    </w:p>
    <w:p w14:paraId="5D518088" w14:textId="2C96B835" w:rsidR="00690AC2" w:rsidRDefault="002846F9" w:rsidP="004C2944">
      <w:pPr>
        <w:pStyle w:val="corpsdedcision"/>
      </w:pPr>
      <w:r>
        <w:t>Dans la présente affaire, le Tribunal dispose d’une étude de bruit réalisée en janvier</w:t>
      </w:r>
      <w:r w:rsidR="001F79AF">
        <w:t> </w:t>
      </w:r>
      <w:r>
        <w:t>2024 dans certains lieux de l’établissement de l’employeur, dont le gymnase où le travailleur effectuait une bonne partie de sa prestation de travail.</w:t>
      </w:r>
    </w:p>
    <w:p w14:paraId="686F7846" w14:textId="7EAE55B7" w:rsidR="002846F9" w:rsidRDefault="002846F9" w:rsidP="004C2944">
      <w:pPr>
        <w:pStyle w:val="corpsdedcision"/>
      </w:pPr>
      <w:r>
        <w:t xml:space="preserve">Bien que le travailleur </w:t>
      </w:r>
      <w:r w:rsidR="00CB327D">
        <w:t>fût</w:t>
      </w:r>
      <w:r>
        <w:t xml:space="preserve"> à la retraite au moment de l’évaluation en cause, la preuve révèle qu’elle a été faite dans des conditions très similaires à celles qui prévalaient alors que le travailleur occupait son emploi. </w:t>
      </w:r>
    </w:p>
    <w:p w14:paraId="2375B54C" w14:textId="13221063" w:rsidR="002846F9" w:rsidRDefault="002846F9" w:rsidP="004C2944">
      <w:pPr>
        <w:pStyle w:val="corpsdedcision"/>
      </w:pPr>
      <w:r>
        <w:t>L’évaluation du bruit ambiant du gymnase est de 72,8</w:t>
      </w:r>
      <w:r w:rsidR="001F79AF">
        <w:t> </w:t>
      </w:r>
      <w:r w:rsidR="00572101">
        <w:t>dBA en</w:t>
      </w:r>
      <w:r>
        <w:t xml:space="preserve"> moyenne avec des pointes à 100</w:t>
      </w:r>
      <w:r w:rsidR="001F79AF">
        <w:t> </w:t>
      </w:r>
      <w:r>
        <w:t>dBA et des creux à 50</w:t>
      </w:r>
      <w:r w:rsidR="001F79AF">
        <w:t> </w:t>
      </w:r>
      <w:r>
        <w:t>dBA.</w:t>
      </w:r>
    </w:p>
    <w:p w14:paraId="58BDD0FC" w14:textId="352339B0" w:rsidR="002846F9" w:rsidRDefault="002846F9" w:rsidP="004C2944">
      <w:pPr>
        <w:pStyle w:val="corpsdedcision"/>
      </w:pPr>
      <w:r>
        <w:t xml:space="preserve">En ce qui concerne les mesures prises </w:t>
      </w:r>
      <w:r w:rsidR="00D01016">
        <w:t>par un micro placé au col</w:t>
      </w:r>
      <w:r>
        <w:t xml:space="preserve"> de l’enseignant d’éducation physique présent à ce moment, la moyenne </w:t>
      </w:r>
      <w:r w:rsidR="00CB327D">
        <w:t>calculée pour un cours de 50</w:t>
      </w:r>
      <w:r w:rsidR="001F79AF">
        <w:t> </w:t>
      </w:r>
      <w:r w:rsidR="00CB327D">
        <w:t xml:space="preserve">minutes </w:t>
      </w:r>
      <w:r>
        <w:t>est de 97,7</w:t>
      </w:r>
      <w:r w:rsidR="001F79AF">
        <w:t> </w:t>
      </w:r>
      <w:r>
        <w:t>dBA avec des pointes à 115</w:t>
      </w:r>
      <w:r w:rsidR="001F79AF">
        <w:t> </w:t>
      </w:r>
      <w:r>
        <w:t>dBA et des creux à 70</w:t>
      </w:r>
      <w:r w:rsidR="001F79AF">
        <w:t> </w:t>
      </w:r>
      <w:r>
        <w:t>dBA.</w:t>
      </w:r>
    </w:p>
    <w:p w14:paraId="0021963D" w14:textId="248B5F31" w:rsidR="00572101" w:rsidRDefault="00572101" w:rsidP="004C2944">
      <w:pPr>
        <w:pStyle w:val="corpsdedcision"/>
      </w:pPr>
      <w:r>
        <w:t>La preuve révèle que ces mesures ont été prises alors que les étudiants d’un groupe disputaient un match de basketball</w:t>
      </w:r>
      <w:r w:rsidR="007B1769">
        <w:t xml:space="preserve"> </w:t>
      </w:r>
      <w:r>
        <w:t xml:space="preserve">et que ceux du second groupe </w:t>
      </w:r>
      <w:r w:rsidRPr="00F827F7">
        <w:t>pratiquai</w:t>
      </w:r>
      <w:r w:rsidR="00DD2817" w:rsidRPr="00F827F7">
        <w:t>en</w:t>
      </w:r>
      <w:r w:rsidRPr="00F827F7">
        <w:t>t l’escalade</w:t>
      </w:r>
      <w:r>
        <w:t xml:space="preserve">, une activité non bruyante. </w:t>
      </w:r>
    </w:p>
    <w:p w14:paraId="2A7F9B81" w14:textId="5E705DA2" w:rsidR="00D01016" w:rsidRDefault="00572101" w:rsidP="004C2944">
      <w:pPr>
        <w:pStyle w:val="corpsdedcision"/>
      </w:pPr>
      <w:r>
        <w:t>L’auteur du rapport, un ingénieur</w:t>
      </w:r>
      <w:r w:rsidR="00D01016">
        <w:t>, ne semble pas accord</w:t>
      </w:r>
      <w:r w:rsidR="00CB327D">
        <w:t>er</w:t>
      </w:r>
      <w:r w:rsidR="00D01016">
        <w:t xml:space="preserve"> une importance particulière aux mesures prises au col de l’enseignant. À la lecture de son rapport, on peut comprendre qu’il est d’avis que les pointes de bruit proviennent de la voix de l’enseignant et des coups de sifflet et que le réflexe stapédien devrait protéger l’oreille de celui-ci. De plus, il base son raisonnement sur le fait que la voix des travailleurs n’est pas prise en compte dans les évaluations sonores en industrie puisque, selon lui, elle contribue de façon négligeable comparativement aux sources industrielles de bruit. </w:t>
      </w:r>
      <w:r w:rsidR="00CB327D">
        <w:t>Il convient de noter que celui-ci n’a pas témoigné à l’audience.</w:t>
      </w:r>
      <w:r w:rsidR="00D01016">
        <w:t xml:space="preserve"> </w:t>
      </w:r>
    </w:p>
    <w:p w14:paraId="5330DD22" w14:textId="66DA79D0" w:rsidR="00572101" w:rsidRDefault="00D01016" w:rsidP="004C2944">
      <w:pPr>
        <w:pStyle w:val="corpsdedcision"/>
      </w:pPr>
      <w:r>
        <w:t xml:space="preserve">Avec égards, le Tribunal ne peut retenir ces prétentions. En effet, il ne s’agit pas d’une évaluation faite dans une industrie, mais bien dans une école. L’ingénieur doit en tenir compte ou, minimalement, expliquer pourquoi il ne le fait pas. De plus, </w:t>
      </w:r>
      <w:r w:rsidR="004E3C67">
        <w:t xml:space="preserve">l’argument non étayé de </w:t>
      </w:r>
      <w:r>
        <w:t>l’impact</w:t>
      </w:r>
      <w:r w:rsidR="004E3C67">
        <w:t xml:space="preserve"> présumé</w:t>
      </w:r>
      <w:r>
        <w:t xml:space="preserve"> du réflexe stapédien sur </w:t>
      </w:r>
      <w:r w:rsidR="004E3C67">
        <w:t xml:space="preserve">la situation ne convainc pas. </w:t>
      </w:r>
    </w:p>
    <w:p w14:paraId="5C6D3143" w14:textId="14B874F5" w:rsidR="004E3C67" w:rsidRDefault="004E3C67" w:rsidP="004C2944">
      <w:pPr>
        <w:pStyle w:val="corpsdedcision"/>
      </w:pPr>
      <w:r>
        <w:t>Ainsi, le Tribunal retient que, d</w:t>
      </w:r>
      <w:r w:rsidR="00CB327D">
        <w:t xml:space="preserve">urant une période de cours de </w:t>
      </w:r>
      <w:r>
        <w:t>50</w:t>
      </w:r>
      <w:r w:rsidR="001F79AF">
        <w:t> </w:t>
      </w:r>
      <w:r>
        <w:t>minutes dans le gymnase, le bruit mesuré à proximité des oreilles de l’enseignant était en moyenne de 97,7</w:t>
      </w:r>
      <w:r w:rsidR="001F79AF">
        <w:t> </w:t>
      </w:r>
      <w:r>
        <w:t>dBA.</w:t>
      </w:r>
    </w:p>
    <w:p w14:paraId="35E4B468" w14:textId="0CEEB351" w:rsidR="004E3C67" w:rsidRDefault="004E3C67" w:rsidP="004C2944">
      <w:pPr>
        <w:pStyle w:val="corpsdedcision"/>
      </w:pPr>
      <w:r>
        <w:t xml:space="preserve">Considérant la nature des sources de bruit à ce moment et la preuve présentée par le travailleur, le Tribunal conclut que ce niveau sonore n’est pas extravagant, en ce sens qu’il ne s’agit pas d’un cas particulièrement bruyant </w:t>
      </w:r>
      <w:r w:rsidR="005B2B7A">
        <w:t>qui n’est pas représentatif de la réalité professionnelle du travailleur.</w:t>
      </w:r>
      <w:r w:rsidR="007B1769">
        <w:t xml:space="preserve"> Ce niveau sonore est représentatif de son exposition au bruit au moment où il enseigne.</w:t>
      </w:r>
    </w:p>
    <w:p w14:paraId="0160DC7F" w14:textId="7A0A6E77" w:rsidR="004E3C67" w:rsidRDefault="004E3C67" w:rsidP="004C2944">
      <w:pPr>
        <w:pStyle w:val="corpsdedcision"/>
      </w:pPr>
      <w:r>
        <w:t>Le Tribunal retient que le travailleur était exposé quotidiennement à des bruit</w:t>
      </w:r>
      <w:r w:rsidR="001A789F">
        <w:t>s d’environ 97</w:t>
      </w:r>
      <w:r w:rsidR="001F79AF">
        <w:t> </w:t>
      </w:r>
      <w:r w:rsidR="001A789F">
        <w:t>dBA durant 4</w:t>
      </w:r>
      <w:r w:rsidR="001F79AF">
        <w:t> </w:t>
      </w:r>
      <w:r w:rsidR="001A789F">
        <w:t>heures à 4,5</w:t>
      </w:r>
      <w:r w:rsidR="001F79AF">
        <w:t> </w:t>
      </w:r>
      <w:r w:rsidR="001A789F">
        <w:t>heures.</w:t>
      </w:r>
    </w:p>
    <w:p w14:paraId="4E071759" w14:textId="5B31A170" w:rsidR="001A789F" w:rsidRDefault="001A789F" w:rsidP="001A789F">
      <w:pPr>
        <w:pStyle w:val="corpsdedcision"/>
      </w:pPr>
      <w:r>
        <w:t xml:space="preserve">Le </w:t>
      </w:r>
      <w:r w:rsidRPr="005442BB">
        <w:rPr>
          <w:i/>
          <w:iCs/>
        </w:rPr>
        <w:t xml:space="preserve">Règlement sur la santé </w:t>
      </w:r>
      <w:r w:rsidR="00C46C79" w:rsidRPr="007B1769">
        <w:rPr>
          <w:i/>
          <w:iCs/>
        </w:rPr>
        <w:t xml:space="preserve">et </w:t>
      </w:r>
      <w:r w:rsidRPr="007B1769">
        <w:rPr>
          <w:i/>
          <w:iCs/>
        </w:rPr>
        <w:t>l</w:t>
      </w:r>
      <w:r w:rsidRPr="005442BB">
        <w:rPr>
          <w:i/>
          <w:iCs/>
        </w:rPr>
        <w:t>a sécurité du travail</w:t>
      </w:r>
      <w:r w:rsidRPr="004D4919">
        <w:rPr>
          <w:rStyle w:val="Appelnotedebasdep"/>
        </w:rPr>
        <w:footnoteReference w:id="14"/>
      </w:r>
      <w:r>
        <w:t xml:space="preserve">, le RSST, a pour objet d’établir des normes </w:t>
      </w:r>
      <w:r w:rsidRPr="004D4919">
        <w:rPr>
          <w:rStyle w:val="Citationintgre"/>
          <w:i w:val="0"/>
          <w:iCs/>
          <w:sz w:val="24"/>
          <w:szCs w:val="22"/>
        </w:rPr>
        <w:t>«</w:t>
      </w:r>
      <w:r w:rsidRPr="00A01E3F">
        <w:rPr>
          <w:rStyle w:val="Citationintgre"/>
        </w:rPr>
        <w:t> en vue d’assurer la qualité du milieu de travail, de protéger la santé des travailleurs et d’assurer leur sécurité et leur intégrité physique </w:t>
      </w:r>
      <w:r w:rsidRPr="004D4919">
        <w:rPr>
          <w:rStyle w:val="Citationintgre"/>
          <w:i w:val="0"/>
          <w:iCs/>
          <w:sz w:val="24"/>
          <w:szCs w:val="22"/>
        </w:rPr>
        <w:t>»</w:t>
      </w:r>
      <w:r>
        <w:rPr>
          <w:rStyle w:val="Appelnotedebasdep"/>
        </w:rPr>
        <w:footnoteReference w:id="15"/>
      </w:r>
      <w:r>
        <w:t>, notamment en matière de bruit.</w:t>
      </w:r>
    </w:p>
    <w:p w14:paraId="01177E83" w14:textId="77777777" w:rsidR="001A789F" w:rsidRDefault="001A789F" w:rsidP="001A789F">
      <w:pPr>
        <w:pStyle w:val="corpsdedcision"/>
      </w:pPr>
      <w:r>
        <w:t>Les normes établies par le RSST ne constituent pas un barème fixe permettant de conclure à l’existence d’une lésion professionnelle en raison du simple dépassement des seuils</w:t>
      </w:r>
      <w:r>
        <w:rPr>
          <w:rStyle w:val="Appelnotedebasdep"/>
        </w:rPr>
        <w:footnoteReference w:id="16"/>
      </w:r>
      <w:r>
        <w:t>. Toutefois, ceux-ci peuvent servir de base afin de déterminer ce qui est raisonnable ou souhaitable.</w:t>
      </w:r>
    </w:p>
    <w:p w14:paraId="7D5D1E82" w14:textId="1BD2DC2F" w:rsidR="001A789F" w:rsidRDefault="001A789F" w:rsidP="001A789F">
      <w:pPr>
        <w:pStyle w:val="corpsdedcision"/>
      </w:pPr>
      <w:r>
        <w:t>Le Tribunal constate que l’exposition du travailleur dépasse nettement le temps d’exposition prévu au RSST. En effet, l’exposition maximale par jour à des bruits de 97</w:t>
      </w:r>
      <w:r w:rsidR="001F79AF">
        <w:t> </w:t>
      </w:r>
      <w:r>
        <w:t>dBA est de 30</w:t>
      </w:r>
      <w:r w:rsidR="001F79AF">
        <w:t> </w:t>
      </w:r>
      <w:r>
        <w:t>minutes</w:t>
      </w:r>
      <w:r>
        <w:rPr>
          <w:rStyle w:val="Appelnotedebasdep"/>
        </w:rPr>
        <w:footnoteReference w:id="17"/>
      </w:r>
      <w:r>
        <w:t>. Rappelons que le travailleur est exposé à ce bruit au moins 4</w:t>
      </w:r>
      <w:r w:rsidR="001F79AF">
        <w:t> </w:t>
      </w:r>
      <w:r>
        <w:t xml:space="preserve">heures par jour. </w:t>
      </w:r>
    </w:p>
    <w:p w14:paraId="786866E6" w14:textId="13EBB398" w:rsidR="001A789F" w:rsidRDefault="001A789F" w:rsidP="001A789F">
      <w:pPr>
        <w:pStyle w:val="corpsdedcision"/>
      </w:pPr>
      <w:r>
        <w:t xml:space="preserve">Le travailleur a démontré avoir </w:t>
      </w:r>
      <w:r w:rsidR="00BC5460" w:rsidRPr="007B1769">
        <w:t>exercé</w:t>
      </w:r>
      <w:r w:rsidR="002203FA">
        <w:rPr>
          <w:color w:val="FF0000"/>
        </w:rPr>
        <w:t xml:space="preserve"> </w:t>
      </w:r>
      <w:r>
        <w:t>un travail l’exposant à un bruit excessif. Les deux composantes de la présomption étant démontré</w:t>
      </w:r>
      <w:r w:rsidRPr="007B1769">
        <w:t>e</w:t>
      </w:r>
      <w:r w:rsidR="00BC5460" w:rsidRPr="007B1769">
        <w:t>s</w:t>
      </w:r>
      <w:r>
        <w:t xml:space="preserve">, il est présumé que la surdité neurosensorielle bilatérale dont il est porteur est </w:t>
      </w:r>
      <w:r w:rsidR="00A958C2">
        <w:t xml:space="preserve">une maladie professionnelle donnant droit aux prestations prévues par la Loi. </w:t>
      </w:r>
    </w:p>
    <w:p w14:paraId="6459D6B6" w14:textId="39949B3B" w:rsidR="001A789F" w:rsidRPr="00B51F99" w:rsidRDefault="00A958C2" w:rsidP="004C2944">
      <w:pPr>
        <w:pStyle w:val="corpsdedcision"/>
      </w:pPr>
      <w:r>
        <w:t>Aucune preuve n’a été présentée afin de renverser cette présomption. Le Tribunal accueille donc l’acte introductif du travailleur et déclare qu’il est atteint d’une maladie professionnelle depuis le 16</w:t>
      </w:r>
      <w:r w:rsidR="001F79AF">
        <w:t> </w:t>
      </w:r>
      <w:r>
        <w:t>novembre</w:t>
      </w:r>
      <w:r w:rsidR="001F79AF">
        <w:t> </w:t>
      </w:r>
      <w:r>
        <w:t>2022, soit une surdité neurosensorielle bilatérale.</w:t>
      </w:r>
    </w:p>
    <w:p w14:paraId="77A96F58"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3A2171DD" w14:textId="661AA8BA" w:rsidR="00C74B6F" w:rsidRDefault="00A35715">
      <w:pPr>
        <w:pStyle w:val="Dispositif"/>
      </w:pPr>
      <w:r>
        <w:rPr>
          <w:b/>
        </w:rPr>
        <w:t>ACCUEILLE</w:t>
      </w:r>
      <w:r>
        <w:t xml:space="preserve"> l’acte introductif du travailleur, monsieur André Lessard;</w:t>
      </w:r>
    </w:p>
    <w:p w14:paraId="13EE3461" w14:textId="71357CD8" w:rsidR="00A35715" w:rsidRDefault="00A35715">
      <w:pPr>
        <w:pStyle w:val="Dispositif"/>
      </w:pPr>
      <w:r>
        <w:rPr>
          <w:b/>
        </w:rPr>
        <w:t>INFIRME</w:t>
      </w:r>
      <w:r>
        <w:t xml:space="preserve"> la décision de la Commission des normes, de l’équité, de la santé et de la sécurité du travail rendue le 2</w:t>
      </w:r>
      <w:r w:rsidR="001F79AF">
        <w:t> </w:t>
      </w:r>
      <w:r>
        <w:t>mai</w:t>
      </w:r>
      <w:r w:rsidR="001F79AF">
        <w:t> </w:t>
      </w:r>
      <w:r>
        <w:t>2023</w:t>
      </w:r>
      <w:r w:rsidR="00557745">
        <w:t>,</w:t>
      </w:r>
      <w:r>
        <w:t xml:space="preserve"> à la suite d’une révision administrative;</w:t>
      </w:r>
    </w:p>
    <w:p w14:paraId="63042714" w14:textId="08F99977" w:rsidR="00A35715" w:rsidRDefault="00A35715">
      <w:pPr>
        <w:pStyle w:val="Dispositif"/>
      </w:pPr>
      <w:r>
        <w:rPr>
          <w:b/>
        </w:rPr>
        <w:t>DÉCLARE</w:t>
      </w:r>
      <w:r>
        <w:t xml:space="preserve"> que le travailleur est porteur d’une maladie professionnelle s’étant manifestée le </w:t>
      </w:r>
      <w:r w:rsidR="001650E8">
        <w:t>16</w:t>
      </w:r>
      <w:r w:rsidR="001F79AF">
        <w:t> </w:t>
      </w:r>
      <w:r w:rsidR="001650E8">
        <w:t>novembre</w:t>
      </w:r>
      <w:r w:rsidR="00BB1DB7">
        <w:t> </w:t>
      </w:r>
      <w:r w:rsidR="001650E8">
        <w:t>2022</w:t>
      </w:r>
      <w:r>
        <w:t>;</w:t>
      </w:r>
    </w:p>
    <w:p w14:paraId="59E41BC2" w14:textId="5F7FA3B2" w:rsidR="00A35715" w:rsidRDefault="00A35715">
      <w:pPr>
        <w:pStyle w:val="Dispositif"/>
      </w:pPr>
      <w:r>
        <w:rPr>
          <w:b/>
        </w:rPr>
        <w:t>DÉCLARE</w:t>
      </w:r>
      <w:r>
        <w:t xml:space="preserve"> que le travailleur a droit aux prestations prévues par la </w:t>
      </w:r>
      <w:r w:rsidRPr="00C57EEB">
        <w:rPr>
          <w:i/>
          <w:iCs/>
        </w:rPr>
        <w:t>Loi sur les accidents du travail et les maladies professionnelles</w:t>
      </w:r>
      <w:r>
        <w:t>.</w:t>
      </w:r>
    </w:p>
    <w:p w14:paraId="3019FE88"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31D4C375" w14:textId="77777777">
        <w:tc>
          <w:tcPr>
            <w:tcW w:w="4795" w:type="dxa"/>
          </w:tcPr>
          <w:p w14:paraId="704679AD" w14:textId="77777777" w:rsidR="00C74B6F" w:rsidRDefault="00C74B6F"/>
        </w:tc>
        <w:tc>
          <w:tcPr>
            <w:tcW w:w="4795" w:type="dxa"/>
          </w:tcPr>
          <w:p w14:paraId="5AB6CC9F" w14:textId="77777777" w:rsidR="00C74B6F" w:rsidRDefault="00C74B6F">
            <w:bookmarkStart w:id="13" w:name="signature"/>
            <w:bookmarkEnd w:id="13"/>
            <w:r>
              <w:t>__________________________________</w:t>
            </w:r>
          </w:p>
        </w:tc>
      </w:tr>
      <w:tr w:rsidR="00C74B6F" w14:paraId="6051CAFB" w14:textId="77777777">
        <w:tc>
          <w:tcPr>
            <w:tcW w:w="4795" w:type="dxa"/>
          </w:tcPr>
          <w:p w14:paraId="4A5B3539" w14:textId="77777777" w:rsidR="00C74B6F" w:rsidRDefault="00C74B6F"/>
        </w:tc>
        <w:tc>
          <w:tcPr>
            <w:tcW w:w="4795" w:type="dxa"/>
          </w:tcPr>
          <w:p w14:paraId="28159DC1" w14:textId="63D71F53" w:rsidR="00C74B6F" w:rsidRDefault="00F81579">
            <w:r>
              <w:t xml:space="preserve">Louis-Charles Dufour-Grégoire, j.a.t.a.t. </w:t>
            </w:r>
          </w:p>
        </w:tc>
      </w:tr>
      <w:tr w:rsidR="00C74B6F" w14:paraId="3352423F" w14:textId="77777777">
        <w:trPr>
          <w:cantSplit/>
        </w:trPr>
        <w:tc>
          <w:tcPr>
            <w:tcW w:w="9590" w:type="dxa"/>
            <w:gridSpan w:val="2"/>
          </w:tcPr>
          <w:p w14:paraId="3CE4DF2B" w14:textId="77777777" w:rsidR="00C74B6F" w:rsidRDefault="00C74B6F"/>
        </w:tc>
      </w:tr>
      <w:tr w:rsidR="001F79AF" w14:paraId="71DE20D2" w14:textId="77777777">
        <w:trPr>
          <w:cantSplit/>
        </w:trPr>
        <w:tc>
          <w:tcPr>
            <w:tcW w:w="9590" w:type="dxa"/>
            <w:gridSpan w:val="2"/>
          </w:tcPr>
          <w:p w14:paraId="052830A0" w14:textId="77777777" w:rsidR="001F79AF" w:rsidRDefault="001F79AF"/>
        </w:tc>
      </w:tr>
      <w:tr w:rsidR="00C74B6F" w14:paraId="0695D959" w14:textId="77777777">
        <w:trPr>
          <w:cantSplit/>
        </w:trPr>
        <w:tc>
          <w:tcPr>
            <w:tcW w:w="9590" w:type="dxa"/>
            <w:gridSpan w:val="2"/>
          </w:tcPr>
          <w:p w14:paraId="75C44B9E" w14:textId="77777777" w:rsidR="00C74B6F" w:rsidRPr="00C912F9" w:rsidRDefault="00C74B6F" w:rsidP="00EC5C8D">
            <w:pPr>
              <w:tabs>
                <w:tab w:val="left" w:pos="1592"/>
              </w:tabs>
            </w:pPr>
          </w:p>
        </w:tc>
      </w:tr>
      <w:tr w:rsidR="00C74B6F" w14:paraId="057475A2" w14:textId="77777777">
        <w:trPr>
          <w:cantSplit/>
        </w:trPr>
        <w:tc>
          <w:tcPr>
            <w:tcW w:w="9590" w:type="dxa"/>
            <w:gridSpan w:val="2"/>
          </w:tcPr>
          <w:p w14:paraId="3DBFE301" w14:textId="77777777" w:rsidR="00C74B6F" w:rsidRDefault="00C74B6F"/>
        </w:tc>
      </w:tr>
      <w:tr w:rsidR="00C74B6F" w14:paraId="52D6F09F" w14:textId="77777777">
        <w:trPr>
          <w:cantSplit/>
        </w:trPr>
        <w:tc>
          <w:tcPr>
            <w:tcW w:w="9590" w:type="dxa"/>
            <w:gridSpan w:val="2"/>
          </w:tcPr>
          <w:p w14:paraId="416ECDB8" w14:textId="48E4163A" w:rsidR="00C74B6F" w:rsidRDefault="00F81579">
            <w:pPr>
              <w:pStyle w:val="zSoquijdatNomProcureurDem"/>
            </w:pPr>
            <w:r>
              <w:t>M</w:t>
            </w:r>
            <w:r w:rsidRPr="00F81579">
              <w:rPr>
                <w:vertAlign w:val="superscript"/>
              </w:rPr>
              <w:t>e</w:t>
            </w:r>
            <w:r>
              <w:t xml:space="preserve"> Laurence Dufault-Arsenault</w:t>
            </w:r>
          </w:p>
        </w:tc>
      </w:tr>
      <w:tr w:rsidR="00C74B6F" w14:paraId="34DA7A50" w14:textId="77777777">
        <w:trPr>
          <w:cantSplit/>
        </w:trPr>
        <w:tc>
          <w:tcPr>
            <w:tcW w:w="9590" w:type="dxa"/>
            <w:gridSpan w:val="2"/>
          </w:tcPr>
          <w:p w14:paraId="1AD9E95E" w14:textId="723BA163" w:rsidR="00C74B6F" w:rsidRDefault="00F81579">
            <w:pPr>
              <w:pStyle w:val="zSoquijdatCabinetProcureurDem"/>
            </w:pPr>
            <w:r>
              <w:t>LES SERVICES JURIDIQUES DE LA CSQ</w:t>
            </w:r>
          </w:p>
        </w:tc>
      </w:tr>
      <w:tr w:rsidR="00C74B6F" w14:paraId="754A0F70" w14:textId="77777777">
        <w:trPr>
          <w:cantSplit/>
        </w:trPr>
        <w:tc>
          <w:tcPr>
            <w:tcW w:w="9590" w:type="dxa"/>
            <w:gridSpan w:val="2"/>
          </w:tcPr>
          <w:p w14:paraId="3C932D9F" w14:textId="77777777" w:rsidR="00C74B6F" w:rsidRDefault="00CB05A7">
            <w:pPr>
              <w:pStyle w:val="zSoquijlblProcureurDem"/>
            </w:pPr>
            <w:r>
              <w:t>Pour la partie demanderesse</w:t>
            </w:r>
          </w:p>
        </w:tc>
      </w:tr>
      <w:tr w:rsidR="00C74B6F" w14:paraId="572E3CE3" w14:textId="77777777">
        <w:trPr>
          <w:cantSplit/>
        </w:trPr>
        <w:tc>
          <w:tcPr>
            <w:tcW w:w="9590" w:type="dxa"/>
            <w:gridSpan w:val="2"/>
          </w:tcPr>
          <w:p w14:paraId="353F445C" w14:textId="77777777" w:rsidR="00C74B6F" w:rsidRDefault="00C74B6F"/>
        </w:tc>
      </w:tr>
      <w:tr w:rsidR="00C15A3F" w14:paraId="59F38AFA" w14:textId="77777777">
        <w:trPr>
          <w:cantSplit/>
        </w:trPr>
        <w:tc>
          <w:tcPr>
            <w:tcW w:w="9590" w:type="dxa"/>
            <w:gridSpan w:val="2"/>
          </w:tcPr>
          <w:p w14:paraId="7472249D" w14:textId="7020E60D" w:rsidR="00C15A3F" w:rsidRDefault="00C15A3F" w:rsidP="000E56A6">
            <w:pPr>
              <w:pStyle w:val="zSoquijdatDateAudience"/>
            </w:pPr>
            <w:bookmarkStart w:id="14" w:name="Date_derniere_audience"/>
            <w:bookmarkEnd w:id="14"/>
            <w:r>
              <w:t xml:space="preserve">Date de la </w:t>
            </w:r>
            <w:r w:rsidR="00CC6338">
              <w:t>mise en délibéré</w:t>
            </w:r>
            <w:r>
              <w:t> :</w:t>
            </w:r>
            <w:r w:rsidR="00597016">
              <w:tab/>
            </w:r>
            <w:r w:rsidR="00F81579">
              <w:t>18</w:t>
            </w:r>
            <w:r w:rsidR="001F79AF">
              <w:t> </w:t>
            </w:r>
            <w:r w:rsidR="00F81579">
              <w:t>février</w:t>
            </w:r>
            <w:r w:rsidR="001F79AF">
              <w:t> </w:t>
            </w:r>
            <w:r w:rsidR="00F81579">
              <w:t>2025</w:t>
            </w:r>
          </w:p>
        </w:tc>
      </w:tr>
    </w:tbl>
    <w:p w14:paraId="6F27810B" w14:textId="77777777" w:rsidR="00F76B4A" w:rsidRDefault="00F76B4A" w:rsidP="00F73D1C"/>
    <w:p w14:paraId="598E763C"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9CF351" w14:textId="77777777" w:rsidR="00F81579" w:rsidRDefault="00F81579">
      <w:r>
        <w:separator/>
      </w:r>
    </w:p>
  </w:endnote>
  <w:endnote w:type="continuationSeparator" w:id="0">
    <w:p w14:paraId="68715E51" w14:textId="77777777" w:rsidR="00F81579" w:rsidRDefault="00F815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136793" w14:textId="77777777" w:rsidR="00F81579" w:rsidRDefault="00F81579">
      <w:r>
        <w:separator/>
      </w:r>
    </w:p>
  </w:footnote>
  <w:footnote w:type="continuationSeparator" w:id="0">
    <w:p w14:paraId="683E05E7" w14:textId="77777777" w:rsidR="00F81579" w:rsidRDefault="00F81579">
      <w:r>
        <w:continuationSeparator/>
      </w:r>
    </w:p>
  </w:footnote>
  <w:footnote w:id="1">
    <w:p w14:paraId="246ABC75" w14:textId="68887F63" w:rsidR="003530E8" w:rsidRPr="003530E8" w:rsidRDefault="003530E8" w:rsidP="003530E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Lors des années scolaires 1988-1989 et 1989-1990, il travaillait chez le même employeur</w:t>
      </w:r>
      <w:r w:rsidR="00DD2817">
        <w:rPr>
          <w:rFonts w:cs="Arial"/>
          <w:sz w:val="20"/>
        </w:rPr>
        <w:t>,</w:t>
      </w:r>
      <w:r>
        <w:rPr>
          <w:rFonts w:cs="Arial"/>
          <w:sz w:val="20"/>
        </w:rPr>
        <w:t xml:space="preserve"> mais il n’avait pas une tâche d’enseignement complète, </w:t>
      </w:r>
      <w:r w:rsidR="00404C51">
        <w:rPr>
          <w:rFonts w:cs="Arial"/>
          <w:sz w:val="20"/>
        </w:rPr>
        <w:t>il y</w:t>
      </w:r>
      <w:r>
        <w:rPr>
          <w:rFonts w:cs="Arial"/>
          <w:sz w:val="20"/>
        </w:rPr>
        <w:t xml:space="preserve"> travaillait à temps partiel. </w:t>
      </w:r>
    </w:p>
  </w:footnote>
  <w:footnote w:id="2">
    <w:p w14:paraId="67BD63F5" w14:textId="77777777" w:rsidR="00A35715" w:rsidRDefault="00A35715"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3">
    <w:p w14:paraId="037774EA" w14:textId="555C8518" w:rsidR="00693614" w:rsidRPr="00693614" w:rsidRDefault="00693614" w:rsidP="0069361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204 et suivants de la Loi.</w:t>
      </w:r>
    </w:p>
  </w:footnote>
  <w:footnote w:id="4">
    <w:p w14:paraId="0835523C" w14:textId="6CB1F9B0" w:rsidR="00693614" w:rsidRPr="00693614" w:rsidRDefault="00693614" w:rsidP="0069361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224 de la Loi.</w:t>
      </w:r>
    </w:p>
  </w:footnote>
  <w:footnote w:id="5">
    <w:p w14:paraId="40ED4F68" w14:textId="61FA70B2" w:rsidR="00B41E74" w:rsidRPr="00B41E74" w:rsidRDefault="00B41E74" w:rsidP="00B41E7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RLRQ </w:t>
      </w:r>
      <w:r w:rsidRPr="00B41E74">
        <w:rPr>
          <w:rFonts w:cs="Arial"/>
          <w:sz w:val="20"/>
        </w:rPr>
        <w:t>A-3.001, r. 8.1</w:t>
      </w:r>
      <w:r>
        <w:rPr>
          <w:rFonts w:cs="Arial"/>
          <w:sz w:val="20"/>
        </w:rPr>
        <w:t>.</w:t>
      </w:r>
    </w:p>
  </w:footnote>
  <w:footnote w:id="6">
    <w:p w14:paraId="27CEBBC8" w14:textId="77777777" w:rsidR="00693614" w:rsidRPr="0066145B" w:rsidRDefault="00693614" w:rsidP="0069361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07A8C">
        <w:rPr>
          <w:rFonts w:cs="Arial"/>
          <w:i/>
          <w:iCs/>
          <w:sz w:val="20"/>
        </w:rPr>
        <w:t>Boies</w:t>
      </w:r>
      <w:r>
        <w:rPr>
          <w:rFonts w:cs="Arial"/>
          <w:sz w:val="20"/>
        </w:rPr>
        <w:t xml:space="preserve"> et </w:t>
      </w:r>
      <w:r w:rsidRPr="00007A8C">
        <w:rPr>
          <w:rFonts w:cs="Arial"/>
          <w:i/>
          <w:iCs/>
          <w:sz w:val="20"/>
        </w:rPr>
        <w:t>CSSS Québec-Nord</w:t>
      </w:r>
      <w:r>
        <w:rPr>
          <w:rFonts w:cs="Arial"/>
          <w:sz w:val="20"/>
        </w:rPr>
        <w:t xml:space="preserve">, 2011 QCCLP 2775; </w:t>
      </w:r>
      <w:r w:rsidRPr="0066145B">
        <w:rPr>
          <w:rFonts w:cs="Arial"/>
          <w:i/>
          <w:iCs/>
          <w:sz w:val="20"/>
        </w:rPr>
        <w:t>Cooke</w:t>
      </w:r>
      <w:r w:rsidRPr="0066145B">
        <w:rPr>
          <w:rFonts w:cs="Arial"/>
          <w:sz w:val="20"/>
        </w:rPr>
        <w:t xml:space="preserve"> et </w:t>
      </w:r>
      <w:r w:rsidRPr="0066145B">
        <w:rPr>
          <w:rFonts w:cs="Arial"/>
          <w:i/>
          <w:iCs/>
          <w:sz w:val="20"/>
        </w:rPr>
        <w:t>Société de transport de Montréal</w:t>
      </w:r>
      <w:r w:rsidRPr="0066145B">
        <w:rPr>
          <w:rFonts w:cs="Arial"/>
          <w:sz w:val="20"/>
        </w:rPr>
        <w:t xml:space="preserve">, 2014 QCCLP 2499; </w:t>
      </w:r>
      <w:r w:rsidRPr="0066145B">
        <w:rPr>
          <w:rFonts w:cs="Arial"/>
          <w:i/>
          <w:iCs/>
          <w:sz w:val="20"/>
        </w:rPr>
        <w:t>Cyr</w:t>
      </w:r>
      <w:r w:rsidRPr="0066145B">
        <w:rPr>
          <w:rFonts w:cs="Arial"/>
          <w:sz w:val="20"/>
        </w:rPr>
        <w:t xml:space="preserve"> et </w:t>
      </w:r>
      <w:r w:rsidRPr="0066145B">
        <w:rPr>
          <w:rFonts w:cs="Arial"/>
          <w:i/>
          <w:iCs/>
          <w:sz w:val="20"/>
        </w:rPr>
        <w:t>Transelec / Common inc.</w:t>
      </w:r>
      <w:r w:rsidRPr="0066145B">
        <w:rPr>
          <w:rFonts w:cs="Arial"/>
          <w:sz w:val="20"/>
        </w:rPr>
        <w:t xml:space="preserve">, 2023 QCTAT 3902; </w:t>
      </w:r>
      <w:r w:rsidRPr="0066145B">
        <w:rPr>
          <w:rFonts w:cs="Arial"/>
          <w:i/>
          <w:iCs/>
          <w:sz w:val="20"/>
        </w:rPr>
        <w:t>Groupe Sécurité Garda (Signalisation) - Signalisation GardaWorld</w:t>
      </w:r>
      <w:r w:rsidRPr="0066145B">
        <w:rPr>
          <w:rFonts w:cs="Arial"/>
          <w:sz w:val="20"/>
        </w:rPr>
        <w:t xml:space="preserve"> et </w:t>
      </w:r>
      <w:r w:rsidRPr="0066145B">
        <w:rPr>
          <w:rFonts w:cs="Arial"/>
          <w:i/>
          <w:iCs/>
          <w:sz w:val="20"/>
        </w:rPr>
        <w:t>Gagnon</w:t>
      </w:r>
      <w:r w:rsidRPr="0066145B">
        <w:rPr>
          <w:rFonts w:cs="Arial"/>
          <w:sz w:val="20"/>
        </w:rPr>
        <w:t>, 2023 QCTAT 4194</w:t>
      </w:r>
      <w:r>
        <w:rPr>
          <w:rFonts w:cs="Arial"/>
          <w:sz w:val="20"/>
        </w:rPr>
        <w:t>.</w:t>
      </w:r>
    </w:p>
  </w:footnote>
  <w:footnote w:id="7">
    <w:p w14:paraId="4106A7D5" w14:textId="420E17EF" w:rsidR="00693614" w:rsidRPr="009658C2" w:rsidRDefault="00693614" w:rsidP="0069361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2024 QCTAT 117.</w:t>
      </w:r>
    </w:p>
  </w:footnote>
  <w:footnote w:id="8">
    <w:p w14:paraId="70A3FFA8" w14:textId="77777777" w:rsidR="00C20D0A" w:rsidRPr="00483CE1" w:rsidRDefault="00C20D0A" w:rsidP="00C20D0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4A4CEC">
        <w:rPr>
          <w:rFonts w:cs="Arial"/>
          <w:i/>
          <w:iCs/>
          <w:sz w:val="20"/>
        </w:rPr>
        <w:t>Paquette</w:t>
      </w:r>
      <w:r w:rsidRPr="00483CE1">
        <w:rPr>
          <w:rFonts w:cs="Arial"/>
          <w:sz w:val="20"/>
        </w:rPr>
        <w:t xml:space="preserve"> et </w:t>
      </w:r>
      <w:r w:rsidRPr="004A4CEC">
        <w:rPr>
          <w:rFonts w:cs="Arial"/>
          <w:i/>
          <w:iCs/>
          <w:sz w:val="20"/>
        </w:rPr>
        <w:t>Casino de Montréal</w:t>
      </w:r>
      <w:r w:rsidRPr="00483CE1">
        <w:rPr>
          <w:rFonts w:cs="Arial"/>
          <w:sz w:val="20"/>
        </w:rPr>
        <w:t xml:space="preserve">, </w:t>
      </w:r>
      <w:bookmarkStart w:id="12" w:name="_Hlk186791292"/>
      <w:r w:rsidRPr="00483CE1">
        <w:rPr>
          <w:rFonts w:cs="Arial"/>
          <w:sz w:val="20"/>
        </w:rPr>
        <w:t>2021 QCTAT 3846</w:t>
      </w:r>
      <w:bookmarkEnd w:id="12"/>
      <w:r w:rsidRPr="00483CE1">
        <w:rPr>
          <w:rFonts w:cs="Arial"/>
          <w:sz w:val="20"/>
        </w:rPr>
        <w:t xml:space="preserve">; </w:t>
      </w:r>
      <w:r w:rsidRPr="004A4CEC">
        <w:rPr>
          <w:rFonts w:cs="Arial"/>
          <w:i/>
          <w:iCs/>
          <w:sz w:val="20"/>
        </w:rPr>
        <w:t>Lemieux</w:t>
      </w:r>
      <w:r w:rsidRPr="00483CE1">
        <w:rPr>
          <w:rFonts w:cs="Arial"/>
          <w:sz w:val="20"/>
        </w:rPr>
        <w:t xml:space="preserve"> et </w:t>
      </w:r>
      <w:r w:rsidRPr="004A4CEC">
        <w:rPr>
          <w:rFonts w:cs="Arial"/>
          <w:i/>
          <w:iCs/>
          <w:sz w:val="20"/>
        </w:rPr>
        <w:t>Société Radio-Canada</w:t>
      </w:r>
      <w:r w:rsidRPr="00483CE1">
        <w:rPr>
          <w:rFonts w:cs="Arial"/>
          <w:sz w:val="20"/>
        </w:rPr>
        <w:t>, 2021 QCTAT 5335</w:t>
      </w:r>
      <w:r>
        <w:rPr>
          <w:rFonts w:cs="Arial"/>
          <w:sz w:val="20"/>
        </w:rPr>
        <w:t xml:space="preserve">; </w:t>
      </w:r>
      <w:r w:rsidRPr="004A4CEC">
        <w:rPr>
          <w:rFonts w:cs="Arial"/>
          <w:i/>
          <w:iCs/>
          <w:sz w:val="20"/>
        </w:rPr>
        <w:t>Comeau</w:t>
      </w:r>
      <w:r w:rsidRPr="00483CE1">
        <w:rPr>
          <w:rFonts w:cs="Arial"/>
          <w:sz w:val="20"/>
        </w:rPr>
        <w:t xml:space="preserve"> et </w:t>
      </w:r>
      <w:r w:rsidRPr="004A4CEC">
        <w:rPr>
          <w:rFonts w:cs="Arial"/>
          <w:i/>
          <w:iCs/>
          <w:sz w:val="20"/>
        </w:rPr>
        <w:t>Lunetterie New Look (1990) inc.</w:t>
      </w:r>
      <w:r w:rsidRPr="00483CE1">
        <w:rPr>
          <w:rFonts w:cs="Arial"/>
          <w:sz w:val="20"/>
        </w:rPr>
        <w:t>, 2024 QCTAT 690</w:t>
      </w:r>
      <w:r>
        <w:rPr>
          <w:rFonts w:cs="Arial"/>
          <w:sz w:val="20"/>
        </w:rPr>
        <w:t>.</w:t>
      </w:r>
    </w:p>
  </w:footnote>
  <w:footnote w:id="9">
    <w:p w14:paraId="5E93C6A4" w14:textId="77777777" w:rsidR="00C20D0A" w:rsidRPr="00F43EFC" w:rsidRDefault="00C20D0A" w:rsidP="00C20D0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43EFC">
        <w:rPr>
          <w:rFonts w:cs="Arial"/>
          <w:i/>
          <w:iCs/>
          <w:sz w:val="20"/>
        </w:rPr>
        <w:t>Rodrigue</w:t>
      </w:r>
      <w:r w:rsidRPr="00F43EFC">
        <w:rPr>
          <w:rFonts w:cs="Arial"/>
          <w:sz w:val="20"/>
        </w:rPr>
        <w:t> et </w:t>
      </w:r>
      <w:r w:rsidRPr="00F43EFC">
        <w:rPr>
          <w:rFonts w:cs="Arial"/>
          <w:i/>
          <w:iCs/>
          <w:sz w:val="20"/>
        </w:rPr>
        <w:t>Telus Communications inc.</w:t>
      </w:r>
      <w:r w:rsidRPr="00F43EFC">
        <w:rPr>
          <w:rFonts w:cs="Arial"/>
          <w:sz w:val="20"/>
        </w:rPr>
        <w:t>, 2016 QCTAT 6627, révision rejetée, 2019 QCTAT 1287</w:t>
      </w:r>
      <w:r>
        <w:rPr>
          <w:rFonts w:cs="Arial"/>
          <w:sz w:val="20"/>
        </w:rPr>
        <w:t xml:space="preserve">; </w:t>
      </w:r>
      <w:r w:rsidRPr="00F43EFC">
        <w:rPr>
          <w:rFonts w:cs="Arial"/>
          <w:i/>
          <w:iCs/>
          <w:sz w:val="20"/>
        </w:rPr>
        <w:t>Labranche</w:t>
      </w:r>
      <w:r w:rsidRPr="00F43EFC">
        <w:rPr>
          <w:rFonts w:cs="Arial"/>
          <w:sz w:val="20"/>
        </w:rPr>
        <w:t xml:space="preserve"> et </w:t>
      </w:r>
      <w:r w:rsidRPr="00F43EFC">
        <w:rPr>
          <w:rFonts w:cs="Arial"/>
          <w:i/>
          <w:iCs/>
          <w:sz w:val="20"/>
        </w:rPr>
        <w:t>ArcelorMittal Montréal inc.</w:t>
      </w:r>
      <w:r>
        <w:rPr>
          <w:rFonts w:cs="Arial"/>
          <w:sz w:val="20"/>
        </w:rPr>
        <w:t xml:space="preserve">, 2017 QCTAT 1410; </w:t>
      </w:r>
      <w:r>
        <w:rPr>
          <w:rFonts w:cs="Arial"/>
          <w:i/>
          <w:iCs/>
          <w:sz w:val="20"/>
        </w:rPr>
        <w:t xml:space="preserve">Trudel </w:t>
      </w:r>
      <w:r>
        <w:rPr>
          <w:rFonts w:cs="Arial"/>
          <w:sz w:val="20"/>
        </w:rPr>
        <w:t xml:space="preserve">et </w:t>
      </w:r>
      <w:r>
        <w:rPr>
          <w:rFonts w:cs="Arial"/>
          <w:i/>
          <w:iCs/>
          <w:sz w:val="20"/>
        </w:rPr>
        <w:t>Sanimax ACI inc.</w:t>
      </w:r>
      <w:r>
        <w:rPr>
          <w:rFonts w:cs="Arial"/>
          <w:sz w:val="20"/>
        </w:rPr>
        <w:t>, 2018 QCTAT 651.</w:t>
      </w:r>
    </w:p>
  </w:footnote>
  <w:footnote w:id="10">
    <w:p w14:paraId="66387018" w14:textId="77777777" w:rsidR="00C20D0A" w:rsidRPr="00EB547E" w:rsidRDefault="00C20D0A" w:rsidP="00C20D0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43EFC">
        <w:rPr>
          <w:rFonts w:cs="Arial"/>
          <w:i/>
          <w:iCs/>
          <w:sz w:val="20"/>
        </w:rPr>
        <w:t>Legault</w:t>
      </w:r>
      <w:r w:rsidRPr="00F43EFC">
        <w:rPr>
          <w:rFonts w:cs="Arial"/>
          <w:sz w:val="20"/>
        </w:rPr>
        <w:t xml:space="preserve"> et </w:t>
      </w:r>
      <w:r w:rsidRPr="00F43EFC">
        <w:rPr>
          <w:rFonts w:cs="Arial"/>
          <w:i/>
          <w:iCs/>
          <w:sz w:val="20"/>
        </w:rPr>
        <w:t>Boîte de camion Champion</w:t>
      </w:r>
      <w:r>
        <w:rPr>
          <w:rFonts w:cs="Arial"/>
          <w:sz w:val="20"/>
        </w:rPr>
        <w:t xml:space="preserve">, </w:t>
      </w:r>
      <w:r w:rsidRPr="00F43EFC">
        <w:rPr>
          <w:rFonts w:cs="Arial"/>
          <w:sz w:val="20"/>
        </w:rPr>
        <w:t>C.L.P. 228115-61-0402, 13 octobre 2004, B. Lemay</w:t>
      </w:r>
      <w:r>
        <w:rPr>
          <w:rFonts w:cs="Arial"/>
          <w:sz w:val="20"/>
        </w:rPr>
        <w:t xml:space="preserve">; </w:t>
      </w:r>
      <w:r w:rsidRPr="00EB547E">
        <w:rPr>
          <w:rFonts w:cs="Arial"/>
          <w:i/>
          <w:iCs/>
          <w:sz w:val="20"/>
        </w:rPr>
        <w:t>Gobeil</w:t>
      </w:r>
      <w:r w:rsidRPr="00EB547E">
        <w:rPr>
          <w:rFonts w:cs="Arial"/>
          <w:sz w:val="20"/>
        </w:rPr>
        <w:t xml:space="preserve"> et </w:t>
      </w:r>
      <w:r w:rsidRPr="00EB547E">
        <w:rPr>
          <w:rFonts w:cs="Arial"/>
          <w:i/>
          <w:iCs/>
          <w:sz w:val="20"/>
        </w:rPr>
        <w:t>Centre de services scolaire De La Jonquière</w:t>
      </w:r>
      <w:r w:rsidRPr="00EB547E">
        <w:rPr>
          <w:rFonts w:cs="Arial"/>
          <w:sz w:val="20"/>
        </w:rPr>
        <w:t>, 2021 QCTAT 4805</w:t>
      </w:r>
      <w:r>
        <w:rPr>
          <w:rFonts w:cs="Arial"/>
          <w:sz w:val="20"/>
        </w:rPr>
        <w:t xml:space="preserve">; </w:t>
      </w:r>
      <w:r>
        <w:rPr>
          <w:rFonts w:cs="Arial"/>
          <w:i/>
          <w:iCs/>
          <w:sz w:val="20"/>
        </w:rPr>
        <w:t xml:space="preserve">Lépine </w:t>
      </w:r>
      <w:r>
        <w:rPr>
          <w:rFonts w:cs="Arial"/>
          <w:sz w:val="20"/>
        </w:rPr>
        <w:t xml:space="preserve">et </w:t>
      </w:r>
      <w:r>
        <w:rPr>
          <w:rFonts w:cs="Arial"/>
          <w:i/>
          <w:iCs/>
          <w:sz w:val="20"/>
        </w:rPr>
        <w:t>Société canadienne des postes</w:t>
      </w:r>
      <w:r>
        <w:rPr>
          <w:rFonts w:cs="Arial"/>
          <w:sz w:val="20"/>
        </w:rPr>
        <w:t>, 2023 QCTAT 188.</w:t>
      </w:r>
    </w:p>
  </w:footnote>
  <w:footnote w:id="11">
    <w:p w14:paraId="1E3145DA" w14:textId="77777777" w:rsidR="00C20D0A" w:rsidRPr="00F43EFC" w:rsidRDefault="00C20D0A" w:rsidP="00C20D0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B547E">
        <w:rPr>
          <w:rFonts w:cs="Arial"/>
          <w:i/>
          <w:iCs/>
          <w:sz w:val="20"/>
        </w:rPr>
        <w:t>Pépinière St-Modeste</w:t>
      </w:r>
      <w:r w:rsidRPr="00EB547E">
        <w:rPr>
          <w:rFonts w:cs="Arial"/>
          <w:sz w:val="20"/>
        </w:rPr>
        <w:t xml:space="preserve"> et</w:t>
      </w:r>
      <w:r>
        <w:rPr>
          <w:rFonts w:cs="Arial"/>
          <w:sz w:val="20"/>
        </w:rPr>
        <w:t xml:space="preserve"> </w:t>
      </w:r>
      <w:r>
        <w:rPr>
          <w:rFonts w:cs="Arial"/>
          <w:i/>
          <w:iCs/>
          <w:sz w:val="20"/>
        </w:rPr>
        <w:t>Ouellet</w:t>
      </w:r>
      <w:r w:rsidRPr="00EB547E">
        <w:rPr>
          <w:rFonts w:cs="Arial"/>
          <w:sz w:val="20"/>
        </w:rPr>
        <w:t xml:space="preserve">, </w:t>
      </w:r>
      <w:r>
        <w:rPr>
          <w:rFonts w:cs="Arial"/>
          <w:sz w:val="20"/>
        </w:rPr>
        <w:t xml:space="preserve">2015 QCCLP 1037; </w:t>
      </w:r>
      <w:r w:rsidRPr="00EB547E">
        <w:rPr>
          <w:rFonts w:cs="Arial"/>
          <w:i/>
          <w:iCs/>
          <w:sz w:val="20"/>
        </w:rPr>
        <w:t>Gobeil</w:t>
      </w:r>
      <w:r w:rsidRPr="00EB547E">
        <w:rPr>
          <w:rFonts w:cs="Arial"/>
          <w:sz w:val="20"/>
        </w:rPr>
        <w:t xml:space="preserve"> et </w:t>
      </w:r>
      <w:r w:rsidRPr="00EB547E">
        <w:rPr>
          <w:rFonts w:cs="Arial"/>
          <w:i/>
          <w:iCs/>
          <w:sz w:val="20"/>
        </w:rPr>
        <w:t>Centre de services scolaire De La Jonquière</w:t>
      </w:r>
      <w:r w:rsidRPr="00EB547E">
        <w:rPr>
          <w:rFonts w:cs="Arial"/>
          <w:sz w:val="20"/>
        </w:rPr>
        <w:t>, 2021 QCTAT 4805</w:t>
      </w:r>
      <w:r>
        <w:rPr>
          <w:rFonts w:cs="Arial"/>
          <w:sz w:val="20"/>
        </w:rPr>
        <w:t>.</w:t>
      </w:r>
    </w:p>
  </w:footnote>
  <w:footnote w:id="12">
    <w:p w14:paraId="65993944" w14:textId="77777777" w:rsidR="00690AC2" w:rsidRPr="00707024" w:rsidRDefault="00690AC2" w:rsidP="00690AC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07024">
        <w:rPr>
          <w:rFonts w:cs="Arial"/>
          <w:i/>
          <w:iCs/>
          <w:sz w:val="20"/>
        </w:rPr>
        <w:t>Thuot</w:t>
      </w:r>
      <w:r w:rsidRPr="00707024">
        <w:rPr>
          <w:rFonts w:cs="Arial"/>
          <w:sz w:val="20"/>
        </w:rPr>
        <w:t xml:space="preserve"> et </w:t>
      </w:r>
      <w:r w:rsidRPr="00707024">
        <w:rPr>
          <w:rFonts w:cs="Arial"/>
          <w:i/>
          <w:iCs/>
          <w:sz w:val="20"/>
        </w:rPr>
        <w:t>Multi-Marques Distribution inc.</w:t>
      </w:r>
      <w:r w:rsidRPr="00707024">
        <w:rPr>
          <w:rFonts w:cs="Arial"/>
          <w:sz w:val="20"/>
        </w:rPr>
        <w:t xml:space="preserve">, C.L.P. 144647-61-0008, 16 janvier 2001, B. Lemay; </w:t>
      </w:r>
      <w:r w:rsidRPr="00707024">
        <w:rPr>
          <w:rFonts w:cs="Arial"/>
          <w:i/>
          <w:iCs/>
          <w:sz w:val="20"/>
        </w:rPr>
        <w:t>Marquis</w:t>
      </w:r>
      <w:r w:rsidRPr="00707024">
        <w:rPr>
          <w:rFonts w:cs="Arial"/>
          <w:sz w:val="20"/>
        </w:rPr>
        <w:t xml:space="preserve"> et </w:t>
      </w:r>
      <w:r w:rsidRPr="00707024">
        <w:rPr>
          <w:rFonts w:cs="Arial"/>
          <w:i/>
          <w:iCs/>
          <w:sz w:val="20"/>
        </w:rPr>
        <w:t>Rimouski (Ville de)</w:t>
      </w:r>
      <w:r w:rsidRPr="00707024">
        <w:rPr>
          <w:rFonts w:cs="Arial"/>
          <w:sz w:val="20"/>
        </w:rPr>
        <w:t xml:space="preserve">, 2012 QCCLP 2962, </w:t>
      </w:r>
      <w:r w:rsidRPr="00707024">
        <w:rPr>
          <w:rFonts w:cs="Arial"/>
          <w:i/>
          <w:iCs/>
          <w:sz w:val="20"/>
        </w:rPr>
        <w:t>Laroche</w:t>
      </w:r>
      <w:r w:rsidRPr="00707024">
        <w:rPr>
          <w:rFonts w:cs="Arial"/>
          <w:sz w:val="20"/>
        </w:rPr>
        <w:t xml:space="preserve"> et </w:t>
      </w:r>
      <w:r w:rsidRPr="00707024">
        <w:rPr>
          <w:rFonts w:cs="Arial"/>
          <w:i/>
          <w:iCs/>
          <w:sz w:val="20"/>
        </w:rPr>
        <w:t>Formedica ltée</w:t>
      </w:r>
      <w:r w:rsidRPr="00707024">
        <w:rPr>
          <w:rFonts w:cs="Arial"/>
          <w:sz w:val="20"/>
        </w:rPr>
        <w:t xml:space="preserve">, 2014 QCCLP 6780; </w:t>
      </w:r>
      <w:r w:rsidRPr="00707024">
        <w:rPr>
          <w:rFonts w:cs="Arial"/>
          <w:i/>
          <w:iCs/>
          <w:sz w:val="20"/>
        </w:rPr>
        <w:t>Poisson</w:t>
      </w:r>
      <w:r w:rsidRPr="00707024">
        <w:rPr>
          <w:rFonts w:cs="Arial"/>
          <w:sz w:val="20"/>
        </w:rPr>
        <w:t xml:space="preserve"> et </w:t>
      </w:r>
      <w:r w:rsidRPr="00707024">
        <w:rPr>
          <w:rFonts w:cs="Arial"/>
          <w:i/>
          <w:iCs/>
          <w:sz w:val="20"/>
        </w:rPr>
        <w:t>Ville de Terrebonne</w:t>
      </w:r>
      <w:r>
        <w:rPr>
          <w:rFonts w:cs="Arial"/>
          <w:sz w:val="20"/>
        </w:rPr>
        <w:t xml:space="preserve">, </w:t>
      </w:r>
      <w:r w:rsidRPr="00707024">
        <w:rPr>
          <w:rFonts w:cs="Arial"/>
          <w:sz w:val="20"/>
        </w:rPr>
        <w:t>2018 QCTAT 502</w:t>
      </w:r>
      <w:r>
        <w:rPr>
          <w:rFonts w:cs="Arial"/>
          <w:sz w:val="20"/>
        </w:rPr>
        <w:t xml:space="preserve">; </w:t>
      </w:r>
      <w:r w:rsidRPr="002F1D6A">
        <w:rPr>
          <w:rFonts w:cs="Arial"/>
          <w:i/>
          <w:iCs/>
          <w:sz w:val="20"/>
        </w:rPr>
        <w:t>Houde</w:t>
      </w:r>
      <w:r w:rsidRPr="00707024">
        <w:rPr>
          <w:rFonts w:cs="Arial"/>
          <w:sz w:val="20"/>
        </w:rPr>
        <w:t>, 2020 QCTAT 658</w:t>
      </w:r>
      <w:r>
        <w:rPr>
          <w:rFonts w:cs="Arial"/>
          <w:sz w:val="20"/>
        </w:rPr>
        <w:t>.</w:t>
      </w:r>
    </w:p>
  </w:footnote>
  <w:footnote w:id="13">
    <w:p w14:paraId="2D416B09" w14:textId="2F5CE2B8" w:rsidR="00FF4496" w:rsidRPr="00FF4496" w:rsidRDefault="00FF4496" w:rsidP="00FF449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F4496">
        <w:rPr>
          <w:rFonts w:cs="Arial"/>
          <w:i/>
          <w:iCs/>
          <w:sz w:val="20"/>
        </w:rPr>
        <w:t>Magny</w:t>
      </w:r>
      <w:r w:rsidRPr="00FF4496">
        <w:rPr>
          <w:rFonts w:cs="Arial"/>
          <w:sz w:val="20"/>
        </w:rPr>
        <w:t xml:space="preserve"> et </w:t>
      </w:r>
      <w:r w:rsidRPr="00FF4496">
        <w:rPr>
          <w:rFonts w:cs="Arial"/>
          <w:i/>
          <w:iCs/>
          <w:sz w:val="20"/>
        </w:rPr>
        <w:t>Centre audio vidéo Grand'Mère inc.</w:t>
      </w:r>
      <w:r w:rsidRPr="00FF4496">
        <w:rPr>
          <w:rFonts w:cs="Arial"/>
          <w:sz w:val="20"/>
        </w:rPr>
        <w:t>, 2024 QCTAT 4001</w:t>
      </w:r>
      <w:r>
        <w:rPr>
          <w:rFonts w:cs="Arial"/>
          <w:sz w:val="20"/>
        </w:rPr>
        <w:t>.</w:t>
      </w:r>
    </w:p>
  </w:footnote>
  <w:footnote w:id="14">
    <w:p w14:paraId="58406CBB" w14:textId="77777777" w:rsidR="001A789F" w:rsidRPr="009B38D9" w:rsidRDefault="001A789F" w:rsidP="001A789F">
      <w:pPr>
        <w:pStyle w:val="Notedebasdepage"/>
        <w:tabs>
          <w:tab w:val="left" w:pos="720"/>
        </w:tabs>
        <w:ind w:left="720" w:hanging="720"/>
        <w:jc w:val="both"/>
        <w:rPr>
          <w:rFonts w:cs="Arial"/>
          <w:sz w:val="20"/>
          <w:lang w:val="en-CA"/>
        </w:rPr>
      </w:pPr>
      <w:r>
        <w:rPr>
          <w:rStyle w:val="Appelnotedebasdep"/>
        </w:rPr>
        <w:footnoteRef/>
      </w:r>
      <w:r w:rsidRPr="009B38D9">
        <w:rPr>
          <w:lang w:val="en-CA"/>
        </w:rPr>
        <w:t xml:space="preserve"> </w:t>
      </w:r>
      <w:r w:rsidRPr="009B38D9">
        <w:rPr>
          <w:rFonts w:cs="Arial"/>
          <w:sz w:val="20"/>
          <w:lang w:val="en-CA"/>
        </w:rPr>
        <w:tab/>
        <w:t>RLRQ, c. S-2.1, r. 13.</w:t>
      </w:r>
    </w:p>
  </w:footnote>
  <w:footnote w:id="15">
    <w:p w14:paraId="3A98206B" w14:textId="77777777" w:rsidR="001A789F" w:rsidRPr="009B38D9" w:rsidRDefault="001A789F" w:rsidP="001A789F">
      <w:pPr>
        <w:pStyle w:val="Notedebasdepage"/>
        <w:tabs>
          <w:tab w:val="left" w:pos="720"/>
        </w:tabs>
        <w:ind w:left="720" w:hanging="720"/>
        <w:rPr>
          <w:rFonts w:cs="Arial"/>
          <w:sz w:val="20"/>
          <w:lang w:val="en-CA"/>
        </w:rPr>
      </w:pPr>
      <w:r>
        <w:rPr>
          <w:rStyle w:val="Appelnotedebasdep"/>
        </w:rPr>
        <w:footnoteRef/>
      </w:r>
      <w:r w:rsidRPr="009B38D9">
        <w:rPr>
          <w:lang w:val="en-CA"/>
        </w:rPr>
        <w:t xml:space="preserve"> </w:t>
      </w:r>
      <w:r w:rsidRPr="009B38D9">
        <w:rPr>
          <w:rFonts w:cs="Arial"/>
          <w:sz w:val="20"/>
          <w:lang w:val="en-CA"/>
        </w:rPr>
        <w:tab/>
        <w:t>Art. 3 du RSST.</w:t>
      </w:r>
    </w:p>
  </w:footnote>
  <w:footnote w:id="16">
    <w:p w14:paraId="79208495" w14:textId="77777777" w:rsidR="001A789F" w:rsidRPr="001C5F40" w:rsidRDefault="001A789F" w:rsidP="001A789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 xml:space="preserve">Labranche </w:t>
      </w:r>
      <w:r>
        <w:rPr>
          <w:rFonts w:cs="Arial"/>
          <w:sz w:val="20"/>
        </w:rPr>
        <w:t xml:space="preserve">et </w:t>
      </w:r>
      <w:r>
        <w:rPr>
          <w:rFonts w:cs="Arial"/>
          <w:i/>
          <w:iCs/>
          <w:sz w:val="20"/>
        </w:rPr>
        <w:t>Entreprises Jacques Dufour &amp; Fils inc.</w:t>
      </w:r>
      <w:r>
        <w:rPr>
          <w:rFonts w:cs="Arial"/>
          <w:sz w:val="20"/>
        </w:rPr>
        <w:t>, 2022 QCTAT 4717.</w:t>
      </w:r>
    </w:p>
  </w:footnote>
  <w:footnote w:id="17">
    <w:p w14:paraId="6F8B2E8E" w14:textId="77777777" w:rsidR="001A789F" w:rsidRPr="00F435F8" w:rsidRDefault="001A789F" w:rsidP="001A789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 137 (1) du RSST.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19C4B48F" w14:textId="77777777" w:rsidTr="00F81579">
      <w:tc>
        <w:tcPr>
          <w:tcW w:w="8730" w:type="dxa"/>
        </w:tcPr>
        <w:p w14:paraId="03ECF6A6" w14:textId="77777777" w:rsidR="00D330B6" w:rsidRDefault="00D330B6">
          <w:pPr>
            <w:pStyle w:val="En-tte"/>
            <w:ind w:left="-90"/>
          </w:pPr>
        </w:p>
      </w:tc>
      <w:tc>
        <w:tcPr>
          <w:tcW w:w="860" w:type="dxa"/>
        </w:tcPr>
        <w:p w14:paraId="34BEE0D9" w14:textId="77777777" w:rsidR="00D330B6" w:rsidRDefault="00D330B6">
          <w:pPr>
            <w:pStyle w:val="En-tte"/>
            <w:ind w:left="-90"/>
          </w:pPr>
        </w:p>
      </w:tc>
    </w:tr>
    <w:tr w:rsidR="00F81579" w14:paraId="06810997" w14:textId="77777777" w:rsidTr="00F81579">
      <w:tc>
        <w:tcPr>
          <w:tcW w:w="8730" w:type="dxa"/>
        </w:tcPr>
        <w:p w14:paraId="2A4F8F9E" w14:textId="70CE83CE" w:rsidR="00F81579" w:rsidRDefault="00F81579" w:rsidP="00F81579">
          <w:r>
            <w:t>1323507-63-2305</w:t>
          </w:r>
        </w:p>
      </w:tc>
      <w:tc>
        <w:tcPr>
          <w:tcW w:w="860" w:type="dxa"/>
        </w:tcPr>
        <w:p w14:paraId="494566AE" w14:textId="77777777" w:rsidR="00F81579" w:rsidRDefault="00F81579" w:rsidP="00F81579">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4442D2">
            <w:rPr>
              <w:rStyle w:val="Numrodepage"/>
              <w:noProof/>
            </w:rPr>
            <w:t>2</w:t>
          </w:r>
          <w:r>
            <w:rPr>
              <w:rStyle w:val="Numrodepage"/>
            </w:rPr>
            <w:fldChar w:fldCharType="end"/>
          </w:r>
        </w:p>
      </w:tc>
    </w:tr>
    <w:tr w:rsidR="00F81579" w14:paraId="42601231" w14:textId="77777777" w:rsidTr="00F81579">
      <w:tc>
        <w:tcPr>
          <w:tcW w:w="8730" w:type="dxa"/>
        </w:tcPr>
        <w:p w14:paraId="1F599A4F" w14:textId="77777777" w:rsidR="00F81579" w:rsidRDefault="00F81579" w:rsidP="00F81579"/>
      </w:tc>
      <w:tc>
        <w:tcPr>
          <w:tcW w:w="860" w:type="dxa"/>
        </w:tcPr>
        <w:p w14:paraId="4B8181DE" w14:textId="77777777" w:rsidR="00F81579" w:rsidRDefault="00F81579" w:rsidP="00F81579">
          <w:pPr>
            <w:pStyle w:val="En-tte"/>
            <w:ind w:left="-90"/>
            <w:jc w:val="right"/>
          </w:pPr>
        </w:p>
      </w:tc>
    </w:tr>
  </w:tbl>
  <w:p w14:paraId="7AA6B4E5"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8C353E"/>
    <w:multiLevelType w:val="multilevel"/>
    <w:tmpl w:val="2DE4EBF6"/>
    <w:lvl w:ilvl="0">
      <w:start w:val="1"/>
      <w:numFmt w:val="decimal"/>
      <w:lvlText w:val="[%1]"/>
      <w:lvlJc w:val="left"/>
      <w:pPr>
        <w:tabs>
          <w:tab w:val="num" w:pos="360"/>
        </w:tabs>
        <w:ind w:left="0" w:firstLine="0"/>
      </w:pPr>
    </w:lvl>
    <w:lvl w:ilvl="1">
      <w:start w:val="1"/>
      <w:numFmt w:val="bullet"/>
      <w:lvlText w:val=""/>
      <w:lvlJc w:val="left"/>
      <w:pPr>
        <w:ind w:left="720" w:hanging="360"/>
      </w:pPr>
      <w:rPr>
        <w:rFonts w:ascii="Symbol" w:hAnsi="Symbol" w:hint="default"/>
      </w:r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48AA5B34"/>
    <w:multiLevelType w:val="hybridMultilevel"/>
    <w:tmpl w:val="3D34483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1"/>
  </w:num>
  <w:num w:numId="8">
    <w:abstractNumId w:val="4"/>
  </w:num>
  <w:num w:numId="9">
    <w:abstractNumId w:val="2"/>
  </w:num>
  <w:num w:numId="10">
    <w:abstractNumId w:val="10"/>
  </w:num>
  <w:num w:numId="11">
    <w:abstractNumId w:val="6"/>
  </w:num>
  <w:num w:numId="12">
    <w:abstractNumId w:val="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1579"/>
    <w:rsid w:val="000034B0"/>
    <w:rsid w:val="000041A1"/>
    <w:rsid w:val="00006DD2"/>
    <w:rsid w:val="0001305E"/>
    <w:rsid w:val="00016D99"/>
    <w:rsid w:val="00021B30"/>
    <w:rsid w:val="00021E4C"/>
    <w:rsid w:val="00022556"/>
    <w:rsid w:val="00023858"/>
    <w:rsid w:val="000352CA"/>
    <w:rsid w:val="000366EC"/>
    <w:rsid w:val="00036794"/>
    <w:rsid w:val="00043C6A"/>
    <w:rsid w:val="00043E4D"/>
    <w:rsid w:val="000536CC"/>
    <w:rsid w:val="000559A8"/>
    <w:rsid w:val="00055A3E"/>
    <w:rsid w:val="00056393"/>
    <w:rsid w:val="00057739"/>
    <w:rsid w:val="0007225E"/>
    <w:rsid w:val="00074ABE"/>
    <w:rsid w:val="00074EAE"/>
    <w:rsid w:val="000756D0"/>
    <w:rsid w:val="00076D81"/>
    <w:rsid w:val="00080885"/>
    <w:rsid w:val="00082A97"/>
    <w:rsid w:val="0008378A"/>
    <w:rsid w:val="0008784D"/>
    <w:rsid w:val="00090018"/>
    <w:rsid w:val="00090306"/>
    <w:rsid w:val="00090F69"/>
    <w:rsid w:val="00093ACD"/>
    <w:rsid w:val="00095814"/>
    <w:rsid w:val="00097D81"/>
    <w:rsid w:val="00097FCE"/>
    <w:rsid w:val="000A1DAC"/>
    <w:rsid w:val="000A4AD0"/>
    <w:rsid w:val="000A5AD1"/>
    <w:rsid w:val="000A63DF"/>
    <w:rsid w:val="000A77C5"/>
    <w:rsid w:val="000B6275"/>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44AB"/>
    <w:rsid w:val="0012224D"/>
    <w:rsid w:val="001225BC"/>
    <w:rsid w:val="00122A9E"/>
    <w:rsid w:val="00122F94"/>
    <w:rsid w:val="0012326A"/>
    <w:rsid w:val="00126FE9"/>
    <w:rsid w:val="00132622"/>
    <w:rsid w:val="00137E7E"/>
    <w:rsid w:val="001407FC"/>
    <w:rsid w:val="00144572"/>
    <w:rsid w:val="00146116"/>
    <w:rsid w:val="00147A49"/>
    <w:rsid w:val="00147B8B"/>
    <w:rsid w:val="0015125A"/>
    <w:rsid w:val="00152464"/>
    <w:rsid w:val="0015539F"/>
    <w:rsid w:val="00160597"/>
    <w:rsid w:val="00162ECC"/>
    <w:rsid w:val="001650E8"/>
    <w:rsid w:val="001664C8"/>
    <w:rsid w:val="00167AD0"/>
    <w:rsid w:val="00167DEF"/>
    <w:rsid w:val="00167E9D"/>
    <w:rsid w:val="00173184"/>
    <w:rsid w:val="00175079"/>
    <w:rsid w:val="001761B9"/>
    <w:rsid w:val="00183515"/>
    <w:rsid w:val="001846FC"/>
    <w:rsid w:val="001924FE"/>
    <w:rsid w:val="001965E1"/>
    <w:rsid w:val="001A03BE"/>
    <w:rsid w:val="001A067E"/>
    <w:rsid w:val="001A2900"/>
    <w:rsid w:val="001A4081"/>
    <w:rsid w:val="001A65F1"/>
    <w:rsid w:val="001A789F"/>
    <w:rsid w:val="001B2B40"/>
    <w:rsid w:val="001B3E9D"/>
    <w:rsid w:val="001B4A40"/>
    <w:rsid w:val="001B5524"/>
    <w:rsid w:val="001B6D8A"/>
    <w:rsid w:val="001C19D4"/>
    <w:rsid w:val="001C2B0B"/>
    <w:rsid w:val="001C436D"/>
    <w:rsid w:val="001C6ECA"/>
    <w:rsid w:val="001D63C8"/>
    <w:rsid w:val="001D65D8"/>
    <w:rsid w:val="001E3DFD"/>
    <w:rsid w:val="001E42F0"/>
    <w:rsid w:val="001E497A"/>
    <w:rsid w:val="001E5E3B"/>
    <w:rsid w:val="001F79AF"/>
    <w:rsid w:val="00203184"/>
    <w:rsid w:val="002203FA"/>
    <w:rsid w:val="00225C46"/>
    <w:rsid w:val="00226493"/>
    <w:rsid w:val="00227040"/>
    <w:rsid w:val="00230CFC"/>
    <w:rsid w:val="0023162A"/>
    <w:rsid w:val="00231C1D"/>
    <w:rsid w:val="00233532"/>
    <w:rsid w:val="00234BC8"/>
    <w:rsid w:val="00241CED"/>
    <w:rsid w:val="00242FB4"/>
    <w:rsid w:val="00245605"/>
    <w:rsid w:val="002542E0"/>
    <w:rsid w:val="002563F0"/>
    <w:rsid w:val="00256DBB"/>
    <w:rsid w:val="00260119"/>
    <w:rsid w:val="00266064"/>
    <w:rsid w:val="00267C8D"/>
    <w:rsid w:val="002701DD"/>
    <w:rsid w:val="002710FD"/>
    <w:rsid w:val="00273F49"/>
    <w:rsid w:val="002769B5"/>
    <w:rsid w:val="00276B25"/>
    <w:rsid w:val="00276B59"/>
    <w:rsid w:val="00281319"/>
    <w:rsid w:val="002846F9"/>
    <w:rsid w:val="00286149"/>
    <w:rsid w:val="0028668D"/>
    <w:rsid w:val="00290289"/>
    <w:rsid w:val="00292188"/>
    <w:rsid w:val="002923D9"/>
    <w:rsid w:val="002960A5"/>
    <w:rsid w:val="00296645"/>
    <w:rsid w:val="00296A4B"/>
    <w:rsid w:val="00297284"/>
    <w:rsid w:val="002A0077"/>
    <w:rsid w:val="002A07DC"/>
    <w:rsid w:val="002A3573"/>
    <w:rsid w:val="002A374B"/>
    <w:rsid w:val="002A73E9"/>
    <w:rsid w:val="002B132B"/>
    <w:rsid w:val="002B2FC3"/>
    <w:rsid w:val="002B35F0"/>
    <w:rsid w:val="002B58AF"/>
    <w:rsid w:val="002C3748"/>
    <w:rsid w:val="002C5E89"/>
    <w:rsid w:val="002D42BC"/>
    <w:rsid w:val="002D71A9"/>
    <w:rsid w:val="002D7846"/>
    <w:rsid w:val="002D7FCB"/>
    <w:rsid w:val="002E05AE"/>
    <w:rsid w:val="002F7507"/>
    <w:rsid w:val="0030059B"/>
    <w:rsid w:val="00302FB4"/>
    <w:rsid w:val="00305273"/>
    <w:rsid w:val="003057FC"/>
    <w:rsid w:val="00305AFB"/>
    <w:rsid w:val="00307C85"/>
    <w:rsid w:val="00312983"/>
    <w:rsid w:val="00323DC5"/>
    <w:rsid w:val="003248CB"/>
    <w:rsid w:val="00331EA7"/>
    <w:rsid w:val="003332B8"/>
    <w:rsid w:val="00337555"/>
    <w:rsid w:val="00343B46"/>
    <w:rsid w:val="00344465"/>
    <w:rsid w:val="003473C4"/>
    <w:rsid w:val="0034740A"/>
    <w:rsid w:val="003530E8"/>
    <w:rsid w:val="0035375B"/>
    <w:rsid w:val="00362D74"/>
    <w:rsid w:val="003664E9"/>
    <w:rsid w:val="00366D1E"/>
    <w:rsid w:val="003703A5"/>
    <w:rsid w:val="0037112C"/>
    <w:rsid w:val="00373EE5"/>
    <w:rsid w:val="003817E7"/>
    <w:rsid w:val="00382E55"/>
    <w:rsid w:val="00390B55"/>
    <w:rsid w:val="003961B2"/>
    <w:rsid w:val="003A41AD"/>
    <w:rsid w:val="003B0C41"/>
    <w:rsid w:val="003B152B"/>
    <w:rsid w:val="003B1734"/>
    <w:rsid w:val="003B1735"/>
    <w:rsid w:val="003B2D2E"/>
    <w:rsid w:val="003B6CBF"/>
    <w:rsid w:val="003C47A7"/>
    <w:rsid w:val="003D0826"/>
    <w:rsid w:val="003D18FC"/>
    <w:rsid w:val="003D3C93"/>
    <w:rsid w:val="003D71BB"/>
    <w:rsid w:val="003E00D5"/>
    <w:rsid w:val="003E02BA"/>
    <w:rsid w:val="003F0578"/>
    <w:rsid w:val="003F7F38"/>
    <w:rsid w:val="00401325"/>
    <w:rsid w:val="004019AA"/>
    <w:rsid w:val="0040399B"/>
    <w:rsid w:val="00404C51"/>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42D2"/>
    <w:rsid w:val="0044627E"/>
    <w:rsid w:val="0045114F"/>
    <w:rsid w:val="004529D3"/>
    <w:rsid w:val="00453F31"/>
    <w:rsid w:val="00456B0C"/>
    <w:rsid w:val="00460101"/>
    <w:rsid w:val="00461B26"/>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C0FB4"/>
    <w:rsid w:val="004C1811"/>
    <w:rsid w:val="004C2944"/>
    <w:rsid w:val="004C4555"/>
    <w:rsid w:val="004D16D6"/>
    <w:rsid w:val="004D6CEA"/>
    <w:rsid w:val="004E0E02"/>
    <w:rsid w:val="004E3564"/>
    <w:rsid w:val="004E3C67"/>
    <w:rsid w:val="004E3D9F"/>
    <w:rsid w:val="004E51C0"/>
    <w:rsid w:val="004E64BE"/>
    <w:rsid w:val="004F6293"/>
    <w:rsid w:val="00503B8D"/>
    <w:rsid w:val="00503EE3"/>
    <w:rsid w:val="00505811"/>
    <w:rsid w:val="0051261C"/>
    <w:rsid w:val="00515DE7"/>
    <w:rsid w:val="00517EB0"/>
    <w:rsid w:val="005205CB"/>
    <w:rsid w:val="0052430C"/>
    <w:rsid w:val="005348E4"/>
    <w:rsid w:val="00534D8F"/>
    <w:rsid w:val="005352F1"/>
    <w:rsid w:val="00540094"/>
    <w:rsid w:val="00545CFF"/>
    <w:rsid w:val="00547A9C"/>
    <w:rsid w:val="005500EB"/>
    <w:rsid w:val="00555800"/>
    <w:rsid w:val="00556DBB"/>
    <w:rsid w:val="00557745"/>
    <w:rsid w:val="00560781"/>
    <w:rsid w:val="0056268F"/>
    <w:rsid w:val="005662E9"/>
    <w:rsid w:val="005700F8"/>
    <w:rsid w:val="00572101"/>
    <w:rsid w:val="00572AAF"/>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B7A"/>
    <w:rsid w:val="005B2E0C"/>
    <w:rsid w:val="005B30F6"/>
    <w:rsid w:val="005B45BA"/>
    <w:rsid w:val="005B5689"/>
    <w:rsid w:val="005B6680"/>
    <w:rsid w:val="005B6774"/>
    <w:rsid w:val="005C0A89"/>
    <w:rsid w:val="005C3BC4"/>
    <w:rsid w:val="005D26CC"/>
    <w:rsid w:val="005D4711"/>
    <w:rsid w:val="005D59B1"/>
    <w:rsid w:val="005D764B"/>
    <w:rsid w:val="005E2367"/>
    <w:rsid w:val="005E34D2"/>
    <w:rsid w:val="005E5E90"/>
    <w:rsid w:val="005E62C7"/>
    <w:rsid w:val="005E654C"/>
    <w:rsid w:val="005F05F6"/>
    <w:rsid w:val="005F0D07"/>
    <w:rsid w:val="005F644A"/>
    <w:rsid w:val="00605734"/>
    <w:rsid w:val="0061488E"/>
    <w:rsid w:val="0061574B"/>
    <w:rsid w:val="00616406"/>
    <w:rsid w:val="00622670"/>
    <w:rsid w:val="00623198"/>
    <w:rsid w:val="00623328"/>
    <w:rsid w:val="00623A1A"/>
    <w:rsid w:val="00626E8D"/>
    <w:rsid w:val="0063156B"/>
    <w:rsid w:val="006326A9"/>
    <w:rsid w:val="00632DA8"/>
    <w:rsid w:val="00634C4B"/>
    <w:rsid w:val="00634E6E"/>
    <w:rsid w:val="0063651F"/>
    <w:rsid w:val="0064342A"/>
    <w:rsid w:val="00643A28"/>
    <w:rsid w:val="006452FA"/>
    <w:rsid w:val="0065093D"/>
    <w:rsid w:val="00652A16"/>
    <w:rsid w:val="00655193"/>
    <w:rsid w:val="00655459"/>
    <w:rsid w:val="00656FB2"/>
    <w:rsid w:val="00657A70"/>
    <w:rsid w:val="00661454"/>
    <w:rsid w:val="006620AA"/>
    <w:rsid w:val="006626AF"/>
    <w:rsid w:val="006647D1"/>
    <w:rsid w:val="0066642D"/>
    <w:rsid w:val="006722E2"/>
    <w:rsid w:val="00675E85"/>
    <w:rsid w:val="0067750F"/>
    <w:rsid w:val="00681396"/>
    <w:rsid w:val="0068171F"/>
    <w:rsid w:val="0068401E"/>
    <w:rsid w:val="006841A4"/>
    <w:rsid w:val="0068643F"/>
    <w:rsid w:val="006877A1"/>
    <w:rsid w:val="00690AC2"/>
    <w:rsid w:val="00692150"/>
    <w:rsid w:val="00692F0C"/>
    <w:rsid w:val="00693614"/>
    <w:rsid w:val="006944B0"/>
    <w:rsid w:val="00696E7C"/>
    <w:rsid w:val="00696EF2"/>
    <w:rsid w:val="006A0C54"/>
    <w:rsid w:val="006A3E54"/>
    <w:rsid w:val="006A7C53"/>
    <w:rsid w:val="006B140A"/>
    <w:rsid w:val="006B309C"/>
    <w:rsid w:val="006B4316"/>
    <w:rsid w:val="006B727F"/>
    <w:rsid w:val="006C1B57"/>
    <w:rsid w:val="006C6D3A"/>
    <w:rsid w:val="006C7B36"/>
    <w:rsid w:val="006C7B7F"/>
    <w:rsid w:val="006D19E8"/>
    <w:rsid w:val="006D7768"/>
    <w:rsid w:val="006E04B5"/>
    <w:rsid w:val="006E330C"/>
    <w:rsid w:val="006E3DD8"/>
    <w:rsid w:val="006E793F"/>
    <w:rsid w:val="006F0154"/>
    <w:rsid w:val="006F608D"/>
    <w:rsid w:val="006F7944"/>
    <w:rsid w:val="00704121"/>
    <w:rsid w:val="00705BB5"/>
    <w:rsid w:val="0071326F"/>
    <w:rsid w:val="007153D7"/>
    <w:rsid w:val="00720ED4"/>
    <w:rsid w:val="00722736"/>
    <w:rsid w:val="0074488F"/>
    <w:rsid w:val="00745AA8"/>
    <w:rsid w:val="007503E0"/>
    <w:rsid w:val="007510EC"/>
    <w:rsid w:val="0075233C"/>
    <w:rsid w:val="0075256A"/>
    <w:rsid w:val="00752DCD"/>
    <w:rsid w:val="007569DE"/>
    <w:rsid w:val="0075723C"/>
    <w:rsid w:val="0076146A"/>
    <w:rsid w:val="0076350E"/>
    <w:rsid w:val="00763F36"/>
    <w:rsid w:val="00775BDF"/>
    <w:rsid w:val="0077614D"/>
    <w:rsid w:val="00782C8F"/>
    <w:rsid w:val="00785F78"/>
    <w:rsid w:val="0078659D"/>
    <w:rsid w:val="007869EC"/>
    <w:rsid w:val="00791ED8"/>
    <w:rsid w:val="007A1E58"/>
    <w:rsid w:val="007A5C7E"/>
    <w:rsid w:val="007A63F9"/>
    <w:rsid w:val="007A69A9"/>
    <w:rsid w:val="007A6E2F"/>
    <w:rsid w:val="007A7287"/>
    <w:rsid w:val="007B0DF2"/>
    <w:rsid w:val="007B1769"/>
    <w:rsid w:val="007B3BC5"/>
    <w:rsid w:val="007B6F8D"/>
    <w:rsid w:val="007C1832"/>
    <w:rsid w:val="007D03DF"/>
    <w:rsid w:val="007D4953"/>
    <w:rsid w:val="007D50F4"/>
    <w:rsid w:val="007D7173"/>
    <w:rsid w:val="007E1216"/>
    <w:rsid w:val="007E4CD4"/>
    <w:rsid w:val="007E530C"/>
    <w:rsid w:val="007F0E8E"/>
    <w:rsid w:val="007F2149"/>
    <w:rsid w:val="007F4E00"/>
    <w:rsid w:val="008048CF"/>
    <w:rsid w:val="008079DD"/>
    <w:rsid w:val="0081130F"/>
    <w:rsid w:val="00813095"/>
    <w:rsid w:val="008145AD"/>
    <w:rsid w:val="008146B2"/>
    <w:rsid w:val="00824430"/>
    <w:rsid w:val="00825B1F"/>
    <w:rsid w:val="00827D55"/>
    <w:rsid w:val="00832C84"/>
    <w:rsid w:val="00840EDD"/>
    <w:rsid w:val="0084255F"/>
    <w:rsid w:val="00846FB1"/>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62E7"/>
    <w:rsid w:val="008A1118"/>
    <w:rsid w:val="008A281F"/>
    <w:rsid w:val="008A48D2"/>
    <w:rsid w:val="008A4AF6"/>
    <w:rsid w:val="008A4FF8"/>
    <w:rsid w:val="008A5ED1"/>
    <w:rsid w:val="008A73CE"/>
    <w:rsid w:val="008A7FD1"/>
    <w:rsid w:val="008B042E"/>
    <w:rsid w:val="008B211E"/>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7FAB"/>
    <w:rsid w:val="0094094D"/>
    <w:rsid w:val="00940A54"/>
    <w:rsid w:val="00942AB8"/>
    <w:rsid w:val="0094548C"/>
    <w:rsid w:val="00945CAF"/>
    <w:rsid w:val="00946AC9"/>
    <w:rsid w:val="00947448"/>
    <w:rsid w:val="00952B38"/>
    <w:rsid w:val="00952C99"/>
    <w:rsid w:val="009619EB"/>
    <w:rsid w:val="00965333"/>
    <w:rsid w:val="009712EF"/>
    <w:rsid w:val="009727BF"/>
    <w:rsid w:val="00973321"/>
    <w:rsid w:val="00975C2E"/>
    <w:rsid w:val="009770EB"/>
    <w:rsid w:val="00977270"/>
    <w:rsid w:val="009824F2"/>
    <w:rsid w:val="00983080"/>
    <w:rsid w:val="00986AA3"/>
    <w:rsid w:val="00993B24"/>
    <w:rsid w:val="0099611F"/>
    <w:rsid w:val="009A083F"/>
    <w:rsid w:val="009A135C"/>
    <w:rsid w:val="009A67E7"/>
    <w:rsid w:val="009C603A"/>
    <w:rsid w:val="009C74CD"/>
    <w:rsid w:val="009D048F"/>
    <w:rsid w:val="009D162F"/>
    <w:rsid w:val="009D1DEC"/>
    <w:rsid w:val="009D23FF"/>
    <w:rsid w:val="009D401F"/>
    <w:rsid w:val="009D5B42"/>
    <w:rsid w:val="009D68FA"/>
    <w:rsid w:val="009E1E4F"/>
    <w:rsid w:val="009E32CF"/>
    <w:rsid w:val="009E4261"/>
    <w:rsid w:val="009E4FC2"/>
    <w:rsid w:val="009E7A85"/>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5715"/>
    <w:rsid w:val="00A36257"/>
    <w:rsid w:val="00A37045"/>
    <w:rsid w:val="00A37B70"/>
    <w:rsid w:val="00A40AC7"/>
    <w:rsid w:val="00A435C7"/>
    <w:rsid w:val="00A512A2"/>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8C2"/>
    <w:rsid w:val="00A95C5E"/>
    <w:rsid w:val="00AA1815"/>
    <w:rsid w:val="00AA1D3E"/>
    <w:rsid w:val="00AA20E7"/>
    <w:rsid w:val="00AA39F9"/>
    <w:rsid w:val="00AA79D3"/>
    <w:rsid w:val="00AB0931"/>
    <w:rsid w:val="00AB4DC4"/>
    <w:rsid w:val="00AB5C9B"/>
    <w:rsid w:val="00AC0159"/>
    <w:rsid w:val="00AC0276"/>
    <w:rsid w:val="00AC0312"/>
    <w:rsid w:val="00AC0449"/>
    <w:rsid w:val="00AC0DC3"/>
    <w:rsid w:val="00AD035F"/>
    <w:rsid w:val="00AD2497"/>
    <w:rsid w:val="00AD3F96"/>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325CD"/>
    <w:rsid w:val="00B36C0F"/>
    <w:rsid w:val="00B37793"/>
    <w:rsid w:val="00B41203"/>
    <w:rsid w:val="00B41E74"/>
    <w:rsid w:val="00B4561E"/>
    <w:rsid w:val="00B4768D"/>
    <w:rsid w:val="00B518E5"/>
    <w:rsid w:val="00B51E1F"/>
    <w:rsid w:val="00B52601"/>
    <w:rsid w:val="00B57032"/>
    <w:rsid w:val="00B60222"/>
    <w:rsid w:val="00B62CFB"/>
    <w:rsid w:val="00B662F5"/>
    <w:rsid w:val="00B7000C"/>
    <w:rsid w:val="00B760D5"/>
    <w:rsid w:val="00B77495"/>
    <w:rsid w:val="00B83B2C"/>
    <w:rsid w:val="00B85E8F"/>
    <w:rsid w:val="00B92049"/>
    <w:rsid w:val="00B9211D"/>
    <w:rsid w:val="00B94740"/>
    <w:rsid w:val="00B95002"/>
    <w:rsid w:val="00B97F75"/>
    <w:rsid w:val="00BA0A4F"/>
    <w:rsid w:val="00BA1CAE"/>
    <w:rsid w:val="00BA33BB"/>
    <w:rsid w:val="00BA4830"/>
    <w:rsid w:val="00BA4F89"/>
    <w:rsid w:val="00BA6E22"/>
    <w:rsid w:val="00BB1460"/>
    <w:rsid w:val="00BB1DB7"/>
    <w:rsid w:val="00BB362C"/>
    <w:rsid w:val="00BB5942"/>
    <w:rsid w:val="00BC0A03"/>
    <w:rsid w:val="00BC4A42"/>
    <w:rsid w:val="00BC5460"/>
    <w:rsid w:val="00BC5BB4"/>
    <w:rsid w:val="00BD4139"/>
    <w:rsid w:val="00BE059A"/>
    <w:rsid w:val="00BE1981"/>
    <w:rsid w:val="00BE2DA6"/>
    <w:rsid w:val="00BE2E86"/>
    <w:rsid w:val="00BE320B"/>
    <w:rsid w:val="00BE56E9"/>
    <w:rsid w:val="00BE63CF"/>
    <w:rsid w:val="00BE7014"/>
    <w:rsid w:val="00BE7991"/>
    <w:rsid w:val="00BF1A00"/>
    <w:rsid w:val="00BF25C7"/>
    <w:rsid w:val="00C009B7"/>
    <w:rsid w:val="00C02B8F"/>
    <w:rsid w:val="00C04E32"/>
    <w:rsid w:val="00C116B1"/>
    <w:rsid w:val="00C15A3F"/>
    <w:rsid w:val="00C20630"/>
    <w:rsid w:val="00C20D0A"/>
    <w:rsid w:val="00C224A4"/>
    <w:rsid w:val="00C22F7A"/>
    <w:rsid w:val="00C2666F"/>
    <w:rsid w:val="00C32020"/>
    <w:rsid w:val="00C32D02"/>
    <w:rsid w:val="00C3408C"/>
    <w:rsid w:val="00C3484D"/>
    <w:rsid w:val="00C351CC"/>
    <w:rsid w:val="00C35435"/>
    <w:rsid w:val="00C432FD"/>
    <w:rsid w:val="00C43CDF"/>
    <w:rsid w:val="00C4608E"/>
    <w:rsid w:val="00C46C79"/>
    <w:rsid w:val="00C512B2"/>
    <w:rsid w:val="00C53B5D"/>
    <w:rsid w:val="00C571FB"/>
    <w:rsid w:val="00C57381"/>
    <w:rsid w:val="00C61D56"/>
    <w:rsid w:val="00C62B69"/>
    <w:rsid w:val="00C644B7"/>
    <w:rsid w:val="00C64564"/>
    <w:rsid w:val="00C66D6F"/>
    <w:rsid w:val="00C7016A"/>
    <w:rsid w:val="00C71377"/>
    <w:rsid w:val="00C73C87"/>
    <w:rsid w:val="00C74B6F"/>
    <w:rsid w:val="00C87EF3"/>
    <w:rsid w:val="00C9015F"/>
    <w:rsid w:val="00C912F9"/>
    <w:rsid w:val="00C91B22"/>
    <w:rsid w:val="00C9241B"/>
    <w:rsid w:val="00C9370B"/>
    <w:rsid w:val="00C96DDF"/>
    <w:rsid w:val="00C97569"/>
    <w:rsid w:val="00CA199D"/>
    <w:rsid w:val="00CA4D9C"/>
    <w:rsid w:val="00CB05A7"/>
    <w:rsid w:val="00CB06A4"/>
    <w:rsid w:val="00CB325B"/>
    <w:rsid w:val="00CB327D"/>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F640B"/>
    <w:rsid w:val="00CF6B5A"/>
    <w:rsid w:val="00D01016"/>
    <w:rsid w:val="00D027AF"/>
    <w:rsid w:val="00D0323E"/>
    <w:rsid w:val="00D06652"/>
    <w:rsid w:val="00D07FA6"/>
    <w:rsid w:val="00D16ADF"/>
    <w:rsid w:val="00D17C53"/>
    <w:rsid w:val="00D17D57"/>
    <w:rsid w:val="00D2341D"/>
    <w:rsid w:val="00D252DA"/>
    <w:rsid w:val="00D25E0E"/>
    <w:rsid w:val="00D302EB"/>
    <w:rsid w:val="00D31679"/>
    <w:rsid w:val="00D320C8"/>
    <w:rsid w:val="00D330B6"/>
    <w:rsid w:val="00D3672F"/>
    <w:rsid w:val="00D40ABA"/>
    <w:rsid w:val="00D40FE2"/>
    <w:rsid w:val="00D440FA"/>
    <w:rsid w:val="00D44BCF"/>
    <w:rsid w:val="00D46E7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A0680"/>
    <w:rsid w:val="00DA078E"/>
    <w:rsid w:val="00DA36F6"/>
    <w:rsid w:val="00DA48F0"/>
    <w:rsid w:val="00DB0C8D"/>
    <w:rsid w:val="00DB6AF2"/>
    <w:rsid w:val="00DC1599"/>
    <w:rsid w:val="00DC1611"/>
    <w:rsid w:val="00DD2817"/>
    <w:rsid w:val="00DD3C53"/>
    <w:rsid w:val="00DD6B73"/>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2168"/>
    <w:rsid w:val="00E25DCB"/>
    <w:rsid w:val="00E2613B"/>
    <w:rsid w:val="00E313DF"/>
    <w:rsid w:val="00E330E0"/>
    <w:rsid w:val="00E36C70"/>
    <w:rsid w:val="00E4156E"/>
    <w:rsid w:val="00E44D61"/>
    <w:rsid w:val="00E453F2"/>
    <w:rsid w:val="00E460AD"/>
    <w:rsid w:val="00E61925"/>
    <w:rsid w:val="00E6363B"/>
    <w:rsid w:val="00E65C0E"/>
    <w:rsid w:val="00E65FB9"/>
    <w:rsid w:val="00E730FC"/>
    <w:rsid w:val="00E746F0"/>
    <w:rsid w:val="00E809B9"/>
    <w:rsid w:val="00E82A15"/>
    <w:rsid w:val="00E85445"/>
    <w:rsid w:val="00E87589"/>
    <w:rsid w:val="00E938FF"/>
    <w:rsid w:val="00E93DFE"/>
    <w:rsid w:val="00EA2124"/>
    <w:rsid w:val="00EA2B12"/>
    <w:rsid w:val="00EA34DC"/>
    <w:rsid w:val="00EA456C"/>
    <w:rsid w:val="00EA5017"/>
    <w:rsid w:val="00EA6BED"/>
    <w:rsid w:val="00EB14F0"/>
    <w:rsid w:val="00EB3844"/>
    <w:rsid w:val="00EB5A9F"/>
    <w:rsid w:val="00EC573F"/>
    <w:rsid w:val="00EC5C8D"/>
    <w:rsid w:val="00ED106C"/>
    <w:rsid w:val="00ED2D34"/>
    <w:rsid w:val="00ED4805"/>
    <w:rsid w:val="00ED57F6"/>
    <w:rsid w:val="00ED6C51"/>
    <w:rsid w:val="00ED6DA1"/>
    <w:rsid w:val="00EF0AF8"/>
    <w:rsid w:val="00EF207D"/>
    <w:rsid w:val="00EF4258"/>
    <w:rsid w:val="00EF6D31"/>
    <w:rsid w:val="00F02237"/>
    <w:rsid w:val="00F046F1"/>
    <w:rsid w:val="00F072E2"/>
    <w:rsid w:val="00F079A6"/>
    <w:rsid w:val="00F10236"/>
    <w:rsid w:val="00F15811"/>
    <w:rsid w:val="00F22423"/>
    <w:rsid w:val="00F24C72"/>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73D1C"/>
    <w:rsid w:val="00F763FC"/>
    <w:rsid w:val="00F76B4A"/>
    <w:rsid w:val="00F772C1"/>
    <w:rsid w:val="00F8026D"/>
    <w:rsid w:val="00F81579"/>
    <w:rsid w:val="00F8245F"/>
    <w:rsid w:val="00F827F7"/>
    <w:rsid w:val="00F82E40"/>
    <w:rsid w:val="00F91629"/>
    <w:rsid w:val="00F91E2A"/>
    <w:rsid w:val="00F95AAA"/>
    <w:rsid w:val="00F96C39"/>
    <w:rsid w:val="00F96E41"/>
    <w:rsid w:val="00FA153F"/>
    <w:rsid w:val="00FA1D78"/>
    <w:rsid w:val="00FA1F7E"/>
    <w:rsid w:val="00FA280F"/>
    <w:rsid w:val="00FA5289"/>
    <w:rsid w:val="00FA6213"/>
    <w:rsid w:val="00FB2186"/>
    <w:rsid w:val="00FB7E03"/>
    <w:rsid w:val="00FC2F08"/>
    <w:rsid w:val="00FD0133"/>
    <w:rsid w:val="00FD25FE"/>
    <w:rsid w:val="00FD6206"/>
    <w:rsid w:val="00FE1318"/>
    <w:rsid w:val="00FE208F"/>
    <w:rsid w:val="00FE54CD"/>
    <w:rsid w:val="00FE6DF6"/>
    <w:rsid w:val="00FF32C3"/>
    <w:rsid w:val="00FF3F8B"/>
    <w:rsid w:val="00FF4496"/>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E6C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C20ECB-A1EB-4D81-A537-D95C0D53A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2122</Words>
  <Characters>11673</Characters>
  <Application>Microsoft Office Word</Application>
  <DocSecurity>0</DocSecurity>
  <Lines>97</Lines>
  <Paragraphs>27</Paragraphs>
  <ScaleCrop>false</ScaleCrop>
  <Company/>
  <LinksUpToDate>false</LinksUpToDate>
  <CharactersWithSpaces>13768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2025-03-04T13:52:00Z</dcterms:created>
  <dcterms:modified xsi:type="dcterms:W3CDTF">2025-03-04T13:52:00Z</dcterms:modified>
</cp:coreProperties>
</file>