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FFAC4C3" w14:textId="77777777">
        <w:trPr>
          <w:cantSplit/>
        </w:trPr>
        <w:tc>
          <w:tcPr>
            <w:tcW w:w="4795" w:type="dxa"/>
          </w:tcPr>
          <w:p w14:paraId="1B95DF19" w14:textId="561120D0" w:rsidR="008A7FD1" w:rsidRPr="000C16AB" w:rsidRDefault="000C16AB" w:rsidP="000C16AB">
            <w:pPr>
              <w:pStyle w:val="zSoquijdatRepertorie"/>
              <w:rPr>
                <w:rFonts w:cs="Arial"/>
              </w:rPr>
            </w:pPr>
            <w:bookmarkStart w:id="0" w:name="_GoBack"/>
            <w:bookmarkEnd w:id="0"/>
            <w:r>
              <w:rPr>
                <w:rFonts w:cs="Arial"/>
              </w:rPr>
              <w:t>Lavoie et Hôpital Royal-Victoria</w:t>
            </w:r>
          </w:p>
        </w:tc>
        <w:tc>
          <w:tcPr>
            <w:tcW w:w="2477" w:type="dxa"/>
          </w:tcPr>
          <w:p w14:paraId="5F9C7329" w14:textId="0CEC723D" w:rsidR="008A7FD1" w:rsidRPr="00E95E26" w:rsidRDefault="00E95E26" w:rsidP="00E95E26">
            <w:pPr>
              <w:pStyle w:val="zSoquijdatRefNeutre"/>
              <w:rPr>
                <w:rFonts w:cs="Arial"/>
              </w:rPr>
            </w:pPr>
            <w:r w:rsidRPr="00E95E26">
              <w:rPr>
                <w:rFonts w:cs="Arial"/>
              </w:rPr>
              <w:t>2025 QCTAT 1758</w:t>
            </w:r>
          </w:p>
        </w:tc>
      </w:tr>
    </w:tbl>
    <w:p w14:paraId="225B30A7"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2FA1E5A3" w14:textId="77777777" w:rsidTr="00036794">
        <w:trPr>
          <w:cantSplit/>
        </w:trPr>
        <w:tc>
          <w:tcPr>
            <w:tcW w:w="9568" w:type="dxa"/>
            <w:gridSpan w:val="4"/>
          </w:tcPr>
          <w:p w14:paraId="1F6638E8" w14:textId="77777777" w:rsidR="00C74B6F" w:rsidRPr="00BE1981" w:rsidRDefault="00C74B6F">
            <w:pPr>
              <w:rPr>
                <w:szCs w:val="24"/>
              </w:rPr>
            </w:pPr>
          </w:p>
        </w:tc>
      </w:tr>
      <w:tr w:rsidR="00C74B6F" w14:paraId="4651AE45" w14:textId="77777777" w:rsidTr="00036794">
        <w:trPr>
          <w:cantSplit/>
        </w:trPr>
        <w:tc>
          <w:tcPr>
            <w:tcW w:w="9568" w:type="dxa"/>
            <w:gridSpan w:val="4"/>
            <w:vAlign w:val="center"/>
          </w:tcPr>
          <w:p w14:paraId="70F37162" w14:textId="77777777" w:rsidR="00C74B6F" w:rsidRPr="000E1320" w:rsidRDefault="000E1320">
            <w:pPr>
              <w:jc w:val="center"/>
              <w:rPr>
                <w:sz w:val="36"/>
                <w:szCs w:val="36"/>
              </w:rPr>
            </w:pPr>
            <w:r w:rsidRPr="000E1320">
              <w:rPr>
                <w:b/>
                <w:sz w:val="36"/>
                <w:szCs w:val="36"/>
              </w:rPr>
              <w:t>TRIBUNAL ADMINISTRATIF DU TRAVAIL</w:t>
            </w:r>
          </w:p>
        </w:tc>
      </w:tr>
      <w:tr w:rsidR="00C74B6F" w14:paraId="36BE81B3" w14:textId="77777777" w:rsidTr="00036794">
        <w:trPr>
          <w:cantSplit/>
        </w:trPr>
        <w:tc>
          <w:tcPr>
            <w:tcW w:w="9568" w:type="dxa"/>
            <w:gridSpan w:val="4"/>
          </w:tcPr>
          <w:p w14:paraId="469755AC" w14:textId="4135EEE9" w:rsidR="00C74B6F" w:rsidRPr="00BE7014" w:rsidRDefault="006F0154" w:rsidP="009A67E7">
            <w:pPr>
              <w:pStyle w:val="zSoquijdatDivision"/>
            </w:pPr>
            <w:r w:rsidRPr="00BE7014">
              <w:t>(</w:t>
            </w:r>
            <w:r w:rsidR="00AF1169" w:rsidRPr="00441ADA">
              <w:t>Division de la santé et de la sécurité du travail</w:t>
            </w:r>
            <w:r w:rsidRPr="00BE7014">
              <w:t>)</w:t>
            </w:r>
          </w:p>
        </w:tc>
      </w:tr>
      <w:tr w:rsidR="00C74B6F" w14:paraId="3A2F6F7F" w14:textId="77777777" w:rsidTr="00036794">
        <w:trPr>
          <w:cantSplit/>
        </w:trPr>
        <w:tc>
          <w:tcPr>
            <w:tcW w:w="9568" w:type="dxa"/>
            <w:gridSpan w:val="4"/>
          </w:tcPr>
          <w:p w14:paraId="45827E2D" w14:textId="77777777" w:rsidR="002B2FC3" w:rsidRDefault="002B2FC3" w:rsidP="002B2FC3"/>
        </w:tc>
      </w:tr>
      <w:tr w:rsidR="00A84FC6" w14:paraId="34E87D4E" w14:textId="77777777" w:rsidTr="00036794">
        <w:trPr>
          <w:cantSplit/>
        </w:trPr>
        <w:tc>
          <w:tcPr>
            <w:tcW w:w="9568" w:type="dxa"/>
            <w:gridSpan w:val="4"/>
          </w:tcPr>
          <w:p w14:paraId="48D52B3C" w14:textId="77777777" w:rsidR="00A84FC6" w:rsidRDefault="00A84FC6" w:rsidP="002B2FC3"/>
        </w:tc>
      </w:tr>
      <w:tr w:rsidR="00C74B6F" w14:paraId="0D47C6D5" w14:textId="77777777" w:rsidTr="00036794">
        <w:tc>
          <w:tcPr>
            <w:tcW w:w="3331" w:type="dxa"/>
          </w:tcPr>
          <w:p w14:paraId="561BF160" w14:textId="77777777" w:rsidR="00C74B6F" w:rsidRDefault="0084255F">
            <w:bookmarkStart w:id="1" w:name="region" w:colFirst="1" w:colLast="1"/>
            <w:r>
              <w:t>Région :</w:t>
            </w:r>
          </w:p>
        </w:tc>
        <w:tc>
          <w:tcPr>
            <w:tcW w:w="6237" w:type="dxa"/>
            <w:gridSpan w:val="3"/>
          </w:tcPr>
          <w:p w14:paraId="0907DA21" w14:textId="22283385" w:rsidR="00C74B6F" w:rsidRDefault="00AF1169" w:rsidP="00F4095A">
            <w:pPr>
              <w:pStyle w:val="zSoquijdatGreffe"/>
            </w:pPr>
            <w:r>
              <w:t>Yamaska</w:t>
            </w:r>
          </w:p>
        </w:tc>
      </w:tr>
      <w:bookmarkEnd w:id="1"/>
      <w:tr w:rsidR="00C74B6F" w14:paraId="4108C095" w14:textId="77777777" w:rsidTr="00036794">
        <w:trPr>
          <w:cantSplit/>
        </w:trPr>
        <w:tc>
          <w:tcPr>
            <w:tcW w:w="9568" w:type="dxa"/>
            <w:gridSpan w:val="4"/>
          </w:tcPr>
          <w:p w14:paraId="15A39E9E" w14:textId="77777777" w:rsidR="00C74B6F" w:rsidRDefault="00C74B6F"/>
        </w:tc>
      </w:tr>
      <w:tr w:rsidR="00C74B6F" w14:paraId="4C4DCCF1" w14:textId="77777777" w:rsidTr="00036794">
        <w:tc>
          <w:tcPr>
            <w:tcW w:w="3331" w:type="dxa"/>
          </w:tcPr>
          <w:p w14:paraId="07D0DBEA" w14:textId="77CE2C5B" w:rsidR="00C74B6F" w:rsidRDefault="0084255F">
            <w:bookmarkStart w:id="2" w:name="ref_dossier" w:colFirst="1" w:colLast="1"/>
            <w:r>
              <w:t>Dossier</w:t>
            </w:r>
            <w:bookmarkStart w:id="3" w:name="dossiers"/>
            <w:bookmarkEnd w:id="3"/>
            <w:r w:rsidR="00AF1169">
              <w:t>s</w:t>
            </w:r>
            <w:r>
              <w:t> :</w:t>
            </w:r>
          </w:p>
        </w:tc>
        <w:tc>
          <w:tcPr>
            <w:tcW w:w="6237" w:type="dxa"/>
            <w:gridSpan w:val="3"/>
          </w:tcPr>
          <w:p w14:paraId="729153EE" w14:textId="250F169C" w:rsidR="00C74B6F" w:rsidRDefault="00AF1169" w:rsidP="00F4095A">
            <w:pPr>
              <w:pStyle w:val="zSoquijdatNoDossier"/>
            </w:pPr>
            <w:r w:rsidRPr="00AF1169">
              <w:t>1337164</w:t>
            </w:r>
            <w:r w:rsidR="00BC5B54">
              <w:t>-</w:t>
            </w:r>
            <w:r w:rsidRPr="00AF1169">
              <w:t>62B</w:t>
            </w:r>
            <w:r w:rsidR="00BC5B54">
              <w:t>-</w:t>
            </w:r>
            <w:r w:rsidRPr="00AF1169">
              <w:t>2309</w:t>
            </w:r>
            <w:r>
              <w:t xml:space="preserve">   </w:t>
            </w:r>
            <w:r w:rsidRPr="00AF1169">
              <w:t>1379158</w:t>
            </w:r>
            <w:r w:rsidR="00BC5B54">
              <w:t>-</w:t>
            </w:r>
            <w:r w:rsidRPr="00AF1169">
              <w:t>62B</w:t>
            </w:r>
            <w:r w:rsidR="00BC5B54">
              <w:t>-</w:t>
            </w:r>
            <w:r w:rsidRPr="00AF1169">
              <w:t>2408</w:t>
            </w:r>
          </w:p>
        </w:tc>
      </w:tr>
      <w:bookmarkEnd w:id="2"/>
      <w:tr w:rsidR="00C74B6F" w14:paraId="4F3A9E3D" w14:textId="77777777" w:rsidTr="00036794">
        <w:trPr>
          <w:cantSplit/>
        </w:trPr>
        <w:tc>
          <w:tcPr>
            <w:tcW w:w="9568" w:type="dxa"/>
            <w:gridSpan w:val="4"/>
          </w:tcPr>
          <w:p w14:paraId="5FBC2093" w14:textId="77777777" w:rsidR="00C74B6F" w:rsidRDefault="00D44BCF">
            <w:r>
              <w:fldChar w:fldCharType="begin"/>
            </w:r>
            <w:r>
              <w:instrText xml:space="preserve"> AUTOTEXTLIST  \* Upper  \* MERGEFORMAT </w:instrText>
            </w:r>
            <w:r>
              <w:fldChar w:fldCharType="end"/>
            </w:r>
          </w:p>
        </w:tc>
      </w:tr>
      <w:tr w:rsidR="00C74B6F" w14:paraId="01C17049" w14:textId="77777777" w:rsidTr="00036794">
        <w:tc>
          <w:tcPr>
            <w:tcW w:w="3331" w:type="dxa"/>
          </w:tcPr>
          <w:p w14:paraId="16D56726" w14:textId="50591C99" w:rsidR="00C74B6F" w:rsidRDefault="008C79A7" w:rsidP="0045114F">
            <w:pPr>
              <w:ind w:right="46"/>
            </w:pPr>
            <w:r>
              <w:t xml:space="preserve">Dossier </w:t>
            </w:r>
            <w:r w:rsidR="00AF1169">
              <w:rPr>
                <w:szCs w:val="24"/>
              </w:rPr>
              <w:t>CNESST</w:t>
            </w:r>
            <w:r w:rsidR="00BC5B54">
              <w:rPr>
                <w:szCs w:val="24"/>
              </w:rPr>
              <w:t> </w:t>
            </w:r>
            <w:r w:rsidRPr="008C79A7">
              <w:rPr>
                <w:szCs w:val="24"/>
              </w:rPr>
              <w:t>:</w:t>
            </w:r>
          </w:p>
        </w:tc>
        <w:tc>
          <w:tcPr>
            <w:tcW w:w="6237" w:type="dxa"/>
            <w:gridSpan w:val="3"/>
          </w:tcPr>
          <w:p w14:paraId="13E2E03E" w14:textId="3DB496F7" w:rsidR="00C74B6F" w:rsidRDefault="00AF1169" w:rsidP="004D6CEA">
            <w:pPr>
              <w:pStyle w:val="zSoquijdatNCSST"/>
            </w:pPr>
            <w:r w:rsidRPr="00AF1169">
              <w:t>003438686</w:t>
            </w:r>
          </w:p>
        </w:tc>
      </w:tr>
      <w:tr w:rsidR="00C74B6F" w14:paraId="362A4833" w14:textId="77777777" w:rsidTr="00036794">
        <w:trPr>
          <w:cantSplit/>
        </w:trPr>
        <w:tc>
          <w:tcPr>
            <w:tcW w:w="9568" w:type="dxa"/>
            <w:gridSpan w:val="4"/>
          </w:tcPr>
          <w:p w14:paraId="74FD581D" w14:textId="77777777" w:rsidR="00C74B6F" w:rsidRDefault="00C74B6F"/>
        </w:tc>
      </w:tr>
      <w:tr w:rsidR="00C74B6F" w14:paraId="2E06DE4C" w14:textId="77777777" w:rsidTr="00036794">
        <w:trPr>
          <w:cantSplit/>
        </w:trPr>
        <w:tc>
          <w:tcPr>
            <w:tcW w:w="9568" w:type="dxa"/>
            <w:gridSpan w:val="4"/>
          </w:tcPr>
          <w:p w14:paraId="576A8F43" w14:textId="77777777" w:rsidR="00C74B6F" w:rsidRDefault="00C74B6F"/>
        </w:tc>
      </w:tr>
      <w:tr w:rsidR="006E3DD8" w14:paraId="50A722C3" w14:textId="77777777" w:rsidTr="00036794">
        <w:trPr>
          <w:cantSplit/>
        </w:trPr>
        <w:tc>
          <w:tcPr>
            <w:tcW w:w="3331" w:type="dxa"/>
          </w:tcPr>
          <w:p w14:paraId="588AE518" w14:textId="75A3E161" w:rsidR="006E3DD8" w:rsidRDefault="00AF1169" w:rsidP="0076350E">
            <w:pPr>
              <w:ind w:right="-70"/>
            </w:pPr>
            <w:r>
              <w:t>Saint-Hyacinthe</w:t>
            </w:r>
            <w:r w:rsidR="00C04E32">
              <w:t>,</w:t>
            </w:r>
          </w:p>
        </w:tc>
        <w:tc>
          <w:tcPr>
            <w:tcW w:w="6237" w:type="dxa"/>
            <w:gridSpan w:val="3"/>
          </w:tcPr>
          <w:p w14:paraId="6383C19A" w14:textId="18466F54" w:rsidR="006E3DD8" w:rsidRDefault="00C04E32" w:rsidP="005B5689">
            <w:pPr>
              <w:pStyle w:val="zSoquijdatDateJugement"/>
            </w:pPr>
            <w:r>
              <w:t xml:space="preserve">le </w:t>
            </w:r>
            <w:r w:rsidR="00F31DD2">
              <w:t>2</w:t>
            </w:r>
            <w:r w:rsidR="00FB16E3">
              <w:t>8</w:t>
            </w:r>
            <w:r w:rsidR="00F31DD2">
              <w:t xml:space="preserve"> </w:t>
            </w:r>
            <w:r w:rsidR="00BC5B54">
              <w:t xml:space="preserve">avril </w:t>
            </w:r>
            <w:r w:rsidR="00AF1169">
              <w:t>2025</w:t>
            </w:r>
          </w:p>
        </w:tc>
      </w:tr>
      <w:tr w:rsidR="00942AB8" w14:paraId="4CEDC6B4" w14:textId="77777777" w:rsidTr="00036794">
        <w:trPr>
          <w:cantSplit/>
        </w:trPr>
        <w:tc>
          <w:tcPr>
            <w:tcW w:w="9568" w:type="dxa"/>
            <w:gridSpan w:val="4"/>
          </w:tcPr>
          <w:p w14:paraId="36ED694F" w14:textId="77777777" w:rsidR="00942AB8" w:rsidRDefault="00942AB8" w:rsidP="00FA153F">
            <w:r>
              <w:t>______________________________________________________________________</w:t>
            </w:r>
          </w:p>
        </w:tc>
      </w:tr>
      <w:tr w:rsidR="00942AB8" w14:paraId="0CB831E1" w14:textId="77777777" w:rsidTr="00036794">
        <w:trPr>
          <w:cantSplit/>
          <w:trHeight w:val="148"/>
        </w:trPr>
        <w:tc>
          <w:tcPr>
            <w:tcW w:w="9568" w:type="dxa"/>
            <w:gridSpan w:val="4"/>
          </w:tcPr>
          <w:p w14:paraId="58ECBA69" w14:textId="77777777" w:rsidR="00942AB8" w:rsidRDefault="00942AB8" w:rsidP="00FA153F"/>
        </w:tc>
      </w:tr>
      <w:tr w:rsidR="0035375B" w14:paraId="6D103E49" w14:textId="77777777" w:rsidTr="00036794">
        <w:trPr>
          <w:cantSplit/>
          <w:trHeight w:val="148"/>
        </w:trPr>
        <w:tc>
          <w:tcPr>
            <w:tcW w:w="5883" w:type="dxa"/>
            <w:gridSpan w:val="3"/>
          </w:tcPr>
          <w:p w14:paraId="115E2F27" w14:textId="34B53ADF" w:rsidR="0035375B" w:rsidRPr="00942AB8" w:rsidRDefault="0035375B">
            <w:pPr>
              <w:rPr>
                <w:b/>
                <w:bCs/>
              </w:rPr>
            </w:pPr>
            <w:bookmarkStart w:id="4" w:name="ref_commissaire" w:colFirst="1" w:colLast="1"/>
            <w:r w:rsidRPr="00942AB8">
              <w:rPr>
                <w:b/>
                <w:bCs/>
              </w:rPr>
              <w:t>DEVANT L</w:t>
            </w:r>
            <w:r w:rsidR="00AF1169">
              <w:rPr>
                <w:b/>
                <w:bCs/>
              </w:rPr>
              <w:t>A</w:t>
            </w:r>
            <w:r w:rsidRPr="00942AB8">
              <w:rPr>
                <w:b/>
                <w:bCs/>
              </w:rPr>
              <w:t xml:space="preserve"> JUGE ADMINISTRATI</w:t>
            </w:r>
            <w:r w:rsidR="00AF1169">
              <w:rPr>
                <w:b/>
                <w:bCs/>
              </w:rPr>
              <w:t>VE</w:t>
            </w:r>
            <w:r w:rsidRPr="00942AB8">
              <w:rPr>
                <w:b/>
                <w:bCs/>
              </w:rPr>
              <w:t> :</w:t>
            </w:r>
          </w:p>
        </w:tc>
        <w:tc>
          <w:tcPr>
            <w:tcW w:w="3685" w:type="dxa"/>
          </w:tcPr>
          <w:p w14:paraId="6543974C" w14:textId="4FF214DC" w:rsidR="0035375B" w:rsidRPr="00942AB8" w:rsidRDefault="00AF1169" w:rsidP="005B5689">
            <w:pPr>
              <w:pStyle w:val="zSoquijdatJuge"/>
              <w:rPr>
                <w:bCs/>
              </w:rPr>
            </w:pPr>
            <w:r>
              <w:t>Virginie Maloney</w:t>
            </w:r>
          </w:p>
        </w:tc>
      </w:tr>
      <w:bookmarkEnd w:id="4"/>
      <w:tr w:rsidR="00942AB8" w14:paraId="5F388906" w14:textId="77777777" w:rsidTr="00036794">
        <w:trPr>
          <w:cantSplit/>
          <w:trHeight w:val="148"/>
        </w:trPr>
        <w:tc>
          <w:tcPr>
            <w:tcW w:w="9568" w:type="dxa"/>
            <w:gridSpan w:val="4"/>
          </w:tcPr>
          <w:p w14:paraId="23326424" w14:textId="77777777" w:rsidR="00942AB8" w:rsidRDefault="00942AB8" w:rsidP="00FA153F">
            <w:r>
              <w:t>______________________________________________________________________</w:t>
            </w:r>
          </w:p>
        </w:tc>
      </w:tr>
      <w:tr w:rsidR="00942AB8" w14:paraId="35BDCCD2" w14:textId="77777777" w:rsidTr="00036794">
        <w:tc>
          <w:tcPr>
            <w:tcW w:w="9568" w:type="dxa"/>
            <w:gridSpan w:val="4"/>
          </w:tcPr>
          <w:p w14:paraId="16EDA41E" w14:textId="77777777" w:rsidR="00942AB8" w:rsidRDefault="00942AB8"/>
        </w:tc>
      </w:tr>
      <w:tr w:rsidR="00942AB8" w14:paraId="42A00CEA" w14:textId="77777777" w:rsidTr="00E21768">
        <w:tc>
          <w:tcPr>
            <w:tcW w:w="4890" w:type="dxa"/>
            <w:gridSpan w:val="2"/>
          </w:tcPr>
          <w:p w14:paraId="4D67576D" w14:textId="77777777" w:rsidR="00942AB8" w:rsidRDefault="00942AB8">
            <w:bookmarkStart w:id="5" w:name="bloc_parties_gauche"/>
            <w:bookmarkEnd w:id="5"/>
          </w:p>
        </w:tc>
        <w:tc>
          <w:tcPr>
            <w:tcW w:w="4678" w:type="dxa"/>
            <w:gridSpan w:val="2"/>
          </w:tcPr>
          <w:p w14:paraId="1091C0D9" w14:textId="77777777" w:rsidR="00942AB8" w:rsidRDefault="00942AB8"/>
        </w:tc>
      </w:tr>
      <w:tr w:rsidR="00942AB8" w14:paraId="0561F4E8" w14:textId="77777777" w:rsidTr="00E21768">
        <w:tc>
          <w:tcPr>
            <w:tcW w:w="4890" w:type="dxa"/>
            <w:gridSpan w:val="2"/>
          </w:tcPr>
          <w:p w14:paraId="111C3CCF" w14:textId="39070209" w:rsidR="00942AB8" w:rsidRDefault="00AF1169">
            <w:pPr>
              <w:pStyle w:val="zSoquijdatNomPartieDem"/>
              <w:rPr>
                <w:b/>
              </w:rPr>
            </w:pPr>
            <w:r w:rsidRPr="00AF1169">
              <w:rPr>
                <w:b/>
              </w:rPr>
              <w:t>Roger Lavoie</w:t>
            </w:r>
          </w:p>
        </w:tc>
        <w:tc>
          <w:tcPr>
            <w:tcW w:w="4678" w:type="dxa"/>
            <w:gridSpan w:val="2"/>
          </w:tcPr>
          <w:p w14:paraId="035595D6" w14:textId="77777777" w:rsidR="00942AB8" w:rsidRDefault="00942AB8"/>
        </w:tc>
      </w:tr>
      <w:tr w:rsidR="00942AB8" w14:paraId="5387E26F" w14:textId="77777777" w:rsidTr="00E21768">
        <w:tc>
          <w:tcPr>
            <w:tcW w:w="4890" w:type="dxa"/>
            <w:gridSpan w:val="2"/>
          </w:tcPr>
          <w:p w14:paraId="19FD2AAC" w14:textId="05393563" w:rsidR="00942AB8" w:rsidRDefault="00AF1169" w:rsidP="007B0DF2">
            <w:pPr>
              <w:pStyle w:val="zSoquijdatQtePartieDem"/>
              <w:tabs>
                <w:tab w:val="left" w:pos="3539"/>
              </w:tabs>
              <w:ind w:left="708"/>
            </w:pPr>
            <w:bookmarkStart w:id="6" w:name="partie_demanderesse"/>
            <w:bookmarkEnd w:id="6"/>
            <w:r>
              <w:t>Partie demanderesse</w:t>
            </w:r>
          </w:p>
        </w:tc>
        <w:tc>
          <w:tcPr>
            <w:tcW w:w="4678" w:type="dxa"/>
            <w:gridSpan w:val="2"/>
          </w:tcPr>
          <w:p w14:paraId="205AB96A" w14:textId="77777777" w:rsidR="00942AB8" w:rsidRDefault="00942AB8"/>
        </w:tc>
      </w:tr>
      <w:tr w:rsidR="00942AB8" w14:paraId="346B21FD" w14:textId="77777777" w:rsidTr="00E21768">
        <w:tc>
          <w:tcPr>
            <w:tcW w:w="4890" w:type="dxa"/>
            <w:gridSpan w:val="2"/>
          </w:tcPr>
          <w:p w14:paraId="1F06AEBE" w14:textId="77777777" w:rsidR="00942AB8" w:rsidRDefault="00942AB8" w:rsidP="00E6363B"/>
        </w:tc>
        <w:tc>
          <w:tcPr>
            <w:tcW w:w="4678" w:type="dxa"/>
            <w:gridSpan w:val="2"/>
          </w:tcPr>
          <w:p w14:paraId="5E6A7082" w14:textId="77777777" w:rsidR="00942AB8" w:rsidRDefault="00942AB8"/>
        </w:tc>
      </w:tr>
      <w:tr w:rsidR="00942AB8" w14:paraId="6A4D8B33" w14:textId="77777777" w:rsidTr="00E21768">
        <w:tc>
          <w:tcPr>
            <w:tcW w:w="4890" w:type="dxa"/>
            <w:gridSpan w:val="2"/>
          </w:tcPr>
          <w:p w14:paraId="0D03BCEE" w14:textId="791561A6" w:rsidR="00942AB8" w:rsidRDefault="00AF1169" w:rsidP="00D06652">
            <w:pPr>
              <w:pStyle w:val="zSoquijlblLienParties"/>
            </w:pPr>
            <w:r>
              <w:t>et</w:t>
            </w:r>
          </w:p>
        </w:tc>
        <w:tc>
          <w:tcPr>
            <w:tcW w:w="4678" w:type="dxa"/>
            <w:gridSpan w:val="2"/>
          </w:tcPr>
          <w:p w14:paraId="6373BE04" w14:textId="77777777" w:rsidR="00942AB8" w:rsidRDefault="00942AB8"/>
        </w:tc>
      </w:tr>
      <w:tr w:rsidR="00942AB8" w14:paraId="01831288" w14:textId="77777777" w:rsidTr="00E21768">
        <w:tc>
          <w:tcPr>
            <w:tcW w:w="4890" w:type="dxa"/>
            <w:gridSpan w:val="2"/>
          </w:tcPr>
          <w:p w14:paraId="3BE20502" w14:textId="77777777" w:rsidR="00942AB8" w:rsidRDefault="00942AB8"/>
        </w:tc>
        <w:tc>
          <w:tcPr>
            <w:tcW w:w="4678" w:type="dxa"/>
            <w:gridSpan w:val="2"/>
          </w:tcPr>
          <w:p w14:paraId="68E703A0" w14:textId="77777777" w:rsidR="00942AB8" w:rsidRDefault="00942AB8"/>
        </w:tc>
      </w:tr>
      <w:tr w:rsidR="00942AB8" w14:paraId="304740FD" w14:textId="77777777" w:rsidTr="00E21768">
        <w:tc>
          <w:tcPr>
            <w:tcW w:w="4890" w:type="dxa"/>
            <w:gridSpan w:val="2"/>
          </w:tcPr>
          <w:p w14:paraId="1C6A931F" w14:textId="3344A3AF" w:rsidR="00942AB8" w:rsidRDefault="00AF1169">
            <w:pPr>
              <w:pStyle w:val="zSoquijdatNomPartieDef"/>
              <w:rPr>
                <w:b/>
              </w:rPr>
            </w:pPr>
            <w:r w:rsidRPr="00AF1169">
              <w:rPr>
                <w:b/>
              </w:rPr>
              <w:t>Hôpital Royal-Victoria</w:t>
            </w:r>
          </w:p>
        </w:tc>
        <w:tc>
          <w:tcPr>
            <w:tcW w:w="4678" w:type="dxa"/>
            <w:gridSpan w:val="2"/>
          </w:tcPr>
          <w:p w14:paraId="3F9ACA14" w14:textId="77777777" w:rsidR="00942AB8" w:rsidRDefault="00942AB8"/>
        </w:tc>
      </w:tr>
      <w:tr w:rsidR="00942AB8" w14:paraId="74C2DE19" w14:textId="77777777" w:rsidTr="00E21768">
        <w:tc>
          <w:tcPr>
            <w:tcW w:w="4890" w:type="dxa"/>
            <w:gridSpan w:val="2"/>
          </w:tcPr>
          <w:p w14:paraId="3894F24B" w14:textId="4F9233B9" w:rsidR="00942AB8" w:rsidRDefault="00AF1169">
            <w:pPr>
              <w:pStyle w:val="zSoquijdatQtePartieDef"/>
              <w:ind w:left="708"/>
            </w:pPr>
            <w:r>
              <w:t>Partie mise en cause</w:t>
            </w:r>
          </w:p>
        </w:tc>
        <w:tc>
          <w:tcPr>
            <w:tcW w:w="4678" w:type="dxa"/>
            <w:gridSpan w:val="2"/>
          </w:tcPr>
          <w:p w14:paraId="451FEC8E" w14:textId="77777777" w:rsidR="00942AB8" w:rsidRDefault="00942AB8"/>
        </w:tc>
      </w:tr>
      <w:tr w:rsidR="00942AB8" w14:paraId="73457178" w14:textId="77777777" w:rsidTr="00E21768">
        <w:tc>
          <w:tcPr>
            <w:tcW w:w="4890" w:type="dxa"/>
            <w:gridSpan w:val="2"/>
          </w:tcPr>
          <w:p w14:paraId="60B14751" w14:textId="77777777" w:rsidR="00942AB8" w:rsidRDefault="00942AB8"/>
        </w:tc>
        <w:tc>
          <w:tcPr>
            <w:tcW w:w="4678" w:type="dxa"/>
            <w:gridSpan w:val="2"/>
          </w:tcPr>
          <w:p w14:paraId="0C09E93D" w14:textId="77777777" w:rsidR="00942AB8" w:rsidRDefault="00942AB8"/>
        </w:tc>
      </w:tr>
    </w:tbl>
    <w:p w14:paraId="4A1EFE28" w14:textId="77777777" w:rsidR="00C74B6F" w:rsidRDefault="00C74B6F">
      <w:r>
        <w:t>______________________________________________________________________</w:t>
      </w:r>
    </w:p>
    <w:p w14:paraId="22091E39" w14:textId="77777777" w:rsidR="00C74B6F" w:rsidRDefault="00C74B6F"/>
    <w:p w14:paraId="52D93471" w14:textId="77777777" w:rsidR="00C74B6F" w:rsidRPr="005B0612" w:rsidRDefault="00C74B6F" w:rsidP="008B042E">
      <w:pPr>
        <w:jc w:val="center"/>
        <w:rPr>
          <w:b/>
          <w:bCs/>
        </w:rPr>
      </w:pPr>
      <w:bookmarkStart w:id="7" w:name="decision"/>
      <w:r w:rsidRPr="005B0612">
        <w:rPr>
          <w:b/>
          <w:bCs/>
        </w:rPr>
        <w:t>DÉCISION</w:t>
      </w:r>
      <w:bookmarkEnd w:id="7"/>
    </w:p>
    <w:p w14:paraId="71BDB4AE" w14:textId="77777777" w:rsidR="008F20EA" w:rsidRDefault="008F20EA" w:rsidP="008F20EA">
      <w:bookmarkStart w:id="8" w:name="separation"/>
      <w:bookmarkStart w:id="9" w:name="parag_1"/>
      <w:r>
        <w:t>______________________________________________________________________</w:t>
      </w:r>
    </w:p>
    <w:p w14:paraId="15C96B0E"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6B1CA4AA" w14:textId="16E8E8D4" w:rsidR="00C74B6F" w:rsidRDefault="00DD2C98">
      <w:pPr>
        <w:pStyle w:val="corpsdedcision"/>
      </w:pPr>
      <w:r>
        <w:t>Monsieur Roger Lavoie</w:t>
      </w:r>
      <w:r w:rsidR="00051CE4">
        <w:t>, le travailleur,</w:t>
      </w:r>
      <w:r>
        <w:t xml:space="preserve"> souffre d’une surdité professionnelle depuis</w:t>
      </w:r>
      <w:r w:rsidR="00D41549">
        <w:t> </w:t>
      </w:r>
      <w:r>
        <w:t xml:space="preserve">1989, découlant de son travail de mécanicien pour l’Hôpital Royal-Victoria. Il porte des prothèses auditives et un implant cochléaire droit depuis 2016. </w:t>
      </w:r>
    </w:p>
    <w:p w14:paraId="1B0FA3D0" w14:textId="3D753182" w:rsidR="005135F5" w:rsidRDefault="00DD2C98">
      <w:pPr>
        <w:pStyle w:val="corpsdedcision"/>
      </w:pPr>
      <w:r>
        <w:t>En 2022, il demande à la Commission des normes, de l'équité, de la santé et de la sécurité du travail de lui rembourser un</w:t>
      </w:r>
      <w:r w:rsidR="005135F5">
        <w:t>e aide à la suppléance auditive, soit un système de télévision. La Commission refuse</w:t>
      </w:r>
      <w:r w:rsidR="00044197">
        <w:rPr>
          <w:rStyle w:val="Appelnotedebasdep"/>
        </w:rPr>
        <w:footnoteReference w:id="1"/>
      </w:r>
      <w:r w:rsidR="005135F5">
        <w:t xml:space="preserve"> puisque le travailleur possède déjà un tel système, qui, selon elle, serait toujours sous la garantie. Cette décision est contestée par le travailleur et confirmée par la </w:t>
      </w:r>
      <w:r w:rsidR="002E13C4">
        <w:t>D</w:t>
      </w:r>
      <w:r w:rsidR="005135F5">
        <w:t>irection générale de la révision administrative</w:t>
      </w:r>
      <w:r w:rsidR="00044197">
        <w:rPr>
          <w:rStyle w:val="Appelnotedebasdep"/>
        </w:rPr>
        <w:footnoteReference w:id="2"/>
      </w:r>
      <w:r w:rsidR="005135F5">
        <w:t xml:space="preserve">. Il s’agit du litige. </w:t>
      </w:r>
    </w:p>
    <w:p w14:paraId="0E0AABB5" w14:textId="53F92B95" w:rsidR="00DD2C98" w:rsidRDefault="005135F5">
      <w:pPr>
        <w:pStyle w:val="corpsdedcision"/>
      </w:pPr>
      <w:r>
        <w:t xml:space="preserve">En 2024, le travailleur demande à nouveau </w:t>
      </w:r>
      <w:r w:rsidR="00316D9B">
        <w:t>le remboursement</w:t>
      </w:r>
      <w:r>
        <w:t xml:space="preserve"> d</w:t>
      </w:r>
      <w:r w:rsidR="004A5AEB">
        <w:t>’un</w:t>
      </w:r>
      <w:r>
        <w:t xml:space="preserve"> système d’écoute, puisqu</w:t>
      </w:r>
      <w:r w:rsidR="004A5AEB">
        <w:t xml:space="preserve">e celui qu’il possède </w:t>
      </w:r>
      <w:r w:rsidR="00980A62">
        <w:t>est défectueux. La Commission refuse</w:t>
      </w:r>
      <w:r w:rsidR="00044197">
        <w:rPr>
          <w:rStyle w:val="Appelnotedebasdep"/>
        </w:rPr>
        <w:footnoteReference w:id="3"/>
      </w:r>
      <w:r w:rsidR="00980A62">
        <w:t xml:space="preserve"> le remboursement</w:t>
      </w:r>
      <w:r w:rsidR="004A5AEB">
        <w:t xml:space="preserve"> et fait valoir que </w:t>
      </w:r>
      <w:r w:rsidR="00980A62">
        <w:t xml:space="preserve">le travailleur a jeté l’appareil sans le faire réparer. Cette décision est aussi contestée et confirmée par la </w:t>
      </w:r>
      <w:r w:rsidR="002E13C4">
        <w:t>D</w:t>
      </w:r>
      <w:r w:rsidR="00980A62">
        <w:t xml:space="preserve">irection </w:t>
      </w:r>
      <w:r w:rsidR="00044197">
        <w:t xml:space="preserve">générale </w:t>
      </w:r>
      <w:r w:rsidR="00980A62">
        <w:t>de la révision administrative</w:t>
      </w:r>
      <w:r w:rsidR="00044197">
        <w:rPr>
          <w:rStyle w:val="Appelnotedebasdep"/>
        </w:rPr>
        <w:footnoteReference w:id="4"/>
      </w:r>
      <w:r w:rsidR="00980A62">
        <w:t xml:space="preserve">. </w:t>
      </w:r>
      <w:r w:rsidR="00044197">
        <w:t xml:space="preserve">Il s’agit du second litige. </w:t>
      </w:r>
    </w:p>
    <w:p w14:paraId="1707DA25" w14:textId="1909C76D" w:rsidR="007A0509" w:rsidRDefault="007A0509">
      <w:pPr>
        <w:pStyle w:val="corpsdedcision"/>
      </w:pPr>
      <w:r>
        <w:t>En audience, le travailleur demande au Tribunal d’autoriser le remboursement du système d’écoute de la télévision, car il en a besoin pour être en mesure de bien entendre</w:t>
      </w:r>
      <w:r w:rsidR="003D46ED">
        <w:t xml:space="preserve"> et ce système améliore sa qualité de vie</w:t>
      </w:r>
      <w:r>
        <w:t>. Il explique que l’ancien système n’était pas compatible avec</w:t>
      </w:r>
      <w:r w:rsidR="006F185A">
        <w:t xml:space="preserve"> son implant cochléaire</w:t>
      </w:r>
      <w:r w:rsidR="002E13C4">
        <w:t xml:space="preserve"> droit</w:t>
      </w:r>
      <w:r w:rsidR="006F185A">
        <w:t xml:space="preserve">, ce qui ne lui permettait pas de bien entendre. </w:t>
      </w:r>
      <w:r w:rsidR="00044197">
        <w:t>Il explique que les deux demandes de remboursement vis</w:t>
      </w:r>
      <w:r w:rsidR="002E13C4">
        <w:t>ent</w:t>
      </w:r>
      <w:r w:rsidR="00044197">
        <w:t xml:space="preserve">, en fait, le même système d’écoute de la télévision. </w:t>
      </w:r>
    </w:p>
    <w:p w14:paraId="0C566DA7" w14:textId="7A35CB7E" w:rsidR="006F185A" w:rsidRDefault="008C4534">
      <w:pPr>
        <w:pStyle w:val="corpsdedcision"/>
      </w:pPr>
      <w:r>
        <w:t xml:space="preserve">Dans ce contexte, le Tribunal doit répondre aux questions suivantes : </w:t>
      </w:r>
    </w:p>
    <w:p w14:paraId="56E0FF4E" w14:textId="767DA9A8" w:rsidR="003D46ED" w:rsidRDefault="003D46ED" w:rsidP="00BC5B54">
      <w:pPr>
        <w:pStyle w:val="corpsdedcision"/>
        <w:numPr>
          <w:ilvl w:val="0"/>
          <w:numId w:val="12"/>
        </w:numPr>
        <w:ind w:left="1077" w:hanging="357"/>
      </w:pPr>
      <w:r>
        <w:t xml:space="preserve">Le travailleur a-t-il droit au remboursement du système d’écoute de la télévision? </w:t>
      </w:r>
    </w:p>
    <w:p w14:paraId="4E0C8DD0" w14:textId="35291322" w:rsidR="008C4534" w:rsidRDefault="008C4534">
      <w:pPr>
        <w:pStyle w:val="corpsdedcision"/>
      </w:pPr>
      <w:r>
        <w:t xml:space="preserve">Pour les raisons qui suivent, le Tribunal accorde l’autorisation du remboursement demandé. </w:t>
      </w:r>
    </w:p>
    <w:p w14:paraId="44E610E2" w14:textId="77777777" w:rsidR="00082A97" w:rsidRDefault="00082A97" w:rsidP="00F10236">
      <w:pPr>
        <w:pStyle w:val="corpsdedcision"/>
        <w:numPr>
          <w:ilvl w:val="0"/>
          <w:numId w:val="0"/>
        </w:numPr>
        <w:rPr>
          <w:b/>
          <w:bCs/>
          <w:u w:val="single"/>
        </w:rPr>
      </w:pPr>
      <w:bookmarkStart w:id="11" w:name="supprimer_analyse"/>
      <w:r w:rsidRPr="00B51F99">
        <w:rPr>
          <w:b/>
          <w:bCs/>
          <w:u w:val="single"/>
        </w:rPr>
        <w:t>L</w:t>
      </w:r>
      <w:r>
        <w:rPr>
          <w:b/>
          <w:bCs/>
          <w:u w:val="single"/>
        </w:rPr>
        <w:t>’ANALYSE</w:t>
      </w:r>
    </w:p>
    <w:bookmarkEnd w:id="11"/>
    <w:p w14:paraId="318887EF" w14:textId="0A15FD7F" w:rsidR="002A1B0C" w:rsidRDefault="002A1B0C" w:rsidP="00BC5B54">
      <w:pPr>
        <w:pStyle w:val="corpsdedcision"/>
      </w:pPr>
      <w:r>
        <w:t xml:space="preserve">La </w:t>
      </w:r>
      <w:r w:rsidRPr="00C57EEB">
        <w:rPr>
          <w:i/>
          <w:iCs/>
        </w:rPr>
        <w:t>Loi sur les accidents du travail et les maladies professionnelles</w:t>
      </w:r>
      <w:r>
        <w:rPr>
          <w:rStyle w:val="Appelnotedebasdep"/>
        </w:rPr>
        <w:footnoteReference w:id="5"/>
      </w:r>
      <w:r>
        <w:rPr>
          <w:i/>
          <w:iCs/>
        </w:rPr>
        <w:t>,</w:t>
      </w:r>
      <w:r w:rsidR="00751B11">
        <w:rPr>
          <w:i/>
          <w:iCs/>
        </w:rPr>
        <w:t xml:space="preserve"> </w:t>
      </w:r>
      <w:r>
        <w:t xml:space="preserve">la Loi, prévoit que la réparation d’une lésion professionnelle inclut le droit à la réadaptation. </w:t>
      </w:r>
      <w:r w:rsidR="00474F25">
        <w:t>Spécifiquement</w:t>
      </w:r>
      <w:r>
        <w:t xml:space="preserve">, </w:t>
      </w:r>
      <w:r w:rsidRPr="00350F2B">
        <w:t xml:space="preserve">la disposition </w:t>
      </w:r>
      <w:r w:rsidR="00474F25">
        <w:t>qui l’encadre</w:t>
      </w:r>
      <w:r w:rsidRPr="00350F2B">
        <w:t xml:space="preserve"> se trouv</w:t>
      </w:r>
      <w:r w:rsidR="00474F25">
        <w:t>e</w:t>
      </w:r>
      <w:r w:rsidRPr="00350F2B">
        <w:t xml:space="preserve"> à l’article 14</w:t>
      </w:r>
      <w:r w:rsidR="00474F25">
        <w:t>6</w:t>
      </w:r>
      <w:r w:rsidRPr="00350F2B">
        <w:t xml:space="preserve"> de la Loi :</w:t>
      </w:r>
      <w:r>
        <w:t xml:space="preserve"> </w:t>
      </w:r>
    </w:p>
    <w:p w14:paraId="702C8F3F" w14:textId="27346156" w:rsidR="00474F25" w:rsidRDefault="00474F25" w:rsidP="00171D77">
      <w:pPr>
        <w:pStyle w:val="articlesdelaLATMP"/>
      </w:pPr>
      <w:r w:rsidRPr="004C7B0B">
        <w:rPr>
          <w:b/>
        </w:rPr>
        <w:t>146.</w:t>
      </w:r>
      <w:r w:rsidR="00051CE4">
        <w:tab/>
      </w:r>
      <w:r>
        <w:t>Le travailleur qui, en raison de la lésion professionnelle dont il a été victime, subit une atteinte permanente à son intégrité physique ou psychique a droit, dans les cas et aux conditions prévus à la présente section, à la réadaptation.</w:t>
      </w:r>
    </w:p>
    <w:p w14:paraId="78804777" w14:textId="77777777" w:rsidR="00474F25" w:rsidRDefault="00474F25" w:rsidP="00171D77">
      <w:pPr>
        <w:pStyle w:val="articlesdelaLATMP"/>
      </w:pPr>
    </w:p>
    <w:p w14:paraId="6C428981" w14:textId="77777777" w:rsidR="00474F25" w:rsidRDefault="00474F25" w:rsidP="00171D77">
      <w:pPr>
        <w:pStyle w:val="articlesdelaLATMP"/>
      </w:pPr>
      <w:r>
        <w:t>Le travailleur a également droit à d’autres mesures de réadaptation, dans les cas et aux conditions que peut prévoir un règlement.</w:t>
      </w:r>
    </w:p>
    <w:p w14:paraId="4FA1FBA5" w14:textId="77777777" w:rsidR="00474F25" w:rsidRDefault="00474F25" w:rsidP="00171D77">
      <w:pPr>
        <w:pStyle w:val="articlesdelaLATMP"/>
      </w:pPr>
    </w:p>
    <w:p w14:paraId="143FC46F" w14:textId="1F86F7B0" w:rsidR="00474F25" w:rsidRDefault="00474F25" w:rsidP="00171D77">
      <w:pPr>
        <w:pStyle w:val="articlesdelaLATMP"/>
      </w:pPr>
      <w:r>
        <w:t xml:space="preserve">Pour assurer au travailleur l’exercice de ce droit, la Commission prépare et met en </w:t>
      </w:r>
      <w:r w:rsidR="002E13C4">
        <w:t>œuvre</w:t>
      </w:r>
      <w:r>
        <w:t>, avec la collaboration du travailleur et de l’employeur, si la participation de ce dernier est requise, un plan individualisé de réadaptation qui peut comprendre, selon les besoins du travailleur, un programme de réadaptation physique, sociale et professionnelle.</w:t>
      </w:r>
    </w:p>
    <w:p w14:paraId="6D5F817B" w14:textId="77777777" w:rsidR="00474F25" w:rsidRDefault="00474F25" w:rsidP="00171D77">
      <w:pPr>
        <w:pStyle w:val="articlesdelaLATMP"/>
      </w:pPr>
    </w:p>
    <w:p w14:paraId="03F73D81" w14:textId="77777777" w:rsidR="00474F25" w:rsidRDefault="00474F25" w:rsidP="00171D77">
      <w:pPr>
        <w:pStyle w:val="articlesdelaLATMP"/>
      </w:pPr>
      <w:r>
        <w:t>Ce plan peut être modifié, avec la collaboration du travailleur et de l’employeur, le cas échéant, pour tenir compte de circonstances nouvelles.</w:t>
      </w:r>
    </w:p>
    <w:p w14:paraId="1ADACBD7" w14:textId="538353A4" w:rsidR="00474F25" w:rsidRDefault="00474F25" w:rsidP="00474F25">
      <w:pPr>
        <w:pStyle w:val="citation"/>
      </w:pPr>
    </w:p>
    <w:p w14:paraId="0362DE46" w14:textId="77777777" w:rsidR="00BC5B54" w:rsidRDefault="00BC5B54" w:rsidP="00474F25">
      <w:pPr>
        <w:pStyle w:val="citation"/>
      </w:pPr>
    </w:p>
    <w:p w14:paraId="792CF59D" w14:textId="56A3D317" w:rsidR="00503FFA" w:rsidRDefault="00503FFA" w:rsidP="00BC5B54">
      <w:pPr>
        <w:pStyle w:val="corpsdedcision"/>
      </w:pPr>
      <w:r>
        <w:t>Le Tribunal souligne toutefois qu</w:t>
      </w:r>
      <w:r w:rsidR="009018FF">
        <w:t xml:space="preserve">’il s’agit d’une </w:t>
      </w:r>
      <w:r>
        <w:t>disposition</w:t>
      </w:r>
      <w:r w:rsidR="009018FF">
        <w:t xml:space="preserve"> modifiée le 6 octobre 2022,</w:t>
      </w:r>
      <w:r>
        <w:t xml:space="preserve"> </w:t>
      </w:r>
      <w:r w:rsidR="009018FF">
        <w:t>depuis l’entrée en vigueur de la</w:t>
      </w:r>
      <w:r w:rsidRPr="00EB3FBB">
        <w:t> </w:t>
      </w:r>
      <w:r w:rsidRPr="0023221C">
        <w:rPr>
          <w:i/>
          <w:iCs/>
        </w:rPr>
        <w:t>Loi modernisant le régime de santé et de sécurité du travail</w:t>
      </w:r>
      <w:r w:rsidRPr="00EB3FBB">
        <w:rPr>
          <w:rStyle w:val="Appelnotedebasdep"/>
        </w:rPr>
        <w:footnoteReference w:id="6"/>
      </w:r>
      <w:r w:rsidR="009018FF">
        <w:t>.</w:t>
      </w:r>
      <w:r>
        <w:t xml:space="preserve"> Le Tribunal considère que les nouvelles dispositions s’appliquent au cas présent, car les faits sont postérieurs à leurs entrées en vigueur. En effet, les demandes de remboursement ont eu lieu à la fin de 2022 et en 2024. </w:t>
      </w:r>
    </w:p>
    <w:p w14:paraId="1E2F2975" w14:textId="0A9E6247" w:rsidR="002A1B0C" w:rsidRDefault="002A1B0C" w:rsidP="00BC5B54">
      <w:pPr>
        <w:pStyle w:val="corpsdedcision"/>
      </w:pPr>
      <w:r>
        <w:t xml:space="preserve">La réadaptation prévoit trois volets : la réadaptation physique, sociale et professionnelle. </w:t>
      </w:r>
    </w:p>
    <w:p w14:paraId="6A483CDC" w14:textId="7562727F" w:rsidR="00474F25" w:rsidRDefault="002A1B0C" w:rsidP="002A1B0C">
      <w:pPr>
        <w:pStyle w:val="corpsdedcision"/>
        <w:tabs>
          <w:tab w:val="num" w:pos="360"/>
        </w:tabs>
      </w:pPr>
      <w:r>
        <w:t xml:space="preserve">En l’espèce, la demande de paiement d’une aide à la suppléance auditive fait partie de la réadaptation sociale. </w:t>
      </w:r>
      <w:r w:rsidR="00474F25">
        <w:t>En effet, le Tribunal considère qu’il n’y a pas lieu d’analyser le litige sous l’angle de l’assistance médicale, puisqu’il a déjà été déterminé que les systèmes d’aide auditive pour l’écoute de la télévision n’en font pas partie</w:t>
      </w:r>
      <w:r w:rsidR="00474F25">
        <w:rPr>
          <w:rStyle w:val="Appelnotedebasdep"/>
        </w:rPr>
        <w:footnoteReference w:id="7"/>
      </w:r>
      <w:r w:rsidR="00474F25">
        <w:t xml:space="preserve">. </w:t>
      </w:r>
    </w:p>
    <w:p w14:paraId="24042414" w14:textId="66FE0C2A" w:rsidR="002A1B0C" w:rsidRDefault="002A1B0C" w:rsidP="002A1B0C">
      <w:pPr>
        <w:pStyle w:val="corpsdedcision"/>
        <w:tabs>
          <w:tab w:val="num" w:pos="360"/>
        </w:tabs>
      </w:pPr>
      <w:r>
        <w:t>L’objectif d</w:t>
      </w:r>
      <w:r w:rsidR="002535BF">
        <w:t xml:space="preserve">e la réadaptation sociale </w:t>
      </w:r>
      <w:r>
        <w:t>est d’aider la personne à surmonter les conséquences personnelles et sociales de sa lésion professionnelle</w:t>
      </w:r>
      <w:r>
        <w:rPr>
          <w:rStyle w:val="Appelnotedebasdep"/>
        </w:rPr>
        <w:footnoteReference w:id="8"/>
      </w:r>
      <w:r>
        <w:t xml:space="preserve">. La disposition qui prévoit les pourtours de la réadaptation sociale se lit ainsi : </w:t>
      </w:r>
    </w:p>
    <w:p w14:paraId="521D3577" w14:textId="3F846945" w:rsidR="002A1B0C" w:rsidRDefault="002A1B0C" w:rsidP="00171D77">
      <w:pPr>
        <w:pStyle w:val="articlesdelaLATMP"/>
      </w:pPr>
      <w:r w:rsidRPr="00157385">
        <w:rPr>
          <w:b/>
        </w:rPr>
        <w:t>152.</w:t>
      </w:r>
      <w:r w:rsidR="00051CE4">
        <w:tab/>
      </w:r>
      <w:r>
        <w:t>Un programme de réadaptation sociale peut comprendre:</w:t>
      </w:r>
    </w:p>
    <w:p w14:paraId="4598F05F" w14:textId="77777777" w:rsidR="002A1B0C" w:rsidRDefault="002A1B0C" w:rsidP="00171D77">
      <w:pPr>
        <w:pStyle w:val="articlesdelaLATMP"/>
      </w:pPr>
    </w:p>
    <w:p w14:paraId="174A33B2" w14:textId="741C9040" w:rsidR="002A1B0C" w:rsidRDefault="002A1B0C" w:rsidP="00171D77">
      <w:pPr>
        <w:pStyle w:val="articlesdelaLATMP"/>
      </w:pPr>
      <w:r>
        <w:t>1°  des services professionnels d’intervention psychosociale;</w:t>
      </w:r>
    </w:p>
    <w:p w14:paraId="14ADFC92" w14:textId="77777777" w:rsidR="002A1B0C" w:rsidRDefault="002A1B0C" w:rsidP="00171D77">
      <w:pPr>
        <w:pStyle w:val="articlesdelaLATMP"/>
      </w:pPr>
    </w:p>
    <w:p w14:paraId="71BF3CC3" w14:textId="31837F5B" w:rsidR="002A1B0C" w:rsidRDefault="002A1B0C" w:rsidP="00171D77">
      <w:pPr>
        <w:pStyle w:val="articlesdelaLATMP"/>
      </w:pPr>
      <w:r>
        <w:t xml:space="preserve">2°  la mise en </w:t>
      </w:r>
      <w:r w:rsidR="002E13C4">
        <w:t>œuvre</w:t>
      </w:r>
      <w:r>
        <w:t xml:space="preserve"> de moyens pour procurer au travailleur un domicile, un véhicule ou des </w:t>
      </w:r>
      <w:r w:rsidRPr="002A1B0C">
        <w:rPr>
          <w:u w:val="single"/>
        </w:rPr>
        <w:t>équipements de loisir adaptés</w:t>
      </w:r>
      <w:r>
        <w:t xml:space="preserve"> à sa capacité résiduelle;</w:t>
      </w:r>
    </w:p>
    <w:p w14:paraId="508AE8DE" w14:textId="77777777" w:rsidR="002A1B0C" w:rsidRDefault="002A1B0C" w:rsidP="00171D77">
      <w:pPr>
        <w:pStyle w:val="articlesdelaLATMP"/>
      </w:pPr>
    </w:p>
    <w:p w14:paraId="7C14795E" w14:textId="77777777" w:rsidR="002A1B0C" w:rsidRDefault="002A1B0C" w:rsidP="00171D77">
      <w:pPr>
        <w:pStyle w:val="articlesdelaLATMP"/>
      </w:pPr>
      <w:r>
        <w:t>3°  le paiement de frais d’aide personnelle à domicile;</w:t>
      </w:r>
    </w:p>
    <w:p w14:paraId="3880FA7E" w14:textId="77777777" w:rsidR="002A1B0C" w:rsidRDefault="002A1B0C" w:rsidP="00171D77">
      <w:pPr>
        <w:pStyle w:val="articlesdelaLATMP"/>
      </w:pPr>
    </w:p>
    <w:p w14:paraId="47168A9D" w14:textId="77777777" w:rsidR="002A1B0C" w:rsidRDefault="002A1B0C" w:rsidP="00171D77">
      <w:pPr>
        <w:pStyle w:val="articlesdelaLATMP"/>
      </w:pPr>
      <w:r>
        <w:t>4°  le remboursement de frais de garde d’enfants;</w:t>
      </w:r>
    </w:p>
    <w:p w14:paraId="46D096E1" w14:textId="77777777" w:rsidR="002A1B0C" w:rsidRDefault="002A1B0C" w:rsidP="00171D77">
      <w:pPr>
        <w:pStyle w:val="articlesdelaLATMP"/>
      </w:pPr>
    </w:p>
    <w:p w14:paraId="4B391A84" w14:textId="77777777" w:rsidR="002A1B0C" w:rsidRDefault="002A1B0C" w:rsidP="00171D77">
      <w:pPr>
        <w:pStyle w:val="articlesdelaLATMP"/>
      </w:pPr>
      <w:r>
        <w:t>5°  le remboursement du coût des travaux d’entretien courant du domicile;</w:t>
      </w:r>
    </w:p>
    <w:p w14:paraId="68BB1F8E" w14:textId="77777777" w:rsidR="002A1B0C" w:rsidRDefault="002A1B0C" w:rsidP="00171D77">
      <w:pPr>
        <w:pStyle w:val="articlesdelaLATMP"/>
      </w:pPr>
    </w:p>
    <w:p w14:paraId="6DB6701C" w14:textId="77777777" w:rsidR="002A1B0C" w:rsidRDefault="002A1B0C" w:rsidP="00171D77">
      <w:pPr>
        <w:pStyle w:val="articlesdelaLATMP"/>
      </w:pPr>
      <w:r>
        <w:t>6°  d’autres mesures de réadaptation, dans les cas et aux conditions prévus par règlement.</w:t>
      </w:r>
    </w:p>
    <w:p w14:paraId="76BA4078" w14:textId="77777777" w:rsidR="00567433" w:rsidRDefault="00567433" w:rsidP="00171D77">
      <w:pPr>
        <w:pStyle w:val="articlesdelaLATMP"/>
      </w:pPr>
    </w:p>
    <w:p w14:paraId="54E31CDB" w14:textId="15A2E9F9" w:rsidR="002A1B0C" w:rsidRPr="00BC5B54" w:rsidRDefault="00474F25" w:rsidP="002A1B0C">
      <w:pPr>
        <w:pStyle w:val="citation"/>
        <w:rPr>
          <w:sz w:val="24"/>
          <w:szCs w:val="24"/>
        </w:rPr>
      </w:pPr>
      <w:r w:rsidRPr="00BC5B54">
        <w:rPr>
          <w:sz w:val="24"/>
          <w:szCs w:val="24"/>
        </w:rPr>
        <w:t>[No</w:t>
      </w:r>
      <w:r w:rsidR="00567433">
        <w:rPr>
          <w:sz w:val="24"/>
          <w:szCs w:val="24"/>
        </w:rPr>
        <w:t>tre</w:t>
      </w:r>
      <w:r w:rsidRPr="00BC5B54">
        <w:rPr>
          <w:sz w:val="24"/>
          <w:szCs w:val="24"/>
        </w:rPr>
        <w:t xml:space="preserve"> soulignement]</w:t>
      </w:r>
    </w:p>
    <w:p w14:paraId="5C154471" w14:textId="77777777" w:rsidR="00474F25" w:rsidRDefault="00474F25" w:rsidP="002A1B0C">
      <w:pPr>
        <w:pStyle w:val="citation"/>
      </w:pPr>
    </w:p>
    <w:p w14:paraId="005D5C87" w14:textId="77777777" w:rsidR="00BC5B54" w:rsidRDefault="00BC5B54" w:rsidP="002A1B0C">
      <w:pPr>
        <w:pStyle w:val="citation"/>
      </w:pPr>
    </w:p>
    <w:p w14:paraId="0EEB3422" w14:textId="1B5E280C" w:rsidR="00877662" w:rsidRDefault="00503FFA" w:rsidP="002A1B0C">
      <w:pPr>
        <w:pStyle w:val="corpsdedcision"/>
        <w:tabs>
          <w:tab w:val="num" w:pos="360"/>
        </w:tabs>
      </w:pPr>
      <w:r>
        <w:t>A</w:t>
      </w:r>
      <w:r w:rsidR="00877662">
        <w:t xml:space="preserve">uparavant, l’article </w:t>
      </w:r>
      <w:r w:rsidR="00A77A1B">
        <w:t xml:space="preserve">152 de la Loi </w:t>
      </w:r>
      <w:r w:rsidR="00877662">
        <w:t>débutait ainsi : « </w:t>
      </w:r>
      <w:r w:rsidR="00877662" w:rsidRPr="00877662">
        <w:rPr>
          <w:rStyle w:val="Citationintgre"/>
        </w:rPr>
        <w:t>Un programme de réadaptation sociale peut comprendre notamment</w:t>
      </w:r>
      <w:r w:rsidR="00877662">
        <w:t xml:space="preserve"> », intégrant en conséquence une disposition non exhaustive. </w:t>
      </w:r>
    </w:p>
    <w:p w14:paraId="38A272EB" w14:textId="2764B7D1" w:rsidR="00474F25" w:rsidRDefault="00877662" w:rsidP="002A1B0C">
      <w:pPr>
        <w:pStyle w:val="corpsdedcision"/>
        <w:tabs>
          <w:tab w:val="num" w:pos="360"/>
        </w:tabs>
      </w:pPr>
      <w:r>
        <w:t>Depuis le retrait du terme « </w:t>
      </w:r>
      <w:r w:rsidRPr="009018FF">
        <w:rPr>
          <w:i/>
          <w:iCs/>
          <w:sz w:val="22"/>
          <w:szCs w:val="22"/>
        </w:rPr>
        <w:t>notamment</w:t>
      </w:r>
      <w:r>
        <w:t xml:space="preserve"> », les énumérations qui y sont énoncées doivent plutôt recevoir une interprétation limitative. Dans l’affaire </w:t>
      </w:r>
      <w:r w:rsidRPr="00E536B4">
        <w:rPr>
          <w:i/>
          <w:iCs/>
        </w:rPr>
        <w:t>Hébert</w:t>
      </w:r>
      <w:r w:rsidRPr="00E536B4">
        <w:t xml:space="preserve"> et </w:t>
      </w:r>
      <w:r w:rsidRPr="00E536B4">
        <w:rPr>
          <w:i/>
          <w:iCs/>
        </w:rPr>
        <w:t>Bombardier inc. (Aéronautique usine 1)</w:t>
      </w:r>
      <w:r w:rsidRPr="00E536B4">
        <w:rPr>
          <w:vertAlign w:val="superscript"/>
        </w:rPr>
        <w:footnoteReference w:id="9"/>
      </w:r>
      <w:r>
        <w:t xml:space="preserve"> le Tribunal conclut que la modification traduit l’intention du législateur de limiter la portée de cet article. </w:t>
      </w:r>
    </w:p>
    <w:p w14:paraId="3488F664" w14:textId="5055989C" w:rsidR="002A1B0C" w:rsidRDefault="00316D9B" w:rsidP="00E732DA">
      <w:pPr>
        <w:pStyle w:val="corpsdedcision"/>
        <w:tabs>
          <w:tab w:val="num" w:pos="360"/>
        </w:tabs>
      </w:pPr>
      <w:r>
        <w:t>Néanmoins</w:t>
      </w:r>
      <w:r w:rsidR="00E56C3E">
        <w:t xml:space="preserve">, </w:t>
      </w:r>
      <w:r w:rsidR="00E732DA">
        <w:t xml:space="preserve">le </w:t>
      </w:r>
      <w:r w:rsidR="002A1B0C">
        <w:t>Tribunal souligne également que l’objet de la Loi est « </w:t>
      </w:r>
      <w:r w:rsidR="002A1B0C" w:rsidRPr="00797245">
        <w:rPr>
          <w:rStyle w:val="Citationintgre"/>
        </w:rPr>
        <w:t>la réparation des lésions professionnelles et des conséquences qu’elles entraînent pour les bénéficiaires</w:t>
      </w:r>
      <w:r w:rsidR="002A1B0C" w:rsidRPr="00D41549">
        <w:rPr>
          <w:rStyle w:val="Appelnotedebasdep"/>
          <w:iCs/>
          <w:szCs w:val="24"/>
        </w:rPr>
        <w:footnoteReference w:id="10"/>
      </w:r>
      <w:r w:rsidR="002A1B0C" w:rsidRPr="00E732DA">
        <w:rPr>
          <w:rFonts w:cs="Arial"/>
          <w:iCs/>
          <w:color w:val="212529"/>
          <w:sz w:val="22"/>
          <w:szCs w:val="22"/>
          <w:shd w:val="clear" w:color="auto" w:fill="FFFFFF"/>
        </w:rPr>
        <w:t> </w:t>
      </w:r>
      <w:r w:rsidR="002A1B0C" w:rsidRPr="00E732DA">
        <w:rPr>
          <w:rFonts w:cs="Arial"/>
          <w:color w:val="212529"/>
          <w:sz w:val="22"/>
          <w:szCs w:val="22"/>
          <w:shd w:val="clear" w:color="auto" w:fill="FFFFFF"/>
        </w:rPr>
        <w:t>»</w:t>
      </w:r>
      <w:r w:rsidR="00567433">
        <w:rPr>
          <w:rFonts w:cs="Arial"/>
          <w:color w:val="212529"/>
          <w:sz w:val="22"/>
          <w:szCs w:val="22"/>
          <w:shd w:val="clear" w:color="auto" w:fill="FFFFFF"/>
        </w:rPr>
        <w:t>.</w:t>
      </w:r>
      <w:r w:rsidR="002535BF">
        <w:rPr>
          <w:rFonts w:cs="Arial"/>
          <w:color w:val="212529"/>
          <w:sz w:val="22"/>
          <w:szCs w:val="22"/>
          <w:shd w:val="clear" w:color="auto" w:fill="FFFFFF"/>
        </w:rPr>
        <w:t xml:space="preserve"> </w:t>
      </w:r>
      <w:r w:rsidR="002535BF" w:rsidRPr="002535BF">
        <w:rPr>
          <w:rFonts w:cs="Arial"/>
          <w:color w:val="212529"/>
          <w:szCs w:val="24"/>
          <w:shd w:val="clear" w:color="auto" w:fill="FFFFFF"/>
        </w:rPr>
        <w:t xml:space="preserve">Ainsi, dans l’analyse d’une demande de remboursement de frais, il y a lieu de garder </w:t>
      </w:r>
      <w:r w:rsidR="002535BF">
        <w:rPr>
          <w:rFonts w:cs="Arial"/>
          <w:color w:val="212529"/>
          <w:szCs w:val="24"/>
          <w:shd w:val="clear" w:color="auto" w:fill="FFFFFF"/>
        </w:rPr>
        <w:t xml:space="preserve">en </w:t>
      </w:r>
      <w:r>
        <w:rPr>
          <w:rFonts w:cs="Arial"/>
          <w:color w:val="212529"/>
          <w:szCs w:val="24"/>
          <w:shd w:val="clear" w:color="auto" w:fill="FFFFFF"/>
        </w:rPr>
        <w:t xml:space="preserve">lumière </w:t>
      </w:r>
      <w:r w:rsidR="002535BF">
        <w:rPr>
          <w:rFonts w:cs="Arial"/>
          <w:color w:val="212529"/>
          <w:szCs w:val="24"/>
          <w:shd w:val="clear" w:color="auto" w:fill="FFFFFF"/>
        </w:rPr>
        <w:t xml:space="preserve">cette disposition </w:t>
      </w:r>
      <w:r w:rsidR="009018FF">
        <w:rPr>
          <w:rFonts w:cs="Arial"/>
          <w:color w:val="212529"/>
          <w:szCs w:val="24"/>
          <w:shd w:val="clear" w:color="auto" w:fill="FFFFFF"/>
        </w:rPr>
        <w:t>qui doit recevoir une</w:t>
      </w:r>
      <w:r w:rsidR="002535BF">
        <w:rPr>
          <w:rFonts w:cs="Arial"/>
          <w:color w:val="212529"/>
          <w:szCs w:val="24"/>
          <w:shd w:val="clear" w:color="auto" w:fill="FFFFFF"/>
        </w:rPr>
        <w:t xml:space="preserve"> interprétation large et libérale de la Loi. </w:t>
      </w:r>
    </w:p>
    <w:p w14:paraId="5A4CC285" w14:textId="2AD3FEBA" w:rsidR="003C1D95" w:rsidRDefault="00316D9B" w:rsidP="003C1D95">
      <w:pPr>
        <w:pStyle w:val="corpsdedcision"/>
      </w:pPr>
      <w:r>
        <w:t>En</w:t>
      </w:r>
      <w:r w:rsidR="002535BF">
        <w:t xml:space="preserve"> l’espèce, un système </w:t>
      </w:r>
      <w:r w:rsidR="003C1D95">
        <w:t xml:space="preserve">d’aide auditive pour écouter la télévision correspond à un équipement de loisir adapté à la capacité résiduelle du travailleur. Le Tribunal </w:t>
      </w:r>
      <w:r>
        <w:t>conclut de la même manière notamment dans</w:t>
      </w:r>
      <w:r w:rsidR="003C1D95">
        <w:t xml:space="preserve"> l’affaire </w:t>
      </w:r>
      <w:r w:rsidR="003C1D95" w:rsidRPr="003C1D95">
        <w:rPr>
          <w:i/>
          <w:iCs/>
        </w:rPr>
        <w:t>Boisvert</w:t>
      </w:r>
      <w:r w:rsidR="003C1D95">
        <w:rPr>
          <w:i/>
          <w:iCs/>
        </w:rPr>
        <w:t xml:space="preserve"> </w:t>
      </w:r>
      <w:r w:rsidR="003C1D95">
        <w:t xml:space="preserve">et </w:t>
      </w:r>
      <w:r w:rsidR="003C1D95" w:rsidRPr="003C1D95">
        <w:rPr>
          <w:i/>
          <w:iCs/>
        </w:rPr>
        <w:t>Essity Canada inc.</w:t>
      </w:r>
      <w:r w:rsidR="003C1D95">
        <w:rPr>
          <w:rStyle w:val="Appelnotedebasdep"/>
        </w:rPr>
        <w:footnoteReference w:id="11"/>
      </w:r>
      <w:r w:rsidR="003C1D95">
        <w:t>.</w:t>
      </w:r>
    </w:p>
    <w:p w14:paraId="770B35F3" w14:textId="06BAFC76" w:rsidR="003C1D95" w:rsidRDefault="003C1D95" w:rsidP="004C2944">
      <w:pPr>
        <w:pStyle w:val="corpsdedcision"/>
      </w:pPr>
      <w:r>
        <w:t xml:space="preserve">Ainsi, le Tribunal retient que le système d’écoute est prévu aux équipements de loisir de l’article 152 de la Loi. En revanche, </w:t>
      </w:r>
      <w:r w:rsidR="00316D9B">
        <w:t>pour que le remboursement de cet appareil soit autorisé par la Commission, la Loi prévoit en plus que</w:t>
      </w:r>
      <w:r>
        <w:t xml:space="preserve"> la personne </w:t>
      </w:r>
      <w:r w:rsidR="00316D9B">
        <w:t>ait subi</w:t>
      </w:r>
      <w:r>
        <w:t xml:space="preserve"> une atteinte permanente </w:t>
      </w:r>
      <w:r w:rsidR="00C5598D">
        <w:t>grave à son intégrité physique</w:t>
      </w:r>
      <w:r w:rsidR="00C5598D">
        <w:rPr>
          <w:rStyle w:val="Appelnotedebasdep"/>
        </w:rPr>
        <w:footnoteReference w:id="12"/>
      </w:r>
      <w:r w:rsidR="00C5598D">
        <w:t xml:space="preserve">. </w:t>
      </w:r>
    </w:p>
    <w:p w14:paraId="6852BC0D" w14:textId="2161D43D" w:rsidR="00C5598D" w:rsidRDefault="009353ED" w:rsidP="004C2944">
      <w:pPr>
        <w:pStyle w:val="corpsdedcision"/>
      </w:pPr>
      <w:r>
        <w:t xml:space="preserve">Toutefois, une atteinte permanente grave à l’intégrité physique n’inclut pas uniquement </w:t>
      </w:r>
      <w:r w:rsidR="009018FF">
        <w:t xml:space="preserve">un </w:t>
      </w:r>
      <w:r>
        <w:t xml:space="preserve">pourcentage d’atteinte élevé, mais davantage la capacité résiduelle de la personne. Ainsi, un faible pourcentage d’atteinte permanente peut correspondre à une atteinte permanente grave, lorsque la capacité résiduelle en est affectée. </w:t>
      </w:r>
    </w:p>
    <w:p w14:paraId="673125F0" w14:textId="4E73E49A" w:rsidR="009353ED" w:rsidRDefault="009353ED" w:rsidP="004C2944">
      <w:pPr>
        <w:pStyle w:val="corpsdedcision"/>
      </w:pPr>
      <w:r>
        <w:t>Dans le cas présent, le travailleur s’est vu accord</w:t>
      </w:r>
      <w:r w:rsidR="00051CE4">
        <w:t>er</w:t>
      </w:r>
      <w:r>
        <w:t xml:space="preserve"> une atteinte de </w:t>
      </w:r>
      <w:r w:rsidR="00F07ED7">
        <w:t>75</w:t>
      </w:r>
      <w:r w:rsidR="00BC5B54">
        <w:t>,</w:t>
      </w:r>
      <w:r w:rsidR="00F07ED7">
        <w:t>60</w:t>
      </w:r>
      <w:r w:rsidR="00BC5B54">
        <w:t> </w:t>
      </w:r>
      <w:r>
        <w:t xml:space="preserve">%. Pour </w:t>
      </w:r>
      <w:r w:rsidR="0077497A">
        <w:t>pallier</w:t>
      </w:r>
      <w:r>
        <w:t xml:space="preserve"> son atteinte auditive, il a </w:t>
      </w:r>
      <w:r w:rsidR="00C04BD5">
        <w:t>dû</w:t>
      </w:r>
      <w:r>
        <w:t xml:space="preserve"> subir une intervention chirurgicale et l’installation d’un implant cochléaire</w:t>
      </w:r>
      <w:r w:rsidR="00567433">
        <w:t xml:space="preserve"> droit</w:t>
      </w:r>
      <w:r>
        <w:t xml:space="preserve">. Le Tribunal considère qu’il s’agit d’une atteinte grave. </w:t>
      </w:r>
    </w:p>
    <w:p w14:paraId="67F2570E" w14:textId="566CE8F5" w:rsidR="009353ED" w:rsidRDefault="009353ED" w:rsidP="004C2944">
      <w:pPr>
        <w:pStyle w:val="corpsdedcision"/>
      </w:pPr>
      <w:r w:rsidRPr="00F07ED7">
        <w:t xml:space="preserve">Le travailleur explique en audience qu’il avait un système d’écoute </w:t>
      </w:r>
      <w:r w:rsidR="0077497A" w:rsidRPr="00F07ED7">
        <w:t xml:space="preserve">remboursé par la Commission </w:t>
      </w:r>
      <w:r w:rsidRPr="00F07ED7">
        <w:t xml:space="preserve">qui fonctionnait très bien auparavant. Toutefois, ce dernier a brisé et en 2022, il a été </w:t>
      </w:r>
      <w:r w:rsidR="0054083A" w:rsidRPr="00F07ED7">
        <w:t>modifié</w:t>
      </w:r>
      <w:r w:rsidRPr="00F07ED7">
        <w:t xml:space="preserve"> par un système </w:t>
      </w:r>
      <w:r w:rsidR="0077497A" w:rsidRPr="00F07ED7">
        <w:t>d’écoute qui s’est révélé ne pas être compatible avec son implant cochléaire</w:t>
      </w:r>
      <w:r w:rsidR="00567433">
        <w:t xml:space="preserve"> droit</w:t>
      </w:r>
      <w:r w:rsidR="0077497A" w:rsidRPr="00F07ED7">
        <w:t xml:space="preserve">. </w:t>
      </w:r>
      <w:r w:rsidR="00205AA5" w:rsidRPr="00F07ED7">
        <w:t xml:space="preserve">Le Tribunal souligne que c’est à la demande de la Commission que le travailleur a été dans l’obligation de remplacer son appareil plutôt que de le faire réparer. Le travailleur avait plutôt demandé </w:t>
      </w:r>
      <w:r w:rsidR="00F07ED7" w:rsidRPr="00F07ED7">
        <w:t>une réparation, puisque son appareil fonctionnait très bien.</w:t>
      </w:r>
    </w:p>
    <w:p w14:paraId="656CD581" w14:textId="78C63103" w:rsidR="0054083A" w:rsidRDefault="0054083A" w:rsidP="004C2944">
      <w:pPr>
        <w:pStyle w:val="corpsdedcision"/>
      </w:pPr>
      <w:r>
        <w:t>Cette information est aussi confirmée par un appel téléphonique entre l’agent d’indemnisation et le fournisseur de l’appareil. La note évolutive</w:t>
      </w:r>
      <w:r>
        <w:rPr>
          <w:rStyle w:val="Appelnotedebasdep"/>
        </w:rPr>
        <w:footnoteReference w:id="13"/>
      </w:r>
      <w:r>
        <w:t xml:space="preserve"> indique :</w:t>
      </w:r>
    </w:p>
    <w:p w14:paraId="01A34D01" w14:textId="77777777" w:rsidR="0054083A" w:rsidRDefault="0054083A" w:rsidP="0054083A">
      <w:pPr>
        <w:pStyle w:val="citation"/>
      </w:pPr>
      <w:r>
        <w:t>Titre : Appel du F (Groupe Forget) - Évaluation demande ASA pour TV</w:t>
      </w:r>
    </w:p>
    <w:p w14:paraId="70CDC8CC" w14:textId="77777777" w:rsidR="0054083A" w:rsidRDefault="0054083A" w:rsidP="0054083A">
      <w:pPr>
        <w:pStyle w:val="citation"/>
      </w:pPr>
    </w:p>
    <w:p w14:paraId="219D251C" w14:textId="77777777" w:rsidR="0054083A" w:rsidRDefault="0054083A" w:rsidP="0054083A">
      <w:pPr>
        <w:pStyle w:val="citation"/>
      </w:pPr>
      <w:r>
        <w:t xml:space="preserve">- ASPECT PSYCHOSOCIAL : </w:t>
      </w:r>
    </w:p>
    <w:p w14:paraId="24A570E0" w14:textId="77777777" w:rsidR="0054083A" w:rsidRDefault="0054083A" w:rsidP="0054083A">
      <w:pPr>
        <w:pStyle w:val="citation"/>
      </w:pPr>
      <w:r>
        <w:t>Retour d'appel du F</w:t>
      </w:r>
    </w:p>
    <w:p w14:paraId="56E7CF82" w14:textId="77777777" w:rsidR="00FB1FE2" w:rsidRDefault="00FB1FE2" w:rsidP="0054083A">
      <w:pPr>
        <w:pStyle w:val="citation"/>
      </w:pPr>
    </w:p>
    <w:p w14:paraId="79E802B6" w14:textId="77777777" w:rsidR="0054083A" w:rsidRDefault="0054083A" w:rsidP="0054083A">
      <w:pPr>
        <w:pStyle w:val="citation"/>
      </w:pPr>
      <w:r>
        <w:t xml:space="preserve">Je le remercie de m'avoir appelé. Je lui demande s'il a reçu ma télécopie avec les deux questions, il me répond que oui. Je lui repose donc mes deux questions: </w:t>
      </w:r>
    </w:p>
    <w:p w14:paraId="54BCE8F1" w14:textId="77777777" w:rsidR="0054083A" w:rsidRDefault="0054083A" w:rsidP="0054083A">
      <w:pPr>
        <w:pStyle w:val="citation"/>
      </w:pPr>
    </w:p>
    <w:p w14:paraId="6E4143E2" w14:textId="77777777" w:rsidR="0054083A" w:rsidRDefault="0054083A" w:rsidP="0054083A">
      <w:pPr>
        <w:pStyle w:val="citation"/>
      </w:pPr>
      <w:r>
        <w:t>1. Considérant que Monsieur Lavoie avait un autre modèle d'amplification télé avant celui-ci et qu'il fonctionnait bien avec ses implants cochléaires, qu'est-ce qui a motivé le changement de modèle?</w:t>
      </w:r>
    </w:p>
    <w:p w14:paraId="58D6293D" w14:textId="77777777" w:rsidR="0054083A" w:rsidRDefault="0054083A" w:rsidP="0054083A">
      <w:pPr>
        <w:pStyle w:val="citation"/>
      </w:pPr>
    </w:p>
    <w:p w14:paraId="3C378C26" w14:textId="2B31EE93" w:rsidR="0054083A" w:rsidRDefault="0054083A" w:rsidP="0054083A">
      <w:pPr>
        <w:pStyle w:val="citation"/>
      </w:pPr>
      <w:r>
        <w:t xml:space="preserve">M. Gélinas, audioprothésiste, explique qu'au mois de septembre, </w:t>
      </w:r>
      <w:r w:rsidRPr="0054083A">
        <w:rPr>
          <w:u w:val="single"/>
        </w:rPr>
        <w:t>il a fait une demande pour réparer le modèle de télévision que M. Lavoie avait. Cependant, la CNESST a refusé et a proposé un nouveau modèle puisque le modèle qu'avait T n'était plus dans la liste des aides auditives et services afférents de la RAMQ</w:t>
      </w:r>
      <w:r>
        <w:t>. Ainsi, le modèle a été changé par défaut d'options.</w:t>
      </w:r>
    </w:p>
    <w:p w14:paraId="4CD99942" w14:textId="77777777" w:rsidR="0054083A" w:rsidRDefault="0054083A" w:rsidP="0054083A">
      <w:pPr>
        <w:pStyle w:val="citation"/>
      </w:pPr>
    </w:p>
    <w:p w14:paraId="0954EB13" w14:textId="17C41EAA" w:rsidR="00FB1FE2" w:rsidRPr="009018FF" w:rsidRDefault="00FB1FE2" w:rsidP="0054083A">
      <w:pPr>
        <w:pStyle w:val="citation"/>
        <w:rPr>
          <w:sz w:val="24"/>
          <w:szCs w:val="24"/>
        </w:rPr>
      </w:pPr>
      <w:r w:rsidRPr="009018FF">
        <w:rPr>
          <w:rFonts w:cs="Arial"/>
          <w:sz w:val="24"/>
          <w:szCs w:val="24"/>
        </w:rPr>
        <w:t>[</w:t>
      </w:r>
      <w:r w:rsidRPr="009018FF">
        <w:rPr>
          <w:sz w:val="24"/>
          <w:szCs w:val="24"/>
        </w:rPr>
        <w:t>Notre soulignement</w:t>
      </w:r>
      <w:r w:rsidRPr="009018FF">
        <w:rPr>
          <w:rFonts w:cs="Arial"/>
          <w:sz w:val="24"/>
          <w:szCs w:val="24"/>
        </w:rPr>
        <w:t>]</w:t>
      </w:r>
    </w:p>
    <w:p w14:paraId="0C3FBF5B" w14:textId="77777777" w:rsidR="00BC5B54" w:rsidRDefault="00BC5B54" w:rsidP="0054083A">
      <w:pPr>
        <w:pStyle w:val="citation"/>
      </w:pPr>
    </w:p>
    <w:p w14:paraId="1F7F6996" w14:textId="77777777" w:rsidR="00FB1FE2" w:rsidRPr="00F07ED7" w:rsidRDefault="00FB1FE2" w:rsidP="0054083A">
      <w:pPr>
        <w:pStyle w:val="citation"/>
      </w:pPr>
    </w:p>
    <w:p w14:paraId="6C4E2781" w14:textId="3650B7B1" w:rsidR="00C04BD5" w:rsidRDefault="0054083A" w:rsidP="0054083A">
      <w:pPr>
        <w:pStyle w:val="corpsdedcision"/>
      </w:pPr>
      <w:r>
        <w:t xml:space="preserve">La Commission refuse une première fois le remplacement de son appareil, car elle prétend que l’appareil est garanti un an. Or, cette information est inexacte. L’appareil est garanti pour une période de trois mois seulement. Ceci est confirmé par le fournisseur de l’appareil, lors du même échange téléphonique : </w:t>
      </w:r>
    </w:p>
    <w:p w14:paraId="74D1BBC1" w14:textId="3850743B" w:rsidR="00C04BD5" w:rsidRDefault="00C04BD5" w:rsidP="00C04BD5">
      <w:pPr>
        <w:pStyle w:val="citation"/>
      </w:pPr>
      <w:r>
        <w:t>2. Considérant que le modèle que M. Lavoie possède présentement fait défaut avec ses implants, y a-t-il eu des démarches faites afin de pallier</w:t>
      </w:r>
      <w:r w:rsidR="00205AA5">
        <w:t xml:space="preserve"> </w:t>
      </w:r>
      <w:r>
        <w:t>à la situation (tentatives de remplacement d'appareil, remboursement, etc.)?</w:t>
      </w:r>
    </w:p>
    <w:p w14:paraId="2C5EBE72" w14:textId="77777777" w:rsidR="00C04BD5" w:rsidRDefault="00C04BD5" w:rsidP="00C04BD5">
      <w:pPr>
        <w:pStyle w:val="citation"/>
      </w:pPr>
    </w:p>
    <w:p w14:paraId="22C37309" w14:textId="6A11B861" w:rsidR="00C04BD5" w:rsidRDefault="00C04BD5" w:rsidP="00C04BD5">
      <w:pPr>
        <w:pStyle w:val="citation"/>
      </w:pPr>
      <w:r>
        <w:t xml:space="preserve">Lorsque T a reçu son système pour la télévision, il y avait des problèmes de grichage et le son coupait souvent. Il croyait que c'était la batterie. Il a alors fait une demande de soumission pour des batteries au mois de novembre, ce que la CNESST a accepté. Finalement, les nouvelles batteries n'y changent rien; </w:t>
      </w:r>
      <w:r w:rsidRPr="00C04BD5">
        <w:rPr>
          <w:u w:val="single"/>
        </w:rPr>
        <w:t>le T s'est rendu compte pendant ce temps que c'était réellement le modèle qui faisait défaut avec ces implants</w:t>
      </w:r>
      <w:r>
        <w:t xml:space="preserve">. Il explique qu'entre-temps, M. Lavoie est allé voir Oreille Bionique, ceux qui s'occupent de ces implants, pour un nouveau système télé qui est vraiment compatible avec ces implants. </w:t>
      </w:r>
    </w:p>
    <w:p w14:paraId="355A739A" w14:textId="77777777" w:rsidR="00C04BD5" w:rsidRDefault="00C04BD5" w:rsidP="00C04BD5">
      <w:pPr>
        <w:pStyle w:val="citation"/>
      </w:pPr>
    </w:p>
    <w:p w14:paraId="2A9F4E99" w14:textId="2204A802" w:rsidR="00C04BD5" w:rsidRPr="00C04BD5" w:rsidRDefault="00C04BD5" w:rsidP="00C04BD5">
      <w:pPr>
        <w:pStyle w:val="citation"/>
        <w:rPr>
          <w:u w:val="single"/>
        </w:rPr>
      </w:pPr>
      <w:r w:rsidRPr="00C04BD5">
        <w:rPr>
          <w:u w:val="single"/>
        </w:rPr>
        <w:t>Il n'a pas été en mesure de retourner l'appareil défectueux, car la compagnie fournissant son dernier modèle (EARIS XS STÉTHOSCOPIQUE A-4102-0) est très stricte et ne tolère pas des retours au-delà de 3 mois</w:t>
      </w:r>
      <w:r>
        <w:t xml:space="preserve">. M. Gélinas explique donc se sentir un peu entre l'arbre et l'écorce, car il voudrait bien aider M. Lavoie, mais il ne veut pas se retrouver à reprendre l'appareil s'il ne peut pas le retourner au fabricant. Le fabricant du Earis rétorque que leur modèle est compatible avec les implants de T. Or, </w:t>
      </w:r>
      <w:r w:rsidRPr="00C04BD5">
        <w:rPr>
          <w:u w:val="single"/>
        </w:rPr>
        <w:t>M. Gélinas explique que malgré une compatibilité annoncée sur papier, dans la réalité, le produit de M. Lavoie ne correspond pas à ce qui est attendu d'un produit du genre.</w:t>
      </w:r>
    </w:p>
    <w:p w14:paraId="5A6F2535" w14:textId="77777777" w:rsidR="00C04BD5" w:rsidRDefault="00C04BD5" w:rsidP="00C04BD5">
      <w:pPr>
        <w:pStyle w:val="citation"/>
      </w:pPr>
    </w:p>
    <w:p w14:paraId="77B7B8BD" w14:textId="3C9703B9" w:rsidR="00C04BD5" w:rsidRDefault="00C04BD5" w:rsidP="00C04BD5">
      <w:pPr>
        <w:pStyle w:val="citation"/>
      </w:pPr>
      <w:r>
        <w:t>Je le remercie d'avoir répondu à mes questions et d'avoir pris de son temps. Fin de l'appel</w:t>
      </w:r>
    </w:p>
    <w:p w14:paraId="53B6F28F" w14:textId="77777777" w:rsidR="00205AA5" w:rsidRDefault="00205AA5" w:rsidP="00C04BD5">
      <w:pPr>
        <w:pStyle w:val="citation"/>
      </w:pPr>
    </w:p>
    <w:p w14:paraId="658B2EA8" w14:textId="359A42A3" w:rsidR="00205AA5" w:rsidRPr="00205AA5" w:rsidRDefault="00205AA5" w:rsidP="00C04BD5">
      <w:pPr>
        <w:pStyle w:val="citation"/>
        <w:rPr>
          <w:sz w:val="24"/>
          <w:szCs w:val="24"/>
        </w:rPr>
      </w:pPr>
      <w:r w:rsidRPr="00205AA5">
        <w:rPr>
          <w:sz w:val="24"/>
          <w:szCs w:val="24"/>
        </w:rPr>
        <w:t>[</w:t>
      </w:r>
      <w:r w:rsidR="00FB1FE2">
        <w:rPr>
          <w:sz w:val="24"/>
          <w:szCs w:val="24"/>
        </w:rPr>
        <w:t>Transcription textuelle et n</w:t>
      </w:r>
      <w:r w:rsidRPr="00205AA5">
        <w:rPr>
          <w:sz w:val="24"/>
          <w:szCs w:val="24"/>
        </w:rPr>
        <w:t>os soulignements]</w:t>
      </w:r>
    </w:p>
    <w:p w14:paraId="19BB9B50" w14:textId="77777777" w:rsidR="00C04BD5" w:rsidRDefault="00C04BD5" w:rsidP="00C04BD5">
      <w:pPr>
        <w:pStyle w:val="citation"/>
      </w:pPr>
    </w:p>
    <w:p w14:paraId="488C5560" w14:textId="77777777" w:rsidR="00BC5B54" w:rsidRDefault="00BC5B54" w:rsidP="00C04BD5">
      <w:pPr>
        <w:pStyle w:val="citation"/>
      </w:pPr>
    </w:p>
    <w:p w14:paraId="796FA660" w14:textId="3B793833" w:rsidR="00C04BD5" w:rsidRDefault="00C04BD5" w:rsidP="00205AA5">
      <w:pPr>
        <w:pStyle w:val="corpsdedcision"/>
      </w:pPr>
      <w:r>
        <w:t xml:space="preserve">À la suite de cette information reçue par le fournisseur, le Tribunal conclut </w:t>
      </w:r>
      <w:r w:rsidR="00205AA5">
        <w:t xml:space="preserve">que la Commission avait en main tous les éléments afin d’autoriser le remboursement du système au travailleur. </w:t>
      </w:r>
      <w:r>
        <w:t xml:space="preserve">De toute évidence, </w:t>
      </w:r>
      <w:r w:rsidR="007F5CFB">
        <w:t>la garantie d’un an</w:t>
      </w:r>
      <w:r w:rsidR="00205AA5">
        <w:t xml:space="preserve"> </w:t>
      </w:r>
      <w:r>
        <w:t>allégué par l’agent n’est pas confirmé</w:t>
      </w:r>
      <w:r w:rsidR="007F5CFB">
        <w:t>e</w:t>
      </w:r>
      <w:r>
        <w:t xml:space="preserve"> par le fournisseur. De plus, même celui-ci explique que le système n’est pas compatible avec l</w:t>
      </w:r>
      <w:r w:rsidR="00FB1FE2">
        <w:t>’</w:t>
      </w:r>
      <w:r>
        <w:t>implant cochléaire</w:t>
      </w:r>
      <w:r w:rsidR="00FB1FE2">
        <w:t xml:space="preserve"> droit</w:t>
      </w:r>
      <w:r>
        <w:t xml:space="preserve"> du travailleur. </w:t>
      </w:r>
    </w:p>
    <w:p w14:paraId="0E0536B4" w14:textId="346DDF95" w:rsidR="00C04BD5" w:rsidRDefault="00C04BD5" w:rsidP="004C2944">
      <w:pPr>
        <w:pStyle w:val="corpsdedcision"/>
      </w:pPr>
      <w:r>
        <w:t xml:space="preserve">Dans ce contexte, le Tribunal conclut que le remboursement du système d’écoute de la télévision doit être autorisé. </w:t>
      </w:r>
    </w:p>
    <w:p w14:paraId="14C79503" w14:textId="762735E9" w:rsidR="0054083A" w:rsidRDefault="0054083A" w:rsidP="004C2944">
      <w:pPr>
        <w:pStyle w:val="corpsdedcision"/>
      </w:pPr>
      <w:r>
        <w:t>Finalement, l’article 156 de la Loi prévoit aussi une exigence pour le travailleur de fournir deux estimations détaillées de l’appareil requis. Or, le Tribunal conclut que cette exigence a été rencontré</w:t>
      </w:r>
      <w:r w:rsidR="00051CE4">
        <w:t>e</w:t>
      </w:r>
      <w:r>
        <w:t>, puisque le travailleur a fait deux demandes distinctes avec deux estimations, l’une fourni</w:t>
      </w:r>
      <w:r w:rsidR="00051CE4">
        <w:t>e</w:t>
      </w:r>
      <w:r>
        <w:t xml:space="preserve"> en 2022 et l’autre en 2024. </w:t>
      </w:r>
    </w:p>
    <w:p w14:paraId="6C74B189" w14:textId="7D94929B" w:rsidR="00C04BD5" w:rsidRPr="00B51F99" w:rsidRDefault="00C04BD5" w:rsidP="004C2944">
      <w:pPr>
        <w:pStyle w:val="corpsdedcision"/>
      </w:pPr>
      <w:r>
        <w:t xml:space="preserve">En ce qui concerne le second litige, le travailleur confirme à l’audience qu’il s’agit de la même demande d’autorisation d’appareil, puisque l’appareil défectueux a été jeté par le travailleur. Dans ce contexte, cette demande est sans objet. </w:t>
      </w:r>
    </w:p>
    <w:p w14:paraId="4C0E0280"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6C0B210E" w14:textId="58FFB3CF" w:rsidR="002E16BE" w:rsidRPr="007F5CFB" w:rsidRDefault="002E16BE" w:rsidP="00BC5B54">
      <w:pPr>
        <w:spacing w:after="360"/>
        <w:jc w:val="both"/>
        <w:rPr>
          <w:rFonts w:cs="Arial"/>
          <w:color w:val="000000"/>
          <w:szCs w:val="24"/>
        </w:rPr>
      </w:pPr>
      <w:r w:rsidRPr="007F5CFB">
        <w:rPr>
          <w:rFonts w:cs="Arial"/>
          <w:color w:val="000000"/>
          <w:szCs w:val="24"/>
        </w:rPr>
        <w:t>Dossier 1337164</w:t>
      </w:r>
      <w:r w:rsidR="00BC5B54">
        <w:rPr>
          <w:rFonts w:cs="Arial"/>
          <w:color w:val="000000"/>
          <w:szCs w:val="24"/>
        </w:rPr>
        <w:t>-62B-2309</w:t>
      </w:r>
    </w:p>
    <w:p w14:paraId="1D62ECDA" w14:textId="27EC532C" w:rsidR="002E16BE" w:rsidRPr="002E16BE" w:rsidRDefault="002E16BE" w:rsidP="00BC5B54">
      <w:pPr>
        <w:spacing w:after="360"/>
        <w:jc w:val="both"/>
        <w:rPr>
          <w:rFonts w:cs="Arial"/>
          <w:bCs/>
          <w:szCs w:val="24"/>
        </w:rPr>
      </w:pPr>
      <w:r w:rsidRPr="00596A4A">
        <w:rPr>
          <w:rFonts w:cs="Arial"/>
          <w:b/>
          <w:bCs/>
          <w:color w:val="000000"/>
          <w:szCs w:val="24"/>
        </w:rPr>
        <w:t xml:space="preserve">ACCUEILLE </w:t>
      </w:r>
      <w:r w:rsidRPr="00596A4A">
        <w:rPr>
          <w:rFonts w:cs="Arial"/>
          <w:bCs/>
          <w:color w:val="000000"/>
          <w:szCs w:val="24"/>
        </w:rPr>
        <w:t xml:space="preserve">la </w:t>
      </w:r>
      <w:r w:rsidRPr="002E16BE">
        <w:rPr>
          <w:rFonts w:cs="Arial"/>
          <w:bCs/>
          <w:szCs w:val="24"/>
        </w:rPr>
        <w:t xml:space="preserve">contestation du travailleur, monsieur </w:t>
      </w:r>
      <w:r w:rsidRPr="002E16BE">
        <w:rPr>
          <w:rFonts w:cs="Arial"/>
          <w:szCs w:val="24"/>
        </w:rPr>
        <w:t>Roger Lavoie;</w:t>
      </w:r>
    </w:p>
    <w:p w14:paraId="650FCF12" w14:textId="7B709BD9" w:rsidR="002E16BE" w:rsidRPr="002E16BE" w:rsidRDefault="002E16BE" w:rsidP="00BC5B54">
      <w:pPr>
        <w:spacing w:after="360"/>
        <w:jc w:val="both"/>
        <w:rPr>
          <w:rFonts w:cs="Arial"/>
          <w:bCs/>
          <w:szCs w:val="24"/>
        </w:rPr>
      </w:pPr>
      <w:r w:rsidRPr="002E16BE">
        <w:rPr>
          <w:rFonts w:cs="Arial"/>
          <w:b/>
          <w:bCs/>
          <w:szCs w:val="24"/>
        </w:rPr>
        <w:t xml:space="preserve">INFIRME </w:t>
      </w:r>
      <w:r w:rsidRPr="002E16BE">
        <w:rPr>
          <w:rFonts w:cs="Arial"/>
          <w:bCs/>
          <w:szCs w:val="24"/>
        </w:rPr>
        <w:t>la décision de la Commission des normes, de l’équité, de la santé et de la sécurité du travail rendue le 16 août 2023</w:t>
      </w:r>
      <w:r w:rsidR="00FB1FE2">
        <w:rPr>
          <w:rFonts w:cs="Arial"/>
          <w:bCs/>
          <w:szCs w:val="24"/>
        </w:rPr>
        <w:t>,</w:t>
      </w:r>
      <w:r w:rsidRPr="002E16BE">
        <w:rPr>
          <w:rFonts w:cs="Arial"/>
          <w:bCs/>
          <w:szCs w:val="24"/>
        </w:rPr>
        <w:t xml:space="preserve"> à la suite d’une révision administrative;</w:t>
      </w:r>
    </w:p>
    <w:p w14:paraId="5DD62116" w14:textId="77777777" w:rsidR="00BC5B54" w:rsidRDefault="002E16BE">
      <w:pPr>
        <w:pStyle w:val="Dispositif"/>
        <w:rPr>
          <w:rFonts w:cs="Arial"/>
          <w:szCs w:val="24"/>
        </w:rPr>
      </w:pPr>
      <w:r w:rsidRPr="002E16BE">
        <w:rPr>
          <w:rFonts w:cs="Arial"/>
          <w:b/>
          <w:szCs w:val="24"/>
        </w:rPr>
        <w:t>DÉCLARE</w:t>
      </w:r>
      <w:r w:rsidRPr="002E16BE">
        <w:rPr>
          <w:rFonts w:cs="Arial"/>
          <w:szCs w:val="24"/>
        </w:rPr>
        <w:t xml:space="preserve"> que le travailleur a droit au remboursement </w:t>
      </w:r>
      <w:r>
        <w:rPr>
          <w:rFonts w:cs="Arial"/>
          <w:szCs w:val="24"/>
        </w:rPr>
        <w:t xml:space="preserve">du coût d’acquisition d’un système </w:t>
      </w:r>
      <w:r w:rsidRPr="002E16BE">
        <w:rPr>
          <w:rFonts w:cs="Arial"/>
          <w:bCs/>
          <w:szCs w:val="24"/>
        </w:rPr>
        <w:t>de télévision Audiolink de MedEl</w:t>
      </w:r>
      <w:r>
        <w:rPr>
          <w:rFonts w:cs="Arial"/>
          <w:szCs w:val="24"/>
        </w:rPr>
        <w:t>.</w:t>
      </w:r>
    </w:p>
    <w:p w14:paraId="4F054918" w14:textId="76C0D081" w:rsidR="002E16BE" w:rsidRDefault="002E16BE" w:rsidP="00FB16E3">
      <w:pPr>
        <w:pStyle w:val="Dispositif"/>
        <w:keepNext/>
        <w:keepLines/>
      </w:pPr>
      <w:r>
        <w:t>Dossier 1379158</w:t>
      </w:r>
      <w:r w:rsidR="00BC5B54">
        <w:t>-62B-2408</w:t>
      </w:r>
    </w:p>
    <w:p w14:paraId="433C0BD4" w14:textId="2EE0D3F3" w:rsidR="002E16BE" w:rsidRDefault="002E16BE" w:rsidP="00FB16E3">
      <w:pPr>
        <w:pStyle w:val="Dispositif"/>
        <w:keepNext/>
        <w:keepLines/>
      </w:pPr>
      <w:r w:rsidRPr="002E16BE">
        <w:rPr>
          <w:b/>
          <w:bCs/>
        </w:rPr>
        <w:t>DÉCLARE</w:t>
      </w:r>
      <w:r>
        <w:t xml:space="preserve"> sans objet la contestation du travailleur</w:t>
      </w:r>
      <w:r w:rsidR="0029761F">
        <w:t>, monsieur Roger Lavoie</w:t>
      </w:r>
      <w:r w:rsidR="00BC5B54">
        <w:t>;</w:t>
      </w:r>
    </w:p>
    <w:p w14:paraId="5F796387" w14:textId="764CCD7B" w:rsidR="007F5CFB" w:rsidRDefault="007F5CFB" w:rsidP="00FB16E3">
      <w:pPr>
        <w:pStyle w:val="Dispositif"/>
        <w:keepNext/>
        <w:keepLines/>
      </w:pPr>
      <w:r w:rsidRPr="007F5CFB">
        <w:rPr>
          <w:b/>
          <w:bCs/>
        </w:rPr>
        <w:t>DÉCLARE</w:t>
      </w:r>
      <w:r>
        <w:t xml:space="preserve"> sans effet la décision de la Commission des normes, de l'équité, de la santé et de la sécurité du travail rendue le 26 juin 2024</w:t>
      </w:r>
      <w:r w:rsidR="00BC5B54">
        <w:t>,</w:t>
      </w:r>
      <w:r>
        <w:t xml:space="preserve"> à la suite d’une révision administrative. </w:t>
      </w:r>
    </w:p>
    <w:p w14:paraId="429D1E55" w14:textId="77777777" w:rsidR="00C74B6F" w:rsidRDefault="00C74B6F">
      <w:pPr>
        <w:pStyle w:val="Dispositif"/>
      </w:pPr>
    </w:p>
    <w:p w14:paraId="5D5199E8" w14:textId="77777777" w:rsidR="00BC5B54" w:rsidRDefault="00BC5B54">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45AB14E5" w14:textId="77777777">
        <w:tc>
          <w:tcPr>
            <w:tcW w:w="4795" w:type="dxa"/>
          </w:tcPr>
          <w:p w14:paraId="20A169D7" w14:textId="77777777" w:rsidR="00C74B6F" w:rsidRDefault="00C74B6F"/>
        </w:tc>
        <w:tc>
          <w:tcPr>
            <w:tcW w:w="4795" w:type="dxa"/>
          </w:tcPr>
          <w:p w14:paraId="6B66111A" w14:textId="77777777" w:rsidR="00C74B6F" w:rsidRDefault="00C74B6F">
            <w:bookmarkStart w:id="12" w:name="signature"/>
            <w:bookmarkEnd w:id="12"/>
            <w:r>
              <w:t>__________________________________</w:t>
            </w:r>
          </w:p>
        </w:tc>
      </w:tr>
      <w:tr w:rsidR="00C74B6F" w14:paraId="512018D1" w14:textId="77777777">
        <w:tc>
          <w:tcPr>
            <w:tcW w:w="4795" w:type="dxa"/>
          </w:tcPr>
          <w:p w14:paraId="4F4D782C" w14:textId="77777777" w:rsidR="00C74B6F" w:rsidRDefault="00C74B6F"/>
        </w:tc>
        <w:tc>
          <w:tcPr>
            <w:tcW w:w="4795" w:type="dxa"/>
          </w:tcPr>
          <w:p w14:paraId="6A0807CC" w14:textId="594C233B" w:rsidR="00C74B6F" w:rsidRDefault="003D46ED">
            <w:r>
              <w:t>Virginie Maloney</w:t>
            </w:r>
          </w:p>
        </w:tc>
      </w:tr>
      <w:tr w:rsidR="00C74B6F" w14:paraId="53DECF3F" w14:textId="77777777">
        <w:trPr>
          <w:cantSplit/>
        </w:trPr>
        <w:tc>
          <w:tcPr>
            <w:tcW w:w="9590" w:type="dxa"/>
            <w:gridSpan w:val="2"/>
          </w:tcPr>
          <w:p w14:paraId="5764DF7E" w14:textId="77777777" w:rsidR="00C74B6F" w:rsidRDefault="00C74B6F"/>
        </w:tc>
      </w:tr>
      <w:tr w:rsidR="00C74B6F" w14:paraId="0BA4F2E0" w14:textId="77777777">
        <w:trPr>
          <w:cantSplit/>
        </w:trPr>
        <w:tc>
          <w:tcPr>
            <w:tcW w:w="9590" w:type="dxa"/>
            <w:gridSpan w:val="2"/>
          </w:tcPr>
          <w:p w14:paraId="25C18200" w14:textId="77777777" w:rsidR="00C74B6F" w:rsidRPr="00C912F9" w:rsidRDefault="00C74B6F" w:rsidP="00EC5C8D">
            <w:pPr>
              <w:tabs>
                <w:tab w:val="left" w:pos="1592"/>
              </w:tabs>
            </w:pPr>
          </w:p>
        </w:tc>
      </w:tr>
      <w:tr w:rsidR="00C74B6F" w14:paraId="5179DBCA" w14:textId="77777777">
        <w:trPr>
          <w:cantSplit/>
        </w:trPr>
        <w:tc>
          <w:tcPr>
            <w:tcW w:w="9590" w:type="dxa"/>
            <w:gridSpan w:val="2"/>
          </w:tcPr>
          <w:p w14:paraId="520629AE" w14:textId="77777777" w:rsidR="00C74B6F" w:rsidRDefault="00C74B6F"/>
        </w:tc>
      </w:tr>
      <w:tr w:rsidR="00861F8B" w14:paraId="3702D7DE" w14:textId="77777777">
        <w:trPr>
          <w:cantSplit/>
        </w:trPr>
        <w:tc>
          <w:tcPr>
            <w:tcW w:w="9590" w:type="dxa"/>
            <w:gridSpan w:val="2"/>
          </w:tcPr>
          <w:p w14:paraId="4AF1BD95" w14:textId="587ECC0B" w:rsidR="00596AB2" w:rsidRPr="00596AB2" w:rsidRDefault="003D46ED" w:rsidP="00596AB2">
            <w:r>
              <w:t xml:space="preserve">M. </w:t>
            </w:r>
            <w:r>
              <w:rPr>
                <w:lang w:val="en-CA"/>
              </w:rPr>
              <w:t>Roger Lavoie</w:t>
            </w:r>
          </w:p>
        </w:tc>
      </w:tr>
      <w:tr w:rsidR="00861F8B" w14:paraId="06196449" w14:textId="77777777">
        <w:trPr>
          <w:cantSplit/>
        </w:trPr>
        <w:tc>
          <w:tcPr>
            <w:tcW w:w="9590" w:type="dxa"/>
            <w:gridSpan w:val="2"/>
          </w:tcPr>
          <w:p w14:paraId="03203838" w14:textId="48D47C96" w:rsidR="00861F8B" w:rsidRDefault="00E25DCB">
            <w:r>
              <w:fldChar w:fldCharType="begin"/>
            </w:r>
            <w:r>
              <w:instrText xml:space="preserve"> MACROBUTTON  AbaisserNiveauListe </w:instrText>
            </w:r>
            <w:r>
              <w:fldChar w:fldCharType="end"/>
            </w:r>
            <w:r w:rsidR="003D46ED">
              <w:t>Pour lui-même</w:t>
            </w:r>
          </w:p>
        </w:tc>
      </w:tr>
      <w:tr w:rsidR="00C74B6F" w14:paraId="18ADC697" w14:textId="77777777">
        <w:trPr>
          <w:cantSplit/>
        </w:trPr>
        <w:tc>
          <w:tcPr>
            <w:tcW w:w="9590" w:type="dxa"/>
            <w:gridSpan w:val="2"/>
          </w:tcPr>
          <w:p w14:paraId="1728F0E2" w14:textId="77777777" w:rsidR="00C74B6F" w:rsidRDefault="00C74B6F"/>
        </w:tc>
      </w:tr>
      <w:tr w:rsidR="00C74B6F" w14:paraId="21F4014E" w14:textId="77777777">
        <w:trPr>
          <w:cantSplit/>
        </w:trPr>
        <w:tc>
          <w:tcPr>
            <w:tcW w:w="9590" w:type="dxa"/>
            <w:gridSpan w:val="2"/>
          </w:tcPr>
          <w:p w14:paraId="7B590A7B" w14:textId="75148D5F" w:rsidR="00C74B6F" w:rsidRDefault="00BC5B54">
            <w:r>
              <w:t>M</w:t>
            </w:r>
            <w:r w:rsidRPr="00BC5B54">
              <w:rPr>
                <w:vertAlign w:val="superscript"/>
              </w:rPr>
              <w:t>me</w:t>
            </w:r>
            <w:r>
              <w:t xml:space="preserve"> Esther Sénéchal</w:t>
            </w:r>
          </w:p>
        </w:tc>
      </w:tr>
      <w:tr w:rsidR="00BC5B54" w14:paraId="670EE142" w14:textId="77777777">
        <w:trPr>
          <w:cantSplit/>
        </w:trPr>
        <w:tc>
          <w:tcPr>
            <w:tcW w:w="9590" w:type="dxa"/>
            <w:gridSpan w:val="2"/>
          </w:tcPr>
          <w:p w14:paraId="55EC5893" w14:textId="4A7A69A4" w:rsidR="00BC5B54" w:rsidRDefault="00BC5B54">
            <w:r>
              <w:t>Pour la partie mise en cause</w:t>
            </w:r>
          </w:p>
        </w:tc>
      </w:tr>
      <w:tr w:rsidR="00C15A3F" w14:paraId="36D9724A" w14:textId="77777777">
        <w:trPr>
          <w:cantSplit/>
        </w:trPr>
        <w:tc>
          <w:tcPr>
            <w:tcW w:w="9590" w:type="dxa"/>
            <w:gridSpan w:val="2"/>
          </w:tcPr>
          <w:p w14:paraId="3FDA5AC8" w14:textId="77777777" w:rsidR="00C15A3F" w:rsidRDefault="00C15A3F">
            <w:pPr>
              <w:pStyle w:val="zSoquijlblProcureurInt"/>
            </w:pPr>
          </w:p>
        </w:tc>
      </w:tr>
      <w:tr w:rsidR="00C15A3F" w14:paraId="2659D429" w14:textId="77777777">
        <w:trPr>
          <w:cantSplit/>
        </w:trPr>
        <w:tc>
          <w:tcPr>
            <w:tcW w:w="9590" w:type="dxa"/>
            <w:gridSpan w:val="2"/>
          </w:tcPr>
          <w:p w14:paraId="4F024D3C" w14:textId="06CACDA5" w:rsidR="00C15A3F" w:rsidRDefault="00C15A3F" w:rsidP="000E56A6">
            <w:pPr>
              <w:pStyle w:val="zSoquijdatDateAudience"/>
            </w:pPr>
            <w:bookmarkStart w:id="13" w:name="Date_derniere_audience"/>
            <w:bookmarkEnd w:id="13"/>
            <w:r>
              <w:t xml:space="preserve">Date de la </w:t>
            </w:r>
            <w:r w:rsidR="00CC6338">
              <w:t>mise en délibéré</w:t>
            </w:r>
            <w:r>
              <w:t> :</w:t>
            </w:r>
            <w:r w:rsidR="00597016">
              <w:tab/>
            </w:r>
            <w:r w:rsidR="003D46ED">
              <w:t>10 mars 2025</w:t>
            </w:r>
          </w:p>
        </w:tc>
      </w:tr>
    </w:tbl>
    <w:p w14:paraId="5F2CE8CF" w14:textId="77777777" w:rsidR="00F76B4A" w:rsidRDefault="00F76B4A" w:rsidP="00F73D1C"/>
    <w:p w14:paraId="58EC24B7"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28BDBC" w14:textId="77777777" w:rsidR="00AF1169" w:rsidRDefault="00AF1169">
      <w:r>
        <w:separator/>
      </w:r>
    </w:p>
  </w:endnote>
  <w:endnote w:type="continuationSeparator" w:id="0">
    <w:p w14:paraId="08274B2B" w14:textId="77777777" w:rsidR="00AF1169" w:rsidRDefault="00AF1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00C31D" w14:textId="77777777" w:rsidR="00AF1169" w:rsidRDefault="00AF1169">
      <w:r>
        <w:separator/>
      </w:r>
    </w:p>
  </w:footnote>
  <w:footnote w:type="continuationSeparator" w:id="0">
    <w:p w14:paraId="45A0DF3D" w14:textId="77777777" w:rsidR="00AF1169" w:rsidRDefault="00AF1169">
      <w:r>
        <w:continuationSeparator/>
      </w:r>
    </w:p>
  </w:footnote>
  <w:footnote w:id="1">
    <w:p w14:paraId="1654656B" w14:textId="258142C9" w:rsidR="00044197" w:rsidRPr="00044197" w:rsidRDefault="00044197" w:rsidP="000441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w:t>
      </w:r>
      <w:r w:rsidR="002E13C4">
        <w:rPr>
          <w:rFonts w:cs="Arial"/>
          <w:sz w:val="20"/>
        </w:rPr>
        <w:t xml:space="preserve">de la Commission </w:t>
      </w:r>
      <w:r>
        <w:rPr>
          <w:rFonts w:cs="Arial"/>
          <w:sz w:val="20"/>
        </w:rPr>
        <w:t xml:space="preserve">du 3 mai 2023. </w:t>
      </w:r>
    </w:p>
  </w:footnote>
  <w:footnote w:id="2">
    <w:p w14:paraId="1DB9957C" w14:textId="58F06460" w:rsidR="00044197" w:rsidRPr="00044197" w:rsidRDefault="00044197" w:rsidP="000441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w:t>
      </w:r>
      <w:r w:rsidR="002E13C4">
        <w:rPr>
          <w:rFonts w:cs="Arial"/>
          <w:sz w:val="20"/>
        </w:rPr>
        <w:t xml:space="preserve">de la Commission </w:t>
      </w:r>
      <w:r>
        <w:rPr>
          <w:rFonts w:cs="Arial"/>
          <w:sz w:val="20"/>
        </w:rPr>
        <w:t xml:space="preserve">du 16 août 2023, </w:t>
      </w:r>
      <w:r w:rsidR="0029761F">
        <w:rPr>
          <w:rFonts w:cs="Arial"/>
          <w:sz w:val="20"/>
        </w:rPr>
        <w:t xml:space="preserve">à la suite d’une </w:t>
      </w:r>
      <w:r>
        <w:rPr>
          <w:rFonts w:cs="Arial"/>
          <w:sz w:val="20"/>
        </w:rPr>
        <w:t xml:space="preserve">révision administrative. </w:t>
      </w:r>
    </w:p>
  </w:footnote>
  <w:footnote w:id="3">
    <w:p w14:paraId="62729008" w14:textId="2070F0B6" w:rsidR="00044197" w:rsidRPr="00044197" w:rsidRDefault="00044197" w:rsidP="000441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w:t>
      </w:r>
      <w:r w:rsidR="002E13C4">
        <w:rPr>
          <w:rFonts w:cs="Arial"/>
          <w:sz w:val="20"/>
        </w:rPr>
        <w:t xml:space="preserve">de la Commission </w:t>
      </w:r>
      <w:r>
        <w:rPr>
          <w:rFonts w:cs="Arial"/>
          <w:sz w:val="20"/>
        </w:rPr>
        <w:t xml:space="preserve">du 19 avril 2024. </w:t>
      </w:r>
    </w:p>
  </w:footnote>
  <w:footnote w:id="4">
    <w:p w14:paraId="45A1AD4F" w14:textId="19479DD4" w:rsidR="00044197" w:rsidRPr="00044197" w:rsidRDefault="00044197" w:rsidP="000441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Décision </w:t>
      </w:r>
      <w:r w:rsidR="002E13C4">
        <w:rPr>
          <w:rFonts w:cs="Arial"/>
          <w:sz w:val="20"/>
        </w:rPr>
        <w:t xml:space="preserve">de la Commission </w:t>
      </w:r>
      <w:r>
        <w:rPr>
          <w:rFonts w:cs="Arial"/>
          <w:sz w:val="20"/>
        </w:rPr>
        <w:t xml:space="preserve">du 26 juin 2024, </w:t>
      </w:r>
      <w:r w:rsidR="0029761F">
        <w:rPr>
          <w:rFonts w:cs="Arial"/>
          <w:sz w:val="20"/>
        </w:rPr>
        <w:t xml:space="preserve">à la suite d’une </w:t>
      </w:r>
      <w:r>
        <w:rPr>
          <w:rFonts w:cs="Arial"/>
          <w:sz w:val="20"/>
        </w:rPr>
        <w:t xml:space="preserve">révision administrative. </w:t>
      </w:r>
    </w:p>
  </w:footnote>
  <w:footnote w:id="5">
    <w:p w14:paraId="79C2373F" w14:textId="77777777" w:rsidR="002A1B0C" w:rsidRDefault="002A1B0C" w:rsidP="000764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6">
    <w:p w14:paraId="10A553A1" w14:textId="77777777" w:rsidR="00503FFA" w:rsidRPr="009F3FB5" w:rsidRDefault="00503FFA" w:rsidP="00503FF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hyperlink r:id="rId1" w:history="1">
        <w:r w:rsidRPr="00DA0788">
          <w:rPr>
            <w:rFonts w:cs="Arial"/>
            <w:sz w:val="20"/>
          </w:rPr>
          <w:t>L.Q. 2021, c. 27</w:t>
        </w:r>
      </w:hyperlink>
      <w:r>
        <w:rPr>
          <w:rFonts w:cs="Arial"/>
          <w:sz w:val="20"/>
        </w:rPr>
        <w:t>.</w:t>
      </w:r>
    </w:p>
  </w:footnote>
  <w:footnote w:id="7">
    <w:p w14:paraId="5CCF5929" w14:textId="311E9343" w:rsidR="00474F25" w:rsidRPr="00474F25" w:rsidRDefault="00474F25" w:rsidP="00474F2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w:t>
      </w:r>
      <w:r w:rsidRPr="009018FF">
        <w:rPr>
          <w:rFonts w:cs="Arial"/>
          <w:i/>
          <w:iCs/>
          <w:sz w:val="20"/>
        </w:rPr>
        <w:t>Marcoux</w:t>
      </w:r>
      <w:r>
        <w:rPr>
          <w:rFonts w:cs="Arial"/>
          <w:sz w:val="20"/>
        </w:rPr>
        <w:t xml:space="preserve">, 2025 QCTAT 740 et </w:t>
      </w:r>
      <w:r w:rsidRPr="009018FF">
        <w:rPr>
          <w:rFonts w:cs="Arial"/>
          <w:i/>
          <w:iCs/>
          <w:sz w:val="20"/>
        </w:rPr>
        <w:t>Boisvert</w:t>
      </w:r>
      <w:r>
        <w:rPr>
          <w:rFonts w:cs="Arial"/>
          <w:sz w:val="20"/>
        </w:rPr>
        <w:t xml:space="preserve"> et </w:t>
      </w:r>
      <w:r w:rsidRPr="009018FF">
        <w:rPr>
          <w:rFonts w:cs="Arial"/>
          <w:i/>
          <w:iCs/>
          <w:sz w:val="20"/>
        </w:rPr>
        <w:t>Essity Canada inc.</w:t>
      </w:r>
      <w:r w:rsidR="002E13C4">
        <w:rPr>
          <w:rFonts w:cs="Arial"/>
          <w:sz w:val="20"/>
        </w:rPr>
        <w:t>,</w:t>
      </w:r>
      <w:r>
        <w:rPr>
          <w:rFonts w:cs="Arial"/>
          <w:sz w:val="20"/>
        </w:rPr>
        <w:t xml:space="preserve"> 2025 QCTAT 710.</w:t>
      </w:r>
    </w:p>
  </w:footnote>
  <w:footnote w:id="8">
    <w:p w14:paraId="4DE8E9CF" w14:textId="77777777" w:rsidR="002A1B0C" w:rsidRPr="009A3D52" w:rsidRDefault="002A1B0C" w:rsidP="002A1B0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151 de la Loi. </w:t>
      </w:r>
    </w:p>
  </w:footnote>
  <w:footnote w:id="9">
    <w:p w14:paraId="2EC166A4" w14:textId="77777777" w:rsidR="00877662" w:rsidRPr="00965FB0" w:rsidRDefault="00877662" w:rsidP="0087766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605C3">
        <w:rPr>
          <w:rFonts w:cs="Arial"/>
          <w:sz w:val="20"/>
        </w:rPr>
        <w:t>2023 QCTAT 625.</w:t>
      </w:r>
      <w:r>
        <w:rPr>
          <w:rFonts w:ascii="Open Sans" w:hAnsi="Open Sans" w:cs="Open Sans"/>
          <w:color w:val="212529"/>
          <w:sz w:val="21"/>
          <w:szCs w:val="21"/>
          <w:shd w:val="clear" w:color="auto" w:fill="FFFFFF"/>
        </w:rPr>
        <w:t xml:space="preserve"> </w:t>
      </w:r>
    </w:p>
  </w:footnote>
  <w:footnote w:id="10">
    <w:p w14:paraId="7A58071B" w14:textId="77777777" w:rsidR="002A1B0C" w:rsidRPr="00797245" w:rsidRDefault="002A1B0C" w:rsidP="002A1B0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1 de la Loi. </w:t>
      </w:r>
    </w:p>
  </w:footnote>
  <w:footnote w:id="11">
    <w:p w14:paraId="231FB668" w14:textId="314E4EC0" w:rsidR="003C1D95" w:rsidRPr="003C1D95" w:rsidRDefault="003C1D95" w:rsidP="003C1D9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2025 QCTAT 710.</w:t>
      </w:r>
    </w:p>
  </w:footnote>
  <w:footnote w:id="12">
    <w:p w14:paraId="636E8C2C" w14:textId="5FEB803D" w:rsidR="00C5598D" w:rsidRPr="00C5598D" w:rsidRDefault="00C5598D" w:rsidP="00C5598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155.1 de la Loi. </w:t>
      </w:r>
    </w:p>
  </w:footnote>
  <w:footnote w:id="13">
    <w:p w14:paraId="50F325A6" w14:textId="4B55FBE3" w:rsidR="0054083A" w:rsidRPr="00C04BD5" w:rsidRDefault="0054083A" w:rsidP="005408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Note évolutive du 2</w:t>
      </w:r>
      <w:r w:rsidR="00FB1FE2">
        <w:rPr>
          <w:rFonts w:cs="Arial"/>
          <w:sz w:val="20"/>
        </w:rPr>
        <w:t>6</w:t>
      </w:r>
      <w:r>
        <w:rPr>
          <w:rFonts w:cs="Arial"/>
          <w:sz w:val="20"/>
        </w:rPr>
        <w:t xml:space="preserve"> avril 2023.</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5279BF55" w14:textId="77777777" w:rsidTr="005135F5">
      <w:tc>
        <w:tcPr>
          <w:tcW w:w="8730" w:type="dxa"/>
        </w:tcPr>
        <w:p w14:paraId="247A1EC0" w14:textId="77777777" w:rsidR="00D330B6" w:rsidRDefault="00D330B6">
          <w:pPr>
            <w:pStyle w:val="En-tte"/>
            <w:ind w:left="-90"/>
          </w:pPr>
        </w:p>
      </w:tc>
      <w:tc>
        <w:tcPr>
          <w:tcW w:w="860" w:type="dxa"/>
        </w:tcPr>
        <w:p w14:paraId="7BFA757A" w14:textId="77777777" w:rsidR="00D330B6" w:rsidRDefault="00D330B6">
          <w:pPr>
            <w:pStyle w:val="En-tte"/>
            <w:ind w:left="-90"/>
          </w:pPr>
        </w:p>
      </w:tc>
    </w:tr>
    <w:tr w:rsidR="00BC5B54" w14:paraId="272CA989" w14:textId="77777777" w:rsidTr="005135F5">
      <w:tc>
        <w:tcPr>
          <w:tcW w:w="8730" w:type="dxa"/>
        </w:tcPr>
        <w:p w14:paraId="23ADFD04" w14:textId="5DEE9962" w:rsidR="00BC5B54" w:rsidRDefault="00BC5B54" w:rsidP="00BC5B54">
          <w:r w:rsidRPr="00AF1169">
            <w:t>1337164</w:t>
          </w:r>
          <w:r>
            <w:t>-</w:t>
          </w:r>
          <w:r w:rsidRPr="00AF1169">
            <w:t>62B</w:t>
          </w:r>
          <w:r>
            <w:t>-</w:t>
          </w:r>
          <w:r w:rsidRPr="00AF1169">
            <w:t>2309</w:t>
          </w:r>
          <w:r>
            <w:t xml:space="preserve">   </w:t>
          </w:r>
          <w:r w:rsidRPr="00AF1169">
            <w:t>1379158</w:t>
          </w:r>
          <w:r>
            <w:t>-</w:t>
          </w:r>
          <w:r w:rsidRPr="00AF1169">
            <w:t>62B</w:t>
          </w:r>
          <w:r>
            <w:t>-</w:t>
          </w:r>
          <w:r w:rsidRPr="00AF1169">
            <w:t>2408</w:t>
          </w:r>
        </w:p>
      </w:tc>
      <w:tc>
        <w:tcPr>
          <w:tcW w:w="860" w:type="dxa"/>
        </w:tcPr>
        <w:p w14:paraId="64D053D3" w14:textId="77777777" w:rsidR="00BC5B54" w:rsidRDefault="00BC5B54" w:rsidP="00BC5B54">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AF1190">
            <w:rPr>
              <w:rStyle w:val="Numrodepage"/>
              <w:noProof/>
            </w:rPr>
            <w:t>2</w:t>
          </w:r>
          <w:r>
            <w:rPr>
              <w:rStyle w:val="Numrodepage"/>
            </w:rPr>
            <w:fldChar w:fldCharType="end"/>
          </w:r>
        </w:p>
      </w:tc>
    </w:tr>
    <w:tr w:rsidR="00BC5B54" w14:paraId="0D72C44F" w14:textId="77777777" w:rsidTr="005135F5">
      <w:tc>
        <w:tcPr>
          <w:tcW w:w="8730" w:type="dxa"/>
        </w:tcPr>
        <w:p w14:paraId="7770A51D" w14:textId="77777777" w:rsidR="00BC5B54" w:rsidRDefault="00BC5B54" w:rsidP="00BC5B54"/>
      </w:tc>
      <w:tc>
        <w:tcPr>
          <w:tcW w:w="860" w:type="dxa"/>
        </w:tcPr>
        <w:p w14:paraId="377B3A27" w14:textId="77777777" w:rsidR="00BC5B54" w:rsidRDefault="00BC5B54" w:rsidP="00BC5B54">
          <w:pPr>
            <w:pStyle w:val="En-tte"/>
            <w:ind w:left="-90"/>
            <w:jc w:val="right"/>
          </w:pPr>
        </w:p>
      </w:tc>
    </w:tr>
  </w:tbl>
  <w:p w14:paraId="06E1D1E3"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725BA0"/>
    <w:multiLevelType w:val="hybridMultilevel"/>
    <w:tmpl w:val="A78065C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1"/>
  </w:num>
  <w:num w:numId="8">
    <w:abstractNumId w:val="3"/>
  </w:num>
  <w:num w:numId="9">
    <w:abstractNumId w:val="2"/>
  </w:num>
  <w:num w:numId="10">
    <w:abstractNumId w:val="9"/>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169"/>
    <w:rsid w:val="000034B0"/>
    <w:rsid w:val="000041A1"/>
    <w:rsid w:val="00006DD2"/>
    <w:rsid w:val="0001305E"/>
    <w:rsid w:val="00016D99"/>
    <w:rsid w:val="00021B30"/>
    <w:rsid w:val="00021E4C"/>
    <w:rsid w:val="00022556"/>
    <w:rsid w:val="00023858"/>
    <w:rsid w:val="000352CA"/>
    <w:rsid w:val="000366EC"/>
    <w:rsid w:val="00036794"/>
    <w:rsid w:val="000377F6"/>
    <w:rsid w:val="00043E4D"/>
    <w:rsid w:val="00044197"/>
    <w:rsid w:val="00045432"/>
    <w:rsid w:val="00051CE4"/>
    <w:rsid w:val="000536CC"/>
    <w:rsid w:val="000559A8"/>
    <w:rsid w:val="00055A3E"/>
    <w:rsid w:val="00056393"/>
    <w:rsid w:val="00057739"/>
    <w:rsid w:val="0007225E"/>
    <w:rsid w:val="00074ABE"/>
    <w:rsid w:val="00074EAE"/>
    <w:rsid w:val="000756D0"/>
    <w:rsid w:val="00076D81"/>
    <w:rsid w:val="00080885"/>
    <w:rsid w:val="00082A97"/>
    <w:rsid w:val="0008378A"/>
    <w:rsid w:val="00083DFF"/>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16AB"/>
    <w:rsid w:val="000C710F"/>
    <w:rsid w:val="000D3948"/>
    <w:rsid w:val="000E0C28"/>
    <w:rsid w:val="000E0C3A"/>
    <w:rsid w:val="000E1320"/>
    <w:rsid w:val="000E3FF6"/>
    <w:rsid w:val="000E56A6"/>
    <w:rsid w:val="000F20A5"/>
    <w:rsid w:val="000F3423"/>
    <w:rsid w:val="000F5F81"/>
    <w:rsid w:val="000F7357"/>
    <w:rsid w:val="00100AB8"/>
    <w:rsid w:val="00104550"/>
    <w:rsid w:val="00104C3D"/>
    <w:rsid w:val="001050B4"/>
    <w:rsid w:val="001144AB"/>
    <w:rsid w:val="0012224D"/>
    <w:rsid w:val="001225BC"/>
    <w:rsid w:val="00122A9E"/>
    <w:rsid w:val="00122F94"/>
    <w:rsid w:val="0012326A"/>
    <w:rsid w:val="00132622"/>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65E1"/>
    <w:rsid w:val="00196888"/>
    <w:rsid w:val="001A03BE"/>
    <w:rsid w:val="001A067E"/>
    <w:rsid w:val="001A2900"/>
    <w:rsid w:val="001A4081"/>
    <w:rsid w:val="001A65F1"/>
    <w:rsid w:val="001B2B40"/>
    <w:rsid w:val="001B3E9D"/>
    <w:rsid w:val="001B4172"/>
    <w:rsid w:val="001B4A40"/>
    <w:rsid w:val="001B5524"/>
    <w:rsid w:val="001B6D8A"/>
    <w:rsid w:val="001C19D4"/>
    <w:rsid w:val="001C2B0B"/>
    <w:rsid w:val="001C436D"/>
    <w:rsid w:val="001D63C8"/>
    <w:rsid w:val="001D65D8"/>
    <w:rsid w:val="001E3DFD"/>
    <w:rsid w:val="001E42F0"/>
    <w:rsid w:val="001E497A"/>
    <w:rsid w:val="001E5E3B"/>
    <w:rsid w:val="00205AA5"/>
    <w:rsid w:val="00225C46"/>
    <w:rsid w:val="00226493"/>
    <w:rsid w:val="00227040"/>
    <w:rsid w:val="00230CFC"/>
    <w:rsid w:val="0023162A"/>
    <w:rsid w:val="00231C1D"/>
    <w:rsid w:val="00233532"/>
    <w:rsid w:val="00234839"/>
    <w:rsid w:val="00234BC8"/>
    <w:rsid w:val="00241CED"/>
    <w:rsid w:val="00242FB4"/>
    <w:rsid w:val="00243C7B"/>
    <w:rsid w:val="00245605"/>
    <w:rsid w:val="00246ED0"/>
    <w:rsid w:val="002535BF"/>
    <w:rsid w:val="002542E0"/>
    <w:rsid w:val="002563F0"/>
    <w:rsid w:val="00256DBB"/>
    <w:rsid w:val="00260119"/>
    <w:rsid w:val="00266064"/>
    <w:rsid w:val="00267C8D"/>
    <w:rsid w:val="002701DD"/>
    <w:rsid w:val="002710FD"/>
    <w:rsid w:val="00272B06"/>
    <w:rsid w:val="00273F49"/>
    <w:rsid w:val="002769B5"/>
    <w:rsid w:val="00276B25"/>
    <w:rsid w:val="00276B59"/>
    <w:rsid w:val="00281319"/>
    <w:rsid w:val="00286149"/>
    <w:rsid w:val="0028668D"/>
    <w:rsid w:val="00290289"/>
    <w:rsid w:val="00292188"/>
    <w:rsid w:val="002923D9"/>
    <w:rsid w:val="00296645"/>
    <w:rsid w:val="00296A4B"/>
    <w:rsid w:val="00297284"/>
    <w:rsid w:val="0029761F"/>
    <w:rsid w:val="002A0077"/>
    <w:rsid w:val="002A07DC"/>
    <w:rsid w:val="002A1B0C"/>
    <w:rsid w:val="002A3573"/>
    <w:rsid w:val="002A374B"/>
    <w:rsid w:val="002A73E9"/>
    <w:rsid w:val="002B132B"/>
    <w:rsid w:val="002B2FC3"/>
    <w:rsid w:val="002B35F0"/>
    <w:rsid w:val="002B58AF"/>
    <w:rsid w:val="002C3748"/>
    <w:rsid w:val="002C5E89"/>
    <w:rsid w:val="002D42BC"/>
    <w:rsid w:val="002D71A9"/>
    <w:rsid w:val="002D7846"/>
    <w:rsid w:val="002D7FCB"/>
    <w:rsid w:val="002E05AE"/>
    <w:rsid w:val="002E13C4"/>
    <w:rsid w:val="002E16BE"/>
    <w:rsid w:val="002F7507"/>
    <w:rsid w:val="0030059B"/>
    <w:rsid w:val="00302FB4"/>
    <w:rsid w:val="00305273"/>
    <w:rsid w:val="003057FC"/>
    <w:rsid w:val="00305AFB"/>
    <w:rsid w:val="00307C85"/>
    <w:rsid w:val="00312983"/>
    <w:rsid w:val="00316D9B"/>
    <w:rsid w:val="00323DC5"/>
    <w:rsid w:val="003248CB"/>
    <w:rsid w:val="00331EA7"/>
    <w:rsid w:val="003332B8"/>
    <w:rsid w:val="00337555"/>
    <w:rsid w:val="00343B46"/>
    <w:rsid w:val="00344465"/>
    <w:rsid w:val="0034740A"/>
    <w:rsid w:val="0035375B"/>
    <w:rsid w:val="00362D74"/>
    <w:rsid w:val="003664E9"/>
    <w:rsid w:val="00366D1E"/>
    <w:rsid w:val="003703A5"/>
    <w:rsid w:val="0037112C"/>
    <w:rsid w:val="00373EE5"/>
    <w:rsid w:val="00374013"/>
    <w:rsid w:val="003817E7"/>
    <w:rsid w:val="00382E55"/>
    <w:rsid w:val="00390B55"/>
    <w:rsid w:val="003961B2"/>
    <w:rsid w:val="003A41AD"/>
    <w:rsid w:val="003B0C41"/>
    <w:rsid w:val="003B152B"/>
    <w:rsid w:val="003B1734"/>
    <w:rsid w:val="003B1735"/>
    <w:rsid w:val="003B2D2E"/>
    <w:rsid w:val="003B6CBF"/>
    <w:rsid w:val="003C1D95"/>
    <w:rsid w:val="003C47A7"/>
    <w:rsid w:val="003D0826"/>
    <w:rsid w:val="003D18FC"/>
    <w:rsid w:val="003D3C93"/>
    <w:rsid w:val="003D46ED"/>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9AC"/>
    <w:rsid w:val="00474489"/>
    <w:rsid w:val="00474F25"/>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5AEB"/>
    <w:rsid w:val="004A679B"/>
    <w:rsid w:val="004C0FB4"/>
    <w:rsid w:val="004C1811"/>
    <w:rsid w:val="004C2944"/>
    <w:rsid w:val="004C4555"/>
    <w:rsid w:val="004D16D6"/>
    <w:rsid w:val="004D6CEA"/>
    <w:rsid w:val="004E0E02"/>
    <w:rsid w:val="004E3564"/>
    <w:rsid w:val="004E3D9F"/>
    <w:rsid w:val="004E51C0"/>
    <w:rsid w:val="004E64BE"/>
    <w:rsid w:val="004F6293"/>
    <w:rsid w:val="00503B8D"/>
    <w:rsid w:val="00503EE3"/>
    <w:rsid w:val="00503FFA"/>
    <w:rsid w:val="00505811"/>
    <w:rsid w:val="0051261C"/>
    <w:rsid w:val="005135F5"/>
    <w:rsid w:val="00515DE7"/>
    <w:rsid w:val="00517EB0"/>
    <w:rsid w:val="005205CB"/>
    <w:rsid w:val="0052430C"/>
    <w:rsid w:val="005348E4"/>
    <w:rsid w:val="00534D8F"/>
    <w:rsid w:val="005352F1"/>
    <w:rsid w:val="00540094"/>
    <w:rsid w:val="0054083A"/>
    <w:rsid w:val="0054587F"/>
    <w:rsid w:val="00545CFF"/>
    <w:rsid w:val="00547A9C"/>
    <w:rsid w:val="00555800"/>
    <w:rsid w:val="00556DBB"/>
    <w:rsid w:val="00560781"/>
    <w:rsid w:val="0056268F"/>
    <w:rsid w:val="005662E9"/>
    <w:rsid w:val="00567433"/>
    <w:rsid w:val="005700F8"/>
    <w:rsid w:val="00572AAF"/>
    <w:rsid w:val="005801AE"/>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5E90"/>
    <w:rsid w:val="005E62C7"/>
    <w:rsid w:val="005E654C"/>
    <w:rsid w:val="005F05F6"/>
    <w:rsid w:val="005F0D07"/>
    <w:rsid w:val="00605734"/>
    <w:rsid w:val="0061488E"/>
    <w:rsid w:val="0061574B"/>
    <w:rsid w:val="00616406"/>
    <w:rsid w:val="00622670"/>
    <w:rsid w:val="00623328"/>
    <w:rsid w:val="00623A1A"/>
    <w:rsid w:val="00626E8D"/>
    <w:rsid w:val="0063156B"/>
    <w:rsid w:val="006326A9"/>
    <w:rsid w:val="00632DA8"/>
    <w:rsid w:val="00634C4B"/>
    <w:rsid w:val="00634E6E"/>
    <w:rsid w:val="0063651F"/>
    <w:rsid w:val="0064342A"/>
    <w:rsid w:val="00643A28"/>
    <w:rsid w:val="006452FA"/>
    <w:rsid w:val="0065093D"/>
    <w:rsid w:val="00651E47"/>
    <w:rsid w:val="00652A16"/>
    <w:rsid w:val="00655193"/>
    <w:rsid w:val="00655459"/>
    <w:rsid w:val="00656FB2"/>
    <w:rsid w:val="00657A70"/>
    <w:rsid w:val="00661454"/>
    <w:rsid w:val="00661853"/>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0C3E"/>
    <w:rsid w:val="006C1B57"/>
    <w:rsid w:val="006C6D3A"/>
    <w:rsid w:val="006C7B36"/>
    <w:rsid w:val="006C7B7F"/>
    <w:rsid w:val="006D19E8"/>
    <w:rsid w:val="006D7768"/>
    <w:rsid w:val="006E04B5"/>
    <w:rsid w:val="006E330C"/>
    <w:rsid w:val="006E3DD8"/>
    <w:rsid w:val="006E793F"/>
    <w:rsid w:val="006F0154"/>
    <w:rsid w:val="006F185A"/>
    <w:rsid w:val="006F608D"/>
    <w:rsid w:val="006F7944"/>
    <w:rsid w:val="00704121"/>
    <w:rsid w:val="00705BB5"/>
    <w:rsid w:val="0071326F"/>
    <w:rsid w:val="007153D7"/>
    <w:rsid w:val="007205F0"/>
    <w:rsid w:val="00720ED4"/>
    <w:rsid w:val="00722736"/>
    <w:rsid w:val="0074488F"/>
    <w:rsid w:val="00745AA8"/>
    <w:rsid w:val="007503E0"/>
    <w:rsid w:val="007510EC"/>
    <w:rsid w:val="00751B11"/>
    <w:rsid w:val="0075233C"/>
    <w:rsid w:val="0075256A"/>
    <w:rsid w:val="00752DCD"/>
    <w:rsid w:val="007569DE"/>
    <w:rsid w:val="0075723C"/>
    <w:rsid w:val="0076146A"/>
    <w:rsid w:val="0076350E"/>
    <w:rsid w:val="00763F36"/>
    <w:rsid w:val="0077497A"/>
    <w:rsid w:val="00775BDF"/>
    <w:rsid w:val="0077614D"/>
    <w:rsid w:val="00782C8F"/>
    <w:rsid w:val="00785F78"/>
    <w:rsid w:val="0078659D"/>
    <w:rsid w:val="007869EC"/>
    <w:rsid w:val="00791ED8"/>
    <w:rsid w:val="007A0509"/>
    <w:rsid w:val="007A1E58"/>
    <w:rsid w:val="007A5C7E"/>
    <w:rsid w:val="007A63F9"/>
    <w:rsid w:val="007A69A9"/>
    <w:rsid w:val="007A6E2F"/>
    <w:rsid w:val="007B0DF2"/>
    <w:rsid w:val="007B3BC5"/>
    <w:rsid w:val="007B6F8D"/>
    <w:rsid w:val="007B7E61"/>
    <w:rsid w:val="007C1832"/>
    <w:rsid w:val="007D03DF"/>
    <w:rsid w:val="007D4953"/>
    <w:rsid w:val="007D50F4"/>
    <w:rsid w:val="007D7173"/>
    <w:rsid w:val="007E1216"/>
    <w:rsid w:val="007E4CD4"/>
    <w:rsid w:val="007E530C"/>
    <w:rsid w:val="007F0E8E"/>
    <w:rsid w:val="007F2149"/>
    <w:rsid w:val="007F4E00"/>
    <w:rsid w:val="007F5CFB"/>
    <w:rsid w:val="008048CF"/>
    <w:rsid w:val="008079DD"/>
    <w:rsid w:val="0081130F"/>
    <w:rsid w:val="00813095"/>
    <w:rsid w:val="008145AD"/>
    <w:rsid w:val="008146B2"/>
    <w:rsid w:val="00820DA9"/>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77662"/>
    <w:rsid w:val="008808C0"/>
    <w:rsid w:val="00882255"/>
    <w:rsid w:val="00890BDE"/>
    <w:rsid w:val="00892AD3"/>
    <w:rsid w:val="00894155"/>
    <w:rsid w:val="008962E7"/>
    <w:rsid w:val="008A1118"/>
    <w:rsid w:val="008A281F"/>
    <w:rsid w:val="008A48D2"/>
    <w:rsid w:val="008A4AF6"/>
    <w:rsid w:val="008A4FF8"/>
    <w:rsid w:val="008A5D0E"/>
    <w:rsid w:val="008A5ED1"/>
    <w:rsid w:val="008A73CE"/>
    <w:rsid w:val="008A7FD1"/>
    <w:rsid w:val="008B042E"/>
    <w:rsid w:val="008B211E"/>
    <w:rsid w:val="008B6D48"/>
    <w:rsid w:val="008C4534"/>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18FF"/>
    <w:rsid w:val="00903990"/>
    <w:rsid w:val="009042A8"/>
    <w:rsid w:val="00904950"/>
    <w:rsid w:val="0091442E"/>
    <w:rsid w:val="00915E5E"/>
    <w:rsid w:val="009166B8"/>
    <w:rsid w:val="00916FA5"/>
    <w:rsid w:val="00917915"/>
    <w:rsid w:val="00920684"/>
    <w:rsid w:val="00920DA7"/>
    <w:rsid w:val="009216E6"/>
    <w:rsid w:val="009224EC"/>
    <w:rsid w:val="00922DB7"/>
    <w:rsid w:val="0092684A"/>
    <w:rsid w:val="00927654"/>
    <w:rsid w:val="009353ED"/>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0A62"/>
    <w:rsid w:val="009824F2"/>
    <w:rsid w:val="00983080"/>
    <w:rsid w:val="00986AA3"/>
    <w:rsid w:val="00993B24"/>
    <w:rsid w:val="0099611F"/>
    <w:rsid w:val="009A083F"/>
    <w:rsid w:val="009A135C"/>
    <w:rsid w:val="009A67E7"/>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36C"/>
    <w:rsid w:val="00A25D4B"/>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77A1B"/>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169"/>
    <w:rsid w:val="00AF1190"/>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92049"/>
    <w:rsid w:val="00B94740"/>
    <w:rsid w:val="00B95002"/>
    <w:rsid w:val="00B97F75"/>
    <w:rsid w:val="00BA0A4F"/>
    <w:rsid w:val="00BA1CAE"/>
    <w:rsid w:val="00BA33BB"/>
    <w:rsid w:val="00BA4830"/>
    <w:rsid w:val="00BA6E22"/>
    <w:rsid w:val="00BB1460"/>
    <w:rsid w:val="00BB362C"/>
    <w:rsid w:val="00BB5942"/>
    <w:rsid w:val="00BC0A03"/>
    <w:rsid w:val="00BC4A42"/>
    <w:rsid w:val="00BC5B54"/>
    <w:rsid w:val="00BC5BB4"/>
    <w:rsid w:val="00BD4139"/>
    <w:rsid w:val="00BE059A"/>
    <w:rsid w:val="00BE1981"/>
    <w:rsid w:val="00BE2DA6"/>
    <w:rsid w:val="00BE2E86"/>
    <w:rsid w:val="00BE320B"/>
    <w:rsid w:val="00BE56E9"/>
    <w:rsid w:val="00BE63CF"/>
    <w:rsid w:val="00BE7014"/>
    <w:rsid w:val="00BE7991"/>
    <w:rsid w:val="00BF25C7"/>
    <w:rsid w:val="00C009B7"/>
    <w:rsid w:val="00C02B8F"/>
    <w:rsid w:val="00C04BD5"/>
    <w:rsid w:val="00C04E32"/>
    <w:rsid w:val="00C116B1"/>
    <w:rsid w:val="00C15A3F"/>
    <w:rsid w:val="00C20630"/>
    <w:rsid w:val="00C20E6A"/>
    <w:rsid w:val="00C224A4"/>
    <w:rsid w:val="00C22F7A"/>
    <w:rsid w:val="00C2666F"/>
    <w:rsid w:val="00C32020"/>
    <w:rsid w:val="00C32D02"/>
    <w:rsid w:val="00C3408C"/>
    <w:rsid w:val="00C3484D"/>
    <w:rsid w:val="00C351CC"/>
    <w:rsid w:val="00C35435"/>
    <w:rsid w:val="00C432FD"/>
    <w:rsid w:val="00C43CDF"/>
    <w:rsid w:val="00C4608E"/>
    <w:rsid w:val="00C512B2"/>
    <w:rsid w:val="00C537DE"/>
    <w:rsid w:val="00C53B5D"/>
    <w:rsid w:val="00C5598D"/>
    <w:rsid w:val="00C571FB"/>
    <w:rsid w:val="00C57381"/>
    <w:rsid w:val="00C61D56"/>
    <w:rsid w:val="00C62B69"/>
    <w:rsid w:val="00C644B7"/>
    <w:rsid w:val="00C64564"/>
    <w:rsid w:val="00C66D6F"/>
    <w:rsid w:val="00C71377"/>
    <w:rsid w:val="00C73C87"/>
    <w:rsid w:val="00C74B6F"/>
    <w:rsid w:val="00C84516"/>
    <w:rsid w:val="00C87EF3"/>
    <w:rsid w:val="00C9015F"/>
    <w:rsid w:val="00C912F9"/>
    <w:rsid w:val="00C91B22"/>
    <w:rsid w:val="00C9241B"/>
    <w:rsid w:val="00C9370B"/>
    <w:rsid w:val="00C951D6"/>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1549"/>
    <w:rsid w:val="00D440FA"/>
    <w:rsid w:val="00D44BCF"/>
    <w:rsid w:val="00D46E73"/>
    <w:rsid w:val="00D5548D"/>
    <w:rsid w:val="00D56572"/>
    <w:rsid w:val="00D56F8C"/>
    <w:rsid w:val="00D60F81"/>
    <w:rsid w:val="00D61B8B"/>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2C98"/>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56C3E"/>
    <w:rsid w:val="00E61925"/>
    <w:rsid w:val="00E6363B"/>
    <w:rsid w:val="00E65C0E"/>
    <w:rsid w:val="00E65FB9"/>
    <w:rsid w:val="00E730FC"/>
    <w:rsid w:val="00E732DA"/>
    <w:rsid w:val="00E746F0"/>
    <w:rsid w:val="00E809B9"/>
    <w:rsid w:val="00E82A15"/>
    <w:rsid w:val="00E85445"/>
    <w:rsid w:val="00E87589"/>
    <w:rsid w:val="00E938FF"/>
    <w:rsid w:val="00E93DFE"/>
    <w:rsid w:val="00E95E26"/>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07ED7"/>
    <w:rsid w:val="00F10236"/>
    <w:rsid w:val="00F15811"/>
    <w:rsid w:val="00F22423"/>
    <w:rsid w:val="00F24C72"/>
    <w:rsid w:val="00F30267"/>
    <w:rsid w:val="00F31D22"/>
    <w:rsid w:val="00F31DD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80F"/>
    <w:rsid w:val="00FA5289"/>
    <w:rsid w:val="00FA6213"/>
    <w:rsid w:val="00FB16E3"/>
    <w:rsid w:val="00FB1FE2"/>
    <w:rsid w:val="00FB2186"/>
    <w:rsid w:val="00FB7E0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81E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uiPriority w:val="99"/>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paragraph" w:customStyle="1" w:styleId="yChe1">
    <w:name w:val="yCh_e1"/>
    <w:rsid w:val="002A1B0C"/>
    <w:rPr>
      <w:rFonts w:ascii="Arial" w:hAnsi="Arial"/>
      <w:sz w:val="24"/>
    </w:rPr>
  </w:style>
  <w:style w:type="character" w:styleId="Marquedecommentaire">
    <w:name w:val="annotation reference"/>
    <w:basedOn w:val="Policepardfaut"/>
    <w:rsid w:val="006C0C3E"/>
    <w:rPr>
      <w:sz w:val="16"/>
      <w:szCs w:val="16"/>
    </w:rPr>
  </w:style>
  <w:style w:type="paragraph" w:styleId="Commentaire">
    <w:name w:val="annotation text"/>
    <w:basedOn w:val="Normal"/>
    <w:link w:val="CommentaireCar"/>
    <w:rsid w:val="006C0C3E"/>
    <w:rPr>
      <w:sz w:val="20"/>
    </w:rPr>
  </w:style>
  <w:style w:type="character" w:customStyle="1" w:styleId="CommentaireCar">
    <w:name w:val="Commentaire Car"/>
    <w:basedOn w:val="Policepardfaut"/>
    <w:link w:val="Commentaire"/>
    <w:rsid w:val="006C0C3E"/>
    <w:rPr>
      <w:rFonts w:ascii="Arial" w:hAnsi="Arial"/>
    </w:rPr>
  </w:style>
  <w:style w:type="paragraph" w:styleId="Objetducommentaire">
    <w:name w:val="annotation subject"/>
    <w:basedOn w:val="Commentaire"/>
    <w:next w:val="Commentaire"/>
    <w:link w:val="ObjetducommentaireCar"/>
    <w:rsid w:val="006C0C3E"/>
    <w:rPr>
      <w:b/>
      <w:bCs/>
    </w:rPr>
  </w:style>
  <w:style w:type="character" w:customStyle="1" w:styleId="ObjetducommentaireCar">
    <w:name w:val="Objet du commentaire Car"/>
    <w:basedOn w:val="CommentaireCar"/>
    <w:link w:val="Objetducommentaire"/>
    <w:rsid w:val="006C0C3E"/>
    <w:rPr>
      <w:rFonts w:ascii="Arial" w:hAnsi="Arial"/>
      <w:b/>
      <w:bCs/>
    </w:rPr>
  </w:style>
  <w:style w:type="paragraph" w:styleId="Rvision">
    <w:name w:val="Revision"/>
    <w:hidden/>
    <w:uiPriority w:val="99"/>
    <w:semiHidden/>
    <w:rsid w:val="00BC5B54"/>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canlii.org/fr/qc/legis/loisa/lq-2021-c-27/derniere/lq-2021-c-27.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85472-CEF5-4ADD-B20A-C608175AA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1990</Words>
  <Characters>10945</Characters>
  <Application>Microsoft Office Word</Application>
  <DocSecurity>0</DocSecurity>
  <Lines>91</Lines>
  <Paragraphs>25</Paragraphs>
  <ScaleCrop>false</ScaleCrop>
  <Company/>
  <LinksUpToDate>false</LinksUpToDate>
  <CharactersWithSpaces>12910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2025-05-02T13:16:00Z</dcterms:created>
  <dcterms:modified xsi:type="dcterms:W3CDTF">2025-05-02T13:16:00Z</dcterms:modified>
</cp:coreProperties>
</file>