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6E6F3327" w14:textId="77777777">
        <w:trPr>
          <w:cantSplit/>
        </w:trPr>
        <w:tc>
          <w:tcPr>
            <w:tcW w:w="4795" w:type="dxa"/>
          </w:tcPr>
          <w:p w14:paraId="215D1E65" w14:textId="54D381DC" w:rsidR="008A7FD1" w:rsidRPr="003747E8" w:rsidRDefault="003747E8" w:rsidP="003747E8">
            <w:pPr>
              <w:pStyle w:val="zSoquijdatRepertorie"/>
              <w:rPr>
                <w:rFonts w:cs="Arial"/>
              </w:rPr>
            </w:pPr>
            <w:bookmarkStart w:id="0" w:name="_GoBack"/>
            <w:bookmarkEnd w:id="0"/>
            <w:r>
              <w:rPr>
                <w:rFonts w:cs="Arial"/>
              </w:rPr>
              <w:t>Kouperchand et Demers, manufacturier d'ambulances inc.</w:t>
            </w:r>
          </w:p>
        </w:tc>
        <w:tc>
          <w:tcPr>
            <w:tcW w:w="2477" w:type="dxa"/>
          </w:tcPr>
          <w:p w14:paraId="0C63DF03" w14:textId="425B3B6A" w:rsidR="008A7FD1" w:rsidRPr="004C4AD2" w:rsidRDefault="004C4AD2" w:rsidP="004C4AD2">
            <w:pPr>
              <w:pStyle w:val="zSoquijdatRefNeutre"/>
              <w:rPr>
                <w:rFonts w:cs="Arial"/>
              </w:rPr>
            </w:pPr>
            <w:r w:rsidRPr="004C4AD2">
              <w:rPr>
                <w:rFonts w:cs="Arial"/>
              </w:rPr>
              <w:t>2025 QCTAT 322</w:t>
            </w:r>
          </w:p>
        </w:tc>
      </w:tr>
    </w:tbl>
    <w:p w14:paraId="3B0A60CB"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0B832D22" w14:textId="77777777" w:rsidTr="00036794">
        <w:trPr>
          <w:cantSplit/>
        </w:trPr>
        <w:tc>
          <w:tcPr>
            <w:tcW w:w="9568" w:type="dxa"/>
            <w:gridSpan w:val="4"/>
          </w:tcPr>
          <w:p w14:paraId="18302EE1" w14:textId="77777777" w:rsidR="00C74B6F" w:rsidRPr="00BE1981" w:rsidRDefault="00C74B6F">
            <w:pPr>
              <w:rPr>
                <w:szCs w:val="24"/>
              </w:rPr>
            </w:pPr>
          </w:p>
        </w:tc>
      </w:tr>
      <w:tr w:rsidR="00C74B6F" w14:paraId="081400AD" w14:textId="77777777" w:rsidTr="00036794">
        <w:trPr>
          <w:cantSplit/>
        </w:trPr>
        <w:tc>
          <w:tcPr>
            <w:tcW w:w="9568" w:type="dxa"/>
            <w:gridSpan w:val="4"/>
            <w:vAlign w:val="center"/>
          </w:tcPr>
          <w:p w14:paraId="42671817" w14:textId="77777777" w:rsidR="00C74B6F" w:rsidRPr="000E1320" w:rsidRDefault="000E1320">
            <w:pPr>
              <w:jc w:val="center"/>
              <w:rPr>
                <w:sz w:val="36"/>
                <w:szCs w:val="36"/>
              </w:rPr>
            </w:pPr>
            <w:r w:rsidRPr="000E1320">
              <w:rPr>
                <w:b/>
                <w:sz w:val="36"/>
                <w:szCs w:val="36"/>
              </w:rPr>
              <w:t>TRIBUNAL ADMINISTRATIF DU TRAVAIL</w:t>
            </w:r>
          </w:p>
        </w:tc>
      </w:tr>
      <w:tr w:rsidR="00C74B6F" w14:paraId="51055145" w14:textId="77777777" w:rsidTr="00036794">
        <w:trPr>
          <w:cantSplit/>
        </w:trPr>
        <w:tc>
          <w:tcPr>
            <w:tcW w:w="9568" w:type="dxa"/>
            <w:gridSpan w:val="4"/>
          </w:tcPr>
          <w:p w14:paraId="026AA9EB" w14:textId="77777777" w:rsidR="00C74B6F" w:rsidRPr="00BE7014" w:rsidRDefault="006F0154" w:rsidP="009A67E7">
            <w:pPr>
              <w:pStyle w:val="zSoquijdatDivision"/>
            </w:pPr>
            <w:r w:rsidRPr="00BE7014">
              <w:t>(</w:t>
            </w:r>
            <w:r w:rsidR="00DC2A29" w:rsidRPr="00441ADA">
              <w:t>Division de la santé et de la sécurité du travail</w:t>
            </w:r>
            <w:r w:rsidRPr="00BE7014">
              <w:t>)</w:t>
            </w:r>
          </w:p>
        </w:tc>
      </w:tr>
      <w:tr w:rsidR="00C74B6F" w14:paraId="5E14662D" w14:textId="77777777" w:rsidTr="00036794">
        <w:trPr>
          <w:cantSplit/>
        </w:trPr>
        <w:tc>
          <w:tcPr>
            <w:tcW w:w="9568" w:type="dxa"/>
            <w:gridSpan w:val="4"/>
          </w:tcPr>
          <w:p w14:paraId="540BA70C" w14:textId="77777777" w:rsidR="002B2FC3" w:rsidRDefault="002B2FC3" w:rsidP="002B2FC3"/>
        </w:tc>
      </w:tr>
      <w:tr w:rsidR="00A84FC6" w14:paraId="64CBC64D" w14:textId="77777777" w:rsidTr="00036794">
        <w:trPr>
          <w:cantSplit/>
        </w:trPr>
        <w:tc>
          <w:tcPr>
            <w:tcW w:w="9568" w:type="dxa"/>
            <w:gridSpan w:val="4"/>
          </w:tcPr>
          <w:p w14:paraId="4FA0BEFD" w14:textId="77777777" w:rsidR="00A84FC6" w:rsidRDefault="00A84FC6" w:rsidP="002B2FC3"/>
        </w:tc>
      </w:tr>
      <w:tr w:rsidR="00C74B6F" w14:paraId="354FC319" w14:textId="77777777" w:rsidTr="00036794">
        <w:tc>
          <w:tcPr>
            <w:tcW w:w="3331" w:type="dxa"/>
          </w:tcPr>
          <w:p w14:paraId="7883625E" w14:textId="77777777" w:rsidR="00C74B6F" w:rsidRDefault="0084255F">
            <w:bookmarkStart w:id="1" w:name="region" w:colFirst="1" w:colLast="1"/>
            <w:r>
              <w:t>Région :</w:t>
            </w:r>
          </w:p>
        </w:tc>
        <w:tc>
          <w:tcPr>
            <w:tcW w:w="6237" w:type="dxa"/>
            <w:gridSpan w:val="3"/>
          </w:tcPr>
          <w:p w14:paraId="6361ADA7" w14:textId="2E2F62B2" w:rsidR="00C74B6F" w:rsidRDefault="00240FDB" w:rsidP="00F4095A">
            <w:pPr>
              <w:pStyle w:val="zSoquijdatGreffe"/>
            </w:pPr>
            <w:r>
              <w:t>Montérégie</w:t>
            </w:r>
          </w:p>
        </w:tc>
      </w:tr>
      <w:bookmarkEnd w:id="1"/>
      <w:tr w:rsidR="00C74B6F" w14:paraId="22951FF3" w14:textId="77777777" w:rsidTr="00036794">
        <w:trPr>
          <w:cantSplit/>
        </w:trPr>
        <w:tc>
          <w:tcPr>
            <w:tcW w:w="9568" w:type="dxa"/>
            <w:gridSpan w:val="4"/>
          </w:tcPr>
          <w:p w14:paraId="4FFC7158" w14:textId="77777777" w:rsidR="00C74B6F" w:rsidRDefault="00C74B6F"/>
        </w:tc>
      </w:tr>
      <w:tr w:rsidR="00C74B6F" w14:paraId="0FE39E62" w14:textId="77777777" w:rsidTr="00036794">
        <w:tc>
          <w:tcPr>
            <w:tcW w:w="3331" w:type="dxa"/>
          </w:tcPr>
          <w:p w14:paraId="4DF78518" w14:textId="21BB9CB2" w:rsidR="00C74B6F" w:rsidRDefault="0084255F">
            <w:bookmarkStart w:id="2" w:name="ref_dossier" w:colFirst="1" w:colLast="1"/>
            <w:r>
              <w:t>Dossier</w:t>
            </w:r>
            <w:bookmarkStart w:id="3" w:name="dossiers"/>
            <w:bookmarkEnd w:id="3"/>
            <w:r>
              <w:t> :</w:t>
            </w:r>
          </w:p>
        </w:tc>
        <w:tc>
          <w:tcPr>
            <w:tcW w:w="6237" w:type="dxa"/>
            <w:gridSpan w:val="3"/>
          </w:tcPr>
          <w:p w14:paraId="2BB9BF10" w14:textId="2B704334" w:rsidR="00C74B6F" w:rsidRDefault="00F32384" w:rsidP="00F4095A">
            <w:pPr>
              <w:pStyle w:val="zSoquijdatNoDossier"/>
            </w:pPr>
            <w:r w:rsidRPr="00F32384">
              <w:t>1309199-62-2302</w:t>
            </w:r>
          </w:p>
        </w:tc>
      </w:tr>
      <w:bookmarkEnd w:id="2"/>
      <w:tr w:rsidR="00C74B6F" w14:paraId="6E8FF939" w14:textId="77777777" w:rsidTr="00036794">
        <w:trPr>
          <w:cantSplit/>
        </w:trPr>
        <w:tc>
          <w:tcPr>
            <w:tcW w:w="9568" w:type="dxa"/>
            <w:gridSpan w:val="4"/>
          </w:tcPr>
          <w:p w14:paraId="2A3FD9B7" w14:textId="77777777" w:rsidR="00C74B6F" w:rsidRDefault="00D44BCF">
            <w:r>
              <w:fldChar w:fldCharType="begin"/>
            </w:r>
            <w:r>
              <w:instrText xml:space="preserve"> AUTOTEXTLIST  \* Upper  \* MERGEFORMAT </w:instrText>
            </w:r>
            <w:r>
              <w:fldChar w:fldCharType="end"/>
            </w:r>
          </w:p>
        </w:tc>
      </w:tr>
      <w:tr w:rsidR="00C74B6F" w14:paraId="144C27D1" w14:textId="77777777" w:rsidTr="00036794">
        <w:tc>
          <w:tcPr>
            <w:tcW w:w="3331" w:type="dxa"/>
          </w:tcPr>
          <w:p w14:paraId="2459054E" w14:textId="77777777" w:rsidR="00C74B6F" w:rsidRDefault="008C79A7" w:rsidP="00DC2A29">
            <w:pPr>
              <w:ind w:right="46"/>
            </w:pPr>
            <w:r>
              <w:t xml:space="preserve">Dossier </w:t>
            </w:r>
            <w:r w:rsidR="00DC2A29" w:rsidRPr="00DC2A29">
              <w:rPr>
                <w:szCs w:val="24"/>
              </w:rPr>
              <w:t>CNESST</w:t>
            </w:r>
            <w:r w:rsidRPr="008C79A7">
              <w:rPr>
                <w:szCs w:val="24"/>
              </w:rPr>
              <w:t xml:space="preserve"> :</w:t>
            </w:r>
          </w:p>
        </w:tc>
        <w:tc>
          <w:tcPr>
            <w:tcW w:w="6237" w:type="dxa"/>
            <w:gridSpan w:val="3"/>
          </w:tcPr>
          <w:p w14:paraId="062D5615" w14:textId="3BB82DD9" w:rsidR="00C74B6F" w:rsidRDefault="00F32384" w:rsidP="004D6CEA">
            <w:pPr>
              <w:pStyle w:val="zSoquijdatNCSST"/>
            </w:pPr>
            <w:r w:rsidRPr="00F32384">
              <w:t>512796830</w:t>
            </w:r>
          </w:p>
        </w:tc>
      </w:tr>
      <w:tr w:rsidR="00C74B6F" w14:paraId="461CDDB1" w14:textId="77777777" w:rsidTr="00036794">
        <w:trPr>
          <w:cantSplit/>
        </w:trPr>
        <w:tc>
          <w:tcPr>
            <w:tcW w:w="9568" w:type="dxa"/>
            <w:gridSpan w:val="4"/>
          </w:tcPr>
          <w:p w14:paraId="48A03BA4" w14:textId="77777777" w:rsidR="00C74B6F" w:rsidRDefault="00C74B6F"/>
        </w:tc>
      </w:tr>
      <w:tr w:rsidR="00C74B6F" w14:paraId="29337524" w14:textId="77777777" w:rsidTr="00036794">
        <w:tc>
          <w:tcPr>
            <w:tcW w:w="3331" w:type="dxa"/>
          </w:tcPr>
          <w:p w14:paraId="5C71A458" w14:textId="0BECA35A" w:rsidR="00C74B6F" w:rsidRDefault="00F32384">
            <w:bookmarkStart w:id="4" w:name="assesseur"/>
            <w:bookmarkEnd w:id="4"/>
            <w:r>
              <w:t>Assesseur :</w:t>
            </w:r>
          </w:p>
        </w:tc>
        <w:tc>
          <w:tcPr>
            <w:tcW w:w="6237" w:type="dxa"/>
            <w:gridSpan w:val="3"/>
          </w:tcPr>
          <w:p w14:paraId="0EBAA408" w14:textId="10435FFB" w:rsidR="00C74B6F" w:rsidRDefault="00F32384" w:rsidP="00F4095A">
            <w:pPr>
              <w:pStyle w:val="zSoquijdatAssesseurs"/>
            </w:pPr>
            <w:r w:rsidRPr="00F32384">
              <w:t>Jean-Luc Tremblay</w:t>
            </w:r>
            <w:r w:rsidR="00A25D4B">
              <w:t xml:space="preserve">, médecin </w:t>
            </w:r>
          </w:p>
        </w:tc>
      </w:tr>
      <w:tr w:rsidR="00C74B6F" w14:paraId="42770979" w14:textId="77777777" w:rsidTr="00036794">
        <w:trPr>
          <w:cantSplit/>
        </w:trPr>
        <w:tc>
          <w:tcPr>
            <w:tcW w:w="9568" w:type="dxa"/>
            <w:gridSpan w:val="4"/>
          </w:tcPr>
          <w:p w14:paraId="36219C54" w14:textId="77777777" w:rsidR="00C74B6F" w:rsidRDefault="00C74B6F"/>
        </w:tc>
      </w:tr>
      <w:tr w:rsidR="00C74B6F" w14:paraId="56DDC2E0" w14:textId="77777777" w:rsidTr="00036794">
        <w:trPr>
          <w:cantSplit/>
        </w:trPr>
        <w:tc>
          <w:tcPr>
            <w:tcW w:w="9568" w:type="dxa"/>
            <w:gridSpan w:val="4"/>
          </w:tcPr>
          <w:p w14:paraId="6BB34151" w14:textId="77777777" w:rsidR="00C74B6F" w:rsidRDefault="00C74B6F"/>
        </w:tc>
      </w:tr>
      <w:tr w:rsidR="006E3DD8" w14:paraId="68EA96B7" w14:textId="77777777" w:rsidTr="00036794">
        <w:trPr>
          <w:cantSplit/>
        </w:trPr>
        <w:tc>
          <w:tcPr>
            <w:tcW w:w="3331" w:type="dxa"/>
          </w:tcPr>
          <w:p w14:paraId="1489EE5C" w14:textId="77777777" w:rsidR="006E3DD8" w:rsidRPr="00FD7AA4" w:rsidRDefault="00DC2A29" w:rsidP="0076350E">
            <w:pPr>
              <w:ind w:right="-70"/>
            </w:pPr>
            <w:r w:rsidRPr="00FD7AA4">
              <w:t>Longueuil</w:t>
            </w:r>
            <w:r w:rsidR="00C04E32" w:rsidRPr="00FD7AA4">
              <w:t>,</w:t>
            </w:r>
          </w:p>
        </w:tc>
        <w:tc>
          <w:tcPr>
            <w:tcW w:w="6237" w:type="dxa"/>
            <w:gridSpan w:val="3"/>
          </w:tcPr>
          <w:p w14:paraId="0A89F0E1" w14:textId="2CABDF6A" w:rsidR="006E3DD8" w:rsidRPr="00FD7AA4" w:rsidRDefault="00C04E32" w:rsidP="005B5689">
            <w:pPr>
              <w:pStyle w:val="zSoquijdatDateJugement"/>
            </w:pPr>
            <w:r w:rsidRPr="00FD7AA4">
              <w:t xml:space="preserve">le </w:t>
            </w:r>
            <w:r w:rsidR="006C453F" w:rsidRPr="00FD7AA4">
              <w:t>24</w:t>
            </w:r>
            <w:r w:rsidR="00D61E96" w:rsidRPr="00FD7AA4">
              <w:t xml:space="preserve"> janvier 2025</w:t>
            </w:r>
          </w:p>
        </w:tc>
      </w:tr>
      <w:tr w:rsidR="00942AB8" w14:paraId="7328349D" w14:textId="77777777" w:rsidTr="00036794">
        <w:trPr>
          <w:cantSplit/>
        </w:trPr>
        <w:tc>
          <w:tcPr>
            <w:tcW w:w="9568" w:type="dxa"/>
            <w:gridSpan w:val="4"/>
          </w:tcPr>
          <w:p w14:paraId="0AA4E66A" w14:textId="77777777" w:rsidR="00942AB8" w:rsidRPr="00FD7AA4" w:rsidRDefault="00942AB8" w:rsidP="00FA153F">
            <w:r w:rsidRPr="00FD7AA4">
              <w:t>______________________________________________________________________</w:t>
            </w:r>
          </w:p>
        </w:tc>
      </w:tr>
      <w:tr w:rsidR="00942AB8" w14:paraId="48FDAD76" w14:textId="77777777" w:rsidTr="00036794">
        <w:trPr>
          <w:cantSplit/>
          <w:trHeight w:val="148"/>
        </w:trPr>
        <w:tc>
          <w:tcPr>
            <w:tcW w:w="9568" w:type="dxa"/>
            <w:gridSpan w:val="4"/>
          </w:tcPr>
          <w:p w14:paraId="68776F82" w14:textId="77777777" w:rsidR="00942AB8" w:rsidRPr="00FD7AA4" w:rsidRDefault="00942AB8" w:rsidP="00FA153F"/>
        </w:tc>
      </w:tr>
      <w:tr w:rsidR="0035375B" w14:paraId="2DE85A88" w14:textId="77777777" w:rsidTr="00036794">
        <w:trPr>
          <w:cantSplit/>
          <w:trHeight w:val="148"/>
        </w:trPr>
        <w:tc>
          <w:tcPr>
            <w:tcW w:w="5883" w:type="dxa"/>
            <w:gridSpan w:val="3"/>
          </w:tcPr>
          <w:p w14:paraId="46F45C89" w14:textId="77777777" w:rsidR="0035375B" w:rsidRPr="00FD7AA4" w:rsidRDefault="0035375B" w:rsidP="00DC2A29">
            <w:pPr>
              <w:rPr>
                <w:b/>
                <w:bCs/>
              </w:rPr>
            </w:pPr>
            <w:bookmarkStart w:id="5" w:name="ref_commissaire" w:colFirst="1" w:colLast="1"/>
            <w:r w:rsidRPr="00FD7AA4">
              <w:rPr>
                <w:b/>
                <w:bCs/>
              </w:rPr>
              <w:t>DEVANT L</w:t>
            </w:r>
            <w:r w:rsidR="00DC2A29" w:rsidRPr="00FD7AA4">
              <w:rPr>
                <w:b/>
                <w:bCs/>
              </w:rPr>
              <w:t>A</w:t>
            </w:r>
            <w:r w:rsidRPr="00FD7AA4">
              <w:rPr>
                <w:b/>
                <w:bCs/>
              </w:rPr>
              <w:t xml:space="preserve"> JUGE ADMINISTRATI</w:t>
            </w:r>
            <w:r w:rsidR="00DC2A29" w:rsidRPr="00FD7AA4">
              <w:rPr>
                <w:b/>
                <w:bCs/>
              </w:rPr>
              <w:t>VE</w:t>
            </w:r>
            <w:r w:rsidRPr="00FD7AA4">
              <w:rPr>
                <w:b/>
                <w:bCs/>
              </w:rPr>
              <w:t> :</w:t>
            </w:r>
          </w:p>
        </w:tc>
        <w:tc>
          <w:tcPr>
            <w:tcW w:w="3685" w:type="dxa"/>
          </w:tcPr>
          <w:p w14:paraId="278ED75A" w14:textId="37C004FB" w:rsidR="0035375B" w:rsidRPr="00FD7AA4" w:rsidRDefault="00943ACE" w:rsidP="005B5689">
            <w:pPr>
              <w:pStyle w:val="zSoquijdatJuge"/>
              <w:rPr>
                <w:bCs/>
              </w:rPr>
            </w:pPr>
            <w:r w:rsidRPr="00FD7AA4">
              <w:t>Isabelle St-Jean</w:t>
            </w:r>
          </w:p>
        </w:tc>
      </w:tr>
      <w:bookmarkEnd w:id="5"/>
      <w:tr w:rsidR="00942AB8" w14:paraId="20EDDA02" w14:textId="77777777" w:rsidTr="00036794">
        <w:trPr>
          <w:cantSplit/>
          <w:trHeight w:val="148"/>
        </w:trPr>
        <w:tc>
          <w:tcPr>
            <w:tcW w:w="9568" w:type="dxa"/>
            <w:gridSpan w:val="4"/>
          </w:tcPr>
          <w:p w14:paraId="45E5EE25" w14:textId="77777777" w:rsidR="00942AB8" w:rsidRPr="00FD7AA4" w:rsidRDefault="00942AB8" w:rsidP="00FA153F">
            <w:r w:rsidRPr="00FD7AA4">
              <w:t>______________________________________________________________________</w:t>
            </w:r>
          </w:p>
        </w:tc>
      </w:tr>
      <w:tr w:rsidR="00942AB8" w14:paraId="7B84D843" w14:textId="77777777" w:rsidTr="00036794">
        <w:tc>
          <w:tcPr>
            <w:tcW w:w="9568" w:type="dxa"/>
            <w:gridSpan w:val="4"/>
          </w:tcPr>
          <w:p w14:paraId="5FD14D06" w14:textId="77777777" w:rsidR="00942AB8" w:rsidRPr="00FD7AA4" w:rsidRDefault="00942AB8"/>
        </w:tc>
      </w:tr>
      <w:tr w:rsidR="00942AB8" w14:paraId="0AC14520" w14:textId="77777777" w:rsidTr="00E21768">
        <w:tc>
          <w:tcPr>
            <w:tcW w:w="4890" w:type="dxa"/>
            <w:gridSpan w:val="2"/>
          </w:tcPr>
          <w:p w14:paraId="3269708F" w14:textId="77777777" w:rsidR="00942AB8" w:rsidRPr="00FD7AA4" w:rsidRDefault="00942AB8">
            <w:bookmarkStart w:id="6" w:name="bloc_parties_gauche"/>
            <w:bookmarkEnd w:id="6"/>
          </w:p>
        </w:tc>
        <w:tc>
          <w:tcPr>
            <w:tcW w:w="4678" w:type="dxa"/>
            <w:gridSpan w:val="2"/>
          </w:tcPr>
          <w:p w14:paraId="120FFF49" w14:textId="77777777" w:rsidR="00942AB8" w:rsidRPr="00FD7AA4" w:rsidRDefault="00942AB8"/>
        </w:tc>
      </w:tr>
      <w:tr w:rsidR="00942AB8" w14:paraId="31240183" w14:textId="77777777" w:rsidTr="00E21768">
        <w:tc>
          <w:tcPr>
            <w:tcW w:w="4890" w:type="dxa"/>
            <w:gridSpan w:val="2"/>
          </w:tcPr>
          <w:p w14:paraId="3385998B" w14:textId="77B4C1DA" w:rsidR="00942AB8" w:rsidRPr="00FD7AA4" w:rsidRDefault="00F32384">
            <w:pPr>
              <w:pStyle w:val="zSoquijdatNomPartieDem"/>
              <w:rPr>
                <w:b/>
              </w:rPr>
            </w:pPr>
            <w:r w:rsidRPr="00FD7AA4">
              <w:rPr>
                <w:b/>
              </w:rPr>
              <w:t>Serg</w:t>
            </w:r>
            <w:r w:rsidR="00341959" w:rsidRPr="00FD7AA4">
              <w:rPr>
                <w:b/>
              </w:rPr>
              <w:t>e</w:t>
            </w:r>
            <w:r w:rsidRPr="00FD7AA4">
              <w:rPr>
                <w:b/>
              </w:rPr>
              <w:t>y Kouperchand</w:t>
            </w:r>
          </w:p>
        </w:tc>
        <w:tc>
          <w:tcPr>
            <w:tcW w:w="4678" w:type="dxa"/>
            <w:gridSpan w:val="2"/>
          </w:tcPr>
          <w:p w14:paraId="276036D3" w14:textId="77777777" w:rsidR="00942AB8" w:rsidRPr="00FD7AA4" w:rsidRDefault="00942AB8"/>
        </w:tc>
      </w:tr>
      <w:tr w:rsidR="00942AB8" w14:paraId="53D66349" w14:textId="77777777" w:rsidTr="00E21768">
        <w:tc>
          <w:tcPr>
            <w:tcW w:w="4890" w:type="dxa"/>
            <w:gridSpan w:val="2"/>
          </w:tcPr>
          <w:p w14:paraId="4D5AD5A8" w14:textId="77777777" w:rsidR="00942AB8" w:rsidRDefault="00DC2A29" w:rsidP="007B0DF2">
            <w:pPr>
              <w:pStyle w:val="zSoquijdatQtePartieDem"/>
              <w:tabs>
                <w:tab w:val="left" w:pos="3539"/>
              </w:tabs>
              <w:ind w:left="708"/>
            </w:pPr>
            <w:bookmarkStart w:id="7" w:name="partie_demanderesse"/>
            <w:bookmarkEnd w:id="7"/>
            <w:r>
              <w:t>Partie demanderesse</w:t>
            </w:r>
          </w:p>
        </w:tc>
        <w:tc>
          <w:tcPr>
            <w:tcW w:w="4678" w:type="dxa"/>
            <w:gridSpan w:val="2"/>
          </w:tcPr>
          <w:p w14:paraId="30C36A6B" w14:textId="77777777" w:rsidR="00942AB8" w:rsidRDefault="00942AB8"/>
        </w:tc>
      </w:tr>
      <w:tr w:rsidR="00942AB8" w14:paraId="43636F4D" w14:textId="77777777" w:rsidTr="00E21768">
        <w:tc>
          <w:tcPr>
            <w:tcW w:w="4890" w:type="dxa"/>
            <w:gridSpan w:val="2"/>
          </w:tcPr>
          <w:p w14:paraId="62ABCE3F" w14:textId="77777777" w:rsidR="00942AB8" w:rsidRDefault="00942AB8" w:rsidP="00E6363B"/>
        </w:tc>
        <w:tc>
          <w:tcPr>
            <w:tcW w:w="4678" w:type="dxa"/>
            <w:gridSpan w:val="2"/>
          </w:tcPr>
          <w:p w14:paraId="741421D9" w14:textId="77777777" w:rsidR="00942AB8" w:rsidRDefault="00942AB8"/>
        </w:tc>
      </w:tr>
      <w:tr w:rsidR="00942AB8" w14:paraId="33E0E4FA" w14:textId="77777777" w:rsidTr="00E21768">
        <w:tc>
          <w:tcPr>
            <w:tcW w:w="4890" w:type="dxa"/>
            <w:gridSpan w:val="2"/>
          </w:tcPr>
          <w:p w14:paraId="58B1C559" w14:textId="77777777" w:rsidR="00942AB8" w:rsidRDefault="00DC2A29" w:rsidP="00D06652">
            <w:pPr>
              <w:pStyle w:val="zSoquijlblLienParties"/>
            </w:pPr>
            <w:r>
              <w:t>et</w:t>
            </w:r>
          </w:p>
        </w:tc>
        <w:tc>
          <w:tcPr>
            <w:tcW w:w="4678" w:type="dxa"/>
            <w:gridSpan w:val="2"/>
          </w:tcPr>
          <w:p w14:paraId="36ECC225" w14:textId="77777777" w:rsidR="00942AB8" w:rsidRDefault="00942AB8"/>
        </w:tc>
      </w:tr>
      <w:tr w:rsidR="00942AB8" w14:paraId="6B01A76A" w14:textId="77777777" w:rsidTr="00E21768">
        <w:tc>
          <w:tcPr>
            <w:tcW w:w="4890" w:type="dxa"/>
            <w:gridSpan w:val="2"/>
          </w:tcPr>
          <w:p w14:paraId="55BD1500" w14:textId="77777777" w:rsidR="00942AB8" w:rsidRDefault="00942AB8"/>
        </w:tc>
        <w:tc>
          <w:tcPr>
            <w:tcW w:w="4678" w:type="dxa"/>
            <w:gridSpan w:val="2"/>
          </w:tcPr>
          <w:p w14:paraId="51DB7418" w14:textId="77777777" w:rsidR="00942AB8" w:rsidRDefault="00942AB8"/>
        </w:tc>
      </w:tr>
      <w:tr w:rsidR="00942AB8" w14:paraId="5CC741E3" w14:textId="77777777" w:rsidTr="00E21768">
        <w:tc>
          <w:tcPr>
            <w:tcW w:w="4890" w:type="dxa"/>
            <w:gridSpan w:val="2"/>
          </w:tcPr>
          <w:p w14:paraId="39808086" w14:textId="0426F1D8" w:rsidR="00942AB8" w:rsidRDefault="00F32384">
            <w:pPr>
              <w:pStyle w:val="zSoquijdatNomPartieDef"/>
              <w:rPr>
                <w:b/>
              </w:rPr>
            </w:pPr>
            <w:r w:rsidRPr="00F32384">
              <w:rPr>
                <w:b/>
              </w:rPr>
              <w:t>Demers, manufacturier d'ambulances inc.</w:t>
            </w:r>
          </w:p>
        </w:tc>
        <w:tc>
          <w:tcPr>
            <w:tcW w:w="4678" w:type="dxa"/>
            <w:gridSpan w:val="2"/>
          </w:tcPr>
          <w:p w14:paraId="11CF67A1" w14:textId="77777777" w:rsidR="00942AB8" w:rsidRDefault="00942AB8"/>
        </w:tc>
      </w:tr>
      <w:tr w:rsidR="00942AB8" w14:paraId="4977A655" w14:textId="77777777" w:rsidTr="00E21768">
        <w:tc>
          <w:tcPr>
            <w:tcW w:w="4890" w:type="dxa"/>
            <w:gridSpan w:val="2"/>
          </w:tcPr>
          <w:p w14:paraId="6337765B" w14:textId="77777777" w:rsidR="00942AB8" w:rsidRDefault="00DC2A29">
            <w:pPr>
              <w:pStyle w:val="zSoquijdatQtePartieDef"/>
              <w:ind w:left="708"/>
            </w:pPr>
            <w:r>
              <w:t>Partie mise en cause</w:t>
            </w:r>
          </w:p>
        </w:tc>
        <w:tc>
          <w:tcPr>
            <w:tcW w:w="4678" w:type="dxa"/>
            <w:gridSpan w:val="2"/>
          </w:tcPr>
          <w:p w14:paraId="61C4798B" w14:textId="77777777" w:rsidR="00942AB8" w:rsidRDefault="00942AB8"/>
        </w:tc>
      </w:tr>
      <w:tr w:rsidR="00943ACE" w14:paraId="3F94B198" w14:textId="77777777" w:rsidTr="00E21768">
        <w:tc>
          <w:tcPr>
            <w:tcW w:w="4890" w:type="dxa"/>
            <w:gridSpan w:val="2"/>
          </w:tcPr>
          <w:p w14:paraId="178587FC" w14:textId="77777777" w:rsidR="00943ACE" w:rsidRDefault="00943ACE"/>
        </w:tc>
        <w:tc>
          <w:tcPr>
            <w:tcW w:w="4678" w:type="dxa"/>
            <w:gridSpan w:val="2"/>
          </w:tcPr>
          <w:p w14:paraId="78BE822B" w14:textId="77777777" w:rsidR="00943ACE" w:rsidRDefault="00943ACE"/>
        </w:tc>
      </w:tr>
    </w:tbl>
    <w:p w14:paraId="2E48BB95" w14:textId="77777777" w:rsidR="00C74B6F" w:rsidRDefault="00C74B6F">
      <w:r>
        <w:t>______________________________________________________________________</w:t>
      </w:r>
    </w:p>
    <w:p w14:paraId="37511939" w14:textId="77777777" w:rsidR="00C74B6F" w:rsidRDefault="00C74B6F"/>
    <w:p w14:paraId="3D416E3B" w14:textId="77777777" w:rsidR="00C74B6F" w:rsidRPr="005B0612" w:rsidRDefault="00C74B6F" w:rsidP="008B042E">
      <w:pPr>
        <w:jc w:val="center"/>
        <w:rPr>
          <w:b/>
          <w:bCs/>
        </w:rPr>
      </w:pPr>
      <w:bookmarkStart w:id="8" w:name="decision"/>
      <w:r w:rsidRPr="005B0612">
        <w:rPr>
          <w:b/>
          <w:bCs/>
        </w:rPr>
        <w:t>DÉCISION</w:t>
      </w:r>
      <w:bookmarkEnd w:id="8"/>
    </w:p>
    <w:p w14:paraId="122EB510" w14:textId="77777777" w:rsidR="008F20EA" w:rsidRDefault="008F20EA" w:rsidP="008F20EA">
      <w:bookmarkStart w:id="9" w:name="separation"/>
      <w:bookmarkStart w:id="10" w:name="parag_1"/>
      <w:r>
        <w:t>______________________________________________________________________</w:t>
      </w:r>
    </w:p>
    <w:p w14:paraId="24E4E24F" w14:textId="77777777" w:rsidR="008F20EA" w:rsidRDefault="008F20EA" w:rsidP="008F20EA">
      <w:pPr>
        <w:pStyle w:val="corpsdedcision"/>
        <w:numPr>
          <w:ilvl w:val="0"/>
          <w:numId w:val="0"/>
        </w:numPr>
        <w:spacing w:before="360"/>
      </w:pPr>
      <w:bookmarkStart w:id="11" w:name="supprimer_apercu"/>
      <w:bookmarkEnd w:id="9"/>
      <w:r>
        <w:rPr>
          <w:b/>
          <w:bCs/>
          <w:u w:val="single"/>
        </w:rPr>
        <w:t>L’APERÇU</w:t>
      </w:r>
    </w:p>
    <w:bookmarkEnd w:id="10"/>
    <w:bookmarkEnd w:id="11"/>
    <w:p w14:paraId="0E0F1C13" w14:textId="05622EB3" w:rsidR="008F0847" w:rsidRDefault="00D61E96" w:rsidP="008F0847">
      <w:pPr>
        <w:pStyle w:val="corpsdedcision"/>
        <w:rPr>
          <w:bCs/>
        </w:rPr>
      </w:pPr>
      <w:r>
        <w:t xml:space="preserve">À l’été 2022, monsieur </w:t>
      </w:r>
      <w:r w:rsidRPr="00D61E96">
        <w:t>Serg</w:t>
      </w:r>
      <w:r w:rsidR="00341959">
        <w:t>e</w:t>
      </w:r>
      <w:r w:rsidRPr="00D61E96">
        <w:t>y Kouperchand</w:t>
      </w:r>
      <w:r>
        <w:t xml:space="preserve"> produit une réclamation à</w:t>
      </w:r>
      <w:r w:rsidR="009650EE">
        <w:t> </w:t>
      </w:r>
      <w:r>
        <w:t>la</w:t>
      </w:r>
      <w:r w:rsidR="009650EE">
        <w:t> </w:t>
      </w:r>
      <w:r>
        <w:t>Commission des normes, de l’équité, de la santé et de la sécurité du travail pour un</w:t>
      </w:r>
      <w:r w:rsidR="009650EE">
        <w:t> </w:t>
      </w:r>
      <w:r>
        <w:t xml:space="preserve">doigt gâchette du pouce droit. </w:t>
      </w:r>
      <w:r w:rsidR="008F0847">
        <w:t>Cette lésion résulte, à son avis, de l’exécution de ses</w:t>
      </w:r>
      <w:r w:rsidR="009650EE">
        <w:t> </w:t>
      </w:r>
      <w:r w:rsidR="008F0847">
        <w:t xml:space="preserve">tâches d’assembleur et de monteur de structures électriques chez </w:t>
      </w:r>
      <w:r w:rsidR="008F0847" w:rsidRPr="00D61E96">
        <w:rPr>
          <w:bCs/>
        </w:rPr>
        <w:t>Demers, manufacturier d'ambulances inc.</w:t>
      </w:r>
      <w:r w:rsidR="008F0847">
        <w:rPr>
          <w:bCs/>
        </w:rPr>
        <w:t>, pour qui il est à l’emploi depuis 2010.</w:t>
      </w:r>
    </w:p>
    <w:p w14:paraId="3E462669" w14:textId="718054FC" w:rsidR="00D61E96" w:rsidRDefault="00D61E96">
      <w:pPr>
        <w:pStyle w:val="corpsdedcision"/>
        <w:rPr>
          <w:bCs/>
        </w:rPr>
      </w:pPr>
      <w:r>
        <w:rPr>
          <w:bCs/>
        </w:rPr>
        <w:t>Tant initialement qu’à la suite d’une révision administrative</w:t>
      </w:r>
      <w:r>
        <w:rPr>
          <w:rStyle w:val="Appelnotedebasdep"/>
          <w:bCs/>
        </w:rPr>
        <w:footnoteReference w:id="1"/>
      </w:r>
      <w:r>
        <w:rPr>
          <w:bCs/>
        </w:rPr>
        <w:t>, la Commission refuse sa réclamation, d’où la présente contestation.</w:t>
      </w:r>
    </w:p>
    <w:p w14:paraId="19215332" w14:textId="78138927" w:rsidR="00211936" w:rsidRPr="00453D99" w:rsidRDefault="00211936" w:rsidP="00453D99">
      <w:pPr>
        <w:pStyle w:val="corpsdedcision"/>
        <w:rPr>
          <w:bCs/>
        </w:rPr>
      </w:pPr>
      <w:r>
        <w:rPr>
          <w:bCs/>
        </w:rPr>
        <w:t>Celle-ci ayant été produite hors délai, le Tribunal doit d’abord décider de sa</w:t>
      </w:r>
      <w:r w:rsidR="009650EE">
        <w:rPr>
          <w:bCs/>
        </w:rPr>
        <w:t> </w:t>
      </w:r>
      <w:r>
        <w:rPr>
          <w:bCs/>
        </w:rPr>
        <w:t xml:space="preserve">recevabilité. </w:t>
      </w:r>
      <w:r w:rsidRPr="00453D99">
        <w:rPr>
          <w:bCs/>
        </w:rPr>
        <w:t>Le travailleur convient que le dépôt de sa contestation excède de quelques jours le délai prévu pour ce faire. Il invoque toutefois qu’un motif raisonnable justifie son retard, soit l’omission de bonne foi de ses représentants de contester la</w:t>
      </w:r>
      <w:r w:rsidR="009650EE">
        <w:rPr>
          <w:bCs/>
        </w:rPr>
        <w:t> </w:t>
      </w:r>
      <w:r w:rsidRPr="00453D99">
        <w:rPr>
          <w:bCs/>
        </w:rPr>
        <w:t>décision en temps opportun. L’employeur </w:t>
      </w:r>
      <w:r w:rsidR="008F0847" w:rsidRPr="00453D99">
        <w:rPr>
          <w:bCs/>
        </w:rPr>
        <w:t>plaide que même si une telle faute est établie, cela n’est pas suffisant pour relever le travailleur des conséquences de son</w:t>
      </w:r>
      <w:r w:rsidR="009650EE">
        <w:rPr>
          <w:bCs/>
        </w:rPr>
        <w:t> </w:t>
      </w:r>
      <w:r w:rsidR="008F0847" w:rsidRPr="00453D99">
        <w:rPr>
          <w:bCs/>
        </w:rPr>
        <w:t>défaut, puisqu’il n’a pas lui-même fait preuve de diligence en ne s’assurant pas que sa contestation avait été bel et bien déposée.</w:t>
      </w:r>
    </w:p>
    <w:p w14:paraId="638435D0" w14:textId="248DF925" w:rsidR="008F0847" w:rsidRDefault="008F0847">
      <w:pPr>
        <w:pStyle w:val="corpsdedcision"/>
        <w:rPr>
          <w:bCs/>
        </w:rPr>
      </w:pPr>
      <w:r w:rsidRPr="008F0847">
        <w:rPr>
          <w:bCs/>
        </w:rPr>
        <w:t>Le Tribunal n’est pas de cet avis et considère</w:t>
      </w:r>
      <w:r>
        <w:rPr>
          <w:bCs/>
        </w:rPr>
        <w:t xml:space="preserve"> </w:t>
      </w:r>
      <w:r w:rsidRPr="008F0847">
        <w:rPr>
          <w:bCs/>
        </w:rPr>
        <w:t>que l</w:t>
      </w:r>
      <w:r>
        <w:rPr>
          <w:bCs/>
        </w:rPr>
        <w:t>a contestation produite par le</w:t>
      </w:r>
      <w:r w:rsidR="009650EE">
        <w:rPr>
          <w:bCs/>
        </w:rPr>
        <w:t> </w:t>
      </w:r>
      <w:r>
        <w:rPr>
          <w:bCs/>
        </w:rPr>
        <w:t>travailleur est recevable.</w:t>
      </w:r>
    </w:p>
    <w:p w14:paraId="53BC21A8" w14:textId="2879A7C8" w:rsidR="00341959" w:rsidRPr="00453D99" w:rsidRDefault="008F0847" w:rsidP="00341959">
      <w:pPr>
        <w:pStyle w:val="corpsdedcision"/>
        <w:rPr>
          <w:bCs/>
        </w:rPr>
      </w:pPr>
      <w:r>
        <w:rPr>
          <w:bCs/>
        </w:rPr>
        <w:t xml:space="preserve">Quant à l’admissibilité de sa réclamation, le travailleur </w:t>
      </w:r>
      <w:r w:rsidR="00341959">
        <w:rPr>
          <w:bCs/>
        </w:rPr>
        <w:t xml:space="preserve">invoque que les critères lui permettant de </w:t>
      </w:r>
      <w:r w:rsidR="00341959" w:rsidRPr="00341959">
        <w:rPr>
          <w:bCs/>
        </w:rPr>
        <w:t xml:space="preserve">bénéficier de la présomption de maladie professionnelle </w:t>
      </w:r>
      <w:r w:rsidR="00341959">
        <w:rPr>
          <w:bCs/>
        </w:rPr>
        <w:t xml:space="preserve">sont établis de façon prépondérante. Il ajoute que la preuve démontre de toute façon qu’il est atteint d’une maladie professionnelle, soit que </w:t>
      </w:r>
      <w:r w:rsidR="00341959">
        <w:t>son doigt gâchette du pouce droit est directement relié aux risques particuliers du travail qu’il exerce depuis 2010 chez l’employeur.</w:t>
      </w:r>
      <w:r w:rsidR="00341959">
        <w:rPr>
          <w:bCs/>
        </w:rPr>
        <w:t xml:space="preserve"> </w:t>
      </w:r>
      <w:r w:rsidR="00341959">
        <w:t>Ce</w:t>
      </w:r>
      <w:r w:rsidR="009650EE">
        <w:t> </w:t>
      </w:r>
      <w:r w:rsidR="00341959">
        <w:t xml:space="preserve">dernier prétend plutôt que le travailleur ne s’est pas déchargé de son fardeau de prouver de manière prépondérante les éléments permettant </w:t>
      </w:r>
      <w:r w:rsidR="00F15EFA">
        <w:t>la reconnaissance</w:t>
      </w:r>
      <w:r w:rsidR="00341959">
        <w:t xml:space="preserve"> d’une</w:t>
      </w:r>
      <w:r w:rsidR="009650EE">
        <w:t> </w:t>
      </w:r>
      <w:r w:rsidR="00341959">
        <w:t>maladie professionnelle.</w:t>
      </w:r>
    </w:p>
    <w:p w14:paraId="58BAAF0B" w14:textId="66B867CA" w:rsidR="008F0847" w:rsidRPr="00453D99" w:rsidRDefault="00341959" w:rsidP="00453D99">
      <w:pPr>
        <w:pStyle w:val="corpsdedcision"/>
        <w:rPr>
          <w:bCs/>
        </w:rPr>
      </w:pPr>
      <w:r>
        <w:t xml:space="preserve">Pour les motifs suivants, le Tribunal accueille la contestation du travailleur et </w:t>
      </w:r>
      <w:r w:rsidR="00453D99">
        <w:t xml:space="preserve">conclut que le doigt gâchette du pouce droit est </w:t>
      </w:r>
      <w:r w:rsidR="00453D99" w:rsidRPr="00453D99">
        <w:t xml:space="preserve">une maladie professionnelle </w:t>
      </w:r>
      <w:r w:rsidR="00453D99">
        <w:t xml:space="preserve">qui </w:t>
      </w:r>
      <w:r w:rsidR="00453D99" w:rsidRPr="00453D99">
        <w:t>s’</w:t>
      </w:r>
      <w:r w:rsidR="00453D99">
        <w:t xml:space="preserve">est </w:t>
      </w:r>
      <w:r w:rsidR="00453D99" w:rsidRPr="00453D99">
        <w:t xml:space="preserve">manifestée le </w:t>
      </w:r>
      <w:r w:rsidR="00453D99">
        <w:t>20 mai 2022.</w:t>
      </w:r>
      <w:bookmarkStart w:id="12" w:name="supprimer_analyse"/>
    </w:p>
    <w:p w14:paraId="2950D547" w14:textId="3D71FB18" w:rsidR="00082A97" w:rsidRDefault="00082A97" w:rsidP="00F10236">
      <w:pPr>
        <w:pStyle w:val="corpsdedcision"/>
        <w:numPr>
          <w:ilvl w:val="0"/>
          <w:numId w:val="0"/>
        </w:numPr>
        <w:rPr>
          <w:b/>
          <w:bCs/>
          <w:u w:val="single"/>
        </w:rPr>
      </w:pPr>
      <w:r w:rsidRPr="00B51F99">
        <w:rPr>
          <w:b/>
          <w:bCs/>
          <w:u w:val="single"/>
        </w:rPr>
        <w:t>L</w:t>
      </w:r>
      <w:r>
        <w:rPr>
          <w:b/>
          <w:bCs/>
          <w:u w:val="single"/>
        </w:rPr>
        <w:t>’ANALYSE</w:t>
      </w:r>
    </w:p>
    <w:p w14:paraId="055E30AD" w14:textId="0D61C48F" w:rsidR="00453D99" w:rsidRPr="00453D99" w:rsidRDefault="00453D99" w:rsidP="00F10236">
      <w:pPr>
        <w:pStyle w:val="corpsdedcision"/>
        <w:numPr>
          <w:ilvl w:val="0"/>
          <w:numId w:val="0"/>
        </w:numPr>
        <w:rPr>
          <w:b/>
          <w:bCs/>
        </w:rPr>
      </w:pPr>
      <w:r w:rsidRPr="00453D99">
        <w:rPr>
          <w:b/>
          <w:bCs/>
        </w:rPr>
        <w:t>La contestation</w:t>
      </w:r>
      <w:r>
        <w:rPr>
          <w:b/>
          <w:bCs/>
        </w:rPr>
        <w:t xml:space="preserve"> du travailleur est-elle recevable?</w:t>
      </w:r>
    </w:p>
    <w:bookmarkEnd w:id="12"/>
    <w:p w14:paraId="6B4482ED" w14:textId="053EE799" w:rsidR="00F6491A" w:rsidRDefault="00F6491A" w:rsidP="004C2944">
      <w:pPr>
        <w:pStyle w:val="corpsdedcision"/>
      </w:pPr>
      <w:r>
        <w:t>La contestation du travailleur est produite le 3 février 2023, soit 56 jours après la</w:t>
      </w:r>
      <w:r w:rsidR="009650EE">
        <w:t> </w:t>
      </w:r>
      <w:r>
        <w:t>décision du 9 décembre 2022.</w:t>
      </w:r>
    </w:p>
    <w:p w14:paraId="1D12D4BE" w14:textId="32968088" w:rsidR="004C2944" w:rsidRDefault="00F6491A" w:rsidP="004C2944">
      <w:pPr>
        <w:pStyle w:val="corpsdedcision"/>
      </w:pPr>
      <w:r w:rsidRPr="00F6491A">
        <w:t xml:space="preserve">À cette époque, l’article 359 de la </w:t>
      </w:r>
      <w:r w:rsidR="0008314C" w:rsidRPr="0008314C">
        <w:rPr>
          <w:i/>
          <w:iCs/>
        </w:rPr>
        <w:t>Loi sur les accidents du travail et les maladies professionnelles</w:t>
      </w:r>
      <w:r w:rsidR="0008314C">
        <w:rPr>
          <w:rStyle w:val="Appelnotedebasdep"/>
          <w:i/>
          <w:iCs/>
        </w:rPr>
        <w:footnoteReference w:id="2"/>
      </w:r>
      <w:r w:rsidR="0008314C">
        <w:t xml:space="preserve"> </w:t>
      </w:r>
      <w:r w:rsidRPr="00F6491A">
        <w:t>prévoit que la personne qui se croit lésée par une décision de la</w:t>
      </w:r>
      <w:r w:rsidR="0008314C">
        <w:t> </w:t>
      </w:r>
      <w:r w:rsidRPr="00F6491A">
        <w:t>Commission qui fait suite à une révision administrative doit la</w:t>
      </w:r>
      <w:r w:rsidR="009650EE">
        <w:t> </w:t>
      </w:r>
      <w:r w:rsidRPr="00F6491A">
        <w:t>contester au Tribunal dans les 45 jours de sa notification</w:t>
      </w:r>
      <w:r>
        <w:rPr>
          <w:rStyle w:val="Appelnotedebasdep"/>
        </w:rPr>
        <w:footnoteReference w:id="3"/>
      </w:r>
      <w:r>
        <w:t xml:space="preserve">. </w:t>
      </w:r>
    </w:p>
    <w:p w14:paraId="3D46DEA1" w14:textId="4B28212D" w:rsidR="00F6491A" w:rsidRDefault="00F6491A" w:rsidP="004C2944">
      <w:pPr>
        <w:pStyle w:val="corpsdedcision"/>
      </w:pPr>
      <w:r w:rsidRPr="00F6491A">
        <w:t>La Loi ne définit pas la notion de notification. Il est généralement reconnu qu’une</w:t>
      </w:r>
      <w:r w:rsidR="00380F01">
        <w:t> </w:t>
      </w:r>
      <w:r w:rsidRPr="00F6491A">
        <w:t>décision est notifiée à compter du moment où une partie la reçoit et non à partir du moment où elle en prend connaissance, ce qui reviendrait à fixer le moment de la</w:t>
      </w:r>
      <w:r w:rsidR="00380F01">
        <w:t> </w:t>
      </w:r>
      <w:r w:rsidRPr="00F6491A">
        <w:t>notification en fonction de la volonté d’une partie plutôt que sur une donnée objective</w:t>
      </w:r>
      <w:r>
        <w:rPr>
          <w:rStyle w:val="Appelnotedebasdep"/>
        </w:rPr>
        <w:footnoteReference w:id="4"/>
      </w:r>
      <w:r w:rsidRPr="00F6491A">
        <w:t>.</w:t>
      </w:r>
    </w:p>
    <w:p w14:paraId="09F8A7F6" w14:textId="2E7FA44A" w:rsidR="00F6491A" w:rsidRDefault="00F6491A" w:rsidP="004C2944">
      <w:pPr>
        <w:pStyle w:val="corpsdedcision"/>
      </w:pPr>
      <w:r>
        <w:t>En l’espèce, le travailleur témoigne qu’il reç</w:t>
      </w:r>
      <w:r w:rsidR="004F6449">
        <w:t>oit</w:t>
      </w:r>
      <w:r>
        <w:t xml:space="preserve"> la décision de la Commission </w:t>
      </w:r>
      <w:r w:rsidR="004F6449">
        <w:t>le</w:t>
      </w:r>
      <w:r w:rsidR="00380F01">
        <w:t> </w:t>
      </w:r>
      <w:r w:rsidR="004F6449">
        <w:t>13</w:t>
      </w:r>
      <w:r w:rsidR="00380F01">
        <w:t> </w:t>
      </w:r>
      <w:r>
        <w:t xml:space="preserve">décembre 2022, soit quatre jours après qu’elle a été rendue. </w:t>
      </w:r>
      <w:r w:rsidR="004F6449">
        <w:t>Cela est plausible considérant les délais postaux usuels. Le travailleur</w:t>
      </w:r>
      <w:r>
        <w:t xml:space="preserve"> </w:t>
      </w:r>
      <w:r w:rsidR="004F6449">
        <w:t>ajoute qu’il garde un</w:t>
      </w:r>
      <w:r>
        <w:t xml:space="preserve"> souvenir précis de </w:t>
      </w:r>
      <w:r w:rsidR="004F6449">
        <w:t>la</w:t>
      </w:r>
      <w:r>
        <w:t xml:space="preserve"> date</w:t>
      </w:r>
      <w:r w:rsidR="004F6449">
        <w:t xml:space="preserve"> de réception de la décision</w:t>
      </w:r>
      <w:r w:rsidR="00ED4190">
        <w:t>.</w:t>
      </w:r>
      <w:r w:rsidR="00722FBC">
        <w:t xml:space="preserve"> </w:t>
      </w:r>
      <w:r w:rsidR="00ED4190">
        <w:t>L</w:t>
      </w:r>
      <w:r w:rsidR="004F6449">
        <w:t>e 13 décembre 2022 est l’</w:t>
      </w:r>
      <w:r>
        <w:t>anniversaire de</w:t>
      </w:r>
      <w:r w:rsidR="004F6449">
        <w:t xml:space="preserve"> la</w:t>
      </w:r>
      <w:r w:rsidR="00380F01">
        <w:t> </w:t>
      </w:r>
      <w:r>
        <w:t>rencontre avec sa conjointe</w:t>
      </w:r>
      <w:r w:rsidR="004F6449">
        <w:t xml:space="preserve"> et il se rappelle sa déception d’apprendre en ce jour de fête que sa demande de révision était rejetée</w:t>
      </w:r>
      <w:r>
        <w:t>.</w:t>
      </w:r>
    </w:p>
    <w:p w14:paraId="586A44E1" w14:textId="2ED276C1" w:rsidR="004F6449" w:rsidRDefault="00F6491A" w:rsidP="00853D95">
      <w:pPr>
        <w:pStyle w:val="corpsdedcision"/>
      </w:pPr>
      <w:r>
        <w:t xml:space="preserve">Le Tribunal retient </w:t>
      </w:r>
      <w:r w:rsidR="004F6449">
        <w:t xml:space="preserve">son témoignage et conclut que la décision de la Commission est notifiée au travailleur le 13 décembre </w:t>
      </w:r>
      <w:r w:rsidR="00F15EFA">
        <w:t>2022</w:t>
      </w:r>
      <w:r w:rsidR="004F6449">
        <w:t>.</w:t>
      </w:r>
      <w:r w:rsidR="00853D95">
        <w:t xml:space="preserve"> </w:t>
      </w:r>
      <w:r w:rsidR="004F6449">
        <w:t>La production de sa contestation, le</w:t>
      </w:r>
      <w:r w:rsidR="00380F01">
        <w:t> </w:t>
      </w:r>
      <w:r w:rsidR="004F6449">
        <w:t>3</w:t>
      </w:r>
      <w:r w:rsidR="00380F01">
        <w:t> </w:t>
      </w:r>
      <w:r w:rsidR="004F6449">
        <w:t xml:space="preserve">février </w:t>
      </w:r>
      <w:r w:rsidR="00F15EFA">
        <w:t>suivant</w:t>
      </w:r>
      <w:r w:rsidR="004F6449">
        <w:t>, excède donc de cinq jours le délai de 45 jours que prévoit à l’époque l’article 359 de la Loi.</w:t>
      </w:r>
    </w:p>
    <w:p w14:paraId="5EEEA483" w14:textId="4BCF4EE5" w:rsidR="004F6449" w:rsidRDefault="004F6449" w:rsidP="004C2944">
      <w:pPr>
        <w:pStyle w:val="corpsdedcision"/>
      </w:pPr>
      <w:r>
        <w:t>Le travailleur le reconnaît, mais il fait valoir que</w:t>
      </w:r>
      <w:r w:rsidRPr="004F6449">
        <w:t xml:space="preserve"> des motifs raisonnables justifient </w:t>
      </w:r>
      <w:r>
        <w:t>ce bref retard.</w:t>
      </w:r>
    </w:p>
    <w:p w14:paraId="430EDD7F" w14:textId="1007E8E3" w:rsidR="004F6449" w:rsidRDefault="00853D95" w:rsidP="004C2944">
      <w:pPr>
        <w:pStyle w:val="corpsdedcision"/>
      </w:pPr>
      <w:r w:rsidRPr="00853D95">
        <w:t>L’article 15 de la </w:t>
      </w:r>
      <w:r w:rsidRPr="00853D95">
        <w:rPr>
          <w:i/>
          <w:iCs/>
        </w:rPr>
        <w:t>Loi instituant le Tribunal administratif du travail</w:t>
      </w:r>
      <w:r w:rsidRPr="00380F01">
        <w:rPr>
          <w:rStyle w:val="Appelnotedebasdep"/>
        </w:rPr>
        <w:footnoteReference w:id="5"/>
      </w:r>
      <w:r w:rsidRPr="00853D95">
        <w:t xml:space="preserve"> permet en effet au Tribunal de prolonger un délai ou de relever une personne des conséquences de son</w:t>
      </w:r>
      <w:r w:rsidR="00380F01">
        <w:t> </w:t>
      </w:r>
      <w:r w:rsidRPr="00853D95">
        <w:t>défaut de le respecter, s'il est démontré que celle-ci n'a pas pu le respecter pour un motif raisonnable et si aucune autre partie n'en subit de préjudice grave.</w:t>
      </w:r>
    </w:p>
    <w:p w14:paraId="32F870E4" w14:textId="5A3D2A74" w:rsidR="00853D95" w:rsidRPr="00853D95" w:rsidRDefault="00853D95" w:rsidP="00380F01">
      <w:pPr>
        <w:pStyle w:val="corpsdedcision"/>
        <w:spacing w:after="240"/>
      </w:pPr>
      <w:r>
        <w:t xml:space="preserve">La </w:t>
      </w:r>
      <w:r w:rsidRPr="00572781">
        <w:t>Cour d’appel rappelait récemment dans l’arrêt </w:t>
      </w:r>
      <w:r w:rsidRPr="00853D95">
        <w:rPr>
          <w:i/>
          <w:iCs/>
        </w:rPr>
        <w:t>Perron c. Gilles Veilleux ltée</w:t>
      </w:r>
      <w:r w:rsidRPr="00380F01">
        <w:rPr>
          <w:rStyle w:val="Appelnotedebasdep"/>
        </w:rPr>
        <w:footnoteReference w:id="6"/>
      </w:r>
      <w:r w:rsidRPr="00853D95">
        <w:rPr>
          <w:i/>
          <w:iCs/>
        </w:rPr>
        <w:t xml:space="preserve"> </w:t>
      </w:r>
      <w:r>
        <w:t xml:space="preserve">qu’en matière de déchéance de droit, ce qui comprend </w:t>
      </w:r>
      <w:r w:rsidRPr="00853D95">
        <w:rPr>
          <w:lang w:val="fr-FR"/>
        </w:rPr>
        <w:t xml:space="preserve">la notion de motif raisonnable énoncé à l’article </w:t>
      </w:r>
      <w:r>
        <w:rPr>
          <w:lang w:val="fr-FR"/>
        </w:rPr>
        <w:t>15</w:t>
      </w:r>
      <w:r w:rsidRPr="00853D95">
        <w:rPr>
          <w:lang w:val="fr-FR"/>
        </w:rPr>
        <w:t>,</w:t>
      </w:r>
      <w:r w:rsidRPr="00572781">
        <w:t xml:space="preserve"> l’exercice interprétatif auquel </w:t>
      </w:r>
      <w:r>
        <w:t>le Tribunal</w:t>
      </w:r>
      <w:r w:rsidRPr="00572781">
        <w:t xml:space="preserve"> doit se livrer</w:t>
      </w:r>
      <w:r w:rsidRPr="00853D95">
        <w:rPr>
          <w:lang w:val="fr-FR"/>
        </w:rPr>
        <w:t> </w:t>
      </w:r>
      <w:r w:rsidRPr="00572781">
        <w:t>doit être «</w:t>
      </w:r>
      <w:r w:rsidRPr="00853D95">
        <w:rPr>
          <w:i/>
          <w:iCs/>
        </w:rPr>
        <w:t> </w:t>
      </w:r>
      <w:r w:rsidRPr="00380F01">
        <w:rPr>
          <w:rStyle w:val="Citationintgre"/>
        </w:rPr>
        <w:t>en lien avec le texte, le contexte ou l’objet de la Loi</w:t>
      </w:r>
      <w:r w:rsidRPr="00853D95">
        <w:rPr>
          <w:i/>
          <w:iCs/>
        </w:rPr>
        <w:t> </w:t>
      </w:r>
      <w:r w:rsidRPr="00572781">
        <w:t>»</w:t>
      </w:r>
      <w:r>
        <w:t>. Cela</w:t>
      </w:r>
      <w:r w:rsidRPr="00572781">
        <w:t xml:space="preserve"> implique de tenir compte de ces principes :</w:t>
      </w:r>
    </w:p>
    <w:p w14:paraId="000FB1F9" w14:textId="77777777" w:rsidR="00853D95" w:rsidRPr="006222AF" w:rsidRDefault="00853D95" w:rsidP="00380F01">
      <w:pPr>
        <w:pStyle w:val="corpsdedcision"/>
        <w:keepNext/>
        <w:numPr>
          <w:ilvl w:val="0"/>
          <w:numId w:val="14"/>
        </w:numPr>
        <w:spacing w:after="240"/>
      </w:pPr>
      <w:r w:rsidRPr="006222AF">
        <w:t>La Loi vise à réparer les lésions professionnelles et les conséquences qui en découlent</w:t>
      </w:r>
      <w:r w:rsidRPr="006222AF">
        <w:rPr>
          <w:rStyle w:val="Appelnotedebasdep"/>
        </w:rPr>
        <w:footnoteReference w:id="7"/>
      </w:r>
      <w:r w:rsidRPr="006222AF">
        <w:t>. C’est une loi réparatrice qui doit être interprétée de manière large et libérale</w:t>
      </w:r>
      <w:r w:rsidRPr="006222AF">
        <w:rPr>
          <w:rStyle w:val="Appelnotedebasdep"/>
        </w:rPr>
        <w:footnoteReference w:id="8"/>
      </w:r>
      <w:r w:rsidRPr="006222AF">
        <w:t>;</w:t>
      </w:r>
    </w:p>
    <w:p w14:paraId="752B5A72" w14:textId="77777777" w:rsidR="00853D95" w:rsidRPr="006222AF" w:rsidRDefault="00853D95" w:rsidP="00380F01">
      <w:pPr>
        <w:pStyle w:val="corpsdedcision"/>
        <w:numPr>
          <w:ilvl w:val="0"/>
          <w:numId w:val="14"/>
        </w:numPr>
        <w:spacing w:after="240"/>
      </w:pPr>
      <w:r w:rsidRPr="006222AF">
        <w:t>Les dispositions de la Loi doivent être interprétées de façon à favoriser l’exercice des droits et à protéger ceux du justiciable en matière de déchéance de droit</w:t>
      </w:r>
      <w:r w:rsidRPr="006222AF">
        <w:rPr>
          <w:rStyle w:val="Appelnotedebasdep"/>
        </w:rPr>
        <w:footnoteReference w:id="9"/>
      </w:r>
      <w:r w:rsidRPr="006222AF">
        <w:t>;</w:t>
      </w:r>
    </w:p>
    <w:p w14:paraId="1B39C213" w14:textId="77777777" w:rsidR="00853D95" w:rsidRPr="006222AF" w:rsidRDefault="00853D95" w:rsidP="00380F01">
      <w:pPr>
        <w:pStyle w:val="corpsdedcision"/>
        <w:numPr>
          <w:ilvl w:val="0"/>
          <w:numId w:val="14"/>
        </w:numPr>
        <w:spacing w:after="240"/>
      </w:pPr>
      <w:r w:rsidRPr="006222AF">
        <w:t>Le Tribunal doit faire preuve de souplesse, éviter de s’en tenir à un formalisme rigide et ne pas faire perdre des droits à une partie pour une simple question procédurale</w:t>
      </w:r>
      <w:r w:rsidRPr="006222AF">
        <w:rPr>
          <w:rStyle w:val="Appelnotedebasdep"/>
        </w:rPr>
        <w:footnoteReference w:id="10"/>
      </w:r>
      <w:r w:rsidRPr="006222AF">
        <w:t>;</w:t>
      </w:r>
    </w:p>
    <w:p w14:paraId="11D7215B" w14:textId="77777777" w:rsidR="00853D95" w:rsidRPr="006222AF" w:rsidRDefault="00853D95" w:rsidP="00380F01">
      <w:pPr>
        <w:pStyle w:val="corpsdedcision"/>
        <w:numPr>
          <w:ilvl w:val="0"/>
          <w:numId w:val="14"/>
        </w:numPr>
        <w:spacing w:after="240"/>
      </w:pPr>
      <w:r w:rsidRPr="006222AF">
        <w:t>La nécessité de la stabilité des décisions se traduit par l’importance pour une partie de faire preuve de diligence dans le respect des délais prévus à la Loi</w:t>
      </w:r>
      <w:r w:rsidRPr="006222AF">
        <w:rPr>
          <w:rStyle w:val="Appelnotedebasdep"/>
        </w:rPr>
        <w:footnoteReference w:id="11"/>
      </w:r>
      <w:r w:rsidRPr="006222AF">
        <w:t>;</w:t>
      </w:r>
    </w:p>
    <w:p w14:paraId="05275A5B" w14:textId="70FE3921" w:rsidR="00853D95" w:rsidRPr="006222AF" w:rsidRDefault="00853D95" w:rsidP="00380F01">
      <w:pPr>
        <w:pStyle w:val="corpsdedcision"/>
        <w:numPr>
          <w:ilvl w:val="0"/>
          <w:numId w:val="14"/>
        </w:numPr>
        <w:spacing w:after="240"/>
      </w:pPr>
      <w:r w:rsidRPr="006222AF">
        <w:t>Le caractère raisonnable du motif s’apprécie en fonction du comportement d’une</w:t>
      </w:r>
      <w:r w:rsidR="00380F01">
        <w:t> </w:t>
      </w:r>
      <w:r w:rsidRPr="006222AF">
        <w:t>personne prudente et diligente, tout en tenant compte des caractéristiques particulières de la personne qui l’invoque</w:t>
      </w:r>
      <w:r w:rsidRPr="006222AF">
        <w:rPr>
          <w:rStyle w:val="Appelnotedebasdep"/>
        </w:rPr>
        <w:footnoteReference w:id="12"/>
      </w:r>
      <w:r w:rsidRPr="006222AF">
        <w:t>;</w:t>
      </w:r>
    </w:p>
    <w:p w14:paraId="51C214AC" w14:textId="5E8A00DB" w:rsidR="00853D95" w:rsidRPr="006222AF" w:rsidRDefault="00853D95" w:rsidP="00380F01">
      <w:pPr>
        <w:pStyle w:val="corpsdedcision"/>
        <w:keepLines/>
        <w:numPr>
          <w:ilvl w:val="0"/>
          <w:numId w:val="14"/>
        </w:numPr>
        <w:spacing w:after="240"/>
      </w:pPr>
      <w:r w:rsidRPr="006222AF">
        <w:t xml:space="preserve">Un motif raisonnable est un motif crédible, non farfelu, empreint </w:t>
      </w:r>
      <w:r w:rsidRPr="006222AF">
        <w:rPr>
          <w:lang w:val="fr-FR"/>
        </w:rPr>
        <w:t>de bon sens, de</w:t>
      </w:r>
      <w:r w:rsidR="00380F01">
        <w:rPr>
          <w:lang w:val="fr-FR"/>
        </w:rPr>
        <w:t> </w:t>
      </w:r>
      <w:r w:rsidRPr="006222AF">
        <w:rPr>
          <w:lang w:val="fr-FR"/>
        </w:rPr>
        <w:t>mesure, de réflexion et de bon jugement. Pour conclure à son existence, toutes les circonstances doivent être considérées, dont les démarches effectuées par le</w:t>
      </w:r>
      <w:r w:rsidR="00380F01">
        <w:rPr>
          <w:lang w:val="fr-FR"/>
        </w:rPr>
        <w:t> </w:t>
      </w:r>
      <w:r w:rsidRPr="006222AF">
        <w:rPr>
          <w:lang w:val="fr-FR"/>
        </w:rPr>
        <w:t>justiciable, son comportement, l’importance de son intérêt et la conjoncture</w:t>
      </w:r>
      <w:r w:rsidRPr="006222AF">
        <w:rPr>
          <w:rStyle w:val="Appelnotedebasdep"/>
          <w:lang w:val="fr-FR"/>
        </w:rPr>
        <w:footnoteReference w:id="13"/>
      </w:r>
      <w:r w:rsidRPr="006222AF">
        <w:rPr>
          <w:lang w:val="fr-FR"/>
        </w:rPr>
        <w:t>;</w:t>
      </w:r>
    </w:p>
    <w:p w14:paraId="1D9FEC7E" w14:textId="62436DA0" w:rsidR="00853D95" w:rsidRPr="006222AF" w:rsidRDefault="00853D95" w:rsidP="00380F01">
      <w:pPr>
        <w:pStyle w:val="corpsdedcision"/>
        <w:numPr>
          <w:ilvl w:val="0"/>
          <w:numId w:val="14"/>
        </w:numPr>
        <w:spacing w:after="240"/>
      </w:pPr>
      <w:r w:rsidRPr="006222AF">
        <w:rPr>
          <w:lang w:val="fr-FR"/>
        </w:rPr>
        <w:t>L’attitude négligente, la nonchalance, l’insouciance ou le désintérêt d’une</w:t>
      </w:r>
      <w:r w:rsidR="00380F01">
        <w:rPr>
          <w:lang w:val="fr-FR"/>
        </w:rPr>
        <w:t> </w:t>
      </w:r>
      <w:r w:rsidRPr="006222AF">
        <w:rPr>
          <w:lang w:val="fr-FR"/>
        </w:rPr>
        <w:t>personne pour son dossier ne saurait constituer un motif raisonnable</w:t>
      </w:r>
      <w:r w:rsidRPr="006222AF">
        <w:rPr>
          <w:rStyle w:val="Appelnotedebasdep"/>
          <w:lang w:val="fr-FR"/>
        </w:rPr>
        <w:footnoteReference w:id="14"/>
      </w:r>
      <w:r w:rsidRPr="006222AF">
        <w:rPr>
          <w:lang w:val="fr-FR"/>
        </w:rPr>
        <w:t>;</w:t>
      </w:r>
    </w:p>
    <w:p w14:paraId="1B4067BB" w14:textId="77777777" w:rsidR="00853D95" w:rsidRPr="006222AF" w:rsidRDefault="00853D95" w:rsidP="00380F01">
      <w:pPr>
        <w:pStyle w:val="corpsdedcision"/>
        <w:numPr>
          <w:ilvl w:val="0"/>
          <w:numId w:val="14"/>
        </w:numPr>
      </w:pPr>
      <w:r w:rsidRPr="006222AF">
        <w:t>L</w:t>
      </w:r>
      <w:r w:rsidRPr="006222AF">
        <w:rPr>
          <w:lang w:val="fr-FR"/>
        </w:rPr>
        <w:t>e Tribunal ne peut pas relever une partie du défaut d’avoir respecté un délai de façon arbitraire ou en ne se basant que sur la sympathie que peut lui inspirer une situation</w:t>
      </w:r>
      <w:r w:rsidRPr="006222AF">
        <w:rPr>
          <w:rStyle w:val="Appelnotedebasdep"/>
          <w:lang w:val="fr-FR"/>
        </w:rPr>
        <w:footnoteReference w:id="15"/>
      </w:r>
      <w:r w:rsidRPr="006222AF">
        <w:rPr>
          <w:lang w:val="fr-FR"/>
        </w:rPr>
        <w:t>.</w:t>
      </w:r>
    </w:p>
    <w:p w14:paraId="10D82F21" w14:textId="24F87886" w:rsidR="00853D95" w:rsidRPr="001915D6" w:rsidRDefault="00853D95" w:rsidP="00853D95">
      <w:pPr>
        <w:pStyle w:val="corpsdedcision"/>
      </w:pPr>
      <w:r>
        <w:t xml:space="preserve">En ce qui concerne plus précisément le motif invoqué en l’espèce par le travailleur, </w:t>
      </w:r>
      <w:r>
        <w:rPr>
          <w:rFonts w:cs="Arial"/>
          <w:color w:val="000000"/>
        </w:rPr>
        <w:t>l</w:t>
      </w:r>
      <w:r w:rsidRPr="00A90253">
        <w:rPr>
          <w:rFonts w:cs="Arial"/>
          <w:color w:val="000000"/>
        </w:rPr>
        <w:t>a jurisprudence enseigne que</w:t>
      </w:r>
      <w:r w:rsidRPr="00CB7D63">
        <w:t xml:space="preserve"> </w:t>
      </w:r>
      <w:r w:rsidRPr="00CB7D63">
        <w:rPr>
          <w:rFonts w:cs="Arial"/>
          <w:color w:val="000000"/>
        </w:rPr>
        <w:t>l’erreur ou la négligence d’un représentant peuvent être retenues comme un motif raisonnable, pour autant que la partie ait elle-même fait preuve de diligence</w:t>
      </w:r>
      <w:r>
        <w:rPr>
          <w:rStyle w:val="Appelnotedebasdep"/>
          <w:rFonts w:cs="Arial"/>
          <w:color w:val="000000"/>
        </w:rPr>
        <w:footnoteReference w:id="16"/>
      </w:r>
      <w:hyperlink r:id="rId8" w:anchor="_ftn15" w:history="1">
        <w:r w:rsidR="000956CA">
          <w:rPr>
            <w:rFonts w:cs="Arial"/>
            <w:color w:val="0000FF"/>
          </w:rPr>
          <w:t>.</w:t>
        </w:r>
      </w:hyperlink>
    </w:p>
    <w:p w14:paraId="5094AF52" w14:textId="77777777" w:rsidR="00853D95" w:rsidRDefault="00853D95" w:rsidP="00853D95">
      <w:pPr>
        <w:pStyle w:val="corpsdedcision"/>
      </w:pPr>
      <w:r>
        <w:t>La preuve établit ici l’une et l’autre.</w:t>
      </w:r>
    </w:p>
    <w:p w14:paraId="7AA85CCF" w14:textId="681350DB" w:rsidR="00F15EFA" w:rsidRDefault="00F15EFA" w:rsidP="007433B5">
      <w:pPr>
        <w:pStyle w:val="corpsdedcision"/>
      </w:pPr>
      <w:r>
        <w:t>Le 14 décembre 2022, soit dès le lendemain de la réception de la décision de la</w:t>
      </w:r>
      <w:r w:rsidR="00380F01">
        <w:t> </w:t>
      </w:r>
      <w:r>
        <w:t>Commission, le travailleur l’apporte au travail et la remet à sa représentante syndicale. Il lui demande d’y donner suite le plus rapidement possible.</w:t>
      </w:r>
      <w:r w:rsidR="00364D05">
        <w:t xml:space="preserve"> </w:t>
      </w:r>
      <w:r>
        <w:t xml:space="preserve">Deux jours plus tard, </w:t>
      </w:r>
      <w:r w:rsidR="00622D69">
        <w:t xml:space="preserve">conscient du délai de contestation, </w:t>
      </w:r>
      <w:r>
        <w:t>il la relance. La représentante le rassure. Elle aura le</w:t>
      </w:r>
      <w:r w:rsidR="00380F01">
        <w:t> </w:t>
      </w:r>
      <w:r>
        <w:t>temps de faire le nécessaire durant sa libération syndicale</w:t>
      </w:r>
      <w:r w:rsidR="00622D69">
        <w:t xml:space="preserve"> au cours de la journée</w:t>
      </w:r>
      <w:r>
        <w:t>.</w:t>
      </w:r>
      <w:r w:rsidR="00364D05">
        <w:t xml:space="preserve"> </w:t>
      </w:r>
      <w:r>
        <w:t>Le</w:t>
      </w:r>
      <w:r w:rsidR="00380F01">
        <w:t> </w:t>
      </w:r>
      <w:r>
        <w:t xml:space="preserve">lundi 19 décembre 2022, la représentante confirme au travailleur </w:t>
      </w:r>
      <w:r w:rsidR="00AC643F">
        <w:t xml:space="preserve">la transmission de la décision, </w:t>
      </w:r>
      <w:r w:rsidR="00622D69">
        <w:t>le vendredi précédent, à la section locale qui doit se charger de la contester. Un courriel produit en preuve en atteste. L</w:t>
      </w:r>
      <w:r w:rsidR="00AC643F">
        <w:t xml:space="preserve">a </w:t>
      </w:r>
      <w:r w:rsidR="00622D69">
        <w:t xml:space="preserve">représentante l’avise </w:t>
      </w:r>
      <w:r w:rsidR="00AC643F">
        <w:t xml:space="preserve">également </w:t>
      </w:r>
      <w:r w:rsidR="00622D69">
        <w:t xml:space="preserve">qu’il ne reste plus qu’à attendre et </w:t>
      </w:r>
      <w:r w:rsidR="00AC643F">
        <w:t xml:space="preserve">elle l’informe enfin </w:t>
      </w:r>
      <w:r w:rsidR="00622D69">
        <w:t>qu’elle lui fera part des prochains développements.</w:t>
      </w:r>
    </w:p>
    <w:p w14:paraId="5174A3CA" w14:textId="1B80536D" w:rsidR="00622D69" w:rsidRDefault="00622D69" w:rsidP="00AC643F">
      <w:pPr>
        <w:pStyle w:val="corpsdedcision"/>
      </w:pPr>
      <w:r w:rsidRPr="00622D69">
        <w:t xml:space="preserve">À la lumière de ces premiers éléments, force est de constater que </w:t>
      </w:r>
      <w:r>
        <w:t>le travailleur</w:t>
      </w:r>
      <w:r w:rsidRPr="00622D69">
        <w:t xml:space="preserve"> prend rapidement action dès </w:t>
      </w:r>
      <w:r>
        <w:t xml:space="preserve">la réception de la décision de la Commission </w:t>
      </w:r>
      <w:r w:rsidR="00AC643F">
        <w:t xml:space="preserve">l’informant que le refus de sa réclamation est maintenu à la suite d’une révision administrative. </w:t>
      </w:r>
      <w:r w:rsidRPr="00622D69">
        <w:t xml:space="preserve">Alors que le délai de </w:t>
      </w:r>
      <w:r w:rsidR="00AC643F">
        <w:t>45</w:t>
      </w:r>
      <w:r w:rsidRPr="00622D69">
        <w:t xml:space="preserve"> jours ne vient que de commencer à s’écouler, son intérêt pour son dossier et sa volonté de donner suite à la décision de refus sont manifestes.</w:t>
      </w:r>
    </w:p>
    <w:p w14:paraId="1BCFCC31" w14:textId="6E9943D5" w:rsidR="00AC643F" w:rsidRDefault="00AC643F" w:rsidP="00853D95">
      <w:pPr>
        <w:pStyle w:val="corpsdedcision"/>
      </w:pPr>
      <w:r>
        <w:t xml:space="preserve">Par ailleurs, considérant ce que lui dit et confirme sa représentante, le travailleur a alors toutes les raisons de croire </w:t>
      </w:r>
      <w:r w:rsidRPr="00AC643F">
        <w:t>que son syndicat a désormais les choses en main</w:t>
      </w:r>
      <w:r>
        <w:t xml:space="preserve"> et que la contestation de la décision de la Commission sera produite</w:t>
      </w:r>
      <w:r w:rsidRPr="00AC643F">
        <w:t xml:space="preserve">. </w:t>
      </w:r>
      <w:r>
        <w:t>Il</w:t>
      </w:r>
      <w:r w:rsidRPr="00AC643F">
        <w:t xml:space="preserve"> exprime cette</w:t>
      </w:r>
      <w:r w:rsidR="00380F01">
        <w:t> </w:t>
      </w:r>
      <w:r w:rsidRPr="00AC643F">
        <w:t>conviction à l’audience et le Tribunal l</w:t>
      </w:r>
      <w:r>
        <w:t>e</w:t>
      </w:r>
      <w:r w:rsidRPr="00AC643F">
        <w:t xml:space="preserve"> croit.</w:t>
      </w:r>
    </w:p>
    <w:p w14:paraId="067A3F09" w14:textId="1C576028" w:rsidR="00B821A2" w:rsidRDefault="00AC643F" w:rsidP="00364D05">
      <w:pPr>
        <w:pStyle w:val="corpsdedcision"/>
      </w:pPr>
      <w:r w:rsidRPr="00AC643F">
        <w:t xml:space="preserve">Examinons maintenant comment </w:t>
      </w:r>
      <w:r>
        <w:t xml:space="preserve">la section locale </w:t>
      </w:r>
      <w:r w:rsidRPr="00AC643F">
        <w:t>se comporte à partir de ce</w:t>
      </w:r>
      <w:r w:rsidR="00380F01">
        <w:t> </w:t>
      </w:r>
      <w:r w:rsidRPr="00AC643F">
        <w:t>moment.</w:t>
      </w:r>
      <w:r w:rsidR="00364D05">
        <w:t xml:space="preserve"> </w:t>
      </w:r>
      <w:r w:rsidR="00AF611A">
        <w:t>Son adjointe administrative témoigne à l’audience. Depuis 2018, l’ouverture des</w:t>
      </w:r>
      <w:r w:rsidR="00B821A2">
        <w:t xml:space="preserve"> dossiers en santé </w:t>
      </w:r>
      <w:r w:rsidR="00D83CF3">
        <w:t xml:space="preserve">et </w:t>
      </w:r>
      <w:r w:rsidR="00B821A2">
        <w:t xml:space="preserve">sécurité du travail et leur suivi sont sous sa responsabilité. </w:t>
      </w:r>
    </w:p>
    <w:p w14:paraId="0EBF65F3" w14:textId="78007245" w:rsidR="00B821A2" w:rsidRDefault="00B821A2" w:rsidP="00853D95">
      <w:pPr>
        <w:pStyle w:val="corpsdedcision"/>
      </w:pPr>
      <w:r>
        <w:t>Elle confirme avoir reçu la décision de la représentante le 16 décembre 2022. Elle</w:t>
      </w:r>
      <w:r w:rsidR="006A67DC">
        <w:t> </w:t>
      </w:r>
      <w:r>
        <w:t>précise qu’à cette date ou dans ces environs, la section locale a aussi reçu la</w:t>
      </w:r>
      <w:r w:rsidR="006A67DC">
        <w:t> </w:t>
      </w:r>
      <w:r>
        <w:t>décision de la Commission par la poste, celle-ci étant adressée à son président. Comme le reste de la correspondance, elle déduit qu’elle a elle-même ouvert l’enveloppe la contenant.</w:t>
      </w:r>
    </w:p>
    <w:p w14:paraId="7AD7EBCC" w14:textId="4FE5F531" w:rsidR="00B821A2" w:rsidRDefault="00B821A2" w:rsidP="00853D95">
      <w:pPr>
        <w:pStyle w:val="corpsdedcision"/>
      </w:pPr>
      <w:r>
        <w:t xml:space="preserve">Elle explique qu’à cette époque, contrairement à ce qui a été le cas durant longtemps, </w:t>
      </w:r>
      <w:r w:rsidR="00B638A5">
        <w:t xml:space="preserve">les décisions rendues par la Commission à la suite d’une révision administrative ne sont pas contestées </w:t>
      </w:r>
      <w:r>
        <w:t>automatique</w:t>
      </w:r>
      <w:r w:rsidR="00B638A5">
        <w:t>ment</w:t>
      </w:r>
      <w:r>
        <w:t xml:space="preserve"> devant le Tribunal. </w:t>
      </w:r>
      <w:r w:rsidR="00B638A5">
        <w:t>Une décision est prise quant à l’opportunité de le faire ou non après analyse ou cueillette d’informations.</w:t>
      </w:r>
    </w:p>
    <w:p w14:paraId="20877D4E" w14:textId="315B3660" w:rsidR="009A0DF2" w:rsidRDefault="00B638A5" w:rsidP="007433B5">
      <w:pPr>
        <w:pStyle w:val="corpsdedcision"/>
      </w:pPr>
      <w:r>
        <w:t>Quoi qu’il en soit, en l’espèce, lorsque l’adjointe produit en ligne la contestation du</w:t>
      </w:r>
      <w:r w:rsidR="006A67DC">
        <w:t> </w:t>
      </w:r>
      <w:r>
        <w:t xml:space="preserve">3 février 2023, elle est convaincue que cela a été fait à l’intérieur du délai imparti pour ce faire. Elle reconnaît aujourd’hui que le délai applicable en décembre 2022 </w:t>
      </w:r>
      <w:r w:rsidR="009A0DF2">
        <w:t>est</w:t>
      </w:r>
      <w:r>
        <w:t xml:space="preserve"> de 45</w:t>
      </w:r>
      <w:r w:rsidR="006A67DC">
        <w:t> </w:t>
      </w:r>
      <w:r>
        <w:t>jours, comme l’indique d’ailleurs la décision du 9 décembre 2022, mais elle cro</w:t>
      </w:r>
      <w:r w:rsidR="009A0DF2">
        <w:t>it</w:t>
      </w:r>
      <w:r>
        <w:t xml:space="preserve"> alors qu’il </w:t>
      </w:r>
      <w:r w:rsidR="009A0DF2">
        <w:t>est</w:t>
      </w:r>
      <w:r>
        <w:t xml:space="preserve"> passé à 60 jours.</w:t>
      </w:r>
      <w:r w:rsidR="007433B5">
        <w:t xml:space="preserve"> </w:t>
      </w:r>
      <w:r>
        <w:t xml:space="preserve">Elle est bien consciente que </w:t>
      </w:r>
      <w:r w:rsidR="005F176F">
        <w:t>cette</w:t>
      </w:r>
      <w:r>
        <w:t xml:space="preserve"> modification n’est entrée en</w:t>
      </w:r>
      <w:r w:rsidR="006A67DC">
        <w:t> </w:t>
      </w:r>
      <w:r>
        <w:t>vigueur qu’en avril 2023, mais son annonce à l’automne 2022 cré</w:t>
      </w:r>
      <w:r w:rsidR="005F176F">
        <w:t>e chez elle</w:t>
      </w:r>
      <w:r>
        <w:t xml:space="preserve"> une</w:t>
      </w:r>
      <w:r w:rsidR="006A67DC">
        <w:t> </w:t>
      </w:r>
      <w:r>
        <w:t xml:space="preserve">certaine confusion. Elle </w:t>
      </w:r>
      <w:r w:rsidR="009A0DF2">
        <w:t>prend</w:t>
      </w:r>
      <w:r>
        <w:t xml:space="preserve"> dès lors pour acquis qu’elle dispos</w:t>
      </w:r>
      <w:r w:rsidR="009A0DF2">
        <w:t>e</w:t>
      </w:r>
      <w:r>
        <w:t xml:space="preserve"> de 15 jours additionnels pour contester les décisions de la Commission devant le Tribunal.</w:t>
      </w:r>
      <w:r w:rsidR="005F176F">
        <w:t xml:space="preserve"> Elle</w:t>
      </w:r>
      <w:r w:rsidR="006A67DC">
        <w:t> </w:t>
      </w:r>
      <w:r w:rsidR="005F176F">
        <w:t>affirme que</w:t>
      </w:r>
      <w:r w:rsidR="009A0DF2">
        <w:t xml:space="preserve"> c’est </w:t>
      </w:r>
      <w:r w:rsidR="005F176F">
        <w:t xml:space="preserve">donc </w:t>
      </w:r>
      <w:r w:rsidR="009A0DF2">
        <w:t xml:space="preserve">une surprise totale </w:t>
      </w:r>
      <w:r w:rsidR="005F176F">
        <w:t xml:space="preserve">pour elle </w:t>
      </w:r>
      <w:r w:rsidR="009A0DF2">
        <w:t>lorsque la coordonnatrice lui annonce, après avoir consulté le plumitif, que la contestation a été produite hors délai.</w:t>
      </w:r>
    </w:p>
    <w:p w14:paraId="6A692AEF" w14:textId="5BD0256F" w:rsidR="009A0DF2" w:rsidRDefault="005B024E" w:rsidP="00853D95">
      <w:pPr>
        <w:pStyle w:val="corpsdedcision"/>
      </w:pPr>
      <w:r>
        <w:t>L’adjointe admet ainsi que la production tardive de la contestation résulte d’une</w:t>
      </w:r>
      <w:r w:rsidR="006A67DC">
        <w:t> </w:t>
      </w:r>
      <w:r>
        <w:t xml:space="preserve">erreur de sa part. Le Tribunal n’a aucun doute que celle-ci a été commise de bonne foi. </w:t>
      </w:r>
    </w:p>
    <w:p w14:paraId="63B3436B" w14:textId="6E64B808" w:rsidR="005B024E" w:rsidRDefault="005B024E" w:rsidP="00853D95">
      <w:pPr>
        <w:pStyle w:val="corpsdedcision"/>
      </w:pPr>
      <w:r>
        <w:t>Il ne saurait être question d’en imputer les conséquences au travailleur.</w:t>
      </w:r>
    </w:p>
    <w:p w14:paraId="498EB23C" w14:textId="28C026F9" w:rsidR="005B024E" w:rsidRDefault="005B024E" w:rsidP="00853D95">
      <w:pPr>
        <w:pStyle w:val="corpsdedcision"/>
      </w:pPr>
      <w:r>
        <w:t>Si le travailleur manifeste son intérêt pour son dossier dans les jours suivant la</w:t>
      </w:r>
      <w:r w:rsidR="006A67DC">
        <w:t> </w:t>
      </w:r>
      <w:r>
        <w:t>réception de la décision, l’employeur invoque qu’il manque toutefois de diligence en ne</w:t>
      </w:r>
      <w:r w:rsidR="006A67DC">
        <w:t> </w:t>
      </w:r>
      <w:r>
        <w:t>faisant pas une démarche supplémentaire auprès de son syndicat pour s’assurer que la contestation a bel et bien produite avant l’expiration du délai de 45 jours.</w:t>
      </w:r>
    </w:p>
    <w:p w14:paraId="01E6F5D5" w14:textId="1E1B4B1A" w:rsidR="005B024E" w:rsidRDefault="005B024E" w:rsidP="005B024E">
      <w:pPr>
        <w:pStyle w:val="corpsdedcision"/>
      </w:pPr>
      <w:r w:rsidRPr="005B024E">
        <w:t>Contrairement à</w:t>
      </w:r>
      <w:r>
        <w:t xml:space="preserve"> </w:t>
      </w:r>
      <w:r w:rsidRPr="005B024E">
        <w:t>l’employeur, le Tribunal ne considère pas que l’écoulement de quelques semaine</w:t>
      </w:r>
      <w:r>
        <w:t xml:space="preserve">s avant la production de la contestation, sans suivi de la part du travailleur, </w:t>
      </w:r>
      <w:r w:rsidRPr="005B024E">
        <w:t xml:space="preserve">dénote de la négligence de </w:t>
      </w:r>
      <w:r>
        <w:t>s</w:t>
      </w:r>
      <w:r w:rsidRPr="005B024E">
        <w:t xml:space="preserve">a part </w:t>
      </w:r>
      <w:r>
        <w:t xml:space="preserve">ni même un manque de diligence. Depuis la confirmation qu’il a reçue le 19 décembre 2022, le travailleur a la conviction que </w:t>
      </w:r>
      <w:r w:rsidRPr="005B024E">
        <w:t>son</w:t>
      </w:r>
      <w:r w:rsidR="006A67DC">
        <w:t> </w:t>
      </w:r>
      <w:r w:rsidRPr="005B024E">
        <w:t>syndicat l</w:t>
      </w:r>
      <w:r w:rsidR="000439F2">
        <w:t>e</w:t>
      </w:r>
      <w:r w:rsidRPr="005B024E">
        <w:t xml:space="preserve"> représente et </w:t>
      </w:r>
      <w:r w:rsidR="000439F2">
        <w:t xml:space="preserve">qu’il </w:t>
      </w:r>
      <w:r w:rsidRPr="005B024E">
        <w:t>pose ou a posé les actions nécessaires</w:t>
      </w:r>
      <w:r>
        <w:t xml:space="preserve"> pour contester la décision de la Commission devant le Tribunal</w:t>
      </w:r>
      <w:r w:rsidRPr="005B024E">
        <w:t>.</w:t>
      </w:r>
    </w:p>
    <w:p w14:paraId="20A23A5B" w14:textId="31BE1E66" w:rsidR="00257D26" w:rsidRDefault="00257D26" w:rsidP="00257D26">
      <w:pPr>
        <w:pStyle w:val="corpsdedcision"/>
      </w:pPr>
      <w:r>
        <w:t>Dans ce contexte, l’absence de suivi de sa part durant cette brève période ne</w:t>
      </w:r>
      <w:r w:rsidR="006A67DC">
        <w:t> </w:t>
      </w:r>
      <w:r>
        <w:t xml:space="preserve">dénote pas non plus soudainement un quelconque désintérêt de sa part. </w:t>
      </w:r>
      <w:r w:rsidRPr="00257D26">
        <w:t xml:space="preserve">L’examen </w:t>
      </w:r>
      <w:r>
        <w:t>du</w:t>
      </w:r>
      <w:r w:rsidR="006A67DC">
        <w:t> </w:t>
      </w:r>
      <w:r w:rsidRPr="00257D26">
        <w:t>comportement</w:t>
      </w:r>
      <w:r>
        <w:t xml:space="preserve"> du travailleur</w:t>
      </w:r>
      <w:r w:rsidRPr="00257D26">
        <w:t>, dans son ensemble, en considérant les actions qu’</w:t>
      </w:r>
      <w:r>
        <w:t>il</w:t>
      </w:r>
      <w:r w:rsidR="006A67DC">
        <w:t> </w:t>
      </w:r>
      <w:r w:rsidRPr="00257D26">
        <w:t xml:space="preserve">prend dès </w:t>
      </w:r>
      <w:r>
        <w:t xml:space="preserve">la notification de la décision de la Commission </w:t>
      </w:r>
      <w:r w:rsidRPr="00257D26">
        <w:t>et avant la date butoir pour produire sa</w:t>
      </w:r>
      <w:r>
        <w:t xml:space="preserve"> contestation</w:t>
      </w:r>
      <w:r>
        <w:rPr>
          <w:rStyle w:val="Appelnotedebasdep"/>
        </w:rPr>
        <w:footnoteReference w:id="17"/>
      </w:r>
      <w:r w:rsidRPr="00257D26">
        <w:t>, démontre</w:t>
      </w:r>
      <w:r>
        <w:t xml:space="preserve"> plutôt le contraire.</w:t>
      </w:r>
    </w:p>
    <w:p w14:paraId="65CEF525" w14:textId="606F2C0A" w:rsidR="00257D26" w:rsidRPr="00E20DE8" w:rsidRDefault="00257D26" w:rsidP="00257D26">
      <w:pPr>
        <w:pStyle w:val="corpsdedcision"/>
      </w:pPr>
      <w:r w:rsidRPr="00257D26">
        <w:t>En</w:t>
      </w:r>
      <w:r>
        <w:t>fin</w:t>
      </w:r>
      <w:r w:rsidRPr="00257D26">
        <w:t xml:space="preserve">, la production de </w:t>
      </w:r>
      <w:r>
        <w:t xml:space="preserve">la contestation du travailleur n’accuse un retard que de cinq jours. </w:t>
      </w:r>
      <w:r w:rsidRPr="00257D26">
        <w:t>Cette brièveté est un élément à considérer</w:t>
      </w:r>
      <w:r>
        <w:rPr>
          <w:rStyle w:val="Appelnotedebasdep"/>
        </w:rPr>
        <w:footnoteReference w:id="18"/>
      </w:r>
      <w:r w:rsidRPr="00257D26">
        <w:t> et requiert une approche plus permissive et indulgente</w:t>
      </w:r>
      <w:r>
        <w:rPr>
          <w:rStyle w:val="Appelnotedebasdep"/>
        </w:rPr>
        <w:footnoteReference w:id="19"/>
      </w:r>
      <w:r w:rsidRPr="00257D26">
        <w:t xml:space="preserve">, pour autant que des explications soient fournies pour </w:t>
      </w:r>
      <w:r w:rsidRPr="00E20DE8">
        <w:t>expliquer le retard</w:t>
      </w:r>
      <w:r w:rsidR="00E95DD8" w:rsidRPr="00E20DE8">
        <w:t>, ce qui est ici le cas.</w:t>
      </w:r>
    </w:p>
    <w:p w14:paraId="5D73CD87" w14:textId="15162039" w:rsidR="007433B5" w:rsidRPr="00E20DE8" w:rsidRDefault="00257D26" w:rsidP="00E95DD8">
      <w:pPr>
        <w:pStyle w:val="corpsdedcision"/>
      </w:pPr>
      <w:r w:rsidRPr="00E20DE8">
        <w:t xml:space="preserve">Compte tenu des circonstances du présent dossier et considérant son devoir de souplesse, le Tribunal conclut que </w:t>
      </w:r>
      <w:r w:rsidR="00E95DD8" w:rsidRPr="00E20DE8">
        <w:t>le travailleur</w:t>
      </w:r>
      <w:r w:rsidRPr="00E20DE8">
        <w:t xml:space="preserve"> démontre un motif raisonnable justifiant le dépôt tardif de sa contestation de la décision de la Commission du 9 décembre 2022.</w:t>
      </w:r>
      <w:r w:rsidR="007433B5" w:rsidRPr="00E20DE8">
        <w:t xml:space="preserve"> Par ailleurs, l’employeur n’invoque pas que le fait de relever le travailleur des</w:t>
      </w:r>
      <w:r w:rsidR="00E20DE8" w:rsidRPr="00E20DE8">
        <w:t> </w:t>
      </w:r>
      <w:r w:rsidR="007433B5" w:rsidRPr="00E20DE8">
        <w:t>conséquences de son défaut d’avoir respecté le délai de 45 jours lui ferait subir un</w:t>
      </w:r>
      <w:r w:rsidR="00E20DE8" w:rsidRPr="00E20DE8">
        <w:t> </w:t>
      </w:r>
      <w:r w:rsidR="007433B5" w:rsidRPr="00E20DE8">
        <w:t xml:space="preserve">préjudice grave. </w:t>
      </w:r>
    </w:p>
    <w:p w14:paraId="52F366FA" w14:textId="50316BB1" w:rsidR="00453D99" w:rsidRPr="00E95DD8" w:rsidRDefault="00257D26" w:rsidP="00E95DD8">
      <w:pPr>
        <w:pStyle w:val="corpsdedcision"/>
      </w:pPr>
      <w:r w:rsidRPr="00257D26">
        <w:t xml:space="preserve">En conséquence, </w:t>
      </w:r>
      <w:r w:rsidR="007433B5">
        <w:t>l</w:t>
      </w:r>
      <w:r w:rsidR="00E95DD8">
        <w:t xml:space="preserve">a contestation du 3 février 2023 est recevable et </w:t>
      </w:r>
      <w:bookmarkStart w:id="14" w:name="_Hlk171597840"/>
      <w:r w:rsidR="00E95DD8">
        <w:t xml:space="preserve">le </w:t>
      </w:r>
      <w:r w:rsidRPr="00257D26">
        <w:t>Tribunal peut se saisir du fond de</w:t>
      </w:r>
      <w:r w:rsidR="00E95DD8">
        <w:t xml:space="preserve"> celle-ci</w:t>
      </w:r>
      <w:r w:rsidRPr="00257D26">
        <w:t>, soit la</w:t>
      </w:r>
      <w:r w:rsidR="00E95DD8">
        <w:t xml:space="preserve"> reconnaissance ou non du doigt gâchette du pouce droit à titre de maladie professionnelle.</w:t>
      </w:r>
      <w:bookmarkEnd w:id="14"/>
    </w:p>
    <w:p w14:paraId="0A37B4D9" w14:textId="2A6FB640" w:rsidR="00453D99" w:rsidRDefault="00453D99">
      <w:pPr>
        <w:pStyle w:val="Dispositif"/>
        <w:rPr>
          <w:b/>
        </w:rPr>
      </w:pPr>
      <w:r>
        <w:rPr>
          <w:b/>
        </w:rPr>
        <w:t>Le travailleur est-il atteint d’une maladie professionnelle?</w:t>
      </w:r>
    </w:p>
    <w:p w14:paraId="749BBC57" w14:textId="77777777" w:rsidR="004F3430" w:rsidRDefault="00A262CA" w:rsidP="00A262CA">
      <w:pPr>
        <w:pStyle w:val="corpsdedcision"/>
      </w:pPr>
      <w:r w:rsidRPr="00A262CA">
        <w:t xml:space="preserve">L’article 2 de la </w:t>
      </w:r>
      <w:r w:rsidRPr="00C57EEB">
        <w:rPr>
          <w:i/>
          <w:iCs/>
        </w:rPr>
        <w:t>Loi sur les accidents du travail et les maladies professionnelles</w:t>
      </w:r>
      <w:r>
        <w:rPr>
          <w:rStyle w:val="Appelnotedebasdep"/>
        </w:rPr>
        <w:footnoteReference w:id="20"/>
      </w:r>
      <w:r>
        <w:rPr>
          <w:i/>
          <w:iCs/>
        </w:rPr>
        <w:t xml:space="preserve"> </w:t>
      </w:r>
      <w:r w:rsidRPr="00A262CA">
        <w:t xml:space="preserve">identifie trois catégories de lésion professionnelle : la blessure ou la maladie qui survient par le fait ou à l'occasion d'un accident du travail, la maladie professionnelle et la récidive, rechute ou aggravation. </w:t>
      </w:r>
    </w:p>
    <w:p w14:paraId="3945F480" w14:textId="37156910" w:rsidR="004F3430" w:rsidRDefault="004F3430" w:rsidP="008D797C">
      <w:pPr>
        <w:pStyle w:val="corpsdedcision"/>
      </w:pPr>
      <w:r>
        <w:t>En l’espèce, le travailleur prétend que</w:t>
      </w:r>
      <w:r w:rsidRPr="004F3430">
        <w:t xml:space="preserve"> </w:t>
      </w:r>
      <w:r>
        <w:t>son doigt gâchette du pouce droit peut être associé à une seule de ces catégories, soit la maladie professionnelle. À noter qu</w:t>
      </w:r>
      <w:r w:rsidR="008D797C">
        <w:t>’il</w:t>
      </w:r>
      <w:r w:rsidR="00E20DE8">
        <w:t> </w:t>
      </w:r>
      <w:r>
        <w:t xml:space="preserve">n’existe aucun litige </w:t>
      </w:r>
      <w:r w:rsidR="008D797C">
        <w:t xml:space="preserve">entourant ce diagnostic. Le </w:t>
      </w:r>
      <w:r>
        <w:t>doigt gâchette du pouce droit est posé le 20 mai 2022 par le professionnel de la santé qui a charge du travailleur et il</w:t>
      </w:r>
      <w:r w:rsidR="00E20DE8">
        <w:t> </w:t>
      </w:r>
      <w:r w:rsidRPr="00EF48B2">
        <w:t>n’a</w:t>
      </w:r>
      <w:r w:rsidR="00E20DE8">
        <w:t> </w:t>
      </w:r>
      <w:r w:rsidRPr="00EF48B2">
        <w:t>pas fait l’objet d’une procédure d’évaluation médicale</w:t>
      </w:r>
      <w:r>
        <w:t>. Il a donc</w:t>
      </w:r>
      <w:r w:rsidRPr="00EF48B2">
        <w:t xml:space="preserve"> un effet liant</w:t>
      </w:r>
      <w:r>
        <w:rPr>
          <w:rStyle w:val="Appelnotedebasdep"/>
        </w:rPr>
        <w:footnoteReference w:id="21"/>
      </w:r>
      <w:r w:rsidRPr="00EF48B2">
        <w:t>.</w:t>
      </w:r>
    </w:p>
    <w:p w14:paraId="23CC7BFA" w14:textId="67224FCE" w:rsidR="00453D99" w:rsidRDefault="008D797C" w:rsidP="008D797C">
      <w:pPr>
        <w:pStyle w:val="corpsdedcision"/>
      </w:pPr>
      <w:r>
        <w:t xml:space="preserve">L’article 2 de la Loi définit la maladie professionnelle comme </w:t>
      </w:r>
      <w:r w:rsidR="00A262CA" w:rsidRPr="00A262CA">
        <w:t>une « </w:t>
      </w:r>
      <w:r w:rsidR="00A262CA" w:rsidRPr="00E20DE8">
        <w:rPr>
          <w:rStyle w:val="Citationintgre"/>
        </w:rPr>
        <w:t>maladie contractée par le fait ou à l'occasion du travail et qui est caractéristique de ce travail ou reliée directement aux risques particuliers de ce travail</w:t>
      </w:r>
      <w:r w:rsidR="00A262CA" w:rsidRPr="008D797C">
        <w:rPr>
          <w:i/>
          <w:iCs/>
        </w:rPr>
        <w:t> </w:t>
      </w:r>
      <w:r w:rsidR="00A262CA" w:rsidRPr="00A262CA">
        <w:t>».</w:t>
      </w:r>
    </w:p>
    <w:p w14:paraId="5592C2D6" w14:textId="25C413E7" w:rsidR="008D797C" w:rsidRPr="008D797C" w:rsidRDefault="00A262CA" w:rsidP="008D797C">
      <w:pPr>
        <w:pStyle w:val="corpsdedcision"/>
      </w:pPr>
      <w:r w:rsidRPr="00A262CA">
        <w:t>Selon l’article 29 de</w:t>
      </w:r>
      <w:r>
        <w:t xml:space="preserve"> </w:t>
      </w:r>
      <w:r w:rsidRPr="00A262CA">
        <w:t>la Loi,</w:t>
      </w:r>
      <w:r w:rsidR="008D797C">
        <w:t xml:space="preserve"> en vigueur au moment où la lésion est diagnostiquée</w:t>
      </w:r>
      <w:r w:rsidR="008D797C">
        <w:rPr>
          <w:rStyle w:val="Appelnotedebasdep"/>
        </w:rPr>
        <w:footnoteReference w:id="22"/>
      </w:r>
      <w:r w:rsidR="008D797C">
        <w:t xml:space="preserve">, </w:t>
      </w:r>
      <w:r w:rsidR="008D797C" w:rsidRPr="00E20DE8">
        <w:rPr>
          <w:rStyle w:val="Citationintgre"/>
          <w:i w:val="0"/>
          <w:iCs/>
          <w:sz w:val="24"/>
          <w:szCs w:val="24"/>
        </w:rPr>
        <w:t>«</w:t>
      </w:r>
      <w:r w:rsidR="00E20DE8">
        <w:rPr>
          <w:rStyle w:val="Citationintgre"/>
        </w:rPr>
        <w:t> </w:t>
      </w:r>
      <w:r w:rsidR="008D797C" w:rsidRPr="008D797C">
        <w:rPr>
          <w:rStyle w:val="Citationintgre"/>
        </w:rPr>
        <w:t>un travailleur est présumé atteint d’une maladie professionnelle s’il est atteint d’une maladie prévue par règlement et si, au jour où il reçoit le diagnostic de cette maladie, il rencontre les</w:t>
      </w:r>
      <w:r w:rsidR="00E20DE8">
        <w:rPr>
          <w:rStyle w:val="Citationintgre"/>
        </w:rPr>
        <w:t> </w:t>
      </w:r>
      <w:r w:rsidR="008D797C" w:rsidRPr="008D797C">
        <w:rPr>
          <w:rStyle w:val="Citationintgre"/>
        </w:rPr>
        <w:t>conditions particulières en lien avec cette maladie prévues par règlement</w:t>
      </w:r>
      <w:r w:rsidR="00E20DE8">
        <w:rPr>
          <w:rStyle w:val="Citationintgre"/>
        </w:rPr>
        <w:t> </w:t>
      </w:r>
      <w:r w:rsidR="008D797C" w:rsidRPr="00E20DE8">
        <w:rPr>
          <w:rStyle w:val="Citationintgre"/>
          <w:i w:val="0"/>
          <w:iCs/>
          <w:sz w:val="24"/>
          <w:szCs w:val="24"/>
        </w:rPr>
        <w:t>»</w:t>
      </w:r>
      <w:r w:rsidR="008D797C" w:rsidRPr="00E20DE8">
        <w:rPr>
          <w:bCs/>
          <w:i/>
          <w:iCs/>
          <w:szCs w:val="24"/>
        </w:rPr>
        <w:t>.</w:t>
      </w:r>
    </w:p>
    <w:p w14:paraId="58C5071A" w14:textId="70E142F0" w:rsidR="008D797C" w:rsidRPr="008D797C" w:rsidRDefault="008D797C" w:rsidP="008D797C">
      <w:pPr>
        <w:pStyle w:val="corpsdedcision"/>
      </w:pPr>
      <w:r>
        <w:rPr>
          <w:bCs/>
        </w:rPr>
        <w:t xml:space="preserve">Le travailleur invoque qu’il peut bénéficier de cette présomption. Le Tribunal conclut </w:t>
      </w:r>
      <w:r w:rsidR="00E439A2">
        <w:rPr>
          <w:bCs/>
        </w:rPr>
        <w:t xml:space="preserve">aussi </w:t>
      </w:r>
      <w:r>
        <w:rPr>
          <w:bCs/>
        </w:rPr>
        <w:t>en ce sens.</w:t>
      </w:r>
    </w:p>
    <w:p w14:paraId="6C80BBC9" w14:textId="783078C9" w:rsidR="00E439A2" w:rsidRPr="00E439A2" w:rsidRDefault="008D797C" w:rsidP="00C77D17">
      <w:pPr>
        <w:pStyle w:val="corpsdedcision"/>
      </w:pPr>
      <w:r>
        <w:t xml:space="preserve">Le règlement auquel renvoie l’article 29 de la Loi est le </w:t>
      </w:r>
      <w:r w:rsidRPr="008D797C">
        <w:rPr>
          <w:i/>
          <w:iCs/>
        </w:rPr>
        <w:t>Règlement sur les maladies professionnelles</w:t>
      </w:r>
      <w:r w:rsidRPr="00F72162">
        <w:rPr>
          <w:rStyle w:val="Appelnotedebasdep"/>
        </w:rPr>
        <w:footnoteReference w:id="23"/>
      </w:r>
      <w:r w:rsidRPr="00F72162">
        <w:t>.</w:t>
      </w:r>
      <w:r w:rsidR="00C77D17">
        <w:t xml:space="preserve"> </w:t>
      </w:r>
      <w:r w:rsidR="00E439A2">
        <w:t>La section VI de l’annexe A de ce dernier concerne les troubles musculo-squelettiques</w:t>
      </w:r>
      <w:r w:rsidR="00C77D17">
        <w:t xml:space="preserve">. On y retrouve le même libellé que celui contenu à l’ancienne section IV de l’annexe I de la Loi, maintenant abrogée, si bien que le fardeau de preuve du travailleur demeure le même : </w:t>
      </w:r>
    </w:p>
    <w:tbl>
      <w:tblPr>
        <w:tblpPr w:leftFromText="141" w:rightFromText="141" w:vertAnchor="text" w:tblpX="699"/>
        <w:tblW w:w="4470" w:type="pct"/>
        <w:tblBorders>
          <w:top w:val="single" w:sz="4" w:space="0" w:color="auto"/>
        </w:tblBorders>
        <w:tblCellMar>
          <w:left w:w="0" w:type="dxa"/>
          <w:right w:w="0" w:type="dxa"/>
        </w:tblCellMar>
        <w:tblLook w:val="04A0" w:firstRow="1" w:lastRow="0" w:firstColumn="1" w:lastColumn="0" w:noHBand="0" w:noVBand="1"/>
      </w:tblPr>
      <w:tblGrid>
        <w:gridCol w:w="3927"/>
        <w:gridCol w:w="594"/>
        <w:gridCol w:w="594"/>
        <w:gridCol w:w="3467"/>
      </w:tblGrid>
      <w:tr w:rsidR="00E439A2" w:rsidRPr="00E439A2" w14:paraId="1CB2BE1D" w14:textId="77777777" w:rsidTr="00C657B1">
        <w:tc>
          <w:tcPr>
            <w:tcW w:w="5000" w:type="pct"/>
            <w:gridSpan w:val="4"/>
            <w:tcBorders>
              <w:top w:val="single" w:sz="4" w:space="0" w:color="auto"/>
              <w:bottom w:val="single" w:sz="4" w:space="0" w:color="auto"/>
            </w:tcBorders>
            <w:tcMar>
              <w:top w:w="120" w:type="dxa"/>
              <w:left w:w="120" w:type="dxa"/>
              <w:bottom w:w="120" w:type="dxa"/>
              <w:right w:w="120" w:type="dxa"/>
            </w:tcMar>
            <w:vAlign w:val="center"/>
            <w:hideMark/>
          </w:tcPr>
          <w:p w14:paraId="21B0F4F9" w14:textId="77777777" w:rsidR="00E439A2" w:rsidRPr="00E439A2" w:rsidRDefault="00E439A2" w:rsidP="00C657B1">
            <w:pPr>
              <w:ind w:left="284"/>
              <w:rPr>
                <w:rFonts w:cs="Arial"/>
                <w:color w:val="000000"/>
                <w:szCs w:val="24"/>
              </w:rPr>
            </w:pPr>
            <w:r w:rsidRPr="00E439A2">
              <w:rPr>
                <w:rFonts w:cs="Arial"/>
                <w:color w:val="212529"/>
                <w:sz w:val="19"/>
                <w:szCs w:val="19"/>
              </w:rPr>
              <w:t>SECTION VI — TROUBLES MUSCULO-SQUELETTIQUES</w:t>
            </w:r>
          </w:p>
        </w:tc>
      </w:tr>
      <w:tr w:rsidR="00C77D17" w:rsidRPr="00E439A2" w14:paraId="2BC44D93" w14:textId="77777777" w:rsidTr="00C657B1">
        <w:tc>
          <w:tcPr>
            <w:tcW w:w="2288" w:type="pct"/>
            <w:tcBorders>
              <w:top w:val="nil"/>
              <w:bottom w:val="single" w:sz="4" w:space="0" w:color="auto"/>
            </w:tcBorders>
            <w:tcMar>
              <w:top w:w="120" w:type="dxa"/>
              <w:left w:w="120" w:type="dxa"/>
              <w:bottom w:w="120" w:type="dxa"/>
              <w:right w:w="120" w:type="dxa"/>
            </w:tcMar>
            <w:vAlign w:val="center"/>
            <w:hideMark/>
          </w:tcPr>
          <w:p w14:paraId="10342738" w14:textId="77777777" w:rsidR="00E439A2" w:rsidRPr="00E439A2" w:rsidRDefault="00E439A2" w:rsidP="00C657B1">
            <w:pPr>
              <w:ind w:left="284"/>
              <w:rPr>
                <w:rFonts w:cs="Arial"/>
                <w:color w:val="000000"/>
                <w:szCs w:val="24"/>
              </w:rPr>
            </w:pPr>
            <w:r w:rsidRPr="00E439A2">
              <w:rPr>
                <w:rFonts w:cs="Arial"/>
                <w:color w:val="212529"/>
                <w:sz w:val="19"/>
                <w:szCs w:val="19"/>
              </w:rPr>
              <w:t>MALADIES</w:t>
            </w:r>
          </w:p>
        </w:tc>
        <w:tc>
          <w:tcPr>
            <w:tcW w:w="346" w:type="pct"/>
            <w:tcBorders>
              <w:top w:val="nil"/>
              <w:bottom w:val="single" w:sz="4" w:space="0" w:color="auto"/>
            </w:tcBorders>
            <w:tcMar>
              <w:top w:w="120" w:type="dxa"/>
              <w:left w:w="120" w:type="dxa"/>
              <w:bottom w:w="120" w:type="dxa"/>
              <w:right w:w="120" w:type="dxa"/>
            </w:tcMar>
            <w:vAlign w:val="center"/>
            <w:hideMark/>
          </w:tcPr>
          <w:p w14:paraId="3BD14A2A" w14:textId="77777777" w:rsidR="00E439A2" w:rsidRPr="00E439A2" w:rsidRDefault="00E439A2" w:rsidP="00C657B1">
            <w:pPr>
              <w:ind w:left="284"/>
              <w:rPr>
                <w:rFonts w:cs="Arial"/>
                <w:color w:val="000000"/>
                <w:szCs w:val="24"/>
              </w:rPr>
            </w:pPr>
            <w:r w:rsidRPr="00E439A2">
              <w:rPr>
                <w:rFonts w:cs="Arial"/>
                <w:color w:val="212529"/>
                <w:sz w:val="19"/>
                <w:szCs w:val="19"/>
              </w:rPr>
              <w:t> </w:t>
            </w:r>
          </w:p>
        </w:tc>
        <w:tc>
          <w:tcPr>
            <w:tcW w:w="346" w:type="pct"/>
            <w:tcBorders>
              <w:top w:val="nil"/>
              <w:bottom w:val="single" w:sz="4" w:space="0" w:color="auto"/>
            </w:tcBorders>
            <w:tcMar>
              <w:top w:w="120" w:type="dxa"/>
              <w:left w:w="120" w:type="dxa"/>
              <w:bottom w:w="120" w:type="dxa"/>
              <w:right w:w="120" w:type="dxa"/>
            </w:tcMar>
            <w:vAlign w:val="center"/>
            <w:hideMark/>
          </w:tcPr>
          <w:p w14:paraId="6716F749" w14:textId="77777777" w:rsidR="00E439A2" w:rsidRPr="00E439A2" w:rsidRDefault="00E439A2" w:rsidP="00C657B1">
            <w:pPr>
              <w:ind w:left="284"/>
              <w:rPr>
                <w:rFonts w:cs="Arial"/>
                <w:color w:val="000000"/>
                <w:szCs w:val="24"/>
              </w:rPr>
            </w:pPr>
            <w:r w:rsidRPr="00E439A2">
              <w:rPr>
                <w:rFonts w:cs="Arial"/>
                <w:color w:val="212529"/>
                <w:sz w:val="19"/>
                <w:szCs w:val="19"/>
              </w:rPr>
              <w:t> </w:t>
            </w:r>
          </w:p>
        </w:tc>
        <w:tc>
          <w:tcPr>
            <w:tcW w:w="2020" w:type="pct"/>
            <w:tcBorders>
              <w:top w:val="nil"/>
              <w:bottom w:val="single" w:sz="4" w:space="0" w:color="auto"/>
            </w:tcBorders>
            <w:tcMar>
              <w:top w:w="120" w:type="dxa"/>
              <w:left w:w="120" w:type="dxa"/>
              <w:bottom w:w="120" w:type="dxa"/>
              <w:right w:w="120" w:type="dxa"/>
            </w:tcMar>
            <w:vAlign w:val="center"/>
            <w:hideMark/>
          </w:tcPr>
          <w:p w14:paraId="7719970A" w14:textId="77777777" w:rsidR="00E439A2" w:rsidRPr="00E439A2" w:rsidRDefault="00E439A2" w:rsidP="00C657B1">
            <w:pPr>
              <w:ind w:left="284"/>
              <w:rPr>
                <w:rFonts w:cs="Arial"/>
                <w:color w:val="000000"/>
                <w:szCs w:val="24"/>
              </w:rPr>
            </w:pPr>
            <w:r w:rsidRPr="00E439A2">
              <w:rPr>
                <w:rFonts w:cs="Arial"/>
                <w:color w:val="212529"/>
                <w:sz w:val="19"/>
                <w:szCs w:val="19"/>
              </w:rPr>
              <w:t>CONDITIONS PARTICULIÈRES</w:t>
            </w:r>
          </w:p>
        </w:tc>
      </w:tr>
      <w:tr w:rsidR="00C77D17" w:rsidRPr="00E439A2" w14:paraId="26DAA16C" w14:textId="77777777" w:rsidTr="00C657B1">
        <w:trPr>
          <w:trHeight w:val="1358"/>
        </w:trPr>
        <w:tc>
          <w:tcPr>
            <w:tcW w:w="2288" w:type="pct"/>
            <w:tcBorders>
              <w:top w:val="single" w:sz="4" w:space="0" w:color="auto"/>
            </w:tcBorders>
            <w:tcMar>
              <w:top w:w="120" w:type="dxa"/>
              <w:left w:w="120" w:type="dxa"/>
              <w:bottom w:w="120" w:type="dxa"/>
              <w:right w:w="120" w:type="dxa"/>
            </w:tcMar>
            <w:vAlign w:val="center"/>
            <w:hideMark/>
          </w:tcPr>
          <w:p w14:paraId="24E0CC75" w14:textId="67D082A1" w:rsidR="00E439A2" w:rsidRPr="00E439A2" w:rsidRDefault="00E439A2" w:rsidP="00C657B1">
            <w:pPr>
              <w:ind w:left="284"/>
              <w:rPr>
                <w:rFonts w:cs="Arial"/>
                <w:color w:val="000000"/>
                <w:szCs w:val="24"/>
              </w:rPr>
            </w:pPr>
            <w:r w:rsidRPr="00E439A2">
              <w:rPr>
                <w:rFonts w:cs="Arial"/>
                <w:color w:val="212529"/>
                <w:sz w:val="19"/>
                <w:szCs w:val="19"/>
              </w:rPr>
              <w:t>Lésion musculo-squelettique se manifestant par des signes objectifs (bursite, tendinite, </w:t>
            </w:r>
            <w:r w:rsidR="00C77D17" w:rsidRPr="00C77D17">
              <w:rPr>
                <w:rFonts w:cs="Arial"/>
                <w:color w:val="212529"/>
                <w:sz w:val="19"/>
                <w:szCs w:val="19"/>
              </w:rPr>
              <w:t>ténosynovite</w:t>
            </w:r>
            <w:r w:rsidRPr="00E439A2">
              <w:rPr>
                <w:rFonts w:cs="Arial"/>
                <w:color w:val="212529"/>
                <w:sz w:val="19"/>
                <w:szCs w:val="19"/>
              </w:rPr>
              <w:t>)</w:t>
            </w:r>
          </w:p>
        </w:tc>
        <w:tc>
          <w:tcPr>
            <w:tcW w:w="346" w:type="pct"/>
            <w:tcBorders>
              <w:top w:val="single" w:sz="4" w:space="0" w:color="auto"/>
            </w:tcBorders>
            <w:tcMar>
              <w:top w:w="120" w:type="dxa"/>
              <w:left w:w="120" w:type="dxa"/>
              <w:bottom w:w="120" w:type="dxa"/>
              <w:right w:w="120" w:type="dxa"/>
            </w:tcMar>
            <w:vAlign w:val="center"/>
            <w:hideMark/>
          </w:tcPr>
          <w:p w14:paraId="5F1065FD" w14:textId="77777777" w:rsidR="00E439A2" w:rsidRPr="00E439A2" w:rsidRDefault="00E439A2" w:rsidP="00C657B1">
            <w:pPr>
              <w:ind w:left="284"/>
              <w:rPr>
                <w:rFonts w:cs="Arial"/>
                <w:color w:val="000000"/>
                <w:szCs w:val="24"/>
              </w:rPr>
            </w:pPr>
          </w:p>
        </w:tc>
        <w:tc>
          <w:tcPr>
            <w:tcW w:w="346" w:type="pct"/>
            <w:tcBorders>
              <w:top w:val="single" w:sz="4" w:space="0" w:color="auto"/>
            </w:tcBorders>
            <w:tcMar>
              <w:top w:w="120" w:type="dxa"/>
              <w:left w:w="120" w:type="dxa"/>
              <w:bottom w:w="120" w:type="dxa"/>
              <w:right w:w="120" w:type="dxa"/>
            </w:tcMar>
            <w:vAlign w:val="center"/>
            <w:hideMark/>
          </w:tcPr>
          <w:p w14:paraId="132591AD" w14:textId="77777777" w:rsidR="00E439A2" w:rsidRPr="00E439A2" w:rsidRDefault="00E439A2" w:rsidP="00C657B1">
            <w:pPr>
              <w:ind w:left="284"/>
              <w:rPr>
                <w:rFonts w:ascii="Times New Roman" w:hAnsi="Times New Roman"/>
                <w:sz w:val="20"/>
              </w:rPr>
            </w:pPr>
          </w:p>
        </w:tc>
        <w:tc>
          <w:tcPr>
            <w:tcW w:w="2020" w:type="pct"/>
            <w:tcBorders>
              <w:top w:val="single" w:sz="4" w:space="0" w:color="auto"/>
            </w:tcBorders>
            <w:tcMar>
              <w:top w:w="120" w:type="dxa"/>
              <w:left w:w="120" w:type="dxa"/>
              <w:bottom w:w="120" w:type="dxa"/>
              <w:right w:w="120" w:type="dxa"/>
            </w:tcMar>
            <w:vAlign w:val="center"/>
            <w:hideMark/>
          </w:tcPr>
          <w:p w14:paraId="23524981" w14:textId="77777777" w:rsidR="00E439A2" w:rsidRPr="00E439A2" w:rsidRDefault="00E439A2" w:rsidP="00C657B1">
            <w:pPr>
              <w:ind w:left="284"/>
              <w:rPr>
                <w:rFonts w:cs="Arial"/>
                <w:color w:val="000000"/>
                <w:szCs w:val="24"/>
              </w:rPr>
            </w:pPr>
            <w:r w:rsidRPr="00E439A2">
              <w:rPr>
                <w:rFonts w:cs="Arial"/>
                <w:color w:val="212529"/>
                <w:sz w:val="19"/>
                <w:szCs w:val="19"/>
              </w:rPr>
              <w:t>Avoir exercé un travail impliquant des répétitions de mouvements ou de pressions sur des périodes de temps prolongées.</w:t>
            </w:r>
          </w:p>
        </w:tc>
      </w:tr>
    </w:tbl>
    <w:p w14:paraId="418F819A" w14:textId="77777777" w:rsidR="00E439A2" w:rsidRDefault="00E439A2" w:rsidP="00E439A2">
      <w:pPr>
        <w:pStyle w:val="corpsdedcision"/>
        <w:numPr>
          <w:ilvl w:val="0"/>
          <w:numId w:val="0"/>
        </w:numPr>
        <w:ind w:left="284"/>
      </w:pPr>
    </w:p>
    <w:p w14:paraId="5639335F" w14:textId="68398F7E" w:rsidR="00E439A2" w:rsidRDefault="00E439A2" w:rsidP="00E439A2">
      <w:pPr>
        <w:pStyle w:val="citation"/>
        <w:ind w:left="284"/>
      </w:pPr>
    </w:p>
    <w:p w14:paraId="6D4DC613" w14:textId="77777777" w:rsidR="00E439A2" w:rsidRDefault="00E439A2" w:rsidP="00E439A2">
      <w:pPr>
        <w:pStyle w:val="citation"/>
        <w:ind w:left="284"/>
      </w:pPr>
    </w:p>
    <w:p w14:paraId="56D78E98" w14:textId="28111DBD" w:rsidR="00EF48B2" w:rsidRDefault="001675A7" w:rsidP="00F72162">
      <w:pPr>
        <w:pStyle w:val="corpsdedcision"/>
      </w:pPr>
      <w:r>
        <w:t>Le</w:t>
      </w:r>
      <w:r w:rsidR="00F72162">
        <w:t xml:space="preserve"> diagnostic de doigt gâchette du pouce droit </w:t>
      </w:r>
      <w:r w:rsidR="00A47088">
        <w:t xml:space="preserve">n’est pas </w:t>
      </w:r>
      <w:r w:rsidR="00F66ECA">
        <w:t xml:space="preserve">spécifiquement </w:t>
      </w:r>
      <w:r w:rsidR="00A47088">
        <w:t>énuméré à l</w:t>
      </w:r>
      <w:r w:rsidR="00F72162">
        <w:t>a section VI de l’annexe A du Règlement. L</w:t>
      </w:r>
      <w:r w:rsidR="00A47088">
        <w:t xml:space="preserve">e travailleur </w:t>
      </w:r>
      <w:r w:rsidR="00F66ECA">
        <w:t xml:space="preserve">prétend </w:t>
      </w:r>
      <w:r w:rsidR="00F72162">
        <w:t xml:space="preserve">néanmoins et </w:t>
      </w:r>
      <w:r w:rsidR="00F15682">
        <w:t xml:space="preserve">à juste titre </w:t>
      </w:r>
      <w:r w:rsidR="00F66ECA">
        <w:t>qu</w:t>
      </w:r>
      <w:r w:rsidR="00F72162">
        <w:t xml:space="preserve">’il est un synonyme </w:t>
      </w:r>
      <w:r w:rsidR="00F66ECA">
        <w:t>de ténosynovite sténosante. L’article et la jurisprudence qu’il</w:t>
      </w:r>
      <w:r w:rsidR="00E20DE8">
        <w:t> </w:t>
      </w:r>
      <w:r w:rsidR="00F66ECA">
        <w:t>produit vont en ce sens</w:t>
      </w:r>
      <w:r w:rsidR="00F66ECA">
        <w:rPr>
          <w:rStyle w:val="Appelnotedebasdep"/>
        </w:rPr>
        <w:footnoteReference w:id="24"/>
      </w:r>
      <w:r w:rsidR="00F66ECA">
        <w:t>, ce que ne conteste pas l’employeur.</w:t>
      </w:r>
    </w:p>
    <w:p w14:paraId="1B881B98" w14:textId="4D95E247" w:rsidR="00F72162" w:rsidRDefault="00F72162" w:rsidP="00F72162">
      <w:pPr>
        <w:pStyle w:val="corpsdedcision"/>
      </w:pPr>
      <w:r>
        <w:t xml:space="preserve">La ténosynovite </w:t>
      </w:r>
      <w:r w:rsidR="00C812FA">
        <w:t xml:space="preserve">y </w:t>
      </w:r>
      <w:r>
        <w:t xml:space="preserve">étant </w:t>
      </w:r>
      <w:r w:rsidR="00C812FA">
        <w:t>énumérée</w:t>
      </w:r>
      <w:r>
        <w:t>, la première condition donnant ouverture à</w:t>
      </w:r>
      <w:r w:rsidR="00E20DE8">
        <w:t> </w:t>
      </w:r>
      <w:r>
        <w:t>l’application de la présomption est remplie.</w:t>
      </w:r>
    </w:p>
    <w:p w14:paraId="0180F29F" w14:textId="121E8C93" w:rsidR="00F72162" w:rsidRDefault="00F72162" w:rsidP="00F72162">
      <w:pPr>
        <w:pStyle w:val="corpsdedcision"/>
      </w:pPr>
      <w:r>
        <w:t xml:space="preserve">Qu’en est-il maintenant de la seconde qui exige </w:t>
      </w:r>
      <w:r w:rsidR="001C40A9">
        <w:t>du travailleur de démontrer de façon prépondérante qu’il</w:t>
      </w:r>
      <w:r w:rsidRPr="00F72162">
        <w:t> a exercé un travail impliquant des répétitions de mouvements ou de pressions sur des périodes de temps prolongées</w:t>
      </w:r>
      <w:r>
        <w:t>?</w:t>
      </w:r>
    </w:p>
    <w:p w14:paraId="68CF0E6C" w14:textId="1920CC2D" w:rsidR="001937ED" w:rsidRDefault="001C40A9" w:rsidP="00F72162">
      <w:pPr>
        <w:pStyle w:val="corpsdedcision"/>
      </w:pPr>
      <w:r>
        <w:t xml:space="preserve">Il témoigne que cela correspond au travail qu’il exerce depuis 2010 chez l’employeur. Ce dernier plaide au contraire que la description </w:t>
      </w:r>
      <w:r w:rsidR="00690338">
        <w:t xml:space="preserve">des tâches </w:t>
      </w:r>
      <w:r w:rsidR="001A2E04">
        <w:t>qu’offre le</w:t>
      </w:r>
      <w:r w:rsidR="00E20DE8">
        <w:t> </w:t>
      </w:r>
      <w:r w:rsidR="001A2E04">
        <w:t>travailleur à l’audience</w:t>
      </w:r>
      <w:r>
        <w:t xml:space="preserve"> </w:t>
      </w:r>
      <w:r w:rsidR="00C812FA">
        <w:t xml:space="preserve">est </w:t>
      </w:r>
      <w:r w:rsidR="001A2E04">
        <w:t xml:space="preserve">incomplète et </w:t>
      </w:r>
      <w:r w:rsidR="001937ED">
        <w:t>insuffisante pour conclure en ce sens.</w:t>
      </w:r>
    </w:p>
    <w:p w14:paraId="442A8F23" w14:textId="3894CEDD" w:rsidR="001937ED" w:rsidRDefault="001937ED" w:rsidP="00F72162">
      <w:pPr>
        <w:pStyle w:val="corpsdedcision"/>
      </w:pPr>
      <w:r>
        <w:t>Le Tribunal n’est pas de cet avis. Le témoignage crédible et vraisemblable du</w:t>
      </w:r>
      <w:r w:rsidR="00E20DE8">
        <w:t> </w:t>
      </w:r>
      <w:r>
        <w:t>travailleur</w:t>
      </w:r>
      <w:r w:rsidR="00D83CF3">
        <w:t>,</w:t>
      </w:r>
      <w:r>
        <w:t xml:space="preserve"> juxtaposé aux éléments contenus au dossier, par ailleurs non contredits par l’employeur, établit de manière prépondérante qu’il </w:t>
      </w:r>
      <w:r w:rsidRPr="00F72162">
        <w:t>a exercé un travail impliquant des</w:t>
      </w:r>
      <w:r w:rsidR="00E20DE8">
        <w:t> </w:t>
      </w:r>
      <w:r w:rsidRPr="00F72162">
        <w:t xml:space="preserve">répétitions de mouvements ou de pressions </w:t>
      </w:r>
      <w:r w:rsidR="00684EA8">
        <w:t>sollicitant son pouce droit</w:t>
      </w:r>
      <w:r w:rsidR="00684EA8" w:rsidRPr="00F72162">
        <w:t xml:space="preserve"> </w:t>
      </w:r>
      <w:r w:rsidRPr="00F72162">
        <w:t>sur des</w:t>
      </w:r>
      <w:r w:rsidR="00E20DE8">
        <w:t> </w:t>
      </w:r>
      <w:r w:rsidRPr="00F72162">
        <w:t>périodes de temps prolongées</w:t>
      </w:r>
      <w:r>
        <w:t>.</w:t>
      </w:r>
    </w:p>
    <w:p w14:paraId="52BC7077" w14:textId="7FB8B8AF" w:rsidR="00D479BC" w:rsidRDefault="00D479BC" w:rsidP="00F72162">
      <w:pPr>
        <w:pStyle w:val="corpsdedcision"/>
      </w:pPr>
      <w:r>
        <w:t xml:space="preserve">Selon le sens courant des termes utilisés par le législateur, </w:t>
      </w:r>
      <w:r w:rsidRPr="00D479BC">
        <w:t>«</w:t>
      </w:r>
      <w:r w:rsidRPr="00D479BC">
        <w:rPr>
          <w:i/>
          <w:iCs/>
        </w:rPr>
        <w:t> </w:t>
      </w:r>
      <w:r w:rsidRPr="00696E86">
        <w:rPr>
          <w:rStyle w:val="Citationintgre"/>
        </w:rPr>
        <w:t>un mouvement sera répété, s’il est accompli plusieurs fois par jour et il sera exécuté sur une période de temps prolongé, s’il est accompli pendant plusieurs heures, jours, mois ou années</w:t>
      </w:r>
      <w:r w:rsidRPr="00D479BC">
        <w:rPr>
          <w:i/>
          <w:iCs/>
        </w:rPr>
        <w:t> </w:t>
      </w:r>
      <w:r w:rsidRPr="00D479BC">
        <w:t>»</w:t>
      </w:r>
      <w:r>
        <w:rPr>
          <w:rStyle w:val="Appelnotedebasdep"/>
        </w:rPr>
        <w:footnoteReference w:id="25"/>
      </w:r>
      <w:r>
        <w:t>.</w:t>
      </w:r>
    </w:p>
    <w:p w14:paraId="52976153" w14:textId="71C97165" w:rsidR="00D479BC" w:rsidRDefault="00D479BC" w:rsidP="00A00687">
      <w:pPr>
        <w:pStyle w:val="corpsdedcision"/>
      </w:pPr>
      <w:r>
        <w:t>De façon générale, l</w:t>
      </w:r>
      <w:r w:rsidR="00665180">
        <w:t xml:space="preserve">a jurisprudence </w:t>
      </w:r>
      <w:r>
        <w:t>reconnaît qu’à l’étape de cette analyse,</w:t>
      </w:r>
      <w:r w:rsidR="00EC19DD">
        <w:t xml:space="preserve"> </w:t>
      </w:r>
      <w:r>
        <w:t>le</w:t>
      </w:r>
      <w:r w:rsidR="00696E86">
        <w:t> </w:t>
      </w:r>
      <w:r>
        <w:t xml:space="preserve">Tribunal doit se garder d’examiner </w:t>
      </w:r>
      <w:r w:rsidR="00EC19DD">
        <w:t xml:space="preserve">les </w:t>
      </w:r>
      <w:r>
        <w:t>autres facteurs</w:t>
      </w:r>
      <w:r w:rsidR="0080653F">
        <w:t xml:space="preserve"> de risque</w:t>
      </w:r>
      <w:r>
        <w:t xml:space="preserve"> </w:t>
      </w:r>
      <w:r w:rsidR="00322692">
        <w:t>associés au</w:t>
      </w:r>
      <w:r w:rsidR="00696E86">
        <w:t> </w:t>
      </w:r>
      <w:r w:rsidR="0080653F">
        <w:t>développe</w:t>
      </w:r>
      <w:r w:rsidR="00322692">
        <w:t>ment</w:t>
      </w:r>
      <w:r>
        <w:t xml:space="preserve"> </w:t>
      </w:r>
      <w:r w:rsidR="00322692">
        <w:t>d’</w:t>
      </w:r>
      <w:r>
        <w:t xml:space="preserve">une </w:t>
      </w:r>
      <w:r w:rsidRPr="00D479BC">
        <w:t xml:space="preserve">bursite, </w:t>
      </w:r>
      <w:r w:rsidR="00322692">
        <w:t>d’</w:t>
      </w:r>
      <w:r>
        <w:t xml:space="preserve">une </w:t>
      </w:r>
      <w:r w:rsidRPr="00D479BC">
        <w:t>tendinite</w:t>
      </w:r>
      <w:r w:rsidR="00EC19DD">
        <w:t xml:space="preserve"> ou</w:t>
      </w:r>
      <w:r w:rsidR="00322692">
        <w:t>,</w:t>
      </w:r>
      <w:r w:rsidR="00EC19DD">
        <w:t xml:space="preserve"> comme en l’espèce</w:t>
      </w:r>
      <w:r w:rsidR="00322692">
        <w:t>,</w:t>
      </w:r>
      <w:r w:rsidR="00EC19DD">
        <w:t xml:space="preserve"> </w:t>
      </w:r>
      <w:r w:rsidR="00322692">
        <w:t>d’</w:t>
      </w:r>
      <w:r w:rsidR="00EC19DD">
        <w:t>une</w:t>
      </w:r>
      <w:r w:rsidR="00696E86">
        <w:t> </w:t>
      </w:r>
      <w:r w:rsidRPr="00D479BC">
        <w:t>ténosynovite</w:t>
      </w:r>
      <w:r w:rsidR="00EC19DD">
        <w:t xml:space="preserve">. C’est plutôt au stade du renversement de la présomption qu’il pourra être démontré par exemple que </w:t>
      </w:r>
      <w:r w:rsidR="00EC19DD" w:rsidRPr="00F70691">
        <w:t xml:space="preserve">la force, l’amplitude du mouvement, </w:t>
      </w:r>
      <w:r w:rsidR="00322692">
        <w:t xml:space="preserve">la posture, le temps d’exposition ou encore </w:t>
      </w:r>
      <w:r w:rsidR="00EC19DD" w:rsidRPr="00F70691">
        <w:t xml:space="preserve">la période de récupération </w:t>
      </w:r>
      <w:r w:rsidR="00322692">
        <w:t>ne sont pas suffisants pour engendrer la maladie</w:t>
      </w:r>
      <w:r w:rsidR="00322692">
        <w:rPr>
          <w:rStyle w:val="Appelnotedebasdep"/>
        </w:rPr>
        <w:footnoteReference w:id="26"/>
      </w:r>
      <w:r w:rsidR="00EC19DD">
        <w:t xml:space="preserve">. </w:t>
      </w:r>
    </w:p>
    <w:p w14:paraId="4D9026E3" w14:textId="78DF7C1A" w:rsidR="00B9522C" w:rsidRDefault="007F16FA" w:rsidP="00647D2D">
      <w:pPr>
        <w:pStyle w:val="corpsdedcision"/>
      </w:pPr>
      <w:r>
        <w:t>Il</w:t>
      </w:r>
      <w:r w:rsidR="00647D2D">
        <w:t xml:space="preserve"> est</w:t>
      </w:r>
      <w:r>
        <w:t xml:space="preserve"> aussi</w:t>
      </w:r>
      <w:r w:rsidR="00647D2D">
        <w:t xml:space="preserve"> largement admis que </w:t>
      </w:r>
      <w:r w:rsidR="00322692">
        <w:t xml:space="preserve">la notion de </w:t>
      </w:r>
      <w:r w:rsidR="00322692" w:rsidRPr="00F72162">
        <w:t>répétitions de mouvements ou de</w:t>
      </w:r>
      <w:r w:rsidR="00696E86">
        <w:t> </w:t>
      </w:r>
      <w:r w:rsidR="00322692" w:rsidRPr="00F72162">
        <w:t>pressions sur des périodes de temps prolongées</w:t>
      </w:r>
      <w:r w:rsidR="00322692">
        <w:t xml:space="preserve"> n’exige pas la preuve de gestes identiques : </w:t>
      </w:r>
      <w:r w:rsidR="00647D2D" w:rsidRPr="00696E86">
        <w:rPr>
          <w:rStyle w:val="Citationintgre"/>
          <w:i w:val="0"/>
          <w:iCs/>
          <w:sz w:val="24"/>
          <w:szCs w:val="24"/>
        </w:rPr>
        <w:t>«</w:t>
      </w:r>
      <w:r w:rsidR="00647D2D" w:rsidRPr="00647D2D">
        <w:rPr>
          <w:rStyle w:val="Citationintgre"/>
        </w:rPr>
        <w:t xml:space="preserve"> Une multitude de gestes, quoique variés, s’ils sollicitent la même région anatomique peuvent, selon chaque cas, correspondre à la notion de travail impliquant des</w:t>
      </w:r>
      <w:r w:rsidR="00696E86">
        <w:rPr>
          <w:rStyle w:val="Citationintgre"/>
        </w:rPr>
        <w:t> </w:t>
      </w:r>
      <w:r w:rsidR="00647D2D" w:rsidRPr="00647D2D">
        <w:rPr>
          <w:rStyle w:val="Citationintgre"/>
        </w:rPr>
        <w:t>répétitions de mouvements ou de pressions sur des périodes de temps prolongées, leur</w:t>
      </w:r>
      <w:r w:rsidR="00696E86">
        <w:rPr>
          <w:rStyle w:val="Citationintgre"/>
        </w:rPr>
        <w:t> </w:t>
      </w:r>
      <w:r w:rsidR="00647D2D" w:rsidRPr="00647D2D">
        <w:rPr>
          <w:rStyle w:val="Citationintgre"/>
        </w:rPr>
        <w:t>cumul étant susceptible de causer une pathologie au même site</w:t>
      </w:r>
      <w:r w:rsidR="00696E86">
        <w:rPr>
          <w:rStyle w:val="Citationintgre"/>
        </w:rPr>
        <w:t> </w:t>
      </w:r>
      <w:r w:rsidR="00647D2D" w:rsidRPr="00696E86">
        <w:rPr>
          <w:rStyle w:val="Citationintgre"/>
          <w:i w:val="0"/>
          <w:iCs/>
          <w:sz w:val="24"/>
          <w:szCs w:val="24"/>
        </w:rPr>
        <w:t>»</w:t>
      </w:r>
      <w:r w:rsidR="00647D2D" w:rsidRPr="00696E86">
        <w:rPr>
          <w:rStyle w:val="Appelnotedebasdep"/>
          <w:szCs w:val="24"/>
        </w:rPr>
        <w:footnoteReference w:id="27"/>
      </w:r>
      <w:r w:rsidR="00647D2D" w:rsidRPr="00696E86">
        <w:rPr>
          <w:i/>
          <w:iCs/>
          <w:szCs w:val="24"/>
        </w:rPr>
        <w:t>.</w:t>
      </w:r>
    </w:p>
    <w:p w14:paraId="3BABBCE1" w14:textId="439D4C07" w:rsidR="00647D2D" w:rsidRDefault="00647D2D" w:rsidP="00647D2D">
      <w:pPr>
        <w:pStyle w:val="corpsdedcision"/>
      </w:pPr>
      <w:r>
        <w:t xml:space="preserve">Ce rappel est </w:t>
      </w:r>
      <w:r w:rsidR="002B3005">
        <w:t xml:space="preserve">ici </w:t>
      </w:r>
      <w:r>
        <w:t>particulièrement pertinent</w:t>
      </w:r>
      <w:r w:rsidR="002B3005">
        <w:t>,</w:t>
      </w:r>
      <w:r>
        <w:t xml:space="preserve"> puisque la preuve établit que le</w:t>
      </w:r>
      <w:r w:rsidR="00696E86">
        <w:t> </w:t>
      </w:r>
      <w:r>
        <w:t>travailleur exécute depuis 2010 des tâches variées qui impliquent une multitude de mouvements ou de pressions qui sollicitent son pouce droit de façon quasi continue et durant la quasi-totalité de ses quarts de travail.</w:t>
      </w:r>
    </w:p>
    <w:p w14:paraId="4C70CC15" w14:textId="6D8019D6" w:rsidR="00647D2D" w:rsidRDefault="00B6792E" w:rsidP="00647D2D">
      <w:pPr>
        <w:pStyle w:val="corpsdedcision"/>
      </w:pPr>
      <w:r>
        <w:t>De 2010 jusqu’à la manifestation de son doigt gâchette le 20 mai 2022, le</w:t>
      </w:r>
      <w:r w:rsidR="006C4141">
        <w:t> </w:t>
      </w:r>
      <w:r>
        <w:t xml:space="preserve">travailleur occupe divers postes </w:t>
      </w:r>
      <w:r w:rsidR="007312CC">
        <w:t xml:space="preserve">impliquant l’assemblage et l’installation </w:t>
      </w:r>
      <w:r>
        <w:t>de structures électriques chez l’employeur.</w:t>
      </w:r>
    </w:p>
    <w:p w14:paraId="2A74C56B" w14:textId="2C9A67FF" w:rsidR="00FF32FA" w:rsidRDefault="00B6792E" w:rsidP="00647D2D">
      <w:pPr>
        <w:pStyle w:val="corpsdedcision"/>
      </w:pPr>
      <w:r>
        <w:t xml:space="preserve">Hormis le dernier mois précédant la manifestation de sa maladie où son horaire est réduit à </w:t>
      </w:r>
      <w:r w:rsidR="00632B78">
        <w:t>16 ou 24 heures par semaine</w:t>
      </w:r>
      <w:r>
        <w:t xml:space="preserve">, il travaille 37,5 </w:t>
      </w:r>
      <w:r w:rsidR="00632B78">
        <w:t>heures hebdomadairement. Le</w:t>
      </w:r>
      <w:r w:rsidR="006C4141">
        <w:t> </w:t>
      </w:r>
      <w:r w:rsidR="00632B78">
        <w:t xml:space="preserve">Tribunal ne considère pas que la baisse </w:t>
      </w:r>
      <w:r w:rsidR="00FF32FA">
        <w:t>des heures à compter de la mi-avril 2022 empêche l’application de la présomption, considérant que le travailleur démontre que son</w:t>
      </w:r>
      <w:r w:rsidR="006C4141">
        <w:t> </w:t>
      </w:r>
      <w:r w:rsidR="00FF32FA">
        <w:t xml:space="preserve">pouce a continué d’être sollicité de façon </w:t>
      </w:r>
      <w:r w:rsidR="00426051">
        <w:t xml:space="preserve">constante </w:t>
      </w:r>
      <w:r w:rsidR="00FF32FA">
        <w:t xml:space="preserve">durant </w:t>
      </w:r>
      <w:r w:rsidR="007F16FA">
        <w:t>l</w:t>
      </w:r>
      <w:r w:rsidR="00FF32FA">
        <w:t>es quarts de travail</w:t>
      </w:r>
      <w:r w:rsidR="007312CC">
        <w:t xml:space="preserve"> de ces quatre dernières semaines</w:t>
      </w:r>
      <w:r w:rsidR="00FF32FA">
        <w:t>.</w:t>
      </w:r>
    </w:p>
    <w:p w14:paraId="5ACE509A" w14:textId="66F9691F" w:rsidR="00FF32FA" w:rsidRDefault="008151ED" w:rsidP="006C4141">
      <w:pPr>
        <w:pStyle w:val="corpsdedcision"/>
        <w:spacing w:after="240"/>
      </w:pPr>
      <w:r>
        <w:t>C</w:t>
      </w:r>
      <w:r w:rsidR="007312CC">
        <w:t xml:space="preserve">omme l’indique la liste de l’employeur contenue à l’enquête syndicale produite en preuve, les tâches que le travailleur est appelé à exécuter </w:t>
      </w:r>
      <w:r w:rsidR="00641DBB">
        <w:t>sur les tables d’assemblage ou lors de l’installation de c</w:t>
      </w:r>
      <w:r>
        <w:t>o</w:t>
      </w:r>
      <w:r w:rsidR="00641DBB">
        <w:t xml:space="preserve">mposantes sur les véhicules ambulanciers </w:t>
      </w:r>
      <w:r w:rsidR="007312CC">
        <w:t>sont nombreuses :</w:t>
      </w:r>
    </w:p>
    <w:p w14:paraId="5086CBC2" w14:textId="71B0941F" w:rsidR="007312CC" w:rsidRDefault="00641DBB" w:rsidP="006C4141">
      <w:pPr>
        <w:pStyle w:val="citation"/>
        <w:spacing w:after="60"/>
      </w:pPr>
      <w:r>
        <w:t xml:space="preserve">- </w:t>
      </w:r>
      <w:r w:rsidR="007312CC">
        <w:t>Assemblage d’appareils électriques (lumières,</w:t>
      </w:r>
      <w:r>
        <w:t xml:space="preserve"> </w:t>
      </w:r>
      <w:r w:rsidR="007312CC">
        <w:t>consoles, boîtes d’isolateur</w:t>
      </w:r>
      <w:r w:rsidR="00C657B1">
        <w:t>,</w:t>
      </w:r>
      <w:r w:rsidR="007312CC">
        <w:t xml:space="preserve"> etc.)</w:t>
      </w:r>
      <w:r>
        <w:t>;</w:t>
      </w:r>
    </w:p>
    <w:p w14:paraId="5E43B74D" w14:textId="2567C56C" w:rsidR="007312CC" w:rsidRDefault="00641DBB" w:rsidP="006C4141">
      <w:pPr>
        <w:pStyle w:val="citation"/>
        <w:spacing w:after="60"/>
      </w:pPr>
      <w:r>
        <w:t xml:space="preserve">- </w:t>
      </w:r>
      <w:r w:rsidR="007312CC">
        <w:t>Assemblage de la grille avant</w:t>
      </w:r>
      <w:r>
        <w:t>;</w:t>
      </w:r>
    </w:p>
    <w:p w14:paraId="05D72468" w14:textId="77777777" w:rsidR="00641DBB" w:rsidRDefault="00641DBB" w:rsidP="006C4141">
      <w:pPr>
        <w:pStyle w:val="citation"/>
        <w:spacing w:after="60"/>
      </w:pPr>
      <w:r>
        <w:t xml:space="preserve">- </w:t>
      </w:r>
      <w:r w:rsidR="007312CC">
        <w:t>Filage du cabinet médical</w:t>
      </w:r>
      <w:r>
        <w:t>;</w:t>
      </w:r>
    </w:p>
    <w:p w14:paraId="1ACBFCA1" w14:textId="451BF9CB" w:rsidR="007312CC" w:rsidRDefault="00641DBB" w:rsidP="006C4141">
      <w:pPr>
        <w:pStyle w:val="citation"/>
        <w:spacing w:after="60"/>
      </w:pPr>
      <w:r>
        <w:t xml:space="preserve">- </w:t>
      </w:r>
      <w:r w:rsidR="007312CC">
        <w:t>Pré-assemblage de chauffage auxiliaire et d’air</w:t>
      </w:r>
      <w:r>
        <w:t xml:space="preserve"> </w:t>
      </w:r>
      <w:r w:rsidR="007312CC">
        <w:t>climatisé</w:t>
      </w:r>
      <w:r>
        <w:t>;</w:t>
      </w:r>
    </w:p>
    <w:p w14:paraId="15C8DC07" w14:textId="64851D0E" w:rsidR="007312CC" w:rsidRDefault="00641DBB" w:rsidP="006C4141">
      <w:pPr>
        <w:pStyle w:val="citation"/>
        <w:spacing w:after="60"/>
      </w:pPr>
      <w:r>
        <w:t xml:space="preserve">- </w:t>
      </w:r>
      <w:r w:rsidR="007312CC">
        <w:t>Pré-assemblage de lumière</w:t>
      </w:r>
      <w:r>
        <w:t>s</w:t>
      </w:r>
      <w:r w:rsidR="007312CC">
        <w:t>, pose de connecteur</w:t>
      </w:r>
      <w:r>
        <w:t xml:space="preserve">s </w:t>
      </w:r>
      <w:r w:rsidR="007312CC">
        <w:t>et programmation</w:t>
      </w:r>
      <w:r>
        <w:t>;</w:t>
      </w:r>
    </w:p>
    <w:p w14:paraId="0F1059B2" w14:textId="77777777" w:rsidR="00641DBB" w:rsidRDefault="00641DBB" w:rsidP="006C4141">
      <w:pPr>
        <w:pStyle w:val="citation"/>
        <w:spacing w:after="60"/>
      </w:pPr>
      <w:r>
        <w:t xml:space="preserve">- </w:t>
      </w:r>
      <w:r w:rsidR="007312CC">
        <w:t>Pré-assemblage des caches moteurs</w:t>
      </w:r>
      <w:r>
        <w:t>;</w:t>
      </w:r>
    </w:p>
    <w:p w14:paraId="675A9C7E" w14:textId="4AFD8CB5" w:rsidR="00641DBB" w:rsidRDefault="00641DBB" w:rsidP="006C4141">
      <w:pPr>
        <w:pStyle w:val="citation"/>
        <w:spacing w:after="60"/>
      </w:pPr>
      <w:r>
        <w:t xml:space="preserve">- </w:t>
      </w:r>
      <w:r w:rsidR="007312CC">
        <w:t>Modification et mise à jour de harnais</w:t>
      </w:r>
      <w:r>
        <w:t xml:space="preserve"> </w:t>
      </w:r>
      <w:r w:rsidR="007312CC">
        <w:t>électriques</w:t>
      </w:r>
      <w:r>
        <w:t>;</w:t>
      </w:r>
    </w:p>
    <w:p w14:paraId="0FE17D0F" w14:textId="6F35E10F" w:rsidR="00641DBB" w:rsidRDefault="00641DBB" w:rsidP="006C4141">
      <w:pPr>
        <w:pStyle w:val="citation"/>
        <w:spacing w:after="60"/>
      </w:pPr>
      <w:r>
        <w:t xml:space="preserve">- </w:t>
      </w:r>
      <w:r w:rsidR="007312CC">
        <w:t>Montage de panneaux électriques</w:t>
      </w:r>
      <w:r>
        <w:t>;</w:t>
      </w:r>
    </w:p>
    <w:p w14:paraId="51E42ABC" w14:textId="3D1F124B" w:rsidR="00641DBB" w:rsidRDefault="00641DBB" w:rsidP="006C4141">
      <w:pPr>
        <w:pStyle w:val="citation"/>
        <w:spacing w:after="60"/>
      </w:pPr>
      <w:r>
        <w:t>- Raccordement de filage en dessous du tableau de bord;</w:t>
      </w:r>
    </w:p>
    <w:p w14:paraId="674BE921" w14:textId="6C0D968E" w:rsidR="00641DBB" w:rsidRDefault="00641DBB" w:rsidP="006C4141">
      <w:pPr>
        <w:pStyle w:val="citation"/>
        <w:spacing w:after="60"/>
      </w:pPr>
      <w:r>
        <w:t>- Raccordement des interrupteurs de portes au harnais principal;</w:t>
      </w:r>
    </w:p>
    <w:p w14:paraId="42B58332" w14:textId="6055BCDF" w:rsidR="00641DBB" w:rsidRDefault="00641DBB" w:rsidP="006C4141">
      <w:pPr>
        <w:pStyle w:val="citation"/>
        <w:spacing w:after="60"/>
      </w:pPr>
      <w:r>
        <w:t>- Connexion des feux arrière;</w:t>
      </w:r>
    </w:p>
    <w:p w14:paraId="44CF8FE9" w14:textId="543B9772" w:rsidR="00641DBB" w:rsidRDefault="00641DBB" w:rsidP="006C4141">
      <w:pPr>
        <w:pStyle w:val="citation"/>
        <w:spacing w:after="60"/>
      </w:pPr>
      <w:r>
        <w:t>- Installation et connexion de l’alarme de recul;</w:t>
      </w:r>
    </w:p>
    <w:p w14:paraId="5E8744C7" w14:textId="77777777" w:rsidR="00641DBB" w:rsidRDefault="00641DBB" w:rsidP="006C4141">
      <w:pPr>
        <w:pStyle w:val="citation"/>
        <w:spacing w:after="60"/>
      </w:pPr>
      <w:r>
        <w:t>- Installation du harnais 110V, des ventilateurs et du harnais de la caméra de recul;</w:t>
      </w:r>
    </w:p>
    <w:p w14:paraId="5C796794" w14:textId="77777777" w:rsidR="008151ED" w:rsidRDefault="00641DBB" w:rsidP="006C4141">
      <w:pPr>
        <w:pStyle w:val="citation"/>
        <w:spacing w:after="60"/>
      </w:pPr>
      <w:r>
        <w:t>- Installation de la sortie de ventilation</w:t>
      </w:r>
      <w:r w:rsidR="008151ED">
        <w:t xml:space="preserve"> et</w:t>
      </w:r>
      <w:r>
        <w:t xml:space="preserve"> du clignotant latéral</w:t>
      </w:r>
      <w:r w:rsidR="008151ED">
        <w:t>;</w:t>
      </w:r>
    </w:p>
    <w:p w14:paraId="33716A9B" w14:textId="77777777" w:rsidR="008151ED" w:rsidRDefault="008151ED" w:rsidP="006C4141">
      <w:pPr>
        <w:pStyle w:val="citation"/>
        <w:spacing w:after="60"/>
      </w:pPr>
      <w:r>
        <w:t xml:space="preserve">- </w:t>
      </w:r>
      <w:r w:rsidR="00641DBB">
        <w:t xml:space="preserve">Installation </w:t>
      </w:r>
      <w:r>
        <w:t xml:space="preserve">de la </w:t>
      </w:r>
      <w:r w:rsidR="00641DBB">
        <w:t>lumière de licence</w:t>
      </w:r>
      <w:r>
        <w:t xml:space="preserve"> et de la</w:t>
      </w:r>
      <w:r w:rsidR="00641DBB">
        <w:t xml:space="preserve"> lumière de compartiment</w:t>
      </w:r>
      <w:r>
        <w:t>;</w:t>
      </w:r>
    </w:p>
    <w:p w14:paraId="5C0F3679" w14:textId="77777777" w:rsidR="008151ED" w:rsidRDefault="008151ED" w:rsidP="006C4141">
      <w:pPr>
        <w:pStyle w:val="citation"/>
        <w:spacing w:after="60"/>
      </w:pPr>
      <w:r>
        <w:t xml:space="preserve">- </w:t>
      </w:r>
      <w:r w:rsidR="00641DBB">
        <w:t>Installation du système antivol et Eco</w:t>
      </w:r>
      <w:r>
        <w:t>;</w:t>
      </w:r>
    </w:p>
    <w:p w14:paraId="7A30895B" w14:textId="7D2DE1E3" w:rsidR="008151ED" w:rsidRDefault="008151ED" w:rsidP="006C4141">
      <w:pPr>
        <w:pStyle w:val="citation"/>
        <w:spacing w:after="60"/>
      </w:pPr>
      <w:r>
        <w:t xml:space="preserve">- </w:t>
      </w:r>
      <w:r w:rsidR="00641DBB">
        <w:t>Installation du détecteur d'obstacle</w:t>
      </w:r>
      <w:r>
        <w:t>;</w:t>
      </w:r>
    </w:p>
    <w:p w14:paraId="548D9FC9" w14:textId="643FB381" w:rsidR="008151ED" w:rsidRDefault="008151ED" w:rsidP="006C4141">
      <w:pPr>
        <w:pStyle w:val="citation"/>
        <w:spacing w:after="60"/>
      </w:pPr>
      <w:r>
        <w:t xml:space="preserve">- </w:t>
      </w:r>
      <w:r w:rsidR="00641DBB">
        <w:t>Connexion des lumières de gabarit</w:t>
      </w:r>
      <w:r>
        <w:t>;</w:t>
      </w:r>
    </w:p>
    <w:p w14:paraId="55F8C0C3" w14:textId="7AD64762" w:rsidR="008151ED" w:rsidRDefault="008151ED" w:rsidP="006C4141">
      <w:pPr>
        <w:pStyle w:val="citation"/>
        <w:spacing w:after="60"/>
      </w:pPr>
      <w:r>
        <w:t xml:space="preserve">- </w:t>
      </w:r>
      <w:r w:rsidR="00641DBB">
        <w:t>Fixation et connexion des convertisseurs de courant</w:t>
      </w:r>
      <w:r>
        <w:t>;</w:t>
      </w:r>
      <w:r w:rsidR="00641DBB">
        <w:t xml:space="preserve"> </w:t>
      </w:r>
    </w:p>
    <w:p w14:paraId="52E63B85" w14:textId="77777777" w:rsidR="008151ED" w:rsidRDefault="008151ED" w:rsidP="006C4141">
      <w:pPr>
        <w:pStyle w:val="citation"/>
        <w:spacing w:after="60"/>
      </w:pPr>
      <w:r>
        <w:t xml:space="preserve">- </w:t>
      </w:r>
      <w:r w:rsidR="00641DBB">
        <w:t>Installation des harnais de miroir</w:t>
      </w:r>
      <w:r>
        <w:t>;</w:t>
      </w:r>
    </w:p>
    <w:p w14:paraId="2349C2D6" w14:textId="77777777" w:rsidR="008151ED" w:rsidRDefault="008151ED" w:rsidP="006C4141">
      <w:pPr>
        <w:pStyle w:val="citation"/>
        <w:spacing w:after="60"/>
      </w:pPr>
      <w:r>
        <w:t xml:space="preserve">- </w:t>
      </w:r>
      <w:r w:rsidR="00641DBB">
        <w:t>Installation de panneaux électriques dans la base de siège (EXE)</w:t>
      </w:r>
      <w:r>
        <w:t>;</w:t>
      </w:r>
    </w:p>
    <w:p w14:paraId="0590CC81" w14:textId="77777777" w:rsidR="008151ED" w:rsidRDefault="008151ED" w:rsidP="006C4141">
      <w:pPr>
        <w:pStyle w:val="citation"/>
        <w:spacing w:after="60"/>
      </w:pPr>
      <w:r>
        <w:t xml:space="preserve">- </w:t>
      </w:r>
      <w:r w:rsidR="00641DBB">
        <w:t>Fixation des harnais</w:t>
      </w:r>
      <w:r>
        <w:t>;</w:t>
      </w:r>
    </w:p>
    <w:p w14:paraId="5BDE0E81" w14:textId="35E4E107" w:rsidR="008151ED" w:rsidRDefault="008151ED" w:rsidP="006C4141">
      <w:pPr>
        <w:pStyle w:val="citation"/>
        <w:spacing w:after="60"/>
      </w:pPr>
      <w:r>
        <w:t xml:space="preserve">- </w:t>
      </w:r>
      <w:r w:rsidR="00641DBB">
        <w:t>Perçage de trous sur le module (passage de fils)</w:t>
      </w:r>
      <w:r>
        <w:t>;</w:t>
      </w:r>
    </w:p>
    <w:p w14:paraId="5901944F" w14:textId="77777777" w:rsidR="008151ED" w:rsidRDefault="008151ED" w:rsidP="006C4141">
      <w:pPr>
        <w:pStyle w:val="citation"/>
        <w:spacing w:after="60"/>
      </w:pPr>
      <w:r>
        <w:t xml:space="preserve">- </w:t>
      </w:r>
      <w:r w:rsidR="00641DBB">
        <w:t>Installation de sortie</w:t>
      </w:r>
      <w:r>
        <w:t>s</w:t>
      </w:r>
      <w:r w:rsidR="00641DBB">
        <w:t xml:space="preserve"> d’air</w:t>
      </w:r>
      <w:r>
        <w:t xml:space="preserve"> et </w:t>
      </w:r>
      <w:r w:rsidR="00641DBB">
        <w:t>des lumières extérieures</w:t>
      </w:r>
      <w:r>
        <w:t>;</w:t>
      </w:r>
    </w:p>
    <w:p w14:paraId="397599D1" w14:textId="67514044" w:rsidR="008151ED" w:rsidRDefault="008151ED" w:rsidP="006C4141">
      <w:pPr>
        <w:pStyle w:val="citation"/>
        <w:spacing w:after="360"/>
      </w:pPr>
      <w:r>
        <w:t xml:space="preserve">- </w:t>
      </w:r>
      <w:r w:rsidR="00641DBB">
        <w:t>Branchement d’accessoires (A/C, succion et chauffage)</w:t>
      </w:r>
      <w:r w:rsidR="004E53F7">
        <w:t>.</w:t>
      </w:r>
    </w:p>
    <w:p w14:paraId="32D3C4C1" w14:textId="78129B50" w:rsidR="008151ED" w:rsidRDefault="008151ED" w:rsidP="00641DBB">
      <w:pPr>
        <w:pStyle w:val="corpsdedcision"/>
      </w:pPr>
      <w:r>
        <w:t>Il est vrai, comme le fait remarquer l’employeur en plaidoirie, que le travailleur ne</w:t>
      </w:r>
      <w:r w:rsidR="006C4141">
        <w:t> </w:t>
      </w:r>
      <w:r>
        <w:t xml:space="preserve">décrit pas à l’audience chacune de </w:t>
      </w:r>
      <w:r w:rsidR="00D83CF3">
        <w:t>s</w:t>
      </w:r>
      <w:r>
        <w:t>es tâches.</w:t>
      </w:r>
    </w:p>
    <w:p w14:paraId="20ABB185" w14:textId="207D9A95" w:rsidR="00B011FA" w:rsidRDefault="008151ED" w:rsidP="00B011FA">
      <w:pPr>
        <w:pStyle w:val="corpsdedcision"/>
      </w:pPr>
      <w:r>
        <w:t xml:space="preserve">Il fournit toutefois des exemples détaillés </w:t>
      </w:r>
      <w:r w:rsidR="00350579">
        <w:t>de certaines d’entre elles</w:t>
      </w:r>
      <w:r w:rsidR="0035055E">
        <w:t xml:space="preserve">, </w:t>
      </w:r>
      <w:r w:rsidR="007F16FA">
        <w:t xml:space="preserve">notamment </w:t>
      </w:r>
      <w:r w:rsidR="00350579">
        <w:t>en</w:t>
      </w:r>
      <w:r w:rsidR="006C4141">
        <w:t> </w:t>
      </w:r>
      <w:r w:rsidR="00350579">
        <w:t xml:space="preserve">quoi consistent l’installation des lumières et de diverses lentilles, </w:t>
      </w:r>
      <w:r w:rsidR="0035055E">
        <w:t>la préparation du</w:t>
      </w:r>
      <w:r w:rsidR="006C4141">
        <w:t> </w:t>
      </w:r>
      <w:r w:rsidR="00350579">
        <w:t xml:space="preserve">filage </w:t>
      </w:r>
      <w:r w:rsidR="0035055E">
        <w:t xml:space="preserve">des composantes, l’installation de harnais, de supports de ventilateurs ou de </w:t>
      </w:r>
      <w:r w:rsidR="00934E65">
        <w:t>climatiseur</w:t>
      </w:r>
      <w:r w:rsidR="0035055E">
        <w:t>s.</w:t>
      </w:r>
      <w:r w:rsidR="00B011FA">
        <w:t xml:space="preserve"> Il précise que peu importe le module ou la composante électrique qu’il est appelé à assembler ou à installer, ses tâches demeurent essentiellement les mêmes.</w:t>
      </w:r>
    </w:p>
    <w:p w14:paraId="7F376827" w14:textId="4E683345" w:rsidR="00934E65" w:rsidRDefault="004E50DD" w:rsidP="007E08A8">
      <w:pPr>
        <w:pStyle w:val="corpsdedcision"/>
      </w:pPr>
      <w:r>
        <w:t>Sauf</w:t>
      </w:r>
      <w:r w:rsidR="00B011FA">
        <w:t xml:space="preserve"> les inscriptions qu’il doit parfois faire à l’ordinateur et qui requièrent au</w:t>
      </w:r>
      <w:r w:rsidR="006C4141">
        <w:t> </w:t>
      </w:r>
      <w:r w:rsidR="00B011FA">
        <w:t xml:space="preserve">maximum 30 minutes par quart de travail, </w:t>
      </w:r>
      <w:r w:rsidR="007F16FA">
        <w:t xml:space="preserve">il affirme que </w:t>
      </w:r>
      <w:r w:rsidR="00B011FA">
        <w:t>toutes les tâches sollicitent son pouce droit de façon constante, bien qu’aucune cadence précise ne lui soit imposée</w:t>
      </w:r>
      <w:r w:rsidR="005D3DE6">
        <w:t xml:space="preserve"> ou que l’effort déployé</w:t>
      </w:r>
      <w:r w:rsidR="00934E65">
        <w:t xml:space="preserve"> pour réaliser chacune d’elles</w:t>
      </w:r>
      <w:r w:rsidR="005D3DE6">
        <w:t xml:space="preserve"> </w:t>
      </w:r>
      <w:r w:rsidR="00934E65">
        <w:t>soit</w:t>
      </w:r>
      <w:r w:rsidR="005D3DE6">
        <w:t xml:space="preserve"> vari</w:t>
      </w:r>
      <w:r w:rsidR="007F16FA">
        <w:t>a</w:t>
      </w:r>
      <w:r w:rsidR="005D3DE6">
        <w:t>ble</w:t>
      </w:r>
      <w:r w:rsidR="00B011FA">
        <w:t>.</w:t>
      </w:r>
      <w:r w:rsidR="007F16FA">
        <w:t xml:space="preserve"> </w:t>
      </w:r>
    </w:p>
    <w:p w14:paraId="6D119C13" w14:textId="516A89DB" w:rsidR="00B011FA" w:rsidRDefault="007E08A8" w:rsidP="007E08A8">
      <w:pPr>
        <w:pStyle w:val="corpsdedcision"/>
      </w:pPr>
      <w:r w:rsidRPr="007E08A8">
        <w:t>À noter que le travailleur est droitier.</w:t>
      </w:r>
    </w:p>
    <w:p w14:paraId="12A2FFEF" w14:textId="727591A8" w:rsidR="0039608F" w:rsidRDefault="0039608F" w:rsidP="006938AA">
      <w:pPr>
        <w:pStyle w:val="corpsdedcision"/>
      </w:pPr>
      <w:r>
        <w:t>Cette sollicitation est due à la préhension et l’utilisation d’outils comme une</w:t>
      </w:r>
      <w:r w:rsidR="006C4141">
        <w:t> </w:t>
      </w:r>
      <w:r>
        <w:t>panoplie de pinces coupantes, à sertir et à dénuder, des perceuses visseuses, parfois à impact, d’outils pneumatiques (ébavureur, pistolet),</w:t>
      </w:r>
      <w:r w:rsidR="007F16FA">
        <w:t xml:space="preserve"> ainsi que</w:t>
      </w:r>
      <w:r>
        <w:t xml:space="preserve"> de</w:t>
      </w:r>
      <w:r w:rsidR="007F16FA">
        <w:t>s</w:t>
      </w:r>
      <w:r>
        <w:t xml:space="preserve"> scies sauteuse ou va-et-vient.</w:t>
      </w:r>
      <w:r w:rsidR="006938AA">
        <w:t xml:space="preserve"> </w:t>
      </w:r>
      <w:r w:rsidR="006938AA" w:rsidRPr="006938AA">
        <w:t>La préhension de ces outils, parfois vibrants, implique une</w:t>
      </w:r>
      <w:r w:rsidR="006C4141">
        <w:t> </w:t>
      </w:r>
      <w:r w:rsidR="006938AA" w:rsidRPr="006938AA">
        <w:t>certaine force et implique des pressions ou impacts répétés contre la base du pouce, soit contre l’éminence thénarienne située à proximité de la poulie anatomique où survient le phénomène de gâchette.</w:t>
      </w:r>
    </w:p>
    <w:p w14:paraId="651B26ED" w14:textId="58D7E41D" w:rsidR="004C005E" w:rsidRDefault="0039608F" w:rsidP="004C005E">
      <w:pPr>
        <w:pStyle w:val="corpsdedcision"/>
      </w:pPr>
      <w:r>
        <w:t>L’utilisation de ces outils est entrecoupée par des tâches de préparation, de</w:t>
      </w:r>
      <w:r w:rsidR="006C4141">
        <w:t> </w:t>
      </w:r>
      <w:r>
        <w:t xml:space="preserve">nettoyage ou d’installation qui requièrent la préhension et la manipulation d’accessoires, par exemple, </w:t>
      </w:r>
      <w:r w:rsidR="004C005E">
        <w:t xml:space="preserve">un </w:t>
      </w:r>
      <w:r w:rsidR="006C4141">
        <w:t>couteau de précision</w:t>
      </w:r>
      <w:r w:rsidR="004C005E">
        <w:t>, des tampons à récurer, des</w:t>
      </w:r>
      <w:r w:rsidR="006C4141">
        <w:t> </w:t>
      </w:r>
      <w:r w:rsidR="004C005E">
        <w:t>pinceaux, des rubans adhésifs</w:t>
      </w:r>
      <w:r w:rsidR="004E50DD">
        <w:t>, des gabarits</w:t>
      </w:r>
      <w:r w:rsidR="004C005E">
        <w:t xml:space="preserve"> et des attaches autobloquantes. </w:t>
      </w:r>
    </w:p>
    <w:p w14:paraId="57434BE4" w14:textId="6E59F88E" w:rsidR="004E50DD" w:rsidRDefault="004E50DD" w:rsidP="004C005E">
      <w:pPr>
        <w:pStyle w:val="corpsdedcision"/>
      </w:pPr>
      <w:r>
        <w:t>Hormis la sollicitation du pouce droit caus</w:t>
      </w:r>
      <w:r w:rsidR="007F16FA">
        <w:t>ée par</w:t>
      </w:r>
      <w:r>
        <w:t xml:space="preserve"> l’utilisation des outils et des</w:t>
      </w:r>
      <w:r w:rsidR="006C4141">
        <w:t> </w:t>
      </w:r>
      <w:r>
        <w:t xml:space="preserve">accessoires, </w:t>
      </w:r>
      <w:r w:rsidR="007F16FA">
        <w:t>c</w:t>
      </w:r>
      <w:r>
        <w:t>elle</w:t>
      </w:r>
      <w:r w:rsidR="007F16FA">
        <w:t>-ci</w:t>
      </w:r>
      <w:r>
        <w:t xml:space="preserve"> se poursuit lorsqu’il manie les composantes elles-mêmes ou leur emballage</w:t>
      </w:r>
      <w:r w:rsidR="00BD1B54">
        <w:t xml:space="preserve"> ou</w:t>
      </w:r>
      <w:r>
        <w:t xml:space="preserve"> lorsqu’il les </w:t>
      </w:r>
      <w:r w:rsidR="00BD1B54">
        <w:t xml:space="preserve">tient </w:t>
      </w:r>
      <w:r>
        <w:t>en place pour les installer.</w:t>
      </w:r>
    </w:p>
    <w:p w14:paraId="2308C30C" w14:textId="7979E912" w:rsidR="004E50DD" w:rsidRDefault="004E50DD" w:rsidP="004C005E">
      <w:pPr>
        <w:pStyle w:val="corpsdedcision"/>
      </w:pPr>
      <w:r>
        <w:t>En définitive, le travailleur fait la preuve que les mouvements et les pressions qu’impliquent l’ensemble de ses tâches sollicitent sans période de repos son pouce droit de façon répétée, voire continue, et ce, de façon prolongée, soit durant la quasi-totalité de ses quarts de travail depuis douze ans.</w:t>
      </w:r>
    </w:p>
    <w:p w14:paraId="1E7133D2" w14:textId="0CA14D0F" w:rsidR="004E50DD" w:rsidRDefault="004E50DD" w:rsidP="004C005E">
      <w:pPr>
        <w:pStyle w:val="corpsdedcision"/>
      </w:pPr>
      <w:r>
        <w:t xml:space="preserve">La condition prévue </w:t>
      </w:r>
      <w:r w:rsidR="00B01619">
        <w:t>à la section VI de l’annexe A du Règlement étant rencontrée, le doi</w:t>
      </w:r>
      <w:r w:rsidR="006C4141">
        <w:t>g</w:t>
      </w:r>
      <w:r w:rsidR="00B01619">
        <w:t>t gâchette du pouce droit du travailleur peut donc être présumé à titre de maladie professionnelle.</w:t>
      </w:r>
    </w:p>
    <w:p w14:paraId="5917504E" w14:textId="0BA398F5" w:rsidR="00B01619" w:rsidRDefault="00B01619" w:rsidP="00B01619">
      <w:pPr>
        <w:pStyle w:val="corpsdedcision"/>
      </w:pPr>
      <w:r>
        <w:t xml:space="preserve">L’employeur ne fournit aucune preuve permettant de renverser cette présomption, s’étant plutôt limité à plaider que le travailleur ne s’était pas déchargé de son fardeau de preuve, ce que le Tribunal ne partage pas. Il ne démontre pas notamment l’existence d’une autre cause à l’origine du doigt gâchette du pouce droit </w:t>
      </w:r>
      <w:r w:rsidRPr="00B01619">
        <w:t xml:space="preserve">ou l’absence de relation entre la maladie et le travail effectué par </w:t>
      </w:r>
      <w:r>
        <w:t>le travailleur.</w:t>
      </w:r>
    </w:p>
    <w:p w14:paraId="40971660" w14:textId="7FCCD1B6" w:rsidR="00B01619" w:rsidRDefault="00B01619" w:rsidP="00B01619">
      <w:pPr>
        <w:pStyle w:val="corpsdedcision"/>
      </w:pPr>
      <w:r>
        <w:t>Dans ce contexte, le Tribunal conclut que le doigt gâchette du pouce droit du</w:t>
      </w:r>
      <w:r w:rsidR="006C4141">
        <w:t> </w:t>
      </w:r>
      <w:r>
        <w:t>travailleur, diagnostiqué le 20 mai 2022, constitue une maladie professionnelle.</w:t>
      </w:r>
    </w:p>
    <w:p w14:paraId="76784F97" w14:textId="119CDE5D"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468FA85C" w14:textId="5A76902A" w:rsidR="008F0847" w:rsidRPr="004C3001" w:rsidRDefault="008F0847" w:rsidP="00DC2A29">
      <w:pPr>
        <w:pStyle w:val="Dispositif"/>
      </w:pPr>
      <w:r w:rsidRPr="008F0847">
        <w:rPr>
          <w:b/>
        </w:rPr>
        <w:t>DÉCLARE</w:t>
      </w:r>
      <w:r>
        <w:rPr>
          <w:b/>
        </w:rPr>
        <w:t xml:space="preserve"> </w:t>
      </w:r>
      <w:r>
        <w:rPr>
          <w:bCs/>
        </w:rPr>
        <w:t>recevable la contestation</w:t>
      </w:r>
      <w:r w:rsidR="00341959">
        <w:rPr>
          <w:bCs/>
        </w:rPr>
        <w:t xml:space="preserve"> produite </w:t>
      </w:r>
      <w:r w:rsidR="00BC532C">
        <w:rPr>
          <w:bCs/>
        </w:rPr>
        <w:t xml:space="preserve">le 3 février 2023 </w:t>
      </w:r>
      <w:r w:rsidR="00341959">
        <w:rPr>
          <w:bCs/>
        </w:rPr>
        <w:t xml:space="preserve">par </w:t>
      </w:r>
      <w:r w:rsidR="00341959">
        <w:t xml:space="preserve">le travailleur, </w:t>
      </w:r>
      <w:r w:rsidR="00341959" w:rsidRPr="006C4141">
        <w:t>monsieur</w:t>
      </w:r>
      <w:r w:rsidR="006C4141">
        <w:t> </w:t>
      </w:r>
      <w:r w:rsidR="00341959" w:rsidRPr="006C4141">
        <w:t>Sergey</w:t>
      </w:r>
      <w:r w:rsidR="00341959" w:rsidRPr="00F32384">
        <w:t xml:space="preserve"> Kouperchand</w:t>
      </w:r>
      <w:r w:rsidR="00341959">
        <w:t>;</w:t>
      </w:r>
    </w:p>
    <w:p w14:paraId="00925A81" w14:textId="3C78C26B" w:rsidR="00DC2A29" w:rsidRDefault="009D601C" w:rsidP="00DC2A29">
      <w:pPr>
        <w:pStyle w:val="Dispositif"/>
      </w:pPr>
      <w:r>
        <w:rPr>
          <w:b/>
        </w:rPr>
        <w:t>ACCUE</w:t>
      </w:r>
      <w:r w:rsidR="00DC2A29">
        <w:rPr>
          <w:b/>
        </w:rPr>
        <w:t>ILLE</w:t>
      </w:r>
      <w:r w:rsidR="00DC2A29">
        <w:t xml:space="preserve"> la contestation </w:t>
      </w:r>
      <w:r w:rsidR="002D7FAC">
        <w:t>du</w:t>
      </w:r>
      <w:r w:rsidR="00A75150">
        <w:t xml:space="preserve"> travailleur</w:t>
      </w:r>
      <w:r w:rsidR="00F32384">
        <w:t>;</w:t>
      </w:r>
    </w:p>
    <w:p w14:paraId="09A6CA14" w14:textId="1CF284FB" w:rsidR="00DC2A29" w:rsidRDefault="00DC2A29" w:rsidP="00DC2A29">
      <w:pPr>
        <w:pStyle w:val="Dispositif"/>
      </w:pPr>
      <w:r>
        <w:rPr>
          <w:b/>
        </w:rPr>
        <w:t>INFIRME</w:t>
      </w:r>
      <w:r>
        <w:t xml:space="preserve"> la décision de la Commission des normes, de l’équité, de la santé et de</w:t>
      </w:r>
      <w:r w:rsidR="006C4141">
        <w:t> </w:t>
      </w:r>
      <w:r>
        <w:t>la</w:t>
      </w:r>
      <w:r w:rsidR="006C4141">
        <w:t> </w:t>
      </w:r>
      <w:r>
        <w:t xml:space="preserve">sécurité du travail rendue le </w:t>
      </w:r>
      <w:r w:rsidR="00F32384">
        <w:t>9 décembre 2022</w:t>
      </w:r>
      <w:r>
        <w:t>, à la suite d’une révision administrative;</w:t>
      </w:r>
    </w:p>
    <w:p w14:paraId="69C9B151" w14:textId="2FF6D285" w:rsidR="00453D99" w:rsidRPr="00453D99" w:rsidRDefault="00DC2A29" w:rsidP="00453D99">
      <w:pPr>
        <w:pStyle w:val="Dispositif"/>
      </w:pPr>
      <w:r>
        <w:rPr>
          <w:b/>
        </w:rPr>
        <w:t>DÉCLARE</w:t>
      </w:r>
      <w:r>
        <w:t xml:space="preserve"> que</w:t>
      </w:r>
      <w:r w:rsidR="00BC532C">
        <w:t xml:space="preserve"> le travailleur </w:t>
      </w:r>
      <w:r w:rsidR="00453D99" w:rsidRPr="00453D99">
        <w:t xml:space="preserve">est atteint d’une maladie professionnelle s’étant manifestée le </w:t>
      </w:r>
      <w:r w:rsidR="00453D99">
        <w:t>20 mai 2022</w:t>
      </w:r>
      <w:r w:rsidR="00453D99" w:rsidRPr="00453D99">
        <w:t>;</w:t>
      </w:r>
    </w:p>
    <w:p w14:paraId="79A46AEE" w14:textId="77777777" w:rsidR="00453D99" w:rsidRPr="00453D99" w:rsidRDefault="00453D99" w:rsidP="00453D99">
      <w:pPr>
        <w:pStyle w:val="Dispositif"/>
      </w:pPr>
      <w:r w:rsidRPr="00453D99">
        <w:rPr>
          <w:b/>
          <w:bCs/>
        </w:rPr>
        <w:t>DÉCLARE</w:t>
      </w:r>
      <w:r w:rsidRPr="00453D99">
        <w:t xml:space="preserve"> que le travailleur a droit aux prestations prévues par la </w:t>
      </w:r>
      <w:r w:rsidRPr="00453D99">
        <w:rPr>
          <w:i/>
          <w:iCs/>
        </w:rPr>
        <w:t>Loi sur les accidents du travail et les maladies professionnelles</w:t>
      </w:r>
      <w:r w:rsidRPr="00453D99">
        <w:t>.</w:t>
      </w:r>
    </w:p>
    <w:p w14:paraId="30FAFEB9" w14:textId="77777777"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50F889F8" w14:textId="77777777">
        <w:tc>
          <w:tcPr>
            <w:tcW w:w="4795" w:type="dxa"/>
          </w:tcPr>
          <w:p w14:paraId="280ADE11" w14:textId="77777777" w:rsidR="00C74B6F" w:rsidRDefault="00C74B6F"/>
        </w:tc>
        <w:tc>
          <w:tcPr>
            <w:tcW w:w="4795" w:type="dxa"/>
          </w:tcPr>
          <w:p w14:paraId="43F60A5E" w14:textId="77777777" w:rsidR="00C74B6F" w:rsidRDefault="00C74B6F">
            <w:bookmarkStart w:id="15" w:name="signature"/>
            <w:bookmarkEnd w:id="15"/>
            <w:r>
              <w:t>__________________________________</w:t>
            </w:r>
          </w:p>
        </w:tc>
      </w:tr>
      <w:tr w:rsidR="00C74B6F" w14:paraId="6BB737D8" w14:textId="77777777">
        <w:tc>
          <w:tcPr>
            <w:tcW w:w="4795" w:type="dxa"/>
          </w:tcPr>
          <w:p w14:paraId="69D1D66B" w14:textId="77777777" w:rsidR="00C74B6F" w:rsidRDefault="00C74B6F"/>
        </w:tc>
        <w:tc>
          <w:tcPr>
            <w:tcW w:w="4795" w:type="dxa"/>
          </w:tcPr>
          <w:p w14:paraId="321BB338" w14:textId="3EA8680B" w:rsidR="00C74B6F" w:rsidRDefault="00943ACE">
            <w:r w:rsidRPr="00943ACE">
              <w:t>Isabelle St-Jean</w:t>
            </w:r>
          </w:p>
        </w:tc>
      </w:tr>
      <w:tr w:rsidR="00C74B6F" w14:paraId="12E8F13E" w14:textId="77777777">
        <w:trPr>
          <w:cantSplit/>
        </w:trPr>
        <w:tc>
          <w:tcPr>
            <w:tcW w:w="9590" w:type="dxa"/>
            <w:gridSpan w:val="2"/>
          </w:tcPr>
          <w:p w14:paraId="6EE644C3" w14:textId="77777777" w:rsidR="00C74B6F" w:rsidRDefault="00C74B6F"/>
        </w:tc>
      </w:tr>
      <w:tr w:rsidR="00C74B6F" w14:paraId="1070F169" w14:textId="77777777">
        <w:trPr>
          <w:cantSplit/>
        </w:trPr>
        <w:tc>
          <w:tcPr>
            <w:tcW w:w="9590" w:type="dxa"/>
            <w:gridSpan w:val="2"/>
          </w:tcPr>
          <w:p w14:paraId="150F8BC0" w14:textId="77777777" w:rsidR="00C74B6F" w:rsidRDefault="00C74B6F"/>
        </w:tc>
      </w:tr>
      <w:tr w:rsidR="00C74B6F" w14:paraId="4808A05D" w14:textId="77777777">
        <w:trPr>
          <w:cantSplit/>
        </w:trPr>
        <w:tc>
          <w:tcPr>
            <w:tcW w:w="9590" w:type="dxa"/>
            <w:gridSpan w:val="2"/>
          </w:tcPr>
          <w:p w14:paraId="57EA0682" w14:textId="6EF3F0C3" w:rsidR="00C74B6F" w:rsidRDefault="00F32384">
            <w:pPr>
              <w:pStyle w:val="zSoquijdatNomProcureurDem"/>
            </w:pPr>
            <w:r>
              <w:t xml:space="preserve">M. </w:t>
            </w:r>
            <w:r w:rsidRPr="00F32384">
              <w:t>Éric Blanchet</w:t>
            </w:r>
          </w:p>
        </w:tc>
      </w:tr>
      <w:tr w:rsidR="00C74B6F" w14:paraId="3981BD79" w14:textId="77777777">
        <w:trPr>
          <w:cantSplit/>
        </w:trPr>
        <w:tc>
          <w:tcPr>
            <w:tcW w:w="9590" w:type="dxa"/>
            <w:gridSpan w:val="2"/>
          </w:tcPr>
          <w:p w14:paraId="0DFCE249" w14:textId="72F35E44" w:rsidR="00C74B6F" w:rsidRDefault="00F32384">
            <w:pPr>
              <w:pStyle w:val="zSoquijdatCabinetProcureurDem"/>
            </w:pPr>
            <w:r w:rsidRPr="00F32384">
              <w:t>SDAT-Unifor Québec</w:t>
            </w:r>
          </w:p>
        </w:tc>
      </w:tr>
      <w:tr w:rsidR="00C74B6F" w14:paraId="7E4C17DA" w14:textId="77777777">
        <w:trPr>
          <w:cantSplit/>
        </w:trPr>
        <w:tc>
          <w:tcPr>
            <w:tcW w:w="9590" w:type="dxa"/>
            <w:gridSpan w:val="2"/>
          </w:tcPr>
          <w:p w14:paraId="414E9237" w14:textId="77777777" w:rsidR="00C74B6F" w:rsidRDefault="00CB05A7">
            <w:pPr>
              <w:pStyle w:val="zSoquijlblProcureurDem"/>
            </w:pPr>
            <w:r>
              <w:t>Pour la partie demanderesse</w:t>
            </w:r>
          </w:p>
        </w:tc>
      </w:tr>
      <w:tr w:rsidR="00C74B6F" w14:paraId="3FAC2160" w14:textId="77777777">
        <w:trPr>
          <w:cantSplit/>
        </w:trPr>
        <w:tc>
          <w:tcPr>
            <w:tcW w:w="9590" w:type="dxa"/>
            <w:gridSpan w:val="2"/>
          </w:tcPr>
          <w:p w14:paraId="483BF829" w14:textId="77777777" w:rsidR="00C74B6F" w:rsidRDefault="00C74B6F"/>
        </w:tc>
      </w:tr>
      <w:tr w:rsidR="00C74B6F" w14:paraId="2E0DEEF5" w14:textId="77777777">
        <w:trPr>
          <w:cantSplit/>
        </w:trPr>
        <w:tc>
          <w:tcPr>
            <w:tcW w:w="9590" w:type="dxa"/>
            <w:gridSpan w:val="2"/>
          </w:tcPr>
          <w:p w14:paraId="4989299B" w14:textId="6D876168" w:rsidR="00C74B6F" w:rsidRDefault="00F32384">
            <w:pPr>
              <w:pStyle w:val="zSoquijdatNomProcureurDef"/>
            </w:pPr>
            <w:r w:rsidRPr="00F32384">
              <w:t>M</w:t>
            </w:r>
            <w:r w:rsidRPr="00F32384">
              <w:rPr>
                <w:vertAlign w:val="superscript"/>
              </w:rPr>
              <w:t>e</w:t>
            </w:r>
            <w:r w:rsidRPr="00F32384">
              <w:t xml:space="preserve"> Jean-François Viens</w:t>
            </w:r>
          </w:p>
        </w:tc>
      </w:tr>
      <w:tr w:rsidR="00C74B6F" w14:paraId="5BAFF894" w14:textId="77777777">
        <w:trPr>
          <w:cantSplit/>
        </w:trPr>
        <w:tc>
          <w:tcPr>
            <w:tcW w:w="9590" w:type="dxa"/>
            <w:gridSpan w:val="2"/>
          </w:tcPr>
          <w:p w14:paraId="67950A10" w14:textId="31DBB8B4" w:rsidR="00C74B6F" w:rsidRDefault="00F32384" w:rsidP="00F32384">
            <w:pPr>
              <w:pStyle w:val="zSoquijdatCabinetProcureurDef"/>
            </w:pPr>
            <w:r>
              <w:t>TELUS Santé (Canada)</w:t>
            </w:r>
          </w:p>
        </w:tc>
      </w:tr>
      <w:tr w:rsidR="00C74B6F" w14:paraId="1B48968A" w14:textId="77777777">
        <w:trPr>
          <w:cantSplit/>
        </w:trPr>
        <w:tc>
          <w:tcPr>
            <w:tcW w:w="9590" w:type="dxa"/>
            <w:gridSpan w:val="2"/>
          </w:tcPr>
          <w:p w14:paraId="08E02DC5" w14:textId="58F3021E" w:rsidR="00C74B6F" w:rsidRDefault="00CB05A7">
            <w:pPr>
              <w:pStyle w:val="zSoquijlblProcureurDef"/>
            </w:pPr>
            <w:r>
              <w:t xml:space="preserve">Pour la partie </w:t>
            </w:r>
            <w:r w:rsidR="00664B26">
              <w:t>mise en cause</w:t>
            </w:r>
          </w:p>
        </w:tc>
      </w:tr>
      <w:tr w:rsidR="007569DE" w14:paraId="5B5727F3" w14:textId="77777777">
        <w:trPr>
          <w:cantSplit/>
        </w:trPr>
        <w:tc>
          <w:tcPr>
            <w:tcW w:w="9590" w:type="dxa"/>
            <w:gridSpan w:val="2"/>
          </w:tcPr>
          <w:p w14:paraId="4AC3F9E8" w14:textId="77777777" w:rsidR="007569DE" w:rsidRDefault="007569DE"/>
        </w:tc>
      </w:tr>
      <w:tr w:rsidR="00C15A3F" w14:paraId="3C81645E" w14:textId="77777777">
        <w:trPr>
          <w:cantSplit/>
        </w:trPr>
        <w:tc>
          <w:tcPr>
            <w:tcW w:w="9590" w:type="dxa"/>
            <w:gridSpan w:val="2"/>
          </w:tcPr>
          <w:p w14:paraId="13B25C08" w14:textId="5B8C3ECD" w:rsidR="00C15A3F" w:rsidRDefault="00C15A3F" w:rsidP="000E56A6">
            <w:pPr>
              <w:pStyle w:val="zSoquijdatDateAudience"/>
            </w:pPr>
            <w:bookmarkStart w:id="16" w:name="Date_derniere_audience"/>
            <w:bookmarkEnd w:id="16"/>
            <w:r>
              <w:t xml:space="preserve">Date de la </w:t>
            </w:r>
            <w:r w:rsidR="00CC6338">
              <w:t>mise en délibéré</w:t>
            </w:r>
            <w:r>
              <w:t> :</w:t>
            </w:r>
            <w:r w:rsidR="00597016">
              <w:tab/>
            </w:r>
            <w:r w:rsidR="0087708E">
              <w:t>14 janvier 2025</w:t>
            </w:r>
          </w:p>
        </w:tc>
      </w:tr>
    </w:tbl>
    <w:p w14:paraId="1451DB95" w14:textId="77777777" w:rsidR="002542E0" w:rsidRDefault="002542E0" w:rsidP="002542E0">
      <w:pPr>
        <w:pStyle w:val="corpsdedcision"/>
        <w:numPr>
          <w:ilvl w:val="0"/>
          <w:numId w:val="0"/>
        </w:numPr>
        <w:tabs>
          <w:tab w:val="clear" w:pos="720"/>
        </w:tabs>
      </w:pPr>
    </w:p>
    <w:sectPr w:rsidR="002542E0">
      <w:headerReference w:type="default" r:id="rId9"/>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1D01C9" w14:textId="77777777" w:rsidR="003565D0" w:rsidRDefault="003565D0">
      <w:r>
        <w:separator/>
      </w:r>
    </w:p>
  </w:endnote>
  <w:endnote w:type="continuationSeparator" w:id="0">
    <w:p w14:paraId="43CF3998" w14:textId="77777777" w:rsidR="003565D0" w:rsidRDefault="00356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31116A" w14:textId="77777777" w:rsidR="003565D0" w:rsidRDefault="003565D0">
      <w:r>
        <w:separator/>
      </w:r>
    </w:p>
  </w:footnote>
  <w:footnote w:type="continuationSeparator" w:id="0">
    <w:p w14:paraId="08138038" w14:textId="77777777" w:rsidR="003565D0" w:rsidRDefault="003565D0">
      <w:r>
        <w:continuationSeparator/>
      </w:r>
    </w:p>
  </w:footnote>
  <w:footnote w:id="1">
    <w:p w14:paraId="63494832" w14:textId="02FEC3D9" w:rsidR="00D61E96" w:rsidRPr="00D61E96" w:rsidRDefault="00D61E96" w:rsidP="00D61E9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Décisions des 30 septembre et 9 décembre 2022.</w:t>
      </w:r>
    </w:p>
  </w:footnote>
  <w:footnote w:id="2">
    <w:p w14:paraId="3DA7D301" w14:textId="3227D5E8" w:rsidR="0008314C" w:rsidRDefault="0008314C">
      <w:pPr>
        <w:pStyle w:val="Notedebasdepage"/>
      </w:pPr>
      <w:r>
        <w:rPr>
          <w:rStyle w:val="Appelnotedebasdep"/>
        </w:rPr>
        <w:footnoteRef/>
      </w:r>
      <w:r>
        <w:t xml:space="preserve"> </w:t>
      </w:r>
      <w:r>
        <w:tab/>
      </w:r>
      <w:r w:rsidRPr="0008314C">
        <w:rPr>
          <w:sz w:val="20"/>
        </w:rPr>
        <w:t>RLRQ, c. A-3.001, la Loi.</w:t>
      </w:r>
    </w:p>
  </w:footnote>
  <w:footnote w:id="3">
    <w:p w14:paraId="64131671" w14:textId="5A023FA7" w:rsidR="00F6491A" w:rsidRPr="00F6491A" w:rsidRDefault="00F6491A" w:rsidP="00380F01">
      <w:pPr>
        <w:pStyle w:val="Notedebasdepage"/>
        <w:keepLines/>
        <w:tabs>
          <w:tab w:val="left" w:pos="720"/>
        </w:tabs>
        <w:ind w:left="720" w:hanging="720"/>
        <w:jc w:val="both"/>
        <w:rPr>
          <w:rFonts w:cs="Arial"/>
          <w:sz w:val="20"/>
        </w:rPr>
      </w:pPr>
      <w:r>
        <w:rPr>
          <w:rStyle w:val="Appelnotedebasdep"/>
        </w:rPr>
        <w:footnoteRef/>
      </w:r>
      <w:r>
        <w:t xml:space="preserve"> </w:t>
      </w:r>
      <w:r>
        <w:rPr>
          <w:rFonts w:cs="Arial"/>
          <w:sz w:val="20"/>
        </w:rPr>
        <w:tab/>
      </w:r>
      <w:r w:rsidRPr="00F6491A">
        <w:rPr>
          <w:rFonts w:cs="Arial"/>
          <w:sz w:val="20"/>
        </w:rPr>
        <w:t>Depuis le 6 avril 2023, ce délai est de 60 jours : </w:t>
      </w:r>
      <w:r w:rsidRPr="00F6491A">
        <w:rPr>
          <w:rFonts w:cs="Arial"/>
          <w:i/>
          <w:iCs/>
          <w:sz w:val="20"/>
        </w:rPr>
        <w:t>Loi modernisant le régime de la santé et de sécurité du travail</w:t>
      </w:r>
      <w:r w:rsidRPr="00F6491A">
        <w:rPr>
          <w:rFonts w:cs="Arial"/>
          <w:sz w:val="20"/>
        </w:rPr>
        <w:t>, L.Q. 2021, c. 27, article 101. Il n’y a toutefois pas lieu d’examiner la présente affaire en fonction du nouveau délai puisqu’il ne s’applique pas avant l’entrée en vigueur de cette</w:t>
      </w:r>
      <w:r w:rsidR="00380F01">
        <w:rPr>
          <w:rFonts w:cs="Arial"/>
          <w:sz w:val="20"/>
        </w:rPr>
        <w:t> </w:t>
      </w:r>
      <w:r w:rsidRPr="00F6491A">
        <w:rPr>
          <w:rFonts w:cs="Arial"/>
          <w:sz w:val="20"/>
        </w:rPr>
        <w:t>modification.</w:t>
      </w:r>
    </w:p>
  </w:footnote>
  <w:footnote w:id="4">
    <w:p w14:paraId="3E1245F6" w14:textId="6D70C75A" w:rsidR="00F6491A" w:rsidRPr="00F6491A" w:rsidRDefault="00F6491A" w:rsidP="00F6491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6491A">
        <w:rPr>
          <w:rFonts w:cs="Arial"/>
          <w:i/>
          <w:iCs/>
          <w:sz w:val="20"/>
        </w:rPr>
        <w:t>Milette </w:t>
      </w:r>
      <w:r w:rsidRPr="00F6491A">
        <w:rPr>
          <w:rFonts w:cs="Arial"/>
          <w:sz w:val="20"/>
        </w:rPr>
        <w:t>et </w:t>
      </w:r>
      <w:r w:rsidRPr="00F6491A">
        <w:rPr>
          <w:rFonts w:cs="Arial"/>
          <w:i/>
          <w:iCs/>
          <w:sz w:val="20"/>
        </w:rPr>
        <w:t>Construction Gizdon inc.</w:t>
      </w:r>
      <w:r w:rsidRPr="00F6491A">
        <w:rPr>
          <w:rFonts w:cs="Arial"/>
          <w:sz w:val="20"/>
        </w:rPr>
        <w:t>, 2022 QCTAT 5564.</w:t>
      </w:r>
    </w:p>
  </w:footnote>
  <w:footnote w:id="5">
    <w:p w14:paraId="5A27BEDE" w14:textId="18850967" w:rsidR="00853D95" w:rsidRPr="00853D95" w:rsidRDefault="00853D95" w:rsidP="00853D9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53D95">
        <w:rPr>
          <w:rFonts w:cs="Arial"/>
          <w:sz w:val="20"/>
        </w:rPr>
        <w:t>RLRQ, c. T-15.1.</w:t>
      </w:r>
    </w:p>
  </w:footnote>
  <w:footnote w:id="6">
    <w:p w14:paraId="4D03C6A5" w14:textId="77777777" w:rsidR="00853D95" w:rsidRPr="00572781" w:rsidRDefault="00853D95" w:rsidP="00853D9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72781">
        <w:rPr>
          <w:rFonts w:cs="Arial"/>
          <w:sz w:val="20"/>
        </w:rPr>
        <w:t>2024 QCCA 824.</w:t>
      </w:r>
    </w:p>
  </w:footnote>
  <w:footnote w:id="7">
    <w:p w14:paraId="24E89544" w14:textId="77777777" w:rsidR="00853D95" w:rsidRPr="00850EDF" w:rsidRDefault="00853D95" w:rsidP="00853D95">
      <w:pPr>
        <w:pStyle w:val="Notedebasdepage"/>
        <w:tabs>
          <w:tab w:val="left" w:pos="720"/>
        </w:tabs>
        <w:ind w:left="720" w:hanging="720"/>
        <w:jc w:val="both"/>
        <w:rPr>
          <w:rFonts w:cs="Arial"/>
          <w:sz w:val="20"/>
        </w:rPr>
      </w:pPr>
      <w:r w:rsidRPr="00850EDF">
        <w:rPr>
          <w:rStyle w:val="Appelnotedebasdep"/>
          <w:szCs w:val="24"/>
        </w:rPr>
        <w:footnoteRef/>
      </w:r>
      <w:r w:rsidRPr="00850EDF">
        <w:rPr>
          <w:szCs w:val="24"/>
        </w:rPr>
        <w:t xml:space="preserve"> </w:t>
      </w:r>
      <w:r w:rsidRPr="00850EDF">
        <w:rPr>
          <w:rFonts w:cs="Arial"/>
          <w:sz w:val="20"/>
        </w:rPr>
        <w:tab/>
        <w:t>Article 1 de la Loi.</w:t>
      </w:r>
    </w:p>
  </w:footnote>
  <w:footnote w:id="8">
    <w:p w14:paraId="09B305B5" w14:textId="77777777" w:rsidR="00853D95" w:rsidRPr="009317DD" w:rsidRDefault="00853D95" w:rsidP="00853D95">
      <w:pPr>
        <w:pStyle w:val="Notedebasdepage"/>
        <w:tabs>
          <w:tab w:val="left" w:pos="720"/>
        </w:tabs>
        <w:ind w:left="720" w:hanging="720"/>
        <w:jc w:val="both"/>
        <w:rPr>
          <w:rFonts w:cs="Arial"/>
          <w:sz w:val="20"/>
          <w:highlight w:val="green"/>
        </w:rPr>
      </w:pPr>
      <w:r w:rsidRPr="00850EDF">
        <w:rPr>
          <w:rStyle w:val="Appelnotedebasdep"/>
          <w:szCs w:val="24"/>
        </w:rPr>
        <w:footnoteRef/>
      </w:r>
      <w:r w:rsidRPr="00850EDF">
        <w:rPr>
          <w:szCs w:val="24"/>
        </w:rPr>
        <w:t xml:space="preserve"> </w:t>
      </w:r>
      <w:r w:rsidRPr="00850EDF">
        <w:rPr>
          <w:rFonts w:cs="Arial"/>
          <w:sz w:val="20"/>
        </w:rPr>
        <w:tab/>
      </w:r>
      <w:r w:rsidRPr="00850EDF">
        <w:rPr>
          <w:rFonts w:cs="Arial"/>
          <w:i/>
          <w:sz w:val="20"/>
        </w:rPr>
        <w:t>St-Amour</w:t>
      </w:r>
      <w:r w:rsidRPr="00850EDF">
        <w:rPr>
          <w:rFonts w:cs="Arial"/>
          <w:sz w:val="20"/>
        </w:rPr>
        <w:t xml:space="preserve"> et </w:t>
      </w:r>
      <w:r w:rsidRPr="00850EDF">
        <w:rPr>
          <w:rFonts w:cs="Arial"/>
          <w:i/>
          <w:sz w:val="20"/>
        </w:rPr>
        <w:t>Services sanitaires Richard Lanthier</w:t>
      </w:r>
      <w:r w:rsidRPr="00850EDF">
        <w:rPr>
          <w:rFonts w:cs="Arial"/>
          <w:sz w:val="20"/>
        </w:rPr>
        <w:t>, 2018 QCTAT 5649.</w:t>
      </w:r>
    </w:p>
  </w:footnote>
  <w:footnote w:id="9">
    <w:p w14:paraId="33EEA67B" w14:textId="77777777" w:rsidR="00853D95" w:rsidRPr="002C7112" w:rsidRDefault="00853D95" w:rsidP="00853D95">
      <w:pPr>
        <w:pStyle w:val="Notedebasdepage"/>
        <w:tabs>
          <w:tab w:val="left" w:pos="720"/>
        </w:tabs>
        <w:ind w:left="720" w:hanging="720"/>
        <w:jc w:val="both"/>
        <w:rPr>
          <w:rFonts w:cs="Arial"/>
          <w:sz w:val="20"/>
          <w:highlight w:val="green"/>
        </w:rPr>
      </w:pPr>
      <w:r w:rsidRPr="00850EDF">
        <w:rPr>
          <w:rStyle w:val="Appelnotedebasdep"/>
        </w:rPr>
        <w:footnoteRef/>
      </w:r>
      <w:r w:rsidRPr="00850EDF">
        <w:t xml:space="preserve"> </w:t>
      </w:r>
      <w:r w:rsidRPr="00850EDF">
        <w:rPr>
          <w:rFonts w:cs="Arial"/>
          <w:sz w:val="20"/>
        </w:rPr>
        <w:tab/>
        <w:t xml:space="preserve">Article 41 de la </w:t>
      </w:r>
      <w:r w:rsidRPr="00850EDF">
        <w:rPr>
          <w:rFonts w:cs="Arial"/>
          <w:i/>
          <w:sz w:val="20"/>
        </w:rPr>
        <w:t>Loi d’interprétation</w:t>
      </w:r>
      <w:r w:rsidRPr="00850EDF">
        <w:rPr>
          <w:rFonts w:cs="Arial"/>
          <w:sz w:val="20"/>
        </w:rPr>
        <w:t xml:space="preserve">, RLRQ, c. I-16; Voir également : </w:t>
      </w:r>
      <w:r w:rsidRPr="00850EDF">
        <w:rPr>
          <w:rFonts w:cs="Arial"/>
          <w:i/>
          <w:sz w:val="20"/>
        </w:rPr>
        <w:t>Boissonneault</w:t>
      </w:r>
      <w:r w:rsidRPr="00850EDF">
        <w:rPr>
          <w:rFonts w:cs="Arial"/>
          <w:sz w:val="20"/>
        </w:rPr>
        <w:t xml:space="preserve"> c. </w:t>
      </w:r>
      <w:r w:rsidRPr="00850EDF">
        <w:rPr>
          <w:rFonts w:cs="Arial"/>
          <w:i/>
          <w:sz w:val="20"/>
        </w:rPr>
        <w:t>Constructions Marquis Laflamme inc.</w:t>
      </w:r>
      <w:r w:rsidRPr="00850EDF">
        <w:rPr>
          <w:rFonts w:cs="Arial"/>
          <w:sz w:val="20"/>
        </w:rPr>
        <w:t>, 2017 QCCA 826.</w:t>
      </w:r>
    </w:p>
  </w:footnote>
  <w:footnote w:id="10">
    <w:p w14:paraId="65757939" w14:textId="77777777" w:rsidR="00853D95" w:rsidRPr="00850EDF" w:rsidRDefault="00853D95" w:rsidP="00853D95">
      <w:pPr>
        <w:pStyle w:val="Notedebasdepage"/>
        <w:tabs>
          <w:tab w:val="left" w:pos="720"/>
        </w:tabs>
        <w:ind w:left="720" w:hanging="720"/>
        <w:jc w:val="both"/>
        <w:rPr>
          <w:rFonts w:cs="Arial"/>
          <w:sz w:val="20"/>
        </w:rPr>
      </w:pPr>
      <w:r w:rsidRPr="00850EDF">
        <w:rPr>
          <w:rStyle w:val="Appelnotedebasdep"/>
        </w:rPr>
        <w:footnoteRef/>
      </w:r>
      <w:r w:rsidRPr="00850EDF">
        <w:t xml:space="preserve"> </w:t>
      </w:r>
      <w:r w:rsidRPr="00850EDF">
        <w:rPr>
          <w:rFonts w:cs="Arial"/>
          <w:sz w:val="20"/>
        </w:rPr>
        <w:tab/>
      </w:r>
      <w:r w:rsidRPr="00850EDF">
        <w:rPr>
          <w:rFonts w:cs="Arial"/>
          <w:i/>
          <w:sz w:val="20"/>
        </w:rPr>
        <w:t xml:space="preserve">Cormier </w:t>
      </w:r>
      <w:r w:rsidRPr="00850EDF">
        <w:rPr>
          <w:rFonts w:cs="Arial"/>
          <w:sz w:val="20"/>
        </w:rPr>
        <w:t xml:space="preserve">c. </w:t>
      </w:r>
      <w:r w:rsidRPr="00850EDF">
        <w:rPr>
          <w:rFonts w:cs="Arial"/>
          <w:i/>
          <w:sz w:val="20"/>
        </w:rPr>
        <w:t>Commission des lésions professionnelles</w:t>
      </w:r>
      <w:r w:rsidRPr="00850EDF">
        <w:rPr>
          <w:rFonts w:cs="Arial"/>
          <w:sz w:val="20"/>
        </w:rPr>
        <w:t>, 200</w:t>
      </w:r>
      <w:r>
        <w:rPr>
          <w:rFonts w:cs="Arial"/>
          <w:sz w:val="20"/>
        </w:rPr>
        <w:t>9</w:t>
      </w:r>
      <w:r w:rsidRPr="00850EDF">
        <w:rPr>
          <w:rFonts w:cs="Arial"/>
          <w:sz w:val="20"/>
        </w:rPr>
        <w:t xml:space="preserve"> QCCS </w:t>
      </w:r>
      <w:r>
        <w:rPr>
          <w:rFonts w:cs="Arial"/>
          <w:sz w:val="20"/>
        </w:rPr>
        <w:t>730</w:t>
      </w:r>
      <w:r w:rsidRPr="00850EDF">
        <w:rPr>
          <w:rFonts w:cs="Arial"/>
          <w:sz w:val="20"/>
        </w:rPr>
        <w:t>.</w:t>
      </w:r>
    </w:p>
  </w:footnote>
  <w:footnote w:id="11">
    <w:p w14:paraId="66B876EA" w14:textId="77777777" w:rsidR="00853D95" w:rsidRPr="00850EDF" w:rsidRDefault="00853D95" w:rsidP="00853D95">
      <w:pPr>
        <w:pStyle w:val="Notedebasdepage"/>
        <w:tabs>
          <w:tab w:val="left" w:pos="720"/>
        </w:tabs>
        <w:ind w:left="720" w:hanging="720"/>
        <w:jc w:val="both"/>
        <w:rPr>
          <w:rFonts w:cs="Arial"/>
          <w:sz w:val="20"/>
        </w:rPr>
      </w:pPr>
      <w:r w:rsidRPr="00850EDF">
        <w:rPr>
          <w:rStyle w:val="Appelnotedebasdep"/>
        </w:rPr>
        <w:footnoteRef/>
      </w:r>
      <w:r w:rsidRPr="00850EDF">
        <w:t xml:space="preserve"> </w:t>
      </w:r>
      <w:r w:rsidRPr="00850EDF">
        <w:rPr>
          <w:rFonts w:cs="Arial"/>
          <w:sz w:val="20"/>
        </w:rPr>
        <w:tab/>
      </w:r>
      <w:r w:rsidRPr="00850EDF">
        <w:rPr>
          <w:rFonts w:cs="Arial"/>
          <w:i/>
          <w:sz w:val="20"/>
        </w:rPr>
        <w:t>Commission de la santé et de la sécurité du travail</w:t>
      </w:r>
      <w:r w:rsidRPr="00850EDF">
        <w:rPr>
          <w:rFonts w:cs="Arial"/>
          <w:sz w:val="20"/>
        </w:rPr>
        <w:t xml:space="preserve"> et </w:t>
      </w:r>
      <w:r w:rsidRPr="00850EDF">
        <w:rPr>
          <w:rFonts w:cs="Arial"/>
          <w:i/>
          <w:sz w:val="20"/>
        </w:rPr>
        <w:t>Glazer &amp; Glazer</w:t>
      </w:r>
      <w:r w:rsidRPr="00850EDF">
        <w:rPr>
          <w:rFonts w:cs="Arial"/>
          <w:sz w:val="20"/>
        </w:rPr>
        <w:t xml:space="preserve">, [1998] C.L.P. 537; </w:t>
      </w:r>
      <w:r w:rsidRPr="00850EDF">
        <w:rPr>
          <w:rFonts w:cs="Arial"/>
          <w:i/>
          <w:sz w:val="20"/>
        </w:rPr>
        <w:t>Seulamy</w:t>
      </w:r>
      <w:r w:rsidRPr="00850EDF">
        <w:rPr>
          <w:rFonts w:cs="Arial"/>
          <w:sz w:val="20"/>
        </w:rPr>
        <w:t xml:space="preserve"> et </w:t>
      </w:r>
      <w:r w:rsidRPr="00850EDF">
        <w:rPr>
          <w:rFonts w:cs="Arial"/>
          <w:i/>
          <w:sz w:val="20"/>
        </w:rPr>
        <w:t>Centre d'hébergement Louis-Riel</w:t>
      </w:r>
      <w:r w:rsidRPr="00850EDF">
        <w:rPr>
          <w:rFonts w:cs="Arial"/>
          <w:sz w:val="20"/>
        </w:rPr>
        <w:t>, 2022 QCTAT 1801.</w:t>
      </w:r>
    </w:p>
  </w:footnote>
  <w:footnote w:id="12">
    <w:p w14:paraId="4DB6EED6" w14:textId="77777777" w:rsidR="00853D95" w:rsidRPr="00850EDF" w:rsidRDefault="00853D95" w:rsidP="00853D95">
      <w:pPr>
        <w:pStyle w:val="Notedebasdepage"/>
        <w:tabs>
          <w:tab w:val="left" w:pos="720"/>
        </w:tabs>
        <w:ind w:left="720" w:hanging="720"/>
        <w:jc w:val="both"/>
        <w:rPr>
          <w:rFonts w:cs="Arial"/>
          <w:sz w:val="20"/>
        </w:rPr>
      </w:pPr>
      <w:r w:rsidRPr="00850EDF">
        <w:rPr>
          <w:rStyle w:val="Appelnotedebasdep"/>
        </w:rPr>
        <w:footnoteRef/>
      </w:r>
      <w:r w:rsidRPr="00850EDF">
        <w:t xml:space="preserve"> </w:t>
      </w:r>
      <w:r w:rsidRPr="00850EDF">
        <w:rPr>
          <w:rFonts w:cs="Arial"/>
          <w:sz w:val="20"/>
        </w:rPr>
        <w:tab/>
      </w:r>
      <w:r w:rsidRPr="00850EDF">
        <w:rPr>
          <w:rFonts w:cs="Arial"/>
          <w:i/>
          <w:sz w:val="20"/>
        </w:rPr>
        <w:t>Alas Penas</w:t>
      </w:r>
      <w:r w:rsidRPr="00850EDF">
        <w:rPr>
          <w:rFonts w:cs="Arial"/>
          <w:sz w:val="20"/>
        </w:rPr>
        <w:t xml:space="preserve"> et </w:t>
      </w:r>
      <w:r w:rsidRPr="00850EDF">
        <w:rPr>
          <w:rFonts w:cs="Arial"/>
          <w:i/>
          <w:sz w:val="20"/>
        </w:rPr>
        <w:t>Garderie Olamsheli inc.</w:t>
      </w:r>
      <w:r w:rsidRPr="00850EDF">
        <w:rPr>
          <w:rFonts w:cs="Arial"/>
          <w:sz w:val="20"/>
        </w:rPr>
        <w:t>, 2017 QCTAT 290.</w:t>
      </w:r>
    </w:p>
  </w:footnote>
  <w:footnote w:id="13">
    <w:p w14:paraId="7DF55CEF" w14:textId="77777777" w:rsidR="00853D95" w:rsidRPr="00850EDF" w:rsidRDefault="00853D95" w:rsidP="00853D95">
      <w:pPr>
        <w:pStyle w:val="Notedebasdepage"/>
        <w:tabs>
          <w:tab w:val="left" w:pos="720"/>
        </w:tabs>
        <w:ind w:left="720" w:hanging="720"/>
        <w:jc w:val="both"/>
        <w:rPr>
          <w:rFonts w:cs="Arial"/>
          <w:sz w:val="20"/>
        </w:rPr>
      </w:pPr>
      <w:r w:rsidRPr="00850EDF">
        <w:rPr>
          <w:rStyle w:val="Appelnotedebasdep"/>
        </w:rPr>
        <w:footnoteRef/>
      </w:r>
      <w:r w:rsidRPr="00850EDF">
        <w:t xml:space="preserve"> </w:t>
      </w:r>
      <w:r w:rsidRPr="00850EDF">
        <w:rPr>
          <w:rFonts w:cs="Arial"/>
          <w:sz w:val="20"/>
        </w:rPr>
        <w:tab/>
      </w:r>
      <w:r w:rsidRPr="00850EDF">
        <w:rPr>
          <w:rFonts w:cs="Arial"/>
          <w:i/>
          <w:iCs/>
          <w:sz w:val="20"/>
          <w:lang w:val="fr-FR"/>
        </w:rPr>
        <w:t xml:space="preserve">Roy </w:t>
      </w:r>
      <w:r w:rsidRPr="00850EDF">
        <w:rPr>
          <w:rFonts w:cs="Arial"/>
          <w:sz w:val="20"/>
          <w:lang w:val="fr-FR"/>
        </w:rPr>
        <w:t xml:space="preserve">et </w:t>
      </w:r>
      <w:r w:rsidRPr="00850EDF">
        <w:rPr>
          <w:rFonts w:cs="Arial"/>
          <w:i/>
          <w:iCs/>
          <w:sz w:val="20"/>
          <w:lang w:val="fr-FR"/>
        </w:rPr>
        <w:t>C.U.M.</w:t>
      </w:r>
      <w:r w:rsidRPr="00850EDF">
        <w:rPr>
          <w:rFonts w:cs="Arial"/>
          <w:sz w:val="20"/>
          <w:lang w:val="fr-FR"/>
        </w:rPr>
        <w:t>,</w:t>
      </w:r>
      <w:r w:rsidRPr="00850EDF">
        <w:rPr>
          <w:rFonts w:cs="Arial"/>
          <w:i/>
          <w:iCs/>
          <w:sz w:val="20"/>
          <w:lang w:val="fr-FR"/>
        </w:rPr>
        <w:t xml:space="preserve"> </w:t>
      </w:r>
      <w:r w:rsidRPr="00850EDF">
        <w:rPr>
          <w:rFonts w:cs="Arial"/>
          <w:sz w:val="20"/>
          <w:lang w:val="fr-FR"/>
        </w:rPr>
        <w:t>C.A.L.P. 04342-61-8708, 18 juillet 1990, M. Cuddihy.</w:t>
      </w:r>
    </w:p>
  </w:footnote>
  <w:footnote w:id="14">
    <w:p w14:paraId="48FB2AD2" w14:textId="77777777" w:rsidR="00853D95" w:rsidRPr="00850EDF" w:rsidRDefault="00853D95" w:rsidP="00853D95">
      <w:pPr>
        <w:pStyle w:val="Notedebasdepage"/>
        <w:tabs>
          <w:tab w:val="left" w:pos="720"/>
        </w:tabs>
        <w:ind w:left="720" w:hanging="720"/>
        <w:jc w:val="both"/>
        <w:rPr>
          <w:rFonts w:cs="Arial"/>
          <w:sz w:val="20"/>
        </w:rPr>
      </w:pPr>
      <w:r w:rsidRPr="00850EDF">
        <w:rPr>
          <w:rStyle w:val="Appelnotedebasdep"/>
        </w:rPr>
        <w:footnoteRef/>
      </w:r>
      <w:r w:rsidRPr="00850EDF">
        <w:t xml:space="preserve"> </w:t>
      </w:r>
      <w:r w:rsidRPr="00850EDF">
        <w:rPr>
          <w:rFonts w:cs="Arial"/>
          <w:sz w:val="20"/>
        </w:rPr>
        <w:tab/>
      </w:r>
      <w:r w:rsidRPr="00850EDF">
        <w:rPr>
          <w:rFonts w:cs="Arial"/>
          <w:i/>
          <w:sz w:val="20"/>
        </w:rPr>
        <w:t xml:space="preserve">Lacasse </w:t>
      </w:r>
      <w:r w:rsidRPr="00850EDF">
        <w:rPr>
          <w:rFonts w:cs="Arial"/>
          <w:sz w:val="20"/>
        </w:rPr>
        <w:t xml:space="preserve">et </w:t>
      </w:r>
      <w:r w:rsidRPr="00850EDF">
        <w:rPr>
          <w:rFonts w:cs="Arial"/>
          <w:i/>
          <w:sz w:val="20"/>
        </w:rPr>
        <w:t>Centre de vérification de véhicules St-Laurent</w:t>
      </w:r>
      <w:r w:rsidRPr="00850EDF">
        <w:rPr>
          <w:rFonts w:cs="Arial"/>
          <w:sz w:val="20"/>
        </w:rPr>
        <w:t>, 2019 QCTAT 5008;</w:t>
      </w:r>
      <w:r w:rsidRPr="00850EDF">
        <w:rPr>
          <w:rFonts w:cs="Arial"/>
          <w:i/>
          <w:sz w:val="20"/>
        </w:rPr>
        <w:t xml:space="preserve"> Blouin</w:t>
      </w:r>
      <w:r w:rsidRPr="00850EDF">
        <w:rPr>
          <w:rFonts w:cs="Arial"/>
          <w:sz w:val="20"/>
        </w:rPr>
        <w:t>, 2019 QCTAT 5078.</w:t>
      </w:r>
    </w:p>
  </w:footnote>
  <w:footnote w:id="15">
    <w:p w14:paraId="66A686A4" w14:textId="77777777" w:rsidR="00853D95" w:rsidRPr="0056533B" w:rsidRDefault="00853D95" w:rsidP="00853D95">
      <w:pPr>
        <w:pStyle w:val="Notedebasdepage"/>
        <w:tabs>
          <w:tab w:val="left" w:pos="720"/>
        </w:tabs>
        <w:ind w:left="720" w:hanging="720"/>
        <w:jc w:val="both"/>
        <w:rPr>
          <w:rFonts w:cs="Arial"/>
          <w:sz w:val="20"/>
        </w:rPr>
      </w:pPr>
      <w:r w:rsidRPr="00850EDF">
        <w:rPr>
          <w:rStyle w:val="Appelnotedebasdep"/>
          <w:szCs w:val="24"/>
        </w:rPr>
        <w:footnoteRef/>
      </w:r>
      <w:r w:rsidRPr="00850EDF">
        <w:rPr>
          <w:sz w:val="20"/>
        </w:rPr>
        <w:t xml:space="preserve"> </w:t>
      </w:r>
      <w:r w:rsidRPr="00850EDF">
        <w:rPr>
          <w:rFonts w:cs="Arial"/>
          <w:sz w:val="20"/>
        </w:rPr>
        <w:tab/>
      </w:r>
      <w:r w:rsidRPr="00850EDF">
        <w:rPr>
          <w:i/>
          <w:sz w:val="20"/>
          <w:lang w:val="fr-FR"/>
        </w:rPr>
        <w:t>Launière</w:t>
      </w:r>
      <w:r w:rsidRPr="00850EDF">
        <w:rPr>
          <w:sz w:val="20"/>
          <w:lang w:val="fr-FR"/>
        </w:rPr>
        <w:t>, 2019 QCTAT 4025.</w:t>
      </w:r>
    </w:p>
  </w:footnote>
  <w:footnote w:id="16">
    <w:p w14:paraId="0A17C378" w14:textId="072CB8B1" w:rsidR="00853D95" w:rsidRPr="00CB7D63" w:rsidRDefault="00853D95" w:rsidP="006A67DC">
      <w:pPr>
        <w:pStyle w:val="corpsdedcision"/>
        <w:numPr>
          <w:ilvl w:val="0"/>
          <w:numId w:val="0"/>
        </w:numPr>
        <w:ind w:left="709" w:hanging="709"/>
        <w:rPr>
          <w:rFonts w:cs="Arial"/>
          <w:sz w:val="20"/>
        </w:rPr>
      </w:pPr>
      <w:r>
        <w:rPr>
          <w:rStyle w:val="Appelnotedebasdep"/>
        </w:rPr>
        <w:footnoteRef/>
      </w:r>
      <w:r>
        <w:t xml:space="preserve"> </w:t>
      </w:r>
      <w:r>
        <w:rPr>
          <w:rFonts w:cs="Arial"/>
          <w:sz w:val="20"/>
        </w:rPr>
        <w:tab/>
      </w:r>
      <w:r w:rsidRPr="001915D6">
        <w:rPr>
          <w:rFonts w:cs="Arial"/>
          <w:i/>
          <w:iCs/>
          <w:color w:val="000000"/>
          <w:sz w:val="20"/>
        </w:rPr>
        <w:t>Gauthier </w:t>
      </w:r>
      <w:r w:rsidRPr="001915D6">
        <w:rPr>
          <w:rFonts w:cs="Arial"/>
          <w:color w:val="000000"/>
          <w:sz w:val="20"/>
        </w:rPr>
        <w:t>et </w:t>
      </w:r>
      <w:r w:rsidRPr="001915D6">
        <w:rPr>
          <w:rFonts w:cs="Arial"/>
          <w:i/>
          <w:iCs/>
          <w:color w:val="000000"/>
          <w:sz w:val="20"/>
        </w:rPr>
        <w:t>CSSS Pontiac</w:t>
      </w:r>
      <w:r w:rsidRPr="001915D6">
        <w:rPr>
          <w:rFonts w:cs="Arial"/>
          <w:color w:val="000000"/>
          <w:sz w:val="20"/>
        </w:rPr>
        <w:t>, 2014 QCCLP 1100; </w:t>
      </w:r>
      <w:r w:rsidRPr="001915D6">
        <w:rPr>
          <w:rFonts w:cs="Arial"/>
          <w:i/>
          <w:iCs/>
          <w:color w:val="000000"/>
          <w:sz w:val="20"/>
        </w:rPr>
        <w:t>Gueco-Borromeo</w:t>
      </w:r>
      <w:r w:rsidRPr="001915D6">
        <w:rPr>
          <w:rFonts w:cs="Arial"/>
          <w:color w:val="000000"/>
          <w:sz w:val="20"/>
        </w:rPr>
        <w:t xml:space="preserve"> et </w:t>
      </w:r>
      <w:r w:rsidRPr="001915D6">
        <w:rPr>
          <w:rFonts w:cs="Arial"/>
          <w:i/>
          <w:iCs/>
          <w:color w:val="000000"/>
          <w:sz w:val="20"/>
        </w:rPr>
        <w:t>Centre d’hébergement St</w:t>
      </w:r>
      <w:r w:rsidR="006A67DC">
        <w:rPr>
          <w:rFonts w:cs="Arial"/>
          <w:i/>
          <w:iCs/>
          <w:color w:val="000000"/>
          <w:sz w:val="20"/>
        </w:rPr>
        <w:noBreakHyphen/>
      </w:r>
      <w:r w:rsidRPr="001915D6">
        <w:rPr>
          <w:rFonts w:cs="Arial"/>
          <w:i/>
          <w:iCs/>
          <w:color w:val="000000"/>
          <w:sz w:val="20"/>
        </w:rPr>
        <w:t>Margaret</w:t>
      </w:r>
      <w:r w:rsidRPr="001915D6">
        <w:rPr>
          <w:rFonts w:cs="Arial"/>
          <w:color w:val="000000"/>
          <w:sz w:val="20"/>
        </w:rPr>
        <w:t xml:space="preserve">, 2017 QCTAT 5789; </w:t>
      </w:r>
      <w:r w:rsidRPr="001915D6">
        <w:rPr>
          <w:rFonts w:cs="Arial"/>
          <w:i/>
          <w:iCs/>
          <w:color w:val="000000"/>
          <w:sz w:val="20"/>
        </w:rPr>
        <w:t>Fiset</w:t>
      </w:r>
      <w:r w:rsidRPr="001915D6">
        <w:rPr>
          <w:rFonts w:cs="Arial"/>
          <w:color w:val="000000"/>
          <w:sz w:val="20"/>
        </w:rPr>
        <w:t> et </w:t>
      </w:r>
      <w:r w:rsidRPr="001915D6">
        <w:rPr>
          <w:rFonts w:cs="Arial"/>
          <w:i/>
          <w:iCs/>
          <w:color w:val="000000"/>
          <w:sz w:val="20"/>
        </w:rPr>
        <w:t>Olymel Yamachiche</w:t>
      </w:r>
      <w:r w:rsidRPr="001915D6">
        <w:rPr>
          <w:rFonts w:cs="Arial"/>
          <w:color w:val="000000"/>
          <w:sz w:val="20"/>
        </w:rPr>
        <w:t>, </w:t>
      </w:r>
      <w:bookmarkStart w:id="13" w:name="OLE_LINK1"/>
      <w:r w:rsidRPr="001915D6">
        <w:rPr>
          <w:rFonts w:cs="Arial"/>
          <w:color w:val="000000"/>
          <w:sz w:val="20"/>
        </w:rPr>
        <w:t>2021 QCTAT 872</w:t>
      </w:r>
      <w:bookmarkEnd w:id="13"/>
      <w:r w:rsidRPr="001915D6">
        <w:rPr>
          <w:rFonts w:cs="Arial"/>
          <w:color w:val="000000"/>
          <w:sz w:val="20"/>
        </w:rPr>
        <w:t>;</w:t>
      </w:r>
      <w:r>
        <w:rPr>
          <w:rFonts w:cs="Arial"/>
          <w:color w:val="000000"/>
          <w:sz w:val="20"/>
        </w:rPr>
        <w:t xml:space="preserve"> </w:t>
      </w:r>
      <w:r w:rsidR="00C657B1" w:rsidRPr="00C657B1">
        <w:rPr>
          <w:rFonts w:cs="Arial"/>
          <w:i/>
          <w:iCs/>
          <w:color w:val="000000"/>
          <w:sz w:val="20"/>
        </w:rPr>
        <w:t>Fafard</w:t>
      </w:r>
      <w:r w:rsidR="00C657B1" w:rsidRPr="00C657B1">
        <w:rPr>
          <w:rFonts w:cs="Arial"/>
          <w:color w:val="000000"/>
          <w:sz w:val="20"/>
        </w:rPr>
        <w:t xml:space="preserve"> et </w:t>
      </w:r>
      <w:r w:rsidR="00C657B1" w:rsidRPr="00C657B1">
        <w:rPr>
          <w:rFonts w:cs="Arial"/>
          <w:i/>
          <w:iCs/>
          <w:color w:val="000000"/>
          <w:sz w:val="20"/>
        </w:rPr>
        <w:t>André Pélissier inc.</w:t>
      </w:r>
      <w:r w:rsidR="00C657B1" w:rsidRPr="00C657B1">
        <w:rPr>
          <w:rFonts w:cs="Arial"/>
          <w:color w:val="000000"/>
          <w:sz w:val="20"/>
        </w:rPr>
        <w:t xml:space="preserve">, 2022 QCTAT 5809; </w:t>
      </w:r>
      <w:r w:rsidRPr="00C657B1">
        <w:rPr>
          <w:rFonts w:cs="Arial"/>
          <w:i/>
          <w:iCs/>
          <w:color w:val="000000"/>
          <w:sz w:val="20"/>
        </w:rPr>
        <w:t xml:space="preserve">Fortier </w:t>
      </w:r>
      <w:r w:rsidRPr="00C657B1">
        <w:rPr>
          <w:rFonts w:cs="Arial"/>
          <w:color w:val="000000"/>
          <w:sz w:val="20"/>
        </w:rPr>
        <w:t xml:space="preserve">et </w:t>
      </w:r>
      <w:r w:rsidRPr="00C657B1">
        <w:rPr>
          <w:rFonts w:cs="Arial"/>
          <w:i/>
          <w:iCs/>
          <w:color w:val="000000"/>
          <w:sz w:val="20"/>
        </w:rPr>
        <w:t>Acier AGP inc.</w:t>
      </w:r>
      <w:r w:rsidRPr="00C657B1">
        <w:rPr>
          <w:rFonts w:cs="Arial"/>
          <w:color w:val="000000"/>
          <w:sz w:val="20"/>
        </w:rPr>
        <w:t xml:space="preserve">, </w:t>
      </w:r>
      <w:r w:rsidR="00C657B1" w:rsidRPr="00C657B1">
        <w:rPr>
          <w:rFonts w:cs="Arial"/>
          <w:color w:val="000000"/>
          <w:sz w:val="20"/>
        </w:rPr>
        <w:t>2022 QCTAT 5143</w:t>
      </w:r>
      <w:r w:rsidRPr="00C657B1">
        <w:rPr>
          <w:rFonts w:cs="Arial"/>
          <w:color w:val="000000"/>
          <w:sz w:val="20"/>
        </w:rPr>
        <w:t>.</w:t>
      </w:r>
    </w:p>
  </w:footnote>
  <w:footnote w:id="17">
    <w:p w14:paraId="52842E37" w14:textId="5C1FD06A" w:rsidR="00257D26" w:rsidRPr="00257D26" w:rsidRDefault="00257D26" w:rsidP="00257D2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57D26">
        <w:rPr>
          <w:rFonts w:cs="Arial"/>
          <w:i/>
          <w:iCs/>
          <w:sz w:val="20"/>
        </w:rPr>
        <w:t>Estepak</w:t>
      </w:r>
      <w:r w:rsidRPr="00257D26">
        <w:rPr>
          <w:rFonts w:cs="Arial"/>
          <w:sz w:val="20"/>
        </w:rPr>
        <w:t> et </w:t>
      </w:r>
      <w:r w:rsidRPr="00257D26">
        <w:rPr>
          <w:rFonts w:cs="Arial"/>
          <w:i/>
          <w:iCs/>
          <w:sz w:val="20"/>
        </w:rPr>
        <w:t>Groupe Adonis inc.</w:t>
      </w:r>
      <w:r w:rsidRPr="00257D26">
        <w:rPr>
          <w:rFonts w:cs="Arial"/>
          <w:sz w:val="20"/>
        </w:rPr>
        <w:t>, 2024 QCTAT 1420.</w:t>
      </w:r>
    </w:p>
  </w:footnote>
  <w:footnote w:id="18">
    <w:p w14:paraId="05DC623F" w14:textId="051560F2" w:rsidR="00257D26" w:rsidRPr="00257D26" w:rsidRDefault="00257D26" w:rsidP="00257D2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57D26">
        <w:rPr>
          <w:rFonts w:cs="Arial"/>
          <w:i/>
          <w:iCs/>
          <w:sz w:val="20"/>
        </w:rPr>
        <w:t>Perron </w:t>
      </w:r>
      <w:r w:rsidRPr="00257D26">
        <w:rPr>
          <w:rFonts w:cs="Arial"/>
          <w:sz w:val="20"/>
        </w:rPr>
        <w:t>c. </w:t>
      </w:r>
      <w:r w:rsidRPr="00257D26">
        <w:rPr>
          <w:rFonts w:cs="Arial"/>
          <w:i/>
          <w:iCs/>
          <w:sz w:val="20"/>
        </w:rPr>
        <w:t>Gilles Veilleux ltée</w:t>
      </w:r>
      <w:r w:rsidRPr="00257D26">
        <w:rPr>
          <w:rFonts w:cs="Arial"/>
          <w:sz w:val="20"/>
        </w:rPr>
        <w:t xml:space="preserve">, précitée, note </w:t>
      </w:r>
      <w:r>
        <w:rPr>
          <w:rFonts w:cs="Arial"/>
          <w:sz w:val="20"/>
        </w:rPr>
        <w:t>5</w:t>
      </w:r>
      <w:r w:rsidRPr="00257D26">
        <w:rPr>
          <w:rFonts w:cs="Arial"/>
          <w:sz w:val="20"/>
        </w:rPr>
        <w:t>.</w:t>
      </w:r>
    </w:p>
  </w:footnote>
  <w:footnote w:id="19">
    <w:p w14:paraId="713372BC" w14:textId="46BC4ADC" w:rsidR="00257D26" w:rsidRPr="00257D26" w:rsidRDefault="00257D26" w:rsidP="00257D2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57D26">
        <w:rPr>
          <w:rFonts w:cs="Arial"/>
          <w:i/>
          <w:iCs/>
          <w:sz w:val="20"/>
        </w:rPr>
        <w:t>Lemieux </w:t>
      </w:r>
      <w:r w:rsidRPr="00257D26">
        <w:rPr>
          <w:rFonts w:cs="Arial"/>
          <w:sz w:val="20"/>
        </w:rPr>
        <w:t>et </w:t>
      </w:r>
      <w:r w:rsidRPr="00257D26">
        <w:rPr>
          <w:rFonts w:cs="Arial"/>
          <w:i/>
          <w:iCs/>
          <w:sz w:val="20"/>
        </w:rPr>
        <w:t>Carrières St-Dominique ltée</w:t>
      </w:r>
      <w:r w:rsidRPr="00257D26">
        <w:rPr>
          <w:rFonts w:cs="Arial"/>
          <w:sz w:val="20"/>
        </w:rPr>
        <w:t>, 2023 QCTAT 1073.</w:t>
      </w:r>
    </w:p>
  </w:footnote>
  <w:footnote w:id="20">
    <w:p w14:paraId="03F4A723" w14:textId="77777777" w:rsidR="00A262CA" w:rsidRDefault="00A262CA"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21">
    <w:p w14:paraId="4BC1A1A0" w14:textId="77777777" w:rsidR="004F3430" w:rsidRPr="00EF48B2" w:rsidRDefault="004F3430" w:rsidP="004F343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F48B2">
        <w:rPr>
          <w:rFonts w:cs="Arial"/>
          <w:sz w:val="20"/>
        </w:rPr>
        <w:t>Articles 212, 224 et 358 (2) de la Loi.</w:t>
      </w:r>
    </w:p>
  </w:footnote>
  <w:footnote w:id="22">
    <w:p w14:paraId="6636F66D" w14:textId="36ECE8B2" w:rsidR="008D797C" w:rsidRPr="008D797C" w:rsidRDefault="008D797C" w:rsidP="008D797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Soit depuis le 6 octobre 2021 : </w:t>
      </w:r>
      <w:r w:rsidRPr="00A262CA">
        <w:rPr>
          <w:rFonts w:cs="Arial"/>
          <w:i/>
          <w:iCs/>
          <w:sz w:val="20"/>
        </w:rPr>
        <w:t>Loi modernisant le régime de santé et de sécurité du travail</w:t>
      </w:r>
      <w:r>
        <w:rPr>
          <w:rFonts w:cs="Arial"/>
          <w:sz w:val="20"/>
        </w:rPr>
        <w:t xml:space="preserve">, </w:t>
      </w:r>
      <w:r w:rsidRPr="00A262CA">
        <w:rPr>
          <w:rFonts w:cs="Arial"/>
          <w:sz w:val="20"/>
        </w:rPr>
        <w:t>LQ</w:t>
      </w:r>
      <w:r w:rsidR="00E20DE8">
        <w:rPr>
          <w:rFonts w:cs="Arial"/>
          <w:sz w:val="20"/>
        </w:rPr>
        <w:t> </w:t>
      </w:r>
      <w:r w:rsidRPr="00A262CA">
        <w:rPr>
          <w:rFonts w:cs="Arial"/>
          <w:sz w:val="20"/>
        </w:rPr>
        <w:t>2021, c.27</w:t>
      </w:r>
      <w:r>
        <w:rPr>
          <w:rFonts w:cs="Arial"/>
          <w:sz w:val="20"/>
        </w:rPr>
        <w:t>.</w:t>
      </w:r>
    </w:p>
  </w:footnote>
  <w:footnote w:id="23">
    <w:p w14:paraId="088337FD" w14:textId="48144BB7" w:rsidR="008D797C" w:rsidRPr="00A262CA" w:rsidRDefault="008D797C" w:rsidP="008D797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262CA">
        <w:rPr>
          <w:rFonts w:cs="Arial"/>
          <w:sz w:val="20"/>
        </w:rPr>
        <w:t>A-3.001, r. 8.1.</w:t>
      </w:r>
    </w:p>
  </w:footnote>
  <w:footnote w:id="24">
    <w:p w14:paraId="3AC30516" w14:textId="1C584858" w:rsidR="00F66ECA" w:rsidRPr="00F66ECA" w:rsidRDefault="00F66ECA" w:rsidP="00F66EC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Dr BRUTUS, </w:t>
      </w:r>
      <w:r w:rsidRPr="00F66ECA">
        <w:rPr>
          <w:rFonts w:cs="Arial"/>
          <w:sz w:val="20"/>
        </w:rPr>
        <w:t>«</w:t>
      </w:r>
      <w:r w:rsidR="00E20DE8">
        <w:rPr>
          <w:rFonts w:cs="Arial"/>
          <w:sz w:val="20"/>
        </w:rPr>
        <w:t> </w:t>
      </w:r>
      <w:r>
        <w:rPr>
          <w:rFonts w:cs="Arial"/>
          <w:sz w:val="20"/>
        </w:rPr>
        <w:t>L</w:t>
      </w:r>
      <w:r w:rsidRPr="00F66ECA">
        <w:rPr>
          <w:rFonts w:cs="Arial"/>
          <w:sz w:val="20"/>
        </w:rPr>
        <w:t>e doigt à ressaut peut-il guérir tout seul</w:t>
      </w:r>
      <w:r>
        <w:rPr>
          <w:rFonts w:cs="Arial"/>
          <w:sz w:val="20"/>
        </w:rPr>
        <w:t>?</w:t>
      </w:r>
      <w:r w:rsidR="00E20DE8">
        <w:rPr>
          <w:rFonts w:cs="Arial"/>
          <w:sz w:val="20"/>
        </w:rPr>
        <w:t> </w:t>
      </w:r>
      <w:r w:rsidRPr="00F66ECA">
        <w:rPr>
          <w:rFonts w:cs="Arial"/>
          <w:sz w:val="20"/>
        </w:rPr>
        <w:t>»</w:t>
      </w:r>
      <w:r>
        <w:rPr>
          <w:rFonts w:cs="Arial"/>
          <w:sz w:val="20"/>
        </w:rPr>
        <w:t xml:space="preserve">, 14 septembre 2021, en ligne : </w:t>
      </w:r>
      <w:hyperlink r:id="rId1" w:anchor=":~:text=Dr%20Brutus%20%2D%20septembre%2014%2C%202021&amp;text=On%20estime%20que%20la%20pathologie,se%20r%C3%A9sorbe%20de%20lui%2Dm%C3%AAme" w:history="1">
        <w:r w:rsidR="00E20DE8" w:rsidRPr="00535479">
          <w:rPr>
            <w:rStyle w:val="Lienhypertexte"/>
            <w:rFonts w:cs="Arial"/>
            <w:sz w:val="20"/>
          </w:rPr>
          <w:t>https://www.drbrutus.com/fr/le-doigt-de-gachette-peut-il-guerir-toutseul/#:~:text=Dr%20Brutus%20%2D%20septembre%2014%2C%202021&amp;text=On%20estime%20que%20la%20pathologie,se%20r%C3%A9sorbe%20de%20lui%2Dm%C3%AAme</w:t>
        </w:r>
      </w:hyperlink>
      <w:r w:rsidR="00E20DE8">
        <w:rPr>
          <w:rFonts w:cs="Arial"/>
          <w:sz w:val="20"/>
        </w:rPr>
        <w:t xml:space="preserve">, </w:t>
      </w:r>
      <w:r>
        <w:rPr>
          <w:rFonts w:cs="Arial"/>
          <w:sz w:val="20"/>
        </w:rPr>
        <w:t>[Date de consultation : 18 octobre 2024]</w:t>
      </w:r>
      <w:r w:rsidR="00696E86">
        <w:rPr>
          <w:rFonts w:cs="Arial"/>
          <w:sz w:val="20"/>
        </w:rPr>
        <w:t>;</w:t>
      </w:r>
      <w:r>
        <w:rPr>
          <w:rFonts w:cs="Arial"/>
          <w:sz w:val="20"/>
        </w:rPr>
        <w:tab/>
      </w:r>
      <w:r w:rsidRPr="00F66ECA">
        <w:rPr>
          <w:rFonts w:cs="Arial"/>
          <w:i/>
          <w:iCs/>
          <w:sz w:val="20"/>
        </w:rPr>
        <w:t xml:space="preserve">Chamberland </w:t>
      </w:r>
      <w:r w:rsidRPr="00F66ECA">
        <w:rPr>
          <w:rFonts w:cs="Arial"/>
          <w:sz w:val="20"/>
        </w:rPr>
        <w:t xml:space="preserve">et </w:t>
      </w:r>
      <w:r w:rsidRPr="00F66ECA">
        <w:rPr>
          <w:rFonts w:cs="Arial"/>
          <w:i/>
          <w:iCs/>
          <w:sz w:val="20"/>
        </w:rPr>
        <w:t>J.L. Desjardins Auto collection inc.</w:t>
      </w:r>
      <w:r w:rsidRPr="00F66ECA">
        <w:rPr>
          <w:rFonts w:cs="Arial"/>
          <w:sz w:val="20"/>
        </w:rPr>
        <w:t>, 2021</w:t>
      </w:r>
      <w:r w:rsidR="00696E86">
        <w:rPr>
          <w:rFonts w:cs="Arial"/>
          <w:sz w:val="20"/>
        </w:rPr>
        <w:t> </w:t>
      </w:r>
      <w:r w:rsidRPr="00F66ECA">
        <w:rPr>
          <w:rFonts w:cs="Arial"/>
          <w:sz w:val="20"/>
        </w:rPr>
        <w:t>QCTAT</w:t>
      </w:r>
      <w:r w:rsidR="00696E86">
        <w:rPr>
          <w:rFonts w:cs="Arial"/>
          <w:sz w:val="20"/>
        </w:rPr>
        <w:t> </w:t>
      </w:r>
      <w:r w:rsidRPr="00F66ECA">
        <w:rPr>
          <w:rFonts w:cs="Arial"/>
          <w:sz w:val="20"/>
        </w:rPr>
        <w:t>2111</w:t>
      </w:r>
      <w:r>
        <w:rPr>
          <w:rFonts w:cs="Arial"/>
          <w:sz w:val="20"/>
        </w:rPr>
        <w:t xml:space="preserve">; </w:t>
      </w:r>
      <w:r w:rsidRPr="00F66ECA">
        <w:rPr>
          <w:rFonts w:cs="Arial"/>
          <w:i/>
          <w:iCs/>
          <w:sz w:val="20"/>
        </w:rPr>
        <w:t>Guillemette</w:t>
      </w:r>
      <w:r w:rsidRPr="00F66ECA">
        <w:rPr>
          <w:rFonts w:cs="Arial"/>
          <w:sz w:val="20"/>
        </w:rPr>
        <w:t xml:space="preserve"> et </w:t>
      </w:r>
      <w:r w:rsidRPr="00F66ECA">
        <w:rPr>
          <w:rFonts w:cs="Arial"/>
          <w:i/>
          <w:iCs/>
          <w:sz w:val="20"/>
        </w:rPr>
        <w:t>Thetford Mines Comfort Inn</w:t>
      </w:r>
      <w:r w:rsidRPr="00F66ECA">
        <w:rPr>
          <w:rFonts w:cs="Arial"/>
          <w:sz w:val="20"/>
        </w:rPr>
        <w:t>, 2015 QCCLP 4884</w:t>
      </w:r>
      <w:r w:rsidR="00E20DE8">
        <w:rPr>
          <w:rFonts w:cs="Arial"/>
          <w:sz w:val="20"/>
        </w:rPr>
        <w:t>.</w:t>
      </w:r>
    </w:p>
  </w:footnote>
  <w:footnote w:id="25">
    <w:p w14:paraId="6C920D47" w14:textId="3778C9DF" w:rsidR="00D479BC" w:rsidRPr="00D479BC" w:rsidRDefault="00D479BC" w:rsidP="00D479B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479BC">
        <w:rPr>
          <w:rFonts w:cs="Arial"/>
          <w:i/>
          <w:iCs/>
          <w:sz w:val="20"/>
        </w:rPr>
        <w:t>Morin </w:t>
      </w:r>
      <w:r w:rsidRPr="00D479BC">
        <w:rPr>
          <w:rFonts w:cs="Arial"/>
          <w:sz w:val="20"/>
        </w:rPr>
        <w:t>et</w:t>
      </w:r>
      <w:r w:rsidRPr="00D479BC">
        <w:rPr>
          <w:rFonts w:cs="Arial"/>
          <w:i/>
          <w:iCs/>
          <w:sz w:val="20"/>
        </w:rPr>
        <w:t> 9095-9867 Québec inc</w:t>
      </w:r>
      <w:r w:rsidRPr="00D479BC">
        <w:rPr>
          <w:rFonts w:cs="Arial"/>
          <w:sz w:val="20"/>
        </w:rPr>
        <w:t xml:space="preserve">., </w:t>
      </w:r>
      <w:r>
        <w:rPr>
          <w:rFonts w:cs="Arial"/>
          <w:sz w:val="20"/>
        </w:rPr>
        <w:t xml:space="preserve">2015 QCCP 1619; </w:t>
      </w:r>
      <w:r w:rsidRPr="00D479BC">
        <w:rPr>
          <w:rFonts w:cs="Arial"/>
          <w:i/>
          <w:iCs/>
          <w:sz w:val="20"/>
        </w:rPr>
        <w:t>Réel Aluminium inc.</w:t>
      </w:r>
      <w:r w:rsidRPr="00D479BC">
        <w:rPr>
          <w:rFonts w:cs="Arial"/>
          <w:sz w:val="20"/>
        </w:rPr>
        <w:t xml:space="preserve"> et </w:t>
      </w:r>
      <w:r w:rsidRPr="00D479BC">
        <w:rPr>
          <w:rFonts w:cs="Arial"/>
          <w:i/>
          <w:iCs/>
          <w:sz w:val="20"/>
        </w:rPr>
        <w:t>Benkraiem</w:t>
      </w:r>
      <w:r w:rsidRPr="00D479BC">
        <w:rPr>
          <w:rFonts w:cs="Arial"/>
          <w:sz w:val="20"/>
        </w:rPr>
        <w:t>, 2024</w:t>
      </w:r>
      <w:r w:rsidR="0008314C">
        <w:rPr>
          <w:rFonts w:cs="Arial"/>
          <w:sz w:val="20"/>
        </w:rPr>
        <w:t> </w:t>
      </w:r>
      <w:r w:rsidRPr="00D479BC">
        <w:rPr>
          <w:rFonts w:cs="Arial"/>
          <w:sz w:val="20"/>
        </w:rPr>
        <w:t>QCTAT 2120</w:t>
      </w:r>
      <w:r>
        <w:rPr>
          <w:rFonts w:cs="Arial"/>
          <w:sz w:val="20"/>
        </w:rPr>
        <w:t>.</w:t>
      </w:r>
    </w:p>
  </w:footnote>
  <w:footnote w:id="26">
    <w:p w14:paraId="188E4F3E" w14:textId="028B49D0" w:rsidR="00322692" w:rsidRPr="00322692" w:rsidRDefault="00322692" w:rsidP="0032269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sz w:val="20"/>
        </w:rPr>
        <w:t>Id.</w:t>
      </w:r>
      <w:r>
        <w:rPr>
          <w:rFonts w:cs="Arial"/>
          <w:sz w:val="20"/>
        </w:rPr>
        <w:t>;</w:t>
      </w:r>
      <w:r w:rsidRPr="00322692">
        <w:rPr>
          <w:rFonts w:cs="Arial"/>
          <w:i/>
          <w:iCs/>
          <w:sz w:val="20"/>
        </w:rPr>
        <w:t xml:space="preserve"> Chamberland</w:t>
      </w:r>
      <w:r w:rsidRPr="00322692">
        <w:rPr>
          <w:rFonts w:cs="Arial"/>
          <w:sz w:val="20"/>
        </w:rPr>
        <w:t xml:space="preserve"> et </w:t>
      </w:r>
      <w:r w:rsidRPr="00322692">
        <w:rPr>
          <w:rFonts w:cs="Arial"/>
          <w:i/>
          <w:iCs/>
          <w:sz w:val="20"/>
        </w:rPr>
        <w:t>J.L. Desjardins Auto collection inc.</w:t>
      </w:r>
      <w:r w:rsidRPr="00322692">
        <w:rPr>
          <w:rFonts w:cs="Arial"/>
          <w:sz w:val="20"/>
        </w:rPr>
        <w:t xml:space="preserve">, </w:t>
      </w:r>
      <w:r w:rsidR="00696E86">
        <w:rPr>
          <w:rFonts w:cs="Arial"/>
          <w:sz w:val="20"/>
        </w:rPr>
        <w:t>précité, note 23</w:t>
      </w:r>
      <w:r w:rsidR="00647D2D">
        <w:rPr>
          <w:rFonts w:cs="Arial"/>
          <w:sz w:val="20"/>
        </w:rPr>
        <w:t xml:space="preserve">; </w:t>
      </w:r>
      <w:r w:rsidR="002B3005" w:rsidRPr="002B3005">
        <w:rPr>
          <w:rFonts w:cs="Arial"/>
          <w:i/>
          <w:iCs/>
          <w:sz w:val="20"/>
        </w:rPr>
        <w:t xml:space="preserve">Cléroux </w:t>
      </w:r>
      <w:r w:rsidR="002B3005" w:rsidRPr="002B3005">
        <w:rPr>
          <w:rFonts w:cs="Arial"/>
          <w:sz w:val="20"/>
        </w:rPr>
        <w:t xml:space="preserve">et </w:t>
      </w:r>
      <w:r w:rsidR="002B3005" w:rsidRPr="002B3005">
        <w:rPr>
          <w:rFonts w:cs="Arial"/>
          <w:i/>
          <w:iCs/>
          <w:sz w:val="20"/>
        </w:rPr>
        <w:t>Emploi et Développement social Canada</w:t>
      </w:r>
      <w:r w:rsidR="002B3005">
        <w:rPr>
          <w:rFonts w:cs="Arial"/>
          <w:sz w:val="20"/>
        </w:rPr>
        <w:t xml:space="preserve">, </w:t>
      </w:r>
      <w:r w:rsidR="002B3005" w:rsidRPr="002B3005">
        <w:rPr>
          <w:rFonts w:cs="Arial"/>
          <w:sz w:val="20"/>
        </w:rPr>
        <w:t>2023 QCTAT 2231</w:t>
      </w:r>
      <w:r w:rsidR="002B3005">
        <w:rPr>
          <w:rFonts w:cs="Arial"/>
          <w:sz w:val="20"/>
        </w:rPr>
        <w:t xml:space="preserve">; </w:t>
      </w:r>
      <w:r w:rsidR="002B3005" w:rsidRPr="002B3005">
        <w:rPr>
          <w:rFonts w:cs="Arial"/>
          <w:i/>
          <w:iCs/>
          <w:sz w:val="20"/>
        </w:rPr>
        <w:t>Bolduc</w:t>
      </w:r>
      <w:r w:rsidR="002B3005" w:rsidRPr="002B3005">
        <w:rPr>
          <w:rFonts w:cs="Arial"/>
          <w:sz w:val="20"/>
        </w:rPr>
        <w:t xml:space="preserve"> et </w:t>
      </w:r>
      <w:r w:rsidR="002B3005" w:rsidRPr="002B3005">
        <w:rPr>
          <w:rFonts w:cs="Arial"/>
          <w:i/>
          <w:iCs/>
          <w:sz w:val="20"/>
        </w:rPr>
        <w:t>Éric Dupuis Plâtrier inc.</w:t>
      </w:r>
      <w:r w:rsidR="002B3005" w:rsidRPr="002B3005">
        <w:rPr>
          <w:rFonts w:cs="Arial"/>
          <w:sz w:val="20"/>
        </w:rPr>
        <w:t>, 2024</w:t>
      </w:r>
      <w:r w:rsidR="00C657B1">
        <w:rPr>
          <w:rFonts w:cs="Arial"/>
          <w:sz w:val="20"/>
        </w:rPr>
        <w:t> </w:t>
      </w:r>
      <w:r w:rsidR="002B3005" w:rsidRPr="002B3005">
        <w:rPr>
          <w:rFonts w:cs="Arial"/>
          <w:sz w:val="20"/>
        </w:rPr>
        <w:t>QCTAT 4154</w:t>
      </w:r>
      <w:r w:rsidR="002B3005">
        <w:rPr>
          <w:rFonts w:cs="Arial"/>
          <w:sz w:val="20"/>
        </w:rPr>
        <w:t>.</w:t>
      </w:r>
    </w:p>
  </w:footnote>
  <w:footnote w:id="27">
    <w:p w14:paraId="4DA38905" w14:textId="7818CEBE" w:rsidR="00647D2D" w:rsidRPr="00647D2D" w:rsidRDefault="00647D2D" w:rsidP="00647D2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47D2D">
        <w:rPr>
          <w:rFonts w:cs="Arial"/>
          <w:i/>
          <w:iCs/>
          <w:sz w:val="20"/>
        </w:rPr>
        <w:t>Dupuis </w:t>
      </w:r>
      <w:r w:rsidRPr="00647D2D">
        <w:rPr>
          <w:rFonts w:cs="Arial"/>
          <w:sz w:val="20"/>
        </w:rPr>
        <w:t>et </w:t>
      </w:r>
      <w:r w:rsidRPr="00647D2D">
        <w:rPr>
          <w:rFonts w:cs="Arial"/>
          <w:i/>
          <w:iCs/>
          <w:sz w:val="20"/>
        </w:rPr>
        <w:t>Restaurant l’Accès du Nord</w:t>
      </w:r>
      <w:r w:rsidRPr="00696E86">
        <w:rPr>
          <w:rFonts w:cs="Arial"/>
          <w:sz w:val="20"/>
        </w:rPr>
        <w:t>,</w:t>
      </w:r>
      <w:r w:rsidR="00696E86" w:rsidRPr="00696E86">
        <w:rPr>
          <w:rFonts w:cs="Arial"/>
          <w:sz w:val="20"/>
        </w:rPr>
        <w:t xml:space="preserve"> C.L.P</w:t>
      </w:r>
      <w:r w:rsidR="00696E86">
        <w:rPr>
          <w:rFonts w:cs="Arial"/>
          <w:i/>
          <w:iCs/>
          <w:sz w:val="20"/>
        </w:rPr>
        <w:t>.</w:t>
      </w:r>
      <w:r w:rsidRPr="00647D2D">
        <w:rPr>
          <w:rFonts w:cs="Arial"/>
          <w:sz w:val="20"/>
        </w:rPr>
        <w:t> 286267-09-0604, 3 octobre 2006, Y. Vigneault.</w:t>
      </w:r>
      <w:r>
        <w:rPr>
          <w:rFonts w:cs="Arial"/>
          <w:sz w:val="20"/>
        </w:rPr>
        <w:t xml:space="preserve"> Voi</w:t>
      </w:r>
      <w:r w:rsidR="006C4141">
        <w:rPr>
          <w:rFonts w:cs="Arial"/>
          <w:sz w:val="20"/>
        </w:rPr>
        <w:t>r </w:t>
      </w:r>
      <w:r>
        <w:rPr>
          <w:rFonts w:cs="Arial"/>
          <w:sz w:val="20"/>
        </w:rPr>
        <w:t xml:space="preserve">également : </w:t>
      </w:r>
      <w:r w:rsidRPr="00647D2D">
        <w:rPr>
          <w:rFonts w:cs="Arial"/>
          <w:i/>
          <w:iCs/>
          <w:sz w:val="20"/>
        </w:rPr>
        <w:t>Exceldor coopérative avicole</w:t>
      </w:r>
      <w:r w:rsidRPr="00647D2D">
        <w:rPr>
          <w:rFonts w:cs="Arial"/>
          <w:sz w:val="20"/>
        </w:rPr>
        <w:t xml:space="preserve"> et </w:t>
      </w:r>
      <w:r w:rsidRPr="00647D2D">
        <w:rPr>
          <w:rFonts w:cs="Arial"/>
          <w:i/>
          <w:iCs/>
          <w:sz w:val="20"/>
        </w:rPr>
        <w:t>Mwendanga-Bakunda</w:t>
      </w:r>
      <w:r w:rsidRPr="00647D2D">
        <w:rPr>
          <w:rFonts w:cs="Arial"/>
          <w:sz w:val="20"/>
        </w:rPr>
        <w:t>, 2024 QCTAT 1472</w:t>
      </w:r>
      <w:r>
        <w:rPr>
          <w:rFonts w:cs="Arial"/>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1F6A3592" w14:textId="77777777" w:rsidTr="00F32384">
      <w:tc>
        <w:tcPr>
          <w:tcW w:w="8730" w:type="dxa"/>
        </w:tcPr>
        <w:p w14:paraId="2BAAADC5" w14:textId="77777777" w:rsidR="00D330B6" w:rsidRDefault="00D330B6">
          <w:pPr>
            <w:pStyle w:val="En-tte"/>
            <w:ind w:left="-90"/>
          </w:pPr>
        </w:p>
      </w:tc>
      <w:tc>
        <w:tcPr>
          <w:tcW w:w="860" w:type="dxa"/>
        </w:tcPr>
        <w:p w14:paraId="4DD92B98" w14:textId="77777777" w:rsidR="00D330B6" w:rsidRDefault="00D330B6">
          <w:pPr>
            <w:pStyle w:val="En-tte"/>
            <w:ind w:left="-90"/>
          </w:pPr>
        </w:p>
      </w:tc>
    </w:tr>
    <w:tr w:rsidR="00F32384" w14:paraId="27ED5782" w14:textId="77777777" w:rsidTr="00F32384">
      <w:tc>
        <w:tcPr>
          <w:tcW w:w="8730" w:type="dxa"/>
        </w:tcPr>
        <w:p w14:paraId="4895E33A" w14:textId="6C6AEFD2" w:rsidR="00F32384" w:rsidRDefault="00F32384" w:rsidP="00F32384">
          <w:r w:rsidRPr="00F32384">
            <w:t>1309199-62-2302</w:t>
          </w:r>
        </w:p>
      </w:tc>
      <w:tc>
        <w:tcPr>
          <w:tcW w:w="860" w:type="dxa"/>
        </w:tcPr>
        <w:p w14:paraId="393B02F6" w14:textId="77777777" w:rsidR="00F32384" w:rsidRDefault="00F32384" w:rsidP="00F32384">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0956CA">
            <w:rPr>
              <w:rStyle w:val="Numrodepage"/>
              <w:noProof/>
            </w:rPr>
            <w:t>5</w:t>
          </w:r>
          <w:r>
            <w:rPr>
              <w:rStyle w:val="Numrodepage"/>
            </w:rPr>
            <w:fldChar w:fldCharType="end"/>
          </w:r>
        </w:p>
      </w:tc>
    </w:tr>
    <w:tr w:rsidR="00F32384" w14:paraId="7DB16415" w14:textId="77777777" w:rsidTr="00F32384">
      <w:tc>
        <w:tcPr>
          <w:tcW w:w="8730" w:type="dxa"/>
        </w:tcPr>
        <w:p w14:paraId="5742DC49" w14:textId="77777777" w:rsidR="00F32384" w:rsidRDefault="00F32384" w:rsidP="00F32384"/>
      </w:tc>
      <w:tc>
        <w:tcPr>
          <w:tcW w:w="860" w:type="dxa"/>
        </w:tcPr>
        <w:p w14:paraId="3B09AFFE" w14:textId="77777777" w:rsidR="00F32384" w:rsidRDefault="00F32384" w:rsidP="00F32384">
          <w:pPr>
            <w:pStyle w:val="En-tte"/>
            <w:ind w:left="-90"/>
            <w:jc w:val="right"/>
          </w:pPr>
        </w:p>
      </w:tc>
    </w:tr>
  </w:tbl>
  <w:p w14:paraId="19597E68"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390D582A"/>
    <w:multiLevelType w:val="hybridMultilevel"/>
    <w:tmpl w:val="6A665000"/>
    <w:lvl w:ilvl="0" w:tplc="08004468">
      <w:start w:val="1"/>
      <w:numFmt w:val="bullet"/>
      <w:lvlText w:val=""/>
      <w:lvlJc w:val="left"/>
      <w:pPr>
        <w:ind w:left="720" w:hanging="360"/>
      </w:pPr>
      <w:rPr>
        <w:rFonts w:ascii="Symbol" w:hAnsi="Symbol" w:hint="default"/>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E5B57A3"/>
    <w:multiLevelType w:val="hybridMultilevel"/>
    <w:tmpl w:val="472A9C76"/>
    <w:lvl w:ilvl="0" w:tplc="B4DAAF6C">
      <w:start w:val="2025"/>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6A6027A6"/>
    <w:multiLevelType w:val="hybridMultilevel"/>
    <w:tmpl w:val="6A68A7E6"/>
    <w:lvl w:ilvl="0" w:tplc="DFD8DCC6">
      <w:start w:val="1"/>
      <w:numFmt w:val="bullet"/>
      <w:lvlText w:val="–"/>
      <w:lvlJc w:val="left"/>
      <w:pPr>
        <w:ind w:left="720" w:hanging="360"/>
      </w:pPr>
      <w:rPr>
        <w:rFonts w:ascii="High Tower Text" w:hAnsi="High Tower Text"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6"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8"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0"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1"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2"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10"/>
  </w:num>
  <w:num w:numId="2">
    <w:abstractNumId w:val="9"/>
  </w:num>
  <w:num w:numId="3">
    <w:abstractNumId w:val="8"/>
  </w:num>
  <w:num w:numId="4">
    <w:abstractNumId w:val="6"/>
  </w:num>
  <w:num w:numId="5">
    <w:abstractNumId w:val="12"/>
  </w:num>
  <w:num w:numId="6">
    <w:abstractNumId w:val="12"/>
  </w:num>
  <w:num w:numId="7">
    <w:abstractNumId w:val="0"/>
  </w:num>
  <w:num w:numId="8">
    <w:abstractNumId w:val="5"/>
  </w:num>
  <w:num w:numId="9">
    <w:abstractNumId w:val="1"/>
  </w:num>
  <w:num w:numId="10">
    <w:abstractNumId w:val="11"/>
  </w:num>
  <w:num w:numId="11">
    <w:abstractNumId w:val="7"/>
  </w:num>
  <w:num w:numId="12">
    <w:abstractNumId w:val="4"/>
  </w:num>
  <w:num w:numId="13">
    <w:abstractNumId w:val="3"/>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2A29"/>
    <w:rsid w:val="000034B0"/>
    <w:rsid w:val="000041A1"/>
    <w:rsid w:val="00006DD2"/>
    <w:rsid w:val="0001305E"/>
    <w:rsid w:val="00016D99"/>
    <w:rsid w:val="00021B30"/>
    <w:rsid w:val="00021E4C"/>
    <w:rsid w:val="00022556"/>
    <w:rsid w:val="00023858"/>
    <w:rsid w:val="000352CA"/>
    <w:rsid w:val="000366EC"/>
    <w:rsid w:val="00036794"/>
    <w:rsid w:val="000439F2"/>
    <w:rsid w:val="00043E4D"/>
    <w:rsid w:val="000536CC"/>
    <w:rsid w:val="000559A8"/>
    <w:rsid w:val="00055A3E"/>
    <w:rsid w:val="00056393"/>
    <w:rsid w:val="00057739"/>
    <w:rsid w:val="0007225E"/>
    <w:rsid w:val="00074ABE"/>
    <w:rsid w:val="00074EAE"/>
    <w:rsid w:val="00076D81"/>
    <w:rsid w:val="00080885"/>
    <w:rsid w:val="00082A97"/>
    <w:rsid w:val="0008314C"/>
    <w:rsid w:val="0008378A"/>
    <w:rsid w:val="0008784D"/>
    <w:rsid w:val="00090018"/>
    <w:rsid w:val="00090306"/>
    <w:rsid w:val="00090F69"/>
    <w:rsid w:val="00093ACD"/>
    <w:rsid w:val="000956CA"/>
    <w:rsid w:val="00095814"/>
    <w:rsid w:val="00097D81"/>
    <w:rsid w:val="00097FCE"/>
    <w:rsid w:val="000A1DAC"/>
    <w:rsid w:val="000A4AD0"/>
    <w:rsid w:val="000A5AD1"/>
    <w:rsid w:val="000A63DF"/>
    <w:rsid w:val="000A77C5"/>
    <w:rsid w:val="000B459B"/>
    <w:rsid w:val="000B6275"/>
    <w:rsid w:val="000B7F1B"/>
    <w:rsid w:val="000C710F"/>
    <w:rsid w:val="000D3948"/>
    <w:rsid w:val="000D5603"/>
    <w:rsid w:val="000E0C28"/>
    <w:rsid w:val="000E0C3A"/>
    <w:rsid w:val="000E1320"/>
    <w:rsid w:val="000E3FF6"/>
    <w:rsid w:val="000E56A6"/>
    <w:rsid w:val="000F20A5"/>
    <w:rsid w:val="000F3423"/>
    <w:rsid w:val="000F46BC"/>
    <w:rsid w:val="000F5F81"/>
    <w:rsid w:val="00100AB8"/>
    <w:rsid w:val="00104550"/>
    <w:rsid w:val="00104C3D"/>
    <w:rsid w:val="001050B4"/>
    <w:rsid w:val="001144AB"/>
    <w:rsid w:val="0012224D"/>
    <w:rsid w:val="001225BC"/>
    <w:rsid w:val="00122A9E"/>
    <w:rsid w:val="00122F94"/>
    <w:rsid w:val="0012326A"/>
    <w:rsid w:val="00132622"/>
    <w:rsid w:val="00137E7E"/>
    <w:rsid w:val="001407FC"/>
    <w:rsid w:val="00144572"/>
    <w:rsid w:val="00146116"/>
    <w:rsid w:val="00147A49"/>
    <w:rsid w:val="00147B8B"/>
    <w:rsid w:val="0015125A"/>
    <w:rsid w:val="00152464"/>
    <w:rsid w:val="0015539F"/>
    <w:rsid w:val="00160597"/>
    <w:rsid w:val="00162ECC"/>
    <w:rsid w:val="001664C8"/>
    <w:rsid w:val="001675A7"/>
    <w:rsid w:val="00167AD0"/>
    <w:rsid w:val="00167DEF"/>
    <w:rsid w:val="00167E9D"/>
    <w:rsid w:val="00167FFE"/>
    <w:rsid w:val="00173184"/>
    <w:rsid w:val="00175079"/>
    <w:rsid w:val="001761B9"/>
    <w:rsid w:val="00183515"/>
    <w:rsid w:val="001846FC"/>
    <w:rsid w:val="001924FE"/>
    <w:rsid w:val="001937ED"/>
    <w:rsid w:val="001965E1"/>
    <w:rsid w:val="001A03BE"/>
    <w:rsid w:val="001A067E"/>
    <w:rsid w:val="001A2900"/>
    <w:rsid w:val="001A2E04"/>
    <w:rsid w:val="001A4081"/>
    <w:rsid w:val="001A65F1"/>
    <w:rsid w:val="001B2B40"/>
    <w:rsid w:val="001B3E9D"/>
    <w:rsid w:val="001B4A40"/>
    <w:rsid w:val="001B5524"/>
    <w:rsid w:val="001B6D8A"/>
    <w:rsid w:val="001C19D4"/>
    <w:rsid w:val="001C2B0B"/>
    <w:rsid w:val="001C40A9"/>
    <w:rsid w:val="001C436D"/>
    <w:rsid w:val="001D63C8"/>
    <w:rsid w:val="001D65D8"/>
    <w:rsid w:val="001E3DFD"/>
    <w:rsid w:val="001E42F0"/>
    <w:rsid w:val="001E497A"/>
    <w:rsid w:val="001E5E3B"/>
    <w:rsid w:val="00211936"/>
    <w:rsid w:val="00225C46"/>
    <w:rsid w:val="00226493"/>
    <w:rsid w:val="00227040"/>
    <w:rsid w:val="00230CFC"/>
    <w:rsid w:val="0023162A"/>
    <w:rsid w:val="00231C1D"/>
    <w:rsid w:val="00233532"/>
    <w:rsid w:val="00234BC8"/>
    <w:rsid w:val="00240FDB"/>
    <w:rsid w:val="00241CED"/>
    <w:rsid w:val="00242FB4"/>
    <w:rsid w:val="00245605"/>
    <w:rsid w:val="002542E0"/>
    <w:rsid w:val="002563F0"/>
    <w:rsid w:val="00256DBB"/>
    <w:rsid w:val="00257D26"/>
    <w:rsid w:val="00260119"/>
    <w:rsid w:val="00266064"/>
    <w:rsid w:val="00267C8D"/>
    <w:rsid w:val="002701DD"/>
    <w:rsid w:val="002710FD"/>
    <w:rsid w:val="00273F49"/>
    <w:rsid w:val="002769B5"/>
    <w:rsid w:val="00276B25"/>
    <w:rsid w:val="00276B59"/>
    <w:rsid w:val="00281319"/>
    <w:rsid w:val="00286149"/>
    <w:rsid w:val="0028668D"/>
    <w:rsid w:val="00287D54"/>
    <w:rsid w:val="00290289"/>
    <w:rsid w:val="00292188"/>
    <w:rsid w:val="002923D9"/>
    <w:rsid w:val="00296645"/>
    <w:rsid w:val="00296A4B"/>
    <w:rsid w:val="00297284"/>
    <w:rsid w:val="002A0077"/>
    <w:rsid w:val="002A07DC"/>
    <w:rsid w:val="002A3573"/>
    <w:rsid w:val="002A374B"/>
    <w:rsid w:val="002A73E9"/>
    <w:rsid w:val="002A75E5"/>
    <w:rsid w:val="002B132B"/>
    <w:rsid w:val="002B2FC3"/>
    <w:rsid w:val="002B3005"/>
    <w:rsid w:val="002B35F0"/>
    <w:rsid w:val="002B58AF"/>
    <w:rsid w:val="002C3748"/>
    <w:rsid w:val="002C5E89"/>
    <w:rsid w:val="002D42BC"/>
    <w:rsid w:val="002D71A9"/>
    <w:rsid w:val="002D7846"/>
    <w:rsid w:val="002D7FAC"/>
    <w:rsid w:val="002D7FCB"/>
    <w:rsid w:val="002E05AE"/>
    <w:rsid w:val="002F7507"/>
    <w:rsid w:val="0030059B"/>
    <w:rsid w:val="00302FB4"/>
    <w:rsid w:val="00305273"/>
    <w:rsid w:val="003057FC"/>
    <w:rsid w:val="00305AFB"/>
    <w:rsid w:val="00307C85"/>
    <w:rsid w:val="00312983"/>
    <w:rsid w:val="00322692"/>
    <w:rsid w:val="00323DC5"/>
    <w:rsid w:val="003248CB"/>
    <w:rsid w:val="00331EA7"/>
    <w:rsid w:val="003332B8"/>
    <w:rsid w:val="00337555"/>
    <w:rsid w:val="00341959"/>
    <w:rsid w:val="00343B46"/>
    <w:rsid w:val="00344465"/>
    <w:rsid w:val="0034740A"/>
    <w:rsid w:val="0035055E"/>
    <w:rsid w:val="00350579"/>
    <w:rsid w:val="0035375B"/>
    <w:rsid w:val="003565D0"/>
    <w:rsid w:val="00361DCE"/>
    <w:rsid w:val="00362D74"/>
    <w:rsid w:val="00364D05"/>
    <w:rsid w:val="003664E9"/>
    <w:rsid w:val="00366D1E"/>
    <w:rsid w:val="003703A5"/>
    <w:rsid w:val="0037112C"/>
    <w:rsid w:val="00373EE5"/>
    <w:rsid w:val="003747E8"/>
    <w:rsid w:val="00380F01"/>
    <w:rsid w:val="003817E7"/>
    <w:rsid w:val="00382E55"/>
    <w:rsid w:val="00390B55"/>
    <w:rsid w:val="0039608F"/>
    <w:rsid w:val="003961B2"/>
    <w:rsid w:val="003A3AAA"/>
    <w:rsid w:val="003A41AD"/>
    <w:rsid w:val="003A49F9"/>
    <w:rsid w:val="003B0C41"/>
    <w:rsid w:val="003B152B"/>
    <w:rsid w:val="003B1734"/>
    <w:rsid w:val="003B1735"/>
    <w:rsid w:val="003B2D2E"/>
    <w:rsid w:val="003B6CBF"/>
    <w:rsid w:val="003B76A1"/>
    <w:rsid w:val="003C47A7"/>
    <w:rsid w:val="003C739D"/>
    <w:rsid w:val="003D0826"/>
    <w:rsid w:val="003D18FC"/>
    <w:rsid w:val="003D3C93"/>
    <w:rsid w:val="003D71BB"/>
    <w:rsid w:val="003E00D5"/>
    <w:rsid w:val="003E02BA"/>
    <w:rsid w:val="003F0578"/>
    <w:rsid w:val="003F7F38"/>
    <w:rsid w:val="00401325"/>
    <w:rsid w:val="004019AA"/>
    <w:rsid w:val="0040399B"/>
    <w:rsid w:val="00406F0C"/>
    <w:rsid w:val="004106DB"/>
    <w:rsid w:val="00410A9A"/>
    <w:rsid w:val="00411251"/>
    <w:rsid w:val="00412585"/>
    <w:rsid w:val="0041363B"/>
    <w:rsid w:val="00414FA8"/>
    <w:rsid w:val="00415D5D"/>
    <w:rsid w:val="0041643A"/>
    <w:rsid w:val="00416676"/>
    <w:rsid w:val="004232E9"/>
    <w:rsid w:val="00426051"/>
    <w:rsid w:val="0042650F"/>
    <w:rsid w:val="0042684F"/>
    <w:rsid w:val="00427D5D"/>
    <w:rsid w:val="00431E0B"/>
    <w:rsid w:val="004337FE"/>
    <w:rsid w:val="00433808"/>
    <w:rsid w:val="00433E98"/>
    <w:rsid w:val="00435738"/>
    <w:rsid w:val="00437137"/>
    <w:rsid w:val="004403B8"/>
    <w:rsid w:val="00441ADA"/>
    <w:rsid w:val="004422CA"/>
    <w:rsid w:val="0044274C"/>
    <w:rsid w:val="0044371C"/>
    <w:rsid w:val="0044627E"/>
    <w:rsid w:val="004503EA"/>
    <w:rsid w:val="0045114F"/>
    <w:rsid w:val="004529D3"/>
    <w:rsid w:val="00453D99"/>
    <w:rsid w:val="00453F31"/>
    <w:rsid w:val="00456B0C"/>
    <w:rsid w:val="00460101"/>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679B"/>
    <w:rsid w:val="004C005E"/>
    <w:rsid w:val="004C0FB4"/>
    <w:rsid w:val="004C1811"/>
    <w:rsid w:val="004C2944"/>
    <w:rsid w:val="004C3001"/>
    <w:rsid w:val="004C4555"/>
    <w:rsid w:val="004C4AD2"/>
    <w:rsid w:val="004D16D6"/>
    <w:rsid w:val="004D6CEA"/>
    <w:rsid w:val="004E0E02"/>
    <w:rsid w:val="004E3564"/>
    <w:rsid w:val="004E3D9F"/>
    <w:rsid w:val="004E50DD"/>
    <w:rsid w:val="004E51C0"/>
    <w:rsid w:val="004E53F7"/>
    <w:rsid w:val="004E64BE"/>
    <w:rsid w:val="004F3430"/>
    <w:rsid w:val="004F6293"/>
    <w:rsid w:val="004F6449"/>
    <w:rsid w:val="00503B8D"/>
    <w:rsid w:val="00503EE3"/>
    <w:rsid w:val="00505811"/>
    <w:rsid w:val="0051261C"/>
    <w:rsid w:val="00515DE7"/>
    <w:rsid w:val="00517EB0"/>
    <w:rsid w:val="005205CB"/>
    <w:rsid w:val="0052430C"/>
    <w:rsid w:val="005348E4"/>
    <w:rsid w:val="00534D8F"/>
    <w:rsid w:val="005352F1"/>
    <w:rsid w:val="00540094"/>
    <w:rsid w:val="005400E6"/>
    <w:rsid w:val="00545CFF"/>
    <w:rsid w:val="00547A9C"/>
    <w:rsid w:val="00555800"/>
    <w:rsid w:val="00556DBB"/>
    <w:rsid w:val="00560781"/>
    <w:rsid w:val="0056268F"/>
    <w:rsid w:val="00563285"/>
    <w:rsid w:val="005662E9"/>
    <w:rsid w:val="005700F8"/>
    <w:rsid w:val="00572AAF"/>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24E"/>
    <w:rsid w:val="005B0612"/>
    <w:rsid w:val="005B13F0"/>
    <w:rsid w:val="005B2E0C"/>
    <w:rsid w:val="005B30F6"/>
    <w:rsid w:val="005B45BA"/>
    <w:rsid w:val="005B5689"/>
    <w:rsid w:val="005B6680"/>
    <w:rsid w:val="005B6774"/>
    <w:rsid w:val="005C0A89"/>
    <w:rsid w:val="005C0D4C"/>
    <w:rsid w:val="005C3BC4"/>
    <w:rsid w:val="005D26CC"/>
    <w:rsid w:val="005D3DE6"/>
    <w:rsid w:val="005D4711"/>
    <w:rsid w:val="005D59B1"/>
    <w:rsid w:val="005D764B"/>
    <w:rsid w:val="005E2367"/>
    <w:rsid w:val="005E34D2"/>
    <w:rsid w:val="005E5E90"/>
    <w:rsid w:val="005E654C"/>
    <w:rsid w:val="005F05F6"/>
    <w:rsid w:val="005F0D07"/>
    <w:rsid w:val="005F176F"/>
    <w:rsid w:val="00605734"/>
    <w:rsid w:val="0061488E"/>
    <w:rsid w:val="0061574B"/>
    <w:rsid w:val="00616406"/>
    <w:rsid w:val="00622670"/>
    <w:rsid w:val="00622D69"/>
    <w:rsid w:val="00623328"/>
    <w:rsid w:val="00623A1A"/>
    <w:rsid w:val="00626E8D"/>
    <w:rsid w:val="0063156B"/>
    <w:rsid w:val="006326A9"/>
    <w:rsid w:val="00632B78"/>
    <w:rsid w:val="00632DA8"/>
    <w:rsid w:val="00634C4B"/>
    <w:rsid w:val="00634E6E"/>
    <w:rsid w:val="0063651F"/>
    <w:rsid w:val="00641DBB"/>
    <w:rsid w:val="0064342A"/>
    <w:rsid w:val="00643A28"/>
    <w:rsid w:val="006452FA"/>
    <w:rsid w:val="00647033"/>
    <w:rsid w:val="00647D2D"/>
    <w:rsid w:val="0065093D"/>
    <w:rsid w:val="00652A16"/>
    <w:rsid w:val="00655193"/>
    <w:rsid w:val="00655459"/>
    <w:rsid w:val="00656FB2"/>
    <w:rsid w:val="00657A70"/>
    <w:rsid w:val="00661454"/>
    <w:rsid w:val="006620AA"/>
    <w:rsid w:val="006626AF"/>
    <w:rsid w:val="00664B26"/>
    <w:rsid w:val="00665180"/>
    <w:rsid w:val="0066642D"/>
    <w:rsid w:val="006722E2"/>
    <w:rsid w:val="00675E85"/>
    <w:rsid w:val="0067750F"/>
    <w:rsid w:val="00681396"/>
    <w:rsid w:val="0068171F"/>
    <w:rsid w:val="0068401E"/>
    <w:rsid w:val="006841A4"/>
    <w:rsid w:val="00684EA8"/>
    <w:rsid w:val="0068643F"/>
    <w:rsid w:val="006877A1"/>
    <w:rsid w:val="00690338"/>
    <w:rsid w:val="00692150"/>
    <w:rsid w:val="00692F0C"/>
    <w:rsid w:val="006938AA"/>
    <w:rsid w:val="006944B0"/>
    <w:rsid w:val="00696E7C"/>
    <w:rsid w:val="00696E86"/>
    <w:rsid w:val="00696EF2"/>
    <w:rsid w:val="006A0C54"/>
    <w:rsid w:val="006A3E54"/>
    <w:rsid w:val="006A67DC"/>
    <w:rsid w:val="006A7C53"/>
    <w:rsid w:val="006B140A"/>
    <w:rsid w:val="006B309C"/>
    <w:rsid w:val="006B4316"/>
    <w:rsid w:val="006B727F"/>
    <w:rsid w:val="006C1B57"/>
    <w:rsid w:val="006C254D"/>
    <w:rsid w:val="006C4141"/>
    <w:rsid w:val="006C453F"/>
    <w:rsid w:val="006C6D3A"/>
    <w:rsid w:val="006C7B36"/>
    <w:rsid w:val="006C7B7F"/>
    <w:rsid w:val="006D19E8"/>
    <w:rsid w:val="006D7768"/>
    <w:rsid w:val="006E04B5"/>
    <w:rsid w:val="006E330C"/>
    <w:rsid w:val="006E3DD8"/>
    <w:rsid w:val="006E793F"/>
    <w:rsid w:val="006F0154"/>
    <w:rsid w:val="006F5BFC"/>
    <w:rsid w:val="006F608D"/>
    <w:rsid w:val="006F7944"/>
    <w:rsid w:val="00704121"/>
    <w:rsid w:val="00705BB5"/>
    <w:rsid w:val="0071326F"/>
    <w:rsid w:val="007153D7"/>
    <w:rsid w:val="00720ED4"/>
    <w:rsid w:val="00722736"/>
    <w:rsid w:val="00722FBC"/>
    <w:rsid w:val="007312CC"/>
    <w:rsid w:val="007433B5"/>
    <w:rsid w:val="0074488F"/>
    <w:rsid w:val="00745AA8"/>
    <w:rsid w:val="007503E0"/>
    <w:rsid w:val="007510EC"/>
    <w:rsid w:val="0075233C"/>
    <w:rsid w:val="0075256A"/>
    <w:rsid w:val="00752DCD"/>
    <w:rsid w:val="00754865"/>
    <w:rsid w:val="007569DE"/>
    <w:rsid w:val="0075723C"/>
    <w:rsid w:val="0076146A"/>
    <w:rsid w:val="0076350E"/>
    <w:rsid w:val="00763F36"/>
    <w:rsid w:val="00775BDF"/>
    <w:rsid w:val="0077614D"/>
    <w:rsid w:val="00782C8F"/>
    <w:rsid w:val="00785F78"/>
    <w:rsid w:val="0078659D"/>
    <w:rsid w:val="007869EC"/>
    <w:rsid w:val="00791ED8"/>
    <w:rsid w:val="00792867"/>
    <w:rsid w:val="007A1E58"/>
    <w:rsid w:val="007A5C7E"/>
    <w:rsid w:val="007A63F9"/>
    <w:rsid w:val="007A69A9"/>
    <w:rsid w:val="007A6E2F"/>
    <w:rsid w:val="007B0DF2"/>
    <w:rsid w:val="007B3BC5"/>
    <w:rsid w:val="007B6F8D"/>
    <w:rsid w:val="007C1832"/>
    <w:rsid w:val="007D03DF"/>
    <w:rsid w:val="007D4953"/>
    <w:rsid w:val="007D50F4"/>
    <w:rsid w:val="007D7173"/>
    <w:rsid w:val="007E08A8"/>
    <w:rsid w:val="007E1216"/>
    <w:rsid w:val="007E4CD4"/>
    <w:rsid w:val="007E530C"/>
    <w:rsid w:val="007F0E8E"/>
    <w:rsid w:val="007F16FA"/>
    <w:rsid w:val="007F2149"/>
    <w:rsid w:val="007F4E00"/>
    <w:rsid w:val="008048CF"/>
    <w:rsid w:val="0080653F"/>
    <w:rsid w:val="008079DD"/>
    <w:rsid w:val="0081130F"/>
    <w:rsid w:val="00813095"/>
    <w:rsid w:val="008145AD"/>
    <w:rsid w:val="008146B2"/>
    <w:rsid w:val="008151ED"/>
    <w:rsid w:val="008167A2"/>
    <w:rsid w:val="00824430"/>
    <w:rsid w:val="00825B1F"/>
    <w:rsid w:val="008277B8"/>
    <w:rsid w:val="00827D55"/>
    <w:rsid w:val="00832C84"/>
    <w:rsid w:val="00840EDD"/>
    <w:rsid w:val="0084255F"/>
    <w:rsid w:val="00846FB1"/>
    <w:rsid w:val="00853D95"/>
    <w:rsid w:val="00854FB3"/>
    <w:rsid w:val="00857FCA"/>
    <w:rsid w:val="00860F13"/>
    <w:rsid w:val="0086199C"/>
    <w:rsid w:val="00861F8B"/>
    <w:rsid w:val="0086561F"/>
    <w:rsid w:val="00865A7A"/>
    <w:rsid w:val="00865FE1"/>
    <w:rsid w:val="0087069B"/>
    <w:rsid w:val="00874542"/>
    <w:rsid w:val="008748C7"/>
    <w:rsid w:val="0087521A"/>
    <w:rsid w:val="008766F0"/>
    <w:rsid w:val="0087708E"/>
    <w:rsid w:val="008808C0"/>
    <w:rsid w:val="00882255"/>
    <w:rsid w:val="00890BDE"/>
    <w:rsid w:val="00892AD3"/>
    <w:rsid w:val="00894155"/>
    <w:rsid w:val="008962E7"/>
    <w:rsid w:val="008A1118"/>
    <w:rsid w:val="008A281F"/>
    <w:rsid w:val="008A48D2"/>
    <w:rsid w:val="008A4AF6"/>
    <w:rsid w:val="008A4FF8"/>
    <w:rsid w:val="008A5ED1"/>
    <w:rsid w:val="008A73CE"/>
    <w:rsid w:val="008A7FD1"/>
    <w:rsid w:val="008B042E"/>
    <w:rsid w:val="008B211E"/>
    <w:rsid w:val="008B6D48"/>
    <w:rsid w:val="008C7660"/>
    <w:rsid w:val="008C79A7"/>
    <w:rsid w:val="008D5521"/>
    <w:rsid w:val="008D555F"/>
    <w:rsid w:val="008D625D"/>
    <w:rsid w:val="008D650E"/>
    <w:rsid w:val="008D6F9F"/>
    <w:rsid w:val="008D797C"/>
    <w:rsid w:val="008E673E"/>
    <w:rsid w:val="008E67D1"/>
    <w:rsid w:val="008E6A41"/>
    <w:rsid w:val="008E6FC1"/>
    <w:rsid w:val="008F0847"/>
    <w:rsid w:val="008F15D5"/>
    <w:rsid w:val="008F20EA"/>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4E65"/>
    <w:rsid w:val="00937FAB"/>
    <w:rsid w:val="0094094D"/>
    <w:rsid w:val="00942AB8"/>
    <w:rsid w:val="00943ACE"/>
    <w:rsid w:val="0094548C"/>
    <w:rsid w:val="00945CAF"/>
    <w:rsid w:val="00946AC9"/>
    <w:rsid w:val="00947448"/>
    <w:rsid w:val="00951610"/>
    <w:rsid w:val="00952B38"/>
    <w:rsid w:val="00952C99"/>
    <w:rsid w:val="009619EB"/>
    <w:rsid w:val="009650EE"/>
    <w:rsid w:val="00965333"/>
    <w:rsid w:val="009712EF"/>
    <w:rsid w:val="009727BF"/>
    <w:rsid w:val="00973321"/>
    <w:rsid w:val="00975C2E"/>
    <w:rsid w:val="009770EB"/>
    <w:rsid w:val="00977270"/>
    <w:rsid w:val="009824F2"/>
    <w:rsid w:val="00983080"/>
    <w:rsid w:val="00986AA3"/>
    <w:rsid w:val="00993B24"/>
    <w:rsid w:val="00995103"/>
    <w:rsid w:val="0099611F"/>
    <w:rsid w:val="009A083F"/>
    <w:rsid w:val="009A0DF2"/>
    <w:rsid w:val="009A135C"/>
    <w:rsid w:val="009A67E7"/>
    <w:rsid w:val="009C603A"/>
    <w:rsid w:val="009C74CD"/>
    <w:rsid w:val="009D048F"/>
    <w:rsid w:val="009D162F"/>
    <w:rsid w:val="009D23FF"/>
    <w:rsid w:val="009D401F"/>
    <w:rsid w:val="009D5B42"/>
    <w:rsid w:val="009D601C"/>
    <w:rsid w:val="009D68FA"/>
    <w:rsid w:val="009D7BD7"/>
    <w:rsid w:val="009E1E4F"/>
    <w:rsid w:val="009E32CF"/>
    <w:rsid w:val="009E4261"/>
    <w:rsid w:val="009E4FC2"/>
    <w:rsid w:val="009F44AE"/>
    <w:rsid w:val="009F59B9"/>
    <w:rsid w:val="00A005B2"/>
    <w:rsid w:val="00A00687"/>
    <w:rsid w:val="00A02529"/>
    <w:rsid w:val="00A02EF2"/>
    <w:rsid w:val="00A04D5E"/>
    <w:rsid w:val="00A10DDF"/>
    <w:rsid w:val="00A11172"/>
    <w:rsid w:val="00A1219E"/>
    <w:rsid w:val="00A12E55"/>
    <w:rsid w:val="00A168D7"/>
    <w:rsid w:val="00A20DFD"/>
    <w:rsid w:val="00A20F81"/>
    <w:rsid w:val="00A2411A"/>
    <w:rsid w:val="00A242E4"/>
    <w:rsid w:val="00A24437"/>
    <w:rsid w:val="00A24CA0"/>
    <w:rsid w:val="00A25D4B"/>
    <w:rsid w:val="00A262CA"/>
    <w:rsid w:val="00A33601"/>
    <w:rsid w:val="00A3362A"/>
    <w:rsid w:val="00A34251"/>
    <w:rsid w:val="00A35278"/>
    <w:rsid w:val="00A36257"/>
    <w:rsid w:val="00A37045"/>
    <w:rsid w:val="00A37B70"/>
    <w:rsid w:val="00A40AC7"/>
    <w:rsid w:val="00A435C7"/>
    <w:rsid w:val="00A47088"/>
    <w:rsid w:val="00A55607"/>
    <w:rsid w:val="00A569B2"/>
    <w:rsid w:val="00A60CDA"/>
    <w:rsid w:val="00A611A4"/>
    <w:rsid w:val="00A61F09"/>
    <w:rsid w:val="00A637ED"/>
    <w:rsid w:val="00A63E1A"/>
    <w:rsid w:val="00A643DC"/>
    <w:rsid w:val="00A6695B"/>
    <w:rsid w:val="00A72703"/>
    <w:rsid w:val="00A727F6"/>
    <w:rsid w:val="00A72E71"/>
    <w:rsid w:val="00A75150"/>
    <w:rsid w:val="00A76432"/>
    <w:rsid w:val="00A770C0"/>
    <w:rsid w:val="00A84FC6"/>
    <w:rsid w:val="00A8528E"/>
    <w:rsid w:val="00A90BD9"/>
    <w:rsid w:val="00A9101B"/>
    <w:rsid w:val="00A94A49"/>
    <w:rsid w:val="00A95C5E"/>
    <w:rsid w:val="00AA1815"/>
    <w:rsid w:val="00AA1D3E"/>
    <w:rsid w:val="00AA20E7"/>
    <w:rsid w:val="00AA39F9"/>
    <w:rsid w:val="00AA79D3"/>
    <w:rsid w:val="00AB0931"/>
    <w:rsid w:val="00AB4DC4"/>
    <w:rsid w:val="00AB5C9B"/>
    <w:rsid w:val="00AC0159"/>
    <w:rsid w:val="00AC0276"/>
    <w:rsid w:val="00AC0312"/>
    <w:rsid w:val="00AC0449"/>
    <w:rsid w:val="00AC0DC3"/>
    <w:rsid w:val="00AC16BD"/>
    <w:rsid w:val="00AC643F"/>
    <w:rsid w:val="00AD035F"/>
    <w:rsid w:val="00AD2497"/>
    <w:rsid w:val="00AD5C04"/>
    <w:rsid w:val="00AD5EB4"/>
    <w:rsid w:val="00AD667B"/>
    <w:rsid w:val="00AE5908"/>
    <w:rsid w:val="00AE63E2"/>
    <w:rsid w:val="00AE7976"/>
    <w:rsid w:val="00AF04C9"/>
    <w:rsid w:val="00AF19A2"/>
    <w:rsid w:val="00AF1DC4"/>
    <w:rsid w:val="00AF26B6"/>
    <w:rsid w:val="00AF2979"/>
    <w:rsid w:val="00AF3189"/>
    <w:rsid w:val="00AF5BF8"/>
    <w:rsid w:val="00AF611A"/>
    <w:rsid w:val="00B011FA"/>
    <w:rsid w:val="00B01619"/>
    <w:rsid w:val="00B0375C"/>
    <w:rsid w:val="00B052CB"/>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7032"/>
    <w:rsid w:val="00B60222"/>
    <w:rsid w:val="00B62CFB"/>
    <w:rsid w:val="00B638A5"/>
    <w:rsid w:val="00B65108"/>
    <w:rsid w:val="00B662F5"/>
    <w:rsid w:val="00B6792E"/>
    <w:rsid w:val="00B7000C"/>
    <w:rsid w:val="00B760D5"/>
    <w:rsid w:val="00B77495"/>
    <w:rsid w:val="00B8002D"/>
    <w:rsid w:val="00B821A2"/>
    <w:rsid w:val="00B83B2C"/>
    <w:rsid w:val="00B92049"/>
    <w:rsid w:val="00B94740"/>
    <w:rsid w:val="00B95002"/>
    <w:rsid w:val="00B9522C"/>
    <w:rsid w:val="00B97F75"/>
    <w:rsid w:val="00BA0A4F"/>
    <w:rsid w:val="00BA1CAE"/>
    <w:rsid w:val="00BA33BB"/>
    <w:rsid w:val="00BA4830"/>
    <w:rsid w:val="00BA55D8"/>
    <w:rsid w:val="00BA6E22"/>
    <w:rsid w:val="00BB1460"/>
    <w:rsid w:val="00BB362C"/>
    <w:rsid w:val="00BB4D3B"/>
    <w:rsid w:val="00BB5942"/>
    <w:rsid w:val="00BC0A03"/>
    <w:rsid w:val="00BC4A42"/>
    <w:rsid w:val="00BC532C"/>
    <w:rsid w:val="00BC5BB4"/>
    <w:rsid w:val="00BD1B54"/>
    <w:rsid w:val="00BD4139"/>
    <w:rsid w:val="00BE059A"/>
    <w:rsid w:val="00BE1981"/>
    <w:rsid w:val="00BE2DA6"/>
    <w:rsid w:val="00BE2E86"/>
    <w:rsid w:val="00BE320B"/>
    <w:rsid w:val="00BE56E9"/>
    <w:rsid w:val="00BE63CF"/>
    <w:rsid w:val="00BE7014"/>
    <w:rsid w:val="00BE7991"/>
    <w:rsid w:val="00BF25C7"/>
    <w:rsid w:val="00BF46EA"/>
    <w:rsid w:val="00C009B7"/>
    <w:rsid w:val="00C02B8F"/>
    <w:rsid w:val="00C04E32"/>
    <w:rsid w:val="00C116B1"/>
    <w:rsid w:val="00C15A3F"/>
    <w:rsid w:val="00C20630"/>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B69"/>
    <w:rsid w:val="00C644B7"/>
    <w:rsid w:val="00C64564"/>
    <w:rsid w:val="00C657B1"/>
    <w:rsid w:val="00C66D6F"/>
    <w:rsid w:val="00C71377"/>
    <w:rsid w:val="00C73C87"/>
    <w:rsid w:val="00C74B6F"/>
    <w:rsid w:val="00C77D17"/>
    <w:rsid w:val="00C812FA"/>
    <w:rsid w:val="00C87EF3"/>
    <w:rsid w:val="00C9015F"/>
    <w:rsid w:val="00C912F9"/>
    <w:rsid w:val="00C91B22"/>
    <w:rsid w:val="00C9241B"/>
    <w:rsid w:val="00C9370B"/>
    <w:rsid w:val="00C957FC"/>
    <w:rsid w:val="00C96DDF"/>
    <w:rsid w:val="00C97569"/>
    <w:rsid w:val="00C97ACD"/>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F640B"/>
    <w:rsid w:val="00CF6B5A"/>
    <w:rsid w:val="00D027AF"/>
    <w:rsid w:val="00D0323E"/>
    <w:rsid w:val="00D06652"/>
    <w:rsid w:val="00D07FA6"/>
    <w:rsid w:val="00D16ADF"/>
    <w:rsid w:val="00D17C53"/>
    <w:rsid w:val="00D17D57"/>
    <w:rsid w:val="00D2341D"/>
    <w:rsid w:val="00D252DA"/>
    <w:rsid w:val="00D25E0E"/>
    <w:rsid w:val="00D302EB"/>
    <w:rsid w:val="00D31679"/>
    <w:rsid w:val="00D320C8"/>
    <w:rsid w:val="00D330B6"/>
    <w:rsid w:val="00D3672F"/>
    <w:rsid w:val="00D40ABA"/>
    <w:rsid w:val="00D40FE2"/>
    <w:rsid w:val="00D440FA"/>
    <w:rsid w:val="00D44BCF"/>
    <w:rsid w:val="00D46E73"/>
    <w:rsid w:val="00D479BC"/>
    <w:rsid w:val="00D5548D"/>
    <w:rsid w:val="00D56572"/>
    <w:rsid w:val="00D60F81"/>
    <w:rsid w:val="00D61E96"/>
    <w:rsid w:val="00D63951"/>
    <w:rsid w:val="00D63BF2"/>
    <w:rsid w:val="00D67348"/>
    <w:rsid w:val="00D70A26"/>
    <w:rsid w:val="00D73BB4"/>
    <w:rsid w:val="00D75FEC"/>
    <w:rsid w:val="00D76B98"/>
    <w:rsid w:val="00D82E63"/>
    <w:rsid w:val="00D835A0"/>
    <w:rsid w:val="00D83CF3"/>
    <w:rsid w:val="00D86905"/>
    <w:rsid w:val="00D86F2C"/>
    <w:rsid w:val="00D94301"/>
    <w:rsid w:val="00D96248"/>
    <w:rsid w:val="00DA0680"/>
    <w:rsid w:val="00DA36F6"/>
    <w:rsid w:val="00DA48F0"/>
    <w:rsid w:val="00DB0C8D"/>
    <w:rsid w:val="00DB6AF2"/>
    <w:rsid w:val="00DC1599"/>
    <w:rsid w:val="00DC1611"/>
    <w:rsid w:val="00DC2A29"/>
    <w:rsid w:val="00DD3C53"/>
    <w:rsid w:val="00DD6B73"/>
    <w:rsid w:val="00DE745D"/>
    <w:rsid w:val="00DF0774"/>
    <w:rsid w:val="00DF1036"/>
    <w:rsid w:val="00DF4644"/>
    <w:rsid w:val="00DF68F6"/>
    <w:rsid w:val="00DF7A83"/>
    <w:rsid w:val="00E012B4"/>
    <w:rsid w:val="00E05451"/>
    <w:rsid w:val="00E05651"/>
    <w:rsid w:val="00E100F6"/>
    <w:rsid w:val="00E11BA5"/>
    <w:rsid w:val="00E17CBD"/>
    <w:rsid w:val="00E20425"/>
    <w:rsid w:val="00E20DE8"/>
    <w:rsid w:val="00E21768"/>
    <w:rsid w:val="00E25DCB"/>
    <w:rsid w:val="00E2613B"/>
    <w:rsid w:val="00E276A5"/>
    <w:rsid w:val="00E313DF"/>
    <w:rsid w:val="00E330E0"/>
    <w:rsid w:val="00E36C70"/>
    <w:rsid w:val="00E4156E"/>
    <w:rsid w:val="00E439A2"/>
    <w:rsid w:val="00E44D61"/>
    <w:rsid w:val="00E453F2"/>
    <w:rsid w:val="00E460AD"/>
    <w:rsid w:val="00E61925"/>
    <w:rsid w:val="00E6363B"/>
    <w:rsid w:val="00E65C0E"/>
    <w:rsid w:val="00E65FB9"/>
    <w:rsid w:val="00E730FC"/>
    <w:rsid w:val="00E746F0"/>
    <w:rsid w:val="00E809B9"/>
    <w:rsid w:val="00E82A15"/>
    <w:rsid w:val="00E85445"/>
    <w:rsid w:val="00E87589"/>
    <w:rsid w:val="00E938FF"/>
    <w:rsid w:val="00E93DFE"/>
    <w:rsid w:val="00E95DD8"/>
    <w:rsid w:val="00EA2124"/>
    <w:rsid w:val="00EA2B12"/>
    <w:rsid w:val="00EA34DC"/>
    <w:rsid w:val="00EA456C"/>
    <w:rsid w:val="00EA5017"/>
    <w:rsid w:val="00EA6BED"/>
    <w:rsid w:val="00EB14F0"/>
    <w:rsid w:val="00EB3844"/>
    <w:rsid w:val="00EB5A9F"/>
    <w:rsid w:val="00EC19DD"/>
    <w:rsid w:val="00EC573F"/>
    <w:rsid w:val="00EC5C8D"/>
    <w:rsid w:val="00ED106C"/>
    <w:rsid w:val="00ED2D34"/>
    <w:rsid w:val="00ED4190"/>
    <w:rsid w:val="00ED4805"/>
    <w:rsid w:val="00ED57F6"/>
    <w:rsid w:val="00ED6C51"/>
    <w:rsid w:val="00ED6DA1"/>
    <w:rsid w:val="00EF0AF8"/>
    <w:rsid w:val="00EF207D"/>
    <w:rsid w:val="00EF4258"/>
    <w:rsid w:val="00EF48B2"/>
    <w:rsid w:val="00EF6D31"/>
    <w:rsid w:val="00F02237"/>
    <w:rsid w:val="00F027A4"/>
    <w:rsid w:val="00F046F1"/>
    <w:rsid w:val="00F072E2"/>
    <w:rsid w:val="00F079A6"/>
    <w:rsid w:val="00F10236"/>
    <w:rsid w:val="00F15682"/>
    <w:rsid w:val="00F15811"/>
    <w:rsid w:val="00F15EFA"/>
    <w:rsid w:val="00F22423"/>
    <w:rsid w:val="00F24C72"/>
    <w:rsid w:val="00F30267"/>
    <w:rsid w:val="00F31D22"/>
    <w:rsid w:val="00F32384"/>
    <w:rsid w:val="00F348B2"/>
    <w:rsid w:val="00F34BF0"/>
    <w:rsid w:val="00F34ED8"/>
    <w:rsid w:val="00F4095A"/>
    <w:rsid w:val="00F452CC"/>
    <w:rsid w:val="00F45845"/>
    <w:rsid w:val="00F50189"/>
    <w:rsid w:val="00F508FC"/>
    <w:rsid w:val="00F510B7"/>
    <w:rsid w:val="00F53571"/>
    <w:rsid w:val="00F54044"/>
    <w:rsid w:val="00F576E7"/>
    <w:rsid w:val="00F6349D"/>
    <w:rsid w:val="00F6491A"/>
    <w:rsid w:val="00F66ECA"/>
    <w:rsid w:val="00F70691"/>
    <w:rsid w:val="00F72162"/>
    <w:rsid w:val="00F73D1C"/>
    <w:rsid w:val="00F763FC"/>
    <w:rsid w:val="00F76B4A"/>
    <w:rsid w:val="00F772C1"/>
    <w:rsid w:val="00F8026D"/>
    <w:rsid w:val="00F8245F"/>
    <w:rsid w:val="00F82E40"/>
    <w:rsid w:val="00F91629"/>
    <w:rsid w:val="00F91E2A"/>
    <w:rsid w:val="00F96C39"/>
    <w:rsid w:val="00F96E41"/>
    <w:rsid w:val="00FA153F"/>
    <w:rsid w:val="00FA1D78"/>
    <w:rsid w:val="00FA1F7E"/>
    <w:rsid w:val="00FA280F"/>
    <w:rsid w:val="00FA5289"/>
    <w:rsid w:val="00FA6213"/>
    <w:rsid w:val="00FB2186"/>
    <w:rsid w:val="00FB7E03"/>
    <w:rsid w:val="00FD0133"/>
    <w:rsid w:val="00FD25FE"/>
    <w:rsid w:val="00FD2F4E"/>
    <w:rsid w:val="00FD6206"/>
    <w:rsid w:val="00FD7AA4"/>
    <w:rsid w:val="00FE09FA"/>
    <w:rsid w:val="00FE1318"/>
    <w:rsid w:val="00FE208F"/>
    <w:rsid w:val="00FE54CD"/>
    <w:rsid w:val="00FE6DF6"/>
    <w:rsid w:val="00FF32C3"/>
    <w:rsid w:val="00FF32FA"/>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D8C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uiPriority w:val="99"/>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
    <w:basedOn w:val="Policepardfaut"/>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character" w:customStyle="1" w:styleId="CitationenretraitCar">
    <w:name w:val="Citation en retrait Car"/>
    <w:basedOn w:val="Policepardfaut"/>
    <w:link w:val="Citationenretrait"/>
    <w:rsid w:val="00DB6AF2"/>
    <w:rPr>
      <w:rFonts w:ascii="Arial" w:hAnsi="Arial"/>
      <w:kern w:val="24"/>
      <w:sz w:val="22"/>
      <w:lang w:val="fr-CA" w:eastAsia="fr-FR" w:bidi="ar-SA"/>
    </w:rPr>
  </w:style>
  <w:style w:type="character" w:customStyle="1" w:styleId="CitationendoubleretraitCar">
    <w:name w:val="Citation en double retrait Car"/>
    <w:basedOn w:val="CitationenretraitCar"/>
    <w:link w:val="Citationendoubleretrait"/>
    <w:rsid w:val="00DB6AF2"/>
    <w:rPr>
      <w:rFonts w:ascii="Arial" w:hAnsi="Arial"/>
      <w:kern w:val="24"/>
      <w:sz w:val="18"/>
      <w:lang w:val="fr-CA" w:eastAsia="fr-FR" w:bidi="ar-SA"/>
    </w:rPr>
  </w:style>
  <w:style w:type="character" w:customStyle="1" w:styleId="Mentionnonrsolue1">
    <w:name w:val="Mention non résolue1"/>
    <w:basedOn w:val="Policepardfaut"/>
    <w:uiPriority w:val="99"/>
    <w:semiHidden/>
    <w:unhideWhenUsed/>
    <w:rsid w:val="00F32384"/>
    <w:rPr>
      <w:color w:val="605E5C"/>
      <w:shd w:val="clear" w:color="auto" w:fill="E1DFDD"/>
    </w:rPr>
  </w:style>
  <w:style w:type="character" w:customStyle="1" w:styleId="corpsdedcisionCar">
    <w:name w:val="corps de décision Car"/>
    <w:link w:val="corpsdedcision"/>
    <w:rsid w:val="00853D95"/>
    <w:rPr>
      <w:rFonts w:ascii="Arial" w:hAnsi="Arial"/>
      <w:sz w:val="24"/>
    </w:rPr>
  </w:style>
  <w:style w:type="paragraph" w:customStyle="1" w:styleId="corpsdedcision0">
    <w:name w:val="corpsdedcision"/>
    <w:basedOn w:val="Normal"/>
    <w:rsid w:val="00257D26"/>
    <w:pPr>
      <w:spacing w:before="100" w:beforeAutospacing="1" w:after="100" w:afterAutospacing="1"/>
    </w:pPr>
    <w:rPr>
      <w:rFonts w:ascii="Times New Roman" w:hAnsi="Times New Roman"/>
      <w:szCs w:val="24"/>
    </w:rPr>
  </w:style>
  <w:style w:type="paragraph" w:customStyle="1" w:styleId="annexes0">
    <w:name w:val="annexes"/>
    <w:basedOn w:val="Normal"/>
    <w:rsid w:val="000D5603"/>
    <w:pPr>
      <w:spacing w:before="100" w:beforeAutospacing="1" w:after="100" w:afterAutospacing="1"/>
    </w:pPr>
    <w:rPr>
      <w:rFonts w:ascii="Times New Roman" w:hAnsi="Times New Roman"/>
      <w:szCs w:val="24"/>
    </w:rPr>
  </w:style>
  <w:style w:type="paragraph" w:customStyle="1" w:styleId="articlesdelalatmp0">
    <w:name w:val="articlesdelalatmp"/>
    <w:basedOn w:val="Normal"/>
    <w:rsid w:val="00E439A2"/>
    <w:pPr>
      <w:spacing w:before="100" w:beforeAutospacing="1" w:after="100" w:afterAutospacing="1"/>
    </w:pPr>
    <w:rPr>
      <w:rFonts w:ascii="Times New Roman" w:hAnsi="Times New Roman"/>
      <w:szCs w:val="24"/>
    </w:rPr>
  </w:style>
  <w:style w:type="character" w:customStyle="1" w:styleId="solexhl">
    <w:name w:val="solexhl"/>
    <w:basedOn w:val="Policepardfaut"/>
    <w:rsid w:val="00E439A2"/>
  </w:style>
  <w:style w:type="character" w:customStyle="1" w:styleId="reflex">
    <w:name w:val="reflex"/>
    <w:basedOn w:val="Policepardfaut"/>
    <w:rsid w:val="00F70691"/>
  </w:style>
  <w:style w:type="paragraph" w:styleId="Rvision">
    <w:name w:val="Revision"/>
    <w:hidden/>
    <w:uiPriority w:val="99"/>
    <w:semiHidden/>
    <w:rsid w:val="00696E86"/>
    <w:rPr>
      <w:rFonts w:ascii="Arial" w:hAnsi="Arial"/>
      <w:sz w:val="24"/>
    </w:rPr>
  </w:style>
  <w:style w:type="paragraph" w:styleId="Notedefin">
    <w:name w:val="endnote text"/>
    <w:basedOn w:val="Normal"/>
    <w:link w:val="NotedefinCar"/>
    <w:rsid w:val="0008314C"/>
    <w:rPr>
      <w:sz w:val="20"/>
    </w:rPr>
  </w:style>
  <w:style w:type="character" w:customStyle="1" w:styleId="NotedefinCar">
    <w:name w:val="Note de fin Car"/>
    <w:basedOn w:val="Policepardfaut"/>
    <w:link w:val="Notedefin"/>
    <w:rsid w:val="0008314C"/>
    <w:rPr>
      <w:rFonts w:ascii="Arial" w:hAnsi="Arial"/>
    </w:rPr>
  </w:style>
  <w:style w:type="character" w:styleId="Appeldenotedefin">
    <w:name w:val="endnote reference"/>
    <w:basedOn w:val="Policepardfaut"/>
    <w:rsid w:val="0008314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26160">
      <w:bodyDiv w:val="1"/>
      <w:marLeft w:val="0"/>
      <w:marRight w:val="0"/>
      <w:marTop w:val="0"/>
      <w:marBottom w:val="0"/>
      <w:divBdr>
        <w:top w:val="none" w:sz="0" w:space="0" w:color="auto"/>
        <w:left w:val="none" w:sz="0" w:space="0" w:color="auto"/>
        <w:bottom w:val="none" w:sz="0" w:space="0" w:color="auto"/>
        <w:right w:val="none" w:sz="0" w:space="0" w:color="auto"/>
      </w:divBdr>
    </w:div>
    <w:div w:id="88813831">
      <w:bodyDiv w:val="1"/>
      <w:marLeft w:val="0"/>
      <w:marRight w:val="0"/>
      <w:marTop w:val="0"/>
      <w:marBottom w:val="0"/>
      <w:divBdr>
        <w:top w:val="none" w:sz="0" w:space="0" w:color="auto"/>
        <w:left w:val="none" w:sz="0" w:space="0" w:color="auto"/>
        <w:bottom w:val="none" w:sz="0" w:space="0" w:color="auto"/>
        <w:right w:val="none" w:sz="0" w:space="0" w:color="auto"/>
      </w:divBdr>
      <w:divsChild>
        <w:div w:id="1478498282">
          <w:marLeft w:val="0"/>
          <w:marRight w:val="0"/>
          <w:marTop w:val="0"/>
          <w:marBottom w:val="0"/>
          <w:divBdr>
            <w:top w:val="none" w:sz="0" w:space="0" w:color="auto"/>
            <w:left w:val="none" w:sz="0" w:space="0" w:color="auto"/>
            <w:bottom w:val="none" w:sz="0" w:space="0" w:color="auto"/>
            <w:right w:val="none" w:sz="0" w:space="0" w:color="auto"/>
          </w:divBdr>
        </w:div>
        <w:div w:id="91627942">
          <w:marLeft w:val="0"/>
          <w:marRight w:val="0"/>
          <w:marTop w:val="0"/>
          <w:marBottom w:val="0"/>
          <w:divBdr>
            <w:top w:val="none" w:sz="0" w:space="0" w:color="auto"/>
            <w:left w:val="none" w:sz="0" w:space="0" w:color="auto"/>
            <w:bottom w:val="none" w:sz="0" w:space="0" w:color="auto"/>
            <w:right w:val="none" w:sz="0" w:space="0" w:color="auto"/>
          </w:divBdr>
        </w:div>
        <w:div w:id="1611932461">
          <w:marLeft w:val="0"/>
          <w:marRight w:val="0"/>
          <w:marTop w:val="0"/>
          <w:marBottom w:val="0"/>
          <w:divBdr>
            <w:top w:val="none" w:sz="0" w:space="0" w:color="auto"/>
            <w:left w:val="none" w:sz="0" w:space="0" w:color="auto"/>
            <w:bottom w:val="none" w:sz="0" w:space="0" w:color="auto"/>
            <w:right w:val="none" w:sz="0" w:space="0" w:color="auto"/>
          </w:divBdr>
        </w:div>
      </w:divsChild>
    </w:div>
    <w:div w:id="103422921">
      <w:bodyDiv w:val="1"/>
      <w:marLeft w:val="0"/>
      <w:marRight w:val="0"/>
      <w:marTop w:val="0"/>
      <w:marBottom w:val="0"/>
      <w:divBdr>
        <w:top w:val="none" w:sz="0" w:space="0" w:color="auto"/>
        <w:left w:val="none" w:sz="0" w:space="0" w:color="auto"/>
        <w:bottom w:val="none" w:sz="0" w:space="0" w:color="auto"/>
        <w:right w:val="none" w:sz="0" w:space="0" w:color="auto"/>
      </w:divBdr>
      <w:divsChild>
        <w:div w:id="474763750">
          <w:marLeft w:val="0"/>
          <w:marRight w:val="0"/>
          <w:marTop w:val="0"/>
          <w:marBottom w:val="0"/>
          <w:divBdr>
            <w:top w:val="none" w:sz="0" w:space="0" w:color="auto"/>
            <w:left w:val="none" w:sz="0" w:space="0" w:color="auto"/>
            <w:bottom w:val="none" w:sz="0" w:space="0" w:color="auto"/>
            <w:right w:val="none" w:sz="0" w:space="0" w:color="auto"/>
          </w:divBdr>
        </w:div>
      </w:divsChild>
    </w:div>
    <w:div w:id="125121894">
      <w:bodyDiv w:val="1"/>
      <w:marLeft w:val="0"/>
      <w:marRight w:val="0"/>
      <w:marTop w:val="0"/>
      <w:marBottom w:val="0"/>
      <w:divBdr>
        <w:top w:val="none" w:sz="0" w:space="0" w:color="auto"/>
        <w:left w:val="none" w:sz="0" w:space="0" w:color="auto"/>
        <w:bottom w:val="none" w:sz="0" w:space="0" w:color="auto"/>
        <w:right w:val="none" w:sz="0" w:space="0" w:color="auto"/>
      </w:divBdr>
      <w:divsChild>
        <w:div w:id="1204639993">
          <w:marLeft w:val="0"/>
          <w:marRight w:val="0"/>
          <w:marTop w:val="0"/>
          <w:marBottom w:val="0"/>
          <w:divBdr>
            <w:top w:val="none" w:sz="0" w:space="0" w:color="auto"/>
            <w:left w:val="none" w:sz="0" w:space="0" w:color="auto"/>
            <w:bottom w:val="none" w:sz="0" w:space="0" w:color="auto"/>
            <w:right w:val="none" w:sz="0" w:space="0" w:color="auto"/>
          </w:divBdr>
        </w:div>
        <w:div w:id="2097898596">
          <w:marLeft w:val="0"/>
          <w:marRight w:val="0"/>
          <w:marTop w:val="0"/>
          <w:marBottom w:val="0"/>
          <w:divBdr>
            <w:top w:val="none" w:sz="0" w:space="0" w:color="auto"/>
            <w:left w:val="none" w:sz="0" w:space="0" w:color="auto"/>
            <w:bottom w:val="none" w:sz="0" w:space="0" w:color="auto"/>
            <w:right w:val="none" w:sz="0" w:space="0" w:color="auto"/>
          </w:divBdr>
        </w:div>
        <w:div w:id="2063092171">
          <w:marLeft w:val="0"/>
          <w:marRight w:val="0"/>
          <w:marTop w:val="0"/>
          <w:marBottom w:val="0"/>
          <w:divBdr>
            <w:top w:val="none" w:sz="0" w:space="0" w:color="auto"/>
            <w:left w:val="none" w:sz="0" w:space="0" w:color="auto"/>
            <w:bottom w:val="none" w:sz="0" w:space="0" w:color="auto"/>
            <w:right w:val="none" w:sz="0" w:space="0" w:color="auto"/>
          </w:divBdr>
        </w:div>
      </w:divsChild>
    </w:div>
    <w:div w:id="188764232">
      <w:bodyDiv w:val="1"/>
      <w:marLeft w:val="0"/>
      <w:marRight w:val="0"/>
      <w:marTop w:val="0"/>
      <w:marBottom w:val="0"/>
      <w:divBdr>
        <w:top w:val="none" w:sz="0" w:space="0" w:color="auto"/>
        <w:left w:val="none" w:sz="0" w:space="0" w:color="auto"/>
        <w:bottom w:val="none" w:sz="0" w:space="0" w:color="auto"/>
        <w:right w:val="none" w:sz="0" w:space="0" w:color="auto"/>
      </w:divBdr>
    </w:div>
    <w:div w:id="206768636">
      <w:bodyDiv w:val="1"/>
      <w:marLeft w:val="0"/>
      <w:marRight w:val="0"/>
      <w:marTop w:val="0"/>
      <w:marBottom w:val="0"/>
      <w:divBdr>
        <w:top w:val="none" w:sz="0" w:space="0" w:color="auto"/>
        <w:left w:val="none" w:sz="0" w:space="0" w:color="auto"/>
        <w:bottom w:val="none" w:sz="0" w:space="0" w:color="auto"/>
        <w:right w:val="none" w:sz="0" w:space="0" w:color="auto"/>
      </w:divBdr>
    </w:div>
    <w:div w:id="696471993">
      <w:bodyDiv w:val="1"/>
      <w:marLeft w:val="0"/>
      <w:marRight w:val="0"/>
      <w:marTop w:val="0"/>
      <w:marBottom w:val="0"/>
      <w:divBdr>
        <w:top w:val="none" w:sz="0" w:space="0" w:color="auto"/>
        <w:left w:val="none" w:sz="0" w:space="0" w:color="auto"/>
        <w:bottom w:val="none" w:sz="0" w:space="0" w:color="auto"/>
        <w:right w:val="none" w:sz="0" w:space="0" w:color="auto"/>
      </w:divBdr>
      <w:divsChild>
        <w:div w:id="731972139">
          <w:marLeft w:val="0"/>
          <w:marRight w:val="0"/>
          <w:marTop w:val="0"/>
          <w:marBottom w:val="0"/>
          <w:divBdr>
            <w:top w:val="none" w:sz="0" w:space="0" w:color="auto"/>
            <w:left w:val="none" w:sz="0" w:space="0" w:color="auto"/>
            <w:bottom w:val="none" w:sz="0" w:space="0" w:color="auto"/>
            <w:right w:val="none" w:sz="0" w:space="0" w:color="auto"/>
          </w:divBdr>
        </w:div>
        <w:div w:id="1116489617">
          <w:marLeft w:val="0"/>
          <w:marRight w:val="0"/>
          <w:marTop w:val="0"/>
          <w:marBottom w:val="0"/>
          <w:divBdr>
            <w:top w:val="none" w:sz="0" w:space="0" w:color="auto"/>
            <w:left w:val="none" w:sz="0" w:space="0" w:color="auto"/>
            <w:bottom w:val="none" w:sz="0" w:space="0" w:color="auto"/>
            <w:right w:val="none" w:sz="0" w:space="0" w:color="auto"/>
          </w:divBdr>
        </w:div>
        <w:div w:id="394550064">
          <w:marLeft w:val="0"/>
          <w:marRight w:val="0"/>
          <w:marTop w:val="0"/>
          <w:marBottom w:val="0"/>
          <w:divBdr>
            <w:top w:val="none" w:sz="0" w:space="0" w:color="auto"/>
            <w:left w:val="none" w:sz="0" w:space="0" w:color="auto"/>
            <w:bottom w:val="none" w:sz="0" w:space="0" w:color="auto"/>
            <w:right w:val="none" w:sz="0" w:space="0" w:color="auto"/>
          </w:divBdr>
        </w:div>
        <w:div w:id="1902862217">
          <w:marLeft w:val="0"/>
          <w:marRight w:val="0"/>
          <w:marTop w:val="0"/>
          <w:marBottom w:val="0"/>
          <w:divBdr>
            <w:top w:val="none" w:sz="0" w:space="0" w:color="auto"/>
            <w:left w:val="none" w:sz="0" w:space="0" w:color="auto"/>
            <w:bottom w:val="none" w:sz="0" w:space="0" w:color="auto"/>
            <w:right w:val="none" w:sz="0" w:space="0" w:color="auto"/>
          </w:divBdr>
        </w:div>
        <w:div w:id="572084244">
          <w:marLeft w:val="0"/>
          <w:marRight w:val="0"/>
          <w:marTop w:val="0"/>
          <w:marBottom w:val="0"/>
          <w:divBdr>
            <w:top w:val="none" w:sz="0" w:space="0" w:color="auto"/>
            <w:left w:val="none" w:sz="0" w:space="0" w:color="auto"/>
            <w:bottom w:val="none" w:sz="0" w:space="0" w:color="auto"/>
            <w:right w:val="none" w:sz="0" w:space="0" w:color="auto"/>
          </w:divBdr>
        </w:div>
      </w:divsChild>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965428510">
      <w:bodyDiv w:val="1"/>
      <w:marLeft w:val="0"/>
      <w:marRight w:val="0"/>
      <w:marTop w:val="0"/>
      <w:marBottom w:val="0"/>
      <w:divBdr>
        <w:top w:val="none" w:sz="0" w:space="0" w:color="auto"/>
        <w:left w:val="none" w:sz="0" w:space="0" w:color="auto"/>
        <w:bottom w:val="none" w:sz="0" w:space="0" w:color="auto"/>
        <w:right w:val="none" w:sz="0" w:space="0" w:color="auto"/>
      </w:divBdr>
      <w:divsChild>
        <w:div w:id="2082101209">
          <w:marLeft w:val="0"/>
          <w:marRight w:val="0"/>
          <w:marTop w:val="0"/>
          <w:marBottom w:val="0"/>
          <w:divBdr>
            <w:top w:val="none" w:sz="0" w:space="0" w:color="auto"/>
            <w:left w:val="none" w:sz="0" w:space="0" w:color="auto"/>
            <w:bottom w:val="none" w:sz="0" w:space="0" w:color="auto"/>
            <w:right w:val="none" w:sz="0" w:space="0" w:color="auto"/>
          </w:divBdr>
        </w:div>
      </w:divsChild>
    </w:div>
    <w:div w:id="971255861">
      <w:bodyDiv w:val="1"/>
      <w:marLeft w:val="0"/>
      <w:marRight w:val="0"/>
      <w:marTop w:val="0"/>
      <w:marBottom w:val="0"/>
      <w:divBdr>
        <w:top w:val="none" w:sz="0" w:space="0" w:color="auto"/>
        <w:left w:val="none" w:sz="0" w:space="0" w:color="auto"/>
        <w:bottom w:val="none" w:sz="0" w:space="0" w:color="auto"/>
        <w:right w:val="none" w:sz="0" w:space="0" w:color="auto"/>
      </w:divBdr>
      <w:divsChild>
        <w:div w:id="2129886140">
          <w:marLeft w:val="0"/>
          <w:marRight w:val="0"/>
          <w:marTop w:val="0"/>
          <w:marBottom w:val="0"/>
          <w:divBdr>
            <w:top w:val="none" w:sz="0" w:space="0" w:color="auto"/>
            <w:left w:val="none" w:sz="0" w:space="0" w:color="auto"/>
            <w:bottom w:val="none" w:sz="0" w:space="0" w:color="auto"/>
            <w:right w:val="none" w:sz="0" w:space="0" w:color="auto"/>
          </w:divBdr>
        </w:div>
        <w:div w:id="275646914">
          <w:marLeft w:val="0"/>
          <w:marRight w:val="0"/>
          <w:marTop w:val="0"/>
          <w:marBottom w:val="0"/>
          <w:divBdr>
            <w:top w:val="none" w:sz="0" w:space="0" w:color="auto"/>
            <w:left w:val="none" w:sz="0" w:space="0" w:color="auto"/>
            <w:bottom w:val="none" w:sz="0" w:space="0" w:color="auto"/>
            <w:right w:val="none" w:sz="0" w:space="0" w:color="auto"/>
          </w:divBdr>
        </w:div>
      </w:divsChild>
    </w:div>
    <w:div w:id="974721144">
      <w:bodyDiv w:val="1"/>
      <w:marLeft w:val="0"/>
      <w:marRight w:val="0"/>
      <w:marTop w:val="0"/>
      <w:marBottom w:val="0"/>
      <w:divBdr>
        <w:top w:val="none" w:sz="0" w:space="0" w:color="auto"/>
        <w:left w:val="none" w:sz="0" w:space="0" w:color="auto"/>
        <w:bottom w:val="none" w:sz="0" w:space="0" w:color="auto"/>
        <w:right w:val="none" w:sz="0" w:space="0" w:color="auto"/>
      </w:divBdr>
    </w:div>
    <w:div w:id="1044869594">
      <w:bodyDiv w:val="1"/>
      <w:marLeft w:val="0"/>
      <w:marRight w:val="0"/>
      <w:marTop w:val="0"/>
      <w:marBottom w:val="0"/>
      <w:divBdr>
        <w:top w:val="none" w:sz="0" w:space="0" w:color="auto"/>
        <w:left w:val="none" w:sz="0" w:space="0" w:color="auto"/>
        <w:bottom w:val="none" w:sz="0" w:space="0" w:color="auto"/>
        <w:right w:val="none" w:sz="0" w:space="0" w:color="auto"/>
      </w:divBdr>
    </w:div>
    <w:div w:id="1092043853">
      <w:bodyDiv w:val="1"/>
      <w:marLeft w:val="0"/>
      <w:marRight w:val="0"/>
      <w:marTop w:val="0"/>
      <w:marBottom w:val="0"/>
      <w:divBdr>
        <w:top w:val="none" w:sz="0" w:space="0" w:color="auto"/>
        <w:left w:val="none" w:sz="0" w:space="0" w:color="auto"/>
        <w:bottom w:val="none" w:sz="0" w:space="0" w:color="auto"/>
        <w:right w:val="none" w:sz="0" w:space="0" w:color="auto"/>
      </w:divBdr>
    </w:div>
    <w:div w:id="1163401001">
      <w:bodyDiv w:val="1"/>
      <w:marLeft w:val="0"/>
      <w:marRight w:val="0"/>
      <w:marTop w:val="0"/>
      <w:marBottom w:val="0"/>
      <w:divBdr>
        <w:top w:val="none" w:sz="0" w:space="0" w:color="auto"/>
        <w:left w:val="none" w:sz="0" w:space="0" w:color="auto"/>
        <w:bottom w:val="none" w:sz="0" w:space="0" w:color="auto"/>
        <w:right w:val="none" w:sz="0" w:space="0" w:color="auto"/>
      </w:divBdr>
      <w:divsChild>
        <w:div w:id="1129129467">
          <w:marLeft w:val="0"/>
          <w:marRight w:val="0"/>
          <w:marTop w:val="0"/>
          <w:marBottom w:val="0"/>
          <w:divBdr>
            <w:top w:val="none" w:sz="0" w:space="0" w:color="auto"/>
            <w:left w:val="none" w:sz="0" w:space="0" w:color="auto"/>
            <w:bottom w:val="none" w:sz="0" w:space="0" w:color="auto"/>
            <w:right w:val="none" w:sz="0" w:space="0" w:color="auto"/>
          </w:divBdr>
        </w:div>
      </w:divsChild>
    </w:div>
    <w:div w:id="1293176238">
      <w:bodyDiv w:val="1"/>
      <w:marLeft w:val="0"/>
      <w:marRight w:val="0"/>
      <w:marTop w:val="0"/>
      <w:marBottom w:val="0"/>
      <w:divBdr>
        <w:top w:val="none" w:sz="0" w:space="0" w:color="auto"/>
        <w:left w:val="none" w:sz="0" w:space="0" w:color="auto"/>
        <w:bottom w:val="none" w:sz="0" w:space="0" w:color="auto"/>
        <w:right w:val="none" w:sz="0" w:space="0" w:color="auto"/>
      </w:divBdr>
    </w:div>
    <w:div w:id="1391925340">
      <w:bodyDiv w:val="1"/>
      <w:marLeft w:val="0"/>
      <w:marRight w:val="0"/>
      <w:marTop w:val="0"/>
      <w:marBottom w:val="0"/>
      <w:divBdr>
        <w:top w:val="none" w:sz="0" w:space="0" w:color="auto"/>
        <w:left w:val="none" w:sz="0" w:space="0" w:color="auto"/>
        <w:bottom w:val="none" w:sz="0" w:space="0" w:color="auto"/>
        <w:right w:val="none" w:sz="0" w:space="0" w:color="auto"/>
      </w:divBdr>
      <w:divsChild>
        <w:div w:id="932712356">
          <w:marLeft w:val="0"/>
          <w:marRight w:val="0"/>
          <w:marTop w:val="0"/>
          <w:marBottom w:val="0"/>
          <w:divBdr>
            <w:top w:val="none" w:sz="0" w:space="0" w:color="auto"/>
            <w:left w:val="none" w:sz="0" w:space="0" w:color="auto"/>
            <w:bottom w:val="none" w:sz="0" w:space="0" w:color="auto"/>
            <w:right w:val="none" w:sz="0" w:space="0" w:color="auto"/>
          </w:divBdr>
        </w:div>
        <w:div w:id="407848066">
          <w:marLeft w:val="0"/>
          <w:marRight w:val="0"/>
          <w:marTop w:val="0"/>
          <w:marBottom w:val="0"/>
          <w:divBdr>
            <w:top w:val="none" w:sz="0" w:space="0" w:color="auto"/>
            <w:left w:val="none" w:sz="0" w:space="0" w:color="auto"/>
            <w:bottom w:val="none" w:sz="0" w:space="0" w:color="auto"/>
            <w:right w:val="none" w:sz="0" w:space="0" w:color="auto"/>
          </w:divBdr>
        </w:div>
        <w:div w:id="1332222729">
          <w:marLeft w:val="0"/>
          <w:marRight w:val="0"/>
          <w:marTop w:val="0"/>
          <w:marBottom w:val="0"/>
          <w:divBdr>
            <w:top w:val="none" w:sz="0" w:space="0" w:color="auto"/>
            <w:left w:val="none" w:sz="0" w:space="0" w:color="auto"/>
            <w:bottom w:val="none" w:sz="0" w:space="0" w:color="auto"/>
            <w:right w:val="none" w:sz="0" w:space="0" w:color="auto"/>
          </w:divBdr>
        </w:div>
        <w:div w:id="1224222067">
          <w:marLeft w:val="0"/>
          <w:marRight w:val="0"/>
          <w:marTop w:val="0"/>
          <w:marBottom w:val="0"/>
          <w:divBdr>
            <w:top w:val="none" w:sz="0" w:space="0" w:color="auto"/>
            <w:left w:val="none" w:sz="0" w:space="0" w:color="auto"/>
            <w:bottom w:val="none" w:sz="0" w:space="0" w:color="auto"/>
            <w:right w:val="none" w:sz="0" w:space="0" w:color="auto"/>
          </w:divBdr>
        </w:div>
      </w:divsChild>
    </w:div>
    <w:div w:id="1424956800">
      <w:bodyDiv w:val="1"/>
      <w:marLeft w:val="0"/>
      <w:marRight w:val="0"/>
      <w:marTop w:val="0"/>
      <w:marBottom w:val="0"/>
      <w:divBdr>
        <w:top w:val="none" w:sz="0" w:space="0" w:color="auto"/>
        <w:left w:val="none" w:sz="0" w:space="0" w:color="auto"/>
        <w:bottom w:val="none" w:sz="0" w:space="0" w:color="auto"/>
        <w:right w:val="none" w:sz="0" w:space="0" w:color="auto"/>
      </w:divBdr>
    </w:div>
    <w:div w:id="1487167148">
      <w:bodyDiv w:val="1"/>
      <w:marLeft w:val="0"/>
      <w:marRight w:val="0"/>
      <w:marTop w:val="0"/>
      <w:marBottom w:val="0"/>
      <w:divBdr>
        <w:top w:val="none" w:sz="0" w:space="0" w:color="auto"/>
        <w:left w:val="none" w:sz="0" w:space="0" w:color="auto"/>
        <w:bottom w:val="none" w:sz="0" w:space="0" w:color="auto"/>
        <w:right w:val="none" w:sz="0" w:space="0" w:color="auto"/>
      </w:divBdr>
    </w:div>
    <w:div w:id="1721632125">
      <w:bodyDiv w:val="1"/>
      <w:marLeft w:val="0"/>
      <w:marRight w:val="0"/>
      <w:marTop w:val="0"/>
      <w:marBottom w:val="0"/>
      <w:divBdr>
        <w:top w:val="none" w:sz="0" w:space="0" w:color="auto"/>
        <w:left w:val="none" w:sz="0" w:space="0" w:color="auto"/>
        <w:bottom w:val="none" w:sz="0" w:space="0" w:color="auto"/>
        <w:right w:val="none" w:sz="0" w:space="0" w:color="auto"/>
      </w:divBdr>
    </w:div>
    <w:div w:id="1786803754">
      <w:bodyDiv w:val="1"/>
      <w:marLeft w:val="0"/>
      <w:marRight w:val="0"/>
      <w:marTop w:val="0"/>
      <w:marBottom w:val="0"/>
      <w:divBdr>
        <w:top w:val="none" w:sz="0" w:space="0" w:color="auto"/>
        <w:left w:val="none" w:sz="0" w:space="0" w:color="auto"/>
        <w:bottom w:val="none" w:sz="0" w:space="0" w:color="auto"/>
        <w:right w:val="none" w:sz="0" w:space="0" w:color="auto"/>
      </w:divBdr>
    </w:div>
    <w:div w:id="1860309847">
      <w:bodyDiv w:val="1"/>
      <w:marLeft w:val="0"/>
      <w:marRight w:val="0"/>
      <w:marTop w:val="0"/>
      <w:marBottom w:val="0"/>
      <w:divBdr>
        <w:top w:val="none" w:sz="0" w:space="0" w:color="auto"/>
        <w:left w:val="none" w:sz="0" w:space="0" w:color="auto"/>
        <w:bottom w:val="none" w:sz="0" w:space="0" w:color="auto"/>
        <w:right w:val="none" w:sz="0" w:space="0" w:color="auto"/>
      </w:divBdr>
    </w:div>
    <w:div w:id="1907521319">
      <w:bodyDiv w:val="1"/>
      <w:marLeft w:val="0"/>
      <w:marRight w:val="0"/>
      <w:marTop w:val="0"/>
      <w:marBottom w:val="0"/>
      <w:divBdr>
        <w:top w:val="none" w:sz="0" w:space="0" w:color="auto"/>
        <w:left w:val="none" w:sz="0" w:space="0" w:color="auto"/>
        <w:bottom w:val="none" w:sz="0" w:space="0" w:color="auto"/>
        <w:right w:val="none" w:sz="0" w:space="0" w:color="auto"/>
      </w:divBdr>
    </w:div>
    <w:div w:id="1956520305">
      <w:bodyDiv w:val="1"/>
      <w:marLeft w:val="0"/>
      <w:marRight w:val="0"/>
      <w:marTop w:val="0"/>
      <w:marBottom w:val="0"/>
      <w:divBdr>
        <w:top w:val="none" w:sz="0" w:space="0" w:color="auto"/>
        <w:left w:val="none" w:sz="0" w:space="0" w:color="auto"/>
        <w:bottom w:val="none" w:sz="0" w:space="0" w:color="auto"/>
        <w:right w:val="none" w:sz="0" w:space="0" w:color="auto"/>
      </w:divBdr>
      <w:divsChild>
        <w:div w:id="1026980394">
          <w:marLeft w:val="0"/>
          <w:marRight w:val="0"/>
          <w:marTop w:val="0"/>
          <w:marBottom w:val="0"/>
          <w:divBdr>
            <w:top w:val="none" w:sz="0" w:space="0" w:color="auto"/>
            <w:left w:val="none" w:sz="0" w:space="0" w:color="auto"/>
            <w:bottom w:val="none" w:sz="0" w:space="0" w:color="auto"/>
            <w:right w:val="none" w:sz="0" w:space="0" w:color="auto"/>
          </w:divBdr>
        </w:div>
        <w:div w:id="946277921">
          <w:marLeft w:val="0"/>
          <w:marRight w:val="0"/>
          <w:marTop w:val="0"/>
          <w:marBottom w:val="0"/>
          <w:divBdr>
            <w:top w:val="none" w:sz="0" w:space="0" w:color="auto"/>
            <w:left w:val="none" w:sz="0" w:space="0" w:color="auto"/>
            <w:bottom w:val="none" w:sz="0" w:space="0" w:color="auto"/>
            <w:right w:val="none" w:sz="0" w:space="0" w:color="auto"/>
          </w:divBdr>
        </w:div>
        <w:div w:id="410855150">
          <w:marLeft w:val="0"/>
          <w:marRight w:val="0"/>
          <w:marTop w:val="0"/>
          <w:marBottom w:val="0"/>
          <w:divBdr>
            <w:top w:val="none" w:sz="0" w:space="0" w:color="auto"/>
            <w:left w:val="none" w:sz="0" w:space="0" w:color="auto"/>
            <w:bottom w:val="none" w:sz="0" w:space="0" w:color="auto"/>
            <w:right w:val="none" w:sz="0" w:space="0" w:color="auto"/>
          </w:divBdr>
        </w:div>
        <w:div w:id="359744436">
          <w:marLeft w:val="0"/>
          <w:marRight w:val="0"/>
          <w:marTop w:val="0"/>
          <w:marBottom w:val="0"/>
          <w:divBdr>
            <w:top w:val="none" w:sz="0" w:space="0" w:color="auto"/>
            <w:left w:val="none" w:sz="0" w:space="0" w:color="auto"/>
            <w:bottom w:val="none" w:sz="0" w:space="0" w:color="auto"/>
            <w:right w:val="none" w:sz="0" w:space="0" w:color="auto"/>
          </w:divBdr>
        </w:div>
      </w:divsChild>
    </w:div>
    <w:div w:id="209631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anlii.org/fr/qc/qctat/doc/2021/2021qctat5206/2021qctat5206.html?resultIndex=9&amp;resultId=ac9075bbca4749a6b938d67193eeee1b&amp;searchId=2024-07-02T17:24:27:197/f4b6bbc280b842f68056334c3fc95c69&amp;searchUrlHash=AAAAAQBGwqtpc2FiZWxsZSBzdC1qZWFuwrsgZMOpbGFpIG1vdGlmIHJhaXNvbm5hYmxlIMKrZXJyZXVywrsgcmVwcsOpc2VudGFudAAAAAAB"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drbrutus.com/fr/le-doigt-de-gachette-peut-il-guerir-toutseu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55A39B-E84D-48E1-B8C2-F55560016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3740</Words>
  <Characters>20570</Characters>
  <Application>Microsoft Office Word</Application>
  <DocSecurity>0</DocSecurity>
  <Lines>171</Lines>
  <Paragraphs>48</Paragraphs>
  <ScaleCrop>false</ScaleCrop>
  <Company/>
  <LinksUpToDate>false</LinksUpToDate>
  <CharactersWithSpaces>24262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2025-01-30T15:15:00Z</dcterms:created>
  <dcterms:modified xsi:type="dcterms:W3CDTF">2025-01-30T15:15:00Z</dcterms:modified>
</cp:coreProperties>
</file>