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48750947" w14:textId="77777777">
        <w:trPr>
          <w:cantSplit/>
        </w:trPr>
        <w:tc>
          <w:tcPr>
            <w:tcW w:w="4795" w:type="dxa"/>
          </w:tcPr>
          <w:p w14:paraId="0E292E48" w14:textId="179097A7" w:rsidR="008A7FD1" w:rsidRPr="002D566B" w:rsidRDefault="002D566B" w:rsidP="002D566B">
            <w:pPr>
              <w:pStyle w:val="zSoquijdatRepertorie"/>
              <w:rPr>
                <w:rFonts w:cs="Arial"/>
              </w:rPr>
            </w:pPr>
            <w:bookmarkStart w:id="0" w:name="_GoBack"/>
            <w:bookmarkEnd w:id="0"/>
            <w:r>
              <w:rPr>
                <w:rFonts w:cs="Arial"/>
              </w:rPr>
              <w:t xml:space="preserve">Générale </w:t>
            </w:r>
            <w:r w:rsidR="0022502D">
              <w:rPr>
                <w:rFonts w:cs="Arial"/>
              </w:rPr>
              <w:t>é</w:t>
            </w:r>
            <w:r>
              <w:rPr>
                <w:rFonts w:cs="Arial"/>
              </w:rPr>
              <w:t>lectrique du Canada (Bromont) et Mitchell</w:t>
            </w:r>
          </w:p>
        </w:tc>
        <w:tc>
          <w:tcPr>
            <w:tcW w:w="2477" w:type="dxa"/>
          </w:tcPr>
          <w:p w14:paraId="5CE14085" w14:textId="508CE82B" w:rsidR="008A7FD1" w:rsidRPr="00C05585" w:rsidRDefault="00C05585" w:rsidP="00C05585">
            <w:pPr>
              <w:pStyle w:val="zSoquijdatRefNeutre"/>
              <w:rPr>
                <w:rFonts w:cs="Arial"/>
              </w:rPr>
            </w:pPr>
            <w:r w:rsidRPr="00C05585">
              <w:rPr>
                <w:rFonts w:cs="Arial"/>
              </w:rPr>
              <w:t>2025 QCTAT 807</w:t>
            </w:r>
          </w:p>
        </w:tc>
      </w:tr>
    </w:tbl>
    <w:p w14:paraId="4CF1D643"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7946576B" w14:textId="77777777" w:rsidTr="00036794">
        <w:trPr>
          <w:cantSplit/>
        </w:trPr>
        <w:tc>
          <w:tcPr>
            <w:tcW w:w="9568" w:type="dxa"/>
            <w:gridSpan w:val="4"/>
          </w:tcPr>
          <w:p w14:paraId="74B5B0A3" w14:textId="77777777" w:rsidR="00C74B6F" w:rsidRPr="00BE1981" w:rsidRDefault="00C74B6F">
            <w:pPr>
              <w:rPr>
                <w:szCs w:val="24"/>
              </w:rPr>
            </w:pPr>
          </w:p>
        </w:tc>
      </w:tr>
      <w:tr w:rsidR="00C74B6F" w14:paraId="54E2AD94" w14:textId="77777777" w:rsidTr="00036794">
        <w:trPr>
          <w:cantSplit/>
        </w:trPr>
        <w:tc>
          <w:tcPr>
            <w:tcW w:w="9568" w:type="dxa"/>
            <w:gridSpan w:val="4"/>
            <w:vAlign w:val="center"/>
          </w:tcPr>
          <w:p w14:paraId="1A94ADF7" w14:textId="77777777" w:rsidR="00C74B6F" w:rsidRPr="000E1320" w:rsidRDefault="000E1320">
            <w:pPr>
              <w:jc w:val="center"/>
              <w:rPr>
                <w:sz w:val="36"/>
                <w:szCs w:val="36"/>
              </w:rPr>
            </w:pPr>
            <w:r w:rsidRPr="000E1320">
              <w:rPr>
                <w:b/>
                <w:sz w:val="36"/>
                <w:szCs w:val="36"/>
              </w:rPr>
              <w:t>TRIBUNAL ADMINISTRATIF DU TRAVAIL</w:t>
            </w:r>
          </w:p>
        </w:tc>
      </w:tr>
      <w:tr w:rsidR="00C74B6F" w14:paraId="3C8C0CA1" w14:textId="77777777" w:rsidTr="00036794">
        <w:trPr>
          <w:cantSplit/>
        </w:trPr>
        <w:tc>
          <w:tcPr>
            <w:tcW w:w="9568" w:type="dxa"/>
            <w:gridSpan w:val="4"/>
          </w:tcPr>
          <w:p w14:paraId="1729E03C" w14:textId="7EE55FBD" w:rsidR="00C74B6F" w:rsidRPr="00BE7014" w:rsidRDefault="006F0154" w:rsidP="009A67E7">
            <w:pPr>
              <w:pStyle w:val="zSoquijdatDivision"/>
            </w:pPr>
            <w:r w:rsidRPr="00BE7014">
              <w:t>(</w:t>
            </w:r>
            <w:r w:rsidR="00F46023" w:rsidRPr="00441ADA">
              <w:t>Division de la santé et de la sécurité du travail</w:t>
            </w:r>
            <w:r w:rsidRPr="00BE7014">
              <w:t>)</w:t>
            </w:r>
          </w:p>
        </w:tc>
      </w:tr>
      <w:tr w:rsidR="00C74B6F" w14:paraId="54BB259D" w14:textId="77777777" w:rsidTr="00036794">
        <w:trPr>
          <w:cantSplit/>
        </w:trPr>
        <w:tc>
          <w:tcPr>
            <w:tcW w:w="9568" w:type="dxa"/>
            <w:gridSpan w:val="4"/>
          </w:tcPr>
          <w:p w14:paraId="63CD441E" w14:textId="77777777" w:rsidR="002B2FC3" w:rsidRDefault="002B2FC3" w:rsidP="002B2FC3"/>
        </w:tc>
      </w:tr>
      <w:tr w:rsidR="00A84FC6" w14:paraId="2A6D69F8" w14:textId="77777777" w:rsidTr="00036794">
        <w:trPr>
          <w:cantSplit/>
        </w:trPr>
        <w:tc>
          <w:tcPr>
            <w:tcW w:w="9568" w:type="dxa"/>
            <w:gridSpan w:val="4"/>
          </w:tcPr>
          <w:p w14:paraId="2A9ED566" w14:textId="77777777" w:rsidR="00A84FC6" w:rsidRDefault="00A84FC6" w:rsidP="002B2FC3"/>
        </w:tc>
      </w:tr>
      <w:tr w:rsidR="00C74B6F" w14:paraId="35F650EB" w14:textId="77777777" w:rsidTr="00036794">
        <w:tc>
          <w:tcPr>
            <w:tcW w:w="3331" w:type="dxa"/>
          </w:tcPr>
          <w:p w14:paraId="4287269C" w14:textId="77777777" w:rsidR="00C74B6F" w:rsidRDefault="0084255F">
            <w:bookmarkStart w:id="1" w:name="region" w:colFirst="1" w:colLast="1"/>
            <w:r>
              <w:t>Région :</w:t>
            </w:r>
          </w:p>
        </w:tc>
        <w:tc>
          <w:tcPr>
            <w:tcW w:w="6237" w:type="dxa"/>
            <w:gridSpan w:val="3"/>
          </w:tcPr>
          <w:p w14:paraId="55E10E81" w14:textId="77889A95" w:rsidR="00C74B6F" w:rsidRDefault="00F46023" w:rsidP="00F4095A">
            <w:pPr>
              <w:pStyle w:val="zSoquijdatGreffe"/>
            </w:pPr>
            <w:r>
              <w:t>Richelieu-Salaberry</w:t>
            </w:r>
          </w:p>
        </w:tc>
      </w:tr>
      <w:bookmarkEnd w:id="1"/>
      <w:tr w:rsidR="00C74B6F" w14:paraId="020ACE62" w14:textId="77777777" w:rsidTr="00036794">
        <w:trPr>
          <w:cantSplit/>
        </w:trPr>
        <w:tc>
          <w:tcPr>
            <w:tcW w:w="9568" w:type="dxa"/>
            <w:gridSpan w:val="4"/>
          </w:tcPr>
          <w:p w14:paraId="458B09FB" w14:textId="77777777" w:rsidR="00C74B6F" w:rsidRDefault="00C74B6F"/>
        </w:tc>
      </w:tr>
      <w:tr w:rsidR="00C74B6F" w14:paraId="2C427079" w14:textId="77777777" w:rsidTr="00036794">
        <w:tc>
          <w:tcPr>
            <w:tcW w:w="3331" w:type="dxa"/>
          </w:tcPr>
          <w:p w14:paraId="739C442A" w14:textId="4E9AD160" w:rsidR="00C74B6F" w:rsidRDefault="0084255F">
            <w:bookmarkStart w:id="2" w:name="ref_dossier" w:colFirst="1" w:colLast="1"/>
            <w:r>
              <w:t>Dossier</w:t>
            </w:r>
            <w:bookmarkStart w:id="3" w:name="dossiers"/>
            <w:bookmarkEnd w:id="3"/>
            <w:r w:rsidR="00A8073B">
              <w:t>s</w:t>
            </w:r>
            <w:r>
              <w:t> :</w:t>
            </w:r>
          </w:p>
        </w:tc>
        <w:tc>
          <w:tcPr>
            <w:tcW w:w="6237" w:type="dxa"/>
            <w:gridSpan w:val="3"/>
          </w:tcPr>
          <w:p w14:paraId="4CEFF2CD" w14:textId="6EFAA2AD" w:rsidR="00C74B6F" w:rsidRDefault="00F46023" w:rsidP="00F4095A">
            <w:pPr>
              <w:pStyle w:val="zSoquijdatNoDossier"/>
            </w:pPr>
            <w:r>
              <w:t>1250995-62A-2111   1291759-62A-2209</w:t>
            </w:r>
          </w:p>
        </w:tc>
      </w:tr>
      <w:bookmarkEnd w:id="2"/>
      <w:tr w:rsidR="00C74B6F" w14:paraId="6C09DCF6" w14:textId="77777777" w:rsidTr="00036794">
        <w:trPr>
          <w:cantSplit/>
        </w:trPr>
        <w:tc>
          <w:tcPr>
            <w:tcW w:w="9568" w:type="dxa"/>
            <w:gridSpan w:val="4"/>
          </w:tcPr>
          <w:p w14:paraId="0BE1AF2C" w14:textId="77777777" w:rsidR="00C74B6F" w:rsidRDefault="00D44BCF">
            <w:r>
              <w:fldChar w:fldCharType="begin"/>
            </w:r>
            <w:r>
              <w:instrText xml:space="preserve"> AUTOTEXTLIST  \* Upper  \* MERGEFORMAT </w:instrText>
            </w:r>
            <w:r>
              <w:fldChar w:fldCharType="end"/>
            </w:r>
          </w:p>
        </w:tc>
      </w:tr>
      <w:tr w:rsidR="00C74B6F" w14:paraId="497C3F97" w14:textId="77777777" w:rsidTr="00036794">
        <w:tc>
          <w:tcPr>
            <w:tcW w:w="3331" w:type="dxa"/>
          </w:tcPr>
          <w:p w14:paraId="516EA920" w14:textId="3A0FD0D5" w:rsidR="00C74B6F" w:rsidRDefault="008C79A7" w:rsidP="0045114F">
            <w:pPr>
              <w:ind w:right="46"/>
            </w:pPr>
            <w:r>
              <w:t xml:space="preserve">Dossier </w:t>
            </w:r>
            <w:r w:rsidR="00F46023">
              <w:rPr>
                <w:szCs w:val="24"/>
              </w:rPr>
              <w:t>CNESST</w:t>
            </w:r>
            <w:r w:rsidR="005D20B4">
              <w:rPr>
                <w:szCs w:val="24"/>
              </w:rPr>
              <w:t> </w:t>
            </w:r>
            <w:r w:rsidRPr="008C79A7">
              <w:rPr>
                <w:szCs w:val="24"/>
              </w:rPr>
              <w:t>:</w:t>
            </w:r>
          </w:p>
        </w:tc>
        <w:tc>
          <w:tcPr>
            <w:tcW w:w="6237" w:type="dxa"/>
            <w:gridSpan w:val="3"/>
          </w:tcPr>
          <w:p w14:paraId="1D5B0FDC" w14:textId="16A7760D" w:rsidR="00C74B6F" w:rsidRDefault="00F46023" w:rsidP="004D6CEA">
            <w:pPr>
              <w:pStyle w:val="zSoquijdatNCSST"/>
            </w:pPr>
            <w:r>
              <w:t>509983649</w:t>
            </w:r>
          </w:p>
        </w:tc>
      </w:tr>
      <w:tr w:rsidR="00C74B6F" w14:paraId="2AACF686" w14:textId="77777777" w:rsidTr="00036794">
        <w:trPr>
          <w:cantSplit/>
        </w:trPr>
        <w:tc>
          <w:tcPr>
            <w:tcW w:w="9568" w:type="dxa"/>
            <w:gridSpan w:val="4"/>
          </w:tcPr>
          <w:p w14:paraId="3EA06770" w14:textId="77777777" w:rsidR="00C74B6F" w:rsidRDefault="00C74B6F"/>
        </w:tc>
      </w:tr>
      <w:tr w:rsidR="00C74B6F" w14:paraId="63E0C8FC" w14:textId="77777777" w:rsidTr="00036794">
        <w:tc>
          <w:tcPr>
            <w:tcW w:w="3331" w:type="dxa"/>
          </w:tcPr>
          <w:p w14:paraId="487A4D6B" w14:textId="19ADA9BA" w:rsidR="00C74B6F" w:rsidRDefault="00F46023">
            <w:bookmarkStart w:id="4" w:name="assesseur"/>
            <w:bookmarkEnd w:id="4"/>
            <w:r>
              <w:t>Assesseure</w:t>
            </w:r>
          </w:p>
        </w:tc>
        <w:tc>
          <w:tcPr>
            <w:tcW w:w="6237" w:type="dxa"/>
            <w:gridSpan w:val="3"/>
          </w:tcPr>
          <w:p w14:paraId="16F8DA70" w14:textId="48578520" w:rsidR="00C74B6F" w:rsidRDefault="00F46023" w:rsidP="00F4095A">
            <w:pPr>
              <w:pStyle w:val="zSoquijdatAssesseurs"/>
            </w:pPr>
            <w:r>
              <w:t>Marie-Hélène Arpin</w:t>
            </w:r>
            <w:r w:rsidR="00A25D4B">
              <w:t>, médecin</w:t>
            </w:r>
          </w:p>
        </w:tc>
      </w:tr>
      <w:tr w:rsidR="00C74B6F" w14:paraId="1BA062B6" w14:textId="77777777" w:rsidTr="00036794">
        <w:trPr>
          <w:cantSplit/>
        </w:trPr>
        <w:tc>
          <w:tcPr>
            <w:tcW w:w="9568" w:type="dxa"/>
            <w:gridSpan w:val="4"/>
          </w:tcPr>
          <w:p w14:paraId="418B64A2" w14:textId="77777777" w:rsidR="00C74B6F" w:rsidRDefault="00C74B6F"/>
        </w:tc>
      </w:tr>
      <w:tr w:rsidR="00C74B6F" w14:paraId="20029317" w14:textId="77777777" w:rsidTr="00036794">
        <w:trPr>
          <w:cantSplit/>
        </w:trPr>
        <w:tc>
          <w:tcPr>
            <w:tcW w:w="9568" w:type="dxa"/>
            <w:gridSpan w:val="4"/>
          </w:tcPr>
          <w:p w14:paraId="72F79B02" w14:textId="77777777" w:rsidR="00C74B6F" w:rsidRDefault="00C74B6F"/>
        </w:tc>
      </w:tr>
      <w:tr w:rsidR="006E3DD8" w14:paraId="164FA937" w14:textId="77777777" w:rsidTr="00036794">
        <w:trPr>
          <w:cantSplit/>
        </w:trPr>
        <w:tc>
          <w:tcPr>
            <w:tcW w:w="3331" w:type="dxa"/>
          </w:tcPr>
          <w:p w14:paraId="1DD19A78" w14:textId="4AB5CF43" w:rsidR="006E3DD8" w:rsidRDefault="00F46023" w:rsidP="0076350E">
            <w:pPr>
              <w:ind w:right="-70"/>
            </w:pPr>
            <w:r>
              <w:t>Saint-Jean-sur-Richelieu</w:t>
            </w:r>
            <w:r w:rsidR="00C04E32">
              <w:t>,</w:t>
            </w:r>
          </w:p>
        </w:tc>
        <w:tc>
          <w:tcPr>
            <w:tcW w:w="6237" w:type="dxa"/>
            <w:gridSpan w:val="3"/>
          </w:tcPr>
          <w:p w14:paraId="0D1FC184" w14:textId="5E8B9A15" w:rsidR="006E3DD8" w:rsidRDefault="00C04E32" w:rsidP="005B5689">
            <w:pPr>
              <w:pStyle w:val="zSoquijdatDateJugement"/>
            </w:pPr>
            <w:r>
              <w:t xml:space="preserve">le </w:t>
            </w:r>
            <w:r w:rsidR="00185E65">
              <w:t>21</w:t>
            </w:r>
            <w:r w:rsidR="00F46023">
              <w:t xml:space="preserve"> </w:t>
            </w:r>
            <w:r w:rsidR="000B63C8">
              <w:t>février</w:t>
            </w:r>
            <w:r w:rsidR="00F46023">
              <w:t xml:space="preserve"> 2025</w:t>
            </w:r>
          </w:p>
        </w:tc>
      </w:tr>
      <w:tr w:rsidR="00942AB8" w14:paraId="7B8B18BF" w14:textId="77777777" w:rsidTr="00036794">
        <w:trPr>
          <w:cantSplit/>
        </w:trPr>
        <w:tc>
          <w:tcPr>
            <w:tcW w:w="9568" w:type="dxa"/>
            <w:gridSpan w:val="4"/>
          </w:tcPr>
          <w:p w14:paraId="091B68AB" w14:textId="77777777" w:rsidR="00942AB8" w:rsidRDefault="00942AB8" w:rsidP="00FA153F">
            <w:r>
              <w:t>______________________________________________________________________</w:t>
            </w:r>
          </w:p>
        </w:tc>
      </w:tr>
      <w:tr w:rsidR="00942AB8" w14:paraId="3F207528" w14:textId="77777777" w:rsidTr="00036794">
        <w:trPr>
          <w:cantSplit/>
          <w:trHeight w:val="148"/>
        </w:trPr>
        <w:tc>
          <w:tcPr>
            <w:tcW w:w="9568" w:type="dxa"/>
            <w:gridSpan w:val="4"/>
          </w:tcPr>
          <w:p w14:paraId="2241532C" w14:textId="77777777" w:rsidR="00942AB8" w:rsidRDefault="00942AB8" w:rsidP="00FA153F"/>
        </w:tc>
      </w:tr>
      <w:tr w:rsidR="0035375B" w14:paraId="4138EF34" w14:textId="77777777" w:rsidTr="00036794">
        <w:trPr>
          <w:cantSplit/>
          <w:trHeight w:val="148"/>
        </w:trPr>
        <w:tc>
          <w:tcPr>
            <w:tcW w:w="5883" w:type="dxa"/>
            <w:gridSpan w:val="3"/>
          </w:tcPr>
          <w:p w14:paraId="5B3B65E2" w14:textId="36C47F4D" w:rsidR="0035375B" w:rsidRPr="00942AB8" w:rsidRDefault="0035375B">
            <w:pPr>
              <w:rPr>
                <w:b/>
                <w:bCs/>
              </w:rPr>
            </w:pPr>
            <w:bookmarkStart w:id="5" w:name="ref_commissaire" w:colFirst="1" w:colLast="1"/>
            <w:r w:rsidRPr="00942AB8">
              <w:rPr>
                <w:b/>
                <w:bCs/>
              </w:rPr>
              <w:t>DEVANT L</w:t>
            </w:r>
            <w:r w:rsidR="00F46023">
              <w:rPr>
                <w:b/>
                <w:bCs/>
              </w:rPr>
              <w:t>E</w:t>
            </w:r>
            <w:r w:rsidRPr="00942AB8">
              <w:rPr>
                <w:b/>
                <w:bCs/>
              </w:rPr>
              <w:t xml:space="preserve"> JUGE ADMINISTRATI</w:t>
            </w:r>
            <w:r w:rsidR="00F46023">
              <w:rPr>
                <w:b/>
                <w:bCs/>
              </w:rPr>
              <w:t>F</w:t>
            </w:r>
            <w:r w:rsidRPr="00942AB8">
              <w:rPr>
                <w:b/>
                <w:bCs/>
              </w:rPr>
              <w:t> :</w:t>
            </w:r>
          </w:p>
        </w:tc>
        <w:tc>
          <w:tcPr>
            <w:tcW w:w="3685" w:type="dxa"/>
          </w:tcPr>
          <w:p w14:paraId="10C06D97" w14:textId="0D970621" w:rsidR="0035375B" w:rsidRPr="00942AB8" w:rsidRDefault="00F46023" w:rsidP="005B5689">
            <w:pPr>
              <w:pStyle w:val="zSoquijdatJuge"/>
              <w:rPr>
                <w:bCs/>
              </w:rPr>
            </w:pPr>
            <w:r>
              <w:t>Bruno Boucher</w:t>
            </w:r>
          </w:p>
        </w:tc>
      </w:tr>
      <w:bookmarkEnd w:id="5"/>
      <w:tr w:rsidR="00942AB8" w14:paraId="1309FCE2" w14:textId="77777777" w:rsidTr="00036794">
        <w:trPr>
          <w:cantSplit/>
          <w:trHeight w:val="148"/>
        </w:trPr>
        <w:tc>
          <w:tcPr>
            <w:tcW w:w="9568" w:type="dxa"/>
            <w:gridSpan w:val="4"/>
          </w:tcPr>
          <w:p w14:paraId="403D8451" w14:textId="77777777" w:rsidR="00942AB8" w:rsidRDefault="00942AB8" w:rsidP="00FA153F">
            <w:r>
              <w:t>______________________________________________________________________</w:t>
            </w:r>
          </w:p>
        </w:tc>
      </w:tr>
      <w:tr w:rsidR="00942AB8" w14:paraId="3A204C51" w14:textId="77777777" w:rsidTr="00036794">
        <w:tc>
          <w:tcPr>
            <w:tcW w:w="9568" w:type="dxa"/>
            <w:gridSpan w:val="4"/>
          </w:tcPr>
          <w:p w14:paraId="01371B55" w14:textId="77777777" w:rsidR="00942AB8" w:rsidRDefault="00942AB8"/>
        </w:tc>
      </w:tr>
      <w:tr w:rsidR="00A8073B" w14:paraId="4E7B6B20" w14:textId="77777777" w:rsidTr="00E21768">
        <w:tc>
          <w:tcPr>
            <w:tcW w:w="4890" w:type="dxa"/>
            <w:gridSpan w:val="2"/>
          </w:tcPr>
          <w:p w14:paraId="30414CA4" w14:textId="2090FE01" w:rsidR="00A8073B" w:rsidRDefault="00A8073B">
            <w:r w:rsidRPr="00A8073B">
              <w:t>1250995</w:t>
            </w:r>
          </w:p>
        </w:tc>
        <w:tc>
          <w:tcPr>
            <w:tcW w:w="4678" w:type="dxa"/>
            <w:gridSpan w:val="2"/>
          </w:tcPr>
          <w:p w14:paraId="5425F02A" w14:textId="43135856" w:rsidR="00A8073B" w:rsidRDefault="00A8073B">
            <w:r w:rsidRPr="00A8073B">
              <w:t>1291759</w:t>
            </w:r>
          </w:p>
        </w:tc>
      </w:tr>
      <w:tr w:rsidR="00942AB8" w14:paraId="62988FAB" w14:textId="77777777" w:rsidTr="00E21768">
        <w:tc>
          <w:tcPr>
            <w:tcW w:w="4890" w:type="dxa"/>
            <w:gridSpan w:val="2"/>
          </w:tcPr>
          <w:p w14:paraId="041CA15D" w14:textId="77777777" w:rsidR="00942AB8" w:rsidRDefault="00942AB8">
            <w:bookmarkStart w:id="6" w:name="bloc_parties_gauche"/>
            <w:bookmarkEnd w:id="6"/>
          </w:p>
        </w:tc>
        <w:tc>
          <w:tcPr>
            <w:tcW w:w="4678" w:type="dxa"/>
            <w:gridSpan w:val="2"/>
          </w:tcPr>
          <w:p w14:paraId="596714DF" w14:textId="77777777" w:rsidR="00942AB8" w:rsidRDefault="00942AB8"/>
        </w:tc>
      </w:tr>
      <w:tr w:rsidR="00942AB8" w14:paraId="1DE0BA50" w14:textId="77777777" w:rsidTr="00E21768">
        <w:tc>
          <w:tcPr>
            <w:tcW w:w="4890" w:type="dxa"/>
            <w:gridSpan w:val="2"/>
          </w:tcPr>
          <w:p w14:paraId="11CC791A" w14:textId="3D1C8A5D" w:rsidR="00942AB8" w:rsidRDefault="000B63C8">
            <w:pPr>
              <w:pStyle w:val="zSoquijdatNomPartieDem"/>
              <w:rPr>
                <w:b/>
              </w:rPr>
            </w:pPr>
            <w:r w:rsidRPr="000B63C8">
              <w:rPr>
                <w:b/>
              </w:rPr>
              <w:t>Générale Électrique du Canada (Bromont)</w:t>
            </w:r>
          </w:p>
        </w:tc>
        <w:tc>
          <w:tcPr>
            <w:tcW w:w="4678" w:type="dxa"/>
            <w:gridSpan w:val="2"/>
          </w:tcPr>
          <w:p w14:paraId="6C4E9616" w14:textId="0F9B2CFB" w:rsidR="00942AB8" w:rsidRPr="00A8073B" w:rsidRDefault="00A8073B" w:rsidP="00A8073B">
            <w:pPr>
              <w:pStyle w:val="zSoquijdatNomPartieDem"/>
              <w:rPr>
                <w:b/>
              </w:rPr>
            </w:pPr>
            <w:r w:rsidRPr="00A8073B">
              <w:rPr>
                <w:b/>
              </w:rPr>
              <w:t>Générale Électrique du Canada (Bromont)</w:t>
            </w:r>
          </w:p>
        </w:tc>
      </w:tr>
      <w:tr w:rsidR="00942AB8" w14:paraId="3BD23D7B" w14:textId="77777777" w:rsidTr="00E21768">
        <w:tc>
          <w:tcPr>
            <w:tcW w:w="4890" w:type="dxa"/>
            <w:gridSpan w:val="2"/>
          </w:tcPr>
          <w:p w14:paraId="51584D54" w14:textId="1F34DE3F" w:rsidR="00942AB8" w:rsidRDefault="00530913" w:rsidP="007B0DF2">
            <w:pPr>
              <w:pStyle w:val="zSoquijdatQtePartieDem"/>
              <w:tabs>
                <w:tab w:val="left" w:pos="3539"/>
              </w:tabs>
              <w:ind w:left="708"/>
            </w:pPr>
            <w:bookmarkStart w:id="7" w:name="partie_demanderesse"/>
            <w:bookmarkEnd w:id="7"/>
            <w:r>
              <w:t>Partie demanderesse</w:t>
            </w:r>
          </w:p>
        </w:tc>
        <w:tc>
          <w:tcPr>
            <w:tcW w:w="4678" w:type="dxa"/>
            <w:gridSpan w:val="2"/>
          </w:tcPr>
          <w:p w14:paraId="439B672F" w14:textId="491C03CE" w:rsidR="00942AB8" w:rsidRDefault="00A8073B" w:rsidP="00A8073B">
            <w:pPr>
              <w:pStyle w:val="zSoquijdatQtePartieDem"/>
              <w:ind w:left="709"/>
            </w:pPr>
            <w:r>
              <w:t>Partie demanderesse</w:t>
            </w:r>
          </w:p>
        </w:tc>
      </w:tr>
      <w:tr w:rsidR="00942AB8" w14:paraId="7A408949" w14:textId="77777777" w:rsidTr="00E21768">
        <w:tc>
          <w:tcPr>
            <w:tcW w:w="4890" w:type="dxa"/>
            <w:gridSpan w:val="2"/>
          </w:tcPr>
          <w:p w14:paraId="0B8D757F" w14:textId="77777777" w:rsidR="00942AB8" w:rsidRDefault="00942AB8" w:rsidP="00E6363B"/>
        </w:tc>
        <w:tc>
          <w:tcPr>
            <w:tcW w:w="4678" w:type="dxa"/>
            <w:gridSpan w:val="2"/>
          </w:tcPr>
          <w:p w14:paraId="4CE14C7F" w14:textId="77777777" w:rsidR="00942AB8" w:rsidRDefault="00942AB8"/>
        </w:tc>
      </w:tr>
      <w:tr w:rsidR="00942AB8" w14:paraId="1AEF2FF9" w14:textId="77777777" w:rsidTr="00E21768">
        <w:tc>
          <w:tcPr>
            <w:tcW w:w="4890" w:type="dxa"/>
            <w:gridSpan w:val="2"/>
          </w:tcPr>
          <w:p w14:paraId="18DFBDF7" w14:textId="41CE8B78" w:rsidR="00942AB8" w:rsidRDefault="00F46023" w:rsidP="00D06652">
            <w:pPr>
              <w:pStyle w:val="zSoquijlblLienParties"/>
            </w:pPr>
            <w:r>
              <w:t>et</w:t>
            </w:r>
          </w:p>
        </w:tc>
        <w:tc>
          <w:tcPr>
            <w:tcW w:w="4678" w:type="dxa"/>
            <w:gridSpan w:val="2"/>
          </w:tcPr>
          <w:p w14:paraId="5A877DBA" w14:textId="423F1E6C" w:rsidR="00942AB8" w:rsidRDefault="00A8073B">
            <w:r>
              <w:t>et</w:t>
            </w:r>
          </w:p>
        </w:tc>
      </w:tr>
      <w:tr w:rsidR="00942AB8" w14:paraId="4D3AA45A" w14:textId="77777777" w:rsidTr="00E21768">
        <w:tc>
          <w:tcPr>
            <w:tcW w:w="4890" w:type="dxa"/>
            <w:gridSpan w:val="2"/>
          </w:tcPr>
          <w:p w14:paraId="65103068" w14:textId="77777777" w:rsidR="00942AB8" w:rsidRDefault="00942AB8"/>
        </w:tc>
        <w:tc>
          <w:tcPr>
            <w:tcW w:w="4678" w:type="dxa"/>
            <w:gridSpan w:val="2"/>
          </w:tcPr>
          <w:p w14:paraId="391DF487" w14:textId="77777777" w:rsidR="00942AB8" w:rsidRDefault="00942AB8"/>
        </w:tc>
      </w:tr>
      <w:tr w:rsidR="00942AB8" w14:paraId="2B5B9075" w14:textId="77777777" w:rsidTr="00E21768">
        <w:tc>
          <w:tcPr>
            <w:tcW w:w="4890" w:type="dxa"/>
            <w:gridSpan w:val="2"/>
          </w:tcPr>
          <w:p w14:paraId="5DBFEB35" w14:textId="410D8AC4" w:rsidR="00942AB8" w:rsidRDefault="00F46023">
            <w:pPr>
              <w:pStyle w:val="zSoquijdatNomPartieDef"/>
              <w:rPr>
                <w:b/>
              </w:rPr>
            </w:pPr>
            <w:r>
              <w:rPr>
                <w:b/>
              </w:rPr>
              <w:t>Éric Mitchell</w:t>
            </w:r>
          </w:p>
        </w:tc>
        <w:tc>
          <w:tcPr>
            <w:tcW w:w="4678" w:type="dxa"/>
            <w:gridSpan w:val="2"/>
          </w:tcPr>
          <w:p w14:paraId="26AF3A48" w14:textId="4CCA6522" w:rsidR="00942AB8" w:rsidRPr="00A8073B" w:rsidRDefault="00A8073B" w:rsidP="00A8073B">
            <w:pPr>
              <w:pStyle w:val="zSoquijdatNomPartieDef"/>
              <w:rPr>
                <w:b/>
              </w:rPr>
            </w:pPr>
            <w:r w:rsidRPr="00A8073B">
              <w:rPr>
                <w:b/>
              </w:rPr>
              <w:t>Éric Mitchell</w:t>
            </w:r>
          </w:p>
        </w:tc>
      </w:tr>
      <w:tr w:rsidR="00942AB8" w14:paraId="55FB0BFE" w14:textId="77777777" w:rsidTr="00E21768">
        <w:tc>
          <w:tcPr>
            <w:tcW w:w="4890" w:type="dxa"/>
            <w:gridSpan w:val="2"/>
          </w:tcPr>
          <w:p w14:paraId="72C1AA19" w14:textId="689AE44A" w:rsidR="00942AB8" w:rsidRDefault="00530913">
            <w:pPr>
              <w:pStyle w:val="zSoquijdatQtePartieDef"/>
              <w:ind w:left="708"/>
            </w:pPr>
            <w:r>
              <w:t>Partie mise en cause</w:t>
            </w:r>
          </w:p>
        </w:tc>
        <w:tc>
          <w:tcPr>
            <w:tcW w:w="4678" w:type="dxa"/>
            <w:gridSpan w:val="2"/>
          </w:tcPr>
          <w:p w14:paraId="0AA779DF" w14:textId="2C13AB14" w:rsidR="00942AB8" w:rsidRDefault="00A8073B" w:rsidP="00A8073B">
            <w:pPr>
              <w:pStyle w:val="zSoquijdatQtePartieDef"/>
              <w:ind w:left="709"/>
            </w:pPr>
            <w:r>
              <w:t>Partie mise en cause</w:t>
            </w:r>
          </w:p>
        </w:tc>
      </w:tr>
      <w:tr w:rsidR="00A8073B" w14:paraId="0660B3C3" w14:textId="77777777" w:rsidTr="00E21768">
        <w:tc>
          <w:tcPr>
            <w:tcW w:w="4890" w:type="dxa"/>
            <w:gridSpan w:val="2"/>
          </w:tcPr>
          <w:p w14:paraId="2A185EF6" w14:textId="77777777" w:rsidR="00A8073B" w:rsidRDefault="00A8073B"/>
        </w:tc>
        <w:tc>
          <w:tcPr>
            <w:tcW w:w="4678" w:type="dxa"/>
            <w:gridSpan w:val="2"/>
          </w:tcPr>
          <w:p w14:paraId="03FFC622" w14:textId="77777777" w:rsidR="00A8073B" w:rsidRDefault="00A8073B"/>
        </w:tc>
      </w:tr>
      <w:tr w:rsidR="00A8073B" w14:paraId="3F2C35A9" w14:textId="77777777" w:rsidTr="00E21768">
        <w:tc>
          <w:tcPr>
            <w:tcW w:w="4890" w:type="dxa"/>
            <w:gridSpan w:val="2"/>
          </w:tcPr>
          <w:p w14:paraId="5562DFF4" w14:textId="77777777" w:rsidR="00A8073B" w:rsidRDefault="00A8073B"/>
        </w:tc>
        <w:tc>
          <w:tcPr>
            <w:tcW w:w="4678" w:type="dxa"/>
            <w:gridSpan w:val="2"/>
          </w:tcPr>
          <w:p w14:paraId="4D368229" w14:textId="46DCF62A" w:rsidR="00A8073B" w:rsidRDefault="00A8073B">
            <w:r>
              <w:t>et</w:t>
            </w:r>
          </w:p>
        </w:tc>
      </w:tr>
      <w:tr w:rsidR="00530913" w14:paraId="6E933A28" w14:textId="77777777" w:rsidTr="00E21768">
        <w:tc>
          <w:tcPr>
            <w:tcW w:w="4890" w:type="dxa"/>
            <w:gridSpan w:val="2"/>
          </w:tcPr>
          <w:p w14:paraId="28E52ADD" w14:textId="77777777" w:rsidR="00530913" w:rsidRDefault="00530913"/>
        </w:tc>
        <w:tc>
          <w:tcPr>
            <w:tcW w:w="4678" w:type="dxa"/>
            <w:gridSpan w:val="2"/>
          </w:tcPr>
          <w:p w14:paraId="7AAA33D4" w14:textId="77777777" w:rsidR="00530913" w:rsidRDefault="00530913"/>
        </w:tc>
      </w:tr>
      <w:tr w:rsidR="00530913" w14:paraId="0D3A40A1" w14:textId="77777777" w:rsidTr="00E21768">
        <w:tc>
          <w:tcPr>
            <w:tcW w:w="4890" w:type="dxa"/>
            <w:gridSpan w:val="2"/>
          </w:tcPr>
          <w:p w14:paraId="708DAF8D" w14:textId="57CDD9D3" w:rsidR="00530913" w:rsidRDefault="00530913"/>
        </w:tc>
        <w:tc>
          <w:tcPr>
            <w:tcW w:w="4678" w:type="dxa"/>
            <w:gridSpan w:val="2"/>
          </w:tcPr>
          <w:p w14:paraId="0694958F" w14:textId="181D3A5B" w:rsidR="00530913" w:rsidRPr="00A8073B" w:rsidRDefault="00A8073B" w:rsidP="00A8073B">
            <w:pPr>
              <w:pStyle w:val="zSoquijdatNomPartieInt"/>
              <w:rPr>
                <w:b/>
              </w:rPr>
            </w:pPr>
            <w:r>
              <w:rPr>
                <w:b/>
              </w:rPr>
              <w:t>Commission des normes, de l'équité, de la santé et de la sécurité du travail</w:t>
            </w:r>
          </w:p>
        </w:tc>
      </w:tr>
      <w:tr w:rsidR="0065093D" w14:paraId="4D85F0C4" w14:textId="77777777" w:rsidTr="00E21768">
        <w:tc>
          <w:tcPr>
            <w:tcW w:w="4890" w:type="dxa"/>
            <w:gridSpan w:val="2"/>
          </w:tcPr>
          <w:p w14:paraId="1B080104" w14:textId="77777777" w:rsidR="0065093D" w:rsidRDefault="0065093D"/>
        </w:tc>
        <w:tc>
          <w:tcPr>
            <w:tcW w:w="4678" w:type="dxa"/>
            <w:gridSpan w:val="2"/>
          </w:tcPr>
          <w:p w14:paraId="1D1BC5F4" w14:textId="2831FF4D" w:rsidR="0065093D" w:rsidRDefault="00A8073B" w:rsidP="00A8073B">
            <w:pPr>
              <w:pStyle w:val="zSoquijdatQtePartieInt"/>
              <w:ind w:left="709"/>
            </w:pPr>
            <w:r>
              <w:t>Partie intervenante</w:t>
            </w:r>
          </w:p>
        </w:tc>
      </w:tr>
      <w:tr w:rsidR="00942AB8" w14:paraId="5B9CEFC0" w14:textId="77777777" w:rsidTr="00E21768">
        <w:tc>
          <w:tcPr>
            <w:tcW w:w="4890" w:type="dxa"/>
            <w:gridSpan w:val="2"/>
          </w:tcPr>
          <w:p w14:paraId="11472B7F" w14:textId="77777777" w:rsidR="00942AB8" w:rsidRDefault="00942AB8"/>
        </w:tc>
        <w:tc>
          <w:tcPr>
            <w:tcW w:w="4678" w:type="dxa"/>
            <w:gridSpan w:val="2"/>
          </w:tcPr>
          <w:p w14:paraId="725C57B0" w14:textId="77777777" w:rsidR="00942AB8" w:rsidRDefault="00942AB8"/>
        </w:tc>
      </w:tr>
    </w:tbl>
    <w:p w14:paraId="2EA6797C" w14:textId="77777777" w:rsidR="00C74B6F" w:rsidRDefault="00C74B6F">
      <w:r>
        <w:t>______________________________________________________________________</w:t>
      </w:r>
    </w:p>
    <w:p w14:paraId="438F50A1" w14:textId="77777777" w:rsidR="00C74B6F" w:rsidRDefault="00C74B6F"/>
    <w:p w14:paraId="6C150E5F" w14:textId="77777777" w:rsidR="00C74B6F" w:rsidRPr="005B0612" w:rsidRDefault="00C74B6F" w:rsidP="008B042E">
      <w:pPr>
        <w:jc w:val="center"/>
        <w:rPr>
          <w:b/>
          <w:bCs/>
        </w:rPr>
      </w:pPr>
      <w:bookmarkStart w:id="8" w:name="decision"/>
      <w:r w:rsidRPr="005B0612">
        <w:rPr>
          <w:b/>
          <w:bCs/>
        </w:rPr>
        <w:t>DÉCISION</w:t>
      </w:r>
      <w:bookmarkEnd w:id="8"/>
    </w:p>
    <w:p w14:paraId="7ED54333" w14:textId="77777777" w:rsidR="008F20EA" w:rsidRDefault="008F20EA" w:rsidP="008F20EA">
      <w:bookmarkStart w:id="9" w:name="separation"/>
      <w:bookmarkStart w:id="10" w:name="parag_1"/>
      <w:r>
        <w:t>______________________________________________________________________</w:t>
      </w:r>
    </w:p>
    <w:p w14:paraId="568002EC" w14:textId="0B4D0A25" w:rsidR="008F20EA" w:rsidRDefault="008F20EA" w:rsidP="00D41422">
      <w:pPr>
        <w:pStyle w:val="Titre1"/>
      </w:pPr>
      <w:bookmarkStart w:id="11" w:name="supprimer_apercu"/>
      <w:bookmarkEnd w:id="9"/>
      <w:r>
        <w:t>L’APERÇU</w:t>
      </w:r>
    </w:p>
    <w:bookmarkEnd w:id="10"/>
    <w:bookmarkEnd w:id="11"/>
    <w:p w14:paraId="07FCFA45" w14:textId="68E6FB35" w:rsidR="00C74B6F" w:rsidRDefault="00256CDA">
      <w:pPr>
        <w:pStyle w:val="corpsdedcision"/>
      </w:pPr>
      <w:r>
        <w:t>L’employeur s’adresse au Tribunal comme il est d’avis que la Commission des</w:t>
      </w:r>
      <w:r w:rsidR="00813AF9">
        <w:t> </w:t>
      </w:r>
      <w:r>
        <w:t>normes, de l’équité, de la santé et de la sécurité du travail n’aurait pas dû reconnaître que le travailleur a subi une lésion professionnelle.</w:t>
      </w:r>
    </w:p>
    <w:p w14:paraId="661CE20E" w14:textId="649CDF28" w:rsidR="00256CDA" w:rsidRDefault="00256CDA">
      <w:pPr>
        <w:pStyle w:val="corpsdedcision"/>
      </w:pPr>
      <w:r>
        <w:t>Dans cette affaire, le travailleur occupait l’emploi d’opérateur chez l’employeur et, au moment des faits en litige, était affecté à l’assemblage de pièces destinées à</w:t>
      </w:r>
      <w:r w:rsidR="00813AF9">
        <w:t> </w:t>
      </w:r>
      <w:r>
        <w:t>la</w:t>
      </w:r>
      <w:r w:rsidR="00813AF9">
        <w:t> </w:t>
      </w:r>
      <w:r>
        <w:t>construction d’avions. Il allègue l’apparition graduelle d’une douleur à son coude et son avant-bras droits à l’hiver 2021 qui se manifestait lorsqu’il effectuait un mouvement d’abaissement d’un levier pour poinçonner une pièce de métal à plusieurs reprises.</w:t>
      </w:r>
    </w:p>
    <w:p w14:paraId="1206CFDD" w14:textId="4EF04D08" w:rsidR="00783244" w:rsidRDefault="00783244">
      <w:pPr>
        <w:pStyle w:val="corpsdedcision"/>
      </w:pPr>
      <w:r>
        <w:t>Lorsqu’il consulte pour la première fois un médecin au mois de mars 2021, un</w:t>
      </w:r>
      <w:r w:rsidR="00813AF9">
        <w:t> </w:t>
      </w:r>
      <w:r>
        <w:t>diagnostic de tendinite du long extenseur du poignet droit est posé qui sera reconnu comme constituant une lésion professionnelle par la Commission quelques mois plus tard</w:t>
      </w:r>
      <w:r>
        <w:rPr>
          <w:rStyle w:val="Appelnotedebasdep"/>
        </w:rPr>
        <w:footnoteReference w:id="1"/>
      </w:r>
      <w:r>
        <w:t>. Au fil des investigations, des diagnostics de déchirure partielle modérée du tendon de l’extenseur commun du coude droit et d’épicondylite externe du</w:t>
      </w:r>
      <w:r w:rsidR="009B1B15">
        <w:t xml:space="preserve"> </w:t>
      </w:r>
      <w:r>
        <w:t>coude droit s’ajoute</w:t>
      </w:r>
      <w:r w:rsidR="00BD5DEE">
        <w:t>n</w:t>
      </w:r>
      <w:r>
        <w:t xml:space="preserve">t à celui-ci et </w:t>
      </w:r>
      <w:r w:rsidRPr="000C6B83">
        <w:t>sont</w:t>
      </w:r>
      <w:r>
        <w:t xml:space="preserve"> également reconnus par la </w:t>
      </w:r>
      <w:r w:rsidR="00BD5DEE">
        <w:t>Commission comme étant reliés à la lésion professionnelle</w:t>
      </w:r>
      <w:r>
        <w:rPr>
          <w:rStyle w:val="Appelnotedebasdep"/>
        </w:rPr>
        <w:footnoteReference w:id="2"/>
      </w:r>
      <w:r>
        <w:t>.</w:t>
      </w:r>
    </w:p>
    <w:p w14:paraId="7A22A7D3" w14:textId="7D2F54AD" w:rsidR="0099127A" w:rsidRDefault="00BD5DEE">
      <w:pPr>
        <w:pStyle w:val="corpsdedcision"/>
      </w:pPr>
      <w:r>
        <w:t xml:space="preserve">L’employeur </w:t>
      </w:r>
      <w:r w:rsidR="0099127A">
        <w:t xml:space="preserve">a </w:t>
      </w:r>
      <w:r>
        <w:t>contest</w:t>
      </w:r>
      <w:r w:rsidR="0099127A">
        <w:t xml:space="preserve">é </w:t>
      </w:r>
      <w:r>
        <w:t>ces décisions</w:t>
      </w:r>
      <w:r w:rsidR="0099127A">
        <w:t xml:space="preserve"> qui ont </w:t>
      </w:r>
      <w:r w:rsidR="00797035">
        <w:t>toutes deux été maintenues</w:t>
      </w:r>
      <w:r w:rsidR="0099127A">
        <w:t xml:space="preserve"> après une révision administrative</w:t>
      </w:r>
      <w:r w:rsidR="0099127A">
        <w:rPr>
          <w:rStyle w:val="Appelnotedebasdep"/>
        </w:rPr>
        <w:footnoteReference w:id="3"/>
      </w:r>
      <w:r>
        <w:t xml:space="preserve">. </w:t>
      </w:r>
      <w:r w:rsidR="0099127A">
        <w:t>Il les conteste maintenant devant le Tribunal.</w:t>
      </w:r>
    </w:p>
    <w:p w14:paraId="723D32D8" w14:textId="373A14AC" w:rsidR="00BD5DEE" w:rsidRDefault="00BD5DEE">
      <w:pPr>
        <w:pStyle w:val="corpsdedcision"/>
      </w:pPr>
      <w:r>
        <w:t>Dans un premier temps, il est d’avis que le travail du travailleur ne comportait pas de mouvement</w:t>
      </w:r>
      <w:r w:rsidR="0099127A">
        <w:t>s</w:t>
      </w:r>
      <w:r>
        <w:t xml:space="preserve"> répétitifs qui permettrai</w:t>
      </w:r>
      <w:r w:rsidR="00A6113A">
        <w:t>en</w:t>
      </w:r>
      <w:r>
        <w:t>t l’application de la présomption de maladie professionnelle et que la preuve ne démontrerait pas la survenance d’un (ou de plusieurs) événement imprévu et soudain permettant qu’on reconnaisse la survenance d’un</w:t>
      </w:r>
      <w:r w:rsidR="00813AF9">
        <w:t> </w:t>
      </w:r>
      <w:r>
        <w:t>accident du travail.</w:t>
      </w:r>
    </w:p>
    <w:p w14:paraId="17757A8E" w14:textId="5CC57143" w:rsidR="00BD5DEE" w:rsidRDefault="00BD5DEE">
      <w:pPr>
        <w:pStyle w:val="corpsdedcision"/>
      </w:pPr>
      <w:r>
        <w:t>Subsidiairement, si une lésion professionnelle était effectivement survenue</w:t>
      </w:r>
      <w:r w:rsidR="0099127A">
        <w:t>, l’employeur est d’avis que les nouveaux diagnostics de déchirure partielle modérée du</w:t>
      </w:r>
      <w:r w:rsidR="00813AF9">
        <w:t> </w:t>
      </w:r>
      <w:r w:rsidR="0099127A">
        <w:t>tendon de l’extenseur commun du coude droit et d’épicondylite externe du coude droit n’aurai</w:t>
      </w:r>
      <w:r w:rsidR="0010287C">
        <w:t>en</w:t>
      </w:r>
      <w:r w:rsidR="0099127A">
        <w:t>t pas dû être reconnus comme découlant de celle-ci comme la preuve n’appuierait pas cette prétention.</w:t>
      </w:r>
    </w:p>
    <w:p w14:paraId="3D63A76A" w14:textId="5CA59C8E" w:rsidR="0099127A" w:rsidRDefault="0099127A" w:rsidP="0009494C">
      <w:pPr>
        <w:pStyle w:val="corpsdedcision"/>
        <w:keepNext/>
        <w:keepLines/>
      </w:pPr>
      <w:r>
        <w:t xml:space="preserve">Vu les faits en litige et les arguments soulevés par les parties, la réponse à </w:t>
      </w:r>
      <w:r w:rsidR="008D17D2">
        <w:t>quatre</w:t>
      </w:r>
      <w:r>
        <w:t xml:space="preserve"> questions permettra de </w:t>
      </w:r>
      <w:r w:rsidR="00665E50">
        <w:t>trancher la présente affaire. Dans un premier temps :</w:t>
      </w:r>
    </w:p>
    <w:p w14:paraId="043A06D8" w14:textId="32D994EE" w:rsidR="00665E50" w:rsidRDefault="00665E50" w:rsidP="00665E50">
      <w:pPr>
        <w:pStyle w:val="corpsdedcision"/>
        <w:numPr>
          <w:ilvl w:val="1"/>
          <w:numId w:val="1"/>
        </w:numPr>
      </w:pPr>
      <w:r>
        <w:t>Le travail effectué par le travailleur impliquait-il des répétitions de mouvements ou de pressions sur des périodes prolongées?</w:t>
      </w:r>
    </w:p>
    <w:p w14:paraId="28BA570C" w14:textId="0D29A5FE" w:rsidR="00665E50" w:rsidRDefault="00665E50" w:rsidP="00F96549">
      <w:pPr>
        <w:pStyle w:val="corpsdedcision"/>
      </w:pPr>
      <w:r>
        <w:t>Comme le Tribunal répondra par l’affirmative à cette question, la présomption de</w:t>
      </w:r>
      <w:r w:rsidR="00813AF9">
        <w:t> </w:t>
      </w:r>
      <w:r>
        <w:t xml:space="preserve">maladie professionnelle prévue par la </w:t>
      </w:r>
      <w:r w:rsidR="00F96549" w:rsidRPr="00797035">
        <w:rPr>
          <w:i/>
          <w:iCs/>
        </w:rPr>
        <w:t>Loi sur les accidents du travail et les maladies professionnelles</w:t>
      </w:r>
      <w:r w:rsidR="00CB77BD" w:rsidRPr="00797035">
        <w:rPr>
          <w:rStyle w:val="Appelnotedebasdep"/>
        </w:rPr>
        <w:footnoteReference w:id="4"/>
      </w:r>
      <w:r w:rsidR="00F96549">
        <w:t>, la Loi,</w:t>
      </w:r>
      <w:r>
        <w:t xml:space="preserve"> trouve application et une seconde question devra être tranchée, soit :</w:t>
      </w:r>
    </w:p>
    <w:p w14:paraId="3009A54D" w14:textId="58109EEE" w:rsidR="00665E50" w:rsidRDefault="00665E50" w:rsidP="00665E50">
      <w:pPr>
        <w:pStyle w:val="corpsdedcision"/>
        <w:numPr>
          <w:ilvl w:val="1"/>
          <w:numId w:val="1"/>
        </w:numPr>
      </w:pPr>
      <w:r>
        <w:t>La preuve démontrant que la tendinite du travailleur ne serait pas survenue par le</w:t>
      </w:r>
      <w:r w:rsidR="00813AF9">
        <w:t> </w:t>
      </w:r>
      <w:r>
        <w:t>fait ou à l’occasion de son travail est-elle d’une force probante suffisante afin de</w:t>
      </w:r>
      <w:r w:rsidR="00813AF9">
        <w:t> </w:t>
      </w:r>
      <w:r>
        <w:t>renverser la présomption de maladie professionnelle?</w:t>
      </w:r>
    </w:p>
    <w:p w14:paraId="0A778CE9" w14:textId="54A4B4C9" w:rsidR="00665E50" w:rsidRDefault="00665E50" w:rsidP="00665E50">
      <w:pPr>
        <w:pStyle w:val="corpsdedcision"/>
      </w:pPr>
      <w:r>
        <w:t xml:space="preserve">Finalement, comme le Tribunal répondra par la négative à cette question, il sera donc reconnu que le travailleur a subi une lésion professionnelle et </w:t>
      </w:r>
      <w:r w:rsidR="00300216">
        <w:t>deux</w:t>
      </w:r>
      <w:r>
        <w:t xml:space="preserve"> dernière</w:t>
      </w:r>
      <w:r w:rsidR="00300216">
        <w:t>s</w:t>
      </w:r>
      <w:r>
        <w:t xml:space="preserve"> question</w:t>
      </w:r>
      <w:r w:rsidR="00300216">
        <w:t>s</w:t>
      </w:r>
      <w:r>
        <w:t xml:space="preserve"> devr</w:t>
      </w:r>
      <w:r w:rsidR="00300216">
        <w:t>ont</w:t>
      </w:r>
      <w:r>
        <w:t xml:space="preserve"> être</w:t>
      </w:r>
      <w:r w:rsidR="00BA1FB8">
        <w:t xml:space="preserve"> répondue</w:t>
      </w:r>
      <w:r w:rsidR="00300216">
        <w:t>s</w:t>
      </w:r>
      <w:r w:rsidR="00BA1FB8">
        <w:t>, soit :</w:t>
      </w:r>
    </w:p>
    <w:p w14:paraId="1E23E55C" w14:textId="5C56D59C" w:rsidR="00300216" w:rsidRDefault="00300216" w:rsidP="00BA1FB8">
      <w:pPr>
        <w:pStyle w:val="corpsdedcision"/>
        <w:numPr>
          <w:ilvl w:val="1"/>
          <w:numId w:val="1"/>
        </w:numPr>
      </w:pPr>
      <w:r>
        <w:t>L’épicondylite externe du coude droit</w:t>
      </w:r>
      <w:r w:rsidR="00160467">
        <w:t xml:space="preserve"> diagnostiquée au travailleur constitue-t-elle une lésion professionnelle?</w:t>
      </w:r>
    </w:p>
    <w:p w14:paraId="24FB6431" w14:textId="4E947A2E" w:rsidR="00BA1FB8" w:rsidRDefault="00BA1FB8" w:rsidP="00BA1FB8">
      <w:pPr>
        <w:pStyle w:val="corpsdedcision"/>
        <w:numPr>
          <w:ilvl w:val="1"/>
          <w:numId w:val="1"/>
        </w:numPr>
      </w:pPr>
      <w:r>
        <w:t xml:space="preserve">La déchirure partielle modérée du tendon de l’extenseur commun du coude droit </w:t>
      </w:r>
      <w:r w:rsidR="00300216">
        <w:t>est-elle</w:t>
      </w:r>
      <w:r>
        <w:t xml:space="preserve"> en relation avec la lésion professionnelle du travailleur?</w:t>
      </w:r>
    </w:p>
    <w:p w14:paraId="0DAB176B" w14:textId="7F59E292" w:rsidR="00BA1FB8" w:rsidRDefault="008D17D2" w:rsidP="00BA1FB8">
      <w:pPr>
        <w:pStyle w:val="corpsdedcision"/>
      </w:pPr>
      <w:r>
        <w:t>Le Tribunal répondra positivement à la première et négativement à la seconde</w:t>
      </w:r>
      <w:r w:rsidR="00BA1FB8">
        <w:t>. Ce</w:t>
      </w:r>
      <w:r w:rsidR="00E85ADE">
        <w:t> </w:t>
      </w:r>
      <w:r w:rsidR="00BA1FB8">
        <w:t>faisant, la contestation de l’employeur doit être accueillie en partie.</w:t>
      </w:r>
    </w:p>
    <w:p w14:paraId="0F19D713" w14:textId="77777777" w:rsidR="00082A97" w:rsidRDefault="00082A97" w:rsidP="00D41422">
      <w:pPr>
        <w:pStyle w:val="Titre1"/>
      </w:pPr>
      <w:bookmarkStart w:id="12" w:name="supprimer_analyse"/>
      <w:r w:rsidRPr="00B51F99">
        <w:t>L</w:t>
      </w:r>
      <w:r>
        <w:t>’ANALYSE</w:t>
      </w:r>
    </w:p>
    <w:bookmarkEnd w:id="12"/>
    <w:p w14:paraId="621E244C" w14:textId="77777777" w:rsidR="00BA1FB8" w:rsidRPr="00BA1FB8" w:rsidRDefault="00BA1FB8" w:rsidP="00D41422">
      <w:pPr>
        <w:pStyle w:val="Titre3"/>
        <w:jc w:val="both"/>
      </w:pPr>
      <w:r w:rsidRPr="00BA1FB8">
        <w:t>Le travail effectué par le travailleur impliquait-il des répétitions de mouvements ou de pressions sur des périodes prolongées?</w:t>
      </w:r>
    </w:p>
    <w:p w14:paraId="3A97EBDB" w14:textId="4B7BC2BF" w:rsidR="00E31535" w:rsidRDefault="00BA1FB8" w:rsidP="004C2944">
      <w:pPr>
        <w:pStyle w:val="corpsdedcision"/>
      </w:pPr>
      <w:r>
        <w:t>Sur cette question, l’employeur explique être d’avis que le travai</w:t>
      </w:r>
      <w:r w:rsidR="00B82D7D">
        <w:t>l</w:t>
      </w:r>
      <w:r>
        <w:t xml:space="preserve"> d’opérateur qu’exerçait le travailleur ne nécessitait pas qu’il exécute des mouvements répétitifs sollicitant le long extenseur de son poignet droit.</w:t>
      </w:r>
    </w:p>
    <w:p w14:paraId="6D5CBB9B" w14:textId="47519A78" w:rsidR="004C2944" w:rsidRDefault="00BA1FB8" w:rsidP="00797035">
      <w:pPr>
        <w:pStyle w:val="corpsdedcision"/>
        <w:keepNext/>
        <w:keepLines/>
      </w:pPr>
      <w:r>
        <w:t xml:space="preserve">Il insiste sur le fait que </w:t>
      </w:r>
      <w:r w:rsidR="00E31535">
        <w:t>la manœuvre que le travailleur identifie comme étant à</w:t>
      </w:r>
      <w:r w:rsidR="00E85ADE">
        <w:t> </w:t>
      </w:r>
      <w:r w:rsidR="00E31535">
        <w:t xml:space="preserve">l’origine de </w:t>
      </w:r>
      <w:r w:rsidR="00817E79">
        <w:t>l</w:t>
      </w:r>
      <w:r w:rsidR="00E31535">
        <w:t>a lésion, soit celui de poinçonner une pièce de métal à l’aide d’un levier manuel, devait être effectué</w:t>
      </w:r>
      <w:r w:rsidR="00A6113A">
        <w:t>e</w:t>
      </w:r>
      <w:r w:rsidR="00E31535">
        <w:t xml:space="preserve"> moins d’une fois par minute lorsqu’une moyenne est </w:t>
      </w:r>
      <w:r w:rsidR="00B82D7D">
        <w:t xml:space="preserve">calculée </w:t>
      </w:r>
      <w:r w:rsidR="00E31535">
        <w:t xml:space="preserve">du nombre de poinçons enregistrés par rapport </w:t>
      </w:r>
      <w:r w:rsidR="0035046E">
        <w:t>aux</w:t>
      </w:r>
      <w:r w:rsidR="00E31535">
        <w:t xml:space="preserve"> heures totales de travail par</w:t>
      </w:r>
      <w:r w:rsidR="002D7E9F">
        <w:t> </w:t>
      </w:r>
      <w:r w:rsidR="00E31535">
        <w:t>quart. Il soumet également que le travail d’opérateurs impliquait d’autres tâches qui entrecoupaient les sollicitations à ce tendon.</w:t>
      </w:r>
    </w:p>
    <w:p w14:paraId="251516CE" w14:textId="7ECDF1EE" w:rsidR="00E31535" w:rsidRDefault="00E31535" w:rsidP="00797035">
      <w:pPr>
        <w:pStyle w:val="corpsdedcision"/>
      </w:pPr>
      <w:r>
        <w:t xml:space="preserve">Pour sa part, </w:t>
      </w:r>
      <w:r w:rsidR="00B82D7D">
        <w:t>le travailleur</w:t>
      </w:r>
      <w:r>
        <w:t xml:space="preserve"> insiste </w:t>
      </w:r>
      <w:r w:rsidR="00B82D7D">
        <w:t xml:space="preserve">sur le fait </w:t>
      </w:r>
      <w:r>
        <w:t>que les mouvement</w:t>
      </w:r>
      <w:r w:rsidR="00B82D7D">
        <w:t>s</w:t>
      </w:r>
      <w:r>
        <w:t xml:space="preserve"> de poinçonnement devai</w:t>
      </w:r>
      <w:r w:rsidR="00B82D7D">
        <w:t>en</w:t>
      </w:r>
      <w:r>
        <w:t>t être répétés de 350 à 500 fois par quart de travail et impliquai</w:t>
      </w:r>
      <w:r w:rsidR="00B82D7D">
        <w:t>en</w:t>
      </w:r>
      <w:r>
        <w:t xml:space="preserve">t </w:t>
      </w:r>
      <w:r w:rsidR="00B82D7D">
        <w:t xml:space="preserve">qu’il déploie </w:t>
      </w:r>
      <w:r>
        <w:t xml:space="preserve">une force non négligeable, pouvant </w:t>
      </w:r>
      <w:r w:rsidR="008D17D2">
        <w:t>nécessiter</w:t>
      </w:r>
      <w:r w:rsidR="00B82D7D">
        <w:t xml:space="preserve"> qu’il applique une pression pouvant varier de</w:t>
      </w:r>
      <w:r>
        <w:t xml:space="preserve"> 17 à 70 lb (</w:t>
      </w:r>
      <w:r w:rsidR="00B82D7D">
        <w:t>8 à 32 kg). Il considère qu’il s’agit manifestement d’un travail répétitif qui justifie l’application de la présomption de maladie professionnelle prévue par la Loi.</w:t>
      </w:r>
    </w:p>
    <w:p w14:paraId="5F334808" w14:textId="2ACA557F" w:rsidR="007B7F4F" w:rsidRDefault="007B7F4F" w:rsidP="004C2944">
      <w:pPr>
        <w:pStyle w:val="corpsdedcision"/>
      </w:pPr>
      <w:r>
        <w:t>Le Tribunal partage l’opinion du travailleur sur cette question.</w:t>
      </w:r>
    </w:p>
    <w:p w14:paraId="6A4FD888" w14:textId="3EC46AEE" w:rsidR="00615D1E" w:rsidRPr="00615D1E" w:rsidRDefault="00615D1E" w:rsidP="00D41422">
      <w:pPr>
        <w:pStyle w:val="Titre4"/>
      </w:pPr>
      <w:r w:rsidRPr="00615D1E">
        <w:t>Principes généraux</w:t>
      </w:r>
    </w:p>
    <w:p w14:paraId="0635A13B" w14:textId="002A17BF" w:rsidR="00645232" w:rsidRDefault="00CC2166" w:rsidP="00645232">
      <w:pPr>
        <w:pStyle w:val="corpsdedcision"/>
      </w:pPr>
      <w:r>
        <w:t>En effet, a</w:t>
      </w:r>
      <w:r w:rsidR="00645232">
        <w:t>fin de bénéficier des prestations prévues à la Loi, un travailleur doit démontrer qu’il a subi une lésion professionnelle, soit «</w:t>
      </w:r>
      <w:r w:rsidR="00E85ADE">
        <w:t> </w:t>
      </w:r>
      <w:r w:rsidR="00645232">
        <w:rPr>
          <w:rStyle w:val="Citationintgre"/>
        </w:rPr>
        <w:t>une blessure ou une maladie qui survient par le fait ou à l’occasion d’un accident du travail, ou une maladie professionnelle, y compris la récidive, la rechute ou l’aggravation</w:t>
      </w:r>
      <w:r w:rsidR="00E85ADE">
        <w:t> </w:t>
      </w:r>
      <w:r w:rsidR="00645232">
        <w:t>»</w:t>
      </w:r>
      <w:r w:rsidR="00645232">
        <w:rPr>
          <w:rStyle w:val="Appelnotedebasdep"/>
        </w:rPr>
        <w:footnoteReference w:id="5"/>
      </w:r>
      <w:r w:rsidR="00645232">
        <w:t>.</w:t>
      </w:r>
    </w:p>
    <w:p w14:paraId="13FD0F94" w14:textId="427FE02C" w:rsidR="00645232" w:rsidRDefault="00645232" w:rsidP="004C2944">
      <w:pPr>
        <w:pStyle w:val="corpsdedcision"/>
      </w:pPr>
      <w:r>
        <w:t>En l’espèce, le travailleur allègue l’apparition graduelle d’une douleur à son coude et à son avant-bras qui aurait commencé après son affectation à un nouveau poste. Bien</w:t>
      </w:r>
      <w:r w:rsidR="00E85ADE">
        <w:t> </w:t>
      </w:r>
      <w:r>
        <w:t xml:space="preserve">qu’une telle situation pourrait </w:t>
      </w:r>
      <w:r w:rsidR="0035046E">
        <w:t xml:space="preserve">potentiellement </w:t>
      </w:r>
      <w:r>
        <w:t xml:space="preserve">être assimilée à un accident du travail, dans son sens élargi, le Tribunal considère </w:t>
      </w:r>
      <w:r w:rsidR="00A6113A">
        <w:t xml:space="preserve">que </w:t>
      </w:r>
      <w:r>
        <w:t>celle-ci s’apparente beaucoup plus à</w:t>
      </w:r>
      <w:r w:rsidR="002D7E9F">
        <w:t> </w:t>
      </w:r>
      <w:r>
        <w:t>une</w:t>
      </w:r>
      <w:r w:rsidR="002D7E9F">
        <w:t> </w:t>
      </w:r>
      <w:r>
        <w:t>maladie professionnelle. Le travailleur a d’ailleurs davantage soutenu cette thèse lors de</w:t>
      </w:r>
      <w:r w:rsidR="002D7E9F">
        <w:t xml:space="preserve"> </w:t>
      </w:r>
      <w:r>
        <w:t>l’audience.</w:t>
      </w:r>
    </w:p>
    <w:p w14:paraId="2E68461E" w14:textId="6C608005" w:rsidR="00645232" w:rsidRPr="00645232" w:rsidRDefault="00645232" w:rsidP="00645232">
      <w:pPr>
        <w:pStyle w:val="corpsdedcision"/>
      </w:pPr>
      <w:r w:rsidRPr="00645232">
        <w:t>L’article 2 de la Loi définit la notion de maladie professionnelle comme « </w:t>
      </w:r>
      <w:r w:rsidRPr="00645232">
        <w:rPr>
          <w:i/>
        </w:rPr>
        <w:t>une maladie contractée par le fait ou à l’occasion du travail et qui est caractéristique de</w:t>
      </w:r>
      <w:r w:rsidR="00E85ADE">
        <w:rPr>
          <w:i/>
        </w:rPr>
        <w:t> </w:t>
      </w:r>
      <w:r w:rsidRPr="00645232">
        <w:rPr>
          <w:i/>
        </w:rPr>
        <w:t>ce travail ou reliée directement aux risques particuliers de ce travail</w:t>
      </w:r>
      <w:r w:rsidR="00E85ADE">
        <w:t> </w:t>
      </w:r>
      <w:r w:rsidRPr="00645232">
        <w:t>»</w:t>
      </w:r>
      <w:r w:rsidRPr="00645232">
        <w:rPr>
          <w:vertAlign w:val="superscript"/>
        </w:rPr>
        <w:footnoteReference w:id="6"/>
      </w:r>
      <w:r w:rsidRPr="00645232">
        <w:t>.</w:t>
      </w:r>
    </w:p>
    <w:p w14:paraId="7156BCD8" w14:textId="11A42A85" w:rsidR="00645232" w:rsidRPr="00645232" w:rsidRDefault="00645232" w:rsidP="002D7E9F">
      <w:pPr>
        <w:pStyle w:val="corpsdedcision"/>
        <w:keepNext/>
        <w:keepLines/>
      </w:pPr>
      <w:r w:rsidRPr="00645232">
        <w:t>Afin d’alléger le fardeau de preuve d’un travailleur qui prétend être victime d’une</w:t>
      </w:r>
      <w:r w:rsidR="00E85ADE">
        <w:t> </w:t>
      </w:r>
      <w:r w:rsidRPr="00645232">
        <w:t>maladie professionnelle, l’article</w:t>
      </w:r>
      <w:r w:rsidR="002D7E9F">
        <w:t xml:space="preserve"> </w:t>
      </w:r>
      <w:r w:rsidRPr="00645232">
        <w:t>29 de la Loi prévoit un mécanisme qui permet de présumer de sa survenance. Au moment où surviennent les faits en litige, cette disposition se li</w:t>
      </w:r>
      <w:r>
        <w:t>sai</w:t>
      </w:r>
      <w:r w:rsidRPr="00645232">
        <w:t>t comme suit</w:t>
      </w:r>
      <w:r w:rsidRPr="00645232">
        <w:rPr>
          <w:vertAlign w:val="superscript"/>
        </w:rPr>
        <w:footnoteReference w:id="7"/>
      </w:r>
      <w:r w:rsidRPr="00645232">
        <w:t> :</w:t>
      </w:r>
    </w:p>
    <w:p w14:paraId="7F6486D9" w14:textId="0449750C" w:rsidR="00645232" w:rsidRDefault="00645232" w:rsidP="00645232">
      <w:pPr>
        <w:pStyle w:val="citation"/>
      </w:pPr>
      <w:r w:rsidRPr="00645232">
        <w:rPr>
          <w:b/>
          <w:bCs/>
        </w:rPr>
        <w:t>29.</w:t>
      </w:r>
      <w:r w:rsidRPr="00645232">
        <w:t> Les maladies énumérées dans l’annexe I sont caractéristiques du travail correspondant à chacune de ces maladies d’après cette annexe et sont reliées directement aux risques particuliers de ce travail.</w:t>
      </w:r>
    </w:p>
    <w:p w14:paraId="3A297594" w14:textId="77777777" w:rsidR="00E85ADE" w:rsidRDefault="00E85ADE" w:rsidP="00645232">
      <w:pPr>
        <w:pStyle w:val="citation"/>
      </w:pPr>
    </w:p>
    <w:p w14:paraId="3B81EC39" w14:textId="77777777" w:rsidR="00E85ADE" w:rsidRPr="00645232" w:rsidRDefault="00E85ADE" w:rsidP="00645232">
      <w:pPr>
        <w:pStyle w:val="citation"/>
      </w:pPr>
    </w:p>
    <w:p w14:paraId="47FE9E79" w14:textId="077849C2" w:rsidR="00645232" w:rsidRPr="00645232" w:rsidRDefault="00645232" w:rsidP="00E85ADE">
      <w:pPr>
        <w:pStyle w:val="corpsdedcision"/>
      </w:pPr>
      <w:r w:rsidRPr="00645232">
        <w:t>Le travailleur atteint d’une maladie visée dans cette annexe est présumé atteint d’une maladie professionnelle s’il a exercé un travail correspondant à cette maladie d’après l’annexe.</w:t>
      </w:r>
    </w:p>
    <w:p w14:paraId="0E126EFD" w14:textId="3DC72B60" w:rsidR="00645232" w:rsidRPr="00645232" w:rsidRDefault="00645232" w:rsidP="00645232">
      <w:pPr>
        <w:pStyle w:val="corpsdedcision"/>
      </w:pPr>
      <w:r w:rsidRPr="00645232">
        <w:t>En matière de lésion</w:t>
      </w:r>
      <w:r>
        <w:t>s</w:t>
      </w:r>
      <w:r w:rsidRPr="00645232">
        <w:t xml:space="preserve"> musculosquelettique</w:t>
      </w:r>
      <w:r>
        <w:t>s</w:t>
      </w:r>
      <w:r w:rsidRPr="00645232">
        <w:t>, l’</w:t>
      </w:r>
      <w:r w:rsidR="00CC2166">
        <w:t>annexe</w:t>
      </w:r>
      <w:r w:rsidRPr="00645232">
        <w:t xml:space="preserve"> </w:t>
      </w:r>
      <w:r w:rsidR="00CC2166">
        <w:t xml:space="preserve">en question </w:t>
      </w:r>
      <w:r w:rsidRPr="00645232">
        <w:t>précis</w:t>
      </w:r>
      <w:r w:rsidR="00CC2166">
        <w:t>ait</w:t>
      </w:r>
      <w:r w:rsidRPr="00645232">
        <w:t xml:space="preserve"> que</w:t>
      </w:r>
      <w:r w:rsidR="0095470F">
        <w:t xml:space="preserve"> </w:t>
      </w:r>
      <w:r w:rsidRPr="00645232">
        <w:t xml:space="preserve">le travailleur </w:t>
      </w:r>
      <w:r w:rsidR="00CC2166">
        <w:t xml:space="preserve">peut </w:t>
      </w:r>
      <w:r w:rsidRPr="00645232">
        <w:t>bénéficie</w:t>
      </w:r>
      <w:r w:rsidR="00CC2166">
        <w:t>r</w:t>
      </w:r>
      <w:r w:rsidRPr="00645232">
        <w:t xml:space="preserve"> de la</w:t>
      </w:r>
      <w:r w:rsidR="0095470F">
        <w:t xml:space="preserve"> </w:t>
      </w:r>
      <w:r w:rsidRPr="00645232">
        <w:t>présomption de maladie professionnelle s’il</w:t>
      </w:r>
      <w:r w:rsidR="00DA6B90">
        <w:t xml:space="preserve"> </w:t>
      </w:r>
      <w:r w:rsidRPr="00645232">
        <w:t xml:space="preserve">démontre </w:t>
      </w:r>
      <w:r w:rsidR="00CC2166">
        <w:t>par une preuve</w:t>
      </w:r>
      <w:r w:rsidR="00DA6B90">
        <w:t xml:space="preserve"> </w:t>
      </w:r>
      <w:r w:rsidRPr="00645232">
        <w:t>prépondérante deux éléments</w:t>
      </w:r>
      <w:r w:rsidR="00CC2166">
        <w:t>, soit</w:t>
      </w:r>
      <w:r w:rsidR="00E85ADE">
        <w:t> </w:t>
      </w:r>
      <w:r w:rsidRPr="00645232">
        <w:t>:</w:t>
      </w:r>
    </w:p>
    <w:p w14:paraId="74388A04" w14:textId="1CD7DBB7" w:rsidR="00645232" w:rsidRPr="00645232" w:rsidRDefault="00645232" w:rsidP="00CC2166">
      <w:pPr>
        <w:pStyle w:val="corpsdedcision"/>
        <w:numPr>
          <w:ilvl w:val="1"/>
          <w:numId w:val="1"/>
        </w:numPr>
      </w:pPr>
      <w:r w:rsidRPr="00645232">
        <w:t>Qu’il est atteint d’une «</w:t>
      </w:r>
      <w:r w:rsidR="00DA6B90">
        <w:t> </w:t>
      </w:r>
      <w:r w:rsidRPr="00645232">
        <w:rPr>
          <w:i/>
        </w:rPr>
        <w:t>lésion musculo squelettique se manifestant par des</w:t>
      </w:r>
      <w:r w:rsidR="00E85ADE">
        <w:rPr>
          <w:i/>
        </w:rPr>
        <w:t> </w:t>
      </w:r>
      <w:r w:rsidRPr="00645232">
        <w:rPr>
          <w:i/>
        </w:rPr>
        <w:t>signes objectifs (bursite, tendinite, ténosynovite)</w:t>
      </w:r>
      <w:r w:rsidR="00E85ADE">
        <w:t> </w:t>
      </w:r>
      <w:r w:rsidRPr="00645232">
        <w:t>», et;</w:t>
      </w:r>
    </w:p>
    <w:p w14:paraId="3813BECE" w14:textId="1570B80B" w:rsidR="00645232" w:rsidRPr="00645232" w:rsidRDefault="00645232" w:rsidP="00CC2166">
      <w:pPr>
        <w:pStyle w:val="corpsdedcision"/>
        <w:numPr>
          <w:ilvl w:val="1"/>
          <w:numId w:val="1"/>
        </w:numPr>
      </w:pPr>
      <w:r w:rsidRPr="00645232">
        <w:t>Qu’il a exercé un travail qui implique « </w:t>
      </w:r>
      <w:r w:rsidRPr="00645232">
        <w:rPr>
          <w:i/>
        </w:rPr>
        <w:t>des répétitions de mouvements ou de</w:t>
      </w:r>
      <w:r w:rsidR="00A41F7A">
        <w:rPr>
          <w:i/>
        </w:rPr>
        <w:t> </w:t>
      </w:r>
      <w:r w:rsidRPr="00645232">
        <w:rPr>
          <w:i/>
        </w:rPr>
        <w:t>pressions sur des périodes de temps prolongées</w:t>
      </w:r>
      <w:r w:rsidR="00E85ADE">
        <w:t> </w:t>
      </w:r>
      <w:r w:rsidRPr="00645232">
        <w:t>».</w:t>
      </w:r>
    </w:p>
    <w:p w14:paraId="29B6FFBC" w14:textId="2014CD28" w:rsidR="00542444" w:rsidRDefault="00CC2166" w:rsidP="00645232">
      <w:pPr>
        <w:pStyle w:val="corpsdedcision"/>
      </w:pPr>
      <w:r>
        <w:t xml:space="preserve">En l’espèce, le premier critère d’application de la présomption est </w:t>
      </w:r>
      <w:r w:rsidR="00A6113A">
        <w:t>satisfait</w:t>
      </w:r>
      <w:r>
        <w:t xml:space="preserve">, </w:t>
      </w:r>
      <w:r w:rsidR="00542444">
        <w:t xml:space="preserve">comme </w:t>
      </w:r>
      <w:r w:rsidR="00862A85">
        <w:t>le diagnostic de la lésion</w:t>
      </w:r>
      <w:r w:rsidR="00542444">
        <w:t xml:space="preserve"> est </w:t>
      </w:r>
      <w:r w:rsidR="00862A85">
        <w:t>de</w:t>
      </w:r>
      <w:r w:rsidR="00542444">
        <w:t xml:space="preserve"> « tendinite » conformément à ce que prévoyait l’annexe 1 de la Loi</w:t>
      </w:r>
      <w:r w:rsidR="008D17D2">
        <w:t xml:space="preserve"> au moment des faits en litige</w:t>
      </w:r>
      <w:r w:rsidR="00645232" w:rsidRPr="00645232">
        <w:t>.</w:t>
      </w:r>
    </w:p>
    <w:p w14:paraId="50C62B0F" w14:textId="590F2A8E" w:rsidR="00645232" w:rsidRPr="00645232" w:rsidRDefault="00CC2166" w:rsidP="00645232">
      <w:pPr>
        <w:pStyle w:val="corpsdedcision"/>
      </w:pPr>
      <w:r>
        <w:t>En effet, le diagnostic retenu pour la lésion du travailleur est de tendinite du long extenseur du poignet droit</w:t>
      </w:r>
      <w:r w:rsidR="00542444">
        <w:t xml:space="preserve"> et celui-ci n’a jamais été remis en question par l’employeur ou la Commission au moyen du processus prévu par la Loi pour le contester</w:t>
      </w:r>
      <w:r w:rsidR="00542444">
        <w:rPr>
          <w:rStyle w:val="Appelnotedebasdep"/>
        </w:rPr>
        <w:footnoteReference w:id="8"/>
      </w:r>
      <w:r w:rsidR="00542444">
        <w:t>. Ce faisant, le</w:t>
      </w:r>
      <w:r w:rsidR="00A41F7A">
        <w:t> </w:t>
      </w:r>
      <w:r w:rsidR="00542444">
        <w:t>Tribunal y est lié et doit analyser la réclamation du travailleur à la lumière de celui-ci</w:t>
      </w:r>
      <w:r w:rsidR="00542444">
        <w:rPr>
          <w:rStyle w:val="Appelnotedebasdep"/>
        </w:rPr>
        <w:footnoteReference w:id="9"/>
      </w:r>
      <w:r w:rsidR="00542444">
        <w:t>.</w:t>
      </w:r>
    </w:p>
    <w:p w14:paraId="66FCF017" w14:textId="35E07E2D" w:rsidR="00645232" w:rsidRDefault="00272C21" w:rsidP="004C2944">
      <w:pPr>
        <w:pStyle w:val="corpsdedcision"/>
      </w:pPr>
      <w:r>
        <w:t xml:space="preserve">Quant au second critère, soit que le travail implique des répétitions de mouvement sur des périodes prolongées, le Tribunal considère qu’il est également </w:t>
      </w:r>
      <w:r w:rsidR="004E2664">
        <w:t>satisfait</w:t>
      </w:r>
      <w:r>
        <w:t>.</w:t>
      </w:r>
    </w:p>
    <w:p w14:paraId="0AE68009" w14:textId="7EF2BACD" w:rsidR="00272C21" w:rsidRDefault="00272C21" w:rsidP="00272C21">
      <w:pPr>
        <w:pStyle w:val="corpsdedcision"/>
      </w:pPr>
      <w:r>
        <w:t>En effet, la notion de « </w:t>
      </w:r>
      <w:r>
        <w:rPr>
          <w:rStyle w:val="Citationintgre"/>
        </w:rPr>
        <w:t>répétitions de mouvements ou de pressions sur des périodes de temps prolongées</w:t>
      </w:r>
      <w:r w:rsidR="006C722A">
        <w:t> </w:t>
      </w:r>
      <w:r>
        <w:t xml:space="preserve">» n’est pas définie à la Loi ou à son annexe. </w:t>
      </w:r>
      <w:r w:rsidR="00D4115D">
        <w:t>Or, u</w:t>
      </w:r>
      <w:r>
        <w:t>ne analyse de</w:t>
      </w:r>
      <w:r w:rsidR="00A41F7A">
        <w:t> </w:t>
      </w:r>
      <w:r>
        <w:t>la</w:t>
      </w:r>
      <w:r w:rsidR="00A41F7A">
        <w:t> </w:t>
      </w:r>
      <w:r>
        <w:t xml:space="preserve">jurisprudence permet de constater que deux courants d’interprétation existent </w:t>
      </w:r>
      <w:r w:rsidR="00D4115D">
        <w:t xml:space="preserve">présentement </w:t>
      </w:r>
      <w:r>
        <w:t xml:space="preserve">à </w:t>
      </w:r>
      <w:r w:rsidR="00D4115D">
        <w:t>cet</w:t>
      </w:r>
      <w:r>
        <w:t xml:space="preserve"> égard.</w:t>
      </w:r>
    </w:p>
    <w:p w14:paraId="47CA8DCB" w14:textId="176C69F3" w:rsidR="00272C21" w:rsidRDefault="00272C21" w:rsidP="00272C21">
      <w:pPr>
        <w:pStyle w:val="corpsdedcision"/>
      </w:pPr>
      <w:r>
        <w:t>Selon un premier courant</w:t>
      </w:r>
      <w:r w:rsidR="00D4115D">
        <w:t>, pouvant être qualifié de plus « restrictif »</w:t>
      </w:r>
      <w:r>
        <w:rPr>
          <w:rStyle w:val="Appelnotedebasdep"/>
        </w:rPr>
        <w:footnoteReference w:id="10"/>
      </w:r>
      <w:r>
        <w:t>, le travailleur doit démontrer «</w:t>
      </w:r>
      <w:r w:rsidR="005C1ED0">
        <w:t> </w:t>
      </w:r>
      <w:r>
        <w:rPr>
          <w:rFonts w:cs="Arial"/>
        </w:rPr>
        <w:t xml:space="preserve">[…] </w:t>
      </w:r>
      <w:r>
        <w:rPr>
          <w:rStyle w:val="Citationintgre"/>
        </w:rPr>
        <w:t>qu’il a effectué des mouvements ou des</w:t>
      </w:r>
      <w:r w:rsidR="00B75A3A">
        <w:rPr>
          <w:rStyle w:val="Citationintgre"/>
        </w:rPr>
        <w:t xml:space="preserve"> </w:t>
      </w:r>
      <w:r>
        <w:rPr>
          <w:rStyle w:val="Citationintgre"/>
        </w:rPr>
        <w:t>pressions semblables ou identiques, se succédant de façon continue, pendant une période de temps prolongée et à</w:t>
      </w:r>
      <w:r w:rsidR="00C30512">
        <w:rPr>
          <w:rStyle w:val="Citationintgre"/>
        </w:rPr>
        <w:t> </w:t>
      </w:r>
      <w:r>
        <w:rPr>
          <w:rStyle w:val="Citationintgre"/>
        </w:rPr>
        <w:t>une</w:t>
      </w:r>
      <w:r w:rsidR="00A41F7A">
        <w:rPr>
          <w:rStyle w:val="Citationintgre"/>
        </w:rPr>
        <w:t> </w:t>
      </w:r>
      <w:r>
        <w:rPr>
          <w:rStyle w:val="Citationintgre"/>
        </w:rPr>
        <w:t>cadence assez rapide, sans période de récupération suffisante</w:t>
      </w:r>
      <w:r>
        <w:t> »</w:t>
      </w:r>
      <w:r>
        <w:rPr>
          <w:rStyle w:val="Appelnotedebasdep"/>
        </w:rPr>
        <w:footnoteReference w:id="11"/>
      </w:r>
      <w:r>
        <w:t>. Cette</w:t>
      </w:r>
      <w:r w:rsidR="005C1ED0">
        <w:t xml:space="preserve"> </w:t>
      </w:r>
      <w:r>
        <w:t>preuve doit également établir que les mouvements ou pressions allégués sollicitent</w:t>
      </w:r>
      <w:r w:rsidR="00D4115D">
        <w:t xml:space="preserve"> spécifiquement</w:t>
      </w:r>
      <w:r>
        <w:t xml:space="preserve"> la structure anatomique visée par</w:t>
      </w:r>
      <w:r w:rsidR="005C1ED0">
        <w:t xml:space="preserve"> </w:t>
      </w:r>
      <w:r>
        <w:t>le</w:t>
      </w:r>
      <w:r w:rsidR="005C1ED0">
        <w:t xml:space="preserve"> </w:t>
      </w:r>
      <w:r>
        <w:t>diagnostic allégué à titre de maladie professionnelle.</w:t>
      </w:r>
    </w:p>
    <w:p w14:paraId="40AE8B40" w14:textId="09BF25A0" w:rsidR="00272C21" w:rsidRDefault="00D4115D" w:rsidP="00272C21">
      <w:pPr>
        <w:pStyle w:val="corpsdedcision"/>
      </w:pPr>
      <w:r>
        <w:t>Selon le second courant, pouvant être qualifié comme étant plus « </w:t>
      </w:r>
      <w:r w:rsidR="00272C21">
        <w:t>libéral</w:t>
      </w:r>
      <w:r>
        <w:t> »</w:t>
      </w:r>
      <w:r w:rsidR="00272C21">
        <w:rPr>
          <w:rStyle w:val="Appelnotedebasdep"/>
        </w:rPr>
        <w:footnoteReference w:id="12"/>
      </w:r>
      <w:r w:rsidR="00272C21">
        <w:t>, le</w:t>
      </w:r>
      <w:r w:rsidR="009A1701">
        <w:t> </w:t>
      </w:r>
      <w:r w:rsidR="00272C21">
        <w:t>fardeau de preuve du travailleur se limite à la démonstration que des mouvements ou des pressions sont répétés plusieurs fois par jour, et ce, sur une période de temps prolongée, c’est-à-dire pendant plusieurs heures, jours, mois ou années. Toutefois, selon les tenants de cette approche, au stade de l’application de</w:t>
      </w:r>
      <w:r w:rsidR="005C1ED0">
        <w:t xml:space="preserve"> </w:t>
      </w:r>
      <w:r w:rsidR="00272C21">
        <w:t>la</w:t>
      </w:r>
      <w:r w:rsidR="005C1ED0">
        <w:t xml:space="preserve"> </w:t>
      </w:r>
      <w:r w:rsidR="00272C21">
        <w:t>présomption, il n’y a</w:t>
      </w:r>
      <w:r w:rsidR="00C30512">
        <w:t> </w:t>
      </w:r>
      <w:r w:rsidR="00272C21">
        <w:t xml:space="preserve">pas lieu d’analyser les notions de cadence ou de périodes de récupération suffisantes, </w:t>
      </w:r>
      <w:r>
        <w:t>celles-ci devant plutôt être prises en considération</w:t>
      </w:r>
      <w:r w:rsidR="00272C21">
        <w:t xml:space="preserve"> seulement lors de l’analyse du</w:t>
      </w:r>
      <w:r w:rsidR="00A41F7A">
        <w:t> </w:t>
      </w:r>
      <w:r w:rsidR="00272C21">
        <w:t>renversement de la présomption.</w:t>
      </w:r>
    </w:p>
    <w:p w14:paraId="01118507" w14:textId="5F0BC3C9" w:rsidR="00BF4CCB" w:rsidRDefault="00C71E15" w:rsidP="00272C21">
      <w:pPr>
        <w:pStyle w:val="corpsdedcision"/>
      </w:pPr>
      <w:r>
        <w:t>Entre ces deux approches, le Tribunal privilégie l’interprétation libérale</w:t>
      </w:r>
      <w:r w:rsidR="00BF4CCB">
        <w:t>, plus large, plutôt que celle qui prévoit une interprétation restrictive de l’annexe.</w:t>
      </w:r>
    </w:p>
    <w:p w14:paraId="586ACB97" w14:textId="40F541AF" w:rsidR="008D3E30" w:rsidRDefault="00BF4CCB" w:rsidP="00272C21">
      <w:pPr>
        <w:pStyle w:val="corpsdedcision"/>
      </w:pPr>
      <w:r>
        <w:t>En effet, le Tribunal rappelle que le</w:t>
      </w:r>
      <w:r w:rsidR="008D3E30">
        <w:t>s</w:t>
      </w:r>
      <w:r>
        <w:t xml:space="preserve"> principes d’interprétations prévoient que les</w:t>
      </w:r>
      <w:r w:rsidR="009A1701">
        <w:t> </w:t>
      </w:r>
      <w:r>
        <w:t xml:space="preserve">dispositions de la Loi doivent être interprétées de façon large et libérale, conformément à sa vocation </w:t>
      </w:r>
      <w:r w:rsidRPr="00335996">
        <w:t xml:space="preserve">sociale et </w:t>
      </w:r>
      <w:r w:rsidRPr="00797035">
        <w:t>r</w:t>
      </w:r>
      <w:r w:rsidR="00D11D25" w:rsidRPr="00335996">
        <w:t>e</w:t>
      </w:r>
      <w:r w:rsidRPr="00185E65">
        <w:t>médiatrice</w:t>
      </w:r>
      <w:r>
        <w:t>. Ce faisant, fasse à</w:t>
      </w:r>
      <w:r w:rsidR="009A1701">
        <w:t> </w:t>
      </w:r>
      <w:r>
        <w:t>deux</w:t>
      </w:r>
      <w:r w:rsidR="009A1701">
        <w:t> </w:t>
      </w:r>
      <w:r w:rsidR="008D3E30">
        <w:t>interprétations</w:t>
      </w:r>
      <w:r>
        <w:t xml:space="preserve"> plausibles</w:t>
      </w:r>
      <w:r w:rsidR="00BB7A09">
        <w:t xml:space="preserve"> d’une même disposition</w:t>
      </w:r>
      <w:r>
        <w:t xml:space="preserve">, le Tribunal devrait toujours favoriser celle ayant pour effet de favoriser l’accomplissement </w:t>
      </w:r>
      <w:r w:rsidR="00A6113A">
        <w:t xml:space="preserve">et </w:t>
      </w:r>
      <w:r w:rsidR="00BB7A09">
        <w:t>l</w:t>
      </w:r>
      <w:r>
        <w:t>a vocation</w:t>
      </w:r>
      <w:r w:rsidR="00BB7A09">
        <w:t xml:space="preserve"> de la Loi</w:t>
      </w:r>
      <w:r>
        <w:t>, soit</w:t>
      </w:r>
      <w:r w:rsidR="009A1701">
        <w:t> </w:t>
      </w:r>
      <w:r>
        <w:t>l’indemnisation</w:t>
      </w:r>
      <w:r w:rsidR="00BF0A3A">
        <w:rPr>
          <w:rStyle w:val="Appelnotedebasdep"/>
        </w:rPr>
        <w:footnoteReference w:id="13"/>
      </w:r>
      <w:r w:rsidR="008D3E30">
        <w:t>.</w:t>
      </w:r>
    </w:p>
    <w:p w14:paraId="1E147D09" w14:textId="6DFF72EE" w:rsidR="00BF0A3A" w:rsidRDefault="008D3E30" w:rsidP="00272C21">
      <w:pPr>
        <w:pStyle w:val="corpsdedcision"/>
      </w:pPr>
      <w:r>
        <w:t xml:space="preserve">En appliquant ce principe, le Tribunal, </w:t>
      </w:r>
      <w:r w:rsidR="00BF4CCB">
        <w:t xml:space="preserve">avec respect pour l’opinion contraire, </w:t>
      </w:r>
      <w:r>
        <w:t>considère qu’il n’est pas indiqué d’</w:t>
      </w:r>
      <w:r w:rsidR="00BF4CCB">
        <w:t xml:space="preserve">exiger </w:t>
      </w:r>
      <w:r>
        <w:t xml:space="preserve">du travailleur, </w:t>
      </w:r>
      <w:r w:rsidR="00BF4CCB">
        <w:t>au stade de l’application de</w:t>
      </w:r>
      <w:r w:rsidR="009A1701">
        <w:t> </w:t>
      </w:r>
      <w:r w:rsidR="00BF4CCB">
        <w:t>la</w:t>
      </w:r>
      <w:r w:rsidR="009A1701">
        <w:t> </w:t>
      </w:r>
      <w:r w:rsidR="00BF4CCB">
        <w:t>présomption</w:t>
      </w:r>
      <w:r>
        <w:t xml:space="preserve"> de maladie professionnelle,</w:t>
      </w:r>
      <w:r w:rsidR="00BF4CCB">
        <w:t xml:space="preserve"> </w:t>
      </w:r>
      <w:r>
        <w:t>qu’il</w:t>
      </w:r>
      <w:r w:rsidR="00BF4CCB">
        <w:t xml:space="preserve"> fasse une preuve de cadence, de</w:t>
      </w:r>
      <w:r w:rsidR="009A1701">
        <w:t> </w:t>
      </w:r>
      <w:r w:rsidR="00BF4CCB">
        <w:t xml:space="preserve">période de repos ou </w:t>
      </w:r>
      <w:r>
        <w:t xml:space="preserve">de toute autre </w:t>
      </w:r>
      <w:r w:rsidR="00BF4CCB">
        <w:t>preuve biomécanique</w:t>
      </w:r>
      <w:r w:rsidR="00BB7A09">
        <w:t xml:space="preserve"> de cette nature</w:t>
      </w:r>
      <w:r>
        <w:t>.</w:t>
      </w:r>
    </w:p>
    <w:p w14:paraId="05F0B89D" w14:textId="7E550021" w:rsidR="00BF4CCB" w:rsidRDefault="008D3E30" w:rsidP="005C1ED0">
      <w:pPr>
        <w:pStyle w:val="corpsdedcision"/>
        <w:keepNext/>
        <w:keepLines/>
      </w:pPr>
      <w:r>
        <w:t xml:space="preserve">Procéder ainsi </w:t>
      </w:r>
      <w:r w:rsidR="00BF4CCB">
        <w:t xml:space="preserve">revient </w:t>
      </w:r>
      <w:r>
        <w:t xml:space="preserve">essentiellement </w:t>
      </w:r>
      <w:r w:rsidR="00BF4CCB">
        <w:t xml:space="preserve">à exiger </w:t>
      </w:r>
      <w:r w:rsidR="00862A85">
        <w:t xml:space="preserve">du travailleur </w:t>
      </w:r>
      <w:r w:rsidR="00BF4CCB">
        <w:t xml:space="preserve">une preuve </w:t>
      </w:r>
      <w:r w:rsidR="00BF0A3A">
        <w:t>démontrant</w:t>
      </w:r>
      <w:r w:rsidR="00BF4CCB">
        <w:t xml:space="preserve"> que son travail est susceptible de causer la lésion qui lui a été diagnostiquée, ce qui </w:t>
      </w:r>
      <w:r>
        <w:t>est équivalent</w:t>
      </w:r>
      <w:r w:rsidR="00BF4CCB">
        <w:t xml:space="preserve"> à un début de preuve de causalité. </w:t>
      </w:r>
      <w:r w:rsidR="00BF0A3A">
        <w:t>Une telle interprétation</w:t>
      </w:r>
      <w:r w:rsidR="00BF4CCB">
        <w:t xml:space="preserve"> </w:t>
      </w:r>
      <w:r w:rsidR="00BF0A3A">
        <w:t>mine</w:t>
      </w:r>
      <w:r w:rsidR="00BF4CCB">
        <w:t xml:space="preserve"> </w:t>
      </w:r>
      <w:r>
        <w:t>donc la pertinence même de la présomption prévue par l’article 29 de la Loi</w:t>
      </w:r>
      <w:r w:rsidR="00BF0A3A">
        <w:t xml:space="preserve"> au point de</w:t>
      </w:r>
      <w:r w:rsidR="009A1701">
        <w:t> </w:t>
      </w:r>
      <w:r w:rsidR="009B7DD7">
        <w:t xml:space="preserve">pratiquement </w:t>
      </w:r>
      <w:r w:rsidR="00BF0A3A">
        <w:t>la stériliser</w:t>
      </w:r>
      <w:r>
        <w:t xml:space="preserve">, </w:t>
      </w:r>
      <w:r w:rsidR="009B7DD7">
        <w:t>celle-ci</w:t>
      </w:r>
      <w:r>
        <w:t xml:space="preserve"> a</w:t>
      </w:r>
      <w:r w:rsidR="009B7DD7">
        <w:t>yant justement</w:t>
      </w:r>
      <w:r>
        <w:t xml:space="preserve"> pour but de le dispenser d’avoir à</w:t>
      </w:r>
      <w:r w:rsidR="009A1701">
        <w:t> </w:t>
      </w:r>
      <w:r>
        <w:t>fournir une telle preuve.</w:t>
      </w:r>
    </w:p>
    <w:p w14:paraId="10F7208B" w14:textId="682CC53C" w:rsidR="00615D1E" w:rsidRDefault="00615D1E" w:rsidP="00272C21">
      <w:pPr>
        <w:pStyle w:val="corpsdedcision"/>
      </w:pPr>
      <w:r>
        <w:t xml:space="preserve">Le Tribunal partage à cet égard l’analyse faite dans l’affaire </w:t>
      </w:r>
      <w:r w:rsidRPr="00DB1BC0">
        <w:rPr>
          <w:i/>
          <w:iCs/>
        </w:rPr>
        <w:t xml:space="preserve">Meubles Canadel inc. </w:t>
      </w:r>
      <w:r w:rsidRPr="00DB1BC0">
        <w:t>et</w:t>
      </w:r>
      <w:r w:rsidRPr="00DB1BC0">
        <w:rPr>
          <w:i/>
          <w:iCs/>
        </w:rPr>
        <w:t xml:space="preserve"> Morin</w:t>
      </w:r>
      <w:r>
        <w:rPr>
          <w:rStyle w:val="Appelnotedebasdep"/>
        </w:rPr>
        <w:footnoteReference w:id="14"/>
      </w:r>
      <w:r>
        <w:t xml:space="preserve"> à ce sujet :</w:t>
      </w:r>
    </w:p>
    <w:p w14:paraId="5D543DC9" w14:textId="2353FD65" w:rsidR="00615D1E" w:rsidRDefault="00615D1E" w:rsidP="00615D1E">
      <w:pPr>
        <w:pStyle w:val="citation"/>
      </w:pPr>
      <w:r>
        <w:t>[33]</w:t>
      </w:r>
      <w:r>
        <w:tab/>
        <w:t>Devant un tel fardeau, comment un travailleur peut-il démontrer l’existence d’une</w:t>
      </w:r>
      <w:r w:rsidR="009A1701">
        <w:t> </w:t>
      </w:r>
      <w:r>
        <w:t>maladie professionnelle sans fournir dès le départ à la CSST une preuve technique et médicale élaborée? Pourquoi alors prévoir une présomption légale si la seule façon d’en</w:t>
      </w:r>
      <w:r w:rsidR="009A1701">
        <w:t> </w:t>
      </w:r>
      <w:r>
        <w:t>bénéficier est de fournir une preuve si détaillée et pointue qu’elle équivaut à établir la</w:t>
      </w:r>
      <w:r w:rsidR="009A1701">
        <w:t> </w:t>
      </w:r>
      <w:r>
        <w:t>relation causale?</w:t>
      </w:r>
    </w:p>
    <w:p w14:paraId="45048E05" w14:textId="77777777" w:rsidR="00615D1E" w:rsidRDefault="00615D1E" w:rsidP="00615D1E">
      <w:pPr>
        <w:pStyle w:val="citation"/>
      </w:pPr>
    </w:p>
    <w:p w14:paraId="03D31F9B" w14:textId="7CEDF5CF" w:rsidR="00615D1E" w:rsidRDefault="00615D1E" w:rsidP="00615D1E">
      <w:pPr>
        <w:pStyle w:val="citation"/>
      </w:pPr>
      <w:r>
        <w:t>[34]</w:t>
      </w:r>
      <w:r>
        <w:tab/>
        <w:t>De l’avis du soussigné, les expressions « certaine cadence », périodes de</w:t>
      </w:r>
      <w:r w:rsidR="009A1701">
        <w:t> </w:t>
      </w:r>
      <w:r>
        <w:t>récupération « suffisantes » ou « insuffisantes », mouvement « répétitif », « hautement répétitif », « semblable », « identique », « continu » et « assez rapide » ajoutent au fardeau de la preuve voulu par le législateur. La loi, au stade de l’application de la présomption, ne</w:t>
      </w:r>
      <w:r w:rsidR="007F1F16">
        <w:t> </w:t>
      </w:r>
      <w:r>
        <w:t>requiert qu’une preuve de répétition de mouvements sur des périodes de temps prolongées. Cette expression réfère à la fréquence des mouvements sans égard à</w:t>
      </w:r>
      <w:r w:rsidR="009A1701">
        <w:t> </w:t>
      </w:r>
      <w:r>
        <w:t>la</w:t>
      </w:r>
      <w:r w:rsidR="009A1701">
        <w:t> </w:t>
      </w:r>
      <w:r>
        <w:t>cadence et à la période de récupération propre aux mouvements répétitifs.</w:t>
      </w:r>
    </w:p>
    <w:p w14:paraId="756C5839" w14:textId="77777777" w:rsidR="00615D1E" w:rsidRDefault="00615D1E" w:rsidP="00615D1E">
      <w:pPr>
        <w:pStyle w:val="citation"/>
      </w:pPr>
    </w:p>
    <w:p w14:paraId="55702E76" w14:textId="1BE5B01E" w:rsidR="00615D1E" w:rsidRDefault="00615D1E" w:rsidP="00615D1E">
      <w:pPr>
        <w:pStyle w:val="citation"/>
      </w:pPr>
      <w:r>
        <w:t>[35]</w:t>
      </w:r>
      <w:r>
        <w:tab/>
        <w:t xml:space="preserve">Récemment dans </w:t>
      </w:r>
      <w:r w:rsidRPr="007F1F16">
        <w:rPr>
          <w:i/>
          <w:iCs/>
        </w:rPr>
        <w:t>Morin</w:t>
      </w:r>
      <w:r>
        <w:t xml:space="preserve"> et </w:t>
      </w:r>
      <w:r w:rsidRPr="007F1F16">
        <w:rPr>
          <w:i/>
          <w:iCs/>
        </w:rPr>
        <w:t>9095-9867 Québec inc</w:t>
      </w:r>
      <w:r>
        <w:t>.</w:t>
      </w:r>
      <w:r w:rsidR="007F1F16" w:rsidRPr="00185E65">
        <w:rPr>
          <w:vertAlign w:val="superscript"/>
        </w:rPr>
        <w:t>9</w:t>
      </w:r>
      <w:r>
        <w:t>, le juge administratif Pelletier en vient à une conclusion semblable. Voici comment il s’exprime :</w:t>
      </w:r>
    </w:p>
    <w:p w14:paraId="7A8821F9" w14:textId="77777777" w:rsidR="00615D1E" w:rsidRDefault="00615D1E" w:rsidP="00615D1E">
      <w:pPr>
        <w:pStyle w:val="citation"/>
      </w:pPr>
    </w:p>
    <w:p w14:paraId="375F6D15" w14:textId="55A224B2" w:rsidR="00615D1E" w:rsidRDefault="00615D1E" w:rsidP="00615D1E">
      <w:pPr>
        <w:pStyle w:val="Citationendoubleretrait"/>
      </w:pPr>
      <w:r>
        <w:t>[7</w:t>
      </w:r>
      <w:r w:rsidR="001763BA">
        <w:t>9</w:t>
      </w:r>
      <w:r>
        <w:t>]</w:t>
      </w:r>
      <w:r>
        <w:tab/>
        <w:t>De l’avis du Tribunal, on doit interpréter la notion de « répétition de</w:t>
      </w:r>
      <w:r w:rsidR="009A1701">
        <w:t> </w:t>
      </w:r>
      <w:r>
        <w:t xml:space="preserve">mouvements ou de pressions sur une période de temps prolongée » </w:t>
      </w:r>
      <w:r w:rsidRPr="00797035">
        <w:rPr>
          <w:u w:val="single"/>
        </w:rPr>
        <w:t>selon le</w:t>
      </w:r>
      <w:r w:rsidR="009A1701" w:rsidRPr="00797035">
        <w:rPr>
          <w:u w:val="single"/>
        </w:rPr>
        <w:t> </w:t>
      </w:r>
      <w:r w:rsidRPr="00797035">
        <w:rPr>
          <w:u w:val="single"/>
        </w:rPr>
        <w:t>sens usuel des mots utilisés par le législateur</w:t>
      </w:r>
      <w:r>
        <w:t>. Ainsi un mouvement sera répété, s’il est accompli plusieurs fois par jour et il sera exécuté sur une période de temps prolongé, s’il est accompli pendant plusieurs heures, jours, mois ou années.</w:t>
      </w:r>
    </w:p>
    <w:p w14:paraId="480AC409" w14:textId="77777777" w:rsidR="00615D1E" w:rsidRDefault="00615D1E" w:rsidP="00615D1E">
      <w:pPr>
        <w:pStyle w:val="Citationendoubleretrait"/>
      </w:pPr>
    </w:p>
    <w:p w14:paraId="0CB2ED5C" w14:textId="660578CA" w:rsidR="00615D1E" w:rsidRDefault="00615D1E" w:rsidP="00615D1E">
      <w:pPr>
        <w:pStyle w:val="Citationendoubleretrait"/>
      </w:pPr>
      <w:r>
        <w:t>[79]</w:t>
      </w:r>
      <w:r>
        <w:tab/>
      </w:r>
      <w:r w:rsidRPr="00797035">
        <w:rPr>
          <w:u w:val="single"/>
        </w:rPr>
        <w:t>C’est au stade du renversement de la présomption que l’on pourra démontrer que la cadence, la fréquence, la posture ou la force impliquée ou le</w:t>
      </w:r>
      <w:r w:rsidR="009A1701" w:rsidRPr="00797035">
        <w:rPr>
          <w:u w:val="single"/>
        </w:rPr>
        <w:t> </w:t>
      </w:r>
      <w:r w:rsidRPr="00797035">
        <w:rPr>
          <w:u w:val="single"/>
        </w:rPr>
        <w:t>temps d’exposition ne sont pas suffisants ou de nature à engendrer la maladie du travailleur</w:t>
      </w:r>
      <w:r>
        <w:t>.</w:t>
      </w:r>
    </w:p>
    <w:p w14:paraId="4B04828F" w14:textId="77777777" w:rsidR="00615D1E" w:rsidRDefault="00615D1E" w:rsidP="00615D1E">
      <w:pPr>
        <w:pStyle w:val="Citationendoubleretrait"/>
      </w:pPr>
    </w:p>
    <w:p w14:paraId="4854D716" w14:textId="4422E7EB" w:rsidR="00615D1E" w:rsidRDefault="00615D1E" w:rsidP="00615D1E">
      <w:pPr>
        <w:pStyle w:val="Citationendoubleretrait"/>
      </w:pPr>
      <w:r>
        <w:t>[80]</w:t>
      </w:r>
      <w:r>
        <w:tab/>
        <w:t>Cette preuve sera d’autant plus facile à administrer si les mouvements ne</w:t>
      </w:r>
      <w:r w:rsidR="009A1701">
        <w:t> </w:t>
      </w:r>
      <w:r>
        <w:t>sont pas suffisamment répétés ou sont accomplis depuis peu de temps ou selon une fréquence, cadence ou posture qui n’est pas de nature à engendrer la</w:t>
      </w:r>
      <w:r w:rsidR="009A1701">
        <w:t> </w:t>
      </w:r>
      <w:r>
        <w:t>maladie, selon les données de la science. Mais ce n'est pas au stade de</w:t>
      </w:r>
      <w:r w:rsidR="009A1701">
        <w:t> </w:t>
      </w:r>
      <w:r>
        <w:t>l’application de la présomption que cette preuve doit se faire, c’est au stade du</w:t>
      </w:r>
      <w:r w:rsidR="009A1701">
        <w:t> </w:t>
      </w:r>
      <w:r>
        <w:t>renversement, une fois l’application de la présomption reconnue.</w:t>
      </w:r>
    </w:p>
    <w:p w14:paraId="446DE269" w14:textId="77777777" w:rsidR="00615D1E" w:rsidRDefault="00615D1E" w:rsidP="00615D1E">
      <w:pPr>
        <w:pStyle w:val="Citationendoubleretrait"/>
      </w:pPr>
    </w:p>
    <w:p w14:paraId="2C64371A" w14:textId="042ACB62" w:rsidR="00615D1E" w:rsidRDefault="00615D1E" w:rsidP="00D44160">
      <w:pPr>
        <w:pStyle w:val="Citationendoubleretrait"/>
        <w:keepNext/>
        <w:keepLines/>
      </w:pPr>
      <w:r>
        <w:t>[82]</w:t>
      </w:r>
      <w:r>
        <w:tab/>
        <w:t>Imposer au travailleur le fardeau de démontrer un nombre précis de</w:t>
      </w:r>
      <w:r w:rsidR="009A1701">
        <w:t> </w:t>
      </w:r>
      <w:r>
        <w:t>gestes ou une durée d’exposition précise ou déclarer péremptoirement, au</w:t>
      </w:r>
      <w:r w:rsidR="009A1701">
        <w:t> </w:t>
      </w:r>
      <w:r>
        <w:t>stade de l’application de la présomption, que les micropauses sont suffisantes malgré une preuve de mouvements répétés, pour écarter l’application de</w:t>
      </w:r>
      <w:r w:rsidR="009A1701">
        <w:t> </w:t>
      </w:r>
      <w:r>
        <w:t>la</w:t>
      </w:r>
      <w:r w:rsidR="009A1701">
        <w:t> </w:t>
      </w:r>
      <w:r>
        <w:t>présomption, c’est dénaturer l’objet même de la présomption édictée par le</w:t>
      </w:r>
      <w:r w:rsidR="009A1701">
        <w:t> </w:t>
      </w:r>
      <w:r>
        <w:t>législateur qui a voulu faciliter au travailleur la preuve qu’il a contracté une</w:t>
      </w:r>
      <w:r w:rsidR="009A1701">
        <w:t> </w:t>
      </w:r>
      <w:r>
        <w:t>maladie professionnelle dans le cadre de l’exécution d’un travail décrit à</w:t>
      </w:r>
      <w:r w:rsidR="009A1701">
        <w:t> </w:t>
      </w:r>
      <w:r>
        <w:t>l’annexe 1 de la loi.</w:t>
      </w:r>
    </w:p>
    <w:p w14:paraId="2A51CE0A" w14:textId="77777777" w:rsidR="00615D1E" w:rsidRDefault="00615D1E" w:rsidP="00615D1E">
      <w:pPr>
        <w:pStyle w:val="Citationendoubleretrait"/>
      </w:pPr>
    </w:p>
    <w:p w14:paraId="6C31A290" w14:textId="681454CF" w:rsidR="00615D1E" w:rsidRDefault="00615D1E" w:rsidP="00615D1E">
      <w:pPr>
        <w:pStyle w:val="Citationendoubleretrait"/>
      </w:pPr>
      <w:r>
        <w:t>[83]</w:t>
      </w:r>
      <w:r>
        <w:tab/>
      </w:r>
      <w:r w:rsidRPr="00797035">
        <w:rPr>
          <w:u w:val="single"/>
        </w:rPr>
        <w:t>Au stade de l’application de la présomption, le travailleur n’a pas à</w:t>
      </w:r>
      <w:r w:rsidR="009A1701" w:rsidRPr="00797035">
        <w:rPr>
          <w:u w:val="single"/>
        </w:rPr>
        <w:t> </w:t>
      </w:r>
      <w:r w:rsidRPr="00797035">
        <w:rPr>
          <w:u w:val="single"/>
        </w:rPr>
        <w:t>administrer une preuve scientifique ou médicale, il doit administrer une preuve factuelle démontrant qu’il accomplit le travail décrit à l’annexe 1 de la loi en regard de la maladie qu’il a contractée</w:t>
      </w:r>
      <w:r>
        <w:t>.</w:t>
      </w:r>
    </w:p>
    <w:p w14:paraId="60D67265" w14:textId="77777777" w:rsidR="00615D1E" w:rsidRDefault="00615D1E" w:rsidP="00615D1E">
      <w:pPr>
        <w:pStyle w:val="citation"/>
      </w:pPr>
    </w:p>
    <w:p w14:paraId="54DB052A" w14:textId="4A818B0A" w:rsidR="00615D1E" w:rsidRDefault="00615D1E" w:rsidP="00615D1E">
      <w:pPr>
        <w:pStyle w:val="citation"/>
      </w:pPr>
      <w:r>
        <w:t>[36]</w:t>
      </w:r>
      <w:r>
        <w:tab/>
        <w:t>Le soussigné adhère à cette interprétation qui n’a rien de libéral ou restrictif, mais qui s’en tient aux éléments identifiés par le législateur, soit celui de la répétition de</w:t>
      </w:r>
      <w:r w:rsidR="009A1701">
        <w:t> </w:t>
      </w:r>
      <w:r>
        <w:t>mouvements ou de pressions sur des périodes de temps prolongées.</w:t>
      </w:r>
    </w:p>
    <w:p w14:paraId="5A0D3672" w14:textId="77777777" w:rsidR="00F7695A" w:rsidRDefault="00F7695A" w:rsidP="00615D1E">
      <w:pPr>
        <w:pStyle w:val="citation"/>
      </w:pPr>
    </w:p>
    <w:p w14:paraId="17F83BD5" w14:textId="6093EE04" w:rsidR="00B41FFC" w:rsidRPr="00797035" w:rsidRDefault="00B41FFC" w:rsidP="00615D1E">
      <w:pPr>
        <w:pStyle w:val="citation"/>
        <w:rPr>
          <w:sz w:val="24"/>
          <w:szCs w:val="24"/>
        </w:rPr>
      </w:pPr>
      <w:r w:rsidRPr="00797035">
        <w:rPr>
          <w:rFonts w:cs="Arial"/>
          <w:sz w:val="24"/>
          <w:szCs w:val="24"/>
        </w:rPr>
        <w:t>[</w:t>
      </w:r>
      <w:r w:rsidR="005758E9">
        <w:rPr>
          <w:rFonts w:cs="Arial"/>
          <w:sz w:val="24"/>
          <w:szCs w:val="24"/>
        </w:rPr>
        <w:t>Transcription textuelle et n</w:t>
      </w:r>
      <w:r w:rsidRPr="00797035">
        <w:rPr>
          <w:rFonts w:cs="Arial"/>
          <w:sz w:val="24"/>
          <w:szCs w:val="24"/>
        </w:rPr>
        <w:t>ote omise]</w:t>
      </w:r>
    </w:p>
    <w:p w14:paraId="2814EC9C" w14:textId="77777777" w:rsidR="00F7695A" w:rsidRDefault="00F7695A" w:rsidP="00615D1E">
      <w:pPr>
        <w:pStyle w:val="citation"/>
      </w:pPr>
    </w:p>
    <w:p w14:paraId="42453D18" w14:textId="77777777" w:rsidR="00B41FFC" w:rsidRDefault="00B41FFC" w:rsidP="00615D1E">
      <w:pPr>
        <w:pStyle w:val="citation"/>
      </w:pPr>
    </w:p>
    <w:p w14:paraId="0320DC50" w14:textId="3EAB20D4" w:rsidR="00272C21" w:rsidRDefault="009B7DD7" w:rsidP="00F7695A">
      <w:pPr>
        <w:pStyle w:val="corpsdedcision"/>
      </w:pPr>
      <w:r>
        <w:t>La Loi exige que le travailleur démontre la présence de répétitions de mouvements sur une période de temps prolongé</w:t>
      </w:r>
      <w:r w:rsidR="00A6113A">
        <w:t>e</w:t>
      </w:r>
      <w:r w:rsidR="00146086">
        <w:t xml:space="preserve"> afin qu’il puisse bénéficier de la présomption de</w:t>
      </w:r>
      <w:r w:rsidR="00F7695A">
        <w:t> </w:t>
      </w:r>
      <w:r w:rsidR="00146086">
        <w:t>maladie professionnelle</w:t>
      </w:r>
      <w:r>
        <w:t>. Il n’y a donc pas lieu d’ajouter des exigences à celles prévues par le législateur.</w:t>
      </w:r>
    </w:p>
    <w:p w14:paraId="1292FDE1" w14:textId="6857A3B2" w:rsidR="002D46E7" w:rsidRDefault="002D46E7" w:rsidP="00D41422">
      <w:pPr>
        <w:pStyle w:val="Titre4"/>
        <w:jc w:val="both"/>
      </w:pPr>
      <w:r w:rsidRPr="002D46E7">
        <w:t xml:space="preserve">L’emploi du travailleur implique </w:t>
      </w:r>
      <w:r>
        <w:t>la répétition d’un</w:t>
      </w:r>
      <w:r w:rsidRPr="002D46E7">
        <w:t xml:space="preserve"> mouvement sur des périodes prolongées, soit l’abaissement du levier d’une presse contre résistance</w:t>
      </w:r>
    </w:p>
    <w:p w14:paraId="0EA6D602" w14:textId="37213727" w:rsidR="00272C21" w:rsidRDefault="009B7DD7" w:rsidP="004C2944">
      <w:pPr>
        <w:pStyle w:val="corpsdedcision"/>
      </w:pPr>
      <w:r>
        <w:t xml:space="preserve">En </w:t>
      </w:r>
      <w:r w:rsidR="002D46E7">
        <w:t>effet</w:t>
      </w:r>
      <w:r>
        <w:t xml:space="preserve">, la preuve démontre que le travailleur doit accomplir le même mouvement </w:t>
      </w:r>
      <w:r w:rsidR="002D46E7">
        <w:t>à plusieurs répétitions</w:t>
      </w:r>
      <w:r w:rsidR="00862A85">
        <w:t xml:space="preserve"> pour toute la durée de ses quarts de travail, et </w:t>
      </w:r>
      <w:r w:rsidR="002D46E7">
        <w:t>ce</w:t>
      </w:r>
      <w:r w:rsidR="00854589">
        <w:t>,</w:t>
      </w:r>
      <w:r w:rsidR="002D46E7">
        <w:t xml:space="preserve"> </w:t>
      </w:r>
      <w:r w:rsidR="00862A85">
        <w:t>pour toute la</w:t>
      </w:r>
      <w:r w:rsidR="00854589">
        <w:t> </w:t>
      </w:r>
      <w:r w:rsidR="00862A85">
        <w:t>durée de ses semaines de travail.</w:t>
      </w:r>
    </w:p>
    <w:p w14:paraId="587C0BAC" w14:textId="4866AA8A" w:rsidR="00781E68" w:rsidRDefault="00862A85" w:rsidP="004C2944">
      <w:pPr>
        <w:pStyle w:val="corpsdedcision"/>
      </w:pPr>
      <w:r>
        <w:t xml:space="preserve">En effet, le travailleur explique à l’audience </w:t>
      </w:r>
      <w:r w:rsidR="00781E68">
        <w:t>que son travail consistait à</w:t>
      </w:r>
      <w:r w:rsidR="00854589">
        <w:t> </w:t>
      </w:r>
      <w:r w:rsidR="00781E68">
        <w:t>l’assemblage du « </w:t>
      </w:r>
      <w:r w:rsidR="00D5370F">
        <w:t>S</w:t>
      </w:r>
      <w:r w:rsidR="00781E68">
        <w:t>ector » qui, de la compréhension du Tribunal, constitue une pièce destinée à être intégrée à un véhicule aéromoteur. Une partie importante de son travail consistait à prendre des petites bandes de métal et à y faire une série de dix trous à l’aide d’une presse manuelle.</w:t>
      </w:r>
    </w:p>
    <w:p w14:paraId="0C5FAB02" w14:textId="3CE182CC" w:rsidR="00862A85" w:rsidRDefault="00781E68" w:rsidP="004C2944">
      <w:pPr>
        <w:pStyle w:val="corpsdedcision"/>
      </w:pPr>
      <w:r>
        <w:t>Il explique que cette manœuvre impliquait qu</w:t>
      </w:r>
      <w:r w:rsidR="00BB7A09">
        <w:t>’</w:t>
      </w:r>
      <w:r>
        <w:t>i</w:t>
      </w:r>
      <w:r w:rsidR="00BB7A09">
        <w:t>l</w:t>
      </w:r>
      <w:r>
        <w:t xml:space="preserve"> saisisse un levier d’une longueur d’environ un pied (30 cm) et à l’abaisser </w:t>
      </w:r>
      <w:r w:rsidRPr="000F37CD">
        <w:t xml:space="preserve">pour </w:t>
      </w:r>
      <w:r w:rsidR="00EE759A">
        <w:t>appuyer</w:t>
      </w:r>
      <w:r>
        <w:t xml:space="preserve"> la presse sur la pièce. Une fois en</w:t>
      </w:r>
      <w:r w:rsidR="00854589">
        <w:t> </w:t>
      </w:r>
      <w:r>
        <w:t>position, il devait ensuite continuer son mouvement avec une force plus importante pour que la presse perfore la pièce avant d’arrêter son chemin.</w:t>
      </w:r>
    </w:p>
    <w:p w14:paraId="3D81506C" w14:textId="41576730" w:rsidR="00781E68" w:rsidRDefault="00781E68" w:rsidP="00EC4FBC">
      <w:pPr>
        <w:pStyle w:val="corpsdedcision"/>
        <w:keepNext/>
        <w:keepLines/>
      </w:pPr>
      <w:r>
        <w:t>Le nombre de répétition</w:t>
      </w:r>
      <w:r w:rsidR="002331EF">
        <w:t>s</w:t>
      </w:r>
      <w:r>
        <w:t xml:space="preserve"> de ce mouvement qui étaient accomplies</w:t>
      </w:r>
      <w:r w:rsidR="002331EF">
        <w:t xml:space="preserve"> dans un quart de travail fait l’objet d’une preuve légèrement contradictoire. Le travailleur estime qu’il</w:t>
      </w:r>
      <w:r w:rsidR="00854589">
        <w:t> </w:t>
      </w:r>
      <w:r w:rsidR="002331EF">
        <w:t xml:space="preserve">complétait environ 40 pièces dans un quart de travail, alléguant à certains documents que ce nombre pouvait aller jusqu’à 50. L’employeur, quant à lui, explique avoir dans ses banques de données le nombre exact de pièces que le travailleur </w:t>
      </w:r>
      <w:r w:rsidR="00BB7A09">
        <w:t>a</w:t>
      </w:r>
      <w:r w:rsidR="00854589">
        <w:t> </w:t>
      </w:r>
      <w:r w:rsidR="002331EF">
        <w:t>complét</w:t>
      </w:r>
      <w:r w:rsidR="00BB7A09">
        <w:t>é</w:t>
      </w:r>
      <w:r w:rsidR="002331EF">
        <w:t xml:space="preserve"> </w:t>
      </w:r>
      <w:r w:rsidR="00BB7A09">
        <w:t>alors qu’</w:t>
      </w:r>
      <w:r w:rsidR="002331EF">
        <w:t xml:space="preserve">il était assigné à cette tâche, et que, en effectuant une moyenne, </w:t>
      </w:r>
      <w:r w:rsidR="006377F7">
        <w:t>le</w:t>
      </w:r>
      <w:r w:rsidR="00854589">
        <w:t> </w:t>
      </w:r>
      <w:r w:rsidR="006377F7">
        <w:t>travailleur aurait plutôt assemblé 35 pièces par jour.</w:t>
      </w:r>
    </w:p>
    <w:p w14:paraId="2F608837" w14:textId="6737FA53" w:rsidR="00DD32CF" w:rsidRDefault="006377F7" w:rsidP="004C2944">
      <w:pPr>
        <w:pStyle w:val="corpsdedcision"/>
      </w:pPr>
      <w:r>
        <w:t xml:space="preserve">En prenant en compte ces diverses données, le Tribunal considère que le nombre </w:t>
      </w:r>
      <w:r w:rsidR="00D0691F">
        <w:t xml:space="preserve">de </w:t>
      </w:r>
      <w:r>
        <w:t>pièces que le travailleur assemblait dans une journée de travail normale pendant la</w:t>
      </w:r>
      <w:r w:rsidR="00854589">
        <w:t> </w:t>
      </w:r>
      <w:r>
        <w:t xml:space="preserve">période de développement de la </w:t>
      </w:r>
      <w:r w:rsidR="00146086">
        <w:t>lésion</w:t>
      </w:r>
      <w:r>
        <w:t xml:space="preserve"> était vraisemblablement plus près de 40.</w:t>
      </w:r>
    </w:p>
    <w:p w14:paraId="4DB2B3BA" w14:textId="68909DC2" w:rsidR="00DD32CF" w:rsidRDefault="006377F7" w:rsidP="007F43A0">
      <w:pPr>
        <w:pStyle w:val="corpsdedcision"/>
      </w:pPr>
      <w:r>
        <w:t>E</w:t>
      </w:r>
      <w:r w:rsidR="00DD32CF">
        <w:t>n</w:t>
      </w:r>
      <w:r>
        <w:t xml:space="preserve"> effet, l’employeur explique à l’audience que, lorsque le travailleur a initialement ét</w:t>
      </w:r>
      <w:r w:rsidR="002F2B19">
        <w:t>é</w:t>
      </w:r>
      <w:r>
        <w:t xml:space="preserve"> a</w:t>
      </w:r>
      <w:r w:rsidR="000662A3">
        <w:t>ffecté</w:t>
      </w:r>
      <w:r>
        <w:t xml:space="preserve"> au « Sector » au début d</w:t>
      </w:r>
      <w:r w:rsidR="00BB7A09">
        <w:t>u</w:t>
      </w:r>
      <w:r>
        <w:t xml:space="preserve"> mois de novembre 2020, </w:t>
      </w:r>
      <w:r w:rsidR="00BB7A09">
        <w:t>il</w:t>
      </w:r>
      <w:r>
        <w:t xml:space="preserve"> était considéré « non</w:t>
      </w:r>
      <w:r w:rsidR="00854589">
        <w:t> </w:t>
      </w:r>
      <w:r>
        <w:t>qualifié » pour cette tâche, ce qui impliquait qu’il doive compléter une période de</w:t>
      </w:r>
      <w:r w:rsidR="00854589">
        <w:t> </w:t>
      </w:r>
      <w:r>
        <w:t>formation et de supervision par un employé qualifié.</w:t>
      </w:r>
      <w:r w:rsidR="00DD32CF">
        <w:t xml:space="preserve"> Il reconnaît que, pendant cette</w:t>
      </w:r>
      <w:r w:rsidR="00854589">
        <w:t> </w:t>
      </w:r>
      <w:r w:rsidR="00DD32CF">
        <w:t>période de qualification, sa productivité était vraisemblablement moindre, ce qui se</w:t>
      </w:r>
      <w:r w:rsidR="00854589">
        <w:t> </w:t>
      </w:r>
      <w:r w:rsidR="00DD32CF">
        <w:t>comprend du fait qu’il était moins expérimenté</w:t>
      </w:r>
      <w:r w:rsidR="00BB7A09">
        <w:t>,</w:t>
      </w:r>
      <w:r w:rsidR="00DD32CF">
        <w:t xml:space="preserve"> qu’il devait recevoir de la formation et faire inspecter son travail. Cette période de formation s’est terminée le 28 janvier 2021, après quoi il a pu commencer à pratiquer ses tâches seul.</w:t>
      </w:r>
    </w:p>
    <w:p w14:paraId="737879CF" w14:textId="4E85F8B5" w:rsidR="00DD32CF" w:rsidRDefault="00DD32CF" w:rsidP="00F46857">
      <w:pPr>
        <w:pStyle w:val="corpsdedcision"/>
        <w:keepNext/>
        <w:keepLines/>
      </w:pPr>
      <w:r>
        <w:t>De la preuve offerte, le Tribunal comprend que la moyenne faite par l’employeur inclu</w:t>
      </w:r>
      <w:r w:rsidR="0019574D">
        <w:t>t</w:t>
      </w:r>
      <w:r>
        <w:t xml:space="preserve"> tant la période de formation </w:t>
      </w:r>
      <w:r w:rsidR="0019574D">
        <w:t xml:space="preserve">du travailleur </w:t>
      </w:r>
      <w:r>
        <w:t xml:space="preserve">(vraisemblablement moins productive) que la période de production pendant laquelle </w:t>
      </w:r>
      <w:r w:rsidR="0019574D">
        <w:t>ce dernier</w:t>
      </w:r>
      <w:r>
        <w:t xml:space="preserve"> était qualifié et seul (vraisemblablement plus productive). Ce faisant, </w:t>
      </w:r>
      <w:r w:rsidR="00CC42B7">
        <w:t>le nombre de 40 pièces par jour que le</w:t>
      </w:r>
      <w:r w:rsidR="00854589">
        <w:t> </w:t>
      </w:r>
      <w:r w:rsidR="00CC42B7">
        <w:t>travailleur allègue avoir assemblé dans son travail est probablement plus proche de</w:t>
      </w:r>
      <w:r w:rsidR="00854589">
        <w:t> </w:t>
      </w:r>
      <w:r w:rsidR="00CC42B7">
        <w:t>sa</w:t>
      </w:r>
      <w:r w:rsidR="00F46857">
        <w:t> </w:t>
      </w:r>
      <w:r w:rsidR="00CC42B7">
        <w:t>productivité plus contemporaine à l’apparition de ses symptômes que le nombre de</w:t>
      </w:r>
      <w:r w:rsidR="00F46857">
        <w:t> </w:t>
      </w:r>
      <w:r w:rsidR="00CC42B7">
        <w:t>35</w:t>
      </w:r>
      <w:r w:rsidR="00F46857">
        <w:t> </w:t>
      </w:r>
      <w:r w:rsidR="00CC42B7">
        <w:t>suggéré par l’employeur qui englobe toute la période de formation.</w:t>
      </w:r>
    </w:p>
    <w:p w14:paraId="1105842D" w14:textId="375661FB" w:rsidR="00CC42B7" w:rsidRDefault="00CC42B7" w:rsidP="007F43A0">
      <w:pPr>
        <w:pStyle w:val="corpsdedcision"/>
      </w:pPr>
      <w:r>
        <w:t xml:space="preserve">Dans ces circonstances, le Tribunal constate que le travailleur devait faire le même mouvement d’abaissement d’un levier 400 fois par jour et que ce mouvement sollicitait son bras droit, incluant son coude et son poignet (comme il le sera plus amplement expliqué dans les sections </w:t>
      </w:r>
      <w:r w:rsidR="0019574D">
        <w:t>subséquentes</w:t>
      </w:r>
      <w:r>
        <w:t>). Comme la preuve démontre que ses</w:t>
      </w:r>
      <w:r w:rsidR="00F46857">
        <w:t> </w:t>
      </w:r>
      <w:r>
        <w:t xml:space="preserve">semaines de travail étaient de </w:t>
      </w:r>
      <w:r w:rsidR="00286A9C">
        <w:t>quatre</w:t>
      </w:r>
      <w:r>
        <w:t xml:space="preserve"> à </w:t>
      </w:r>
      <w:r w:rsidR="00286A9C">
        <w:t>cinq</w:t>
      </w:r>
      <w:r>
        <w:t xml:space="preserve"> jours après le retour des fêtes 2020</w:t>
      </w:r>
      <w:r w:rsidR="00286A9C">
        <w:noBreakHyphen/>
      </w:r>
      <w:r>
        <w:t>2021, ceci</w:t>
      </w:r>
      <w:r w:rsidR="0087435D">
        <w:t xml:space="preserve"> </w:t>
      </w:r>
      <w:r>
        <w:t>implique qu’il devait effectuer précisément le même mouvement de 1600 à 2000 fois par semaine, et ce</w:t>
      </w:r>
      <w:r w:rsidR="00F46857">
        <w:t>,</w:t>
      </w:r>
      <w:r>
        <w:t xml:space="preserve"> pendant </w:t>
      </w:r>
      <w:r w:rsidR="0073696D">
        <w:t>plus de deux</w:t>
      </w:r>
      <w:r>
        <w:t xml:space="preserve"> mois.</w:t>
      </w:r>
    </w:p>
    <w:p w14:paraId="35B42E9F" w14:textId="17C81E87" w:rsidR="00DF0C43" w:rsidRDefault="00DF0C43" w:rsidP="007F43A0">
      <w:pPr>
        <w:pStyle w:val="corpsdedcision"/>
      </w:pPr>
      <w:r>
        <w:t xml:space="preserve">Pour le Tribunal, </w:t>
      </w:r>
      <w:r w:rsidR="00742391">
        <w:t xml:space="preserve">le fait que l’emploi du travailleur implique </w:t>
      </w:r>
      <w:r>
        <w:t xml:space="preserve">une </w:t>
      </w:r>
      <w:r w:rsidR="00742391">
        <w:t>telle</w:t>
      </w:r>
      <w:r>
        <w:t xml:space="preserve"> répétition du</w:t>
      </w:r>
      <w:r w:rsidR="00F46857">
        <w:t> </w:t>
      </w:r>
      <w:r w:rsidR="00742391">
        <w:t xml:space="preserve">même mouvement </w:t>
      </w:r>
      <w:r>
        <w:t xml:space="preserve">pendant une période de plusieurs semaines </w:t>
      </w:r>
      <w:r w:rsidR="00742391">
        <w:t xml:space="preserve">répond suffisamment au critère prévu par l’annexe de la Loi pour que s’applique la présomption de l’article 29. </w:t>
      </w:r>
      <w:r w:rsidR="00350946">
        <w:t xml:space="preserve">Il est donc présumé que la tendinite du travailleur est une maladie </w:t>
      </w:r>
      <w:r w:rsidR="00EE759A">
        <w:t xml:space="preserve">professionnelle </w:t>
      </w:r>
      <w:r w:rsidR="00350946">
        <w:t>jusqu’à</w:t>
      </w:r>
      <w:r w:rsidR="008763A8">
        <w:t> </w:t>
      </w:r>
      <w:r w:rsidR="00350946">
        <w:t>preuve du</w:t>
      </w:r>
      <w:r w:rsidR="00F46857">
        <w:t> </w:t>
      </w:r>
      <w:r w:rsidR="00350946">
        <w:t>contraire.</w:t>
      </w:r>
    </w:p>
    <w:p w14:paraId="658A99EE" w14:textId="07F9A86A" w:rsidR="007F43A0" w:rsidRPr="007F43A0" w:rsidRDefault="007F43A0" w:rsidP="00D41422">
      <w:pPr>
        <w:pStyle w:val="Titre3"/>
        <w:jc w:val="both"/>
      </w:pPr>
      <w:r w:rsidRPr="007F43A0">
        <w:t>La preuve démontrant que la tendinite du travailleur ne serait pas survenue par le</w:t>
      </w:r>
      <w:r w:rsidR="0013687E">
        <w:t> </w:t>
      </w:r>
      <w:r w:rsidRPr="007F43A0">
        <w:t>fait ou à l’occasion de son travail est-elle d’une force probante suffisante afin de</w:t>
      </w:r>
      <w:r w:rsidR="0013687E">
        <w:t> </w:t>
      </w:r>
      <w:r w:rsidRPr="007F43A0">
        <w:t>renverser la présomption de maladie professionnelle?</w:t>
      </w:r>
    </w:p>
    <w:p w14:paraId="169C7F26" w14:textId="191CFC21" w:rsidR="00676F93" w:rsidRPr="00676F93" w:rsidRDefault="00676F93" w:rsidP="00D41422">
      <w:pPr>
        <w:pStyle w:val="Titre4"/>
      </w:pPr>
      <w:r w:rsidRPr="00676F93">
        <w:t>Principes généraux</w:t>
      </w:r>
    </w:p>
    <w:p w14:paraId="64C1DE86" w14:textId="24601F46" w:rsidR="00F27E0B" w:rsidRPr="00D95611" w:rsidRDefault="00F27E0B" w:rsidP="00F27E0B">
      <w:pPr>
        <w:pStyle w:val="corpsdedcision"/>
      </w:pPr>
      <w:r w:rsidRPr="00D95611">
        <w:t>La présomption prévue à l’article 2</w:t>
      </w:r>
      <w:r>
        <w:t>9</w:t>
      </w:r>
      <w:r w:rsidRPr="00D95611">
        <w:t xml:space="preserve"> de la Loi constitue une présomption «</w:t>
      </w:r>
      <w:r>
        <w:t> </w:t>
      </w:r>
      <w:r w:rsidRPr="00D95611">
        <w:t>simple</w:t>
      </w:r>
      <w:r>
        <w:t> </w:t>
      </w:r>
      <w:r w:rsidRPr="00D95611">
        <w:t>». Comme toute présomption simple, son effet est double.</w:t>
      </w:r>
    </w:p>
    <w:p w14:paraId="7C82AA05" w14:textId="273DC3E2" w:rsidR="00F27E0B" w:rsidRPr="00D95611" w:rsidRDefault="00F27E0B" w:rsidP="00F27E0B">
      <w:pPr>
        <w:pStyle w:val="corpsdedcision"/>
      </w:pPr>
      <w:r w:rsidRPr="00D95611">
        <w:t>Comme expliqué précédemment, elle a comme premier effet d’alléger le fardeau de la partie en faveur de qui elle s’applique, la dispensant de faire la preuve de faits souvent difficiles à prouver.</w:t>
      </w:r>
      <w:r>
        <w:t xml:space="preserve"> En l’espèce, elle dispense par exemple le travailleur d’avoir à démontrer que sa maladie serait </w:t>
      </w:r>
      <w:r w:rsidR="00CA2086">
        <w:t>en relation avec</w:t>
      </w:r>
      <w:r>
        <w:t xml:space="preserve"> son travail ou qu’elle serait liée aux</w:t>
      </w:r>
      <w:r w:rsidR="0013687E">
        <w:t> </w:t>
      </w:r>
      <w:r>
        <w:t>risques particuliers ou caractéristique</w:t>
      </w:r>
      <w:r w:rsidR="000662A3">
        <w:t>s</w:t>
      </w:r>
      <w:r>
        <w:t xml:space="preserve"> de celui-ci.</w:t>
      </w:r>
    </w:p>
    <w:p w14:paraId="3E089660" w14:textId="6DD89EAB" w:rsidR="00CA2086" w:rsidRDefault="00F27E0B" w:rsidP="00F27E0B">
      <w:pPr>
        <w:pStyle w:val="corpsdedcision"/>
      </w:pPr>
      <w:r w:rsidRPr="00D95611">
        <w:t xml:space="preserve">Cependant, elle a également </w:t>
      </w:r>
      <w:r w:rsidR="00534F69">
        <w:t xml:space="preserve">un second effet, soit </w:t>
      </w:r>
      <w:r w:rsidRPr="00D95611">
        <w:t>d’imposer au décideur une</w:t>
      </w:r>
      <w:r w:rsidR="0013687E">
        <w:t> </w:t>
      </w:r>
      <w:r w:rsidRPr="00D95611">
        <w:t>forme de</w:t>
      </w:r>
      <w:r w:rsidR="0087435D">
        <w:t xml:space="preserve"> </w:t>
      </w:r>
      <w:r w:rsidRPr="00D95611">
        <w:t>certitude en l’existence de l’élément qu’elle présume</w:t>
      </w:r>
      <w:r w:rsidRPr="00D95611">
        <w:rPr>
          <w:vertAlign w:val="superscript"/>
        </w:rPr>
        <w:footnoteReference w:id="15"/>
      </w:r>
      <w:r w:rsidRPr="00D95611">
        <w:t>. Cette certitude, bien</w:t>
      </w:r>
      <w:r w:rsidR="0013687E">
        <w:t> </w:t>
      </w:r>
      <w:r w:rsidRPr="00D95611">
        <w:t>qu’elle ne</w:t>
      </w:r>
      <w:r w:rsidR="0087435D">
        <w:t xml:space="preserve"> </w:t>
      </w:r>
      <w:r w:rsidRPr="00D95611">
        <w:t>soit pas négligeable, n’est toutefois pas absolue.</w:t>
      </w:r>
    </w:p>
    <w:p w14:paraId="0EF84027" w14:textId="4C42840F" w:rsidR="00F27E0B" w:rsidRDefault="00CA2086" w:rsidP="00814BC0">
      <w:pPr>
        <w:pStyle w:val="corpsdedcision"/>
      </w:pPr>
      <w:r>
        <w:t>En effet, l’employeur peut renverser cette présomption s’il parvient à démontrer que la maladie en question ne serait pas survenue par le fait ou à l’occasion du travail du</w:t>
      </w:r>
      <w:r w:rsidR="0013687E">
        <w:t> </w:t>
      </w:r>
      <w:r>
        <w:t>travailleur</w:t>
      </w:r>
      <w:r w:rsidR="00420CF7">
        <w:t xml:space="preserve"> par une preuve d’une force probante suffisante</w:t>
      </w:r>
      <w:r>
        <w:rPr>
          <w:rStyle w:val="Appelnotedebasdep"/>
        </w:rPr>
        <w:footnoteReference w:id="16"/>
      </w:r>
      <w:r>
        <w:t xml:space="preserve">. </w:t>
      </w:r>
      <w:r w:rsidR="00420CF7">
        <w:t>Cette preuve n’implique toutefois pas que l’employeur ait à démontrer quelle est la cause réelle de la maladie du</w:t>
      </w:r>
      <w:r w:rsidR="0013687E">
        <w:t> </w:t>
      </w:r>
      <w:r w:rsidR="00420CF7">
        <w:t>travailleur, mais simplement qu’il serait improbable que le travail en soit la cause</w:t>
      </w:r>
      <w:r w:rsidR="00420CF7">
        <w:rPr>
          <w:rStyle w:val="Appelnotedebasdep"/>
        </w:rPr>
        <w:footnoteReference w:id="17"/>
      </w:r>
      <w:r w:rsidR="00F27E0B" w:rsidRPr="00D95611">
        <w:t>.</w:t>
      </w:r>
    </w:p>
    <w:p w14:paraId="0990B862" w14:textId="0FBE8FE6" w:rsidR="00E607C1" w:rsidRDefault="00420CF7" w:rsidP="007F43A0">
      <w:pPr>
        <w:pStyle w:val="corpsdedcision"/>
      </w:pPr>
      <w:r>
        <w:t>En l’espèce, l</w:t>
      </w:r>
      <w:r w:rsidR="003E1A32">
        <w:t xml:space="preserve">’employeur explique à l’audience que plusieurs éléments rendent invraisemblable que le travail du travailleur ait pu être la cause de </w:t>
      </w:r>
      <w:r w:rsidR="00F31880">
        <w:t>l</w:t>
      </w:r>
      <w:r w:rsidR="003E1A32">
        <w:t>a lésion.</w:t>
      </w:r>
    </w:p>
    <w:p w14:paraId="64668206" w14:textId="2FE65302" w:rsidR="007F43A0" w:rsidRDefault="003E1A32" w:rsidP="007F43A0">
      <w:pPr>
        <w:pStyle w:val="corpsdedcision"/>
      </w:pPr>
      <w:r>
        <w:t>Il explique d’emblée que le nombre de répétition</w:t>
      </w:r>
      <w:r w:rsidR="000662A3">
        <w:t>s</w:t>
      </w:r>
      <w:r>
        <w:t xml:space="preserve"> du mouvement qu’il devait faire dans une journée de travail serait trop bas pour </w:t>
      </w:r>
      <w:r w:rsidR="00E607C1">
        <w:t>causer une tendinite des extenseurs du</w:t>
      </w:r>
      <w:r w:rsidR="0013687E">
        <w:t> </w:t>
      </w:r>
      <w:r w:rsidR="00E607C1">
        <w:t>poignet</w:t>
      </w:r>
      <w:r>
        <w:t>. Il insiste également sur le fait qu’il n’y aurait pas de cadence imposée au</w:t>
      </w:r>
      <w:r w:rsidR="0013687E">
        <w:t> </w:t>
      </w:r>
      <w:r>
        <w:t>travailleur qui pourrait donc reposer son bras autant qu’il le veut s’il sentait une fatigue ou une douleur apparaître. Finalement, il est d’avis que le mouvement en question ne</w:t>
      </w:r>
      <w:r w:rsidR="0013687E">
        <w:t> </w:t>
      </w:r>
      <w:r>
        <w:t>solliciterait pas suffisamment les extenseurs du poignet pour mener à une telle blessure.</w:t>
      </w:r>
    </w:p>
    <w:p w14:paraId="04DF17CC" w14:textId="229E8372" w:rsidR="003A0E4C" w:rsidRDefault="003A0E4C" w:rsidP="007F43A0">
      <w:pPr>
        <w:pStyle w:val="corpsdedcision"/>
      </w:pPr>
      <w:r>
        <w:t xml:space="preserve">Après analyse, le Tribunal considère </w:t>
      </w:r>
      <w:r w:rsidR="00F30BA9">
        <w:t xml:space="preserve">insuffisante </w:t>
      </w:r>
      <w:r>
        <w:t>la preuve offerte par l’employeur afin de renverser la présomption de maladie professionnelle eu égard au diagnostic de</w:t>
      </w:r>
      <w:r w:rsidR="0013687E">
        <w:t> </w:t>
      </w:r>
      <w:r>
        <w:t>tendinite du long extenseur du poignet.</w:t>
      </w:r>
    </w:p>
    <w:p w14:paraId="34B0476A" w14:textId="0F94FCF2" w:rsidR="00676F93" w:rsidRPr="00676F93" w:rsidRDefault="00676F93" w:rsidP="00B5152D">
      <w:pPr>
        <w:pStyle w:val="Titre4"/>
        <w:keepLines/>
        <w:jc w:val="both"/>
      </w:pPr>
      <w:r w:rsidRPr="00676F93">
        <w:t xml:space="preserve">L’opinion du docteur </w:t>
      </w:r>
      <w:r w:rsidR="004D102F">
        <w:t xml:space="preserve">Mario </w:t>
      </w:r>
      <w:r w:rsidRPr="00676F93">
        <w:t xml:space="preserve">Messier est d’une faible force probante, celui-ci n’ayant pas pu observer la méthode </w:t>
      </w:r>
      <w:r w:rsidR="00C37C64">
        <w:t>de travail du</w:t>
      </w:r>
      <w:r w:rsidRPr="00676F93">
        <w:t xml:space="preserve"> travailleur</w:t>
      </w:r>
    </w:p>
    <w:p w14:paraId="7C9152CA" w14:textId="2B7C342C" w:rsidR="00534F69" w:rsidRDefault="003A0E4C" w:rsidP="00826A0E">
      <w:pPr>
        <w:pStyle w:val="corpsdedcision"/>
      </w:pPr>
      <w:r>
        <w:t>En effet, l</w:t>
      </w:r>
      <w:r w:rsidR="00534F69">
        <w:t xml:space="preserve">’employeur appuie </w:t>
      </w:r>
      <w:r>
        <w:t xml:space="preserve">principalement </w:t>
      </w:r>
      <w:r w:rsidR="00534F69">
        <w:t>sa position sur l’opinion écrite du</w:t>
      </w:r>
      <w:r w:rsidR="0013687E">
        <w:t> </w:t>
      </w:r>
      <w:r w:rsidR="00534F69">
        <w:t xml:space="preserve">docteur Messier qui était directeur médical à son emploi au moment des faits en litige. Le docteur Messier est d’ailleurs venu témoigner à l’audience comme témoin ordinaire, principalement afin de lire ses notes manuscrites et d’expliquer ce qu’il a pu constater lors </w:t>
      </w:r>
      <w:r>
        <w:t>d’une</w:t>
      </w:r>
      <w:r w:rsidR="00534F69">
        <w:t xml:space="preserve"> visite du poste de travail du travailleur qu’il a effectuée dans le cadre de</w:t>
      </w:r>
      <w:r w:rsidR="006F6FF2">
        <w:t> </w:t>
      </w:r>
      <w:r w:rsidR="00534F69">
        <w:t>son</w:t>
      </w:r>
      <w:r w:rsidR="006F6FF2">
        <w:t> </w:t>
      </w:r>
      <w:r w:rsidR="00534F69">
        <w:t>enquête.</w:t>
      </w:r>
    </w:p>
    <w:p w14:paraId="0A2FEF61" w14:textId="578ED711" w:rsidR="00534F69" w:rsidRDefault="003A0E4C" w:rsidP="007F43A0">
      <w:pPr>
        <w:pStyle w:val="corpsdedcision"/>
      </w:pPr>
      <w:r>
        <w:t xml:space="preserve">Dans ses notes, le docteur Messier explique qu’il considère que le travailleur pratique un emploi qui est facile dans l’ensemble, hormis </w:t>
      </w:r>
      <w:r w:rsidR="00E972EC">
        <w:t>l’opération de la presse. Selon</w:t>
      </w:r>
      <w:r w:rsidR="00DE0768">
        <w:t> </w:t>
      </w:r>
      <w:r w:rsidR="00E972EC">
        <w:t xml:space="preserve">lui, ce mouvement ne sollicite pas de façon significative les extenseurs du poignet, </w:t>
      </w:r>
      <w:r w:rsidR="00E972EC" w:rsidRPr="003A0BD5">
        <w:t xml:space="preserve">ce qui rendrait invraisemblable </w:t>
      </w:r>
      <w:r w:rsidR="00C66E58" w:rsidRPr="00185E65">
        <w:t xml:space="preserve">que </w:t>
      </w:r>
      <w:r w:rsidR="00E972EC" w:rsidRPr="003A0BD5">
        <w:t>cette manœuvre ait pu causer une tendinite.</w:t>
      </w:r>
    </w:p>
    <w:p w14:paraId="2DA70A5E" w14:textId="77E8641A" w:rsidR="00E972EC" w:rsidRDefault="00E972EC" w:rsidP="00401C38">
      <w:pPr>
        <w:pStyle w:val="corpsdedcision"/>
      </w:pPr>
      <w:r>
        <w:t>Or, le Tribunal peut difficilement accorder une force probante significative à</w:t>
      </w:r>
      <w:r w:rsidR="00DE0768">
        <w:t> </w:t>
      </w:r>
      <w:r>
        <w:t>l’opinion du docteur Messier sur cette question, principalement comme il admet n’avoir jamais vu la technique spécifique du travailleur dans l’opération de la presse. Ce fait devient particulièrement problématique comme la description que le docteur Messier fait du mouvement d’opération de la presse à ses notes semble différer de la démonstration qu’en a fait</w:t>
      </w:r>
      <w:r w:rsidR="000662A3">
        <w:t>e</w:t>
      </w:r>
      <w:r>
        <w:t xml:space="preserve"> le travailleur à l’audience.</w:t>
      </w:r>
    </w:p>
    <w:p w14:paraId="4D4121DE" w14:textId="2D43FFD0" w:rsidR="00E972EC" w:rsidRDefault="00E972EC" w:rsidP="00401C38">
      <w:pPr>
        <w:pStyle w:val="corpsdedcision"/>
      </w:pPr>
      <w:r>
        <w:t>En effet</w:t>
      </w:r>
      <w:r w:rsidR="00411EE2">
        <w:t>, dans sa description du mouvement</w:t>
      </w:r>
      <w:r w:rsidR="00D7373C">
        <w:t xml:space="preserve"> qu’implique l’opération de la presse</w:t>
      </w:r>
      <w:r w:rsidR="00411EE2">
        <w:t>, le docteur Messier explique que l’avant-bras serait en position neutre et que le</w:t>
      </w:r>
      <w:r w:rsidR="00DE0768">
        <w:t> </w:t>
      </w:r>
      <w:r w:rsidR="00411EE2">
        <w:t>mouvement serait une simple flexion de l’avant-bras avec pression vers le bas. Il</w:t>
      </w:r>
      <w:r w:rsidR="00DE0768">
        <w:t> </w:t>
      </w:r>
      <w:r w:rsidR="00411EE2">
        <w:t>explique par ailleurs avoir fait lui-même le mouvement à plusieurs reprises dans le</w:t>
      </w:r>
      <w:r w:rsidR="00DE0768">
        <w:t> </w:t>
      </w:r>
      <w:r w:rsidR="00411EE2">
        <w:t>cadre de sa visite de poste sous la supervision d’un employé qualifié et vient à</w:t>
      </w:r>
      <w:r w:rsidR="00DE0768">
        <w:t> </w:t>
      </w:r>
      <w:r w:rsidR="00411EE2">
        <w:t>la</w:t>
      </w:r>
      <w:r w:rsidR="00DE0768">
        <w:t> </w:t>
      </w:r>
      <w:r w:rsidR="00411EE2">
        <w:t>conclusion que les structures sollicitées ne seraient essentiellement que le bicep</w:t>
      </w:r>
      <w:r w:rsidR="00D7373C">
        <w:t>s</w:t>
      </w:r>
      <w:r w:rsidR="00411EE2">
        <w:t xml:space="preserve"> pour la flexion et l’épaule</w:t>
      </w:r>
      <w:r w:rsidR="00D7373C">
        <w:t xml:space="preserve"> de façon moindre dans un mouvement d’extension</w:t>
      </w:r>
      <w:r w:rsidR="00411EE2">
        <w:t>.</w:t>
      </w:r>
    </w:p>
    <w:p w14:paraId="49B2C5EE" w14:textId="490F8F43" w:rsidR="00411EE2" w:rsidRDefault="00411EE2" w:rsidP="00401C38">
      <w:pPr>
        <w:pStyle w:val="corpsdedcision"/>
      </w:pPr>
      <w:r>
        <w:t>Toutefois, à l’audience, le travailleur démontre une posture différente de ce que décrit le docteur Messier. En effet, lorsqu’il illustre le mouvement qu’il effectuait, le</w:t>
      </w:r>
      <w:r w:rsidR="00DE0768">
        <w:t> </w:t>
      </w:r>
      <w:r>
        <w:t>travailleur se place devant sa table et ne positionne pas son avant-bras en position neutre</w:t>
      </w:r>
      <w:r w:rsidR="00E72A32">
        <w:t xml:space="preserve"> comme l’explique le docteur Messier</w:t>
      </w:r>
      <w:r>
        <w:t xml:space="preserve">, mais bien en angle de 45 degrés par rapport au sol. De plus, son poignet n’est pas </w:t>
      </w:r>
      <w:r w:rsidR="00E72A32">
        <w:t xml:space="preserve">dans une position parallèle au bras, mais plutôt perpendiculaire au sol. Ce faisant, </w:t>
      </w:r>
      <w:r w:rsidR="00D7373C">
        <w:t>sa main</w:t>
      </w:r>
      <w:r w:rsidR="00E72A32">
        <w:t xml:space="preserve"> est dans une position de dorsiflexion qui nécessite une sollicitation du grand extenseur du poignet.</w:t>
      </w:r>
    </w:p>
    <w:p w14:paraId="16AA2AE5" w14:textId="13C01AD4" w:rsidR="00E72A32" w:rsidRDefault="00E72A32" w:rsidP="00401C38">
      <w:pPr>
        <w:pStyle w:val="corpsdedcision"/>
      </w:pPr>
      <w:r>
        <w:t>Cette différence entre la technique observée et pratiquée par le docteur Messier et celle démontrée par le travailleur peut s’expliquer de plusieurs manières, par exemple par la grandeur du travailleur, sa capacité musculaire ou peut-être même par une</w:t>
      </w:r>
      <w:r w:rsidR="00DE0768">
        <w:t> </w:t>
      </w:r>
      <w:r>
        <w:t xml:space="preserve">technique sous-optimale. Cependant, quoiqu’il en soit, le Tribunal estime devoir faire preuve d’une grande </w:t>
      </w:r>
      <w:r w:rsidR="00D7373C">
        <w:t>réserve</w:t>
      </w:r>
      <w:r>
        <w:t xml:space="preserve"> dans la force probante </w:t>
      </w:r>
      <w:r w:rsidR="00D7373C">
        <w:t>qui doit être accordée à</w:t>
      </w:r>
      <w:r>
        <w:t xml:space="preserve"> l’opinion du</w:t>
      </w:r>
      <w:r w:rsidR="00DE0768">
        <w:t> </w:t>
      </w:r>
      <w:r>
        <w:t xml:space="preserve">docteur Messier lorsque celui-ci n’a pas </w:t>
      </w:r>
      <w:r w:rsidR="00D7373C">
        <w:t xml:space="preserve">pu observer le travailleur à son poste de travail et n’a pas </w:t>
      </w:r>
      <w:r w:rsidR="00F30BA9">
        <w:t>observé la démonstration du travailleur à l’audience</w:t>
      </w:r>
      <w:r w:rsidR="00D7373C">
        <w:t>.</w:t>
      </w:r>
    </w:p>
    <w:p w14:paraId="62657147" w14:textId="6F186697" w:rsidR="00676F93" w:rsidRPr="00676F93" w:rsidRDefault="00ED08AD" w:rsidP="00D41422">
      <w:pPr>
        <w:pStyle w:val="Titre4"/>
        <w:jc w:val="both"/>
      </w:pPr>
      <w:r>
        <w:t>La preuve démontre qu’une certaine cadence de travail est imposée par l’employeur</w:t>
      </w:r>
      <w:r w:rsidR="003C192A">
        <w:t>,</w:t>
      </w:r>
      <w:r>
        <w:t xml:space="preserve"> que l</w:t>
      </w:r>
      <w:r w:rsidR="00676F93" w:rsidRPr="00676F93">
        <w:t>es mouvements d’activation de la presse se font dans une succession rapide et nécessite</w:t>
      </w:r>
      <w:r w:rsidR="0010287C">
        <w:t>nt</w:t>
      </w:r>
      <w:r w:rsidR="00676F93" w:rsidRPr="00676F93">
        <w:t xml:space="preserve"> une force non négligeable</w:t>
      </w:r>
    </w:p>
    <w:p w14:paraId="2EDB7A73" w14:textId="303E13A2" w:rsidR="00D7373C" w:rsidRDefault="00D7373C" w:rsidP="00401C38">
      <w:pPr>
        <w:pStyle w:val="corpsdedcision"/>
      </w:pPr>
      <w:r>
        <w:t>Quant aux autres arguments soulevés par l’employeur, le Tribunal ne</w:t>
      </w:r>
      <w:r w:rsidR="00DE0768">
        <w:t> </w:t>
      </w:r>
      <w:r>
        <w:t>les</w:t>
      </w:r>
      <w:r w:rsidR="00DE0768">
        <w:t> </w:t>
      </w:r>
      <w:r>
        <w:t>considère pas convaincants.</w:t>
      </w:r>
    </w:p>
    <w:p w14:paraId="084FE054" w14:textId="0E58C39D" w:rsidR="00D7373C" w:rsidRDefault="00D7373C" w:rsidP="00401C38">
      <w:pPr>
        <w:pStyle w:val="corpsdedcision"/>
      </w:pPr>
      <w:r>
        <w:t>L’employeur explique être d’avis qu’il serait improbable que les tâches du</w:t>
      </w:r>
      <w:r w:rsidR="00DE0768">
        <w:t> </w:t>
      </w:r>
      <w:r>
        <w:t xml:space="preserve">travailleur puissent mener à une tendinite comme celles-ci sont variées, qu’il n’y aurait aucune cadence imposée </w:t>
      </w:r>
      <w:r w:rsidR="000662A3">
        <w:t xml:space="preserve">et </w:t>
      </w:r>
      <w:r>
        <w:t>que l’effort d’opération de la presse serait minime.</w:t>
      </w:r>
    </w:p>
    <w:p w14:paraId="35C8EAC4" w14:textId="71EE0D72" w:rsidR="00DE31A2" w:rsidRDefault="00280DD2" w:rsidP="00401C38">
      <w:pPr>
        <w:pStyle w:val="corpsdedcision"/>
      </w:pPr>
      <w:r>
        <w:t>En ce qui concerne la cadence du travail, le Tribunal considère que le travailleur a démontré de façon prépondérante qu’un rythme de travail est attendu des opérateurs, bien que ce ne soit pas explicitement nommé de la sorte.</w:t>
      </w:r>
    </w:p>
    <w:p w14:paraId="506CAF45" w14:textId="1F0824E5" w:rsidR="00280DD2" w:rsidRDefault="00280DD2" w:rsidP="004215E8">
      <w:pPr>
        <w:pStyle w:val="corpsdedcision"/>
      </w:pPr>
      <w:r>
        <w:t>En effet, lors de son témoignage, le travailleur explique que les superviseurs ont</w:t>
      </w:r>
      <w:r w:rsidR="00DE0768">
        <w:t> </w:t>
      </w:r>
      <w:r>
        <w:t>des attentes quant à la productivité des travailleurs et savent exactement le nombre de pièces qu’ils ont assemblé</w:t>
      </w:r>
      <w:r w:rsidR="00401FAE">
        <w:t>e</w:t>
      </w:r>
      <w:r w:rsidR="004215E8">
        <w:t>s</w:t>
      </w:r>
      <w:r>
        <w:t xml:space="preserve"> dans une journée. Il explique que, si la productivité d’un</w:t>
      </w:r>
      <w:r w:rsidR="00DE0768">
        <w:t> </w:t>
      </w:r>
      <w:r>
        <w:t xml:space="preserve">travailleur est en deçà des attentes, le superviseur ira rencontrer le travailleur afin de vérifier les raisons qui expliquent leur basse production </w:t>
      </w:r>
      <w:r w:rsidR="00340FC9">
        <w:t>lors</w:t>
      </w:r>
      <w:r>
        <w:t xml:space="preserve"> de leur quart de travail </w:t>
      </w:r>
      <w:r w:rsidR="00340FC9">
        <w:t>suivant</w:t>
      </w:r>
      <w:r>
        <w:t>.</w:t>
      </w:r>
    </w:p>
    <w:p w14:paraId="762A41C8" w14:textId="315D2E61" w:rsidR="00280DD2" w:rsidRDefault="00280DD2" w:rsidP="00401C38">
      <w:pPr>
        <w:pStyle w:val="corpsdedcision"/>
      </w:pPr>
      <w:r>
        <w:t>Ce faisant, bien qu’on ne mentionne pas explicitement que les travailleurs doivent rencontr</w:t>
      </w:r>
      <w:r w:rsidR="00340FC9">
        <w:t>er</w:t>
      </w:r>
      <w:r>
        <w:t xml:space="preserve"> un certain quota, le Tribunal comprend qu’il est clair pour ceux-ci que des</w:t>
      </w:r>
      <w:r w:rsidR="00DE0768">
        <w:t> </w:t>
      </w:r>
      <w:r>
        <w:t>attentes existent quant au nombre de pièces qu’ils doivent produire dans un quart de</w:t>
      </w:r>
      <w:r w:rsidR="00DE0768">
        <w:t> </w:t>
      </w:r>
      <w:r>
        <w:t>travail</w:t>
      </w:r>
      <w:r w:rsidR="00ED08AD">
        <w:t>, sans quoi il y aura intervention de l’employeur</w:t>
      </w:r>
      <w:r>
        <w:t xml:space="preserve">. </w:t>
      </w:r>
      <w:r w:rsidR="00497FF2">
        <w:t>Il y a donc une certaine cadence imposée par l’employeur quant à la production.</w:t>
      </w:r>
    </w:p>
    <w:p w14:paraId="245587EF" w14:textId="6020C029" w:rsidR="00340FC9" w:rsidRDefault="00340FC9" w:rsidP="00401C38">
      <w:pPr>
        <w:pStyle w:val="corpsdedcision"/>
      </w:pPr>
      <w:r>
        <w:t xml:space="preserve">Quant </w:t>
      </w:r>
      <w:r w:rsidR="00ED08AD">
        <w:t xml:space="preserve">aux arguments de l’employeur relatifs à </w:t>
      </w:r>
      <w:r>
        <w:t xml:space="preserve">la diversité des tâches et </w:t>
      </w:r>
      <w:r w:rsidR="00ED08AD">
        <w:t>au</w:t>
      </w:r>
      <w:r>
        <w:t xml:space="preserve"> faible effort que la presse demande afin de percer les pièces de métal, le Tribunal considère </w:t>
      </w:r>
      <w:r w:rsidR="005D1060">
        <w:t xml:space="preserve">que </w:t>
      </w:r>
      <w:r>
        <w:t>la preuve</w:t>
      </w:r>
      <w:r w:rsidR="00ED08AD">
        <w:t xml:space="preserve"> appuyant ces thèses</w:t>
      </w:r>
      <w:r>
        <w:t xml:space="preserve"> </w:t>
      </w:r>
      <w:r w:rsidR="005D1060">
        <w:t xml:space="preserve">est </w:t>
      </w:r>
      <w:r>
        <w:t>insuffisante afin de renverser la présomption de</w:t>
      </w:r>
      <w:r w:rsidR="00DE0768">
        <w:t> </w:t>
      </w:r>
      <w:r>
        <w:t>maladie professionnelle.</w:t>
      </w:r>
    </w:p>
    <w:p w14:paraId="564DFEA2" w14:textId="45F320BD" w:rsidR="00460595" w:rsidRDefault="00340FC9" w:rsidP="00537DE6">
      <w:pPr>
        <w:pStyle w:val="corpsdedcision"/>
        <w:keepNext/>
        <w:keepLines/>
      </w:pPr>
      <w:r>
        <w:t>La preuve démontre effectivement que le travail d’un opérateur chez l’employeur ne consiste pas exclusivement à percer des pièces de métal. Le travailleur explique que, une fois la pièce de métal trouée, il doit ensuite y insérer des pièces de petite taille qu’il</w:t>
      </w:r>
      <w:r w:rsidR="00DE0768">
        <w:t> </w:t>
      </w:r>
      <w:r>
        <w:t>appelle des « ailettes » et ensuite y souder une autre pièce.</w:t>
      </w:r>
    </w:p>
    <w:p w14:paraId="22204643" w14:textId="31D0E989" w:rsidR="00460595" w:rsidRDefault="00460595" w:rsidP="00EC30FF">
      <w:pPr>
        <w:pStyle w:val="corpsdedcision"/>
      </w:pPr>
      <w:r>
        <w:t>Pour l’employeur, c</w:t>
      </w:r>
      <w:r w:rsidR="00340FC9">
        <w:t xml:space="preserve">omme ces </w:t>
      </w:r>
      <w:r w:rsidR="001F4742">
        <w:t>autres tâches</w:t>
      </w:r>
      <w:r w:rsidR="00340FC9">
        <w:t xml:space="preserve"> ne sollicitent pas </w:t>
      </w:r>
      <w:r w:rsidR="007C19E8">
        <w:t>le grand extenseur du poignet (ni les épicondyliens, comme il sera discuté plus bas), il considère que le</w:t>
      </w:r>
      <w:r w:rsidR="00DE0768">
        <w:t> </w:t>
      </w:r>
      <w:r w:rsidR="007C19E8">
        <w:t>travail du travailleur contient suffisamment de « micropauses » pour permettre aux</w:t>
      </w:r>
      <w:r w:rsidR="00DE0768">
        <w:t> </w:t>
      </w:r>
      <w:r w:rsidR="007C19E8">
        <w:t>structures anatomiques sollicitées par l’opération de la presse de se reposer et ainsi d’éviter que surviennent des tendinites ou d’autres pathologies liées au travail répétitif.</w:t>
      </w:r>
      <w:r>
        <w:t xml:space="preserve"> Il</w:t>
      </w:r>
      <w:r w:rsidR="00DE0768">
        <w:t> </w:t>
      </w:r>
      <w:r>
        <w:t>insiste également sur le fait que son calcul du nombre de répétitions du mouvement d’activation de la presse par minute situe celui-ci légèrement en deçà d’une activation par minute.</w:t>
      </w:r>
    </w:p>
    <w:p w14:paraId="77D7BC5A" w14:textId="4F62CF6E" w:rsidR="00460595" w:rsidRDefault="00460595" w:rsidP="00460595">
      <w:pPr>
        <w:pStyle w:val="corpsdedcision"/>
      </w:pPr>
      <w:r>
        <w:t xml:space="preserve">Or, la preuve démontre que, même si la moyenne du nombre de répétitions </w:t>
      </w:r>
      <w:r w:rsidR="001F4742">
        <w:t xml:space="preserve">d’activation de la presse se </w:t>
      </w:r>
      <w:r>
        <w:t>situe près d’une fois par minute, cela ne représente pas les</w:t>
      </w:r>
      <w:r w:rsidR="00DE0768">
        <w:t> </w:t>
      </w:r>
      <w:r>
        <w:t>réelles conditions d’exercice de l’emploi du travailleur. Dans les faits, le travailleur ne</w:t>
      </w:r>
      <w:r w:rsidR="00DE0768">
        <w:t> </w:t>
      </w:r>
      <w:r>
        <w:t xml:space="preserve">bénéficie pas d’un repos d’une minute entre chaque utilisation de la presse. En effet, le travailleur explique que les dix trous qu’il doit effectuer sur une pièce de métal </w:t>
      </w:r>
      <w:r w:rsidR="001F4742">
        <w:t xml:space="preserve">donnée </w:t>
      </w:r>
      <w:r>
        <w:t>sont faits successivement, et ce</w:t>
      </w:r>
      <w:r w:rsidR="00D8268E">
        <w:t>,</w:t>
      </w:r>
      <w:r>
        <w:t xml:space="preserve"> avec essentiellement aucune pause entre chaque mouvement, autre que </w:t>
      </w:r>
      <w:r w:rsidR="00300216">
        <w:t>pour</w:t>
      </w:r>
      <w:r>
        <w:t xml:space="preserve"> replacer la pièce pour faire le trou suivant.</w:t>
      </w:r>
    </w:p>
    <w:p w14:paraId="7219DB50" w14:textId="1968EF59" w:rsidR="00460595" w:rsidRDefault="001F4742" w:rsidP="00460595">
      <w:pPr>
        <w:pStyle w:val="corpsdedcision"/>
      </w:pPr>
      <w:r>
        <w:t xml:space="preserve">L’effort en question n’est d’ailleurs pas du tout négligeable. La preuve démontre que les pièces les plus légères nécessitent que le travailleur applique une force de 16 lb sur le levier de la presse pour les percer complètement. L’effort </w:t>
      </w:r>
      <w:r w:rsidR="00300216">
        <w:t>pour les pièces</w:t>
      </w:r>
      <w:r>
        <w:t xml:space="preserve"> les plus coriaces est encore plus significatif, certaines nécessitant une pression qui peut aller jusqu’à 68 lb pour les traverser.</w:t>
      </w:r>
    </w:p>
    <w:p w14:paraId="5DCDAC35" w14:textId="69B2EE0A" w:rsidR="00B87E6C" w:rsidRDefault="00B87E6C" w:rsidP="00460595">
      <w:pPr>
        <w:pStyle w:val="corpsdedcision"/>
      </w:pPr>
      <w:r>
        <w:t>Ce mouvement sollicite d’ailleurs le long extenseur du poignet comme mentionné précédemment, bien que le Tribunal comprenne que ce ne soit pas nécessairement la</w:t>
      </w:r>
      <w:r w:rsidR="00DE0768">
        <w:t> </w:t>
      </w:r>
      <w:r>
        <w:t>principale structure sollicitée. En effet, la posture de travail démontrée par le travailleur implique que son poignet est en extension complète lorsqu’il tire sur le levier de</w:t>
      </w:r>
      <w:r w:rsidR="00DE0768">
        <w:t> </w:t>
      </w:r>
      <w:r>
        <w:t>la</w:t>
      </w:r>
      <w:r w:rsidR="00DE0768">
        <w:t> </w:t>
      </w:r>
      <w:r>
        <w:t>machine, ce qui nécessite une force des extenseurs pour maintenir la position et stabiliser la main pendant l’effort.</w:t>
      </w:r>
    </w:p>
    <w:p w14:paraId="4F2C6719" w14:textId="7A9E50F5" w:rsidR="001F4742" w:rsidRDefault="001F4742" w:rsidP="00460595">
      <w:pPr>
        <w:pStyle w:val="corpsdedcision"/>
      </w:pPr>
      <w:r>
        <w:t xml:space="preserve">Dans ces circonstances, </w:t>
      </w:r>
      <w:r w:rsidR="00B87E6C">
        <w:t>comme le mouvement d’activation du levier de la presse sollicite le long extenseur du poignet droit, que</w:t>
      </w:r>
      <w:r>
        <w:t xml:space="preserve"> le nombre de répétitions du mouvement qui doivent être effectués successivement </w:t>
      </w:r>
      <w:r w:rsidR="00B87E6C">
        <w:t xml:space="preserve">est significatif </w:t>
      </w:r>
      <w:r>
        <w:t xml:space="preserve">et </w:t>
      </w:r>
      <w:r w:rsidR="00B87E6C">
        <w:t>qu’une</w:t>
      </w:r>
      <w:r w:rsidR="005D1060">
        <w:t xml:space="preserve"> force importante est nécessaire dans sa réalisation, le </w:t>
      </w:r>
      <w:r w:rsidR="00300216">
        <w:t xml:space="preserve">Tribunal considère le </w:t>
      </w:r>
      <w:r w:rsidR="005D1060">
        <w:t>fait que d’autres tâches puissent venir entrecouper les séquences d’utilisation de la presse ne suffit pas à</w:t>
      </w:r>
      <w:r w:rsidR="006D16E2">
        <w:t xml:space="preserve"> </w:t>
      </w:r>
      <w:r w:rsidR="005D1060">
        <w:t xml:space="preserve">renverser </w:t>
      </w:r>
      <w:r w:rsidR="005D1060" w:rsidRPr="006D16E2">
        <w:t>la</w:t>
      </w:r>
      <w:r w:rsidR="006D16E2">
        <w:t> </w:t>
      </w:r>
      <w:r w:rsidR="005D1060" w:rsidRPr="006D16E2">
        <w:t>présomption</w:t>
      </w:r>
      <w:r w:rsidR="005D1060">
        <w:t xml:space="preserve"> de maladie professionnelle.</w:t>
      </w:r>
    </w:p>
    <w:p w14:paraId="5EADD8AE" w14:textId="0259DB12" w:rsidR="005D1060" w:rsidRDefault="005D1060" w:rsidP="00460595">
      <w:pPr>
        <w:pStyle w:val="corpsdedcision"/>
      </w:pPr>
      <w:r>
        <w:t>Ce faisant, comme la présomption trouve application et qu’une preuve prépondérante n’a pas été offerte pour la renverser, la tendinite du grand extenseur du</w:t>
      </w:r>
      <w:r w:rsidR="00DE0768">
        <w:t> </w:t>
      </w:r>
      <w:r>
        <w:t>poignet droit diagnostiquée au travailleur le 29 mars 2021 constitue une maladie professionnelle. La contestation de l’employeur à ce sujet doit donc être rejetée.</w:t>
      </w:r>
    </w:p>
    <w:p w14:paraId="4118927F" w14:textId="4801B025" w:rsidR="00160467" w:rsidRPr="00160467" w:rsidRDefault="00160467" w:rsidP="00D41422">
      <w:pPr>
        <w:pStyle w:val="Titre3"/>
        <w:jc w:val="both"/>
      </w:pPr>
      <w:r w:rsidRPr="00160467">
        <w:t xml:space="preserve">L’épicondylite externe du coude droit diagnostiquée au travailleur constitue-t-elle une </w:t>
      </w:r>
      <w:r w:rsidR="00E77B88">
        <w:t>maladie</w:t>
      </w:r>
      <w:r w:rsidRPr="00160467">
        <w:t xml:space="preserve"> professionnelle?</w:t>
      </w:r>
    </w:p>
    <w:p w14:paraId="0D08609C" w14:textId="184659E5" w:rsidR="003C192A" w:rsidRDefault="003C192A" w:rsidP="00460595">
      <w:pPr>
        <w:pStyle w:val="corpsdedcision"/>
      </w:pPr>
      <w:r>
        <w:t xml:space="preserve">L’employeur conteste également la décision de la Commission de reconnaître que l’épicondylite du coude droit qui a été diagnostiquée au travailleur constitue un diagnostic de la lésion professionnelle. Ses arguments à ce sujet </w:t>
      </w:r>
      <w:r w:rsidR="00FE1A34">
        <w:t xml:space="preserve">se </w:t>
      </w:r>
      <w:r>
        <w:t>recoupent</w:t>
      </w:r>
      <w:r w:rsidR="00FE1A34">
        <w:t xml:space="preserve"> avec ceux soumis pour la tendinite, mais il insiste particulièrement sur le fait que le mouvement d’activation de la presse ne solliciterait pas les épicondyliens ou, tout au plus, ne les solliciterait que de façon passive.</w:t>
      </w:r>
    </w:p>
    <w:p w14:paraId="26B3D1B2" w14:textId="600DDDB4" w:rsidR="007E67E8" w:rsidRDefault="007E67E8" w:rsidP="00460595">
      <w:pPr>
        <w:pStyle w:val="corpsdedcision"/>
      </w:pPr>
      <w:r>
        <w:t>Le Tribunal ne peut suivre ces arguments, et ce, en grande partie pour les mêmes raisons expliquées à la section précédente.</w:t>
      </w:r>
    </w:p>
    <w:p w14:paraId="21BD3D9E" w14:textId="3E22DF4C" w:rsidR="007172B3" w:rsidRPr="007172B3" w:rsidRDefault="007172B3" w:rsidP="00D41422">
      <w:pPr>
        <w:pStyle w:val="Titre4"/>
        <w:jc w:val="both"/>
      </w:pPr>
      <w:r w:rsidRPr="007172B3">
        <w:t>L’application de la présomption de maladie professionnelle pour le diagnostic d’épicondylite</w:t>
      </w:r>
    </w:p>
    <w:p w14:paraId="7079E099" w14:textId="4066643F" w:rsidR="007E67E8" w:rsidRDefault="007E67E8" w:rsidP="00460595">
      <w:pPr>
        <w:pStyle w:val="corpsdedcision"/>
      </w:pPr>
      <w:r>
        <w:t>En effet, le diagnostic d’épicondylite fait l’objet d’une certaine controverse dans la</w:t>
      </w:r>
      <w:r w:rsidR="00DE0768">
        <w:t> </w:t>
      </w:r>
      <w:r>
        <w:t>jurisprudence du Tribunal à savoir si celui-ci peut faire l’objet ou non de la présomption de maladie professionnelle prévue par l’article 29 de la Loi qui a été analysée plus tôt.</w:t>
      </w:r>
    </w:p>
    <w:p w14:paraId="148AC303" w14:textId="4C5A5247" w:rsidR="007E67E8" w:rsidRDefault="007E67E8" w:rsidP="00EC30FF">
      <w:pPr>
        <w:pStyle w:val="corpsdedcision"/>
      </w:pPr>
      <w:r>
        <w:t xml:space="preserve">La </w:t>
      </w:r>
      <w:r w:rsidR="00EB678F">
        <w:t xml:space="preserve">première </w:t>
      </w:r>
      <w:r>
        <w:t>tendance jurisprudentielle</w:t>
      </w:r>
      <w:r w:rsidR="00EB678F">
        <w:t>,</w:t>
      </w:r>
      <w:r>
        <w:t xml:space="preserve"> autrefois prédominante</w:t>
      </w:r>
      <w:r w:rsidR="00EB678F">
        <w:t>,</w:t>
      </w:r>
      <w:r>
        <w:t xml:space="preserve"> est à l’effet que les diagnostics nommés à l’annexe comme étant les maladies pouvant être causé</w:t>
      </w:r>
      <w:r w:rsidR="000662A3">
        <w:t>e</w:t>
      </w:r>
      <w:r>
        <w:t>s par des emplois qui impliquent des répétitions de mouvement constituent une liste exhaustive des maladies visées par cette disposition</w:t>
      </w:r>
      <w:r w:rsidR="00EB678F">
        <w:t xml:space="preserve"> et</w:t>
      </w:r>
      <w:r>
        <w:t xml:space="preserve"> </w:t>
      </w:r>
      <w:r w:rsidR="002E571A">
        <w:t xml:space="preserve">que </w:t>
      </w:r>
      <w:r w:rsidR="00EB678F">
        <w:t>tout</w:t>
      </w:r>
      <w:r>
        <w:t xml:space="preserve"> diagnostic </w:t>
      </w:r>
      <w:r w:rsidR="00EB678F">
        <w:t>dont la nomenclature diffère de ces trois conditions doit en être exclu. Ce faisant, pour les tenants de cette approche, comme l’annexe ne mentionne que la tendinite, la bursite et la ténosynovite, la présomption de l’article 29 ne peut s’appliquer à une épicondylite, celle-ci n’y étant pas nommée</w:t>
      </w:r>
      <w:r w:rsidR="002E571A">
        <w:rPr>
          <w:rStyle w:val="Appelnotedebasdep"/>
        </w:rPr>
        <w:footnoteReference w:id="18"/>
      </w:r>
      <w:r w:rsidR="00EB678F">
        <w:t>.</w:t>
      </w:r>
    </w:p>
    <w:p w14:paraId="568711F3" w14:textId="5C932115" w:rsidR="00480338" w:rsidRDefault="00911A1F" w:rsidP="001973EF">
      <w:pPr>
        <w:pStyle w:val="corpsdedcision"/>
        <w:keepNext/>
        <w:keepLines/>
      </w:pPr>
      <w:r>
        <w:t>Le second courant qui, particulièrement dans les dernières années, s’impose de</w:t>
      </w:r>
      <w:r w:rsidR="00DE0768">
        <w:t> </w:t>
      </w:r>
      <w:r>
        <w:t>plus en plus prévoit plutôt que l</w:t>
      </w:r>
      <w:r w:rsidR="00D9362F">
        <w:t>’épicondylite est incluse dans la notion de tendinite retrouvée à l’annexe</w:t>
      </w:r>
      <w:r>
        <w:t>, celle-ci constituant, en fait, une forme de tendinite</w:t>
      </w:r>
      <w:r w:rsidR="00D9362F">
        <w:rPr>
          <w:rStyle w:val="Appelnotedebasdep"/>
        </w:rPr>
        <w:footnoteReference w:id="19"/>
      </w:r>
      <w:r w:rsidR="00D9362F">
        <w:t>.</w:t>
      </w:r>
      <w:r>
        <w:t xml:space="preserve"> Les tenants de</w:t>
      </w:r>
      <w:r w:rsidR="00DE0768">
        <w:t> </w:t>
      </w:r>
      <w:r>
        <w:t xml:space="preserve">ce courant considèrent habituellement que le terme « tendinite » est </w:t>
      </w:r>
      <w:r w:rsidR="00E766F1">
        <w:t>fréquemment</w:t>
      </w:r>
      <w:r>
        <w:t xml:space="preserve"> utilisé dans le langage médical pour qualifier plusieurs pathologies, dont l’épicondylite</w:t>
      </w:r>
      <w:r w:rsidR="00480338">
        <w:t>.</w:t>
      </w:r>
    </w:p>
    <w:p w14:paraId="118DEADF" w14:textId="41AC811F" w:rsidR="00480338" w:rsidRDefault="00480338" w:rsidP="00CD27D9">
      <w:pPr>
        <w:pStyle w:val="corpsdedcision"/>
        <w:keepNext/>
        <w:keepLines/>
      </w:pPr>
      <w:r>
        <w:t xml:space="preserve">Entre ces deux </w:t>
      </w:r>
      <w:r w:rsidR="00071F5D">
        <w:t>tendances</w:t>
      </w:r>
      <w:r>
        <w:t xml:space="preserve">, le Tribunal considère plus appropriée le second courant qui inclut l’épicondylite à la notion de « tendinite » prévue à l’annexe. Le Tribunal partage en ce sens l’analyse effectuée dans l’affaire </w:t>
      </w:r>
      <w:r w:rsidRPr="00B84DE4">
        <w:rPr>
          <w:i/>
          <w:iCs/>
        </w:rPr>
        <w:t>Craig</w:t>
      </w:r>
      <w:r>
        <w:t xml:space="preserve"> et </w:t>
      </w:r>
      <w:r w:rsidRPr="00B84DE4">
        <w:rPr>
          <w:i/>
          <w:iCs/>
        </w:rPr>
        <w:t>Électroménagers BSH ltée</w:t>
      </w:r>
      <w:r>
        <w:rPr>
          <w:rStyle w:val="Appelnotedebasdep"/>
        </w:rPr>
        <w:footnoteReference w:id="20"/>
      </w:r>
      <w:r>
        <w:t xml:space="preserve"> dans laquelle </w:t>
      </w:r>
      <w:r w:rsidR="00071F5D">
        <w:t>l</w:t>
      </w:r>
      <w:r>
        <w:t xml:space="preserve">es dispositions de l’annexe </w:t>
      </w:r>
      <w:r w:rsidR="00071F5D">
        <w:t>sont analysées</w:t>
      </w:r>
      <w:r>
        <w:t xml:space="preserve"> à la lumière des principes modernes d’interprétation des lois afin de conclure qu’une interprétation large de ses dispositions doit être </w:t>
      </w:r>
      <w:r w:rsidR="00071F5D">
        <w:t>privilégiée</w:t>
      </w:r>
      <w:r>
        <w:t xml:space="preserve"> pour </w:t>
      </w:r>
      <w:r w:rsidR="000662A3">
        <w:t>atteindre</w:t>
      </w:r>
      <w:r>
        <w:t xml:space="preserve"> les objectifs de la Loi.</w:t>
      </w:r>
    </w:p>
    <w:p w14:paraId="0C782237" w14:textId="5F6587A8" w:rsidR="00480338" w:rsidRDefault="00480338" w:rsidP="00480338">
      <w:pPr>
        <w:pStyle w:val="corpsdedcision"/>
      </w:pPr>
      <w:r>
        <w:t>Ce faisant, comme le Tribunal considère que l’épicondylite est un diagnostic visé par l’annexe A de la Loi</w:t>
      </w:r>
      <w:r w:rsidR="00F7383E">
        <w:t>, la présomption de maladie professionnelle prévue à l’article 29 s’y appliquera</w:t>
      </w:r>
      <w:r>
        <w:t xml:space="preserve"> </w:t>
      </w:r>
      <w:r w:rsidR="00071F5D">
        <w:t xml:space="preserve">si les critères nommés précédemment sont </w:t>
      </w:r>
      <w:r w:rsidR="00A6113A">
        <w:t>satisfait</w:t>
      </w:r>
      <w:r w:rsidR="00071F5D">
        <w:t xml:space="preserve">s, soit </w:t>
      </w:r>
      <w:r w:rsidR="00F06980">
        <w:t>que le travail du</w:t>
      </w:r>
      <w:r w:rsidR="002D55DA">
        <w:t> </w:t>
      </w:r>
      <w:r w:rsidR="00F06980">
        <w:t>travailleur implique « </w:t>
      </w:r>
      <w:r w:rsidR="00F06980" w:rsidRPr="00F06980">
        <w:t>des répétitions de mouvements ou de pressions sur des périodes de temps prolongées</w:t>
      </w:r>
      <w:r w:rsidR="00F06980">
        <w:t> ».</w:t>
      </w:r>
    </w:p>
    <w:p w14:paraId="66624F4E" w14:textId="45B82851" w:rsidR="00480338" w:rsidRDefault="00F06980" w:rsidP="00480338">
      <w:pPr>
        <w:pStyle w:val="corpsdedcision"/>
      </w:pPr>
      <w:r>
        <w:t>Or</w:t>
      </w:r>
      <w:r w:rsidR="00B04FCB">
        <w:t>,</w:t>
      </w:r>
      <w:r>
        <w:t xml:space="preserve"> le Tribunal a déjà déterminé que tel était le cas dans la section précédente, ayant considéré que l’opération de la presse sollicitait le coude et le poignet du travailleur de façon répétée et sur des périodes prolongées. Par ailleurs, le Tribunal considère que ce mouvement sollicite effectivement les muscles épicondyliens, comme il le sera expliqué plus bas.</w:t>
      </w:r>
    </w:p>
    <w:p w14:paraId="74D8FA97" w14:textId="471A9A58" w:rsidR="007172B3" w:rsidRPr="007172B3" w:rsidRDefault="007172B3" w:rsidP="00D41422">
      <w:pPr>
        <w:pStyle w:val="Titre4"/>
        <w:jc w:val="both"/>
      </w:pPr>
      <w:r w:rsidRPr="007172B3">
        <w:t>La preuve soumise par l’employeur ne suffit pas davantage à renverser la présomption de maladie professionnelle eu égard au diagnostic d’épicondylite</w:t>
      </w:r>
    </w:p>
    <w:p w14:paraId="71974216" w14:textId="37FF0BF9" w:rsidR="00B04FCB" w:rsidRDefault="00F06980" w:rsidP="00480338">
      <w:pPr>
        <w:pStyle w:val="corpsdedcision"/>
      </w:pPr>
      <w:r>
        <w:t>Dans ces circonstances, le fardeau de démontrer que l’épicondylite du travailleur ne constitue pas une maladie professionnelle incombe à l’employeur</w:t>
      </w:r>
      <w:r w:rsidR="00B04FCB">
        <w:t>.</w:t>
      </w:r>
    </w:p>
    <w:p w14:paraId="707B2E59" w14:textId="49E38200" w:rsidR="00F06980" w:rsidRDefault="00B04FCB" w:rsidP="00480338">
      <w:pPr>
        <w:pStyle w:val="corpsdedcision"/>
      </w:pPr>
      <w:r>
        <w:t>Le Tribunal considère toutefois que l’employeur ne s’est pas déchargé de</w:t>
      </w:r>
      <w:r w:rsidR="00DE0768">
        <w:t> </w:t>
      </w:r>
      <w:r>
        <w:t>ce</w:t>
      </w:r>
      <w:r w:rsidR="00DE0768">
        <w:t> </w:t>
      </w:r>
      <w:r>
        <w:t>fardeau, et ce, largement pour les mêmes motifs énoncés dans les sections précédentes.</w:t>
      </w:r>
    </w:p>
    <w:p w14:paraId="30F15DD2" w14:textId="365587B3" w:rsidR="00583FEF" w:rsidRDefault="00234705" w:rsidP="00A82172">
      <w:pPr>
        <w:pStyle w:val="corpsdedcision"/>
        <w:keepNext/>
        <w:keepLines/>
      </w:pPr>
      <w:r>
        <w:t>En effet, le Tribunal a déjà expliqué ne pas pouvoir apporter une force probante significative à l’opinion du docteur Messier</w:t>
      </w:r>
      <w:r w:rsidR="003614A1">
        <w:t>,</w:t>
      </w:r>
      <w:r>
        <w:t xml:space="preserve"> celui-ci n’ayant pas vu la technique d’opération de la presse du travailleur et sembl</w:t>
      </w:r>
      <w:r w:rsidR="00C36FFF">
        <w:t>e</w:t>
      </w:r>
      <w:r>
        <w:t xml:space="preserve"> en avoir une impression qui est différente de celle démontrée par le travailleur à l’audience.</w:t>
      </w:r>
    </w:p>
    <w:p w14:paraId="31FC4A78" w14:textId="2371A019" w:rsidR="00B04FCB" w:rsidRDefault="00234705" w:rsidP="00A82172">
      <w:pPr>
        <w:pStyle w:val="corpsdedcision"/>
      </w:pPr>
      <w:r>
        <w:t xml:space="preserve">Encore une fois, la différence entre la description faite du mouvement </w:t>
      </w:r>
      <w:r w:rsidR="003614A1">
        <w:t xml:space="preserve">d’activation de la presse </w:t>
      </w:r>
      <w:r>
        <w:t>par le docteur Messier et la technique démontrée par le travailleur à</w:t>
      </w:r>
      <w:r w:rsidR="00DE0768">
        <w:t> </w:t>
      </w:r>
      <w:r>
        <w:t>l’audience n’est pas superficielle</w:t>
      </w:r>
      <w:r w:rsidR="003614A1">
        <w:t>. La</w:t>
      </w:r>
      <w:r>
        <w:t xml:space="preserve"> posture illustrée par le travailleur place sa main droit</w:t>
      </w:r>
      <w:r w:rsidR="003614A1">
        <w:t>e</w:t>
      </w:r>
      <w:r>
        <w:t xml:space="preserve"> en position d’extension essentiellement complète </w:t>
      </w:r>
      <w:r w:rsidR="00583FEF">
        <w:t>du poignet</w:t>
      </w:r>
      <w:r w:rsidR="007172B3">
        <w:t>. Il s’agit d’une position contraignante qui</w:t>
      </w:r>
      <w:r w:rsidR="00583FEF">
        <w:t xml:space="preserve"> sollicite de façon beaucoup plus marquée </w:t>
      </w:r>
      <w:r w:rsidR="0086469F">
        <w:t>les épicondyliens et les</w:t>
      </w:r>
      <w:r w:rsidR="00DE0768">
        <w:t> </w:t>
      </w:r>
      <w:r w:rsidR="0086469F">
        <w:t>extenseurs que celle que semble avoir observé</w:t>
      </w:r>
      <w:r w:rsidR="000A09C3">
        <w:t>e</w:t>
      </w:r>
      <w:r w:rsidR="0086469F">
        <w:t xml:space="preserve"> le docteur </w:t>
      </w:r>
      <w:r w:rsidR="003614A1">
        <w:t>Messier dans sa visite de</w:t>
      </w:r>
      <w:r w:rsidR="00DE0768">
        <w:t> </w:t>
      </w:r>
      <w:r w:rsidR="003614A1">
        <w:t xml:space="preserve">poste. Ce faisant, son opinion voulant que les épicondyliens ne soient pas sollicités significativement </w:t>
      </w:r>
      <w:r w:rsidR="007172B3">
        <w:t xml:space="preserve">par les tâches du travailleur </w:t>
      </w:r>
      <w:r w:rsidR="003614A1">
        <w:t>est fortement minée.</w:t>
      </w:r>
    </w:p>
    <w:p w14:paraId="71AA9A7F" w14:textId="5917A9A2" w:rsidR="003614A1" w:rsidRDefault="003614A1" w:rsidP="00480338">
      <w:pPr>
        <w:pStyle w:val="corpsdedcision"/>
      </w:pPr>
      <w:r>
        <w:t>Les arguments de l’employeur quant à la cadence, la présence de micropause et l’aspect négligeable de l’effort que doit fournir le travailleur ont également déjà été analysés à la section précédente et écartés.</w:t>
      </w:r>
    </w:p>
    <w:p w14:paraId="10C964C1" w14:textId="7BD3A1C9" w:rsidR="007172B3" w:rsidRDefault="003614A1" w:rsidP="00E77B88">
      <w:pPr>
        <w:pStyle w:val="corpsdedcision"/>
      </w:pPr>
      <w:r>
        <w:t>La jurisprudence a maintes fois rappelé que les facteurs de risque de</w:t>
      </w:r>
      <w:r w:rsidR="00DE0768">
        <w:t> </w:t>
      </w:r>
      <w:r>
        <w:t xml:space="preserve">développement d’une épicondylite sont </w:t>
      </w:r>
      <w:r w:rsidR="00E77B88">
        <w:t xml:space="preserve">la </w:t>
      </w:r>
      <w:r w:rsidR="000F1AA3">
        <w:t>répétitivité</w:t>
      </w:r>
      <w:r w:rsidR="00E77B88">
        <w:t xml:space="preserve"> de mouvements, l</w:t>
      </w:r>
      <w:r w:rsidR="000F1AA3">
        <w:t xml:space="preserve">’utilisation </w:t>
      </w:r>
      <w:r w:rsidR="00E77B88">
        <w:t>d</w:t>
      </w:r>
      <w:r w:rsidR="000F1AA3">
        <w:t>e</w:t>
      </w:r>
      <w:r w:rsidR="00DE0768">
        <w:t> </w:t>
      </w:r>
      <w:r w:rsidR="00E77B88">
        <w:t>force et les postures contraignantes</w:t>
      </w:r>
      <w:r w:rsidR="007172B3">
        <w:rPr>
          <w:rStyle w:val="Appelnotedebasdep"/>
        </w:rPr>
        <w:footnoteReference w:id="21"/>
      </w:r>
      <w:r w:rsidR="007172B3">
        <w:t xml:space="preserve">. En l’espèce, ces trois facteurs de risque sont </w:t>
      </w:r>
      <w:r w:rsidR="00C36FFF">
        <w:t>satisfaits</w:t>
      </w:r>
      <w:r w:rsidR="007172B3">
        <w:t>, comme il a été expliqué préalablement.</w:t>
      </w:r>
    </w:p>
    <w:p w14:paraId="7B08E619" w14:textId="77777777" w:rsidR="000F1AA3" w:rsidRDefault="000F1AA3" w:rsidP="007D7ADF">
      <w:pPr>
        <w:pStyle w:val="corpsdedcision"/>
      </w:pPr>
      <w:r>
        <w:t>Quant aux gestes susceptibles de solliciter les épicondyliens, ceux-ci sont généralement reconnus comme les suivants</w:t>
      </w:r>
      <w:r w:rsidR="003614A1">
        <w:rPr>
          <w:rStyle w:val="Appelnotedebasdep"/>
        </w:rPr>
        <w:footnoteReference w:id="22"/>
      </w:r>
      <w:r>
        <w:t> :</w:t>
      </w:r>
    </w:p>
    <w:p w14:paraId="19847BA6" w14:textId="59C01152" w:rsidR="000F1AA3" w:rsidRDefault="000F1AA3" w:rsidP="009D5899">
      <w:pPr>
        <w:pStyle w:val="corpsdedcision"/>
        <w:numPr>
          <w:ilvl w:val="1"/>
          <w:numId w:val="1"/>
        </w:numPr>
        <w:spacing w:after="0"/>
      </w:pPr>
      <w:r>
        <w:t>La flexion ou l’extension du poignet;</w:t>
      </w:r>
    </w:p>
    <w:p w14:paraId="0A88524B" w14:textId="38656263" w:rsidR="000F1AA3" w:rsidRDefault="000F1AA3" w:rsidP="009D5899">
      <w:pPr>
        <w:pStyle w:val="corpsdedcision"/>
        <w:numPr>
          <w:ilvl w:val="1"/>
          <w:numId w:val="1"/>
        </w:numPr>
        <w:spacing w:after="0"/>
      </w:pPr>
      <w:r>
        <w:t>La pronation ou la supination du poignet ou de l'avant-bras;</w:t>
      </w:r>
    </w:p>
    <w:p w14:paraId="2AC9C98F" w14:textId="247C4383" w:rsidR="000F1AA3" w:rsidRDefault="000F1AA3" w:rsidP="009D5899">
      <w:pPr>
        <w:pStyle w:val="corpsdedcision"/>
        <w:numPr>
          <w:ilvl w:val="1"/>
          <w:numId w:val="1"/>
        </w:numPr>
        <w:spacing w:after="0"/>
      </w:pPr>
      <w:r>
        <w:t>La déviation radiale ou cubitale du poignet;</w:t>
      </w:r>
    </w:p>
    <w:p w14:paraId="1A464346" w14:textId="4E36C05F" w:rsidR="000F1AA3" w:rsidRDefault="000F1AA3" w:rsidP="009D5899">
      <w:pPr>
        <w:pStyle w:val="corpsdedcision"/>
        <w:numPr>
          <w:ilvl w:val="1"/>
          <w:numId w:val="1"/>
        </w:numPr>
        <w:spacing w:after="0"/>
      </w:pPr>
      <w:r>
        <w:t>La préhension de la main;</w:t>
      </w:r>
    </w:p>
    <w:p w14:paraId="39EDD950" w14:textId="1BC44EF5" w:rsidR="00B61630" w:rsidRDefault="000F1AA3" w:rsidP="009D5899">
      <w:pPr>
        <w:pStyle w:val="corpsdedcision"/>
        <w:numPr>
          <w:ilvl w:val="1"/>
          <w:numId w:val="1"/>
        </w:numPr>
      </w:pPr>
      <w:r>
        <w:t>L'effort excessif (overexertion) des extenseurs des doigts et du poignet par dorsiflexion répétée de la main par alternance de pronation ou de supination;</w:t>
      </w:r>
    </w:p>
    <w:p w14:paraId="6E8646A5" w14:textId="75D04EEB" w:rsidR="00E77B88" w:rsidRDefault="00E77B88" w:rsidP="00A82172">
      <w:pPr>
        <w:pStyle w:val="corpsdedcision"/>
        <w:keepNext/>
        <w:keepLines/>
      </w:pPr>
      <w:r>
        <w:t>En l’espèce, l</w:t>
      </w:r>
      <w:r w:rsidR="000F1AA3">
        <w:t>e mouvement d’activation de la presse</w:t>
      </w:r>
      <w:r w:rsidR="00871F38">
        <w:t xml:space="preserve">, </w:t>
      </w:r>
      <w:r w:rsidR="00DF4FB8">
        <w:t>comme</w:t>
      </w:r>
      <w:r w:rsidR="00871F38">
        <w:t xml:space="preserve"> démontré par le</w:t>
      </w:r>
      <w:r w:rsidR="00DE0768">
        <w:t> </w:t>
      </w:r>
      <w:r w:rsidR="00871F38">
        <w:t>travailleur, place son poignet en extension presque complète. Il implique une</w:t>
      </w:r>
      <w:r w:rsidR="00DE0768">
        <w:t> </w:t>
      </w:r>
      <w:r w:rsidR="00871F38">
        <w:t xml:space="preserve">préhension de la main avec force pour garder </w:t>
      </w:r>
      <w:r w:rsidR="000A09C3">
        <w:t xml:space="preserve">la </w:t>
      </w:r>
      <w:r w:rsidR="00871F38">
        <w:t>prise sur le levier. Dans cette position, le travailleur doit fréquemment appliquer des forces de près de 70 lb et il explique que, lorsque la</w:t>
      </w:r>
      <w:r w:rsidR="00DE0768">
        <w:t xml:space="preserve"> </w:t>
      </w:r>
      <w:r w:rsidR="00871F38">
        <w:t>presse termine son mouvement, l’arrêt est brusque et un choc se fait ressentir dans son bras.</w:t>
      </w:r>
    </w:p>
    <w:p w14:paraId="11500DB9" w14:textId="3E54D5A9" w:rsidR="001112BE" w:rsidRDefault="001112BE" w:rsidP="00F328E2">
      <w:pPr>
        <w:pStyle w:val="corpsdedcision"/>
      </w:pPr>
      <w:r>
        <w:t>Par ailleurs, le Tribunal note également que le travailleur explique à l’audience que les douleurs qu’il a ressenti</w:t>
      </w:r>
      <w:r w:rsidR="000A09C3">
        <w:t>es</w:t>
      </w:r>
      <w:r>
        <w:t xml:space="preserve"> en février 2021 sont apparues alors qu’il effectuait cette</w:t>
      </w:r>
      <w:r w:rsidR="002D55DA">
        <w:t> </w:t>
      </w:r>
      <w:r>
        <w:t>tâche et que, par ailleurs, elles étaient particulièrement incommodantes lorsqu’il</w:t>
      </w:r>
      <w:r w:rsidR="002D55DA">
        <w:t> </w:t>
      </w:r>
      <w:r>
        <w:t>activait la</w:t>
      </w:r>
      <w:r w:rsidR="002D55DA">
        <w:t xml:space="preserve"> </w:t>
      </w:r>
      <w:r>
        <w:t>presse.</w:t>
      </w:r>
    </w:p>
    <w:p w14:paraId="2E12D500" w14:textId="1ADF2AA7" w:rsidR="00871F38" w:rsidRDefault="00871F38" w:rsidP="007D7ADF">
      <w:pPr>
        <w:pStyle w:val="corpsdedcision"/>
      </w:pPr>
      <w:r>
        <w:t>Tous ces éléments rendent parfaitement vraisemblable que le travail d’opérateur effectu</w:t>
      </w:r>
      <w:r w:rsidR="001112BE">
        <w:t>é</w:t>
      </w:r>
      <w:r>
        <w:t xml:space="preserve"> par le travailleur à l’hiver 2021 ait pu causer son épicondylite.</w:t>
      </w:r>
    </w:p>
    <w:p w14:paraId="0953B116" w14:textId="0BEC666A" w:rsidR="00871F38" w:rsidRDefault="00871F38" w:rsidP="007D7ADF">
      <w:pPr>
        <w:pStyle w:val="corpsdedcision"/>
      </w:pPr>
      <w:r>
        <w:t>Dans ces circonstances, comme l’employeur n’a pu renverser la présomption de</w:t>
      </w:r>
      <w:r w:rsidR="00DE0768">
        <w:t> </w:t>
      </w:r>
      <w:r>
        <w:t xml:space="preserve">maladie professionnelle et que, au contraire, la preuve tend à démontrer que le travail du travailleur est la cause probable de son épicondylite, </w:t>
      </w:r>
      <w:r w:rsidR="001112BE">
        <w:t>la décision de la Commission à</w:t>
      </w:r>
      <w:r w:rsidR="00DE0768">
        <w:t> </w:t>
      </w:r>
      <w:r w:rsidR="001112BE">
        <w:t>ce sujet doit être maintenue.</w:t>
      </w:r>
    </w:p>
    <w:p w14:paraId="1D37998F" w14:textId="0E76D4AD" w:rsidR="00160467" w:rsidRPr="00160467" w:rsidRDefault="00160467" w:rsidP="00D41422">
      <w:pPr>
        <w:pStyle w:val="Titre3"/>
        <w:jc w:val="both"/>
      </w:pPr>
      <w:r w:rsidRPr="00160467">
        <w:t>La déchirure partielle modérée du tendon de l’extenseur commun du coude droit est-elle en relation avec la lésion professionnelle du travailleur?</w:t>
      </w:r>
    </w:p>
    <w:p w14:paraId="3F118402" w14:textId="23C6370F" w:rsidR="00160467" w:rsidRDefault="001112BE" w:rsidP="00460595">
      <w:pPr>
        <w:pStyle w:val="corpsdedcision"/>
      </w:pPr>
      <w:r>
        <w:t>Finalement, la Commission a reconnu un dernier diagnostic en lien avec le travail du travailleur, soit celui de déchirure partielle modérée du tendon l’extenseur commun du</w:t>
      </w:r>
      <w:r w:rsidR="00DE0768">
        <w:t> </w:t>
      </w:r>
      <w:r>
        <w:t>coude droit.</w:t>
      </w:r>
    </w:p>
    <w:p w14:paraId="27905248" w14:textId="2055695A" w:rsidR="002A00AA" w:rsidRDefault="00795C4F" w:rsidP="002A00AA">
      <w:pPr>
        <w:pStyle w:val="corpsdedcision"/>
      </w:pPr>
      <w:r>
        <w:t>L</w:t>
      </w:r>
      <w:r w:rsidR="002A00AA">
        <w:t xml:space="preserve">e travailleur argumente peu </w:t>
      </w:r>
      <w:r>
        <w:t xml:space="preserve">quant à </w:t>
      </w:r>
      <w:r w:rsidR="002A00AA">
        <w:t>ce diagnostic particulier, ayant fourni des</w:t>
      </w:r>
      <w:r w:rsidR="00DE0768">
        <w:t> </w:t>
      </w:r>
      <w:r w:rsidR="002A00AA">
        <w:t>arguments de façon globale pour l’ensemble des diagnostics et expliquant simplement que la décision de la Commission était bien fondée.</w:t>
      </w:r>
    </w:p>
    <w:p w14:paraId="62DE7F47" w14:textId="3CE1E310" w:rsidR="001112BE" w:rsidRDefault="001112BE" w:rsidP="00460595">
      <w:pPr>
        <w:pStyle w:val="corpsdedcision"/>
      </w:pPr>
      <w:r>
        <w:t>L’employeur</w:t>
      </w:r>
      <w:r w:rsidR="002A00AA">
        <w:t>, quant à lui,</w:t>
      </w:r>
      <w:r>
        <w:t xml:space="preserve"> conteste la reconnaissance de ce diagnostic dans le</w:t>
      </w:r>
      <w:r w:rsidR="00DE0768">
        <w:t> </w:t>
      </w:r>
      <w:r>
        <w:t>cadre de la lésion professionnelle, celui-ci considérant que la preuve démontre qu’il</w:t>
      </w:r>
      <w:r w:rsidR="00DE0768">
        <w:t> </w:t>
      </w:r>
      <w:r>
        <w:t>s’agirait d’une condition dégénérative pour laquelle le travailleur n’a offert aucune preuve de relation avec son travail.</w:t>
      </w:r>
    </w:p>
    <w:p w14:paraId="62974ECF" w14:textId="783511D3" w:rsidR="002A00AA" w:rsidRDefault="002A00AA" w:rsidP="00460595">
      <w:pPr>
        <w:pStyle w:val="corpsdedcision"/>
      </w:pPr>
      <w:r>
        <w:t>Le Tribunal considère que la preuve appuie la prétention de l’employeur en</w:t>
      </w:r>
      <w:r w:rsidR="00DE0768">
        <w:t> </w:t>
      </w:r>
      <w:r>
        <w:t>l’espèce.</w:t>
      </w:r>
    </w:p>
    <w:p w14:paraId="25594FC6" w14:textId="40E0101D" w:rsidR="002A00AA" w:rsidRDefault="002A00AA" w:rsidP="00B039BA">
      <w:pPr>
        <w:pStyle w:val="corpsdedcision"/>
        <w:keepNext/>
        <w:keepLines/>
      </w:pPr>
      <w:r>
        <w:t xml:space="preserve">En effet, le diagnostic de déchirure du tendon de l’extenseur commun du coude droit a été posé par le professionnel de la santé qui a charge du travailleur après </w:t>
      </w:r>
      <w:r w:rsidR="00795C4F">
        <w:t>qu’</w:t>
      </w:r>
      <w:r>
        <w:t>un</w:t>
      </w:r>
      <w:r w:rsidR="00843EC0">
        <w:t> </w:t>
      </w:r>
      <w:r>
        <w:t>e</w:t>
      </w:r>
      <w:r w:rsidR="00660988">
        <w:t>xamen d’</w:t>
      </w:r>
      <w:r>
        <w:t>imagerie par résonance magnétique</w:t>
      </w:r>
      <w:r>
        <w:rPr>
          <w:rStyle w:val="Appelnotedebasdep"/>
        </w:rPr>
        <w:footnoteReference w:id="23"/>
      </w:r>
      <w:r>
        <w:t xml:space="preserve"> ait identifié la présence de</w:t>
      </w:r>
      <w:r w:rsidR="008837B7">
        <w:t> </w:t>
      </w:r>
      <w:r>
        <w:t>cette</w:t>
      </w:r>
      <w:r w:rsidR="008837B7">
        <w:t> </w:t>
      </w:r>
      <w:r>
        <w:t>condition, sans fournir quelque hypothèse quant à son origine.</w:t>
      </w:r>
    </w:p>
    <w:p w14:paraId="61DF28BF" w14:textId="4748E26B" w:rsidR="002A00AA" w:rsidRDefault="002A00AA" w:rsidP="00460595">
      <w:pPr>
        <w:pStyle w:val="corpsdedcision"/>
      </w:pPr>
      <w:r>
        <w:t>À partir de ce moment, le professionnel de la santé qui a charge du travailleur l’ajoute à la liste des diagnostics de la lésion professionnelle dans ses rapports médicaux, sans jamais expliquer les raisons qui expliquent l’ajout de ce nouveau diagnostic.</w:t>
      </w:r>
    </w:p>
    <w:p w14:paraId="22FAE727" w14:textId="749A3201" w:rsidR="002A00AA" w:rsidRDefault="002A00AA" w:rsidP="00460595">
      <w:pPr>
        <w:pStyle w:val="corpsdedcision"/>
      </w:pPr>
      <w:r>
        <w:t xml:space="preserve">La seule opinion retrouvée au dossier quant </w:t>
      </w:r>
      <w:r w:rsidR="001367D4">
        <w:t>à la relation entre cette condition et l’emploi du travailleur se trouve dans l’expertise du docteur Louis Besner réalisée à</w:t>
      </w:r>
      <w:r w:rsidR="00DE0768">
        <w:t> </w:t>
      </w:r>
      <w:r w:rsidR="001367D4">
        <w:t>la</w:t>
      </w:r>
      <w:r w:rsidR="00DE0768">
        <w:t> </w:t>
      </w:r>
      <w:r w:rsidR="001367D4">
        <w:t>demande de la Commission environ un an après la survenance de la lésion professionnelle</w:t>
      </w:r>
      <w:r w:rsidR="001367D4">
        <w:rPr>
          <w:rStyle w:val="Appelnotedebasdep"/>
        </w:rPr>
        <w:footnoteReference w:id="24"/>
      </w:r>
      <w:r w:rsidR="001367D4">
        <w:t>. Dans son opinion, il explique que la déchirure elle-même est de nature dégénérative et non traumatique, et qu’il s’agi</w:t>
      </w:r>
      <w:r w:rsidR="007B3303">
        <w:t>rai</w:t>
      </w:r>
      <w:r w:rsidR="001367D4">
        <w:t>t d’une condition fréquemment rencontrée dans le cadre d’épicondylites chroniques.</w:t>
      </w:r>
    </w:p>
    <w:p w14:paraId="0F11217A" w14:textId="50E263D8" w:rsidR="007B3303" w:rsidRDefault="007B3303" w:rsidP="00460595">
      <w:pPr>
        <w:pStyle w:val="corpsdedcision"/>
      </w:pPr>
      <w:r>
        <w:t>Or, contrairement aux autres diagnostics posés chez le travailleur, celui de</w:t>
      </w:r>
      <w:r w:rsidR="00DE0768">
        <w:t> </w:t>
      </w:r>
      <w:r>
        <w:t>déchirure tendineuse n’est pas prévu par la Loi ou à l’annexe et ne bénéficie d’aucune présomption. Il appartient donc au travailleur de démontrer que ce nouveau diagnostic posé en cours de consolidation de la lésion professionnelle est en relation avec son travail ou les autres diagnostics reconnus en lien avec celui-ci.</w:t>
      </w:r>
    </w:p>
    <w:p w14:paraId="27145B68" w14:textId="13C502FD" w:rsidR="007B3303" w:rsidRDefault="007B3303" w:rsidP="00460595">
      <w:pPr>
        <w:pStyle w:val="corpsdedcision"/>
      </w:pPr>
      <w:r>
        <w:t xml:space="preserve">Malgré ce fait, le travailleur n’offre essentiellement aucune preuve pour appuyer cette prétention. Certes, une telle condition est susceptible d’être </w:t>
      </w:r>
      <w:r w:rsidR="00E93DF6">
        <w:t xml:space="preserve">une </w:t>
      </w:r>
      <w:r>
        <w:t>source de douleur au</w:t>
      </w:r>
      <w:r w:rsidR="00DE0768">
        <w:t> </w:t>
      </w:r>
      <w:r>
        <w:t xml:space="preserve">coude du travailleur, mais celle-ci peut très bien s’expliquer par les autres conditions qu’il présentait. Cet élément n’est </w:t>
      </w:r>
      <w:r w:rsidR="00E82ED4">
        <w:t xml:space="preserve">donc </w:t>
      </w:r>
      <w:r>
        <w:t>pas déterminant.</w:t>
      </w:r>
    </w:p>
    <w:p w14:paraId="05AA182A" w14:textId="6014BFA7" w:rsidR="005E4CFC" w:rsidRDefault="007B3303" w:rsidP="00460595">
      <w:pPr>
        <w:pStyle w:val="corpsdedcision"/>
      </w:pPr>
      <w:r>
        <w:t>Par ailleurs, comme la preuve démontre qu’il s’agit d’une condition dégénérative, le simple fait qu’elle ait été identifiée postérieurement à l</w:t>
      </w:r>
      <w:r w:rsidR="005E4CFC">
        <w:t>’assignation du travailleur à</w:t>
      </w:r>
      <w:r w:rsidR="00DE0768">
        <w:t> </w:t>
      </w:r>
      <w:r w:rsidR="005E4CFC">
        <w:t>ses</w:t>
      </w:r>
      <w:r w:rsidR="00DE0768">
        <w:t> </w:t>
      </w:r>
      <w:r w:rsidR="005E4CFC">
        <w:t>nouvelles tâches au « Sector » n’implique pas nécessairement que cette condition n’existait pas avant.</w:t>
      </w:r>
    </w:p>
    <w:p w14:paraId="7BEA0DC9" w14:textId="4A7183D0" w:rsidR="007B3303" w:rsidRDefault="005E4CFC" w:rsidP="00460595">
      <w:pPr>
        <w:pStyle w:val="corpsdedcision"/>
      </w:pPr>
      <w:r>
        <w:t xml:space="preserve">Dans ces circonstances, le Tribunal considère que la preuve ne suffit pas à établir qu’il est plus probable qu’un lien existe entre cette déchirure et l’emploi du </w:t>
      </w:r>
      <w:r w:rsidRPr="00DA235E">
        <w:t>travailleur qu’il</w:t>
      </w:r>
      <w:r w:rsidR="008837B7">
        <w:t> </w:t>
      </w:r>
      <w:r>
        <w:t>n’est probable qu’un tel lien n’existe pas. Le travailleur ne s’est donc pas déchargé de son fardeau eu égard à ce diagnostic et la décision de la Commission à ce sujet doit être infirmée.</w:t>
      </w:r>
    </w:p>
    <w:p w14:paraId="199622FF" w14:textId="643A6ADF" w:rsidR="00C74B6F" w:rsidRDefault="00C74B6F" w:rsidP="00AE1B9B">
      <w:pPr>
        <w:pStyle w:val="Dispositif"/>
        <w:keepNext/>
      </w:pPr>
      <w:r>
        <w:rPr>
          <w:b/>
        </w:rPr>
        <w:t>P</w:t>
      </w:r>
      <w:r w:rsidR="00530913">
        <w:rPr>
          <w:b/>
        </w:rPr>
        <w:t>OU</w:t>
      </w:r>
      <w:r w:rsidR="00401325">
        <w:rPr>
          <w:b/>
        </w:rPr>
        <w:t>R</w:t>
      </w:r>
      <w:r w:rsidR="00D07FA6">
        <w:rPr>
          <w:b/>
        </w:rPr>
        <w:t xml:space="preserve"> CES MOTIFS, LE TRIBUNAL ADMINISTRATIF DU TRAVAIL</w:t>
      </w:r>
      <w:r>
        <w:rPr>
          <w:b/>
        </w:rPr>
        <w:t> :</w:t>
      </w:r>
    </w:p>
    <w:p w14:paraId="630D95F9" w14:textId="2B3812AF" w:rsidR="002E015B" w:rsidRDefault="002E015B">
      <w:pPr>
        <w:pStyle w:val="Dispositif"/>
      </w:pPr>
      <w:r>
        <w:t>Dossier 1250995-62A-2111</w:t>
      </w:r>
    </w:p>
    <w:p w14:paraId="2FC94384" w14:textId="797B3551" w:rsidR="00C74B6F" w:rsidRDefault="005E4CFC">
      <w:pPr>
        <w:pStyle w:val="Dispositif"/>
      </w:pPr>
      <w:r w:rsidRPr="001E045F">
        <w:rPr>
          <w:b/>
          <w:bCs/>
        </w:rPr>
        <w:t>REJETTE</w:t>
      </w:r>
      <w:r>
        <w:t xml:space="preserve"> la contestation </w:t>
      </w:r>
      <w:r w:rsidR="002E015B">
        <w:t>de</w:t>
      </w:r>
      <w:r>
        <w:t xml:space="preserve"> </w:t>
      </w:r>
      <w:r w:rsidR="00053D79" w:rsidRPr="00053D79">
        <w:t>Générale Électrique du Canada (Bromont)</w:t>
      </w:r>
      <w:r>
        <w:t>, l’employeur;</w:t>
      </w:r>
    </w:p>
    <w:p w14:paraId="2E811400" w14:textId="42C0D277" w:rsidR="005E4CFC" w:rsidRDefault="005E4CFC">
      <w:pPr>
        <w:pStyle w:val="Dispositif"/>
      </w:pPr>
      <w:r w:rsidRPr="001E045F">
        <w:rPr>
          <w:b/>
          <w:bCs/>
        </w:rPr>
        <w:t>CONFIRME</w:t>
      </w:r>
      <w:r>
        <w:t xml:space="preserve"> la décision rendue par la Commission des normes, de l’équité, de la santé et de la sécurité du travail le 3 septembre 2021 à la suite d’une révision administrative;</w:t>
      </w:r>
    </w:p>
    <w:p w14:paraId="101D239F" w14:textId="58528AC4" w:rsidR="005E4CFC" w:rsidRDefault="005E4CFC">
      <w:pPr>
        <w:pStyle w:val="Dispositif"/>
      </w:pPr>
      <w:r w:rsidRPr="001E045F">
        <w:rPr>
          <w:b/>
          <w:bCs/>
        </w:rPr>
        <w:t>DÉCLARE</w:t>
      </w:r>
      <w:r>
        <w:t xml:space="preserve"> que</w:t>
      </w:r>
      <w:r w:rsidR="001E045F">
        <w:t xml:space="preserve"> monsieur </w:t>
      </w:r>
      <w:r w:rsidR="00313671" w:rsidRPr="00313671">
        <w:t>Éric Mitchell</w:t>
      </w:r>
      <w:r w:rsidR="001E045F">
        <w:t>,</w:t>
      </w:r>
      <w:r>
        <w:t xml:space="preserve"> le travailleur</w:t>
      </w:r>
      <w:r w:rsidR="001E045F">
        <w:t>,</w:t>
      </w:r>
      <w:r>
        <w:t xml:space="preserve"> a subi une lésion professionnelle le</w:t>
      </w:r>
      <w:r w:rsidR="00DE0768">
        <w:t> </w:t>
      </w:r>
      <w:r>
        <w:t xml:space="preserve">2 février 2021, soit une </w:t>
      </w:r>
      <w:r w:rsidR="002E015B">
        <w:t>tendinite du long extenseur du poignet droit;</w:t>
      </w:r>
    </w:p>
    <w:p w14:paraId="234BC8F0" w14:textId="4971EAFC" w:rsidR="002E015B" w:rsidRDefault="002E015B">
      <w:pPr>
        <w:pStyle w:val="Dispositif"/>
      </w:pPr>
      <w:r w:rsidRPr="001E045F">
        <w:rPr>
          <w:b/>
          <w:bCs/>
        </w:rPr>
        <w:t>DÉCLARE</w:t>
      </w:r>
      <w:r>
        <w:t xml:space="preserve"> que le travailleur a droit aux bénéfices prévu</w:t>
      </w:r>
      <w:r w:rsidR="001E045F">
        <w:t>s</w:t>
      </w:r>
      <w:r>
        <w:t xml:space="preserve"> par la </w:t>
      </w:r>
      <w:r w:rsidRPr="00C57EEB">
        <w:rPr>
          <w:i/>
          <w:iCs/>
        </w:rPr>
        <w:t>Loi sur les accidents du</w:t>
      </w:r>
      <w:r w:rsidR="00DE0768">
        <w:rPr>
          <w:i/>
          <w:iCs/>
        </w:rPr>
        <w:t> </w:t>
      </w:r>
      <w:r w:rsidRPr="00C57EEB">
        <w:rPr>
          <w:i/>
          <w:iCs/>
        </w:rPr>
        <w:t>travail et les maladies professionnelles</w:t>
      </w:r>
      <w:r>
        <w:t xml:space="preserve"> pour cette condition;</w:t>
      </w:r>
    </w:p>
    <w:p w14:paraId="07B3E069" w14:textId="253712B9" w:rsidR="002E015B" w:rsidRDefault="002E015B">
      <w:pPr>
        <w:pStyle w:val="Dispositif"/>
      </w:pPr>
      <w:r>
        <w:t>Dossier 1291759-62A-2209</w:t>
      </w:r>
    </w:p>
    <w:p w14:paraId="4859BE41" w14:textId="45A2C492" w:rsidR="002E015B" w:rsidRDefault="002E015B">
      <w:pPr>
        <w:pStyle w:val="Dispositif"/>
      </w:pPr>
      <w:r w:rsidRPr="001E045F">
        <w:rPr>
          <w:b/>
          <w:bCs/>
        </w:rPr>
        <w:t>ACCUEILLE</w:t>
      </w:r>
      <w:r>
        <w:t xml:space="preserve"> en partie la contestation de </w:t>
      </w:r>
      <w:r w:rsidR="00D60907" w:rsidRPr="00D60907">
        <w:t>Générale Électrique du Canada (Bromont)</w:t>
      </w:r>
      <w:r>
        <w:t>, l’employeur;</w:t>
      </w:r>
    </w:p>
    <w:p w14:paraId="28A3FCDB" w14:textId="59357683" w:rsidR="002E015B" w:rsidRDefault="00300AEF">
      <w:pPr>
        <w:pStyle w:val="Dispositif"/>
      </w:pPr>
      <w:r w:rsidRPr="007D685D">
        <w:rPr>
          <w:b/>
          <w:bCs/>
        </w:rPr>
        <w:t>MODIFIE</w:t>
      </w:r>
      <w:r w:rsidR="002E015B">
        <w:t xml:space="preserve"> la décision rendue par la Commission des normes, de l’équité, de</w:t>
      </w:r>
      <w:r w:rsidR="00DE0768">
        <w:t> </w:t>
      </w:r>
      <w:r w:rsidR="002E015B">
        <w:t>la</w:t>
      </w:r>
      <w:r w:rsidR="00DE0768">
        <w:t> </w:t>
      </w:r>
      <w:r w:rsidR="002E015B">
        <w:t>santé et de la sécurité du travail le 2 août 2022 à la suite d’une révision administrative;</w:t>
      </w:r>
    </w:p>
    <w:p w14:paraId="002074AD" w14:textId="49CF910D" w:rsidR="002E015B" w:rsidRDefault="002E015B">
      <w:pPr>
        <w:pStyle w:val="Dispositif"/>
      </w:pPr>
      <w:r w:rsidRPr="001E045F">
        <w:rPr>
          <w:b/>
          <w:bCs/>
        </w:rPr>
        <w:t>DÉCLARE</w:t>
      </w:r>
      <w:r>
        <w:t xml:space="preserve"> que le diagnostic d’épicondylite externe du coude droit constitue une maladie professionnelle;</w:t>
      </w:r>
    </w:p>
    <w:p w14:paraId="6EEE56F2" w14:textId="32509439" w:rsidR="002E015B" w:rsidRDefault="002E015B" w:rsidP="002E015B">
      <w:pPr>
        <w:pStyle w:val="Dispositif"/>
      </w:pPr>
      <w:r w:rsidRPr="001E045F">
        <w:rPr>
          <w:b/>
          <w:bCs/>
        </w:rPr>
        <w:t>DÉCLARE</w:t>
      </w:r>
      <w:r>
        <w:t xml:space="preserve"> que</w:t>
      </w:r>
      <w:r w:rsidR="001E045F">
        <w:t xml:space="preserve"> monsieur Éric Mitchell, le travailleur, </w:t>
      </w:r>
      <w:r>
        <w:t>a droit aux bénéfices prévu</w:t>
      </w:r>
      <w:r w:rsidR="001E045F">
        <w:t>s</w:t>
      </w:r>
      <w:r>
        <w:t xml:space="preserve"> par la</w:t>
      </w:r>
      <w:r w:rsidR="00DE0768">
        <w:t> </w:t>
      </w:r>
      <w:r w:rsidRPr="00C57EEB">
        <w:rPr>
          <w:i/>
          <w:iCs/>
        </w:rPr>
        <w:t>Loi sur les accidents du travail et les maladies professionnelles</w:t>
      </w:r>
      <w:r>
        <w:t xml:space="preserve"> pour ce diagnostic;</w:t>
      </w:r>
    </w:p>
    <w:p w14:paraId="76C79041" w14:textId="35CFDCBE" w:rsidR="002E015B" w:rsidRDefault="002E015B" w:rsidP="002E015B">
      <w:pPr>
        <w:pStyle w:val="Dispositif"/>
      </w:pPr>
      <w:r w:rsidRPr="001E045F">
        <w:rPr>
          <w:b/>
          <w:bCs/>
        </w:rPr>
        <w:t>DÉCLARE</w:t>
      </w:r>
      <w:r>
        <w:t xml:space="preserve"> que le diagnostic de</w:t>
      </w:r>
      <w:r w:rsidR="001E045F">
        <w:t xml:space="preserve"> déchirure partielle modérée du tendon de l’extenseur commun du coude droit n’est pas en relation avec l’événement du 2 février 2021;</w:t>
      </w:r>
    </w:p>
    <w:p w14:paraId="0EE45F2F" w14:textId="58531DE8" w:rsidR="001E045F" w:rsidRDefault="001E045F" w:rsidP="001E045F">
      <w:pPr>
        <w:pStyle w:val="Dispositif"/>
      </w:pPr>
      <w:r w:rsidRPr="001E045F">
        <w:rPr>
          <w:b/>
          <w:bCs/>
        </w:rPr>
        <w:t>DÉCLARE</w:t>
      </w:r>
      <w:r>
        <w:t xml:space="preserve"> que le travailleur n’a pas droit aux bénéfices prévus par la </w:t>
      </w:r>
      <w:r w:rsidRPr="00C57EEB">
        <w:rPr>
          <w:i/>
          <w:iCs/>
        </w:rPr>
        <w:t>Loi sur les accidents du travail et les maladies professionnelles</w:t>
      </w:r>
      <w:r>
        <w:t xml:space="preserve"> pour ce diagnostic;</w:t>
      </w:r>
    </w:p>
    <w:p w14:paraId="7272D32F" w14:textId="77777777" w:rsidR="001E045F" w:rsidRDefault="001E045F" w:rsidP="002E015B">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3325DA6C" w14:textId="77777777">
        <w:tc>
          <w:tcPr>
            <w:tcW w:w="4795" w:type="dxa"/>
          </w:tcPr>
          <w:p w14:paraId="62942184" w14:textId="77777777" w:rsidR="00C74B6F" w:rsidRDefault="00C74B6F"/>
        </w:tc>
        <w:tc>
          <w:tcPr>
            <w:tcW w:w="4795" w:type="dxa"/>
          </w:tcPr>
          <w:p w14:paraId="67D6B68B" w14:textId="77777777" w:rsidR="00C74B6F" w:rsidRDefault="00C74B6F">
            <w:bookmarkStart w:id="13" w:name="signature"/>
            <w:bookmarkEnd w:id="13"/>
            <w:r>
              <w:t>__________________________________</w:t>
            </w:r>
          </w:p>
        </w:tc>
      </w:tr>
      <w:tr w:rsidR="00C74B6F" w14:paraId="3C7A4F67" w14:textId="77777777">
        <w:tc>
          <w:tcPr>
            <w:tcW w:w="4795" w:type="dxa"/>
          </w:tcPr>
          <w:p w14:paraId="4E39389A" w14:textId="77777777" w:rsidR="00C74B6F" w:rsidRDefault="00C74B6F"/>
        </w:tc>
        <w:tc>
          <w:tcPr>
            <w:tcW w:w="4795" w:type="dxa"/>
          </w:tcPr>
          <w:p w14:paraId="043D3DD9" w14:textId="3248C6E0" w:rsidR="00C74B6F" w:rsidRDefault="00530913">
            <w:r>
              <w:t>Bruno Boucher</w:t>
            </w:r>
          </w:p>
        </w:tc>
      </w:tr>
      <w:tr w:rsidR="00C74B6F" w14:paraId="5CF66B08" w14:textId="77777777">
        <w:trPr>
          <w:cantSplit/>
        </w:trPr>
        <w:tc>
          <w:tcPr>
            <w:tcW w:w="9590" w:type="dxa"/>
            <w:gridSpan w:val="2"/>
          </w:tcPr>
          <w:p w14:paraId="3B44E448" w14:textId="77777777" w:rsidR="00C74B6F" w:rsidRDefault="00C74B6F"/>
        </w:tc>
      </w:tr>
      <w:tr w:rsidR="00C74B6F" w14:paraId="469B7801" w14:textId="77777777">
        <w:trPr>
          <w:cantSplit/>
        </w:trPr>
        <w:tc>
          <w:tcPr>
            <w:tcW w:w="9590" w:type="dxa"/>
            <w:gridSpan w:val="2"/>
          </w:tcPr>
          <w:p w14:paraId="7474F9AE" w14:textId="77777777" w:rsidR="00C74B6F" w:rsidRPr="00C912F9" w:rsidRDefault="00C74B6F" w:rsidP="00EC5C8D">
            <w:pPr>
              <w:tabs>
                <w:tab w:val="left" w:pos="1592"/>
              </w:tabs>
            </w:pPr>
          </w:p>
        </w:tc>
      </w:tr>
      <w:tr w:rsidR="00C74B6F" w14:paraId="1C82540C" w14:textId="77777777">
        <w:trPr>
          <w:cantSplit/>
        </w:trPr>
        <w:tc>
          <w:tcPr>
            <w:tcW w:w="9590" w:type="dxa"/>
            <w:gridSpan w:val="2"/>
          </w:tcPr>
          <w:p w14:paraId="55579880" w14:textId="77777777" w:rsidR="00C74B6F" w:rsidRDefault="00C74B6F"/>
        </w:tc>
      </w:tr>
      <w:tr w:rsidR="00C74B6F" w14:paraId="1F3421DC" w14:textId="77777777">
        <w:trPr>
          <w:cantSplit/>
        </w:trPr>
        <w:tc>
          <w:tcPr>
            <w:tcW w:w="9590" w:type="dxa"/>
            <w:gridSpan w:val="2"/>
          </w:tcPr>
          <w:p w14:paraId="1A17D431" w14:textId="3562F220" w:rsidR="00C74B6F" w:rsidRDefault="00530913">
            <w:pPr>
              <w:pStyle w:val="zSoquijdatNomProcureurDem"/>
            </w:pPr>
            <w:r>
              <w:t>M</w:t>
            </w:r>
            <w:r w:rsidRPr="00530913">
              <w:rPr>
                <w:vertAlign w:val="superscript"/>
              </w:rPr>
              <w:t>e</w:t>
            </w:r>
            <w:r w:rsidR="00F30267">
              <w:t xml:space="preserve"> </w:t>
            </w:r>
            <w:r>
              <w:t>Caroline-Ariane Bernier</w:t>
            </w:r>
          </w:p>
        </w:tc>
      </w:tr>
      <w:tr w:rsidR="00C74B6F" w14:paraId="622B8B81" w14:textId="77777777">
        <w:trPr>
          <w:cantSplit/>
        </w:trPr>
        <w:tc>
          <w:tcPr>
            <w:tcW w:w="9590" w:type="dxa"/>
            <w:gridSpan w:val="2"/>
          </w:tcPr>
          <w:p w14:paraId="2E03C865" w14:textId="72E87C4B" w:rsidR="00C74B6F" w:rsidRDefault="00D41422">
            <w:pPr>
              <w:pStyle w:val="zSoquijdatCabinetProcureurDem"/>
            </w:pPr>
            <w:r>
              <w:t>MCCARTHY, TÉTRAULT</w:t>
            </w:r>
          </w:p>
        </w:tc>
      </w:tr>
      <w:tr w:rsidR="00C74B6F" w14:paraId="2C2AFC2D" w14:textId="77777777">
        <w:trPr>
          <w:cantSplit/>
        </w:trPr>
        <w:tc>
          <w:tcPr>
            <w:tcW w:w="9590" w:type="dxa"/>
            <w:gridSpan w:val="2"/>
          </w:tcPr>
          <w:p w14:paraId="3B93B246" w14:textId="77777777" w:rsidR="00C74B6F" w:rsidRDefault="00CB05A7">
            <w:pPr>
              <w:pStyle w:val="zSoquijlblProcureurDem"/>
            </w:pPr>
            <w:r>
              <w:t>Pour la partie demanderesse</w:t>
            </w:r>
          </w:p>
        </w:tc>
      </w:tr>
      <w:tr w:rsidR="00C74B6F" w14:paraId="444F5C7C" w14:textId="77777777">
        <w:trPr>
          <w:cantSplit/>
        </w:trPr>
        <w:tc>
          <w:tcPr>
            <w:tcW w:w="9590" w:type="dxa"/>
            <w:gridSpan w:val="2"/>
          </w:tcPr>
          <w:p w14:paraId="08190E89" w14:textId="77777777" w:rsidR="00C74B6F" w:rsidRDefault="00C74B6F"/>
        </w:tc>
      </w:tr>
      <w:tr w:rsidR="00C74B6F" w14:paraId="7D59E5EF" w14:textId="77777777">
        <w:trPr>
          <w:cantSplit/>
        </w:trPr>
        <w:tc>
          <w:tcPr>
            <w:tcW w:w="9590" w:type="dxa"/>
            <w:gridSpan w:val="2"/>
          </w:tcPr>
          <w:p w14:paraId="339BDC29" w14:textId="2CBEEEA7" w:rsidR="00C74B6F" w:rsidRDefault="00530913">
            <w:pPr>
              <w:pStyle w:val="zSoquijdatNomProcureurDef"/>
            </w:pPr>
            <w:r>
              <w:t>M.</w:t>
            </w:r>
            <w:r w:rsidR="00F30267">
              <w:t xml:space="preserve"> </w:t>
            </w:r>
            <w:r>
              <w:t>Alexandre Ouimet</w:t>
            </w:r>
          </w:p>
        </w:tc>
      </w:tr>
      <w:tr w:rsidR="00C74B6F" w14:paraId="60642DA1" w14:textId="77777777">
        <w:trPr>
          <w:cantSplit/>
        </w:trPr>
        <w:tc>
          <w:tcPr>
            <w:tcW w:w="9590" w:type="dxa"/>
            <w:gridSpan w:val="2"/>
          </w:tcPr>
          <w:p w14:paraId="7CD7083E" w14:textId="2F3E3CE2" w:rsidR="00C74B6F" w:rsidRDefault="00530913">
            <w:pPr>
              <w:pStyle w:val="zSoquijdatCabinetProcureurDef"/>
            </w:pPr>
            <w:r>
              <w:t>ACCIDENT SOLUTION LÉGAL INC.</w:t>
            </w:r>
          </w:p>
        </w:tc>
      </w:tr>
      <w:tr w:rsidR="00C74B6F" w14:paraId="2E087238" w14:textId="77777777">
        <w:trPr>
          <w:cantSplit/>
        </w:trPr>
        <w:tc>
          <w:tcPr>
            <w:tcW w:w="9590" w:type="dxa"/>
            <w:gridSpan w:val="2"/>
          </w:tcPr>
          <w:p w14:paraId="7E37641C" w14:textId="592211F9" w:rsidR="00C74B6F" w:rsidRDefault="00CB05A7">
            <w:pPr>
              <w:pStyle w:val="zSoquijlblProcureurDef"/>
            </w:pPr>
            <w:r>
              <w:t xml:space="preserve">Pour la partie </w:t>
            </w:r>
            <w:r w:rsidR="00530913">
              <w:t>mise en cause</w:t>
            </w:r>
          </w:p>
        </w:tc>
      </w:tr>
      <w:tr w:rsidR="007569DE" w14:paraId="07636968" w14:textId="77777777">
        <w:trPr>
          <w:cantSplit/>
        </w:trPr>
        <w:tc>
          <w:tcPr>
            <w:tcW w:w="9590" w:type="dxa"/>
            <w:gridSpan w:val="2"/>
          </w:tcPr>
          <w:p w14:paraId="1512A57D" w14:textId="77777777" w:rsidR="007569DE" w:rsidRDefault="007569DE"/>
        </w:tc>
      </w:tr>
      <w:tr w:rsidR="00C74B6F" w14:paraId="2EF0F538" w14:textId="77777777">
        <w:trPr>
          <w:cantSplit/>
        </w:trPr>
        <w:tc>
          <w:tcPr>
            <w:tcW w:w="9590" w:type="dxa"/>
            <w:gridSpan w:val="2"/>
          </w:tcPr>
          <w:p w14:paraId="0BCF68B7" w14:textId="08989ECF" w:rsidR="00C74B6F" w:rsidRDefault="00530913">
            <w:pPr>
              <w:pStyle w:val="zSoquijdatNomProcureurInt"/>
            </w:pPr>
            <w:r>
              <w:t>M</w:t>
            </w:r>
            <w:r w:rsidRPr="00530913">
              <w:rPr>
                <w:vertAlign w:val="superscript"/>
              </w:rPr>
              <w:t>e</w:t>
            </w:r>
            <w:r w:rsidR="00F30267">
              <w:t xml:space="preserve"> </w:t>
            </w:r>
            <w:r>
              <w:t>Sacha Mailloux</w:t>
            </w:r>
          </w:p>
        </w:tc>
      </w:tr>
      <w:tr w:rsidR="00C74B6F" w14:paraId="23B4C3E3" w14:textId="77777777">
        <w:trPr>
          <w:cantSplit/>
        </w:trPr>
        <w:tc>
          <w:tcPr>
            <w:tcW w:w="9590" w:type="dxa"/>
            <w:gridSpan w:val="2"/>
          </w:tcPr>
          <w:p w14:paraId="6CFC3CC8" w14:textId="4A6BDEDC" w:rsidR="00C74B6F" w:rsidRDefault="00530913">
            <w:pPr>
              <w:pStyle w:val="zSoquijdatCabinetProcureurInt"/>
            </w:pPr>
            <w:r>
              <w:t>LAROCHE AVOCATS CNESST</w:t>
            </w:r>
          </w:p>
        </w:tc>
      </w:tr>
      <w:tr w:rsidR="00C74B6F" w14:paraId="66AFE8C5" w14:textId="77777777">
        <w:trPr>
          <w:cantSplit/>
        </w:trPr>
        <w:tc>
          <w:tcPr>
            <w:tcW w:w="9590" w:type="dxa"/>
            <w:gridSpan w:val="2"/>
          </w:tcPr>
          <w:p w14:paraId="68CB9F6C" w14:textId="7F76F911" w:rsidR="00C74B6F" w:rsidRDefault="007569DE">
            <w:pPr>
              <w:pStyle w:val="zSoquijlblProcureurInt"/>
            </w:pPr>
            <w:r>
              <w:t xml:space="preserve">Pour la partie </w:t>
            </w:r>
            <w:r w:rsidR="00530913">
              <w:t>intervenante</w:t>
            </w:r>
          </w:p>
        </w:tc>
      </w:tr>
      <w:tr w:rsidR="00C15A3F" w14:paraId="5C0B3AEA" w14:textId="77777777">
        <w:trPr>
          <w:cantSplit/>
        </w:trPr>
        <w:tc>
          <w:tcPr>
            <w:tcW w:w="9590" w:type="dxa"/>
            <w:gridSpan w:val="2"/>
          </w:tcPr>
          <w:p w14:paraId="0581B50C" w14:textId="77777777" w:rsidR="00C15A3F" w:rsidRDefault="00C15A3F">
            <w:pPr>
              <w:pStyle w:val="zSoquijlblProcureurInt"/>
            </w:pPr>
          </w:p>
        </w:tc>
      </w:tr>
      <w:tr w:rsidR="00C15A3F" w14:paraId="6F77C588" w14:textId="77777777">
        <w:trPr>
          <w:cantSplit/>
        </w:trPr>
        <w:tc>
          <w:tcPr>
            <w:tcW w:w="9590" w:type="dxa"/>
            <w:gridSpan w:val="2"/>
          </w:tcPr>
          <w:p w14:paraId="35E00DA2" w14:textId="1348811B" w:rsidR="00C15A3F" w:rsidRDefault="00C15A3F" w:rsidP="000E56A6">
            <w:pPr>
              <w:pStyle w:val="zSoquijdatDateAudience"/>
            </w:pPr>
            <w:bookmarkStart w:id="14" w:name="Date_derniere_audience"/>
            <w:bookmarkEnd w:id="14"/>
            <w:r>
              <w:t xml:space="preserve">Date de la </w:t>
            </w:r>
            <w:r w:rsidR="00CC6338">
              <w:t>mise en délibéré</w:t>
            </w:r>
            <w:r>
              <w:t> :</w:t>
            </w:r>
            <w:r w:rsidR="00597016">
              <w:tab/>
            </w:r>
            <w:r w:rsidR="00530913">
              <w:t>16 janvier 2025</w:t>
            </w:r>
          </w:p>
        </w:tc>
      </w:tr>
    </w:tbl>
    <w:p w14:paraId="60E1EFC2" w14:textId="77777777" w:rsidR="00F76B4A" w:rsidRDefault="00F76B4A" w:rsidP="00531259"/>
    <w:p w14:paraId="56B7E155" w14:textId="77777777" w:rsidR="002542E0" w:rsidRDefault="002542E0" w:rsidP="002542E0">
      <w:pPr>
        <w:pStyle w:val="corpsdedcision"/>
        <w:numPr>
          <w:ilvl w:val="0"/>
          <w:numId w:val="0"/>
        </w:numPr>
        <w:tabs>
          <w:tab w:val="clear" w:pos="720"/>
        </w:tabs>
      </w:pPr>
    </w:p>
    <w:sectPr w:rsidR="002542E0">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FE23B2" w14:textId="77777777" w:rsidR="00603DB0" w:rsidRDefault="00603DB0">
      <w:r>
        <w:separator/>
      </w:r>
    </w:p>
  </w:endnote>
  <w:endnote w:type="continuationSeparator" w:id="0">
    <w:p w14:paraId="4E496FC7" w14:textId="77777777" w:rsidR="00603DB0" w:rsidRDefault="00603D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4CB770" w14:textId="77777777" w:rsidR="00603DB0" w:rsidRDefault="00603DB0">
      <w:r>
        <w:separator/>
      </w:r>
    </w:p>
  </w:footnote>
  <w:footnote w:type="continuationSeparator" w:id="0">
    <w:p w14:paraId="73DA039B" w14:textId="77777777" w:rsidR="00603DB0" w:rsidRDefault="00603DB0">
      <w:r>
        <w:continuationSeparator/>
      </w:r>
    </w:p>
  </w:footnote>
  <w:footnote w:id="1">
    <w:p w14:paraId="7C78696E" w14:textId="09F9C857" w:rsidR="00783244" w:rsidRPr="00783244" w:rsidRDefault="00783244" w:rsidP="0078324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Décision du 11 mai 2021.</w:t>
      </w:r>
    </w:p>
  </w:footnote>
  <w:footnote w:id="2">
    <w:p w14:paraId="2486F17D" w14:textId="67600A59" w:rsidR="00783244" w:rsidRPr="00783244" w:rsidRDefault="00783244" w:rsidP="0078324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Décision du 24 mai 2022.</w:t>
      </w:r>
    </w:p>
  </w:footnote>
  <w:footnote w:id="3">
    <w:p w14:paraId="0118B528" w14:textId="77777777" w:rsidR="0099127A" w:rsidRPr="0099127A" w:rsidRDefault="0099127A" w:rsidP="0099127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Décisions du 3 septembre 2021 et 2 août 2022 rendues à la suite de demandes de révision.</w:t>
      </w:r>
    </w:p>
  </w:footnote>
  <w:footnote w:id="4">
    <w:p w14:paraId="11D1B294" w14:textId="621A01E1" w:rsidR="00CB77BD" w:rsidRDefault="00CB77BD">
      <w:pPr>
        <w:pStyle w:val="Notedebasdepage"/>
      </w:pPr>
      <w:r>
        <w:rPr>
          <w:rStyle w:val="Appelnotedebasdep"/>
        </w:rPr>
        <w:footnoteRef/>
      </w:r>
      <w:r>
        <w:t xml:space="preserve"> </w:t>
      </w:r>
      <w:r>
        <w:tab/>
      </w:r>
      <w:r>
        <w:rPr>
          <w:sz w:val="20"/>
        </w:rPr>
        <w:t>RLRQ,</w:t>
      </w:r>
      <w:r>
        <w:rPr>
          <w:spacing w:val="-2"/>
          <w:sz w:val="20"/>
        </w:rPr>
        <w:t xml:space="preserve"> </w:t>
      </w:r>
      <w:r>
        <w:rPr>
          <w:sz w:val="20"/>
        </w:rPr>
        <w:t>c.</w:t>
      </w:r>
      <w:r>
        <w:rPr>
          <w:spacing w:val="-2"/>
          <w:sz w:val="20"/>
        </w:rPr>
        <w:t xml:space="preserve"> </w:t>
      </w:r>
      <w:r>
        <w:rPr>
          <w:sz w:val="20"/>
        </w:rPr>
        <w:t>A-</w:t>
      </w:r>
      <w:r>
        <w:rPr>
          <w:spacing w:val="-2"/>
          <w:sz w:val="20"/>
        </w:rPr>
        <w:t>3.001.</w:t>
      </w:r>
    </w:p>
  </w:footnote>
  <w:footnote w:id="5">
    <w:p w14:paraId="5276F5ED" w14:textId="77777777" w:rsidR="00645232" w:rsidRDefault="00645232" w:rsidP="0064523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 2 de la Loi.</w:t>
      </w:r>
    </w:p>
  </w:footnote>
  <w:footnote w:id="6">
    <w:p w14:paraId="5D6EB849" w14:textId="77777777" w:rsidR="00645232" w:rsidRDefault="00645232" w:rsidP="0064523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 2 de la Loi.</w:t>
      </w:r>
    </w:p>
  </w:footnote>
  <w:footnote w:id="7">
    <w:p w14:paraId="7BA0C08D" w14:textId="48049B53" w:rsidR="00645232" w:rsidRDefault="00645232" w:rsidP="0064523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Le 6 octobre 2021, la </w:t>
      </w:r>
      <w:r>
        <w:rPr>
          <w:rFonts w:cs="Arial"/>
          <w:i/>
          <w:sz w:val="20"/>
        </w:rPr>
        <w:t>Loi modernisant le régime de santé et de sécurité du travail</w:t>
      </w:r>
      <w:r>
        <w:rPr>
          <w:rFonts w:cs="Arial"/>
          <w:sz w:val="20"/>
        </w:rPr>
        <w:t xml:space="preserve">, </w:t>
      </w:r>
      <w:r w:rsidR="000C6B83" w:rsidRPr="000C6B83">
        <w:rPr>
          <w:rFonts w:cs="Arial"/>
          <w:sz w:val="20"/>
        </w:rPr>
        <w:t>L.Q. 2021, c. 27</w:t>
      </w:r>
      <w:r w:rsidR="000C6B83">
        <w:rPr>
          <w:rFonts w:cs="Arial"/>
          <w:sz w:val="20"/>
        </w:rPr>
        <w:t xml:space="preserve"> </w:t>
      </w:r>
      <w:r>
        <w:rPr>
          <w:rFonts w:cs="Arial"/>
          <w:sz w:val="20"/>
        </w:rPr>
        <w:t>entre en vigueur et amende l’article 29 de la Loi. Toutefois, puisque les faits en litige dans le présent dossier se sont produits avant l’entrée en vigueur de cette modification, le</w:t>
      </w:r>
      <w:r w:rsidR="00C24F8C">
        <w:rPr>
          <w:rFonts w:cs="Arial"/>
          <w:sz w:val="20"/>
        </w:rPr>
        <w:t> </w:t>
      </w:r>
      <w:r>
        <w:rPr>
          <w:rFonts w:cs="Arial"/>
          <w:sz w:val="20"/>
        </w:rPr>
        <w:t>Tribunal estime qu’il</w:t>
      </w:r>
      <w:r w:rsidR="008148AD">
        <w:rPr>
          <w:rFonts w:cs="Arial"/>
          <w:sz w:val="20"/>
        </w:rPr>
        <w:t> </w:t>
      </w:r>
      <w:r>
        <w:rPr>
          <w:rFonts w:cs="Arial"/>
          <w:sz w:val="20"/>
        </w:rPr>
        <w:t>y</w:t>
      </w:r>
      <w:r w:rsidR="008148AD">
        <w:rPr>
          <w:rFonts w:cs="Arial"/>
          <w:sz w:val="20"/>
        </w:rPr>
        <w:t> </w:t>
      </w:r>
      <w:r>
        <w:rPr>
          <w:rFonts w:cs="Arial"/>
          <w:sz w:val="20"/>
        </w:rPr>
        <w:t>a</w:t>
      </w:r>
      <w:r w:rsidR="008148AD">
        <w:rPr>
          <w:rFonts w:cs="Arial"/>
          <w:sz w:val="20"/>
        </w:rPr>
        <w:t> </w:t>
      </w:r>
      <w:r>
        <w:rPr>
          <w:rFonts w:cs="Arial"/>
          <w:sz w:val="20"/>
        </w:rPr>
        <w:t>lieu d’appliquer la version antérieure de cette disposition.</w:t>
      </w:r>
    </w:p>
  </w:footnote>
  <w:footnote w:id="8">
    <w:p w14:paraId="7CA6990D" w14:textId="16B634C5" w:rsidR="00542444" w:rsidRPr="00542444" w:rsidRDefault="00542444" w:rsidP="0054244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272C21">
        <w:rPr>
          <w:rFonts w:cs="Arial"/>
          <w:sz w:val="20"/>
        </w:rPr>
        <w:t>Articles 199 et suivants de la Loi.</w:t>
      </w:r>
    </w:p>
  </w:footnote>
  <w:footnote w:id="9">
    <w:p w14:paraId="68472A9C" w14:textId="6D7AE3A4" w:rsidR="00542444" w:rsidRPr="00542444" w:rsidRDefault="00542444" w:rsidP="0054244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Articles 224 et 358 de la Loi.</w:t>
      </w:r>
    </w:p>
  </w:footnote>
  <w:footnote w:id="10">
    <w:p w14:paraId="1EB0962C" w14:textId="05D2B1C3" w:rsidR="00272C21" w:rsidRDefault="00272C21" w:rsidP="00272C2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Voir notamment les décisions suivantes : </w:t>
      </w:r>
      <w:r>
        <w:rPr>
          <w:rFonts w:cs="Arial"/>
          <w:i/>
          <w:iCs/>
          <w:sz w:val="20"/>
        </w:rPr>
        <w:t>Craig</w:t>
      </w:r>
      <w:r>
        <w:rPr>
          <w:rFonts w:cs="Arial"/>
          <w:sz w:val="20"/>
        </w:rPr>
        <w:t xml:space="preserve"> et </w:t>
      </w:r>
      <w:r>
        <w:rPr>
          <w:rFonts w:cs="Arial"/>
          <w:i/>
          <w:iCs/>
          <w:sz w:val="20"/>
        </w:rPr>
        <w:t>Électroménagers</w:t>
      </w:r>
      <w:r>
        <w:rPr>
          <w:rFonts w:cs="Arial"/>
          <w:sz w:val="20"/>
        </w:rPr>
        <w:t xml:space="preserve"> </w:t>
      </w:r>
      <w:r>
        <w:rPr>
          <w:rFonts w:cs="Arial"/>
          <w:i/>
          <w:iCs/>
          <w:sz w:val="20"/>
        </w:rPr>
        <w:t>BSH ltée</w:t>
      </w:r>
      <w:r>
        <w:rPr>
          <w:rFonts w:cs="Arial"/>
          <w:sz w:val="20"/>
        </w:rPr>
        <w:t xml:space="preserve">, 2016 QCTAT 1483; </w:t>
      </w:r>
      <w:r>
        <w:rPr>
          <w:rFonts w:cs="Arial"/>
          <w:i/>
          <w:iCs/>
          <w:sz w:val="20"/>
        </w:rPr>
        <w:t>Lapointe</w:t>
      </w:r>
      <w:r>
        <w:rPr>
          <w:rFonts w:cs="Arial"/>
          <w:sz w:val="20"/>
        </w:rPr>
        <w:t xml:space="preserve">, 2018 QCTAT 3910; </w:t>
      </w:r>
      <w:r>
        <w:rPr>
          <w:rFonts w:cs="Arial"/>
          <w:i/>
          <w:iCs/>
          <w:sz w:val="20"/>
        </w:rPr>
        <w:t>Rees</w:t>
      </w:r>
      <w:r>
        <w:rPr>
          <w:rFonts w:cs="Arial"/>
          <w:sz w:val="20"/>
        </w:rPr>
        <w:t xml:space="preserve"> et </w:t>
      </w:r>
      <w:r>
        <w:rPr>
          <w:rFonts w:cs="Arial"/>
          <w:i/>
          <w:iCs/>
          <w:sz w:val="20"/>
        </w:rPr>
        <w:t>Centre intégré de santé et de services sociaux de</w:t>
      </w:r>
      <w:r w:rsidR="00A41F7A">
        <w:rPr>
          <w:rFonts w:cs="Arial"/>
          <w:i/>
          <w:iCs/>
          <w:sz w:val="20"/>
        </w:rPr>
        <w:t> </w:t>
      </w:r>
      <w:r>
        <w:rPr>
          <w:rFonts w:cs="Arial"/>
          <w:i/>
          <w:iCs/>
          <w:sz w:val="20"/>
        </w:rPr>
        <w:t>la</w:t>
      </w:r>
      <w:r w:rsidR="00A41F7A">
        <w:rPr>
          <w:rFonts w:cs="Arial"/>
          <w:i/>
          <w:iCs/>
          <w:sz w:val="20"/>
        </w:rPr>
        <w:t> </w:t>
      </w:r>
      <w:r>
        <w:rPr>
          <w:rFonts w:cs="Arial"/>
          <w:i/>
          <w:iCs/>
          <w:sz w:val="20"/>
        </w:rPr>
        <w:t>Montérégie-Est</w:t>
      </w:r>
      <w:r w:rsidR="00EA29C0">
        <w:rPr>
          <w:rFonts w:cs="Arial"/>
          <w:i/>
          <w:iCs/>
          <w:sz w:val="20"/>
        </w:rPr>
        <w:t xml:space="preserve">, </w:t>
      </w:r>
      <w:r w:rsidR="00EA29C0">
        <w:rPr>
          <w:rFonts w:cs="Arial"/>
          <w:sz w:val="20"/>
        </w:rPr>
        <w:t>2023 QCTAT 185.</w:t>
      </w:r>
    </w:p>
  </w:footnote>
  <w:footnote w:id="11">
    <w:p w14:paraId="777DD6CC" w14:textId="2E89E98B" w:rsidR="00272C21" w:rsidRDefault="00272C21" w:rsidP="00272C2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iCs/>
          <w:sz w:val="20"/>
        </w:rPr>
        <w:t>Lapointe</w:t>
      </w:r>
      <w:r>
        <w:rPr>
          <w:rFonts w:cs="Arial"/>
          <w:sz w:val="20"/>
        </w:rPr>
        <w:t xml:space="preserve">, </w:t>
      </w:r>
      <w:r w:rsidR="00E43528">
        <w:rPr>
          <w:rFonts w:cs="Arial"/>
          <w:sz w:val="20"/>
        </w:rPr>
        <w:t>précitée, note 10</w:t>
      </w:r>
      <w:r>
        <w:rPr>
          <w:rFonts w:cs="Arial"/>
          <w:sz w:val="20"/>
        </w:rPr>
        <w:t>.</w:t>
      </w:r>
    </w:p>
  </w:footnote>
  <w:footnote w:id="12">
    <w:p w14:paraId="31A64586" w14:textId="4A1D0DAF" w:rsidR="00272C21" w:rsidRDefault="00272C21" w:rsidP="00272C2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Voir notamment les décisions suivantes : </w:t>
      </w:r>
      <w:r>
        <w:rPr>
          <w:rFonts w:cs="Arial"/>
          <w:i/>
          <w:iCs/>
          <w:sz w:val="20"/>
        </w:rPr>
        <w:t>Morin</w:t>
      </w:r>
      <w:r>
        <w:rPr>
          <w:rFonts w:cs="Arial"/>
          <w:sz w:val="20"/>
        </w:rPr>
        <w:t xml:space="preserve"> et </w:t>
      </w:r>
      <w:r>
        <w:rPr>
          <w:rFonts w:cs="Arial"/>
          <w:i/>
          <w:iCs/>
          <w:sz w:val="20"/>
        </w:rPr>
        <w:t>9095-9867 Québec inc</w:t>
      </w:r>
      <w:r>
        <w:rPr>
          <w:rFonts w:cs="Arial"/>
          <w:sz w:val="20"/>
        </w:rPr>
        <w:t xml:space="preserve">., 2015 QCCLP 1619; </w:t>
      </w:r>
      <w:r>
        <w:rPr>
          <w:rFonts w:cs="Arial"/>
          <w:i/>
          <w:iCs/>
          <w:sz w:val="20"/>
        </w:rPr>
        <w:t>Busque</w:t>
      </w:r>
      <w:r>
        <w:rPr>
          <w:rFonts w:cs="Arial"/>
          <w:sz w:val="20"/>
        </w:rPr>
        <w:t xml:space="preserve"> et </w:t>
      </w:r>
      <w:r>
        <w:rPr>
          <w:rFonts w:cs="Arial"/>
          <w:i/>
          <w:iCs/>
          <w:sz w:val="20"/>
        </w:rPr>
        <w:t>Industries Bernard &amp; Fils ltée</w:t>
      </w:r>
      <w:r w:rsidR="00440D83">
        <w:rPr>
          <w:rFonts w:cs="Arial"/>
          <w:i/>
          <w:iCs/>
          <w:sz w:val="20"/>
        </w:rPr>
        <w:t xml:space="preserve">, </w:t>
      </w:r>
      <w:r w:rsidR="00440D83" w:rsidRPr="00185E65">
        <w:rPr>
          <w:rFonts w:cs="Arial"/>
          <w:sz w:val="20"/>
        </w:rPr>
        <w:t>2022 QCTAT 5221</w:t>
      </w:r>
      <w:r w:rsidR="009831D9">
        <w:rPr>
          <w:rFonts w:cs="Arial"/>
          <w:sz w:val="20"/>
        </w:rPr>
        <w:t>.</w:t>
      </w:r>
    </w:p>
  </w:footnote>
  <w:footnote w:id="13">
    <w:p w14:paraId="088FF95C" w14:textId="268E31E7" w:rsidR="00BF0A3A" w:rsidRPr="00BF0A3A" w:rsidRDefault="00BF0A3A" w:rsidP="00BF0A3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234705" w:rsidRPr="00234705">
        <w:rPr>
          <w:rFonts w:cs="Arial"/>
          <w:sz w:val="20"/>
        </w:rPr>
        <w:t>Craig et Électroménagers BSH ltée</w:t>
      </w:r>
      <w:r w:rsidR="00234705">
        <w:rPr>
          <w:rFonts w:cs="Arial"/>
          <w:sz w:val="20"/>
        </w:rPr>
        <w:t>,</w:t>
      </w:r>
      <w:r w:rsidR="00AA15D7">
        <w:rPr>
          <w:rFonts w:cs="Arial"/>
          <w:sz w:val="20"/>
        </w:rPr>
        <w:t xml:space="preserve"> précitée, note 10</w:t>
      </w:r>
      <w:r w:rsidR="00234705">
        <w:rPr>
          <w:rFonts w:cs="Arial"/>
          <w:sz w:val="20"/>
        </w:rPr>
        <w:t>.</w:t>
      </w:r>
    </w:p>
  </w:footnote>
  <w:footnote w:id="14">
    <w:p w14:paraId="3F70E2FE" w14:textId="7FC0D7DD" w:rsidR="00615D1E" w:rsidRPr="00615D1E" w:rsidRDefault="00615D1E" w:rsidP="00615D1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15D1E">
        <w:rPr>
          <w:rFonts w:cs="Arial"/>
          <w:sz w:val="20"/>
        </w:rPr>
        <w:t>2015 QCCLP 6588</w:t>
      </w:r>
      <w:r>
        <w:rPr>
          <w:rFonts w:cs="Arial"/>
          <w:sz w:val="20"/>
        </w:rPr>
        <w:t>.</w:t>
      </w:r>
    </w:p>
  </w:footnote>
  <w:footnote w:id="15">
    <w:p w14:paraId="092D1100" w14:textId="78E52420" w:rsidR="00F27E0B" w:rsidRDefault="00F27E0B" w:rsidP="00F27E0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F07345">
        <w:rPr>
          <w:rFonts w:cs="Arial"/>
          <w:color w:val="000000"/>
          <w:sz w:val="20"/>
        </w:rPr>
        <w:t>Léo DUCHARME, chap. 1: « L'objet de la preuve et la connaissance d'office », dans Léo</w:t>
      </w:r>
      <w:r w:rsidR="006322EF">
        <w:rPr>
          <w:rFonts w:cs="Arial"/>
          <w:color w:val="000000"/>
          <w:sz w:val="20"/>
        </w:rPr>
        <w:t> </w:t>
      </w:r>
      <w:r w:rsidR="00F07345">
        <w:rPr>
          <w:rFonts w:cs="Arial"/>
          <w:color w:val="000000"/>
          <w:sz w:val="20"/>
        </w:rPr>
        <w:t xml:space="preserve">DUCHARME, </w:t>
      </w:r>
      <w:r w:rsidR="00F07345">
        <w:rPr>
          <w:rFonts w:cs="Arial"/>
          <w:i/>
          <w:iCs/>
          <w:color w:val="000000"/>
          <w:sz w:val="20"/>
        </w:rPr>
        <w:t xml:space="preserve">Précis de la preuve, </w:t>
      </w:r>
      <w:r w:rsidR="00F07345">
        <w:rPr>
          <w:rFonts w:cs="Arial"/>
          <w:color w:val="000000"/>
          <w:sz w:val="20"/>
        </w:rPr>
        <w:t>6</w:t>
      </w:r>
      <w:r w:rsidR="00F07345">
        <w:rPr>
          <w:rFonts w:cs="Arial"/>
          <w:color w:val="000000"/>
          <w:sz w:val="20"/>
          <w:vertAlign w:val="superscript"/>
        </w:rPr>
        <w:t>e</w:t>
      </w:r>
      <w:r w:rsidR="00F07345">
        <w:rPr>
          <w:rFonts w:cs="Arial"/>
          <w:color w:val="000000"/>
          <w:sz w:val="20"/>
        </w:rPr>
        <w:t xml:space="preserve"> éd., coll. « Collection bleue », Montréal, Wilson &amp; Lafleur, 2005, pp. 19-40.</w:t>
      </w:r>
    </w:p>
  </w:footnote>
  <w:footnote w:id="16">
    <w:p w14:paraId="2180E52E" w14:textId="66BC03D2" w:rsidR="00CA2086" w:rsidRPr="00CA2086" w:rsidRDefault="00CA2086" w:rsidP="00420CF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420CF7" w:rsidRPr="00C47A3E">
        <w:rPr>
          <w:rFonts w:cs="Arial"/>
          <w:i/>
          <w:iCs/>
          <w:sz w:val="20"/>
        </w:rPr>
        <w:t>Lepage</w:t>
      </w:r>
      <w:r w:rsidR="00420CF7" w:rsidRPr="00420CF7">
        <w:rPr>
          <w:rFonts w:cs="Arial"/>
          <w:sz w:val="20"/>
        </w:rPr>
        <w:t xml:space="preserve"> et </w:t>
      </w:r>
      <w:r w:rsidR="00420CF7" w:rsidRPr="00C47A3E">
        <w:rPr>
          <w:rFonts w:cs="Arial"/>
          <w:i/>
          <w:iCs/>
          <w:sz w:val="20"/>
        </w:rPr>
        <w:t>Autolook Chicoutimi</w:t>
      </w:r>
      <w:r w:rsidR="00420CF7" w:rsidRPr="00420CF7">
        <w:rPr>
          <w:rFonts w:cs="Arial"/>
          <w:sz w:val="20"/>
        </w:rPr>
        <w:t>,</w:t>
      </w:r>
      <w:r w:rsidR="00420CF7">
        <w:rPr>
          <w:rFonts w:cs="Arial"/>
          <w:sz w:val="20"/>
        </w:rPr>
        <w:t xml:space="preserve"> </w:t>
      </w:r>
      <w:r w:rsidR="00420CF7" w:rsidRPr="00420CF7">
        <w:rPr>
          <w:rFonts w:cs="Arial"/>
          <w:sz w:val="20"/>
        </w:rPr>
        <w:t>C.L.P. 313233-02-0703, 21 août 2007, J.-F. Martel.</w:t>
      </w:r>
    </w:p>
  </w:footnote>
  <w:footnote w:id="17">
    <w:p w14:paraId="21C54057" w14:textId="4DFE9543" w:rsidR="00420CF7" w:rsidRPr="00420CF7" w:rsidRDefault="00420CF7" w:rsidP="00420CF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C94559">
        <w:rPr>
          <w:rFonts w:cs="Arial"/>
          <w:i/>
          <w:iCs/>
          <w:sz w:val="20"/>
        </w:rPr>
        <w:t>Id</w:t>
      </w:r>
      <w:r>
        <w:rPr>
          <w:rFonts w:cs="Arial"/>
          <w:sz w:val="20"/>
        </w:rPr>
        <w:t>.</w:t>
      </w:r>
    </w:p>
  </w:footnote>
  <w:footnote w:id="18">
    <w:p w14:paraId="378D345B" w14:textId="37E3CECC" w:rsidR="002E571A" w:rsidRPr="002E571A" w:rsidRDefault="002E571A" w:rsidP="002E571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185E65">
        <w:rPr>
          <w:rFonts w:cs="Arial"/>
          <w:i/>
          <w:iCs/>
          <w:sz w:val="20"/>
        </w:rPr>
        <w:t>Dumoulin</w:t>
      </w:r>
      <w:r w:rsidRPr="002E571A">
        <w:rPr>
          <w:rFonts w:cs="Arial"/>
          <w:sz w:val="20"/>
        </w:rPr>
        <w:t xml:space="preserve"> et </w:t>
      </w:r>
      <w:r w:rsidRPr="00185E65">
        <w:rPr>
          <w:rFonts w:cs="Arial"/>
          <w:i/>
          <w:iCs/>
          <w:sz w:val="20"/>
        </w:rPr>
        <w:t>Couvertures Germain Thivierge 2012</w:t>
      </w:r>
      <w:r w:rsidRPr="002E571A">
        <w:rPr>
          <w:rFonts w:cs="Arial"/>
          <w:sz w:val="20"/>
        </w:rPr>
        <w:t>,</w:t>
      </w:r>
      <w:r>
        <w:rPr>
          <w:rFonts w:cs="Arial"/>
          <w:sz w:val="20"/>
        </w:rPr>
        <w:t xml:space="preserve"> </w:t>
      </w:r>
      <w:r w:rsidRPr="002E571A">
        <w:rPr>
          <w:rFonts w:cs="Arial"/>
          <w:sz w:val="20"/>
        </w:rPr>
        <w:t>2016 QCTAT 2964</w:t>
      </w:r>
      <w:r>
        <w:rPr>
          <w:rFonts w:cs="Arial"/>
          <w:sz w:val="20"/>
        </w:rPr>
        <w:t xml:space="preserve">; </w:t>
      </w:r>
      <w:r w:rsidR="00A4075A" w:rsidRPr="00185E65">
        <w:rPr>
          <w:rFonts w:cs="Arial"/>
          <w:i/>
          <w:iCs/>
          <w:sz w:val="20"/>
        </w:rPr>
        <w:t>E</w:t>
      </w:r>
      <w:r w:rsidRPr="00185E65">
        <w:rPr>
          <w:rFonts w:cs="Arial"/>
          <w:i/>
          <w:iCs/>
          <w:sz w:val="20"/>
        </w:rPr>
        <w:t>limari</w:t>
      </w:r>
      <w:r w:rsidRPr="002E571A">
        <w:rPr>
          <w:rFonts w:cs="Arial"/>
          <w:sz w:val="20"/>
        </w:rPr>
        <w:t xml:space="preserve"> et </w:t>
      </w:r>
      <w:r w:rsidRPr="00185E65">
        <w:rPr>
          <w:rFonts w:cs="Arial"/>
          <w:i/>
          <w:iCs/>
          <w:sz w:val="20"/>
        </w:rPr>
        <w:t>Laliberté &amp; Associés inc.</w:t>
      </w:r>
      <w:r w:rsidRPr="002E571A">
        <w:rPr>
          <w:rFonts w:cs="Arial"/>
          <w:sz w:val="20"/>
        </w:rPr>
        <w:t>,</w:t>
      </w:r>
      <w:r>
        <w:rPr>
          <w:rFonts w:cs="Arial"/>
          <w:sz w:val="20"/>
        </w:rPr>
        <w:t xml:space="preserve"> </w:t>
      </w:r>
      <w:r w:rsidRPr="002E571A">
        <w:rPr>
          <w:rFonts w:cs="Arial"/>
          <w:sz w:val="20"/>
        </w:rPr>
        <w:t>2018 QCTAT 2815</w:t>
      </w:r>
      <w:r>
        <w:rPr>
          <w:rFonts w:cs="Arial"/>
          <w:sz w:val="20"/>
        </w:rPr>
        <w:t xml:space="preserve">; </w:t>
      </w:r>
      <w:r w:rsidRPr="00185E65">
        <w:rPr>
          <w:rFonts w:cs="Arial"/>
          <w:i/>
          <w:iCs/>
          <w:sz w:val="20"/>
        </w:rPr>
        <w:t>Kazak</w:t>
      </w:r>
      <w:r w:rsidRPr="002E571A">
        <w:rPr>
          <w:rFonts w:cs="Arial"/>
          <w:sz w:val="20"/>
        </w:rPr>
        <w:t xml:space="preserve"> et </w:t>
      </w:r>
      <w:r w:rsidRPr="00185E65">
        <w:rPr>
          <w:rFonts w:cs="Arial"/>
          <w:i/>
          <w:iCs/>
          <w:sz w:val="20"/>
        </w:rPr>
        <w:t>Groupe Parima inc.</w:t>
      </w:r>
      <w:r w:rsidRPr="002E571A">
        <w:rPr>
          <w:rFonts w:cs="Arial"/>
          <w:sz w:val="20"/>
        </w:rPr>
        <w:t>,</w:t>
      </w:r>
      <w:r>
        <w:rPr>
          <w:rFonts w:cs="Arial"/>
          <w:sz w:val="20"/>
        </w:rPr>
        <w:t xml:space="preserve"> </w:t>
      </w:r>
      <w:r w:rsidRPr="002E571A">
        <w:rPr>
          <w:rFonts w:cs="Arial"/>
          <w:sz w:val="20"/>
        </w:rPr>
        <w:t>C.L.P. 401000-71-1001, 18</w:t>
      </w:r>
      <w:r w:rsidR="00CD27D9">
        <w:rPr>
          <w:rFonts w:cs="Arial"/>
          <w:sz w:val="20"/>
        </w:rPr>
        <w:t> </w:t>
      </w:r>
      <w:r w:rsidRPr="002E571A">
        <w:rPr>
          <w:rFonts w:cs="Arial"/>
          <w:sz w:val="20"/>
        </w:rPr>
        <w:t>novembre 2010, M. Zigby.</w:t>
      </w:r>
    </w:p>
  </w:footnote>
  <w:footnote w:id="19">
    <w:p w14:paraId="478C1F7D" w14:textId="69F80140" w:rsidR="00D9362F" w:rsidRPr="00D9362F" w:rsidRDefault="00D9362F" w:rsidP="009831D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9831D9" w:rsidRPr="00185E65">
        <w:rPr>
          <w:rFonts w:cs="Arial"/>
          <w:i/>
          <w:iCs/>
          <w:sz w:val="20"/>
        </w:rPr>
        <w:t>Matte-Kruzel</w:t>
      </w:r>
      <w:r w:rsidR="009831D9" w:rsidRPr="009831D9">
        <w:rPr>
          <w:rFonts w:cs="Arial"/>
          <w:sz w:val="20"/>
        </w:rPr>
        <w:t xml:space="preserve"> et </w:t>
      </w:r>
      <w:r w:rsidR="009831D9" w:rsidRPr="00185E65">
        <w:rPr>
          <w:rFonts w:cs="Arial"/>
          <w:i/>
          <w:iCs/>
          <w:sz w:val="20"/>
        </w:rPr>
        <w:t>Pelican International inc.</w:t>
      </w:r>
      <w:r w:rsidR="009831D9" w:rsidRPr="009831D9">
        <w:rPr>
          <w:rFonts w:cs="Arial"/>
          <w:sz w:val="20"/>
        </w:rPr>
        <w:t>, 2017 QCTAT 2111</w:t>
      </w:r>
      <w:r w:rsidR="00C01CEB">
        <w:rPr>
          <w:rFonts w:cs="Arial"/>
          <w:sz w:val="20"/>
        </w:rPr>
        <w:t>,</w:t>
      </w:r>
      <w:r w:rsidR="009831D9" w:rsidRPr="009831D9">
        <w:rPr>
          <w:rFonts w:cs="Arial"/>
          <w:sz w:val="20"/>
        </w:rPr>
        <w:t xml:space="preserve"> </w:t>
      </w:r>
      <w:r w:rsidR="009831D9" w:rsidRPr="00904D8D">
        <w:rPr>
          <w:rFonts w:cs="Arial"/>
          <w:sz w:val="20"/>
        </w:rPr>
        <w:t>révision rejetée</w:t>
      </w:r>
      <w:r w:rsidR="00C01CEB">
        <w:rPr>
          <w:rFonts w:cs="Arial"/>
          <w:sz w:val="20"/>
        </w:rPr>
        <w:t>,</w:t>
      </w:r>
      <w:r w:rsidR="009831D9" w:rsidRPr="00904D8D">
        <w:rPr>
          <w:rFonts w:cs="Arial"/>
          <w:sz w:val="20"/>
        </w:rPr>
        <w:t xml:space="preserve"> 2018 QCTAT 2805;</w:t>
      </w:r>
      <w:r w:rsidR="009831D9">
        <w:rPr>
          <w:rFonts w:cs="Arial"/>
          <w:sz w:val="20"/>
        </w:rPr>
        <w:t xml:space="preserve"> </w:t>
      </w:r>
      <w:r w:rsidR="009831D9" w:rsidRPr="00185E65">
        <w:rPr>
          <w:rFonts w:cs="Arial"/>
          <w:i/>
          <w:iCs/>
          <w:sz w:val="20"/>
        </w:rPr>
        <w:t>Craig</w:t>
      </w:r>
      <w:r w:rsidR="009831D9" w:rsidRPr="009831D9">
        <w:rPr>
          <w:rFonts w:cs="Arial"/>
          <w:sz w:val="20"/>
        </w:rPr>
        <w:t xml:space="preserve"> et </w:t>
      </w:r>
      <w:r w:rsidR="009831D9" w:rsidRPr="00185E65">
        <w:rPr>
          <w:rFonts w:cs="Arial"/>
          <w:i/>
          <w:iCs/>
          <w:sz w:val="20"/>
        </w:rPr>
        <w:t>Électroménagers BSH ltée</w:t>
      </w:r>
      <w:r w:rsidR="009831D9" w:rsidRPr="009831D9">
        <w:rPr>
          <w:rFonts w:cs="Arial"/>
          <w:sz w:val="20"/>
        </w:rPr>
        <w:t xml:space="preserve">, </w:t>
      </w:r>
      <w:r w:rsidR="00AF380E">
        <w:rPr>
          <w:rFonts w:cs="Arial"/>
          <w:sz w:val="20"/>
        </w:rPr>
        <w:t>précitée, note 10</w:t>
      </w:r>
      <w:r w:rsidR="009831D9">
        <w:rPr>
          <w:rFonts w:cs="Arial"/>
          <w:sz w:val="20"/>
        </w:rPr>
        <w:t xml:space="preserve">; </w:t>
      </w:r>
      <w:r w:rsidR="009831D9" w:rsidRPr="00185E65">
        <w:rPr>
          <w:rFonts w:cs="Arial"/>
          <w:i/>
          <w:iCs/>
          <w:sz w:val="20"/>
        </w:rPr>
        <w:t>Olymel</w:t>
      </w:r>
      <w:r w:rsidR="009831D9" w:rsidRPr="009831D9">
        <w:rPr>
          <w:rFonts w:cs="Arial"/>
          <w:sz w:val="20"/>
        </w:rPr>
        <w:t xml:space="preserve"> </w:t>
      </w:r>
      <w:r w:rsidR="009831D9" w:rsidRPr="00185E65">
        <w:rPr>
          <w:rFonts w:cs="Arial"/>
          <w:i/>
          <w:iCs/>
          <w:sz w:val="20"/>
        </w:rPr>
        <w:t>St-Hyacinthe</w:t>
      </w:r>
      <w:r w:rsidR="009831D9" w:rsidRPr="009831D9">
        <w:rPr>
          <w:rFonts w:cs="Arial"/>
          <w:sz w:val="20"/>
        </w:rPr>
        <w:t xml:space="preserve"> et </w:t>
      </w:r>
      <w:r w:rsidR="009831D9" w:rsidRPr="00185E65">
        <w:rPr>
          <w:rFonts w:cs="Arial"/>
          <w:i/>
          <w:iCs/>
          <w:sz w:val="20"/>
        </w:rPr>
        <w:t>Godin</w:t>
      </w:r>
      <w:r w:rsidR="009831D9" w:rsidRPr="009831D9">
        <w:rPr>
          <w:rFonts w:cs="Arial"/>
          <w:sz w:val="20"/>
        </w:rPr>
        <w:t xml:space="preserve">, </w:t>
      </w:r>
      <w:r w:rsidR="00D90CD2">
        <w:rPr>
          <w:rFonts w:cs="Arial"/>
          <w:sz w:val="20"/>
        </w:rPr>
        <w:t>[</w:t>
      </w:r>
      <w:r w:rsidR="009831D9" w:rsidRPr="009831D9">
        <w:rPr>
          <w:rFonts w:cs="Arial"/>
          <w:sz w:val="20"/>
        </w:rPr>
        <w:t>2003</w:t>
      </w:r>
      <w:r w:rsidR="00D90CD2">
        <w:rPr>
          <w:rFonts w:cs="Arial"/>
          <w:sz w:val="20"/>
        </w:rPr>
        <w:t>]</w:t>
      </w:r>
      <w:r w:rsidR="009831D9" w:rsidRPr="009831D9">
        <w:rPr>
          <w:rFonts w:cs="Arial"/>
          <w:sz w:val="20"/>
        </w:rPr>
        <w:t xml:space="preserve"> C.L.P. 818.</w:t>
      </w:r>
    </w:p>
  </w:footnote>
  <w:footnote w:id="20">
    <w:p w14:paraId="2B9A03FE" w14:textId="6A54D0C9" w:rsidR="00480338" w:rsidRPr="00480338" w:rsidRDefault="00480338" w:rsidP="0048033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Précitée, note </w:t>
      </w:r>
      <w:r w:rsidR="003C1566">
        <w:rPr>
          <w:rFonts w:cs="Arial"/>
          <w:sz w:val="20"/>
        </w:rPr>
        <w:t>10</w:t>
      </w:r>
      <w:r>
        <w:rPr>
          <w:rFonts w:cs="Arial"/>
          <w:sz w:val="20"/>
        </w:rPr>
        <w:t>.</w:t>
      </w:r>
    </w:p>
  </w:footnote>
  <w:footnote w:id="21">
    <w:p w14:paraId="7518B8CF" w14:textId="52DA955F" w:rsidR="007172B3" w:rsidRPr="007172B3" w:rsidRDefault="007172B3" w:rsidP="007172B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185E65">
        <w:rPr>
          <w:rFonts w:cs="Arial"/>
          <w:i/>
          <w:iCs/>
          <w:sz w:val="20"/>
        </w:rPr>
        <w:t xml:space="preserve">Marché Fortier </w:t>
      </w:r>
      <w:r w:rsidR="00DF4FB8" w:rsidRPr="00185E65">
        <w:rPr>
          <w:rFonts w:cs="Arial"/>
          <w:i/>
          <w:iCs/>
          <w:sz w:val="20"/>
        </w:rPr>
        <w:t>l</w:t>
      </w:r>
      <w:r w:rsidRPr="00185E65">
        <w:rPr>
          <w:rFonts w:cs="Arial"/>
          <w:i/>
          <w:iCs/>
          <w:sz w:val="20"/>
        </w:rPr>
        <w:t>tée</w:t>
      </w:r>
      <w:r w:rsidRPr="007172B3">
        <w:rPr>
          <w:rFonts w:cs="Arial"/>
          <w:sz w:val="20"/>
        </w:rPr>
        <w:t xml:space="preserve">. et </w:t>
      </w:r>
      <w:r w:rsidRPr="00185E65">
        <w:rPr>
          <w:rFonts w:cs="Arial"/>
          <w:i/>
          <w:iCs/>
          <w:sz w:val="20"/>
        </w:rPr>
        <w:t>Fournier</w:t>
      </w:r>
      <w:r w:rsidRPr="007172B3">
        <w:rPr>
          <w:rFonts w:cs="Arial"/>
          <w:sz w:val="20"/>
        </w:rPr>
        <w:t>,</w:t>
      </w:r>
      <w:r>
        <w:rPr>
          <w:rFonts w:cs="Arial"/>
          <w:sz w:val="20"/>
        </w:rPr>
        <w:t xml:space="preserve"> </w:t>
      </w:r>
      <w:r w:rsidRPr="007172B3">
        <w:rPr>
          <w:rFonts w:cs="Arial"/>
          <w:sz w:val="20"/>
        </w:rPr>
        <w:t>[2001] C.L.P. 693.</w:t>
      </w:r>
    </w:p>
  </w:footnote>
  <w:footnote w:id="22">
    <w:p w14:paraId="0FF86A30" w14:textId="26A13C00" w:rsidR="003614A1" w:rsidRPr="003614A1" w:rsidRDefault="003614A1" w:rsidP="00871F3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E77B88">
        <w:rPr>
          <w:rFonts w:cs="Arial"/>
          <w:sz w:val="20"/>
        </w:rPr>
        <w:t xml:space="preserve">Voir par exemple : </w:t>
      </w:r>
      <w:r w:rsidR="00E77B88" w:rsidRPr="00185E65">
        <w:rPr>
          <w:rFonts w:cs="Arial"/>
          <w:i/>
          <w:iCs/>
          <w:sz w:val="20"/>
        </w:rPr>
        <w:t>Summum Design B. Rodi Inc</w:t>
      </w:r>
      <w:r w:rsidR="00E77B88" w:rsidRPr="00E77B88">
        <w:rPr>
          <w:rFonts w:cs="Arial"/>
          <w:sz w:val="20"/>
        </w:rPr>
        <w:t xml:space="preserve">. et </w:t>
      </w:r>
      <w:r w:rsidR="00E77B88" w:rsidRPr="00185E65">
        <w:rPr>
          <w:rFonts w:cs="Arial"/>
          <w:i/>
          <w:iCs/>
          <w:sz w:val="20"/>
        </w:rPr>
        <w:t>Bernard</w:t>
      </w:r>
      <w:r w:rsidR="00E77B88" w:rsidRPr="00E77B88">
        <w:rPr>
          <w:rFonts w:cs="Arial"/>
          <w:sz w:val="20"/>
        </w:rPr>
        <w:t>,</w:t>
      </w:r>
      <w:r w:rsidR="00E77B88">
        <w:rPr>
          <w:rFonts w:cs="Arial"/>
          <w:sz w:val="20"/>
        </w:rPr>
        <w:t xml:space="preserve"> </w:t>
      </w:r>
      <w:r w:rsidR="00E77B88" w:rsidRPr="00E77B88">
        <w:rPr>
          <w:rFonts w:cs="Arial"/>
          <w:sz w:val="20"/>
        </w:rPr>
        <w:t>C.L.P. 161502-71-0105, 23 mai 2003, A</w:t>
      </w:r>
      <w:r w:rsidR="00DB09E3">
        <w:rPr>
          <w:rFonts w:cs="Arial"/>
          <w:sz w:val="20"/>
        </w:rPr>
        <w:t>.</w:t>
      </w:r>
      <w:r w:rsidR="00E77B88" w:rsidRPr="00E77B88">
        <w:rPr>
          <w:rFonts w:cs="Arial"/>
          <w:sz w:val="20"/>
        </w:rPr>
        <w:t xml:space="preserve"> Vaillancourt</w:t>
      </w:r>
      <w:r w:rsidR="00871F38">
        <w:rPr>
          <w:rFonts w:cs="Arial"/>
          <w:sz w:val="20"/>
        </w:rPr>
        <w:t xml:space="preserve">; </w:t>
      </w:r>
      <w:r w:rsidR="00871F38" w:rsidRPr="00185E65">
        <w:rPr>
          <w:rFonts w:cs="Arial"/>
          <w:i/>
          <w:iCs/>
          <w:sz w:val="20"/>
        </w:rPr>
        <w:t>Duhaime</w:t>
      </w:r>
      <w:r w:rsidR="00871F38" w:rsidRPr="00871F38">
        <w:rPr>
          <w:rFonts w:cs="Arial"/>
          <w:sz w:val="20"/>
        </w:rPr>
        <w:t xml:space="preserve"> et </w:t>
      </w:r>
      <w:r w:rsidR="00871F38" w:rsidRPr="00185E65">
        <w:rPr>
          <w:rFonts w:cs="Arial"/>
          <w:i/>
          <w:iCs/>
          <w:sz w:val="20"/>
        </w:rPr>
        <w:t>2635-0447 Québec inc.</w:t>
      </w:r>
      <w:r w:rsidR="00871F38" w:rsidRPr="00871F38">
        <w:rPr>
          <w:rFonts w:cs="Arial"/>
          <w:sz w:val="20"/>
        </w:rPr>
        <w:t>,</w:t>
      </w:r>
      <w:r w:rsidR="00871F38">
        <w:rPr>
          <w:rFonts w:cs="Arial"/>
          <w:sz w:val="20"/>
        </w:rPr>
        <w:t xml:space="preserve"> </w:t>
      </w:r>
      <w:r w:rsidR="00871F38" w:rsidRPr="00871F38">
        <w:rPr>
          <w:rFonts w:cs="Arial"/>
          <w:sz w:val="20"/>
        </w:rPr>
        <w:t>2012 QCCLP 7494.</w:t>
      </w:r>
    </w:p>
  </w:footnote>
  <w:footnote w:id="23">
    <w:p w14:paraId="0DABE00B" w14:textId="40E3A9BB" w:rsidR="002A00AA" w:rsidRPr="002A00AA" w:rsidRDefault="002A00AA" w:rsidP="002A00A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w:t>
      </w:r>
      <w:r w:rsidR="004B1418">
        <w:rPr>
          <w:rFonts w:cs="Arial"/>
          <w:sz w:val="20"/>
        </w:rPr>
        <w:t>até d</w:t>
      </w:r>
      <w:r>
        <w:rPr>
          <w:rFonts w:cs="Arial"/>
          <w:sz w:val="20"/>
        </w:rPr>
        <w:t>u 22 juin 2021.</w:t>
      </w:r>
    </w:p>
  </w:footnote>
  <w:footnote w:id="24">
    <w:p w14:paraId="0B9DD566" w14:textId="1F0C3801" w:rsidR="001367D4" w:rsidRPr="001367D4" w:rsidRDefault="001367D4" w:rsidP="001367D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Expertise médicale du 29 mars 2022.</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581A6AAB" w14:textId="77777777" w:rsidTr="00F46023">
      <w:tc>
        <w:tcPr>
          <w:tcW w:w="8730" w:type="dxa"/>
        </w:tcPr>
        <w:p w14:paraId="52EEDF07" w14:textId="77777777" w:rsidR="00D330B6" w:rsidRDefault="00D330B6">
          <w:pPr>
            <w:pStyle w:val="En-tte"/>
            <w:ind w:left="-90"/>
          </w:pPr>
        </w:p>
      </w:tc>
      <w:tc>
        <w:tcPr>
          <w:tcW w:w="860" w:type="dxa"/>
        </w:tcPr>
        <w:p w14:paraId="30EEE6D6" w14:textId="77777777" w:rsidR="00D330B6" w:rsidRDefault="00D330B6">
          <w:pPr>
            <w:pStyle w:val="En-tte"/>
            <w:ind w:left="-90"/>
          </w:pPr>
        </w:p>
      </w:tc>
    </w:tr>
    <w:tr w:rsidR="00F46023" w14:paraId="5F2AAB29" w14:textId="77777777" w:rsidTr="00F46023">
      <w:tc>
        <w:tcPr>
          <w:tcW w:w="8730" w:type="dxa"/>
        </w:tcPr>
        <w:p w14:paraId="087B148A" w14:textId="0F6F8B20" w:rsidR="00F46023" w:rsidRDefault="00F46023" w:rsidP="00F46023">
          <w:r>
            <w:t>1250995-62A-2111   1291759-62A-2209</w:t>
          </w:r>
        </w:p>
      </w:tc>
      <w:tc>
        <w:tcPr>
          <w:tcW w:w="860" w:type="dxa"/>
        </w:tcPr>
        <w:p w14:paraId="74CFB39E" w14:textId="77777777" w:rsidR="00F46023" w:rsidRDefault="00F46023" w:rsidP="00F46023">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1A236B">
            <w:rPr>
              <w:rStyle w:val="Numrodepage"/>
              <w:noProof/>
            </w:rPr>
            <w:t>2</w:t>
          </w:r>
          <w:r>
            <w:rPr>
              <w:rStyle w:val="Numrodepage"/>
            </w:rPr>
            <w:fldChar w:fldCharType="end"/>
          </w:r>
        </w:p>
      </w:tc>
    </w:tr>
    <w:tr w:rsidR="00F46023" w14:paraId="70C002F3" w14:textId="77777777" w:rsidTr="00F46023">
      <w:tc>
        <w:tcPr>
          <w:tcW w:w="8730" w:type="dxa"/>
        </w:tcPr>
        <w:p w14:paraId="02F519FE" w14:textId="77777777" w:rsidR="00F46023" w:rsidRDefault="00F46023" w:rsidP="00F46023"/>
      </w:tc>
      <w:tc>
        <w:tcPr>
          <w:tcW w:w="860" w:type="dxa"/>
        </w:tcPr>
        <w:p w14:paraId="0FF2CD70" w14:textId="77777777" w:rsidR="00F46023" w:rsidRDefault="00F46023" w:rsidP="00F46023">
          <w:pPr>
            <w:pStyle w:val="En-tte"/>
            <w:ind w:left="-90"/>
            <w:jc w:val="right"/>
          </w:pPr>
        </w:p>
      </w:tc>
    </w:tr>
  </w:tbl>
  <w:p w14:paraId="113E1D24"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3E0A34C2"/>
    <w:multiLevelType w:val="hybridMultilevel"/>
    <w:tmpl w:val="6B6A4208"/>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start w:val="1"/>
      <w:numFmt w:val="bullet"/>
      <w:lvlText w:val="o"/>
      <w:lvlJc w:val="left"/>
      <w:pPr>
        <w:ind w:left="3600" w:hanging="360"/>
      </w:pPr>
      <w:rPr>
        <w:rFonts w:ascii="Courier New" w:hAnsi="Courier New" w:cs="Courier New" w:hint="default"/>
      </w:rPr>
    </w:lvl>
    <w:lvl w:ilvl="5" w:tplc="0C0C0005">
      <w:start w:val="1"/>
      <w:numFmt w:val="bullet"/>
      <w:lvlText w:val=""/>
      <w:lvlJc w:val="left"/>
      <w:pPr>
        <w:ind w:left="4320" w:hanging="360"/>
      </w:pPr>
      <w:rPr>
        <w:rFonts w:ascii="Wingdings" w:hAnsi="Wingdings" w:hint="default"/>
      </w:rPr>
    </w:lvl>
    <w:lvl w:ilvl="6" w:tplc="0C0C0001">
      <w:start w:val="1"/>
      <w:numFmt w:val="bullet"/>
      <w:lvlText w:val=""/>
      <w:lvlJc w:val="left"/>
      <w:pPr>
        <w:ind w:left="5040" w:hanging="360"/>
      </w:pPr>
      <w:rPr>
        <w:rFonts w:ascii="Symbol" w:hAnsi="Symbol" w:hint="default"/>
      </w:rPr>
    </w:lvl>
    <w:lvl w:ilvl="7" w:tplc="0C0C0003">
      <w:start w:val="1"/>
      <w:numFmt w:val="bullet"/>
      <w:lvlText w:val="o"/>
      <w:lvlJc w:val="left"/>
      <w:pPr>
        <w:ind w:left="5760" w:hanging="360"/>
      </w:pPr>
      <w:rPr>
        <w:rFonts w:ascii="Courier New" w:hAnsi="Courier New" w:cs="Courier New" w:hint="default"/>
      </w:rPr>
    </w:lvl>
    <w:lvl w:ilvl="8" w:tplc="0C0C0005">
      <w:start w:val="1"/>
      <w:numFmt w:val="bullet"/>
      <w:lvlText w:val=""/>
      <w:lvlJc w:val="left"/>
      <w:pPr>
        <w:ind w:left="6480" w:hanging="360"/>
      </w:pPr>
      <w:rPr>
        <w:rFonts w:ascii="Wingdings" w:hAnsi="Wingdings" w:hint="default"/>
      </w:rPr>
    </w:lvl>
  </w:abstractNum>
  <w:abstractNum w:abstractNumId="3"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4"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6"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8" w15:restartNumberingAfterBreak="0">
    <w:nsid w:val="76556088"/>
    <w:multiLevelType w:val="multilevel"/>
    <w:tmpl w:val="94F881FC"/>
    <w:lvl w:ilvl="0">
      <w:start w:val="1"/>
      <w:numFmt w:val="decimal"/>
      <w:pStyle w:val="corpsdedcision"/>
      <w:lvlText w:val="[%1]"/>
      <w:lvlJc w:val="left"/>
      <w:pPr>
        <w:tabs>
          <w:tab w:val="num" w:pos="360"/>
        </w:tabs>
        <w:ind w:left="0" w:firstLine="0"/>
      </w:pPr>
    </w:lvl>
    <w:lvl w:ilvl="1">
      <w:start w:val="1"/>
      <w:numFmt w:val="bullet"/>
      <w:lvlText w:val=""/>
      <w:lvlJc w:val="left"/>
      <w:pPr>
        <w:ind w:left="720" w:hanging="360"/>
      </w:pPr>
      <w:rPr>
        <w:rFonts w:ascii="Symbol" w:hAnsi="Symbol" w:hint="default"/>
      </w:r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9"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0"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8"/>
  </w:num>
  <w:num w:numId="2">
    <w:abstractNumId w:val="7"/>
  </w:num>
  <w:num w:numId="3">
    <w:abstractNumId w:val="6"/>
  </w:num>
  <w:num w:numId="4">
    <w:abstractNumId w:val="4"/>
  </w:num>
  <w:num w:numId="5">
    <w:abstractNumId w:val="10"/>
  </w:num>
  <w:num w:numId="6">
    <w:abstractNumId w:val="10"/>
  </w:num>
  <w:num w:numId="7">
    <w:abstractNumId w:val="0"/>
  </w:num>
  <w:num w:numId="8">
    <w:abstractNumId w:val="3"/>
  </w:num>
  <w:num w:numId="9">
    <w:abstractNumId w:val="1"/>
  </w:num>
  <w:num w:numId="10">
    <w:abstractNumId w:val="9"/>
  </w:num>
  <w:num w:numId="11">
    <w:abstractNumId w:val="5"/>
  </w:num>
  <w:num w:numId="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023"/>
    <w:rsid w:val="000034B0"/>
    <w:rsid w:val="000041A1"/>
    <w:rsid w:val="00006DD2"/>
    <w:rsid w:val="0001305E"/>
    <w:rsid w:val="00016D99"/>
    <w:rsid w:val="0002023A"/>
    <w:rsid w:val="00021B30"/>
    <w:rsid w:val="00021E4C"/>
    <w:rsid w:val="00022556"/>
    <w:rsid w:val="00023858"/>
    <w:rsid w:val="00025BA2"/>
    <w:rsid w:val="000352CA"/>
    <w:rsid w:val="000366EC"/>
    <w:rsid w:val="00036794"/>
    <w:rsid w:val="00043E4D"/>
    <w:rsid w:val="000536CC"/>
    <w:rsid w:val="00053D79"/>
    <w:rsid w:val="000559A8"/>
    <w:rsid w:val="00055A3E"/>
    <w:rsid w:val="00056393"/>
    <w:rsid w:val="00057739"/>
    <w:rsid w:val="000662A3"/>
    <w:rsid w:val="00071F5D"/>
    <w:rsid w:val="0007225E"/>
    <w:rsid w:val="00072801"/>
    <w:rsid w:val="00074ABE"/>
    <w:rsid w:val="00074EAE"/>
    <w:rsid w:val="000756D0"/>
    <w:rsid w:val="00076D81"/>
    <w:rsid w:val="00080885"/>
    <w:rsid w:val="00082A97"/>
    <w:rsid w:val="0008378A"/>
    <w:rsid w:val="0008784D"/>
    <w:rsid w:val="00090018"/>
    <w:rsid w:val="00090306"/>
    <w:rsid w:val="00090F69"/>
    <w:rsid w:val="00093ACD"/>
    <w:rsid w:val="0009494C"/>
    <w:rsid w:val="00095814"/>
    <w:rsid w:val="00097D81"/>
    <w:rsid w:val="00097FCE"/>
    <w:rsid w:val="000A09C3"/>
    <w:rsid w:val="000A1DAC"/>
    <w:rsid w:val="000A21F6"/>
    <w:rsid w:val="000A4AD0"/>
    <w:rsid w:val="000A5AD1"/>
    <w:rsid w:val="000A63DF"/>
    <w:rsid w:val="000A77C5"/>
    <w:rsid w:val="000B6275"/>
    <w:rsid w:val="000B63C8"/>
    <w:rsid w:val="000B7F1B"/>
    <w:rsid w:val="000C6B83"/>
    <w:rsid w:val="000C710F"/>
    <w:rsid w:val="000C7F81"/>
    <w:rsid w:val="000D3948"/>
    <w:rsid w:val="000D3C0F"/>
    <w:rsid w:val="000E0C28"/>
    <w:rsid w:val="000E0C3A"/>
    <w:rsid w:val="000E1320"/>
    <w:rsid w:val="000E3FF6"/>
    <w:rsid w:val="000E52DB"/>
    <w:rsid w:val="000E56A6"/>
    <w:rsid w:val="000F1AA3"/>
    <w:rsid w:val="000F20A5"/>
    <w:rsid w:val="000F3423"/>
    <w:rsid w:val="000F37CD"/>
    <w:rsid w:val="000F5F81"/>
    <w:rsid w:val="00100AB8"/>
    <w:rsid w:val="0010287C"/>
    <w:rsid w:val="00104550"/>
    <w:rsid w:val="00104C3D"/>
    <w:rsid w:val="001050B4"/>
    <w:rsid w:val="001112BE"/>
    <w:rsid w:val="001144AB"/>
    <w:rsid w:val="0012224D"/>
    <w:rsid w:val="001225BC"/>
    <w:rsid w:val="00122A9E"/>
    <w:rsid w:val="00122F94"/>
    <w:rsid w:val="0012326A"/>
    <w:rsid w:val="00132622"/>
    <w:rsid w:val="001367D4"/>
    <w:rsid w:val="0013687E"/>
    <w:rsid w:val="00137E7E"/>
    <w:rsid w:val="001407FC"/>
    <w:rsid w:val="00144572"/>
    <w:rsid w:val="00146086"/>
    <w:rsid w:val="00146116"/>
    <w:rsid w:val="00147A49"/>
    <w:rsid w:val="00147B8B"/>
    <w:rsid w:val="0015125A"/>
    <w:rsid w:val="00152464"/>
    <w:rsid w:val="0015539F"/>
    <w:rsid w:val="00160467"/>
    <w:rsid w:val="00160597"/>
    <w:rsid w:val="00162ECC"/>
    <w:rsid w:val="001664C8"/>
    <w:rsid w:val="00167AD0"/>
    <w:rsid w:val="00167DEF"/>
    <w:rsid w:val="00167E9D"/>
    <w:rsid w:val="00173184"/>
    <w:rsid w:val="00175079"/>
    <w:rsid w:val="001761B9"/>
    <w:rsid w:val="001763BA"/>
    <w:rsid w:val="00183515"/>
    <w:rsid w:val="001846FC"/>
    <w:rsid w:val="001854FD"/>
    <w:rsid w:val="001857A1"/>
    <w:rsid w:val="00185E65"/>
    <w:rsid w:val="001924FE"/>
    <w:rsid w:val="0019574D"/>
    <w:rsid w:val="001965E1"/>
    <w:rsid w:val="001973EF"/>
    <w:rsid w:val="00197A31"/>
    <w:rsid w:val="001A03BE"/>
    <w:rsid w:val="001A067E"/>
    <w:rsid w:val="001A236B"/>
    <w:rsid w:val="001A2900"/>
    <w:rsid w:val="001A4081"/>
    <w:rsid w:val="001A65F1"/>
    <w:rsid w:val="001B2B40"/>
    <w:rsid w:val="001B3E9D"/>
    <w:rsid w:val="001B4A40"/>
    <w:rsid w:val="001B5524"/>
    <w:rsid w:val="001B6D8A"/>
    <w:rsid w:val="001C19D4"/>
    <w:rsid w:val="001C2B0B"/>
    <w:rsid w:val="001C3CB0"/>
    <w:rsid w:val="001C436D"/>
    <w:rsid w:val="001D63C8"/>
    <w:rsid w:val="001D65D8"/>
    <w:rsid w:val="001E045F"/>
    <w:rsid w:val="001E3DFD"/>
    <w:rsid w:val="001E42F0"/>
    <w:rsid w:val="001E4728"/>
    <w:rsid w:val="001E497A"/>
    <w:rsid w:val="001E5E3B"/>
    <w:rsid w:val="001F4742"/>
    <w:rsid w:val="001F69D0"/>
    <w:rsid w:val="00220D4E"/>
    <w:rsid w:val="00224259"/>
    <w:rsid w:val="0022502D"/>
    <w:rsid w:val="00225C46"/>
    <w:rsid w:val="00226493"/>
    <w:rsid w:val="00227040"/>
    <w:rsid w:val="00230CFC"/>
    <w:rsid w:val="0023162A"/>
    <w:rsid w:val="00231C1D"/>
    <w:rsid w:val="002331EF"/>
    <w:rsid w:val="00233532"/>
    <w:rsid w:val="00234705"/>
    <w:rsid w:val="00234BC8"/>
    <w:rsid w:val="00241CED"/>
    <w:rsid w:val="00242FB4"/>
    <w:rsid w:val="00245605"/>
    <w:rsid w:val="002542E0"/>
    <w:rsid w:val="002563F0"/>
    <w:rsid w:val="00256CDA"/>
    <w:rsid w:val="00256DBB"/>
    <w:rsid w:val="00260119"/>
    <w:rsid w:val="00266064"/>
    <w:rsid w:val="00267C8D"/>
    <w:rsid w:val="002701DD"/>
    <w:rsid w:val="002710FD"/>
    <w:rsid w:val="00272C21"/>
    <w:rsid w:val="00273F49"/>
    <w:rsid w:val="002769B5"/>
    <w:rsid w:val="00276B25"/>
    <w:rsid w:val="00276B59"/>
    <w:rsid w:val="00280DD2"/>
    <w:rsid w:val="00281319"/>
    <w:rsid w:val="00286149"/>
    <w:rsid w:val="0028668D"/>
    <w:rsid w:val="00286A9C"/>
    <w:rsid w:val="00290289"/>
    <w:rsid w:val="00292188"/>
    <w:rsid w:val="002923D9"/>
    <w:rsid w:val="00296398"/>
    <w:rsid w:val="00296645"/>
    <w:rsid w:val="00296A4B"/>
    <w:rsid w:val="00297284"/>
    <w:rsid w:val="002A0077"/>
    <w:rsid w:val="002A00AA"/>
    <w:rsid w:val="002A07DC"/>
    <w:rsid w:val="002A1741"/>
    <w:rsid w:val="002A3573"/>
    <w:rsid w:val="002A374B"/>
    <w:rsid w:val="002A73E9"/>
    <w:rsid w:val="002B132B"/>
    <w:rsid w:val="002B2FC3"/>
    <w:rsid w:val="002B35DE"/>
    <w:rsid w:val="002B35F0"/>
    <w:rsid w:val="002B58AF"/>
    <w:rsid w:val="002C3748"/>
    <w:rsid w:val="002C5E89"/>
    <w:rsid w:val="002D3417"/>
    <w:rsid w:val="002D42BC"/>
    <w:rsid w:val="002D46E7"/>
    <w:rsid w:val="002D55DA"/>
    <w:rsid w:val="002D566B"/>
    <w:rsid w:val="002D71A9"/>
    <w:rsid w:val="002D7846"/>
    <w:rsid w:val="002D7E9F"/>
    <w:rsid w:val="002D7FCB"/>
    <w:rsid w:val="002E015B"/>
    <w:rsid w:val="002E05AE"/>
    <w:rsid w:val="002E571A"/>
    <w:rsid w:val="002F2B19"/>
    <w:rsid w:val="002F7507"/>
    <w:rsid w:val="00300216"/>
    <w:rsid w:val="0030059B"/>
    <w:rsid w:val="00300AEF"/>
    <w:rsid w:val="00302FB4"/>
    <w:rsid w:val="00305273"/>
    <w:rsid w:val="003057FC"/>
    <w:rsid w:val="00305AFB"/>
    <w:rsid w:val="00307C85"/>
    <w:rsid w:val="00312983"/>
    <w:rsid w:val="00313671"/>
    <w:rsid w:val="00323DC5"/>
    <w:rsid w:val="003248CB"/>
    <w:rsid w:val="00331EA7"/>
    <w:rsid w:val="003332B8"/>
    <w:rsid w:val="00335996"/>
    <w:rsid w:val="00337555"/>
    <w:rsid w:val="00340FC9"/>
    <w:rsid w:val="00343B46"/>
    <w:rsid w:val="00344465"/>
    <w:rsid w:val="0034740A"/>
    <w:rsid w:val="0035046E"/>
    <w:rsid w:val="00350946"/>
    <w:rsid w:val="0035375B"/>
    <w:rsid w:val="003614A1"/>
    <w:rsid w:val="00362D74"/>
    <w:rsid w:val="003664E9"/>
    <w:rsid w:val="00366D1E"/>
    <w:rsid w:val="003703A5"/>
    <w:rsid w:val="0037112C"/>
    <w:rsid w:val="00373EE5"/>
    <w:rsid w:val="003817E7"/>
    <w:rsid w:val="00382E55"/>
    <w:rsid w:val="00390B55"/>
    <w:rsid w:val="003961B2"/>
    <w:rsid w:val="003A0BD5"/>
    <w:rsid w:val="003A0E4C"/>
    <w:rsid w:val="003A41AD"/>
    <w:rsid w:val="003B0C41"/>
    <w:rsid w:val="003B152B"/>
    <w:rsid w:val="003B1734"/>
    <w:rsid w:val="003B1735"/>
    <w:rsid w:val="003B2D2E"/>
    <w:rsid w:val="003B6CBF"/>
    <w:rsid w:val="003C1566"/>
    <w:rsid w:val="003C192A"/>
    <w:rsid w:val="003C47A7"/>
    <w:rsid w:val="003D0826"/>
    <w:rsid w:val="003D18FC"/>
    <w:rsid w:val="003D3C93"/>
    <w:rsid w:val="003D71BB"/>
    <w:rsid w:val="003E00D5"/>
    <w:rsid w:val="003E02BA"/>
    <w:rsid w:val="003E1A32"/>
    <w:rsid w:val="003F0578"/>
    <w:rsid w:val="003F7F38"/>
    <w:rsid w:val="00401325"/>
    <w:rsid w:val="004019AA"/>
    <w:rsid w:val="00401FAE"/>
    <w:rsid w:val="0040399B"/>
    <w:rsid w:val="00406F0C"/>
    <w:rsid w:val="004106DB"/>
    <w:rsid w:val="00410A9A"/>
    <w:rsid w:val="00411251"/>
    <w:rsid w:val="00411EE2"/>
    <w:rsid w:val="00412585"/>
    <w:rsid w:val="00413492"/>
    <w:rsid w:val="0041363B"/>
    <w:rsid w:val="00414FA8"/>
    <w:rsid w:val="00415D5D"/>
    <w:rsid w:val="0041643A"/>
    <w:rsid w:val="00420CF7"/>
    <w:rsid w:val="00421206"/>
    <w:rsid w:val="004215E8"/>
    <w:rsid w:val="004232E9"/>
    <w:rsid w:val="0042650F"/>
    <w:rsid w:val="0042684F"/>
    <w:rsid w:val="00427D5D"/>
    <w:rsid w:val="00431E0B"/>
    <w:rsid w:val="004337FE"/>
    <w:rsid w:val="00433E98"/>
    <w:rsid w:val="00435738"/>
    <w:rsid w:val="00437137"/>
    <w:rsid w:val="004403B8"/>
    <w:rsid w:val="00440D83"/>
    <w:rsid w:val="00441ADA"/>
    <w:rsid w:val="004422CA"/>
    <w:rsid w:val="0044274C"/>
    <w:rsid w:val="0044371C"/>
    <w:rsid w:val="0044627E"/>
    <w:rsid w:val="0045114F"/>
    <w:rsid w:val="004529D3"/>
    <w:rsid w:val="00453F31"/>
    <w:rsid w:val="00456B0C"/>
    <w:rsid w:val="00460101"/>
    <w:rsid w:val="00460595"/>
    <w:rsid w:val="0046538B"/>
    <w:rsid w:val="00467D8A"/>
    <w:rsid w:val="00471C92"/>
    <w:rsid w:val="004739AC"/>
    <w:rsid w:val="00474489"/>
    <w:rsid w:val="00475FEF"/>
    <w:rsid w:val="0047680F"/>
    <w:rsid w:val="00477536"/>
    <w:rsid w:val="0047776F"/>
    <w:rsid w:val="00480338"/>
    <w:rsid w:val="004825A1"/>
    <w:rsid w:val="00482D5B"/>
    <w:rsid w:val="004832E2"/>
    <w:rsid w:val="004870EA"/>
    <w:rsid w:val="004873EC"/>
    <w:rsid w:val="00487F13"/>
    <w:rsid w:val="0049595F"/>
    <w:rsid w:val="00496193"/>
    <w:rsid w:val="00497FF2"/>
    <w:rsid w:val="004A02AF"/>
    <w:rsid w:val="004A2D66"/>
    <w:rsid w:val="004A4449"/>
    <w:rsid w:val="004A679B"/>
    <w:rsid w:val="004B1418"/>
    <w:rsid w:val="004C0FB4"/>
    <w:rsid w:val="004C1811"/>
    <w:rsid w:val="004C2944"/>
    <w:rsid w:val="004C4555"/>
    <w:rsid w:val="004C588C"/>
    <w:rsid w:val="004D0191"/>
    <w:rsid w:val="004D102F"/>
    <w:rsid w:val="004D12C3"/>
    <w:rsid w:val="004D16D6"/>
    <w:rsid w:val="004D6CEA"/>
    <w:rsid w:val="004E0E02"/>
    <w:rsid w:val="004E2664"/>
    <w:rsid w:val="004E3564"/>
    <w:rsid w:val="004E3D9F"/>
    <w:rsid w:val="004E51C0"/>
    <w:rsid w:val="004E64BE"/>
    <w:rsid w:val="004F6293"/>
    <w:rsid w:val="00503B8D"/>
    <w:rsid w:val="00503EE3"/>
    <w:rsid w:val="00505811"/>
    <w:rsid w:val="0051261C"/>
    <w:rsid w:val="00515DE7"/>
    <w:rsid w:val="00517EB0"/>
    <w:rsid w:val="005205CB"/>
    <w:rsid w:val="0052430C"/>
    <w:rsid w:val="00530913"/>
    <w:rsid w:val="00531259"/>
    <w:rsid w:val="005348E4"/>
    <w:rsid w:val="00534D8F"/>
    <w:rsid w:val="00534F69"/>
    <w:rsid w:val="005352F1"/>
    <w:rsid w:val="00537DE6"/>
    <w:rsid w:val="00540094"/>
    <w:rsid w:val="00542444"/>
    <w:rsid w:val="00545CFF"/>
    <w:rsid w:val="00547A9C"/>
    <w:rsid w:val="0055121B"/>
    <w:rsid w:val="00555800"/>
    <w:rsid w:val="00556DBB"/>
    <w:rsid w:val="00560781"/>
    <w:rsid w:val="0056268F"/>
    <w:rsid w:val="005662E9"/>
    <w:rsid w:val="005700F8"/>
    <w:rsid w:val="00572AAF"/>
    <w:rsid w:val="005758E9"/>
    <w:rsid w:val="005801AE"/>
    <w:rsid w:val="00582868"/>
    <w:rsid w:val="00582ECC"/>
    <w:rsid w:val="0058399B"/>
    <w:rsid w:val="00583FEF"/>
    <w:rsid w:val="0058692F"/>
    <w:rsid w:val="00587045"/>
    <w:rsid w:val="00587C22"/>
    <w:rsid w:val="005907BE"/>
    <w:rsid w:val="0059436D"/>
    <w:rsid w:val="005945C0"/>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C0A89"/>
    <w:rsid w:val="005C1ED0"/>
    <w:rsid w:val="005C3BC4"/>
    <w:rsid w:val="005D1060"/>
    <w:rsid w:val="005D20B4"/>
    <w:rsid w:val="005D26CC"/>
    <w:rsid w:val="005D4711"/>
    <w:rsid w:val="005D4CEC"/>
    <w:rsid w:val="005D59B1"/>
    <w:rsid w:val="005D5AAD"/>
    <w:rsid w:val="005D764B"/>
    <w:rsid w:val="005E2367"/>
    <w:rsid w:val="005E34D2"/>
    <w:rsid w:val="005E4CFC"/>
    <w:rsid w:val="005E5E90"/>
    <w:rsid w:val="005E62C7"/>
    <w:rsid w:val="005E654C"/>
    <w:rsid w:val="005F05F6"/>
    <w:rsid w:val="005F0D07"/>
    <w:rsid w:val="00603DB0"/>
    <w:rsid w:val="00605734"/>
    <w:rsid w:val="0061488E"/>
    <w:rsid w:val="0061574B"/>
    <w:rsid w:val="00615D1E"/>
    <w:rsid w:val="00616406"/>
    <w:rsid w:val="00616471"/>
    <w:rsid w:val="00622145"/>
    <w:rsid w:val="00622670"/>
    <w:rsid w:val="00623328"/>
    <w:rsid w:val="00623A1A"/>
    <w:rsid w:val="00626E8D"/>
    <w:rsid w:val="0063156B"/>
    <w:rsid w:val="006322EF"/>
    <w:rsid w:val="006326A9"/>
    <w:rsid w:val="00632DA8"/>
    <w:rsid w:val="00634C4B"/>
    <w:rsid w:val="00634E6E"/>
    <w:rsid w:val="0063651F"/>
    <w:rsid w:val="0063663A"/>
    <w:rsid w:val="006377F7"/>
    <w:rsid w:val="0064342A"/>
    <w:rsid w:val="00643A28"/>
    <w:rsid w:val="00645232"/>
    <w:rsid w:val="006452FA"/>
    <w:rsid w:val="0065093D"/>
    <w:rsid w:val="00652A16"/>
    <w:rsid w:val="00655193"/>
    <w:rsid w:val="00655459"/>
    <w:rsid w:val="00656FB2"/>
    <w:rsid w:val="00657A70"/>
    <w:rsid w:val="00660988"/>
    <w:rsid w:val="00661454"/>
    <w:rsid w:val="006620AA"/>
    <w:rsid w:val="006626AF"/>
    <w:rsid w:val="00665E50"/>
    <w:rsid w:val="0066642D"/>
    <w:rsid w:val="006674EC"/>
    <w:rsid w:val="006722E2"/>
    <w:rsid w:val="00675E85"/>
    <w:rsid w:val="00676F93"/>
    <w:rsid w:val="0067750F"/>
    <w:rsid w:val="00681396"/>
    <w:rsid w:val="0068171F"/>
    <w:rsid w:val="00682552"/>
    <w:rsid w:val="0068401E"/>
    <w:rsid w:val="006841A4"/>
    <w:rsid w:val="0068643F"/>
    <w:rsid w:val="006877A1"/>
    <w:rsid w:val="00692150"/>
    <w:rsid w:val="00692F0C"/>
    <w:rsid w:val="006944B0"/>
    <w:rsid w:val="00696E7C"/>
    <w:rsid w:val="00696EF2"/>
    <w:rsid w:val="006A0C54"/>
    <w:rsid w:val="006A13FA"/>
    <w:rsid w:val="006A3E54"/>
    <w:rsid w:val="006A7C53"/>
    <w:rsid w:val="006B140A"/>
    <w:rsid w:val="006B309C"/>
    <w:rsid w:val="006B4316"/>
    <w:rsid w:val="006B727F"/>
    <w:rsid w:val="006C1B57"/>
    <w:rsid w:val="006C6D3A"/>
    <w:rsid w:val="006C722A"/>
    <w:rsid w:val="006C7B36"/>
    <w:rsid w:val="006C7B7F"/>
    <w:rsid w:val="006D16E2"/>
    <w:rsid w:val="006D19E8"/>
    <w:rsid w:val="006D7768"/>
    <w:rsid w:val="006E04B5"/>
    <w:rsid w:val="006E1C84"/>
    <w:rsid w:val="006E330C"/>
    <w:rsid w:val="006E3DD8"/>
    <w:rsid w:val="006E73A5"/>
    <w:rsid w:val="006E793F"/>
    <w:rsid w:val="006F0154"/>
    <w:rsid w:val="006F608D"/>
    <w:rsid w:val="006F6FF2"/>
    <w:rsid w:val="006F7944"/>
    <w:rsid w:val="00703F64"/>
    <w:rsid w:val="00704121"/>
    <w:rsid w:val="00704F84"/>
    <w:rsid w:val="00705BB5"/>
    <w:rsid w:val="0071326F"/>
    <w:rsid w:val="007136D9"/>
    <w:rsid w:val="007153D7"/>
    <w:rsid w:val="007172B3"/>
    <w:rsid w:val="00720ED4"/>
    <w:rsid w:val="00722736"/>
    <w:rsid w:val="00722C34"/>
    <w:rsid w:val="0073696D"/>
    <w:rsid w:val="00742391"/>
    <w:rsid w:val="00742CFD"/>
    <w:rsid w:val="0074488F"/>
    <w:rsid w:val="00745AA8"/>
    <w:rsid w:val="007503E0"/>
    <w:rsid w:val="007510EC"/>
    <w:rsid w:val="0075233C"/>
    <w:rsid w:val="0075256A"/>
    <w:rsid w:val="00752DCD"/>
    <w:rsid w:val="007569DE"/>
    <w:rsid w:val="0075723C"/>
    <w:rsid w:val="0076146A"/>
    <w:rsid w:val="0076350E"/>
    <w:rsid w:val="00763F36"/>
    <w:rsid w:val="00775BDF"/>
    <w:rsid w:val="00776044"/>
    <w:rsid w:val="0077614D"/>
    <w:rsid w:val="00776F9D"/>
    <w:rsid w:val="00781E68"/>
    <w:rsid w:val="00782C8F"/>
    <w:rsid w:val="00783244"/>
    <w:rsid w:val="00785F78"/>
    <w:rsid w:val="0078659D"/>
    <w:rsid w:val="007869EC"/>
    <w:rsid w:val="00791ED8"/>
    <w:rsid w:val="00795C4F"/>
    <w:rsid w:val="00797035"/>
    <w:rsid w:val="007A1E58"/>
    <w:rsid w:val="007A5C7E"/>
    <w:rsid w:val="007A63F9"/>
    <w:rsid w:val="007A69A9"/>
    <w:rsid w:val="007A6E2F"/>
    <w:rsid w:val="007B0DF2"/>
    <w:rsid w:val="007B3303"/>
    <w:rsid w:val="007B3BC5"/>
    <w:rsid w:val="007B56D4"/>
    <w:rsid w:val="007B6F8D"/>
    <w:rsid w:val="007B7F4F"/>
    <w:rsid w:val="007C1832"/>
    <w:rsid w:val="007C19E8"/>
    <w:rsid w:val="007D03DF"/>
    <w:rsid w:val="007D4953"/>
    <w:rsid w:val="007D50F4"/>
    <w:rsid w:val="007D685D"/>
    <w:rsid w:val="007D7173"/>
    <w:rsid w:val="007E0AA2"/>
    <w:rsid w:val="007E1216"/>
    <w:rsid w:val="007E4CD4"/>
    <w:rsid w:val="007E530C"/>
    <w:rsid w:val="007E67E8"/>
    <w:rsid w:val="007F0E8E"/>
    <w:rsid w:val="007F1F16"/>
    <w:rsid w:val="007F2149"/>
    <w:rsid w:val="007F43A0"/>
    <w:rsid w:val="007F4E00"/>
    <w:rsid w:val="008048CF"/>
    <w:rsid w:val="008079DD"/>
    <w:rsid w:val="0081130F"/>
    <w:rsid w:val="00813095"/>
    <w:rsid w:val="00813AF9"/>
    <w:rsid w:val="008145AD"/>
    <w:rsid w:val="008146B2"/>
    <w:rsid w:val="008148AD"/>
    <w:rsid w:val="00814920"/>
    <w:rsid w:val="00814BC0"/>
    <w:rsid w:val="00817E79"/>
    <w:rsid w:val="00822F07"/>
    <w:rsid w:val="00824430"/>
    <w:rsid w:val="00825B1F"/>
    <w:rsid w:val="00826A0E"/>
    <w:rsid w:val="00827D55"/>
    <w:rsid w:val="00832C84"/>
    <w:rsid w:val="00840EDD"/>
    <w:rsid w:val="0084255F"/>
    <w:rsid w:val="00843EC0"/>
    <w:rsid w:val="00846FB1"/>
    <w:rsid w:val="00854589"/>
    <w:rsid w:val="00854FB3"/>
    <w:rsid w:val="00857FCA"/>
    <w:rsid w:val="00860F13"/>
    <w:rsid w:val="0086199C"/>
    <w:rsid w:val="00861F8B"/>
    <w:rsid w:val="00862A85"/>
    <w:rsid w:val="0086469F"/>
    <w:rsid w:val="0086561F"/>
    <w:rsid w:val="00865A7A"/>
    <w:rsid w:val="00865FE1"/>
    <w:rsid w:val="0087069B"/>
    <w:rsid w:val="00871F38"/>
    <w:rsid w:val="0087435D"/>
    <w:rsid w:val="008743B8"/>
    <w:rsid w:val="00874542"/>
    <w:rsid w:val="008748C7"/>
    <w:rsid w:val="0087521A"/>
    <w:rsid w:val="008763A8"/>
    <w:rsid w:val="008808C0"/>
    <w:rsid w:val="00882255"/>
    <w:rsid w:val="008837B7"/>
    <w:rsid w:val="008855CA"/>
    <w:rsid w:val="00887757"/>
    <w:rsid w:val="00890BDE"/>
    <w:rsid w:val="00892AD3"/>
    <w:rsid w:val="00894155"/>
    <w:rsid w:val="00894AC8"/>
    <w:rsid w:val="008962E7"/>
    <w:rsid w:val="008A1118"/>
    <w:rsid w:val="008A281F"/>
    <w:rsid w:val="008A48D2"/>
    <w:rsid w:val="008A4AF6"/>
    <w:rsid w:val="008A4FF8"/>
    <w:rsid w:val="008A5ED1"/>
    <w:rsid w:val="008A73CE"/>
    <w:rsid w:val="008A7FD1"/>
    <w:rsid w:val="008B00B2"/>
    <w:rsid w:val="008B042E"/>
    <w:rsid w:val="008B211E"/>
    <w:rsid w:val="008B6D48"/>
    <w:rsid w:val="008C7660"/>
    <w:rsid w:val="008C79A7"/>
    <w:rsid w:val="008D0B8D"/>
    <w:rsid w:val="008D17D2"/>
    <w:rsid w:val="008D3E30"/>
    <w:rsid w:val="008D5521"/>
    <w:rsid w:val="008D555F"/>
    <w:rsid w:val="008D625D"/>
    <w:rsid w:val="008D650E"/>
    <w:rsid w:val="008D6F9F"/>
    <w:rsid w:val="008E106D"/>
    <w:rsid w:val="008E673E"/>
    <w:rsid w:val="008E67D1"/>
    <w:rsid w:val="008E6A41"/>
    <w:rsid w:val="008E6FC1"/>
    <w:rsid w:val="008F15D5"/>
    <w:rsid w:val="008F20EA"/>
    <w:rsid w:val="008F79C4"/>
    <w:rsid w:val="00903990"/>
    <w:rsid w:val="009042A8"/>
    <w:rsid w:val="00904950"/>
    <w:rsid w:val="00904D8D"/>
    <w:rsid w:val="00911A1F"/>
    <w:rsid w:val="0091442E"/>
    <w:rsid w:val="00915E5E"/>
    <w:rsid w:val="009166B8"/>
    <w:rsid w:val="00916FA5"/>
    <w:rsid w:val="00917915"/>
    <w:rsid w:val="0092009E"/>
    <w:rsid w:val="00920684"/>
    <w:rsid w:val="009216E6"/>
    <w:rsid w:val="009224EC"/>
    <w:rsid w:val="00922DB7"/>
    <w:rsid w:val="0092684A"/>
    <w:rsid w:val="00927654"/>
    <w:rsid w:val="00935195"/>
    <w:rsid w:val="00937FAB"/>
    <w:rsid w:val="0094094D"/>
    <w:rsid w:val="00942727"/>
    <w:rsid w:val="00942AB8"/>
    <w:rsid w:val="0094548C"/>
    <w:rsid w:val="00945CAF"/>
    <w:rsid w:val="00946AC9"/>
    <w:rsid w:val="00947448"/>
    <w:rsid w:val="00952B38"/>
    <w:rsid w:val="00952C99"/>
    <w:rsid w:val="0095470F"/>
    <w:rsid w:val="009619EB"/>
    <w:rsid w:val="00965333"/>
    <w:rsid w:val="009712EF"/>
    <w:rsid w:val="009727BF"/>
    <w:rsid w:val="00973321"/>
    <w:rsid w:val="00975C2E"/>
    <w:rsid w:val="009770EB"/>
    <w:rsid w:val="00977270"/>
    <w:rsid w:val="009824F2"/>
    <w:rsid w:val="00983080"/>
    <w:rsid w:val="009831D9"/>
    <w:rsid w:val="00986AA3"/>
    <w:rsid w:val="0099127A"/>
    <w:rsid w:val="00993B24"/>
    <w:rsid w:val="0099611F"/>
    <w:rsid w:val="009A083F"/>
    <w:rsid w:val="009A135C"/>
    <w:rsid w:val="009A1701"/>
    <w:rsid w:val="009A67E7"/>
    <w:rsid w:val="009B1B15"/>
    <w:rsid w:val="009B7DD7"/>
    <w:rsid w:val="009C603A"/>
    <w:rsid w:val="009C74CD"/>
    <w:rsid w:val="009D048F"/>
    <w:rsid w:val="009D162F"/>
    <w:rsid w:val="009D23FF"/>
    <w:rsid w:val="009D401F"/>
    <w:rsid w:val="009D5899"/>
    <w:rsid w:val="009D5B42"/>
    <w:rsid w:val="009D68FA"/>
    <w:rsid w:val="009D69E2"/>
    <w:rsid w:val="009E1E4F"/>
    <w:rsid w:val="009E32CF"/>
    <w:rsid w:val="009E4261"/>
    <w:rsid w:val="009E4FC2"/>
    <w:rsid w:val="009F44AE"/>
    <w:rsid w:val="009F59B9"/>
    <w:rsid w:val="00A00EBB"/>
    <w:rsid w:val="00A02529"/>
    <w:rsid w:val="00A02EF2"/>
    <w:rsid w:val="00A04D5E"/>
    <w:rsid w:val="00A07A28"/>
    <w:rsid w:val="00A10DDF"/>
    <w:rsid w:val="00A11172"/>
    <w:rsid w:val="00A1219E"/>
    <w:rsid w:val="00A12E55"/>
    <w:rsid w:val="00A168D7"/>
    <w:rsid w:val="00A16EE6"/>
    <w:rsid w:val="00A20F81"/>
    <w:rsid w:val="00A2411A"/>
    <w:rsid w:val="00A242E4"/>
    <w:rsid w:val="00A24437"/>
    <w:rsid w:val="00A24CA0"/>
    <w:rsid w:val="00A25D4B"/>
    <w:rsid w:val="00A33601"/>
    <w:rsid w:val="00A3362A"/>
    <w:rsid w:val="00A34251"/>
    <w:rsid w:val="00A35278"/>
    <w:rsid w:val="00A36257"/>
    <w:rsid w:val="00A37045"/>
    <w:rsid w:val="00A37B70"/>
    <w:rsid w:val="00A4075A"/>
    <w:rsid w:val="00A40AC7"/>
    <w:rsid w:val="00A41F7A"/>
    <w:rsid w:val="00A435C7"/>
    <w:rsid w:val="00A55607"/>
    <w:rsid w:val="00A569B2"/>
    <w:rsid w:val="00A60CDA"/>
    <w:rsid w:val="00A6113A"/>
    <w:rsid w:val="00A611A4"/>
    <w:rsid w:val="00A61F09"/>
    <w:rsid w:val="00A637ED"/>
    <w:rsid w:val="00A63E1A"/>
    <w:rsid w:val="00A643DC"/>
    <w:rsid w:val="00A6695B"/>
    <w:rsid w:val="00A72703"/>
    <w:rsid w:val="00A727F6"/>
    <w:rsid w:val="00A72E71"/>
    <w:rsid w:val="00A72F26"/>
    <w:rsid w:val="00A76432"/>
    <w:rsid w:val="00A769D6"/>
    <w:rsid w:val="00A770C0"/>
    <w:rsid w:val="00A77157"/>
    <w:rsid w:val="00A8073B"/>
    <w:rsid w:val="00A82172"/>
    <w:rsid w:val="00A84FC6"/>
    <w:rsid w:val="00A8528E"/>
    <w:rsid w:val="00A90BD9"/>
    <w:rsid w:val="00A9101B"/>
    <w:rsid w:val="00A94A49"/>
    <w:rsid w:val="00A95C5E"/>
    <w:rsid w:val="00AA15D7"/>
    <w:rsid w:val="00AA1815"/>
    <w:rsid w:val="00AA1D3E"/>
    <w:rsid w:val="00AA20E7"/>
    <w:rsid w:val="00AA39F9"/>
    <w:rsid w:val="00AA79D3"/>
    <w:rsid w:val="00AB0931"/>
    <w:rsid w:val="00AB22FD"/>
    <w:rsid w:val="00AB4DC4"/>
    <w:rsid w:val="00AB5C9B"/>
    <w:rsid w:val="00AC0159"/>
    <w:rsid w:val="00AC0276"/>
    <w:rsid w:val="00AC0312"/>
    <w:rsid w:val="00AC0449"/>
    <w:rsid w:val="00AC0DC3"/>
    <w:rsid w:val="00AC2EB1"/>
    <w:rsid w:val="00AD035F"/>
    <w:rsid w:val="00AD2497"/>
    <w:rsid w:val="00AD5978"/>
    <w:rsid w:val="00AD5C04"/>
    <w:rsid w:val="00AD5EB4"/>
    <w:rsid w:val="00AD667B"/>
    <w:rsid w:val="00AE1B9B"/>
    <w:rsid w:val="00AE63E2"/>
    <w:rsid w:val="00AE7976"/>
    <w:rsid w:val="00AF028B"/>
    <w:rsid w:val="00AF04C9"/>
    <w:rsid w:val="00AF19A2"/>
    <w:rsid w:val="00AF1DC4"/>
    <w:rsid w:val="00AF26B6"/>
    <w:rsid w:val="00AF2979"/>
    <w:rsid w:val="00AF3189"/>
    <w:rsid w:val="00AF380E"/>
    <w:rsid w:val="00AF5BF8"/>
    <w:rsid w:val="00B0375C"/>
    <w:rsid w:val="00B039BA"/>
    <w:rsid w:val="00B04FCB"/>
    <w:rsid w:val="00B052CB"/>
    <w:rsid w:val="00B156C3"/>
    <w:rsid w:val="00B15F67"/>
    <w:rsid w:val="00B1624F"/>
    <w:rsid w:val="00B20F5D"/>
    <w:rsid w:val="00B21184"/>
    <w:rsid w:val="00B224C5"/>
    <w:rsid w:val="00B325CD"/>
    <w:rsid w:val="00B36C0F"/>
    <w:rsid w:val="00B37793"/>
    <w:rsid w:val="00B41203"/>
    <w:rsid w:val="00B41FFC"/>
    <w:rsid w:val="00B4553B"/>
    <w:rsid w:val="00B4561E"/>
    <w:rsid w:val="00B4768D"/>
    <w:rsid w:val="00B5152D"/>
    <w:rsid w:val="00B518E5"/>
    <w:rsid w:val="00B51E1F"/>
    <w:rsid w:val="00B52601"/>
    <w:rsid w:val="00B57032"/>
    <w:rsid w:val="00B60222"/>
    <w:rsid w:val="00B61630"/>
    <w:rsid w:val="00B62CFB"/>
    <w:rsid w:val="00B662F5"/>
    <w:rsid w:val="00B7000C"/>
    <w:rsid w:val="00B75A3A"/>
    <w:rsid w:val="00B760D5"/>
    <w:rsid w:val="00B77495"/>
    <w:rsid w:val="00B8185D"/>
    <w:rsid w:val="00B82D7D"/>
    <w:rsid w:val="00B83B2C"/>
    <w:rsid w:val="00B84DE4"/>
    <w:rsid w:val="00B87E6C"/>
    <w:rsid w:val="00B9175E"/>
    <w:rsid w:val="00B92049"/>
    <w:rsid w:val="00B94740"/>
    <w:rsid w:val="00B95002"/>
    <w:rsid w:val="00B97F75"/>
    <w:rsid w:val="00BA0A4F"/>
    <w:rsid w:val="00BA1CAE"/>
    <w:rsid w:val="00BA1FB8"/>
    <w:rsid w:val="00BA33BB"/>
    <w:rsid w:val="00BA4830"/>
    <w:rsid w:val="00BA63A5"/>
    <w:rsid w:val="00BA6E22"/>
    <w:rsid w:val="00BB1460"/>
    <w:rsid w:val="00BB362C"/>
    <w:rsid w:val="00BB5942"/>
    <w:rsid w:val="00BB7A09"/>
    <w:rsid w:val="00BC0A03"/>
    <w:rsid w:val="00BC4A42"/>
    <w:rsid w:val="00BC5BB4"/>
    <w:rsid w:val="00BD4139"/>
    <w:rsid w:val="00BD5DEE"/>
    <w:rsid w:val="00BD614D"/>
    <w:rsid w:val="00BE059A"/>
    <w:rsid w:val="00BE1981"/>
    <w:rsid w:val="00BE2DA6"/>
    <w:rsid w:val="00BE2E86"/>
    <w:rsid w:val="00BE320B"/>
    <w:rsid w:val="00BE56E9"/>
    <w:rsid w:val="00BE63CF"/>
    <w:rsid w:val="00BE7014"/>
    <w:rsid w:val="00BE7991"/>
    <w:rsid w:val="00BF0A3A"/>
    <w:rsid w:val="00BF25C7"/>
    <w:rsid w:val="00BF4CCB"/>
    <w:rsid w:val="00C009B7"/>
    <w:rsid w:val="00C01CEB"/>
    <w:rsid w:val="00C02B8F"/>
    <w:rsid w:val="00C04E32"/>
    <w:rsid w:val="00C05585"/>
    <w:rsid w:val="00C116B1"/>
    <w:rsid w:val="00C15A3F"/>
    <w:rsid w:val="00C168F4"/>
    <w:rsid w:val="00C17484"/>
    <w:rsid w:val="00C20630"/>
    <w:rsid w:val="00C224A4"/>
    <w:rsid w:val="00C22F7A"/>
    <w:rsid w:val="00C24F8C"/>
    <w:rsid w:val="00C2666F"/>
    <w:rsid w:val="00C30512"/>
    <w:rsid w:val="00C32020"/>
    <w:rsid w:val="00C32D02"/>
    <w:rsid w:val="00C3408C"/>
    <w:rsid w:val="00C3484D"/>
    <w:rsid w:val="00C351CC"/>
    <w:rsid w:val="00C35435"/>
    <w:rsid w:val="00C36FFF"/>
    <w:rsid w:val="00C37C64"/>
    <w:rsid w:val="00C432FD"/>
    <w:rsid w:val="00C43CDF"/>
    <w:rsid w:val="00C4608E"/>
    <w:rsid w:val="00C4720B"/>
    <w:rsid w:val="00C47A3E"/>
    <w:rsid w:val="00C512B2"/>
    <w:rsid w:val="00C53B5D"/>
    <w:rsid w:val="00C54B83"/>
    <w:rsid w:val="00C571FB"/>
    <w:rsid w:val="00C57381"/>
    <w:rsid w:val="00C61D56"/>
    <w:rsid w:val="00C62B69"/>
    <w:rsid w:val="00C644B7"/>
    <w:rsid w:val="00C64564"/>
    <w:rsid w:val="00C66D6F"/>
    <w:rsid w:val="00C66E58"/>
    <w:rsid w:val="00C71377"/>
    <w:rsid w:val="00C71E15"/>
    <w:rsid w:val="00C73C87"/>
    <w:rsid w:val="00C748DA"/>
    <w:rsid w:val="00C74B6F"/>
    <w:rsid w:val="00C87EF3"/>
    <w:rsid w:val="00C9015F"/>
    <w:rsid w:val="00C912F9"/>
    <w:rsid w:val="00C91B22"/>
    <w:rsid w:val="00C9241B"/>
    <w:rsid w:val="00C9370B"/>
    <w:rsid w:val="00C94559"/>
    <w:rsid w:val="00C96DDF"/>
    <w:rsid w:val="00C97569"/>
    <w:rsid w:val="00CA199D"/>
    <w:rsid w:val="00CA2086"/>
    <w:rsid w:val="00CA4D9C"/>
    <w:rsid w:val="00CB05A7"/>
    <w:rsid w:val="00CB06A4"/>
    <w:rsid w:val="00CB325B"/>
    <w:rsid w:val="00CB3EFF"/>
    <w:rsid w:val="00CB64FF"/>
    <w:rsid w:val="00CB7078"/>
    <w:rsid w:val="00CB711D"/>
    <w:rsid w:val="00CB77BD"/>
    <w:rsid w:val="00CB7902"/>
    <w:rsid w:val="00CC014B"/>
    <w:rsid w:val="00CC0E81"/>
    <w:rsid w:val="00CC2166"/>
    <w:rsid w:val="00CC21D8"/>
    <w:rsid w:val="00CC3369"/>
    <w:rsid w:val="00CC42B7"/>
    <w:rsid w:val="00CC5343"/>
    <w:rsid w:val="00CC59D7"/>
    <w:rsid w:val="00CC6338"/>
    <w:rsid w:val="00CC78DE"/>
    <w:rsid w:val="00CD04D9"/>
    <w:rsid w:val="00CD0F93"/>
    <w:rsid w:val="00CD27D9"/>
    <w:rsid w:val="00CD6D6E"/>
    <w:rsid w:val="00CD6F23"/>
    <w:rsid w:val="00CE6562"/>
    <w:rsid w:val="00CF4E5E"/>
    <w:rsid w:val="00CF640B"/>
    <w:rsid w:val="00CF6B5A"/>
    <w:rsid w:val="00D027AF"/>
    <w:rsid w:val="00D0323E"/>
    <w:rsid w:val="00D03D06"/>
    <w:rsid w:val="00D06652"/>
    <w:rsid w:val="00D0691F"/>
    <w:rsid w:val="00D07FA6"/>
    <w:rsid w:val="00D11D25"/>
    <w:rsid w:val="00D14E8C"/>
    <w:rsid w:val="00D16ADF"/>
    <w:rsid w:val="00D17C53"/>
    <w:rsid w:val="00D17D57"/>
    <w:rsid w:val="00D2341D"/>
    <w:rsid w:val="00D252DA"/>
    <w:rsid w:val="00D25E0E"/>
    <w:rsid w:val="00D2618B"/>
    <w:rsid w:val="00D302EB"/>
    <w:rsid w:val="00D31679"/>
    <w:rsid w:val="00D320C8"/>
    <w:rsid w:val="00D330B6"/>
    <w:rsid w:val="00D3672F"/>
    <w:rsid w:val="00D40ABA"/>
    <w:rsid w:val="00D40FE2"/>
    <w:rsid w:val="00D4115D"/>
    <w:rsid w:val="00D41422"/>
    <w:rsid w:val="00D440FA"/>
    <w:rsid w:val="00D44160"/>
    <w:rsid w:val="00D44BCF"/>
    <w:rsid w:val="00D46E73"/>
    <w:rsid w:val="00D5370F"/>
    <w:rsid w:val="00D5548D"/>
    <w:rsid w:val="00D56572"/>
    <w:rsid w:val="00D60907"/>
    <w:rsid w:val="00D60F81"/>
    <w:rsid w:val="00D63951"/>
    <w:rsid w:val="00D63BF2"/>
    <w:rsid w:val="00D67348"/>
    <w:rsid w:val="00D70A26"/>
    <w:rsid w:val="00D7373C"/>
    <w:rsid w:val="00D73BB4"/>
    <w:rsid w:val="00D75FEC"/>
    <w:rsid w:val="00D76B98"/>
    <w:rsid w:val="00D8268E"/>
    <w:rsid w:val="00D82E63"/>
    <w:rsid w:val="00D835A0"/>
    <w:rsid w:val="00D86905"/>
    <w:rsid w:val="00D86F2C"/>
    <w:rsid w:val="00D90CD2"/>
    <w:rsid w:val="00D9362F"/>
    <w:rsid w:val="00D94301"/>
    <w:rsid w:val="00D96248"/>
    <w:rsid w:val="00DA0680"/>
    <w:rsid w:val="00DA0B50"/>
    <w:rsid w:val="00DA235E"/>
    <w:rsid w:val="00DA36F6"/>
    <w:rsid w:val="00DA48F0"/>
    <w:rsid w:val="00DA6B90"/>
    <w:rsid w:val="00DB09E3"/>
    <w:rsid w:val="00DB0C8D"/>
    <w:rsid w:val="00DB1BC0"/>
    <w:rsid w:val="00DB5C6B"/>
    <w:rsid w:val="00DB6AF2"/>
    <w:rsid w:val="00DC1599"/>
    <w:rsid w:val="00DC1611"/>
    <w:rsid w:val="00DD32CF"/>
    <w:rsid w:val="00DD3C53"/>
    <w:rsid w:val="00DD6B73"/>
    <w:rsid w:val="00DE0768"/>
    <w:rsid w:val="00DE31A2"/>
    <w:rsid w:val="00DE745D"/>
    <w:rsid w:val="00DF0774"/>
    <w:rsid w:val="00DF0C43"/>
    <w:rsid w:val="00DF1036"/>
    <w:rsid w:val="00DF4644"/>
    <w:rsid w:val="00DF4FB8"/>
    <w:rsid w:val="00DF68F6"/>
    <w:rsid w:val="00DF7A83"/>
    <w:rsid w:val="00E012B4"/>
    <w:rsid w:val="00E05451"/>
    <w:rsid w:val="00E05651"/>
    <w:rsid w:val="00E100F6"/>
    <w:rsid w:val="00E11BA5"/>
    <w:rsid w:val="00E17CBD"/>
    <w:rsid w:val="00E20425"/>
    <w:rsid w:val="00E21768"/>
    <w:rsid w:val="00E25CC4"/>
    <w:rsid w:val="00E25DCB"/>
    <w:rsid w:val="00E2613B"/>
    <w:rsid w:val="00E313DF"/>
    <w:rsid w:val="00E31535"/>
    <w:rsid w:val="00E330E0"/>
    <w:rsid w:val="00E36C70"/>
    <w:rsid w:val="00E4156E"/>
    <w:rsid w:val="00E43528"/>
    <w:rsid w:val="00E44D61"/>
    <w:rsid w:val="00E453F2"/>
    <w:rsid w:val="00E460AD"/>
    <w:rsid w:val="00E607C1"/>
    <w:rsid w:val="00E61925"/>
    <w:rsid w:val="00E6363B"/>
    <w:rsid w:val="00E65C0E"/>
    <w:rsid w:val="00E65FB9"/>
    <w:rsid w:val="00E72A32"/>
    <w:rsid w:val="00E730FC"/>
    <w:rsid w:val="00E746F0"/>
    <w:rsid w:val="00E766F1"/>
    <w:rsid w:val="00E77B88"/>
    <w:rsid w:val="00E809B9"/>
    <w:rsid w:val="00E80F6B"/>
    <w:rsid w:val="00E82A15"/>
    <w:rsid w:val="00E82ED4"/>
    <w:rsid w:val="00E85445"/>
    <w:rsid w:val="00E85ADE"/>
    <w:rsid w:val="00E87589"/>
    <w:rsid w:val="00E938FF"/>
    <w:rsid w:val="00E93DF6"/>
    <w:rsid w:val="00E93DFE"/>
    <w:rsid w:val="00E972EC"/>
    <w:rsid w:val="00EA2124"/>
    <w:rsid w:val="00EA29C0"/>
    <w:rsid w:val="00EA2B12"/>
    <w:rsid w:val="00EA34DC"/>
    <w:rsid w:val="00EA456C"/>
    <w:rsid w:val="00EA5017"/>
    <w:rsid w:val="00EA6BED"/>
    <w:rsid w:val="00EB14F0"/>
    <w:rsid w:val="00EB3844"/>
    <w:rsid w:val="00EB5A9F"/>
    <w:rsid w:val="00EB678F"/>
    <w:rsid w:val="00EC30FF"/>
    <w:rsid w:val="00EC4FBC"/>
    <w:rsid w:val="00EC573F"/>
    <w:rsid w:val="00EC5C8D"/>
    <w:rsid w:val="00ED08AD"/>
    <w:rsid w:val="00ED106C"/>
    <w:rsid w:val="00ED2D34"/>
    <w:rsid w:val="00ED4805"/>
    <w:rsid w:val="00ED57F6"/>
    <w:rsid w:val="00ED6C51"/>
    <w:rsid w:val="00ED6DA1"/>
    <w:rsid w:val="00ED6ED3"/>
    <w:rsid w:val="00EE759A"/>
    <w:rsid w:val="00EE7BFC"/>
    <w:rsid w:val="00EF0AF8"/>
    <w:rsid w:val="00EF207D"/>
    <w:rsid w:val="00EF4258"/>
    <w:rsid w:val="00EF6D31"/>
    <w:rsid w:val="00F02237"/>
    <w:rsid w:val="00F046F1"/>
    <w:rsid w:val="00F06980"/>
    <w:rsid w:val="00F072E2"/>
    <w:rsid w:val="00F07345"/>
    <w:rsid w:val="00F079A6"/>
    <w:rsid w:val="00F10236"/>
    <w:rsid w:val="00F15811"/>
    <w:rsid w:val="00F22423"/>
    <w:rsid w:val="00F24C72"/>
    <w:rsid w:val="00F27E0B"/>
    <w:rsid w:val="00F30267"/>
    <w:rsid w:val="00F30BA9"/>
    <w:rsid w:val="00F31880"/>
    <w:rsid w:val="00F31D22"/>
    <w:rsid w:val="00F328E2"/>
    <w:rsid w:val="00F348B2"/>
    <w:rsid w:val="00F34BF0"/>
    <w:rsid w:val="00F34ED8"/>
    <w:rsid w:val="00F4095A"/>
    <w:rsid w:val="00F452CC"/>
    <w:rsid w:val="00F45845"/>
    <w:rsid w:val="00F46023"/>
    <w:rsid w:val="00F46857"/>
    <w:rsid w:val="00F50189"/>
    <w:rsid w:val="00F508FC"/>
    <w:rsid w:val="00F510B7"/>
    <w:rsid w:val="00F53571"/>
    <w:rsid w:val="00F54044"/>
    <w:rsid w:val="00F576E7"/>
    <w:rsid w:val="00F7383E"/>
    <w:rsid w:val="00F73D1C"/>
    <w:rsid w:val="00F763FC"/>
    <w:rsid w:val="00F7695A"/>
    <w:rsid w:val="00F76B4A"/>
    <w:rsid w:val="00F772C1"/>
    <w:rsid w:val="00F8026D"/>
    <w:rsid w:val="00F8245F"/>
    <w:rsid w:val="00F82E40"/>
    <w:rsid w:val="00F91629"/>
    <w:rsid w:val="00F91E2A"/>
    <w:rsid w:val="00F96549"/>
    <w:rsid w:val="00F96C39"/>
    <w:rsid w:val="00F96E41"/>
    <w:rsid w:val="00FA1270"/>
    <w:rsid w:val="00FA153F"/>
    <w:rsid w:val="00FA1D78"/>
    <w:rsid w:val="00FA1F7E"/>
    <w:rsid w:val="00FA280F"/>
    <w:rsid w:val="00FA5289"/>
    <w:rsid w:val="00FA6213"/>
    <w:rsid w:val="00FB2186"/>
    <w:rsid w:val="00FB7E03"/>
    <w:rsid w:val="00FC280C"/>
    <w:rsid w:val="00FD0133"/>
    <w:rsid w:val="00FD25FE"/>
    <w:rsid w:val="00FD6206"/>
    <w:rsid w:val="00FE1318"/>
    <w:rsid w:val="00FE1A34"/>
    <w:rsid w:val="00FE208F"/>
    <w:rsid w:val="00FE384D"/>
    <w:rsid w:val="00FE54CD"/>
    <w:rsid w:val="00FE6DF6"/>
    <w:rsid w:val="00FF2EEA"/>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577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
    <w:link w:val="Notedebasdepage"/>
    <w:semiHidden/>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locked/>
    <w:rsid w:val="00645232"/>
    <w:rPr>
      <w:rFonts w:ascii="Arial" w:hAnsi="Arial"/>
      <w:sz w:val="24"/>
    </w:rPr>
  </w:style>
  <w:style w:type="paragraph" w:styleId="Rvision">
    <w:name w:val="Revision"/>
    <w:hidden/>
    <w:uiPriority w:val="99"/>
    <w:semiHidden/>
    <w:rsid w:val="0013687E"/>
    <w:rPr>
      <w:rFonts w:ascii="Arial" w:hAnsi="Arial"/>
      <w:sz w:val="24"/>
    </w:rPr>
  </w:style>
  <w:style w:type="character" w:styleId="Marquedecommentaire">
    <w:name w:val="annotation reference"/>
    <w:basedOn w:val="Policepardfaut"/>
    <w:rsid w:val="0092009E"/>
    <w:rPr>
      <w:sz w:val="16"/>
      <w:szCs w:val="16"/>
    </w:rPr>
  </w:style>
  <w:style w:type="paragraph" w:styleId="Commentaire">
    <w:name w:val="annotation text"/>
    <w:basedOn w:val="Normal"/>
    <w:link w:val="CommentaireCar"/>
    <w:rsid w:val="0092009E"/>
    <w:rPr>
      <w:sz w:val="20"/>
    </w:rPr>
  </w:style>
  <w:style w:type="character" w:customStyle="1" w:styleId="CommentaireCar">
    <w:name w:val="Commentaire Car"/>
    <w:basedOn w:val="Policepardfaut"/>
    <w:link w:val="Commentaire"/>
    <w:rsid w:val="0092009E"/>
    <w:rPr>
      <w:rFonts w:ascii="Arial" w:hAnsi="Arial"/>
    </w:rPr>
  </w:style>
  <w:style w:type="paragraph" w:styleId="Objetducommentaire">
    <w:name w:val="annotation subject"/>
    <w:basedOn w:val="Commentaire"/>
    <w:next w:val="Commentaire"/>
    <w:link w:val="ObjetducommentaireCar"/>
    <w:rsid w:val="0092009E"/>
    <w:rPr>
      <w:b/>
      <w:bCs/>
    </w:rPr>
  </w:style>
  <w:style w:type="character" w:customStyle="1" w:styleId="ObjetducommentaireCar">
    <w:name w:val="Objet du commentaire Car"/>
    <w:basedOn w:val="CommentaireCar"/>
    <w:link w:val="Objetducommentaire"/>
    <w:rsid w:val="0092009E"/>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9971094">
      <w:bodyDiv w:val="1"/>
      <w:marLeft w:val="0"/>
      <w:marRight w:val="0"/>
      <w:marTop w:val="0"/>
      <w:marBottom w:val="0"/>
      <w:divBdr>
        <w:top w:val="none" w:sz="0" w:space="0" w:color="auto"/>
        <w:left w:val="none" w:sz="0" w:space="0" w:color="auto"/>
        <w:bottom w:val="none" w:sz="0" w:space="0" w:color="auto"/>
        <w:right w:val="none" w:sz="0" w:space="0" w:color="auto"/>
      </w:divBdr>
    </w:div>
    <w:div w:id="577642179">
      <w:bodyDiv w:val="1"/>
      <w:marLeft w:val="0"/>
      <w:marRight w:val="0"/>
      <w:marTop w:val="0"/>
      <w:marBottom w:val="0"/>
      <w:divBdr>
        <w:top w:val="none" w:sz="0" w:space="0" w:color="auto"/>
        <w:left w:val="none" w:sz="0" w:space="0" w:color="auto"/>
        <w:bottom w:val="none" w:sz="0" w:space="0" w:color="auto"/>
        <w:right w:val="none" w:sz="0" w:space="0" w:color="auto"/>
      </w:divBdr>
    </w:div>
    <w:div w:id="699092891">
      <w:bodyDiv w:val="1"/>
      <w:marLeft w:val="0"/>
      <w:marRight w:val="0"/>
      <w:marTop w:val="0"/>
      <w:marBottom w:val="0"/>
      <w:divBdr>
        <w:top w:val="none" w:sz="0" w:space="0" w:color="auto"/>
        <w:left w:val="none" w:sz="0" w:space="0" w:color="auto"/>
        <w:bottom w:val="none" w:sz="0" w:space="0" w:color="auto"/>
        <w:right w:val="none" w:sz="0" w:space="0" w:color="auto"/>
      </w:divBdr>
    </w:div>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1152791307">
      <w:bodyDiv w:val="1"/>
      <w:marLeft w:val="0"/>
      <w:marRight w:val="0"/>
      <w:marTop w:val="0"/>
      <w:marBottom w:val="0"/>
      <w:divBdr>
        <w:top w:val="none" w:sz="0" w:space="0" w:color="auto"/>
        <w:left w:val="none" w:sz="0" w:space="0" w:color="auto"/>
        <w:bottom w:val="none" w:sz="0" w:space="0" w:color="auto"/>
        <w:right w:val="none" w:sz="0" w:space="0" w:color="auto"/>
      </w:divBdr>
    </w:div>
    <w:div w:id="1596088465">
      <w:bodyDiv w:val="1"/>
      <w:marLeft w:val="0"/>
      <w:marRight w:val="0"/>
      <w:marTop w:val="0"/>
      <w:marBottom w:val="0"/>
      <w:divBdr>
        <w:top w:val="none" w:sz="0" w:space="0" w:color="auto"/>
        <w:left w:val="none" w:sz="0" w:space="0" w:color="auto"/>
        <w:bottom w:val="none" w:sz="0" w:space="0" w:color="auto"/>
        <w:right w:val="none" w:sz="0" w:space="0" w:color="auto"/>
      </w:divBdr>
      <w:divsChild>
        <w:div w:id="751464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A03D82-1527-4D75-8C67-440296F18F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6454</Words>
  <Characters>35502</Characters>
  <Application>Microsoft Office Word</Application>
  <DocSecurity>0</DocSecurity>
  <Lines>295</Lines>
  <Paragraphs>83</Paragraphs>
  <ScaleCrop>false</ScaleCrop>
  <Company/>
  <LinksUpToDate>false</LinksUpToDate>
  <CharactersWithSpaces>41873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2025-06-05T13:42:00Z</dcterms:created>
  <dcterms:modified xsi:type="dcterms:W3CDTF">2025-06-05T13:42:00Z</dcterms:modified>
</cp:coreProperties>
</file>