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590" w:type="dxa"/>
        <w:tblLayout w:type="fixed"/>
        <w:tblCellMar>
          <w:left w:w="70" w:type="dxa"/>
          <w:right w:w="70" w:type="dxa"/>
        </w:tblCellMar>
        <w:tblLook w:val="0000" w:firstRow="0" w:lastRow="0" w:firstColumn="0" w:lastColumn="0" w:noHBand="0" w:noVBand="0"/>
      </w:tblPr>
      <w:tblGrid>
        <w:gridCol w:w="6323"/>
        <w:gridCol w:w="3267"/>
      </w:tblGrid>
      <w:tr w:rsidR="008A7FD1" w:rsidRPr="008A7FD1" w14:paraId="11FC77B1" w14:textId="77777777">
        <w:trPr>
          <w:cantSplit/>
        </w:trPr>
        <w:tc>
          <w:tcPr>
            <w:tcW w:w="4795" w:type="dxa"/>
          </w:tcPr>
          <w:p w14:paraId="5FD82A5B" w14:textId="2F924D7E" w:rsidR="008A7FD1" w:rsidRPr="00143B61" w:rsidRDefault="00143B61" w:rsidP="00143B61">
            <w:pPr>
              <w:pStyle w:val="zSoquijdatRepertorie"/>
              <w:rPr>
                <w:rFonts w:cs="Arial"/>
              </w:rPr>
            </w:pPr>
            <w:bookmarkStart w:id="0" w:name="_GoBack"/>
            <w:bookmarkEnd w:id="0"/>
            <w:r>
              <w:rPr>
                <w:rFonts w:cs="Arial"/>
              </w:rPr>
              <w:t>Excel Personnel (atelier ou d'usine) et Laflamme</w:t>
            </w:r>
          </w:p>
        </w:tc>
        <w:tc>
          <w:tcPr>
            <w:tcW w:w="2477" w:type="dxa"/>
          </w:tcPr>
          <w:p w14:paraId="02DDCC8A" w14:textId="468D47B4" w:rsidR="008A7FD1" w:rsidRPr="00DD4CE5" w:rsidRDefault="00DD4CE5" w:rsidP="00DD4CE5">
            <w:pPr>
              <w:pStyle w:val="zSoquijdatRefNeutre"/>
              <w:rPr>
                <w:rFonts w:cs="Arial"/>
              </w:rPr>
            </w:pPr>
            <w:r w:rsidRPr="00DD4CE5">
              <w:rPr>
                <w:rFonts w:cs="Arial"/>
              </w:rPr>
              <w:t>2025 QCTAT 2068</w:t>
            </w:r>
          </w:p>
        </w:tc>
      </w:tr>
    </w:tbl>
    <w:p w14:paraId="1D888591" w14:textId="77777777" w:rsidR="008A7FD1" w:rsidRDefault="008A7FD1"/>
    <w:tbl>
      <w:tblPr>
        <w:tblW w:w="9568" w:type="dxa"/>
        <w:tblLayout w:type="fixed"/>
        <w:tblCellMar>
          <w:left w:w="70" w:type="dxa"/>
          <w:right w:w="70" w:type="dxa"/>
        </w:tblCellMar>
        <w:tblLook w:val="0000" w:firstRow="0" w:lastRow="0" w:firstColumn="0" w:lastColumn="0" w:noHBand="0" w:noVBand="0"/>
      </w:tblPr>
      <w:tblGrid>
        <w:gridCol w:w="3331"/>
        <w:gridCol w:w="1559"/>
        <w:gridCol w:w="993"/>
        <w:gridCol w:w="3685"/>
      </w:tblGrid>
      <w:tr w:rsidR="00C74B6F" w14:paraId="48B747ED" w14:textId="77777777" w:rsidTr="00036794">
        <w:trPr>
          <w:cantSplit/>
        </w:trPr>
        <w:tc>
          <w:tcPr>
            <w:tcW w:w="9568" w:type="dxa"/>
            <w:gridSpan w:val="4"/>
          </w:tcPr>
          <w:p w14:paraId="1978C200" w14:textId="77777777" w:rsidR="00C74B6F" w:rsidRPr="00BE1981" w:rsidRDefault="00C74B6F">
            <w:pPr>
              <w:rPr>
                <w:szCs w:val="24"/>
              </w:rPr>
            </w:pPr>
          </w:p>
        </w:tc>
      </w:tr>
      <w:tr w:rsidR="00C74B6F" w14:paraId="09585712" w14:textId="77777777" w:rsidTr="00036794">
        <w:trPr>
          <w:cantSplit/>
        </w:trPr>
        <w:tc>
          <w:tcPr>
            <w:tcW w:w="9568" w:type="dxa"/>
            <w:gridSpan w:val="4"/>
            <w:vAlign w:val="center"/>
          </w:tcPr>
          <w:p w14:paraId="3A4F2557" w14:textId="77777777" w:rsidR="00C74B6F" w:rsidRPr="000E1320" w:rsidRDefault="000E1320">
            <w:pPr>
              <w:jc w:val="center"/>
              <w:rPr>
                <w:sz w:val="36"/>
                <w:szCs w:val="36"/>
              </w:rPr>
            </w:pPr>
            <w:r w:rsidRPr="000E1320">
              <w:rPr>
                <w:b/>
                <w:sz w:val="36"/>
                <w:szCs w:val="36"/>
              </w:rPr>
              <w:t>TRIBUNAL ADMINISTRATIF DU TRAVAIL</w:t>
            </w:r>
          </w:p>
        </w:tc>
      </w:tr>
      <w:tr w:rsidR="00C74B6F" w14:paraId="31357E8E" w14:textId="77777777" w:rsidTr="00036794">
        <w:trPr>
          <w:cantSplit/>
        </w:trPr>
        <w:tc>
          <w:tcPr>
            <w:tcW w:w="9568" w:type="dxa"/>
            <w:gridSpan w:val="4"/>
          </w:tcPr>
          <w:p w14:paraId="1D110690" w14:textId="7122E7F8" w:rsidR="00C74B6F" w:rsidRPr="00BE7014" w:rsidRDefault="006F0154" w:rsidP="009A67E7">
            <w:pPr>
              <w:pStyle w:val="zSoquijdatDivision"/>
            </w:pPr>
            <w:r w:rsidRPr="00BE7014">
              <w:t>(</w:t>
            </w:r>
            <w:r w:rsidR="003250D9" w:rsidRPr="00441ADA">
              <w:t>Division de la santé et de la sécurité du travail</w:t>
            </w:r>
            <w:r w:rsidRPr="00BE7014">
              <w:t>)</w:t>
            </w:r>
          </w:p>
        </w:tc>
      </w:tr>
      <w:tr w:rsidR="00C74B6F" w14:paraId="2AA88FAF" w14:textId="77777777" w:rsidTr="00036794">
        <w:trPr>
          <w:cantSplit/>
        </w:trPr>
        <w:tc>
          <w:tcPr>
            <w:tcW w:w="9568" w:type="dxa"/>
            <w:gridSpan w:val="4"/>
          </w:tcPr>
          <w:p w14:paraId="6C44E8EC" w14:textId="77777777" w:rsidR="002B2FC3" w:rsidRDefault="002B2FC3" w:rsidP="002B2FC3"/>
        </w:tc>
      </w:tr>
      <w:tr w:rsidR="00A84FC6" w14:paraId="6525EC86" w14:textId="77777777" w:rsidTr="00036794">
        <w:trPr>
          <w:cantSplit/>
        </w:trPr>
        <w:tc>
          <w:tcPr>
            <w:tcW w:w="9568" w:type="dxa"/>
            <w:gridSpan w:val="4"/>
          </w:tcPr>
          <w:p w14:paraId="1F9D006C" w14:textId="77777777" w:rsidR="00A84FC6" w:rsidRDefault="00A84FC6" w:rsidP="002B2FC3"/>
        </w:tc>
      </w:tr>
      <w:tr w:rsidR="00C74B6F" w14:paraId="7D17E3B7" w14:textId="77777777" w:rsidTr="00036794">
        <w:tc>
          <w:tcPr>
            <w:tcW w:w="3331" w:type="dxa"/>
          </w:tcPr>
          <w:p w14:paraId="7AEFC0D8" w14:textId="77777777" w:rsidR="00C74B6F" w:rsidRDefault="0084255F">
            <w:bookmarkStart w:id="1" w:name="region" w:colFirst="1" w:colLast="1"/>
            <w:r>
              <w:t>Région :</w:t>
            </w:r>
          </w:p>
        </w:tc>
        <w:tc>
          <w:tcPr>
            <w:tcW w:w="6237" w:type="dxa"/>
            <w:gridSpan w:val="3"/>
          </w:tcPr>
          <w:p w14:paraId="5AC61B73" w14:textId="5C66A5A2" w:rsidR="00C74B6F" w:rsidRDefault="003250D9" w:rsidP="00F4095A">
            <w:pPr>
              <w:pStyle w:val="zSoquijdatGreffe"/>
            </w:pPr>
            <w:r>
              <w:t>Montréal</w:t>
            </w:r>
          </w:p>
        </w:tc>
      </w:tr>
      <w:bookmarkEnd w:id="1"/>
      <w:tr w:rsidR="00C74B6F" w14:paraId="2DF4BC64" w14:textId="77777777" w:rsidTr="00036794">
        <w:trPr>
          <w:cantSplit/>
        </w:trPr>
        <w:tc>
          <w:tcPr>
            <w:tcW w:w="9568" w:type="dxa"/>
            <w:gridSpan w:val="4"/>
          </w:tcPr>
          <w:p w14:paraId="1887D4A0" w14:textId="77777777" w:rsidR="00C74B6F" w:rsidRDefault="00C74B6F"/>
        </w:tc>
      </w:tr>
      <w:tr w:rsidR="00C74B6F" w14:paraId="5B9020CE" w14:textId="77777777" w:rsidTr="00036794">
        <w:tc>
          <w:tcPr>
            <w:tcW w:w="3331" w:type="dxa"/>
          </w:tcPr>
          <w:p w14:paraId="20EC1FFF" w14:textId="68ED2731" w:rsidR="00C74B6F" w:rsidRDefault="0084255F">
            <w:bookmarkStart w:id="2" w:name="ref_dossier" w:colFirst="1" w:colLast="1"/>
            <w:r>
              <w:t>Dossier</w:t>
            </w:r>
            <w:bookmarkStart w:id="3" w:name="dossiers"/>
            <w:bookmarkEnd w:id="3"/>
            <w:r>
              <w:t> :</w:t>
            </w:r>
          </w:p>
        </w:tc>
        <w:tc>
          <w:tcPr>
            <w:tcW w:w="6237" w:type="dxa"/>
            <w:gridSpan w:val="3"/>
          </w:tcPr>
          <w:p w14:paraId="1D94410C" w14:textId="37276111" w:rsidR="00C74B6F" w:rsidRDefault="003250D9" w:rsidP="00F4095A">
            <w:pPr>
              <w:pStyle w:val="zSoquijdatNoDossier"/>
            </w:pPr>
            <w:r>
              <w:t>1380415-71-2408</w:t>
            </w:r>
          </w:p>
        </w:tc>
      </w:tr>
      <w:bookmarkEnd w:id="2"/>
      <w:tr w:rsidR="00C74B6F" w14:paraId="25831B1B" w14:textId="77777777" w:rsidTr="00036794">
        <w:trPr>
          <w:cantSplit/>
        </w:trPr>
        <w:tc>
          <w:tcPr>
            <w:tcW w:w="9568" w:type="dxa"/>
            <w:gridSpan w:val="4"/>
          </w:tcPr>
          <w:p w14:paraId="4347688F" w14:textId="77777777" w:rsidR="00C74B6F" w:rsidRDefault="00D44BCF">
            <w:r>
              <w:fldChar w:fldCharType="begin"/>
            </w:r>
            <w:r>
              <w:instrText xml:space="preserve"> AUTOTEXTLIST  \* Upper  \* MERGEFORMAT </w:instrText>
            </w:r>
            <w:r>
              <w:fldChar w:fldCharType="end"/>
            </w:r>
          </w:p>
        </w:tc>
      </w:tr>
      <w:tr w:rsidR="00C74B6F" w14:paraId="6393A929" w14:textId="77777777" w:rsidTr="00036794">
        <w:tc>
          <w:tcPr>
            <w:tcW w:w="3331" w:type="dxa"/>
          </w:tcPr>
          <w:p w14:paraId="31B39687" w14:textId="635C26C7" w:rsidR="00C74B6F" w:rsidRDefault="008C79A7" w:rsidP="0045114F">
            <w:pPr>
              <w:ind w:right="46"/>
            </w:pPr>
            <w:r>
              <w:t xml:space="preserve">Dossier </w:t>
            </w:r>
            <w:r w:rsidR="003250D9">
              <w:t>CNESST</w:t>
            </w:r>
            <w:r w:rsidRPr="008C79A7">
              <w:rPr>
                <w:szCs w:val="24"/>
              </w:rPr>
              <w:t xml:space="preserve"> :</w:t>
            </w:r>
          </w:p>
        </w:tc>
        <w:tc>
          <w:tcPr>
            <w:tcW w:w="6237" w:type="dxa"/>
            <w:gridSpan w:val="3"/>
          </w:tcPr>
          <w:p w14:paraId="51A289F7" w14:textId="7CF9EF46" w:rsidR="00C74B6F" w:rsidRDefault="003250D9" w:rsidP="004D6CEA">
            <w:pPr>
              <w:pStyle w:val="zSoquijdatNCSST"/>
            </w:pPr>
            <w:r>
              <w:t>511094351</w:t>
            </w:r>
          </w:p>
        </w:tc>
      </w:tr>
      <w:tr w:rsidR="00C74B6F" w14:paraId="10E761E3" w14:textId="77777777" w:rsidTr="00036794">
        <w:trPr>
          <w:cantSplit/>
        </w:trPr>
        <w:tc>
          <w:tcPr>
            <w:tcW w:w="9568" w:type="dxa"/>
            <w:gridSpan w:val="4"/>
          </w:tcPr>
          <w:p w14:paraId="32CD8155" w14:textId="77777777" w:rsidR="00C74B6F" w:rsidRDefault="00C74B6F"/>
        </w:tc>
      </w:tr>
      <w:tr w:rsidR="00C74B6F" w14:paraId="2358F990" w14:textId="77777777" w:rsidTr="00036794">
        <w:trPr>
          <w:cantSplit/>
        </w:trPr>
        <w:tc>
          <w:tcPr>
            <w:tcW w:w="9568" w:type="dxa"/>
            <w:gridSpan w:val="4"/>
          </w:tcPr>
          <w:p w14:paraId="31C31066" w14:textId="77777777" w:rsidR="00C74B6F" w:rsidRDefault="00C74B6F"/>
        </w:tc>
      </w:tr>
      <w:tr w:rsidR="006E3DD8" w14:paraId="18F3C41F" w14:textId="77777777" w:rsidTr="00036794">
        <w:trPr>
          <w:cantSplit/>
        </w:trPr>
        <w:tc>
          <w:tcPr>
            <w:tcW w:w="3331" w:type="dxa"/>
          </w:tcPr>
          <w:p w14:paraId="276AE15B" w14:textId="6663E32A" w:rsidR="006E3DD8" w:rsidRDefault="003250D9" w:rsidP="0076350E">
            <w:pPr>
              <w:ind w:right="-70"/>
            </w:pPr>
            <w:r>
              <w:t>Montréal</w:t>
            </w:r>
            <w:r w:rsidR="00C04E32">
              <w:t>,</w:t>
            </w:r>
          </w:p>
        </w:tc>
        <w:tc>
          <w:tcPr>
            <w:tcW w:w="6237" w:type="dxa"/>
            <w:gridSpan w:val="3"/>
          </w:tcPr>
          <w:p w14:paraId="4A5423F1" w14:textId="1C1A9CED" w:rsidR="006E3DD8" w:rsidRDefault="00C04E32" w:rsidP="005B5689">
            <w:pPr>
              <w:pStyle w:val="zSoquijdatDateJugement"/>
            </w:pPr>
            <w:r>
              <w:t xml:space="preserve">le </w:t>
            </w:r>
            <w:r w:rsidR="002B2DE7">
              <w:t>16</w:t>
            </w:r>
            <w:r w:rsidR="003250D9">
              <w:t xml:space="preserve"> mai 2025</w:t>
            </w:r>
          </w:p>
        </w:tc>
      </w:tr>
      <w:tr w:rsidR="00942AB8" w14:paraId="514841AE" w14:textId="77777777" w:rsidTr="00036794">
        <w:trPr>
          <w:cantSplit/>
        </w:trPr>
        <w:tc>
          <w:tcPr>
            <w:tcW w:w="9568" w:type="dxa"/>
            <w:gridSpan w:val="4"/>
          </w:tcPr>
          <w:p w14:paraId="5AB79E7F" w14:textId="77777777" w:rsidR="00942AB8" w:rsidRDefault="00942AB8" w:rsidP="00FA153F">
            <w:r>
              <w:t>______________________________________________________________________</w:t>
            </w:r>
          </w:p>
        </w:tc>
      </w:tr>
      <w:tr w:rsidR="00942AB8" w14:paraId="6B23E358" w14:textId="77777777" w:rsidTr="00036794">
        <w:trPr>
          <w:cantSplit/>
          <w:trHeight w:val="148"/>
        </w:trPr>
        <w:tc>
          <w:tcPr>
            <w:tcW w:w="9568" w:type="dxa"/>
            <w:gridSpan w:val="4"/>
          </w:tcPr>
          <w:p w14:paraId="5C0C9E5B" w14:textId="77777777" w:rsidR="00942AB8" w:rsidRDefault="00942AB8" w:rsidP="00FA153F"/>
        </w:tc>
      </w:tr>
      <w:tr w:rsidR="0035375B" w14:paraId="56803B4F" w14:textId="77777777" w:rsidTr="00036794">
        <w:trPr>
          <w:cantSplit/>
          <w:trHeight w:val="148"/>
        </w:trPr>
        <w:tc>
          <w:tcPr>
            <w:tcW w:w="5883" w:type="dxa"/>
            <w:gridSpan w:val="3"/>
          </w:tcPr>
          <w:p w14:paraId="5AD5A273" w14:textId="6856A965" w:rsidR="0035375B" w:rsidRPr="00942AB8" w:rsidRDefault="0035375B">
            <w:pPr>
              <w:rPr>
                <w:b/>
                <w:bCs/>
              </w:rPr>
            </w:pPr>
            <w:bookmarkStart w:id="4" w:name="ref_commissaire" w:colFirst="1" w:colLast="1"/>
            <w:r w:rsidRPr="00942AB8">
              <w:rPr>
                <w:b/>
                <w:bCs/>
              </w:rPr>
              <w:t>DEVANT L</w:t>
            </w:r>
            <w:r w:rsidR="003250D9">
              <w:rPr>
                <w:b/>
                <w:bCs/>
              </w:rPr>
              <w:t>A</w:t>
            </w:r>
            <w:r w:rsidRPr="00942AB8">
              <w:rPr>
                <w:b/>
                <w:bCs/>
              </w:rPr>
              <w:t xml:space="preserve"> JUGE ADMINISTRATI</w:t>
            </w:r>
            <w:r w:rsidR="003250D9">
              <w:rPr>
                <w:b/>
                <w:bCs/>
              </w:rPr>
              <w:t>VE</w:t>
            </w:r>
            <w:r w:rsidRPr="00942AB8">
              <w:rPr>
                <w:b/>
                <w:bCs/>
              </w:rPr>
              <w:t> :</w:t>
            </w:r>
          </w:p>
        </w:tc>
        <w:tc>
          <w:tcPr>
            <w:tcW w:w="3685" w:type="dxa"/>
          </w:tcPr>
          <w:p w14:paraId="50C5FCCE" w14:textId="63DE2231" w:rsidR="0035375B" w:rsidRPr="00942AB8" w:rsidRDefault="003250D9" w:rsidP="005B5689">
            <w:pPr>
              <w:pStyle w:val="zSoquijdatJuge"/>
              <w:rPr>
                <w:bCs/>
              </w:rPr>
            </w:pPr>
            <w:r>
              <w:t>Sylvie Lévesque</w:t>
            </w:r>
          </w:p>
        </w:tc>
      </w:tr>
      <w:bookmarkEnd w:id="4"/>
      <w:tr w:rsidR="00942AB8" w14:paraId="38EF7D60" w14:textId="77777777" w:rsidTr="00036794">
        <w:trPr>
          <w:cantSplit/>
          <w:trHeight w:val="148"/>
        </w:trPr>
        <w:tc>
          <w:tcPr>
            <w:tcW w:w="9568" w:type="dxa"/>
            <w:gridSpan w:val="4"/>
          </w:tcPr>
          <w:p w14:paraId="107022B0" w14:textId="77777777" w:rsidR="00942AB8" w:rsidRDefault="00942AB8" w:rsidP="00FA153F">
            <w:r>
              <w:t>______________________________________________________________________</w:t>
            </w:r>
          </w:p>
        </w:tc>
      </w:tr>
      <w:tr w:rsidR="00942AB8" w14:paraId="4244D1D0" w14:textId="77777777" w:rsidTr="00036794">
        <w:tc>
          <w:tcPr>
            <w:tcW w:w="9568" w:type="dxa"/>
            <w:gridSpan w:val="4"/>
          </w:tcPr>
          <w:p w14:paraId="56A991A2" w14:textId="77777777" w:rsidR="00942AB8" w:rsidRDefault="00942AB8"/>
        </w:tc>
      </w:tr>
      <w:tr w:rsidR="00942AB8" w14:paraId="6C7FC335" w14:textId="77777777" w:rsidTr="00E21768">
        <w:tc>
          <w:tcPr>
            <w:tcW w:w="4890" w:type="dxa"/>
            <w:gridSpan w:val="2"/>
          </w:tcPr>
          <w:p w14:paraId="6531E9DC" w14:textId="77777777" w:rsidR="00942AB8" w:rsidRDefault="00942AB8">
            <w:bookmarkStart w:id="5" w:name="bloc_parties_gauche"/>
            <w:bookmarkEnd w:id="5"/>
          </w:p>
        </w:tc>
        <w:tc>
          <w:tcPr>
            <w:tcW w:w="4678" w:type="dxa"/>
            <w:gridSpan w:val="2"/>
          </w:tcPr>
          <w:p w14:paraId="46E579D5" w14:textId="77777777" w:rsidR="00942AB8" w:rsidRDefault="00942AB8"/>
        </w:tc>
      </w:tr>
      <w:tr w:rsidR="00942AB8" w14:paraId="661AF6D7" w14:textId="77777777" w:rsidTr="00E21768">
        <w:tc>
          <w:tcPr>
            <w:tcW w:w="4890" w:type="dxa"/>
            <w:gridSpan w:val="2"/>
          </w:tcPr>
          <w:p w14:paraId="7C70B87E" w14:textId="63A130BB" w:rsidR="00942AB8" w:rsidRDefault="003250D9">
            <w:pPr>
              <w:pStyle w:val="zSoquijdatNomPartieDem"/>
              <w:rPr>
                <w:b/>
              </w:rPr>
            </w:pPr>
            <w:r>
              <w:rPr>
                <w:b/>
              </w:rPr>
              <w:t>Excel Personnel (atelier ou d’usine)</w:t>
            </w:r>
          </w:p>
        </w:tc>
        <w:tc>
          <w:tcPr>
            <w:tcW w:w="4678" w:type="dxa"/>
            <w:gridSpan w:val="2"/>
          </w:tcPr>
          <w:p w14:paraId="0B62BDE0" w14:textId="77777777" w:rsidR="00942AB8" w:rsidRDefault="00942AB8"/>
        </w:tc>
      </w:tr>
      <w:tr w:rsidR="00942AB8" w14:paraId="2CF9C931" w14:textId="77777777" w:rsidTr="00E21768">
        <w:tc>
          <w:tcPr>
            <w:tcW w:w="4890" w:type="dxa"/>
            <w:gridSpan w:val="2"/>
          </w:tcPr>
          <w:p w14:paraId="337C8659" w14:textId="59B8F66E" w:rsidR="00942AB8" w:rsidRDefault="003250D9" w:rsidP="007B0DF2">
            <w:pPr>
              <w:pStyle w:val="zSoquijdatQtePartieDem"/>
              <w:tabs>
                <w:tab w:val="left" w:pos="3539"/>
              </w:tabs>
              <w:ind w:left="708"/>
            </w:pPr>
            <w:bookmarkStart w:id="6" w:name="partie_demanderesse"/>
            <w:bookmarkEnd w:id="6"/>
            <w:r>
              <w:t>Partie demanderesse</w:t>
            </w:r>
          </w:p>
        </w:tc>
        <w:tc>
          <w:tcPr>
            <w:tcW w:w="4678" w:type="dxa"/>
            <w:gridSpan w:val="2"/>
          </w:tcPr>
          <w:p w14:paraId="4B3AE1EB" w14:textId="77777777" w:rsidR="00942AB8" w:rsidRDefault="00942AB8"/>
        </w:tc>
      </w:tr>
      <w:tr w:rsidR="00942AB8" w14:paraId="01B17513" w14:textId="77777777" w:rsidTr="00E21768">
        <w:tc>
          <w:tcPr>
            <w:tcW w:w="4890" w:type="dxa"/>
            <w:gridSpan w:val="2"/>
          </w:tcPr>
          <w:p w14:paraId="05A827F5" w14:textId="77777777" w:rsidR="00942AB8" w:rsidRDefault="00942AB8" w:rsidP="00E6363B"/>
        </w:tc>
        <w:tc>
          <w:tcPr>
            <w:tcW w:w="4678" w:type="dxa"/>
            <w:gridSpan w:val="2"/>
          </w:tcPr>
          <w:p w14:paraId="1F119C9A" w14:textId="77777777" w:rsidR="00942AB8" w:rsidRDefault="00942AB8"/>
        </w:tc>
      </w:tr>
      <w:tr w:rsidR="00942AB8" w14:paraId="7B63D82C" w14:textId="77777777" w:rsidTr="00E21768">
        <w:tc>
          <w:tcPr>
            <w:tcW w:w="4890" w:type="dxa"/>
            <w:gridSpan w:val="2"/>
          </w:tcPr>
          <w:p w14:paraId="0FE50510" w14:textId="2A1E8D1F" w:rsidR="00942AB8" w:rsidRDefault="003250D9" w:rsidP="00D06652">
            <w:pPr>
              <w:pStyle w:val="zSoquijlblLienParties"/>
            </w:pPr>
            <w:r>
              <w:t>et</w:t>
            </w:r>
          </w:p>
        </w:tc>
        <w:tc>
          <w:tcPr>
            <w:tcW w:w="4678" w:type="dxa"/>
            <w:gridSpan w:val="2"/>
          </w:tcPr>
          <w:p w14:paraId="60000244" w14:textId="77777777" w:rsidR="00942AB8" w:rsidRDefault="00942AB8"/>
        </w:tc>
      </w:tr>
      <w:tr w:rsidR="00942AB8" w14:paraId="1357BF71" w14:textId="77777777" w:rsidTr="00E21768">
        <w:tc>
          <w:tcPr>
            <w:tcW w:w="4890" w:type="dxa"/>
            <w:gridSpan w:val="2"/>
          </w:tcPr>
          <w:p w14:paraId="4068F849" w14:textId="77777777" w:rsidR="00942AB8" w:rsidRDefault="00942AB8"/>
        </w:tc>
        <w:tc>
          <w:tcPr>
            <w:tcW w:w="4678" w:type="dxa"/>
            <w:gridSpan w:val="2"/>
          </w:tcPr>
          <w:p w14:paraId="1609DC5E" w14:textId="77777777" w:rsidR="00942AB8" w:rsidRDefault="00942AB8"/>
        </w:tc>
      </w:tr>
      <w:tr w:rsidR="00942AB8" w14:paraId="1FB5D24A" w14:textId="77777777" w:rsidTr="00E21768">
        <w:tc>
          <w:tcPr>
            <w:tcW w:w="4890" w:type="dxa"/>
            <w:gridSpan w:val="2"/>
          </w:tcPr>
          <w:p w14:paraId="28581BDB" w14:textId="735699AE" w:rsidR="00942AB8" w:rsidRDefault="003250D9">
            <w:pPr>
              <w:pStyle w:val="zSoquijdatNomPartieDef"/>
              <w:rPr>
                <w:b/>
              </w:rPr>
            </w:pPr>
            <w:r>
              <w:rPr>
                <w:b/>
              </w:rPr>
              <w:t>Lucie Laflamme</w:t>
            </w:r>
          </w:p>
        </w:tc>
        <w:tc>
          <w:tcPr>
            <w:tcW w:w="4678" w:type="dxa"/>
            <w:gridSpan w:val="2"/>
          </w:tcPr>
          <w:p w14:paraId="5731772D" w14:textId="77777777" w:rsidR="00942AB8" w:rsidRDefault="00942AB8"/>
        </w:tc>
      </w:tr>
      <w:tr w:rsidR="00942AB8" w14:paraId="2AB4191B" w14:textId="77777777" w:rsidTr="00E21768">
        <w:tc>
          <w:tcPr>
            <w:tcW w:w="4890" w:type="dxa"/>
            <w:gridSpan w:val="2"/>
          </w:tcPr>
          <w:p w14:paraId="1D512BAA" w14:textId="6A2D9B03" w:rsidR="00942AB8" w:rsidRDefault="003250D9">
            <w:pPr>
              <w:pStyle w:val="zSoquijdatQtePartieDef"/>
              <w:ind w:left="708"/>
            </w:pPr>
            <w:r>
              <w:t>Partie mise en cause</w:t>
            </w:r>
          </w:p>
        </w:tc>
        <w:tc>
          <w:tcPr>
            <w:tcW w:w="4678" w:type="dxa"/>
            <w:gridSpan w:val="2"/>
          </w:tcPr>
          <w:p w14:paraId="4E04D6DF" w14:textId="77777777" w:rsidR="00942AB8" w:rsidRDefault="00942AB8"/>
        </w:tc>
      </w:tr>
      <w:tr w:rsidR="0065093D" w14:paraId="3322A615" w14:textId="77777777" w:rsidTr="00E21768">
        <w:tc>
          <w:tcPr>
            <w:tcW w:w="4890" w:type="dxa"/>
            <w:gridSpan w:val="2"/>
          </w:tcPr>
          <w:p w14:paraId="5A33F075" w14:textId="77777777" w:rsidR="0065093D" w:rsidRDefault="0065093D"/>
        </w:tc>
        <w:tc>
          <w:tcPr>
            <w:tcW w:w="4678" w:type="dxa"/>
            <w:gridSpan w:val="2"/>
          </w:tcPr>
          <w:p w14:paraId="159C9591" w14:textId="77777777" w:rsidR="0065093D" w:rsidRDefault="0065093D"/>
        </w:tc>
      </w:tr>
      <w:tr w:rsidR="003250D9" w14:paraId="3A95145C" w14:textId="77777777" w:rsidTr="00E21768">
        <w:tc>
          <w:tcPr>
            <w:tcW w:w="4890" w:type="dxa"/>
            <w:gridSpan w:val="2"/>
          </w:tcPr>
          <w:p w14:paraId="75EE5D82" w14:textId="5FF54779" w:rsidR="003250D9" w:rsidRDefault="003250D9">
            <w:r>
              <w:t>et</w:t>
            </w:r>
          </w:p>
        </w:tc>
        <w:tc>
          <w:tcPr>
            <w:tcW w:w="4678" w:type="dxa"/>
            <w:gridSpan w:val="2"/>
          </w:tcPr>
          <w:p w14:paraId="54862DBA" w14:textId="77777777" w:rsidR="003250D9" w:rsidRDefault="003250D9"/>
        </w:tc>
      </w:tr>
      <w:tr w:rsidR="003250D9" w14:paraId="11CEC5E2" w14:textId="77777777" w:rsidTr="00E21768">
        <w:tc>
          <w:tcPr>
            <w:tcW w:w="4890" w:type="dxa"/>
            <w:gridSpan w:val="2"/>
          </w:tcPr>
          <w:p w14:paraId="2F7A05A2" w14:textId="77777777" w:rsidR="003250D9" w:rsidRDefault="003250D9"/>
        </w:tc>
        <w:tc>
          <w:tcPr>
            <w:tcW w:w="4678" w:type="dxa"/>
            <w:gridSpan w:val="2"/>
          </w:tcPr>
          <w:p w14:paraId="7736F12A" w14:textId="77777777" w:rsidR="003250D9" w:rsidRDefault="003250D9"/>
        </w:tc>
      </w:tr>
      <w:tr w:rsidR="00942AB8" w14:paraId="180D5D69" w14:textId="77777777" w:rsidTr="00E21768">
        <w:tc>
          <w:tcPr>
            <w:tcW w:w="4890" w:type="dxa"/>
            <w:gridSpan w:val="2"/>
          </w:tcPr>
          <w:p w14:paraId="534A3544" w14:textId="0D3132C0" w:rsidR="00942AB8" w:rsidRDefault="003250D9">
            <w:pPr>
              <w:pStyle w:val="zSoquijdatNomPartieInt"/>
              <w:rPr>
                <w:b/>
              </w:rPr>
            </w:pPr>
            <w:r>
              <w:rPr>
                <w:b/>
              </w:rPr>
              <w:t>Commission des normes, de l’équité, de la santé et de la sécurité du travail</w:t>
            </w:r>
          </w:p>
        </w:tc>
        <w:tc>
          <w:tcPr>
            <w:tcW w:w="4678" w:type="dxa"/>
            <w:gridSpan w:val="2"/>
          </w:tcPr>
          <w:p w14:paraId="60EA5009" w14:textId="7AA1851F" w:rsidR="00942AB8" w:rsidRDefault="00942AB8"/>
        </w:tc>
      </w:tr>
      <w:tr w:rsidR="00942AB8" w14:paraId="50936251" w14:textId="77777777" w:rsidTr="00E21768">
        <w:tc>
          <w:tcPr>
            <w:tcW w:w="4890" w:type="dxa"/>
            <w:gridSpan w:val="2"/>
          </w:tcPr>
          <w:p w14:paraId="53C54D73" w14:textId="08641A5C" w:rsidR="00942AB8" w:rsidRDefault="003250D9">
            <w:pPr>
              <w:pStyle w:val="zSoquijdatQtePartieInt"/>
              <w:ind w:left="708"/>
            </w:pPr>
            <w:r>
              <w:t xml:space="preserve">Partie </w:t>
            </w:r>
            <w:r w:rsidR="00C132F7">
              <w:t>intervenante</w:t>
            </w:r>
          </w:p>
        </w:tc>
        <w:tc>
          <w:tcPr>
            <w:tcW w:w="4678" w:type="dxa"/>
            <w:gridSpan w:val="2"/>
          </w:tcPr>
          <w:p w14:paraId="5339197B" w14:textId="77777777" w:rsidR="00942AB8" w:rsidRDefault="00942AB8"/>
        </w:tc>
      </w:tr>
      <w:tr w:rsidR="00942AB8" w14:paraId="3AA4CC32" w14:textId="77777777" w:rsidTr="00E21768">
        <w:tc>
          <w:tcPr>
            <w:tcW w:w="4890" w:type="dxa"/>
            <w:gridSpan w:val="2"/>
          </w:tcPr>
          <w:p w14:paraId="412FA713" w14:textId="77777777" w:rsidR="00942AB8" w:rsidRDefault="00942AB8"/>
        </w:tc>
        <w:tc>
          <w:tcPr>
            <w:tcW w:w="4678" w:type="dxa"/>
            <w:gridSpan w:val="2"/>
          </w:tcPr>
          <w:p w14:paraId="5C296216" w14:textId="77777777" w:rsidR="00942AB8" w:rsidRDefault="00942AB8"/>
        </w:tc>
      </w:tr>
    </w:tbl>
    <w:p w14:paraId="5F3A6AB6" w14:textId="77777777" w:rsidR="00C74B6F" w:rsidRDefault="00C74B6F">
      <w:r>
        <w:t>______________________________________________________________________</w:t>
      </w:r>
    </w:p>
    <w:p w14:paraId="5F1CAC12" w14:textId="77777777" w:rsidR="00C74B6F" w:rsidRDefault="00C74B6F"/>
    <w:p w14:paraId="6A021437" w14:textId="77777777" w:rsidR="00C74B6F" w:rsidRPr="005B0612" w:rsidRDefault="00C74B6F" w:rsidP="008B042E">
      <w:pPr>
        <w:jc w:val="center"/>
        <w:rPr>
          <w:b/>
          <w:bCs/>
        </w:rPr>
      </w:pPr>
      <w:bookmarkStart w:id="7" w:name="decision"/>
      <w:r w:rsidRPr="005B0612">
        <w:rPr>
          <w:b/>
          <w:bCs/>
        </w:rPr>
        <w:t>DÉCISION</w:t>
      </w:r>
      <w:bookmarkEnd w:id="7"/>
    </w:p>
    <w:p w14:paraId="6CCE6E79" w14:textId="77777777" w:rsidR="008F20EA" w:rsidRDefault="008F20EA" w:rsidP="008F20EA">
      <w:bookmarkStart w:id="8" w:name="separation"/>
      <w:bookmarkStart w:id="9" w:name="parag_1"/>
      <w:r>
        <w:t>______________________________________________________________________</w:t>
      </w:r>
    </w:p>
    <w:p w14:paraId="467118C2" w14:textId="77777777" w:rsidR="008F20EA" w:rsidRDefault="008F20EA" w:rsidP="003505B7">
      <w:pPr>
        <w:pStyle w:val="Titre1"/>
      </w:pPr>
      <w:bookmarkStart w:id="10" w:name="supprimer_apercu"/>
      <w:bookmarkEnd w:id="8"/>
      <w:r>
        <w:t>L’APERÇU</w:t>
      </w:r>
    </w:p>
    <w:bookmarkEnd w:id="10"/>
    <w:bookmarkEnd w:id="9"/>
    <w:p w14:paraId="7BCFAD9A" w14:textId="247F567F" w:rsidR="00C74B6F" w:rsidRDefault="006D63C6">
      <w:pPr>
        <w:pStyle w:val="corpsdedcision"/>
      </w:pPr>
      <w:r>
        <w:t>La travailleuse, manutentionnaire chez l’employeur, subit une lésion professionnelle le 9</w:t>
      </w:r>
      <w:r w:rsidR="00FA3E62">
        <w:t> </w:t>
      </w:r>
      <w:r>
        <w:t>novembre</w:t>
      </w:r>
      <w:r w:rsidR="00FA3E62">
        <w:t> </w:t>
      </w:r>
      <w:r>
        <w:t xml:space="preserve">2021 alors qu’elle tombe et se </w:t>
      </w:r>
      <w:r w:rsidR="00742628">
        <w:t xml:space="preserve">fracture le radius du </w:t>
      </w:r>
      <w:r>
        <w:t xml:space="preserve">poignet droit. </w:t>
      </w:r>
    </w:p>
    <w:p w14:paraId="657B99E5" w14:textId="47B24CA0" w:rsidR="006D63C6" w:rsidRDefault="006D63C6">
      <w:pPr>
        <w:pStyle w:val="corpsdedcision"/>
      </w:pPr>
      <w:r>
        <w:t xml:space="preserve">Dans son rapport médical du </w:t>
      </w:r>
      <w:r w:rsidRPr="00FA3E62">
        <w:t>11</w:t>
      </w:r>
      <w:r w:rsidR="00FA3E62">
        <w:t> </w:t>
      </w:r>
      <w:r w:rsidRPr="00FA3E62">
        <w:t>novembre</w:t>
      </w:r>
      <w:r w:rsidR="00FA3E62">
        <w:t> </w:t>
      </w:r>
      <w:r w:rsidRPr="00FA3E62">
        <w:t>2022</w:t>
      </w:r>
      <w:r>
        <w:t xml:space="preserve">, </w:t>
      </w:r>
      <w:r w:rsidR="00E62FB2">
        <w:t xml:space="preserve">le professionnel de la santé qui a charge de la travailleuse </w:t>
      </w:r>
      <w:r>
        <w:t>écrit que la lésion n’est pas consolidée</w:t>
      </w:r>
      <w:r w:rsidR="00E62FB2">
        <w:t xml:space="preserve"> et prescrit des traitements de physiothérapie. </w:t>
      </w:r>
      <w:r w:rsidR="002D0D6A">
        <w:t xml:space="preserve">Il écrit </w:t>
      </w:r>
      <w:r w:rsidR="00D973AB">
        <w:t xml:space="preserve">que </w:t>
      </w:r>
      <w:r w:rsidR="00DA55E5">
        <w:t xml:space="preserve">des séquelles </w:t>
      </w:r>
      <w:r w:rsidR="002D0D6A">
        <w:t>permanente</w:t>
      </w:r>
      <w:r w:rsidR="00DA55E5">
        <w:t>s</w:t>
      </w:r>
      <w:r w:rsidR="00D973AB">
        <w:t xml:space="preserve"> sont à prévoir</w:t>
      </w:r>
      <w:r w:rsidR="002D0D6A">
        <w:t xml:space="preserve">. </w:t>
      </w:r>
    </w:p>
    <w:p w14:paraId="2AE1C626" w14:textId="69174C4C" w:rsidR="006D63C6" w:rsidRDefault="006D63C6">
      <w:pPr>
        <w:pStyle w:val="corpsdedcision"/>
      </w:pPr>
      <w:r>
        <w:t>Le 1</w:t>
      </w:r>
      <w:r w:rsidRPr="006D63C6">
        <w:rPr>
          <w:vertAlign w:val="superscript"/>
        </w:rPr>
        <w:t>er</w:t>
      </w:r>
      <w:r w:rsidR="00FA3E62">
        <w:rPr>
          <w:vertAlign w:val="superscript"/>
        </w:rPr>
        <w:t> </w:t>
      </w:r>
      <w:r>
        <w:t>décembre</w:t>
      </w:r>
      <w:r w:rsidR="00FA3E62">
        <w:t> </w:t>
      </w:r>
      <w:r>
        <w:t xml:space="preserve">2022, c’est au tour du professionnel de la santé désigné </w:t>
      </w:r>
      <w:r w:rsidR="00C132F7">
        <w:t>de</w:t>
      </w:r>
      <w:r>
        <w:t xml:space="preserve"> l’employeur</w:t>
      </w:r>
      <w:r w:rsidR="00A47D4B">
        <w:t xml:space="preserve">, le docteur Julien </w:t>
      </w:r>
      <w:r w:rsidR="00795326">
        <w:t>Dionne, d’examiner</w:t>
      </w:r>
      <w:r>
        <w:t xml:space="preserve"> la travailleuse. Il conclut que la lésion est consolidée à la date de son examen, que les soins et traitements ne sont plus nécessaires, qu’il y a un déficit anatomophysiologique de 2</w:t>
      </w:r>
      <w:r w:rsidR="00C132F7">
        <w:t> </w:t>
      </w:r>
      <w:r>
        <w:t xml:space="preserve">% et que des limitations fonctionnelles sont à retenir également. </w:t>
      </w:r>
    </w:p>
    <w:p w14:paraId="230FE4C2" w14:textId="251F3757" w:rsidR="00FA3E62" w:rsidRDefault="00A47D4B" w:rsidP="00536CE8">
      <w:pPr>
        <w:pStyle w:val="corpsdedcision"/>
      </w:pPr>
      <w:r>
        <w:t>Le 12</w:t>
      </w:r>
      <w:r w:rsidR="00FA3E62">
        <w:t> </w:t>
      </w:r>
      <w:r>
        <w:t>décembre</w:t>
      </w:r>
      <w:r w:rsidR="00FA3E62">
        <w:t> </w:t>
      </w:r>
      <w:r>
        <w:t xml:space="preserve">2022, l’employeur écrit une lettre à la Commission </w:t>
      </w:r>
      <w:r w:rsidR="00FA3E62">
        <w:t xml:space="preserve">des normes, de l’équité, de la santé et de la sécurité du travail </w:t>
      </w:r>
      <w:r>
        <w:t xml:space="preserve">lui demandant de soumettre le dossier au Bureau d’évaluation médicale </w:t>
      </w:r>
      <w:r w:rsidR="00820102">
        <w:t xml:space="preserve">en conformité </w:t>
      </w:r>
      <w:r w:rsidR="004B5066">
        <w:t xml:space="preserve">avec </w:t>
      </w:r>
      <w:r w:rsidR="00820102">
        <w:t>l’article</w:t>
      </w:r>
      <w:r w:rsidR="00725C29">
        <w:t> </w:t>
      </w:r>
      <w:r w:rsidR="00820102">
        <w:t xml:space="preserve">217 de la </w:t>
      </w:r>
      <w:r w:rsidR="00820102" w:rsidRPr="002B2DE7">
        <w:rPr>
          <w:i/>
          <w:iCs/>
        </w:rPr>
        <w:t>Loi</w:t>
      </w:r>
      <w:r w:rsidR="00725C29" w:rsidRPr="002B2DE7">
        <w:rPr>
          <w:i/>
          <w:iCs/>
        </w:rPr>
        <w:t xml:space="preserve"> sur les accidents du travail et les maladies professionnelles</w:t>
      </w:r>
      <w:r w:rsidR="00725C29">
        <w:rPr>
          <w:rStyle w:val="Appelnotedebasdep"/>
        </w:rPr>
        <w:footnoteReference w:id="1"/>
      </w:r>
      <w:r w:rsidR="00725C29">
        <w:t>, la Loi,</w:t>
      </w:r>
      <w:r w:rsidR="00820102">
        <w:t xml:space="preserve"> </w:t>
      </w:r>
      <w:r>
        <w:t xml:space="preserve">afin qu’un de ses membres se prononce sur </w:t>
      </w:r>
      <w:r w:rsidR="00DA05A0">
        <w:t>les points 2 à 5 de l’article</w:t>
      </w:r>
      <w:r w:rsidR="00FA3E62">
        <w:t> </w:t>
      </w:r>
      <w:r w:rsidR="00DA05A0">
        <w:t xml:space="preserve">212, à savoir </w:t>
      </w:r>
      <w:r>
        <w:t xml:space="preserve">la date de consolidation, la nature des soins et </w:t>
      </w:r>
      <w:r w:rsidR="00D55D17">
        <w:t xml:space="preserve">la </w:t>
      </w:r>
      <w:r>
        <w:t>suffisance des traitements, l’atteinte permanente ainsi que les limitations fonctio</w:t>
      </w:r>
      <w:r w:rsidR="002D0D6A">
        <w:t xml:space="preserve">nnelles. </w:t>
      </w:r>
      <w:r w:rsidR="00820102">
        <w:t>Il y précise avoir fait parvenir au « </w:t>
      </w:r>
      <w:r w:rsidR="00820102" w:rsidRPr="0038574A">
        <w:rPr>
          <w:rStyle w:val="Citationintgre"/>
        </w:rPr>
        <w:t>médecin traitant</w:t>
      </w:r>
      <w:r w:rsidR="00820102">
        <w:t> » un rapport complémentaire ainsi que le rapport d’expertise du « </w:t>
      </w:r>
      <w:r w:rsidR="00820102" w:rsidRPr="0038574A">
        <w:rPr>
          <w:rStyle w:val="Citationintgre"/>
        </w:rPr>
        <w:t>médecin expert</w:t>
      </w:r>
      <w:r w:rsidR="00820102">
        <w:t> ».</w:t>
      </w:r>
      <w:r w:rsidR="0038574A">
        <w:t xml:space="preserve"> </w:t>
      </w:r>
    </w:p>
    <w:p w14:paraId="33343105" w14:textId="59ECFE84" w:rsidR="002D0D6A" w:rsidRDefault="002D0D6A" w:rsidP="00DA55E5">
      <w:pPr>
        <w:pStyle w:val="corpsdedcision"/>
      </w:pPr>
      <w:r>
        <w:t xml:space="preserve">Le professionnel de la santé </w:t>
      </w:r>
      <w:r w:rsidR="008410AA">
        <w:t xml:space="preserve">qui a charge de la travailleuse </w:t>
      </w:r>
      <w:r>
        <w:t>ne produit pa</w:t>
      </w:r>
      <w:r w:rsidR="00DA55E5">
        <w:t>s</w:t>
      </w:r>
      <w:r>
        <w:t xml:space="preserve"> de rapport complémentaire, bien que la Commission </w:t>
      </w:r>
      <w:r w:rsidR="00DA55E5">
        <w:t xml:space="preserve">lui </w:t>
      </w:r>
      <w:r>
        <w:t xml:space="preserve">ait envoyé </w:t>
      </w:r>
      <w:r w:rsidR="00DA55E5">
        <w:t xml:space="preserve">ledit rapport et </w:t>
      </w:r>
      <w:r w:rsidR="00D55D17">
        <w:t xml:space="preserve">lui ait </w:t>
      </w:r>
      <w:r w:rsidR="00DA55E5">
        <w:t>demandé de le remplir.</w:t>
      </w:r>
    </w:p>
    <w:p w14:paraId="1E907298" w14:textId="683EA48C" w:rsidR="00A47D4B" w:rsidRDefault="00262803">
      <w:pPr>
        <w:pStyle w:val="corpsdedcision"/>
      </w:pPr>
      <w:r>
        <w:t xml:space="preserve">La </w:t>
      </w:r>
      <w:r w:rsidR="00F1390B">
        <w:t xml:space="preserve">Commission indique </w:t>
      </w:r>
      <w:r w:rsidR="0044550B">
        <w:t xml:space="preserve">dans ses notes évolutives </w:t>
      </w:r>
      <w:r w:rsidR="00F1390B">
        <w:t>que la « </w:t>
      </w:r>
      <w:r w:rsidR="00F1390B" w:rsidRPr="004A6371">
        <w:rPr>
          <w:rStyle w:val="Citationintgre"/>
        </w:rPr>
        <w:t>demande de BEM</w:t>
      </w:r>
      <w:r w:rsidR="00F1390B">
        <w:t xml:space="preserve"> » </w:t>
      </w:r>
      <w:r w:rsidR="00D55D17">
        <w:t xml:space="preserve">de l’employeur </w:t>
      </w:r>
      <w:r w:rsidR="00F1390B">
        <w:t>a été reçue le 12</w:t>
      </w:r>
      <w:r w:rsidR="00D94A1C">
        <w:t> </w:t>
      </w:r>
      <w:r w:rsidR="00F1390B">
        <w:t>décembre</w:t>
      </w:r>
      <w:r w:rsidR="00D94A1C">
        <w:t> </w:t>
      </w:r>
      <w:r w:rsidR="00F1390B">
        <w:t xml:space="preserve">2022. </w:t>
      </w:r>
    </w:p>
    <w:p w14:paraId="0065D669" w14:textId="6B0CEB68" w:rsidR="006D63C6" w:rsidRDefault="00D55D17">
      <w:pPr>
        <w:pStyle w:val="corpsdedcision"/>
      </w:pPr>
      <w:r>
        <w:t xml:space="preserve">La Commission transmet la demande </w:t>
      </w:r>
      <w:r w:rsidR="006D63C6">
        <w:t>au Bureau d’évaluation médicale</w:t>
      </w:r>
      <w:r w:rsidR="00BC3B70">
        <w:t xml:space="preserve"> </w:t>
      </w:r>
      <w:r>
        <w:t>le 16</w:t>
      </w:r>
      <w:r w:rsidR="00D94A1C">
        <w:t> </w:t>
      </w:r>
      <w:r>
        <w:t>février</w:t>
      </w:r>
      <w:r w:rsidR="00D94A1C">
        <w:t> </w:t>
      </w:r>
      <w:r w:rsidR="00CB4635">
        <w:t>2023</w:t>
      </w:r>
      <w:r>
        <w:t xml:space="preserve"> et </w:t>
      </w:r>
      <w:r w:rsidR="000B4A6C">
        <w:t xml:space="preserve">lui </w:t>
      </w:r>
      <w:r w:rsidR="00B85D82">
        <w:t>demande de se prononcer sur les points 2 et 3 de l’article 212</w:t>
      </w:r>
      <w:r w:rsidR="00625410">
        <w:t xml:space="preserve"> de la Loi</w:t>
      </w:r>
      <w:r w:rsidR="00B85D82">
        <w:t xml:space="preserve">, </w:t>
      </w:r>
      <w:r>
        <w:t xml:space="preserve">soit </w:t>
      </w:r>
      <w:r w:rsidR="00B85D82">
        <w:t xml:space="preserve">sur la date de consolidation et la nature des soins et traitements. </w:t>
      </w:r>
    </w:p>
    <w:p w14:paraId="3E7FCBD6" w14:textId="0B540C22" w:rsidR="002B2DE7" w:rsidRDefault="002B2DE7" w:rsidP="002B2DE7">
      <w:pPr>
        <w:pStyle w:val="corpsdedcision"/>
      </w:pPr>
      <w:r>
        <w:t xml:space="preserve">Le 29 novembre 2023, étant toujours en attente de l’avis d’un membre du Bureau d’évaluation médicale, près d’un an après avoir fait sa demande, l’employeur demande à la Commission d’appliquer le troisième alinéa de l’article 224.1 de la Loi. Il veut ainsi que la Commission désigne un professionnel de la santé dans le but d’obtenir un rapport dont l’opinion deviendra liante puisque le membre du Bureau d’évaluation médicale n’a pas rendu son avis dans le délai de 30 jours. </w:t>
      </w:r>
    </w:p>
    <w:p w14:paraId="47BB97A0" w14:textId="77777777" w:rsidR="002B2DE7" w:rsidRDefault="002B2DE7" w:rsidP="00681AA2">
      <w:pPr>
        <w:pStyle w:val="corpsdedcision"/>
        <w:keepNext/>
        <w:keepLines/>
      </w:pPr>
      <w:r>
        <w:t xml:space="preserve">La Commission rend une décision à la suite d’une révision administrative le 6 août 2024, se prononçant sur trois décisions initiales. Deux d’entre elles concernent la suspension du versement de l’indemnité de remplacement du revenu. L’employeur ne les conteste plus. </w:t>
      </w:r>
    </w:p>
    <w:p w14:paraId="02B4A886" w14:textId="77777777" w:rsidR="002B2DE7" w:rsidRDefault="002B2DE7" w:rsidP="002B2DE7">
      <w:pPr>
        <w:pStyle w:val="corpsdedcision"/>
      </w:pPr>
      <w:r>
        <w:t xml:space="preserve">La seule décision qu’il conteste devant le Tribunal est celle lui refusant sa demande quant à l’application du troisième alinéa de l’article 224.1 de la Loi. Il met l’accent sur le fait qu’il est très important pour lui que la date de consolidation soit déterminée, ajoutant que le dossier ne peut continuer ainsi, sans cheminer et sans connaître d’issue. </w:t>
      </w:r>
    </w:p>
    <w:p w14:paraId="3DD0C2B1" w14:textId="1EFCCFC1" w:rsidR="00D36827" w:rsidRDefault="002B2DE7" w:rsidP="002B2DE7">
      <w:pPr>
        <w:pStyle w:val="corpsdedcision"/>
      </w:pPr>
      <w:r w:rsidRPr="003B4492">
        <w:t xml:space="preserve">Dans sa décision du 6 août 2024, la Commission refuse d’utiliser le pouvoir discrétionnaire prévu </w:t>
      </w:r>
      <w:r>
        <w:t>au troisième alinéa de l’</w:t>
      </w:r>
      <w:r w:rsidRPr="003B4492">
        <w:t>article 224.1</w:t>
      </w:r>
      <w:r>
        <w:t>,</w:t>
      </w:r>
      <w:r w:rsidRPr="003B4492">
        <w:t xml:space="preserve"> précisant </w:t>
      </w:r>
      <w:r>
        <w:t>d’une part que le dossier de la travailleuse n’a pas été assigné à un membre du Bureau d’évaluation médicale et d’autre part que la Loi « </w:t>
      </w:r>
      <w:r w:rsidRPr="00151EB7">
        <w:rPr>
          <w:rStyle w:val="Citationintgre"/>
        </w:rPr>
        <w:t>prévoit que le membre du Bureau d’évaluation médicale rend son avis dans les 30 jours de la date à laquelle le dossier lui a été transmis. Le point de départ est la date de transmission au membre désigné du Bureau d’évaluation médicale plutôt qu’à cet organisme lui-même</w:t>
      </w:r>
      <w:r>
        <w:t> ».</w:t>
      </w:r>
    </w:p>
    <w:p w14:paraId="2ADE234A" w14:textId="77777777" w:rsidR="0065174C" w:rsidRPr="00B51F99" w:rsidRDefault="0065174C" w:rsidP="00FD6B7F">
      <w:pPr>
        <w:pStyle w:val="corpsdedcision"/>
        <w:numPr>
          <w:ilvl w:val="0"/>
          <w:numId w:val="0"/>
        </w:numPr>
        <w:rPr>
          <w:u w:val="single"/>
        </w:rPr>
      </w:pPr>
      <w:r w:rsidRPr="00B51F99">
        <w:rPr>
          <w:b/>
          <w:bCs/>
          <w:u w:val="single"/>
        </w:rPr>
        <w:t>LE CONTEXTE</w:t>
      </w:r>
    </w:p>
    <w:p w14:paraId="50C7DC93" w14:textId="4DD6E589" w:rsidR="000C0073" w:rsidRPr="002B2DE7" w:rsidRDefault="000C0073" w:rsidP="004A6371">
      <w:pPr>
        <w:pStyle w:val="corpsdedcision"/>
      </w:pPr>
      <w:r w:rsidRPr="002B2DE7">
        <w:t xml:space="preserve">Il y a certaines particularités dans ce dossier qu’il est important de préciser. </w:t>
      </w:r>
    </w:p>
    <w:p w14:paraId="56611664" w14:textId="041D4242" w:rsidR="004D4FB5" w:rsidRPr="002B2DE7" w:rsidRDefault="004D4FB5">
      <w:pPr>
        <w:pStyle w:val="corpsdedcision"/>
      </w:pPr>
      <w:r w:rsidRPr="002B2DE7">
        <w:t>Le 25</w:t>
      </w:r>
      <w:r w:rsidR="00D94A1C" w:rsidRPr="002B2DE7">
        <w:t> </w:t>
      </w:r>
      <w:r w:rsidRPr="002B2DE7">
        <w:t>août</w:t>
      </w:r>
      <w:r w:rsidR="00D94A1C" w:rsidRPr="002B2DE7">
        <w:t> </w:t>
      </w:r>
      <w:r w:rsidRPr="002B2DE7">
        <w:t xml:space="preserve">2023, le professionnel de la santé ayant charge de la travailleuse, le docteur </w:t>
      </w:r>
      <w:r w:rsidR="00D94A1C" w:rsidRPr="002B2DE7">
        <w:t xml:space="preserve">Joseph </w:t>
      </w:r>
      <w:r w:rsidRPr="002B2DE7">
        <w:t>Kornacki, remplit un rapport final indiquant que la date de consolidation est le 25</w:t>
      </w:r>
      <w:r w:rsidR="00D94A1C" w:rsidRPr="002B2DE7">
        <w:t> </w:t>
      </w:r>
      <w:r w:rsidRPr="002B2DE7">
        <w:t>août</w:t>
      </w:r>
      <w:r w:rsidR="00D94A1C" w:rsidRPr="002B2DE7">
        <w:t> </w:t>
      </w:r>
      <w:r w:rsidRPr="002B2DE7">
        <w:t xml:space="preserve">2023, avec atteinte permanente et limitations fonctionnelles. </w:t>
      </w:r>
    </w:p>
    <w:p w14:paraId="207A042F" w14:textId="703723B6" w:rsidR="00354183" w:rsidRPr="002B2DE7" w:rsidRDefault="00CB4635" w:rsidP="00354183">
      <w:pPr>
        <w:pStyle w:val="corpsdedcision"/>
      </w:pPr>
      <w:r w:rsidRPr="002B2DE7">
        <w:t xml:space="preserve">La </w:t>
      </w:r>
      <w:r w:rsidR="004D4FB5" w:rsidRPr="002B2DE7">
        <w:t>travailleuse se fracture le bassin</w:t>
      </w:r>
      <w:r w:rsidRPr="002B2DE7">
        <w:t xml:space="preserve"> le 2</w:t>
      </w:r>
      <w:r w:rsidR="00D94A1C" w:rsidRPr="002B2DE7">
        <w:t> </w:t>
      </w:r>
      <w:r w:rsidRPr="002B2DE7">
        <w:t>novembre</w:t>
      </w:r>
      <w:r w:rsidR="00D94A1C" w:rsidRPr="002B2DE7">
        <w:t> </w:t>
      </w:r>
      <w:r w:rsidRPr="002B2DE7">
        <w:t>2023</w:t>
      </w:r>
      <w:r w:rsidR="004D4FB5" w:rsidRPr="002B2DE7">
        <w:t xml:space="preserve">. Il </w:t>
      </w:r>
      <w:r w:rsidR="00BC3B70" w:rsidRPr="002B2DE7">
        <w:t xml:space="preserve">s’agit d’une blessure personnelle. </w:t>
      </w:r>
      <w:r w:rsidR="004D4FB5" w:rsidRPr="002B2DE7">
        <w:t xml:space="preserve">La travailleuse est en arrêt de travail depuis ce temps. </w:t>
      </w:r>
    </w:p>
    <w:p w14:paraId="7F27A4E3" w14:textId="21CF158A" w:rsidR="00354183" w:rsidRPr="002B2DE7" w:rsidRDefault="00354183" w:rsidP="00354183">
      <w:pPr>
        <w:pStyle w:val="corpsdedcision"/>
      </w:pPr>
      <w:r w:rsidRPr="002B2DE7">
        <w:t xml:space="preserve">Le docteur Kornacki produit un deuxième rapport final le 22 mars 2024. Cette fois, il consolide la lésion le 22 mars 2024 avec atteinte permanente et limitations fonctionnelles. </w:t>
      </w:r>
    </w:p>
    <w:p w14:paraId="2EED9107" w14:textId="5CAF416C" w:rsidR="00354183" w:rsidRPr="002B2DE7" w:rsidRDefault="00354183" w:rsidP="00354183">
      <w:pPr>
        <w:pStyle w:val="corpsdedcision"/>
      </w:pPr>
      <w:r w:rsidRPr="002B2DE7">
        <w:t>À la suite de ce deuxième rapport final, l’agent d’indemnisation écrit au médecin</w:t>
      </w:r>
      <w:r w:rsidR="00625410" w:rsidRPr="002B2DE7">
        <w:noBreakHyphen/>
      </w:r>
      <w:r w:rsidRPr="002B2DE7">
        <w:t>conseil de la Commission comme il appert des notes évolutives du 17 avril 2024. Il précise que l’avis du Bureau d’évaluation médicale n’a pas encore été reçu quant aux points 1 à 3 et il lui demande s’il est possible de mandater un professionnel de la santé afin qu’il se prononce sur les points 4 et 5 de l’article 212</w:t>
      </w:r>
      <w:r w:rsidR="00625410" w:rsidRPr="002B2DE7">
        <w:t xml:space="preserve"> de la Loi</w:t>
      </w:r>
      <w:r w:rsidRPr="002B2DE7">
        <w:t>, soit sur l’atteinte permanente et les limitations fonctionnelles :</w:t>
      </w:r>
    </w:p>
    <w:p w14:paraId="6AE1770F" w14:textId="77777777" w:rsidR="00354183" w:rsidRPr="002B2DE7" w:rsidRDefault="00354183" w:rsidP="00354183">
      <w:pPr>
        <w:pStyle w:val="citation"/>
      </w:pPr>
      <w:r w:rsidRPr="002B2DE7">
        <w:t>[…]</w:t>
      </w:r>
    </w:p>
    <w:p w14:paraId="66A15928" w14:textId="77777777" w:rsidR="00354183" w:rsidRPr="002B2DE7" w:rsidRDefault="00354183" w:rsidP="00354183">
      <w:pPr>
        <w:pStyle w:val="citation"/>
      </w:pPr>
      <w:r w:rsidRPr="002B2DE7">
        <w:t>Considérant le dx accepté : une fracture du radius distal poignet droit</w:t>
      </w:r>
    </w:p>
    <w:p w14:paraId="56E64426" w14:textId="77777777" w:rsidR="00354183" w:rsidRPr="002B2DE7" w:rsidRDefault="00354183" w:rsidP="00354183">
      <w:pPr>
        <w:pStyle w:val="citation"/>
      </w:pPr>
      <w:r w:rsidRPr="002B2DE7">
        <w:t xml:space="preserve">Considérant que nous sommes à 29, 8 mois de l’événement; </w:t>
      </w:r>
    </w:p>
    <w:p w14:paraId="5AD13FDE" w14:textId="77777777" w:rsidR="00354183" w:rsidRPr="002B2DE7" w:rsidRDefault="00354183" w:rsidP="00354183">
      <w:pPr>
        <w:pStyle w:val="citation"/>
      </w:pPr>
      <w:r w:rsidRPr="002B2DE7">
        <w:t>Considérant que le RMF du 25 août 2023 qui consolide tous les diagnostics avec atteinte permanente et limitation fonctionnelle en date du 22 mars 2024;</w:t>
      </w:r>
    </w:p>
    <w:p w14:paraId="288C0E3A" w14:textId="77777777" w:rsidR="00354183" w:rsidRPr="002B2DE7" w:rsidRDefault="00354183" w:rsidP="00354183">
      <w:pPr>
        <w:pStyle w:val="citation"/>
      </w:pPr>
      <w:r w:rsidRPr="002B2DE7">
        <w:t>Considérant que le PSQAC ne va pas faire le REM</w:t>
      </w:r>
    </w:p>
    <w:p w14:paraId="200A9419" w14:textId="77777777" w:rsidR="00354183" w:rsidRPr="002B2DE7" w:rsidRDefault="00354183" w:rsidP="00354183">
      <w:pPr>
        <w:pStyle w:val="citation"/>
      </w:pPr>
      <w:r w:rsidRPr="002B2DE7">
        <w:t>Considérant qu’on a pas encore reçu le BEM 1 à 3;</w:t>
      </w:r>
    </w:p>
    <w:p w14:paraId="50E0526E" w14:textId="77777777" w:rsidR="00354183" w:rsidRPr="002B2DE7" w:rsidRDefault="00354183" w:rsidP="00354183">
      <w:pPr>
        <w:pStyle w:val="citation"/>
      </w:pPr>
    </w:p>
    <w:p w14:paraId="48C72D83" w14:textId="77777777" w:rsidR="00354183" w:rsidRPr="002B2DE7" w:rsidRDefault="00354183" w:rsidP="00354183">
      <w:pPr>
        <w:pStyle w:val="citation"/>
      </w:pPr>
      <w:r w:rsidRPr="002B2DE7">
        <w:t xml:space="preserve">Pouvez-vous s’il vous plaît, faire une demande de 204 points 4 et 5 pour les diagnostics acceptés? </w:t>
      </w:r>
    </w:p>
    <w:p w14:paraId="1C29D57B" w14:textId="77777777" w:rsidR="00354183" w:rsidRPr="002B2DE7" w:rsidRDefault="00354183" w:rsidP="00354183">
      <w:pPr>
        <w:pStyle w:val="citation"/>
      </w:pPr>
    </w:p>
    <w:p w14:paraId="0BEF8FD3" w14:textId="77777777" w:rsidR="00354183" w:rsidRPr="002B2DE7" w:rsidRDefault="00354183" w:rsidP="00354183">
      <w:pPr>
        <w:pStyle w:val="citation"/>
      </w:pPr>
    </w:p>
    <w:p w14:paraId="006D57B7" w14:textId="77777777" w:rsidR="00354183" w:rsidRPr="002B2DE7" w:rsidRDefault="00354183" w:rsidP="00354183">
      <w:pPr>
        <w:pStyle w:val="corpsdedcision"/>
      </w:pPr>
      <w:r w:rsidRPr="002B2DE7">
        <w:t xml:space="preserve">La docteure Ursule Gariépy, médecin-conseil de la Commission, répond ce qui suit : </w:t>
      </w:r>
    </w:p>
    <w:p w14:paraId="7DCAB495" w14:textId="77777777" w:rsidR="00354183" w:rsidRPr="002B2DE7" w:rsidRDefault="00354183" w:rsidP="00354183">
      <w:pPr>
        <w:pStyle w:val="citation"/>
      </w:pPr>
      <w:r w:rsidRPr="002B2DE7">
        <w:t xml:space="preserve">Suite au rapport final du 22 mars 2024 avec atteinte et limitations, ne pas fait pas le REM, ne réfère pas, demande 204 en ortho sur 4 et 5 pour dx accepté fracture du radius distal poignet droit. </w:t>
      </w:r>
    </w:p>
    <w:p w14:paraId="647EC5AB" w14:textId="77777777" w:rsidR="00354183" w:rsidRPr="002B2DE7" w:rsidRDefault="00354183" w:rsidP="00354183">
      <w:pPr>
        <w:pStyle w:val="citation"/>
      </w:pPr>
    </w:p>
    <w:p w14:paraId="6E721B24" w14:textId="77777777" w:rsidR="00354183" w:rsidRPr="002B2DE7" w:rsidRDefault="00354183" w:rsidP="00354183">
      <w:pPr>
        <w:pStyle w:val="citation"/>
      </w:pPr>
    </w:p>
    <w:p w14:paraId="2A88351B" w14:textId="40252F4A" w:rsidR="00354183" w:rsidRPr="002B2DE7" w:rsidRDefault="00354183" w:rsidP="00354183">
      <w:pPr>
        <w:pStyle w:val="corpsdedcision"/>
        <w:keepNext/>
        <w:keepLines/>
      </w:pPr>
      <w:r w:rsidRPr="002B2DE7">
        <w:t xml:space="preserve">C’est le docteur Morris Duhaime, chirurgien orthopédiste, qui est mandaté par la Commission. Il rédige une opinion médicale le 4 juin 2024. Il ne précise pas quelle date de consolidation il retient. Il conclut à un déficit anatomophysiologique de 3 % ainsi qu’à des limitations fonctionnelles, qui sont les mêmes que celles retenues par le docteur Dionne, à savoir : </w:t>
      </w:r>
    </w:p>
    <w:p w14:paraId="466A1E8E" w14:textId="77777777" w:rsidR="00354183" w:rsidRPr="002B2DE7" w:rsidRDefault="00354183" w:rsidP="00354183">
      <w:pPr>
        <w:pStyle w:val="citation"/>
        <w:numPr>
          <w:ilvl w:val="0"/>
          <w:numId w:val="13"/>
        </w:numPr>
      </w:pPr>
      <w:r w:rsidRPr="002B2DE7">
        <w:t>Éviter tout travail qui demande des mouvements complets de dorsiflexion et flexion palmaire du poignet droit</w:t>
      </w:r>
    </w:p>
    <w:p w14:paraId="7272008D" w14:textId="77777777" w:rsidR="004A6371" w:rsidRPr="002B2DE7" w:rsidRDefault="00354183" w:rsidP="004A6371">
      <w:pPr>
        <w:pStyle w:val="citation"/>
        <w:numPr>
          <w:ilvl w:val="0"/>
          <w:numId w:val="13"/>
        </w:numPr>
      </w:pPr>
      <w:r w:rsidRPr="002B2DE7">
        <w:t>Éviter tout mouvement couplé de flexion et déviation radiale et cubitale soutenues du poignet droit</w:t>
      </w:r>
    </w:p>
    <w:p w14:paraId="2F71FDDD" w14:textId="5C23F436" w:rsidR="004D4FB5" w:rsidRPr="002B2DE7" w:rsidRDefault="00354183" w:rsidP="004A6371">
      <w:pPr>
        <w:pStyle w:val="citation"/>
        <w:numPr>
          <w:ilvl w:val="0"/>
          <w:numId w:val="13"/>
        </w:numPr>
      </w:pPr>
      <w:r w:rsidRPr="002B2DE7">
        <w:t>Éviter la manipulation de charges de plus de 5 à 10 kg au niveau du membre supérieur droit.</w:t>
      </w:r>
    </w:p>
    <w:p w14:paraId="3408867C" w14:textId="77777777" w:rsidR="004A6371" w:rsidRDefault="004A6371" w:rsidP="004A6371">
      <w:pPr>
        <w:pStyle w:val="citation"/>
        <w:ind w:firstLine="360"/>
      </w:pPr>
    </w:p>
    <w:p w14:paraId="12D86907" w14:textId="77777777" w:rsidR="004A6371" w:rsidRPr="004A6371" w:rsidRDefault="004A6371" w:rsidP="004A6371">
      <w:pPr>
        <w:pStyle w:val="citation"/>
        <w:ind w:firstLine="360"/>
      </w:pPr>
    </w:p>
    <w:p w14:paraId="6943F90F" w14:textId="77777777" w:rsidR="00082A97" w:rsidRDefault="00082A97" w:rsidP="003505B7">
      <w:pPr>
        <w:pStyle w:val="Titre1"/>
      </w:pPr>
      <w:bookmarkStart w:id="11" w:name="supprimer_analyse"/>
      <w:r w:rsidRPr="00B51F99">
        <w:t>L</w:t>
      </w:r>
      <w:r>
        <w:t>’ANALYSE</w:t>
      </w:r>
    </w:p>
    <w:p w14:paraId="5D0F7585" w14:textId="0B350DFC" w:rsidR="002B2DE7" w:rsidRDefault="002B2DE7" w:rsidP="002B2DE7">
      <w:pPr>
        <w:pStyle w:val="corpsdedcision"/>
      </w:pPr>
      <w:r>
        <w:t xml:space="preserve">La question en litige est la suivante : </w:t>
      </w:r>
    </w:p>
    <w:p w14:paraId="351C55BF" w14:textId="77777777" w:rsidR="002B2DE7" w:rsidRDefault="002B2DE7" w:rsidP="002B2DE7">
      <w:pPr>
        <w:pStyle w:val="corpsdedcision"/>
        <w:numPr>
          <w:ilvl w:val="0"/>
          <w:numId w:val="12"/>
        </w:numPr>
      </w:pPr>
      <w:r>
        <w:t xml:space="preserve">En vertu du troisième alinéa de l’article 224.1 de la Loi, la Commission doit-elle désigner un professionnel de la santé dans le but d’obtenir un rapport dont l’opinion deviendra liante? </w:t>
      </w:r>
    </w:p>
    <w:p w14:paraId="593AE926" w14:textId="6A165C8E" w:rsidR="00D36827" w:rsidRPr="002B2DE7" w:rsidRDefault="002B2DE7" w:rsidP="002B2DE7">
      <w:pPr>
        <w:pStyle w:val="corpsdedcision"/>
      </w:pPr>
      <w:r>
        <w:t xml:space="preserve">La preuve prépondérante démontre que la Commission doit désigner un tel professionnel de la santé dans le but d’obtenir ce rapport. Étant donné l’incapacité du Bureau d’évaluation médicale de désigner un membre pour donner son opinion, et ce, dans un délai raisonnable, il y a donc lieu pour la Commission, de désigner un professionnel de la santé conformément au troisième alinéa de l’article 224.1 de la Loi. </w:t>
      </w:r>
    </w:p>
    <w:p w14:paraId="04D5B21D" w14:textId="5AF9A3A7" w:rsidR="00742628" w:rsidRDefault="00C209C6" w:rsidP="00742628">
      <w:pPr>
        <w:pStyle w:val="corpsdedcision"/>
        <w:rPr>
          <w:lang w:eastAsia="fr-FR"/>
        </w:rPr>
      </w:pPr>
      <w:r>
        <w:rPr>
          <w:lang w:eastAsia="fr-FR"/>
        </w:rPr>
        <w:t xml:space="preserve">La procédure d’évaluation médicale prévue dans la Loi comporte plusieurs étapes. </w:t>
      </w:r>
    </w:p>
    <w:p w14:paraId="3D05844C" w14:textId="14E7EC49" w:rsidR="00C209C6" w:rsidRDefault="00C209C6" w:rsidP="00742628">
      <w:pPr>
        <w:pStyle w:val="corpsdedcision"/>
        <w:rPr>
          <w:lang w:eastAsia="fr-FR"/>
        </w:rPr>
      </w:pPr>
      <w:r>
        <w:rPr>
          <w:lang w:eastAsia="fr-FR"/>
        </w:rPr>
        <w:t>Tout d’abord, le professionnel de la santé qui a charge d’un travailleur se prononce sur les cinq sujets de l‘article</w:t>
      </w:r>
      <w:r w:rsidR="00085AE6">
        <w:rPr>
          <w:lang w:eastAsia="fr-FR"/>
        </w:rPr>
        <w:t> </w:t>
      </w:r>
      <w:r>
        <w:rPr>
          <w:lang w:eastAsia="fr-FR"/>
        </w:rPr>
        <w:t xml:space="preserve">212 de la Loi, à savoir le ou les diagnostics de la lésion professionnelle, la date ou la période prévisible de la consolidation de cette lésion, la nature, nécessité, suffisance ou durée des soins et traitements et finalement l’existence et le pourcentage d’atteinte permanente à l’intégrité psychique ou physique du travailleur, de même que l’existence et l’évaluation des limitations fonctionnelles.  </w:t>
      </w:r>
    </w:p>
    <w:p w14:paraId="67A9CC7C" w14:textId="02CED871" w:rsidR="00C209C6" w:rsidRDefault="00C209C6" w:rsidP="00742628">
      <w:pPr>
        <w:pStyle w:val="corpsdedcision"/>
        <w:rPr>
          <w:lang w:eastAsia="fr-FR"/>
        </w:rPr>
      </w:pPr>
      <w:r>
        <w:rPr>
          <w:lang w:eastAsia="fr-FR"/>
        </w:rPr>
        <w:t xml:space="preserve">La Commission est liée par l’opinion du professionnel de la santé qui a charge d’un travailleur et doit rendre une décision en conséquence, sous réserve des situations énoncées à l’article 224.1 de la Loi. </w:t>
      </w:r>
    </w:p>
    <w:p w14:paraId="1A392B74" w14:textId="233FE128" w:rsidR="00C209C6" w:rsidRDefault="00C209C6" w:rsidP="00742628">
      <w:pPr>
        <w:pStyle w:val="corpsdedcision"/>
        <w:rPr>
          <w:lang w:eastAsia="fr-FR"/>
        </w:rPr>
      </w:pPr>
      <w:r>
        <w:rPr>
          <w:lang w:eastAsia="fr-FR"/>
        </w:rPr>
        <w:t xml:space="preserve">Ensuite, la procédure d’évaluation médicale prévoit la possibilité pour la Commission et l’employeur d’obtenir une seconde opinion d’un professionnel de la santé désigné, en vertu </w:t>
      </w:r>
      <w:r w:rsidR="006D5DCB">
        <w:rPr>
          <w:lang w:eastAsia="fr-FR"/>
        </w:rPr>
        <w:t xml:space="preserve">respectivement </w:t>
      </w:r>
      <w:r>
        <w:rPr>
          <w:lang w:eastAsia="fr-FR"/>
        </w:rPr>
        <w:t>des articles 204 et 209 de la Loi.</w:t>
      </w:r>
    </w:p>
    <w:p w14:paraId="0AECF5D5" w14:textId="5F60CDAA" w:rsidR="00C209C6" w:rsidRDefault="00C209C6" w:rsidP="00742628">
      <w:pPr>
        <w:pStyle w:val="corpsdedcision"/>
        <w:rPr>
          <w:lang w:eastAsia="fr-FR"/>
        </w:rPr>
      </w:pPr>
      <w:r>
        <w:rPr>
          <w:lang w:eastAsia="fr-FR"/>
        </w:rPr>
        <w:t xml:space="preserve">Cependant, </w:t>
      </w:r>
      <w:r w:rsidR="002E40A4">
        <w:rPr>
          <w:lang w:eastAsia="fr-FR"/>
        </w:rPr>
        <w:t xml:space="preserve">si </w:t>
      </w:r>
      <w:r>
        <w:rPr>
          <w:lang w:eastAsia="fr-FR"/>
        </w:rPr>
        <w:t xml:space="preserve">l’une de ces opinions infirme celle du professionnel de la santé qui a charge d’un travailleur et que ce professionnel de la santé qui a charge rejette ou est en désaccord avec l’opinion obtenue du professionnel de la santé désigné </w:t>
      </w:r>
      <w:r w:rsidR="00AE582A">
        <w:rPr>
          <w:lang w:eastAsia="fr-FR"/>
        </w:rPr>
        <w:t xml:space="preserve">par </w:t>
      </w:r>
      <w:r>
        <w:rPr>
          <w:lang w:eastAsia="fr-FR"/>
        </w:rPr>
        <w:t>la Commission</w:t>
      </w:r>
      <w:r w:rsidR="002E40A4">
        <w:rPr>
          <w:lang w:eastAsia="fr-FR"/>
        </w:rPr>
        <w:t xml:space="preserve">, </w:t>
      </w:r>
      <w:r w:rsidR="006D5DCB">
        <w:rPr>
          <w:lang w:eastAsia="fr-FR"/>
        </w:rPr>
        <w:t xml:space="preserve">cette dernière </w:t>
      </w:r>
      <w:r w:rsidR="002E40A4" w:rsidRPr="00085AE6">
        <w:rPr>
          <w:u w:val="single"/>
          <w:lang w:eastAsia="fr-FR"/>
        </w:rPr>
        <w:t>peut</w:t>
      </w:r>
      <w:r w:rsidR="002E40A4" w:rsidRPr="00151EB7">
        <w:rPr>
          <w:lang w:eastAsia="fr-FR"/>
        </w:rPr>
        <w:t xml:space="preserve"> </w:t>
      </w:r>
      <w:r w:rsidR="002E40A4">
        <w:rPr>
          <w:lang w:eastAsia="fr-FR"/>
        </w:rPr>
        <w:t xml:space="preserve">soumettre ces rapports au Bureau d’évaluation médicale en vertu des articles 205.1 et 206 de la Loi. Dans le cas où le professionnel de la santé qui a charge rejette ou est en désaccord avec l’opinion obtenue du professionnel de la santé désigné par l’employeur, la Commission </w:t>
      </w:r>
      <w:r w:rsidR="002E40A4" w:rsidRPr="00CE021E">
        <w:rPr>
          <w:u w:val="single"/>
          <w:lang w:eastAsia="fr-FR"/>
        </w:rPr>
        <w:t>soumet</w:t>
      </w:r>
      <w:r w:rsidR="002E40A4">
        <w:rPr>
          <w:lang w:eastAsia="fr-FR"/>
        </w:rPr>
        <w:t xml:space="preserve"> ces rapports au Bureau d’évaluation médicale en vertu de l’article 212.1 de la Loi. </w:t>
      </w:r>
    </w:p>
    <w:p w14:paraId="42525357" w14:textId="7D755747" w:rsidR="00965588" w:rsidRDefault="00965588" w:rsidP="00742628">
      <w:pPr>
        <w:pStyle w:val="corpsdedcision"/>
        <w:rPr>
          <w:lang w:eastAsia="fr-FR"/>
        </w:rPr>
      </w:pPr>
      <w:r>
        <w:rPr>
          <w:lang w:eastAsia="fr-FR"/>
        </w:rPr>
        <w:t>La Commission transmet sans délai au Bureau d’évaluation médicale</w:t>
      </w:r>
      <w:r w:rsidR="00D3553C">
        <w:rPr>
          <w:lang w:eastAsia="fr-FR"/>
        </w:rPr>
        <w:t>,</w:t>
      </w:r>
      <w:r>
        <w:rPr>
          <w:lang w:eastAsia="fr-FR"/>
        </w:rPr>
        <w:t xml:space="preserve"> et ce</w:t>
      </w:r>
      <w:r w:rsidR="00D3553C">
        <w:rPr>
          <w:lang w:eastAsia="fr-FR"/>
        </w:rPr>
        <w:t>,</w:t>
      </w:r>
      <w:r>
        <w:rPr>
          <w:lang w:eastAsia="fr-FR"/>
        </w:rPr>
        <w:t xml:space="preserve"> en vertu de l’article</w:t>
      </w:r>
      <w:r w:rsidR="00D3553C">
        <w:rPr>
          <w:lang w:eastAsia="fr-FR"/>
        </w:rPr>
        <w:t> </w:t>
      </w:r>
      <w:r>
        <w:rPr>
          <w:lang w:eastAsia="fr-FR"/>
        </w:rPr>
        <w:t xml:space="preserve">217 de la Loi, les contestations prévues aux articles 205.1, 206 et 212.1 ainsi que le dossier médical complet qu’elle possède sur la lésion professionnelle. </w:t>
      </w:r>
    </w:p>
    <w:p w14:paraId="6F03A025" w14:textId="5EB058C4" w:rsidR="00965588" w:rsidRPr="00BE4D0F" w:rsidRDefault="00965588" w:rsidP="00085AE6">
      <w:pPr>
        <w:pStyle w:val="corpsdedcision"/>
      </w:pPr>
      <w:r>
        <w:rPr>
          <w:lang w:eastAsia="fr-FR"/>
        </w:rPr>
        <w:t xml:space="preserve">Finalement, la Commission devient liée par l’avis du membre du Bureau d’évaluation médicale selon ce qu’énonce l’article 224.1 de la Loi. </w:t>
      </w:r>
    </w:p>
    <w:bookmarkEnd w:id="11"/>
    <w:p w14:paraId="65AE92F9" w14:textId="2F1A241E" w:rsidR="006C6DD5" w:rsidRDefault="00730469" w:rsidP="006C6DD5">
      <w:pPr>
        <w:pStyle w:val="corpsdedcision"/>
      </w:pPr>
      <w:r>
        <w:t>Les articles 222 et</w:t>
      </w:r>
      <w:r w:rsidR="006C6DD5">
        <w:t xml:space="preserve"> 224.1 de la Loi </w:t>
      </w:r>
      <w:r w:rsidR="00600484">
        <w:t xml:space="preserve">prévoient </w:t>
      </w:r>
      <w:r w:rsidR="006C6DD5">
        <w:t xml:space="preserve">ce qui suit : </w:t>
      </w:r>
    </w:p>
    <w:p w14:paraId="3A77F74F" w14:textId="4C85000B" w:rsidR="00600484" w:rsidRDefault="00600484" w:rsidP="00600484">
      <w:pPr>
        <w:pStyle w:val="citation"/>
      </w:pPr>
      <w:r>
        <w:t>222. Le membre du Bureau d’évaluation médicale rend son avis dans les 30 jours de la date à laquelle le dossier lui a été transmis et l’expé</w:t>
      </w:r>
      <w:r w:rsidR="00BB5B48">
        <w:t>die sans délai au ministre, avec copie à la Commission et aux parties.</w:t>
      </w:r>
    </w:p>
    <w:p w14:paraId="5C9DFC11" w14:textId="1A24FB01" w:rsidR="00BB5B48" w:rsidRDefault="00BB5B48" w:rsidP="00600484">
      <w:pPr>
        <w:pStyle w:val="citation"/>
      </w:pPr>
    </w:p>
    <w:p w14:paraId="720F5EA2" w14:textId="5F79D2FA" w:rsidR="00BB5B48" w:rsidRDefault="009C152E" w:rsidP="00600484">
      <w:pPr>
        <w:pStyle w:val="citation"/>
      </w:pPr>
      <w:r>
        <w:t>[…]</w:t>
      </w:r>
    </w:p>
    <w:p w14:paraId="516E893A" w14:textId="77777777" w:rsidR="00BB5B48" w:rsidRDefault="00BB5B48" w:rsidP="00600484">
      <w:pPr>
        <w:pStyle w:val="citation"/>
      </w:pPr>
    </w:p>
    <w:p w14:paraId="6A24E482" w14:textId="5C98D16C" w:rsidR="00BB5B48" w:rsidRDefault="00BB5B48" w:rsidP="00600484">
      <w:pPr>
        <w:pStyle w:val="citation"/>
      </w:pPr>
      <w:r>
        <w:t>224.1</w:t>
      </w:r>
      <w:r w:rsidR="009C152E">
        <w:t xml:space="preserve"> </w:t>
      </w:r>
      <w:r>
        <w:t>Lorsqu’un membre du Bureau d’évaluation médicale rend un avis en vertu de l’article 221 dans le délai prescrit à l’article 222, la Commission est liée par cet avis et rend une décision en conséquence.</w:t>
      </w:r>
    </w:p>
    <w:p w14:paraId="13462694" w14:textId="77777777" w:rsidR="00BB5B48" w:rsidRDefault="00BB5B48" w:rsidP="00600484">
      <w:pPr>
        <w:pStyle w:val="citation"/>
      </w:pPr>
    </w:p>
    <w:p w14:paraId="6DB387E1" w14:textId="2D9381F7" w:rsidR="00BB5B48" w:rsidRDefault="00BB5B48" w:rsidP="00600484">
      <w:pPr>
        <w:pStyle w:val="citation"/>
      </w:pPr>
      <w:r>
        <w:t>Lorsque le membre de ce Bureau ne rend pas son avis dans le délai prescrit à l’article 222, la Commission est liée par le rapport qu’elle a obtenu du professionnel de la santé et qu’elle a désigné, le cas échéant.</w:t>
      </w:r>
    </w:p>
    <w:p w14:paraId="5107259E" w14:textId="77777777" w:rsidR="00BB5B48" w:rsidRDefault="00BB5B48" w:rsidP="00600484">
      <w:pPr>
        <w:pStyle w:val="citation"/>
      </w:pPr>
    </w:p>
    <w:p w14:paraId="61D3BF08" w14:textId="351ED619" w:rsidR="00BB5B48" w:rsidRDefault="00BB5B48" w:rsidP="00600484">
      <w:pPr>
        <w:pStyle w:val="citation"/>
      </w:pPr>
      <w:r>
        <w:t>Si elle n’a pas déjà obtenu un tel rapport, la Commission peut demander au professionnel de la santé qu’elle désigne un rapport sur le sujet mentionné aux paragraphes 1</w:t>
      </w:r>
      <w:r w:rsidR="009C152E">
        <w:rPr>
          <w:rFonts w:cs="Arial"/>
        </w:rPr>
        <w:t>º</w:t>
      </w:r>
      <w:r>
        <w:t xml:space="preserve"> à 5</w:t>
      </w:r>
      <w:r w:rsidR="009C152E">
        <w:rPr>
          <w:rFonts w:cs="Arial"/>
        </w:rPr>
        <w:t>º</w:t>
      </w:r>
      <w:r>
        <w:t xml:space="preserve"> du premier alinéa de l’article 212 qui a fait l’objet de la contestation; elle est alors liée par le premier avis ou rapport qu’elle reçoit, du membre du Bureau d’évaluation médicale ou du professionnel de la santé qu’elle a désigné, et elle rend une décision en conséquence. </w:t>
      </w:r>
    </w:p>
    <w:p w14:paraId="785938B3" w14:textId="77777777" w:rsidR="00BB5B48" w:rsidRDefault="00BB5B48" w:rsidP="00600484">
      <w:pPr>
        <w:pStyle w:val="citation"/>
      </w:pPr>
    </w:p>
    <w:p w14:paraId="730C5AF3" w14:textId="3DC0CA64" w:rsidR="009C152E" w:rsidRDefault="00BB5B48" w:rsidP="00600484">
      <w:pPr>
        <w:pStyle w:val="citation"/>
      </w:pPr>
      <w:r>
        <w:t>La Commission verse au dossier du travailleur tout avis ou rapport qu’elle reçoit même s</w:t>
      </w:r>
      <w:r w:rsidR="00497B30">
        <w:t>’</w:t>
      </w:r>
      <w:r>
        <w:t>il ne la lie pas.</w:t>
      </w:r>
    </w:p>
    <w:p w14:paraId="705BDF63" w14:textId="5582B8A7" w:rsidR="00A2548B" w:rsidRDefault="00A2548B">
      <w:pPr>
        <w:pStyle w:val="citation"/>
      </w:pPr>
    </w:p>
    <w:p w14:paraId="19024F58" w14:textId="77777777" w:rsidR="00085AE6" w:rsidRDefault="00085AE6" w:rsidP="00085AE6">
      <w:pPr>
        <w:pStyle w:val="citation"/>
      </w:pPr>
    </w:p>
    <w:p w14:paraId="72B63BB4" w14:textId="124E5A9A" w:rsidR="00AA014D" w:rsidRDefault="00A2548B" w:rsidP="006C6DD5">
      <w:pPr>
        <w:pStyle w:val="corpsdedcision"/>
      </w:pPr>
      <w:r>
        <w:t xml:space="preserve">À l’audience, </w:t>
      </w:r>
      <w:r w:rsidR="00C668C8">
        <w:t xml:space="preserve">l’avocate de </w:t>
      </w:r>
      <w:r>
        <w:t>l’</w:t>
      </w:r>
      <w:r w:rsidR="00AA014D">
        <w:t xml:space="preserve">employeur </w:t>
      </w:r>
      <w:r w:rsidR="00054A5B">
        <w:t>soutient</w:t>
      </w:r>
      <w:r w:rsidR="00AA014D">
        <w:t xml:space="preserve"> </w:t>
      </w:r>
      <w:r w:rsidR="00C668C8">
        <w:t xml:space="preserve">que </w:t>
      </w:r>
      <w:r w:rsidR="00FB35CF">
        <w:t xml:space="preserve">ce dernier a appelé </w:t>
      </w:r>
      <w:r w:rsidR="00AA014D">
        <w:t xml:space="preserve">la Commission à plusieurs reprises pour savoir où en était rendue sa demande auprès d’un membre du Bureau d’évaluation médicale. </w:t>
      </w:r>
      <w:r w:rsidR="00FB35CF">
        <w:t xml:space="preserve">Elle </w:t>
      </w:r>
      <w:r w:rsidR="00AA014D">
        <w:t xml:space="preserve">attire l’attention du Tribunal sur </w:t>
      </w:r>
      <w:r w:rsidR="00497B30">
        <w:t>plusieurs notes</w:t>
      </w:r>
      <w:r w:rsidR="00AA014D">
        <w:t xml:space="preserve"> évolutives</w:t>
      </w:r>
      <w:r w:rsidR="00497B30">
        <w:t>, entre autres</w:t>
      </w:r>
      <w:r w:rsidR="009C152E">
        <w:t>,</w:t>
      </w:r>
      <w:r w:rsidR="00497B30">
        <w:t xml:space="preserve"> celles </w:t>
      </w:r>
      <w:r w:rsidR="00AA014D">
        <w:t>du 23</w:t>
      </w:r>
      <w:r w:rsidR="009C152E">
        <w:t> </w:t>
      </w:r>
      <w:r w:rsidR="00AA014D">
        <w:t>janvier</w:t>
      </w:r>
      <w:r w:rsidR="009C152E">
        <w:t> </w:t>
      </w:r>
      <w:r w:rsidR="00AA014D">
        <w:t>2023, du 6</w:t>
      </w:r>
      <w:r w:rsidR="009C152E">
        <w:t> </w:t>
      </w:r>
      <w:r w:rsidR="00AA014D">
        <w:t>décembre</w:t>
      </w:r>
      <w:r w:rsidR="009C152E">
        <w:t> </w:t>
      </w:r>
      <w:r w:rsidR="00AA014D">
        <w:t>2023 et du 14</w:t>
      </w:r>
      <w:r w:rsidR="009C152E">
        <w:t> </w:t>
      </w:r>
      <w:r w:rsidR="00AA014D">
        <w:t>décembre</w:t>
      </w:r>
      <w:r w:rsidR="009C152E">
        <w:t> </w:t>
      </w:r>
      <w:r w:rsidR="00AA014D">
        <w:t>2023</w:t>
      </w:r>
      <w:r w:rsidR="00497B30">
        <w:t> :</w:t>
      </w:r>
    </w:p>
    <w:p w14:paraId="7BCED0C4" w14:textId="6BD44DA8" w:rsidR="00AA014D" w:rsidRDefault="00AA014D" w:rsidP="00085AE6">
      <w:pPr>
        <w:pStyle w:val="corpsdedcision"/>
        <w:numPr>
          <w:ilvl w:val="0"/>
          <w:numId w:val="14"/>
        </w:numPr>
      </w:pPr>
      <w:r>
        <w:t>Les notes évolutives de la Commission du 23</w:t>
      </w:r>
      <w:r w:rsidR="009C152E">
        <w:t> </w:t>
      </w:r>
      <w:r>
        <w:t>janvier</w:t>
      </w:r>
      <w:r w:rsidR="009C152E">
        <w:t> </w:t>
      </w:r>
      <w:r>
        <w:t>2023 rapportent la teneur de la conversation entre l’employeur et la Commission. L’employeur « </w:t>
      </w:r>
      <w:r w:rsidRPr="00085AE6">
        <w:rPr>
          <w:rStyle w:val="Citationintgre"/>
        </w:rPr>
        <w:t>demande si sa demande de BE</w:t>
      </w:r>
      <w:r w:rsidR="00A2548B" w:rsidRPr="00085AE6">
        <w:rPr>
          <w:rStyle w:val="Citationintgre"/>
        </w:rPr>
        <w:t>M</w:t>
      </w:r>
      <w:r w:rsidRPr="00085AE6">
        <w:rPr>
          <w:rStyle w:val="Citationintgre"/>
        </w:rPr>
        <w:t xml:space="preserve"> </w:t>
      </w:r>
      <w:r w:rsidR="00C668C8" w:rsidRPr="00085AE6">
        <w:rPr>
          <w:rStyle w:val="Citationintgre"/>
        </w:rPr>
        <w:t>à</w:t>
      </w:r>
      <w:r w:rsidR="009C152E">
        <w:rPr>
          <w:rStyle w:val="Citationintgre"/>
        </w:rPr>
        <w:t xml:space="preserve"> </w:t>
      </w:r>
      <w:r w:rsidR="009C152E" w:rsidRPr="00085AE6">
        <w:rPr>
          <w:rStyle w:val="Citationintgre"/>
          <w:i w:val="0"/>
          <w:iCs/>
        </w:rPr>
        <w:t>[</w:t>
      </w:r>
      <w:r w:rsidR="009C152E">
        <w:rPr>
          <w:rStyle w:val="Citationintgre"/>
        </w:rPr>
        <w:t>sic</w:t>
      </w:r>
      <w:r w:rsidR="009C152E" w:rsidRPr="00085AE6">
        <w:rPr>
          <w:rStyle w:val="Citationintgre"/>
          <w:i w:val="0"/>
          <w:iCs/>
        </w:rPr>
        <w:t>]</w:t>
      </w:r>
      <w:r w:rsidRPr="00085AE6">
        <w:rPr>
          <w:rStyle w:val="Citationintgre"/>
        </w:rPr>
        <w:t xml:space="preserve"> été fait </w:t>
      </w:r>
      <w:r w:rsidR="009C152E" w:rsidRPr="003F15CC">
        <w:rPr>
          <w:rStyle w:val="Citationintgre"/>
          <w:i w:val="0"/>
          <w:iCs/>
        </w:rPr>
        <w:t>[</w:t>
      </w:r>
      <w:r w:rsidR="009C152E">
        <w:rPr>
          <w:rStyle w:val="Citationintgre"/>
        </w:rPr>
        <w:t>sic</w:t>
      </w:r>
      <w:r w:rsidR="009C152E" w:rsidRPr="003F15CC">
        <w:rPr>
          <w:rStyle w:val="Citationintgre"/>
          <w:i w:val="0"/>
          <w:iCs/>
        </w:rPr>
        <w:t>]</w:t>
      </w:r>
      <w:r w:rsidR="009C152E" w:rsidRPr="003F15CC">
        <w:rPr>
          <w:rStyle w:val="Citationintgre"/>
        </w:rPr>
        <w:t xml:space="preserve"> </w:t>
      </w:r>
      <w:r w:rsidRPr="00085AE6">
        <w:rPr>
          <w:rStyle w:val="Citationintgre"/>
        </w:rPr>
        <w:t>suite à sa demande déposée le 12 décembre 2022?</w:t>
      </w:r>
      <w:r>
        <w:t xml:space="preserve"> ». </w:t>
      </w:r>
      <w:r w:rsidR="00F1390B">
        <w:t xml:space="preserve">La </w:t>
      </w:r>
      <w:r>
        <w:t xml:space="preserve">Commission </w:t>
      </w:r>
      <w:r w:rsidR="00F1390B">
        <w:t>lui répond que la demande a été faite le 20</w:t>
      </w:r>
      <w:r w:rsidR="009C152E">
        <w:t> </w:t>
      </w:r>
      <w:r w:rsidR="00F1390B">
        <w:t>janvier</w:t>
      </w:r>
      <w:r w:rsidR="009C152E">
        <w:t> </w:t>
      </w:r>
      <w:r w:rsidR="00F1390B">
        <w:t>2023</w:t>
      </w:r>
      <w:r w:rsidR="0047567A">
        <w:t xml:space="preserve"> et ajoute</w:t>
      </w:r>
      <w:r w:rsidR="009C152E">
        <w:t> :</w:t>
      </w:r>
      <w:r w:rsidR="00085AE6">
        <w:t xml:space="preserve"> </w:t>
      </w:r>
      <w:r>
        <w:t>« </w:t>
      </w:r>
      <w:r w:rsidRPr="008B0B2A">
        <w:rPr>
          <w:rStyle w:val="Citationintgre"/>
        </w:rPr>
        <w:t>Le BEM sera très possiblement fait en plasti</w:t>
      </w:r>
      <w:r w:rsidR="009C152E">
        <w:rPr>
          <w:rStyle w:val="Citationintgre"/>
        </w:rPr>
        <w:t>e</w:t>
      </w:r>
      <w:r>
        <w:t> »</w:t>
      </w:r>
      <w:r w:rsidR="009C152E">
        <w:t>.</w:t>
      </w:r>
      <w:r>
        <w:t xml:space="preserve"> </w:t>
      </w:r>
      <w:r w:rsidR="00F1390B">
        <w:t xml:space="preserve">Il est </w:t>
      </w:r>
      <w:r w:rsidR="00C668C8">
        <w:t xml:space="preserve">même </w:t>
      </w:r>
      <w:r w:rsidR="00F1390B">
        <w:t xml:space="preserve">précisé dans ces notes que la travailleuse </w:t>
      </w:r>
      <w:r w:rsidR="00C668C8">
        <w:t xml:space="preserve">aura le temps de </w:t>
      </w:r>
      <w:r w:rsidR="00F1390B">
        <w:t xml:space="preserve">recevoir </w:t>
      </w:r>
      <w:r w:rsidR="00C668C8">
        <w:t xml:space="preserve">son </w:t>
      </w:r>
      <w:r w:rsidR="00F1390B">
        <w:t>infiltration au poignet</w:t>
      </w:r>
      <w:r w:rsidR="0047567A">
        <w:t xml:space="preserve"> </w:t>
      </w:r>
      <w:r w:rsidR="00C668C8">
        <w:t>qui lui avait été prescrite « </w:t>
      </w:r>
      <w:r w:rsidR="00C668C8" w:rsidRPr="008B0B2A">
        <w:rPr>
          <w:rStyle w:val="Citationintgre"/>
        </w:rPr>
        <w:t>considérant les délais</w:t>
      </w:r>
      <w:r w:rsidR="00C668C8">
        <w:t xml:space="preserve"> ». </w:t>
      </w:r>
      <w:r w:rsidR="006A5C90">
        <w:t>À la fin de ces notes évolutives, sous le titre « </w:t>
      </w:r>
      <w:r w:rsidR="006A5C90" w:rsidRPr="008B0B2A">
        <w:rPr>
          <w:rStyle w:val="Citationintgre"/>
        </w:rPr>
        <w:t>Analyse des enjeux et actions concrètes</w:t>
      </w:r>
      <w:r w:rsidR="006A5C90">
        <w:t> »</w:t>
      </w:r>
      <w:r w:rsidR="009C152E">
        <w:t>,</w:t>
      </w:r>
      <w:r w:rsidR="006A5C90">
        <w:t xml:space="preserve"> il est écrit « </w:t>
      </w:r>
      <w:r w:rsidR="006A5C90" w:rsidRPr="008B0B2A">
        <w:rPr>
          <w:rStyle w:val="Citationintgre"/>
        </w:rPr>
        <w:t>BEM demandé</w:t>
      </w:r>
      <w:r w:rsidR="006A5C90">
        <w:t xml:space="preserve"> ». </w:t>
      </w:r>
      <w:r>
        <w:t xml:space="preserve">Déjà là, le Tribunal constate que l’employeur suit bien son dossier et que la Commission, bien que la demande de </w:t>
      </w:r>
      <w:r w:rsidR="009C152E">
        <w:t>« </w:t>
      </w:r>
      <w:r w:rsidRPr="008B0B2A">
        <w:rPr>
          <w:rStyle w:val="Citationintgre"/>
        </w:rPr>
        <w:t>BEM</w:t>
      </w:r>
      <w:r w:rsidR="009C152E">
        <w:t> »</w:t>
      </w:r>
      <w:r>
        <w:t xml:space="preserve"> ait été faite </w:t>
      </w:r>
      <w:r w:rsidR="00A2548B">
        <w:t xml:space="preserve">par l’employeur </w:t>
      </w:r>
      <w:r>
        <w:t>le 12</w:t>
      </w:r>
      <w:r w:rsidR="009C152E">
        <w:t> </w:t>
      </w:r>
      <w:r>
        <w:t>décembre</w:t>
      </w:r>
      <w:r w:rsidR="009C152E">
        <w:t> </w:t>
      </w:r>
      <w:r>
        <w:t>2022</w:t>
      </w:r>
      <w:r w:rsidR="00215891">
        <w:t>,</w:t>
      </w:r>
      <w:r>
        <w:t xml:space="preserve"> n’avait toujours rien fait plus d’un mois plus tard quant à cette demande. </w:t>
      </w:r>
    </w:p>
    <w:p w14:paraId="4FE9A88E" w14:textId="442B484B" w:rsidR="006A5C90" w:rsidRDefault="006A5C90" w:rsidP="00085AE6">
      <w:pPr>
        <w:pStyle w:val="corpsdedcision"/>
        <w:numPr>
          <w:ilvl w:val="0"/>
          <w:numId w:val="14"/>
        </w:numPr>
      </w:pPr>
      <w:r>
        <w:t>Les notes évolutives du 14</w:t>
      </w:r>
      <w:r w:rsidR="008600C2">
        <w:t> </w:t>
      </w:r>
      <w:r>
        <w:t>février</w:t>
      </w:r>
      <w:r w:rsidR="008600C2">
        <w:t> </w:t>
      </w:r>
      <w:r>
        <w:t>2023 rapportent une conversation entre le conseiller en réadaptation de la Commission et l’agente d’indemnisation ayant eu lieu les 23 et 24</w:t>
      </w:r>
      <w:r w:rsidR="008600C2">
        <w:t> </w:t>
      </w:r>
      <w:r>
        <w:t>janvier</w:t>
      </w:r>
      <w:r w:rsidR="008600C2">
        <w:t> </w:t>
      </w:r>
      <w:r>
        <w:t>2023. Le conseiller en réadaptation dit à l’agente d’indemnisation en date du 23</w:t>
      </w:r>
      <w:r w:rsidR="008600C2">
        <w:t> </w:t>
      </w:r>
      <w:r>
        <w:t>janvier</w:t>
      </w:r>
      <w:r w:rsidR="008600C2">
        <w:t> </w:t>
      </w:r>
      <w:r>
        <w:t xml:space="preserve">2023 qu’elle pourra </w:t>
      </w:r>
      <w:r w:rsidR="008600C2">
        <w:t>« </w:t>
      </w:r>
      <w:r w:rsidRPr="008B0B2A">
        <w:rPr>
          <w:rStyle w:val="Citationintgre"/>
        </w:rPr>
        <w:t>finaliser la demande de BEM</w:t>
      </w:r>
      <w:r>
        <w:t> », ce à quoi l’agente d’indemnisation lui répond le lendemain par un « </w:t>
      </w:r>
      <w:r w:rsidRPr="008B0B2A">
        <w:rPr>
          <w:rStyle w:val="Citationintgre"/>
        </w:rPr>
        <w:t>merci</w:t>
      </w:r>
      <w:r>
        <w:t> ». Cette même journée du 24</w:t>
      </w:r>
      <w:r w:rsidR="008600C2">
        <w:t> </w:t>
      </w:r>
      <w:r>
        <w:t>janvier</w:t>
      </w:r>
      <w:r w:rsidR="008600C2">
        <w:t> </w:t>
      </w:r>
      <w:r>
        <w:t>2023, l’agente d’indemnisation dit au conseiller en réadaptation que</w:t>
      </w:r>
      <w:r w:rsidR="008600C2">
        <w:t xml:space="preserve"> « </w:t>
      </w:r>
      <w:r w:rsidRPr="008B0B2A">
        <w:rPr>
          <w:rStyle w:val="Citationintgre"/>
        </w:rPr>
        <w:t>l’employeur demande un retour d’appel pour savoir si son BEM est envoyé</w:t>
      </w:r>
      <w:r>
        <w:t xml:space="preserve"> ». </w:t>
      </w:r>
    </w:p>
    <w:p w14:paraId="4C05840C" w14:textId="0ACF5FBA" w:rsidR="006A5C90" w:rsidRDefault="006A5C90" w:rsidP="00085AE6">
      <w:pPr>
        <w:pStyle w:val="corpsdedcision"/>
        <w:numPr>
          <w:ilvl w:val="0"/>
          <w:numId w:val="14"/>
        </w:numPr>
      </w:pPr>
      <w:r>
        <w:t>Un peu plus loin dans ces mêmes notes évolutives du 14</w:t>
      </w:r>
      <w:r w:rsidR="002152C9">
        <w:t> </w:t>
      </w:r>
      <w:r>
        <w:t>février</w:t>
      </w:r>
      <w:r w:rsidR="002152C9">
        <w:t> </w:t>
      </w:r>
      <w:r>
        <w:t>2023, le conseiller en réadaptation écrit avoir informé l’employeur qu’il a fait le suivi sur « </w:t>
      </w:r>
      <w:r w:rsidRPr="008B0B2A">
        <w:rPr>
          <w:rStyle w:val="Citationintgre"/>
        </w:rPr>
        <w:t>sa demande de BEM</w:t>
      </w:r>
      <w:r w:rsidR="002152C9">
        <w:t> »</w:t>
      </w:r>
      <w:r>
        <w:t xml:space="preserve"> dans le dossier de la travailleuse. L’employeur lui répond ne rien avoir reçu et demande un appel pour savoir ce qu’il advient de sa demande. Le conseiller en réadaptation écrit ensuite « </w:t>
      </w:r>
      <w:r w:rsidRPr="008B0B2A">
        <w:rPr>
          <w:rStyle w:val="Citationintgre"/>
        </w:rPr>
        <w:t>Je l’informe que j’ai fais</w:t>
      </w:r>
      <w:r w:rsidR="002152C9">
        <w:rPr>
          <w:rStyle w:val="Citationintgre"/>
        </w:rPr>
        <w:t xml:space="preserve"> </w:t>
      </w:r>
      <w:r w:rsidR="002152C9" w:rsidRPr="008B0B2A">
        <w:rPr>
          <w:rStyle w:val="Citationintgre"/>
          <w:i w:val="0"/>
          <w:iCs/>
        </w:rPr>
        <w:t>[</w:t>
      </w:r>
      <w:r w:rsidR="002152C9">
        <w:rPr>
          <w:rStyle w:val="Citationintgre"/>
        </w:rPr>
        <w:t>sic</w:t>
      </w:r>
      <w:r w:rsidR="002152C9" w:rsidRPr="008B0B2A">
        <w:rPr>
          <w:rStyle w:val="Citationintgre"/>
          <w:i w:val="0"/>
          <w:iCs/>
        </w:rPr>
        <w:t>]</w:t>
      </w:r>
      <w:r w:rsidRPr="008B0B2A">
        <w:rPr>
          <w:rStyle w:val="Citationintgre"/>
        </w:rPr>
        <w:t xml:space="preserve"> la vérification et que sa demande est encore en traitement mais devrait l’être très bientôt. Je conviens avec E de lui faire un suivi dans les prochains jours</w:t>
      </w:r>
      <w:r>
        <w:t> »</w:t>
      </w:r>
      <w:r w:rsidR="002152C9">
        <w:t>.</w:t>
      </w:r>
      <w:r>
        <w:t xml:space="preserve"> </w:t>
      </w:r>
    </w:p>
    <w:p w14:paraId="2EEAB95A" w14:textId="1F04C2C3" w:rsidR="00322EA0" w:rsidRDefault="00AC7E08" w:rsidP="00085AE6">
      <w:pPr>
        <w:pStyle w:val="corpsdedcision"/>
        <w:numPr>
          <w:ilvl w:val="0"/>
          <w:numId w:val="14"/>
        </w:numPr>
      </w:pPr>
      <w:r>
        <w:t>Or</w:t>
      </w:r>
      <w:r w:rsidR="002152C9">
        <w:t>,</w:t>
      </w:r>
      <w:r>
        <w:t xml:space="preserve"> dans les faits, comme il appert du formulaire rempli par la Commission qui a été envoyé au Bureau d’évaluation médicale, la date de transmission à ce Bureau d’évaluation médicale, qui apparaît en bas à droite de ce document est le 16</w:t>
      </w:r>
      <w:r w:rsidR="002152C9">
        <w:t> </w:t>
      </w:r>
      <w:r>
        <w:t>février</w:t>
      </w:r>
      <w:r w:rsidR="002152C9">
        <w:t> </w:t>
      </w:r>
      <w:r>
        <w:t xml:space="preserve">2023. </w:t>
      </w:r>
      <w:r w:rsidR="00AB5A2B">
        <w:t>C’est d’ailleurs ce</w:t>
      </w:r>
      <w:r w:rsidR="00322EA0">
        <w:t xml:space="preserve">tte date </w:t>
      </w:r>
      <w:r w:rsidR="00AB5A2B">
        <w:t>qu’écrit la Commission dans sa décision du 6</w:t>
      </w:r>
      <w:r w:rsidR="002152C9">
        <w:t> </w:t>
      </w:r>
      <w:r w:rsidR="00AB5A2B">
        <w:t>août</w:t>
      </w:r>
      <w:r w:rsidR="002152C9">
        <w:t> </w:t>
      </w:r>
      <w:r w:rsidR="00AB5A2B">
        <w:t>2024.</w:t>
      </w:r>
      <w:r w:rsidR="00986DC7">
        <w:t xml:space="preserve"> </w:t>
      </w:r>
      <w:r w:rsidR="00322EA0">
        <w:t>Pourtant, l’article</w:t>
      </w:r>
      <w:r w:rsidR="002152C9">
        <w:t> </w:t>
      </w:r>
      <w:r w:rsidR="00322EA0">
        <w:t xml:space="preserve">217 de la Loi prévoit que la Commission doit transmettre </w:t>
      </w:r>
      <w:r w:rsidR="002152C9">
        <w:t>« </w:t>
      </w:r>
      <w:r w:rsidR="00322EA0" w:rsidRPr="008B0B2A">
        <w:rPr>
          <w:rStyle w:val="Citationintgre"/>
        </w:rPr>
        <w:t>sans délai</w:t>
      </w:r>
      <w:r w:rsidR="00322EA0">
        <w:t> » au Bureau d’évaluation médicale les contestations prévues aux articles</w:t>
      </w:r>
      <w:r w:rsidR="002152C9">
        <w:t> </w:t>
      </w:r>
      <w:r w:rsidR="00322EA0">
        <w:t>205.1, 206 et 212.1</w:t>
      </w:r>
      <w:r w:rsidR="002152C9">
        <w:t xml:space="preserve"> de la Loi</w:t>
      </w:r>
      <w:r w:rsidR="00322EA0">
        <w:t>.</w:t>
      </w:r>
    </w:p>
    <w:p w14:paraId="08CB497D" w14:textId="696A4826" w:rsidR="006C6DD5" w:rsidRDefault="00AA014D" w:rsidP="00085AE6">
      <w:pPr>
        <w:pStyle w:val="corpsdedcision"/>
        <w:numPr>
          <w:ilvl w:val="0"/>
          <w:numId w:val="14"/>
        </w:numPr>
      </w:pPr>
      <w:r>
        <w:t>Les notes évolutives du 6</w:t>
      </w:r>
      <w:r w:rsidR="002152C9">
        <w:t> </w:t>
      </w:r>
      <w:r>
        <w:t>décembre</w:t>
      </w:r>
      <w:r w:rsidR="002152C9">
        <w:t> </w:t>
      </w:r>
      <w:r>
        <w:t>2023 rapportent les propos d’un représentant de l’</w:t>
      </w:r>
      <w:r w:rsidR="002359CC">
        <w:t>employeur</w:t>
      </w:r>
      <w:r>
        <w:t xml:space="preserve"> qui affirme ne pas « </w:t>
      </w:r>
      <w:r w:rsidRPr="008B0B2A">
        <w:rPr>
          <w:rStyle w:val="Citationintgre"/>
        </w:rPr>
        <w:t>être content</w:t>
      </w:r>
      <w:r>
        <w:t> » et dire « </w:t>
      </w:r>
      <w:r w:rsidRPr="008B0B2A">
        <w:rPr>
          <w:rStyle w:val="Citationintgre"/>
        </w:rPr>
        <w:t>qu’ils sont en attente d’un BEM depuis l’an passé</w:t>
      </w:r>
      <w:r>
        <w:t xml:space="preserve"> ». </w:t>
      </w:r>
    </w:p>
    <w:p w14:paraId="52811402" w14:textId="758EB356" w:rsidR="002359CC" w:rsidRDefault="002359CC" w:rsidP="00085AE6">
      <w:pPr>
        <w:pStyle w:val="corpsdedcision"/>
        <w:numPr>
          <w:ilvl w:val="0"/>
          <w:numId w:val="14"/>
        </w:numPr>
      </w:pPr>
      <w:r>
        <w:t>Le 14</w:t>
      </w:r>
      <w:r w:rsidR="002152C9">
        <w:t> </w:t>
      </w:r>
      <w:r>
        <w:t>décembre</w:t>
      </w:r>
      <w:r w:rsidR="002152C9">
        <w:t> </w:t>
      </w:r>
      <w:r>
        <w:t>2023, l’employeur appelle encore la Commission pour savoir ce qu’il en est de sa demande auprès du membre du Bureau d’évaluation médicale et savoir également ce qu’il en est quant à sa demande déposé</w:t>
      </w:r>
      <w:r w:rsidR="00A2548B">
        <w:t>e le 29</w:t>
      </w:r>
      <w:r w:rsidR="002152C9">
        <w:t> </w:t>
      </w:r>
      <w:r w:rsidR="00A2548B">
        <w:t>novembre</w:t>
      </w:r>
      <w:r w:rsidR="002152C9">
        <w:t> </w:t>
      </w:r>
      <w:r w:rsidR="00A2548B">
        <w:t xml:space="preserve">2023 </w:t>
      </w:r>
      <w:r>
        <w:t xml:space="preserve">en vertu </w:t>
      </w:r>
      <w:r w:rsidR="008410AA">
        <w:t xml:space="preserve">du troisième alinéa </w:t>
      </w:r>
      <w:r>
        <w:t>de l’article</w:t>
      </w:r>
      <w:r w:rsidR="002152C9">
        <w:t> </w:t>
      </w:r>
      <w:r>
        <w:t xml:space="preserve">224.1 de la Loi. La Commission lui répond comme suit : </w:t>
      </w:r>
    </w:p>
    <w:p w14:paraId="2E789C3C" w14:textId="03EE462A" w:rsidR="002359CC" w:rsidRDefault="002152C9" w:rsidP="002359CC">
      <w:pPr>
        <w:pStyle w:val="citation"/>
      </w:pPr>
      <w:r>
        <w:t>[…]</w:t>
      </w:r>
    </w:p>
    <w:p w14:paraId="205D7A3E" w14:textId="59E2D9FF" w:rsidR="002359CC" w:rsidRDefault="002359CC" w:rsidP="002152C9">
      <w:pPr>
        <w:pStyle w:val="citation"/>
      </w:pPr>
      <w:r>
        <w:t>Nous avons pris en charge votre demande et nous devons faire des vérifications avant tout sur la situation au BEM et des délais, car l’application de l’article 224.1 dans ces circonstances est exceptionnelle (en lien avec les délai). Une fois les vérifications faites de notre côté, nous serons en mesure de vous répondre s’il y a matière à appliquer ou non l’article 224.1.</w:t>
      </w:r>
    </w:p>
    <w:p w14:paraId="13FA2423" w14:textId="77777777" w:rsidR="002152C9" w:rsidRDefault="002152C9" w:rsidP="002152C9">
      <w:pPr>
        <w:pStyle w:val="citation"/>
      </w:pPr>
    </w:p>
    <w:p w14:paraId="0889E298" w14:textId="145AE7CB" w:rsidR="002359CC" w:rsidRDefault="002359CC" w:rsidP="002152C9">
      <w:pPr>
        <w:pStyle w:val="citation"/>
      </w:pPr>
      <w:r>
        <w:t xml:space="preserve">Nous vous redonnons des nouvelles dès que possible et que nous avons un suivi avec le BEM. </w:t>
      </w:r>
    </w:p>
    <w:p w14:paraId="51A847B0" w14:textId="77777777" w:rsidR="002359CC" w:rsidRDefault="002359CC" w:rsidP="002359CC">
      <w:pPr>
        <w:pStyle w:val="citation"/>
      </w:pPr>
    </w:p>
    <w:p w14:paraId="150DD4AD" w14:textId="31C8AF35" w:rsidR="002152C9" w:rsidRPr="00E96FDE" w:rsidRDefault="002152C9" w:rsidP="002359CC">
      <w:pPr>
        <w:pStyle w:val="citation"/>
        <w:rPr>
          <w:sz w:val="24"/>
          <w:szCs w:val="24"/>
        </w:rPr>
      </w:pPr>
      <w:r w:rsidRPr="00E96FDE">
        <w:rPr>
          <w:sz w:val="24"/>
          <w:szCs w:val="24"/>
        </w:rPr>
        <w:t>[Transcription textuelle]</w:t>
      </w:r>
    </w:p>
    <w:p w14:paraId="0C19F200" w14:textId="77777777" w:rsidR="002152C9" w:rsidRDefault="002152C9" w:rsidP="002359CC">
      <w:pPr>
        <w:pStyle w:val="citation"/>
      </w:pPr>
    </w:p>
    <w:p w14:paraId="227A3BE3" w14:textId="77777777" w:rsidR="002152C9" w:rsidRDefault="002152C9" w:rsidP="002359CC">
      <w:pPr>
        <w:pStyle w:val="citation"/>
      </w:pPr>
    </w:p>
    <w:p w14:paraId="1FE37B84" w14:textId="1700E0B2" w:rsidR="002359CC" w:rsidRDefault="002359CC" w:rsidP="00E96FDE">
      <w:pPr>
        <w:pStyle w:val="corpsdedcision"/>
        <w:numPr>
          <w:ilvl w:val="0"/>
          <w:numId w:val="15"/>
        </w:numPr>
      </w:pPr>
      <w:r>
        <w:t>Après avoir effectué une vérification, la Commission redonne des nouvelles à l’employeur lui disant « </w:t>
      </w:r>
      <w:r w:rsidRPr="00E96FDE">
        <w:rPr>
          <w:rStyle w:val="Citationintgre"/>
        </w:rPr>
        <w:t>mettre tout en œuvre pour que le dossier soit traité rapidement</w:t>
      </w:r>
      <w:r>
        <w:t> » :</w:t>
      </w:r>
    </w:p>
    <w:p w14:paraId="2F4DA2C9" w14:textId="0AD00851" w:rsidR="002359CC" w:rsidRDefault="002359CC" w:rsidP="002359CC">
      <w:pPr>
        <w:pStyle w:val="citation"/>
      </w:pPr>
      <w:r>
        <w:t xml:space="preserve">Nous avons tenté de vérifier s’il était possible d’avoir un délai pour une date de convocation au BEM puisque nous sommes en attente depuis 10 mois. </w:t>
      </w:r>
    </w:p>
    <w:p w14:paraId="5D10A0F1" w14:textId="77777777" w:rsidR="002359CC" w:rsidRDefault="002359CC" w:rsidP="002359CC">
      <w:pPr>
        <w:pStyle w:val="citation"/>
      </w:pPr>
    </w:p>
    <w:p w14:paraId="7CDEF968" w14:textId="5D1C4F9C" w:rsidR="002359CC" w:rsidRDefault="002359CC" w:rsidP="002359CC">
      <w:pPr>
        <w:pStyle w:val="citation"/>
      </w:pPr>
      <w:r>
        <w:t>Le BEM nous mentionne</w:t>
      </w:r>
      <w:r w:rsidR="002152C9">
        <w:t>s</w:t>
      </w:r>
      <w:r>
        <w:t xml:space="preserve"> l’assignation à un membre varie en fonction de divers éléments, tels les diagnostics, la spécialité, la complexité et sa disponibilité. Considérant </w:t>
      </w:r>
      <w:r w:rsidR="00322EA0">
        <w:t>l</w:t>
      </w:r>
      <w:r>
        <w:t xml:space="preserve">a multitude de facteurs déterminant l’assignation, il nous est impossible de nous avancer sur le délai avant l’assignation de ce dossier. </w:t>
      </w:r>
    </w:p>
    <w:p w14:paraId="792F1C5C" w14:textId="77777777" w:rsidR="002359CC" w:rsidRDefault="002359CC" w:rsidP="002359CC">
      <w:pPr>
        <w:pStyle w:val="citation"/>
      </w:pPr>
    </w:p>
    <w:p w14:paraId="3DF1BD39" w14:textId="7FBDB8DC" w:rsidR="002359CC" w:rsidRDefault="002359CC" w:rsidP="002359CC">
      <w:pPr>
        <w:pStyle w:val="citation"/>
      </w:pPr>
      <w:r>
        <w:t>Nous mettons tout en œuvre pour que le dossier soit traité rapidement et nous tenons à vous informer que nous avons de plus en plus de médecins membres qui traient ce type de dossiers. Les délais pour une lésion aux membres supérieurs sont donc en diminution</w:t>
      </w:r>
      <w:r w:rsidR="00F70517">
        <w:t>.</w:t>
      </w:r>
      <w:r>
        <w:t xml:space="preserve"> </w:t>
      </w:r>
    </w:p>
    <w:p w14:paraId="231010ED" w14:textId="77777777" w:rsidR="00A2548B" w:rsidRDefault="00A2548B" w:rsidP="002359CC">
      <w:pPr>
        <w:pStyle w:val="citation"/>
      </w:pPr>
    </w:p>
    <w:p w14:paraId="43AB578D" w14:textId="013B3C1E" w:rsidR="00F70517" w:rsidRPr="00E96FDE" w:rsidRDefault="00F70517" w:rsidP="002359CC">
      <w:pPr>
        <w:pStyle w:val="citation"/>
        <w:rPr>
          <w:sz w:val="24"/>
          <w:szCs w:val="24"/>
        </w:rPr>
      </w:pPr>
      <w:r w:rsidRPr="00E96FDE">
        <w:rPr>
          <w:sz w:val="24"/>
          <w:szCs w:val="24"/>
        </w:rPr>
        <w:t>[Transcription textuelle]</w:t>
      </w:r>
    </w:p>
    <w:p w14:paraId="05E8B466" w14:textId="77777777" w:rsidR="00F70517" w:rsidRDefault="00F70517" w:rsidP="002359CC">
      <w:pPr>
        <w:pStyle w:val="citation"/>
      </w:pPr>
    </w:p>
    <w:p w14:paraId="05BC9035" w14:textId="77777777" w:rsidR="002152C9" w:rsidRDefault="002152C9" w:rsidP="002359CC">
      <w:pPr>
        <w:pStyle w:val="citation"/>
      </w:pPr>
    </w:p>
    <w:p w14:paraId="77B05EE6" w14:textId="091F1C01" w:rsidR="00A2548B" w:rsidRDefault="00A2548B" w:rsidP="00A2548B">
      <w:pPr>
        <w:pStyle w:val="corpsdedcision"/>
      </w:pPr>
      <w:r>
        <w:t xml:space="preserve">En sus de ses demandes auprès de la Commission, l’employeur tente de joindre le </w:t>
      </w:r>
      <w:r w:rsidR="00AB5A2B">
        <w:t xml:space="preserve">Bureau d’évaluation médicale </w:t>
      </w:r>
      <w:r>
        <w:t xml:space="preserve">directement afin de connaître le statut de </w:t>
      </w:r>
      <w:r w:rsidR="00C61C30">
        <w:t>s</w:t>
      </w:r>
      <w:r>
        <w:t>a demande d’évaluation médicale</w:t>
      </w:r>
      <w:r w:rsidR="00FC5769">
        <w:t>,</w:t>
      </w:r>
      <w:r>
        <w:t xml:space="preserve"> et ce</w:t>
      </w:r>
      <w:r w:rsidR="00FC5769">
        <w:t>,</w:t>
      </w:r>
      <w:r>
        <w:t xml:space="preserve"> en date des 20</w:t>
      </w:r>
      <w:r w:rsidR="00FC5769">
        <w:t> </w:t>
      </w:r>
      <w:r>
        <w:t>avril, 27</w:t>
      </w:r>
      <w:r w:rsidR="00FC5769">
        <w:t> </w:t>
      </w:r>
      <w:r>
        <w:t>avril, 4</w:t>
      </w:r>
      <w:r w:rsidR="00FC5769">
        <w:t> </w:t>
      </w:r>
      <w:r>
        <w:t>mai et 26</w:t>
      </w:r>
      <w:r w:rsidR="00FC5769">
        <w:t> </w:t>
      </w:r>
      <w:r>
        <w:t>juillet</w:t>
      </w:r>
      <w:r w:rsidR="00FC5769">
        <w:t> </w:t>
      </w:r>
      <w:r>
        <w:t>2023, sans succès. I</w:t>
      </w:r>
      <w:r w:rsidR="00BC3B70">
        <w:t>l</w:t>
      </w:r>
      <w:r>
        <w:t xml:space="preserve"> se fait dire, en date du 10</w:t>
      </w:r>
      <w:r w:rsidR="00FC5769">
        <w:t> </w:t>
      </w:r>
      <w:r>
        <w:t>août</w:t>
      </w:r>
      <w:r w:rsidR="00FC5769">
        <w:t> </w:t>
      </w:r>
      <w:r>
        <w:t xml:space="preserve">2023, que la demande pourrait rester en attente encore plusieurs mois en raison d’un manque de ressources. </w:t>
      </w:r>
    </w:p>
    <w:p w14:paraId="777A71FD" w14:textId="31AF68AC" w:rsidR="00AC7E08" w:rsidRDefault="0013146A" w:rsidP="00616B7D">
      <w:pPr>
        <w:pStyle w:val="corpsdedcision"/>
      </w:pPr>
      <w:r>
        <w:t xml:space="preserve">La situation </w:t>
      </w:r>
      <w:r w:rsidR="00267629">
        <w:t xml:space="preserve">dans ce dossier </w:t>
      </w:r>
      <w:r>
        <w:t xml:space="preserve">est donc la suivante : il n’y a pas eu de rapport d’évaluation médicale ni d’avis rendu par un membre du </w:t>
      </w:r>
      <w:r w:rsidR="00FC5769">
        <w:t>Bureau d’évaluation médicale</w:t>
      </w:r>
      <w:r>
        <w:t xml:space="preserve">, bien que l’employeur ait fait sa demande </w:t>
      </w:r>
      <w:r w:rsidR="006D5DCB">
        <w:t xml:space="preserve">à la Commission </w:t>
      </w:r>
      <w:r w:rsidR="00D6416E">
        <w:t>le 12</w:t>
      </w:r>
      <w:r w:rsidR="00FC5769">
        <w:t> </w:t>
      </w:r>
      <w:r>
        <w:t>décembre</w:t>
      </w:r>
      <w:r w:rsidR="00FC5769">
        <w:t> </w:t>
      </w:r>
      <w:r>
        <w:t xml:space="preserve">2022. </w:t>
      </w:r>
      <w:r w:rsidR="00D6416E">
        <w:t xml:space="preserve">Il est à noter que la Commission envoie la demande de l’employeur au </w:t>
      </w:r>
      <w:r w:rsidR="00FC5769">
        <w:t xml:space="preserve">Bureau d’évaluation médicale </w:t>
      </w:r>
      <w:r w:rsidR="00D6416E">
        <w:t xml:space="preserve">seulement le </w:t>
      </w:r>
      <w:r w:rsidR="00AC7E08">
        <w:t>16</w:t>
      </w:r>
      <w:r w:rsidR="00FC5769">
        <w:t> </w:t>
      </w:r>
      <w:r w:rsidR="00AC7E08">
        <w:t>février</w:t>
      </w:r>
      <w:r w:rsidR="00FC5769">
        <w:t> </w:t>
      </w:r>
      <w:r w:rsidR="00AC7E08">
        <w:t xml:space="preserve">2023, soit plus </w:t>
      </w:r>
      <w:r w:rsidR="00322EA0">
        <w:t xml:space="preserve">de </w:t>
      </w:r>
      <w:r w:rsidR="00AC7E08">
        <w:t xml:space="preserve">deux mois plus tard, comme il appert de la date de transmission indiquée sur le formulaire envoyé au Bureau d’évaluation médicale. </w:t>
      </w:r>
      <w:r w:rsidR="00B67C91">
        <w:t>La Commission n’agit pas avec célérité</w:t>
      </w:r>
      <w:r w:rsidR="00AB5A2B">
        <w:t xml:space="preserve"> dès le départ.</w:t>
      </w:r>
      <w:r w:rsidR="00B67C91">
        <w:t xml:space="preserve"> </w:t>
      </w:r>
      <w:r w:rsidR="00BE4265">
        <w:t xml:space="preserve">L’employeur quant à lui effectue de multiples démarches pour faire avancer son dossier, que ce soit auprès de la Commission directement ou auprès du Bureau d’évaluation médicale, démarches qui restent vaines. </w:t>
      </w:r>
    </w:p>
    <w:p w14:paraId="31F0D7E9" w14:textId="3179E114" w:rsidR="008410AA" w:rsidRDefault="008410AA" w:rsidP="00616B7D">
      <w:pPr>
        <w:pStyle w:val="corpsdedcision"/>
      </w:pPr>
      <w:r>
        <w:t xml:space="preserve">De plus, il y a confusion </w:t>
      </w:r>
      <w:r w:rsidR="00E25B8E">
        <w:t xml:space="preserve">de la part de la Commission </w:t>
      </w:r>
      <w:r>
        <w:t>quant à ce qui est demandé au Bureau d’évaluation médicale. L’employeur est clair depuis le début, il veut avoir une opinion sur les points 2 à 5 de l’article</w:t>
      </w:r>
      <w:r w:rsidR="00E96FDE">
        <w:t> </w:t>
      </w:r>
      <w:r>
        <w:t>212</w:t>
      </w:r>
      <w:r w:rsidR="00E96FDE">
        <w:t xml:space="preserve"> de la Loi</w:t>
      </w:r>
      <w:r>
        <w:t xml:space="preserve">. La Commission transmet la demande au </w:t>
      </w:r>
      <w:r w:rsidR="00E96FDE">
        <w:t xml:space="preserve">Bureau d’évaluation médicale </w:t>
      </w:r>
      <w:r>
        <w:t>en lui demandant de se prononcer seulement sur les points 2 et 3 de l’article</w:t>
      </w:r>
      <w:r w:rsidR="00E96FDE">
        <w:t> </w:t>
      </w:r>
      <w:r>
        <w:t>212</w:t>
      </w:r>
      <w:r w:rsidR="00E25B8E">
        <w:t xml:space="preserve"> </w:t>
      </w:r>
      <w:r w:rsidR="00E96FDE">
        <w:t xml:space="preserve">de la Loi </w:t>
      </w:r>
      <w:r w:rsidR="00E25B8E">
        <w:t xml:space="preserve">comme on le constate </w:t>
      </w:r>
      <w:r w:rsidR="006D5DCB">
        <w:t xml:space="preserve">du </w:t>
      </w:r>
      <w:r w:rsidR="00E25B8E">
        <w:t>formulaire d’envoi</w:t>
      </w:r>
      <w:r>
        <w:t>. Finalement, l’agent d’indemnisation de la Commission qui écrit au médecin</w:t>
      </w:r>
      <w:r w:rsidR="00E96FDE">
        <w:t>-</w:t>
      </w:r>
      <w:r>
        <w:t>conseil de la Commission</w:t>
      </w:r>
      <w:r w:rsidR="00E96FDE">
        <w:t>,</w:t>
      </w:r>
      <w:r>
        <w:t xml:space="preserve"> </w:t>
      </w:r>
      <w:r w:rsidR="00E25B8E">
        <w:t>en date du 17</w:t>
      </w:r>
      <w:r w:rsidR="00E96FDE">
        <w:t> </w:t>
      </w:r>
      <w:r w:rsidR="00E25B8E">
        <w:t>avril</w:t>
      </w:r>
      <w:r w:rsidR="00E96FDE">
        <w:t> </w:t>
      </w:r>
      <w:r w:rsidR="00E25B8E">
        <w:t>2024</w:t>
      </w:r>
      <w:r w:rsidR="00E96FDE">
        <w:t>,</w:t>
      </w:r>
      <w:r w:rsidR="00E25B8E">
        <w:t xml:space="preserve"> indique « </w:t>
      </w:r>
      <w:r w:rsidR="00E25B8E" w:rsidRPr="00E96FDE">
        <w:rPr>
          <w:rStyle w:val="Citationintgre"/>
        </w:rPr>
        <w:t xml:space="preserve">considérant qu’on a pas </w:t>
      </w:r>
      <w:r w:rsidR="00E96FDE" w:rsidRPr="00E96FDE">
        <w:rPr>
          <w:rStyle w:val="Citationintgre"/>
        </w:rPr>
        <w:t>encore</w:t>
      </w:r>
      <w:r w:rsidR="00E25B8E" w:rsidRPr="00E96FDE">
        <w:rPr>
          <w:rStyle w:val="Citationintgre"/>
        </w:rPr>
        <w:t xml:space="preserve"> reçu le BEM 1 à 3</w:t>
      </w:r>
      <w:r w:rsidR="00E25B8E">
        <w:t xml:space="preserve"> ». </w:t>
      </w:r>
      <w:r w:rsidR="00BE4265">
        <w:t>Or</w:t>
      </w:r>
      <w:r w:rsidR="00E96FDE">
        <w:t>,</w:t>
      </w:r>
      <w:r w:rsidR="00BE4265">
        <w:t xml:space="preserve"> il n’y </w:t>
      </w:r>
      <w:r w:rsidR="00E96FDE">
        <w:t xml:space="preserve">a </w:t>
      </w:r>
      <w:r w:rsidR="00BE4265">
        <w:t>jamais eu de litige sur le point 1 de l’article</w:t>
      </w:r>
      <w:r w:rsidR="00E96FDE">
        <w:t> </w:t>
      </w:r>
      <w:r w:rsidR="00BE4265">
        <w:t xml:space="preserve">212, soit le diagnostic, </w:t>
      </w:r>
      <w:r w:rsidR="006D5DCB">
        <w:t xml:space="preserve">puisqu’il </w:t>
      </w:r>
      <w:r w:rsidR="00BE4265">
        <w:t xml:space="preserve">est le même </w:t>
      </w:r>
      <w:r w:rsidR="006D5DCB">
        <w:t xml:space="preserve">à être </w:t>
      </w:r>
      <w:r w:rsidR="00BE4265">
        <w:t>retenu par tous les intervenants au dossier</w:t>
      </w:r>
      <w:r w:rsidR="006D5DCB">
        <w:t>,</w:t>
      </w:r>
      <w:r w:rsidR="00BE4265">
        <w:t xml:space="preserve"> à savoir une fracture du radius distal du poignet droit.</w:t>
      </w:r>
    </w:p>
    <w:p w14:paraId="7D1FCAF2" w14:textId="44AFD0D9" w:rsidR="00AA014D" w:rsidRDefault="00B67C91" w:rsidP="00E96FDE">
      <w:pPr>
        <w:pStyle w:val="corpsdedcision"/>
        <w:keepNext/>
        <w:keepLines/>
      </w:pPr>
      <w:r>
        <w:t xml:space="preserve">Surtout, le délai dans ce dossier est important : près de deux ans et demi </w:t>
      </w:r>
      <w:r w:rsidR="00FC5769">
        <w:t xml:space="preserve">se </w:t>
      </w:r>
      <w:r w:rsidR="00AB5A2B">
        <w:t>s</w:t>
      </w:r>
      <w:r>
        <w:t xml:space="preserve">ont </w:t>
      </w:r>
      <w:r w:rsidR="00FC5769">
        <w:t xml:space="preserve">écoulés </w:t>
      </w:r>
      <w:r w:rsidR="006956B9">
        <w:t>depuis</w:t>
      </w:r>
      <w:r w:rsidR="00144C34">
        <w:t xml:space="preserve"> </w:t>
      </w:r>
      <w:r w:rsidR="00267629">
        <w:t xml:space="preserve">la demande </w:t>
      </w:r>
      <w:r>
        <w:t xml:space="preserve">faite par </w:t>
      </w:r>
      <w:r w:rsidR="00267629">
        <w:t>l’employeur</w:t>
      </w:r>
      <w:r>
        <w:t xml:space="preserve"> à la Commission de transmettre son dossier au Bureau d’évaluation médicale</w:t>
      </w:r>
      <w:r w:rsidR="00267629">
        <w:t xml:space="preserve">. </w:t>
      </w:r>
      <w:r w:rsidR="0013146A">
        <w:t xml:space="preserve">À l’évidence, le dossier stagne alors qu’il devrait cheminer. </w:t>
      </w:r>
    </w:p>
    <w:p w14:paraId="3C7204A3" w14:textId="0F987591" w:rsidR="00FB35CF" w:rsidRDefault="006956B9" w:rsidP="00AC7E08">
      <w:pPr>
        <w:pStyle w:val="corpsdedcision"/>
      </w:pPr>
      <w:r>
        <w:t xml:space="preserve">Le Tribunal constate également qu’il y a eu deux rapports finaux remplis par le </w:t>
      </w:r>
      <w:r w:rsidR="009E3FCC">
        <w:t xml:space="preserve">professionnel de la santé qui a charge, le </w:t>
      </w:r>
      <w:r>
        <w:t>docteur Kornacki, l’un consolidant la lésion professionnelle au 25</w:t>
      </w:r>
      <w:r w:rsidR="00FC5769">
        <w:t> </w:t>
      </w:r>
      <w:r>
        <w:t>août</w:t>
      </w:r>
      <w:r w:rsidR="00FC5769">
        <w:t> </w:t>
      </w:r>
      <w:r>
        <w:t>2023 et l’autre la consolidant le 22</w:t>
      </w:r>
      <w:r w:rsidR="00FC5769">
        <w:t> </w:t>
      </w:r>
      <w:r>
        <w:t>mars</w:t>
      </w:r>
      <w:r w:rsidR="00FC5769">
        <w:t> </w:t>
      </w:r>
      <w:r>
        <w:t xml:space="preserve">2024. Le professionnel de la santé désigné </w:t>
      </w:r>
      <w:r w:rsidR="00FC5769">
        <w:t xml:space="preserve">de </w:t>
      </w:r>
      <w:r>
        <w:t>l’employeur</w:t>
      </w:r>
      <w:r w:rsidR="005A323D">
        <w:t>, le docteur Dionne,</w:t>
      </w:r>
      <w:r>
        <w:t xml:space="preserve"> consolide quant à lui la lésion professionnelle le 1</w:t>
      </w:r>
      <w:r w:rsidRPr="00AC7E08">
        <w:rPr>
          <w:vertAlign w:val="superscript"/>
        </w:rPr>
        <w:t>er</w:t>
      </w:r>
      <w:r w:rsidR="00FC5769">
        <w:rPr>
          <w:vertAlign w:val="superscript"/>
        </w:rPr>
        <w:t> </w:t>
      </w:r>
      <w:r>
        <w:t>décembre</w:t>
      </w:r>
      <w:r w:rsidR="00FC5769">
        <w:t> </w:t>
      </w:r>
      <w:r>
        <w:t>2022. Quant au docteur</w:t>
      </w:r>
      <w:r w:rsidR="00BE6CA9">
        <w:t xml:space="preserve"> </w:t>
      </w:r>
      <w:r w:rsidR="005A323D">
        <w:t>Duhaime</w:t>
      </w:r>
      <w:r>
        <w:t>, qui rédige une expertise à la demande de la Commission en juin 2024</w:t>
      </w:r>
      <w:r w:rsidR="009E3FCC">
        <w:t xml:space="preserve"> en vertu de l’article</w:t>
      </w:r>
      <w:r w:rsidR="00E96FDE">
        <w:t> </w:t>
      </w:r>
      <w:r w:rsidR="009E3FCC">
        <w:t>204 de la Loi</w:t>
      </w:r>
      <w:r>
        <w:t xml:space="preserve">, il est impossible de savoir quelle est la date de consolidation qu’il retient, puisqu’il ne le précise pas et ne fait que se </w:t>
      </w:r>
      <w:r w:rsidR="00B06B0D">
        <w:t xml:space="preserve">prononcer </w:t>
      </w:r>
      <w:r>
        <w:t xml:space="preserve">sur l’atteinte permanente et les limitations fonctionnelles. Or, la </w:t>
      </w:r>
      <w:r w:rsidR="009E3FCC">
        <w:t xml:space="preserve">détermination de la </w:t>
      </w:r>
      <w:r>
        <w:t>date de consolidation est très importante dans ce dossier</w:t>
      </w:r>
      <w:r w:rsidR="009E3FCC">
        <w:t>, comme le fait d’ailleurs remarquer l’avocate de l’employeur</w:t>
      </w:r>
      <w:r>
        <w:t xml:space="preserve">. </w:t>
      </w:r>
    </w:p>
    <w:p w14:paraId="54AD0D66" w14:textId="37173F20" w:rsidR="00E9650A" w:rsidRDefault="00E96FDE" w:rsidP="00AC7E08">
      <w:pPr>
        <w:pStyle w:val="corpsdedcision"/>
      </w:pPr>
      <w:r>
        <w:t>L</w:t>
      </w:r>
      <w:r w:rsidR="000B4A6C">
        <w:t>e Bureau d’évaluation médicale tarde à désigner un membre capable d’évaluer la travailleuse. Les notes évolutives du 23</w:t>
      </w:r>
      <w:r w:rsidR="00FC5769">
        <w:t> </w:t>
      </w:r>
      <w:r w:rsidR="000B4A6C">
        <w:t>janvier</w:t>
      </w:r>
      <w:r w:rsidR="00FC5769">
        <w:t> </w:t>
      </w:r>
      <w:r w:rsidR="000B4A6C">
        <w:t>2023 offrent une explication potentielle puisqu’il y est indiqué que « </w:t>
      </w:r>
      <w:r w:rsidR="000B4A6C" w:rsidRPr="00E96FDE">
        <w:rPr>
          <w:rStyle w:val="Citationintgre"/>
        </w:rPr>
        <w:t>le BEM sera très possiblement fait en plastie</w:t>
      </w:r>
      <w:r w:rsidR="000B4A6C">
        <w:t xml:space="preserve"> », qui est une spécialité beaucoup plus rare au Bureau d’évaluation médicale qu’en chirurgie orthopédique, par exemple. </w:t>
      </w:r>
    </w:p>
    <w:p w14:paraId="7BEA678D" w14:textId="545E9025" w:rsidR="006A295F" w:rsidRDefault="000B4A6C" w:rsidP="00AC7E08">
      <w:pPr>
        <w:pStyle w:val="corpsdedcision"/>
      </w:pPr>
      <w:r>
        <w:t>La Commission refuse d’utiliser le pouvoir que le troisième alinéa de l’article</w:t>
      </w:r>
      <w:r w:rsidR="00FC5769">
        <w:t> </w:t>
      </w:r>
      <w:r>
        <w:t>224.1</w:t>
      </w:r>
      <w:r w:rsidR="009D652F">
        <w:t xml:space="preserve"> de la Loi</w:t>
      </w:r>
      <w:r>
        <w:t xml:space="preserve"> lui octroie</w:t>
      </w:r>
      <w:r w:rsidR="00FC5769">
        <w:t>,</w:t>
      </w:r>
      <w:r>
        <w:t xml:space="preserve"> </w:t>
      </w:r>
      <w:r w:rsidR="00E9650A">
        <w:t>car selon elle la computation du délai de 30</w:t>
      </w:r>
      <w:r w:rsidR="00FC5769">
        <w:t> </w:t>
      </w:r>
      <w:r w:rsidR="00E9650A">
        <w:t xml:space="preserve">jours débute une fois que le Bureau d’évaluation </w:t>
      </w:r>
      <w:r w:rsidR="00FC5769">
        <w:t xml:space="preserve">médicale </w:t>
      </w:r>
      <w:r w:rsidR="00E9650A">
        <w:t xml:space="preserve">désigne le membre et qu’il lui transmet le dossier. </w:t>
      </w:r>
      <w:r w:rsidR="009E3FCC">
        <w:t xml:space="preserve">C’est donc dire qu’en l’instance, </w:t>
      </w:r>
      <w:r w:rsidR="00E9650A">
        <w:t>comme le membre n’est toujours pas désigné par le Bureau d’évaluation médicale, la computation du délai de 30</w:t>
      </w:r>
      <w:r w:rsidR="00FC5769">
        <w:t> </w:t>
      </w:r>
      <w:r w:rsidR="00E9650A">
        <w:t>jours ne peut pas débuter et par conséquent l’avis n’est pas rendu à l’extérieur de ce déla</w:t>
      </w:r>
      <w:r w:rsidR="00DF0E0D">
        <w:t>i</w:t>
      </w:r>
      <w:r w:rsidR="009E3FCC">
        <w:t>, toujours selon les conclusions auxquelles en arrive la Commission</w:t>
      </w:r>
      <w:r w:rsidR="00E9650A">
        <w:t xml:space="preserve">. </w:t>
      </w:r>
    </w:p>
    <w:p w14:paraId="13C6280A" w14:textId="4AB51FD5" w:rsidR="00E9650A" w:rsidRDefault="00E9650A" w:rsidP="00AC7E08">
      <w:pPr>
        <w:pStyle w:val="corpsdedcision"/>
      </w:pPr>
      <w:r>
        <w:t>Or</w:t>
      </w:r>
      <w:r w:rsidR="00FC5769">
        <w:t>,</w:t>
      </w:r>
      <w:r>
        <w:t xml:space="preserve"> en suivant ce raisonnement, le dossier s’éternise et ne connaît pas de dénouement. </w:t>
      </w:r>
      <w:r w:rsidR="00962DBD">
        <w:t>A</w:t>
      </w:r>
      <w:r>
        <w:t>ucune des parties n’a avantage à ce que rien ne soit fait. En désignant un professionnel de la santé pour qu’il produise un rapport sur</w:t>
      </w:r>
      <w:r w:rsidR="00BE4265">
        <w:t xml:space="preserve"> les</w:t>
      </w:r>
      <w:r>
        <w:t xml:space="preserve"> sujets </w:t>
      </w:r>
      <w:r w:rsidR="00BE4265">
        <w:t xml:space="preserve">2 à 5 </w:t>
      </w:r>
      <w:r>
        <w:t>mentionnés à l‘article</w:t>
      </w:r>
      <w:r w:rsidR="00FC5769">
        <w:t> </w:t>
      </w:r>
      <w:r>
        <w:t xml:space="preserve">212 de la Loi, la Commission respecte la Loi. Comme indiqué dans l’affaire </w:t>
      </w:r>
      <w:r w:rsidRPr="00E9650A">
        <w:rPr>
          <w:i/>
        </w:rPr>
        <w:t>Paccar</w:t>
      </w:r>
      <w:r w:rsidR="00FC5769">
        <w:rPr>
          <w:i/>
        </w:rPr>
        <w:t xml:space="preserve"> Canada (usine de Ste-Thérèse)</w:t>
      </w:r>
      <w:r w:rsidRPr="00E9650A">
        <w:rPr>
          <w:i/>
        </w:rPr>
        <w:t xml:space="preserve"> </w:t>
      </w:r>
      <w:r w:rsidRPr="00DF0E0D">
        <w:rPr>
          <w:iCs/>
        </w:rPr>
        <w:t xml:space="preserve">et </w:t>
      </w:r>
      <w:r>
        <w:rPr>
          <w:i/>
        </w:rPr>
        <w:t>Leblanc</w:t>
      </w:r>
      <w:r>
        <w:rPr>
          <w:rStyle w:val="Appelnotedebasdep"/>
          <w:i/>
        </w:rPr>
        <w:footnoteReference w:id="2"/>
      </w:r>
      <w:r>
        <w:rPr>
          <w:i/>
        </w:rPr>
        <w:t xml:space="preserve">, </w:t>
      </w:r>
      <w:r>
        <w:rPr>
          <w:iCs/>
        </w:rPr>
        <w:t xml:space="preserve">cette façon de faire ne brime pas les droits d’un travailleur, puisqu’il a toujours le loisir de contester la décision de la Commission qui sera rendue en conséquence. </w:t>
      </w:r>
      <w:r w:rsidR="009E3FCC">
        <w:rPr>
          <w:iCs/>
        </w:rPr>
        <w:t>De plus, c</w:t>
      </w:r>
      <w:r>
        <w:rPr>
          <w:iCs/>
        </w:rPr>
        <w:t xml:space="preserve">omme indiqué dans la décision </w:t>
      </w:r>
      <w:r w:rsidRPr="00A53E49">
        <w:rPr>
          <w:i/>
        </w:rPr>
        <w:t xml:space="preserve">Moreau </w:t>
      </w:r>
      <w:r>
        <w:rPr>
          <w:iCs/>
        </w:rPr>
        <w:t xml:space="preserve">et </w:t>
      </w:r>
      <w:r w:rsidRPr="00A53E49">
        <w:rPr>
          <w:i/>
          <w:iCs/>
        </w:rPr>
        <w:t xml:space="preserve">Centre </w:t>
      </w:r>
      <w:r w:rsidR="00A53E49" w:rsidRPr="00A53E49">
        <w:rPr>
          <w:i/>
          <w:iCs/>
        </w:rPr>
        <w:t>Canin</w:t>
      </w:r>
      <w:r w:rsidRPr="00A53E49">
        <w:rPr>
          <w:i/>
          <w:iCs/>
        </w:rPr>
        <w:t xml:space="preserve"> de Montréal inc.</w:t>
      </w:r>
      <w:r>
        <w:rPr>
          <w:rStyle w:val="Appelnotedebasdep"/>
          <w:iCs/>
        </w:rPr>
        <w:footnoteReference w:id="3"/>
      </w:r>
      <w:r w:rsidR="00D653AD">
        <w:rPr>
          <w:i/>
          <w:iCs/>
        </w:rPr>
        <w:t>,</w:t>
      </w:r>
      <w:r w:rsidR="00A53E49">
        <w:rPr>
          <w:i/>
          <w:iCs/>
        </w:rPr>
        <w:t xml:space="preserve"> </w:t>
      </w:r>
      <w:r w:rsidR="00A53E49">
        <w:t xml:space="preserve">cette solution n’est pas parfaite, mais au moins les droits des parties sont ainsi préservés et elle permet au dossier de cheminer. Il s’agit d’un résultat conforme à l’intention qu’avait le législateur en adoptant </w:t>
      </w:r>
      <w:r w:rsidR="00962DBD">
        <w:t>les</w:t>
      </w:r>
      <w:r w:rsidR="00A53E49">
        <w:t xml:space="preserve"> dispositions du chapitre VI de la Loi. </w:t>
      </w:r>
    </w:p>
    <w:p w14:paraId="1C0CB474" w14:textId="1D162795" w:rsidR="0088232B" w:rsidRDefault="009E3FCC" w:rsidP="00AC7E08">
      <w:pPr>
        <w:pStyle w:val="corpsdedcision"/>
      </w:pPr>
      <w:r>
        <w:t>Également,</w:t>
      </w:r>
      <w:r w:rsidR="0088232B">
        <w:t xml:space="preserve"> comme mentionné dans une autre affaire, soit </w:t>
      </w:r>
      <w:r w:rsidR="0088232B" w:rsidRPr="0088232B">
        <w:rPr>
          <w:i/>
        </w:rPr>
        <w:t>St-Hilaire</w:t>
      </w:r>
      <w:r w:rsidR="0088232B">
        <w:t xml:space="preserve"> et </w:t>
      </w:r>
      <w:r w:rsidR="0088232B" w:rsidRPr="0088232B">
        <w:rPr>
          <w:i/>
        </w:rPr>
        <w:t>Mondelez Canada inc</w:t>
      </w:r>
      <w:r w:rsidR="00FC5769">
        <w:rPr>
          <w:rStyle w:val="Appelnotedebasdep"/>
        </w:rPr>
        <w:footnoteReference w:id="4"/>
      </w:r>
      <w:r w:rsidR="0088232B">
        <w:t>, le grand souci d’efficacité et de célérité du législateur transparaît des articles de la Loi traitant de la procédure d’évaluation médicale. Il y est également énoncé que le législateur n’a pas prévu que le Bureau d’évaluation médicale ne disposerait pas de suffisamment de ressources dans certaines spécialités qui le composent, pou</w:t>
      </w:r>
      <w:r w:rsidR="00962DBD">
        <w:t>r</w:t>
      </w:r>
      <w:r w:rsidR="0088232B">
        <w:t xml:space="preserve"> répondre à la demande. </w:t>
      </w:r>
    </w:p>
    <w:p w14:paraId="4F45AC76" w14:textId="77339598" w:rsidR="0088232B" w:rsidRDefault="0088232B" w:rsidP="00AC7E08">
      <w:pPr>
        <w:pStyle w:val="corpsdedcision"/>
      </w:pPr>
      <w:r>
        <w:t xml:space="preserve">Le Tribunal souscrit aux propos énoncés dans l’affaire </w:t>
      </w:r>
      <w:r w:rsidRPr="00DF0E0D">
        <w:rPr>
          <w:i/>
          <w:iCs/>
        </w:rPr>
        <w:t>Paccar</w:t>
      </w:r>
      <w:r w:rsidR="00540BE0">
        <w:t xml:space="preserve"> </w:t>
      </w:r>
      <w:r w:rsidR="00540BE0" w:rsidRPr="00DF0E0D">
        <w:rPr>
          <w:i/>
          <w:iCs/>
        </w:rPr>
        <w:t>Canada (usine de Ste-Thérèse)</w:t>
      </w:r>
      <w:r>
        <w:rPr>
          <w:rStyle w:val="Appelnotedebasdep"/>
        </w:rPr>
        <w:footnoteReference w:id="5"/>
      </w:r>
      <w:r w:rsidR="001F2F3E">
        <w:t xml:space="preserve"> dans laquelle</w:t>
      </w:r>
      <w:r w:rsidR="009D652F">
        <w:t xml:space="preserve"> le troisième alinéa</w:t>
      </w:r>
      <w:r w:rsidR="009E3FCC">
        <w:t xml:space="preserve"> de </w:t>
      </w:r>
      <w:r w:rsidR="001F2F3E">
        <w:t xml:space="preserve">l’article 224.1 </w:t>
      </w:r>
      <w:r w:rsidR="009D652F">
        <w:t xml:space="preserve">de la Loi </w:t>
      </w:r>
      <w:r w:rsidR="001F2F3E">
        <w:t>a</w:t>
      </w:r>
      <w:r w:rsidR="009E3FCC">
        <w:t>vait</w:t>
      </w:r>
      <w:r w:rsidR="001F2F3E">
        <w:t xml:space="preserve"> trouvé application, étant donné l’impossibilité </w:t>
      </w:r>
      <w:r w:rsidR="00962DBD">
        <w:t xml:space="preserve">dans cette affaire </w:t>
      </w:r>
      <w:r w:rsidR="001F2F3E">
        <w:t>de désigner un psychiatre</w:t>
      </w:r>
      <w:r w:rsidR="00540BE0">
        <w:t>,</w:t>
      </w:r>
      <w:r w:rsidR="001F2F3E">
        <w:t xml:space="preserve"> et ce, dans un délai raisonnable</w:t>
      </w:r>
      <w:r w:rsidR="00DF0E0D">
        <w:t> :</w:t>
      </w:r>
    </w:p>
    <w:p w14:paraId="3EFE5836" w14:textId="577E4213" w:rsidR="0088232B" w:rsidRDefault="00540BE0" w:rsidP="0088232B">
      <w:pPr>
        <w:pStyle w:val="citation"/>
      </w:pPr>
      <w:r>
        <w:t>[</w:t>
      </w:r>
      <w:r w:rsidR="0088232B">
        <w:t>37</w:t>
      </w:r>
      <w:r>
        <w:t>]</w:t>
      </w:r>
      <w:r w:rsidR="0088232B">
        <w:t xml:space="preserve"> Ainsi, considérant l’objectif de la Loi, le libellé</w:t>
      </w:r>
      <w:r w:rsidR="001F2F3E">
        <w:t xml:space="preserve"> du</w:t>
      </w:r>
      <w:r w:rsidR="0088232B">
        <w:t xml:space="preserve"> chapitre VI de la Loi, la nécessité que la procédure d’évaluation médical</w:t>
      </w:r>
      <w:r w:rsidR="001F2F3E">
        <w:t>e</w:t>
      </w:r>
      <w:r w:rsidR="0088232B">
        <w:t xml:space="preserve"> s’</w:t>
      </w:r>
      <w:r w:rsidR="001F2F3E">
        <w:t>effectue</w:t>
      </w:r>
      <w:r w:rsidR="0088232B">
        <w:t xml:space="preserve"> avec </w:t>
      </w:r>
      <w:r w:rsidR="001F2F3E">
        <w:t>célérité</w:t>
      </w:r>
      <w:r w:rsidR="0088232B">
        <w:t xml:space="preserve"> et efficacité et enfin, étant donné le contexte actuel où le Bureau d’</w:t>
      </w:r>
      <w:r w:rsidR="001F2F3E">
        <w:t>évaluation</w:t>
      </w:r>
      <w:r w:rsidR="0088232B">
        <w:t xml:space="preserve"> médica</w:t>
      </w:r>
      <w:r w:rsidR="001F2F3E">
        <w:t>le</w:t>
      </w:r>
      <w:r w:rsidR="0088232B">
        <w:t xml:space="preserve"> </w:t>
      </w:r>
      <w:r w:rsidR="001F2F3E">
        <w:t xml:space="preserve">n’est </w:t>
      </w:r>
      <w:r w:rsidR="0088232B">
        <w:t xml:space="preserve"> plus en mesure de </w:t>
      </w:r>
      <w:r w:rsidR="001F2F3E">
        <w:t xml:space="preserve">désigner, </w:t>
      </w:r>
      <w:r w:rsidR="0088232B">
        <w:t xml:space="preserve">parmi ses membres, un psychiatre, et ce, dans un délai raisonnable, le </w:t>
      </w:r>
      <w:r w:rsidR="001F2F3E">
        <w:t>silence</w:t>
      </w:r>
      <w:r w:rsidR="0088232B">
        <w:t xml:space="preserve"> de la Loi ainsi que son application littérale </w:t>
      </w:r>
      <w:r w:rsidR="001F2F3E">
        <w:t>génèrent</w:t>
      </w:r>
      <w:r w:rsidR="0088232B">
        <w:t xml:space="preserve"> un r</w:t>
      </w:r>
      <w:r w:rsidR="001F2F3E">
        <w:t xml:space="preserve">ésultat incohérent, à savoir : la procédure d’évaluation médicale ne peut pas aboutir. Incontestablement, le législateur n’a pas voulu un tel résultat. </w:t>
      </w:r>
    </w:p>
    <w:p w14:paraId="6391DABE" w14:textId="77777777" w:rsidR="00745A8C" w:rsidRDefault="00745A8C" w:rsidP="0088232B">
      <w:pPr>
        <w:pStyle w:val="citation"/>
      </w:pPr>
    </w:p>
    <w:p w14:paraId="1E1E2C6E" w14:textId="77777777" w:rsidR="00DF0E0D" w:rsidRDefault="00DF0E0D" w:rsidP="0088232B">
      <w:pPr>
        <w:pStyle w:val="citation"/>
      </w:pPr>
    </w:p>
    <w:p w14:paraId="7EDD6283" w14:textId="5ADDC6CC" w:rsidR="00745A8C" w:rsidRDefault="00745A8C" w:rsidP="00DF0E0D">
      <w:pPr>
        <w:pStyle w:val="corpsdedcision"/>
      </w:pPr>
      <w:r>
        <w:t>Considérant tous ces éléments, la Commission doit utiliser le pouvoir que lui octroie le troisième alinéa de l’article</w:t>
      </w:r>
      <w:r w:rsidR="00DF0E0D">
        <w:t> </w:t>
      </w:r>
      <w:r>
        <w:t xml:space="preserve">224.1 </w:t>
      </w:r>
      <w:r w:rsidR="00DF0E0D">
        <w:t xml:space="preserve">de la Loi </w:t>
      </w:r>
      <w:r>
        <w:t xml:space="preserve">et désigner dans ce dossier un professionnel de la santé qui rédigera un rapport sur les sujets mentionnés aux paragraphes 2 à 5 de l’article 212, sujets sur lesquels l’employeur requérait une opinion du Bureau d’évaluation médicale. </w:t>
      </w:r>
    </w:p>
    <w:p w14:paraId="49A3DA96" w14:textId="662DABF5" w:rsidR="001A29B3" w:rsidRDefault="000E4F7E" w:rsidP="00557331">
      <w:pPr>
        <w:pStyle w:val="corpsdedcision"/>
      </w:pPr>
      <w:r>
        <w:t>En terminant, l’avocate de l’employeur sugg</w:t>
      </w:r>
      <w:r w:rsidR="00F113BA">
        <w:t xml:space="preserve">ère </w:t>
      </w:r>
      <w:r>
        <w:t>une autre avenue possible</w:t>
      </w:r>
      <w:r w:rsidR="00745A8C">
        <w:t xml:space="preserve">. Selon sa suggestion, </w:t>
      </w:r>
      <w:r>
        <w:t>l’expertise faite à la demande de la Commission par le docteur Duhaime en juin</w:t>
      </w:r>
      <w:r w:rsidR="00540BE0">
        <w:t> </w:t>
      </w:r>
      <w:r>
        <w:t>2024 qui se prononçait sur l’atteint</w:t>
      </w:r>
      <w:r w:rsidR="00962DBD">
        <w:t>e</w:t>
      </w:r>
      <w:r>
        <w:t xml:space="preserve"> permanente et les limitations fonctionnelles</w:t>
      </w:r>
      <w:r w:rsidR="00745A8C">
        <w:t xml:space="preserve"> pourrait être utilisée pour ensuite</w:t>
      </w:r>
      <w:r>
        <w:t xml:space="preserve"> demander à la Commission de rendre une décision à ce sujet</w:t>
      </w:r>
      <w:r w:rsidR="00745A8C">
        <w:t xml:space="preserve">. Il faudrait </w:t>
      </w:r>
      <w:r w:rsidR="00B06B0D">
        <w:t xml:space="preserve">en revanche </w:t>
      </w:r>
      <w:r>
        <w:t>que la Commission demande à un autre professionnel de la santé de se prononcer sur la date de consolidation</w:t>
      </w:r>
      <w:r w:rsidR="00A2368E">
        <w:t>,</w:t>
      </w:r>
      <w:r w:rsidR="00CE021E">
        <w:t xml:space="preserve"> </w:t>
      </w:r>
      <w:r w:rsidR="00B06B0D">
        <w:t xml:space="preserve">de même que sur </w:t>
      </w:r>
      <w:r>
        <w:t xml:space="preserve">la nature et </w:t>
      </w:r>
      <w:r w:rsidR="0087434A">
        <w:t xml:space="preserve">la </w:t>
      </w:r>
      <w:r>
        <w:t>suffisance de</w:t>
      </w:r>
      <w:r w:rsidR="00540BE0">
        <w:t>s</w:t>
      </w:r>
      <w:r>
        <w:t xml:space="preserve"> soins</w:t>
      </w:r>
      <w:r w:rsidR="00B06B0D">
        <w:t xml:space="preserve"> et traitements</w:t>
      </w:r>
      <w:r w:rsidR="00DF0E0D">
        <w:t xml:space="preserve"> </w:t>
      </w:r>
      <w:r w:rsidR="006C5325">
        <w:t>(</w:t>
      </w:r>
      <w:r w:rsidR="00745A8C">
        <w:t>sujets sur lesquels le docteur Duhaime ne s’est pas prononcé</w:t>
      </w:r>
      <w:r w:rsidR="006C5325">
        <w:t xml:space="preserve">) et qu’elle rende une autre décision à ce sujet. </w:t>
      </w:r>
      <w:r>
        <w:t>Le Tribunal ne retient pas cette approche</w:t>
      </w:r>
      <w:r w:rsidR="00540BE0">
        <w:t>,</w:t>
      </w:r>
      <w:r>
        <w:t xml:space="preserve"> car il est impossible de savoir quelle est la date de consolidation sur laquelle se base le docteur Duhaime pour déterminer l’atteinte permanente et les limitations fonctionnelles. </w:t>
      </w:r>
    </w:p>
    <w:p w14:paraId="3C8A8819" w14:textId="63676903" w:rsidR="00F113BA" w:rsidRDefault="001A29B3" w:rsidP="00557331">
      <w:pPr>
        <w:pStyle w:val="corpsdedcision"/>
      </w:pPr>
      <w:r>
        <w:t>Le docteur Duhaime ne fait qu’écrire, en référence aux rapports finaux du docteur Kornacki</w:t>
      </w:r>
      <w:r w:rsidR="00A2368E">
        <w:t>,</w:t>
      </w:r>
      <w:r>
        <w:t xml:space="preserve"> </w:t>
      </w:r>
      <w:r w:rsidR="00BE4D0F">
        <w:t>« </w:t>
      </w:r>
      <w:r w:rsidR="00DF0E0D">
        <w:t xml:space="preserve">[…] </w:t>
      </w:r>
      <w:r w:rsidRPr="00C476ED">
        <w:rPr>
          <w:rStyle w:val="Citationintgre"/>
        </w:rPr>
        <w:t xml:space="preserve">nous retrouvons son </w:t>
      </w:r>
      <w:r w:rsidRPr="00C476ED">
        <w:rPr>
          <w:rStyle w:val="Citationintgre"/>
          <w:i w:val="0"/>
          <w:iCs/>
        </w:rPr>
        <w:t>Rapport final</w:t>
      </w:r>
      <w:r w:rsidRPr="00C476ED">
        <w:rPr>
          <w:rStyle w:val="Citationintgre"/>
        </w:rPr>
        <w:t xml:space="preserve"> du 25 août 2023 où il mentionnait une fracture du poignet droit qu’il consolide avec DAP et limitations fonctionnelles</w:t>
      </w:r>
      <w:r>
        <w:t> » et « </w:t>
      </w:r>
      <w:r w:rsidRPr="00C476ED">
        <w:rPr>
          <w:rStyle w:val="Citationintgre"/>
        </w:rPr>
        <w:t>Il faut mentionner que le dernier rapport du docteur Kornacki date du 22 mars 2024 alors qu’il consolidait la fracture du radius droit avec ankylose résiduelle, DAP et limitations fonctionnelles</w:t>
      </w:r>
      <w:r>
        <w:t> ». Or, avant de déterminer l’atteinte permanente et les limitations fonctionnelles, encore faut-il savoir quelle est la date de consolidation. La décision faisant suite à l’avis du docteur Duhaime pourrait donc être contestée puisque la date de consolidation retenue n’est pas clairement identifiée</w:t>
      </w:r>
      <w:r w:rsidR="00EB2520">
        <w:t xml:space="preserve"> ni déterminée. </w:t>
      </w:r>
    </w:p>
    <w:p w14:paraId="3A33242B" w14:textId="57410487" w:rsidR="00557331" w:rsidRDefault="00BE4D0F" w:rsidP="00557331">
      <w:pPr>
        <w:pStyle w:val="corpsdedcision"/>
      </w:pPr>
      <w:r>
        <w:t xml:space="preserve">Il est </w:t>
      </w:r>
      <w:r w:rsidR="006C5325">
        <w:t xml:space="preserve">plus approprié </w:t>
      </w:r>
      <w:r>
        <w:t xml:space="preserve">que </w:t>
      </w:r>
      <w:r w:rsidR="00557331">
        <w:t>la Commission demande à un professionnel de la santé de se prononcer sur l’ensemble des points 2 à 5 de l’article</w:t>
      </w:r>
      <w:r w:rsidR="00540BE0">
        <w:t> </w:t>
      </w:r>
      <w:r w:rsidR="00557331">
        <w:t>212</w:t>
      </w:r>
      <w:r w:rsidR="00A2368E">
        <w:t xml:space="preserve"> de la Loi</w:t>
      </w:r>
      <w:r w:rsidR="00557331">
        <w:t xml:space="preserve">, </w:t>
      </w:r>
      <w:r w:rsidR="00745A8C">
        <w:t xml:space="preserve">comme demandé initialement par l’employeur, </w:t>
      </w:r>
      <w:r w:rsidR="00557331">
        <w:t xml:space="preserve">à savoir la date de consolidation, la nature et </w:t>
      </w:r>
      <w:r w:rsidR="00540BE0">
        <w:t xml:space="preserve">la </w:t>
      </w:r>
      <w:r w:rsidR="00557331">
        <w:t xml:space="preserve">suffisance des soins </w:t>
      </w:r>
      <w:r w:rsidR="00745A8C">
        <w:t xml:space="preserve">et traitements </w:t>
      </w:r>
      <w:r w:rsidR="00557331">
        <w:t>de même que</w:t>
      </w:r>
      <w:r w:rsidR="00540BE0">
        <w:t xml:space="preserve"> </w:t>
      </w:r>
      <w:r w:rsidR="00557331">
        <w:t xml:space="preserve">l’atteinte permanente et les limitations fonctionnelles. </w:t>
      </w:r>
      <w:r w:rsidR="006C5325">
        <w:t xml:space="preserve">Cette demande devra être faite </w:t>
      </w:r>
      <w:r>
        <w:t>dans un délai de 45</w:t>
      </w:r>
      <w:r w:rsidR="00C476ED">
        <w:t> </w:t>
      </w:r>
      <w:r>
        <w:t>jours de la réception de la présente décision. Conformément à cet avis, la Commission ne rendra donc qu’une seule décision</w:t>
      </w:r>
      <w:r w:rsidR="006C5325">
        <w:t>,</w:t>
      </w:r>
      <w:r>
        <w:t xml:space="preserve"> </w:t>
      </w:r>
      <w:r w:rsidR="005A323D">
        <w:t>qui devra être rendue dès la réception d</w:t>
      </w:r>
      <w:r w:rsidR="003C00C8">
        <w:t>udit avis</w:t>
      </w:r>
      <w:r w:rsidR="005A323D">
        <w:t xml:space="preserve">. La décision </w:t>
      </w:r>
      <w:r w:rsidR="003C00C8">
        <w:t xml:space="preserve">ainsi </w:t>
      </w:r>
      <w:r w:rsidR="005A323D">
        <w:t>rendue</w:t>
      </w:r>
      <w:r>
        <w:t xml:space="preserve"> pourra alors faire l’objet d’une contestation, le cas échéant.</w:t>
      </w:r>
    </w:p>
    <w:p w14:paraId="76659308" w14:textId="29231B38" w:rsidR="001B3E72" w:rsidRDefault="001B3E72" w:rsidP="00557331">
      <w:pPr>
        <w:pStyle w:val="corpsdedcision"/>
      </w:pPr>
      <w:r>
        <w:t xml:space="preserve">En procédant ainsi, l’impasse médico-administrative dans laquelle se trouvent les parties se trouvera résolue et l’objectif de la Loi sera atteint puisque la procédure d’évaluation médicale pourra aboutir. </w:t>
      </w:r>
    </w:p>
    <w:p w14:paraId="72E3B3BF" w14:textId="4311F1BB" w:rsidR="001B3E72" w:rsidRPr="00B51F99" w:rsidRDefault="001B3E72" w:rsidP="00557331">
      <w:pPr>
        <w:pStyle w:val="corpsdedcision"/>
      </w:pPr>
      <w:r>
        <w:t>Finalement, afin de s’assurer qu’il n’y aura pas d’autre délai indu dans ce dossier, le Tribunal convoquera les parties pour une audience sur le fond si</w:t>
      </w:r>
      <w:r w:rsidR="00962DBD">
        <w:t>,</w:t>
      </w:r>
      <w:r>
        <w:t xml:space="preserve"> dans un délai de six mois de la présente décision</w:t>
      </w:r>
      <w:r w:rsidR="0087434A">
        <w:t>,</w:t>
      </w:r>
      <w:r>
        <w:t xml:space="preserve"> la Commission n’a toujours pas rendu la décision faisant suite au rapport du professionnel de la santé qu’elle désignera. </w:t>
      </w:r>
    </w:p>
    <w:p w14:paraId="4D5A5211" w14:textId="77777777" w:rsidR="00C74B6F" w:rsidRDefault="00C74B6F">
      <w:pPr>
        <w:pStyle w:val="Dispositif"/>
      </w:pPr>
      <w:r>
        <w:rPr>
          <w:b/>
        </w:rPr>
        <w:t>P</w:t>
      </w:r>
      <w:r w:rsidR="00401325">
        <w:rPr>
          <w:b/>
        </w:rPr>
        <w:t>AR</w:t>
      </w:r>
      <w:r w:rsidR="00D07FA6">
        <w:rPr>
          <w:b/>
        </w:rPr>
        <w:t xml:space="preserve"> CES MOTIFS, LE TRIBUNAL ADMINISTRATIF DU TRAVAIL</w:t>
      </w:r>
      <w:r>
        <w:rPr>
          <w:b/>
        </w:rPr>
        <w:t> :</w:t>
      </w:r>
    </w:p>
    <w:p w14:paraId="1D0B3184" w14:textId="3A6191FE" w:rsidR="00C74B6F" w:rsidRDefault="00C132F7">
      <w:pPr>
        <w:pStyle w:val="Dispositif"/>
      </w:pPr>
      <w:r>
        <w:rPr>
          <w:b/>
        </w:rPr>
        <w:t>ACCUEILLE</w:t>
      </w:r>
      <w:r w:rsidR="009C4ECD">
        <w:t xml:space="preserve"> la contestation d</w:t>
      </w:r>
      <w:r w:rsidR="0087434A">
        <w:t>’</w:t>
      </w:r>
      <w:r w:rsidRPr="00C132F7">
        <w:t>Excel Personnel (atelier ou d’usine)</w:t>
      </w:r>
      <w:r w:rsidR="009C4ECD">
        <w:t>, l’employeur;</w:t>
      </w:r>
    </w:p>
    <w:p w14:paraId="135A3D6E" w14:textId="5F55AD73" w:rsidR="009C4ECD" w:rsidRDefault="00C132F7">
      <w:pPr>
        <w:pStyle w:val="Dispositif"/>
      </w:pPr>
      <w:r>
        <w:rPr>
          <w:b/>
        </w:rPr>
        <w:t>INFIRME</w:t>
      </w:r>
      <w:r w:rsidR="009C4ECD">
        <w:t xml:space="preserve"> </w:t>
      </w:r>
      <w:r>
        <w:t xml:space="preserve">la décision de la Commission des normes, de l’équité, de la santé et de la sécurité du travail rendue le </w:t>
      </w:r>
      <w:r w:rsidR="006D503F">
        <w:t xml:space="preserve">6 août 2024 à la suite d’une révision administrative; </w:t>
      </w:r>
    </w:p>
    <w:p w14:paraId="615347E9" w14:textId="67271E23" w:rsidR="009C4ECD" w:rsidRDefault="006D503F">
      <w:pPr>
        <w:pStyle w:val="Dispositif"/>
      </w:pPr>
      <w:r>
        <w:rPr>
          <w:b/>
        </w:rPr>
        <w:t>DÉCLARE</w:t>
      </w:r>
      <w:r w:rsidR="009C4ECD">
        <w:t xml:space="preserve"> que la Commission des normes, de l’équité, de la santé et de la sécurité du travail doit, dans les 45 jours de la réception de la présente décision, désigner et mandater un professionnel de la santé </w:t>
      </w:r>
      <w:r w:rsidR="007E5E16">
        <w:t xml:space="preserve">qui se prononcera sur </w:t>
      </w:r>
      <w:r w:rsidR="009C4ECD">
        <w:t xml:space="preserve">la date de consolidation, la nature et </w:t>
      </w:r>
      <w:r>
        <w:t xml:space="preserve">la </w:t>
      </w:r>
      <w:r w:rsidR="009C4ECD">
        <w:t>suffisance des soins</w:t>
      </w:r>
      <w:r w:rsidR="007E5E16">
        <w:t xml:space="preserve"> et traitements</w:t>
      </w:r>
      <w:r w:rsidR="009C4ECD">
        <w:t xml:space="preserve">, l’atteinte permanente et les limitations fonctionnelles; </w:t>
      </w:r>
    </w:p>
    <w:p w14:paraId="77477D6A" w14:textId="2D533CE2" w:rsidR="009C4ECD" w:rsidRDefault="006D503F">
      <w:pPr>
        <w:pStyle w:val="Dispositif"/>
      </w:pPr>
      <w:r>
        <w:rPr>
          <w:b/>
        </w:rPr>
        <w:t>DÉCLARE</w:t>
      </w:r>
      <w:r w:rsidR="009C4ECD">
        <w:t xml:space="preserve"> qu</w:t>
      </w:r>
      <w:r w:rsidR="00EE6A72">
        <w:t xml:space="preserve">e dès </w:t>
      </w:r>
      <w:r w:rsidR="009C4ECD">
        <w:t>la réception du rapport du professionnel de la santé désigné par la Commission</w:t>
      </w:r>
      <w:r>
        <w:t xml:space="preserve"> des normes, de l’équité, de la santé et de la sécurité du travail</w:t>
      </w:r>
      <w:r w:rsidR="006956B9">
        <w:t>,</w:t>
      </w:r>
      <w:r w:rsidR="009C4ECD">
        <w:t xml:space="preserve"> cette dernière rend</w:t>
      </w:r>
      <w:r w:rsidR="00EE6A72">
        <w:t xml:space="preserve">ra une décision en conséquence; </w:t>
      </w:r>
    </w:p>
    <w:p w14:paraId="09F50E92" w14:textId="39D59306" w:rsidR="00EE6A72" w:rsidRDefault="006D503F">
      <w:pPr>
        <w:pStyle w:val="Dispositif"/>
      </w:pPr>
      <w:r>
        <w:rPr>
          <w:b/>
        </w:rPr>
        <w:t>CONVOQUERA</w:t>
      </w:r>
      <w:r w:rsidR="00EE6A72">
        <w:t xml:space="preserve"> les parties pour une audience sur le fond si</w:t>
      </w:r>
      <w:r w:rsidR="00A2368E">
        <w:t>,</w:t>
      </w:r>
      <w:r w:rsidR="00EE6A72">
        <w:t xml:space="preserve"> dans un délai de six mois de la présente décision</w:t>
      </w:r>
      <w:r w:rsidR="00A2368E">
        <w:t>,</w:t>
      </w:r>
      <w:r w:rsidR="00EE6A72">
        <w:t xml:space="preserve"> la Commission </w:t>
      </w:r>
      <w:r>
        <w:t xml:space="preserve">des normes, de l’équité, de la santé et de la sécurité du travail </w:t>
      </w:r>
      <w:r w:rsidR="00EE6A72">
        <w:t xml:space="preserve">n’a toujours pas rendu la décision faisant suite au rapport du professionnel de la santé qu’elle désignera. </w:t>
      </w:r>
    </w:p>
    <w:p w14:paraId="5177588A" w14:textId="77777777" w:rsidR="00C74B6F" w:rsidRDefault="00C74B6F">
      <w:pPr>
        <w:pStyle w:val="Dispositif"/>
      </w:pPr>
    </w:p>
    <w:tbl>
      <w:tblPr>
        <w:tblW w:w="9590" w:type="dxa"/>
        <w:tblLayout w:type="fixed"/>
        <w:tblCellMar>
          <w:left w:w="70" w:type="dxa"/>
          <w:right w:w="70" w:type="dxa"/>
        </w:tblCellMar>
        <w:tblLook w:val="0000" w:firstRow="0" w:lastRow="0" w:firstColumn="0" w:lastColumn="0" w:noHBand="0" w:noVBand="0"/>
      </w:tblPr>
      <w:tblGrid>
        <w:gridCol w:w="4795"/>
        <w:gridCol w:w="4795"/>
      </w:tblGrid>
      <w:tr w:rsidR="00C74B6F" w14:paraId="3DD8F158" w14:textId="77777777">
        <w:tc>
          <w:tcPr>
            <w:tcW w:w="4795" w:type="dxa"/>
          </w:tcPr>
          <w:p w14:paraId="6A8C79D3" w14:textId="77777777" w:rsidR="00C74B6F" w:rsidRDefault="00C74B6F"/>
        </w:tc>
        <w:tc>
          <w:tcPr>
            <w:tcW w:w="4795" w:type="dxa"/>
          </w:tcPr>
          <w:p w14:paraId="2A2A8FBC" w14:textId="77777777" w:rsidR="00C74B6F" w:rsidRDefault="00C74B6F">
            <w:bookmarkStart w:id="12" w:name="signature"/>
            <w:bookmarkEnd w:id="12"/>
            <w:r>
              <w:t>__________________________________</w:t>
            </w:r>
          </w:p>
        </w:tc>
      </w:tr>
      <w:tr w:rsidR="00C74B6F" w14:paraId="32E5DC32" w14:textId="77777777">
        <w:tc>
          <w:tcPr>
            <w:tcW w:w="4795" w:type="dxa"/>
          </w:tcPr>
          <w:p w14:paraId="46AF92D6" w14:textId="77777777" w:rsidR="00C74B6F" w:rsidRDefault="00C74B6F"/>
        </w:tc>
        <w:tc>
          <w:tcPr>
            <w:tcW w:w="4795" w:type="dxa"/>
          </w:tcPr>
          <w:p w14:paraId="58A0FBB9" w14:textId="64B05F5F" w:rsidR="00C74B6F" w:rsidRDefault="003505B7">
            <w:r>
              <w:t>Sylvie Lévesque</w:t>
            </w:r>
          </w:p>
        </w:tc>
      </w:tr>
      <w:tr w:rsidR="00C74B6F" w14:paraId="456F2023" w14:textId="77777777">
        <w:trPr>
          <w:cantSplit/>
        </w:trPr>
        <w:tc>
          <w:tcPr>
            <w:tcW w:w="9590" w:type="dxa"/>
            <w:gridSpan w:val="2"/>
          </w:tcPr>
          <w:p w14:paraId="373D4AE6" w14:textId="77777777" w:rsidR="00C74B6F" w:rsidRDefault="00C74B6F"/>
        </w:tc>
      </w:tr>
      <w:tr w:rsidR="00C74B6F" w14:paraId="0FC02A47" w14:textId="77777777">
        <w:trPr>
          <w:cantSplit/>
        </w:trPr>
        <w:tc>
          <w:tcPr>
            <w:tcW w:w="9590" w:type="dxa"/>
            <w:gridSpan w:val="2"/>
          </w:tcPr>
          <w:p w14:paraId="5330BC99" w14:textId="77777777" w:rsidR="00C74B6F" w:rsidRPr="00C912F9" w:rsidRDefault="00C74B6F" w:rsidP="00EC5C8D">
            <w:pPr>
              <w:tabs>
                <w:tab w:val="left" w:pos="1592"/>
              </w:tabs>
            </w:pPr>
          </w:p>
        </w:tc>
      </w:tr>
      <w:tr w:rsidR="00C74B6F" w14:paraId="7D72B152" w14:textId="77777777">
        <w:trPr>
          <w:cantSplit/>
        </w:trPr>
        <w:tc>
          <w:tcPr>
            <w:tcW w:w="9590" w:type="dxa"/>
            <w:gridSpan w:val="2"/>
          </w:tcPr>
          <w:p w14:paraId="5A22A076" w14:textId="77777777" w:rsidR="00C74B6F" w:rsidRDefault="00C74B6F"/>
        </w:tc>
      </w:tr>
      <w:tr w:rsidR="00861F8B" w14:paraId="6D15357C" w14:textId="77777777">
        <w:trPr>
          <w:cantSplit/>
        </w:trPr>
        <w:tc>
          <w:tcPr>
            <w:tcW w:w="9590" w:type="dxa"/>
            <w:gridSpan w:val="2"/>
          </w:tcPr>
          <w:p w14:paraId="34098A8E" w14:textId="3897B131" w:rsidR="00596AB2" w:rsidRPr="00596AB2" w:rsidRDefault="003505B7" w:rsidP="00596AB2">
            <w:r>
              <w:t>M</w:t>
            </w:r>
            <w:r w:rsidRPr="003505B7">
              <w:rPr>
                <w:vertAlign w:val="superscript"/>
              </w:rPr>
              <w:t>me</w:t>
            </w:r>
            <w:r>
              <w:t xml:space="preserve"> Lucie Laflamme</w:t>
            </w:r>
          </w:p>
        </w:tc>
      </w:tr>
      <w:tr w:rsidR="00861F8B" w14:paraId="7E7806CA" w14:textId="77777777">
        <w:trPr>
          <w:cantSplit/>
        </w:trPr>
        <w:tc>
          <w:tcPr>
            <w:tcW w:w="9590" w:type="dxa"/>
            <w:gridSpan w:val="2"/>
          </w:tcPr>
          <w:p w14:paraId="61B1D653" w14:textId="7B32D451" w:rsidR="00861F8B" w:rsidRDefault="00E25DCB">
            <w:r>
              <w:fldChar w:fldCharType="begin"/>
            </w:r>
            <w:r>
              <w:instrText xml:space="preserve"> MACROBUTTON  AbaisserNiveauListe </w:instrText>
            </w:r>
            <w:r>
              <w:fldChar w:fldCharType="end"/>
            </w:r>
            <w:r w:rsidR="003505B7">
              <w:t>Pour elle-même</w:t>
            </w:r>
          </w:p>
        </w:tc>
      </w:tr>
      <w:tr w:rsidR="00C74B6F" w14:paraId="4814BB34" w14:textId="77777777">
        <w:trPr>
          <w:cantSplit/>
        </w:trPr>
        <w:tc>
          <w:tcPr>
            <w:tcW w:w="9590" w:type="dxa"/>
            <w:gridSpan w:val="2"/>
          </w:tcPr>
          <w:p w14:paraId="5DA96F03" w14:textId="77777777" w:rsidR="00C74B6F" w:rsidRDefault="00C74B6F"/>
        </w:tc>
      </w:tr>
      <w:tr w:rsidR="00C74B6F" w14:paraId="6CC964F1" w14:textId="77777777">
        <w:trPr>
          <w:cantSplit/>
        </w:trPr>
        <w:tc>
          <w:tcPr>
            <w:tcW w:w="9590" w:type="dxa"/>
            <w:gridSpan w:val="2"/>
          </w:tcPr>
          <w:p w14:paraId="5E5E900E" w14:textId="3077CFE0" w:rsidR="00C74B6F" w:rsidRDefault="003505B7" w:rsidP="00CE021E">
            <w:pPr>
              <w:pStyle w:val="zSoquijdatNomProcureurDem"/>
              <w:keepNext/>
              <w:keepLines/>
            </w:pPr>
            <w:r>
              <w:t>M</w:t>
            </w:r>
            <w:r w:rsidRPr="003505B7">
              <w:rPr>
                <w:vertAlign w:val="superscript"/>
              </w:rPr>
              <w:t>e</w:t>
            </w:r>
            <w:r>
              <w:t xml:space="preserve"> Marie-Hélène Jolicoeur</w:t>
            </w:r>
          </w:p>
        </w:tc>
      </w:tr>
      <w:tr w:rsidR="00C74B6F" w14:paraId="76F5DC50" w14:textId="77777777">
        <w:trPr>
          <w:cantSplit/>
        </w:trPr>
        <w:tc>
          <w:tcPr>
            <w:tcW w:w="9590" w:type="dxa"/>
            <w:gridSpan w:val="2"/>
          </w:tcPr>
          <w:p w14:paraId="0532550F" w14:textId="7C79C025" w:rsidR="00C74B6F" w:rsidRDefault="003505B7" w:rsidP="00CE021E">
            <w:pPr>
              <w:pStyle w:val="zSoquijdatCabinetProcureurDem"/>
              <w:keepNext/>
              <w:keepLines/>
            </w:pPr>
            <w:r>
              <w:t>LAVERY, DE BILLY</w:t>
            </w:r>
          </w:p>
        </w:tc>
      </w:tr>
      <w:tr w:rsidR="00C74B6F" w14:paraId="37EF3EDC" w14:textId="77777777">
        <w:trPr>
          <w:cantSplit/>
        </w:trPr>
        <w:tc>
          <w:tcPr>
            <w:tcW w:w="9590" w:type="dxa"/>
            <w:gridSpan w:val="2"/>
          </w:tcPr>
          <w:p w14:paraId="5111EE49" w14:textId="77777777" w:rsidR="00C74B6F" w:rsidRDefault="00CB05A7" w:rsidP="00CE021E">
            <w:pPr>
              <w:pStyle w:val="zSoquijlblProcureurDem"/>
              <w:keepNext/>
              <w:keepLines/>
            </w:pPr>
            <w:r>
              <w:t>Pour la partie demanderesse</w:t>
            </w:r>
          </w:p>
        </w:tc>
      </w:tr>
      <w:tr w:rsidR="00C74B6F" w14:paraId="1655BB4C" w14:textId="77777777">
        <w:trPr>
          <w:cantSplit/>
        </w:trPr>
        <w:tc>
          <w:tcPr>
            <w:tcW w:w="9590" w:type="dxa"/>
            <w:gridSpan w:val="2"/>
          </w:tcPr>
          <w:p w14:paraId="704B5DAD" w14:textId="77777777" w:rsidR="00C74B6F" w:rsidRDefault="00C74B6F"/>
        </w:tc>
      </w:tr>
      <w:tr w:rsidR="00C15A3F" w14:paraId="4A0E3060" w14:textId="77777777">
        <w:trPr>
          <w:cantSplit/>
        </w:trPr>
        <w:tc>
          <w:tcPr>
            <w:tcW w:w="9590" w:type="dxa"/>
            <w:gridSpan w:val="2"/>
          </w:tcPr>
          <w:p w14:paraId="6ED70600" w14:textId="1E593183" w:rsidR="00C15A3F" w:rsidRDefault="00C15A3F" w:rsidP="000E56A6">
            <w:pPr>
              <w:pStyle w:val="zSoquijdatDateAudience"/>
            </w:pPr>
            <w:bookmarkStart w:id="13" w:name="Date_derniere_audience"/>
            <w:bookmarkEnd w:id="13"/>
            <w:r>
              <w:t xml:space="preserve">Date de la </w:t>
            </w:r>
            <w:r w:rsidR="00CC6338">
              <w:t>mise en délibéré</w:t>
            </w:r>
            <w:r>
              <w:t> :</w:t>
            </w:r>
            <w:r w:rsidR="00597016">
              <w:tab/>
            </w:r>
            <w:r w:rsidR="003505B7">
              <w:t>26 mars 2025</w:t>
            </w:r>
          </w:p>
        </w:tc>
      </w:tr>
    </w:tbl>
    <w:p w14:paraId="1D62AED0" w14:textId="77777777" w:rsidR="00F76B4A" w:rsidRDefault="00F76B4A" w:rsidP="00F73D1C"/>
    <w:p w14:paraId="6DD93687" w14:textId="77777777" w:rsidR="002542E0" w:rsidRDefault="002542E0" w:rsidP="002542E0">
      <w:pPr>
        <w:pStyle w:val="corpsdedcision"/>
        <w:numPr>
          <w:ilvl w:val="0"/>
          <w:numId w:val="0"/>
        </w:numPr>
        <w:tabs>
          <w:tab w:val="clear" w:pos="720"/>
        </w:tabs>
      </w:pPr>
    </w:p>
    <w:sectPr w:rsidR="002542E0">
      <w:headerReference w:type="default" r:id="rId7"/>
      <w:pgSz w:w="12240" w:h="15840" w:code="1"/>
      <w:pgMar w:top="1152" w:right="1440" w:bottom="1440" w:left="1440" w:header="706" w:footer="706"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D2C92A3" w14:textId="77777777" w:rsidR="006D63C6" w:rsidRDefault="006D63C6">
      <w:r>
        <w:separator/>
      </w:r>
    </w:p>
  </w:endnote>
  <w:endnote w:type="continuationSeparator" w:id="0">
    <w:p w14:paraId="39156F7F" w14:textId="77777777" w:rsidR="006D63C6" w:rsidRDefault="006D63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Aptos">
    <w:altName w:val="Arial"/>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B3758ED" w14:textId="77777777" w:rsidR="006D63C6" w:rsidRDefault="006D63C6">
      <w:r>
        <w:separator/>
      </w:r>
    </w:p>
  </w:footnote>
  <w:footnote w:type="continuationSeparator" w:id="0">
    <w:p w14:paraId="3D63F9B2" w14:textId="77777777" w:rsidR="006D63C6" w:rsidRDefault="006D63C6">
      <w:r>
        <w:continuationSeparator/>
      </w:r>
    </w:p>
  </w:footnote>
  <w:footnote w:id="1">
    <w:p w14:paraId="5EED21AB" w14:textId="4D963CC6" w:rsidR="00725C29" w:rsidRPr="00C476ED" w:rsidRDefault="00725C29" w:rsidP="00C476ED">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RLRQ</w:t>
      </w:r>
      <w:r w:rsidRPr="00725C29">
        <w:rPr>
          <w:rFonts w:cs="Arial"/>
          <w:sz w:val="20"/>
        </w:rPr>
        <w:t>, c. A-3.001</w:t>
      </w:r>
      <w:r>
        <w:rPr>
          <w:rFonts w:cs="Arial"/>
          <w:sz w:val="20"/>
        </w:rPr>
        <w:t>.</w:t>
      </w:r>
    </w:p>
  </w:footnote>
  <w:footnote w:id="2">
    <w:p w14:paraId="76F9A1DC" w14:textId="7F639429" w:rsidR="00E9650A" w:rsidRPr="00E9650A" w:rsidRDefault="00E9650A" w:rsidP="00E9650A">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2023 QCTAT 3989</w:t>
      </w:r>
      <w:r w:rsidR="00FC5769">
        <w:rPr>
          <w:rFonts w:cs="Arial"/>
          <w:sz w:val="20"/>
        </w:rPr>
        <w:t>.</w:t>
      </w:r>
    </w:p>
  </w:footnote>
  <w:footnote w:id="3">
    <w:p w14:paraId="3573C332" w14:textId="71B66FC9" w:rsidR="00E9650A" w:rsidRPr="00E9650A" w:rsidRDefault="00E9650A" w:rsidP="00E9650A">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2021 QCTAT </w:t>
      </w:r>
      <w:r w:rsidR="00A53E49">
        <w:rPr>
          <w:rFonts w:cs="Arial"/>
          <w:sz w:val="20"/>
        </w:rPr>
        <w:t>5207</w:t>
      </w:r>
      <w:r w:rsidR="00FC5769">
        <w:rPr>
          <w:rFonts w:cs="Arial"/>
          <w:sz w:val="20"/>
        </w:rPr>
        <w:t>.</w:t>
      </w:r>
    </w:p>
  </w:footnote>
  <w:footnote w:id="4">
    <w:p w14:paraId="57F4DE18" w14:textId="4E28041F" w:rsidR="00FC5769" w:rsidRPr="0088232B" w:rsidRDefault="00FC5769" w:rsidP="00FC5769">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2023 QCTAT 2529</w:t>
      </w:r>
      <w:r w:rsidR="00540BE0">
        <w:rPr>
          <w:rFonts w:cs="Arial"/>
          <w:sz w:val="20"/>
        </w:rPr>
        <w:t>.</w:t>
      </w:r>
    </w:p>
  </w:footnote>
  <w:footnote w:id="5">
    <w:p w14:paraId="0878D633" w14:textId="662768F3" w:rsidR="0088232B" w:rsidRPr="0088232B" w:rsidRDefault="0088232B" w:rsidP="0088232B">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540BE0">
        <w:rPr>
          <w:rFonts w:cs="Arial"/>
          <w:sz w:val="20"/>
        </w:rPr>
        <w:t>Précitée, note 2.</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590" w:type="dxa"/>
      <w:tblInd w:w="-20" w:type="dxa"/>
      <w:tblLayout w:type="fixed"/>
      <w:tblCellMar>
        <w:left w:w="70" w:type="dxa"/>
        <w:right w:w="70" w:type="dxa"/>
      </w:tblCellMar>
      <w:tblLook w:val="0000" w:firstRow="0" w:lastRow="0" w:firstColumn="0" w:lastColumn="0" w:noHBand="0" w:noVBand="0"/>
    </w:tblPr>
    <w:tblGrid>
      <w:gridCol w:w="8730"/>
      <w:gridCol w:w="860"/>
    </w:tblGrid>
    <w:tr w:rsidR="00D330B6" w14:paraId="3E60A24A" w14:textId="77777777" w:rsidTr="003250D9">
      <w:tc>
        <w:tcPr>
          <w:tcW w:w="8730" w:type="dxa"/>
        </w:tcPr>
        <w:p w14:paraId="289AB97C" w14:textId="77777777" w:rsidR="00D330B6" w:rsidRDefault="00D330B6">
          <w:pPr>
            <w:pStyle w:val="En-tte"/>
            <w:ind w:left="-90"/>
          </w:pPr>
        </w:p>
      </w:tc>
      <w:tc>
        <w:tcPr>
          <w:tcW w:w="860" w:type="dxa"/>
        </w:tcPr>
        <w:p w14:paraId="52CA8517" w14:textId="77777777" w:rsidR="00D330B6" w:rsidRDefault="00D330B6">
          <w:pPr>
            <w:pStyle w:val="En-tte"/>
            <w:ind w:left="-90"/>
          </w:pPr>
        </w:p>
      </w:tc>
    </w:tr>
    <w:tr w:rsidR="003250D9" w14:paraId="515AAB5D" w14:textId="77777777" w:rsidTr="003250D9">
      <w:tc>
        <w:tcPr>
          <w:tcW w:w="8730" w:type="dxa"/>
        </w:tcPr>
        <w:p w14:paraId="1C3ED00B" w14:textId="222341BF" w:rsidR="003250D9" w:rsidRDefault="003250D9" w:rsidP="003250D9">
          <w:r>
            <w:t>1380415-71-2408</w:t>
          </w:r>
        </w:p>
      </w:tc>
      <w:tc>
        <w:tcPr>
          <w:tcW w:w="860" w:type="dxa"/>
        </w:tcPr>
        <w:p w14:paraId="30C003B3" w14:textId="77777777" w:rsidR="003250D9" w:rsidRDefault="003250D9" w:rsidP="003250D9">
          <w:pPr>
            <w:pStyle w:val="En-tte"/>
            <w:ind w:left="-90"/>
            <w:jc w:val="right"/>
            <w:rPr>
              <w:rStyle w:val="Numrodepage"/>
            </w:rPr>
          </w:pPr>
          <w:r>
            <w:rPr>
              <w:rStyle w:val="Numrodepage"/>
            </w:rPr>
            <w:fldChar w:fldCharType="begin"/>
          </w:r>
          <w:r>
            <w:rPr>
              <w:rStyle w:val="Numrodepage"/>
            </w:rPr>
            <w:instrText xml:space="preserve"> PAGE </w:instrText>
          </w:r>
          <w:r>
            <w:rPr>
              <w:rStyle w:val="Numrodepage"/>
            </w:rPr>
            <w:fldChar w:fldCharType="separate"/>
          </w:r>
          <w:r w:rsidR="00327901">
            <w:rPr>
              <w:rStyle w:val="Numrodepage"/>
              <w:noProof/>
            </w:rPr>
            <w:t>2</w:t>
          </w:r>
          <w:r>
            <w:rPr>
              <w:rStyle w:val="Numrodepage"/>
            </w:rPr>
            <w:fldChar w:fldCharType="end"/>
          </w:r>
        </w:p>
      </w:tc>
    </w:tr>
    <w:tr w:rsidR="003250D9" w14:paraId="77780CA1" w14:textId="77777777" w:rsidTr="003250D9">
      <w:tc>
        <w:tcPr>
          <w:tcW w:w="8730" w:type="dxa"/>
        </w:tcPr>
        <w:p w14:paraId="1E6CF79D" w14:textId="77777777" w:rsidR="003250D9" w:rsidRDefault="003250D9" w:rsidP="003250D9"/>
      </w:tc>
      <w:tc>
        <w:tcPr>
          <w:tcW w:w="860" w:type="dxa"/>
        </w:tcPr>
        <w:p w14:paraId="5563F9EE" w14:textId="77777777" w:rsidR="003250D9" w:rsidRDefault="003250D9" w:rsidP="003250D9">
          <w:pPr>
            <w:pStyle w:val="En-tte"/>
            <w:ind w:left="-90"/>
            <w:jc w:val="right"/>
          </w:pPr>
        </w:p>
      </w:tc>
    </w:tr>
  </w:tbl>
  <w:p w14:paraId="53896F47" w14:textId="77777777" w:rsidR="00D330B6" w:rsidRDefault="00D330B6">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D93D91"/>
    <w:multiLevelType w:val="multilevel"/>
    <w:tmpl w:val="4240187C"/>
    <w:lvl w:ilvl="0">
      <w:start w:val="1"/>
      <w:numFmt w:val="decimal"/>
      <w:lvlText w:val="[%1]"/>
      <w:lvlJc w:val="left"/>
      <w:pPr>
        <w:tabs>
          <w:tab w:val="num" w:pos="720"/>
        </w:tabs>
        <w:ind w:left="720" w:hanging="720"/>
      </w:pPr>
      <w:rPr>
        <w:rFonts w:hint="default"/>
      </w:rPr>
    </w:lvl>
    <w:lvl w:ilvl="1">
      <w:start w:val="1"/>
      <w:numFmt w:val="bullet"/>
      <w:lvlText w:val=""/>
      <w:lvlJc w:val="left"/>
      <w:pPr>
        <w:tabs>
          <w:tab w:val="num" w:pos="792"/>
        </w:tabs>
        <w:ind w:left="792" w:hanging="432"/>
      </w:pPr>
      <w:rPr>
        <w:rFonts w:ascii="Symbol" w:hAnsi="Symbol"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1" w15:restartNumberingAfterBreak="0">
    <w:nsid w:val="31CE60E0"/>
    <w:multiLevelType w:val="singleLevel"/>
    <w:tmpl w:val="0C0C000F"/>
    <w:lvl w:ilvl="0">
      <w:start w:val="1"/>
      <w:numFmt w:val="decimal"/>
      <w:lvlText w:val="%1."/>
      <w:lvlJc w:val="left"/>
      <w:pPr>
        <w:tabs>
          <w:tab w:val="num" w:pos="360"/>
        </w:tabs>
        <w:ind w:left="360" w:hanging="360"/>
      </w:pPr>
    </w:lvl>
  </w:abstractNum>
  <w:abstractNum w:abstractNumId="2" w15:restartNumberingAfterBreak="0">
    <w:nsid w:val="4314268F"/>
    <w:multiLevelType w:val="hybridMultilevel"/>
    <w:tmpl w:val="88BADD40"/>
    <w:lvl w:ilvl="0" w:tplc="566A887A">
      <w:start w:val="1"/>
      <w:numFmt w:val="bullet"/>
      <w:lvlText w:val="­"/>
      <w:lvlJc w:val="left"/>
      <w:pPr>
        <w:ind w:left="360" w:hanging="360"/>
      </w:pPr>
      <w:rPr>
        <w:rFonts w:ascii="Arial" w:hAnsi="Arial" w:hint="default"/>
      </w:rPr>
    </w:lvl>
    <w:lvl w:ilvl="1" w:tplc="0C0C0003" w:tentative="1">
      <w:start w:val="1"/>
      <w:numFmt w:val="bullet"/>
      <w:lvlText w:val="o"/>
      <w:lvlJc w:val="left"/>
      <w:pPr>
        <w:ind w:left="1080" w:hanging="360"/>
      </w:pPr>
      <w:rPr>
        <w:rFonts w:ascii="Courier New" w:hAnsi="Courier New" w:cs="Courier New" w:hint="default"/>
      </w:rPr>
    </w:lvl>
    <w:lvl w:ilvl="2" w:tplc="0C0C0005" w:tentative="1">
      <w:start w:val="1"/>
      <w:numFmt w:val="bullet"/>
      <w:lvlText w:val=""/>
      <w:lvlJc w:val="left"/>
      <w:pPr>
        <w:ind w:left="1800" w:hanging="360"/>
      </w:pPr>
      <w:rPr>
        <w:rFonts w:ascii="Wingdings" w:hAnsi="Wingdings" w:hint="default"/>
      </w:rPr>
    </w:lvl>
    <w:lvl w:ilvl="3" w:tplc="0C0C0001" w:tentative="1">
      <w:start w:val="1"/>
      <w:numFmt w:val="bullet"/>
      <w:lvlText w:val=""/>
      <w:lvlJc w:val="left"/>
      <w:pPr>
        <w:ind w:left="2520" w:hanging="360"/>
      </w:pPr>
      <w:rPr>
        <w:rFonts w:ascii="Symbol" w:hAnsi="Symbol" w:hint="default"/>
      </w:rPr>
    </w:lvl>
    <w:lvl w:ilvl="4" w:tplc="0C0C0003" w:tentative="1">
      <w:start w:val="1"/>
      <w:numFmt w:val="bullet"/>
      <w:lvlText w:val="o"/>
      <w:lvlJc w:val="left"/>
      <w:pPr>
        <w:ind w:left="3240" w:hanging="360"/>
      </w:pPr>
      <w:rPr>
        <w:rFonts w:ascii="Courier New" w:hAnsi="Courier New" w:cs="Courier New" w:hint="default"/>
      </w:rPr>
    </w:lvl>
    <w:lvl w:ilvl="5" w:tplc="0C0C0005" w:tentative="1">
      <w:start w:val="1"/>
      <w:numFmt w:val="bullet"/>
      <w:lvlText w:val=""/>
      <w:lvlJc w:val="left"/>
      <w:pPr>
        <w:ind w:left="3960" w:hanging="360"/>
      </w:pPr>
      <w:rPr>
        <w:rFonts w:ascii="Wingdings" w:hAnsi="Wingdings" w:hint="default"/>
      </w:rPr>
    </w:lvl>
    <w:lvl w:ilvl="6" w:tplc="0C0C0001" w:tentative="1">
      <w:start w:val="1"/>
      <w:numFmt w:val="bullet"/>
      <w:lvlText w:val=""/>
      <w:lvlJc w:val="left"/>
      <w:pPr>
        <w:ind w:left="4680" w:hanging="360"/>
      </w:pPr>
      <w:rPr>
        <w:rFonts w:ascii="Symbol" w:hAnsi="Symbol" w:hint="default"/>
      </w:rPr>
    </w:lvl>
    <w:lvl w:ilvl="7" w:tplc="0C0C0003" w:tentative="1">
      <w:start w:val="1"/>
      <w:numFmt w:val="bullet"/>
      <w:lvlText w:val="o"/>
      <w:lvlJc w:val="left"/>
      <w:pPr>
        <w:ind w:left="5400" w:hanging="360"/>
      </w:pPr>
      <w:rPr>
        <w:rFonts w:ascii="Courier New" w:hAnsi="Courier New" w:cs="Courier New" w:hint="default"/>
      </w:rPr>
    </w:lvl>
    <w:lvl w:ilvl="8" w:tplc="0C0C0005" w:tentative="1">
      <w:start w:val="1"/>
      <w:numFmt w:val="bullet"/>
      <w:lvlText w:val=""/>
      <w:lvlJc w:val="left"/>
      <w:pPr>
        <w:ind w:left="6120" w:hanging="360"/>
      </w:pPr>
      <w:rPr>
        <w:rFonts w:ascii="Wingdings" w:hAnsi="Wingdings" w:hint="default"/>
      </w:rPr>
    </w:lvl>
  </w:abstractNum>
  <w:abstractNum w:abstractNumId="3" w15:restartNumberingAfterBreak="0">
    <w:nsid w:val="590D1169"/>
    <w:multiLevelType w:val="hybridMultilevel"/>
    <w:tmpl w:val="51602792"/>
    <w:lvl w:ilvl="0" w:tplc="566A887A">
      <w:start w:val="1"/>
      <w:numFmt w:val="bullet"/>
      <w:lvlText w:val="­"/>
      <w:lvlJc w:val="left"/>
      <w:pPr>
        <w:ind w:left="360" w:hanging="360"/>
      </w:pPr>
      <w:rPr>
        <w:rFonts w:ascii="Arial" w:hAnsi="Arial" w:hint="default"/>
      </w:rPr>
    </w:lvl>
    <w:lvl w:ilvl="1" w:tplc="0C0C0003" w:tentative="1">
      <w:start w:val="1"/>
      <w:numFmt w:val="bullet"/>
      <w:lvlText w:val="o"/>
      <w:lvlJc w:val="left"/>
      <w:pPr>
        <w:ind w:left="1080" w:hanging="360"/>
      </w:pPr>
      <w:rPr>
        <w:rFonts w:ascii="Courier New" w:hAnsi="Courier New" w:cs="Courier New" w:hint="default"/>
      </w:rPr>
    </w:lvl>
    <w:lvl w:ilvl="2" w:tplc="0C0C0005" w:tentative="1">
      <w:start w:val="1"/>
      <w:numFmt w:val="bullet"/>
      <w:lvlText w:val=""/>
      <w:lvlJc w:val="left"/>
      <w:pPr>
        <w:ind w:left="1800" w:hanging="360"/>
      </w:pPr>
      <w:rPr>
        <w:rFonts w:ascii="Wingdings" w:hAnsi="Wingdings" w:hint="default"/>
      </w:rPr>
    </w:lvl>
    <w:lvl w:ilvl="3" w:tplc="0C0C0001" w:tentative="1">
      <w:start w:val="1"/>
      <w:numFmt w:val="bullet"/>
      <w:lvlText w:val=""/>
      <w:lvlJc w:val="left"/>
      <w:pPr>
        <w:ind w:left="2520" w:hanging="360"/>
      </w:pPr>
      <w:rPr>
        <w:rFonts w:ascii="Symbol" w:hAnsi="Symbol" w:hint="default"/>
      </w:rPr>
    </w:lvl>
    <w:lvl w:ilvl="4" w:tplc="0C0C0003" w:tentative="1">
      <w:start w:val="1"/>
      <w:numFmt w:val="bullet"/>
      <w:lvlText w:val="o"/>
      <w:lvlJc w:val="left"/>
      <w:pPr>
        <w:ind w:left="3240" w:hanging="360"/>
      </w:pPr>
      <w:rPr>
        <w:rFonts w:ascii="Courier New" w:hAnsi="Courier New" w:cs="Courier New" w:hint="default"/>
      </w:rPr>
    </w:lvl>
    <w:lvl w:ilvl="5" w:tplc="0C0C0005" w:tentative="1">
      <w:start w:val="1"/>
      <w:numFmt w:val="bullet"/>
      <w:lvlText w:val=""/>
      <w:lvlJc w:val="left"/>
      <w:pPr>
        <w:ind w:left="3960" w:hanging="360"/>
      </w:pPr>
      <w:rPr>
        <w:rFonts w:ascii="Wingdings" w:hAnsi="Wingdings" w:hint="default"/>
      </w:rPr>
    </w:lvl>
    <w:lvl w:ilvl="6" w:tplc="0C0C0001" w:tentative="1">
      <w:start w:val="1"/>
      <w:numFmt w:val="bullet"/>
      <w:lvlText w:val=""/>
      <w:lvlJc w:val="left"/>
      <w:pPr>
        <w:ind w:left="4680" w:hanging="360"/>
      </w:pPr>
      <w:rPr>
        <w:rFonts w:ascii="Symbol" w:hAnsi="Symbol" w:hint="default"/>
      </w:rPr>
    </w:lvl>
    <w:lvl w:ilvl="7" w:tplc="0C0C0003" w:tentative="1">
      <w:start w:val="1"/>
      <w:numFmt w:val="bullet"/>
      <w:lvlText w:val="o"/>
      <w:lvlJc w:val="left"/>
      <w:pPr>
        <w:ind w:left="5400" w:hanging="360"/>
      </w:pPr>
      <w:rPr>
        <w:rFonts w:ascii="Courier New" w:hAnsi="Courier New" w:cs="Courier New" w:hint="default"/>
      </w:rPr>
    </w:lvl>
    <w:lvl w:ilvl="8" w:tplc="0C0C0005" w:tentative="1">
      <w:start w:val="1"/>
      <w:numFmt w:val="bullet"/>
      <w:lvlText w:val=""/>
      <w:lvlJc w:val="left"/>
      <w:pPr>
        <w:ind w:left="6120" w:hanging="360"/>
      </w:pPr>
      <w:rPr>
        <w:rFonts w:ascii="Wingdings" w:hAnsi="Wingdings" w:hint="default"/>
      </w:rPr>
    </w:lvl>
  </w:abstractNum>
  <w:abstractNum w:abstractNumId="4" w15:restartNumberingAfterBreak="0">
    <w:nsid w:val="6DD1284B"/>
    <w:multiLevelType w:val="hybridMultilevel"/>
    <w:tmpl w:val="1AFED00C"/>
    <w:lvl w:ilvl="0" w:tplc="0C0C0001">
      <w:start w:val="1"/>
      <w:numFmt w:val="bullet"/>
      <w:lvlText w:val=""/>
      <w:lvlJc w:val="left"/>
      <w:pPr>
        <w:ind w:left="1068" w:hanging="360"/>
      </w:pPr>
      <w:rPr>
        <w:rFonts w:ascii="Symbol" w:hAnsi="Symbol" w:hint="default"/>
      </w:rPr>
    </w:lvl>
    <w:lvl w:ilvl="1" w:tplc="0C0C0003" w:tentative="1">
      <w:start w:val="1"/>
      <w:numFmt w:val="bullet"/>
      <w:lvlText w:val="o"/>
      <w:lvlJc w:val="left"/>
      <w:pPr>
        <w:ind w:left="1788" w:hanging="360"/>
      </w:pPr>
      <w:rPr>
        <w:rFonts w:ascii="Courier New" w:hAnsi="Courier New" w:cs="Courier New" w:hint="default"/>
      </w:rPr>
    </w:lvl>
    <w:lvl w:ilvl="2" w:tplc="0C0C0005" w:tentative="1">
      <w:start w:val="1"/>
      <w:numFmt w:val="bullet"/>
      <w:lvlText w:val=""/>
      <w:lvlJc w:val="left"/>
      <w:pPr>
        <w:ind w:left="2508" w:hanging="360"/>
      </w:pPr>
      <w:rPr>
        <w:rFonts w:ascii="Wingdings" w:hAnsi="Wingdings" w:hint="default"/>
      </w:rPr>
    </w:lvl>
    <w:lvl w:ilvl="3" w:tplc="0C0C0001" w:tentative="1">
      <w:start w:val="1"/>
      <w:numFmt w:val="bullet"/>
      <w:lvlText w:val=""/>
      <w:lvlJc w:val="left"/>
      <w:pPr>
        <w:ind w:left="3228" w:hanging="360"/>
      </w:pPr>
      <w:rPr>
        <w:rFonts w:ascii="Symbol" w:hAnsi="Symbol" w:hint="default"/>
      </w:rPr>
    </w:lvl>
    <w:lvl w:ilvl="4" w:tplc="0C0C0003" w:tentative="1">
      <w:start w:val="1"/>
      <w:numFmt w:val="bullet"/>
      <w:lvlText w:val="o"/>
      <w:lvlJc w:val="left"/>
      <w:pPr>
        <w:ind w:left="3948" w:hanging="360"/>
      </w:pPr>
      <w:rPr>
        <w:rFonts w:ascii="Courier New" w:hAnsi="Courier New" w:cs="Courier New" w:hint="default"/>
      </w:rPr>
    </w:lvl>
    <w:lvl w:ilvl="5" w:tplc="0C0C0005" w:tentative="1">
      <w:start w:val="1"/>
      <w:numFmt w:val="bullet"/>
      <w:lvlText w:val=""/>
      <w:lvlJc w:val="left"/>
      <w:pPr>
        <w:ind w:left="4668" w:hanging="360"/>
      </w:pPr>
      <w:rPr>
        <w:rFonts w:ascii="Wingdings" w:hAnsi="Wingdings" w:hint="default"/>
      </w:rPr>
    </w:lvl>
    <w:lvl w:ilvl="6" w:tplc="0C0C0001" w:tentative="1">
      <w:start w:val="1"/>
      <w:numFmt w:val="bullet"/>
      <w:lvlText w:val=""/>
      <w:lvlJc w:val="left"/>
      <w:pPr>
        <w:ind w:left="5388" w:hanging="360"/>
      </w:pPr>
      <w:rPr>
        <w:rFonts w:ascii="Symbol" w:hAnsi="Symbol" w:hint="default"/>
      </w:rPr>
    </w:lvl>
    <w:lvl w:ilvl="7" w:tplc="0C0C0003" w:tentative="1">
      <w:start w:val="1"/>
      <w:numFmt w:val="bullet"/>
      <w:lvlText w:val="o"/>
      <w:lvlJc w:val="left"/>
      <w:pPr>
        <w:ind w:left="6108" w:hanging="360"/>
      </w:pPr>
      <w:rPr>
        <w:rFonts w:ascii="Courier New" w:hAnsi="Courier New" w:cs="Courier New" w:hint="default"/>
      </w:rPr>
    </w:lvl>
    <w:lvl w:ilvl="8" w:tplc="0C0C0005" w:tentative="1">
      <w:start w:val="1"/>
      <w:numFmt w:val="bullet"/>
      <w:lvlText w:val=""/>
      <w:lvlJc w:val="left"/>
      <w:pPr>
        <w:ind w:left="6828" w:hanging="360"/>
      </w:pPr>
      <w:rPr>
        <w:rFonts w:ascii="Wingdings" w:hAnsi="Wingdings" w:hint="default"/>
      </w:rPr>
    </w:lvl>
  </w:abstractNum>
  <w:abstractNum w:abstractNumId="5" w15:restartNumberingAfterBreak="0">
    <w:nsid w:val="6F030813"/>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6" w15:restartNumberingAfterBreak="0">
    <w:nsid w:val="732348AF"/>
    <w:multiLevelType w:val="hybridMultilevel"/>
    <w:tmpl w:val="54C694AE"/>
    <w:lvl w:ilvl="0" w:tplc="0C0C0001">
      <w:start w:val="1"/>
      <w:numFmt w:val="bullet"/>
      <w:lvlText w:val=""/>
      <w:lvlJc w:val="left"/>
      <w:pPr>
        <w:ind w:left="1440" w:hanging="360"/>
      </w:pPr>
      <w:rPr>
        <w:rFonts w:ascii="Symbol" w:hAnsi="Symbol" w:hint="default"/>
      </w:rPr>
    </w:lvl>
    <w:lvl w:ilvl="1" w:tplc="0C0C0003">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7" w15:restartNumberingAfterBreak="0">
    <w:nsid w:val="737A6EAF"/>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8" w15:restartNumberingAfterBreak="0">
    <w:nsid w:val="75917C39"/>
    <w:multiLevelType w:val="multilevel"/>
    <w:tmpl w:val="0042494C"/>
    <w:lvl w:ilvl="0">
      <w:start w:val="1"/>
      <w:numFmt w:val="decimal"/>
      <w:lvlText w:val="[%1]"/>
      <w:lvlJc w:val="left"/>
      <w:pPr>
        <w:tabs>
          <w:tab w:val="num" w:pos="720"/>
        </w:tabs>
        <w:ind w:left="720" w:hanging="72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pStyle w:val="Titre5"/>
      <w:suff w:val="nothing"/>
      <w:lvlText w:val=""/>
      <w:lvlJc w:val="left"/>
      <w:pPr>
        <w:ind w:left="0" w:firstLine="0"/>
      </w:pPr>
      <w:rPr>
        <w:rFonts w:hint="default"/>
      </w:rPr>
    </w:lvl>
    <w:lvl w:ilvl="5">
      <w:start w:val="1"/>
      <w:numFmt w:val="none"/>
      <w:pStyle w:val="Titre6"/>
      <w:suff w:val="nothing"/>
      <w:lvlText w:val=""/>
      <w:lvlJc w:val="left"/>
      <w:pPr>
        <w:ind w:left="0" w:firstLine="0"/>
      </w:pPr>
      <w:rPr>
        <w:rFonts w:hint="default"/>
      </w:rPr>
    </w:lvl>
    <w:lvl w:ilvl="6">
      <w:start w:val="1"/>
      <w:numFmt w:val="none"/>
      <w:pStyle w:val="Titre7"/>
      <w:suff w:val="nothing"/>
      <w:lvlText w:val=""/>
      <w:lvlJc w:val="left"/>
      <w:pPr>
        <w:ind w:left="0" w:firstLine="0"/>
      </w:pPr>
      <w:rPr>
        <w:rFonts w:hint="default"/>
      </w:rPr>
    </w:lvl>
    <w:lvl w:ilvl="7">
      <w:start w:val="1"/>
      <w:numFmt w:val="none"/>
      <w:pStyle w:val="Titre8"/>
      <w:suff w:val="nothing"/>
      <w:lvlText w:val=""/>
      <w:lvlJc w:val="left"/>
      <w:pPr>
        <w:ind w:left="0" w:firstLine="0"/>
      </w:pPr>
      <w:rPr>
        <w:rFonts w:hint="default"/>
      </w:rPr>
    </w:lvl>
    <w:lvl w:ilvl="8">
      <w:start w:val="1"/>
      <w:numFmt w:val="none"/>
      <w:pStyle w:val="Titre9"/>
      <w:suff w:val="nothing"/>
      <w:lvlText w:val=""/>
      <w:lvlJc w:val="left"/>
      <w:pPr>
        <w:ind w:left="0" w:firstLine="0"/>
      </w:pPr>
      <w:rPr>
        <w:rFonts w:hint="default"/>
      </w:rPr>
    </w:lvl>
  </w:abstractNum>
  <w:abstractNum w:abstractNumId="9" w15:restartNumberingAfterBreak="0">
    <w:nsid w:val="76556088"/>
    <w:multiLevelType w:val="multilevel"/>
    <w:tmpl w:val="74FA30DC"/>
    <w:lvl w:ilvl="0">
      <w:start w:val="1"/>
      <w:numFmt w:val="decimal"/>
      <w:pStyle w:val="corpsdedcision"/>
      <w:lvlText w:val="[%1]"/>
      <w:lvlJc w:val="left"/>
      <w:pPr>
        <w:tabs>
          <w:tab w:val="num" w:pos="360"/>
        </w:tabs>
        <w:ind w:left="0" w:firstLine="0"/>
      </w:pPr>
    </w:lvl>
    <w:lvl w:ilvl="1">
      <w:start w:val="1"/>
      <w:numFmt w:val="decimal"/>
      <w:lvlRestart w:val="0"/>
      <w:lvlText w:val="[%1.%2]"/>
      <w:lvlJc w:val="left"/>
      <w:pPr>
        <w:tabs>
          <w:tab w:val="num" w:pos="1080"/>
        </w:tabs>
        <w:ind w:left="360" w:firstLine="0"/>
      </w:pPr>
    </w:lvl>
    <w:lvl w:ilvl="2">
      <w:start w:val="1"/>
      <w:numFmt w:val="decimal"/>
      <w:lvlRestart w:val="0"/>
      <w:lvlText w:val="[%1.%2.%3]"/>
      <w:lvlJc w:val="left"/>
      <w:pPr>
        <w:tabs>
          <w:tab w:val="num" w:pos="1440"/>
        </w:tabs>
        <w:ind w:left="720" w:firstLine="0"/>
      </w:pPr>
    </w:lvl>
    <w:lvl w:ilvl="3">
      <w:start w:val="1"/>
      <w:numFmt w:val="decimal"/>
      <w:lvlRestart w:val="0"/>
      <w:lvlText w:val="[%1.%2.%3.%4]"/>
      <w:lvlJc w:val="left"/>
      <w:pPr>
        <w:tabs>
          <w:tab w:val="num" w:pos="2160"/>
        </w:tabs>
        <w:ind w:left="1080" w:firstLine="0"/>
      </w:pPr>
    </w:lvl>
    <w:lvl w:ilvl="4">
      <w:start w:val="1"/>
      <w:numFmt w:val="decimal"/>
      <w:lvlRestart w:val="0"/>
      <w:lvlText w:val="[%1.%2.%3.%4.%5]"/>
      <w:lvlJc w:val="left"/>
      <w:pPr>
        <w:tabs>
          <w:tab w:val="num" w:pos="2520"/>
        </w:tabs>
        <w:ind w:left="2232" w:hanging="792"/>
      </w:pPr>
    </w:lvl>
    <w:lvl w:ilvl="5">
      <w:start w:val="1"/>
      <w:numFmt w:val="decimal"/>
      <w:lvlRestart w:val="0"/>
      <w:lvlText w:val="[%1.%2.%3.%4.%5.%6]"/>
      <w:lvlJc w:val="left"/>
      <w:pPr>
        <w:tabs>
          <w:tab w:val="num" w:pos="3240"/>
        </w:tabs>
        <w:ind w:left="2736" w:hanging="936"/>
      </w:pPr>
    </w:lvl>
    <w:lvl w:ilvl="6">
      <w:start w:val="1"/>
      <w:numFmt w:val="decimal"/>
      <w:lvlRestart w:val="0"/>
      <w:lvlText w:val="[%1.%2.%3.%4.%5.%6.%7]"/>
      <w:lvlJc w:val="left"/>
      <w:pPr>
        <w:tabs>
          <w:tab w:val="num" w:pos="3600"/>
        </w:tabs>
        <w:ind w:left="3240" w:hanging="1080"/>
      </w:pPr>
    </w:lvl>
    <w:lvl w:ilvl="7">
      <w:start w:val="1"/>
      <w:numFmt w:val="decimal"/>
      <w:lvlRestart w:val="0"/>
      <w:lvlText w:val="[%1.%2.%3.%4.%5.%6.%7.%8]"/>
      <w:lvlJc w:val="left"/>
      <w:pPr>
        <w:tabs>
          <w:tab w:val="num" w:pos="4320"/>
        </w:tabs>
        <w:ind w:left="3744" w:hanging="1224"/>
      </w:pPr>
    </w:lvl>
    <w:lvl w:ilvl="8">
      <w:start w:val="1"/>
      <w:numFmt w:val="decimal"/>
      <w:lvlRestart w:val="0"/>
      <w:lvlText w:val="[%1.%2.%3.%4.%5.%6.%7.%8.%9]"/>
      <w:lvlJc w:val="left"/>
      <w:pPr>
        <w:tabs>
          <w:tab w:val="num" w:pos="4680"/>
        </w:tabs>
        <w:ind w:left="4320" w:hanging="1440"/>
      </w:pPr>
    </w:lvl>
  </w:abstractNum>
  <w:abstractNum w:abstractNumId="10" w15:restartNumberingAfterBreak="0">
    <w:nsid w:val="78D6079A"/>
    <w:multiLevelType w:val="hybridMultilevel"/>
    <w:tmpl w:val="80AE0E1E"/>
    <w:lvl w:ilvl="0" w:tplc="22AEE0D8">
      <w:start w:val="1"/>
      <w:numFmt w:val="lowerLetter"/>
      <w:lvlText w:val="%1."/>
      <w:lvlJc w:val="left"/>
      <w:pPr>
        <w:ind w:left="1210" w:hanging="360"/>
      </w:pPr>
      <w:rPr>
        <w:rFonts w:hint="default"/>
      </w:rPr>
    </w:lvl>
    <w:lvl w:ilvl="1" w:tplc="0C0C0019" w:tentative="1">
      <w:start w:val="1"/>
      <w:numFmt w:val="lowerLetter"/>
      <w:lvlText w:val="%2."/>
      <w:lvlJc w:val="left"/>
      <w:pPr>
        <w:ind w:left="1930" w:hanging="360"/>
      </w:pPr>
    </w:lvl>
    <w:lvl w:ilvl="2" w:tplc="0C0C001B" w:tentative="1">
      <w:start w:val="1"/>
      <w:numFmt w:val="lowerRoman"/>
      <w:lvlText w:val="%3."/>
      <w:lvlJc w:val="right"/>
      <w:pPr>
        <w:ind w:left="2650" w:hanging="180"/>
      </w:pPr>
    </w:lvl>
    <w:lvl w:ilvl="3" w:tplc="0C0C000F" w:tentative="1">
      <w:start w:val="1"/>
      <w:numFmt w:val="decimal"/>
      <w:lvlText w:val="%4."/>
      <w:lvlJc w:val="left"/>
      <w:pPr>
        <w:ind w:left="3370" w:hanging="360"/>
      </w:pPr>
    </w:lvl>
    <w:lvl w:ilvl="4" w:tplc="0C0C0019" w:tentative="1">
      <w:start w:val="1"/>
      <w:numFmt w:val="lowerLetter"/>
      <w:lvlText w:val="%5."/>
      <w:lvlJc w:val="left"/>
      <w:pPr>
        <w:ind w:left="4090" w:hanging="360"/>
      </w:pPr>
    </w:lvl>
    <w:lvl w:ilvl="5" w:tplc="0C0C001B" w:tentative="1">
      <w:start w:val="1"/>
      <w:numFmt w:val="lowerRoman"/>
      <w:lvlText w:val="%6."/>
      <w:lvlJc w:val="right"/>
      <w:pPr>
        <w:ind w:left="4810" w:hanging="180"/>
      </w:pPr>
    </w:lvl>
    <w:lvl w:ilvl="6" w:tplc="0C0C000F" w:tentative="1">
      <w:start w:val="1"/>
      <w:numFmt w:val="decimal"/>
      <w:lvlText w:val="%7."/>
      <w:lvlJc w:val="left"/>
      <w:pPr>
        <w:ind w:left="5530" w:hanging="360"/>
      </w:pPr>
    </w:lvl>
    <w:lvl w:ilvl="7" w:tplc="0C0C0019" w:tentative="1">
      <w:start w:val="1"/>
      <w:numFmt w:val="lowerLetter"/>
      <w:lvlText w:val="%8."/>
      <w:lvlJc w:val="left"/>
      <w:pPr>
        <w:ind w:left="6250" w:hanging="360"/>
      </w:pPr>
    </w:lvl>
    <w:lvl w:ilvl="8" w:tplc="0C0C001B" w:tentative="1">
      <w:start w:val="1"/>
      <w:numFmt w:val="lowerRoman"/>
      <w:lvlText w:val="%9."/>
      <w:lvlJc w:val="right"/>
      <w:pPr>
        <w:ind w:left="6970" w:hanging="180"/>
      </w:pPr>
    </w:lvl>
  </w:abstractNum>
  <w:abstractNum w:abstractNumId="11" w15:restartNumberingAfterBreak="0">
    <w:nsid w:val="7BB76507"/>
    <w:multiLevelType w:val="multilevel"/>
    <w:tmpl w:val="F20E889A"/>
    <w:lvl w:ilvl="0">
      <w:start w:val="1"/>
      <w:numFmt w:val="decimal"/>
      <w:pStyle w:val="Paragraphe"/>
      <w:lvlText w:val="[%1]"/>
      <w:lvlJc w:val="left"/>
      <w:pPr>
        <w:tabs>
          <w:tab w:val="num" w:pos="720"/>
        </w:tabs>
        <w:ind w:left="720" w:hanging="720"/>
      </w:pPr>
      <w:rPr>
        <w:rFonts w:hint="default"/>
      </w:rPr>
    </w:lvl>
    <w:lvl w:ilvl="1">
      <w:start w:val="1"/>
      <w:numFmt w:val="decimal"/>
      <w:pStyle w:val="Sous-paragraphe"/>
      <w:lvlText w:val="%1.%2."/>
      <w:lvlJc w:val="left"/>
      <w:pPr>
        <w:tabs>
          <w:tab w:val="num" w:pos="792"/>
        </w:tabs>
        <w:ind w:left="792" w:hanging="432"/>
      </w:pPr>
      <w:rPr>
        <w:rFonts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12" w15:restartNumberingAfterBreak="0">
    <w:nsid w:val="7E20553B"/>
    <w:multiLevelType w:val="hybridMultilevel"/>
    <w:tmpl w:val="255C9514"/>
    <w:lvl w:ilvl="0" w:tplc="566A887A">
      <w:start w:val="1"/>
      <w:numFmt w:val="bullet"/>
      <w:lvlText w:val="­"/>
      <w:lvlJc w:val="left"/>
      <w:pPr>
        <w:ind w:left="1080" w:hanging="360"/>
      </w:pPr>
      <w:rPr>
        <w:rFonts w:ascii="Arial" w:hAnsi="Arial" w:hint="default"/>
      </w:rPr>
    </w:lvl>
    <w:lvl w:ilvl="1" w:tplc="0C0C0003" w:tentative="1">
      <w:start w:val="1"/>
      <w:numFmt w:val="bullet"/>
      <w:lvlText w:val="o"/>
      <w:lvlJc w:val="left"/>
      <w:pPr>
        <w:ind w:left="1800" w:hanging="360"/>
      </w:pPr>
      <w:rPr>
        <w:rFonts w:ascii="Courier New" w:hAnsi="Courier New" w:cs="Courier New" w:hint="default"/>
      </w:rPr>
    </w:lvl>
    <w:lvl w:ilvl="2" w:tplc="0C0C0005" w:tentative="1">
      <w:start w:val="1"/>
      <w:numFmt w:val="bullet"/>
      <w:lvlText w:val=""/>
      <w:lvlJc w:val="left"/>
      <w:pPr>
        <w:ind w:left="2520" w:hanging="360"/>
      </w:pPr>
      <w:rPr>
        <w:rFonts w:ascii="Wingdings" w:hAnsi="Wingdings" w:hint="default"/>
      </w:rPr>
    </w:lvl>
    <w:lvl w:ilvl="3" w:tplc="0C0C0001" w:tentative="1">
      <w:start w:val="1"/>
      <w:numFmt w:val="bullet"/>
      <w:lvlText w:val=""/>
      <w:lvlJc w:val="left"/>
      <w:pPr>
        <w:ind w:left="3240" w:hanging="360"/>
      </w:pPr>
      <w:rPr>
        <w:rFonts w:ascii="Symbol" w:hAnsi="Symbol" w:hint="default"/>
      </w:rPr>
    </w:lvl>
    <w:lvl w:ilvl="4" w:tplc="0C0C0003" w:tentative="1">
      <w:start w:val="1"/>
      <w:numFmt w:val="bullet"/>
      <w:lvlText w:val="o"/>
      <w:lvlJc w:val="left"/>
      <w:pPr>
        <w:ind w:left="3960" w:hanging="360"/>
      </w:pPr>
      <w:rPr>
        <w:rFonts w:ascii="Courier New" w:hAnsi="Courier New" w:cs="Courier New" w:hint="default"/>
      </w:rPr>
    </w:lvl>
    <w:lvl w:ilvl="5" w:tplc="0C0C0005" w:tentative="1">
      <w:start w:val="1"/>
      <w:numFmt w:val="bullet"/>
      <w:lvlText w:val=""/>
      <w:lvlJc w:val="left"/>
      <w:pPr>
        <w:ind w:left="4680" w:hanging="360"/>
      </w:pPr>
      <w:rPr>
        <w:rFonts w:ascii="Wingdings" w:hAnsi="Wingdings" w:hint="default"/>
      </w:rPr>
    </w:lvl>
    <w:lvl w:ilvl="6" w:tplc="0C0C0001" w:tentative="1">
      <w:start w:val="1"/>
      <w:numFmt w:val="bullet"/>
      <w:lvlText w:val=""/>
      <w:lvlJc w:val="left"/>
      <w:pPr>
        <w:ind w:left="5400" w:hanging="360"/>
      </w:pPr>
      <w:rPr>
        <w:rFonts w:ascii="Symbol" w:hAnsi="Symbol" w:hint="default"/>
      </w:rPr>
    </w:lvl>
    <w:lvl w:ilvl="7" w:tplc="0C0C0003" w:tentative="1">
      <w:start w:val="1"/>
      <w:numFmt w:val="bullet"/>
      <w:lvlText w:val="o"/>
      <w:lvlJc w:val="left"/>
      <w:pPr>
        <w:ind w:left="6120" w:hanging="360"/>
      </w:pPr>
      <w:rPr>
        <w:rFonts w:ascii="Courier New" w:hAnsi="Courier New" w:cs="Courier New" w:hint="default"/>
      </w:rPr>
    </w:lvl>
    <w:lvl w:ilvl="8" w:tplc="0C0C0005" w:tentative="1">
      <w:start w:val="1"/>
      <w:numFmt w:val="bullet"/>
      <w:lvlText w:val=""/>
      <w:lvlJc w:val="left"/>
      <w:pPr>
        <w:ind w:left="6840" w:hanging="360"/>
      </w:pPr>
      <w:rPr>
        <w:rFonts w:ascii="Wingdings" w:hAnsi="Wingdings" w:hint="default"/>
      </w:rPr>
    </w:lvl>
  </w:abstractNum>
  <w:abstractNum w:abstractNumId="13" w15:restartNumberingAfterBreak="0">
    <w:nsid w:val="7F703078"/>
    <w:multiLevelType w:val="hybridMultilevel"/>
    <w:tmpl w:val="3DBA7590"/>
    <w:lvl w:ilvl="0" w:tplc="0C0C0001">
      <w:start w:val="1"/>
      <w:numFmt w:val="bullet"/>
      <w:lvlText w:val=""/>
      <w:lvlJc w:val="left"/>
      <w:pPr>
        <w:ind w:left="1069" w:hanging="360"/>
      </w:pPr>
      <w:rPr>
        <w:rFonts w:ascii="Symbol" w:hAnsi="Symbol" w:hint="default"/>
      </w:rPr>
    </w:lvl>
    <w:lvl w:ilvl="1" w:tplc="0C0C0003" w:tentative="1">
      <w:start w:val="1"/>
      <w:numFmt w:val="bullet"/>
      <w:lvlText w:val="o"/>
      <w:lvlJc w:val="left"/>
      <w:pPr>
        <w:ind w:left="1789" w:hanging="360"/>
      </w:pPr>
      <w:rPr>
        <w:rFonts w:ascii="Courier New" w:hAnsi="Courier New" w:cs="Courier New" w:hint="default"/>
      </w:rPr>
    </w:lvl>
    <w:lvl w:ilvl="2" w:tplc="0C0C0005" w:tentative="1">
      <w:start w:val="1"/>
      <w:numFmt w:val="bullet"/>
      <w:lvlText w:val=""/>
      <w:lvlJc w:val="left"/>
      <w:pPr>
        <w:ind w:left="2509" w:hanging="360"/>
      </w:pPr>
      <w:rPr>
        <w:rFonts w:ascii="Wingdings" w:hAnsi="Wingdings" w:hint="default"/>
      </w:rPr>
    </w:lvl>
    <w:lvl w:ilvl="3" w:tplc="0C0C0001" w:tentative="1">
      <w:start w:val="1"/>
      <w:numFmt w:val="bullet"/>
      <w:lvlText w:val=""/>
      <w:lvlJc w:val="left"/>
      <w:pPr>
        <w:ind w:left="3229" w:hanging="360"/>
      </w:pPr>
      <w:rPr>
        <w:rFonts w:ascii="Symbol" w:hAnsi="Symbol" w:hint="default"/>
      </w:rPr>
    </w:lvl>
    <w:lvl w:ilvl="4" w:tplc="0C0C0003" w:tentative="1">
      <w:start w:val="1"/>
      <w:numFmt w:val="bullet"/>
      <w:lvlText w:val="o"/>
      <w:lvlJc w:val="left"/>
      <w:pPr>
        <w:ind w:left="3949" w:hanging="360"/>
      </w:pPr>
      <w:rPr>
        <w:rFonts w:ascii="Courier New" w:hAnsi="Courier New" w:cs="Courier New" w:hint="default"/>
      </w:rPr>
    </w:lvl>
    <w:lvl w:ilvl="5" w:tplc="0C0C0005" w:tentative="1">
      <w:start w:val="1"/>
      <w:numFmt w:val="bullet"/>
      <w:lvlText w:val=""/>
      <w:lvlJc w:val="left"/>
      <w:pPr>
        <w:ind w:left="4669" w:hanging="360"/>
      </w:pPr>
      <w:rPr>
        <w:rFonts w:ascii="Wingdings" w:hAnsi="Wingdings" w:hint="default"/>
      </w:rPr>
    </w:lvl>
    <w:lvl w:ilvl="6" w:tplc="0C0C0001" w:tentative="1">
      <w:start w:val="1"/>
      <w:numFmt w:val="bullet"/>
      <w:lvlText w:val=""/>
      <w:lvlJc w:val="left"/>
      <w:pPr>
        <w:ind w:left="5389" w:hanging="360"/>
      </w:pPr>
      <w:rPr>
        <w:rFonts w:ascii="Symbol" w:hAnsi="Symbol" w:hint="default"/>
      </w:rPr>
    </w:lvl>
    <w:lvl w:ilvl="7" w:tplc="0C0C0003" w:tentative="1">
      <w:start w:val="1"/>
      <w:numFmt w:val="bullet"/>
      <w:lvlText w:val="o"/>
      <w:lvlJc w:val="left"/>
      <w:pPr>
        <w:ind w:left="6109" w:hanging="360"/>
      </w:pPr>
      <w:rPr>
        <w:rFonts w:ascii="Courier New" w:hAnsi="Courier New" w:cs="Courier New" w:hint="default"/>
      </w:rPr>
    </w:lvl>
    <w:lvl w:ilvl="8" w:tplc="0C0C0005" w:tentative="1">
      <w:start w:val="1"/>
      <w:numFmt w:val="bullet"/>
      <w:lvlText w:val=""/>
      <w:lvlJc w:val="left"/>
      <w:pPr>
        <w:ind w:left="6829" w:hanging="360"/>
      </w:pPr>
      <w:rPr>
        <w:rFonts w:ascii="Wingdings" w:hAnsi="Wingdings" w:hint="default"/>
      </w:rPr>
    </w:lvl>
  </w:abstractNum>
  <w:num w:numId="1">
    <w:abstractNumId w:val="9"/>
  </w:num>
  <w:num w:numId="2">
    <w:abstractNumId w:val="8"/>
  </w:num>
  <w:num w:numId="3">
    <w:abstractNumId w:val="7"/>
  </w:num>
  <w:num w:numId="4">
    <w:abstractNumId w:val="5"/>
  </w:num>
  <w:num w:numId="5">
    <w:abstractNumId w:val="11"/>
  </w:num>
  <w:num w:numId="6">
    <w:abstractNumId w:val="11"/>
  </w:num>
  <w:num w:numId="7">
    <w:abstractNumId w:val="0"/>
  </w:num>
  <w:num w:numId="8">
    <w:abstractNumId w:val="4"/>
  </w:num>
  <w:num w:numId="9">
    <w:abstractNumId w:val="1"/>
  </w:num>
  <w:num w:numId="10">
    <w:abstractNumId w:val="10"/>
  </w:num>
  <w:num w:numId="11">
    <w:abstractNumId w:val="6"/>
  </w:num>
  <w:num w:numId="12">
    <w:abstractNumId w:val="13"/>
  </w:num>
  <w:num w:numId="13">
    <w:abstractNumId w:val="12"/>
  </w:num>
  <w:num w:numId="14">
    <w:abstractNumId w:val="2"/>
  </w:num>
  <w:num w:numId="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63C6"/>
    <w:rsid w:val="000034B0"/>
    <w:rsid w:val="000041A1"/>
    <w:rsid w:val="00006DD2"/>
    <w:rsid w:val="0001305E"/>
    <w:rsid w:val="00016D99"/>
    <w:rsid w:val="00021B30"/>
    <w:rsid w:val="00021E4C"/>
    <w:rsid w:val="00022556"/>
    <w:rsid w:val="00023858"/>
    <w:rsid w:val="000352CA"/>
    <w:rsid w:val="000366EC"/>
    <w:rsid w:val="00036794"/>
    <w:rsid w:val="00040B4E"/>
    <w:rsid w:val="00042B87"/>
    <w:rsid w:val="00043E4D"/>
    <w:rsid w:val="000536CC"/>
    <w:rsid w:val="00054A5B"/>
    <w:rsid w:val="000559A8"/>
    <w:rsid w:val="00055A3E"/>
    <w:rsid w:val="00056393"/>
    <w:rsid w:val="00057739"/>
    <w:rsid w:val="0007225E"/>
    <w:rsid w:val="00074ABE"/>
    <w:rsid w:val="00074EAE"/>
    <w:rsid w:val="000756D0"/>
    <w:rsid w:val="00076D81"/>
    <w:rsid w:val="00080885"/>
    <w:rsid w:val="00082A97"/>
    <w:rsid w:val="0008378A"/>
    <w:rsid w:val="00085AE6"/>
    <w:rsid w:val="0008784D"/>
    <w:rsid w:val="00090018"/>
    <w:rsid w:val="00090306"/>
    <w:rsid w:val="00090F69"/>
    <w:rsid w:val="000922F5"/>
    <w:rsid w:val="00093ACD"/>
    <w:rsid w:val="00095814"/>
    <w:rsid w:val="00097D81"/>
    <w:rsid w:val="00097FCE"/>
    <w:rsid w:val="000A1DAC"/>
    <w:rsid w:val="000A4AD0"/>
    <w:rsid w:val="000A5AD1"/>
    <w:rsid w:val="000A63DF"/>
    <w:rsid w:val="000A77C5"/>
    <w:rsid w:val="000B4A6C"/>
    <w:rsid w:val="000B6275"/>
    <w:rsid w:val="000B7F1B"/>
    <w:rsid w:val="000C0073"/>
    <w:rsid w:val="000C710F"/>
    <w:rsid w:val="000D3948"/>
    <w:rsid w:val="000E0C28"/>
    <w:rsid w:val="000E0C3A"/>
    <w:rsid w:val="000E1320"/>
    <w:rsid w:val="000E396F"/>
    <w:rsid w:val="000E3FF6"/>
    <w:rsid w:val="000E4F7E"/>
    <w:rsid w:val="000E56A6"/>
    <w:rsid w:val="000F20A5"/>
    <w:rsid w:val="000F3423"/>
    <w:rsid w:val="000F5F81"/>
    <w:rsid w:val="00100AB8"/>
    <w:rsid w:val="0010380A"/>
    <w:rsid w:val="0010394F"/>
    <w:rsid w:val="00104550"/>
    <w:rsid w:val="00104C3D"/>
    <w:rsid w:val="001050B4"/>
    <w:rsid w:val="001144AB"/>
    <w:rsid w:val="0012224D"/>
    <w:rsid w:val="001225BC"/>
    <w:rsid w:val="00122A9E"/>
    <w:rsid w:val="00122F94"/>
    <w:rsid w:val="0012326A"/>
    <w:rsid w:val="0013146A"/>
    <w:rsid w:val="00132622"/>
    <w:rsid w:val="00137E7E"/>
    <w:rsid w:val="001407FC"/>
    <w:rsid w:val="00143B61"/>
    <w:rsid w:val="00144572"/>
    <w:rsid w:val="00144C34"/>
    <w:rsid w:val="00146116"/>
    <w:rsid w:val="00147A49"/>
    <w:rsid w:val="00147B8B"/>
    <w:rsid w:val="0015125A"/>
    <w:rsid w:val="00151EB7"/>
    <w:rsid w:val="00152464"/>
    <w:rsid w:val="0015539F"/>
    <w:rsid w:val="00160597"/>
    <w:rsid w:val="00162ECC"/>
    <w:rsid w:val="00163141"/>
    <w:rsid w:val="001664C8"/>
    <w:rsid w:val="00167AD0"/>
    <w:rsid w:val="00167DEF"/>
    <w:rsid w:val="00167E9D"/>
    <w:rsid w:val="00170BF9"/>
    <w:rsid w:val="00173184"/>
    <w:rsid w:val="00175079"/>
    <w:rsid w:val="001761B9"/>
    <w:rsid w:val="00182633"/>
    <w:rsid w:val="00183515"/>
    <w:rsid w:val="001846FC"/>
    <w:rsid w:val="001924FE"/>
    <w:rsid w:val="001965E1"/>
    <w:rsid w:val="001A03BE"/>
    <w:rsid w:val="001A067E"/>
    <w:rsid w:val="001A2900"/>
    <w:rsid w:val="001A29B3"/>
    <w:rsid w:val="001A4081"/>
    <w:rsid w:val="001A65F1"/>
    <w:rsid w:val="001A6F4C"/>
    <w:rsid w:val="001B2B40"/>
    <w:rsid w:val="001B3E72"/>
    <w:rsid w:val="001B3E9D"/>
    <w:rsid w:val="001B4A40"/>
    <w:rsid w:val="001B5524"/>
    <w:rsid w:val="001B6D8A"/>
    <w:rsid w:val="001C19D4"/>
    <w:rsid w:val="001C2B0B"/>
    <w:rsid w:val="001C436D"/>
    <w:rsid w:val="001D2E82"/>
    <w:rsid w:val="001D63C8"/>
    <w:rsid w:val="001D65D8"/>
    <w:rsid w:val="001E3DFD"/>
    <w:rsid w:val="001E42F0"/>
    <w:rsid w:val="001E497A"/>
    <w:rsid w:val="001E5E3B"/>
    <w:rsid w:val="001F2F3E"/>
    <w:rsid w:val="002152C9"/>
    <w:rsid w:val="00215891"/>
    <w:rsid w:val="00217635"/>
    <w:rsid w:val="0022204D"/>
    <w:rsid w:val="00225C46"/>
    <w:rsid w:val="00226493"/>
    <w:rsid w:val="00227040"/>
    <w:rsid w:val="00230CFC"/>
    <w:rsid w:val="0023162A"/>
    <w:rsid w:val="00231C1D"/>
    <w:rsid w:val="00233532"/>
    <w:rsid w:val="00234BC8"/>
    <w:rsid w:val="002359CC"/>
    <w:rsid w:val="00241CED"/>
    <w:rsid w:val="00242FB4"/>
    <w:rsid w:val="00245605"/>
    <w:rsid w:val="002526E3"/>
    <w:rsid w:val="002542E0"/>
    <w:rsid w:val="002563F0"/>
    <w:rsid w:val="00256DBB"/>
    <w:rsid w:val="00260119"/>
    <w:rsid w:val="00262803"/>
    <w:rsid w:val="00266064"/>
    <w:rsid w:val="00267629"/>
    <w:rsid w:val="00267C8D"/>
    <w:rsid w:val="002701DD"/>
    <w:rsid w:val="002710FD"/>
    <w:rsid w:val="0027377B"/>
    <w:rsid w:val="00273F49"/>
    <w:rsid w:val="002769B5"/>
    <w:rsid w:val="00276B25"/>
    <w:rsid w:val="00276B59"/>
    <w:rsid w:val="00281319"/>
    <w:rsid w:val="00286149"/>
    <w:rsid w:val="0028668D"/>
    <w:rsid w:val="00287BA6"/>
    <w:rsid w:val="00290289"/>
    <w:rsid w:val="00292188"/>
    <w:rsid w:val="002923D9"/>
    <w:rsid w:val="00296645"/>
    <w:rsid w:val="00296A4B"/>
    <w:rsid w:val="00297284"/>
    <w:rsid w:val="002A0077"/>
    <w:rsid w:val="002A07DC"/>
    <w:rsid w:val="002A3573"/>
    <w:rsid w:val="002A374B"/>
    <w:rsid w:val="002A73E9"/>
    <w:rsid w:val="002B132B"/>
    <w:rsid w:val="002B2DE7"/>
    <w:rsid w:val="002B2FC3"/>
    <w:rsid w:val="002B35F0"/>
    <w:rsid w:val="002B55FF"/>
    <w:rsid w:val="002B58AF"/>
    <w:rsid w:val="002C3748"/>
    <w:rsid w:val="002C5E89"/>
    <w:rsid w:val="002D0D6A"/>
    <w:rsid w:val="002D42BC"/>
    <w:rsid w:val="002D71A9"/>
    <w:rsid w:val="002D75A6"/>
    <w:rsid w:val="002D7846"/>
    <w:rsid w:val="002D7FCB"/>
    <w:rsid w:val="002E05AE"/>
    <w:rsid w:val="002E0613"/>
    <w:rsid w:val="002E40A4"/>
    <w:rsid w:val="002F7507"/>
    <w:rsid w:val="0030059B"/>
    <w:rsid w:val="00302FB4"/>
    <w:rsid w:val="00305273"/>
    <w:rsid w:val="003057FC"/>
    <w:rsid w:val="00305AFB"/>
    <w:rsid w:val="00307C85"/>
    <w:rsid w:val="00312983"/>
    <w:rsid w:val="00313B62"/>
    <w:rsid w:val="00322EA0"/>
    <w:rsid w:val="00323DC5"/>
    <w:rsid w:val="003248CB"/>
    <w:rsid w:val="003250D9"/>
    <w:rsid w:val="00327901"/>
    <w:rsid w:val="00331EA7"/>
    <w:rsid w:val="003332B8"/>
    <w:rsid w:val="00337555"/>
    <w:rsid w:val="00343B46"/>
    <w:rsid w:val="00344465"/>
    <w:rsid w:val="0034740A"/>
    <w:rsid w:val="003505B7"/>
    <w:rsid w:val="0035375B"/>
    <w:rsid w:val="00354183"/>
    <w:rsid w:val="00362D74"/>
    <w:rsid w:val="003664E9"/>
    <w:rsid w:val="00366D1E"/>
    <w:rsid w:val="003703A5"/>
    <w:rsid w:val="0037112C"/>
    <w:rsid w:val="00373EE5"/>
    <w:rsid w:val="003817E7"/>
    <w:rsid w:val="00382E55"/>
    <w:rsid w:val="00383FB7"/>
    <w:rsid w:val="0038574A"/>
    <w:rsid w:val="00390B55"/>
    <w:rsid w:val="003961B2"/>
    <w:rsid w:val="003A41AD"/>
    <w:rsid w:val="003B0C41"/>
    <w:rsid w:val="003B152B"/>
    <w:rsid w:val="003B1734"/>
    <w:rsid w:val="003B1735"/>
    <w:rsid w:val="003B2D2E"/>
    <w:rsid w:val="003B4492"/>
    <w:rsid w:val="003B456E"/>
    <w:rsid w:val="003B6CBF"/>
    <w:rsid w:val="003C00C8"/>
    <w:rsid w:val="003C47A7"/>
    <w:rsid w:val="003D0826"/>
    <w:rsid w:val="003D18FC"/>
    <w:rsid w:val="003D3C93"/>
    <w:rsid w:val="003D71BB"/>
    <w:rsid w:val="003E00D5"/>
    <w:rsid w:val="003E02BA"/>
    <w:rsid w:val="003F0578"/>
    <w:rsid w:val="003F7F38"/>
    <w:rsid w:val="00401325"/>
    <w:rsid w:val="004019AA"/>
    <w:rsid w:val="0040399B"/>
    <w:rsid w:val="00406F0C"/>
    <w:rsid w:val="004106DB"/>
    <w:rsid w:val="00410A9A"/>
    <w:rsid w:val="00411251"/>
    <w:rsid w:val="00412585"/>
    <w:rsid w:val="0041363B"/>
    <w:rsid w:val="00414FA8"/>
    <w:rsid w:val="00415D5D"/>
    <w:rsid w:val="0041643A"/>
    <w:rsid w:val="00417D45"/>
    <w:rsid w:val="004232E9"/>
    <w:rsid w:val="0042650F"/>
    <w:rsid w:val="0042684F"/>
    <w:rsid w:val="00427D5D"/>
    <w:rsid w:val="00431E0B"/>
    <w:rsid w:val="004337FE"/>
    <w:rsid w:val="00433E98"/>
    <w:rsid w:val="00435738"/>
    <w:rsid w:val="00437137"/>
    <w:rsid w:val="004403B8"/>
    <w:rsid w:val="00441ADA"/>
    <w:rsid w:val="004422CA"/>
    <w:rsid w:val="0044274C"/>
    <w:rsid w:val="0044371C"/>
    <w:rsid w:val="0044550B"/>
    <w:rsid w:val="0044627E"/>
    <w:rsid w:val="0045114F"/>
    <w:rsid w:val="004529D3"/>
    <w:rsid w:val="00453F31"/>
    <w:rsid w:val="00456B0C"/>
    <w:rsid w:val="00460101"/>
    <w:rsid w:val="0046538B"/>
    <w:rsid w:val="00471C92"/>
    <w:rsid w:val="004739AC"/>
    <w:rsid w:val="00474489"/>
    <w:rsid w:val="0047567A"/>
    <w:rsid w:val="00475FEF"/>
    <w:rsid w:val="0047680F"/>
    <w:rsid w:val="00477536"/>
    <w:rsid w:val="0047776F"/>
    <w:rsid w:val="00482D5B"/>
    <w:rsid w:val="004832E2"/>
    <w:rsid w:val="004870EA"/>
    <w:rsid w:val="004873EC"/>
    <w:rsid w:val="00487F13"/>
    <w:rsid w:val="0049595F"/>
    <w:rsid w:val="00496193"/>
    <w:rsid w:val="00497B30"/>
    <w:rsid w:val="004A02AF"/>
    <w:rsid w:val="004A2D66"/>
    <w:rsid w:val="004A4449"/>
    <w:rsid w:val="004A6371"/>
    <w:rsid w:val="004A679B"/>
    <w:rsid w:val="004B4416"/>
    <w:rsid w:val="004B5066"/>
    <w:rsid w:val="004C0FB4"/>
    <w:rsid w:val="004C1811"/>
    <w:rsid w:val="004C2944"/>
    <w:rsid w:val="004C4555"/>
    <w:rsid w:val="004D16D6"/>
    <w:rsid w:val="004D4FB5"/>
    <w:rsid w:val="004D6CEA"/>
    <w:rsid w:val="004E0E02"/>
    <w:rsid w:val="004E3564"/>
    <w:rsid w:val="004E3D9F"/>
    <w:rsid w:val="004E51C0"/>
    <w:rsid w:val="004E64BE"/>
    <w:rsid w:val="004F2076"/>
    <w:rsid w:val="004F6293"/>
    <w:rsid w:val="00503B8D"/>
    <w:rsid w:val="00503EE3"/>
    <w:rsid w:val="00505811"/>
    <w:rsid w:val="0051261C"/>
    <w:rsid w:val="00515DE7"/>
    <w:rsid w:val="00517EB0"/>
    <w:rsid w:val="005205CB"/>
    <w:rsid w:val="0052430C"/>
    <w:rsid w:val="005348E4"/>
    <w:rsid w:val="00534D8F"/>
    <w:rsid w:val="005352F1"/>
    <w:rsid w:val="00540094"/>
    <w:rsid w:val="00540BE0"/>
    <w:rsid w:val="00544617"/>
    <w:rsid w:val="00545CFF"/>
    <w:rsid w:val="00547A9C"/>
    <w:rsid w:val="00555800"/>
    <w:rsid w:val="00556DBB"/>
    <w:rsid w:val="00557331"/>
    <w:rsid w:val="00560781"/>
    <w:rsid w:val="0056268F"/>
    <w:rsid w:val="005662E9"/>
    <w:rsid w:val="005700F8"/>
    <w:rsid w:val="00572AAF"/>
    <w:rsid w:val="00576903"/>
    <w:rsid w:val="005801AE"/>
    <w:rsid w:val="00582868"/>
    <w:rsid w:val="00582ECC"/>
    <w:rsid w:val="0058399B"/>
    <w:rsid w:val="0058692F"/>
    <w:rsid w:val="00587045"/>
    <w:rsid w:val="00587C22"/>
    <w:rsid w:val="005907BE"/>
    <w:rsid w:val="0059436D"/>
    <w:rsid w:val="005945C0"/>
    <w:rsid w:val="00596AB2"/>
    <w:rsid w:val="00597016"/>
    <w:rsid w:val="005974B7"/>
    <w:rsid w:val="005A0D51"/>
    <w:rsid w:val="005A181B"/>
    <w:rsid w:val="005A1CB3"/>
    <w:rsid w:val="005A3073"/>
    <w:rsid w:val="005A323D"/>
    <w:rsid w:val="005A33A5"/>
    <w:rsid w:val="005A37D7"/>
    <w:rsid w:val="005A5437"/>
    <w:rsid w:val="005A6969"/>
    <w:rsid w:val="005A70A0"/>
    <w:rsid w:val="005B0612"/>
    <w:rsid w:val="005B13F0"/>
    <w:rsid w:val="005B2E0C"/>
    <w:rsid w:val="005B30F6"/>
    <w:rsid w:val="005B45BA"/>
    <w:rsid w:val="005B5689"/>
    <w:rsid w:val="005B6680"/>
    <w:rsid w:val="005B6774"/>
    <w:rsid w:val="005C0A89"/>
    <w:rsid w:val="005C3BC4"/>
    <w:rsid w:val="005C6786"/>
    <w:rsid w:val="005C79F5"/>
    <w:rsid w:val="005D26CC"/>
    <w:rsid w:val="005D4711"/>
    <w:rsid w:val="005D47DE"/>
    <w:rsid w:val="005D59B1"/>
    <w:rsid w:val="005D764B"/>
    <w:rsid w:val="005E2367"/>
    <w:rsid w:val="005E34D2"/>
    <w:rsid w:val="005E5E90"/>
    <w:rsid w:val="005E62C7"/>
    <w:rsid w:val="005E654C"/>
    <w:rsid w:val="005F05F6"/>
    <w:rsid w:val="005F0D07"/>
    <w:rsid w:val="00600484"/>
    <w:rsid w:val="00605734"/>
    <w:rsid w:val="00607B98"/>
    <w:rsid w:val="0061488E"/>
    <w:rsid w:val="0061574B"/>
    <w:rsid w:val="00616406"/>
    <w:rsid w:val="00622670"/>
    <w:rsid w:val="00623328"/>
    <w:rsid w:val="00623681"/>
    <w:rsid w:val="00623A1A"/>
    <w:rsid w:val="00625410"/>
    <w:rsid w:val="00626E8D"/>
    <w:rsid w:val="0063156B"/>
    <w:rsid w:val="006326A9"/>
    <w:rsid w:val="00632DA8"/>
    <w:rsid w:val="00634C4B"/>
    <w:rsid w:val="00634E6E"/>
    <w:rsid w:val="0063651F"/>
    <w:rsid w:val="0064342A"/>
    <w:rsid w:val="00643A28"/>
    <w:rsid w:val="006452FA"/>
    <w:rsid w:val="0065093D"/>
    <w:rsid w:val="0065174C"/>
    <w:rsid w:val="00652A16"/>
    <w:rsid w:val="00655193"/>
    <w:rsid w:val="00655459"/>
    <w:rsid w:val="00656FB2"/>
    <w:rsid w:val="00657A70"/>
    <w:rsid w:val="00661454"/>
    <w:rsid w:val="006620AA"/>
    <w:rsid w:val="006626AF"/>
    <w:rsid w:val="0066642D"/>
    <w:rsid w:val="00670DF1"/>
    <w:rsid w:val="006722E2"/>
    <w:rsid w:val="00675E85"/>
    <w:rsid w:val="0067750F"/>
    <w:rsid w:val="00681396"/>
    <w:rsid w:val="0068171F"/>
    <w:rsid w:val="00681AA2"/>
    <w:rsid w:val="0068401E"/>
    <w:rsid w:val="006841A4"/>
    <w:rsid w:val="00685BB1"/>
    <w:rsid w:val="0068643F"/>
    <w:rsid w:val="00686A52"/>
    <w:rsid w:val="006877A1"/>
    <w:rsid w:val="00692150"/>
    <w:rsid w:val="00692F0C"/>
    <w:rsid w:val="006944B0"/>
    <w:rsid w:val="006956B9"/>
    <w:rsid w:val="00696E7C"/>
    <w:rsid w:val="00696EF2"/>
    <w:rsid w:val="006A0C54"/>
    <w:rsid w:val="006A295F"/>
    <w:rsid w:val="006A3E54"/>
    <w:rsid w:val="006A5C90"/>
    <w:rsid w:val="006A7C53"/>
    <w:rsid w:val="006B140A"/>
    <w:rsid w:val="006B309C"/>
    <w:rsid w:val="006B4316"/>
    <w:rsid w:val="006B727F"/>
    <w:rsid w:val="006C1B57"/>
    <w:rsid w:val="006C5325"/>
    <w:rsid w:val="006C6D3A"/>
    <w:rsid w:val="006C6DD5"/>
    <w:rsid w:val="006C7B36"/>
    <w:rsid w:val="006C7B7F"/>
    <w:rsid w:val="006D19E8"/>
    <w:rsid w:val="006D503F"/>
    <w:rsid w:val="006D5DCB"/>
    <w:rsid w:val="006D63C6"/>
    <w:rsid w:val="006D7768"/>
    <w:rsid w:val="006E04B5"/>
    <w:rsid w:val="006E2EF9"/>
    <w:rsid w:val="006E330C"/>
    <w:rsid w:val="006E3DD8"/>
    <w:rsid w:val="006E793F"/>
    <w:rsid w:val="006F0154"/>
    <w:rsid w:val="006F608D"/>
    <w:rsid w:val="006F7944"/>
    <w:rsid w:val="00704121"/>
    <w:rsid w:val="00705BB5"/>
    <w:rsid w:val="00711186"/>
    <w:rsid w:val="00711904"/>
    <w:rsid w:val="0071326F"/>
    <w:rsid w:val="007153D7"/>
    <w:rsid w:val="00720ED4"/>
    <w:rsid w:val="00722736"/>
    <w:rsid w:val="00725C29"/>
    <w:rsid w:val="00730469"/>
    <w:rsid w:val="00742628"/>
    <w:rsid w:val="0074488F"/>
    <w:rsid w:val="00745A8C"/>
    <w:rsid w:val="00745AA8"/>
    <w:rsid w:val="007503E0"/>
    <w:rsid w:val="007510EC"/>
    <w:rsid w:val="0075233C"/>
    <w:rsid w:val="0075256A"/>
    <w:rsid w:val="00752DCD"/>
    <w:rsid w:val="00755D01"/>
    <w:rsid w:val="007569DE"/>
    <w:rsid w:val="0075723C"/>
    <w:rsid w:val="0076146A"/>
    <w:rsid w:val="0076350E"/>
    <w:rsid w:val="00763F36"/>
    <w:rsid w:val="00764518"/>
    <w:rsid w:val="00775BDF"/>
    <w:rsid w:val="0077614D"/>
    <w:rsid w:val="00782C8F"/>
    <w:rsid w:val="00785F78"/>
    <w:rsid w:val="0078659D"/>
    <w:rsid w:val="007869EC"/>
    <w:rsid w:val="00791ED8"/>
    <w:rsid w:val="00795326"/>
    <w:rsid w:val="007A1E58"/>
    <w:rsid w:val="007A5C7E"/>
    <w:rsid w:val="007A63F9"/>
    <w:rsid w:val="007A69A9"/>
    <w:rsid w:val="007A6E2F"/>
    <w:rsid w:val="007B0DF2"/>
    <w:rsid w:val="007B3BC5"/>
    <w:rsid w:val="007B6F8D"/>
    <w:rsid w:val="007C1832"/>
    <w:rsid w:val="007D03DF"/>
    <w:rsid w:val="007D4953"/>
    <w:rsid w:val="007D50F4"/>
    <w:rsid w:val="007D7173"/>
    <w:rsid w:val="007E1216"/>
    <w:rsid w:val="007E4CD4"/>
    <w:rsid w:val="007E530C"/>
    <w:rsid w:val="007E5E16"/>
    <w:rsid w:val="007E6C2B"/>
    <w:rsid w:val="007E793C"/>
    <w:rsid w:val="007F0E8E"/>
    <w:rsid w:val="007F2149"/>
    <w:rsid w:val="007F4E00"/>
    <w:rsid w:val="008048CF"/>
    <w:rsid w:val="008079DD"/>
    <w:rsid w:val="0081130F"/>
    <w:rsid w:val="00813095"/>
    <w:rsid w:val="008145AD"/>
    <w:rsid w:val="008146B2"/>
    <w:rsid w:val="00820102"/>
    <w:rsid w:val="00821F25"/>
    <w:rsid w:val="00824430"/>
    <w:rsid w:val="00825B1F"/>
    <w:rsid w:val="00827D55"/>
    <w:rsid w:val="00832C84"/>
    <w:rsid w:val="00840EDD"/>
    <w:rsid w:val="008410AA"/>
    <w:rsid w:val="0084255F"/>
    <w:rsid w:val="00846FB1"/>
    <w:rsid w:val="00854FB3"/>
    <w:rsid w:val="00857FCA"/>
    <w:rsid w:val="008600C2"/>
    <w:rsid w:val="00860F13"/>
    <w:rsid w:val="0086199C"/>
    <w:rsid w:val="00861F8B"/>
    <w:rsid w:val="0086561F"/>
    <w:rsid w:val="00865A7A"/>
    <w:rsid w:val="00865FE1"/>
    <w:rsid w:val="0087069B"/>
    <w:rsid w:val="0087434A"/>
    <w:rsid w:val="00874542"/>
    <w:rsid w:val="008748C7"/>
    <w:rsid w:val="0087521A"/>
    <w:rsid w:val="008808C0"/>
    <w:rsid w:val="00882255"/>
    <w:rsid w:val="0088232B"/>
    <w:rsid w:val="00890BDE"/>
    <w:rsid w:val="00892AD3"/>
    <w:rsid w:val="00894155"/>
    <w:rsid w:val="008962E7"/>
    <w:rsid w:val="008A1118"/>
    <w:rsid w:val="008A281F"/>
    <w:rsid w:val="008A48D2"/>
    <w:rsid w:val="008A4AF6"/>
    <w:rsid w:val="008A4FF8"/>
    <w:rsid w:val="008A5ED1"/>
    <w:rsid w:val="008A627D"/>
    <w:rsid w:val="008A73CE"/>
    <w:rsid w:val="008A7FD1"/>
    <w:rsid w:val="008B042E"/>
    <w:rsid w:val="008B0B2A"/>
    <w:rsid w:val="008B211E"/>
    <w:rsid w:val="008B6D48"/>
    <w:rsid w:val="008C7660"/>
    <w:rsid w:val="008C79A7"/>
    <w:rsid w:val="008D5521"/>
    <w:rsid w:val="008D555F"/>
    <w:rsid w:val="008D625D"/>
    <w:rsid w:val="008D650E"/>
    <w:rsid w:val="008D6F9F"/>
    <w:rsid w:val="008E673E"/>
    <w:rsid w:val="008E67D1"/>
    <w:rsid w:val="008E6A41"/>
    <w:rsid w:val="008E6FC1"/>
    <w:rsid w:val="008F15D5"/>
    <w:rsid w:val="008F20EA"/>
    <w:rsid w:val="008F79C4"/>
    <w:rsid w:val="00903990"/>
    <w:rsid w:val="009042A8"/>
    <w:rsid w:val="00904950"/>
    <w:rsid w:val="0091442E"/>
    <w:rsid w:val="00915E5E"/>
    <w:rsid w:val="009166B8"/>
    <w:rsid w:val="00916FA5"/>
    <w:rsid w:val="00917915"/>
    <w:rsid w:val="00920684"/>
    <w:rsid w:val="009216E6"/>
    <w:rsid w:val="009224EC"/>
    <w:rsid w:val="00922DB7"/>
    <w:rsid w:val="0092684A"/>
    <w:rsid w:val="00927654"/>
    <w:rsid w:val="00937BD3"/>
    <w:rsid w:val="00937FAB"/>
    <w:rsid w:val="0094094D"/>
    <w:rsid w:val="00942AB8"/>
    <w:rsid w:val="0094548C"/>
    <w:rsid w:val="00945CAF"/>
    <w:rsid w:val="00946AC9"/>
    <w:rsid w:val="00947448"/>
    <w:rsid w:val="00952B38"/>
    <w:rsid w:val="00952C99"/>
    <w:rsid w:val="009619EB"/>
    <w:rsid w:val="00962DBD"/>
    <w:rsid w:val="00965333"/>
    <w:rsid w:val="00965588"/>
    <w:rsid w:val="00967C6E"/>
    <w:rsid w:val="009712EF"/>
    <w:rsid w:val="009727BF"/>
    <w:rsid w:val="00973321"/>
    <w:rsid w:val="00975C2E"/>
    <w:rsid w:val="009770EB"/>
    <w:rsid w:val="00977270"/>
    <w:rsid w:val="009824F2"/>
    <w:rsid w:val="00983080"/>
    <w:rsid w:val="0098418C"/>
    <w:rsid w:val="00986AA3"/>
    <w:rsid w:val="00986DC7"/>
    <w:rsid w:val="00993B24"/>
    <w:rsid w:val="0099611F"/>
    <w:rsid w:val="009977BA"/>
    <w:rsid w:val="009A083F"/>
    <w:rsid w:val="009A135C"/>
    <w:rsid w:val="009A373D"/>
    <w:rsid w:val="009A67E7"/>
    <w:rsid w:val="009C152E"/>
    <w:rsid w:val="009C4ECD"/>
    <w:rsid w:val="009C603A"/>
    <w:rsid w:val="009C74CD"/>
    <w:rsid w:val="009D048F"/>
    <w:rsid w:val="009D162F"/>
    <w:rsid w:val="009D195F"/>
    <w:rsid w:val="009D23FF"/>
    <w:rsid w:val="009D401F"/>
    <w:rsid w:val="009D58BC"/>
    <w:rsid w:val="009D5B42"/>
    <w:rsid w:val="009D652F"/>
    <w:rsid w:val="009D68FA"/>
    <w:rsid w:val="009E1E4F"/>
    <w:rsid w:val="009E32CF"/>
    <w:rsid w:val="009E3FCC"/>
    <w:rsid w:val="009E4261"/>
    <w:rsid w:val="009E4FC2"/>
    <w:rsid w:val="009F3543"/>
    <w:rsid w:val="009F44AE"/>
    <w:rsid w:val="009F59B9"/>
    <w:rsid w:val="00A02529"/>
    <w:rsid w:val="00A02E08"/>
    <w:rsid w:val="00A02EF2"/>
    <w:rsid w:val="00A04D5E"/>
    <w:rsid w:val="00A10DDF"/>
    <w:rsid w:val="00A11172"/>
    <w:rsid w:val="00A1219E"/>
    <w:rsid w:val="00A12E55"/>
    <w:rsid w:val="00A168D7"/>
    <w:rsid w:val="00A20F81"/>
    <w:rsid w:val="00A2368E"/>
    <w:rsid w:val="00A2411A"/>
    <w:rsid w:val="00A242E4"/>
    <w:rsid w:val="00A24437"/>
    <w:rsid w:val="00A244C0"/>
    <w:rsid w:val="00A24CA0"/>
    <w:rsid w:val="00A2548B"/>
    <w:rsid w:val="00A25D4B"/>
    <w:rsid w:val="00A32440"/>
    <w:rsid w:val="00A33601"/>
    <w:rsid w:val="00A3362A"/>
    <w:rsid w:val="00A34251"/>
    <w:rsid w:val="00A35278"/>
    <w:rsid w:val="00A36257"/>
    <w:rsid w:val="00A37045"/>
    <w:rsid w:val="00A37B70"/>
    <w:rsid w:val="00A40AC7"/>
    <w:rsid w:val="00A4254F"/>
    <w:rsid w:val="00A435C7"/>
    <w:rsid w:val="00A47D4B"/>
    <w:rsid w:val="00A53E49"/>
    <w:rsid w:val="00A55607"/>
    <w:rsid w:val="00A569B2"/>
    <w:rsid w:val="00A60CDA"/>
    <w:rsid w:val="00A611A4"/>
    <w:rsid w:val="00A61F09"/>
    <w:rsid w:val="00A637ED"/>
    <w:rsid w:val="00A63E1A"/>
    <w:rsid w:val="00A643DC"/>
    <w:rsid w:val="00A6695B"/>
    <w:rsid w:val="00A72703"/>
    <w:rsid w:val="00A727F6"/>
    <w:rsid w:val="00A72E71"/>
    <w:rsid w:val="00A76432"/>
    <w:rsid w:val="00A770C0"/>
    <w:rsid w:val="00A84FC6"/>
    <w:rsid w:val="00A8528E"/>
    <w:rsid w:val="00A90BD9"/>
    <w:rsid w:val="00A9101B"/>
    <w:rsid w:val="00A91EE5"/>
    <w:rsid w:val="00A94A49"/>
    <w:rsid w:val="00A95C5E"/>
    <w:rsid w:val="00AA014D"/>
    <w:rsid w:val="00AA1815"/>
    <w:rsid w:val="00AA1D3E"/>
    <w:rsid w:val="00AA20E7"/>
    <w:rsid w:val="00AA39F9"/>
    <w:rsid w:val="00AA79D3"/>
    <w:rsid w:val="00AB0931"/>
    <w:rsid w:val="00AB122F"/>
    <w:rsid w:val="00AB4DC4"/>
    <w:rsid w:val="00AB5A2B"/>
    <w:rsid w:val="00AB5C9B"/>
    <w:rsid w:val="00AC0159"/>
    <w:rsid w:val="00AC0276"/>
    <w:rsid w:val="00AC0312"/>
    <w:rsid w:val="00AC0449"/>
    <w:rsid w:val="00AC0DC3"/>
    <w:rsid w:val="00AC7E08"/>
    <w:rsid w:val="00AD035F"/>
    <w:rsid w:val="00AD2497"/>
    <w:rsid w:val="00AD5C04"/>
    <w:rsid w:val="00AD5EB4"/>
    <w:rsid w:val="00AD667B"/>
    <w:rsid w:val="00AE582A"/>
    <w:rsid w:val="00AE63E2"/>
    <w:rsid w:val="00AE7976"/>
    <w:rsid w:val="00AF04C9"/>
    <w:rsid w:val="00AF19A2"/>
    <w:rsid w:val="00AF1DC4"/>
    <w:rsid w:val="00AF26B6"/>
    <w:rsid w:val="00AF2979"/>
    <w:rsid w:val="00AF3189"/>
    <w:rsid w:val="00AF5BF8"/>
    <w:rsid w:val="00B0235B"/>
    <w:rsid w:val="00B0375C"/>
    <w:rsid w:val="00B052CB"/>
    <w:rsid w:val="00B06B0D"/>
    <w:rsid w:val="00B156C3"/>
    <w:rsid w:val="00B15F67"/>
    <w:rsid w:val="00B1624F"/>
    <w:rsid w:val="00B20F5D"/>
    <w:rsid w:val="00B21184"/>
    <w:rsid w:val="00B224C5"/>
    <w:rsid w:val="00B325CD"/>
    <w:rsid w:val="00B36C0F"/>
    <w:rsid w:val="00B37793"/>
    <w:rsid w:val="00B41203"/>
    <w:rsid w:val="00B4561E"/>
    <w:rsid w:val="00B4768D"/>
    <w:rsid w:val="00B518E5"/>
    <w:rsid w:val="00B51E1F"/>
    <w:rsid w:val="00B52601"/>
    <w:rsid w:val="00B57032"/>
    <w:rsid w:val="00B60222"/>
    <w:rsid w:val="00B62CFB"/>
    <w:rsid w:val="00B662F5"/>
    <w:rsid w:val="00B67C91"/>
    <w:rsid w:val="00B7000C"/>
    <w:rsid w:val="00B760D5"/>
    <w:rsid w:val="00B77495"/>
    <w:rsid w:val="00B83B2C"/>
    <w:rsid w:val="00B85D82"/>
    <w:rsid w:val="00B92049"/>
    <w:rsid w:val="00B94740"/>
    <w:rsid w:val="00B95002"/>
    <w:rsid w:val="00B97F75"/>
    <w:rsid w:val="00BA0A4F"/>
    <w:rsid w:val="00BA1CAE"/>
    <w:rsid w:val="00BA33BB"/>
    <w:rsid w:val="00BA4830"/>
    <w:rsid w:val="00BA6E22"/>
    <w:rsid w:val="00BB10AE"/>
    <w:rsid w:val="00BB1460"/>
    <w:rsid w:val="00BB362C"/>
    <w:rsid w:val="00BB5942"/>
    <w:rsid w:val="00BB5B48"/>
    <w:rsid w:val="00BC0A03"/>
    <w:rsid w:val="00BC3B70"/>
    <w:rsid w:val="00BC4A42"/>
    <w:rsid w:val="00BC5BB4"/>
    <w:rsid w:val="00BD4139"/>
    <w:rsid w:val="00BE059A"/>
    <w:rsid w:val="00BE1981"/>
    <w:rsid w:val="00BE2DA6"/>
    <w:rsid w:val="00BE2E86"/>
    <w:rsid w:val="00BE320B"/>
    <w:rsid w:val="00BE4265"/>
    <w:rsid w:val="00BE4D0F"/>
    <w:rsid w:val="00BE5115"/>
    <w:rsid w:val="00BE56E9"/>
    <w:rsid w:val="00BE63CF"/>
    <w:rsid w:val="00BE6CA9"/>
    <w:rsid w:val="00BE7014"/>
    <w:rsid w:val="00BE7991"/>
    <w:rsid w:val="00BF25C7"/>
    <w:rsid w:val="00C009B7"/>
    <w:rsid w:val="00C02B8F"/>
    <w:rsid w:val="00C04E32"/>
    <w:rsid w:val="00C116B1"/>
    <w:rsid w:val="00C132F7"/>
    <w:rsid w:val="00C15A3F"/>
    <w:rsid w:val="00C20630"/>
    <w:rsid w:val="00C209C6"/>
    <w:rsid w:val="00C224A4"/>
    <w:rsid w:val="00C22F7A"/>
    <w:rsid w:val="00C2666F"/>
    <w:rsid w:val="00C32020"/>
    <w:rsid w:val="00C32D02"/>
    <w:rsid w:val="00C3408C"/>
    <w:rsid w:val="00C3484D"/>
    <w:rsid w:val="00C351CC"/>
    <w:rsid w:val="00C35435"/>
    <w:rsid w:val="00C40E53"/>
    <w:rsid w:val="00C432FD"/>
    <w:rsid w:val="00C43CDF"/>
    <w:rsid w:val="00C4608E"/>
    <w:rsid w:val="00C476ED"/>
    <w:rsid w:val="00C512B2"/>
    <w:rsid w:val="00C53B5D"/>
    <w:rsid w:val="00C571FB"/>
    <w:rsid w:val="00C57381"/>
    <w:rsid w:val="00C61C30"/>
    <w:rsid w:val="00C61D56"/>
    <w:rsid w:val="00C62B69"/>
    <w:rsid w:val="00C644B7"/>
    <w:rsid w:val="00C64564"/>
    <w:rsid w:val="00C668C8"/>
    <w:rsid w:val="00C66D6F"/>
    <w:rsid w:val="00C71377"/>
    <w:rsid w:val="00C73C87"/>
    <w:rsid w:val="00C74B6F"/>
    <w:rsid w:val="00C87EF3"/>
    <w:rsid w:val="00C9015F"/>
    <w:rsid w:val="00C912F9"/>
    <w:rsid w:val="00C91B22"/>
    <w:rsid w:val="00C9241B"/>
    <w:rsid w:val="00C9370B"/>
    <w:rsid w:val="00C96DDF"/>
    <w:rsid w:val="00C97569"/>
    <w:rsid w:val="00CA0643"/>
    <w:rsid w:val="00CA199D"/>
    <w:rsid w:val="00CA4D9C"/>
    <w:rsid w:val="00CB05A7"/>
    <w:rsid w:val="00CB06A4"/>
    <w:rsid w:val="00CB325B"/>
    <w:rsid w:val="00CB3EFF"/>
    <w:rsid w:val="00CB4635"/>
    <w:rsid w:val="00CB64FF"/>
    <w:rsid w:val="00CB7078"/>
    <w:rsid w:val="00CB711D"/>
    <w:rsid w:val="00CB7902"/>
    <w:rsid w:val="00CC014B"/>
    <w:rsid w:val="00CC0E81"/>
    <w:rsid w:val="00CC21D8"/>
    <w:rsid w:val="00CC3369"/>
    <w:rsid w:val="00CC5343"/>
    <w:rsid w:val="00CC59D7"/>
    <w:rsid w:val="00CC6338"/>
    <w:rsid w:val="00CC78DE"/>
    <w:rsid w:val="00CD04D9"/>
    <w:rsid w:val="00CD0F93"/>
    <w:rsid w:val="00CD6D6E"/>
    <w:rsid w:val="00CD6F23"/>
    <w:rsid w:val="00CE021E"/>
    <w:rsid w:val="00CE66D6"/>
    <w:rsid w:val="00CF39D0"/>
    <w:rsid w:val="00CF640B"/>
    <w:rsid w:val="00CF6B5A"/>
    <w:rsid w:val="00D027AF"/>
    <w:rsid w:val="00D0323E"/>
    <w:rsid w:val="00D06652"/>
    <w:rsid w:val="00D07FA6"/>
    <w:rsid w:val="00D16ADF"/>
    <w:rsid w:val="00D17C53"/>
    <w:rsid w:val="00D17D57"/>
    <w:rsid w:val="00D2007C"/>
    <w:rsid w:val="00D2341D"/>
    <w:rsid w:val="00D252DA"/>
    <w:rsid w:val="00D25E0E"/>
    <w:rsid w:val="00D302EB"/>
    <w:rsid w:val="00D31679"/>
    <w:rsid w:val="00D320C8"/>
    <w:rsid w:val="00D330B6"/>
    <w:rsid w:val="00D3553C"/>
    <w:rsid w:val="00D3672F"/>
    <w:rsid w:val="00D36827"/>
    <w:rsid w:val="00D40ABA"/>
    <w:rsid w:val="00D40FE2"/>
    <w:rsid w:val="00D440FA"/>
    <w:rsid w:val="00D44BCF"/>
    <w:rsid w:val="00D46E73"/>
    <w:rsid w:val="00D5548D"/>
    <w:rsid w:val="00D55D17"/>
    <w:rsid w:val="00D56572"/>
    <w:rsid w:val="00D60F81"/>
    <w:rsid w:val="00D63951"/>
    <w:rsid w:val="00D63BF2"/>
    <w:rsid w:val="00D6416E"/>
    <w:rsid w:val="00D653AD"/>
    <w:rsid w:val="00D67348"/>
    <w:rsid w:val="00D70A26"/>
    <w:rsid w:val="00D73BB4"/>
    <w:rsid w:val="00D75FEC"/>
    <w:rsid w:val="00D76B98"/>
    <w:rsid w:val="00D82E63"/>
    <w:rsid w:val="00D835A0"/>
    <w:rsid w:val="00D86905"/>
    <w:rsid w:val="00D86F2C"/>
    <w:rsid w:val="00D94301"/>
    <w:rsid w:val="00D94A1C"/>
    <w:rsid w:val="00D96248"/>
    <w:rsid w:val="00D973AB"/>
    <w:rsid w:val="00DA05A0"/>
    <w:rsid w:val="00DA0680"/>
    <w:rsid w:val="00DA36F6"/>
    <w:rsid w:val="00DA48F0"/>
    <w:rsid w:val="00DA55E5"/>
    <w:rsid w:val="00DB0C8D"/>
    <w:rsid w:val="00DB6AF2"/>
    <w:rsid w:val="00DC1599"/>
    <w:rsid w:val="00DC1611"/>
    <w:rsid w:val="00DD2D66"/>
    <w:rsid w:val="00DD3C53"/>
    <w:rsid w:val="00DD4CE5"/>
    <w:rsid w:val="00DD53F6"/>
    <w:rsid w:val="00DD6B73"/>
    <w:rsid w:val="00DE745D"/>
    <w:rsid w:val="00DF0774"/>
    <w:rsid w:val="00DF0E0D"/>
    <w:rsid w:val="00DF1036"/>
    <w:rsid w:val="00DF4644"/>
    <w:rsid w:val="00DF68F6"/>
    <w:rsid w:val="00DF7A83"/>
    <w:rsid w:val="00E012B4"/>
    <w:rsid w:val="00E05451"/>
    <w:rsid w:val="00E05651"/>
    <w:rsid w:val="00E100F6"/>
    <w:rsid w:val="00E11BA5"/>
    <w:rsid w:val="00E17CBD"/>
    <w:rsid w:val="00E20425"/>
    <w:rsid w:val="00E21768"/>
    <w:rsid w:val="00E25B8E"/>
    <w:rsid w:val="00E25DCB"/>
    <w:rsid w:val="00E2613B"/>
    <w:rsid w:val="00E30FAB"/>
    <w:rsid w:val="00E313DF"/>
    <w:rsid w:val="00E330E0"/>
    <w:rsid w:val="00E36C70"/>
    <w:rsid w:val="00E4156E"/>
    <w:rsid w:val="00E44D61"/>
    <w:rsid w:val="00E453F2"/>
    <w:rsid w:val="00E460AD"/>
    <w:rsid w:val="00E61925"/>
    <w:rsid w:val="00E62FB2"/>
    <w:rsid w:val="00E6363B"/>
    <w:rsid w:val="00E65C0E"/>
    <w:rsid w:val="00E65FB9"/>
    <w:rsid w:val="00E730FC"/>
    <w:rsid w:val="00E746F0"/>
    <w:rsid w:val="00E809B9"/>
    <w:rsid w:val="00E82A15"/>
    <w:rsid w:val="00E85445"/>
    <w:rsid w:val="00E87589"/>
    <w:rsid w:val="00E938FF"/>
    <w:rsid w:val="00E93DFE"/>
    <w:rsid w:val="00E9650A"/>
    <w:rsid w:val="00E96FDE"/>
    <w:rsid w:val="00EA07D3"/>
    <w:rsid w:val="00EA2124"/>
    <w:rsid w:val="00EA2B12"/>
    <w:rsid w:val="00EA34DC"/>
    <w:rsid w:val="00EA456C"/>
    <w:rsid w:val="00EA5017"/>
    <w:rsid w:val="00EA6BED"/>
    <w:rsid w:val="00EB14F0"/>
    <w:rsid w:val="00EB2520"/>
    <w:rsid w:val="00EB3844"/>
    <w:rsid w:val="00EB5A9F"/>
    <w:rsid w:val="00EC573F"/>
    <w:rsid w:val="00EC5C8D"/>
    <w:rsid w:val="00ED06A7"/>
    <w:rsid w:val="00ED106C"/>
    <w:rsid w:val="00ED2D34"/>
    <w:rsid w:val="00ED4805"/>
    <w:rsid w:val="00ED57F6"/>
    <w:rsid w:val="00ED6C51"/>
    <w:rsid w:val="00ED6DA1"/>
    <w:rsid w:val="00EE6A72"/>
    <w:rsid w:val="00EF0AF8"/>
    <w:rsid w:val="00EF207D"/>
    <w:rsid w:val="00EF3681"/>
    <w:rsid w:val="00EF4258"/>
    <w:rsid w:val="00EF6D31"/>
    <w:rsid w:val="00F02237"/>
    <w:rsid w:val="00F046F1"/>
    <w:rsid w:val="00F072E2"/>
    <w:rsid w:val="00F079A6"/>
    <w:rsid w:val="00F10236"/>
    <w:rsid w:val="00F113BA"/>
    <w:rsid w:val="00F1390B"/>
    <w:rsid w:val="00F15811"/>
    <w:rsid w:val="00F17E8E"/>
    <w:rsid w:val="00F22423"/>
    <w:rsid w:val="00F24C72"/>
    <w:rsid w:val="00F30267"/>
    <w:rsid w:val="00F31D22"/>
    <w:rsid w:val="00F348B2"/>
    <w:rsid w:val="00F34BF0"/>
    <w:rsid w:val="00F34ED8"/>
    <w:rsid w:val="00F4095A"/>
    <w:rsid w:val="00F452CC"/>
    <w:rsid w:val="00F45845"/>
    <w:rsid w:val="00F50189"/>
    <w:rsid w:val="00F508FC"/>
    <w:rsid w:val="00F510B7"/>
    <w:rsid w:val="00F53571"/>
    <w:rsid w:val="00F54044"/>
    <w:rsid w:val="00F576E7"/>
    <w:rsid w:val="00F70517"/>
    <w:rsid w:val="00F73D1C"/>
    <w:rsid w:val="00F763FC"/>
    <w:rsid w:val="00F76B4A"/>
    <w:rsid w:val="00F772C1"/>
    <w:rsid w:val="00F8026D"/>
    <w:rsid w:val="00F8245F"/>
    <w:rsid w:val="00F82E40"/>
    <w:rsid w:val="00F91629"/>
    <w:rsid w:val="00F91E2A"/>
    <w:rsid w:val="00F96604"/>
    <w:rsid w:val="00F96C39"/>
    <w:rsid w:val="00F96E41"/>
    <w:rsid w:val="00FA153F"/>
    <w:rsid w:val="00FA1D78"/>
    <w:rsid w:val="00FA1F7E"/>
    <w:rsid w:val="00FA280F"/>
    <w:rsid w:val="00FA3E62"/>
    <w:rsid w:val="00FA5289"/>
    <w:rsid w:val="00FA6213"/>
    <w:rsid w:val="00FB0A69"/>
    <w:rsid w:val="00FB2186"/>
    <w:rsid w:val="00FB35CF"/>
    <w:rsid w:val="00FB7E03"/>
    <w:rsid w:val="00FC5769"/>
    <w:rsid w:val="00FC7EA8"/>
    <w:rsid w:val="00FD0133"/>
    <w:rsid w:val="00FD066E"/>
    <w:rsid w:val="00FD25FE"/>
    <w:rsid w:val="00FD6206"/>
    <w:rsid w:val="00FE1318"/>
    <w:rsid w:val="00FE208F"/>
    <w:rsid w:val="00FE3247"/>
    <w:rsid w:val="00FE54CD"/>
    <w:rsid w:val="00FE6DF6"/>
    <w:rsid w:val="00FF32C3"/>
    <w:rsid w:val="00FF3F8B"/>
    <w:rsid w:val="00FF6168"/>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8E7BB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CA" w:eastAsia="fr-CA"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hAnsi="Arial"/>
      <w:sz w:val="24"/>
    </w:rPr>
  </w:style>
  <w:style w:type="paragraph" w:styleId="Titre1">
    <w:name w:val="heading 1"/>
    <w:basedOn w:val="Normal"/>
    <w:next w:val="corpsdedcision"/>
    <w:link w:val="Titre1Car"/>
    <w:qFormat/>
    <w:rsid w:val="00F96E41"/>
    <w:pPr>
      <w:keepNext/>
      <w:spacing w:before="240" w:after="240"/>
      <w:outlineLvl w:val="0"/>
    </w:pPr>
    <w:rPr>
      <w:rFonts w:cs="Arial"/>
      <w:b/>
      <w:bCs/>
      <w:caps/>
      <w:kern w:val="32"/>
      <w:szCs w:val="32"/>
      <w:u w:val="single"/>
      <w:lang w:eastAsia="fr-FR"/>
    </w:rPr>
  </w:style>
  <w:style w:type="paragraph" w:styleId="Titre2">
    <w:name w:val="heading 2"/>
    <w:basedOn w:val="Normal"/>
    <w:next w:val="corpsdedcision"/>
    <w:qFormat/>
    <w:rsid w:val="0047680F"/>
    <w:pPr>
      <w:keepNext/>
      <w:spacing w:before="240" w:after="240"/>
      <w:outlineLvl w:val="1"/>
    </w:pPr>
    <w:rPr>
      <w:rFonts w:cs="Arial"/>
      <w:bCs/>
      <w:iCs/>
      <w:caps/>
      <w:szCs w:val="28"/>
      <w:lang w:eastAsia="fr-FR"/>
    </w:rPr>
  </w:style>
  <w:style w:type="paragraph" w:styleId="Titre3">
    <w:name w:val="heading 3"/>
    <w:basedOn w:val="Normal"/>
    <w:next w:val="corpsdedcision"/>
    <w:qFormat/>
    <w:rsid w:val="00EA456C"/>
    <w:pPr>
      <w:keepNext/>
      <w:spacing w:before="240" w:after="240"/>
      <w:outlineLvl w:val="2"/>
    </w:pPr>
    <w:rPr>
      <w:rFonts w:cs="Arial"/>
      <w:b/>
      <w:szCs w:val="24"/>
      <w:lang w:eastAsia="fr-FR"/>
    </w:rPr>
  </w:style>
  <w:style w:type="paragraph" w:styleId="Titre4">
    <w:name w:val="heading 4"/>
    <w:basedOn w:val="Normal"/>
    <w:next w:val="corpsdedcision"/>
    <w:qFormat/>
    <w:rsid w:val="008F15D5"/>
    <w:pPr>
      <w:keepNext/>
      <w:spacing w:before="240" w:after="240"/>
      <w:outlineLvl w:val="3"/>
    </w:pPr>
    <w:rPr>
      <w:rFonts w:cs="Arial"/>
      <w:szCs w:val="24"/>
      <w:u w:val="single"/>
      <w:lang w:eastAsia="fr-FR"/>
    </w:rPr>
  </w:style>
  <w:style w:type="paragraph" w:styleId="Titre5">
    <w:name w:val="heading 5"/>
    <w:basedOn w:val="Normal"/>
    <w:next w:val="Normal"/>
    <w:qFormat/>
    <w:rsid w:val="005E2367"/>
    <w:pPr>
      <w:numPr>
        <w:ilvl w:val="4"/>
        <w:numId w:val="2"/>
      </w:numPr>
      <w:spacing w:before="240" w:after="60"/>
      <w:outlineLvl w:val="4"/>
    </w:pPr>
    <w:rPr>
      <w:b/>
      <w:bCs/>
      <w:i/>
      <w:iCs/>
      <w:sz w:val="26"/>
      <w:szCs w:val="26"/>
    </w:rPr>
  </w:style>
  <w:style w:type="paragraph" w:styleId="Titre6">
    <w:name w:val="heading 6"/>
    <w:basedOn w:val="Normal"/>
    <w:next w:val="Normal"/>
    <w:qFormat/>
    <w:rsid w:val="005E2367"/>
    <w:pPr>
      <w:numPr>
        <w:ilvl w:val="5"/>
        <w:numId w:val="2"/>
      </w:numPr>
      <w:spacing w:before="240" w:after="60"/>
      <w:outlineLvl w:val="5"/>
    </w:pPr>
    <w:rPr>
      <w:rFonts w:ascii="Times New Roman" w:hAnsi="Times New Roman"/>
      <w:b/>
      <w:bCs/>
      <w:sz w:val="22"/>
      <w:szCs w:val="22"/>
    </w:rPr>
  </w:style>
  <w:style w:type="paragraph" w:styleId="Titre7">
    <w:name w:val="heading 7"/>
    <w:basedOn w:val="Normal"/>
    <w:next w:val="Normal"/>
    <w:qFormat/>
    <w:rsid w:val="005E2367"/>
    <w:pPr>
      <w:numPr>
        <w:ilvl w:val="6"/>
        <w:numId w:val="2"/>
      </w:numPr>
      <w:spacing w:before="240" w:after="60"/>
      <w:outlineLvl w:val="6"/>
    </w:pPr>
    <w:rPr>
      <w:rFonts w:ascii="Times New Roman" w:hAnsi="Times New Roman"/>
      <w:szCs w:val="24"/>
    </w:rPr>
  </w:style>
  <w:style w:type="paragraph" w:styleId="Titre8">
    <w:name w:val="heading 8"/>
    <w:basedOn w:val="Normal"/>
    <w:next w:val="Normal"/>
    <w:qFormat/>
    <w:rsid w:val="005E2367"/>
    <w:pPr>
      <w:numPr>
        <w:ilvl w:val="7"/>
        <w:numId w:val="2"/>
      </w:numPr>
      <w:spacing w:before="240" w:after="60"/>
      <w:outlineLvl w:val="7"/>
    </w:pPr>
    <w:rPr>
      <w:rFonts w:ascii="Times New Roman" w:hAnsi="Times New Roman"/>
      <w:i/>
      <w:iCs/>
      <w:szCs w:val="24"/>
    </w:rPr>
  </w:style>
  <w:style w:type="paragraph" w:styleId="Titre9">
    <w:name w:val="heading 9"/>
    <w:basedOn w:val="Normal"/>
    <w:next w:val="Normal"/>
    <w:qFormat/>
    <w:rsid w:val="005E2367"/>
    <w:pPr>
      <w:numPr>
        <w:ilvl w:val="8"/>
        <w:numId w:val="2"/>
      </w:numPr>
      <w:spacing w:before="240" w:after="60"/>
      <w:outlineLvl w:val="8"/>
    </w:pPr>
    <w:rPr>
      <w:rFonts w:cs="Arial"/>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zSoquijdatAssesseurs">
    <w:name w:val="zSoquij_datAssesseurs"/>
    <w:basedOn w:val="Normal"/>
  </w:style>
  <w:style w:type="paragraph" w:customStyle="1" w:styleId="zSoquijdatCabinetProcureurDef">
    <w:name w:val="zSoquij_datCabinetProcureurDef"/>
    <w:basedOn w:val="Normal"/>
  </w:style>
  <w:style w:type="paragraph" w:customStyle="1" w:styleId="zSoquijdatCabinetProcureurDem">
    <w:name w:val="zSoquij_datCabinetProcureurDem"/>
    <w:basedOn w:val="Normal"/>
  </w:style>
  <w:style w:type="paragraph" w:customStyle="1" w:styleId="zSoquijdatDateJugement">
    <w:name w:val="zSoquij_datDateJugement"/>
    <w:basedOn w:val="Normal"/>
    <w:rsid w:val="005B5689"/>
  </w:style>
  <w:style w:type="paragraph" w:customStyle="1" w:styleId="zSoquijdatGreffe">
    <w:name w:val="zSoquij_datGreffe"/>
    <w:basedOn w:val="Normal"/>
  </w:style>
  <w:style w:type="paragraph" w:customStyle="1" w:styleId="zSoquijdatJuge">
    <w:name w:val="zSoquij_datJuge"/>
    <w:basedOn w:val="Normal"/>
    <w:rsid w:val="005B5689"/>
    <w:rPr>
      <w:b/>
    </w:rPr>
  </w:style>
  <w:style w:type="paragraph" w:customStyle="1" w:styleId="zSoquijdatMembreE">
    <w:name w:val="zSoquij_datMembreE"/>
    <w:basedOn w:val="Normal"/>
  </w:style>
  <w:style w:type="paragraph" w:customStyle="1" w:styleId="zSoquijdatMembreS">
    <w:name w:val="zSoquij_datMembreS"/>
    <w:basedOn w:val="Normal"/>
  </w:style>
  <w:style w:type="paragraph" w:customStyle="1" w:styleId="articlesdelaLSST">
    <w:name w:val="articles de la LSST"/>
    <w:basedOn w:val="Normal"/>
    <w:pPr>
      <w:ind w:left="720" w:right="720"/>
      <w:jc w:val="both"/>
    </w:pPr>
    <w:rPr>
      <w:sz w:val="20"/>
    </w:rPr>
  </w:style>
  <w:style w:type="paragraph" w:customStyle="1" w:styleId="zSoquijdatNCSST">
    <w:name w:val="zSoquij_datNCSST"/>
    <w:basedOn w:val="Normal"/>
  </w:style>
  <w:style w:type="paragraph" w:customStyle="1" w:styleId="zSoquijdatNoDossier">
    <w:name w:val="zSoquij_datNoDossier"/>
    <w:basedOn w:val="Normal"/>
  </w:style>
  <w:style w:type="paragraph" w:customStyle="1" w:styleId="zSoquijdatNomPartieDef">
    <w:name w:val="zSoquij_datNomPartieDef"/>
    <w:basedOn w:val="Normal"/>
  </w:style>
  <w:style w:type="paragraph" w:customStyle="1" w:styleId="zSoquijdatNomPartieDem">
    <w:name w:val="zSoquij_datNomPartieDem"/>
    <w:basedOn w:val="Normal"/>
  </w:style>
  <w:style w:type="paragraph" w:customStyle="1" w:styleId="zSoquijdatNomPartieInt">
    <w:name w:val="zSoquij_datNomPartieInt"/>
    <w:basedOn w:val="Normal"/>
  </w:style>
  <w:style w:type="paragraph" w:customStyle="1" w:styleId="zSoquijdatNomProcureurDef">
    <w:name w:val="zSoquij_datNomProcureurDef"/>
    <w:basedOn w:val="Normal"/>
  </w:style>
  <w:style w:type="paragraph" w:customStyle="1" w:styleId="zSoquijdatNomProcureurDem">
    <w:name w:val="zSoquij_datNomProcureurDem"/>
    <w:basedOn w:val="Normal"/>
  </w:style>
  <w:style w:type="paragraph" w:customStyle="1" w:styleId="zSoquijdatQtePartieDef">
    <w:name w:val="zSoquij_datQtePartieDef"/>
    <w:basedOn w:val="Normal"/>
  </w:style>
  <w:style w:type="paragraph" w:customStyle="1" w:styleId="zSoquijdatQtePartieDem">
    <w:name w:val="zSoquij_datQtePartieDem"/>
    <w:basedOn w:val="Normal"/>
  </w:style>
  <w:style w:type="paragraph" w:customStyle="1" w:styleId="zSoquijdatQtePartieInt">
    <w:name w:val="zSoquij_datQtePartieInt"/>
    <w:basedOn w:val="Normal"/>
  </w:style>
  <w:style w:type="paragraph" w:customStyle="1" w:styleId="zSoquijlblProcureurDef">
    <w:name w:val="zSoquij_lblProcureurDef"/>
    <w:basedOn w:val="Normal"/>
  </w:style>
  <w:style w:type="paragraph" w:customStyle="1" w:styleId="zSoquijlblProcureurDem">
    <w:name w:val="zSoquij_lblProcureurDem"/>
    <w:basedOn w:val="Normal"/>
  </w:style>
  <w:style w:type="character" w:styleId="Appelnotedebasdep">
    <w:name w:val="footnote reference"/>
    <w:semiHidden/>
    <w:rPr>
      <w:rFonts w:ascii="Arial" w:hAnsi="Arial"/>
      <w:vertAlign w:val="superscript"/>
    </w:rPr>
  </w:style>
  <w:style w:type="paragraph" w:customStyle="1" w:styleId="citation">
    <w:name w:val="citation"/>
    <w:basedOn w:val="Normal"/>
    <w:pPr>
      <w:ind w:left="720" w:right="720"/>
      <w:jc w:val="both"/>
    </w:pPr>
    <w:rPr>
      <w:sz w:val="20"/>
    </w:rPr>
  </w:style>
  <w:style w:type="paragraph" w:customStyle="1" w:styleId="corpsdedcision">
    <w:name w:val="corps de décision"/>
    <w:basedOn w:val="Normal"/>
    <w:pPr>
      <w:numPr>
        <w:numId w:val="1"/>
      </w:numPr>
      <w:tabs>
        <w:tab w:val="clear" w:pos="360"/>
        <w:tab w:val="left" w:pos="720"/>
      </w:tabs>
      <w:spacing w:after="360"/>
      <w:jc w:val="both"/>
    </w:pPr>
  </w:style>
  <w:style w:type="paragraph" w:customStyle="1" w:styleId="Dfinitions">
    <w:name w:val="Définitions"/>
    <w:basedOn w:val="citation"/>
  </w:style>
  <w:style w:type="paragraph" w:customStyle="1" w:styleId="Dispositif">
    <w:name w:val="Dispositif"/>
    <w:basedOn w:val="Normal"/>
    <w:pPr>
      <w:spacing w:after="360"/>
      <w:jc w:val="both"/>
    </w:pPr>
  </w:style>
  <w:style w:type="paragraph" w:styleId="Notedebasdepage">
    <w:name w:val="footnote text"/>
    <w:basedOn w:val="Normal"/>
    <w:link w:val="NotedebasdepageCar"/>
    <w:semiHidden/>
  </w:style>
  <w:style w:type="paragraph" w:styleId="En-tte">
    <w:name w:val="header"/>
    <w:basedOn w:val="Normal"/>
    <w:pPr>
      <w:tabs>
        <w:tab w:val="center" w:pos="4320"/>
        <w:tab w:val="right" w:pos="8640"/>
      </w:tabs>
    </w:pPr>
  </w:style>
  <w:style w:type="character" w:styleId="Numrodepage">
    <w:name w:val="page number"/>
    <w:rPr>
      <w:rFonts w:ascii="Arial" w:hAnsi="Arial"/>
      <w:sz w:val="24"/>
    </w:rPr>
  </w:style>
  <w:style w:type="paragraph" w:styleId="Pieddepage">
    <w:name w:val="footer"/>
    <w:basedOn w:val="Normal"/>
    <w:pPr>
      <w:tabs>
        <w:tab w:val="center" w:pos="4320"/>
        <w:tab w:val="right" w:pos="8640"/>
      </w:tabs>
    </w:pPr>
  </w:style>
  <w:style w:type="paragraph" w:customStyle="1" w:styleId="zSoquijlblProcureurInt">
    <w:name w:val="zSoquij_lblProcureurInt"/>
    <w:basedOn w:val="Normal"/>
  </w:style>
  <w:style w:type="paragraph" w:customStyle="1" w:styleId="articlesdelaLATMP">
    <w:name w:val="articles de la LATMP"/>
    <w:basedOn w:val="Normal"/>
    <w:pPr>
      <w:ind w:left="720" w:right="720"/>
      <w:jc w:val="both"/>
    </w:pPr>
    <w:rPr>
      <w:sz w:val="20"/>
    </w:rPr>
  </w:style>
  <w:style w:type="paragraph" w:customStyle="1" w:styleId="Annexes">
    <w:name w:val="Annexes"/>
    <w:basedOn w:val="citation"/>
  </w:style>
  <w:style w:type="paragraph" w:customStyle="1" w:styleId="zSoquijdatNomProcureurInt">
    <w:name w:val="zSoquij_datNomProcureurInt"/>
    <w:basedOn w:val="Normal"/>
  </w:style>
  <w:style w:type="paragraph" w:customStyle="1" w:styleId="zSoquijdatCabinetProcureurInt">
    <w:name w:val="zSoquij_datCabinetProcureurInt"/>
    <w:basedOn w:val="Normal"/>
  </w:style>
  <w:style w:type="paragraph" w:customStyle="1" w:styleId="zSoquijdatRefNeutre">
    <w:name w:val="zSoquij_datRefNeutre"/>
    <w:basedOn w:val="Normal"/>
    <w:rsid w:val="00E20425"/>
    <w:pPr>
      <w:jc w:val="right"/>
    </w:pPr>
    <w:rPr>
      <w:b/>
      <w:sz w:val="22"/>
      <w:szCs w:val="22"/>
    </w:rPr>
  </w:style>
  <w:style w:type="paragraph" w:customStyle="1" w:styleId="zSoquijdatRepertorie">
    <w:name w:val="zSoquij_datRepertorie"/>
    <w:basedOn w:val="Normal"/>
    <w:rsid w:val="00E20425"/>
    <w:rPr>
      <w:b/>
      <w:sz w:val="22"/>
      <w:szCs w:val="22"/>
    </w:rPr>
  </w:style>
  <w:style w:type="paragraph" w:customStyle="1" w:styleId="corpsdetexte">
    <w:name w:val="corps de texte"/>
    <w:basedOn w:val="Normal"/>
    <w:rsid w:val="00ED2D34"/>
    <w:pPr>
      <w:tabs>
        <w:tab w:val="left" w:pos="720"/>
      </w:tabs>
      <w:spacing w:after="360"/>
      <w:jc w:val="both"/>
    </w:pPr>
  </w:style>
  <w:style w:type="paragraph" w:customStyle="1" w:styleId="articlesdelaLATMPnouveaux">
    <w:name w:val="articles de la LATMP (nouveaux)"/>
    <w:basedOn w:val="Normal"/>
    <w:rsid w:val="00D44BCF"/>
    <w:pPr>
      <w:ind w:left="720" w:right="720"/>
      <w:jc w:val="both"/>
    </w:pPr>
    <w:rPr>
      <w:sz w:val="20"/>
    </w:rPr>
  </w:style>
  <w:style w:type="character" w:customStyle="1" w:styleId="NotedebasdepageCar">
    <w:name w:val="Note de bas de page Car"/>
    <w:link w:val="Notedebasdepage"/>
    <w:semiHidden/>
    <w:locked/>
    <w:rsid w:val="00BC0A03"/>
    <w:rPr>
      <w:rFonts w:ascii="Arial" w:hAnsi="Arial"/>
      <w:sz w:val="24"/>
      <w:lang w:val="fr-CA" w:eastAsia="fr-CA" w:bidi="ar-SA"/>
    </w:rPr>
  </w:style>
  <w:style w:type="character" w:customStyle="1" w:styleId="CarCar3">
    <w:name w:val="Car Car3"/>
    <w:semiHidden/>
    <w:locked/>
    <w:rsid w:val="007F2149"/>
    <w:rPr>
      <w:rFonts w:ascii="Arial" w:hAnsi="Arial"/>
      <w:sz w:val="24"/>
      <w:lang w:val="fr-CA" w:eastAsia="fr-CA" w:bidi="ar-SA"/>
    </w:rPr>
  </w:style>
  <w:style w:type="paragraph" w:customStyle="1" w:styleId="Citationenretrait">
    <w:name w:val="Citation en retrait"/>
    <w:basedOn w:val="Normal"/>
    <w:link w:val="CitationenretraitCar"/>
    <w:rsid w:val="006A7C53"/>
    <w:pPr>
      <w:spacing w:before="120" w:after="120"/>
      <w:ind w:left="720" w:right="720"/>
      <w:jc w:val="both"/>
    </w:pPr>
    <w:rPr>
      <w:kern w:val="24"/>
      <w:sz w:val="22"/>
      <w:lang w:eastAsia="fr-FR"/>
    </w:rPr>
  </w:style>
  <w:style w:type="paragraph" w:customStyle="1" w:styleId="Citationendoubleretrait">
    <w:name w:val="Citation en double retrait"/>
    <w:basedOn w:val="Citationenretrait"/>
    <w:link w:val="CitationendoubleretraitCar"/>
    <w:rsid w:val="008048CF"/>
    <w:pPr>
      <w:spacing w:before="0" w:after="0"/>
      <w:ind w:left="1440" w:right="1440"/>
    </w:pPr>
    <w:rPr>
      <w:sz w:val="18"/>
    </w:rPr>
  </w:style>
  <w:style w:type="character" w:customStyle="1" w:styleId="Citationintgre">
    <w:name w:val="Citation intégrée"/>
    <w:rsid w:val="006A7C53"/>
    <w:rPr>
      <w:rFonts w:ascii="Arial" w:hAnsi="Arial"/>
      <w:i/>
      <w:noProof w:val="0"/>
      <w:sz w:val="22"/>
      <w:lang w:val="fr-CA"/>
    </w:rPr>
  </w:style>
  <w:style w:type="paragraph" w:customStyle="1" w:styleId="Paragraphe">
    <w:name w:val="Paragraphe"/>
    <w:basedOn w:val="Normal"/>
    <w:rsid w:val="006A7C53"/>
    <w:pPr>
      <w:numPr>
        <w:numId w:val="6"/>
      </w:numPr>
      <w:spacing w:before="160" w:after="160"/>
      <w:jc w:val="both"/>
    </w:pPr>
    <w:rPr>
      <w:kern w:val="28"/>
      <w:lang w:eastAsia="fr-FR"/>
    </w:rPr>
  </w:style>
  <w:style w:type="paragraph" w:customStyle="1" w:styleId="ParagAlaMarge">
    <w:name w:val="ParagAlaMarge"/>
    <w:basedOn w:val="Paragraphe"/>
    <w:rsid w:val="006A7C53"/>
    <w:pPr>
      <w:numPr>
        <w:numId w:val="0"/>
      </w:numPr>
    </w:pPr>
  </w:style>
  <w:style w:type="paragraph" w:customStyle="1" w:styleId="ParagNonNum">
    <w:name w:val="ParagNonNum"/>
    <w:basedOn w:val="Paragraphe"/>
    <w:rsid w:val="006A7C53"/>
    <w:pPr>
      <w:numPr>
        <w:numId w:val="0"/>
      </w:numPr>
      <w:ind w:firstLine="720"/>
    </w:pPr>
  </w:style>
  <w:style w:type="paragraph" w:customStyle="1" w:styleId="Sous-paragraphe">
    <w:name w:val="Sous-paragraphe"/>
    <w:basedOn w:val="Normal"/>
    <w:rsid w:val="000E0C28"/>
    <w:pPr>
      <w:numPr>
        <w:ilvl w:val="1"/>
        <w:numId w:val="6"/>
      </w:numPr>
      <w:spacing w:before="120" w:after="120"/>
      <w:ind w:left="1440" w:hanging="720"/>
    </w:pPr>
    <w:rPr>
      <w:szCs w:val="24"/>
      <w:lang w:eastAsia="fr-FR"/>
    </w:rPr>
  </w:style>
  <w:style w:type="paragraph" w:customStyle="1" w:styleId="zSoquijdatDivision">
    <w:name w:val="zSoquij_datDivision"/>
    <w:basedOn w:val="Normal"/>
    <w:rsid w:val="00F772C1"/>
    <w:pPr>
      <w:jc w:val="center"/>
    </w:pPr>
    <w:rPr>
      <w:b/>
      <w:bCs/>
      <w:sz w:val="22"/>
      <w:szCs w:val="22"/>
    </w:rPr>
  </w:style>
  <w:style w:type="paragraph" w:customStyle="1" w:styleId="zSoquijlblLienParties">
    <w:name w:val="zSoquij_lblLienParties"/>
    <w:basedOn w:val="Normal"/>
    <w:rsid w:val="00D06652"/>
  </w:style>
  <w:style w:type="paragraph" w:customStyle="1" w:styleId="zSoquijdatDateAudience">
    <w:name w:val="zSoquij_datDateAudience"/>
    <w:basedOn w:val="Normal"/>
    <w:rsid w:val="000E56A6"/>
  </w:style>
  <w:style w:type="character" w:customStyle="1" w:styleId="Titre1Car">
    <w:name w:val="Titre 1 Car"/>
    <w:link w:val="Titre1"/>
    <w:rsid w:val="00F96E41"/>
    <w:rPr>
      <w:rFonts w:ascii="Arial" w:hAnsi="Arial" w:cs="Arial"/>
      <w:b/>
      <w:bCs/>
      <w:caps/>
      <w:kern w:val="32"/>
      <w:sz w:val="24"/>
      <w:szCs w:val="32"/>
      <w:u w:val="single"/>
      <w:lang w:val="fr-CA" w:eastAsia="fr-FR" w:bidi="ar-SA"/>
    </w:rPr>
  </w:style>
  <w:style w:type="paragraph" w:customStyle="1" w:styleId="ParagConclusion">
    <w:name w:val="ParagConclusion"/>
    <w:basedOn w:val="Normal"/>
    <w:rsid w:val="003D18FC"/>
    <w:pPr>
      <w:spacing w:before="160" w:after="160"/>
      <w:ind w:left="2448" w:hanging="2448"/>
    </w:pPr>
    <w:rPr>
      <w:rFonts w:eastAsia="Calibri" w:cs="Arial"/>
      <w:szCs w:val="24"/>
      <w:lang w:eastAsia="fr-FR"/>
    </w:rPr>
  </w:style>
  <w:style w:type="paragraph" w:customStyle="1" w:styleId="yChPInterv">
    <w:name w:val="yCh_PInterv"/>
    <w:rsid w:val="00474489"/>
    <w:rPr>
      <w:rFonts w:ascii="Arial" w:hAnsi="Arial"/>
      <w:sz w:val="24"/>
    </w:rPr>
  </w:style>
  <w:style w:type="character" w:styleId="Lienhypertexte">
    <w:name w:val="Hyperlink"/>
    <w:unhideWhenUsed/>
    <w:rsid w:val="00AF3189"/>
    <w:rPr>
      <w:color w:val="0563C1"/>
      <w:u w:val="single"/>
    </w:rPr>
  </w:style>
  <w:style w:type="character" w:customStyle="1" w:styleId="CarCar1">
    <w:name w:val="Car Car1"/>
    <w:semiHidden/>
    <w:rsid w:val="00D73BB4"/>
    <w:rPr>
      <w:rFonts w:ascii="Arial" w:eastAsia="Times New Roman" w:hAnsi="Arial"/>
      <w:sz w:val="24"/>
    </w:rPr>
  </w:style>
  <w:style w:type="paragraph" w:styleId="Paragraphedeliste">
    <w:name w:val="List Paragraph"/>
    <w:basedOn w:val="Normal"/>
    <w:qFormat/>
    <w:rsid w:val="00D73BB4"/>
    <w:pPr>
      <w:ind w:left="720"/>
      <w:contextualSpacing/>
    </w:pPr>
  </w:style>
  <w:style w:type="character" w:customStyle="1" w:styleId="CarCar2">
    <w:name w:val="Car Car2"/>
    <w:rsid w:val="00CD04D9"/>
    <w:rPr>
      <w:rFonts w:ascii="Arial" w:hAnsi="Arial"/>
      <w:sz w:val="24"/>
    </w:rPr>
  </w:style>
  <w:style w:type="character" w:customStyle="1" w:styleId="FootnoteTextChar">
    <w:name w:val="Footnote Text Char"/>
    <w:locked/>
    <w:rsid w:val="00ED57F6"/>
    <w:rPr>
      <w:rFonts w:ascii="Arial" w:hAnsi="Arial" w:cs="Times New Roman"/>
      <w:sz w:val="24"/>
    </w:rPr>
  </w:style>
  <w:style w:type="character" w:customStyle="1" w:styleId="CitationenretraitCar">
    <w:name w:val="Citation en retrait Car"/>
    <w:link w:val="Citationenretrait"/>
    <w:rsid w:val="00DB6AF2"/>
    <w:rPr>
      <w:rFonts w:ascii="Arial" w:hAnsi="Arial"/>
      <w:kern w:val="24"/>
      <w:sz w:val="22"/>
      <w:lang w:val="fr-CA" w:eastAsia="fr-FR" w:bidi="ar-SA"/>
    </w:rPr>
  </w:style>
  <w:style w:type="character" w:customStyle="1" w:styleId="CitationendoubleretraitCar">
    <w:name w:val="Citation en double retrait Car"/>
    <w:link w:val="Citationendoubleretrait"/>
    <w:rsid w:val="00DB6AF2"/>
    <w:rPr>
      <w:rFonts w:ascii="Arial" w:hAnsi="Arial"/>
      <w:kern w:val="24"/>
      <w:sz w:val="18"/>
      <w:lang w:val="fr-CA" w:eastAsia="fr-FR" w:bidi="ar-SA"/>
    </w:rPr>
  </w:style>
  <w:style w:type="paragraph" w:styleId="Rvision">
    <w:name w:val="Revision"/>
    <w:hidden/>
    <w:uiPriority w:val="99"/>
    <w:semiHidden/>
    <w:rsid w:val="00C132F7"/>
    <w:rPr>
      <w:rFonts w:ascii="Arial" w:hAnsi="Arial"/>
      <w:sz w:val="24"/>
    </w:rPr>
  </w:style>
  <w:style w:type="character" w:styleId="Marquedecommentaire">
    <w:name w:val="annotation reference"/>
    <w:basedOn w:val="Policepardfaut"/>
    <w:rsid w:val="00FA3E62"/>
    <w:rPr>
      <w:sz w:val="16"/>
      <w:szCs w:val="16"/>
    </w:rPr>
  </w:style>
  <w:style w:type="paragraph" w:styleId="Commentaire">
    <w:name w:val="annotation text"/>
    <w:basedOn w:val="Normal"/>
    <w:link w:val="CommentaireCar"/>
    <w:rsid w:val="00FA3E62"/>
    <w:rPr>
      <w:sz w:val="20"/>
    </w:rPr>
  </w:style>
  <w:style w:type="character" w:customStyle="1" w:styleId="CommentaireCar">
    <w:name w:val="Commentaire Car"/>
    <w:basedOn w:val="Policepardfaut"/>
    <w:link w:val="Commentaire"/>
    <w:rsid w:val="00FA3E62"/>
    <w:rPr>
      <w:rFonts w:ascii="Arial" w:hAnsi="Arial"/>
    </w:rPr>
  </w:style>
  <w:style w:type="paragraph" w:styleId="Objetducommentaire">
    <w:name w:val="annotation subject"/>
    <w:basedOn w:val="Commentaire"/>
    <w:next w:val="Commentaire"/>
    <w:link w:val="ObjetducommentaireCar"/>
    <w:rsid w:val="00FA3E62"/>
    <w:rPr>
      <w:b/>
      <w:bCs/>
    </w:rPr>
  </w:style>
  <w:style w:type="character" w:customStyle="1" w:styleId="ObjetducommentaireCar">
    <w:name w:val="Objet du commentaire Car"/>
    <w:basedOn w:val="CommentaireCar"/>
    <w:link w:val="Objetducommentaire"/>
    <w:rsid w:val="00FA3E62"/>
    <w:rPr>
      <w:rFonts w:ascii="Arial" w:hAnsi="Arial"/>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1440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4165</Words>
  <Characters>22911</Characters>
  <Application>Microsoft Office Word</Application>
  <DocSecurity>0</DocSecurity>
  <Lines>190</Lines>
  <Paragraphs>54</Paragraphs>
  <ScaleCrop>false</ScaleCrop>
  <Company/>
  <LinksUpToDate>false</LinksUpToDate>
  <CharactersWithSpaces>27022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2025-05-22T13:33:00Z</dcterms:created>
  <dcterms:modified xsi:type="dcterms:W3CDTF">2025-05-22T13:33:00Z</dcterms:modified>
</cp:coreProperties>
</file>